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68AE" w14:textId="49A4E0B9" w:rsidR="00F242AF" w:rsidRPr="000B237A" w:rsidRDefault="00A732E0" w:rsidP="00F242AF">
      <w:pPr>
        <w:rPr>
          <w:lang w:val="en-US"/>
        </w:rPr>
      </w:pPr>
      <w:bookmarkStart w:id="0" w:name="_Toc168113228"/>
      <w:r>
        <w:rPr>
          <w:noProof/>
        </w:rPr>
        <w:drawing>
          <wp:inline distT="0" distB="0" distL="0" distR="0" wp14:anchorId="18514D00" wp14:editId="2C22AF1E">
            <wp:extent cx="1419225" cy="1104900"/>
            <wp:effectExtent l="0" t="0" r="0" b="0"/>
            <wp:docPr id="1" name="Picture 10"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E4BA8D6" w14:textId="00E63DF3" w:rsidR="00F242AF" w:rsidRPr="000B237A" w:rsidRDefault="00F242AF" w:rsidP="00F242AF">
      <w:pPr>
        <w:spacing w:before="480"/>
        <w:rPr>
          <w:rFonts w:ascii="Arial" w:hAnsi="Arial" w:cs="Arial"/>
          <w:b/>
          <w:bCs/>
          <w:sz w:val="40"/>
          <w:szCs w:val="40"/>
        </w:rPr>
      </w:pPr>
      <w:r w:rsidRPr="0EFB4CCB">
        <w:rPr>
          <w:rFonts w:ascii="Arial" w:hAnsi="Arial" w:cs="Arial"/>
          <w:b/>
          <w:bCs/>
          <w:sz w:val="40"/>
          <w:szCs w:val="40"/>
        </w:rPr>
        <w:t xml:space="preserve">Financial Sector (Collection of Data) (reporting standard) determination No. </w:t>
      </w:r>
      <w:r w:rsidR="51658813" w:rsidRPr="0EFB4CCB">
        <w:rPr>
          <w:rFonts w:ascii="Arial" w:hAnsi="Arial" w:cs="Arial"/>
          <w:b/>
          <w:bCs/>
          <w:sz w:val="40"/>
          <w:szCs w:val="40"/>
        </w:rPr>
        <w:t>13</w:t>
      </w:r>
      <w:r w:rsidRPr="0EFB4CCB">
        <w:rPr>
          <w:rFonts w:ascii="Arial" w:hAnsi="Arial" w:cs="Arial"/>
          <w:b/>
          <w:bCs/>
          <w:sz w:val="40"/>
          <w:szCs w:val="40"/>
        </w:rPr>
        <w:t xml:space="preserve"> of 2025 </w:t>
      </w:r>
    </w:p>
    <w:p w14:paraId="7798FA79" w14:textId="3CAC2368" w:rsidR="00F242AF" w:rsidRPr="000B237A" w:rsidRDefault="00F242AF" w:rsidP="00F242AF">
      <w:pPr>
        <w:spacing w:before="240"/>
        <w:jc w:val="both"/>
        <w:rPr>
          <w:rFonts w:ascii="Arial" w:hAnsi="Arial" w:cs="Arial"/>
          <w:b/>
          <w:bCs/>
          <w:sz w:val="28"/>
          <w:szCs w:val="28"/>
        </w:rPr>
      </w:pPr>
      <w:r w:rsidRPr="000B237A">
        <w:rPr>
          <w:rFonts w:ascii="Arial" w:hAnsi="Arial" w:cs="Arial"/>
          <w:b/>
          <w:bCs/>
          <w:sz w:val="28"/>
          <w:szCs w:val="28"/>
        </w:rPr>
        <w:t xml:space="preserve">Reporting Standard </w:t>
      </w:r>
      <w:r w:rsidRPr="00F242AF">
        <w:rPr>
          <w:rFonts w:ascii="Arial" w:hAnsi="Arial" w:cs="Arial"/>
          <w:b/>
          <w:bCs/>
          <w:sz w:val="28"/>
          <w:szCs w:val="28"/>
        </w:rPr>
        <w:t>GRS 116.1 Probable Maximum Loss for LMIs</w:t>
      </w:r>
    </w:p>
    <w:p w14:paraId="42CDE0E7" w14:textId="77777777" w:rsidR="00F242AF" w:rsidRPr="000B237A" w:rsidRDefault="00F242AF" w:rsidP="00F242AF">
      <w:pPr>
        <w:pBdr>
          <w:bottom w:val="single" w:sz="4" w:space="3" w:color="auto"/>
        </w:pBdr>
        <w:spacing w:before="240" w:after="240"/>
        <w:rPr>
          <w:rFonts w:ascii="Arial" w:hAnsi="Arial"/>
          <w:i/>
          <w:iCs/>
          <w:sz w:val="28"/>
        </w:rPr>
      </w:pPr>
      <w:r w:rsidRPr="000B237A">
        <w:rPr>
          <w:rFonts w:ascii="Arial" w:hAnsi="Arial"/>
          <w:i/>
          <w:iCs/>
          <w:sz w:val="28"/>
        </w:rPr>
        <w:t>Financial Sector (</w:t>
      </w:r>
      <w:r w:rsidRPr="000B237A">
        <w:rPr>
          <w:rFonts w:ascii="Arial" w:hAnsi="Arial"/>
          <w:iCs/>
          <w:sz w:val="28"/>
        </w:rPr>
        <w:t>Collection</w:t>
      </w:r>
      <w:r w:rsidRPr="000B237A">
        <w:rPr>
          <w:rFonts w:ascii="Arial" w:hAnsi="Arial"/>
          <w:i/>
          <w:iCs/>
          <w:sz w:val="28"/>
        </w:rPr>
        <w:t xml:space="preserve"> of Data) Act 2001</w:t>
      </w:r>
    </w:p>
    <w:p w14:paraId="6F39DBF3" w14:textId="77777777" w:rsidR="00F242AF" w:rsidRPr="000B237A" w:rsidRDefault="00F242AF" w:rsidP="00F242AF">
      <w:pPr>
        <w:jc w:val="both"/>
        <w:rPr>
          <w:i/>
          <w:sz w:val="24"/>
          <w:szCs w:val="24"/>
        </w:rPr>
      </w:pPr>
      <w:r w:rsidRPr="00BE748F">
        <w:rPr>
          <w:sz w:val="24"/>
          <w:szCs w:val="24"/>
        </w:rPr>
        <w:t xml:space="preserve">I, Andrew Robertson, delegate of APRA, under paragraph 13(1)(a) of the </w:t>
      </w:r>
      <w:r w:rsidRPr="00BE748F">
        <w:rPr>
          <w:i/>
          <w:sz w:val="24"/>
          <w:szCs w:val="24"/>
        </w:rPr>
        <w:t>Financial Sector (Collection of Data) Act 2001</w:t>
      </w:r>
      <w:r w:rsidRPr="00BE748F">
        <w:rPr>
          <w:sz w:val="24"/>
          <w:szCs w:val="24"/>
        </w:rPr>
        <w:t xml:space="preserve"> (the Act) and subsection 33(3) of the </w:t>
      </w:r>
      <w:r w:rsidRPr="00BE748F">
        <w:rPr>
          <w:i/>
          <w:sz w:val="24"/>
          <w:szCs w:val="24"/>
        </w:rPr>
        <w:t>Acts Interpretation Act 1901</w:t>
      </w:r>
      <w:r w:rsidRPr="00BE748F">
        <w:rPr>
          <w:sz w:val="24"/>
          <w:szCs w:val="24"/>
        </w:rPr>
        <w:t>:</w:t>
      </w:r>
    </w:p>
    <w:p w14:paraId="19B7F7E9" w14:textId="77777777" w:rsidR="00F242AF" w:rsidRPr="000B237A" w:rsidRDefault="00F242AF" w:rsidP="00F242AF">
      <w:pPr>
        <w:jc w:val="both"/>
        <w:rPr>
          <w:i/>
          <w:sz w:val="24"/>
          <w:szCs w:val="24"/>
        </w:rPr>
      </w:pPr>
    </w:p>
    <w:p w14:paraId="41AE5839" w14:textId="630E4F80" w:rsidR="00F242AF" w:rsidRPr="000B237A" w:rsidRDefault="00F242AF" w:rsidP="00F242AF">
      <w:pPr>
        <w:numPr>
          <w:ilvl w:val="0"/>
          <w:numId w:val="27"/>
        </w:numPr>
        <w:tabs>
          <w:tab w:val="left" w:pos="567"/>
        </w:tabs>
        <w:ind w:left="567" w:hanging="567"/>
        <w:jc w:val="both"/>
        <w:rPr>
          <w:sz w:val="24"/>
          <w:szCs w:val="24"/>
        </w:rPr>
      </w:pPr>
      <w:r w:rsidRPr="000B237A">
        <w:rPr>
          <w:sz w:val="24"/>
          <w:szCs w:val="24"/>
        </w:rPr>
        <w:t xml:space="preserve">revoke Financial Sector (Collection of Data) (reporting standard) determination No. </w:t>
      </w:r>
      <w:r>
        <w:rPr>
          <w:sz w:val="24"/>
          <w:szCs w:val="24"/>
        </w:rPr>
        <w:t>30</w:t>
      </w:r>
      <w:r w:rsidRPr="000B237A">
        <w:rPr>
          <w:sz w:val="24"/>
          <w:szCs w:val="24"/>
        </w:rPr>
        <w:t xml:space="preserve"> of 20</w:t>
      </w:r>
      <w:r>
        <w:rPr>
          <w:sz w:val="24"/>
          <w:szCs w:val="24"/>
        </w:rPr>
        <w:t>14</w:t>
      </w:r>
      <w:r w:rsidRPr="000B237A">
        <w:rPr>
          <w:sz w:val="24"/>
          <w:szCs w:val="24"/>
        </w:rPr>
        <w:t xml:space="preserve">, including </w:t>
      </w:r>
      <w:r w:rsidRPr="000B237A">
        <w:rPr>
          <w:i/>
          <w:sz w:val="24"/>
          <w:szCs w:val="24"/>
        </w:rPr>
        <w:t xml:space="preserve">Reporting Standard </w:t>
      </w:r>
      <w:r w:rsidRPr="00F242AF">
        <w:rPr>
          <w:i/>
          <w:sz w:val="24"/>
          <w:szCs w:val="24"/>
        </w:rPr>
        <w:t xml:space="preserve">GRS 116.1 Probable Maximum Loss for LMIs </w:t>
      </w:r>
      <w:r w:rsidRPr="000B237A">
        <w:rPr>
          <w:sz w:val="24"/>
          <w:szCs w:val="24"/>
        </w:rPr>
        <w:t>made under that Determination; and</w:t>
      </w:r>
    </w:p>
    <w:p w14:paraId="587B4D7C" w14:textId="77777777" w:rsidR="00F242AF" w:rsidRPr="000B237A" w:rsidRDefault="00F242AF" w:rsidP="00F242AF">
      <w:pPr>
        <w:tabs>
          <w:tab w:val="left" w:pos="567"/>
        </w:tabs>
        <w:ind w:left="567"/>
        <w:jc w:val="both"/>
        <w:rPr>
          <w:sz w:val="24"/>
          <w:szCs w:val="24"/>
        </w:rPr>
      </w:pPr>
    </w:p>
    <w:p w14:paraId="0D587287" w14:textId="681153E4" w:rsidR="00F242AF" w:rsidRPr="000B237A" w:rsidRDefault="00F242AF" w:rsidP="00F242AF">
      <w:pPr>
        <w:numPr>
          <w:ilvl w:val="0"/>
          <w:numId w:val="30"/>
        </w:numPr>
        <w:tabs>
          <w:tab w:val="left" w:pos="567"/>
        </w:tabs>
        <w:ind w:left="567" w:hanging="567"/>
        <w:jc w:val="both"/>
        <w:rPr>
          <w:sz w:val="24"/>
          <w:szCs w:val="24"/>
        </w:rPr>
      </w:pPr>
      <w:r w:rsidRPr="000B237A">
        <w:rPr>
          <w:sz w:val="24"/>
          <w:szCs w:val="24"/>
        </w:rPr>
        <w:t xml:space="preserve">determine </w:t>
      </w:r>
      <w:r w:rsidRPr="000B237A">
        <w:rPr>
          <w:i/>
          <w:sz w:val="24"/>
          <w:szCs w:val="24"/>
        </w:rPr>
        <w:t xml:space="preserve">Reporting Standard </w:t>
      </w:r>
      <w:r w:rsidRPr="00F242AF">
        <w:rPr>
          <w:i/>
          <w:sz w:val="24"/>
          <w:szCs w:val="24"/>
        </w:rPr>
        <w:t>GRS 116.1 Probable Maximum Loss for LMIs</w:t>
      </w:r>
      <w:r w:rsidRPr="000B237A">
        <w:rPr>
          <w:i/>
          <w:sz w:val="24"/>
          <w:szCs w:val="24"/>
        </w:rPr>
        <w:t>,</w:t>
      </w:r>
      <w:r w:rsidRPr="000B237A">
        <w:rPr>
          <w:sz w:val="24"/>
          <w:szCs w:val="24"/>
        </w:rPr>
        <w:t xml:space="preserve"> in the form set out in </w:t>
      </w:r>
      <w:r w:rsidRPr="00F242AF">
        <w:rPr>
          <w:sz w:val="24"/>
          <w:szCs w:val="24"/>
        </w:rPr>
        <w:t>the Schedule, which applies to the financial sector entities to the extent provided in paragraph 3 of that</w:t>
      </w:r>
      <w:r w:rsidRPr="000B237A">
        <w:rPr>
          <w:sz w:val="24"/>
          <w:szCs w:val="24"/>
        </w:rPr>
        <w:t xml:space="preserve"> reporting standard. </w:t>
      </w:r>
    </w:p>
    <w:p w14:paraId="152E6EC6" w14:textId="77777777" w:rsidR="00F242AF" w:rsidRPr="000B237A" w:rsidRDefault="00F242AF" w:rsidP="00F242AF">
      <w:pPr>
        <w:ind w:left="709" w:hanging="709"/>
        <w:jc w:val="both"/>
        <w:rPr>
          <w:sz w:val="24"/>
          <w:szCs w:val="24"/>
        </w:rPr>
      </w:pPr>
    </w:p>
    <w:p w14:paraId="315C7194" w14:textId="74C57E64" w:rsidR="00F242AF" w:rsidRPr="000B237A" w:rsidRDefault="00F242AF" w:rsidP="00F242AF">
      <w:pPr>
        <w:jc w:val="both"/>
        <w:rPr>
          <w:sz w:val="24"/>
          <w:szCs w:val="24"/>
          <w:lang w:val="en-US"/>
        </w:rPr>
      </w:pPr>
      <w:r w:rsidRPr="000B237A">
        <w:rPr>
          <w:sz w:val="24"/>
          <w:szCs w:val="24"/>
          <w:lang w:val="en-US"/>
        </w:rPr>
        <w:t xml:space="preserve">Under section 15 of the Act, I declare that </w:t>
      </w:r>
      <w:r w:rsidRPr="3BE59C79">
        <w:rPr>
          <w:i/>
          <w:iCs/>
          <w:sz w:val="24"/>
          <w:szCs w:val="24"/>
        </w:rPr>
        <w:t xml:space="preserve">Reporting Standard </w:t>
      </w:r>
      <w:r w:rsidRPr="00F242AF">
        <w:rPr>
          <w:i/>
          <w:iCs/>
          <w:sz w:val="24"/>
          <w:szCs w:val="24"/>
        </w:rPr>
        <w:t xml:space="preserve">GRS 116.1 Probable Maximum Loss for LMIs </w:t>
      </w:r>
      <w:r w:rsidRPr="000B237A">
        <w:rPr>
          <w:sz w:val="24"/>
          <w:szCs w:val="24"/>
          <w:lang w:val="en-US"/>
        </w:rPr>
        <w:t xml:space="preserve">shall begin to apply to those financial sector entities, and the revoked reporting standard shall cease to apply, </w:t>
      </w:r>
      <w:bookmarkStart w:id="1" w:name="_Hlk175835614"/>
      <w:r>
        <w:rPr>
          <w:sz w:val="24"/>
          <w:szCs w:val="24"/>
          <w:lang w:val="en-US"/>
        </w:rPr>
        <w:t xml:space="preserve">on </w:t>
      </w:r>
      <w:r w:rsidRPr="000B237A">
        <w:rPr>
          <w:sz w:val="24"/>
          <w:szCs w:val="24"/>
          <w:lang w:val="en-US"/>
        </w:rPr>
        <w:t>the day</w:t>
      </w:r>
      <w:r>
        <w:rPr>
          <w:sz w:val="24"/>
          <w:szCs w:val="24"/>
          <w:lang w:val="en-US"/>
        </w:rPr>
        <w:t xml:space="preserve"> after</w:t>
      </w:r>
      <w:r w:rsidRPr="000B237A">
        <w:rPr>
          <w:sz w:val="24"/>
          <w:szCs w:val="24"/>
          <w:lang w:val="en-US"/>
        </w:rPr>
        <w:t xml:space="preserve"> </w:t>
      </w:r>
      <w:r w:rsidRPr="00D45A05">
        <w:rPr>
          <w:iCs/>
          <w:sz w:val="24"/>
          <w:szCs w:val="24"/>
        </w:rPr>
        <w:t>this instrument</w:t>
      </w:r>
      <w:r>
        <w:rPr>
          <w:i/>
          <w:iCs/>
          <w:sz w:val="24"/>
          <w:szCs w:val="24"/>
        </w:rPr>
        <w:t xml:space="preserve"> </w:t>
      </w:r>
      <w:r w:rsidRPr="000B237A">
        <w:rPr>
          <w:sz w:val="24"/>
          <w:szCs w:val="24"/>
          <w:lang w:val="en-US"/>
        </w:rPr>
        <w:t>is registered on the Federal Register of Legislation</w:t>
      </w:r>
      <w:bookmarkEnd w:id="1"/>
      <w:r w:rsidRPr="000B237A">
        <w:rPr>
          <w:sz w:val="24"/>
          <w:szCs w:val="24"/>
          <w:lang w:val="en-US"/>
        </w:rPr>
        <w:t xml:space="preserve">. </w:t>
      </w:r>
    </w:p>
    <w:p w14:paraId="427E17D4" w14:textId="77777777" w:rsidR="00F242AF" w:rsidRPr="000B237A" w:rsidRDefault="00F242AF" w:rsidP="00F242AF">
      <w:pPr>
        <w:jc w:val="both"/>
        <w:rPr>
          <w:sz w:val="24"/>
          <w:szCs w:val="24"/>
          <w:lang w:val="en-US"/>
        </w:rPr>
      </w:pPr>
    </w:p>
    <w:p w14:paraId="7A64EA6B" w14:textId="139860CF" w:rsidR="00F242AF" w:rsidRPr="002C155D" w:rsidRDefault="00F242AF" w:rsidP="00F242AF">
      <w:pPr>
        <w:jc w:val="both"/>
        <w:rPr>
          <w:sz w:val="24"/>
          <w:szCs w:val="24"/>
          <w:lang w:val="en-US"/>
        </w:rPr>
      </w:pPr>
      <w:r w:rsidRPr="0040477F">
        <w:rPr>
          <w:sz w:val="24"/>
          <w:szCs w:val="24"/>
          <w:lang w:val="en-US"/>
        </w:rPr>
        <w:t xml:space="preserve">This instrument commences </w:t>
      </w:r>
      <w:bookmarkStart w:id="2" w:name="_Hlk175835552"/>
      <w:r w:rsidR="00831115">
        <w:rPr>
          <w:sz w:val="24"/>
          <w:szCs w:val="24"/>
          <w:lang w:val="en-US"/>
        </w:rPr>
        <w:t xml:space="preserve">at the start </w:t>
      </w:r>
      <w:r w:rsidR="0042018E">
        <w:rPr>
          <w:sz w:val="24"/>
          <w:szCs w:val="24"/>
          <w:lang w:val="en-US"/>
        </w:rPr>
        <w:t>of the</w:t>
      </w:r>
      <w:r w:rsidRPr="00794586">
        <w:rPr>
          <w:sz w:val="24"/>
          <w:lang w:val="en-US"/>
        </w:rPr>
        <w:t xml:space="preserve"> day after </w:t>
      </w:r>
      <w:r w:rsidR="00831115">
        <w:rPr>
          <w:sz w:val="24"/>
          <w:lang w:val="en-US"/>
        </w:rPr>
        <w:t>the day</w:t>
      </w:r>
      <w:r w:rsidR="000F42B2">
        <w:rPr>
          <w:sz w:val="24"/>
          <w:lang w:val="en-US"/>
        </w:rPr>
        <w:t xml:space="preserve"> </w:t>
      </w:r>
      <w:r>
        <w:rPr>
          <w:sz w:val="24"/>
          <w:lang w:val="en-US"/>
        </w:rPr>
        <w:t xml:space="preserve">it </w:t>
      </w:r>
      <w:r w:rsidRPr="00794586">
        <w:rPr>
          <w:sz w:val="24"/>
          <w:lang w:val="en-US"/>
        </w:rPr>
        <w:t xml:space="preserve">is registered on the Federal </w:t>
      </w:r>
      <w:r w:rsidRPr="002C155D">
        <w:rPr>
          <w:sz w:val="24"/>
          <w:lang w:val="en-US"/>
        </w:rPr>
        <w:t>Register of Legislation</w:t>
      </w:r>
      <w:bookmarkEnd w:id="2"/>
      <w:r w:rsidRPr="002C155D">
        <w:rPr>
          <w:sz w:val="24"/>
          <w:szCs w:val="24"/>
          <w:lang w:val="en-US"/>
        </w:rPr>
        <w:t>.</w:t>
      </w:r>
    </w:p>
    <w:p w14:paraId="0C81F2E0" w14:textId="77777777" w:rsidR="00F242AF" w:rsidRPr="002C155D" w:rsidRDefault="00F242AF" w:rsidP="00F242AF">
      <w:pPr>
        <w:jc w:val="both"/>
        <w:rPr>
          <w:sz w:val="24"/>
          <w:szCs w:val="24"/>
          <w:lang w:val="en-US"/>
        </w:rPr>
      </w:pPr>
    </w:p>
    <w:p w14:paraId="704F3358" w14:textId="5D6D9D04" w:rsidR="00F242AF" w:rsidRPr="000B237A" w:rsidRDefault="00F242AF" w:rsidP="00F242AF">
      <w:pPr>
        <w:jc w:val="both"/>
        <w:rPr>
          <w:sz w:val="24"/>
          <w:szCs w:val="24"/>
          <w:lang w:val="en-US"/>
        </w:rPr>
      </w:pPr>
      <w:r w:rsidRPr="002C155D">
        <w:rPr>
          <w:sz w:val="24"/>
          <w:szCs w:val="24"/>
          <w:lang w:val="en-US"/>
        </w:rPr>
        <w:t xml:space="preserve">Dated: </w:t>
      </w:r>
      <w:r w:rsidR="002C155D" w:rsidRPr="002C155D">
        <w:rPr>
          <w:sz w:val="24"/>
          <w:szCs w:val="24"/>
          <w:lang w:val="en-US"/>
        </w:rPr>
        <w:t xml:space="preserve">6 March </w:t>
      </w:r>
      <w:r w:rsidRPr="002C155D">
        <w:rPr>
          <w:sz w:val="24"/>
          <w:szCs w:val="24"/>
          <w:lang w:val="en-US"/>
        </w:rPr>
        <w:t>2025</w:t>
      </w:r>
    </w:p>
    <w:p w14:paraId="2971AB1C" w14:textId="77777777" w:rsidR="00F242AF" w:rsidRPr="000B237A" w:rsidRDefault="00F242AF" w:rsidP="00F242AF">
      <w:pPr>
        <w:jc w:val="both"/>
        <w:rPr>
          <w:i/>
          <w:sz w:val="24"/>
          <w:szCs w:val="24"/>
          <w:lang w:val="en-US"/>
        </w:rPr>
      </w:pPr>
    </w:p>
    <w:p w14:paraId="08BE19A2" w14:textId="77777777" w:rsidR="00F242AF" w:rsidRPr="000B237A" w:rsidRDefault="00F242AF" w:rsidP="00F242AF">
      <w:pPr>
        <w:jc w:val="both"/>
        <w:rPr>
          <w:noProof/>
          <w:sz w:val="24"/>
          <w:szCs w:val="24"/>
        </w:rPr>
      </w:pPr>
    </w:p>
    <w:p w14:paraId="7FEA01C3" w14:textId="77777777" w:rsidR="00F242AF" w:rsidRPr="000B237A" w:rsidRDefault="00F242AF" w:rsidP="00F242AF">
      <w:pPr>
        <w:jc w:val="both"/>
        <w:rPr>
          <w:sz w:val="24"/>
          <w:szCs w:val="24"/>
          <w:lang w:val="en-US"/>
        </w:rPr>
      </w:pPr>
    </w:p>
    <w:p w14:paraId="4F529298" w14:textId="77777777" w:rsidR="00F242AF" w:rsidRPr="00BE748F" w:rsidRDefault="00F242AF" w:rsidP="00F242AF">
      <w:pPr>
        <w:jc w:val="both"/>
        <w:rPr>
          <w:sz w:val="24"/>
          <w:szCs w:val="24"/>
          <w:lang w:val="en-US"/>
        </w:rPr>
      </w:pPr>
      <w:r w:rsidRPr="00BE748F">
        <w:rPr>
          <w:sz w:val="24"/>
          <w:szCs w:val="24"/>
          <w:lang w:val="en-US"/>
        </w:rPr>
        <w:t>Andrew Robertson</w:t>
      </w:r>
    </w:p>
    <w:p w14:paraId="2DCEBBB1" w14:textId="77777777" w:rsidR="00F242AF" w:rsidRPr="00BE748F" w:rsidRDefault="00F242AF" w:rsidP="00F242AF">
      <w:pPr>
        <w:jc w:val="both"/>
        <w:rPr>
          <w:sz w:val="24"/>
          <w:szCs w:val="24"/>
          <w:lang w:val="en-US"/>
        </w:rPr>
      </w:pPr>
      <w:r w:rsidRPr="00BE748F">
        <w:rPr>
          <w:sz w:val="24"/>
          <w:szCs w:val="24"/>
          <w:lang w:val="en-US"/>
        </w:rPr>
        <w:t>General Manager - Chief Data Officer</w:t>
      </w:r>
    </w:p>
    <w:p w14:paraId="6F035368" w14:textId="77777777" w:rsidR="00F242AF" w:rsidRPr="000B237A" w:rsidRDefault="00F242AF" w:rsidP="00F242AF">
      <w:pPr>
        <w:jc w:val="both"/>
        <w:rPr>
          <w:sz w:val="24"/>
          <w:szCs w:val="24"/>
          <w:lang w:val="en-US"/>
        </w:rPr>
      </w:pPr>
      <w:r w:rsidRPr="00BE748F">
        <w:rPr>
          <w:sz w:val="24"/>
          <w:szCs w:val="24"/>
          <w:lang w:val="en-US"/>
        </w:rPr>
        <w:t>Technology and Data Division</w:t>
      </w:r>
    </w:p>
    <w:p w14:paraId="6DA3C260" w14:textId="77777777" w:rsidR="00F242AF" w:rsidRPr="000B237A" w:rsidRDefault="00F242AF" w:rsidP="00F242AF">
      <w:pPr>
        <w:jc w:val="both"/>
        <w:rPr>
          <w:sz w:val="24"/>
          <w:szCs w:val="24"/>
          <w:lang w:val="en-US"/>
        </w:rPr>
      </w:pPr>
    </w:p>
    <w:p w14:paraId="3E64D7FC" w14:textId="77777777" w:rsidR="00F242AF" w:rsidRPr="000B237A" w:rsidRDefault="00F242AF" w:rsidP="00F242AF">
      <w:pPr>
        <w:jc w:val="both"/>
        <w:rPr>
          <w:b/>
          <w:sz w:val="24"/>
          <w:szCs w:val="24"/>
          <w:lang w:val="en-US"/>
        </w:rPr>
      </w:pPr>
    </w:p>
    <w:p w14:paraId="3DBEA2CF" w14:textId="77777777" w:rsidR="00F242AF" w:rsidRPr="000B237A" w:rsidRDefault="00F242AF" w:rsidP="00F242AF">
      <w:pPr>
        <w:jc w:val="both"/>
        <w:rPr>
          <w:b/>
          <w:sz w:val="24"/>
          <w:szCs w:val="24"/>
          <w:lang w:val="en-US"/>
        </w:rPr>
      </w:pPr>
    </w:p>
    <w:p w14:paraId="5578A4E2" w14:textId="77777777" w:rsidR="00F242AF" w:rsidRPr="000B237A" w:rsidRDefault="00F242AF" w:rsidP="00F242AF">
      <w:pPr>
        <w:jc w:val="both"/>
        <w:rPr>
          <w:b/>
          <w:sz w:val="24"/>
          <w:szCs w:val="24"/>
          <w:lang w:val="en-US"/>
        </w:rPr>
      </w:pPr>
      <w:r w:rsidRPr="000B237A">
        <w:rPr>
          <w:b/>
          <w:sz w:val="24"/>
          <w:szCs w:val="24"/>
          <w:lang w:val="en-US"/>
        </w:rPr>
        <w:t>Interpretation</w:t>
      </w:r>
    </w:p>
    <w:p w14:paraId="105A4919" w14:textId="77777777" w:rsidR="00F242AF" w:rsidRPr="000B237A" w:rsidRDefault="00F242AF" w:rsidP="00F242AF">
      <w:pPr>
        <w:keepNext/>
        <w:tabs>
          <w:tab w:val="right" w:pos="794"/>
        </w:tabs>
        <w:spacing w:before="240" w:line="260" w:lineRule="exact"/>
        <w:jc w:val="both"/>
        <w:rPr>
          <w:sz w:val="24"/>
          <w:szCs w:val="24"/>
        </w:rPr>
      </w:pPr>
      <w:r w:rsidRPr="000B237A">
        <w:rPr>
          <w:sz w:val="24"/>
          <w:szCs w:val="24"/>
        </w:rPr>
        <w:lastRenderedPageBreak/>
        <w:t>In this Determination:</w:t>
      </w:r>
    </w:p>
    <w:p w14:paraId="72B2F322" w14:textId="77777777" w:rsidR="00F242AF" w:rsidRPr="000B237A" w:rsidRDefault="00F242AF" w:rsidP="00F242AF">
      <w:pPr>
        <w:spacing w:before="120"/>
        <w:jc w:val="both"/>
        <w:rPr>
          <w:sz w:val="24"/>
          <w:szCs w:val="24"/>
        </w:rPr>
      </w:pPr>
      <w:r w:rsidRPr="000B237A">
        <w:rPr>
          <w:b/>
          <w:i/>
          <w:sz w:val="24"/>
          <w:szCs w:val="24"/>
        </w:rPr>
        <w:t>APRA</w:t>
      </w:r>
      <w:r w:rsidRPr="000B237A">
        <w:rPr>
          <w:sz w:val="24"/>
          <w:szCs w:val="24"/>
        </w:rPr>
        <w:t xml:space="preserve"> means the Australian Prudential Regulation Authority.</w:t>
      </w:r>
    </w:p>
    <w:p w14:paraId="56266240" w14:textId="77777777" w:rsidR="00F242AF" w:rsidRPr="000B237A" w:rsidRDefault="00F242AF" w:rsidP="00F242AF">
      <w:pPr>
        <w:shd w:val="clear" w:color="auto" w:fill="FFFFFF"/>
        <w:spacing w:before="120"/>
        <w:rPr>
          <w:sz w:val="24"/>
          <w:szCs w:val="24"/>
        </w:rPr>
      </w:pPr>
      <w:bookmarkStart w:id="3" w:name="_Hlk128749470"/>
      <w:r w:rsidRPr="000B237A">
        <w:rPr>
          <w:b/>
          <w:bCs/>
          <w:i/>
          <w:iCs/>
          <w:sz w:val="24"/>
        </w:rPr>
        <w:t>Federal Register of Legislation</w:t>
      </w:r>
      <w:r w:rsidRPr="000B237A">
        <w:rPr>
          <w:sz w:val="24"/>
        </w:rPr>
        <w:t xml:space="preserve"> means the register established under section 15A of the </w:t>
      </w:r>
      <w:r w:rsidRPr="000B237A">
        <w:rPr>
          <w:i/>
          <w:iCs/>
          <w:sz w:val="24"/>
        </w:rPr>
        <w:t>Legislation Act 2003.</w:t>
      </w:r>
      <w:bookmarkEnd w:id="3"/>
    </w:p>
    <w:p w14:paraId="199417AE" w14:textId="77777777" w:rsidR="00F242AF" w:rsidRPr="000B237A" w:rsidRDefault="00F242AF" w:rsidP="00F242AF">
      <w:pPr>
        <w:spacing w:before="120"/>
        <w:ind w:left="720" w:hanging="720"/>
        <w:jc w:val="both"/>
        <w:rPr>
          <w:sz w:val="24"/>
          <w:szCs w:val="24"/>
        </w:rPr>
      </w:pPr>
      <w:r w:rsidRPr="000B237A">
        <w:rPr>
          <w:b/>
          <w:i/>
          <w:sz w:val="24"/>
          <w:szCs w:val="24"/>
        </w:rPr>
        <w:t>financial sector entity</w:t>
      </w:r>
      <w:r w:rsidRPr="000B237A">
        <w:rPr>
          <w:sz w:val="24"/>
          <w:szCs w:val="24"/>
        </w:rPr>
        <w:t xml:space="preserve"> has the meaning given by section 5 of the Act. </w:t>
      </w:r>
    </w:p>
    <w:p w14:paraId="615D2D4D" w14:textId="77777777" w:rsidR="00F242AF" w:rsidRPr="00500AC9" w:rsidRDefault="00F242AF" w:rsidP="00F242AF">
      <w:pPr>
        <w:keepNext/>
        <w:autoSpaceDE w:val="0"/>
        <w:autoSpaceDN w:val="0"/>
        <w:spacing w:before="480"/>
        <w:rPr>
          <w:rFonts w:ascii="Arial" w:hAnsi="Arial" w:cs="Arial"/>
          <w:b/>
          <w:bCs/>
          <w:sz w:val="32"/>
          <w:szCs w:val="32"/>
        </w:rPr>
      </w:pPr>
      <w:r w:rsidRPr="000B237A">
        <w:rPr>
          <w:rFonts w:ascii="Arial" w:hAnsi="Arial" w:cs="Arial"/>
          <w:b/>
          <w:bCs/>
          <w:sz w:val="32"/>
          <w:szCs w:val="32"/>
        </w:rPr>
        <w:t xml:space="preserve">Schedule </w:t>
      </w:r>
    </w:p>
    <w:p w14:paraId="4E9FBA90" w14:textId="77777777" w:rsidR="00F242AF" w:rsidRPr="000B237A" w:rsidRDefault="00F242AF" w:rsidP="00F242AF">
      <w:pPr>
        <w:keepNext/>
        <w:autoSpaceDE w:val="0"/>
        <w:autoSpaceDN w:val="0"/>
        <w:spacing w:before="60" w:line="200" w:lineRule="exact"/>
        <w:ind w:left="2410"/>
        <w:rPr>
          <w:rFonts w:ascii="Arial" w:hAnsi="Arial" w:cs="Arial"/>
          <w:sz w:val="18"/>
          <w:szCs w:val="18"/>
        </w:rPr>
      </w:pPr>
    </w:p>
    <w:p w14:paraId="60C50D1D" w14:textId="573B40EE" w:rsidR="00F242AF" w:rsidRPr="000B237A" w:rsidRDefault="00F242AF" w:rsidP="00F242AF">
      <w:pPr>
        <w:tabs>
          <w:tab w:val="center" w:pos="4320"/>
          <w:tab w:val="right" w:pos="8640"/>
        </w:tabs>
        <w:jc w:val="both"/>
        <w:rPr>
          <w:bCs/>
          <w:sz w:val="24"/>
          <w:szCs w:val="24"/>
          <w:lang w:val="en-US"/>
        </w:rPr>
      </w:pPr>
      <w:r w:rsidRPr="00F242AF">
        <w:rPr>
          <w:i/>
          <w:sz w:val="24"/>
          <w:szCs w:val="24"/>
          <w:lang w:val="en-US"/>
        </w:rPr>
        <w:t xml:space="preserve">Reporting Standard GRS 116.1 Probable Maximum Loss for LMIs </w:t>
      </w:r>
      <w:r w:rsidRPr="00F242AF">
        <w:rPr>
          <w:bCs/>
          <w:sz w:val="24"/>
          <w:szCs w:val="24"/>
          <w:lang w:val="en-US"/>
        </w:rPr>
        <w:t>comprises the document commencing on the following page.</w:t>
      </w:r>
    </w:p>
    <w:bookmarkEnd w:id="0"/>
    <w:p w14:paraId="6775C85C" w14:textId="44A60753" w:rsidR="00760AC5" w:rsidRDefault="00760AC5" w:rsidP="00C0782D">
      <w:pPr>
        <w:pStyle w:val="Header"/>
        <w:jc w:val="both"/>
        <w:rPr>
          <w:bCs/>
          <w:sz w:val="24"/>
          <w:szCs w:val="24"/>
        </w:rPr>
      </w:pPr>
    </w:p>
    <w:p w14:paraId="2C946FFA" w14:textId="77777777" w:rsidR="00C0782D" w:rsidRPr="00760AC5" w:rsidRDefault="00C0782D" w:rsidP="00C0782D">
      <w:pPr>
        <w:pStyle w:val="Header"/>
        <w:jc w:val="both"/>
        <w:rPr>
          <w:bCs/>
          <w:sz w:val="24"/>
          <w:szCs w:val="24"/>
        </w:rPr>
        <w:sectPr w:rsidR="00C0782D" w:rsidRPr="00760AC5" w:rsidSect="00547023">
          <w:headerReference w:type="default" r:id="rId12"/>
          <w:footerReference w:type="even" r:id="rId13"/>
          <w:footerReference w:type="default" r:id="rId14"/>
          <w:pgSz w:w="11907" w:h="16840" w:code="9"/>
          <w:pgMar w:top="1440" w:right="1440" w:bottom="1440" w:left="1440" w:header="720" w:footer="720" w:gutter="0"/>
          <w:pgNumType w:start="1"/>
          <w:cols w:space="720"/>
          <w:docGrid w:linePitch="272"/>
        </w:sectPr>
      </w:pPr>
    </w:p>
    <w:p w14:paraId="55989BA4" w14:textId="33A5BD21" w:rsidR="005B7824" w:rsidRPr="00820FD9" w:rsidRDefault="00A732E0" w:rsidP="005B7824">
      <w:pPr>
        <w:keepNext/>
        <w:jc w:val="both"/>
        <w:outlineLvl w:val="1"/>
        <w:rPr>
          <w:rFonts w:ascii="Arial" w:hAnsi="Arial" w:cs="Arial"/>
          <w:b/>
          <w:sz w:val="40"/>
          <w:szCs w:val="40"/>
          <w:lang w:val="en-US"/>
        </w:rPr>
      </w:pPr>
      <w:r>
        <w:rPr>
          <w:rFonts w:ascii="Arial" w:hAnsi="Arial"/>
          <w:b/>
          <w:noProof/>
          <w:sz w:val="32"/>
          <w:lang w:val="en-US"/>
        </w:rPr>
        <w:lastRenderedPageBreak/>
        <w:drawing>
          <wp:inline distT="0" distB="0" distL="0" distR="0" wp14:anchorId="66DDFBB6" wp14:editId="2B032B6D">
            <wp:extent cx="1428750" cy="1104900"/>
            <wp:effectExtent l="0" t="0" r="0" b="0"/>
            <wp:docPr id="2" name="Picture 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14:paraId="5A97C9E7" w14:textId="77777777" w:rsidR="005B7824" w:rsidRPr="005B7824" w:rsidRDefault="005B7824" w:rsidP="005B7824">
      <w:pPr>
        <w:keepNext/>
        <w:jc w:val="both"/>
        <w:outlineLvl w:val="1"/>
        <w:rPr>
          <w:rFonts w:ascii="Arial" w:hAnsi="Arial" w:cs="Arial"/>
          <w:b/>
          <w:sz w:val="40"/>
          <w:szCs w:val="40"/>
          <w:lang w:val="en-US"/>
        </w:rPr>
      </w:pPr>
    </w:p>
    <w:p w14:paraId="0C298F45"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FB07B0">
        <w:rPr>
          <w:rFonts w:ascii="Arial" w:hAnsi="Arial" w:cs="Arial"/>
          <w:b/>
          <w:sz w:val="40"/>
          <w:szCs w:val="40"/>
          <w:lang w:val="en-US"/>
        </w:rPr>
        <w:t>11</w:t>
      </w:r>
      <w:r w:rsidR="007F0326">
        <w:rPr>
          <w:rFonts w:ascii="Arial" w:hAnsi="Arial" w:cs="Arial"/>
          <w:b/>
          <w:sz w:val="40"/>
          <w:szCs w:val="40"/>
          <w:lang w:val="en-US"/>
        </w:rPr>
        <w:t>6</w:t>
      </w:r>
      <w:r w:rsidR="00FB07B0">
        <w:rPr>
          <w:rFonts w:ascii="Arial" w:hAnsi="Arial" w:cs="Arial"/>
          <w:b/>
          <w:sz w:val="40"/>
          <w:szCs w:val="40"/>
          <w:lang w:val="en-US"/>
        </w:rPr>
        <w:t>.</w:t>
      </w:r>
      <w:r w:rsidR="00831478">
        <w:rPr>
          <w:rFonts w:ascii="Arial" w:hAnsi="Arial" w:cs="Arial"/>
          <w:b/>
          <w:sz w:val="40"/>
          <w:szCs w:val="40"/>
          <w:lang w:val="en-US"/>
        </w:rPr>
        <w:t>1</w:t>
      </w:r>
      <w:r w:rsidRPr="005B7824">
        <w:rPr>
          <w:rFonts w:ascii="Arial" w:hAnsi="Arial" w:cs="Arial"/>
          <w:b/>
          <w:sz w:val="40"/>
          <w:szCs w:val="40"/>
          <w:lang w:val="en-US"/>
        </w:rPr>
        <w:t xml:space="preserve"> </w:t>
      </w:r>
    </w:p>
    <w:p w14:paraId="3169F035" w14:textId="77777777" w:rsidR="005B7824" w:rsidRPr="005B7824" w:rsidRDefault="005B7824" w:rsidP="005B7824">
      <w:pPr>
        <w:jc w:val="both"/>
        <w:rPr>
          <w:b/>
          <w:sz w:val="28"/>
          <w:lang w:val="en-US"/>
        </w:rPr>
      </w:pPr>
    </w:p>
    <w:p w14:paraId="4830E630" w14:textId="77777777" w:rsidR="005B7824" w:rsidRPr="005B7824" w:rsidRDefault="007F0326" w:rsidP="00831478">
      <w:pPr>
        <w:keepNext/>
        <w:jc w:val="both"/>
        <w:outlineLvl w:val="0"/>
        <w:rPr>
          <w:rFonts w:ascii="Arial" w:hAnsi="Arial" w:cs="Arial"/>
          <w:b/>
          <w:sz w:val="40"/>
          <w:szCs w:val="40"/>
          <w:lang w:val="en-US"/>
        </w:rPr>
      </w:pPr>
      <w:r>
        <w:rPr>
          <w:rFonts w:ascii="Arial" w:hAnsi="Arial" w:cs="Arial"/>
          <w:b/>
          <w:sz w:val="40"/>
          <w:szCs w:val="40"/>
          <w:lang w:val="en-US"/>
        </w:rPr>
        <w:t>Probable Maximum Loss for LMIs</w:t>
      </w:r>
    </w:p>
    <w:p w14:paraId="16FB9D7A" w14:textId="77777777" w:rsidR="005B7824" w:rsidRPr="005B7824" w:rsidRDefault="005B7824" w:rsidP="005B7824">
      <w:pPr>
        <w:jc w:val="both"/>
        <w:rPr>
          <w:sz w:val="28"/>
          <w:lang w:val="en-US"/>
        </w:rPr>
      </w:pPr>
    </w:p>
    <w:p w14:paraId="4DD50339"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7FE97A7E"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3B0D3D58"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w:t>
      </w:r>
      <w:bookmarkStart w:id="4" w:name="_Hlk182301859"/>
      <w:r w:rsidRPr="005B7824">
        <w:rPr>
          <w:sz w:val="24"/>
          <w:lang w:val="en-US"/>
        </w:rPr>
        <w:t xml:space="preserve">a </w:t>
      </w:r>
      <w:r w:rsidR="00A6739F">
        <w:rPr>
          <w:sz w:val="24"/>
          <w:lang w:val="en-US"/>
        </w:rPr>
        <w:t>lenders mortgage insur</w:t>
      </w:r>
      <w:r w:rsidR="00CD5A7A">
        <w:rPr>
          <w:sz w:val="24"/>
          <w:lang w:val="en-US"/>
        </w:rPr>
        <w:t>er’s Probable Maximum Loss and Insurance Concentration Risk Charge</w:t>
      </w:r>
      <w:bookmarkEnd w:id="4"/>
      <w:r w:rsidRPr="005B7824">
        <w:rPr>
          <w:sz w:val="24"/>
          <w:lang w:val="en-US"/>
        </w:rPr>
        <w:t xml:space="preserve">. </w:t>
      </w:r>
    </w:p>
    <w:p w14:paraId="05F71F55"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00A6739F" w:rsidRPr="005B7824">
        <w:rPr>
          <w:i/>
          <w:sz w:val="24"/>
          <w:lang w:val="en-US"/>
        </w:rPr>
        <w:t xml:space="preserve">Form GRF </w:t>
      </w:r>
      <w:r w:rsidR="00A6739F">
        <w:rPr>
          <w:i/>
          <w:sz w:val="24"/>
          <w:lang w:val="en-US"/>
        </w:rPr>
        <w:t xml:space="preserve">116.1 Probable Maximum Loss for LMIs – Standard Loans, Form </w:t>
      </w:r>
      <w:r w:rsidR="00CD5A7A">
        <w:rPr>
          <w:i/>
          <w:sz w:val="24"/>
          <w:lang w:val="en-US"/>
        </w:rPr>
        <w:t xml:space="preserve">GRF </w:t>
      </w:r>
      <w:r w:rsidR="00A6739F">
        <w:rPr>
          <w:i/>
          <w:sz w:val="24"/>
          <w:lang w:val="en-US"/>
        </w:rPr>
        <w:t xml:space="preserve">116.2 Probable Maximum Loss for LMIs – Non-Standard Loans, Form </w:t>
      </w:r>
      <w:r w:rsidR="00CD5A7A">
        <w:rPr>
          <w:i/>
          <w:sz w:val="24"/>
          <w:lang w:val="en-US"/>
        </w:rPr>
        <w:t xml:space="preserve">GRF </w:t>
      </w:r>
      <w:r w:rsidR="00A6739F">
        <w:rPr>
          <w:i/>
          <w:sz w:val="24"/>
          <w:lang w:val="en-US"/>
        </w:rPr>
        <w:t xml:space="preserve">116.3  Probable Maximum Loss for LMIs – Commercial Loans, Form </w:t>
      </w:r>
      <w:r w:rsidR="00CD5A7A">
        <w:rPr>
          <w:i/>
          <w:sz w:val="24"/>
          <w:lang w:val="en-US"/>
        </w:rPr>
        <w:t xml:space="preserve">GRF </w:t>
      </w:r>
      <w:r w:rsidR="00A6739F">
        <w:rPr>
          <w:i/>
          <w:sz w:val="24"/>
          <w:lang w:val="en-US"/>
        </w:rPr>
        <w:t xml:space="preserve">116.4 LMI Concentration Risk Charge and Form GRF 116.5 Probable Maximum Loss for LMIs – Additional Information </w:t>
      </w:r>
      <w:r w:rsidRPr="005B7824">
        <w:rPr>
          <w:sz w:val="24"/>
          <w:lang w:val="en-US"/>
        </w:rPr>
        <w:t>and associated specific instructions and must be read in conjunction with the general instruction guide</w:t>
      </w:r>
      <w:r w:rsidR="00A6739F">
        <w:rPr>
          <w:sz w:val="24"/>
          <w:lang w:val="en-US"/>
        </w:rPr>
        <w:t xml:space="preserve"> and </w:t>
      </w:r>
      <w:r w:rsidR="00A6739F" w:rsidRPr="00A6739F">
        <w:rPr>
          <w:i/>
          <w:sz w:val="24"/>
          <w:lang w:val="en-US"/>
        </w:rPr>
        <w:t xml:space="preserve">Prudential Standard GPS 116 </w:t>
      </w:r>
      <w:r w:rsidR="00C0782D">
        <w:rPr>
          <w:i/>
          <w:sz w:val="24"/>
          <w:lang w:val="en-US"/>
        </w:rPr>
        <w:t xml:space="preserve">Capital Adequacy: </w:t>
      </w:r>
      <w:r w:rsidR="00A6739F" w:rsidRPr="00A6739F">
        <w:rPr>
          <w:i/>
          <w:sz w:val="24"/>
          <w:lang w:val="en-US"/>
        </w:rPr>
        <w:t>Insurance Concentration Risk Charge</w:t>
      </w:r>
      <w:r w:rsidR="00A6739F">
        <w:rPr>
          <w:sz w:val="24"/>
          <w:lang w:val="en-US"/>
        </w:rPr>
        <w:t>.</w:t>
      </w:r>
    </w:p>
    <w:p w14:paraId="7479A27E"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795BB8D3"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4ECE7D00"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629E36B3"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6AA558BA" w14:textId="77777777" w:rsidR="005B7824" w:rsidRPr="005B7824" w:rsidRDefault="005B7824" w:rsidP="005B7824">
      <w:pPr>
        <w:numPr>
          <w:ilvl w:val="1"/>
          <w:numId w:val="23"/>
        </w:numPr>
        <w:spacing w:after="240"/>
        <w:jc w:val="both"/>
        <w:rPr>
          <w:sz w:val="24"/>
          <w:lang w:val="en-US"/>
        </w:rPr>
      </w:pPr>
      <w:bookmarkStart w:id="5" w:name="_Hlk182303084"/>
      <w:r w:rsidRPr="005B7824">
        <w:rPr>
          <w:sz w:val="24"/>
          <w:lang w:val="en-US"/>
        </w:rPr>
        <w:t xml:space="preserve">Information collected in </w:t>
      </w:r>
      <w:r w:rsidRPr="005B7824">
        <w:rPr>
          <w:i/>
          <w:sz w:val="24"/>
          <w:lang w:val="en-US"/>
        </w:rPr>
        <w:t xml:space="preserve">Form GRF </w:t>
      </w:r>
      <w:r w:rsidR="00FB07B0">
        <w:rPr>
          <w:i/>
          <w:sz w:val="24"/>
          <w:lang w:val="en-US"/>
        </w:rPr>
        <w:t>11</w:t>
      </w:r>
      <w:r w:rsidR="007F0326">
        <w:rPr>
          <w:i/>
          <w:sz w:val="24"/>
          <w:lang w:val="en-US"/>
        </w:rPr>
        <w:t>6</w:t>
      </w:r>
      <w:r w:rsidR="00FB07B0">
        <w:rPr>
          <w:i/>
          <w:sz w:val="24"/>
          <w:lang w:val="en-US"/>
        </w:rPr>
        <w:t>.</w:t>
      </w:r>
      <w:r w:rsidR="00831478">
        <w:rPr>
          <w:i/>
          <w:sz w:val="24"/>
          <w:lang w:val="en-US"/>
        </w:rPr>
        <w:t xml:space="preserve">1 </w:t>
      </w:r>
      <w:r w:rsidR="007F0326">
        <w:rPr>
          <w:i/>
          <w:sz w:val="24"/>
          <w:lang w:val="en-US"/>
        </w:rPr>
        <w:t xml:space="preserve">Probable Maximum Loss for LMIs – Standard Loans, Form </w:t>
      </w:r>
      <w:r w:rsidR="00CD5A7A">
        <w:rPr>
          <w:i/>
          <w:sz w:val="24"/>
          <w:lang w:val="en-US"/>
        </w:rPr>
        <w:t xml:space="preserve">GRF </w:t>
      </w:r>
      <w:r w:rsidR="007F0326">
        <w:rPr>
          <w:i/>
          <w:sz w:val="24"/>
          <w:lang w:val="en-US"/>
        </w:rPr>
        <w:t xml:space="preserve">116.2 Probable Maximum Loss for LMIs – Non-Standard Loans, Form </w:t>
      </w:r>
      <w:r w:rsidR="00CD5A7A">
        <w:rPr>
          <w:i/>
          <w:sz w:val="24"/>
          <w:lang w:val="en-US"/>
        </w:rPr>
        <w:t xml:space="preserve">GRF </w:t>
      </w:r>
      <w:r w:rsidR="007F0326">
        <w:rPr>
          <w:i/>
          <w:sz w:val="24"/>
          <w:lang w:val="en-US"/>
        </w:rPr>
        <w:t xml:space="preserve">116.3  </w:t>
      </w:r>
      <w:r w:rsidR="00A6739F">
        <w:rPr>
          <w:i/>
          <w:sz w:val="24"/>
          <w:lang w:val="en-US"/>
        </w:rPr>
        <w:t xml:space="preserve">Probable Maximum Loss for LMIs – Commercial Loans, Form </w:t>
      </w:r>
      <w:r w:rsidR="00CD5A7A">
        <w:rPr>
          <w:i/>
          <w:sz w:val="24"/>
          <w:lang w:val="en-US"/>
        </w:rPr>
        <w:t xml:space="preserve">GRF </w:t>
      </w:r>
      <w:r w:rsidR="00A6739F">
        <w:rPr>
          <w:i/>
          <w:sz w:val="24"/>
          <w:lang w:val="en-US"/>
        </w:rPr>
        <w:t xml:space="preserve">116.4 LMI Concentration Risk Charge and Form GRF 116.5 Probable Maximum Loss for LMIs – Additional Information </w:t>
      </w:r>
      <w:r w:rsidR="00A6739F">
        <w:rPr>
          <w:sz w:val="24"/>
          <w:lang w:val="en-US"/>
        </w:rPr>
        <w:t xml:space="preserve">(the GRF 116.1 series) </w:t>
      </w:r>
      <w:r w:rsidRPr="005B7824">
        <w:rPr>
          <w:sz w:val="24"/>
          <w:lang w:val="en-US"/>
        </w:rPr>
        <w:t>is used by APRA for the purpose of prudential supervision including assessing compliance with the capital standards</w:t>
      </w:r>
      <w:bookmarkEnd w:id="5"/>
      <w:r w:rsidRPr="005B7824">
        <w:rPr>
          <w:sz w:val="24"/>
          <w:lang w:val="en-US"/>
        </w:rPr>
        <w:t>.</w:t>
      </w:r>
      <w:r w:rsidRPr="005B7824" w:rsidDel="007456FC">
        <w:rPr>
          <w:sz w:val="24"/>
          <w:vertAlign w:val="superscript"/>
          <w:lang w:val="en-US"/>
        </w:rPr>
        <w:t xml:space="preserve"> </w:t>
      </w:r>
    </w:p>
    <w:p w14:paraId="6449C065"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7C66C0F3" w14:textId="41BEE3FA" w:rsidR="005B7824" w:rsidRPr="005B7824" w:rsidRDefault="005B7824" w:rsidP="48F3DA5F">
      <w:pPr>
        <w:numPr>
          <w:ilvl w:val="1"/>
          <w:numId w:val="23"/>
        </w:numPr>
        <w:spacing w:after="240"/>
        <w:jc w:val="both"/>
        <w:rPr>
          <w:sz w:val="24"/>
          <w:szCs w:val="24"/>
        </w:rPr>
      </w:pPr>
      <w:r w:rsidRPr="48F3DA5F">
        <w:rPr>
          <w:sz w:val="24"/>
          <w:szCs w:val="24"/>
        </w:rPr>
        <w:t xml:space="preserve">This Reporting Standard applies to all general insurers authorised under the </w:t>
      </w:r>
      <w:r w:rsidRPr="48F3DA5F">
        <w:rPr>
          <w:i/>
          <w:iCs/>
          <w:sz w:val="24"/>
          <w:szCs w:val="24"/>
        </w:rPr>
        <w:t>Insurance Act 1973</w:t>
      </w:r>
      <w:r w:rsidRPr="48F3DA5F">
        <w:rPr>
          <w:sz w:val="24"/>
          <w:szCs w:val="24"/>
        </w:rPr>
        <w:t xml:space="preserve"> (insurers)</w:t>
      </w:r>
      <w:r w:rsidR="00F849C5" w:rsidRPr="48F3DA5F">
        <w:rPr>
          <w:sz w:val="24"/>
          <w:szCs w:val="24"/>
        </w:rPr>
        <w:t xml:space="preserve"> that are lenders mortgage insurers under paragraph </w:t>
      </w:r>
      <w:r w:rsidR="00D93AAB" w:rsidRPr="48F3DA5F">
        <w:rPr>
          <w:sz w:val="24"/>
          <w:szCs w:val="24"/>
        </w:rPr>
        <w:t xml:space="preserve">8 </w:t>
      </w:r>
      <w:r w:rsidR="00F849C5" w:rsidRPr="48F3DA5F">
        <w:rPr>
          <w:sz w:val="24"/>
          <w:szCs w:val="24"/>
        </w:rPr>
        <w:t xml:space="preserve">of </w:t>
      </w:r>
      <w:r w:rsidR="00D93AAB" w:rsidRPr="00CB7503">
        <w:rPr>
          <w:i/>
          <w:iCs/>
          <w:sz w:val="24"/>
          <w:szCs w:val="24"/>
        </w:rPr>
        <w:t>Prudential</w:t>
      </w:r>
      <w:r w:rsidR="00D93AAB" w:rsidRPr="48F3DA5F">
        <w:rPr>
          <w:i/>
          <w:iCs/>
          <w:sz w:val="24"/>
          <w:szCs w:val="24"/>
        </w:rPr>
        <w:t xml:space="preserve"> </w:t>
      </w:r>
      <w:r w:rsidR="00BC7382" w:rsidRPr="48F3DA5F">
        <w:rPr>
          <w:i/>
          <w:iCs/>
          <w:sz w:val="24"/>
          <w:szCs w:val="24"/>
        </w:rPr>
        <w:lastRenderedPageBreak/>
        <w:t>S</w:t>
      </w:r>
      <w:r w:rsidR="00D93AAB" w:rsidRPr="48F3DA5F">
        <w:rPr>
          <w:i/>
          <w:iCs/>
          <w:sz w:val="24"/>
          <w:szCs w:val="24"/>
        </w:rPr>
        <w:t>tandard CPS 001 Defined terms</w:t>
      </w:r>
      <w:r w:rsidR="4883DEA7" w:rsidRPr="7991A618">
        <w:rPr>
          <w:i/>
          <w:iCs/>
          <w:sz w:val="24"/>
          <w:szCs w:val="24"/>
        </w:rPr>
        <w:t xml:space="preserve"> (CPS001)</w:t>
      </w:r>
      <w:r w:rsidRPr="7991A618">
        <w:rPr>
          <w:sz w:val="24"/>
          <w:szCs w:val="24"/>
        </w:rPr>
        <w:t>.</w:t>
      </w:r>
      <w:r w:rsidRPr="48F3DA5F">
        <w:rPr>
          <w:sz w:val="24"/>
          <w:szCs w:val="24"/>
        </w:rPr>
        <w:t xml:space="preserve"> This Reporting Standard applies for reporting periods ending on or after </w:t>
      </w:r>
      <w:r w:rsidR="00820FD9" w:rsidRPr="48F3DA5F">
        <w:rPr>
          <w:sz w:val="24"/>
          <w:szCs w:val="24"/>
        </w:rPr>
        <w:t>1 April 2025</w:t>
      </w:r>
      <w:r w:rsidRPr="48F3DA5F">
        <w:rPr>
          <w:sz w:val="24"/>
          <w:szCs w:val="24"/>
        </w:rPr>
        <w:t xml:space="preserve">.  </w:t>
      </w:r>
    </w:p>
    <w:p w14:paraId="0D051774"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17616348" w14:textId="77777777" w:rsidR="005B7824" w:rsidRPr="005B7824" w:rsidRDefault="005B7824" w:rsidP="005B7824">
      <w:pPr>
        <w:numPr>
          <w:ilvl w:val="1"/>
          <w:numId w:val="23"/>
        </w:numPr>
        <w:spacing w:after="240"/>
        <w:jc w:val="both"/>
        <w:rPr>
          <w:sz w:val="24"/>
          <w:lang w:val="en-US"/>
        </w:rPr>
      </w:pPr>
      <w:bookmarkStart w:id="6" w:name="_Ref339262391"/>
      <w:bookmarkStart w:id="7" w:name="OLE_LINK3"/>
      <w:r w:rsidRPr="005B7824">
        <w:rPr>
          <w:sz w:val="24"/>
          <w:lang w:val="en-US"/>
        </w:rPr>
        <w:t xml:space="preserve">An insurer must provide APRA with the information required by </w:t>
      </w:r>
      <w:r w:rsidR="00342569">
        <w:rPr>
          <w:sz w:val="24"/>
          <w:lang w:val="en-US"/>
        </w:rPr>
        <w:t xml:space="preserve">the </w:t>
      </w:r>
      <w:r w:rsidRPr="005B7824">
        <w:rPr>
          <w:sz w:val="24"/>
          <w:lang w:val="en-US"/>
        </w:rPr>
        <w:t xml:space="preserve">GRF </w:t>
      </w:r>
      <w:r w:rsidR="00FB07B0">
        <w:rPr>
          <w:sz w:val="24"/>
          <w:lang w:val="en-US"/>
        </w:rPr>
        <w:t>11</w:t>
      </w:r>
      <w:r w:rsidR="00342569">
        <w:rPr>
          <w:sz w:val="24"/>
          <w:lang w:val="en-US"/>
        </w:rPr>
        <w:t>6</w:t>
      </w:r>
      <w:r w:rsidR="00FB07B0">
        <w:rPr>
          <w:sz w:val="24"/>
          <w:lang w:val="en-US"/>
        </w:rPr>
        <w:t>.</w:t>
      </w:r>
      <w:r w:rsidR="00831478">
        <w:rPr>
          <w:sz w:val="24"/>
          <w:lang w:val="en-US"/>
        </w:rPr>
        <w:t>1</w:t>
      </w:r>
      <w:r w:rsidR="00342569">
        <w:rPr>
          <w:sz w:val="24"/>
          <w:lang w:val="en-US"/>
        </w:rPr>
        <w:t xml:space="preserve"> series</w:t>
      </w:r>
      <w:r w:rsidR="002A1DD8">
        <w:rPr>
          <w:sz w:val="24"/>
          <w:lang w:val="en-US"/>
        </w:rPr>
        <w:t xml:space="preserve"> </w:t>
      </w:r>
      <w:r w:rsidRPr="005B7824">
        <w:rPr>
          <w:sz w:val="24"/>
          <w:lang w:val="en-US"/>
        </w:rPr>
        <w:t>for each reporting period.</w:t>
      </w:r>
      <w:bookmarkEnd w:id="6"/>
      <w:r w:rsidRPr="005B7824">
        <w:rPr>
          <w:sz w:val="24"/>
          <w:lang w:val="en-US"/>
        </w:rPr>
        <w:t xml:space="preserve"> </w:t>
      </w:r>
    </w:p>
    <w:bookmarkEnd w:id="7"/>
    <w:p w14:paraId="0E2A8618" w14:textId="0AED7B4F"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Forms and method of submission</w:t>
      </w:r>
    </w:p>
    <w:p w14:paraId="10F8A43F" w14:textId="77777777" w:rsidR="00043366" w:rsidRPr="00043366" w:rsidRDefault="00043366" w:rsidP="00043366">
      <w:pPr>
        <w:numPr>
          <w:ilvl w:val="1"/>
          <w:numId w:val="23"/>
        </w:numPr>
        <w:spacing w:after="240"/>
        <w:jc w:val="both"/>
        <w:rPr>
          <w:sz w:val="24"/>
          <w:szCs w:val="24"/>
          <w:lang w:val="en-US"/>
        </w:rPr>
      </w:pPr>
      <w:bookmarkStart w:id="8" w:name="_Ref339262396"/>
      <w:r w:rsidRPr="00043366">
        <w:rPr>
          <w:sz w:val="24"/>
          <w:szCs w:val="24"/>
          <w:lang w:val="en-US"/>
        </w:rPr>
        <w:t>The information required by this Reporting Standard must be given to APRA:</w:t>
      </w:r>
    </w:p>
    <w:p w14:paraId="2DC1B91D" w14:textId="4A7196F3" w:rsidR="00043366" w:rsidRPr="00043366" w:rsidRDefault="00043366" w:rsidP="00043366">
      <w:pPr>
        <w:numPr>
          <w:ilvl w:val="0"/>
          <w:numId w:val="21"/>
        </w:numPr>
        <w:spacing w:after="240"/>
        <w:jc w:val="both"/>
        <w:rPr>
          <w:sz w:val="24"/>
          <w:szCs w:val="24"/>
          <w:lang w:val="en-US"/>
        </w:rPr>
      </w:pPr>
      <w:r w:rsidRPr="00043366">
        <w:rPr>
          <w:sz w:val="24"/>
          <w:szCs w:val="24"/>
          <w:lang w:val="en-US"/>
        </w:rPr>
        <w:t>in electronic format using an electronic method available on APRA’s website; or</w:t>
      </w:r>
    </w:p>
    <w:p w14:paraId="021B1203" w14:textId="40F6E226" w:rsidR="005B7824" w:rsidRPr="005B7824" w:rsidRDefault="00043366" w:rsidP="005B7824">
      <w:pPr>
        <w:ind w:left="567"/>
        <w:jc w:val="both"/>
        <w:rPr>
          <w:lang w:eastAsia="en-US"/>
        </w:rPr>
      </w:pPr>
      <w:r w:rsidRPr="00043366">
        <w:rPr>
          <w:sz w:val="24"/>
          <w:szCs w:val="24"/>
          <w:lang w:val="en-US"/>
        </w:rPr>
        <w:t>(b)     by a method notified by APRA prior to submission.</w:t>
      </w:r>
      <w:bookmarkEnd w:id="8"/>
    </w:p>
    <w:p w14:paraId="638EB9EE" w14:textId="77777777" w:rsidR="005B7824" w:rsidRPr="005B7824" w:rsidRDefault="005B7824" w:rsidP="00043366">
      <w:pPr>
        <w:spacing w:before="240" w:after="240"/>
        <w:jc w:val="both"/>
        <w:rPr>
          <w:rFonts w:ascii="Arial" w:hAnsi="Arial" w:cs="Arial"/>
          <w:b/>
          <w:sz w:val="24"/>
          <w:lang w:val="en-US"/>
        </w:rPr>
      </w:pPr>
      <w:r w:rsidRPr="005B7824">
        <w:rPr>
          <w:rFonts w:ascii="Arial" w:hAnsi="Arial" w:cs="Arial"/>
          <w:b/>
          <w:sz w:val="24"/>
          <w:lang w:val="en-US"/>
        </w:rPr>
        <w:t>Reporting periods and due dates</w:t>
      </w:r>
    </w:p>
    <w:p w14:paraId="757FCC2E" w14:textId="4BA0F3CE" w:rsidR="005B7824" w:rsidRPr="005B7824" w:rsidRDefault="005B7824" w:rsidP="005B7824">
      <w:pPr>
        <w:numPr>
          <w:ilvl w:val="1"/>
          <w:numId w:val="23"/>
        </w:numPr>
        <w:spacing w:after="240"/>
        <w:jc w:val="both"/>
        <w:rPr>
          <w:sz w:val="24"/>
          <w:lang w:val="en-US"/>
        </w:rPr>
      </w:pPr>
      <w:bookmarkStart w:id="9" w:name="_Ref339261560"/>
      <w:r w:rsidRPr="005B7824">
        <w:rPr>
          <w:sz w:val="24"/>
          <w:szCs w:val="24"/>
          <w:lang w:val="en-US"/>
        </w:rPr>
        <w:t>Subject to paragraph</w:t>
      </w:r>
      <w:r w:rsidR="00063C5D">
        <w:rPr>
          <w:sz w:val="24"/>
          <w:szCs w:val="24"/>
          <w:lang w:val="en-US"/>
        </w:rPr>
        <w:t xml:space="preserve"> 7</w:t>
      </w:r>
      <w:r w:rsidRPr="005B7824">
        <w:rPr>
          <w:sz w:val="24"/>
          <w:szCs w:val="24"/>
          <w:lang w:val="en-US"/>
        </w:rPr>
        <w:t>, an insurer must provide the information required by this Reporting Standard:</w:t>
      </w:r>
      <w:bookmarkEnd w:id="9"/>
    </w:p>
    <w:p w14:paraId="42C9070F" w14:textId="77777777" w:rsidR="005B7824" w:rsidRPr="005B7824" w:rsidRDefault="005B7824" w:rsidP="005B7824">
      <w:pPr>
        <w:numPr>
          <w:ilvl w:val="0"/>
          <w:numId w:val="21"/>
        </w:numPr>
        <w:spacing w:after="240"/>
        <w:jc w:val="both"/>
        <w:rPr>
          <w:sz w:val="24"/>
          <w:lang w:val="en-US"/>
        </w:rPr>
      </w:pPr>
      <w:bookmarkStart w:id="10" w:name="_Hlk182306409"/>
      <w:bookmarkStart w:id="11" w:name="_Ref339261561"/>
      <w:r w:rsidRPr="005B7824">
        <w:rPr>
          <w:sz w:val="24"/>
          <w:szCs w:val="24"/>
          <w:lang w:val="en-US"/>
        </w:rPr>
        <w:t>in respect of each quarter based on the financial year of the insurer</w:t>
      </w:r>
      <w:bookmarkEnd w:id="10"/>
      <w:r w:rsidRPr="005B7824">
        <w:rPr>
          <w:sz w:val="24"/>
          <w:szCs w:val="24"/>
          <w:lang w:val="en-US"/>
        </w:rPr>
        <w:t>; and</w:t>
      </w:r>
      <w:bookmarkEnd w:id="11"/>
    </w:p>
    <w:p w14:paraId="35209827" w14:textId="77777777" w:rsidR="005B7824" w:rsidRPr="005B7824" w:rsidRDefault="005B7824" w:rsidP="005B7824">
      <w:pPr>
        <w:numPr>
          <w:ilvl w:val="0"/>
          <w:numId w:val="21"/>
        </w:numPr>
        <w:spacing w:after="240"/>
        <w:jc w:val="both"/>
        <w:rPr>
          <w:sz w:val="24"/>
          <w:lang w:val="en-US"/>
        </w:rPr>
      </w:pPr>
      <w:bookmarkStart w:id="12" w:name="_Hlk182306423"/>
      <w:bookmarkStart w:id="13" w:name="_Ref339261564"/>
      <w:r w:rsidRPr="005B7824">
        <w:rPr>
          <w:sz w:val="24"/>
          <w:szCs w:val="24"/>
          <w:lang w:val="en-US"/>
        </w:rPr>
        <w:t>in respect of each financial year of the insurer</w:t>
      </w:r>
      <w:bookmarkEnd w:id="12"/>
      <w:r w:rsidRPr="005B7824">
        <w:rPr>
          <w:sz w:val="24"/>
          <w:szCs w:val="24"/>
          <w:lang w:val="en-US"/>
        </w:rPr>
        <w:t>.</w:t>
      </w:r>
      <w:bookmarkEnd w:id="13"/>
    </w:p>
    <w:p w14:paraId="3E79D182" w14:textId="0223B6E4"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00063C5D">
        <w:rPr>
          <w:lang w:val="en-US"/>
        </w:rPr>
        <w:t>4, 5 and 6(b),</w:t>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62672AB0" w14:textId="3DCD5A45" w:rsidR="005B7824" w:rsidRPr="005B7824" w:rsidRDefault="005B7824" w:rsidP="005B7824">
      <w:pPr>
        <w:numPr>
          <w:ilvl w:val="1"/>
          <w:numId w:val="23"/>
        </w:numPr>
        <w:spacing w:after="240"/>
        <w:jc w:val="both"/>
        <w:rPr>
          <w:sz w:val="24"/>
          <w:lang w:val="en-US"/>
        </w:rPr>
      </w:pPr>
      <w:bookmarkStart w:id="14"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000D28B0">
        <w:rPr>
          <w:sz w:val="24"/>
          <w:lang w:val="en-US"/>
        </w:rPr>
        <w:t>6(a)</w:t>
      </w:r>
      <w:r w:rsidRPr="005B7824">
        <w:rPr>
          <w:sz w:val="24"/>
          <w:lang w:val="en-US"/>
        </w:rPr>
        <w:t xml:space="preserve"> or </w:t>
      </w:r>
      <w:r w:rsidR="000D28B0">
        <w:rPr>
          <w:sz w:val="24"/>
          <w:lang w:val="en-US"/>
        </w:rPr>
        <w:t>6(b)</w:t>
      </w:r>
      <w:r w:rsidRPr="005B7824">
        <w:rPr>
          <w:sz w:val="24"/>
          <w:lang w:val="en-US"/>
        </w:rPr>
        <w:t>, APRA may, by notice in writing, change the reporting periods, or specify reporting periods, for the particular insurer.</w:t>
      </w:r>
      <w:bookmarkEnd w:id="14"/>
      <w:r w:rsidRPr="005B7824" w:rsidDel="003F74DD">
        <w:rPr>
          <w:sz w:val="24"/>
          <w:lang w:val="en-US"/>
        </w:rPr>
        <w:t xml:space="preserve"> </w:t>
      </w:r>
      <w:bookmarkStart w:id="15" w:name="_Ref339262364"/>
      <w:r w:rsidRPr="005B7824">
        <w:rPr>
          <w:sz w:val="24"/>
          <w:lang w:val="en-US"/>
        </w:rPr>
        <w:t xml:space="preserve"> </w:t>
      </w:r>
      <w:bookmarkEnd w:id="15"/>
    </w:p>
    <w:p w14:paraId="2ADD8033"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0E8BEB57"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28D00EAC" w14:textId="76EA37BF"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in the case of information provided in accordance with paragraph</w:t>
      </w:r>
      <w:r w:rsidR="000D28B0">
        <w:rPr>
          <w:sz w:val="24"/>
          <w:lang w:val="en-US"/>
        </w:rPr>
        <w:t xml:space="preserve"> 7</w:t>
      </w:r>
      <w:r w:rsidRPr="005B7824">
        <w:rPr>
          <w:sz w:val="24"/>
          <w:lang w:val="en-US"/>
        </w:rPr>
        <w:t>, within the time specified by notice in writing.</w:t>
      </w:r>
    </w:p>
    <w:p w14:paraId="50CF9A73" w14:textId="3836E5E8" w:rsidR="005B7824" w:rsidRPr="005B7824" w:rsidRDefault="005B7824" w:rsidP="005B7824">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000D28B0">
        <w:rPr>
          <w:lang w:val="en-US"/>
        </w:rPr>
        <w:t>6(</w:t>
      </w:r>
      <w:r w:rsidR="5F3D1420" w:rsidRPr="7991A618">
        <w:rPr>
          <w:lang w:val="en-US"/>
        </w:rPr>
        <w:t>b) must</w:t>
      </w:r>
      <w:r w:rsidRPr="005B7824">
        <w:rPr>
          <w:lang w:val="en-US"/>
        </w:rPr>
        <w:t xml:space="preserve"> be provided to APRA by the time specified in GRS 001 (unless an extension of time is granted under GRS 001).</w:t>
      </w:r>
    </w:p>
    <w:p w14:paraId="47650FEF"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lastRenderedPageBreak/>
        <w:t>Quality control</w:t>
      </w:r>
    </w:p>
    <w:p w14:paraId="0B211BB8"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103117CC"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466A9831"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025D7AA7"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57370CE4"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75F677D2" w14:textId="5497BF04" w:rsidR="005B7824" w:rsidRPr="005B7824" w:rsidRDefault="005B7824" w:rsidP="005B7824">
      <w:pPr>
        <w:numPr>
          <w:ilvl w:val="1"/>
          <w:numId w:val="23"/>
        </w:numPr>
        <w:spacing w:after="240"/>
        <w:jc w:val="both"/>
        <w:rPr>
          <w:sz w:val="24"/>
          <w:lang w:val="en-US"/>
        </w:rPr>
      </w:pPr>
      <w:r w:rsidRPr="005B7824">
        <w:rPr>
          <w:sz w:val="24"/>
          <w:lang w:val="en-US"/>
        </w:rPr>
        <w:t xml:space="preserve">When an officer, or agent, of an insurer provides the information required by this Reporting Standard using </w:t>
      </w:r>
      <w:r w:rsidR="004D0E9C">
        <w:rPr>
          <w:sz w:val="24"/>
          <w:lang w:val="en-US"/>
        </w:rPr>
        <w:t>an electronic format</w:t>
      </w:r>
      <w:r w:rsidRPr="005B7824">
        <w:rPr>
          <w:sz w:val="24"/>
          <w:lang w:val="en-US"/>
        </w:rPr>
        <w:t xml:space="preserve"> it will be necessary for an officer, or agent, to digitally sign the relevant information using a digital certificate acceptable to APRA.</w:t>
      </w:r>
    </w:p>
    <w:p w14:paraId="0B5FA0D6" w14:textId="5C87EE91" w:rsidR="005B7824" w:rsidRPr="005B7824" w:rsidRDefault="005B7824" w:rsidP="005B7824">
      <w:pPr>
        <w:numPr>
          <w:ilvl w:val="1"/>
          <w:numId w:val="23"/>
        </w:numPr>
        <w:spacing w:after="240"/>
        <w:jc w:val="both"/>
        <w:rPr>
          <w:sz w:val="24"/>
          <w:lang w:val="en-US"/>
        </w:rPr>
      </w:pPr>
      <w:r w:rsidRPr="005B7824">
        <w:rPr>
          <w:sz w:val="24"/>
          <w:lang w:val="en-US"/>
        </w:rPr>
        <w:t xml:space="preserve">If an insurer provides the information required by this Reporting Standard through an agent who submits using </w:t>
      </w:r>
      <w:r w:rsidR="004D0E9C">
        <w:rPr>
          <w:sz w:val="24"/>
          <w:lang w:val="en-US"/>
        </w:rPr>
        <w:t>an electronic format</w:t>
      </w:r>
      <w:r w:rsidRPr="005B7824">
        <w:rPr>
          <w:sz w:val="24"/>
          <w:lang w:val="en-US"/>
        </w:rPr>
        <w:t xml:space="preserve"> on the insurer’s behalf, the insurer must:</w:t>
      </w:r>
    </w:p>
    <w:p w14:paraId="6EA9FACB"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0A0741C6"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5372FE81"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7D9A6FD4"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28C11778"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12AE2F63"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3F5CA5CF" w14:textId="77777777" w:rsidR="005B7824" w:rsidRPr="005B7824"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w:t>
      </w:r>
      <w:r w:rsidR="00342569">
        <w:rPr>
          <w:snapToGrid w:val="0"/>
          <w:sz w:val="24"/>
          <w:lang w:eastAsia="en-US"/>
        </w:rPr>
        <w:t>the</w:t>
      </w:r>
      <w:r w:rsidRPr="005B7824">
        <w:rPr>
          <w:snapToGrid w:val="0"/>
          <w:sz w:val="24"/>
          <w:lang w:eastAsia="en-US"/>
        </w:rPr>
        <w:t xml:space="preserve"> GRF </w:t>
      </w:r>
      <w:r w:rsidR="00FB07B0">
        <w:rPr>
          <w:snapToGrid w:val="0"/>
          <w:sz w:val="24"/>
          <w:lang w:eastAsia="en-US"/>
        </w:rPr>
        <w:t>11</w:t>
      </w:r>
      <w:r w:rsidR="00342569">
        <w:rPr>
          <w:snapToGrid w:val="0"/>
          <w:sz w:val="24"/>
          <w:lang w:eastAsia="en-US"/>
        </w:rPr>
        <w:t>6</w:t>
      </w:r>
      <w:r w:rsidR="00FB07B0">
        <w:rPr>
          <w:snapToGrid w:val="0"/>
          <w:sz w:val="24"/>
          <w:lang w:eastAsia="en-US"/>
        </w:rPr>
        <w:t>.</w:t>
      </w:r>
      <w:r w:rsidR="00831478">
        <w:rPr>
          <w:snapToGrid w:val="0"/>
          <w:sz w:val="24"/>
          <w:lang w:eastAsia="en-US"/>
        </w:rPr>
        <w:t>1</w:t>
      </w:r>
      <w:r w:rsidR="00342569">
        <w:rPr>
          <w:snapToGrid w:val="0"/>
          <w:sz w:val="24"/>
          <w:lang w:eastAsia="en-US"/>
        </w:rPr>
        <w:t xml:space="preserve"> series</w:t>
      </w:r>
      <w:r w:rsidRPr="005B7824">
        <w:rPr>
          <w:i/>
          <w:snapToGrid w:val="0"/>
          <w:sz w:val="24"/>
          <w:lang w:eastAsia="en-US"/>
        </w:rPr>
        <w:t xml:space="preserve"> </w:t>
      </w:r>
      <w:r w:rsidRPr="005B7824">
        <w:rPr>
          <w:snapToGrid w:val="0"/>
          <w:sz w:val="24"/>
          <w:lang w:eastAsia="en-US"/>
        </w:rPr>
        <w:t>in relation to that insurer.</w:t>
      </w:r>
    </w:p>
    <w:p w14:paraId="6051BC8E" w14:textId="74FC6D8A" w:rsidR="005B7824" w:rsidRPr="005B7824" w:rsidRDefault="005B7824" w:rsidP="005B7824">
      <w:pPr>
        <w:spacing w:after="240"/>
        <w:rPr>
          <w:rFonts w:ascii="Arial" w:hAnsi="Arial" w:cs="Arial"/>
          <w:b/>
          <w:snapToGrid w:val="0"/>
          <w:sz w:val="24"/>
          <w:lang w:eastAsia="en-US"/>
        </w:rPr>
      </w:pPr>
      <w:r w:rsidRPr="005B7824">
        <w:rPr>
          <w:rFonts w:ascii="Arial" w:hAnsi="Arial" w:cs="Arial"/>
          <w:b/>
          <w:snapToGrid w:val="0"/>
          <w:sz w:val="24"/>
          <w:lang w:eastAsia="en-US"/>
        </w:rPr>
        <w:t>Transition</w:t>
      </w:r>
    </w:p>
    <w:p w14:paraId="3ABB82EE" w14:textId="13891233" w:rsidR="005B7824" w:rsidRPr="005B7824" w:rsidRDefault="005B7824" w:rsidP="005B7824">
      <w:pPr>
        <w:numPr>
          <w:ilvl w:val="1"/>
          <w:numId w:val="23"/>
        </w:numPr>
        <w:spacing w:after="240"/>
        <w:jc w:val="both"/>
        <w:rPr>
          <w:sz w:val="24"/>
          <w:szCs w:val="24"/>
          <w:lang w:val="en-US"/>
        </w:rPr>
      </w:pPr>
      <w:bookmarkStart w:id="16" w:name="_Hlk182314680"/>
      <w:r w:rsidRPr="005B7824">
        <w:rPr>
          <w:sz w:val="24"/>
          <w:szCs w:val="24"/>
          <w:lang w:val="en-US"/>
        </w:rPr>
        <w:t xml:space="preserve">An insurer </w:t>
      </w:r>
      <w:r w:rsidR="0092660B">
        <w:rPr>
          <w:sz w:val="24"/>
          <w:szCs w:val="24"/>
          <w:lang w:val="en-US"/>
        </w:rPr>
        <w:t xml:space="preserve">to which </w:t>
      </w:r>
      <w:r w:rsidR="003F79CA">
        <w:rPr>
          <w:sz w:val="24"/>
          <w:szCs w:val="24"/>
          <w:lang w:val="en-US"/>
        </w:rPr>
        <w:t xml:space="preserve">the Reporting Standard applies </w:t>
      </w:r>
      <w:r w:rsidRPr="005B7824">
        <w:rPr>
          <w:sz w:val="24"/>
          <w:szCs w:val="24"/>
          <w:lang w:val="en-US"/>
        </w:rPr>
        <w:t>must report under the old reporting standard in respect of a transitional reporting period. For these purposes:</w:t>
      </w:r>
    </w:p>
    <w:p w14:paraId="469ABB27" w14:textId="65D82304" w:rsidR="005B7824" w:rsidRPr="005B7824" w:rsidRDefault="005B7824" w:rsidP="005B7824">
      <w:pPr>
        <w:spacing w:after="240"/>
        <w:ind w:left="567"/>
        <w:jc w:val="both"/>
        <w:rPr>
          <w:sz w:val="24"/>
          <w:szCs w:val="24"/>
          <w:lang w:val="en-US"/>
        </w:rPr>
      </w:pPr>
      <w:r w:rsidRPr="005B7824">
        <w:rPr>
          <w:b/>
          <w:i/>
          <w:sz w:val="24"/>
          <w:szCs w:val="24"/>
          <w:lang w:val="en-US"/>
        </w:rPr>
        <w:lastRenderedPageBreak/>
        <w:t xml:space="preserve">old reporting standard </w:t>
      </w:r>
      <w:r w:rsidRPr="005B7824">
        <w:rPr>
          <w:sz w:val="24"/>
          <w:szCs w:val="24"/>
          <w:lang w:val="en-US"/>
        </w:rPr>
        <w:t>means the reporting standard revoked in the determination making this Reporting Standard; and</w:t>
      </w:r>
    </w:p>
    <w:p w14:paraId="390AA714" w14:textId="77777777" w:rsidR="005B7824" w:rsidRPr="005B7824" w:rsidRDefault="005B7824" w:rsidP="005B7824">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means a reporting period under the old reporting standard:</w:t>
      </w:r>
    </w:p>
    <w:p w14:paraId="68B870EC" w14:textId="6A264A43" w:rsidR="005B7824" w:rsidRPr="005B7824" w:rsidRDefault="00B71844" w:rsidP="005B7824">
      <w:pPr>
        <w:numPr>
          <w:ilvl w:val="0"/>
          <w:numId w:val="25"/>
        </w:numPr>
        <w:tabs>
          <w:tab w:val="left" w:pos="1134"/>
        </w:tabs>
        <w:spacing w:after="240"/>
        <w:ind w:left="1134" w:hanging="567"/>
        <w:jc w:val="both"/>
        <w:rPr>
          <w:sz w:val="24"/>
          <w:szCs w:val="24"/>
        </w:rPr>
      </w:pPr>
      <w:r>
        <w:rPr>
          <w:sz w:val="24"/>
          <w:szCs w:val="24"/>
        </w:rPr>
        <w:t>that</w:t>
      </w:r>
      <w:r w:rsidR="005B7824" w:rsidRPr="005B7824">
        <w:rPr>
          <w:sz w:val="24"/>
          <w:szCs w:val="24"/>
        </w:rPr>
        <w:t xml:space="preserve"> ended </w:t>
      </w:r>
      <w:r w:rsidR="005B7824" w:rsidRPr="005B7824" w:rsidDel="00F10D7D">
        <w:rPr>
          <w:sz w:val="24"/>
          <w:szCs w:val="24"/>
        </w:rPr>
        <w:t>before the date of revocation</w:t>
      </w:r>
      <w:r w:rsidR="005870D0">
        <w:rPr>
          <w:sz w:val="24"/>
          <w:szCs w:val="24"/>
        </w:rPr>
        <w:t>;</w:t>
      </w:r>
      <w:r w:rsidR="005B7824" w:rsidRPr="005B7824">
        <w:rPr>
          <w:sz w:val="24"/>
          <w:szCs w:val="24"/>
        </w:rPr>
        <w:t xml:space="preserve"> and</w:t>
      </w:r>
    </w:p>
    <w:p w14:paraId="06D0F297" w14:textId="42C4359C" w:rsidR="005B7824" w:rsidRDefault="005B7824" w:rsidP="005B7824">
      <w:pPr>
        <w:numPr>
          <w:ilvl w:val="0"/>
          <w:numId w:val="25"/>
        </w:numPr>
        <w:tabs>
          <w:tab w:val="left" w:pos="1134"/>
        </w:tabs>
        <w:spacing w:after="240"/>
        <w:ind w:left="1134" w:hanging="567"/>
        <w:contextualSpacing/>
        <w:jc w:val="both"/>
        <w:rPr>
          <w:sz w:val="24"/>
          <w:szCs w:val="24"/>
        </w:rPr>
      </w:pPr>
      <w:r w:rsidRPr="005B7824">
        <w:rPr>
          <w:sz w:val="24"/>
          <w:szCs w:val="24"/>
        </w:rPr>
        <w:t>in relation to which the insurer was required, under the old reporting standard, to report by a date on or after the date of revocation of the old reporting standard.</w:t>
      </w:r>
    </w:p>
    <w:p w14:paraId="18F75111" w14:textId="77777777" w:rsidR="005B7824" w:rsidRPr="005B7824" w:rsidRDefault="005B7824" w:rsidP="005B7824">
      <w:pPr>
        <w:spacing w:after="240"/>
        <w:ind w:left="567"/>
        <w:contextualSpacing/>
        <w:jc w:val="both"/>
        <w:rPr>
          <w:sz w:val="24"/>
          <w:szCs w:val="24"/>
        </w:rPr>
      </w:pPr>
    </w:p>
    <w:p w14:paraId="62EDB438" w14:textId="77777777" w:rsidR="005B7824" w:rsidRPr="005B7824" w:rsidRDefault="005B7824" w:rsidP="005B7824">
      <w:pPr>
        <w:autoSpaceDE w:val="0"/>
        <w:autoSpaceDN w:val="0"/>
        <w:adjustRightInd w:val="0"/>
        <w:spacing w:after="240"/>
        <w:ind w:left="567"/>
        <w:jc w:val="both"/>
        <w:rPr>
          <w:lang w:val="en-US"/>
        </w:rPr>
      </w:pPr>
      <w:r w:rsidRPr="005B7824">
        <w:rPr>
          <w:i/>
          <w:iCs/>
          <w:lang w:val="en-US"/>
        </w:rPr>
        <w:t xml:space="preserve">Note: </w:t>
      </w:r>
      <w:r w:rsidRPr="005B7824">
        <w:rPr>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bookmarkEnd w:id="16"/>
    </w:p>
    <w:p w14:paraId="5427A747"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 xml:space="preserve">Interpretation </w:t>
      </w:r>
    </w:p>
    <w:p w14:paraId="10492DF5" w14:textId="77777777" w:rsidR="005B7824" w:rsidRPr="005B7824" w:rsidRDefault="005B7824" w:rsidP="005B7824">
      <w:pPr>
        <w:numPr>
          <w:ilvl w:val="1"/>
          <w:numId w:val="23"/>
        </w:numPr>
        <w:spacing w:after="240"/>
        <w:jc w:val="both"/>
        <w:rPr>
          <w:sz w:val="24"/>
          <w:lang w:val="en-US"/>
        </w:rPr>
      </w:pPr>
      <w:r w:rsidRPr="005B7824">
        <w:rPr>
          <w:sz w:val="24"/>
          <w:lang w:val="en-US"/>
        </w:rPr>
        <w:t>In this Reporting Standard (including the attachments):</w:t>
      </w:r>
    </w:p>
    <w:p w14:paraId="6274B757" w14:textId="4DE30ABB"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D93AAB">
        <w:rPr>
          <w:i/>
          <w:sz w:val="24"/>
          <w:szCs w:val="24"/>
          <w:lang w:val="en-US"/>
        </w:rPr>
        <w:t xml:space="preserve"> </w:t>
      </w:r>
      <w:r w:rsidR="00F86541">
        <w:rPr>
          <w:sz w:val="24"/>
          <w:szCs w:val="24"/>
          <w:lang w:val="en-US"/>
        </w:rPr>
        <w:t>(</w:t>
      </w:r>
      <w:r w:rsidR="00D93AAB">
        <w:rPr>
          <w:sz w:val="24"/>
          <w:szCs w:val="24"/>
          <w:lang w:val="en-US"/>
        </w:rPr>
        <w:t xml:space="preserve">CPS </w:t>
      </w:r>
      <w:r w:rsidR="00F86541">
        <w:rPr>
          <w:sz w:val="24"/>
          <w:szCs w:val="24"/>
          <w:lang w:val="en-US"/>
        </w:rPr>
        <w:t>001)</w:t>
      </w:r>
      <w:r w:rsidRPr="005B7824">
        <w:rPr>
          <w:sz w:val="24"/>
          <w:szCs w:val="24"/>
          <w:lang w:val="en-US"/>
        </w:rPr>
        <w:t>; and</w:t>
      </w:r>
    </w:p>
    <w:p w14:paraId="32AA6C4F"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4F09D52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p>
    <w:p w14:paraId="47436427" w14:textId="1A1F91A9"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w:t>
      </w:r>
      <w:r w:rsidR="00D93AAB">
        <w:rPr>
          <w:sz w:val="24"/>
          <w:szCs w:val="24"/>
          <w:lang w:val="en-US"/>
        </w:rPr>
        <w:t>C</w:t>
      </w:r>
      <w:r w:rsidR="00D93AAB" w:rsidRPr="005B7824">
        <w:rPr>
          <w:sz w:val="24"/>
          <w:szCs w:val="24"/>
          <w:lang w:val="en-US"/>
        </w:rPr>
        <w:t xml:space="preserve">PS </w:t>
      </w:r>
      <w:r w:rsidRPr="005B7824">
        <w:rPr>
          <w:sz w:val="24"/>
          <w:szCs w:val="24"/>
          <w:lang w:val="en-US"/>
        </w:rPr>
        <w:t>001;</w:t>
      </w:r>
    </w:p>
    <w:p w14:paraId="7F661956"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0AE6EB0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57D3763C"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666BBDF3"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4E631188"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49A46AB8"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439EE64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41F58FBB"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w:t>
      </w:r>
      <w:r w:rsidRPr="005B7824">
        <w:rPr>
          <w:lang w:val="en-US"/>
        </w:rPr>
        <w:lastRenderedPageBreak/>
        <w:t>entity’ is a reference to an insurer whose business consists only of undertaking liability by way of reinsurance.</w:t>
      </w:r>
    </w:p>
    <w:p w14:paraId="0497D387"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4F9A864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761F5B3D" w14:textId="73679532"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000D28B0">
        <w:rPr>
          <w:sz w:val="24"/>
          <w:szCs w:val="24"/>
          <w:lang w:val="en-US"/>
        </w:rPr>
        <w:t>6</w:t>
      </w:r>
      <w:r w:rsidR="00FA405D">
        <w:rPr>
          <w:sz w:val="24"/>
          <w:szCs w:val="24"/>
          <w:lang w:val="en-US"/>
        </w:rPr>
        <w:t>(a)</w:t>
      </w:r>
      <w:r w:rsidRPr="005B7824">
        <w:rPr>
          <w:sz w:val="24"/>
          <w:szCs w:val="24"/>
          <w:lang w:val="en-US"/>
        </w:rPr>
        <w:t xml:space="preserve"> or </w:t>
      </w:r>
      <w:r w:rsidR="00FA405D">
        <w:rPr>
          <w:sz w:val="24"/>
          <w:szCs w:val="24"/>
          <w:lang w:val="en-US"/>
        </w:rPr>
        <w:t>(b)</w:t>
      </w:r>
      <w:r w:rsidRPr="005B7824">
        <w:rPr>
          <w:sz w:val="24"/>
          <w:szCs w:val="24"/>
          <w:lang w:val="en-US"/>
        </w:rPr>
        <w:t xml:space="preserve"> or, if applicable, paragraph</w:t>
      </w:r>
      <w:r w:rsidR="00063C5D">
        <w:rPr>
          <w:sz w:val="24"/>
          <w:szCs w:val="24"/>
          <w:lang w:val="en-US"/>
        </w:rPr>
        <w:t xml:space="preserve"> 7</w:t>
      </w:r>
      <w:r w:rsidRPr="005B7824">
        <w:rPr>
          <w:sz w:val="24"/>
          <w:szCs w:val="24"/>
          <w:lang w:val="en-US"/>
        </w:rPr>
        <w:t xml:space="preserve">. </w:t>
      </w:r>
    </w:p>
    <w:p w14:paraId="2BFC2B7F" w14:textId="77777777" w:rsidR="00726E2A" w:rsidRDefault="00726E2A" w:rsidP="00760AC5">
      <w:pPr>
        <w:pStyle w:val="Header"/>
        <w:jc w:val="both"/>
        <w:rPr>
          <w:bCs/>
        </w:rPr>
        <w:sectPr w:rsidR="00726E2A" w:rsidSect="00DA6980">
          <w:headerReference w:type="default" r:id="rId15"/>
          <w:footerReference w:type="default" r:id="rId16"/>
          <w:headerReference w:type="first" r:id="rId17"/>
          <w:footerReference w:type="first" r:id="rId18"/>
          <w:pgSz w:w="11907" w:h="16840" w:code="9"/>
          <w:pgMar w:top="1440" w:right="1440" w:bottom="1440" w:left="1440" w:header="720" w:footer="720" w:gutter="0"/>
          <w:pgNumType w:start="1"/>
          <w:cols w:space="720"/>
          <w:titlePg/>
          <w:docGrid w:linePitch="272"/>
        </w:sectPr>
      </w:pPr>
    </w:p>
    <w:p w14:paraId="041D7631" w14:textId="67D38A3C" w:rsidR="00C0782D" w:rsidRDefault="00C0782D" w:rsidP="00760AC5">
      <w:pPr>
        <w:pStyle w:val="Header"/>
        <w:jc w:val="both"/>
      </w:pPr>
    </w:p>
    <w:tbl>
      <w:tblPr>
        <w:tblW w:w="13892" w:type="dxa"/>
        <w:tblInd w:w="108" w:type="dxa"/>
        <w:tblLook w:val="0400" w:firstRow="0" w:lastRow="0" w:firstColumn="0" w:lastColumn="0" w:noHBand="0" w:noVBand="1"/>
      </w:tblPr>
      <w:tblGrid>
        <w:gridCol w:w="13892"/>
      </w:tblGrid>
      <w:tr w:rsidR="00F71F1F" w:rsidRPr="00F71F1F" w14:paraId="092FFEF7" w14:textId="77777777" w:rsidTr="00B80789">
        <w:trPr>
          <w:trHeight w:val="300"/>
        </w:trPr>
        <w:tc>
          <w:tcPr>
            <w:tcW w:w="8806" w:type="dxa"/>
            <w:shd w:val="clear" w:color="auto" w:fill="auto"/>
            <w:noWrap/>
            <w:vAlign w:val="bottom"/>
            <w:hideMark/>
          </w:tcPr>
          <w:p w14:paraId="58211BAF" w14:textId="77777777" w:rsidR="00F71F1F" w:rsidRPr="00F71F1F" w:rsidRDefault="00F71F1F" w:rsidP="00F71F1F">
            <w:pPr>
              <w:jc w:val="center"/>
              <w:rPr>
                <w:rFonts w:ascii="Arial" w:hAnsi="Arial" w:cs="Arial"/>
                <w:sz w:val="16"/>
                <w:szCs w:val="16"/>
              </w:rPr>
            </w:pPr>
            <w:r w:rsidRPr="000D28B0">
              <w:rPr>
                <w:rFonts w:ascii="Arial" w:hAnsi="Arial" w:cs="Arial"/>
                <w:b/>
                <w:bCs/>
                <w:sz w:val="32"/>
                <w:szCs w:val="32"/>
              </w:rPr>
              <w:t>GRF</w:t>
            </w:r>
            <w:r w:rsidRPr="00F71F1F">
              <w:rPr>
                <w:rFonts w:ascii="Arial" w:hAnsi="Arial" w:cs="Arial"/>
                <w:b/>
                <w:bCs/>
                <w:sz w:val="32"/>
                <w:szCs w:val="32"/>
              </w:rPr>
              <w:t>_116_1: Probable Maximum Loss for LMIs - Standard Loans</w:t>
            </w:r>
          </w:p>
        </w:tc>
      </w:tr>
    </w:tbl>
    <w:p w14:paraId="1154FCE9" w14:textId="77777777" w:rsidR="00F71F1F" w:rsidRPr="00F71F1F" w:rsidRDefault="00F71F1F" w:rsidP="00F71F1F">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F71F1F" w:rsidRPr="00F71F1F" w14:paraId="342554D3" w14:textId="77777777" w:rsidTr="00B80789">
        <w:trPr>
          <w:trHeight w:val="317"/>
        </w:trPr>
        <w:tc>
          <w:tcPr>
            <w:tcW w:w="6946" w:type="dxa"/>
            <w:tcBorders>
              <w:top w:val="nil"/>
              <w:left w:val="nil"/>
              <w:bottom w:val="single" w:sz="4" w:space="0" w:color="auto"/>
              <w:right w:val="nil"/>
            </w:tcBorders>
            <w:vAlign w:val="bottom"/>
            <w:hideMark/>
          </w:tcPr>
          <w:p w14:paraId="04772C72" w14:textId="77777777" w:rsidR="00F71F1F" w:rsidRPr="00F71F1F" w:rsidRDefault="00F71F1F" w:rsidP="00F71F1F">
            <w:pPr>
              <w:rPr>
                <w:rFonts w:ascii="Arial" w:eastAsia="Calibri" w:hAnsi="Arial" w:cs="Arial"/>
                <w:b/>
                <w:bCs/>
                <w:sz w:val="22"/>
                <w:szCs w:val="22"/>
              </w:rPr>
            </w:pPr>
            <w:r w:rsidRPr="00F71F1F">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6AF0D4EC" w14:textId="77777777" w:rsidR="00F71F1F" w:rsidRPr="00F71F1F" w:rsidRDefault="00F71F1F" w:rsidP="00F71F1F">
            <w:pPr>
              <w:rPr>
                <w:rFonts w:ascii="Arial" w:eastAsia="Calibri" w:hAnsi="Arial" w:cs="Arial"/>
                <w:b/>
                <w:bCs/>
                <w:sz w:val="22"/>
                <w:szCs w:val="22"/>
              </w:rPr>
            </w:pPr>
            <w:r w:rsidRPr="00F71F1F">
              <w:rPr>
                <w:rFonts w:ascii="Arial" w:eastAsia="Calibri" w:hAnsi="Arial" w:cs="Arial"/>
                <w:b/>
                <w:bCs/>
                <w:sz w:val="22"/>
                <w:szCs w:val="22"/>
              </w:rPr>
              <w:t>Institution Name</w:t>
            </w:r>
          </w:p>
        </w:tc>
      </w:tr>
      <w:tr w:rsidR="00F71F1F" w:rsidRPr="00F71F1F" w14:paraId="4710D1CE"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733FC7F" w14:textId="77777777" w:rsidR="00F71F1F" w:rsidRPr="00F71F1F" w:rsidRDefault="00F71F1F" w:rsidP="00F71F1F">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06A3F72" w14:textId="77777777" w:rsidR="00F71F1F" w:rsidRPr="00F71F1F" w:rsidRDefault="00F71F1F" w:rsidP="00F71F1F">
            <w:pPr>
              <w:rPr>
                <w:rFonts w:ascii="Arial" w:hAnsi="Arial" w:cs="Arial"/>
                <w:sz w:val="22"/>
                <w:szCs w:val="22"/>
              </w:rPr>
            </w:pPr>
          </w:p>
        </w:tc>
      </w:tr>
      <w:tr w:rsidR="00F71F1F" w:rsidRPr="00F71F1F" w14:paraId="218D3DBB" w14:textId="77777777" w:rsidTr="00B80789">
        <w:trPr>
          <w:trHeight w:val="317"/>
        </w:trPr>
        <w:tc>
          <w:tcPr>
            <w:tcW w:w="6946" w:type="dxa"/>
            <w:tcBorders>
              <w:top w:val="single" w:sz="4" w:space="0" w:color="auto"/>
              <w:left w:val="nil"/>
              <w:bottom w:val="single" w:sz="4" w:space="0" w:color="auto"/>
              <w:right w:val="nil"/>
            </w:tcBorders>
            <w:noWrap/>
            <w:vAlign w:val="bottom"/>
            <w:hideMark/>
          </w:tcPr>
          <w:p w14:paraId="6B4D9A0F" w14:textId="77777777" w:rsidR="00F71F1F" w:rsidRPr="00F71F1F" w:rsidRDefault="00F71F1F" w:rsidP="00F71F1F">
            <w:pPr>
              <w:rPr>
                <w:rFonts w:ascii="Arial" w:eastAsia="Calibri" w:hAnsi="Arial" w:cs="Arial"/>
                <w:b/>
                <w:sz w:val="22"/>
                <w:szCs w:val="22"/>
              </w:rPr>
            </w:pPr>
            <w:r w:rsidRPr="00F71F1F">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1B1C2391" w14:textId="77777777" w:rsidR="00F71F1F" w:rsidRPr="00F71F1F" w:rsidRDefault="00F71F1F" w:rsidP="00F71F1F">
            <w:pPr>
              <w:rPr>
                <w:rFonts w:ascii="Arial" w:eastAsia="Calibri" w:hAnsi="Arial" w:cs="Arial"/>
                <w:b/>
                <w:sz w:val="22"/>
                <w:szCs w:val="22"/>
              </w:rPr>
            </w:pPr>
            <w:r w:rsidRPr="00F71F1F">
              <w:rPr>
                <w:rFonts w:ascii="Arial" w:eastAsia="Calibri" w:hAnsi="Arial" w:cs="Arial"/>
                <w:b/>
                <w:sz w:val="22"/>
                <w:szCs w:val="22"/>
              </w:rPr>
              <w:t xml:space="preserve">Scale Factor </w:t>
            </w:r>
          </w:p>
        </w:tc>
      </w:tr>
      <w:tr w:rsidR="00F71F1F" w:rsidRPr="00F71F1F" w14:paraId="6FE12FDE"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285F06C" w14:textId="77777777" w:rsidR="00F71F1F" w:rsidRPr="00F71F1F" w:rsidRDefault="00F71F1F" w:rsidP="00F71F1F">
            <w:pPr>
              <w:rPr>
                <w:rFonts w:ascii="Arial" w:hAnsi="Arial" w:cs="Arial"/>
                <w:sz w:val="22"/>
                <w:szCs w:val="22"/>
              </w:rPr>
            </w:pPr>
            <w:r w:rsidRPr="00F71F1F">
              <w:rPr>
                <w:rFonts w:ascii="Arial" w:hAnsi="Arial" w:cs="Arial"/>
                <w:sz w:val="22"/>
                <w:szCs w:val="22"/>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7652FA2" w14:textId="77777777" w:rsidR="00F71F1F" w:rsidRPr="00F71F1F" w:rsidRDefault="00F71F1F" w:rsidP="00F71F1F">
            <w:pPr>
              <w:rPr>
                <w:rFonts w:ascii="Arial" w:hAnsi="Arial" w:cs="Arial"/>
                <w:sz w:val="22"/>
                <w:szCs w:val="22"/>
              </w:rPr>
            </w:pPr>
            <w:r w:rsidRPr="00F71F1F">
              <w:rPr>
                <w:rFonts w:ascii="Arial" w:hAnsi="Arial" w:cs="Arial"/>
                <w:sz w:val="22"/>
                <w:szCs w:val="22"/>
              </w:rPr>
              <w:t>Thousands of dollars no decimal place</w:t>
            </w:r>
          </w:p>
        </w:tc>
      </w:tr>
      <w:tr w:rsidR="00F71F1F" w:rsidRPr="00F71F1F" w14:paraId="34A76B96" w14:textId="77777777" w:rsidTr="00B80789">
        <w:trPr>
          <w:trHeight w:val="317"/>
        </w:trPr>
        <w:tc>
          <w:tcPr>
            <w:tcW w:w="6946" w:type="dxa"/>
            <w:tcBorders>
              <w:top w:val="single" w:sz="4" w:space="0" w:color="auto"/>
              <w:bottom w:val="single" w:sz="4" w:space="0" w:color="auto"/>
            </w:tcBorders>
            <w:noWrap/>
            <w:vAlign w:val="bottom"/>
          </w:tcPr>
          <w:p w14:paraId="2CF64592" w14:textId="77777777" w:rsidR="00F71F1F" w:rsidRPr="00F71F1F" w:rsidRDefault="00F71F1F" w:rsidP="00F71F1F">
            <w:pPr>
              <w:rPr>
                <w:rFonts w:ascii="Arial" w:hAnsi="Arial" w:cs="Arial"/>
                <w:sz w:val="22"/>
                <w:szCs w:val="22"/>
              </w:rPr>
            </w:pPr>
            <w:r w:rsidRPr="00F71F1F">
              <w:rPr>
                <w:rFonts w:ascii="Arial" w:eastAsia="Calibri" w:hAnsi="Arial" w:cs="Arial"/>
                <w:b/>
                <w:sz w:val="22"/>
                <w:szCs w:val="22"/>
              </w:rPr>
              <w:t>Reporting Consolidation</w:t>
            </w:r>
          </w:p>
        </w:tc>
        <w:tc>
          <w:tcPr>
            <w:tcW w:w="6946" w:type="dxa"/>
            <w:tcBorders>
              <w:top w:val="single" w:sz="4" w:space="0" w:color="auto"/>
            </w:tcBorders>
            <w:noWrap/>
            <w:vAlign w:val="bottom"/>
          </w:tcPr>
          <w:p w14:paraId="7ED7B77E" w14:textId="77777777" w:rsidR="00F71F1F" w:rsidRPr="00F71F1F" w:rsidRDefault="00F71F1F" w:rsidP="00F71F1F">
            <w:pPr>
              <w:rPr>
                <w:rFonts w:ascii="Arial" w:hAnsi="Arial" w:cs="Arial"/>
                <w:sz w:val="22"/>
                <w:szCs w:val="22"/>
              </w:rPr>
            </w:pPr>
          </w:p>
        </w:tc>
      </w:tr>
      <w:tr w:rsidR="00F71F1F" w:rsidRPr="00F71F1F" w14:paraId="57D147CD"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15D73B6D" w14:textId="77777777" w:rsidR="00F71F1F" w:rsidRPr="00F71F1F" w:rsidRDefault="00F71F1F" w:rsidP="00F71F1F">
            <w:pPr>
              <w:rPr>
                <w:rFonts w:ascii="Arial" w:hAnsi="Arial" w:cs="Arial"/>
                <w:sz w:val="22"/>
                <w:szCs w:val="22"/>
              </w:rPr>
            </w:pPr>
            <w:r w:rsidRPr="00F71F1F">
              <w:rPr>
                <w:rFonts w:ascii="Arial" w:hAnsi="Arial" w:cs="Arial"/>
                <w:sz w:val="22"/>
                <w:szCs w:val="22"/>
              </w:rPr>
              <w:t>Licensed insurer</w:t>
            </w:r>
          </w:p>
        </w:tc>
        <w:tc>
          <w:tcPr>
            <w:tcW w:w="6946" w:type="dxa"/>
            <w:tcBorders>
              <w:left w:val="single" w:sz="4" w:space="0" w:color="auto"/>
            </w:tcBorders>
            <w:noWrap/>
            <w:vAlign w:val="bottom"/>
          </w:tcPr>
          <w:p w14:paraId="7D0F8795" w14:textId="77777777" w:rsidR="00F71F1F" w:rsidRPr="00F71F1F" w:rsidRDefault="00F71F1F" w:rsidP="00F71F1F">
            <w:pPr>
              <w:rPr>
                <w:rFonts w:ascii="Arial" w:hAnsi="Arial" w:cs="Arial"/>
                <w:sz w:val="22"/>
                <w:szCs w:val="22"/>
              </w:rPr>
            </w:pPr>
          </w:p>
        </w:tc>
      </w:tr>
    </w:tbl>
    <w:p w14:paraId="12BC7A3D" w14:textId="77777777" w:rsidR="00F71F1F" w:rsidRPr="00F71F1F" w:rsidRDefault="00F71F1F" w:rsidP="00F71F1F">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F71F1F" w:rsidRPr="00F71F1F" w14:paraId="11798A7C" w14:textId="77777777" w:rsidTr="00B80789">
        <w:tc>
          <w:tcPr>
            <w:tcW w:w="8789" w:type="dxa"/>
          </w:tcPr>
          <w:p w14:paraId="63AA25D0" w14:textId="77777777" w:rsidR="00F71F1F" w:rsidRPr="00F71F1F" w:rsidRDefault="00F71F1F" w:rsidP="00F71F1F">
            <w:pPr>
              <w:rPr>
                <w:rFonts w:ascii="Arial" w:hAnsi="Arial" w:cs="Arial"/>
                <w:b/>
                <w:bCs/>
                <w:sz w:val="24"/>
                <w:szCs w:val="24"/>
              </w:rPr>
            </w:pPr>
            <w:r w:rsidRPr="00F71F1F">
              <w:rPr>
                <w:rFonts w:ascii="Arial" w:hAnsi="Arial" w:cs="Arial"/>
                <w:b/>
                <w:bCs/>
                <w:sz w:val="24"/>
                <w:szCs w:val="24"/>
              </w:rPr>
              <w:t>Section 1: ADI</w:t>
            </w:r>
          </w:p>
        </w:tc>
      </w:tr>
    </w:tbl>
    <w:p w14:paraId="7EC27C6D" w14:textId="77777777" w:rsidR="00F71F1F" w:rsidRPr="00F71F1F" w:rsidRDefault="00F71F1F" w:rsidP="00F71F1F">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F71F1F" w:rsidRPr="00F71F1F" w14:paraId="70D5FA07" w14:textId="77777777" w:rsidTr="00B80789">
        <w:tc>
          <w:tcPr>
            <w:tcW w:w="8804" w:type="dxa"/>
          </w:tcPr>
          <w:p w14:paraId="062C6972" w14:textId="77777777" w:rsidR="00F71F1F" w:rsidRPr="00F71F1F" w:rsidRDefault="00F71F1F" w:rsidP="00F71F1F">
            <w:pPr>
              <w:rPr>
                <w:rFonts w:ascii="Arial" w:hAnsi="Arial" w:cs="Arial"/>
                <w:b/>
                <w:bCs/>
                <w:sz w:val="22"/>
                <w:szCs w:val="22"/>
              </w:rPr>
            </w:pPr>
            <w:r w:rsidRPr="00F71F1F">
              <w:rPr>
                <w:rFonts w:ascii="Arial" w:hAnsi="Arial" w:cs="Arial"/>
                <w:b/>
                <w:bCs/>
                <w:sz w:val="22"/>
                <w:szCs w:val="22"/>
              </w:rPr>
              <w:t>1.1. 100 per cent and top cover</w:t>
            </w:r>
          </w:p>
        </w:tc>
      </w:tr>
    </w:tbl>
    <w:p w14:paraId="5BE5C08C" w14:textId="77777777" w:rsidR="00F71F1F" w:rsidRPr="00F71F1F" w:rsidRDefault="00F71F1F" w:rsidP="00F71F1F">
      <w:pPr>
        <w:rPr>
          <w:rFonts w:ascii="Arial" w:eastAsia="Calibri" w:hAnsi="Arial" w:cs="Arial"/>
          <w:sz w:val="22"/>
          <w:szCs w:val="22"/>
          <w:lang w:eastAsia="en-US"/>
        </w:rPr>
      </w:pPr>
    </w:p>
    <w:tbl>
      <w:tblPr>
        <w:tblW w:w="13892" w:type="dxa"/>
        <w:tblInd w:w="93" w:type="dxa"/>
        <w:tblLayout w:type="fixed"/>
        <w:tblLook w:val="04A0" w:firstRow="1" w:lastRow="0" w:firstColumn="1" w:lastColumn="0" w:noHBand="0" w:noVBand="1"/>
      </w:tblPr>
      <w:tblGrid>
        <w:gridCol w:w="1157"/>
        <w:gridCol w:w="1158"/>
        <w:gridCol w:w="1157"/>
        <w:gridCol w:w="1158"/>
        <w:gridCol w:w="1157"/>
        <w:gridCol w:w="1158"/>
        <w:gridCol w:w="1157"/>
        <w:gridCol w:w="1158"/>
        <w:gridCol w:w="1158"/>
        <w:gridCol w:w="1158"/>
        <w:gridCol w:w="1158"/>
        <w:gridCol w:w="1158"/>
      </w:tblGrid>
      <w:tr w:rsidR="00F71F1F" w:rsidRPr="00F71F1F" w14:paraId="4EE2B567" w14:textId="77777777" w:rsidTr="00B80789">
        <w:trPr>
          <w:trHeight w:val="317"/>
        </w:trPr>
        <w:tc>
          <w:tcPr>
            <w:tcW w:w="1157" w:type="dxa"/>
            <w:vMerge w:val="restart"/>
            <w:tcBorders>
              <w:top w:val="single" w:sz="4" w:space="0" w:color="auto"/>
              <w:left w:val="single" w:sz="4" w:space="0" w:color="auto"/>
              <w:right w:val="single" w:sz="4" w:space="0" w:color="auto"/>
            </w:tcBorders>
            <w:shd w:val="clear" w:color="auto" w:fill="auto"/>
            <w:vAlign w:val="bottom"/>
          </w:tcPr>
          <w:p w14:paraId="1818AB2E" w14:textId="77777777" w:rsidR="00F71F1F" w:rsidRPr="00F71F1F" w:rsidRDefault="00F71F1F" w:rsidP="00F71F1F">
            <w:pPr>
              <w:jc w:val="center"/>
              <w:rPr>
                <w:rFonts w:ascii="Arial" w:hAnsi="Arial" w:cs="Arial"/>
                <w:b/>
                <w:bCs/>
              </w:rPr>
            </w:pPr>
            <w:r w:rsidRPr="00F71F1F">
              <w:rPr>
                <w:rFonts w:ascii="Arial" w:hAnsi="Arial" w:cs="Arial"/>
                <w:b/>
                <w:bCs/>
              </w:rPr>
              <w:t>LVR greater than (%)</w:t>
            </w:r>
          </w:p>
        </w:tc>
        <w:tc>
          <w:tcPr>
            <w:tcW w:w="1158" w:type="dxa"/>
            <w:vMerge w:val="restart"/>
            <w:tcBorders>
              <w:top w:val="single" w:sz="4" w:space="0" w:color="auto"/>
              <w:left w:val="nil"/>
              <w:right w:val="single" w:sz="4" w:space="0" w:color="auto"/>
            </w:tcBorders>
            <w:shd w:val="clear" w:color="auto" w:fill="auto"/>
            <w:vAlign w:val="bottom"/>
          </w:tcPr>
          <w:p w14:paraId="056BC1E8" w14:textId="77777777" w:rsidR="00F71F1F" w:rsidRPr="00F71F1F" w:rsidRDefault="00F71F1F" w:rsidP="00F71F1F">
            <w:pPr>
              <w:jc w:val="center"/>
              <w:rPr>
                <w:rFonts w:ascii="Arial" w:hAnsi="Arial" w:cs="Arial"/>
                <w:b/>
                <w:bCs/>
              </w:rPr>
            </w:pPr>
            <w:r w:rsidRPr="00F71F1F">
              <w:rPr>
                <w:rFonts w:ascii="Arial" w:hAnsi="Arial" w:cs="Arial"/>
                <w:b/>
                <w:bCs/>
              </w:rPr>
              <w:t>LVR less than or equal to (%)</w:t>
            </w:r>
          </w:p>
        </w:tc>
        <w:tc>
          <w:tcPr>
            <w:tcW w:w="1157" w:type="dxa"/>
            <w:vMerge w:val="restart"/>
            <w:tcBorders>
              <w:top w:val="single" w:sz="4" w:space="0" w:color="auto"/>
              <w:left w:val="nil"/>
              <w:right w:val="single" w:sz="4" w:space="0" w:color="auto"/>
            </w:tcBorders>
            <w:shd w:val="clear" w:color="auto" w:fill="auto"/>
            <w:vAlign w:val="bottom"/>
          </w:tcPr>
          <w:p w14:paraId="11FA8B9E" w14:textId="77777777" w:rsidR="00F71F1F" w:rsidRPr="00F71F1F" w:rsidRDefault="00F71F1F" w:rsidP="00F71F1F">
            <w:pPr>
              <w:jc w:val="center"/>
              <w:rPr>
                <w:rFonts w:ascii="Arial" w:hAnsi="Arial" w:cs="Arial"/>
                <w:b/>
                <w:bCs/>
              </w:rPr>
            </w:pPr>
            <w:r w:rsidRPr="00F71F1F">
              <w:rPr>
                <w:rFonts w:ascii="Arial" w:hAnsi="Arial" w:cs="Arial"/>
                <w:b/>
                <w:bCs/>
              </w:rPr>
              <w:t>Coverage proportion (%)</w:t>
            </w:r>
          </w:p>
        </w:tc>
        <w:tc>
          <w:tcPr>
            <w:tcW w:w="4630" w:type="dxa"/>
            <w:gridSpan w:val="4"/>
            <w:tcBorders>
              <w:top w:val="single" w:sz="4" w:space="0" w:color="auto"/>
              <w:left w:val="nil"/>
              <w:bottom w:val="nil"/>
              <w:right w:val="single" w:sz="4" w:space="0" w:color="000000"/>
            </w:tcBorders>
            <w:shd w:val="clear" w:color="auto" w:fill="auto"/>
            <w:vAlign w:val="bottom"/>
          </w:tcPr>
          <w:p w14:paraId="53CAF7ED" w14:textId="77777777" w:rsidR="00F71F1F" w:rsidRPr="00F71F1F" w:rsidRDefault="00F71F1F" w:rsidP="00F71F1F">
            <w:pPr>
              <w:jc w:val="center"/>
              <w:rPr>
                <w:rFonts w:ascii="Arial" w:hAnsi="Arial" w:cs="Arial"/>
                <w:b/>
                <w:bCs/>
              </w:rPr>
            </w:pPr>
            <w:r w:rsidRPr="00F71F1F">
              <w:rPr>
                <w:rFonts w:ascii="Arial" w:hAnsi="Arial" w:cs="Arial"/>
                <w:b/>
                <w:bCs/>
              </w:rPr>
              <w:t>Age</w:t>
            </w:r>
          </w:p>
        </w:tc>
        <w:tc>
          <w:tcPr>
            <w:tcW w:w="1158" w:type="dxa"/>
            <w:vMerge w:val="restart"/>
            <w:tcBorders>
              <w:top w:val="single" w:sz="4" w:space="0" w:color="auto"/>
              <w:left w:val="nil"/>
              <w:right w:val="single" w:sz="4" w:space="0" w:color="000000"/>
            </w:tcBorders>
            <w:vAlign w:val="bottom"/>
          </w:tcPr>
          <w:p w14:paraId="2C961C89" w14:textId="77777777" w:rsidR="00F71F1F" w:rsidRPr="00F71F1F" w:rsidRDefault="00F71F1F" w:rsidP="00F71F1F">
            <w:pPr>
              <w:jc w:val="center"/>
              <w:rPr>
                <w:rFonts w:ascii="Arial" w:hAnsi="Arial" w:cs="Arial"/>
                <w:b/>
                <w:bCs/>
              </w:rPr>
            </w:pPr>
            <w:r w:rsidRPr="00F71F1F">
              <w:rPr>
                <w:rFonts w:ascii="Arial" w:hAnsi="Arial" w:cs="Arial"/>
                <w:b/>
                <w:bCs/>
              </w:rPr>
              <w:t>Total sum insured</w:t>
            </w:r>
          </w:p>
        </w:tc>
        <w:tc>
          <w:tcPr>
            <w:tcW w:w="1158" w:type="dxa"/>
            <w:vMerge w:val="restart"/>
            <w:tcBorders>
              <w:top w:val="single" w:sz="4" w:space="0" w:color="auto"/>
              <w:left w:val="nil"/>
              <w:right w:val="single" w:sz="4" w:space="0" w:color="000000"/>
            </w:tcBorders>
            <w:vAlign w:val="bottom"/>
          </w:tcPr>
          <w:p w14:paraId="15D17AA8" w14:textId="77777777" w:rsidR="00F71F1F" w:rsidRPr="00F71F1F" w:rsidRDefault="00F71F1F" w:rsidP="00F71F1F">
            <w:pPr>
              <w:jc w:val="center"/>
              <w:rPr>
                <w:rFonts w:ascii="Arial" w:hAnsi="Arial" w:cs="Arial"/>
                <w:b/>
                <w:bCs/>
              </w:rPr>
            </w:pPr>
            <w:r w:rsidRPr="00F71F1F">
              <w:rPr>
                <w:rFonts w:ascii="Arial" w:hAnsi="Arial" w:cs="Arial"/>
                <w:b/>
                <w:bCs/>
              </w:rPr>
              <w:t>PD factor</w:t>
            </w:r>
          </w:p>
        </w:tc>
        <w:tc>
          <w:tcPr>
            <w:tcW w:w="1158" w:type="dxa"/>
            <w:vMerge w:val="restart"/>
            <w:tcBorders>
              <w:top w:val="single" w:sz="4" w:space="0" w:color="auto"/>
              <w:left w:val="nil"/>
              <w:right w:val="single" w:sz="4" w:space="0" w:color="000000"/>
            </w:tcBorders>
            <w:vAlign w:val="bottom"/>
          </w:tcPr>
          <w:p w14:paraId="205B2C11" w14:textId="77777777" w:rsidR="00F71F1F" w:rsidRPr="00F71F1F" w:rsidRDefault="00F71F1F" w:rsidP="00F71F1F">
            <w:pPr>
              <w:jc w:val="center"/>
              <w:rPr>
                <w:rFonts w:ascii="Arial" w:hAnsi="Arial" w:cs="Arial"/>
                <w:b/>
                <w:bCs/>
              </w:rPr>
            </w:pPr>
            <w:r w:rsidRPr="00F71F1F">
              <w:rPr>
                <w:rFonts w:ascii="Arial" w:hAnsi="Arial" w:cs="Arial"/>
                <w:b/>
                <w:bCs/>
              </w:rPr>
              <w:t>LGD factor</w:t>
            </w:r>
          </w:p>
          <w:p w14:paraId="64B64205" w14:textId="77777777" w:rsidR="00F71F1F" w:rsidRPr="00F71F1F" w:rsidRDefault="00F71F1F" w:rsidP="00F71F1F">
            <w:pPr>
              <w:jc w:val="center"/>
              <w:rPr>
                <w:rFonts w:ascii="Arial" w:hAnsi="Arial" w:cs="Arial"/>
                <w:b/>
                <w:bCs/>
              </w:rPr>
            </w:pPr>
            <w:r w:rsidRPr="00F71F1F">
              <w:rPr>
                <w:rFonts w:ascii="Arial" w:hAnsi="Arial" w:cs="Arial"/>
                <w:b/>
                <w:bCs/>
              </w:rPr>
              <w:t>(100% cover)</w:t>
            </w:r>
          </w:p>
        </w:tc>
        <w:tc>
          <w:tcPr>
            <w:tcW w:w="1158" w:type="dxa"/>
            <w:vMerge w:val="restart"/>
            <w:tcBorders>
              <w:top w:val="single" w:sz="4" w:space="0" w:color="auto"/>
              <w:left w:val="nil"/>
              <w:right w:val="single" w:sz="4" w:space="0" w:color="000000"/>
            </w:tcBorders>
            <w:vAlign w:val="bottom"/>
          </w:tcPr>
          <w:p w14:paraId="3F0F9C59" w14:textId="77777777" w:rsidR="00F71F1F" w:rsidRPr="00F71F1F" w:rsidRDefault="00F71F1F" w:rsidP="00F71F1F">
            <w:pPr>
              <w:jc w:val="center"/>
              <w:rPr>
                <w:rFonts w:ascii="Arial" w:hAnsi="Arial" w:cs="Arial"/>
                <w:b/>
                <w:bCs/>
              </w:rPr>
            </w:pPr>
            <w:r w:rsidRPr="00F71F1F">
              <w:rPr>
                <w:rFonts w:ascii="Arial" w:hAnsi="Arial" w:cs="Arial"/>
                <w:b/>
                <w:bCs/>
              </w:rPr>
              <w:t>LGD factor</w:t>
            </w:r>
          </w:p>
          <w:p w14:paraId="54EDD6B3" w14:textId="77777777" w:rsidR="00F71F1F" w:rsidRPr="00F71F1F" w:rsidRDefault="00F71F1F" w:rsidP="00F71F1F">
            <w:pPr>
              <w:jc w:val="center"/>
              <w:rPr>
                <w:rFonts w:ascii="Arial" w:hAnsi="Arial" w:cs="Arial"/>
                <w:b/>
                <w:bCs/>
              </w:rPr>
            </w:pPr>
            <w:r w:rsidRPr="00F71F1F">
              <w:rPr>
                <w:rFonts w:ascii="Arial" w:hAnsi="Arial" w:cs="Arial"/>
                <w:b/>
                <w:bCs/>
              </w:rPr>
              <w:t>(top cover)</w:t>
            </w:r>
          </w:p>
        </w:tc>
        <w:tc>
          <w:tcPr>
            <w:tcW w:w="1158" w:type="dxa"/>
            <w:vMerge w:val="restart"/>
            <w:tcBorders>
              <w:top w:val="single" w:sz="4" w:space="0" w:color="auto"/>
              <w:left w:val="nil"/>
              <w:right w:val="single" w:sz="4" w:space="0" w:color="000000"/>
            </w:tcBorders>
            <w:vAlign w:val="bottom"/>
          </w:tcPr>
          <w:p w14:paraId="43527F19" w14:textId="77777777" w:rsidR="00F71F1F" w:rsidRPr="00F71F1F" w:rsidRDefault="00F71F1F" w:rsidP="00F71F1F">
            <w:pPr>
              <w:jc w:val="center"/>
              <w:rPr>
                <w:rFonts w:ascii="Arial" w:hAnsi="Arial" w:cs="Arial"/>
                <w:b/>
                <w:bCs/>
              </w:rPr>
            </w:pPr>
            <w:r w:rsidRPr="00F71F1F">
              <w:rPr>
                <w:rFonts w:ascii="Arial" w:hAnsi="Arial" w:cs="Arial"/>
                <w:b/>
                <w:bCs/>
              </w:rPr>
              <w:t>PML</w:t>
            </w:r>
          </w:p>
        </w:tc>
      </w:tr>
      <w:tr w:rsidR="00F71F1F" w:rsidRPr="00F71F1F" w14:paraId="15AB0FD5" w14:textId="77777777" w:rsidTr="00B80789">
        <w:trPr>
          <w:trHeight w:val="317"/>
        </w:trPr>
        <w:tc>
          <w:tcPr>
            <w:tcW w:w="1157" w:type="dxa"/>
            <w:vMerge/>
            <w:tcBorders>
              <w:left w:val="single" w:sz="4" w:space="0" w:color="auto"/>
              <w:bottom w:val="nil"/>
              <w:right w:val="single" w:sz="4" w:space="0" w:color="auto"/>
            </w:tcBorders>
            <w:shd w:val="clear" w:color="auto" w:fill="auto"/>
            <w:vAlign w:val="bottom"/>
            <w:hideMark/>
          </w:tcPr>
          <w:p w14:paraId="6A5609A8"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auto"/>
            </w:tcBorders>
            <w:shd w:val="clear" w:color="auto" w:fill="auto"/>
            <w:vAlign w:val="bottom"/>
            <w:hideMark/>
          </w:tcPr>
          <w:p w14:paraId="01BD58B0" w14:textId="77777777" w:rsidR="00F71F1F" w:rsidRPr="00F71F1F" w:rsidRDefault="00F71F1F" w:rsidP="00F71F1F">
            <w:pPr>
              <w:jc w:val="center"/>
              <w:rPr>
                <w:rFonts w:ascii="Arial" w:hAnsi="Arial" w:cs="Arial"/>
                <w:b/>
                <w:bCs/>
              </w:rPr>
            </w:pPr>
          </w:p>
        </w:tc>
        <w:tc>
          <w:tcPr>
            <w:tcW w:w="1157" w:type="dxa"/>
            <w:vMerge/>
            <w:tcBorders>
              <w:left w:val="nil"/>
              <w:bottom w:val="nil"/>
              <w:right w:val="single" w:sz="4" w:space="0" w:color="auto"/>
            </w:tcBorders>
            <w:shd w:val="clear" w:color="auto" w:fill="auto"/>
            <w:vAlign w:val="bottom"/>
            <w:hideMark/>
          </w:tcPr>
          <w:p w14:paraId="58000591" w14:textId="77777777" w:rsidR="00F71F1F" w:rsidRPr="00F71F1F" w:rsidRDefault="00F71F1F" w:rsidP="00F71F1F">
            <w:pPr>
              <w:rPr>
                <w:rFonts w:ascii="Arial" w:hAnsi="Arial" w:cs="Arial"/>
                <w:b/>
                <w:bCs/>
              </w:rPr>
            </w:pPr>
          </w:p>
        </w:tc>
        <w:tc>
          <w:tcPr>
            <w:tcW w:w="1158" w:type="dxa"/>
            <w:tcBorders>
              <w:top w:val="single" w:sz="4" w:space="0" w:color="auto"/>
              <w:left w:val="nil"/>
              <w:bottom w:val="nil"/>
              <w:right w:val="single" w:sz="4" w:space="0" w:color="000000"/>
            </w:tcBorders>
            <w:shd w:val="clear" w:color="auto" w:fill="auto"/>
            <w:vAlign w:val="bottom"/>
            <w:hideMark/>
          </w:tcPr>
          <w:p w14:paraId="13E27D46" w14:textId="77777777" w:rsidR="00F71F1F" w:rsidRPr="00F71F1F" w:rsidRDefault="00F71F1F" w:rsidP="00F71F1F">
            <w:pPr>
              <w:jc w:val="center"/>
              <w:rPr>
                <w:rFonts w:ascii="Arial" w:hAnsi="Arial" w:cs="Arial"/>
                <w:b/>
                <w:bCs/>
              </w:rPr>
            </w:pPr>
            <w:r w:rsidRPr="00F71F1F">
              <w:rPr>
                <w:rFonts w:ascii="Arial" w:hAnsi="Arial" w:cs="Arial"/>
                <w:b/>
                <w:bCs/>
              </w:rPr>
              <w:t>&lt; 3 years</w:t>
            </w:r>
          </w:p>
        </w:tc>
        <w:tc>
          <w:tcPr>
            <w:tcW w:w="1157" w:type="dxa"/>
            <w:tcBorders>
              <w:top w:val="single" w:sz="4" w:space="0" w:color="auto"/>
              <w:left w:val="nil"/>
              <w:bottom w:val="nil"/>
              <w:right w:val="single" w:sz="4" w:space="0" w:color="000000"/>
            </w:tcBorders>
            <w:vAlign w:val="bottom"/>
          </w:tcPr>
          <w:p w14:paraId="72EC98A1" w14:textId="77777777" w:rsidR="00F71F1F" w:rsidRPr="00F71F1F" w:rsidRDefault="00F71F1F" w:rsidP="00F71F1F">
            <w:pPr>
              <w:jc w:val="center"/>
              <w:rPr>
                <w:rFonts w:ascii="Arial" w:hAnsi="Arial" w:cs="Arial"/>
                <w:b/>
                <w:bCs/>
              </w:rPr>
            </w:pPr>
            <w:r w:rsidRPr="00F71F1F">
              <w:rPr>
                <w:rFonts w:ascii="Arial" w:hAnsi="Arial" w:cs="Arial"/>
                <w:b/>
                <w:bCs/>
              </w:rPr>
              <w:t>3 &lt; 5 years</w:t>
            </w:r>
          </w:p>
        </w:tc>
        <w:tc>
          <w:tcPr>
            <w:tcW w:w="1158" w:type="dxa"/>
            <w:tcBorders>
              <w:top w:val="single" w:sz="4" w:space="0" w:color="auto"/>
              <w:left w:val="nil"/>
              <w:bottom w:val="nil"/>
              <w:right w:val="single" w:sz="4" w:space="0" w:color="000000"/>
            </w:tcBorders>
            <w:vAlign w:val="bottom"/>
          </w:tcPr>
          <w:p w14:paraId="79A84D26" w14:textId="77777777" w:rsidR="00F71F1F" w:rsidRPr="00F71F1F" w:rsidRDefault="00F71F1F" w:rsidP="00F71F1F">
            <w:pPr>
              <w:jc w:val="center"/>
              <w:rPr>
                <w:rFonts w:ascii="Arial" w:hAnsi="Arial" w:cs="Arial"/>
                <w:b/>
                <w:bCs/>
              </w:rPr>
            </w:pPr>
            <w:r w:rsidRPr="00F71F1F">
              <w:rPr>
                <w:rFonts w:ascii="Arial" w:hAnsi="Arial" w:cs="Arial"/>
                <w:b/>
                <w:bCs/>
              </w:rPr>
              <w:t>5 &lt; 10 years</w:t>
            </w:r>
          </w:p>
        </w:tc>
        <w:tc>
          <w:tcPr>
            <w:tcW w:w="1157" w:type="dxa"/>
            <w:tcBorders>
              <w:top w:val="single" w:sz="4" w:space="0" w:color="auto"/>
              <w:left w:val="nil"/>
              <w:bottom w:val="nil"/>
              <w:right w:val="single" w:sz="4" w:space="0" w:color="000000"/>
            </w:tcBorders>
            <w:vAlign w:val="bottom"/>
          </w:tcPr>
          <w:p w14:paraId="48A4A3F7" w14:textId="77777777" w:rsidR="00F71F1F" w:rsidRPr="00F71F1F" w:rsidRDefault="00F71F1F" w:rsidP="00F71F1F">
            <w:pPr>
              <w:jc w:val="center"/>
              <w:rPr>
                <w:rFonts w:ascii="Arial" w:hAnsi="Arial" w:cs="Arial"/>
                <w:b/>
                <w:bCs/>
              </w:rPr>
            </w:pPr>
            <w:r w:rsidRPr="00F71F1F">
              <w:rPr>
                <w:rFonts w:ascii="Arial" w:hAnsi="Arial" w:cs="Arial"/>
                <w:b/>
                <w:bCs/>
              </w:rPr>
              <w:t>&gt;= 10 years</w:t>
            </w:r>
          </w:p>
        </w:tc>
        <w:tc>
          <w:tcPr>
            <w:tcW w:w="1158" w:type="dxa"/>
            <w:vMerge/>
            <w:tcBorders>
              <w:left w:val="nil"/>
              <w:bottom w:val="nil"/>
              <w:right w:val="single" w:sz="4" w:space="0" w:color="000000"/>
            </w:tcBorders>
            <w:vAlign w:val="bottom"/>
          </w:tcPr>
          <w:p w14:paraId="6F3309A1"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000000"/>
            </w:tcBorders>
            <w:vAlign w:val="bottom"/>
          </w:tcPr>
          <w:p w14:paraId="14054998"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000000"/>
            </w:tcBorders>
          </w:tcPr>
          <w:p w14:paraId="29E51979"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000000"/>
            </w:tcBorders>
          </w:tcPr>
          <w:p w14:paraId="550EF4D9"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000000"/>
            </w:tcBorders>
          </w:tcPr>
          <w:p w14:paraId="39D40405" w14:textId="77777777" w:rsidR="00F71F1F" w:rsidRPr="00F71F1F" w:rsidRDefault="00F71F1F" w:rsidP="00F71F1F">
            <w:pPr>
              <w:rPr>
                <w:rFonts w:ascii="Arial" w:hAnsi="Arial" w:cs="Arial"/>
                <w:b/>
                <w:bCs/>
              </w:rPr>
            </w:pPr>
          </w:p>
        </w:tc>
      </w:tr>
      <w:tr w:rsidR="00F71F1F" w:rsidRPr="00F71F1F" w14:paraId="3C8C2582" w14:textId="77777777" w:rsidTr="00B80789">
        <w:trPr>
          <w:trHeight w:val="317"/>
        </w:trPr>
        <w:tc>
          <w:tcPr>
            <w:tcW w:w="1157" w:type="dxa"/>
            <w:tcBorders>
              <w:top w:val="nil"/>
              <w:left w:val="single" w:sz="4" w:space="0" w:color="auto"/>
              <w:bottom w:val="single" w:sz="4" w:space="0" w:color="auto"/>
              <w:right w:val="single" w:sz="4" w:space="0" w:color="auto"/>
            </w:tcBorders>
            <w:shd w:val="clear" w:color="auto" w:fill="auto"/>
            <w:vAlign w:val="bottom"/>
            <w:hideMark/>
          </w:tcPr>
          <w:p w14:paraId="5E8B13F3" w14:textId="77777777" w:rsidR="00F71F1F" w:rsidRPr="00F71F1F" w:rsidRDefault="00F71F1F" w:rsidP="00F71F1F">
            <w:pPr>
              <w:jc w:val="center"/>
              <w:rPr>
                <w:rFonts w:ascii="Arial" w:hAnsi="Arial" w:cs="Arial"/>
                <w:b/>
                <w:bCs/>
              </w:rPr>
            </w:pPr>
            <w:r w:rsidRPr="00F71F1F">
              <w:rPr>
                <w:rFonts w:ascii="Arial" w:hAnsi="Arial" w:cs="Arial"/>
                <w:b/>
                <w:bCs/>
              </w:rPr>
              <w:t>(1)</w:t>
            </w:r>
          </w:p>
        </w:tc>
        <w:tc>
          <w:tcPr>
            <w:tcW w:w="1158" w:type="dxa"/>
            <w:tcBorders>
              <w:top w:val="nil"/>
              <w:left w:val="nil"/>
              <w:bottom w:val="single" w:sz="4" w:space="0" w:color="auto"/>
              <w:right w:val="single" w:sz="4" w:space="0" w:color="auto"/>
            </w:tcBorders>
            <w:shd w:val="clear" w:color="auto" w:fill="auto"/>
            <w:vAlign w:val="bottom"/>
            <w:hideMark/>
          </w:tcPr>
          <w:p w14:paraId="18894C9D" w14:textId="77777777" w:rsidR="00F71F1F" w:rsidRPr="00F71F1F" w:rsidRDefault="00F71F1F" w:rsidP="00F71F1F">
            <w:pPr>
              <w:jc w:val="center"/>
              <w:rPr>
                <w:rFonts w:ascii="Arial" w:hAnsi="Arial" w:cs="Arial"/>
                <w:b/>
                <w:bCs/>
              </w:rPr>
            </w:pPr>
            <w:r w:rsidRPr="00F71F1F">
              <w:rPr>
                <w:rFonts w:ascii="Arial" w:hAnsi="Arial" w:cs="Arial"/>
                <w:b/>
                <w:bCs/>
              </w:rPr>
              <w:t>(2)</w:t>
            </w:r>
          </w:p>
        </w:tc>
        <w:tc>
          <w:tcPr>
            <w:tcW w:w="1157" w:type="dxa"/>
            <w:tcBorders>
              <w:top w:val="nil"/>
              <w:left w:val="nil"/>
              <w:bottom w:val="single" w:sz="4" w:space="0" w:color="auto"/>
              <w:right w:val="single" w:sz="4" w:space="0" w:color="auto"/>
            </w:tcBorders>
            <w:shd w:val="clear" w:color="auto" w:fill="auto"/>
            <w:vAlign w:val="bottom"/>
            <w:hideMark/>
          </w:tcPr>
          <w:p w14:paraId="664CD5C2" w14:textId="77777777" w:rsidR="00F71F1F" w:rsidRPr="00F71F1F" w:rsidRDefault="00F71F1F" w:rsidP="00F71F1F">
            <w:pPr>
              <w:jc w:val="center"/>
              <w:rPr>
                <w:rFonts w:ascii="Arial" w:hAnsi="Arial" w:cs="Arial"/>
                <w:b/>
                <w:bCs/>
              </w:rPr>
            </w:pPr>
            <w:r w:rsidRPr="00F71F1F">
              <w:rPr>
                <w:rFonts w:ascii="Arial" w:hAnsi="Arial" w:cs="Arial"/>
                <w:b/>
                <w:bCs/>
              </w:rPr>
              <w:t>(3)</w:t>
            </w:r>
          </w:p>
        </w:tc>
        <w:tc>
          <w:tcPr>
            <w:tcW w:w="1158" w:type="dxa"/>
            <w:tcBorders>
              <w:top w:val="nil"/>
              <w:left w:val="nil"/>
              <w:bottom w:val="single" w:sz="4" w:space="0" w:color="auto"/>
              <w:right w:val="single" w:sz="4" w:space="0" w:color="000000"/>
            </w:tcBorders>
            <w:shd w:val="clear" w:color="auto" w:fill="auto"/>
            <w:vAlign w:val="bottom"/>
            <w:hideMark/>
          </w:tcPr>
          <w:p w14:paraId="2CB1728E" w14:textId="77777777" w:rsidR="00F71F1F" w:rsidRPr="00F71F1F" w:rsidRDefault="00F71F1F" w:rsidP="00F71F1F">
            <w:pPr>
              <w:jc w:val="center"/>
              <w:rPr>
                <w:rFonts w:ascii="Arial" w:hAnsi="Arial" w:cs="Arial"/>
                <w:b/>
                <w:bCs/>
              </w:rPr>
            </w:pPr>
            <w:r w:rsidRPr="00F71F1F">
              <w:rPr>
                <w:rFonts w:ascii="Arial" w:hAnsi="Arial" w:cs="Arial"/>
                <w:b/>
                <w:bCs/>
              </w:rPr>
              <w:t>(4.1)</w:t>
            </w:r>
          </w:p>
        </w:tc>
        <w:tc>
          <w:tcPr>
            <w:tcW w:w="1157" w:type="dxa"/>
            <w:tcBorders>
              <w:top w:val="nil"/>
              <w:left w:val="nil"/>
              <w:bottom w:val="single" w:sz="4" w:space="0" w:color="auto"/>
              <w:right w:val="single" w:sz="4" w:space="0" w:color="000000"/>
            </w:tcBorders>
            <w:vAlign w:val="bottom"/>
          </w:tcPr>
          <w:p w14:paraId="2E848DD3" w14:textId="77777777" w:rsidR="00F71F1F" w:rsidRPr="00F71F1F" w:rsidRDefault="00F71F1F" w:rsidP="00F71F1F">
            <w:pPr>
              <w:jc w:val="center"/>
              <w:rPr>
                <w:rFonts w:ascii="Arial" w:hAnsi="Arial" w:cs="Arial"/>
                <w:b/>
                <w:bCs/>
              </w:rPr>
            </w:pPr>
            <w:r w:rsidRPr="00F71F1F">
              <w:rPr>
                <w:rFonts w:ascii="Arial" w:hAnsi="Arial" w:cs="Arial"/>
                <w:b/>
                <w:bCs/>
              </w:rPr>
              <w:t>(4.2)</w:t>
            </w:r>
          </w:p>
        </w:tc>
        <w:tc>
          <w:tcPr>
            <w:tcW w:w="1158" w:type="dxa"/>
            <w:tcBorders>
              <w:top w:val="nil"/>
              <w:left w:val="nil"/>
              <w:bottom w:val="single" w:sz="4" w:space="0" w:color="auto"/>
              <w:right w:val="single" w:sz="4" w:space="0" w:color="000000"/>
            </w:tcBorders>
            <w:vAlign w:val="bottom"/>
          </w:tcPr>
          <w:p w14:paraId="2E41A222" w14:textId="77777777" w:rsidR="00F71F1F" w:rsidRPr="00F71F1F" w:rsidRDefault="00F71F1F" w:rsidP="00F71F1F">
            <w:pPr>
              <w:jc w:val="center"/>
              <w:rPr>
                <w:rFonts w:ascii="Arial" w:hAnsi="Arial" w:cs="Arial"/>
                <w:b/>
                <w:bCs/>
              </w:rPr>
            </w:pPr>
            <w:r w:rsidRPr="00F71F1F">
              <w:rPr>
                <w:rFonts w:ascii="Arial" w:hAnsi="Arial" w:cs="Arial"/>
                <w:b/>
                <w:bCs/>
              </w:rPr>
              <w:t>(4.3)</w:t>
            </w:r>
          </w:p>
        </w:tc>
        <w:tc>
          <w:tcPr>
            <w:tcW w:w="1157" w:type="dxa"/>
            <w:tcBorders>
              <w:top w:val="nil"/>
              <w:left w:val="nil"/>
              <w:bottom w:val="single" w:sz="4" w:space="0" w:color="auto"/>
              <w:right w:val="single" w:sz="4" w:space="0" w:color="000000"/>
            </w:tcBorders>
            <w:vAlign w:val="bottom"/>
          </w:tcPr>
          <w:p w14:paraId="26F5BAF5" w14:textId="77777777" w:rsidR="00F71F1F" w:rsidRPr="00F71F1F" w:rsidRDefault="00F71F1F" w:rsidP="00F71F1F">
            <w:pPr>
              <w:jc w:val="center"/>
              <w:rPr>
                <w:rFonts w:ascii="Arial" w:hAnsi="Arial" w:cs="Arial"/>
                <w:b/>
                <w:bCs/>
              </w:rPr>
            </w:pPr>
            <w:r w:rsidRPr="00F71F1F">
              <w:rPr>
                <w:rFonts w:ascii="Arial" w:hAnsi="Arial" w:cs="Arial"/>
                <w:b/>
                <w:bCs/>
              </w:rPr>
              <w:t>(4.4)</w:t>
            </w:r>
          </w:p>
        </w:tc>
        <w:tc>
          <w:tcPr>
            <w:tcW w:w="1158" w:type="dxa"/>
            <w:tcBorders>
              <w:top w:val="nil"/>
              <w:left w:val="nil"/>
              <w:bottom w:val="single" w:sz="4" w:space="0" w:color="auto"/>
              <w:right w:val="single" w:sz="4" w:space="0" w:color="000000"/>
            </w:tcBorders>
            <w:vAlign w:val="bottom"/>
          </w:tcPr>
          <w:p w14:paraId="3C122338" w14:textId="77777777" w:rsidR="00F71F1F" w:rsidRPr="00F71F1F" w:rsidRDefault="00F71F1F" w:rsidP="00F71F1F">
            <w:pPr>
              <w:jc w:val="center"/>
              <w:rPr>
                <w:rFonts w:ascii="Arial" w:hAnsi="Arial" w:cs="Arial"/>
                <w:b/>
                <w:bCs/>
              </w:rPr>
            </w:pPr>
            <w:r w:rsidRPr="00F71F1F">
              <w:rPr>
                <w:rFonts w:ascii="Arial" w:hAnsi="Arial" w:cs="Arial"/>
                <w:b/>
                <w:bCs/>
              </w:rPr>
              <w:t>(5)</w:t>
            </w:r>
          </w:p>
        </w:tc>
        <w:tc>
          <w:tcPr>
            <w:tcW w:w="1158" w:type="dxa"/>
            <w:tcBorders>
              <w:top w:val="nil"/>
              <w:left w:val="nil"/>
              <w:bottom w:val="single" w:sz="4" w:space="0" w:color="auto"/>
              <w:right w:val="single" w:sz="4" w:space="0" w:color="000000"/>
            </w:tcBorders>
            <w:vAlign w:val="bottom"/>
          </w:tcPr>
          <w:p w14:paraId="1EDDE97F" w14:textId="77777777" w:rsidR="00F71F1F" w:rsidRPr="00F71F1F" w:rsidRDefault="00F71F1F" w:rsidP="00F71F1F">
            <w:pPr>
              <w:jc w:val="center"/>
              <w:rPr>
                <w:rFonts w:ascii="Arial" w:hAnsi="Arial" w:cs="Arial"/>
                <w:b/>
                <w:bCs/>
              </w:rPr>
            </w:pPr>
            <w:r w:rsidRPr="00F71F1F">
              <w:rPr>
                <w:rFonts w:ascii="Arial" w:hAnsi="Arial" w:cs="Arial"/>
                <w:b/>
                <w:bCs/>
              </w:rPr>
              <w:t>(6)</w:t>
            </w:r>
          </w:p>
        </w:tc>
        <w:tc>
          <w:tcPr>
            <w:tcW w:w="1158" w:type="dxa"/>
            <w:tcBorders>
              <w:top w:val="nil"/>
              <w:left w:val="nil"/>
              <w:bottom w:val="single" w:sz="4" w:space="0" w:color="auto"/>
              <w:right w:val="single" w:sz="4" w:space="0" w:color="000000"/>
            </w:tcBorders>
            <w:vAlign w:val="bottom"/>
          </w:tcPr>
          <w:p w14:paraId="425371EC" w14:textId="77777777" w:rsidR="00F71F1F" w:rsidRPr="00F71F1F" w:rsidRDefault="00F71F1F" w:rsidP="00F71F1F">
            <w:pPr>
              <w:jc w:val="center"/>
              <w:rPr>
                <w:rFonts w:ascii="Arial" w:hAnsi="Arial" w:cs="Arial"/>
                <w:b/>
                <w:bCs/>
              </w:rPr>
            </w:pPr>
            <w:r w:rsidRPr="00F71F1F">
              <w:rPr>
                <w:rFonts w:ascii="Arial" w:hAnsi="Arial" w:cs="Arial"/>
                <w:b/>
                <w:bCs/>
              </w:rPr>
              <w:t>(7)</w:t>
            </w:r>
          </w:p>
        </w:tc>
        <w:tc>
          <w:tcPr>
            <w:tcW w:w="1158" w:type="dxa"/>
            <w:tcBorders>
              <w:top w:val="nil"/>
              <w:left w:val="nil"/>
              <w:bottom w:val="single" w:sz="4" w:space="0" w:color="auto"/>
              <w:right w:val="single" w:sz="4" w:space="0" w:color="000000"/>
            </w:tcBorders>
            <w:vAlign w:val="bottom"/>
          </w:tcPr>
          <w:p w14:paraId="16463AD6" w14:textId="77777777" w:rsidR="00F71F1F" w:rsidRPr="00F71F1F" w:rsidRDefault="00F71F1F" w:rsidP="00F71F1F">
            <w:pPr>
              <w:jc w:val="center"/>
              <w:rPr>
                <w:rFonts w:ascii="Arial" w:hAnsi="Arial" w:cs="Arial"/>
                <w:b/>
                <w:bCs/>
              </w:rPr>
            </w:pPr>
            <w:r w:rsidRPr="00F71F1F">
              <w:rPr>
                <w:rFonts w:ascii="Arial" w:hAnsi="Arial" w:cs="Arial"/>
                <w:b/>
                <w:bCs/>
              </w:rPr>
              <w:t>(8)</w:t>
            </w:r>
          </w:p>
        </w:tc>
        <w:tc>
          <w:tcPr>
            <w:tcW w:w="1158" w:type="dxa"/>
            <w:tcBorders>
              <w:top w:val="nil"/>
              <w:left w:val="nil"/>
              <w:bottom w:val="single" w:sz="4" w:space="0" w:color="auto"/>
              <w:right w:val="single" w:sz="4" w:space="0" w:color="000000"/>
            </w:tcBorders>
            <w:vAlign w:val="bottom"/>
          </w:tcPr>
          <w:p w14:paraId="1F4BDDE4" w14:textId="77777777" w:rsidR="00F71F1F" w:rsidRPr="00F71F1F" w:rsidRDefault="00F71F1F" w:rsidP="00F71F1F">
            <w:pPr>
              <w:jc w:val="center"/>
              <w:rPr>
                <w:rFonts w:ascii="Arial" w:hAnsi="Arial" w:cs="Arial"/>
                <w:b/>
                <w:bCs/>
              </w:rPr>
            </w:pPr>
            <w:r w:rsidRPr="00F71F1F">
              <w:rPr>
                <w:rFonts w:ascii="Arial" w:hAnsi="Arial" w:cs="Arial"/>
                <w:b/>
                <w:bCs/>
              </w:rPr>
              <w:t>(9)</w:t>
            </w:r>
          </w:p>
        </w:tc>
      </w:tr>
      <w:tr w:rsidR="00F71F1F" w:rsidRPr="00F71F1F" w14:paraId="4B6EE6CB" w14:textId="77777777" w:rsidTr="00B80789">
        <w:trPr>
          <w:trHeight w:val="31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7B01C"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noWrap/>
            <w:vAlign w:val="bottom"/>
          </w:tcPr>
          <w:p w14:paraId="5B7C11BD"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41C16B42"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uto"/>
            <w:vAlign w:val="bottom"/>
          </w:tcPr>
          <w:p w14:paraId="343C9686"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nil"/>
              <w:bottom w:val="single" w:sz="4" w:space="0" w:color="auto"/>
              <w:right w:val="single" w:sz="4" w:space="0" w:color="auto"/>
            </w:tcBorders>
            <w:vAlign w:val="bottom"/>
          </w:tcPr>
          <w:p w14:paraId="13675A77"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vAlign w:val="bottom"/>
          </w:tcPr>
          <w:p w14:paraId="7F063B27"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nil"/>
              <w:bottom w:val="single" w:sz="4" w:space="0" w:color="auto"/>
              <w:right w:val="single" w:sz="4" w:space="0" w:color="auto"/>
            </w:tcBorders>
            <w:vAlign w:val="bottom"/>
          </w:tcPr>
          <w:p w14:paraId="2D1842A7"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16C1C155"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2222AA5B"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26EE1BAF"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17A8CC03"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41A754D9"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7C42B049" w14:textId="77777777" w:rsidTr="00B80789">
        <w:trPr>
          <w:trHeight w:val="317"/>
        </w:trPr>
        <w:tc>
          <w:tcPr>
            <w:tcW w:w="115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898CB0A"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100</w:t>
            </w:r>
          </w:p>
        </w:tc>
        <w:tc>
          <w:tcPr>
            <w:tcW w:w="1158" w:type="dxa"/>
            <w:tcBorders>
              <w:top w:val="single" w:sz="4" w:space="0" w:color="auto"/>
              <w:left w:val="dotDash" w:sz="4" w:space="0" w:color="auto"/>
              <w:right w:val="dotDash" w:sz="4" w:space="0" w:color="auto"/>
            </w:tcBorders>
            <w:shd w:val="clear" w:color="auto" w:fill="auto"/>
            <w:noWrap/>
            <w:vAlign w:val="bottom"/>
          </w:tcPr>
          <w:p w14:paraId="18B241E9"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997441E"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100</w:t>
            </w:r>
          </w:p>
        </w:tc>
        <w:tc>
          <w:tcPr>
            <w:tcW w:w="1158" w:type="dxa"/>
            <w:tcBorders>
              <w:top w:val="single" w:sz="4" w:space="0" w:color="auto"/>
              <w:left w:val="dotDash" w:sz="4" w:space="0" w:color="auto"/>
            </w:tcBorders>
            <w:shd w:val="clear" w:color="auto" w:fill="auto"/>
            <w:vAlign w:val="bottom"/>
          </w:tcPr>
          <w:p w14:paraId="0B1CD66B"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tcBorders>
            <w:vAlign w:val="bottom"/>
          </w:tcPr>
          <w:p w14:paraId="6C5A7E17"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66A43389"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tcBorders>
            <w:vAlign w:val="bottom"/>
          </w:tcPr>
          <w:p w14:paraId="445A0049"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4BC9D17A"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187610CF"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046FA6BA"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4A5BD2A9"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3FAD73DD"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4E88DF6C"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571D9E8"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95</w:t>
            </w:r>
          </w:p>
        </w:tc>
        <w:tc>
          <w:tcPr>
            <w:tcW w:w="1158" w:type="dxa"/>
            <w:tcBorders>
              <w:left w:val="dotDash" w:sz="4" w:space="0" w:color="auto"/>
              <w:right w:val="dotDash" w:sz="4" w:space="0" w:color="auto"/>
            </w:tcBorders>
            <w:shd w:val="clear" w:color="auto" w:fill="auto"/>
            <w:noWrap/>
            <w:vAlign w:val="bottom"/>
          </w:tcPr>
          <w:p w14:paraId="1BC156A6"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25EF13"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40</w:t>
            </w:r>
          </w:p>
        </w:tc>
        <w:tc>
          <w:tcPr>
            <w:tcW w:w="1158" w:type="dxa"/>
            <w:tcBorders>
              <w:left w:val="dotDash" w:sz="4" w:space="0" w:color="auto"/>
            </w:tcBorders>
            <w:shd w:val="clear" w:color="auto" w:fill="auto"/>
            <w:vAlign w:val="bottom"/>
          </w:tcPr>
          <w:p w14:paraId="4151A4C3"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742AA627"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33513CA"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4644FC55"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F911B7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CD6EB0F"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C0487F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14E04587"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AD8141F"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4F76D978"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3F01D4E"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90</w:t>
            </w:r>
          </w:p>
        </w:tc>
        <w:tc>
          <w:tcPr>
            <w:tcW w:w="1158" w:type="dxa"/>
            <w:tcBorders>
              <w:left w:val="dotDash" w:sz="4" w:space="0" w:color="auto"/>
              <w:right w:val="dotDash" w:sz="4" w:space="0" w:color="auto"/>
            </w:tcBorders>
            <w:shd w:val="clear" w:color="auto" w:fill="auto"/>
            <w:noWrap/>
            <w:vAlign w:val="bottom"/>
          </w:tcPr>
          <w:p w14:paraId="5DA128D4"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AA831A6"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35</w:t>
            </w:r>
          </w:p>
        </w:tc>
        <w:tc>
          <w:tcPr>
            <w:tcW w:w="1158" w:type="dxa"/>
            <w:tcBorders>
              <w:left w:val="dotDash" w:sz="4" w:space="0" w:color="auto"/>
            </w:tcBorders>
            <w:shd w:val="clear" w:color="auto" w:fill="auto"/>
            <w:vAlign w:val="bottom"/>
          </w:tcPr>
          <w:p w14:paraId="71855E9B"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248B4E15"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0F3F3327"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069A2980"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336CE2B"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48902A14"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DAB0EAA"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065E81F4"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2AC1A38"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4A78E85C"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D81A5A4"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85</w:t>
            </w:r>
          </w:p>
        </w:tc>
        <w:tc>
          <w:tcPr>
            <w:tcW w:w="1158" w:type="dxa"/>
            <w:tcBorders>
              <w:left w:val="dotDash" w:sz="4" w:space="0" w:color="auto"/>
              <w:right w:val="dotDash" w:sz="4" w:space="0" w:color="auto"/>
            </w:tcBorders>
            <w:shd w:val="clear" w:color="auto" w:fill="auto"/>
            <w:noWrap/>
            <w:vAlign w:val="bottom"/>
          </w:tcPr>
          <w:p w14:paraId="11BC3E47"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ADD805"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30</w:t>
            </w:r>
          </w:p>
        </w:tc>
        <w:tc>
          <w:tcPr>
            <w:tcW w:w="1158" w:type="dxa"/>
            <w:tcBorders>
              <w:left w:val="dotDash" w:sz="4" w:space="0" w:color="auto"/>
            </w:tcBorders>
            <w:shd w:val="clear" w:color="auto" w:fill="auto"/>
            <w:vAlign w:val="bottom"/>
          </w:tcPr>
          <w:p w14:paraId="11453ACB"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27ED44B4"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47187C1"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2271D334"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03C02E70"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EC2292B"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9B25672"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49AB4F1F"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4C072DE8"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7671C512"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B76EB6A"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80</w:t>
            </w:r>
          </w:p>
        </w:tc>
        <w:tc>
          <w:tcPr>
            <w:tcW w:w="1158" w:type="dxa"/>
            <w:tcBorders>
              <w:left w:val="dotDash" w:sz="4" w:space="0" w:color="auto"/>
              <w:right w:val="dotDash" w:sz="4" w:space="0" w:color="auto"/>
            </w:tcBorders>
            <w:shd w:val="clear" w:color="auto" w:fill="auto"/>
            <w:noWrap/>
            <w:vAlign w:val="bottom"/>
          </w:tcPr>
          <w:p w14:paraId="3C31FAC1"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46D8F42"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25</w:t>
            </w:r>
          </w:p>
        </w:tc>
        <w:tc>
          <w:tcPr>
            <w:tcW w:w="1158" w:type="dxa"/>
            <w:tcBorders>
              <w:left w:val="dotDash" w:sz="4" w:space="0" w:color="auto"/>
            </w:tcBorders>
            <w:shd w:val="clear" w:color="auto" w:fill="auto"/>
            <w:vAlign w:val="bottom"/>
          </w:tcPr>
          <w:p w14:paraId="5A1DCC50"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4434042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1A8F7BD9"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0D8EF21A"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FEA80C0"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25A0D29"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3B79557"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4E91454"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CBDBFBE"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2CDD3DB4"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5A236B5"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70</w:t>
            </w:r>
          </w:p>
        </w:tc>
        <w:tc>
          <w:tcPr>
            <w:tcW w:w="1158" w:type="dxa"/>
            <w:tcBorders>
              <w:left w:val="dotDash" w:sz="4" w:space="0" w:color="auto"/>
              <w:right w:val="dotDash" w:sz="4" w:space="0" w:color="auto"/>
            </w:tcBorders>
            <w:shd w:val="clear" w:color="auto" w:fill="auto"/>
            <w:noWrap/>
            <w:vAlign w:val="bottom"/>
          </w:tcPr>
          <w:p w14:paraId="3B197846"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27E9F3"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20</w:t>
            </w:r>
          </w:p>
        </w:tc>
        <w:tc>
          <w:tcPr>
            <w:tcW w:w="1158" w:type="dxa"/>
            <w:tcBorders>
              <w:left w:val="dotDash" w:sz="4" w:space="0" w:color="auto"/>
            </w:tcBorders>
            <w:shd w:val="clear" w:color="auto" w:fill="auto"/>
            <w:vAlign w:val="bottom"/>
          </w:tcPr>
          <w:p w14:paraId="2546E4EC"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2BC8FCD0"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897918D"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49B7ADD5"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6949587"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D392B05"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05342388"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C43BB2C"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0D706B9E"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547D5EAB"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E94E9CC"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60</w:t>
            </w:r>
          </w:p>
        </w:tc>
        <w:tc>
          <w:tcPr>
            <w:tcW w:w="1158" w:type="dxa"/>
            <w:tcBorders>
              <w:left w:val="dotDash" w:sz="4" w:space="0" w:color="auto"/>
            </w:tcBorders>
            <w:shd w:val="clear" w:color="auto" w:fill="auto"/>
            <w:noWrap/>
            <w:vAlign w:val="bottom"/>
          </w:tcPr>
          <w:p w14:paraId="71DA14EB"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tcBorders>
            <w:shd w:val="clear" w:color="auto" w:fill="auto"/>
            <w:noWrap/>
            <w:vAlign w:val="bottom"/>
          </w:tcPr>
          <w:p w14:paraId="56616518" w14:textId="77777777" w:rsidR="00F71F1F" w:rsidRPr="00F71F1F" w:rsidRDefault="00F71F1F" w:rsidP="00F71F1F">
            <w:pPr>
              <w:jc w:val="center"/>
              <w:rPr>
                <w:rFonts w:ascii="Arial" w:eastAsia="Calibri" w:hAnsi="Arial" w:cs="Arial"/>
                <w:sz w:val="22"/>
                <w:szCs w:val="22"/>
                <w:lang w:eastAsia="en-US"/>
              </w:rPr>
            </w:pPr>
          </w:p>
        </w:tc>
        <w:tc>
          <w:tcPr>
            <w:tcW w:w="1158" w:type="dxa"/>
            <w:shd w:val="clear" w:color="auto" w:fill="auto"/>
            <w:vAlign w:val="bottom"/>
          </w:tcPr>
          <w:p w14:paraId="71702EF2"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77C5E2F6"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DA0EAAE"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21580408"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489F7342"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8158857"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D1C3185"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1DA492D6"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4DA1D536"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0A70ACA8" w14:textId="77777777" w:rsidTr="00B80789">
        <w:trPr>
          <w:trHeight w:val="317"/>
        </w:trPr>
        <w:tc>
          <w:tcPr>
            <w:tcW w:w="1157" w:type="dxa"/>
            <w:tcBorders>
              <w:top w:val="dotDash" w:sz="4" w:space="0" w:color="auto"/>
              <w:left w:val="dotDash" w:sz="4" w:space="0" w:color="auto"/>
              <w:bottom w:val="single" w:sz="4" w:space="0" w:color="auto"/>
              <w:right w:val="dotDash" w:sz="4" w:space="0" w:color="auto"/>
            </w:tcBorders>
            <w:shd w:val="clear" w:color="auto" w:fill="auto"/>
            <w:noWrap/>
            <w:vAlign w:val="bottom"/>
          </w:tcPr>
          <w:p w14:paraId="68A5AF18"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0</w:t>
            </w:r>
          </w:p>
        </w:tc>
        <w:tc>
          <w:tcPr>
            <w:tcW w:w="1158" w:type="dxa"/>
            <w:tcBorders>
              <w:left w:val="dotDash" w:sz="4" w:space="0" w:color="auto"/>
              <w:bottom w:val="single" w:sz="4" w:space="0" w:color="auto"/>
            </w:tcBorders>
            <w:shd w:val="clear" w:color="auto" w:fill="auto"/>
            <w:noWrap/>
            <w:vAlign w:val="bottom"/>
          </w:tcPr>
          <w:p w14:paraId="373B17EB" w14:textId="77777777" w:rsidR="00F71F1F" w:rsidRPr="00F71F1F" w:rsidRDefault="00F71F1F" w:rsidP="00F71F1F">
            <w:pPr>
              <w:jc w:val="center"/>
              <w:rPr>
                <w:rFonts w:ascii="Arial" w:eastAsia="Calibri" w:hAnsi="Arial" w:cs="Arial"/>
                <w:sz w:val="22"/>
                <w:szCs w:val="22"/>
                <w:lang w:eastAsia="en-US"/>
              </w:rPr>
            </w:pPr>
          </w:p>
        </w:tc>
        <w:tc>
          <w:tcPr>
            <w:tcW w:w="1157" w:type="dxa"/>
            <w:tcBorders>
              <w:bottom w:val="single" w:sz="4" w:space="0" w:color="auto"/>
            </w:tcBorders>
            <w:shd w:val="clear" w:color="auto" w:fill="auto"/>
            <w:noWrap/>
            <w:vAlign w:val="bottom"/>
          </w:tcPr>
          <w:p w14:paraId="711150EF" w14:textId="77777777" w:rsidR="00F71F1F" w:rsidRPr="00F71F1F" w:rsidRDefault="00F71F1F" w:rsidP="00F71F1F">
            <w:pPr>
              <w:jc w:val="center"/>
              <w:rPr>
                <w:rFonts w:ascii="Arial" w:eastAsia="Calibri" w:hAnsi="Arial" w:cs="Arial"/>
                <w:sz w:val="22"/>
                <w:szCs w:val="22"/>
                <w:lang w:eastAsia="en-US"/>
              </w:rPr>
            </w:pPr>
          </w:p>
        </w:tc>
        <w:tc>
          <w:tcPr>
            <w:tcW w:w="1158" w:type="dxa"/>
            <w:tcBorders>
              <w:bottom w:val="single" w:sz="4" w:space="0" w:color="auto"/>
            </w:tcBorders>
            <w:shd w:val="clear" w:color="auto" w:fill="auto"/>
            <w:vAlign w:val="bottom"/>
          </w:tcPr>
          <w:p w14:paraId="405AD45D" w14:textId="77777777" w:rsidR="00F71F1F" w:rsidRPr="00F71F1F" w:rsidRDefault="00F71F1F" w:rsidP="00F71F1F">
            <w:pPr>
              <w:jc w:val="center"/>
              <w:rPr>
                <w:rFonts w:ascii="Arial" w:eastAsia="Calibri" w:hAnsi="Arial" w:cs="Arial"/>
                <w:sz w:val="22"/>
                <w:szCs w:val="22"/>
                <w:lang w:eastAsia="en-US"/>
              </w:rPr>
            </w:pPr>
          </w:p>
        </w:tc>
        <w:tc>
          <w:tcPr>
            <w:tcW w:w="1157" w:type="dxa"/>
            <w:tcBorders>
              <w:bottom w:val="single" w:sz="4" w:space="0" w:color="auto"/>
            </w:tcBorders>
            <w:vAlign w:val="bottom"/>
          </w:tcPr>
          <w:p w14:paraId="7791D138" w14:textId="77777777" w:rsidR="00F71F1F" w:rsidRPr="00F71F1F" w:rsidRDefault="00F71F1F" w:rsidP="00F71F1F">
            <w:pPr>
              <w:jc w:val="center"/>
              <w:rPr>
                <w:rFonts w:ascii="Arial" w:eastAsia="Calibri" w:hAnsi="Arial" w:cs="Arial"/>
                <w:sz w:val="22"/>
                <w:szCs w:val="22"/>
                <w:lang w:eastAsia="en-US"/>
              </w:rPr>
            </w:pPr>
          </w:p>
        </w:tc>
        <w:tc>
          <w:tcPr>
            <w:tcW w:w="1158" w:type="dxa"/>
            <w:tcBorders>
              <w:bottom w:val="single" w:sz="4" w:space="0" w:color="auto"/>
            </w:tcBorders>
            <w:vAlign w:val="bottom"/>
          </w:tcPr>
          <w:p w14:paraId="30143E97" w14:textId="77777777" w:rsidR="00F71F1F" w:rsidRPr="00F71F1F" w:rsidRDefault="00F71F1F" w:rsidP="00F71F1F">
            <w:pPr>
              <w:jc w:val="center"/>
              <w:rPr>
                <w:rFonts w:ascii="Arial" w:eastAsia="Calibri" w:hAnsi="Arial" w:cs="Arial"/>
                <w:sz w:val="22"/>
                <w:szCs w:val="22"/>
                <w:lang w:eastAsia="en-US"/>
              </w:rPr>
            </w:pPr>
          </w:p>
        </w:tc>
        <w:tc>
          <w:tcPr>
            <w:tcW w:w="1157" w:type="dxa"/>
            <w:tcBorders>
              <w:bottom w:val="single" w:sz="4" w:space="0" w:color="auto"/>
            </w:tcBorders>
            <w:vAlign w:val="bottom"/>
          </w:tcPr>
          <w:p w14:paraId="13B1FA67" w14:textId="77777777" w:rsidR="00F71F1F" w:rsidRPr="00F71F1F" w:rsidRDefault="00F71F1F" w:rsidP="00F71F1F">
            <w:pPr>
              <w:jc w:val="center"/>
              <w:rPr>
                <w:rFonts w:ascii="Arial" w:eastAsia="Calibri" w:hAnsi="Arial" w:cs="Arial"/>
                <w:sz w:val="22"/>
                <w:szCs w:val="22"/>
                <w:lang w:eastAsia="en-US"/>
              </w:rPr>
            </w:pPr>
          </w:p>
        </w:tc>
        <w:tc>
          <w:tcPr>
            <w:tcW w:w="1158" w:type="dxa"/>
            <w:tcBorders>
              <w:bottom w:val="single" w:sz="4" w:space="0" w:color="auto"/>
            </w:tcBorders>
            <w:vAlign w:val="bottom"/>
          </w:tcPr>
          <w:p w14:paraId="2DE0093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06CDC3D2"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1EDDFE0C"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4567D306" w14:textId="77777777" w:rsidR="00F71F1F" w:rsidRPr="00F71F1F" w:rsidRDefault="00F71F1F" w:rsidP="00F71F1F">
            <w:pPr>
              <w:jc w:val="center"/>
              <w:rPr>
                <w:rFonts w:ascii="Arial" w:eastAsia="Calibri" w:hAnsi="Arial" w:cs="Arial"/>
                <w:sz w:val="22"/>
                <w:szCs w:val="22"/>
                <w:lang w:eastAsia="en-US"/>
              </w:rPr>
            </w:pPr>
          </w:p>
        </w:tc>
        <w:tc>
          <w:tcPr>
            <w:tcW w:w="1158" w:type="dxa"/>
            <w:tcBorders>
              <w:bottom w:val="single" w:sz="4" w:space="0" w:color="auto"/>
            </w:tcBorders>
            <w:vAlign w:val="bottom"/>
          </w:tcPr>
          <w:p w14:paraId="3B175DA7"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387DB077" w14:textId="77777777" w:rsidTr="00B80789">
        <w:trPr>
          <w:trHeight w:val="317"/>
        </w:trPr>
        <w:tc>
          <w:tcPr>
            <w:tcW w:w="34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9C6C78" w14:textId="77777777" w:rsidR="00F71F1F" w:rsidRPr="00F71F1F" w:rsidRDefault="00F71F1F" w:rsidP="00F71F1F">
            <w:pPr>
              <w:jc w:val="center"/>
              <w:rPr>
                <w:rFonts w:ascii="Arial" w:eastAsia="Calibri" w:hAnsi="Arial" w:cs="Arial"/>
                <w:sz w:val="22"/>
                <w:szCs w:val="22"/>
                <w:lang w:eastAsia="en-US"/>
              </w:rPr>
            </w:pPr>
            <w:r w:rsidRPr="00F71F1F">
              <w:rPr>
                <w:rFonts w:ascii="Arial" w:eastAsia="Calibri" w:hAnsi="Arial" w:cs="Arial"/>
                <w:sz w:val="22"/>
                <w:szCs w:val="22"/>
                <w:lang w:eastAsia="en-US"/>
              </w:rPr>
              <w:lastRenderedPageBreak/>
              <w:t>Total</w:t>
            </w: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4EF9FD5A"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single" w:sz="4" w:space="0" w:color="auto"/>
              <w:bottom w:val="single" w:sz="4" w:space="0" w:color="auto"/>
              <w:right w:val="single" w:sz="4" w:space="0" w:color="auto"/>
            </w:tcBorders>
            <w:shd w:val="clear" w:color="auto" w:fill="A6A6A6"/>
            <w:vAlign w:val="bottom"/>
          </w:tcPr>
          <w:p w14:paraId="677943A7"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32255554"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single" w:sz="4" w:space="0" w:color="auto"/>
              <w:bottom w:val="single" w:sz="4" w:space="0" w:color="auto"/>
              <w:right w:val="single" w:sz="4" w:space="0" w:color="auto"/>
            </w:tcBorders>
            <w:shd w:val="clear" w:color="auto" w:fill="A6A6A6"/>
            <w:vAlign w:val="bottom"/>
          </w:tcPr>
          <w:p w14:paraId="5D47546D"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147EBC6E" w14:textId="77777777" w:rsidR="00F71F1F" w:rsidRPr="00F71F1F" w:rsidRDefault="00F71F1F" w:rsidP="00F71F1F">
            <w:pPr>
              <w:jc w:val="center"/>
              <w:rPr>
                <w:rFonts w:ascii="Arial" w:eastAsia="Calibri" w:hAnsi="Arial" w:cs="Arial"/>
                <w:sz w:val="22"/>
                <w:szCs w:val="22"/>
                <w:lang w:eastAsia="en-US"/>
              </w:rPr>
            </w:pPr>
          </w:p>
        </w:tc>
        <w:tc>
          <w:tcPr>
            <w:tcW w:w="1158" w:type="dxa"/>
            <w:tcBorders>
              <w:left w:val="single" w:sz="4" w:space="0" w:color="auto"/>
            </w:tcBorders>
            <w:vAlign w:val="bottom"/>
          </w:tcPr>
          <w:p w14:paraId="5D0F91D7"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95AC2B1" w14:textId="77777777" w:rsidR="00F71F1F" w:rsidRPr="00F71F1F" w:rsidRDefault="00F71F1F" w:rsidP="00F71F1F">
            <w:pPr>
              <w:jc w:val="center"/>
              <w:rPr>
                <w:rFonts w:ascii="Arial" w:eastAsia="Calibri" w:hAnsi="Arial" w:cs="Arial"/>
                <w:sz w:val="22"/>
                <w:szCs w:val="22"/>
                <w:lang w:eastAsia="en-US"/>
              </w:rPr>
            </w:pPr>
          </w:p>
        </w:tc>
        <w:tc>
          <w:tcPr>
            <w:tcW w:w="1158" w:type="dxa"/>
            <w:tcBorders>
              <w:right w:val="single" w:sz="4" w:space="0" w:color="auto"/>
            </w:tcBorders>
            <w:vAlign w:val="bottom"/>
          </w:tcPr>
          <w:p w14:paraId="69EBD51E"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175BD16B" w14:textId="77777777" w:rsidR="00F71F1F" w:rsidRPr="00F71F1F" w:rsidRDefault="00F71F1F" w:rsidP="00F71F1F">
            <w:pPr>
              <w:jc w:val="center"/>
              <w:rPr>
                <w:rFonts w:ascii="Arial" w:eastAsia="Calibri" w:hAnsi="Arial" w:cs="Arial"/>
                <w:sz w:val="22"/>
                <w:szCs w:val="22"/>
                <w:lang w:eastAsia="en-US"/>
              </w:rPr>
            </w:pPr>
          </w:p>
        </w:tc>
      </w:tr>
    </w:tbl>
    <w:p w14:paraId="48E7A0B8" w14:textId="77777777" w:rsidR="00F71F1F" w:rsidRPr="00F71F1F" w:rsidRDefault="00F71F1F" w:rsidP="00F71F1F">
      <w:pPr>
        <w:rPr>
          <w:rFonts w:ascii="Arial" w:eastAsia="Calibri" w:hAnsi="Arial" w:cs="Arial"/>
          <w:sz w:val="22"/>
          <w:szCs w:val="22"/>
          <w:lang w:eastAsia="en-US"/>
        </w:rPr>
      </w:pPr>
    </w:p>
    <w:p w14:paraId="790D845D" w14:textId="77777777" w:rsidR="00F71F1F" w:rsidRPr="00F71F1F" w:rsidRDefault="00F71F1F" w:rsidP="00F71F1F">
      <w:pPr>
        <w:rPr>
          <w:rFonts w:ascii="Arial" w:hAnsi="Arial" w:cs="Arial"/>
          <w:b/>
          <w:bCs/>
          <w:sz w:val="22"/>
          <w:szCs w:val="22"/>
        </w:rPr>
      </w:pPr>
    </w:p>
    <w:tbl>
      <w:tblPr>
        <w:tblW w:w="13892" w:type="dxa"/>
        <w:tblInd w:w="108" w:type="dxa"/>
        <w:tblLook w:val="04A0" w:firstRow="1" w:lastRow="0" w:firstColumn="1" w:lastColumn="0" w:noHBand="0" w:noVBand="1"/>
      </w:tblPr>
      <w:tblGrid>
        <w:gridCol w:w="13892"/>
      </w:tblGrid>
      <w:tr w:rsidR="00F71F1F" w:rsidRPr="00F71F1F" w14:paraId="735E4B7C" w14:textId="77777777" w:rsidTr="00B80789">
        <w:tc>
          <w:tcPr>
            <w:tcW w:w="8804" w:type="dxa"/>
          </w:tcPr>
          <w:p w14:paraId="169BD59B" w14:textId="77777777" w:rsidR="00F71F1F" w:rsidRPr="00F71F1F" w:rsidRDefault="00F71F1F" w:rsidP="00F71F1F">
            <w:pPr>
              <w:rPr>
                <w:rFonts w:ascii="Arial" w:hAnsi="Arial" w:cs="Arial"/>
                <w:b/>
                <w:bCs/>
                <w:sz w:val="22"/>
                <w:szCs w:val="22"/>
              </w:rPr>
            </w:pPr>
            <w:r w:rsidRPr="00F71F1F">
              <w:rPr>
                <w:rFonts w:ascii="Arial" w:hAnsi="Arial" w:cs="Arial"/>
                <w:b/>
                <w:bCs/>
                <w:sz w:val="22"/>
                <w:szCs w:val="22"/>
              </w:rPr>
              <w:t>1.2. Pool cover</w:t>
            </w:r>
          </w:p>
        </w:tc>
      </w:tr>
    </w:tbl>
    <w:p w14:paraId="0382CC63" w14:textId="77777777" w:rsidR="00F71F1F" w:rsidRPr="00F71F1F" w:rsidRDefault="00F71F1F" w:rsidP="00F71F1F">
      <w:pPr>
        <w:rPr>
          <w:rFonts w:ascii="Arial" w:eastAsia="Calibri" w:hAnsi="Arial" w:cs="Arial"/>
          <w:sz w:val="22"/>
          <w:szCs w:val="22"/>
          <w:lang w:eastAsia="en-US"/>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F71F1F" w:rsidRPr="00F71F1F" w14:paraId="28AD59C0" w14:textId="77777777" w:rsidTr="00B80789">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4BE79AA7" w14:textId="77777777" w:rsidR="00F71F1F" w:rsidRPr="00F71F1F" w:rsidRDefault="00F71F1F" w:rsidP="00F71F1F">
            <w:pPr>
              <w:jc w:val="center"/>
              <w:rPr>
                <w:rFonts w:ascii="Arial" w:hAnsi="Arial" w:cs="Arial"/>
                <w:b/>
                <w:bCs/>
              </w:rPr>
            </w:pPr>
            <w:r w:rsidRPr="00F71F1F">
              <w:rPr>
                <w:rFonts w:ascii="Arial" w:hAnsi="Arial" w:cs="Arial"/>
                <w:b/>
                <w:bCs/>
              </w:rPr>
              <w:t>Weighted-average LVR (%)</w:t>
            </w:r>
          </w:p>
        </w:tc>
        <w:tc>
          <w:tcPr>
            <w:tcW w:w="1985" w:type="dxa"/>
            <w:tcBorders>
              <w:top w:val="single" w:sz="4" w:space="0" w:color="auto"/>
              <w:left w:val="nil"/>
              <w:bottom w:val="nil"/>
              <w:right w:val="single" w:sz="4" w:space="0" w:color="auto"/>
            </w:tcBorders>
            <w:shd w:val="clear" w:color="auto" w:fill="auto"/>
            <w:vAlign w:val="bottom"/>
            <w:hideMark/>
          </w:tcPr>
          <w:p w14:paraId="0F24C459" w14:textId="77777777" w:rsidR="00F71F1F" w:rsidRPr="00F71F1F" w:rsidRDefault="00F71F1F" w:rsidP="00F71F1F">
            <w:pPr>
              <w:jc w:val="center"/>
              <w:rPr>
                <w:rFonts w:ascii="Arial" w:hAnsi="Arial" w:cs="Arial"/>
                <w:b/>
                <w:bCs/>
              </w:rPr>
            </w:pPr>
            <w:r w:rsidRPr="00F71F1F">
              <w:rPr>
                <w:rFonts w:ascii="Arial" w:hAnsi="Arial" w:cs="Arial"/>
                <w:b/>
                <w:bCs/>
              </w:rPr>
              <w:t>Weighted-average age</w:t>
            </w:r>
          </w:p>
        </w:tc>
        <w:tc>
          <w:tcPr>
            <w:tcW w:w="1984" w:type="dxa"/>
            <w:tcBorders>
              <w:top w:val="single" w:sz="4" w:space="0" w:color="auto"/>
              <w:left w:val="nil"/>
              <w:bottom w:val="nil"/>
              <w:right w:val="single" w:sz="4" w:space="0" w:color="auto"/>
            </w:tcBorders>
            <w:shd w:val="clear" w:color="auto" w:fill="auto"/>
            <w:vAlign w:val="bottom"/>
            <w:hideMark/>
          </w:tcPr>
          <w:p w14:paraId="108D4F58" w14:textId="77777777" w:rsidR="00F71F1F" w:rsidRPr="00F71F1F" w:rsidRDefault="00F71F1F" w:rsidP="00F71F1F">
            <w:pPr>
              <w:jc w:val="center"/>
              <w:rPr>
                <w:rFonts w:ascii="Arial" w:hAnsi="Arial" w:cs="Arial"/>
                <w:b/>
                <w:bCs/>
              </w:rPr>
            </w:pPr>
            <w:r w:rsidRPr="00F71F1F">
              <w:rPr>
                <w:rFonts w:ascii="Arial" w:hAnsi="Arial" w:cs="Arial"/>
                <w:b/>
                <w:bCs/>
              </w:rPr>
              <w:t>Seasoning factor</w:t>
            </w:r>
          </w:p>
        </w:tc>
        <w:tc>
          <w:tcPr>
            <w:tcW w:w="1985" w:type="dxa"/>
            <w:tcBorders>
              <w:top w:val="single" w:sz="4" w:space="0" w:color="auto"/>
              <w:left w:val="nil"/>
              <w:bottom w:val="nil"/>
              <w:right w:val="single" w:sz="4" w:space="0" w:color="000000"/>
            </w:tcBorders>
            <w:shd w:val="clear" w:color="auto" w:fill="auto"/>
            <w:vAlign w:val="bottom"/>
            <w:hideMark/>
          </w:tcPr>
          <w:p w14:paraId="1829A19D" w14:textId="77777777" w:rsidR="00F71F1F" w:rsidRPr="00F71F1F" w:rsidRDefault="00F71F1F" w:rsidP="00F71F1F">
            <w:pPr>
              <w:jc w:val="center"/>
              <w:rPr>
                <w:rFonts w:ascii="Arial" w:hAnsi="Arial" w:cs="Arial"/>
                <w:b/>
                <w:bCs/>
              </w:rPr>
            </w:pPr>
            <w:r w:rsidRPr="00F71F1F">
              <w:rPr>
                <w:rFonts w:ascii="Arial" w:hAnsi="Arial" w:cs="Arial"/>
                <w:b/>
                <w:bCs/>
              </w:rPr>
              <w:t>Total sum insured</w:t>
            </w:r>
          </w:p>
        </w:tc>
        <w:tc>
          <w:tcPr>
            <w:tcW w:w="1984" w:type="dxa"/>
            <w:tcBorders>
              <w:top w:val="single" w:sz="4" w:space="0" w:color="auto"/>
              <w:left w:val="nil"/>
              <w:bottom w:val="nil"/>
              <w:right w:val="single" w:sz="4" w:space="0" w:color="000000"/>
            </w:tcBorders>
            <w:vAlign w:val="bottom"/>
          </w:tcPr>
          <w:p w14:paraId="1029B1D2" w14:textId="77777777" w:rsidR="00F71F1F" w:rsidRPr="00F71F1F" w:rsidRDefault="00F71F1F" w:rsidP="00F71F1F">
            <w:pPr>
              <w:jc w:val="center"/>
              <w:rPr>
                <w:rFonts w:ascii="Arial" w:hAnsi="Arial" w:cs="Arial"/>
                <w:b/>
                <w:bCs/>
              </w:rPr>
            </w:pPr>
            <w:r w:rsidRPr="00F71F1F">
              <w:rPr>
                <w:rFonts w:ascii="Arial" w:hAnsi="Arial" w:cs="Arial"/>
                <w:b/>
                <w:bCs/>
              </w:rPr>
              <w:t>PD factor</w:t>
            </w:r>
          </w:p>
        </w:tc>
        <w:tc>
          <w:tcPr>
            <w:tcW w:w="1985" w:type="dxa"/>
            <w:tcBorders>
              <w:top w:val="single" w:sz="4" w:space="0" w:color="auto"/>
              <w:left w:val="nil"/>
              <w:bottom w:val="nil"/>
              <w:right w:val="single" w:sz="4" w:space="0" w:color="000000"/>
            </w:tcBorders>
            <w:vAlign w:val="bottom"/>
          </w:tcPr>
          <w:p w14:paraId="2A977818" w14:textId="77777777" w:rsidR="00F71F1F" w:rsidRPr="00F71F1F" w:rsidRDefault="00F71F1F" w:rsidP="00F71F1F">
            <w:pPr>
              <w:jc w:val="center"/>
              <w:rPr>
                <w:rFonts w:ascii="Arial" w:hAnsi="Arial" w:cs="Arial"/>
                <w:b/>
                <w:bCs/>
              </w:rPr>
            </w:pPr>
            <w:r w:rsidRPr="00F71F1F">
              <w:rPr>
                <w:rFonts w:ascii="Arial" w:hAnsi="Arial" w:cs="Arial"/>
                <w:b/>
                <w:bCs/>
              </w:rPr>
              <w:t>LGD factor</w:t>
            </w:r>
          </w:p>
        </w:tc>
        <w:tc>
          <w:tcPr>
            <w:tcW w:w="1984" w:type="dxa"/>
            <w:tcBorders>
              <w:top w:val="single" w:sz="4" w:space="0" w:color="auto"/>
              <w:left w:val="nil"/>
              <w:bottom w:val="nil"/>
              <w:right w:val="single" w:sz="4" w:space="0" w:color="000000"/>
            </w:tcBorders>
            <w:vAlign w:val="bottom"/>
          </w:tcPr>
          <w:p w14:paraId="0FE6EA0B" w14:textId="77777777" w:rsidR="00F71F1F" w:rsidRPr="00F71F1F" w:rsidRDefault="00F71F1F" w:rsidP="00F71F1F">
            <w:pPr>
              <w:jc w:val="center"/>
              <w:rPr>
                <w:rFonts w:ascii="Arial" w:hAnsi="Arial" w:cs="Arial"/>
                <w:b/>
                <w:bCs/>
              </w:rPr>
            </w:pPr>
            <w:r w:rsidRPr="00F71F1F">
              <w:rPr>
                <w:rFonts w:ascii="Arial" w:hAnsi="Arial" w:cs="Arial"/>
                <w:b/>
                <w:bCs/>
              </w:rPr>
              <w:t>PML</w:t>
            </w:r>
          </w:p>
        </w:tc>
      </w:tr>
      <w:tr w:rsidR="00F71F1F" w:rsidRPr="00F71F1F" w14:paraId="145061C2" w14:textId="77777777" w:rsidTr="00B80789">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D58E59B" w14:textId="77777777" w:rsidR="00F71F1F" w:rsidRPr="00F71F1F" w:rsidRDefault="00F71F1F" w:rsidP="00F71F1F">
            <w:pPr>
              <w:jc w:val="center"/>
              <w:rPr>
                <w:rFonts w:ascii="Arial" w:hAnsi="Arial" w:cs="Arial"/>
                <w:b/>
                <w:bCs/>
              </w:rPr>
            </w:pPr>
            <w:r w:rsidRPr="00F71F1F">
              <w:rPr>
                <w:rFonts w:ascii="Arial" w:hAnsi="Arial" w:cs="Arial"/>
                <w:b/>
                <w:bCs/>
              </w:rPr>
              <w:t>(1)</w:t>
            </w:r>
          </w:p>
        </w:tc>
        <w:tc>
          <w:tcPr>
            <w:tcW w:w="1985" w:type="dxa"/>
            <w:tcBorders>
              <w:top w:val="nil"/>
              <w:left w:val="nil"/>
              <w:bottom w:val="single" w:sz="4" w:space="0" w:color="auto"/>
              <w:right w:val="single" w:sz="4" w:space="0" w:color="auto"/>
            </w:tcBorders>
            <w:shd w:val="clear" w:color="auto" w:fill="auto"/>
            <w:vAlign w:val="bottom"/>
            <w:hideMark/>
          </w:tcPr>
          <w:p w14:paraId="766D3064" w14:textId="77777777" w:rsidR="00F71F1F" w:rsidRPr="00F71F1F" w:rsidRDefault="00F71F1F" w:rsidP="00F71F1F">
            <w:pPr>
              <w:jc w:val="center"/>
              <w:rPr>
                <w:rFonts w:ascii="Arial" w:hAnsi="Arial" w:cs="Arial"/>
                <w:b/>
                <w:bCs/>
              </w:rPr>
            </w:pPr>
            <w:r w:rsidRPr="00F71F1F">
              <w:rPr>
                <w:rFonts w:ascii="Arial" w:hAnsi="Arial" w:cs="Arial"/>
                <w:b/>
                <w:bCs/>
              </w:rPr>
              <w:t>(2)</w:t>
            </w:r>
          </w:p>
        </w:tc>
        <w:tc>
          <w:tcPr>
            <w:tcW w:w="1984" w:type="dxa"/>
            <w:tcBorders>
              <w:top w:val="nil"/>
              <w:left w:val="nil"/>
              <w:bottom w:val="single" w:sz="4" w:space="0" w:color="auto"/>
              <w:right w:val="single" w:sz="4" w:space="0" w:color="auto"/>
            </w:tcBorders>
            <w:shd w:val="clear" w:color="auto" w:fill="auto"/>
            <w:vAlign w:val="bottom"/>
            <w:hideMark/>
          </w:tcPr>
          <w:p w14:paraId="55E6584C" w14:textId="77777777" w:rsidR="00F71F1F" w:rsidRPr="00F71F1F" w:rsidRDefault="00F71F1F" w:rsidP="00F71F1F">
            <w:pPr>
              <w:jc w:val="center"/>
              <w:rPr>
                <w:rFonts w:ascii="Arial" w:hAnsi="Arial" w:cs="Arial"/>
                <w:b/>
                <w:bCs/>
              </w:rPr>
            </w:pPr>
            <w:r w:rsidRPr="00F71F1F">
              <w:rPr>
                <w:rFonts w:ascii="Arial" w:hAnsi="Arial" w:cs="Arial"/>
                <w:b/>
                <w:bCs/>
              </w:rPr>
              <w:t>(3)</w:t>
            </w:r>
          </w:p>
        </w:tc>
        <w:tc>
          <w:tcPr>
            <w:tcW w:w="1985" w:type="dxa"/>
            <w:tcBorders>
              <w:top w:val="nil"/>
              <w:left w:val="nil"/>
              <w:bottom w:val="single" w:sz="4" w:space="0" w:color="auto"/>
              <w:right w:val="single" w:sz="4" w:space="0" w:color="000000"/>
            </w:tcBorders>
            <w:shd w:val="clear" w:color="auto" w:fill="auto"/>
            <w:vAlign w:val="bottom"/>
            <w:hideMark/>
          </w:tcPr>
          <w:p w14:paraId="00D65213" w14:textId="77777777" w:rsidR="00F71F1F" w:rsidRPr="00F71F1F" w:rsidRDefault="00F71F1F" w:rsidP="00F71F1F">
            <w:pPr>
              <w:jc w:val="center"/>
              <w:rPr>
                <w:rFonts w:ascii="Arial" w:hAnsi="Arial" w:cs="Arial"/>
                <w:b/>
                <w:bCs/>
              </w:rPr>
            </w:pPr>
            <w:r w:rsidRPr="00F71F1F">
              <w:rPr>
                <w:rFonts w:ascii="Arial" w:hAnsi="Arial" w:cs="Arial"/>
                <w:b/>
                <w:bCs/>
              </w:rPr>
              <w:t>(4)</w:t>
            </w:r>
          </w:p>
        </w:tc>
        <w:tc>
          <w:tcPr>
            <w:tcW w:w="1984" w:type="dxa"/>
            <w:tcBorders>
              <w:top w:val="nil"/>
              <w:left w:val="nil"/>
              <w:bottom w:val="single" w:sz="4" w:space="0" w:color="auto"/>
              <w:right w:val="single" w:sz="4" w:space="0" w:color="000000"/>
            </w:tcBorders>
            <w:vAlign w:val="bottom"/>
          </w:tcPr>
          <w:p w14:paraId="39175D0C" w14:textId="77777777" w:rsidR="00F71F1F" w:rsidRPr="00F71F1F" w:rsidRDefault="00F71F1F" w:rsidP="00F71F1F">
            <w:pPr>
              <w:jc w:val="center"/>
              <w:rPr>
                <w:rFonts w:ascii="Arial" w:hAnsi="Arial" w:cs="Arial"/>
                <w:b/>
                <w:bCs/>
              </w:rPr>
            </w:pPr>
            <w:r w:rsidRPr="00F71F1F">
              <w:rPr>
                <w:rFonts w:ascii="Arial" w:hAnsi="Arial" w:cs="Arial"/>
                <w:b/>
                <w:bCs/>
              </w:rPr>
              <w:t>(5)</w:t>
            </w:r>
          </w:p>
        </w:tc>
        <w:tc>
          <w:tcPr>
            <w:tcW w:w="1985" w:type="dxa"/>
            <w:tcBorders>
              <w:top w:val="nil"/>
              <w:left w:val="nil"/>
              <w:bottom w:val="single" w:sz="4" w:space="0" w:color="auto"/>
              <w:right w:val="single" w:sz="4" w:space="0" w:color="000000"/>
            </w:tcBorders>
            <w:vAlign w:val="bottom"/>
          </w:tcPr>
          <w:p w14:paraId="50596D67" w14:textId="77777777" w:rsidR="00F71F1F" w:rsidRPr="00F71F1F" w:rsidRDefault="00F71F1F" w:rsidP="00F71F1F">
            <w:pPr>
              <w:jc w:val="center"/>
              <w:rPr>
                <w:rFonts w:ascii="Arial" w:hAnsi="Arial" w:cs="Arial"/>
                <w:b/>
                <w:bCs/>
              </w:rPr>
            </w:pPr>
            <w:r w:rsidRPr="00F71F1F">
              <w:rPr>
                <w:rFonts w:ascii="Arial" w:hAnsi="Arial" w:cs="Arial"/>
                <w:b/>
                <w:bCs/>
              </w:rPr>
              <w:t>(6)</w:t>
            </w:r>
          </w:p>
        </w:tc>
        <w:tc>
          <w:tcPr>
            <w:tcW w:w="1984" w:type="dxa"/>
            <w:tcBorders>
              <w:top w:val="nil"/>
              <w:left w:val="nil"/>
              <w:bottom w:val="single" w:sz="4" w:space="0" w:color="auto"/>
              <w:right w:val="single" w:sz="4" w:space="0" w:color="000000"/>
            </w:tcBorders>
            <w:vAlign w:val="bottom"/>
          </w:tcPr>
          <w:p w14:paraId="11C6D7C5" w14:textId="77777777" w:rsidR="00F71F1F" w:rsidRPr="00F71F1F" w:rsidRDefault="00F71F1F" w:rsidP="00F71F1F">
            <w:pPr>
              <w:jc w:val="center"/>
              <w:rPr>
                <w:rFonts w:ascii="Arial" w:hAnsi="Arial" w:cs="Arial"/>
                <w:b/>
                <w:bCs/>
              </w:rPr>
            </w:pPr>
            <w:r w:rsidRPr="00F71F1F">
              <w:rPr>
                <w:rFonts w:ascii="Arial" w:hAnsi="Arial" w:cs="Arial"/>
                <w:b/>
                <w:bCs/>
              </w:rPr>
              <w:t>(7)</w:t>
            </w:r>
          </w:p>
        </w:tc>
      </w:tr>
      <w:tr w:rsidR="00F71F1F" w:rsidRPr="00F71F1F" w14:paraId="72B42C58" w14:textId="77777777" w:rsidTr="00B80789">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30400" w14:textId="77777777" w:rsidR="00F71F1F" w:rsidRPr="00F71F1F" w:rsidRDefault="00F71F1F" w:rsidP="00F71F1F">
            <w:pPr>
              <w:jc w:val="center"/>
              <w:rPr>
                <w:rFonts w:ascii="Arial" w:eastAsia="Calibri" w:hAnsi="Arial" w:cs="Arial"/>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67D5A80"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bottom w:val="single" w:sz="4" w:space="0" w:color="auto"/>
              <w:right w:val="single" w:sz="4" w:space="0" w:color="auto"/>
            </w:tcBorders>
            <w:shd w:val="clear" w:color="auto" w:fill="A6A6A6"/>
            <w:noWrap/>
            <w:vAlign w:val="bottom"/>
          </w:tcPr>
          <w:p w14:paraId="2205CCEC" w14:textId="77777777" w:rsidR="00F71F1F" w:rsidRPr="00F71F1F" w:rsidRDefault="00F71F1F" w:rsidP="00F71F1F">
            <w:pPr>
              <w:jc w:val="center"/>
              <w:rPr>
                <w:rFonts w:ascii="Arial" w:eastAsia="Calibri" w:hAnsi="Arial" w:cs="Arial"/>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3934D34"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5505AB11" w14:textId="77777777" w:rsidR="00F71F1F" w:rsidRPr="00F71F1F" w:rsidRDefault="00F71F1F" w:rsidP="00F71F1F">
            <w:pPr>
              <w:jc w:val="center"/>
              <w:rPr>
                <w:rFonts w:ascii="Arial" w:eastAsia="Calibri" w:hAnsi="Arial" w:cs="Arial"/>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55808996"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3F2B143D"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33416521" w14:textId="77777777" w:rsidTr="00B80789">
        <w:trPr>
          <w:trHeight w:val="317"/>
        </w:trPr>
        <w:tc>
          <w:tcPr>
            <w:tcW w:w="59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16110D" w14:textId="77777777" w:rsidR="00F71F1F" w:rsidRPr="00F71F1F" w:rsidRDefault="00F71F1F" w:rsidP="00F71F1F">
            <w:pPr>
              <w:jc w:val="center"/>
              <w:rPr>
                <w:rFonts w:ascii="Arial" w:eastAsia="Calibri" w:hAnsi="Arial" w:cs="Arial"/>
                <w:sz w:val="22"/>
                <w:szCs w:val="22"/>
                <w:lang w:eastAsia="en-US"/>
              </w:rPr>
            </w:pPr>
            <w:r w:rsidRPr="00F71F1F">
              <w:rPr>
                <w:rFonts w:ascii="Arial" w:eastAsia="Calibri" w:hAnsi="Arial" w:cs="Arial"/>
                <w:sz w:val="22"/>
                <w:szCs w:val="22"/>
                <w:lang w:eastAsia="en-US"/>
              </w:rPr>
              <w:t>Total</w:t>
            </w:r>
          </w:p>
        </w:tc>
        <w:tc>
          <w:tcPr>
            <w:tcW w:w="1985" w:type="dxa"/>
            <w:tcBorders>
              <w:top w:val="single" w:sz="4" w:space="0" w:color="auto"/>
              <w:left w:val="nil"/>
              <w:bottom w:val="single" w:sz="4" w:space="0" w:color="auto"/>
              <w:right w:val="single" w:sz="4" w:space="0" w:color="auto"/>
            </w:tcBorders>
            <w:shd w:val="clear" w:color="auto" w:fill="A6A6A6"/>
            <w:vAlign w:val="bottom"/>
          </w:tcPr>
          <w:p w14:paraId="3A98D48C"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tcBorders>
            <w:vAlign w:val="bottom"/>
          </w:tcPr>
          <w:p w14:paraId="141EDAE0" w14:textId="77777777" w:rsidR="00F71F1F" w:rsidRPr="00F71F1F" w:rsidRDefault="00F71F1F" w:rsidP="00F71F1F">
            <w:pPr>
              <w:jc w:val="center"/>
              <w:rPr>
                <w:rFonts w:ascii="Arial" w:eastAsia="Calibri" w:hAnsi="Arial" w:cs="Arial"/>
                <w:sz w:val="22"/>
                <w:szCs w:val="22"/>
                <w:lang w:eastAsia="en-US"/>
              </w:rPr>
            </w:pPr>
          </w:p>
        </w:tc>
        <w:tc>
          <w:tcPr>
            <w:tcW w:w="1985" w:type="dxa"/>
            <w:tcBorders>
              <w:top w:val="single" w:sz="4" w:space="0" w:color="auto"/>
              <w:right w:val="single" w:sz="4" w:space="0" w:color="auto"/>
            </w:tcBorders>
            <w:vAlign w:val="bottom"/>
          </w:tcPr>
          <w:p w14:paraId="7EBF78F2"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128FD740" w14:textId="77777777" w:rsidR="00F71F1F" w:rsidRPr="00F71F1F" w:rsidRDefault="00F71F1F" w:rsidP="00F71F1F">
            <w:pPr>
              <w:jc w:val="center"/>
              <w:rPr>
                <w:rFonts w:ascii="Arial" w:eastAsia="Calibri" w:hAnsi="Arial" w:cs="Arial"/>
                <w:sz w:val="22"/>
                <w:szCs w:val="22"/>
                <w:lang w:eastAsia="en-US"/>
              </w:rPr>
            </w:pPr>
          </w:p>
        </w:tc>
      </w:tr>
    </w:tbl>
    <w:p w14:paraId="6ED16346" w14:textId="77777777" w:rsidR="00F71F1F" w:rsidRPr="00F71F1F" w:rsidRDefault="00F71F1F" w:rsidP="00F71F1F">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F71F1F" w:rsidRPr="00F71F1F" w14:paraId="63D906AF" w14:textId="77777777" w:rsidTr="00B80789">
        <w:tc>
          <w:tcPr>
            <w:tcW w:w="8789" w:type="dxa"/>
          </w:tcPr>
          <w:p w14:paraId="71DA6EC9" w14:textId="77777777" w:rsidR="00F71F1F" w:rsidRPr="00F71F1F" w:rsidRDefault="00F71F1F" w:rsidP="00F71F1F">
            <w:pPr>
              <w:rPr>
                <w:rFonts w:ascii="Arial" w:hAnsi="Arial" w:cs="Arial"/>
                <w:b/>
                <w:bCs/>
                <w:sz w:val="24"/>
                <w:szCs w:val="24"/>
              </w:rPr>
            </w:pPr>
            <w:r w:rsidRPr="00F71F1F">
              <w:rPr>
                <w:rFonts w:ascii="Arial" w:hAnsi="Arial" w:cs="Arial"/>
                <w:b/>
                <w:bCs/>
                <w:sz w:val="24"/>
                <w:szCs w:val="24"/>
              </w:rPr>
              <w:t>Section 2: Non-APRA regulated</w:t>
            </w:r>
          </w:p>
        </w:tc>
      </w:tr>
    </w:tbl>
    <w:p w14:paraId="17E2568C" w14:textId="77777777" w:rsidR="00F71F1F" w:rsidRPr="00F71F1F" w:rsidRDefault="00F71F1F" w:rsidP="00F71F1F">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F71F1F" w:rsidRPr="00F71F1F" w14:paraId="7A6BD044" w14:textId="77777777" w:rsidTr="00B80789">
        <w:trPr>
          <w:trHeight w:val="95"/>
        </w:trPr>
        <w:tc>
          <w:tcPr>
            <w:tcW w:w="8804" w:type="dxa"/>
          </w:tcPr>
          <w:p w14:paraId="611EECB5" w14:textId="77777777" w:rsidR="00F71F1F" w:rsidRPr="00F71F1F" w:rsidRDefault="00F71F1F" w:rsidP="00F71F1F">
            <w:pPr>
              <w:rPr>
                <w:rFonts w:ascii="Arial" w:hAnsi="Arial" w:cs="Arial"/>
                <w:b/>
                <w:bCs/>
                <w:sz w:val="22"/>
                <w:szCs w:val="22"/>
              </w:rPr>
            </w:pPr>
            <w:r w:rsidRPr="00F71F1F">
              <w:rPr>
                <w:rFonts w:ascii="Arial" w:hAnsi="Arial" w:cs="Arial"/>
                <w:b/>
                <w:bCs/>
                <w:sz w:val="22"/>
                <w:szCs w:val="22"/>
              </w:rPr>
              <w:t>2.1. 100 per cent and top cover</w:t>
            </w:r>
          </w:p>
        </w:tc>
      </w:tr>
    </w:tbl>
    <w:p w14:paraId="1521ABDB" w14:textId="77777777" w:rsidR="00F71F1F" w:rsidRPr="00F71F1F" w:rsidRDefault="00F71F1F" w:rsidP="00F71F1F">
      <w:pPr>
        <w:rPr>
          <w:rFonts w:ascii="Arial" w:eastAsia="Calibri" w:hAnsi="Arial" w:cs="Arial"/>
          <w:sz w:val="22"/>
          <w:szCs w:val="22"/>
          <w:lang w:eastAsia="en-US"/>
        </w:rPr>
      </w:pPr>
    </w:p>
    <w:tbl>
      <w:tblPr>
        <w:tblW w:w="13892" w:type="dxa"/>
        <w:tblInd w:w="93" w:type="dxa"/>
        <w:tblLayout w:type="fixed"/>
        <w:tblLook w:val="04A0" w:firstRow="1" w:lastRow="0" w:firstColumn="1" w:lastColumn="0" w:noHBand="0" w:noVBand="1"/>
      </w:tblPr>
      <w:tblGrid>
        <w:gridCol w:w="1157"/>
        <w:gridCol w:w="1158"/>
        <w:gridCol w:w="1157"/>
        <w:gridCol w:w="1158"/>
        <w:gridCol w:w="1157"/>
        <w:gridCol w:w="1158"/>
        <w:gridCol w:w="1157"/>
        <w:gridCol w:w="1158"/>
        <w:gridCol w:w="1158"/>
        <w:gridCol w:w="1158"/>
        <w:gridCol w:w="1158"/>
        <w:gridCol w:w="1158"/>
      </w:tblGrid>
      <w:tr w:rsidR="00F71F1F" w:rsidRPr="00F71F1F" w14:paraId="752FBAC8" w14:textId="77777777" w:rsidTr="00B80789">
        <w:trPr>
          <w:trHeight w:val="317"/>
        </w:trPr>
        <w:tc>
          <w:tcPr>
            <w:tcW w:w="1157" w:type="dxa"/>
            <w:vMerge w:val="restart"/>
            <w:tcBorders>
              <w:top w:val="single" w:sz="4" w:space="0" w:color="auto"/>
              <w:left w:val="single" w:sz="4" w:space="0" w:color="auto"/>
              <w:right w:val="single" w:sz="4" w:space="0" w:color="auto"/>
            </w:tcBorders>
            <w:shd w:val="clear" w:color="auto" w:fill="auto"/>
            <w:vAlign w:val="bottom"/>
          </w:tcPr>
          <w:p w14:paraId="47CA9A72" w14:textId="77777777" w:rsidR="00F71F1F" w:rsidRPr="00F71F1F" w:rsidRDefault="00F71F1F" w:rsidP="00F71F1F">
            <w:pPr>
              <w:jc w:val="center"/>
              <w:rPr>
                <w:rFonts w:ascii="Arial" w:hAnsi="Arial" w:cs="Arial"/>
                <w:b/>
                <w:bCs/>
              </w:rPr>
            </w:pPr>
            <w:r w:rsidRPr="00F71F1F">
              <w:rPr>
                <w:rFonts w:ascii="Arial" w:hAnsi="Arial" w:cs="Arial"/>
                <w:b/>
                <w:bCs/>
              </w:rPr>
              <w:t>LVR greater than (%)</w:t>
            </w:r>
          </w:p>
        </w:tc>
        <w:tc>
          <w:tcPr>
            <w:tcW w:w="1158" w:type="dxa"/>
            <w:vMerge w:val="restart"/>
            <w:tcBorders>
              <w:top w:val="single" w:sz="4" w:space="0" w:color="auto"/>
              <w:left w:val="nil"/>
              <w:right w:val="single" w:sz="4" w:space="0" w:color="auto"/>
            </w:tcBorders>
            <w:shd w:val="clear" w:color="auto" w:fill="auto"/>
            <w:vAlign w:val="bottom"/>
          </w:tcPr>
          <w:p w14:paraId="4293CF7F" w14:textId="77777777" w:rsidR="00F71F1F" w:rsidRPr="00F71F1F" w:rsidRDefault="00F71F1F" w:rsidP="00F71F1F">
            <w:pPr>
              <w:jc w:val="center"/>
              <w:rPr>
                <w:rFonts w:ascii="Arial" w:hAnsi="Arial" w:cs="Arial"/>
                <w:b/>
                <w:bCs/>
              </w:rPr>
            </w:pPr>
            <w:r w:rsidRPr="00F71F1F">
              <w:rPr>
                <w:rFonts w:ascii="Arial" w:hAnsi="Arial" w:cs="Arial"/>
                <w:b/>
                <w:bCs/>
              </w:rPr>
              <w:t>LVR less than or equal to (%)</w:t>
            </w:r>
          </w:p>
        </w:tc>
        <w:tc>
          <w:tcPr>
            <w:tcW w:w="1157" w:type="dxa"/>
            <w:vMerge w:val="restart"/>
            <w:tcBorders>
              <w:top w:val="single" w:sz="4" w:space="0" w:color="auto"/>
              <w:left w:val="nil"/>
              <w:right w:val="single" w:sz="4" w:space="0" w:color="auto"/>
            </w:tcBorders>
            <w:shd w:val="clear" w:color="auto" w:fill="auto"/>
            <w:vAlign w:val="bottom"/>
          </w:tcPr>
          <w:p w14:paraId="3B8C0AF0" w14:textId="77777777" w:rsidR="00F71F1F" w:rsidRPr="00F71F1F" w:rsidRDefault="00F71F1F" w:rsidP="00F71F1F">
            <w:pPr>
              <w:jc w:val="center"/>
              <w:rPr>
                <w:rFonts w:ascii="Arial" w:hAnsi="Arial" w:cs="Arial"/>
                <w:b/>
                <w:bCs/>
              </w:rPr>
            </w:pPr>
            <w:r w:rsidRPr="00F71F1F">
              <w:rPr>
                <w:rFonts w:ascii="Arial" w:hAnsi="Arial" w:cs="Arial"/>
                <w:b/>
                <w:bCs/>
              </w:rPr>
              <w:t>Coverage proportion (%)</w:t>
            </w:r>
          </w:p>
        </w:tc>
        <w:tc>
          <w:tcPr>
            <w:tcW w:w="4630" w:type="dxa"/>
            <w:gridSpan w:val="4"/>
            <w:tcBorders>
              <w:top w:val="single" w:sz="4" w:space="0" w:color="auto"/>
              <w:left w:val="nil"/>
              <w:bottom w:val="nil"/>
              <w:right w:val="single" w:sz="4" w:space="0" w:color="000000"/>
            </w:tcBorders>
            <w:shd w:val="clear" w:color="auto" w:fill="auto"/>
            <w:vAlign w:val="bottom"/>
          </w:tcPr>
          <w:p w14:paraId="068C5DD3" w14:textId="77777777" w:rsidR="00F71F1F" w:rsidRPr="00F71F1F" w:rsidRDefault="00F71F1F" w:rsidP="00F71F1F">
            <w:pPr>
              <w:jc w:val="center"/>
              <w:rPr>
                <w:rFonts w:ascii="Arial" w:hAnsi="Arial" w:cs="Arial"/>
                <w:b/>
                <w:bCs/>
              </w:rPr>
            </w:pPr>
            <w:r w:rsidRPr="00F71F1F">
              <w:rPr>
                <w:rFonts w:ascii="Arial" w:hAnsi="Arial" w:cs="Arial"/>
                <w:b/>
                <w:bCs/>
              </w:rPr>
              <w:t>Age</w:t>
            </w:r>
          </w:p>
        </w:tc>
        <w:tc>
          <w:tcPr>
            <w:tcW w:w="1158" w:type="dxa"/>
            <w:vMerge w:val="restart"/>
            <w:tcBorders>
              <w:top w:val="single" w:sz="4" w:space="0" w:color="auto"/>
              <w:left w:val="nil"/>
              <w:right w:val="single" w:sz="4" w:space="0" w:color="000000"/>
            </w:tcBorders>
            <w:vAlign w:val="bottom"/>
          </w:tcPr>
          <w:p w14:paraId="51F829D0" w14:textId="77777777" w:rsidR="00F71F1F" w:rsidRPr="00F71F1F" w:rsidRDefault="00F71F1F" w:rsidP="00F71F1F">
            <w:pPr>
              <w:jc w:val="center"/>
              <w:rPr>
                <w:rFonts w:ascii="Arial" w:hAnsi="Arial" w:cs="Arial"/>
                <w:b/>
                <w:bCs/>
              </w:rPr>
            </w:pPr>
            <w:r w:rsidRPr="00F71F1F">
              <w:rPr>
                <w:rFonts w:ascii="Arial" w:hAnsi="Arial" w:cs="Arial"/>
                <w:b/>
                <w:bCs/>
              </w:rPr>
              <w:t>Total sum insured</w:t>
            </w:r>
          </w:p>
        </w:tc>
        <w:tc>
          <w:tcPr>
            <w:tcW w:w="1158" w:type="dxa"/>
            <w:vMerge w:val="restart"/>
            <w:tcBorders>
              <w:top w:val="single" w:sz="4" w:space="0" w:color="auto"/>
              <w:left w:val="nil"/>
              <w:right w:val="single" w:sz="4" w:space="0" w:color="000000"/>
            </w:tcBorders>
            <w:vAlign w:val="bottom"/>
          </w:tcPr>
          <w:p w14:paraId="3868F950" w14:textId="77777777" w:rsidR="00F71F1F" w:rsidRPr="00F71F1F" w:rsidRDefault="00F71F1F" w:rsidP="00F71F1F">
            <w:pPr>
              <w:jc w:val="center"/>
              <w:rPr>
                <w:rFonts w:ascii="Arial" w:hAnsi="Arial" w:cs="Arial"/>
                <w:b/>
                <w:bCs/>
              </w:rPr>
            </w:pPr>
            <w:r w:rsidRPr="00F71F1F">
              <w:rPr>
                <w:rFonts w:ascii="Arial" w:hAnsi="Arial" w:cs="Arial"/>
                <w:b/>
                <w:bCs/>
              </w:rPr>
              <w:t>PD factor</w:t>
            </w:r>
          </w:p>
        </w:tc>
        <w:tc>
          <w:tcPr>
            <w:tcW w:w="1158" w:type="dxa"/>
            <w:vMerge w:val="restart"/>
            <w:tcBorders>
              <w:top w:val="single" w:sz="4" w:space="0" w:color="auto"/>
              <w:left w:val="nil"/>
              <w:right w:val="single" w:sz="4" w:space="0" w:color="000000"/>
            </w:tcBorders>
            <w:vAlign w:val="bottom"/>
          </w:tcPr>
          <w:p w14:paraId="2E31495B" w14:textId="77777777" w:rsidR="00F71F1F" w:rsidRPr="00F71F1F" w:rsidRDefault="00F71F1F" w:rsidP="00F71F1F">
            <w:pPr>
              <w:jc w:val="center"/>
              <w:rPr>
                <w:rFonts w:ascii="Arial" w:hAnsi="Arial" w:cs="Arial"/>
                <w:b/>
                <w:bCs/>
              </w:rPr>
            </w:pPr>
            <w:r w:rsidRPr="00F71F1F">
              <w:rPr>
                <w:rFonts w:ascii="Arial" w:hAnsi="Arial" w:cs="Arial"/>
                <w:b/>
                <w:bCs/>
              </w:rPr>
              <w:t>LGD factor</w:t>
            </w:r>
          </w:p>
          <w:p w14:paraId="33D7F2FD" w14:textId="77777777" w:rsidR="00F71F1F" w:rsidRPr="00F71F1F" w:rsidRDefault="00F71F1F" w:rsidP="00F71F1F">
            <w:pPr>
              <w:jc w:val="center"/>
              <w:rPr>
                <w:rFonts w:ascii="Arial" w:hAnsi="Arial" w:cs="Arial"/>
                <w:b/>
                <w:bCs/>
              </w:rPr>
            </w:pPr>
            <w:r w:rsidRPr="00F71F1F">
              <w:rPr>
                <w:rFonts w:ascii="Arial" w:hAnsi="Arial" w:cs="Arial"/>
                <w:b/>
                <w:bCs/>
              </w:rPr>
              <w:t>(100% cover)</w:t>
            </w:r>
          </w:p>
        </w:tc>
        <w:tc>
          <w:tcPr>
            <w:tcW w:w="1158" w:type="dxa"/>
            <w:vMerge w:val="restart"/>
            <w:tcBorders>
              <w:top w:val="single" w:sz="4" w:space="0" w:color="auto"/>
              <w:left w:val="nil"/>
              <w:right w:val="single" w:sz="4" w:space="0" w:color="000000"/>
            </w:tcBorders>
            <w:vAlign w:val="bottom"/>
          </w:tcPr>
          <w:p w14:paraId="7E919FF5" w14:textId="77777777" w:rsidR="00F71F1F" w:rsidRPr="00F71F1F" w:rsidRDefault="00F71F1F" w:rsidP="00F71F1F">
            <w:pPr>
              <w:jc w:val="center"/>
              <w:rPr>
                <w:rFonts w:ascii="Arial" w:hAnsi="Arial" w:cs="Arial"/>
                <w:b/>
                <w:bCs/>
              </w:rPr>
            </w:pPr>
            <w:r w:rsidRPr="00F71F1F">
              <w:rPr>
                <w:rFonts w:ascii="Arial" w:hAnsi="Arial" w:cs="Arial"/>
                <w:b/>
                <w:bCs/>
              </w:rPr>
              <w:t>LGD factor</w:t>
            </w:r>
          </w:p>
          <w:p w14:paraId="33B28838" w14:textId="77777777" w:rsidR="00F71F1F" w:rsidRPr="00F71F1F" w:rsidRDefault="00F71F1F" w:rsidP="00F71F1F">
            <w:pPr>
              <w:jc w:val="center"/>
              <w:rPr>
                <w:rFonts w:ascii="Arial" w:hAnsi="Arial" w:cs="Arial"/>
                <w:b/>
                <w:bCs/>
              </w:rPr>
            </w:pPr>
            <w:r w:rsidRPr="00F71F1F">
              <w:rPr>
                <w:rFonts w:ascii="Arial" w:hAnsi="Arial" w:cs="Arial"/>
                <w:b/>
                <w:bCs/>
              </w:rPr>
              <w:t>(top cover)</w:t>
            </w:r>
          </w:p>
        </w:tc>
        <w:tc>
          <w:tcPr>
            <w:tcW w:w="1158" w:type="dxa"/>
            <w:vMerge w:val="restart"/>
            <w:tcBorders>
              <w:top w:val="single" w:sz="4" w:space="0" w:color="auto"/>
              <w:left w:val="nil"/>
              <w:right w:val="single" w:sz="4" w:space="0" w:color="000000"/>
            </w:tcBorders>
            <w:vAlign w:val="bottom"/>
          </w:tcPr>
          <w:p w14:paraId="63209CE4" w14:textId="77777777" w:rsidR="00F71F1F" w:rsidRPr="00F71F1F" w:rsidRDefault="00F71F1F" w:rsidP="00F71F1F">
            <w:pPr>
              <w:jc w:val="center"/>
              <w:rPr>
                <w:rFonts w:ascii="Arial" w:hAnsi="Arial" w:cs="Arial"/>
                <w:b/>
                <w:bCs/>
              </w:rPr>
            </w:pPr>
            <w:r w:rsidRPr="00F71F1F">
              <w:rPr>
                <w:rFonts w:ascii="Arial" w:hAnsi="Arial" w:cs="Arial"/>
                <w:b/>
                <w:bCs/>
              </w:rPr>
              <w:t>PML</w:t>
            </w:r>
          </w:p>
        </w:tc>
      </w:tr>
      <w:tr w:rsidR="00F71F1F" w:rsidRPr="00F71F1F" w14:paraId="24201D43" w14:textId="77777777" w:rsidTr="00B80789">
        <w:trPr>
          <w:trHeight w:val="317"/>
        </w:trPr>
        <w:tc>
          <w:tcPr>
            <w:tcW w:w="1157" w:type="dxa"/>
            <w:vMerge/>
            <w:tcBorders>
              <w:left w:val="single" w:sz="4" w:space="0" w:color="auto"/>
              <w:bottom w:val="nil"/>
              <w:right w:val="single" w:sz="4" w:space="0" w:color="auto"/>
            </w:tcBorders>
            <w:shd w:val="clear" w:color="auto" w:fill="auto"/>
            <w:vAlign w:val="bottom"/>
            <w:hideMark/>
          </w:tcPr>
          <w:p w14:paraId="431D7056"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auto"/>
            </w:tcBorders>
            <w:shd w:val="clear" w:color="auto" w:fill="auto"/>
            <w:vAlign w:val="bottom"/>
            <w:hideMark/>
          </w:tcPr>
          <w:p w14:paraId="5B6B5973" w14:textId="77777777" w:rsidR="00F71F1F" w:rsidRPr="00F71F1F" w:rsidRDefault="00F71F1F" w:rsidP="00F71F1F">
            <w:pPr>
              <w:jc w:val="center"/>
              <w:rPr>
                <w:rFonts w:ascii="Arial" w:hAnsi="Arial" w:cs="Arial"/>
                <w:b/>
                <w:bCs/>
              </w:rPr>
            </w:pPr>
          </w:p>
        </w:tc>
        <w:tc>
          <w:tcPr>
            <w:tcW w:w="1157" w:type="dxa"/>
            <w:vMerge/>
            <w:tcBorders>
              <w:left w:val="nil"/>
              <w:bottom w:val="nil"/>
              <w:right w:val="single" w:sz="4" w:space="0" w:color="auto"/>
            </w:tcBorders>
            <w:shd w:val="clear" w:color="auto" w:fill="auto"/>
            <w:vAlign w:val="bottom"/>
            <w:hideMark/>
          </w:tcPr>
          <w:p w14:paraId="4053722F" w14:textId="77777777" w:rsidR="00F71F1F" w:rsidRPr="00F71F1F" w:rsidRDefault="00F71F1F" w:rsidP="00F71F1F">
            <w:pPr>
              <w:rPr>
                <w:rFonts w:ascii="Arial" w:hAnsi="Arial" w:cs="Arial"/>
                <w:b/>
                <w:bCs/>
              </w:rPr>
            </w:pPr>
          </w:p>
        </w:tc>
        <w:tc>
          <w:tcPr>
            <w:tcW w:w="1158" w:type="dxa"/>
            <w:tcBorders>
              <w:top w:val="single" w:sz="4" w:space="0" w:color="auto"/>
              <w:left w:val="nil"/>
              <w:bottom w:val="nil"/>
              <w:right w:val="single" w:sz="4" w:space="0" w:color="000000"/>
            </w:tcBorders>
            <w:shd w:val="clear" w:color="auto" w:fill="auto"/>
            <w:vAlign w:val="bottom"/>
            <w:hideMark/>
          </w:tcPr>
          <w:p w14:paraId="5C505402" w14:textId="77777777" w:rsidR="00F71F1F" w:rsidRPr="00F71F1F" w:rsidRDefault="00F71F1F" w:rsidP="00F71F1F">
            <w:pPr>
              <w:jc w:val="center"/>
              <w:rPr>
                <w:rFonts w:ascii="Arial" w:hAnsi="Arial" w:cs="Arial"/>
                <w:b/>
                <w:bCs/>
              </w:rPr>
            </w:pPr>
            <w:r w:rsidRPr="00F71F1F">
              <w:rPr>
                <w:rFonts w:ascii="Arial" w:hAnsi="Arial" w:cs="Arial"/>
                <w:b/>
                <w:bCs/>
              </w:rPr>
              <w:t>&lt; 3 years</w:t>
            </w:r>
          </w:p>
        </w:tc>
        <w:tc>
          <w:tcPr>
            <w:tcW w:w="1157" w:type="dxa"/>
            <w:tcBorders>
              <w:top w:val="single" w:sz="4" w:space="0" w:color="auto"/>
              <w:left w:val="nil"/>
              <w:bottom w:val="nil"/>
              <w:right w:val="single" w:sz="4" w:space="0" w:color="000000"/>
            </w:tcBorders>
            <w:vAlign w:val="bottom"/>
          </w:tcPr>
          <w:p w14:paraId="10B3AFE4" w14:textId="77777777" w:rsidR="00F71F1F" w:rsidRPr="00F71F1F" w:rsidRDefault="00F71F1F" w:rsidP="00F71F1F">
            <w:pPr>
              <w:jc w:val="center"/>
              <w:rPr>
                <w:rFonts w:ascii="Arial" w:hAnsi="Arial" w:cs="Arial"/>
                <w:b/>
                <w:bCs/>
              </w:rPr>
            </w:pPr>
            <w:r w:rsidRPr="00F71F1F">
              <w:rPr>
                <w:rFonts w:ascii="Arial" w:hAnsi="Arial" w:cs="Arial"/>
                <w:b/>
                <w:bCs/>
              </w:rPr>
              <w:t>3 &lt; 5 years</w:t>
            </w:r>
          </w:p>
        </w:tc>
        <w:tc>
          <w:tcPr>
            <w:tcW w:w="1158" w:type="dxa"/>
            <w:tcBorders>
              <w:top w:val="single" w:sz="4" w:space="0" w:color="auto"/>
              <w:left w:val="nil"/>
              <w:bottom w:val="nil"/>
              <w:right w:val="single" w:sz="4" w:space="0" w:color="000000"/>
            </w:tcBorders>
            <w:vAlign w:val="bottom"/>
          </w:tcPr>
          <w:p w14:paraId="586F652A" w14:textId="77777777" w:rsidR="00F71F1F" w:rsidRPr="00F71F1F" w:rsidRDefault="00F71F1F" w:rsidP="00F71F1F">
            <w:pPr>
              <w:jc w:val="center"/>
              <w:rPr>
                <w:rFonts w:ascii="Arial" w:hAnsi="Arial" w:cs="Arial"/>
                <w:b/>
                <w:bCs/>
              </w:rPr>
            </w:pPr>
            <w:r w:rsidRPr="00F71F1F">
              <w:rPr>
                <w:rFonts w:ascii="Arial" w:hAnsi="Arial" w:cs="Arial"/>
                <w:b/>
                <w:bCs/>
              </w:rPr>
              <w:t>5 &lt; 10 years</w:t>
            </w:r>
          </w:p>
        </w:tc>
        <w:tc>
          <w:tcPr>
            <w:tcW w:w="1157" w:type="dxa"/>
            <w:tcBorders>
              <w:top w:val="single" w:sz="4" w:space="0" w:color="auto"/>
              <w:left w:val="nil"/>
              <w:bottom w:val="nil"/>
              <w:right w:val="single" w:sz="4" w:space="0" w:color="000000"/>
            </w:tcBorders>
            <w:vAlign w:val="bottom"/>
          </w:tcPr>
          <w:p w14:paraId="4488E3F5" w14:textId="77777777" w:rsidR="00F71F1F" w:rsidRPr="00F71F1F" w:rsidRDefault="00F71F1F" w:rsidP="00F71F1F">
            <w:pPr>
              <w:jc w:val="center"/>
              <w:rPr>
                <w:rFonts w:ascii="Arial" w:hAnsi="Arial" w:cs="Arial"/>
                <w:b/>
                <w:bCs/>
              </w:rPr>
            </w:pPr>
            <w:r w:rsidRPr="00F71F1F">
              <w:rPr>
                <w:rFonts w:ascii="Arial" w:hAnsi="Arial" w:cs="Arial"/>
                <w:b/>
                <w:bCs/>
              </w:rPr>
              <w:t>&gt;= 10 years</w:t>
            </w:r>
          </w:p>
        </w:tc>
        <w:tc>
          <w:tcPr>
            <w:tcW w:w="1158" w:type="dxa"/>
            <w:vMerge/>
            <w:tcBorders>
              <w:left w:val="nil"/>
              <w:bottom w:val="nil"/>
              <w:right w:val="single" w:sz="4" w:space="0" w:color="000000"/>
            </w:tcBorders>
            <w:vAlign w:val="bottom"/>
          </w:tcPr>
          <w:p w14:paraId="529E16D4"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000000"/>
            </w:tcBorders>
            <w:vAlign w:val="bottom"/>
          </w:tcPr>
          <w:p w14:paraId="15DEA147"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000000"/>
            </w:tcBorders>
          </w:tcPr>
          <w:p w14:paraId="18DDE79A"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000000"/>
            </w:tcBorders>
          </w:tcPr>
          <w:p w14:paraId="140ACB60" w14:textId="77777777" w:rsidR="00F71F1F" w:rsidRPr="00F71F1F" w:rsidRDefault="00F71F1F" w:rsidP="00F71F1F">
            <w:pPr>
              <w:jc w:val="center"/>
              <w:rPr>
                <w:rFonts w:ascii="Arial" w:hAnsi="Arial" w:cs="Arial"/>
                <w:b/>
                <w:bCs/>
              </w:rPr>
            </w:pPr>
          </w:p>
        </w:tc>
        <w:tc>
          <w:tcPr>
            <w:tcW w:w="1158" w:type="dxa"/>
            <w:vMerge/>
            <w:tcBorders>
              <w:left w:val="nil"/>
              <w:bottom w:val="nil"/>
              <w:right w:val="single" w:sz="4" w:space="0" w:color="000000"/>
            </w:tcBorders>
          </w:tcPr>
          <w:p w14:paraId="7D28DFD6" w14:textId="77777777" w:rsidR="00F71F1F" w:rsidRPr="00F71F1F" w:rsidRDefault="00F71F1F" w:rsidP="00F71F1F">
            <w:pPr>
              <w:rPr>
                <w:rFonts w:ascii="Arial" w:hAnsi="Arial" w:cs="Arial"/>
                <w:b/>
                <w:bCs/>
              </w:rPr>
            </w:pPr>
          </w:p>
        </w:tc>
      </w:tr>
      <w:tr w:rsidR="00F71F1F" w:rsidRPr="00F71F1F" w14:paraId="6FA42DE1" w14:textId="77777777" w:rsidTr="00B80789">
        <w:trPr>
          <w:trHeight w:val="317"/>
        </w:trPr>
        <w:tc>
          <w:tcPr>
            <w:tcW w:w="1157" w:type="dxa"/>
            <w:tcBorders>
              <w:top w:val="nil"/>
              <w:left w:val="single" w:sz="4" w:space="0" w:color="auto"/>
              <w:bottom w:val="single" w:sz="4" w:space="0" w:color="auto"/>
              <w:right w:val="single" w:sz="4" w:space="0" w:color="auto"/>
            </w:tcBorders>
            <w:shd w:val="clear" w:color="auto" w:fill="auto"/>
            <w:vAlign w:val="bottom"/>
            <w:hideMark/>
          </w:tcPr>
          <w:p w14:paraId="7F0F6B61" w14:textId="77777777" w:rsidR="00F71F1F" w:rsidRPr="00F71F1F" w:rsidRDefault="00F71F1F" w:rsidP="00F71F1F">
            <w:pPr>
              <w:jc w:val="center"/>
              <w:rPr>
                <w:rFonts w:ascii="Arial" w:hAnsi="Arial" w:cs="Arial"/>
                <w:b/>
                <w:bCs/>
              </w:rPr>
            </w:pPr>
            <w:r w:rsidRPr="00F71F1F">
              <w:rPr>
                <w:rFonts w:ascii="Arial" w:hAnsi="Arial" w:cs="Arial"/>
                <w:b/>
                <w:bCs/>
              </w:rPr>
              <w:t>(1)</w:t>
            </w:r>
          </w:p>
        </w:tc>
        <w:tc>
          <w:tcPr>
            <w:tcW w:w="1158" w:type="dxa"/>
            <w:tcBorders>
              <w:top w:val="nil"/>
              <w:left w:val="nil"/>
              <w:bottom w:val="single" w:sz="4" w:space="0" w:color="auto"/>
              <w:right w:val="single" w:sz="4" w:space="0" w:color="auto"/>
            </w:tcBorders>
            <w:shd w:val="clear" w:color="auto" w:fill="auto"/>
            <w:vAlign w:val="bottom"/>
            <w:hideMark/>
          </w:tcPr>
          <w:p w14:paraId="0D97527D" w14:textId="77777777" w:rsidR="00F71F1F" w:rsidRPr="00F71F1F" w:rsidRDefault="00F71F1F" w:rsidP="00F71F1F">
            <w:pPr>
              <w:jc w:val="center"/>
              <w:rPr>
                <w:rFonts w:ascii="Arial" w:hAnsi="Arial" w:cs="Arial"/>
                <w:b/>
                <w:bCs/>
              </w:rPr>
            </w:pPr>
            <w:r w:rsidRPr="00F71F1F">
              <w:rPr>
                <w:rFonts w:ascii="Arial" w:hAnsi="Arial" w:cs="Arial"/>
                <w:b/>
                <w:bCs/>
              </w:rPr>
              <w:t>(2)</w:t>
            </w:r>
          </w:p>
        </w:tc>
        <w:tc>
          <w:tcPr>
            <w:tcW w:w="1157" w:type="dxa"/>
            <w:tcBorders>
              <w:top w:val="nil"/>
              <w:left w:val="nil"/>
              <w:bottom w:val="single" w:sz="4" w:space="0" w:color="auto"/>
              <w:right w:val="single" w:sz="4" w:space="0" w:color="auto"/>
            </w:tcBorders>
            <w:shd w:val="clear" w:color="auto" w:fill="auto"/>
            <w:vAlign w:val="bottom"/>
            <w:hideMark/>
          </w:tcPr>
          <w:p w14:paraId="01444EC5" w14:textId="77777777" w:rsidR="00F71F1F" w:rsidRPr="00F71F1F" w:rsidRDefault="00F71F1F" w:rsidP="00F71F1F">
            <w:pPr>
              <w:jc w:val="center"/>
              <w:rPr>
                <w:rFonts w:ascii="Arial" w:hAnsi="Arial" w:cs="Arial"/>
                <w:b/>
                <w:bCs/>
              </w:rPr>
            </w:pPr>
            <w:r w:rsidRPr="00F71F1F">
              <w:rPr>
                <w:rFonts w:ascii="Arial" w:hAnsi="Arial" w:cs="Arial"/>
                <w:b/>
                <w:bCs/>
              </w:rPr>
              <w:t>(3)</w:t>
            </w:r>
          </w:p>
        </w:tc>
        <w:tc>
          <w:tcPr>
            <w:tcW w:w="1158" w:type="dxa"/>
            <w:tcBorders>
              <w:top w:val="nil"/>
              <w:left w:val="nil"/>
              <w:bottom w:val="single" w:sz="4" w:space="0" w:color="auto"/>
              <w:right w:val="single" w:sz="4" w:space="0" w:color="000000"/>
            </w:tcBorders>
            <w:shd w:val="clear" w:color="auto" w:fill="auto"/>
            <w:vAlign w:val="bottom"/>
            <w:hideMark/>
          </w:tcPr>
          <w:p w14:paraId="348E8860" w14:textId="77777777" w:rsidR="00F71F1F" w:rsidRPr="00F71F1F" w:rsidRDefault="00F71F1F" w:rsidP="00F71F1F">
            <w:pPr>
              <w:jc w:val="center"/>
              <w:rPr>
                <w:rFonts w:ascii="Arial" w:hAnsi="Arial" w:cs="Arial"/>
                <w:b/>
                <w:bCs/>
              </w:rPr>
            </w:pPr>
            <w:r w:rsidRPr="00F71F1F">
              <w:rPr>
                <w:rFonts w:ascii="Arial" w:hAnsi="Arial" w:cs="Arial"/>
                <w:b/>
                <w:bCs/>
              </w:rPr>
              <w:t>(4.1)</w:t>
            </w:r>
          </w:p>
        </w:tc>
        <w:tc>
          <w:tcPr>
            <w:tcW w:w="1157" w:type="dxa"/>
            <w:tcBorders>
              <w:top w:val="nil"/>
              <w:left w:val="nil"/>
              <w:bottom w:val="single" w:sz="4" w:space="0" w:color="auto"/>
              <w:right w:val="single" w:sz="4" w:space="0" w:color="000000"/>
            </w:tcBorders>
            <w:vAlign w:val="bottom"/>
          </w:tcPr>
          <w:p w14:paraId="5B12962E" w14:textId="77777777" w:rsidR="00F71F1F" w:rsidRPr="00F71F1F" w:rsidRDefault="00F71F1F" w:rsidP="00F71F1F">
            <w:pPr>
              <w:jc w:val="center"/>
              <w:rPr>
                <w:rFonts w:ascii="Arial" w:hAnsi="Arial" w:cs="Arial"/>
                <w:b/>
                <w:bCs/>
              </w:rPr>
            </w:pPr>
            <w:r w:rsidRPr="00F71F1F">
              <w:rPr>
                <w:rFonts w:ascii="Arial" w:hAnsi="Arial" w:cs="Arial"/>
                <w:b/>
                <w:bCs/>
              </w:rPr>
              <w:t>(4.2)</w:t>
            </w:r>
          </w:p>
        </w:tc>
        <w:tc>
          <w:tcPr>
            <w:tcW w:w="1158" w:type="dxa"/>
            <w:tcBorders>
              <w:top w:val="nil"/>
              <w:left w:val="nil"/>
              <w:bottom w:val="single" w:sz="4" w:space="0" w:color="auto"/>
              <w:right w:val="single" w:sz="4" w:space="0" w:color="000000"/>
            </w:tcBorders>
            <w:vAlign w:val="bottom"/>
          </w:tcPr>
          <w:p w14:paraId="731836BD" w14:textId="77777777" w:rsidR="00F71F1F" w:rsidRPr="00F71F1F" w:rsidRDefault="00F71F1F" w:rsidP="00F71F1F">
            <w:pPr>
              <w:jc w:val="center"/>
              <w:rPr>
                <w:rFonts w:ascii="Arial" w:hAnsi="Arial" w:cs="Arial"/>
                <w:b/>
                <w:bCs/>
              </w:rPr>
            </w:pPr>
            <w:r w:rsidRPr="00F71F1F">
              <w:rPr>
                <w:rFonts w:ascii="Arial" w:hAnsi="Arial" w:cs="Arial"/>
                <w:b/>
                <w:bCs/>
              </w:rPr>
              <w:t>(4.3)</w:t>
            </w:r>
          </w:p>
        </w:tc>
        <w:tc>
          <w:tcPr>
            <w:tcW w:w="1157" w:type="dxa"/>
            <w:tcBorders>
              <w:top w:val="nil"/>
              <w:left w:val="nil"/>
              <w:bottom w:val="single" w:sz="4" w:space="0" w:color="auto"/>
              <w:right w:val="single" w:sz="4" w:space="0" w:color="000000"/>
            </w:tcBorders>
            <w:vAlign w:val="bottom"/>
          </w:tcPr>
          <w:p w14:paraId="02F8F8E2" w14:textId="77777777" w:rsidR="00F71F1F" w:rsidRPr="00F71F1F" w:rsidRDefault="00F71F1F" w:rsidP="00F71F1F">
            <w:pPr>
              <w:jc w:val="center"/>
              <w:rPr>
                <w:rFonts w:ascii="Arial" w:hAnsi="Arial" w:cs="Arial"/>
                <w:b/>
                <w:bCs/>
              </w:rPr>
            </w:pPr>
            <w:r w:rsidRPr="00F71F1F">
              <w:rPr>
                <w:rFonts w:ascii="Arial" w:hAnsi="Arial" w:cs="Arial"/>
                <w:b/>
                <w:bCs/>
              </w:rPr>
              <w:t>(4.4)</w:t>
            </w:r>
          </w:p>
        </w:tc>
        <w:tc>
          <w:tcPr>
            <w:tcW w:w="1158" w:type="dxa"/>
            <w:tcBorders>
              <w:top w:val="nil"/>
              <w:left w:val="nil"/>
              <w:bottom w:val="single" w:sz="4" w:space="0" w:color="auto"/>
              <w:right w:val="single" w:sz="4" w:space="0" w:color="000000"/>
            </w:tcBorders>
            <w:vAlign w:val="bottom"/>
          </w:tcPr>
          <w:p w14:paraId="2470B245" w14:textId="77777777" w:rsidR="00F71F1F" w:rsidRPr="00F71F1F" w:rsidRDefault="00F71F1F" w:rsidP="00F71F1F">
            <w:pPr>
              <w:jc w:val="center"/>
              <w:rPr>
                <w:rFonts w:ascii="Arial" w:hAnsi="Arial" w:cs="Arial"/>
                <w:b/>
                <w:bCs/>
              </w:rPr>
            </w:pPr>
            <w:r w:rsidRPr="00F71F1F">
              <w:rPr>
                <w:rFonts w:ascii="Arial" w:hAnsi="Arial" w:cs="Arial"/>
                <w:b/>
                <w:bCs/>
              </w:rPr>
              <w:t>(5)</w:t>
            </w:r>
          </w:p>
        </w:tc>
        <w:tc>
          <w:tcPr>
            <w:tcW w:w="1158" w:type="dxa"/>
            <w:tcBorders>
              <w:top w:val="nil"/>
              <w:left w:val="nil"/>
              <w:bottom w:val="single" w:sz="4" w:space="0" w:color="auto"/>
              <w:right w:val="single" w:sz="4" w:space="0" w:color="000000"/>
            </w:tcBorders>
            <w:vAlign w:val="bottom"/>
          </w:tcPr>
          <w:p w14:paraId="1273D571" w14:textId="77777777" w:rsidR="00F71F1F" w:rsidRPr="00F71F1F" w:rsidRDefault="00F71F1F" w:rsidP="00F71F1F">
            <w:pPr>
              <w:jc w:val="center"/>
              <w:rPr>
                <w:rFonts w:ascii="Arial" w:hAnsi="Arial" w:cs="Arial"/>
                <w:b/>
                <w:bCs/>
              </w:rPr>
            </w:pPr>
            <w:r w:rsidRPr="00F71F1F">
              <w:rPr>
                <w:rFonts w:ascii="Arial" w:hAnsi="Arial" w:cs="Arial"/>
                <w:b/>
                <w:bCs/>
              </w:rPr>
              <w:t>(6)</w:t>
            </w:r>
          </w:p>
        </w:tc>
        <w:tc>
          <w:tcPr>
            <w:tcW w:w="1158" w:type="dxa"/>
            <w:tcBorders>
              <w:top w:val="nil"/>
              <w:left w:val="nil"/>
              <w:bottom w:val="single" w:sz="4" w:space="0" w:color="auto"/>
              <w:right w:val="single" w:sz="4" w:space="0" w:color="000000"/>
            </w:tcBorders>
            <w:vAlign w:val="bottom"/>
          </w:tcPr>
          <w:p w14:paraId="00D00867" w14:textId="77777777" w:rsidR="00F71F1F" w:rsidRPr="00F71F1F" w:rsidRDefault="00F71F1F" w:rsidP="00F71F1F">
            <w:pPr>
              <w:jc w:val="center"/>
              <w:rPr>
                <w:rFonts w:ascii="Arial" w:hAnsi="Arial" w:cs="Arial"/>
                <w:b/>
                <w:bCs/>
              </w:rPr>
            </w:pPr>
            <w:r w:rsidRPr="00F71F1F">
              <w:rPr>
                <w:rFonts w:ascii="Arial" w:hAnsi="Arial" w:cs="Arial"/>
                <w:b/>
                <w:bCs/>
              </w:rPr>
              <w:t>(7)</w:t>
            </w:r>
          </w:p>
        </w:tc>
        <w:tc>
          <w:tcPr>
            <w:tcW w:w="1158" w:type="dxa"/>
            <w:tcBorders>
              <w:top w:val="nil"/>
              <w:left w:val="nil"/>
              <w:bottom w:val="single" w:sz="4" w:space="0" w:color="auto"/>
              <w:right w:val="single" w:sz="4" w:space="0" w:color="000000"/>
            </w:tcBorders>
            <w:vAlign w:val="bottom"/>
          </w:tcPr>
          <w:p w14:paraId="47DEFB4F" w14:textId="77777777" w:rsidR="00F71F1F" w:rsidRPr="00F71F1F" w:rsidRDefault="00F71F1F" w:rsidP="00F71F1F">
            <w:pPr>
              <w:jc w:val="center"/>
              <w:rPr>
                <w:rFonts w:ascii="Arial" w:hAnsi="Arial" w:cs="Arial"/>
                <w:b/>
                <w:bCs/>
              </w:rPr>
            </w:pPr>
            <w:r w:rsidRPr="00F71F1F">
              <w:rPr>
                <w:rFonts w:ascii="Arial" w:hAnsi="Arial" w:cs="Arial"/>
                <w:b/>
                <w:bCs/>
              </w:rPr>
              <w:t>(8)</w:t>
            </w:r>
          </w:p>
        </w:tc>
        <w:tc>
          <w:tcPr>
            <w:tcW w:w="1158" w:type="dxa"/>
            <w:tcBorders>
              <w:top w:val="nil"/>
              <w:left w:val="nil"/>
              <w:bottom w:val="single" w:sz="4" w:space="0" w:color="auto"/>
              <w:right w:val="single" w:sz="4" w:space="0" w:color="000000"/>
            </w:tcBorders>
            <w:vAlign w:val="bottom"/>
          </w:tcPr>
          <w:p w14:paraId="505BDFC3" w14:textId="77777777" w:rsidR="00F71F1F" w:rsidRPr="00F71F1F" w:rsidRDefault="00F71F1F" w:rsidP="00F71F1F">
            <w:pPr>
              <w:jc w:val="center"/>
              <w:rPr>
                <w:rFonts w:ascii="Arial" w:hAnsi="Arial" w:cs="Arial"/>
                <w:b/>
                <w:bCs/>
              </w:rPr>
            </w:pPr>
            <w:r w:rsidRPr="00F71F1F">
              <w:rPr>
                <w:rFonts w:ascii="Arial" w:hAnsi="Arial" w:cs="Arial"/>
                <w:b/>
                <w:bCs/>
              </w:rPr>
              <w:t>(9)</w:t>
            </w:r>
          </w:p>
        </w:tc>
      </w:tr>
      <w:tr w:rsidR="00F71F1F" w:rsidRPr="00F71F1F" w14:paraId="7B9A145F" w14:textId="77777777" w:rsidTr="00B80789">
        <w:trPr>
          <w:trHeight w:val="31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0FC1D"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noWrap/>
            <w:vAlign w:val="bottom"/>
          </w:tcPr>
          <w:p w14:paraId="5754A340"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6507A95C"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uto"/>
            <w:vAlign w:val="bottom"/>
          </w:tcPr>
          <w:p w14:paraId="71F929D3"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nil"/>
              <w:bottom w:val="single" w:sz="4" w:space="0" w:color="auto"/>
              <w:right w:val="single" w:sz="4" w:space="0" w:color="auto"/>
            </w:tcBorders>
            <w:vAlign w:val="bottom"/>
          </w:tcPr>
          <w:p w14:paraId="7EC68A12"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vAlign w:val="bottom"/>
          </w:tcPr>
          <w:p w14:paraId="21ABCFA6"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nil"/>
              <w:bottom w:val="single" w:sz="4" w:space="0" w:color="auto"/>
              <w:right w:val="single" w:sz="4" w:space="0" w:color="auto"/>
            </w:tcBorders>
            <w:vAlign w:val="bottom"/>
          </w:tcPr>
          <w:p w14:paraId="5749D790"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46DF9B5C"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0B57EF6B"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47888AED"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5C4682A2"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180E6735"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4CDDC1F0" w14:textId="77777777" w:rsidTr="00B80789">
        <w:trPr>
          <w:trHeight w:val="317"/>
        </w:trPr>
        <w:tc>
          <w:tcPr>
            <w:tcW w:w="115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10C8296"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100</w:t>
            </w:r>
          </w:p>
        </w:tc>
        <w:tc>
          <w:tcPr>
            <w:tcW w:w="1158" w:type="dxa"/>
            <w:tcBorders>
              <w:top w:val="single" w:sz="4" w:space="0" w:color="auto"/>
              <w:left w:val="dotDash" w:sz="4" w:space="0" w:color="auto"/>
              <w:right w:val="dotDash" w:sz="4" w:space="0" w:color="auto"/>
            </w:tcBorders>
            <w:shd w:val="clear" w:color="auto" w:fill="auto"/>
            <w:noWrap/>
            <w:vAlign w:val="bottom"/>
          </w:tcPr>
          <w:p w14:paraId="37FA9AEC"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4160ED3"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100</w:t>
            </w:r>
          </w:p>
        </w:tc>
        <w:tc>
          <w:tcPr>
            <w:tcW w:w="1158" w:type="dxa"/>
            <w:tcBorders>
              <w:top w:val="single" w:sz="4" w:space="0" w:color="auto"/>
              <w:left w:val="dotDash" w:sz="4" w:space="0" w:color="auto"/>
            </w:tcBorders>
            <w:shd w:val="clear" w:color="auto" w:fill="auto"/>
            <w:vAlign w:val="bottom"/>
          </w:tcPr>
          <w:p w14:paraId="7D438C3D"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tcBorders>
            <w:vAlign w:val="bottom"/>
          </w:tcPr>
          <w:p w14:paraId="23680D54"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69D40B15"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tcBorders>
            <w:vAlign w:val="bottom"/>
          </w:tcPr>
          <w:p w14:paraId="06BA0DFB"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2AB7187F"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4D339076"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4E39CDEA"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1A9D7C0D"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tcBorders>
            <w:vAlign w:val="bottom"/>
          </w:tcPr>
          <w:p w14:paraId="26ACC3BC"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2949C241"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65E854"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95</w:t>
            </w:r>
          </w:p>
        </w:tc>
        <w:tc>
          <w:tcPr>
            <w:tcW w:w="1158" w:type="dxa"/>
            <w:tcBorders>
              <w:left w:val="dotDash" w:sz="4" w:space="0" w:color="auto"/>
              <w:right w:val="dotDash" w:sz="4" w:space="0" w:color="auto"/>
            </w:tcBorders>
            <w:shd w:val="clear" w:color="auto" w:fill="auto"/>
            <w:noWrap/>
            <w:vAlign w:val="bottom"/>
          </w:tcPr>
          <w:p w14:paraId="4A8EDE0B"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5E92BD4"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40</w:t>
            </w:r>
          </w:p>
        </w:tc>
        <w:tc>
          <w:tcPr>
            <w:tcW w:w="1158" w:type="dxa"/>
            <w:tcBorders>
              <w:left w:val="dotDash" w:sz="4" w:space="0" w:color="auto"/>
            </w:tcBorders>
            <w:shd w:val="clear" w:color="auto" w:fill="auto"/>
            <w:vAlign w:val="bottom"/>
          </w:tcPr>
          <w:p w14:paraId="3D434A12"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597D5726"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8853900"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69E899ED"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1B660CA4"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4FFA680"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4EA35BCF"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C05EFD6"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ACEC434"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2DFB36CA"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DADF668"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90</w:t>
            </w:r>
          </w:p>
        </w:tc>
        <w:tc>
          <w:tcPr>
            <w:tcW w:w="1158" w:type="dxa"/>
            <w:tcBorders>
              <w:left w:val="dotDash" w:sz="4" w:space="0" w:color="auto"/>
              <w:right w:val="dotDash" w:sz="4" w:space="0" w:color="auto"/>
            </w:tcBorders>
            <w:shd w:val="clear" w:color="auto" w:fill="auto"/>
            <w:noWrap/>
            <w:vAlign w:val="bottom"/>
          </w:tcPr>
          <w:p w14:paraId="65D2AF7F"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EA3926C"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35</w:t>
            </w:r>
          </w:p>
        </w:tc>
        <w:tc>
          <w:tcPr>
            <w:tcW w:w="1158" w:type="dxa"/>
            <w:tcBorders>
              <w:left w:val="dotDash" w:sz="4" w:space="0" w:color="auto"/>
            </w:tcBorders>
            <w:shd w:val="clear" w:color="auto" w:fill="auto"/>
            <w:vAlign w:val="bottom"/>
          </w:tcPr>
          <w:p w14:paraId="443519AB"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44268632"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14F6F42C"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610204D0"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57F8EAF"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991915D"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08262B1"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5110C3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A0DC995"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612B9436"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971BF2C"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85</w:t>
            </w:r>
          </w:p>
        </w:tc>
        <w:tc>
          <w:tcPr>
            <w:tcW w:w="1158" w:type="dxa"/>
            <w:tcBorders>
              <w:left w:val="dotDash" w:sz="4" w:space="0" w:color="auto"/>
              <w:right w:val="dotDash" w:sz="4" w:space="0" w:color="auto"/>
            </w:tcBorders>
            <w:shd w:val="clear" w:color="auto" w:fill="auto"/>
            <w:noWrap/>
            <w:vAlign w:val="bottom"/>
          </w:tcPr>
          <w:p w14:paraId="3BBFC204"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682F4C9"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30</w:t>
            </w:r>
          </w:p>
        </w:tc>
        <w:tc>
          <w:tcPr>
            <w:tcW w:w="1158" w:type="dxa"/>
            <w:tcBorders>
              <w:left w:val="dotDash" w:sz="4" w:space="0" w:color="auto"/>
            </w:tcBorders>
            <w:shd w:val="clear" w:color="auto" w:fill="auto"/>
            <w:vAlign w:val="bottom"/>
          </w:tcPr>
          <w:p w14:paraId="28F59AFD"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714798D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2BECA57"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4C6556D4"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6C0DA15"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0F7B3405"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048755DF"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6F60C60"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84599D7"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585294F2"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FE1C3EA"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80</w:t>
            </w:r>
          </w:p>
        </w:tc>
        <w:tc>
          <w:tcPr>
            <w:tcW w:w="1158" w:type="dxa"/>
            <w:tcBorders>
              <w:left w:val="dotDash" w:sz="4" w:space="0" w:color="auto"/>
              <w:right w:val="dotDash" w:sz="4" w:space="0" w:color="auto"/>
            </w:tcBorders>
            <w:shd w:val="clear" w:color="auto" w:fill="auto"/>
            <w:noWrap/>
            <w:vAlign w:val="bottom"/>
          </w:tcPr>
          <w:p w14:paraId="7325E237"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F643BA3"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25</w:t>
            </w:r>
          </w:p>
        </w:tc>
        <w:tc>
          <w:tcPr>
            <w:tcW w:w="1158" w:type="dxa"/>
            <w:tcBorders>
              <w:left w:val="dotDash" w:sz="4" w:space="0" w:color="auto"/>
            </w:tcBorders>
            <w:shd w:val="clear" w:color="auto" w:fill="auto"/>
            <w:vAlign w:val="bottom"/>
          </w:tcPr>
          <w:p w14:paraId="1350A62C"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1803A42D"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EBE230B"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3F534EE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A0637E6"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B9B5FCC"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2B70F04"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3C7FA98"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9E59A05"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2A060EE2"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328EDAA"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70</w:t>
            </w:r>
          </w:p>
        </w:tc>
        <w:tc>
          <w:tcPr>
            <w:tcW w:w="1158" w:type="dxa"/>
            <w:tcBorders>
              <w:left w:val="dotDash" w:sz="4" w:space="0" w:color="auto"/>
              <w:right w:val="dotDash" w:sz="4" w:space="0" w:color="auto"/>
            </w:tcBorders>
            <w:shd w:val="clear" w:color="auto" w:fill="auto"/>
            <w:noWrap/>
            <w:vAlign w:val="bottom"/>
          </w:tcPr>
          <w:p w14:paraId="0432863A"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1540F1A"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20</w:t>
            </w:r>
          </w:p>
        </w:tc>
        <w:tc>
          <w:tcPr>
            <w:tcW w:w="1158" w:type="dxa"/>
            <w:tcBorders>
              <w:left w:val="dotDash" w:sz="4" w:space="0" w:color="auto"/>
            </w:tcBorders>
            <w:shd w:val="clear" w:color="auto" w:fill="auto"/>
            <w:vAlign w:val="bottom"/>
          </w:tcPr>
          <w:p w14:paraId="30D41C7B"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545571D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CFC8F01"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30071406"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1A97EAFF"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11EF0AF"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B043E52"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CD793F9"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55549C89"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0E19A963"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75C925"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60</w:t>
            </w:r>
          </w:p>
        </w:tc>
        <w:tc>
          <w:tcPr>
            <w:tcW w:w="1158" w:type="dxa"/>
            <w:tcBorders>
              <w:left w:val="dotDash" w:sz="4" w:space="0" w:color="auto"/>
            </w:tcBorders>
            <w:shd w:val="clear" w:color="auto" w:fill="auto"/>
            <w:noWrap/>
            <w:vAlign w:val="bottom"/>
          </w:tcPr>
          <w:p w14:paraId="52B27080"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dotDash" w:sz="4" w:space="0" w:color="auto"/>
            </w:tcBorders>
            <w:shd w:val="clear" w:color="auto" w:fill="auto"/>
            <w:noWrap/>
            <w:vAlign w:val="bottom"/>
          </w:tcPr>
          <w:p w14:paraId="2292B319" w14:textId="77777777" w:rsidR="00F71F1F" w:rsidRPr="00F71F1F" w:rsidRDefault="00F71F1F" w:rsidP="00F71F1F">
            <w:pPr>
              <w:jc w:val="center"/>
              <w:rPr>
                <w:rFonts w:ascii="Arial" w:eastAsia="Calibri" w:hAnsi="Arial" w:cs="Arial"/>
                <w:sz w:val="22"/>
                <w:szCs w:val="22"/>
                <w:lang w:eastAsia="en-US"/>
              </w:rPr>
            </w:pPr>
          </w:p>
        </w:tc>
        <w:tc>
          <w:tcPr>
            <w:tcW w:w="1158" w:type="dxa"/>
            <w:shd w:val="clear" w:color="auto" w:fill="auto"/>
            <w:vAlign w:val="bottom"/>
          </w:tcPr>
          <w:p w14:paraId="70ED7C54"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61C78FD6"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FE5DF2E" w14:textId="77777777" w:rsidR="00F71F1F" w:rsidRPr="00F71F1F" w:rsidRDefault="00F71F1F" w:rsidP="00F71F1F">
            <w:pPr>
              <w:jc w:val="center"/>
              <w:rPr>
                <w:rFonts w:ascii="Arial" w:eastAsia="Calibri" w:hAnsi="Arial" w:cs="Arial"/>
                <w:sz w:val="22"/>
                <w:szCs w:val="22"/>
                <w:lang w:eastAsia="en-US"/>
              </w:rPr>
            </w:pPr>
          </w:p>
        </w:tc>
        <w:tc>
          <w:tcPr>
            <w:tcW w:w="1157" w:type="dxa"/>
            <w:vAlign w:val="bottom"/>
          </w:tcPr>
          <w:p w14:paraId="70AFCAC3"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3029FFD"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6C07E35"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11B6942B"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245EF217"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97A263C"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2A325B61" w14:textId="77777777" w:rsidTr="00B80789">
        <w:trPr>
          <w:trHeight w:val="317"/>
        </w:trPr>
        <w:tc>
          <w:tcPr>
            <w:tcW w:w="1157" w:type="dxa"/>
            <w:tcBorders>
              <w:top w:val="dotDash" w:sz="4" w:space="0" w:color="auto"/>
              <w:left w:val="dotDash" w:sz="4" w:space="0" w:color="auto"/>
              <w:bottom w:val="single" w:sz="4" w:space="0" w:color="auto"/>
              <w:right w:val="dotDash" w:sz="4" w:space="0" w:color="auto"/>
            </w:tcBorders>
            <w:shd w:val="clear" w:color="auto" w:fill="auto"/>
            <w:noWrap/>
            <w:vAlign w:val="bottom"/>
          </w:tcPr>
          <w:p w14:paraId="0983E96D" w14:textId="77777777" w:rsidR="00F71F1F" w:rsidRPr="00F71F1F" w:rsidRDefault="00F71F1F" w:rsidP="00F71F1F">
            <w:pPr>
              <w:jc w:val="center"/>
              <w:rPr>
                <w:rFonts w:ascii="Arial" w:eastAsia="Calibri" w:hAnsi="Arial" w:cs="Arial"/>
                <w:lang w:eastAsia="en-US"/>
              </w:rPr>
            </w:pPr>
            <w:r w:rsidRPr="00F71F1F">
              <w:rPr>
                <w:rFonts w:ascii="Arial" w:eastAsia="Calibri" w:hAnsi="Arial" w:cs="Arial"/>
                <w:lang w:eastAsia="en-US"/>
              </w:rPr>
              <w:t>0</w:t>
            </w:r>
          </w:p>
        </w:tc>
        <w:tc>
          <w:tcPr>
            <w:tcW w:w="1158" w:type="dxa"/>
            <w:tcBorders>
              <w:left w:val="dotDash" w:sz="4" w:space="0" w:color="auto"/>
              <w:bottom w:val="single" w:sz="4" w:space="0" w:color="auto"/>
            </w:tcBorders>
            <w:shd w:val="clear" w:color="auto" w:fill="auto"/>
            <w:noWrap/>
            <w:vAlign w:val="bottom"/>
          </w:tcPr>
          <w:p w14:paraId="249E9F64" w14:textId="77777777" w:rsidR="00F71F1F" w:rsidRPr="00F71F1F" w:rsidRDefault="00F71F1F" w:rsidP="00F71F1F">
            <w:pPr>
              <w:jc w:val="center"/>
              <w:rPr>
                <w:rFonts w:ascii="Arial" w:eastAsia="Calibri" w:hAnsi="Arial" w:cs="Arial"/>
                <w:sz w:val="22"/>
                <w:szCs w:val="22"/>
                <w:lang w:eastAsia="en-US"/>
              </w:rPr>
            </w:pPr>
          </w:p>
        </w:tc>
        <w:tc>
          <w:tcPr>
            <w:tcW w:w="1157" w:type="dxa"/>
            <w:tcBorders>
              <w:bottom w:val="single" w:sz="4" w:space="0" w:color="auto"/>
            </w:tcBorders>
            <w:shd w:val="clear" w:color="auto" w:fill="auto"/>
            <w:noWrap/>
            <w:vAlign w:val="bottom"/>
          </w:tcPr>
          <w:p w14:paraId="745579EB" w14:textId="77777777" w:rsidR="00F71F1F" w:rsidRPr="00F71F1F" w:rsidRDefault="00F71F1F" w:rsidP="00F71F1F">
            <w:pPr>
              <w:jc w:val="center"/>
              <w:rPr>
                <w:rFonts w:ascii="Arial" w:eastAsia="Calibri" w:hAnsi="Arial" w:cs="Arial"/>
                <w:sz w:val="22"/>
                <w:szCs w:val="22"/>
                <w:lang w:eastAsia="en-US"/>
              </w:rPr>
            </w:pPr>
          </w:p>
        </w:tc>
        <w:tc>
          <w:tcPr>
            <w:tcW w:w="1158" w:type="dxa"/>
            <w:tcBorders>
              <w:bottom w:val="single" w:sz="4" w:space="0" w:color="auto"/>
            </w:tcBorders>
            <w:shd w:val="clear" w:color="auto" w:fill="auto"/>
            <w:vAlign w:val="bottom"/>
          </w:tcPr>
          <w:p w14:paraId="0E332E3A" w14:textId="77777777" w:rsidR="00F71F1F" w:rsidRPr="00F71F1F" w:rsidRDefault="00F71F1F" w:rsidP="00F71F1F">
            <w:pPr>
              <w:jc w:val="center"/>
              <w:rPr>
                <w:rFonts w:ascii="Arial" w:eastAsia="Calibri" w:hAnsi="Arial" w:cs="Arial"/>
                <w:sz w:val="22"/>
                <w:szCs w:val="22"/>
                <w:lang w:eastAsia="en-US"/>
              </w:rPr>
            </w:pPr>
          </w:p>
        </w:tc>
        <w:tc>
          <w:tcPr>
            <w:tcW w:w="1157" w:type="dxa"/>
            <w:tcBorders>
              <w:bottom w:val="single" w:sz="4" w:space="0" w:color="auto"/>
            </w:tcBorders>
            <w:vAlign w:val="bottom"/>
          </w:tcPr>
          <w:p w14:paraId="5C81124D" w14:textId="77777777" w:rsidR="00F71F1F" w:rsidRPr="00F71F1F" w:rsidRDefault="00F71F1F" w:rsidP="00F71F1F">
            <w:pPr>
              <w:jc w:val="center"/>
              <w:rPr>
                <w:rFonts w:ascii="Arial" w:eastAsia="Calibri" w:hAnsi="Arial" w:cs="Arial"/>
                <w:sz w:val="22"/>
                <w:szCs w:val="22"/>
                <w:lang w:eastAsia="en-US"/>
              </w:rPr>
            </w:pPr>
          </w:p>
        </w:tc>
        <w:tc>
          <w:tcPr>
            <w:tcW w:w="1158" w:type="dxa"/>
            <w:tcBorders>
              <w:bottom w:val="single" w:sz="4" w:space="0" w:color="auto"/>
            </w:tcBorders>
            <w:vAlign w:val="bottom"/>
          </w:tcPr>
          <w:p w14:paraId="5EA80CC1" w14:textId="77777777" w:rsidR="00F71F1F" w:rsidRPr="00F71F1F" w:rsidRDefault="00F71F1F" w:rsidP="00F71F1F">
            <w:pPr>
              <w:jc w:val="center"/>
              <w:rPr>
                <w:rFonts w:ascii="Arial" w:eastAsia="Calibri" w:hAnsi="Arial" w:cs="Arial"/>
                <w:sz w:val="22"/>
                <w:szCs w:val="22"/>
                <w:lang w:eastAsia="en-US"/>
              </w:rPr>
            </w:pPr>
          </w:p>
        </w:tc>
        <w:tc>
          <w:tcPr>
            <w:tcW w:w="1157" w:type="dxa"/>
            <w:tcBorders>
              <w:bottom w:val="single" w:sz="4" w:space="0" w:color="auto"/>
            </w:tcBorders>
            <w:vAlign w:val="bottom"/>
          </w:tcPr>
          <w:p w14:paraId="6FFE40D2" w14:textId="77777777" w:rsidR="00F71F1F" w:rsidRPr="00F71F1F" w:rsidRDefault="00F71F1F" w:rsidP="00F71F1F">
            <w:pPr>
              <w:jc w:val="center"/>
              <w:rPr>
                <w:rFonts w:ascii="Arial" w:eastAsia="Calibri" w:hAnsi="Arial" w:cs="Arial"/>
                <w:sz w:val="22"/>
                <w:szCs w:val="22"/>
                <w:lang w:eastAsia="en-US"/>
              </w:rPr>
            </w:pPr>
          </w:p>
        </w:tc>
        <w:tc>
          <w:tcPr>
            <w:tcW w:w="1158" w:type="dxa"/>
            <w:tcBorders>
              <w:bottom w:val="single" w:sz="4" w:space="0" w:color="auto"/>
            </w:tcBorders>
            <w:vAlign w:val="bottom"/>
          </w:tcPr>
          <w:p w14:paraId="0809AA09"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75CCC48D"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4B9D58A6"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6E5EA2DB" w14:textId="77777777" w:rsidR="00F71F1F" w:rsidRPr="00F71F1F" w:rsidRDefault="00F71F1F" w:rsidP="00F71F1F">
            <w:pPr>
              <w:jc w:val="center"/>
              <w:rPr>
                <w:rFonts w:ascii="Arial" w:eastAsia="Calibri" w:hAnsi="Arial" w:cs="Arial"/>
                <w:sz w:val="22"/>
                <w:szCs w:val="22"/>
                <w:lang w:eastAsia="en-US"/>
              </w:rPr>
            </w:pPr>
          </w:p>
        </w:tc>
        <w:tc>
          <w:tcPr>
            <w:tcW w:w="1158" w:type="dxa"/>
            <w:tcBorders>
              <w:bottom w:val="single" w:sz="4" w:space="0" w:color="auto"/>
            </w:tcBorders>
            <w:vAlign w:val="bottom"/>
          </w:tcPr>
          <w:p w14:paraId="3F9AA17F"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6C283C54" w14:textId="77777777" w:rsidTr="00B80789">
        <w:trPr>
          <w:trHeight w:val="317"/>
        </w:trPr>
        <w:tc>
          <w:tcPr>
            <w:tcW w:w="34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8E874B3" w14:textId="77777777" w:rsidR="00F71F1F" w:rsidRPr="00F71F1F" w:rsidRDefault="00F71F1F" w:rsidP="00F71F1F">
            <w:pPr>
              <w:jc w:val="center"/>
              <w:rPr>
                <w:rFonts w:ascii="Arial" w:eastAsia="Calibri" w:hAnsi="Arial" w:cs="Arial"/>
                <w:sz w:val="22"/>
                <w:szCs w:val="22"/>
                <w:lang w:eastAsia="en-US"/>
              </w:rPr>
            </w:pPr>
            <w:r w:rsidRPr="00F71F1F">
              <w:rPr>
                <w:rFonts w:ascii="Arial" w:eastAsia="Calibri" w:hAnsi="Arial" w:cs="Arial"/>
                <w:sz w:val="22"/>
                <w:szCs w:val="22"/>
                <w:lang w:eastAsia="en-US"/>
              </w:rPr>
              <w:lastRenderedPageBreak/>
              <w:t>Total</w:t>
            </w: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38D1D669"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single" w:sz="4" w:space="0" w:color="auto"/>
              <w:bottom w:val="single" w:sz="4" w:space="0" w:color="auto"/>
              <w:right w:val="single" w:sz="4" w:space="0" w:color="auto"/>
            </w:tcBorders>
            <w:shd w:val="clear" w:color="auto" w:fill="A6A6A6"/>
            <w:vAlign w:val="bottom"/>
          </w:tcPr>
          <w:p w14:paraId="651B5CC0"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65C20D16" w14:textId="77777777" w:rsidR="00F71F1F" w:rsidRPr="00F71F1F" w:rsidRDefault="00F71F1F" w:rsidP="00F71F1F">
            <w:pPr>
              <w:jc w:val="center"/>
              <w:rPr>
                <w:rFonts w:ascii="Arial" w:eastAsia="Calibri" w:hAnsi="Arial" w:cs="Arial"/>
                <w:sz w:val="22"/>
                <w:szCs w:val="22"/>
                <w:lang w:eastAsia="en-US"/>
              </w:rPr>
            </w:pPr>
          </w:p>
        </w:tc>
        <w:tc>
          <w:tcPr>
            <w:tcW w:w="1157" w:type="dxa"/>
            <w:tcBorders>
              <w:top w:val="single" w:sz="4" w:space="0" w:color="auto"/>
              <w:left w:val="single" w:sz="4" w:space="0" w:color="auto"/>
              <w:bottom w:val="single" w:sz="4" w:space="0" w:color="auto"/>
              <w:right w:val="single" w:sz="4" w:space="0" w:color="auto"/>
            </w:tcBorders>
            <w:shd w:val="clear" w:color="auto" w:fill="A6A6A6"/>
            <w:vAlign w:val="bottom"/>
          </w:tcPr>
          <w:p w14:paraId="607CEEF0"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33E7673F" w14:textId="77777777" w:rsidR="00F71F1F" w:rsidRPr="00F71F1F" w:rsidRDefault="00F71F1F" w:rsidP="00F71F1F">
            <w:pPr>
              <w:jc w:val="center"/>
              <w:rPr>
                <w:rFonts w:ascii="Arial" w:eastAsia="Calibri" w:hAnsi="Arial" w:cs="Arial"/>
                <w:sz w:val="22"/>
                <w:szCs w:val="22"/>
                <w:lang w:eastAsia="en-US"/>
              </w:rPr>
            </w:pPr>
          </w:p>
        </w:tc>
        <w:tc>
          <w:tcPr>
            <w:tcW w:w="1158" w:type="dxa"/>
            <w:tcBorders>
              <w:left w:val="single" w:sz="4" w:space="0" w:color="auto"/>
            </w:tcBorders>
            <w:vAlign w:val="bottom"/>
          </w:tcPr>
          <w:p w14:paraId="4F70B19B" w14:textId="77777777" w:rsidR="00F71F1F" w:rsidRPr="00F71F1F" w:rsidRDefault="00F71F1F" w:rsidP="00F71F1F">
            <w:pPr>
              <w:jc w:val="center"/>
              <w:rPr>
                <w:rFonts w:ascii="Arial" w:eastAsia="Calibri" w:hAnsi="Arial" w:cs="Arial"/>
                <w:sz w:val="22"/>
                <w:szCs w:val="22"/>
                <w:lang w:eastAsia="en-US"/>
              </w:rPr>
            </w:pPr>
          </w:p>
        </w:tc>
        <w:tc>
          <w:tcPr>
            <w:tcW w:w="1158" w:type="dxa"/>
            <w:vAlign w:val="bottom"/>
          </w:tcPr>
          <w:p w14:paraId="315A595B" w14:textId="77777777" w:rsidR="00F71F1F" w:rsidRPr="00F71F1F" w:rsidRDefault="00F71F1F" w:rsidP="00F71F1F">
            <w:pPr>
              <w:jc w:val="center"/>
              <w:rPr>
                <w:rFonts w:ascii="Arial" w:eastAsia="Calibri" w:hAnsi="Arial" w:cs="Arial"/>
                <w:sz w:val="22"/>
                <w:szCs w:val="22"/>
                <w:lang w:eastAsia="en-US"/>
              </w:rPr>
            </w:pPr>
          </w:p>
        </w:tc>
        <w:tc>
          <w:tcPr>
            <w:tcW w:w="1158" w:type="dxa"/>
            <w:tcBorders>
              <w:right w:val="single" w:sz="4" w:space="0" w:color="auto"/>
            </w:tcBorders>
            <w:vAlign w:val="bottom"/>
          </w:tcPr>
          <w:p w14:paraId="7222CDEC" w14:textId="77777777" w:rsidR="00F71F1F" w:rsidRPr="00F71F1F" w:rsidRDefault="00F71F1F" w:rsidP="00F71F1F">
            <w:pPr>
              <w:jc w:val="center"/>
              <w:rPr>
                <w:rFonts w:ascii="Arial" w:eastAsia="Calibri" w:hAnsi="Arial" w:cs="Arial"/>
                <w:sz w:val="22"/>
                <w:szCs w:val="22"/>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3C42DD15" w14:textId="77777777" w:rsidR="00F71F1F" w:rsidRPr="00F71F1F" w:rsidRDefault="00F71F1F" w:rsidP="00F71F1F">
            <w:pPr>
              <w:jc w:val="center"/>
              <w:rPr>
                <w:rFonts w:ascii="Arial" w:eastAsia="Calibri" w:hAnsi="Arial" w:cs="Arial"/>
                <w:sz w:val="22"/>
                <w:szCs w:val="22"/>
                <w:lang w:eastAsia="en-US"/>
              </w:rPr>
            </w:pPr>
          </w:p>
        </w:tc>
      </w:tr>
    </w:tbl>
    <w:p w14:paraId="5E9F4A37" w14:textId="77777777" w:rsidR="00F71F1F" w:rsidRPr="00F71F1F" w:rsidRDefault="00F71F1F" w:rsidP="00F71F1F">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F71F1F" w:rsidRPr="00F71F1F" w14:paraId="3031A519" w14:textId="77777777" w:rsidTr="00B80789">
        <w:tc>
          <w:tcPr>
            <w:tcW w:w="8804" w:type="dxa"/>
          </w:tcPr>
          <w:p w14:paraId="1FEF08CF" w14:textId="77777777" w:rsidR="00F71F1F" w:rsidRPr="00F71F1F" w:rsidRDefault="00F71F1F" w:rsidP="00F71F1F">
            <w:pPr>
              <w:rPr>
                <w:rFonts w:ascii="Arial" w:hAnsi="Arial" w:cs="Arial"/>
                <w:b/>
                <w:bCs/>
                <w:sz w:val="22"/>
                <w:szCs w:val="22"/>
              </w:rPr>
            </w:pPr>
            <w:r w:rsidRPr="00F71F1F">
              <w:rPr>
                <w:rFonts w:ascii="Arial" w:hAnsi="Arial" w:cs="Arial"/>
                <w:b/>
                <w:bCs/>
                <w:sz w:val="22"/>
                <w:szCs w:val="22"/>
              </w:rPr>
              <w:t>2.2. Pool cover</w:t>
            </w:r>
          </w:p>
        </w:tc>
      </w:tr>
    </w:tbl>
    <w:p w14:paraId="7B9776E3" w14:textId="77777777" w:rsidR="00F71F1F" w:rsidRPr="00F71F1F" w:rsidRDefault="00F71F1F" w:rsidP="00F71F1F">
      <w:pPr>
        <w:rPr>
          <w:rFonts w:ascii="Arial" w:eastAsia="Calibri" w:hAnsi="Arial" w:cs="Arial"/>
          <w:sz w:val="22"/>
          <w:szCs w:val="22"/>
          <w:lang w:eastAsia="en-US"/>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F71F1F" w:rsidRPr="00F71F1F" w14:paraId="27FDE42E" w14:textId="77777777" w:rsidTr="00B80789">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7CB8D540" w14:textId="77777777" w:rsidR="00F71F1F" w:rsidRPr="00F71F1F" w:rsidRDefault="00F71F1F" w:rsidP="00F71F1F">
            <w:pPr>
              <w:jc w:val="center"/>
              <w:rPr>
                <w:rFonts w:ascii="Arial" w:hAnsi="Arial" w:cs="Arial"/>
                <w:b/>
                <w:bCs/>
              </w:rPr>
            </w:pPr>
            <w:r w:rsidRPr="00F71F1F">
              <w:rPr>
                <w:rFonts w:ascii="Arial" w:hAnsi="Arial" w:cs="Arial"/>
                <w:b/>
                <w:bCs/>
              </w:rPr>
              <w:t>Weighted-average LVR (%)</w:t>
            </w:r>
          </w:p>
        </w:tc>
        <w:tc>
          <w:tcPr>
            <w:tcW w:w="1985" w:type="dxa"/>
            <w:tcBorders>
              <w:top w:val="single" w:sz="4" w:space="0" w:color="auto"/>
              <w:left w:val="nil"/>
              <w:bottom w:val="nil"/>
              <w:right w:val="single" w:sz="4" w:space="0" w:color="auto"/>
            </w:tcBorders>
            <w:shd w:val="clear" w:color="auto" w:fill="auto"/>
            <w:vAlign w:val="bottom"/>
            <w:hideMark/>
          </w:tcPr>
          <w:p w14:paraId="59DA02F1" w14:textId="77777777" w:rsidR="00F71F1F" w:rsidRPr="00F71F1F" w:rsidRDefault="00F71F1F" w:rsidP="00F71F1F">
            <w:pPr>
              <w:jc w:val="center"/>
              <w:rPr>
                <w:rFonts w:ascii="Arial" w:hAnsi="Arial" w:cs="Arial"/>
                <w:b/>
                <w:bCs/>
              </w:rPr>
            </w:pPr>
            <w:r w:rsidRPr="00F71F1F">
              <w:rPr>
                <w:rFonts w:ascii="Arial" w:hAnsi="Arial" w:cs="Arial"/>
                <w:b/>
                <w:bCs/>
              </w:rPr>
              <w:t>Weighted-average age</w:t>
            </w:r>
          </w:p>
        </w:tc>
        <w:tc>
          <w:tcPr>
            <w:tcW w:w="1984" w:type="dxa"/>
            <w:tcBorders>
              <w:top w:val="single" w:sz="4" w:space="0" w:color="auto"/>
              <w:left w:val="nil"/>
              <w:bottom w:val="nil"/>
              <w:right w:val="single" w:sz="4" w:space="0" w:color="auto"/>
            </w:tcBorders>
            <w:shd w:val="clear" w:color="auto" w:fill="auto"/>
            <w:vAlign w:val="bottom"/>
            <w:hideMark/>
          </w:tcPr>
          <w:p w14:paraId="1BAFB9C9" w14:textId="77777777" w:rsidR="00F71F1F" w:rsidRPr="00F71F1F" w:rsidRDefault="00F71F1F" w:rsidP="00F71F1F">
            <w:pPr>
              <w:jc w:val="center"/>
              <w:rPr>
                <w:rFonts w:ascii="Arial" w:hAnsi="Arial" w:cs="Arial"/>
                <w:b/>
                <w:bCs/>
              </w:rPr>
            </w:pPr>
            <w:r w:rsidRPr="00F71F1F">
              <w:rPr>
                <w:rFonts w:ascii="Arial" w:hAnsi="Arial" w:cs="Arial"/>
                <w:b/>
                <w:bCs/>
              </w:rPr>
              <w:t>Seasoning factor</w:t>
            </w:r>
          </w:p>
        </w:tc>
        <w:tc>
          <w:tcPr>
            <w:tcW w:w="1985" w:type="dxa"/>
            <w:tcBorders>
              <w:top w:val="single" w:sz="4" w:space="0" w:color="auto"/>
              <w:left w:val="nil"/>
              <w:bottom w:val="nil"/>
              <w:right w:val="single" w:sz="4" w:space="0" w:color="000000"/>
            </w:tcBorders>
            <w:shd w:val="clear" w:color="auto" w:fill="auto"/>
            <w:vAlign w:val="bottom"/>
            <w:hideMark/>
          </w:tcPr>
          <w:p w14:paraId="3F770C84" w14:textId="77777777" w:rsidR="00F71F1F" w:rsidRPr="00F71F1F" w:rsidRDefault="00F71F1F" w:rsidP="00F71F1F">
            <w:pPr>
              <w:jc w:val="center"/>
              <w:rPr>
                <w:rFonts w:ascii="Arial" w:hAnsi="Arial" w:cs="Arial"/>
                <w:b/>
                <w:bCs/>
              </w:rPr>
            </w:pPr>
            <w:r w:rsidRPr="00F71F1F">
              <w:rPr>
                <w:rFonts w:ascii="Arial" w:hAnsi="Arial" w:cs="Arial"/>
                <w:b/>
                <w:bCs/>
              </w:rPr>
              <w:t>Total sum insured</w:t>
            </w:r>
          </w:p>
        </w:tc>
        <w:tc>
          <w:tcPr>
            <w:tcW w:w="1984" w:type="dxa"/>
            <w:tcBorders>
              <w:top w:val="single" w:sz="4" w:space="0" w:color="auto"/>
              <w:left w:val="nil"/>
              <w:bottom w:val="nil"/>
              <w:right w:val="single" w:sz="4" w:space="0" w:color="000000"/>
            </w:tcBorders>
            <w:vAlign w:val="bottom"/>
          </w:tcPr>
          <w:p w14:paraId="5527FC25" w14:textId="77777777" w:rsidR="00F71F1F" w:rsidRPr="00F71F1F" w:rsidRDefault="00F71F1F" w:rsidP="00F71F1F">
            <w:pPr>
              <w:jc w:val="center"/>
              <w:rPr>
                <w:rFonts w:ascii="Arial" w:hAnsi="Arial" w:cs="Arial"/>
                <w:b/>
                <w:bCs/>
              </w:rPr>
            </w:pPr>
            <w:r w:rsidRPr="00F71F1F">
              <w:rPr>
                <w:rFonts w:ascii="Arial" w:hAnsi="Arial" w:cs="Arial"/>
                <w:b/>
                <w:bCs/>
              </w:rPr>
              <w:t>PD factor</w:t>
            </w:r>
          </w:p>
        </w:tc>
        <w:tc>
          <w:tcPr>
            <w:tcW w:w="1985" w:type="dxa"/>
            <w:tcBorders>
              <w:top w:val="single" w:sz="4" w:space="0" w:color="auto"/>
              <w:left w:val="nil"/>
              <w:bottom w:val="nil"/>
              <w:right w:val="single" w:sz="4" w:space="0" w:color="000000"/>
            </w:tcBorders>
            <w:vAlign w:val="bottom"/>
          </w:tcPr>
          <w:p w14:paraId="7A00E943" w14:textId="77777777" w:rsidR="00F71F1F" w:rsidRPr="00F71F1F" w:rsidRDefault="00F71F1F" w:rsidP="00F71F1F">
            <w:pPr>
              <w:jc w:val="center"/>
              <w:rPr>
                <w:rFonts w:ascii="Arial" w:hAnsi="Arial" w:cs="Arial"/>
                <w:b/>
                <w:bCs/>
              </w:rPr>
            </w:pPr>
            <w:r w:rsidRPr="00F71F1F">
              <w:rPr>
                <w:rFonts w:ascii="Arial" w:hAnsi="Arial" w:cs="Arial"/>
                <w:b/>
                <w:bCs/>
              </w:rPr>
              <w:t>LGD factor</w:t>
            </w:r>
          </w:p>
        </w:tc>
        <w:tc>
          <w:tcPr>
            <w:tcW w:w="1984" w:type="dxa"/>
            <w:tcBorders>
              <w:top w:val="single" w:sz="4" w:space="0" w:color="auto"/>
              <w:left w:val="nil"/>
              <w:bottom w:val="nil"/>
              <w:right w:val="single" w:sz="4" w:space="0" w:color="000000"/>
            </w:tcBorders>
            <w:vAlign w:val="bottom"/>
          </w:tcPr>
          <w:p w14:paraId="100196AB" w14:textId="77777777" w:rsidR="00F71F1F" w:rsidRPr="00F71F1F" w:rsidRDefault="00F71F1F" w:rsidP="00F71F1F">
            <w:pPr>
              <w:jc w:val="center"/>
              <w:rPr>
                <w:rFonts w:ascii="Arial" w:hAnsi="Arial" w:cs="Arial"/>
                <w:b/>
                <w:bCs/>
              </w:rPr>
            </w:pPr>
            <w:r w:rsidRPr="00F71F1F">
              <w:rPr>
                <w:rFonts w:ascii="Arial" w:hAnsi="Arial" w:cs="Arial"/>
                <w:b/>
                <w:bCs/>
              </w:rPr>
              <w:t>PML</w:t>
            </w:r>
          </w:p>
        </w:tc>
      </w:tr>
      <w:tr w:rsidR="00F71F1F" w:rsidRPr="00F71F1F" w14:paraId="3CB44B82" w14:textId="77777777" w:rsidTr="00B80789">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52278C2E" w14:textId="77777777" w:rsidR="00F71F1F" w:rsidRPr="00F71F1F" w:rsidRDefault="00F71F1F" w:rsidP="00F71F1F">
            <w:pPr>
              <w:jc w:val="center"/>
              <w:rPr>
                <w:rFonts w:ascii="Arial" w:hAnsi="Arial" w:cs="Arial"/>
                <w:b/>
                <w:bCs/>
              </w:rPr>
            </w:pPr>
            <w:r w:rsidRPr="00F71F1F">
              <w:rPr>
                <w:rFonts w:ascii="Arial" w:hAnsi="Arial" w:cs="Arial"/>
                <w:b/>
                <w:bCs/>
              </w:rPr>
              <w:t>(1)</w:t>
            </w:r>
          </w:p>
        </w:tc>
        <w:tc>
          <w:tcPr>
            <w:tcW w:w="1985" w:type="dxa"/>
            <w:tcBorders>
              <w:top w:val="nil"/>
              <w:left w:val="nil"/>
              <w:bottom w:val="single" w:sz="4" w:space="0" w:color="auto"/>
              <w:right w:val="single" w:sz="4" w:space="0" w:color="auto"/>
            </w:tcBorders>
            <w:shd w:val="clear" w:color="auto" w:fill="auto"/>
            <w:vAlign w:val="bottom"/>
            <w:hideMark/>
          </w:tcPr>
          <w:p w14:paraId="5239A7E3" w14:textId="77777777" w:rsidR="00F71F1F" w:rsidRPr="00F71F1F" w:rsidRDefault="00F71F1F" w:rsidP="00F71F1F">
            <w:pPr>
              <w:jc w:val="center"/>
              <w:rPr>
                <w:rFonts w:ascii="Arial" w:hAnsi="Arial" w:cs="Arial"/>
                <w:b/>
                <w:bCs/>
              </w:rPr>
            </w:pPr>
            <w:r w:rsidRPr="00F71F1F">
              <w:rPr>
                <w:rFonts w:ascii="Arial" w:hAnsi="Arial" w:cs="Arial"/>
                <w:b/>
                <w:bCs/>
              </w:rPr>
              <w:t>(2)</w:t>
            </w:r>
          </w:p>
        </w:tc>
        <w:tc>
          <w:tcPr>
            <w:tcW w:w="1984" w:type="dxa"/>
            <w:tcBorders>
              <w:top w:val="nil"/>
              <w:left w:val="nil"/>
              <w:bottom w:val="single" w:sz="4" w:space="0" w:color="auto"/>
              <w:right w:val="single" w:sz="4" w:space="0" w:color="auto"/>
            </w:tcBorders>
            <w:shd w:val="clear" w:color="auto" w:fill="auto"/>
            <w:vAlign w:val="bottom"/>
            <w:hideMark/>
          </w:tcPr>
          <w:p w14:paraId="08EA8DE1" w14:textId="77777777" w:rsidR="00F71F1F" w:rsidRPr="00F71F1F" w:rsidRDefault="00F71F1F" w:rsidP="00F71F1F">
            <w:pPr>
              <w:jc w:val="center"/>
              <w:rPr>
                <w:rFonts w:ascii="Arial" w:hAnsi="Arial" w:cs="Arial"/>
                <w:b/>
                <w:bCs/>
              </w:rPr>
            </w:pPr>
            <w:r w:rsidRPr="00F71F1F">
              <w:rPr>
                <w:rFonts w:ascii="Arial" w:hAnsi="Arial" w:cs="Arial"/>
                <w:b/>
                <w:bCs/>
              </w:rPr>
              <w:t>(3)</w:t>
            </w:r>
          </w:p>
        </w:tc>
        <w:tc>
          <w:tcPr>
            <w:tcW w:w="1985" w:type="dxa"/>
            <w:tcBorders>
              <w:top w:val="nil"/>
              <w:left w:val="nil"/>
              <w:bottom w:val="single" w:sz="4" w:space="0" w:color="auto"/>
              <w:right w:val="single" w:sz="4" w:space="0" w:color="000000"/>
            </w:tcBorders>
            <w:shd w:val="clear" w:color="auto" w:fill="auto"/>
            <w:vAlign w:val="bottom"/>
            <w:hideMark/>
          </w:tcPr>
          <w:p w14:paraId="29519F1F" w14:textId="77777777" w:rsidR="00F71F1F" w:rsidRPr="00F71F1F" w:rsidRDefault="00F71F1F" w:rsidP="00F71F1F">
            <w:pPr>
              <w:jc w:val="center"/>
              <w:rPr>
                <w:rFonts w:ascii="Arial" w:hAnsi="Arial" w:cs="Arial"/>
                <w:b/>
                <w:bCs/>
              </w:rPr>
            </w:pPr>
            <w:r w:rsidRPr="00F71F1F">
              <w:rPr>
                <w:rFonts w:ascii="Arial" w:hAnsi="Arial" w:cs="Arial"/>
                <w:b/>
                <w:bCs/>
              </w:rPr>
              <w:t>(4)</w:t>
            </w:r>
          </w:p>
        </w:tc>
        <w:tc>
          <w:tcPr>
            <w:tcW w:w="1984" w:type="dxa"/>
            <w:tcBorders>
              <w:top w:val="nil"/>
              <w:left w:val="nil"/>
              <w:bottom w:val="single" w:sz="4" w:space="0" w:color="auto"/>
              <w:right w:val="single" w:sz="4" w:space="0" w:color="000000"/>
            </w:tcBorders>
            <w:vAlign w:val="bottom"/>
          </w:tcPr>
          <w:p w14:paraId="3B522C72" w14:textId="77777777" w:rsidR="00F71F1F" w:rsidRPr="00F71F1F" w:rsidRDefault="00F71F1F" w:rsidP="00F71F1F">
            <w:pPr>
              <w:jc w:val="center"/>
              <w:rPr>
                <w:rFonts w:ascii="Arial" w:hAnsi="Arial" w:cs="Arial"/>
                <w:b/>
                <w:bCs/>
              </w:rPr>
            </w:pPr>
            <w:r w:rsidRPr="00F71F1F">
              <w:rPr>
                <w:rFonts w:ascii="Arial" w:hAnsi="Arial" w:cs="Arial"/>
                <w:b/>
                <w:bCs/>
              </w:rPr>
              <w:t>(5)</w:t>
            </w:r>
          </w:p>
        </w:tc>
        <w:tc>
          <w:tcPr>
            <w:tcW w:w="1985" w:type="dxa"/>
            <w:tcBorders>
              <w:top w:val="nil"/>
              <w:left w:val="nil"/>
              <w:bottom w:val="single" w:sz="4" w:space="0" w:color="auto"/>
              <w:right w:val="single" w:sz="4" w:space="0" w:color="000000"/>
            </w:tcBorders>
            <w:vAlign w:val="bottom"/>
          </w:tcPr>
          <w:p w14:paraId="5A7FF67E" w14:textId="77777777" w:rsidR="00F71F1F" w:rsidRPr="00F71F1F" w:rsidRDefault="00F71F1F" w:rsidP="00F71F1F">
            <w:pPr>
              <w:jc w:val="center"/>
              <w:rPr>
                <w:rFonts w:ascii="Arial" w:hAnsi="Arial" w:cs="Arial"/>
                <w:b/>
                <w:bCs/>
              </w:rPr>
            </w:pPr>
            <w:r w:rsidRPr="00F71F1F">
              <w:rPr>
                <w:rFonts w:ascii="Arial" w:hAnsi="Arial" w:cs="Arial"/>
                <w:b/>
                <w:bCs/>
              </w:rPr>
              <w:t>(6)</w:t>
            </w:r>
          </w:p>
        </w:tc>
        <w:tc>
          <w:tcPr>
            <w:tcW w:w="1984" w:type="dxa"/>
            <w:tcBorders>
              <w:top w:val="nil"/>
              <w:left w:val="nil"/>
              <w:bottom w:val="single" w:sz="4" w:space="0" w:color="auto"/>
              <w:right w:val="single" w:sz="4" w:space="0" w:color="000000"/>
            </w:tcBorders>
            <w:vAlign w:val="bottom"/>
          </w:tcPr>
          <w:p w14:paraId="7A201AE2" w14:textId="77777777" w:rsidR="00F71F1F" w:rsidRPr="00F71F1F" w:rsidRDefault="00F71F1F" w:rsidP="00F71F1F">
            <w:pPr>
              <w:jc w:val="center"/>
              <w:rPr>
                <w:rFonts w:ascii="Arial" w:hAnsi="Arial" w:cs="Arial"/>
                <w:b/>
                <w:bCs/>
              </w:rPr>
            </w:pPr>
            <w:r w:rsidRPr="00F71F1F">
              <w:rPr>
                <w:rFonts w:ascii="Arial" w:hAnsi="Arial" w:cs="Arial"/>
                <w:b/>
                <w:bCs/>
              </w:rPr>
              <w:t>(7)</w:t>
            </w:r>
          </w:p>
        </w:tc>
      </w:tr>
      <w:tr w:rsidR="00F71F1F" w:rsidRPr="00F71F1F" w14:paraId="6794AC85" w14:textId="77777777" w:rsidTr="00B80789">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19A5B" w14:textId="77777777" w:rsidR="00F71F1F" w:rsidRPr="00F71F1F" w:rsidRDefault="00F71F1F" w:rsidP="00F71F1F">
            <w:pPr>
              <w:jc w:val="center"/>
              <w:rPr>
                <w:rFonts w:ascii="Arial" w:eastAsia="Calibri" w:hAnsi="Arial" w:cs="Arial"/>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D4B96FB"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bottom w:val="single" w:sz="4" w:space="0" w:color="auto"/>
              <w:right w:val="single" w:sz="4" w:space="0" w:color="auto"/>
            </w:tcBorders>
            <w:shd w:val="clear" w:color="auto" w:fill="A6A6A6"/>
            <w:noWrap/>
            <w:vAlign w:val="bottom"/>
          </w:tcPr>
          <w:p w14:paraId="57EC1A30" w14:textId="77777777" w:rsidR="00F71F1F" w:rsidRPr="00F71F1F" w:rsidRDefault="00F71F1F" w:rsidP="00F71F1F">
            <w:pPr>
              <w:jc w:val="center"/>
              <w:rPr>
                <w:rFonts w:ascii="Arial" w:eastAsia="Calibri" w:hAnsi="Arial" w:cs="Arial"/>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7B578C9"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27E7663A" w14:textId="77777777" w:rsidR="00F71F1F" w:rsidRPr="00F71F1F" w:rsidRDefault="00F71F1F" w:rsidP="00F71F1F">
            <w:pPr>
              <w:jc w:val="center"/>
              <w:rPr>
                <w:rFonts w:ascii="Arial" w:eastAsia="Calibri" w:hAnsi="Arial" w:cs="Arial"/>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7349832D"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663A59D2" w14:textId="77777777" w:rsidR="00F71F1F" w:rsidRPr="00F71F1F" w:rsidRDefault="00F71F1F" w:rsidP="00F71F1F">
            <w:pPr>
              <w:jc w:val="center"/>
              <w:rPr>
                <w:rFonts w:ascii="Arial" w:eastAsia="Calibri" w:hAnsi="Arial" w:cs="Arial"/>
                <w:sz w:val="22"/>
                <w:szCs w:val="22"/>
                <w:lang w:eastAsia="en-US"/>
              </w:rPr>
            </w:pPr>
          </w:p>
        </w:tc>
      </w:tr>
      <w:tr w:rsidR="00F71F1F" w:rsidRPr="00F71F1F" w14:paraId="4F1D3597" w14:textId="77777777" w:rsidTr="00B80789">
        <w:trPr>
          <w:trHeight w:val="317"/>
        </w:trPr>
        <w:tc>
          <w:tcPr>
            <w:tcW w:w="59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AB6559" w14:textId="77777777" w:rsidR="00F71F1F" w:rsidRPr="00F71F1F" w:rsidRDefault="00F71F1F" w:rsidP="00F71F1F">
            <w:pPr>
              <w:jc w:val="center"/>
              <w:rPr>
                <w:rFonts w:ascii="Arial" w:eastAsia="Calibri" w:hAnsi="Arial" w:cs="Arial"/>
                <w:sz w:val="22"/>
                <w:szCs w:val="22"/>
                <w:lang w:eastAsia="en-US"/>
              </w:rPr>
            </w:pPr>
            <w:r w:rsidRPr="00F71F1F">
              <w:rPr>
                <w:rFonts w:ascii="Arial" w:eastAsia="Calibri" w:hAnsi="Arial" w:cs="Arial"/>
                <w:sz w:val="22"/>
                <w:szCs w:val="22"/>
                <w:lang w:eastAsia="en-US"/>
              </w:rPr>
              <w:t>Total</w:t>
            </w:r>
          </w:p>
        </w:tc>
        <w:tc>
          <w:tcPr>
            <w:tcW w:w="1985" w:type="dxa"/>
            <w:tcBorders>
              <w:top w:val="single" w:sz="4" w:space="0" w:color="auto"/>
              <w:left w:val="nil"/>
              <w:bottom w:val="single" w:sz="4" w:space="0" w:color="auto"/>
              <w:right w:val="single" w:sz="4" w:space="0" w:color="auto"/>
            </w:tcBorders>
            <w:shd w:val="clear" w:color="auto" w:fill="A6A6A6"/>
            <w:vAlign w:val="bottom"/>
          </w:tcPr>
          <w:p w14:paraId="435BEAE9"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tcBorders>
            <w:vAlign w:val="bottom"/>
          </w:tcPr>
          <w:p w14:paraId="384FD5D8" w14:textId="77777777" w:rsidR="00F71F1F" w:rsidRPr="00F71F1F" w:rsidRDefault="00F71F1F" w:rsidP="00F71F1F">
            <w:pPr>
              <w:jc w:val="center"/>
              <w:rPr>
                <w:rFonts w:ascii="Arial" w:eastAsia="Calibri" w:hAnsi="Arial" w:cs="Arial"/>
                <w:sz w:val="22"/>
                <w:szCs w:val="22"/>
                <w:lang w:eastAsia="en-US"/>
              </w:rPr>
            </w:pPr>
          </w:p>
        </w:tc>
        <w:tc>
          <w:tcPr>
            <w:tcW w:w="1985" w:type="dxa"/>
            <w:tcBorders>
              <w:top w:val="single" w:sz="4" w:space="0" w:color="auto"/>
              <w:right w:val="single" w:sz="4" w:space="0" w:color="auto"/>
            </w:tcBorders>
            <w:vAlign w:val="bottom"/>
          </w:tcPr>
          <w:p w14:paraId="69CB9A34" w14:textId="77777777" w:rsidR="00F71F1F" w:rsidRPr="00F71F1F" w:rsidRDefault="00F71F1F" w:rsidP="00F71F1F">
            <w:pPr>
              <w:jc w:val="center"/>
              <w:rPr>
                <w:rFonts w:ascii="Arial" w:eastAsia="Calibri" w:hAnsi="Arial" w:cs="Arial"/>
                <w:sz w:val="22"/>
                <w:szCs w:val="22"/>
                <w:lang w:eastAsia="en-US"/>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42E7BBD2" w14:textId="77777777" w:rsidR="00F71F1F" w:rsidRPr="00F71F1F" w:rsidRDefault="00F71F1F" w:rsidP="00F71F1F">
            <w:pPr>
              <w:jc w:val="center"/>
              <w:rPr>
                <w:rFonts w:ascii="Arial" w:eastAsia="Calibri" w:hAnsi="Arial" w:cs="Arial"/>
                <w:sz w:val="22"/>
                <w:szCs w:val="22"/>
                <w:lang w:eastAsia="en-US"/>
              </w:rPr>
            </w:pPr>
          </w:p>
        </w:tc>
      </w:tr>
    </w:tbl>
    <w:p w14:paraId="794BDB1D" w14:textId="5B2EAAC8" w:rsidR="00C0782D" w:rsidRDefault="00C0782D" w:rsidP="00760AC5">
      <w:pPr>
        <w:pStyle w:val="Header"/>
        <w:jc w:val="both"/>
        <w:sectPr w:rsidR="00C0782D" w:rsidSect="00C0782D">
          <w:headerReference w:type="default" r:id="rId19"/>
          <w:footerReference w:type="default" r:id="rId20"/>
          <w:headerReference w:type="first" r:id="rId21"/>
          <w:footerReference w:type="first" r:id="rId22"/>
          <w:pgSz w:w="16840" w:h="11907" w:orient="landscape" w:code="9"/>
          <w:pgMar w:top="1797" w:right="1440" w:bottom="1797" w:left="1440" w:header="720" w:footer="720" w:gutter="0"/>
          <w:pgNumType w:start="1"/>
          <w:cols w:space="720"/>
          <w:docGrid w:linePitch="272"/>
        </w:sectPr>
      </w:pPr>
    </w:p>
    <w:p w14:paraId="09A3A8F3" w14:textId="19D1A323" w:rsidR="00F554E7" w:rsidRDefault="00F554E7" w:rsidP="00760AC5">
      <w:pPr>
        <w:pStyle w:val="Header"/>
        <w:jc w:val="both"/>
      </w:pPr>
    </w:p>
    <w:tbl>
      <w:tblPr>
        <w:tblW w:w="13892" w:type="dxa"/>
        <w:tblInd w:w="108" w:type="dxa"/>
        <w:tblLook w:val="0400" w:firstRow="0" w:lastRow="0" w:firstColumn="0" w:lastColumn="0" w:noHBand="0" w:noVBand="1"/>
      </w:tblPr>
      <w:tblGrid>
        <w:gridCol w:w="13892"/>
      </w:tblGrid>
      <w:tr w:rsidR="00F554E7" w:rsidRPr="00FC3309" w14:paraId="019FBCC2" w14:textId="77777777" w:rsidTr="00B80789">
        <w:trPr>
          <w:trHeight w:val="300"/>
        </w:trPr>
        <w:tc>
          <w:tcPr>
            <w:tcW w:w="8806" w:type="dxa"/>
            <w:shd w:val="clear" w:color="auto" w:fill="auto"/>
            <w:noWrap/>
            <w:vAlign w:val="bottom"/>
            <w:hideMark/>
          </w:tcPr>
          <w:p w14:paraId="66951DA9" w14:textId="77777777" w:rsidR="00F554E7" w:rsidRPr="00FC3309" w:rsidRDefault="00F554E7" w:rsidP="00B80789">
            <w:pPr>
              <w:jc w:val="center"/>
              <w:rPr>
                <w:rFonts w:ascii="Arial" w:hAnsi="Arial" w:cs="Arial"/>
                <w:sz w:val="16"/>
                <w:szCs w:val="16"/>
              </w:rPr>
            </w:pPr>
            <w:r>
              <w:rPr>
                <w:rFonts w:ascii="Arial" w:hAnsi="Arial" w:cs="Arial"/>
                <w:b/>
                <w:bCs/>
                <w:sz w:val="32"/>
                <w:szCs w:val="32"/>
              </w:rPr>
              <w:t>G</w:t>
            </w:r>
            <w:r w:rsidRPr="00FC3309">
              <w:rPr>
                <w:rFonts w:ascii="Arial" w:hAnsi="Arial" w:cs="Arial"/>
                <w:b/>
                <w:bCs/>
                <w:sz w:val="32"/>
                <w:szCs w:val="32"/>
              </w:rPr>
              <w:t>RF_</w:t>
            </w:r>
            <w:r>
              <w:rPr>
                <w:rFonts w:ascii="Arial" w:hAnsi="Arial" w:cs="Arial"/>
                <w:b/>
                <w:bCs/>
                <w:sz w:val="32"/>
                <w:szCs w:val="32"/>
              </w:rPr>
              <w:t>116_2</w:t>
            </w:r>
            <w:r w:rsidRPr="00FC3309">
              <w:rPr>
                <w:rFonts w:ascii="Arial" w:hAnsi="Arial" w:cs="Arial"/>
                <w:b/>
                <w:bCs/>
                <w:sz w:val="32"/>
                <w:szCs w:val="32"/>
              </w:rPr>
              <w:t xml:space="preserve">: </w:t>
            </w:r>
            <w:r w:rsidRPr="00CD2107">
              <w:rPr>
                <w:rFonts w:ascii="Arial" w:hAnsi="Arial" w:cs="Arial"/>
                <w:b/>
                <w:bCs/>
                <w:sz w:val="32"/>
                <w:szCs w:val="32"/>
              </w:rPr>
              <w:t>Probable Maximum Loss for LMIs - Non-Standard Loans</w:t>
            </w:r>
          </w:p>
        </w:tc>
      </w:tr>
    </w:tbl>
    <w:p w14:paraId="68190237" w14:textId="77777777" w:rsidR="00F554E7" w:rsidRPr="00FC3309" w:rsidRDefault="00F554E7" w:rsidP="00F554E7">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F554E7" w:rsidRPr="00FC3309" w14:paraId="7DEB36FF" w14:textId="77777777" w:rsidTr="00B80789">
        <w:trPr>
          <w:trHeight w:val="317"/>
        </w:trPr>
        <w:tc>
          <w:tcPr>
            <w:tcW w:w="6946" w:type="dxa"/>
            <w:tcBorders>
              <w:top w:val="nil"/>
              <w:left w:val="nil"/>
              <w:bottom w:val="single" w:sz="4" w:space="0" w:color="auto"/>
              <w:right w:val="nil"/>
            </w:tcBorders>
            <w:vAlign w:val="bottom"/>
            <w:hideMark/>
          </w:tcPr>
          <w:p w14:paraId="2276EA79" w14:textId="77777777" w:rsidR="00F554E7" w:rsidRPr="00FC3309" w:rsidRDefault="00F554E7" w:rsidP="00B80789">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470DF7E0" w14:textId="77777777" w:rsidR="00F554E7" w:rsidRPr="00FC3309" w:rsidRDefault="00F554E7" w:rsidP="00B80789">
            <w:pPr>
              <w:rPr>
                <w:rFonts w:ascii="Arial" w:hAnsi="Arial" w:cs="Arial"/>
                <w:b/>
                <w:bCs/>
              </w:rPr>
            </w:pPr>
            <w:r w:rsidRPr="00FC3309">
              <w:rPr>
                <w:rFonts w:ascii="Arial" w:hAnsi="Arial" w:cs="Arial"/>
                <w:b/>
                <w:bCs/>
              </w:rPr>
              <w:t>Institution Name</w:t>
            </w:r>
          </w:p>
        </w:tc>
      </w:tr>
      <w:tr w:rsidR="00F554E7" w:rsidRPr="00FC3309" w14:paraId="77C0DFD5"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3A9C0AF" w14:textId="77777777" w:rsidR="00F554E7" w:rsidRPr="00FC3309" w:rsidRDefault="00F554E7" w:rsidP="00B80789">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251D0B7" w14:textId="77777777" w:rsidR="00F554E7" w:rsidRPr="00FC3309" w:rsidRDefault="00F554E7" w:rsidP="00B80789">
            <w:pPr>
              <w:rPr>
                <w:rFonts w:ascii="Arial" w:hAnsi="Arial" w:cs="Arial"/>
              </w:rPr>
            </w:pPr>
          </w:p>
        </w:tc>
      </w:tr>
      <w:tr w:rsidR="00F554E7" w:rsidRPr="00FC3309" w14:paraId="74D624D2" w14:textId="77777777" w:rsidTr="00B80789">
        <w:trPr>
          <w:trHeight w:val="317"/>
        </w:trPr>
        <w:tc>
          <w:tcPr>
            <w:tcW w:w="6946" w:type="dxa"/>
            <w:tcBorders>
              <w:top w:val="single" w:sz="4" w:space="0" w:color="auto"/>
              <w:left w:val="nil"/>
              <w:bottom w:val="single" w:sz="4" w:space="0" w:color="auto"/>
              <w:right w:val="nil"/>
            </w:tcBorders>
            <w:noWrap/>
            <w:vAlign w:val="bottom"/>
            <w:hideMark/>
          </w:tcPr>
          <w:p w14:paraId="3D57E909" w14:textId="77777777" w:rsidR="00F554E7" w:rsidRPr="00FC3309" w:rsidRDefault="00F554E7" w:rsidP="00B80789">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7093E571" w14:textId="77777777" w:rsidR="00F554E7" w:rsidRPr="00FC3309" w:rsidRDefault="00F554E7" w:rsidP="00B80789">
            <w:pPr>
              <w:rPr>
                <w:rFonts w:ascii="Arial" w:hAnsi="Arial" w:cs="Arial"/>
                <w:b/>
              </w:rPr>
            </w:pPr>
            <w:r w:rsidRPr="00FC3309">
              <w:rPr>
                <w:rFonts w:ascii="Arial" w:hAnsi="Arial" w:cs="Arial"/>
                <w:b/>
              </w:rPr>
              <w:t xml:space="preserve">Scale Factor </w:t>
            </w:r>
          </w:p>
        </w:tc>
      </w:tr>
      <w:tr w:rsidR="00F554E7" w:rsidRPr="00FC3309" w14:paraId="5253A11C"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64F8765" w14:textId="77777777" w:rsidR="00F554E7" w:rsidRPr="00FC3309" w:rsidRDefault="00F554E7" w:rsidP="00B80789">
            <w:pPr>
              <w:rPr>
                <w:rFonts w:ascii="Arial" w:hAnsi="Arial" w:cs="Arial"/>
              </w:rPr>
            </w:pPr>
            <w:r>
              <w:rPr>
                <w:rFonts w:ascii="Arial" w:hAnsi="Arial" w:cs="Arial"/>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40A1850" w14:textId="77777777" w:rsidR="00F554E7" w:rsidRPr="00FC3309" w:rsidRDefault="00F554E7" w:rsidP="00B80789">
            <w:pPr>
              <w:rPr>
                <w:rFonts w:ascii="Arial" w:hAnsi="Arial" w:cs="Arial"/>
              </w:rPr>
            </w:pPr>
            <w:r w:rsidRPr="00BE0A71">
              <w:rPr>
                <w:rFonts w:ascii="Arial" w:hAnsi="Arial" w:cs="Arial"/>
              </w:rPr>
              <w:t>Thousand</w:t>
            </w:r>
            <w:r>
              <w:rPr>
                <w:rFonts w:ascii="Arial" w:hAnsi="Arial" w:cs="Arial"/>
              </w:rPr>
              <w:t>s of dollars no decimal place</w:t>
            </w:r>
          </w:p>
        </w:tc>
      </w:tr>
      <w:tr w:rsidR="00F554E7" w:rsidRPr="00FC3309" w14:paraId="77489F62" w14:textId="77777777" w:rsidTr="00B80789">
        <w:trPr>
          <w:trHeight w:val="317"/>
        </w:trPr>
        <w:tc>
          <w:tcPr>
            <w:tcW w:w="6946" w:type="dxa"/>
            <w:tcBorders>
              <w:top w:val="single" w:sz="4" w:space="0" w:color="auto"/>
              <w:bottom w:val="single" w:sz="4" w:space="0" w:color="auto"/>
            </w:tcBorders>
            <w:noWrap/>
            <w:vAlign w:val="bottom"/>
          </w:tcPr>
          <w:p w14:paraId="6D588629" w14:textId="77777777" w:rsidR="00F554E7" w:rsidRPr="00FC3309" w:rsidRDefault="00F554E7" w:rsidP="00B80789">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781FCEAC" w14:textId="77777777" w:rsidR="00F554E7" w:rsidRPr="00FC3309" w:rsidRDefault="00F554E7" w:rsidP="00B80789">
            <w:pPr>
              <w:rPr>
                <w:rFonts w:ascii="Arial" w:hAnsi="Arial" w:cs="Arial"/>
              </w:rPr>
            </w:pPr>
          </w:p>
        </w:tc>
      </w:tr>
      <w:tr w:rsidR="00F554E7" w:rsidRPr="00FC3309" w14:paraId="2F165C1A"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38175908" w14:textId="77777777" w:rsidR="00F554E7" w:rsidRPr="00FC3309" w:rsidRDefault="00F554E7" w:rsidP="00B80789">
            <w:pPr>
              <w:rPr>
                <w:rFonts w:ascii="Arial" w:hAnsi="Arial" w:cs="Arial"/>
              </w:rPr>
            </w:pPr>
            <w:r>
              <w:rPr>
                <w:rFonts w:ascii="Arial" w:hAnsi="Arial" w:cs="Arial"/>
              </w:rPr>
              <w:t>Licensed insurer</w:t>
            </w:r>
          </w:p>
        </w:tc>
        <w:tc>
          <w:tcPr>
            <w:tcW w:w="6946" w:type="dxa"/>
            <w:tcBorders>
              <w:left w:val="single" w:sz="4" w:space="0" w:color="auto"/>
            </w:tcBorders>
            <w:noWrap/>
            <w:vAlign w:val="bottom"/>
          </w:tcPr>
          <w:p w14:paraId="72BF4711" w14:textId="77777777" w:rsidR="00F554E7" w:rsidRPr="00FC3309" w:rsidRDefault="00F554E7" w:rsidP="00B80789">
            <w:pPr>
              <w:rPr>
                <w:rFonts w:ascii="Arial" w:hAnsi="Arial" w:cs="Arial"/>
              </w:rPr>
            </w:pPr>
          </w:p>
        </w:tc>
      </w:tr>
    </w:tbl>
    <w:p w14:paraId="07D80DEB" w14:textId="77777777" w:rsidR="00F554E7" w:rsidRPr="00FC3309" w:rsidRDefault="00F554E7" w:rsidP="00F554E7">
      <w:pPr>
        <w:rPr>
          <w:rFonts w:ascii="Arial" w:hAnsi="Arial" w:cs="Arial"/>
        </w:rPr>
      </w:pPr>
    </w:p>
    <w:tbl>
      <w:tblPr>
        <w:tblW w:w="13892" w:type="dxa"/>
        <w:tblInd w:w="108" w:type="dxa"/>
        <w:tblLook w:val="04A0" w:firstRow="1" w:lastRow="0" w:firstColumn="1" w:lastColumn="0" w:noHBand="0" w:noVBand="1"/>
      </w:tblPr>
      <w:tblGrid>
        <w:gridCol w:w="13892"/>
      </w:tblGrid>
      <w:tr w:rsidR="00F554E7" w:rsidRPr="00FC3309" w14:paraId="7328490C" w14:textId="77777777" w:rsidTr="00B80789">
        <w:tc>
          <w:tcPr>
            <w:tcW w:w="8789" w:type="dxa"/>
          </w:tcPr>
          <w:p w14:paraId="069A93E4" w14:textId="76DF26F1" w:rsidR="00F554E7" w:rsidRPr="00FC3309" w:rsidRDefault="00A063AF" w:rsidP="00F554E7">
            <w:pPr>
              <w:numPr>
                <w:ilvl w:val="0"/>
                <w:numId w:val="45"/>
              </w:numPr>
              <w:rPr>
                <w:rFonts w:ascii="Arial" w:hAnsi="Arial" w:cs="Arial"/>
                <w:b/>
                <w:bCs/>
                <w:sz w:val="24"/>
                <w:szCs w:val="24"/>
              </w:rPr>
            </w:pPr>
            <w:r>
              <w:rPr>
                <w:rFonts w:ascii="Arial" w:hAnsi="Arial" w:cs="Arial"/>
                <w:b/>
                <w:bCs/>
                <w:sz w:val="24"/>
                <w:szCs w:val="24"/>
              </w:rPr>
              <w:t xml:space="preserve">1. </w:t>
            </w:r>
            <w:r w:rsidR="00F554E7" w:rsidRPr="004B4852">
              <w:rPr>
                <w:rFonts w:ascii="Arial" w:hAnsi="Arial" w:cs="Arial"/>
                <w:b/>
                <w:bCs/>
                <w:sz w:val="24"/>
                <w:szCs w:val="24"/>
              </w:rPr>
              <w:t>ADI</w:t>
            </w:r>
          </w:p>
        </w:tc>
      </w:tr>
    </w:tbl>
    <w:p w14:paraId="6B874C8A" w14:textId="77777777" w:rsidR="00F554E7" w:rsidRDefault="00F554E7" w:rsidP="00F554E7">
      <w:pPr>
        <w:rPr>
          <w:rFonts w:ascii="Arial" w:hAnsi="Arial" w:cs="Arial"/>
        </w:rPr>
      </w:pPr>
    </w:p>
    <w:tbl>
      <w:tblPr>
        <w:tblW w:w="13892" w:type="dxa"/>
        <w:tblInd w:w="108" w:type="dxa"/>
        <w:tblLook w:val="04A0" w:firstRow="1" w:lastRow="0" w:firstColumn="1" w:lastColumn="0" w:noHBand="0" w:noVBand="1"/>
      </w:tblPr>
      <w:tblGrid>
        <w:gridCol w:w="13892"/>
      </w:tblGrid>
      <w:tr w:rsidR="00F554E7" w:rsidRPr="00FC3309" w14:paraId="784D3055" w14:textId="77777777" w:rsidTr="00B80789">
        <w:tc>
          <w:tcPr>
            <w:tcW w:w="8804" w:type="dxa"/>
          </w:tcPr>
          <w:p w14:paraId="40903BA6" w14:textId="68BD13DD" w:rsidR="00F554E7" w:rsidRPr="00CD2107" w:rsidRDefault="00A063AF" w:rsidP="00F554E7">
            <w:pPr>
              <w:numPr>
                <w:ilvl w:val="1"/>
                <w:numId w:val="45"/>
              </w:numPr>
              <w:ind w:hanging="250"/>
              <w:rPr>
                <w:rFonts w:ascii="Arial" w:hAnsi="Arial" w:cs="Arial"/>
                <w:b/>
                <w:bCs/>
                <w:sz w:val="24"/>
                <w:szCs w:val="24"/>
              </w:rPr>
            </w:pPr>
            <w:r>
              <w:rPr>
                <w:rFonts w:ascii="Arial" w:hAnsi="Arial" w:cs="Arial"/>
                <w:b/>
                <w:bCs/>
                <w:sz w:val="24"/>
                <w:szCs w:val="24"/>
              </w:rPr>
              <w:t xml:space="preserve">1.1. </w:t>
            </w:r>
            <w:r w:rsidR="00F554E7" w:rsidRPr="00CD2107">
              <w:rPr>
                <w:rFonts w:ascii="Arial" w:hAnsi="Arial" w:cs="Arial"/>
                <w:b/>
                <w:bCs/>
                <w:sz w:val="24"/>
                <w:szCs w:val="24"/>
              </w:rPr>
              <w:t>100 per cent and top cover</w:t>
            </w:r>
          </w:p>
        </w:tc>
      </w:tr>
    </w:tbl>
    <w:p w14:paraId="444435B3" w14:textId="77777777" w:rsidR="00F554E7" w:rsidRDefault="00F554E7" w:rsidP="00F554E7">
      <w:pPr>
        <w:rPr>
          <w:rFonts w:ascii="Arial" w:hAnsi="Arial" w:cs="Arial"/>
        </w:rPr>
      </w:pPr>
    </w:p>
    <w:tbl>
      <w:tblPr>
        <w:tblW w:w="13892" w:type="dxa"/>
        <w:tblInd w:w="93" w:type="dxa"/>
        <w:tblLayout w:type="fixed"/>
        <w:tblLook w:val="04A0" w:firstRow="1" w:lastRow="0" w:firstColumn="1" w:lastColumn="0" w:noHBand="0" w:noVBand="1"/>
      </w:tblPr>
      <w:tblGrid>
        <w:gridCol w:w="1157"/>
        <w:gridCol w:w="1158"/>
        <w:gridCol w:w="1157"/>
        <w:gridCol w:w="1158"/>
        <w:gridCol w:w="1157"/>
        <w:gridCol w:w="1158"/>
        <w:gridCol w:w="1157"/>
        <w:gridCol w:w="1158"/>
        <w:gridCol w:w="1158"/>
        <w:gridCol w:w="1158"/>
        <w:gridCol w:w="1158"/>
        <w:gridCol w:w="1158"/>
      </w:tblGrid>
      <w:tr w:rsidR="00F554E7" w:rsidRPr="00FC3309" w14:paraId="5C62768F" w14:textId="77777777" w:rsidTr="00B80789">
        <w:trPr>
          <w:trHeight w:val="317"/>
        </w:trPr>
        <w:tc>
          <w:tcPr>
            <w:tcW w:w="1157" w:type="dxa"/>
            <w:vMerge w:val="restart"/>
            <w:tcBorders>
              <w:top w:val="single" w:sz="4" w:space="0" w:color="auto"/>
              <w:left w:val="single" w:sz="4" w:space="0" w:color="auto"/>
              <w:right w:val="single" w:sz="4" w:space="0" w:color="auto"/>
            </w:tcBorders>
            <w:shd w:val="clear" w:color="auto" w:fill="auto"/>
            <w:vAlign w:val="bottom"/>
          </w:tcPr>
          <w:p w14:paraId="07CCE195" w14:textId="77777777" w:rsidR="00F554E7" w:rsidRDefault="00F554E7" w:rsidP="00B80789">
            <w:pPr>
              <w:jc w:val="center"/>
              <w:rPr>
                <w:rFonts w:ascii="Arial" w:hAnsi="Arial" w:cs="Arial"/>
                <w:b/>
                <w:bCs/>
              </w:rPr>
            </w:pPr>
            <w:r>
              <w:rPr>
                <w:rFonts w:ascii="Arial" w:hAnsi="Arial" w:cs="Arial"/>
                <w:b/>
                <w:bCs/>
              </w:rPr>
              <w:t>LVR greater than (%)</w:t>
            </w:r>
          </w:p>
        </w:tc>
        <w:tc>
          <w:tcPr>
            <w:tcW w:w="1158" w:type="dxa"/>
            <w:vMerge w:val="restart"/>
            <w:tcBorders>
              <w:top w:val="single" w:sz="4" w:space="0" w:color="auto"/>
              <w:left w:val="nil"/>
              <w:right w:val="single" w:sz="4" w:space="0" w:color="auto"/>
            </w:tcBorders>
            <w:shd w:val="clear" w:color="auto" w:fill="auto"/>
            <w:vAlign w:val="bottom"/>
          </w:tcPr>
          <w:p w14:paraId="59F6C487" w14:textId="77777777" w:rsidR="00F554E7" w:rsidRDefault="00F554E7" w:rsidP="00B80789">
            <w:pPr>
              <w:jc w:val="center"/>
              <w:rPr>
                <w:rFonts w:ascii="Arial" w:hAnsi="Arial" w:cs="Arial"/>
                <w:b/>
                <w:bCs/>
              </w:rPr>
            </w:pPr>
            <w:r>
              <w:rPr>
                <w:rFonts w:ascii="Arial" w:hAnsi="Arial" w:cs="Arial"/>
                <w:b/>
                <w:bCs/>
              </w:rPr>
              <w:t>LVR less than or equal to (%)</w:t>
            </w:r>
          </w:p>
        </w:tc>
        <w:tc>
          <w:tcPr>
            <w:tcW w:w="1157" w:type="dxa"/>
            <w:vMerge w:val="restart"/>
            <w:tcBorders>
              <w:top w:val="single" w:sz="4" w:space="0" w:color="auto"/>
              <w:left w:val="nil"/>
              <w:right w:val="single" w:sz="4" w:space="0" w:color="auto"/>
            </w:tcBorders>
            <w:shd w:val="clear" w:color="auto" w:fill="auto"/>
            <w:vAlign w:val="bottom"/>
          </w:tcPr>
          <w:p w14:paraId="6ADE601C" w14:textId="77777777" w:rsidR="00F554E7" w:rsidRDefault="00F554E7" w:rsidP="00B80789">
            <w:pPr>
              <w:jc w:val="center"/>
              <w:rPr>
                <w:rFonts w:ascii="Arial" w:hAnsi="Arial" w:cs="Arial"/>
                <w:b/>
                <w:bCs/>
              </w:rPr>
            </w:pPr>
            <w:r>
              <w:rPr>
                <w:rFonts w:ascii="Arial" w:hAnsi="Arial" w:cs="Arial"/>
                <w:b/>
                <w:bCs/>
              </w:rPr>
              <w:t>Coverage proportion (%)</w:t>
            </w:r>
          </w:p>
        </w:tc>
        <w:tc>
          <w:tcPr>
            <w:tcW w:w="4630" w:type="dxa"/>
            <w:gridSpan w:val="4"/>
            <w:tcBorders>
              <w:top w:val="single" w:sz="4" w:space="0" w:color="auto"/>
              <w:left w:val="nil"/>
              <w:bottom w:val="nil"/>
              <w:right w:val="single" w:sz="4" w:space="0" w:color="000000"/>
            </w:tcBorders>
            <w:shd w:val="clear" w:color="auto" w:fill="auto"/>
            <w:vAlign w:val="bottom"/>
          </w:tcPr>
          <w:p w14:paraId="7019EFAE" w14:textId="77777777" w:rsidR="00F554E7" w:rsidRPr="00FC3309" w:rsidRDefault="00F554E7" w:rsidP="00B80789">
            <w:pPr>
              <w:jc w:val="center"/>
              <w:rPr>
                <w:rFonts w:ascii="Arial" w:hAnsi="Arial" w:cs="Arial"/>
                <w:b/>
                <w:bCs/>
              </w:rPr>
            </w:pPr>
            <w:r>
              <w:rPr>
                <w:rFonts w:ascii="Arial" w:hAnsi="Arial" w:cs="Arial"/>
                <w:b/>
                <w:bCs/>
              </w:rPr>
              <w:t>Age</w:t>
            </w:r>
          </w:p>
        </w:tc>
        <w:tc>
          <w:tcPr>
            <w:tcW w:w="1158" w:type="dxa"/>
            <w:vMerge w:val="restart"/>
            <w:tcBorders>
              <w:top w:val="single" w:sz="4" w:space="0" w:color="auto"/>
              <w:left w:val="nil"/>
              <w:right w:val="single" w:sz="4" w:space="0" w:color="000000"/>
            </w:tcBorders>
            <w:vAlign w:val="bottom"/>
          </w:tcPr>
          <w:p w14:paraId="2E0CDA6D" w14:textId="77777777" w:rsidR="00F554E7" w:rsidRPr="00FC3309" w:rsidRDefault="00F554E7" w:rsidP="00B80789">
            <w:pPr>
              <w:jc w:val="center"/>
              <w:rPr>
                <w:rFonts w:ascii="Arial" w:hAnsi="Arial" w:cs="Arial"/>
                <w:b/>
                <w:bCs/>
              </w:rPr>
            </w:pPr>
            <w:r w:rsidRPr="0045317D">
              <w:rPr>
                <w:rFonts w:ascii="Arial" w:hAnsi="Arial" w:cs="Arial"/>
                <w:b/>
                <w:bCs/>
              </w:rPr>
              <w:t>Total sum insured</w:t>
            </w:r>
          </w:p>
        </w:tc>
        <w:tc>
          <w:tcPr>
            <w:tcW w:w="1158" w:type="dxa"/>
            <w:vMerge w:val="restart"/>
            <w:tcBorders>
              <w:top w:val="single" w:sz="4" w:space="0" w:color="auto"/>
              <w:left w:val="nil"/>
              <w:right w:val="single" w:sz="4" w:space="0" w:color="000000"/>
            </w:tcBorders>
            <w:vAlign w:val="bottom"/>
          </w:tcPr>
          <w:p w14:paraId="3E2456F2" w14:textId="77777777" w:rsidR="00F554E7" w:rsidRPr="00FC3309" w:rsidRDefault="00F554E7" w:rsidP="00B80789">
            <w:pPr>
              <w:jc w:val="center"/>
              <w:rPr>
                <w:rFonts w:ascii="Arial" w:hAnsi="Arial" w:cs="Arial"/>
                <w:b/>
                <w:bCs/>
              </w:rPr>
            </w:pPr>
            <w:r w:rsidRPr="0045317D">
              <w:rPr>
                <w:rFonts w:ascii="Arial" w:hAnsi="Arial" w:cs="Arial"/>
                <w:b/>
                <w:bCs/>
              </w:rPr>
              <w:t>PD factor</w:t>
            </w:r>
          </w:p>
        </w:tc>
        <w:tc>
          <w:tcPr>
            <w:tcW w:w="1158" w:type="dxa"/>
            <w:vMerge w:val="restart"/>
            <w:tcBorders>
              <w:top w:val="single" w:sz="4" w:space="0" w:color="auto"/>
              <w:left w:val="nil"/>
              <w:right w:val="single" w:sz="4" w:space="0" w:color="000000"/>
            </w:tcBorders>
            <w:vAlign w:val="bottom"/>
          </w:tcPr>
          <w:p w14:paraId="13286978" w14:textId="77777777" w:rsidR="00F554E7" w:rsidRPr="0045317D" w:rsidRDefault="00F554E7" w:rsidP="00B80789">
            <w:pPr>
              <w:jc w:val="center"/>
              <w:rPr>
                <w:rFonts w:ascii="Arial" w:hAnsi="Arial" w:cs="Arial"/>
                <w:b/>
                <w:bCs/>
              </w:rPr>
            </w:pPr>
            <w:r w:rsidRPr="0045317D">
              <w:rPr>
                <w:rFonts w:ascii="Arial" w:hAnsi="Arial" w:cs="Arial"/>
                <w:b/>
                <w:bCs/>
              </w:rPr>
              <w:t>LGD factor</w:t>
            </w:r>
          </w:p>
          <w:p w14:paraId="1062D51F" w14:textId="77777777" w:rsidR="00F554E7" w:rsidRPr="00FC3309" w:rsidRDefault="00F554E7" w:rsidP="00B80789">
            <w:pPr>
              <w:jc w:val="center"/>
              <w:rPr>
                <w:rFonts w:ascii="Arial" w:hAnsi="Arial" w:cs="Arial"/>
                <w:b/>
                <w:bCs/>
              </w:rPr>
            </w:pPr>
            <w:r>
              <w:rPr>
                <w:rFonts w:ascii="Arial" w:hAnsi="Arial" w:cs="Arial"/>
                <w:b/>
                <w:bCs/>
              </w:rPr>
              <w:t>(100% cover)</w:t>
            </w:r>
          </w:p>
        </w:tc>
        <w:tc>
          <w:tcPr>
            <w:tcW w:w="1158" w:type="dxa"/>
            <w:vMerge w:val="restart"/>
            <w:tcBorders>
              <w:top w:val="single" w:sz="4" w:space="0" w:color="auto"/>
              <w:left w:val="nil"/>
              <w:right w:val="single" w:sz="4" w:space="0" w:color="000000"/>
            </w:tcBorders>
            <w:vAlign w:val="bottom"/>
          </w:tcPr>
          <w:p w14:paraId="3A96C667" w14:textId="77777777" w:rsidR="00F554E7" w:rsidRPr="0045317D" w:rsidRDefault="00F554E7" w:rsidP="00B80789">
            <w:pPr>
              <w:jc w:val="center"/>
              <w:rPr>
                <w:rFonts w:ascii="Arial" w:hAnsi="Arial" w:cs="Arial"/>
                <w:b/>
                <w:bCs/>
              </w:rPr>
            </w:pPr>
            <w:r w:rsidRPr="0045317D">
              <w:rPr>
                <w:rFonts w:ascii="Arial" w:hAnsi="Arial" w:cs="Arial"/>
                <w:b/>
                <w:bCs/>
              </w:rPr>
              <w:t>LGD factor</w:t>
            </w:r>
          </w:p>
          <w:p w14:paraId="4546237A" w14:textId="77777777" w:rsidR="00F554E7" w:rsidRPr="00FC3309" w:rsidRDefault="00F554E7" w:rsidP="00B80789">
            <w:pPr>
              <w:jc w:val="center"/>
              <w:rPr>
                <w:rFonts w:ascii="Arial" w:hAnsi="Arial" w:cs="Arial"/>
                <w:b/>
                <w:bCs/>
              </w:rPr>
            </w:pPr>
            <w:r>
              <w:rPr>
                <w:rFonts w:ascii="Arial" w:hAnsi="Arial" w:cs="Arial"/>
                <w:b/>
                <w:bCs/>
              </w:rPr>
              <w:t>(top cover)</w:t>
            </w:r>
          </w:p>
        </w:tc>
        <w:tc>
          <w:tcPr>
            <w:tcW w:w="1158" w:type="dxa"/>
            <w:vMerge w:val="restart"/>
            <w:tcBorders>
              <w:top w:val="single" w:sz="4" w:space="0" w:color="auto"/>
              <w:left w:val="nil"/>
              <w:right w:val="single" w:sz="4" w:space="0" w:color="000000"/>
            </w:tcBorders>
            <w:vAlign w:val="bottom"/>
          </w:tcPr>
          <w:p w14:paraId="2ECBD2CB" w14:textId="77777777" w:rsidR="00F554E7" w:rsidRPr="00FC3309" w:rsidRDefault="00F554E7" w:rsidP="00B80789">
            <w:pPr>
              <w:jc w:val="center"/>
              <w:rPr>
                <w:rFonts w:ascii="Arial" w:hAnsi="Arial" w:cs="Arial"/>
                <w:b/>
                <w:bCs/>
              </w:rPr>
            </w:pPr>
            <w:r>
              <w:rPr>
                <w:rFonts w:ascii="Arial" w:hAnsi="Arial" w:cs="Arial"/>
                <w:b/>
                <w:bCs/>
              </w:rPr>
              <w:t>PML</w:t>
            </w:r>
          </w:p>
        </w:tc>
      </w:tr>
      <w:tr w:rsidR="00F554E7" w:rsidRPr="00FC3309" w14:paraId="203C35E5" w14:textId="77777777" w:rsidTr="00B80789">
        <w:trPr>
          <w:trHeight w:val="317"/>
        </w:trPr>
        <w:tc>
          <w:tcPr>
            <w:tcW w:w="1157" w:type="dxa"/>
            <w:vMerge/>
            <w:tcBorders>
              <w:left w:val="single" w:sz="4" w:space="0" w:color="auto"/>
              <w:bottom w:val="nil"/>
              <w:right w:val="single" w:sz="4" w:space="0" w:color="auto"/>
            </w:tcBorders>
            <w:shd w:val="clear" w:color="auto" w:fill="auto"/>
            <w:vAlign w:val="bottom"/>
            <w:hideMark/>
          </w:tcPr>
          <w:p w14:paraId="486B2A5C"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auto"/>
            </w:tcBorders>
            <w:shd w:val="clear" w:color="auto" w:fill="auto"/>
            <w:vAlign w:val="bottom"/>
            <w:hideMark/>
          </w:tcPr>
          <w:p w14:paraId="5244E02A" w14:textId="77777777" w:rsidR="00F554E7" w:rsidRPr="00FC3309" w:rsidRDefault="00F554E7" w:rsidP="00B80789">
            <w:pPr>
              <w:jc w:val="center"/>
              <w:rPr>
                <w:rFonts w:ascii="Arial" w:hAnsi="Arial" w:cs="Arial"/>
                <w:b/>
                <w:bCs/>
              </w:rPr>
            </w:pPr>
          </w:p>
        </w:tc>
        <w:tc>
          <w:tcPr>
            <w:tcW w:w="1157" w:type="dxa"/>
            <w:vMerge/>
            <w:tcBorders>
              <w:left w:val="nil"/>
              <w:bottom w:val="nil"/>
              <w:right w:val="single" w:sz="4" w:space="0" w:color="auto"/>
            </w:tcBorders>
            <w:shd w:val="clear" w:color="auto" w:fill="auto"/>
            <w:vAlign w:val="bottom"/>
            <w:hideMark/>
          </w:tcPr>
          <w:p w14:paraId="375895CF" w14:textId="77777777" w:rsidR="00F554E7" w:rsidRPr="00FC3309" w:rsidRDefault="00F554E7" w:rsidP="00B80789">
            <w:pPr>
              <w:rPr>
                <w:rFonts w:ascii="Arial" w:hAnsi="Arial" w:cs="Arial"/>
                <w:b/>
                <w:bCs/>
              </w:rPr>
            </w:pPr>
          </w:p>
        </w:tc>
        <w:tc>
          <w:tcPr>
            <w:tcW w:w="1158" w:type="dxa"/>
            <w:tcBorders>
              <w:top w:val="single" w:sz="4" w:space="0" w:color="auto"/>
              <w:left w:val="nil"/>
              <w:bottom w:val="nil"/>
              <w:right w:val="single" w:sz="4" w:space="0" w:color="000000"/>
            </w:tcBorders>
            <w:shd w:val="clear" w:color="auto" w:fill="auto"/>
            <w:vAlign w:val="bottom"/>
            <w:hideMark/>
          </w:tcPr>
          <w:p w14:paraId="5C77E4EA" w14:textId="77777777" w:rsidR="00F554E7" w:rsidRPr="00FC3309" w:rsidRDefault="00F554E7" w:rsidP="00B80789">
            <w:pPr>
              <w:jc w:val="center"/>
              <w:rPr>
                <w:rFonts w:ascii="Arial" w:hAnsi="Arial" w:cs="Arial"/>
                <w:b/>
                <w:bCs/>
              </w:rPr>
            </w:pPr>
            <w:r w:rsidRPr="0045317D">
              <w:rPr>
                <w:rFonts w:ascii="Arial" w:hAnsi="Arial" w:cs="Arial"/>
                <w:b/>
                <w:bCs/>
              </w:rPr>
              <w:t>&lt; 3 years</w:t>
            </w:r>
          </w:p>
        </w:tc>
        <w:tc>
          <w:tcPr>
            <w:tcW w:w="1157" w:type="dxa"/>
            <w:tcBorders>
              <w:top w:val="single" w:sz="4" w:space="0" w:color="auto"/>
              <w:left w:val="nil"/>
              <w:bottom w:val="nil"/>
              <w:right w:val="single" w:sz="4" w:space="0" w:color="000000"/>
            </w:tcBorders>
            <w:vAlign w:val="bottom"/>
          </w:tcPr>
          <w:p w14:paraId="7E95C01E" w14:textId="77777777" w:rsidR="00F554E7" w:rsidRPr="00FC3309" w:rsidRDefault="00F554E7" w:rsidP="00B80789">
            <w:pPr>
              <w:jc w:val="center"/>
              <w:rPr>
                <w:rFonts w:ascii="Arial" w:hAnsi="Arial" w:cs="Arial"/>
                <w:b/>
                <w:bCs/>
              </w:rPr>
            </w:pPr>
            <w:r w:rsidRPr="0045317D">
              <w:rPr>
                <w:rFonts w:ascii="Arial" w:hAnsi="Arial" w:cs="Arial"/>
                <w:b/>
                <w:bCs/>
              </w:rPr>
              <w:t>3 &lt; 5 years</w:t>
            </w:r>
          </w:p>
        </w:tc>
        <w:tc>
          <w:tcPr>
            <w:tcW w:w="1158" w:type="dxa"/>
            <w:tcBorders>
              <w:top w:val="single" w:sz="4" w:space="0" w:color="auto"/>
              <w:left w:val="nil"/>
              <w:bottom w:val="nil"/>
              <w:right w:val="single" w:sz="4" w:space="0" w:color="000000"/>
            </w:tcBorders>
            <w:vAlign w:val="bottom"/>
          </w:tcPr>
          <w:p w14:paraId="51F83A4E" w14:textId="77777777" w:rsidR="00F554E7" w:rsidRPr="00FC3309" w:rsidRDefault="00F554E7" w:rsidP="00B80789">
            <w:pPr>
              <w:jc w:val="center"/>
              <w:rPr>
                <w:rFonts w:ascii="Arial" w:hAnsi="Arial" w:cs="Arial"/>
                <w:b/>
                <w:bCs/>
              </w:rPr>
            </w:pPr>
            <w:r w:rsidRPr="0045317D">
              <w:rPr>
                <w:rFonts w:ascii="Arial" w:hAnsi="Arial" w:cs="Arial"/>
                <w:b/>
                <w:bCs/>
              </w:rPr>
              <w:t>5 &lt; 10 years</w:t>
            </w:r>
          </w:p>
        </w:tc>
        <w:tc>
          <w:tcPr>
            <w:tcW w:w="1157" w:type="dxa"/>
            <w:tcBorders>
              <w:top w:val="single" w:sz="4" w:space="0" w:color="auto"/>
              <w:left w:val="nil"/>
              <w:bottom w:val="nil"/>
              <w:right w:val="single" w:sz="4" w:space="0" w:color="000000"/>
            </w:tcBorders>
            <w:vAlign w:val="bottom"/>
          </w:tcPr>
          <w:p w14:paraId="3AE1A278" w14:textId="77777777" w:rsidR="00F554E7" w:rsidRPr="00FC3309" w:rsidRDefault="00F554E7" w:rsidP="00B80789">
            <w:pPr>
              <w:jc w:val="center"/>
              <w:rPr>
                <w:rFonts w:ascii="Arial" w:hAnsi="Arial" w:cs="Arial"/>
                <w:b/>
                <w:bCs/>
              </w:rPr>
            </w:pPr>
            <w:r w:rsidRPr="0045317D">
              <w:rPr>
                <w:rFonts w:ascii="Arial" w:hAnsi="Arial" w:cs="Arial"/>
                <w:b/>
                <w:bCs/>
              </w:rPr>
              <w:t>&gt;= 10 years</w:t>
            </w:r>
          </w:p>
        </w:tc>
        <w:tc>
          <w:tcPr>
            <w:tcW w:w="1158" w:type="dxa"/>
            <w:vMerge/>
            <w:tcBorders>
              <w:left w:val="nil"/>
              <w:bottom w:val="nil"/>
              <w:right w:val="single" w:sz="4" w:space="0" w:color="000000"/>
            </w:tcBorders>
            <w:vAlign w:val="bottom"/>
          </w:tcPr>
          <w:p w14:paraId="7D22B127"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000000"/>
            </w:tcBorders>
            <w:vAlign w:val="bottom"/>
          </w:tcPr>
          <w:p w14:paraId="36F32406"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000000"/>
            </w:tcBorders>
          </w:tcPr>
          <w:p w14:paraId="28B9C197"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000000"/>
            </w:tcBorders>
          </w:tcPr>
          <w:p w14:paraId="7944754D"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000000"/>
            </w:tcBorders>
          </w:tcPr>
          <w:p w14:paraId="5254F4B2" w14:textId="77777777" w:rsidR="00F554E7" w:rsidRPr="00FC3309" w:rsidRDefault="00F554E7" w:rsidP="00B80789">
            <w:pPr>
              <w:rPr>
                <w:rFonts w:ascii="Arial" w:hAnsi="Arial" w:cs="Arial"/>
                <w:b/>
                <w:bCs/>
              </w:rPr>
            </w:pPr>
          </w:p>
        </w:tc>
      </w:tr>
      <w:tr w:rsidR="00F554E7" w:rsidRPr="00FC3309" w14:paraId="6C7F47ED" w14:textId="77777777" w:rsidTr="00B80789">
        <w:trPr>
          <w:trHeight w:val="317"/>
        </w:trPr>
        <w:tc>
          <w:tcPr>
            <w:tcW w:w="1157" w:type="dxa"/>
            <w:tcBorders>
              <w:top w:val="nil"/>
              <w:left w:val="single" w:sz="4" w:space="0" w:color="auto"/>
              <w:bottom w:val="single" w:sz="4" w:space="0" w:color="auto"/>
              <w:right w:val="single" w:sz="4" w:space="0" w:color="auto"/>
            </w:tcBorders>
            <w:shd w:val="clear" w:color="auto" w:fill="auto"/>
            <w:vAlign w:val="bottom"/>
            <w:hideMark/>
          </w:tcPr>
          <w:p w14:paraId="40EC54E1" w14:textId="77777777" w:rsidR="00F554E7" w:rsidRPr="00FC3309" w:rsidRDefault="00F554E7" w:rsidP="00B80789">
            <w:pPr>
              <w:jc w:val="center"/>
              <w:rPr>
                <w:rFonts w:ascii="Arial" w:hAnsi="Arial" w:cs="Arial"/>
                <w:b/>
                <w:bCs/>
              </w:rPr>
            </w:pPr>
            <w:r w:rsidRPr="00FC3309">
              <w:rPr>
                <w:rFonts w:ascii="Arial" w:hAnsi="Arial" w:cs="Arial"/>
                <w:b/>
                <w:bCs/>
              </w:rPr>
              <w:t>(1)</w:t>
            </w:r>
          </w:p>
        </w:tc>
        <w:tc>
          <w:tcPr>
            <w:tcW w:w="1158" w:type="dxa"/>
            <w:tcBorders>
              <w:top w:val="nil"/>
              <w:left w:val="nil"/>
              <w:bottom w:val="single" w:sz="4" w:space="0" w:color="auto"/>
              <w:right w:val="single" w:sz="4" w:space="0" w:color="auto"/>
            </w:tcBorders>
            <w:shd w:val="clear" w:color="auto" w:fill="auto"/>
            <w:vAlign w:val="bottom"/>
            <w:hideMark/>
          </w:tcPr>
          <w:p w14:paraId="4581088A" w14:textId="77777777" w:rsidR="00F554E7" w:rsidRPr="00FC3309" w:rsidRDefault="00F554E7" w:rsidP="00B80789">
            <w:pPr>
              <w:jc w:val="center"/>
              <w:rPr>
                <w:rFonts w:ascii="Arial" w:hAnsi="Arial" w:cs="Arial"/>
                <w:b/>
                <w:bCs/>
              </w:rPr>
            </w:pPr>
            <w:r w:rsidRPr="00FC3309">
              <w:rPr>
                <w:rFonts w:ascii="Arial" w:hAnsi="Arial" w:cs="Arial"/>
                <w:b/>
                <w:bCs/>
              </w:rPr>
              <w:t>(2)</w:t>
            </w:r>
          </w:p>
        </w:tc>
        <w:tc>
          <w:tcPr>
            <w:tcW w:w="1157" w:type="dxa"/>
            <w:tcBorders>
              <w:top w:val="nil"/>
              <w:left w:val="nil"/>
              <w:bottom w:val="single" w:sz="4" w:space="0" w:color="auto"/>
              <w:right w:val="single" w:sz="4" w:space="0" w:color="auto"/>
            </w:tcBorders>
            <w:shd w:val="clear" w:color="auto" w:fill="auto"/>
            <w:vAlign w:val="bottom"/>
            <w:hideMark/>
          </w:tcPr>
          <w:p w14:paraId="023176F2" w14:textId="77777777" w:rsidR="00F554E7" w:rsidRPr="00FC3309" w:rsidRDefault="00F554E7" w:rsidP="00B80789">
            <w:pPr>
              <w:jc w:val="center"/>
              <w:rPr>
                <w:rFonts w:ascii="Arial" w:hAnsi="Arial" w:cs="Arial"/>
                <w:b/>
                <w:bCs/>
              </w:rPr>
            </w:pPr>
            <w:r w:rsidRPr="00FC3309">
              <w:rPr>
                <w:rFonts w:ascii="Arial" w:hAnsi="Arial" w:cs="Arial"/>
                <w:b/>
                <w:bCs/>
              </w:rPr>
              <w:t>(3)</w:t>
            </w:r>
          </w:p>
        </w:tc>
        <w:tc>
          <w:tcPr>
            <w:tcW w:w="1158" w:type="dxa"/>
            <w:tcBorders>
              <w:top w:val="nil"/>
              <w:left w:val="nil"/>
              <w:bottom w:val="single" w:sz="4" w:space="0" w:color="auto"/>
              <w:right w:val="single" w:sz="4" w:space="0" w:color="000000"/>
            </w:tcBorders>
            <w:shd w:val="clear" w:color="auto" w:fill="auto"/>
            <w:vAlign w:val="bottom"/>
            <w:hideMark/>
          </w:tcPr>
          <w:p w14:paraId="3EACC91A" w14:textId="77777777" w:rsidR="00F554E7" w:rsidRPr="00FC3309" w:rsidRDefault="00F554E7" w:rsidP="00B80789">
            <w:pPr>
              <w:jc w:val="center"/>
              <w:rPr>
                <w:rFonts w:ascii="Arial" w:hAnsi="Arial" w:cs="Arial"/>
                <w:b/>
                <w:bCs/>
              </w:rPr>
            </w:pPr>
            <w:r w:rsidRPr="00FC3309">
              <w:rPr>
                <w:rFonts w:ascii="Arial" w:hAnsi="Arial" w:cs="Arial"/>
                <w:b/>
                <w:bCs/>
              </w:rPr>
              <w:t>(4</w:t>
            </w:r>
            <w:r>
              <w:rPr>
                <w:rFonts w:ascii="Arial" w:hAnsi="Arial" w:cs="Arial"/>
                <w:b/>
                <w:bCs/>
              </w:rPr>
              <w:t>.1</w:t>
            </w:r>
            <w:r w:rsidRPr="00FC3309">
              <w:rPr>
                <w:rFonts w:ascii="Arial" w:hAnsi="Arial" w:cs="Arial"/>
                <w:b/>
                <w:bCs/>
              </w:rPr>
              <w:t>)</w:t>
            </w:r>
          </w:p>
        </w:tc>
        <w:tc>
          <w:tcPr>
            <w:tcW w:w="1157" w:type="dxa"/>
            <w:tcBorders>
              <w:top w:val="nil"/>
              <w:left w:val="nil"/>
              <w:bottom w:val="single" w:sz="4" w:space="0" w:color="auto"/>
              <w:right w:val="single" w:sz="4" w:space="0" w:color="000000"/>
            </w:tcBorders>
            <w:vAlign w:val="bottom"/>
          </w:tcPr>
          <w:p w14:paraId="05ABC437" w14:textId="77777777" w:rsidR="00F554E7" w:rsidRPr="00FC3309" w:rsidRDefault="00F554E7" w:rsidP="00B80789">
            <w:pPr>
              <w:jc w:val="center"/>
              <w:rPr>
                <w:rFonts w:ascii="Arial" w:hAnsi="Arial" w:cs="Arial"/>
                <w:b/>
                <w:bCs/>
              </w:rPr>
            </w:pPr>
            <w:r>
              <w:rPr>
                <w:rFonts w:ascii="Arial" w:hAnsi="Arial" w:cs="Arial"/>
                <w:b/>
                <w:bCs/>
              </w:rPr>
              <w:t>(4.2</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29932D53" w14:textId="77777777" w:rsidR="00F554E7" w:rsidRPr="00FC3309" w:rsidRDefault="00F554E7" w:rsidP="00B80789">
            <w:pPr>
              <w:jc w:val="center"/>
              <w:rPr>
                <w:rFonts w:ascii="Arial" w:hAnsi="Arial" w:cs="Arial"/>
                <w:b/>
                <w:bCs/>
              </w:rPr>
            </w:pPr>
            <w:r w:rsidRPr="00FC3309">
              <w:rPr>
                <w:rFonts w:ascii="Arial" w:hAnsi="Arial" w:cs="Arial"/>
                <w:b/>
                <w:bCs/>
              </w:rPr>
              <w:t>(</w:t>
            </w:r>
            <w:r>
              <w:rPr>
                <w:rFonts w:ascii="Arial" w:hAnsi="Arial" w:cs="Arial"/>
                <w:b/>
                <w:bCs/>
              </w:rPr>
              <w:t>4.3</w:t>
            </w:r>
            <w:r w:rsidRPr="00FC3309">
              <w:rPr>
                <w:rFonts w:ascii="Arial" w:hAnsi="Arial" w:cs="Arial"/>
                <w:b/>
                <w:bCs/>
              </w:rPr>
              <w:t>)</w:t>
            </w:r>
          </w:p>
        </w:tc>
        <w:tc>
          <w:tcPr>
            <w:tcW w:w="1157" w:type="dxa"/>
            <w:tcBorders>
              <w:top w:val="nil"/>
              <w:left w:val="nil"/>
              <w:bottom w:val="single" w:sz="4" w:space="0" w:color="auto"/>
              <w:right w:val="single" w:sz="4" w:space="0" w:color="000000"/>
            </w:tcBorders>
            <w:vAlign w:val="bottom"/>
          </w:tcPr>
          <w:p w14:paraId="0E3E9D9A" w14:textId="77777777" w:rsidR="00F554E7" w:rsidRPr="00FC3309" w:rsidRDefault="00F554E7" w:rsidP="00B80789">
            <w:pPr>
              <w:jc w:val="center"/>
              <w:rPr>
                <w:rFonts w:ascii="Arial" w:hAnsi="Arial" w:cs="Arial"/>
                <w:b/>
                <w:bCs/>
              </w:rPr>
            </w:pPr>
            <w:r w:rsidRPr="00FC3309">
              <w:rPr>
                <w:rFonts w:ascii="Arial" w:hAnsi="Arial" w:cs="Arial"/>
                <w:b/>
                <w:bCs/>
              </w:rPr>
              <w:t>(</w:t>
            </w:r>
            <w:r>
              <w:rPr>
                <w:rFonts w:ascii="Arial" w:hAnsi="Arial" w:cs="Arial"/>
                <w:b/>
                <w:bCs/>
              </w:rPr>
              <w:t>4.4</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1330C543" w14:textId="77777777" w:rsidR="00F554E7" w:rsidRPr="00FC3309" w:rsidRDefault="00F554E7" w:rsidP="00B80789">
            <w:pPr>
              <w:jc w:val="center"/>
              <w:rPr>
                <w:rFonts w:ascii="Arial" w:hAnsi="Arial" w:cs="Arial"/>
                <w:b/>
                <w:bCs/>
              </w:rPr>
            </w:pPr>
            <w:r w:rsidRPr="00FC3309">
              <w:rPr>
                <w:rFonts w:ascii="Arial" w:hAnsi="Arial" w:cs="Arial"/>
                <w:b/>
                <w:bCs/>
              </w:rPr>
              <w:t>(</w:t>
            </w:r>
            <w:r>
              <w:rPr>
                <w:rFonts w:ascii="Arial" w:hAnsi="Arial" w:cs="Arial"/>
                <w:b/>
                <w:bCs/>
              </w:rPr>
              <w:t>5</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510C442D" w14:textId="77777777" w:rsidR="00F554E7" w:rsidRPr="00FC3309" w:rsidRDefault="00F554E7" w:rsidP="00B80789">
            <w:pPr>
              <w:jc w:val="center"/>
              <w:rPr>
                <w:rFonts w:ascii="Arial" w:hAnsi="Arial" w:cs="Arial"/>
                <w:b/>
                <w:bCs/>
              </w:rPr>
            </w:pPr>
            <w:r>
              <w:rPr>
                <w:rFonts w:ascii="Arial" w:hAnsi="Arial" w:cs="Arial"/>
                <w:b/>
                <w:bCs/>
              </w:rPr>
              <w:t>(6</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5EA04BF6" w14:textId="77777777" w:rsidR="00F554E7" w:rsidRDefault="00F554E7" w:rsidP="00B80789">
            <w:pPr>
              <w:jc w:val="center"/>
              <w:rPr>
                <w:rFonts w:ascii="Arial" w:hAnsi="Arial" w:cs="Arial"/>
                <w:b/>
                <w:bCs/>
              </w:rPr>
            </w:pPr>
            <w:r>
              <w:rPr>
                <w:rFonts w:ascii="Arial" w:hAnsi="Arial" w:cs="Arial"/>
                <w:b/>
                <w:bCs/>
              </w:rPr>
              <w:t>(7</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468EFF7F" w14:textId="77777777" w:rsidR="00F554E7" w:rsidRDefault="00F554E7" w:rsidP="00B80789">
            <w:pPr>
              <w:jc w:val="center"/>
              <w:rPr>
                <w:rFonts w:ascii="Arial" w:hAnsi="Arial" w:cs="Arial"/>
                <w:b/>
                <w:bCs/>
              </w:rPr>
            </w:pPr>
            <w:r>
              <w:rPr>
                <w:rFonts w:ascii="Arial" w:hAnsi="Arial" w:cs="Arial"/>
                <w:b/>
                <w:bCs/>
              </w:rPr>
              <w:t>(8</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76EC90E3" w14:textId="77777777" w:rsidR="00F554E7" w:rsidRDefault="00F554E7" w:rsidP="00B80789">
            <w:pPr>
              <w:jc w:val="center"/>
              <w:rPr>
                <w:rFonts w:ascii="Arial" w:hAnsi="Arial" w:cs="Arial"/>
                <w:b/>
                <w:bCs/>
              </w:rPr>
            </w:pPr>
            <w:r>
              <w:rPr>
                <w:rFonts w:ascii="Arial" w:hAnsi="Arial" w:cs="Arial"/>
                <w:b/>
                <w:bCs/>
              </w:rPr>
              <w:t>(9</w:t>
            </w:r>
            <w:r w:rsidRPr="00FC3309">
              <w:rPr>
                <w:rFonts w:ascii="Arial" w:hAnsi="Arial" w:cs="Arial"/>
                <w:b/>
                <w:bCs/>
              </w:rPr>
              <w:t>)</w:t>
            </w:r>
          </w:p>
        </w:tc>
      </w:tr>
      <w:tr w:rsidR="00F554E7" w:rsidRPr="00FC3309" w14:paraId="310EDACF" w14:textId="77777777" w:rsidTr="00B80789">
        <w:trPr>
          <w:trHeight w:val="31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74BDA" w14:textId="77777777" w:rsidR="00F554E7" w:rsidRPr="00CD2107"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noWrap/>
            <w:vAlign w:val="bottom"/>
          </w:tcPr>
          <w:p w14:paraId="4F25D4AB" w14:textId="77777777" w:rsidR="00F554E7" w:rsidRPr="00CD2107" w:rsidRDefault="00F554E7" w:rsidP="00B80789">
            <w:pPr>
              <w:jc w:val="center"/>
              <w:rPr>
                <w:rFonts w:ascii="Arial" w:hAnsi="Arial" w:cs="Arial"/>
              </w:rPr>
            </w:pP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795C823A" w14:textId="77777777" w:rsidR="00F554E7" w:rsidRPr="00CD2107"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uto"/>
            <w:vAlign w:val="bottom"/>
          </w:tcPr>
          <w:p w14:paraId="6CFCF0AA" w14:textId="77777777" w:rsidR="00F554E7" w:rsidRPr="00CD2107" w:rsidRDefault="00F554E7" w:rsidP="00B80789">
            <w:pPr>
              <w:jc w:val="center"/>
              <w:rPr>
                <w:rFonts w:ascii="Arial" w:hAnsi="Arial" w:cs="Arial"/>
              </w:rPr>
            </w:pPr>
          </w:p>
        </w:tc>
        <w:tc>
          <w:tcPr>
            <w:tcW w:w="1157" w:type="dxa"/>
            <w:tcBorders>
              <w:top w:val="single" w:sz="4" w:space="0" w:color="auto"/>
              <w:left w:val="nil"/>
              <w:bottom w:val="single" w:sz="4" w:space="0" w:color="auto"/>
              <w:right w:val="single" w:sz="4" w:space="0" w:color="auto"/>
            </w:tcBorders>
            <w:vAlign w:val="bottom"/>
          </w:tcPr>
          <w:p w14:paraId="3EA9A4DE" w14:textId="77777777" w:rsidR="00F554E7" w:rsidRPr="00CD2107"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vAlign w:val="bottom"/>
          </w:tcPr>
          <w:p w14:paraId="0D269CE9" w14:textId="77777777" w:rsidR="00F554E7" w:rsidRPr="00CD2107" w:rsidRDefault="00F554E7" w:rsidP="00B80789">
            <w:pPr>
              <w:jc w:val="center"/>
              <w:rPr>
                <w:rFonts w:ascii="Arial" w:hAnsi="Arial" w:cs="Arial"/>
              </w:rPr>
            </w:pPr>
          </w:p>
        </w:tc>
        <w:tc>
          <w:tcPr>
            <w:tcW w:w="1157" w:type="dxa"/>
            <w:tcBorders>
              <w:top w:val="single" w:sz="4" w:space="0" w:color="auto"/>
              <w:left w:val="nil"/>
              <w:bottom w:val="single" w:sz="4" w:space="0" w:color="auto"/>
              <w:right w:val="single" w:sz="4" w:space="0" w:color="auto"/>
            </w:tcBorders>
            <w:vAlign w:val="bottom"/>
          </w:tcPr>
          <w:p w14:paraId="1D5E5C55" w14:textId="77777777" w:rsidR="00F554E7" w:rsidRPr="00CD2107"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4808D982" w14:textId="77777777" w:rsidR="00F554E7" w:rsidRPr="00CD2107"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168D25A6" w14:textId="77777777" w:rsidR="00F554E7" w:rsidRPr="00CD2107"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3FEA077A" w14:textId="77777777" w:rsidR="00F554E7" w:rsidRPr="00CD2107"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102DB9AD" w14:textId="77777777" w:rsidR="00F554E7" w:rsidRPr="00CD2107"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4538D9F8" w14:textId="77777777" w:rsidR="00F554E7" w:rsidRPr="00CD2107" w:rsidRDefault="00F554E7" w:rsidP="00B80789">
            <w:pPr>
              <w:jc w:val="center"/>
              <w:rPr>
                <w:rFonts w:ascii="Arial" w:hAnsi="Arial" w:cs="Arial"/>
              </w:rPr>
            </w:pPr>
          </w:p>
        </w:tc>
      </w:tr>
      <w:tr w:rsidR="00F554E7" w:rsidRPr="00FC3309" w14:paraId="20805B2E" w14:textId="77777777" w:rsidTr="00B80789">
        <w:trPr>
          <w:trHeight w:val="317"/>
        </w:trPr>
        <w:tc>
          <w:tcPr>
            <w:tcW w:w="115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1ECF744" w14:textId="77777777" w:rsidR="00F554E7" w:rsidRPr="0000731A" w:rsidRDefault="00F554E7" w:rsidP="00B80789">
            <w:pPr>
              <w:jc w:val="center"/>
              <w:rPr>
                <w:rFonts w:ascii="Arial" w:hAnsi="Arial" w:cs="Arial"/>
              </w:rPr>
            </w:pPr>
            <w:r w:rsidRPr="0000731A">
              <w:rPr>
                <w:rFonts w:ascii="Arial" w:hAnsi="Arial" w:cs="Arial"/>
              </w:rPr>
              <w:t>100</w:t>
            </w:r>
          </w:p>
        </w:tc>
        <w:tc>
          <w:tcPr>
            <w:tcW w:w="1158" w:type="dxa"/>
            <w:tcBorders>
              <w:top w:val="single" w:sz="4" w:space="0" w:color="auto"/>
              <w:left w:val="dotDash" w:sz="4" w:space="0" w:color="auto"/>
              <w:right w:val="dotDash" w:sz="4" w:space="0" w:color="auto"/>
            </w:tcBorders>
            <w:shd w:val="clear" w:color="auto" w:fill="auto"/>
            <w:noWrap/>
            <w:vAlign w:val="bottom"/>
          </w:tcPr>
          <w:p w14:paraId="1AD6AACC" w14:textId="77777777" w:rsidR="00F554E7" w:rsidRPr="0045317D" w:rsidRDefault="00F554E7" w:rsidP="00B80789">
            <w:pPr>
              <w:jc w:val="center"/>
              <w:rPr>
                <w:rFonts w:ascii="Arial" w:hAnsi="Arial" w:cs="Arial"/>
              </w:rPr>
            </w:pPr>
          </w:p>
        </w:tc>
        <w:tc>
          <w:tcPr>
            <w:tcW w:w="115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8630557" w14:textId="77777777" w:rsidR="00F554E7" w:rsidRPr="0000731A" w:rsidRDefault="00F554E7" w:rsidP="00B80789">
            <w:pPr>
              <w:jc w:val="center"/>
              <w:rPr>
                <w:rFonts w:ascii="Arial" w:hAnsi="Arial" w:cs="Arial"/>
              </w:rPr>
            </w:pPr>
            <w:r w:rsidRPr="0000731A">
              <w:rPr>
                <w:rFonts w:ascii="Arial" w:hAnsi="Arial" w:cs="Arial"/>
              </w:rPr>
              <w:t>100</w:t>
            </w:r>
          </w:p>
        </w:tc>
        <w:tc>
          <w:tcPr>
            <w:tcW w:w="1158" w:type="dxa"/>
            <w:tcBorders>
              <w:top w:val="single" w:sz="4" w:space="0" w:color="auto"/>
              <w:left w:val="dotDash" w:sz="4" w:space="0" w:color="auto"/>
            </w:tcBorders>
            <w:shd w:val="clear" w:color="auto" w:fill="auto"/>
            <w:vAlign w:val="bottom"/>
          </w:tcPr>
          <w:p w14:paraId="49D09B0B" w14:textId="77777777" w:rsidR="00F554E7" w:rsidRPr="0045317D" w:rsidRDefault="00F554E7" w:rsidP="00B80789">
            <w:pPr>
              <w:jc w:val="center"/>
              <w:rPr>
                <w:rFonts w:ascii="Arial" w:hAnsi="Arial" w:cs="Arial"/>
              </w:rPr>
            </w:pPr>
          </w:p>
        </w:tc>
        <w:tc>
          <w:tcPr>
            <w:tcW w:w="1157" w:type="dxa"/>
            <w:tcBorders>
              <w:top w:val="single" w:sz="4" w:space="0" w:color="auto"/>
            </w:tcBorders>
            <w:vAlign w:val="bottom"/>
          </w:tcPr>
          <w:p w14:paraId="62D8D6ED"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33BA2B73" w14:textId="77777777" w:rsidR="00F554E7" w:rsidRPr="0045317D" w:rsidRDefault="00F554E7" w:rsidP="00B80789">
            <w:pPr>
              <w:jc w:val="center"/>
              <w:rPr>
                <w:rFonts w:ascii="Arial" w:hAnsi="Arial" w:cs="Arial"/>
              </w:rPr>
            </w:pPr>
          </w:p>
        </w:tc>
        <w:tc>
          <w:tcPr>
            <w:tcW w:w="1157" w:type="dxa"/>
            <w:tcBorders>
              <w:top w:val="single" w:sz="4" w:space="0" w:color="auto"/>
            </w:tcBorders>
            <w:vAlign w:val="bottom"/>
          </w:tcPr>
          <w:p w14:paraId="08219D18"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0C944BAF"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30282143"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0E90D305"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64FC2BD3"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392A22A8" w14:textId="77777777" w:rsidR="00F554E7" w:rsidRPr="0045317D" w:rsidRDefault="00F554E7" w:rsidP="00B80789">
            <w:pPr>
              <w:jc w:val="center"/>
              <w:rPr>
                <w:rFonts w:ascii="Arial" w:hAnsi="Arial" w:cs="Arial"/>
              </w:rPr>
            </w:pPr>
          </w:p>
        </w:tc>
      </w:tr>
      <w:tr w:rsidR="00F554E7" w:rsidRPr="00FC3309" w14:paraId="29482A48"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736A682" w14:textId="77777777" w:rsidR="00F554E7" w:rsidRPr="0000731A" w:rsidRDefault="00F554E7" w:rsidP="00B80789">
            <w:pPr>
              <w:jc w:val="center"/>
              <w:rPr>
                <w:rFonts w:ascii="Arial" w:hAnsi="Arial" w:cs="Arial"/>
              </w:rPr>
            </w:pPr>
            <w:r w:rsidRPr="0000731A">
              <w:rPr>
                <w:rFonts w:ascii="Arial" w:hAnsi="Arial" w:cs="Arial"/>
              </w:rPr>
              <w:t>95</w:t>
            </w:r>
          </w:p>
        </w:tc>
        <w:tc>
          <w:tcPr>
            <w:tcW w:w="1158" w:type="dxa"/>
            <w:tcBorders>
              <w:left w:val="dotDash" w:sz="4" w:space="0" w:color="auto"/>
              <w:right w:val="dotDash" w:sz="4" w:space="0" w:color="auto"/>
            </w:tcBorders>
            <w:shd w:val="clear" w:color="auto" w:fill="auto"/>
            <w:noWrap/>
            <w:vAlign w:val="bottom"/>
          </w:tcPr>
          <w:p w14:paraId="069ECF47"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58288A0" w14:textId="77777777" w:rsidR="00F554E7" w:rsidRPr="0000731A" w:rsidRDefault="00F554E7" w:rsidP="00B80789">
            <w:pPr>
              <w:jc w:val="center"/>
              <w:rPr>
                <w:rFonts w:ascii="Arial" w:hAnsi="Arial" w:cs="Arial"/>
              </w:rPr>
            </w:pPr>
            <w:r w:rsidRPr="0000731A">
              <w:rPr>
                <w:rFonts w:ascii="Arial" w:hAnsi="Arial" w:cs="Arial"/>
              </w:rPr>
              <w:t>40</w:t>
            </w:r>
          </w:p>
        </w:tc>
        <w:tc>
          <w:tcPr>
            <w:tcW w:w="1158" w:type="dxa"/>
            <w:tcBorders>
              <w:left w:val="dotDash" w:sz="4" w:space="0" w:color="auto"/>
            </w:tcBorders>
            <w:shd w:val="clear" w:color="auto" w:fill="auto"/>
            <w:vAlign w:val="bottom"/>
          </w:tcPr>
          <w:p w14:paraId="4BC00D95" w14:textId="77777777" w:rsidR="00F554E7" w:rsidRPr="0045317D" w:rsidRDefault="00F554E7" w:rsidP="00B80789">
            <w:pPr>
              <w:jc w:val="center"/>
              <w:rPr>
                <w:rFonts w:ascii="Arial" w:hAnsi="Arial" w:cs="Arial"/>
              </w:rPr>
            </w:pPr>
          </w:p>
        </w:tc>
        <w:tc>
          <w:tcPr>
            <w:tcW w:w="1157" w:type="dxa"/>
            <w:vAlign w:val="bottom"/>
          </w:tcPr>
          <w:p w14:paraId="21D5F475" w14:textId="77777777" w:rsidR="00F554E7" w:rsidRPr="0045317D" w:rsidRDefault="00F554E7" w:rsidP="00B80789">
            <w:pPr>
              <w:jc w:val="center"/>
              <w:rPr>
                <w:rFonts w:ascii="Arial" w:hAnsi="Arial" w:cs="Arial"/>
              </w:rPr>
            </w:pPr>
          </w:p>
        </w:tc>
        <w:tc>
          <w:tcPr>
            <w:tcW w:w="1158" w:type="dxa"/>
            <w:vAlign w:val="bottom"/>
          </w:tcPr>
          <w:p w14:paraId="280FF27D" w14:textId="77777777" w:rsidR="00F554E7" w:rsidRPr="0045317D" w:rsidRDefault="00F554E7" w:rsidP="00B80789">
            <w:pPr>
              <w:jc w:val="center"/>
              <w:rPr>
                <w:rFonts w:ascii="Arial" w:hAnsi="Arial" w:cs="Arial"/>
              </w:rPr>
            </w:pPr>
          </w:p>
        </w:tc>
        <w:tc>
          <w:tcPr>
            <w:tcW w:w="1157" w:type="dxa"/>
            <w:vAlign w:val="bottom"/>
          </w:tcPr>
          <w:p w14:paraId="06D671EA" w14:textId="77777777" w:rsidR="00F554E7" w:rsidRPr="0045317D" w:rsidRDefault="00F554E7" w:rsidP="00B80789">
            <w:pPr>
              <w:jc w:val="center"/>
              <w:rPr>
                <w:rFonts w:ascii="Arial" w:hAnsi="Arial" w:cs="Arial"/>
              </w:rPr>
            </w:pPr>
          </w:p>
        </w:tc>
        <w:tc>
          <w:tcPr>
            <w:tcW w:w="1158" w:type="dxa"/>
            <w:vAlign w:val="bottom"/>
          </w:tcPr>
          <w:p w14:paraId="6BDCE2F1" w14:textId="77777777" w:rsidR="00F554E7" w:rsidRPr="0045317D" w:rsidRDefault="00F554E7" w:rsidP="00B80789">
            <w:pPr>
              <w:jc w:val="center"/>
              <w:rPr>
                <w:rFonts w:ascii="Arial" w:hAnsi="Arial" w:cs="Arial"/>
              </w:rPr>
            </w:pPr>
          </w:p>
        </w:tc>
        <w:tc>
          <w:tcPr>
            <w:tcW w:w="1158" w:type="dxa"/>
            <w:vAlign w:val="bottom"/>
          </w:tcPr>
          <w:p w14:paraId="13FB1597" w14:textId="77777777" w:rsidR="00F554E7" w:rsidRPr="0045317D" w:rsidRDefault="00F554E7" w:rsidP="00B80789">
            <w:pPr>
              <w:jc w:val="center"/>
              <w:rPr>
                <w:rFonts w:ascii="Arial" w:hAnsi="Arial" w:cs="Arial"/>
              </w:rPr>
            </w:pPr>
          </w:p>
        </w:tc>
        <w:tc>
          <w:tcPr>
            <w:tcW w:w="1158" w:type="dxa"/>
            <w:vAlign w:val="bottom"/>
          </w:tcPr>
          <w:p w14:paraId="2277F3D6" w14:textId="77777777" w:rsidR="00F554E7" w:rsidRPr="0045317D" w:rsidRDefault="00F554E7" w:rsidP="00B80789">
            <w:pPr>
              <w:jc w:val="center"/>
              <w:rPr>
                <w:rFonts w:ascii="Arial" w:hAnsi="Arial" w:cs="Arial"/>
              </w:rPr>
            </w:pPr>
          </w:p>
        </w:tc>
        <w:tc>
          <w:tcPr>
            <w:tcW w:w="1158" w:type="dxa"/>
            <w:vAlign w:val="bottom"/>
          </w:tcPr>
          <w:p w14:paraId="6ED21222" w14:textId="77777777" w:rsidR="00F554E7" w:rsidRPr="0045317D" w:rsidRDefault="00F554E7" w:rsidP="00B80789">
            <w:pPr>
              <w:jc w:val="center"/>
              <w:rPr>
                <w:rFonts w:ascii="Arial" w:hAnsi="Arial" w:cs="Arial"/>
              </w:rPr>
            </w:pPr>
          </w:p>
        </w:tc>
        <w:tc>
          <w:tcPr>
            <w:tcW w:w="1158" w:type="dxa"/>
            <w:vAlign w:val="bottom"/>
          </w:tcPr>
          <w:p w14:paraId="0C0EA7CD" w14:textId="77777777" w:rsidR="00F554E7" w:rsidRPr="0045317D" w:rsidRDefault="00F554E7" w:rsidP="00B80789">
            <w:pPr>
              <w:jc w:val="center"/>
              <w:rPr>
                <w:rFonts w:ascii="Arial" w:hAnsi="Arial" w:cs="Arial"/>
              </w:rPr>
            </w:pPr>
          </w:p>
        </w:tc>
      </w:tr>
      <w:tr w:rsidR="00F554E7" w:rsidRPr="00FC3309" w14:paraId="4666C990"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08AD895" w14:textId="77777777" w:rsidR="00F554E7" w:rsidRPr="0000731A" w:rsidRDefault="00F554E7" w:rsidP="00B80789">
            <w:pPr>
              <w:jc w:val="center"/>
              <w:rPr>
                <w:rFonts w:ascii="Arial" w:hAnsi="Arial" w:cs="Arial"/>
              </w:rPr>
            </w:pPr>
            <w:r w:rsidRPr="0000731A">
              <w:rPr>
                <w:rFonts w:ascii="Arial" w:hAnsi="Arial" w:cs="Arial"/>
              </w:rPr>
              <w:t>90</w:t>
            </w:r>
          </w:p>
        </w:tc>
        <w:tc>
          <w:tcPr>
            <w:tcW w:w="1158" w:type="dxa"/>
            <w:tcBorders>
              <w:left w:val="dotDash" w:sz="4" w:space="0" w:color="auto"/>
              <w:right w:val="dotDash" w:sz="4" w:space="0" w:color="auto"/>
            </w:tcBorders>
            <w:shd w:val="clear" w:color="auto" w:fill="auto"/>
            <w:noWrap/>
            <w:vAlign w:val="bottom"/>
          </w:tcPr>
          <w:p w14:paraId="79A3B074"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7B55AAA" w14:textId="77777777" w:rsidR="00F554E7" w:rsidRPr="0000731A" w:rsidRDefault="00F554E7" w:rsidP="00B80789">
            <w:pPr>
              <w:jc w:val="center"/>
              <w:rPr>
                <w:rFonts w:ascii="Arial" w:hAnsi="Arial" w:cs="Arial"/>
              </w:rPr>
            </w:pPr>
            <w:r w:rsidRPr="0000731A">
              <w:rPr>
                <w:rFonts w:ascii="Arial" w:hAnsi="Arial" w:cs="Arial"/>
              </w:rPr>
              <w:t>35</w:t>
            </w:r>
          </w:p>
        </w:tc>
        <w:tc>
          <w:tcPr>
            <w:tcW w:w="1158" w:type="dxa"/>
            <w:tcBorders>
              <w:left w:val="dotDash" w:sz="4" w:space="0" w:color="auto"/>
            </w:tcBorders>
            <w:shd w:val="clear" w:color="auto" w:fill="auto"/>
            <w:vAlign w:val="bottom"/>
          </w:tcPr>
          <w:p w14:paraId="2363DD70" w14:textId="77777777" w:rsidR="00F554E7" w:rsidRPr="0045317D" w:rsidRDefault="00F554E7" w:rsidP="00B80789">
            <w:pPr>
              <w:jc w:val="center"/>
              <w:rPr>
                <w:rFonts w:ascii="Arial" w:hAnsi="Arial" w:cs="Arial"/>
              </w:rPr>
            </w:pPr>
          </w:p>
        </w:tc>
        <w:tc>
          <w:tcPr>
            <w:tcW w:w="1157" w:type="dxa"/>
            <w:vAlign w:val="bottom"/>
          </w:tcPr>
          <w:p w14:paraId="4932D593" w14:textId="77777777" w:rsidR="00F554E7" w:rsidRPr="0045317D" w:rsidRDefault="00F554E7" w:rsidP="00B80789">
            <w:pPr>
              <w:jc w:val="center"/>
              <w:rPr>
                <w:rFonts w:ascii="Arial" w:hAnsi="Arial" w:cs="Arial"/>
              </w:rPr>
            </w:pPr>
          </w:p>
        </w:tc>
        <w:tc>
          <w:tcPr>
            <w:tcW w:w="1158" w:type="dxa"/>
            <w:vAlign w:val="bottom"/>
          </w:tcPr>
          <w:p w14:paraId="3E38319C" w14:textId="77777777" w:rsidR="00F554E7" w:rsidRPr="0045317D" w:rsidRDefault="00F554E7" w:rsidP="00B80789">
            <w:pPr>
              <w:jc w:val="center"/>
              <w:rPr>
                <w:rFonts w:ascii="Arial" w:hAnsi="Arial" w:cs="Arial"/>
              </w:rPr>
            </w:pPr>
          </w:p>
        </w:tc>
        <w:tc>
          <w:tcPr>
            <w:tcW w:w="1157" w:type="dxa"/>
            <w:vAlign w:val="bottom"/>
          </w:tcPr>
          <w:p w14:paraId="0CD3F2E9" w14:textId="77777777" w:rsidR="00F554E7" w:rsidRPr="0045317D" w:rsidRDefault="00F554E7" w:rsidP="00B80789">
            <w:pPr>
              <w:jc w:val="center"/>
              <w:rPr>
                <w:rFonts w:ascii="Arial" w:hAnsi="Arial" w:cs="Arial"/>
              </w:rPr>
            </w:pPr>
          </w:p>
        </w:tc>
        <w:tc>
          <w:tcPr>
            <w:tcW w:w="1158" w:type="dxa"/>
            <w:vAlign w:val="bottom"/>
          </w:tcPr>
          <w:p w14:paraId="3A1A81D4" w14:textId="77777777" w:rsidR="00F554E7" w:rsidRPr="0045317D" w:rsidRDefault="00F554E7" w:rsidP="00B80789">
            <w:pPr>
              <w:jc w:val="center"/>
              <w:rPr>
                <w:rFonts w:ascii="Arial" w:hAnsi="Arial" w:cs="Arial"/>
              </w:rPr>
            </w:pPr>
          </w:p>
        </w:tc>
        <w:tc>
          <w:tcPr>
            <w:tcW w:w="1158" w:type="dxa"/>
            <w:vAlign w:val="bottom"/>
          </w:tcPr>
          <w:p w14:paraId="25F369CD" w14:textId="77777777" w:rsidR="00F554E7" w:rsidRPr="0045317D" w:rsidRDefault="00F554E7" w:rsidP="00B80789">
            <w:pPr>
              <w:jc w:val="center"/>
              <w:rPr>
                <w:rFonts w:ascii="Arial" w:hAnsi="Arial" w:cs="Arial"/>
              </w:rPr>
            </w:pPr>
          </w:p>
        </w:tc>
        <w:tc>
          <w:tcPr>
            <w:tcW w:w="1158" w:type="dxa"/>
            <w:vAlign w:val="bottom"/>
          </w:tcPr>
          <w:p w14:paraId="062E9167" w14:textId="77777777" w:rsidR="00F554E7" w:rsidRPr="0045317D" w:rsidRDefault="00F554E7" w:rsidP="00B80789">
            <w:pPr>
              <w:jc w:val="center"/>
              <w:rPr>
                <w:rFonts w:ascii="Arial" w:hAnsi="Arial" w:cs="Arial"/>
              </w:rPr>
            </w:pPr>
          </w:p>
        </w:tc>
        <w:tc>
          <w:tcPr>
            <w:tcW w:w="1158" w:type="dxa"/>
            <w:vAlign w:val="bottom"/>
          </w:tcPr>
          <w:p w14:paraId="438CCB2C" w14:textId="77777777" w:rsidR="00F554E7" w:rsidRPr="0045317D" w:rsidRDefault="00F554E7" w:rsidP="00B80789">
            <w:pPr>
              <w:jc w:val="center"/>
              <w:rPr>
                <w:rFonts w:ascii="Arial" w:hAnsi="Arial" w:cs="Arial"/>
              </w:rPr>
            </w:pPr>
          </w:p>
        </w:tc>
        <w:tc>
          <w:tcPr>
            <w:tcW w:w="1158" w:type="dxa"/>
            <w:vAlign w:val="bottom"/>
          </w:tcPr>
          <w:p w14:paraId="0B5B3E04" w14:textId="77777777" w:rsidR="00F554E7" w:rsidRPr="0045317D" w:rsidRDefault="00F554E7" w:rsidP="00B80789">
            <w:pPr>
              <w:jc w:val="center"/>
              <w:rPr>
                <w:rFonts w:ascii="Arial" w:hAnsi="Arial" w:cs="Arial"/>
              </w:rPr>
            </w:pPr>
          </w:p>
        </w:tc>
      </w:tr>
      <w:tr w:rsidR="00F554E7" w:rsidRPr="00FC3309" w14:paraId="31A65875"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04F764C" w14:textId="77777777" w:rsidR="00F554E7" w:rsidRPr="0000731A" w:rsidRDefault="00F554E7" w:rsidP="00B80789">
            <w:pPr>
              <w:jc w:val="center"/>
              <w:rPr>
                <w:rFonts w:ascii="Arial" w:hAnsi="Arial" w:cs="Arial"/>
              </w:rPr>
            </w:pPr>
            <w:r w:rsidRPr="0000731A">
              <w:rPr>
                <w:rFonts w:ascii="Arial" w:hAnsi="Arial" w:cs="Arial"/>
              </w:rPr>
              <w:t>85</w:t>
            </w:r>
          </w:p>
        </w:tc>
        <w:tc>
          <w:tcPr>
            <w:tcW w:w="1158" w:type="dxa"/>
            <w:tcBorders>
              <w:left w:val="dotDash" w:sz="4" w:space="0" w:color="auto"/>
              <w:right w:val="dotDash" w:sz="4" w:space="0" w:color="auto"/>
            </w:tcBorders>
            <w:shd w:val="clear" w:color="auto" w:fill="auto"/>
            <w:noWrap/>
            <w:vAlign w:val="bottom"/>
          </w:tcPr>
          <w:p w14:paraId="337A2B69"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0E020E6" w14:textId="77777777" w:rsidR="00F554E7" w:rsidRPr="0000731A" w:rsidRDefault="00F554E7" w:rsidP="00B80789">
            <w:pPr>
              <w:jc w:val="center"/>
              <w:rPr>
                <w:rFonts w:ascii="Arial" w:hAnsi="Arial" w:cs="Arial"/>
              </w:rPr>
            </w:pPr>
            <w:r w:rsidRPr="0000731A">
              <w:rPr>
                <w:rFonts w:ascii="Arial" w:hAnsi="Arial" w:cs="Arial"/>
              </w:rPr>
              <w:t>30</w:t>
            </w:r>
          </w:p>
        </w:tc>
        <w:tc>
          <w:tcPr>
            <w:tcW w:w="1158" w:type="dxa"/>
            <w:tcBorders>
              <w:left w:val="dotDash" w:sz="4" w:space="0" w:color="auto"/>
            </w:tcBorders>
            <w:shd w:val="clear" w:color="auto" w:fill="auto"/>
            <w:vAlign w:val="bottom"/>
          </w:tcPr>
          <w:p w14:paraId="615B1BE0" w14:textId="77777777" w:rsidR="00F554E7" w:rsidRPr="0045317D" w:rsidRDefault="00F554E7" w:rsidP="00B80789">
            <w:pPr>
              <w:jc w:val="center"/>
              <w:rPr>
                <w:rFonts w:ascii="Arial" w:hAnsi="Arial" w:cs="Arial"/>
              </w:rPr>
            </w:pPr>
          </w:p>
        </w:tc>
        <w:tc>
          <w:tcPr>
            <w:tcW w:w="1157" w:type="dxa"/>
            <w:vAlign w:val="bottom"/>
          </w:tcPr>
          <w:p w14:paraId="7F49582F" w14:textId="77777777" w:rsidR="00F554E7" w:rsidRPr="0045317D" w:rsidRDefault="00F554E7" w:rsidP="00B80789">
            <w:pPr>
              <w:jc w:val="center"/>
              <w:rPr>
                <w:rFonts w:ascii="Arial" w:hAnsi="Arial" w:cs="Arial"/>
              </w:rPr>
            </w:pPr>
          </w:p>
        </w:tc>
        <w:tc>
          <w:tcPr>
            <w:tcW w:w="1158" w:type="dxa"/>
            <w:vAlign w:val="bottom"/>
          </w:tcPr>
          <w:p w14:paraId="3BC8EDEC" w14:textId="77777777" w:rsidR="00F554E7" w:rsidRPr="0045317D" w:rsidRDefault="00F554E7" w:rsidP="00B80789">
            <w:pPr>
              <w:jc w:val="center"/>
              <w:rPr>
                <w:rFonts w:ascii="Arial" w:hAnsi="Arial" w:cs="Arial"/>
              </w:rPr>
            </w:pPr>
          </w:p>
        </w:tc>
        <w:tc>
          <w:tcPr>
            <w:tcW w:w="1157" w:type="dxa"/>
            <w:vAlign w:val="bottom"/>
          </w:tcPr>
          <w:p w14:paraId="265C5179" w14:textId="77777777" w:rsidR="00F554E7" w:rsidRPr="0045317D" w:rsidRDefault="00F554E7" w:rsidP="00B80789">
            <w:pPr>
              <w:jc w:val="center"/>
              <w:rPr>
                <w:rFonts w:ascii="Arial" w:hAnsi="Arial" w:cs="Arial"/>
              </w:rPr>
            </w:pPr>
          </w:p>
        </w:tc>
        <w:tc>
          <w:tcPr>
            <w:tcW w:w="1158" w:type="dxa"/>
            <w:vAlign w:val="bottom"/>
          </w:tcPr>
          <w:p w14:paraId="3EAE6786" w14:textId="77777777" w:rsidR="00F554E7" w:rsidRPr="0045317D" w:rsidRDefault="00F554E7" w:rsidP="00B80789">
            <w:pPr>
              <w:jc w:val="center"/>
              <w:rPr>
                <w:rFonts w:ascii="Arial" w:hAnsi="Arial" w:cs="Arial"/>
              </w:rPr>
            </w:pPr>
          </w:p>
        </w:tc>
        <w:tc>
          <w:tcPr>
            <w:tcW w:w="1158" w:type="dxa"/>
            <w:vAlign w:val="bottom"/>
          </w:tcPr>
          <w:p w14:paraId="43C64DFB" w14:textId="77777777" w:rsidR="00F554E7" w:rsidRPr="0045317D" w:rsidRDefault="00F554E7" w:rsidP="00B80789">
            <w:pPr>
              <w:jc w:val="center"/>
              <w:rPr>
                <w:rFonts w:ascii="Arial" w:hAnsi="Arial" w:cs="Arial"/>
              </w:rPr>
            </w:pPr>
          </w:p>
        </w:tc>
        <w:tc>
          <w:tcPr>
            <w:tcW w:w="1158" w:type="dxa"/>
            <w:vAlign w:val="bottom"/>
          </w:tcPr>
          <w:p w14:paraId="29AA68E8" w14:textId="77777777" w:rsidR="00F554E7" w:rsidRPr="0045317D" w:rsidRDefault="00F554E7" w:rsidP="00B80789">
            <w:pPr>
              <w:jc w:val="center"/>
              <w:rPr>
                <w:rFonts w:ascii="Arial" w:hAnsi="Arial" w:cs="Arial"/>
              </w:rPr>
            </w:pPr>
          </w:p>
        </w:tc>
        <w:tc>
          <w:tcPr>
            <w:tcW w:w="1158" w:type="dxa"/>
            <w:vAlign w:val="bottom"/>
          </w:tcPr>
          <w:p w14:paraId="09875424" w14:textId="77777777" w:rsidR="00F554E7" w:rsidRPr="0045317D" w:rsidRDefault="00F554E7" w:rsidP="00B80789">
            <w:pPr>
              <w:jc w:val="center"/>
              <w:rPr>
                <w:rFonts w:ascii="Arial" w:hAnsi="Arial" w:cs="Arial"/>
              </w:rPr>
            </w:pPr>
          </w:p>
        </w:tc>
        <w:tc>
          <w:tcPr>
            <w:tcW w:w="1158" w:type="dxa"/>
            <w:vAlign w:val="bottom"/>
          </w:tcPr>
          <w:p w14:paraId="27B3A3F9" w14:textId="77777777" w:rsidR="00F554E7" w:rsidRPr="0045317D" w:rsidRDefault="00F554E7" w:rsidP="00B80789">
            <w:pPr>
              <w:jc w:val="center"/>
              <w:rPr>
                <w:rFonts w:ascii="Arial" w:hAnsi="Arial" w:cs="Arial"/>
              </w:rPr>
            </w:pPr>
          </w:p>
        </w:tc>
      </w:tr>
      <w:tr w:rsidR="00F554E7" w:rsidRPr="00FC3309" w14:paraId="3B0DED94"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59C418A" w14:textId="77777777" w:rsidR="00F554E7" w:rsidRPr="0000731A" w:rsidRDefault="00F554E7" w:rsidP="00B80789">
            <w:pPr>
              <w:jc w:val="center"/>
              <w:rPr>
                <w:rFonts w:ascii="Arial" w:hAnsi="Arial" w:cs="Arial"/>
              </w:rPr>
            </w:pPr>
            <w:r w:rsidRPr="0000731A">
              <w:rPr>
                <w:rFonts w:ascii="Arial" w:hAnsi="Arial" w:cs="Arial"/>
              </w:rPr>
              <w:t>80</w:t>
            </w:r>
          </w:p>
        </w:tc>
        <w:tc>
          <w:tcPr>
            <w:tcW w:w="1158" w:type="dxa"/>
            <w:tcBorders>
              <w:left w:val="dotDash" w:sz="4" w:space="0" w:color="auto"/>
              <w:right w:val="dotDash" w:sz="4" w:space="0" w:color="auto"/>
            </w:tcBorders>
            <w:shd w:val="clear" w:color="auto" w:fill="auto"/>
            <w:noWrap/>
            <w:vAlign w:val="bottom"/>
          </w:tcPr>
          <w:p w14:paraId="668B3E72"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E78A29" w14:textId="77777777" w:rsidR="00F554E7" w:rsidRPr="0000731A" w:rsidRDefault="00F554E7" w:rsidP="00B80789">
            <w:pPr>
              <w:jc w:val="center"/>
              <w:rPr>
                <w:rFonts w:ascii="Arial" w:hAnsi="Arial" w:cs="Arial"/>
              </w:rPr>
            </w:pPr>
            <w:r w:rsidRPr="0000731A">
              <w:rPr>
                <w:rFonts w:ascii="Arial" w:hAnsi="Arial" w:cs="Arial"/>
              </w:rPr>
              <w:t>25</w:t>
            </w:r>
          </w:p>
        </w:tc>
        <w:tc>
          <w:tcPr>
            <w:tcW w:w="1158" w:type="dxa"/>
            <w:tcBorders>
              <w:left w:val="dotDash" w:sz="4" w:space="0" w:color="auto"/>
            </w:tcBorders>
            <w:shd w:val="clear" w:color="auto" w:fill="auto"/>
            <w:vAlign w:val="bottom"/>
          </w:tcPr>
          <w:p w14:paraId="7BAC0C33" w14:textId="77777777" w:rsidR="00F554E7" w:rsidRPr="0045317D" w:rsidRDefault="00F554E7" w:rsidP="00B80789">
            <w:pPr>
              <w:jc w:val="center"/>
              <w:rPr>
                <w:rFonts w:ascii="Arial" w:hAnsi="Arial" w:cs="Arial"/>
              </w:rPr>
            </w:pPr>
          </w:p>
        </w:tc>
        <w:tc>
          <w:tcPr>
            <w:tcW w:w="1157" w:type="dxa"/>
            <w:vAlign w:val="bottom"/>
          </w:tcPr>
          <w:p w14:paraId="125D0168" w14:textId="77777777" w:rsidR="00F554E7" w:rsidRPr="0045317D" w:rsidRDefault="00F554E7" w:rsidP="00B80789">
            <w:pPr>
              <w:jc w:val="center"/>
              <w:rPr>
                <w:rFonts w:ascii="Arial" w:hAnsi="Arial" w:cs="Arial"/>
              </w:rPr>
            </w:pPr>
          </w:p>
        </w:tc>
        <w:tc>
          <w:tcPr>
            <w:tcW w:w="1158" w:type="dxa"/>
            <w:vAlign w:val="bottom"/>
          </w:tcPr>
          <w:p w14:paraId="150BB672" w14:textId="77777777" w:rsidR="00F554E7" w:rsidRPr="0045317D" w:rsidRDefault="00F554E7" w:rsidP="00B80789">
            <w:pPr>
              <w:jc w:val="center"/>
              <w:rPr>
                <w:rFonts w:ascii="Arial" w:hAnsi="Arial" w:cs="Arial"/>
              </w:rPr>
            </w:pPr>
          </w:p>
        </w:tc>
        <w:tc>
          <w:tcPr>
            <w:tcW w:w="1157" w:type="dxa"/>
            <w:vAlign w:val="bottom"/>
          </w:tcPr>
          <w:p w14:paraId="7D62E7B6" w14:textId="77777777" w:rsidR="00F554E7" w:rsidRPr="0045317D" w:rsidRDefault="00F554E7" w:rsidP="00B80789">
            <w:pPr>
              <w:jc w:val="center"/>
              <w:rPr>
                <w:rFonts w:ascii="Arial" w:hAnsi="Arial" w:cs="Arial"/>
              </w:rPr>
            </w:pPr>
          </w:p>
        </w:tc>
        <w:tc>
          <w:tcPr>
            <w:tcW w:w="1158" w:type="dxa"/>
            <w:vAlign w:val="bottom"/>
          </w:tcPr>
          <w:p w14:paraId="56602914" w14:textId="77777777" w:rsidR="00F554E7" w:rsidRPr="0045317D" w:rsidRDefault="00F554E7" w:rsidP="00B80789">
            <w:pPr>
              <w:jc w:val="center"/>
              <w:rPr>
                <w:rFonts w:ascii="Arial" w:hAnsi="Arial" w:cs="Arial"/>
              </w:rPr>
            </w:pPr>
          </w:p>
        </w:tc>
        <w:tc>
          <w:tcPr>
            <w:tcW w:w="1158" w:type="dxa"/>
            <w:vAlign w:val="bottom"/>
          </w:tcPr>
          <w:p w14:paraId="4214B6C3" w14:textId="77777777" w:rsidR="00F554E7" w:rsidRPr="0045317D" w:rsidRDefault="00F554E7" w:rsidP="00B80789">
            <w:pPr>
              <w:jc w:val="center"/>
              <w:rPr>
                <w:rFonts w:ascii="Arial" w:hAnsi="Arial" w:cs="Arial"/>
              </w:rPr>
            </w:pPr>
          </w:p>
        </w:tc>
        <w:tc>
          <w:tcPr>
            <w:tcW w:w="1158" w:type="dxa"/>
            <w:vAlign w:val="bottom"/>
          </w:tcPr>
          <w:p w14:paraId="2FB43028" w14:textId="77777777" w:rsidR="00F554E7" w:rsidRPr="0045317D" w:rsidRDefault="00F554E7" w:rsidP="00B80789">
            <w:pPr>
              <w:jc w:val="center"/>
              <w:rPr>
                <w:rFonts w:ascii="Arial" w:hAnsi="Arial" w:cs="Arial"/>
              </w:rPr>
            </w:pPr>
          </w:p>
        </w:tc>
        <w:tc>
          <w:tcPr>
            <w:tcW w:w="1158" w:type="dxa"/>
            <w:vAlign w:val="bottom"/>
          </w:tcPr>
          <w:p w14:paraId="2EA835CA" w14:textId="77777777" w:rsidR="00F554E7" w:rsidRPr="0045317D" w:rsidRDefault="00F554E7" w:rsidP="00B80789">
            <w:pPr>
              <w:jc w:val="center"/>
              <w:rPr>
                <w:rFonts w:ascii="Arial" w:hAnsi="Arial" w:cs="Arial"/>
              </w:rPr>
            </w:pPr>
          </w:p>
        </w:tc>
        <w:tc>
          <w:tcPr>
            <w:tcW w:w="1158" w:type="dxa"/>
            <w:vAlign w:val="bottom"/>
          </w:tcPr>
          <w:p w14:paraId="06245643" w14:textId="77777777" w:rsidR="00F554E7" w:rsidRPr="0045317D" w:rsidRDefault="00F554E7" w:rsidP="00B80789">
            <w:pPr>
              <w:jc w:val="center"/>
              <w:rPr>
                <w:rFonts w:ascii="Arial" w:hAnsi="Arial" w:cs="Arial"/>
              </w:rPr>
            </w:pPr>
          </w:p>
        </w:tc>
      </w:tr>
      <w:tr w:rsidR="00F554E7" w:rsidRPr="00FC3309" w14:paraId="69B24F04"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0602B2C" w14:textId="77777777" w:rsidR="00F554E7" w:rsidRPr="0000731A" w:rsidRDefault="00F554E7" w:rsidP="00B80789">
            <w:pPr>
              <w:jc w:val="center"/>
              <w:rPr>
                <w:rFonts w:ascii="Arial" w:hAnsi="Arial" w:cs="Arial"/>
              </w:rPr>
            </w:pPr>
            <w:r w:rsidRPr="0000731A">
              <w:rPr>
                <w:rFonts w:ascii="Arial" w:hAnsi="Arial" w:cs="Arial"/>
              </w:rPr>
              <w:t>70</w:t>
            </w:r>
          </w:p>
        </w:tc>
        <w:tc>
          <w:tcPr>
            <w:tcW w:w="1158" w:type="dxa"/>
            <w:tcBorders>
              <w:left w:val="dotDash" w:sz="4" w:space="0" w:color="auto"/>
              <w:right w:val="dotDash" w:sz="4" w:space="0" w:color="auto"/>
            </w:tcBorders>
            <w:shd w:val="clear" w:color="auto" w:fill="auto"/>
            <w:noWrap/>
            <w:vAlign w:val="bottom"/>
          </w:tcPr>
          <w:p w14:paraId="2464F9BF"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0CDE828" w14:textId="77777777" w:rsidR="00F554E7" w:rsidRPr="0000731A" w:rsidRDefault="00F554E7" w:rsidP="00B80789">
            <w:pPr>
              <w:jc w:val="center"/>
              <w:rPr>
                <w:rFonts w:ascii="Arial" w:hAnsi="Arial" w:cs="Arial"/>
              </w:rPr>
            </w:pPr>
            <w:r w:rsidRPr="0000731A">
              <w:rPr>
                <w:rFonts w:ascii="Arial" w:hAnsi="Arial" w:cs="Arial"/>
              </w:rPr>
              <w:t>20</w:t>
            </w:r>
          </w:p>
        </w:tc>
        <w:tc>
          <w:tcPr>
            <w:tcW w:w="1158" w:type="dxa"/>
            <w:tcBorders>
              <w:left w:val="dotDash" w:sz="4" w:space="0" w:color="auto"/>
            </w:tcBorders>
            <w:shd w:val="clear" w:color="auto" w:fill="auto"/>
            <w:vAlign w:val="bottom"/>
          </w:tcPr>
          <w:p w14:paraId="06502339" w14:textId="77777777" w:rsidR="00F554E7" w:rsidRPr="0045317D" w:rsidRDefault="00F554E7" w:rsidP="00B80789">
            <w:pPr>
              <w:jc w:val="center"/>
              <w:rPr>
                <w:rFonts w:ascii="Arial" w:hAnsi="Arial" w:cs="Arial"/>
              </w:rPr>
            </w:pPr>
          </w:p>
        </w:tc>
        <w:tc>
          <w:tcPr>
            <w:tcW w:w="1157" w:type="dxa"/>
            <w:vAlign w:val="bottom"/>
          </w:tcPr>
          <w:p w14:paraId="4B63E945" w14:textId="77777777" w:rsidR="00F554E7" w:rsidRPr="0045317D" w:rsidRDefault="00F554E7" w:rsidP="00B80789">
            <w:pPr>
              <w:jc w:val="center"/>
              <w:rPr>
                <w:rFonts w:ascii="Arial" w:hAnsi="Arial" w:cs="Arial"/>
              </w:rPr>
            </w:pPr>
          </w:p>
        </w:tc>
        <w:tc>
          <w:tcPr>
            <w:tcW w:w="1158" w:type="dxa"/>
            <w:vAlign w:val="bottom"/>
          </w:tcPr>
          <w:p w14:paraId="52F8D24F" w14:textId="77777777" w:rsidR="00F554E7" w:rsidRPr="0045317D" w:rsidRDefault="00F554E7" w:rsidP="00B80789">
            <w:pPr>
              <w:jc w:val="center"/>
              <w:rPr>
                <w:rFonts w:ascii="Arial" w:hAnsi="Arial" w:cs="Arial"/>
              </w:rPr>
            </w:pPr>
          </w:p>
        </w:tc>
        <w:tc>
          <w:tcPr>
            <w:tcW w:w="1157" w:type="dxa"/>
            <w:vAlign w:val="bottom"/>
          </w:tcPr>
          <w:p w14:paraId="2EA8FD2A" w14:textId="77777777" w:rsidR="00F554E7" w:rsidRPr="0045317D" w:rsidRDefault="00F554E7" w:rsidP="00B80789">
            <w:pPr>
              <w:jc w:val="center"/>
              <w:rPr>
                <w:rFonts w:ascii="Arial" w:hAnsi="Arial" w:cs="Arial"/>
              </w:rPr>
            </w:pPr>
          </w:p>
        </w:tc>
        <w:tc>
          <w:tcPr>
            <w:tcW w:w="1158" w:type="dxa"/>
            <w:vAlign w:val="bottom"/>
          </w:tcPr>
          <w:p w14:paraId="2404ED48" w14:textId="77777777" w:rsidR="00F554E7" w:rsidRPr="0045317D" w:rsidRDefault="00F554E7" w:rsidP="00B80789">
            <w:pPr>
              <w:jc w:val="center"/>
              <w:rPr>
                <w:rFonts w:ascii="Arial" w:hAnsi="Arial" w:cs="Arial"/>
              </w:rPr>
            </w:pPr>
          </w:p>
        </w:tc>
        <w:tc>
          <w:tcPr>
            <w:tcW w:w="1158" w:type="dxa"/>
            <w:vAlign w:val="bottom"/>
          </w:tcPr>
          <w:p w14:paraId="6C0F9F65" w14:textId="77777777" w:rsidR="00F554E7" w:rsidRPr="0045317D" w:rsidRDefault="00F554E7" w:rsidP="00B80789">
            <w:pPr>
              <w:jc w:val="center"/>
              <w:rPr>
                <w:rFonts w:ascii="Arial" w:hAnsi="Arial" w:cs="Arial"/>
              </w:rPr>
            </w:pPr>
          </w:p>
        </w:tc>
        <w:tc>
          <w:tcPr>
            <w:tcW w:w="1158" w:type="dxa"/>
            <w:vAlign w:val="bottom"/>
          </w:tcPr>
          <w:p w14:paraId="2E62E765" w14:textId="77777777" w:rsidR="00F554E7" w:rsidRPr="0045317D" w:rsidRDefault="00F554E7" w:rsidP="00B80789">
            <w:pPr>
              <w:jc w:val="center"/>
              <w:rPr>
                <w:rFonts w:ascii="Arial" w:hAnsi="Arial" w:cs="Arial"/>
              </w:rPr>
            </w:pPr>
          </w:p>
        </w:tc>
        <w:tc>
          <w:tcPr>
            <w:tcW w:w="1158" w:type="dxa"/>
            <w:vAlign w:val="bottom"/>
          </w:tcPr>
          <w:p w14:paraId="2353D15B" w14:textId="77777777" w:rsidR="00F554E7" w:rsidRPr="0045317D" w:rsidRDefault="00F554E7" w:rsidP="00B80789">
            <w:pPr>
              <w:jc w:val="center"/>
              <w:rPr>
                <w:rFonts w:ascii="Arial" w:hAnsi="Arial" w:cs="Arial"/>
              </w:rPr>
            </w:pPr>
          </w:p>
        </w:tc>
        <w:tc>
          <w:tcPr>
            <w:tcW w:w="1158" w:type="dxa"/>
            <w:vAlign w:val="bottom"/>
          </w:tcPr>
          <w:p w14:paraId="6193445B" w14:textId="77777777" w:rsidR="00F554E7" w:rsidRPr="0045317D" w:rsidRDefault="00F554E7" w:rsidP="00B80789">
            <w:pPr>
              <w:jc w:val="center"/>
              <w:rPr>
                <w:rFonts w:ascii="Arial" w:hAnsi="Arial" w:cs="Arial"/>
              </w:rPr>
            </w:pPr>
          </w:p>
        </w:tc>
      </w:tr>
      <w:tr w:rsidR="00F554E7" w:rsidRPr="00FC3309" w14:paraId="10BF93C8"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88E453C" w14:textId="77777777" w:rsidR="00F554E7" w:rsidRPr="0000731A" w:rsidRDefault="00F554E7" w:rsidP="00B80789">
            <w:pPr>
              <w:jc w:val="center"/>
              <w:rPr>
                <w:rFonts w:ascii="Arial" w:hAnsi="Arial" w:cs="Arial"/>
              </w:rPr>
            </w:pPr>
            <w:r w:rsidRPr="0000731A">
              <w:rPr>
                <w:rFonts w:ascii="Arial" w:hAnsi="Arial" w:cs="Arial"/>
              </w:rPr>
              <w:t>60</w:t>
            </w:r>
          </w:p>
        </w:tc>
        <w:tc>
          <w:tcPr>
            <w:tcW w:w="1158" w:type="dxa"/>
            <w:tcBorders>
              <w:left w:val="dotDash" w:sz="4" w:space="0" w:color="auto"/>
            </w:tcBorders>
            <w:shd w:val="clear" w:color="auto" w:fill="auto"/>
            <w:noWrap/>
            <w:vAlign w:val="bottom"/>
          </w:tcPr>
          <w:p w14:paraId="05030783" w14:textId="77777777" w:rsidR="00F554E7" w:rsidRPr="0045317D" w:rsidRDefault="00F554E7" w:rsidP="00B80789">
            <w:pPr>
              <w:jc w:val="center"/>
              <w:rPr>
                <w:rFonts w:ascii="Arial" w:hAnsi="Arial" w:cs="Arial"/>
              </w:rPr>
            </w:pPr>
          </w:p>
        </w:tc>
        <w:tc>
          <w:tcPr>
            <w:tcW w:w="1157" w:type="dxa"/>
            <w:tcBorders>
              <w:top w:val="dotDash" w:sz="4" w:space="0" w:color="auto"/>
            </w:tcBorders>
            <w:shd w:val="clear" w:color="auto" w:fill="auto"/>
            <w:noWrap/>
            <w:vAlign w:val="bottom"/>
          </w:tcPr>
          <w:p w14:paraId="6043D1AD" w14:textId="77777777" w:rsidR="00F554E7" w:rsidRPr="0045317D" w:rsidRDefault="00F554E7" w:rsidP="00B80789">
            <w:pPr>
              <w:jc w:val="center"/>
              <w:rPr>
                <w:rFonts w:ascii="Arial" w:hAnsi="Arial" w:cs="Arial"/>
              </w:rPr>
            </w:pPr>
          </w:p>
        </w:tc>
        <w:tc>
          <w:tcPr>
            <w:tcW w:w="1158" w:type="dxa"/>
            <w:shd w:val="clear" w:color="auto" w:fill="auto"/>
            <w:vAlign w:val="bottom"/>
          </w:tcPr>
          <w:p w14:paraId="24CFD6AE" w14:textId="77777777" w:rsidR="00F554E7" w:rsidRPr="0045317D" w:rsidRDefault="00F554E7" w:rsidP="00B80789">
            <w:pPr>
              <w:jc w:val="center"/>
              <w:rPr>
                <w:rFonts w:ascii="Arial" w:hAnsi="Arial" w:cs="Arial"/>
              </w:rPr>
            </w:pPr>
          </w:p>
        </w:tc>
        <w:tc>
          <w:tcPr>
            <w:tcW w:w="1157" w:type="dxa"/>
            <w:vAlign w:val="bottom"/>
          </w:tcPr>
          <w:p w14:paraId="546B9C37" w14:textId="77777777" w:rsidR="00F554E7" w:rsidRPr="0045317D" w:rsidRDefault="00F554E7" w:rsidP="00B80789">
            <w:pPr>
              <w:jc w:val="center"/>
              <w:rPr>
                <w:rFonts w:ascii="Arial" w:hAnsi="Arial" w:cs="Arial"/>
              </w:rPr>
            </w:pPr>
          </w:p>
        </w:tc>
        <w:tc>
          <w:tcPr>
            <w:tcW w:w="1158" w:type="dxa"/>
            <w:vAlign w:val="bottom"/>
          </w:tcPr>
          <w:p w14:paraId="3F54BD00" w14:textId="77777777" w:rsidR="00F554E7" w:rsidRPr="0045317D" w:rsidRDefault="00F554E7" w:rsidP="00B80789">
            <w:pPr>
              <w:jc w:val="center"/>
              <w:rPr>
                <w:rFonts w:ascii="Arial" w:hAnsi="Arial" w:cs="Arial"/>
              </w:rPr>
            </w:pPr>
          </w:p>
        </w:tc>
        <w:tc>
          <w:tcPr>
            <w:tcW w:w="1157" w:type="dxa"/>
            <w:vAlign w:val="bottom"/>
          </w:tcPr>
          <w:p w14:paraId="30E38CBB" w14:textId="77777777" w:rsidR="00F554E7" w:rsidRPr="0045317D" w:rsidRDefault="00F554E7" w:rsidP="00B80789">
            <w:pPr>
              <w:jc w:val="center"/>
              <w:rPr>
                <w:rFonts w:ascii="Arial" w:hAnsi="Arial" w:cs="Arial"/>
              </w:rPr>
            </w:pPr>
          </w:p>
        </w:tc>
        <w:tc>
          <w:tcPr>
            <w:tcW w:w="1158" w:type="dxa"/>
            <w:vAlign w:val="bottom"/>
          </w:tcPr>
          <w:p w14:paraId="249AB2B5" w14:textId="77777777" w:rsidR="00F554E7" w:rsidRPr="0045317D" w:rsidRDefault="00F554E7" w:rsidP="00B80789">
            <w:pPr>
              <w:jc w:val="center"/>
              <w:rPr>
                <w:rFonts w:ascii="Arial" w:hAnsi="Arial" w:cs="Arial"/>
              </w:rPr>
            </w:pPr>
          </w:p>
        </w:tc>
        <w:tc>
          <w:tcPr>
            <w:tcW w:w="1158" w:type="dxa"/>
            <w:vAlign w:val="bottom"/>
          </w:tcPr>
          <w:p w14:paraId="5DC69C40" w14:textId="77777777" w:rsidR="00F554E7" w:rsidRPr="0045317D" w:rsidRDefault="00F554E7" w:rsidP="00B80789">
            <w:pPr>
              <w:jc w:val="center"/>
              <w:rPr>
                <w:rFonts w:ascii="Arial" w:hAnsi="Arial" w:cs="Arial"/>
              </w:rPr>
            </w:pPr>
          </w:p>
        </w:tc>
        <w:tc>
          <w:tcPr>
            <w:tcW w:w="1158" w:type="dxa"/>
            <w:vAlign w:val="bottom"/>
          </w:tcPr>
          <w:p w14:paraId="27651C91" w14:textId="77777777" w:rsidR="00F554E7" w:rsidRPr="0045317D" w:rsidRDefault="00F554E7" w:rsidP="00B80789">
            <w:pPr>
              <w:jc w:val="center"/>
              <w:rPr>
                <w:rFonts w:ascii="Arial" w:hAnsi="Arial" w:cs="Arial"/>
              </w:rPr>
            </w:pPr>
          </w:p>
        </w:tc>
        <w:tc>
          <w:tcPr>
            <w:tcW w:w="1158" w:type="dxa"/>
            <w:vAlign w:val="bottom"/>
          </w:tcPr>
          <w:p w14:paraId="6D05ADEE" w14:textId="77777777" w:rsidR="00F554E7" w:rsidRPr="0045317D" w:rsidRDefault="00F554E7" w:rsidP="00B80789">
            <w:pPr>
              <w:jc w:val="center"/>
              <w:rPr>
                <w:rFonts w:ascii="Arial" w:hAnsi="Arial" w:cs="Arial"/>
              </w:rPr>
            </w:pPr>
          </w:p>
        </w:tc>
        <w:tc>
          <w:tcPr>
            <w:tcW w:w="1158" w:type="dxa"/>
            <w:vAlign w:val="bottom"/>
          </w:tcPr>
          <w:p w14:paraId="0DEE79B4" w14:textId="77777777" w:rsidR="00F554E7" w:rsidRPr="0045317D" w:rsidRDefault="00F554E7" w:rsidP="00B80789">
            <w:pPr>
              <w:jc w:val="center"/>
              <w:rPr>
                <w:rFonts w:ascii="Arial" w:hAnsi="Arial" w:cs="Arial"/>
              </w:rPr>
            </w:pPr>
          </w:p>
        </w:tc>
      </w:tr>
      <w:tr w:rsidR="00F554E7" w:rsidRPr="00FC3309" w14:paraId="394E973D" w14:textId="77777777" w:rsidTr="00B80789">
        <w:trPr>
          <w:trHeight w:val="317"/>
        </w:trPr>
        <w:tc>
          <w:tcPr>
            <w:tcW w:w="1157" w:type="dxa"/>
            <w:tcBorders>
              <w:top w:val="dotDash" w:sz="4" w:space="0" w:color="auto"/>
              <w:left w:val="dotDash" w:sz="4" w:space="0" w:color="auto"/>
              <w:bottom w:val="single" w:sz="4" w:space="0" w:color="auto"/>
              <w:right w:val="dotDash" w:sz="4" w:space="0" w:color="auto"/>
            </w:tcBorders>
            <w:shd w:val="clear" w:color="auto" w:fill="auto"/>
            <w:noWrap/>
            <w:vAlign w:val="bottom"/>
          </w:tcPr>
          <w:p w14:paraId="20952BA3" w14:textId="77777777" w:rsidR="00F554E7" w:rsidRPr="0000731A" w:rsidRDefault="00F554E7" w:rsidP="00B80789">
            <w:pPr>
              <w:jc w:val="center"/>
              <w:rPr>
                <w:rFonts w:ascii="Arial" w:hAnsi="Arial" w:cs="Arial"/>
              </w:rPr>
            </w:pPr>
            <w:r w:rsidRPr="0000731A">
              <w:rPr>
                <w:rFonts w:ascii="Arial" w:hAnsi="Arial" w:cs="Arial"/>
              </w:rPr>
              <w:t>0</w:t>
            </w:r>
          </w:p>
        </w:tc>
        <w:tc>
          <w:tcPr>
            <w:tcW w:w="1158" w:type="dxa"/>
            <w:tcBorders>
              <w:left w:val="dotDash" w:sz="4" w:space="0" w:color="auto"/>
              <w:bottom w:val="single" w:sz="4" w:space="0" w:color="auto"/>
            </w:tcBorders>
            <w:shd w:val="clear" w:color="auto" w:fill="auto"/>
            <w:noWrap/>
            <w:vAlign w:val="bottom"/>
          </w:tcPr>
          <w:p w14:paraId="15B7C6BD" w14:textId="77777777" w:rsidR="00F554E7" w:rsidRPr="0045317D" w:rsidRDefault="00F554E7" w:rsidP="00B80789">
            <w:pPr>
              <w:jc w:val="center"/>
              <w:rPr>
                <w:rFonts w:ascii="Arial" w:hAnsi="Arial" w:cs="Arial"/>
              </w:rPr>
            </w:pPr>
          </w:p>
        </w:tc>
        <w:tc>
          <w:tcPr>
            <w:tcW w:w="1157" w:type="dxa"/>
            <w:tcBorders>
              <w:bottom w:val="single" w:sz="4" w:space="0" w:color="auto"/>
            </w:tcBorders>
            <w:shd w:val="clear" w:color="auto" w:fill="auto"/>
            <w:noWrap/>
            <w:vAlign w:val="bottom"/>
          </w:tcPr>
          <w:p w14:paraId="464FEED1" w14:textId="77777777" w:rsidR="00F554E7" w:rsidRPr="0045317D" w:rsidRDefault="00F554E7" w:rsidP="00B80789">
            <w:pPr>
              <w:jc w:val="center"/>
              <w:rPr>
                <w:rFonts w:ascii="Arial" w:hAnsi="Arial" w:cs="Arial"/>
              </w:rPr>
            </w:pPr>
          </w:p>
        </w:tc>
        <w:tc>
          <w:tcPr>
            <w:tcW w:w="1158" w:type="dxa"/>
            <w:tcBorders>
              <w:bottom w:val="single" w:sz="4" w:space="0" w:color="auto"/>
            </w:tcBorders>
            <w:shd w:val="clear" w:color="auto" w:fill="auto"/>
            <w:vAlign w:val="bottom"/>
          </w:tcPr>
          <w:p w14:paraId="03899D93" w14:textId="77777777" w:rsidR="00F554E7" w:rsidRPr="0045317D" w:rsidRDefault="00F554E7" w:rsidP="00B80789">
            <w:pPr>
              <w:jc w:val="center"/>
              <w:rPr>
                <w:rFonts w:ascii="Arial" w:hAnsi="Arial" w:cs="Arial"/>
              </w:rPr>
            </w:pPr>
          </w:p>
        </w:tc>
        <w:tc>
          <w:tcPr>
            <w:tcW w:w="1157" w:type="dxa"/>
            <w:tcBorders>
              <w:bottom w:val="single" w:sz="4" w:space="0" w:color="auto"/>
            </w:tcBorders>
            <w:vAlign w:val="bottom"/>
          </w:tcPr>
          <w:p w14:paraId="516EB51E" w14:textId="77777777" w:rsidR="00F554E7" w:rsidRPr="0045317D" w:rsidRDefault="00F554E7" w:rsidP="00B80789">
            <w:pPr>
              <w:jc w:val="center"/>
              <w:rPr>
                <w:rFonts w:ascii="Arial" w:hAnsi="Arial" w:cs="Arial"/>
              </w:rPr>
            </w:pPr>
          </w:p>
        </w:tc>
        <w:tc>
          <w:tcPr>
            <w:tcW w:w="1158" w:type="dxa"/>
            <w:tcBorders>
              <w:bottom w:val="single" w:sz="4" w:space="0" w:color="auto"/>
            </w:tcBorders>
            <w:vAlign w:val="bottom"/>
          </w:tcPr>
          <w:p w14:paraId="1F2719E4" w14:textId="77777777" w:rsidR="00F554E7" w:rsidRPr="0045317D" w:rsidRDefault="00F554E7" w:rsidP="00B80789">
            <w:pPr>
              <w:jc w:val="center"/>
              <w:rPr>
                <w:rFonts w:ascii="Arial" w:hAnsi="Arial" w:cs="Arial"/>
              </w:rPr>
            </w:pPr>
          </w:p>
        </w:tc>
        <w:tc>
          <w:tcPr>
            <w:tcW w:w="1157" w:type="dxa"/>
            <w:tcBorders>
              <w:bottom w:val="single" w:sz="4" w:space="0" w:color="auto"/>
            </w:tcBorders>
            <w:vAlign w:val="bottom"/>
          </w:tcPr>
          <w:p w14:paraId="3A18F913" w14:textId="77777777" w:rsidR="00F554E7" w:rsidRPr="0045317D" w:rsidRDefault="00F554E7" w:rsidP="00B80789">
            <w:pPr>
              <w:jc w:val="center"/>
              <w:rPr>
                <w:rFonts w:ascii="Arial" w:hAnsi="Arial" w:cs="Arial"/>
              </w:rPr>
            </w:pPr>
          </w:p>
        </w:tc>
        <w:tc>
          <w:tcPr>
            <w:tcW w:w="1158" w:type="dxa"/>
            <w:tcBorders>
              <w:bottom w:val="single" w:sz="4" w:space="0" w:color="auto"/>
            </w:tcBorders>
            <w:vAlign w:val="bottom"/>
          </w:tcPr>
          <w:p w14:paraId="6B181F0C" w14:textId="77777777" w:rsidR="00F554E7" w:rsidRPr="0045317D" w:rsidRDefault="00F554E7" w:rsidP="00B80789">
            <w:pPr>
              <w:jc w:val="center"/>
              <w:rPr>
                <w:rFonts w:ascii="Arial" w:hAnsi="Arial" w:cs="Arial"/>
              </w:rPr>
            </w:pPr>
          </w:p>
        </w:tc>
        <w:tc>
          <w:tcPr>
            <w:tcW w:w="1158" w:type="dxa"/>
            <w:vAlign w:val="bottom"/>
          </w:tcPr>
          <w:p w14:paraId="176C04B3" w14:textId="77777777" w:rsidR="00F554E7" w:rsidRPr="0045317D" w:rsidRDefault="00F554E7" w:rsidP="00B80789">
            <w:pPr>
              <w:jc w:val="center"/>
              <w:rPr>
                <w:rFonts w:ascii="Arial" w:hAnsi="Arial" w:cs="Arial"/>
              </w:rPr>
            </w:pPr>
          </w:p>
        </w:tc>
        <w:tc>
          <w:tcPr>
            <w:tcW w:w="1158" w:type="dxa"/>
            <w:vAlign w:val="bottom"/>
          </w:tcPr>
          <w:p w14:paraId="25FD0BE3" w14:textId="77777777" w:rsidR="00F554E7" w:rsidRPr="0045317D" w:rsidRDefault="00F554E7" w:rsidP="00B80789">
            <w:pPr>
              <w:jc w:val="center"/>
              <w:rPr>
                <w:rFonts w:ascii="Arial" w:hAnsi="Arial" w:cs="Arial"/>
              </w:rPr>
            </w:pPr>
          </w:p>
        </w:tc>
        <w:tc>
          <w:tcPr>
            <w:tcW w:w="1158" w:type="dxa"/>
            <w:vAlign w:val="bottom"/>
          </w:tcPr>
          <w:p w14:paraId="77BDDA87" w14:textId="77777777" w:rsidR="00F554E7" w:rsidRPr="0045317D" w:rsidRDefault="00F554E7" w:rsidP="00B80789">
            <w:pPr>
              <w:jc w:val="center"/>
              <w:rPr>
                <w:rFonts w:ascii="Arial" w:hAnsi="Arial" w:cs="Arial"/>
              </w:rPr>
            </w:pPr>
          </w:p>
        </w:tc>
        <w:tc>
          <w:tcPr>
            <w:tcW w:w="1158" w:type="dxa"/>
            <w:tcBorders>
              <w:bottom w:val="single" w:sz="4" w:space="0" w:color="auto"/>
            </w:tcBorders>
            <w:vAlign w:val="bottom"/>
          </w:tcPr>
          <w:p w14:paraId="49756FCB" w14:textId="77777777" w:rsidR="00F554E7" w:rsidRPr="0045317D" w:rsidRDefault="00F554E7" w:rsidP="00B80789">
            <w:pPr>
              <w:jc w:val="center"/>
              <w:rPr>
                <w:rFonts w:ascii="Arial" w:hAnsi="Arial" w:cs="Arial"/>
              </w:rPr>
            </w:pPr>
          </w:p>
        </w:tc>
      </w:tr>
      <w:tr w:rsidR="00F554E7" w:rsidRPr="00FC3309" w14:paraId="4BD36E61" w14:textId="77777777" w:rsidTr="00B80789">
        <w:trPr>
          <w:trHeight w:val="317"/>
        </w:trPr>
        <w:tc>
          <w:tcPr>
            <w:tcW w:w="34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0CC67F" w14:textId="77777777" w:rsidR="00F554E7" w:rsidRPr="0045317D" w:rsidRDefault="00F554E7" w:rsidP="00B80789">
            <w:pPr>
              <w:jc w:val="center"/>
              <w:rPr>
                <w:rFonts w:ascii="Arial" w:hAnsi="Arial" w:cs="Arial"/>
              </w:rPr>
            </w:pPr>
            <w:r w:rsidRPr="00D1300B">
              <w:rPr>
                <w:rFonts w:ascii="Arial" w:hAnsi="Arial" w:cs="Arial"/>
              </w:rPr>
              <w:lastRenderedPageBreak/>
              <w:t>Total</w:t>
            </w: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6027A69D" w14:textId="77777777" w:rsidR="00F554E7" w:rsidRPr="00CD2107" w:rsidRDefault="00F554E7" w:rsidP="00B80789">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shd w:val="clear" w:color="auto" w:fill="A6A6A6"/>
            <w:vAlign w:val="bottom"/>
          </w:tcPr>
          <w:p w14:paraId="6C2FC2E1" w14:textId="77777777" w:rsidR="00F554E7" w:rsidRPr="00CD2107" w:rsidRDefault="00F554E7" w:rsidP="00B80789">
            <w:pPr>
              <w:jc w:val="center"/>
              <w:rPr>
                <w:rFonts w:ascii="Arial" w:hAnsi="Arial" w:cs="Arial"/>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7F541683" w14:textId="77777777" w:rsidR="00F554E7" w:rsidRPr="00CD2107" w:rsidRDefault="00F554E7" w:rsidP="00B80789">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shd w:val="clear" w:color="auto" w:fill="A6A6A6"/>
            <w:vAlign w:val="bottom"/>
          </w:tcPr>
          <w:p w14:paraId="57F0ABA1" w14:textId="77777777" w:rsidR="00F554E7" w:rsidRPr="00CD2107" w:rsidRDefault="00F554E7" w:rsidP="00B80789">
            <w:pPr>
              <w:jc w:val="center"/>
              <w:rPr>
                <w:rFonts w:ascii="Arial" w:hAnsi="Arial" w:cs="Arial"/>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46F52C0F" w14:textId="77777777" w:rsidR="00F554E7" w:rsidRPr="00CD2107" w:rsidRDefault="00F554E7" w:rsidP="00B80789">
            <w:pPr>
              <w:jc w:val="center"/>
              <w:rPr>
                <w:rFonts w:ascii="Arial" w:hAnsi="Arial" w:cs="Arial"/>
              </w:rPr>
            </w:pPr>
          </w:p>
        </w:tc>
        <w:tc>
          <w:tcPr>
            <w:tcW w:w="1158" w:type="dxa"/>
            <w:tcBorders>
              <w:left w:val="single" w:sz="4" w:space="0" w:color="auto"/>
            </w:tcBorders>
            <w:vAlign w:val="bottom"/>
          </w:tcPr>
          <w:p w14:paraId="46A81CDB" w14:textId="77777777" w:rsidR="00F554E7" w:rsidRPr="00CD2107" w:rsidRDefault="00F554E7" w:rsidP="00B80789">
            <w:pPr>
              <w:jc w:val="center"/>
              <w:rPr>
                <w:rFonts w:ascii="Arial" w:hAnsi="Arial" w:cs="Arial"/>
              </w:rPr>
            </w:pPr>
          </w:p>
        </w:tc>
        <w:tc>
          <w:tcPr>
            <w:tcW w:w="1158" w:type="dxa"/>
            <w:vAlign w:val="bottom"/>
          </w:tcPr>
          <w:p w14:paraId="3A67DC7E" w14:textId="77777777" w:rsidR="00F554E7" w:rsidRPr="00CD2107" w:rsidRDefault="00F554E7" w:rsidP="00B80789">
            <w:pPr>
              <w:jc w:val="center"/>
              <w:rPr>
                <w:rFonts w:ascii="Arial" w:hAnsi="Arial" w:cs="Arial"/>
              </w:rPr>
            </w:pPr>
          </w:p>
        </w:tc>
        <w:tc>
          <w:tcPr>
            <w:tcW w:w="1158" w:type="dxa"/>
            <w:tcBorders>
              <w:right w:val="single" w:sz="4" w:space="0" w:color="auto"/>
            </w:tcBorders>
            <w:vAlign w:val="bottom"/>
          </w:tcPr>
          <w:p w14:paraId="3D82ACEF" w14:textId="77777777" w:rsidR="00F554E7" w:rsidRPr="00CD2107" w:rsidRDefault="00F554E7" w:rsidP="00B80789">
            <w:pPr>
              <w:jc w:val="center"/>
              <w:rPr>
                <w:rFonts w:ascii="Arial" w:hAnsi="Arial" w:cs="Arial"/>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59311A86" w14:textId="77777777" w:rsidR="00F554E7" w:rsidRPr="00CD2107" w:rsidRDefault="00F554E7" w:rsidP="00B80789">
            <w:pPr>
              <w:jc w:val="center"/>
              <w:rPr>
                <w:rFonts w:ascii="Arial" w:hAnsi="Arial" w:cs="Arial"/>
              </w:rPr>
            </w:pPr>
          </w:p>
        </w:tc>
      </w:tr>
    </w:tbl>
    <w:p w14:paraId="093E6811" w14:textId="77777777" w:rsidR="00F554E7" w:rsidRDefault="00F554E7" w:rsidP="00F554E7">
      <w:pPr>
        <w:rPr>
          <w:rFonts w:ascii="Arial" w:hAnsi="Arial" w:cs="Arial"/>
        </w:rPr>
      </w:pPr>
    </w:p>
    <w:p w14:paraId="3A2B0C13" w14:textId="77777777" w:rsidR="00F554E7" w:rsidRPr="004B4852" w:rsidRDefault="00F554E7" w:rsidP="00F554E7">
      <w:pPr>
        <w:pStyle w:val="ListParagraph"/>
        <w:ind w:left="0"/>
        <w:rPr>
          <w:rFonts w:ascii="Arial" w:hAnsi="Arial" w:cs="Arial"/>
          <w:b/>
          <w:bCs/>
        </w:rPr>
      </w:pPr>
    </w:p>
    <w:tbl>
      <w:tblPr>
        <w:tblW w:w="13892" w:type="dxa"/>
        <w:tblInd w:w="108" w:type="dxa"/>
        <w:tblLook w:val="04A0" w:firstRow="1" w:lastRow="0" w:firstColumn="1" w:lastColumn="0" w:noHBand="0" w:noVBand="1"/>
      </w:tblPr>
      <w:tblGrid>
        <w:gridCol w:w="13892"/>
      </w:tblGrid>
      <w:tr w:rsidR="00F554E7" w:rsidRPr="00FC3309" w14:paraId="2917418C" w14:textId="77777777" w:rsidTr="00B80789">
        <w:tc>
          <w:tcPr>
            <w:tcW w:w="8804" w:type="dxa"/>
          </w:tcPr>
          <w:p w14:paraId="207AFBB6" w14:textId="15B1A616" w:rsidR="00F554E7" w:rsidRPr="00CD2107" w:rsidRDefault="00A063AF" w:rsidP="00F554E7">
            <w:pPr>
              <w:numPr>
                <w:ilvl w:val="1"/>
                <w:numId w:val="45"/>
              </w:numPr>
              <w:ind w:hanging="250"/>
              <w:rPr>
                <w:rFonts w:ascii="Arial" w:hAnsi="Arial" w:cs="Arial"/>
                <w:b/>
                <w:bCs/>
                <w:sz w:val="24"/>
                <w:szCs w:val="24"/>
              </w:rPr>
            </w:pPr>
            <w:r>
              <w:rPr>
                <w:rFonts w:ascii="Arial" w:hAnsi="Arial" w:cs="Arial"/>
                <w:b/>
                <w:bCs/>
                <w:sz w:val="24"/>
                <w:szCs w:val="24"/>
              </w:rPr>
              <w:t xml:space="preserve">1.2. </w:t>
            </w:r>
            <w:r w:rsidR="00F554E7" w:rsidRPr="00CD2107">
              <w:rPr>
                <w:rFonts w:ascii="Arial" w:hAnsi="Arial" w:cs="Arial"/>
                <w:b/>
                <w:bCs/>
                <w:sz w:val="24"/>
                <w:szCs w:val="24"/>
              </w:rPr>
              <w:t>Pool cover</w:t>
            </w:r>
          </w:p>
        </w:tc>
      </w:tr>
    </w:tbl>
    <w:p w14:paraId="7C3A55D2" w14:textId="77777777" w:rsidR="00F554E7" w:rsidRDefault="00F554E7" w:rsidP="00F554E7">
      <w:pPr>
        <w:rPr>
          <w:rFonts w:ascii="Arial" w:hAnsi="Arial" w:cs="Arial"/>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F554E7" w:rsidRPr="00FC3309" w14:paraId="2221E184" w14:textId="77777777" w:rsidTr="00B80789">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64FB61CE" w14:textId="77777777" w:rsidR="00F554E7" w:rsidRPr="00FC3309" w:rsidRDefault="00F554E7" w:rsidP="00B80789">
            <w:pPr>
              <w:jc w:val="center"/>
              <w:rPr>
                <w:rFonts w:ascii="Arial" w:hAnsi="Arial" w:cs="Arial"/>
                <w:b/>
                <w:bCs/>
              </w:rPr>
            </w:pPr>
            <w:r>
              <w:rPr>
                <w:rFonts w:ascii="Arial" w:hAnsi="Arial" w:cs="Arial"/>
                <w:b/>
                <w:bCs/>
              </w:rPr>
              <w:t>Weighted-average LVR (%)</w:t>
            </w:r>
          </w:p>
        </w:tc>
        <w:tc>
          <w:tcPr>
            <w:tcW w:w="1985" w:type="dxa"/>
            <w:tcBorders>
              <w:top w:val="single" w:sz="4" w:space="0" w:color="auto"/>
              <w:left w:val="nil"/>
              <w:bottom w:val="nil"/>
              <w:right w:val="single" w:sz="4" w:space="0" w:color="auto"/>
            </w:tcBorders>
            <w:shd w:val="clear" w:color="auto" w:fill="auto"/>
            <w:vAlign w:val="bottom"/>
            <w:hideMark/>
          </w:tcPr>
          <w:p w14:paraId="1AE41A3E" w14:textId="77777777" w:rsidR="00F554E7" w:rsidRPr="00FC3309" w:rsidRDefault="00F554E7" w:rsidP="00B80789">
            <w:pPr>
              <w:jc w:val="center"/>
              <w:rPr>
                <w:rFonts w:ascii="Arial" w:hAnsi="Arial" w:cs="Arial"/>
                <w:b/>
                <w:bCs/>
              </w:rPr>
            </w:pPr>
            <w:r w:rsidRPr="00D1300B">
              <w:rPr>
                <w:rFonts w:ascii="Arial" w:hAnsi="Arial" w:cs="Arial"/>
                <w:b/>
                <w:bCs/>
              </w:rPr>
              <w:t>Weighted-average age</w:t>
            </w:r>
          </w:p>
        </w:tc>
        <w:tc>
          <w:tcPr>
            <w:tcW w:w="1984" w:type="dxa"/>
            <w:tcBorders>
              <w:top w:val="single" w:sz="4" w:space="0" w:color="auto"/>
              <w:left w:val="nil"/>
              <w:bottom w:val="nil"/>
              <w:right w:val="single" w:sz="4" w:space="0" w:color="auto"/>
            </w:tcBorders>
            <w:shd w:val="clear" w:color="auto" w:fill="auto"/>
            <w:vAlign w:val="bottom"/>
            <w:hideMark/>
          </w:tcPr>
          <w:p w14:paraId="3BCF8069" w14:textId="77777777" w:rsidR="00F554E7" w:rsidRPr="00FC3309" w:rsidRDefault="00F554E7" w:rsidP="00B80789">
            <w:pPr>
              <w:jc w:val="center"/>
              <w:rPr>
                <w:rFonts w:ascii="Arial" w:hAnsi="Arial" w:cs="Arial"/>
                <w:b/>
                <w:bCs/>
              </w:rPr>
            </w:pPr>
            <w:r w:rsidRPr="00D1300B">
              <w:rPr>
                <w:rFonts w:ascii="Arial" w:hAnsi="Arial" w:cs="Arial"/>
                <w:b/>
                <w:bCs/>
              </w:rPr>
              <w:t>Seasoning factor</w:t>
            </w:r>
          </w:p>
        </w:tc>
        <w:tc>
          <w:tcPr>
            <w:tcW w:w="1985" w:type="dxa"/>
            <w:tcBorders>
              <w:top w:val="single" w:sz="4" w:space="0" w:color="auto"/>
              <w:left w:val="nil"/>
              <w:bottom w:val="nil"/>
              <w:right w:val="single" w:sz="4" w:space="0" w:color="000000"/>
            </w:tcBorders>
            <w:shd w:val="clear" w:color="auto" w:fill="auto"/>
            <w:vAlign w:val="bottom"/>
            <w:hideMark/>
          </w:tcPr>
          <w:p w14:paraId="227E055A" w14:textId="77777777" w:rsidR="00F554E7" w:rsidRPr="00FC3309" w:rsidRDefault="00F554E7" w:rsidP="00B80789">
            <w:pPr>
              <w:jc w:val="center"/>
              <w:rPr>
                <w:rFonts w:ascii="Arial" w:hAnsi="Arial" w:cs="Arial"/>
                <w:b/>
                <w:bCs/>
              </w:rPr>
            </w:pPr>
            <w:r w:rsidRPr="00D1300B">
              <w:rPr>
                <w:rFonts w:ascii="Arial" w:hAnsi="Arial" w:cs="Arial"/>
                <w:b/>
                <w:bCs/>
              </w:rPr>
              <w:t>Total sum insured</w:t>
            </w:r>
          </w:p>
        </w:tc>
        <w:tc>
          <w:tcPr>
            <w:tcW w:w="1984" w:type="dxa"/>
            <w:tcBorders>
              <w:top w:val="single" w:sz="4" w:space="0" w:color="auto"/>
              <w:left w:val="nil"/>
              <w:bottom w:val="nil"/>
              <w:right w:val="single" w:sz="4" w:space="0" w:color="000000"/>
            </w:tcBorders>
            <w:vAlign w:val="bottom"/>
          </w:tcPr>
          <w:p w14:paraId="57A012EE" w14:textId="77777777" w:rsidR="00F554E7" w:rsidRPr="00FC3309" w:rsidRDefault="00F554E7" w:rsidP="00B80789">
            <w:pPr>
              <w:jc w:val="center"/>
              <w:rPr>
                <w:rFonts w:ascii="Arial" w:hAnsi="Arial" w:cs="Arial"/>
                <w:b/>
                <w:bCs/>
              </w:rPr>
            </w:pPr>
            <w:r w:rsidRPr="00D1300B">
              <w:rPr>
                <w:rFonts w:ascii="Arial" w:hAnsi="Arial" w:cs="Arial"/>
                <w:b/>
                <w:bCs/>
              </w:rPr>
              <w:t>PD factor</w:t>
            </w:r>
          </w:p>
        </w:tc>
        <w:tc>
          <w:tcPr>
            <w:tcW w:w="1985" w:type="dxa"/>
            <w:tcBorders>
              <w:top w:val="single" w:sz="4" w:space="0" w:color="auto"/>
              <w:left w:val="nil"/>
              <w:bottom w:val="nil"/>
              <w:right w:val="single" w:sz="4" w:space="0" w:color="000000"/>
            </w:tcBorders>
            <w:vAlign w:val="bottom"/>
          </w:tcPr>
          <w:p w14:paraId="33030802" w14:textId="77777777" w:rsidR="00F554E7" w:rsidRPr="00FC3309" w:rsidRDefault="00F554E7" w:rsidP="00B80789">
            <w:pPr>
              <w:jc w:val="center"/>
              <w:rPr>
                <w:rFonts w:ascii="Arial" w:hAnsi="Arial" w:cs="Arial"/>
                <w:b/>
                <w:bCs/>
              </w:rPr>
            </w:pPr>
            <w:r w:rsidRPr="00D1300B">
              <w:rPr>
                <w:rFonts w:ascii="Arial" w:hAnsi="Arial" w:cs="Arial"/>
                <w:b/>
                <w:bCs/>
              </w:rPr>
              <w:t>LGD factor</w:t>
            </w:r>
          </w:p>
        </w:tc>
        <w:tc>
          <w:tcPr>
            <w:tcW w:w="1984" w:type="dxa"/>
            <w:tcBorders>
              <w:top w:val="single" w:sz="4" w:space="0" w:color="auto"/>
              <w:left w:val="nil"/>
              <w:bottom w:val="nil"/>
              <w:right w:val="single" w:sz="4" w:space="0" w:color="000000"/>
            </w:tcBorders>
            <w:vAlign w:val="bottom"/>
          </w:tcPr>
          <w:p w14:paraId="1656FC83" w14:textId="77777777" w:rsidR="00F554E7" w:rsidRPr="00FC3309" w:rsidRDefault="00F554E7" w:rsidP="00B80789">
            <w:pPr>
              <w:jc w:val="center"/>
              <w:rPr>
                <w:rFonts w:ascii="Arial" w:hAnsi="Arial" w:cs="Arial"/>
                <w:b/>
                <w:bCs/>
              </w:rPr>
            </w:pPr>
            <w:r w:rsidRPr="00D1300B">
              <w:rPr>
                <w:rFonts w:ascii="Arial" w:hAnsi="Arial" w:cs="Arial"/>
                <w:b/>
                <w:bCs/>
              </w:rPr>
              <w:t>PML</w:t>
            </w:r>
          </w:p>
        </w:tc>
      </w:tr>
      <w:tr w:rsidR="00F554E7" w:rsidRPr="00FC3309" w14:paraId="6897B9A3" w14:textId="77777777" w:rsidTr="00B80789">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8D55A13" w14:textId="77777777" w:rsidR="00F554E7" w:rsidRPr="00FC3309" w:rsidRDefault="00F554E7" w:rsidP="00B80789">
            <w:pPr>
              <w:jc w:val="center"/>
              <w:rPr>
                <w:rFonts w:ascii="Arial" w:hAnsi="Arial" w:cs="Arial"/>
                <w:b/>
                <w:bCs/>
              </w:rPr>
            </w:pPr>
            <w:r w:rsidRPr="00FC3309">
              <w:rPr>
                <w:rFonts w:ascii="Arial" w:hAnsi="Arial" w:cs="Arial"/>
                <w:b/>
                <w:bCs/>
              </w:rPr>
              <w:t>(1)</w:t>
            </w:r>
          </w:p>
        </w:tc>
        <w:tc>
          <w:tcPr>
            <w:tcW w:w="1985" w:type="dxa"/>
            <w:tcBorders>
              <w:top w:val="nil"/>
              <w:left w:val="nil"/>
              <w:bottom w:val="single" w:sz="4" w:space="0" w:color="auto"/>
              <w:right w:val="single" w:sz="4" w:space="0" w:color="auto"/>
            </w:tcBorders>
            <w:shd w:val="clear" w:color="auto" w:fill="auto"/>
            <w:vAlign w:val="bottom"/>
            <w:hideMark/>
          </w:tcPr>
          <w:p w14:paraId="7BED4B90" w14:textId="77777777" w:rsidR="00F554E7" w:rsidRPr="00FC3309" w:rsidRDefault="00F554E7" w:rsidP="00B80789">
            <w:pPr>
              <w:jc w:val="center"/>
              <w:rPr>
                <w:rFonts w:ascii="Arial" w:hAnsi="Arial" w:cs="Arial"/>
                <w:b/>
                <w:bCs/>
              </w:rPr>
            </w:pPr>
            <w:r w:rsidRPr="00FC3309">
              <w:rPr>
                <w:rFonts w:ascii="Arial" w:hAnsi="Arial" w:cs="Arial"/>
                <w:b/>
                <w:bCs/>
              </w:rPr>
              <w:t>(2)</w:t>
            </w:r>
          </w:p>
        </w:tc>
        <w:tc>
          <w:tcPr>
            <w:tcW w:w="1984" w:type="dxa"/>
            <w:tcBorders>
              <w:top w:val="nil"/>
              <w:left w:val="nil"/>
              <w:bottom w:val="single" w:sz="4" w:space="0" w:color="auto"/>
              <w:right w:val="single" w:sz="4" w:space="0" w:color="auto"/>
            </w:tcBorders>
            <w:shd w:val="clear" w:color="auto" w:fill="auto"/>
            <w:vAlign w:val="bottom"/>
            <w:hideMark/>
          </w:tcPr>
          <w:p w14:paraId="5978CA26" w14:textId="77777777" w:rsidR="00F554E7" w:rsidRPr="00FC3309" w:rsidRDefault="00F554E7" w:rsidP="00B80789">
            <w:pPr>
              <w:jc w:val="center"/>
              <w:rPr>
                <w:rFonts w:ascii="Arial" w:hAnsi="Arial" w:cs="Arial"/>
                <w:b/>
                <w:bCs/>
              </w:rPr>
            </w:pPr>
            <w:r w:rsidRPr="00FC3309">
              <w:rPr>
                <w:rFonts w:ascii="Arial" w:hAnsi="Arial" w:cs="Arial"/>
                <w:b/>
                <w:bCs/>
              </w:rPr>
              <w:t>(3)</w:t>
            </w:r>
          </w:p>
        </w:tc>
        <w:tc>
          <w:tcPr>
            <w:tcW w:w="1985" w:type="dxa"/>
            <w:tcBorders>
              <w:top w:val="nil"/>
              <w:left w:val="nil"/>
              <w:bottom w:val="single" w:sz="4" w:space="0" w:color="auto"/>
              <w:right w:val="single" w:sz="4" w:space="0" w:color="000000"/>
            </w:tcBorders>
            <w:shd w:val="clear" w:color="auto" w:fill="auto"/>
            <w:vAlign w:val="bottom"/>
            <w:hideMark/>
          </w:tcPr>
          <w:p w14:paraId="09EFF0F2" w14:textId="77777777" w:rsidR="00F554E7" w:rsidRPr="00FC3309" w:rsidRDefault="00F554E7" w:rsidP="00B80789">
            <w:pPr>
              <w:jc w:val="center"/>
              <w:rPr>
                <w:rFonts w:ascii="Arial" w:hAnsi="Arial" w:cs="Arial"/>
                <w:b/>
                <w:bCs/>
              </w:rPr>
            </w:pPr>
            <w:r w:rsidRPr="00FC3309">
              <w:rPr>
                <w:rFonts w:ascii="Arial" w:hAnsi="Arial" w:cs="Arial"/>
                <w:b/>
                <w:bCs/>
              </w:rPr>
              <w:t>(4)</w:t>
            </w:r>
          </w:p>
        </w:tc>
        <w:tc>
          <w:tcPr>
            <w:tcW w:w="1984" w:type="dxa"/>
            <w:tcBorders>
              <w:top w:val="nil"/>
              <w:left w:val="nil"/>
              <w:bottom w:val="single" w:sz="4" w:space="0" w:color="auto"/>
              <w:right w:val="single" w:sz="4" w:space="0" w:color="000000"/>
            </w:tcBorders>
            <w:vAlign w:val="bottom"/>
          </w:tcPr>
          <w:p w14:paraId="54FB1EEC" w14:textId="77777777" w:rsidR="00F554E7" w:rsidRPr="00FC3309" w:rsidRDefault="00F554E7" w:rsidP="00B80789">
            <w:pPr>
              <w:jc w:val="center"/>
              <w:rPr>
                <w:rFonts w:ascii="Arial" w:hAnsi="Arial" w:cs="Arial"/>
                <w:b/>
                <w:bCs/>
              </w:rPr>
            </w:pPr>
            <w:r w:rsidRPr="00FC3309">
              <w:rPr>
                <w:rFonts w:ascii="Arial" w:hAnsi="Arial" w:cs="Arial"/>
                <w:b/>
                <w:bCs/>
              </w:rPr>
              <w:t>(5)</w:t>
            </w:r>
          </w:p>
        </w:tc>
        <w:tc>
          <w:tcPr>
            <w:tcW w:w="1985" w:type="dxa"/>
            <w:tcBorders>
              <w:top w:val="nil"/>
              <w:left w:val="nil"/>
              <w:bottom w:val="single" w:sz="4" w:space="0" w:color="auto"/>
              <w:right w:val="single" w:sz="4" w:space="0" w:color="000000"/>
            </w:tcBorders>
            <w:vAlign w:val="bottom"/>
          </w:tcPr>
          <w:p w14:paraId="40DE279D" w14:textId="77777777" w:rsidR="00F554E7" w:rsidRPr="00FC3309" w:rsidRDefault="00F554E7" w:rsidP="00B80789">
            <w:pPr>
              <w:jc w:val="center"/>
              <w:rPr>
                <w:rFonts w:ascii="Arial" w:hAnsi="Arial" w:cs="Arial"/>
                <w:b/>
                <w:bCs/>
              </w:rPr>
            </w:pPr>
            <w:r w:rsidRPr="00FC3309">
              <w:rPr>
                <w:rFonts w:ascii="Arial" w:hAnsi="Arial" w:cs="Arial"/>
                <w:b/>
                <w:bCs/>
              </w:rPr>
              <w:t>(6)</w:t>
            </w:r>
          </w:p>
        </w:tc>
        <w:tc>
          <w:tcPr>
            <w:tcW w:w="1984" w:type="dxa"/>
            <w:tcBorders>
              <w:top w:val="nil"/>
              <w:left w:val="nil"/>
              <w:bottom w:val="single" w:sz="4" w:space="0" w:color="auto"/>
              <w:right w:val="single" w:sz="4" w:space="0" w:color="000000"/>
            </w:tcBorders>
            <w:vAlign w:val="bottom"/>
          </w:tcPr>
          <w:p w14:paraId="25A290BF" w14:textId="77777777" w:rsidR="00F554E7" w:rsidRPr="00FC3309" w:rsidRDefault="00F554E7" w:rsidP="00B80789">
            <w:pPr>
              <w:jc w:val="center"/>
              <w:rPr>
                <w:rFonts w:ascii="Arial" w:hAnsi="Arial" w:cs="Arial"/>
                <w:b/>
                <w:bCs/>
              </w:rPr>
            </w:pPr>
            <w:r w:rsidRPr="00FC3309">
              <w:rPr>
                <w:rFonts w:ascii="Arial" w:hAnsi="Arial" w:cs="Arial"/>
                <w:b/>
                <w:bCs/>
              </w:rPr>
              <w:t>(7)</w:t>
            </w:r>
          </w:p>
        </w:tc>
      </w:tr>
      <w:tr w:rsidR="00F554E7" w:rsidRPr="00FC3309" w14:paraId="76F88BF3" w14:textId="77777777" w:rsidTr="00B80789">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9A2A5" w14:textId="77777777" w:rsidR="00F554E7" w:rsidRPr="00CD2107" w:rsidRDefault="00F554E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FA15428" w14:textId="77777777" w:rsidR="00F554E7" w:rsidRPr="00CD2107" w:rsidRDefault="00F554E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noWrap/>
            <w:vAlign w:val="bottom"/>
          </w:tcPr>
          <w:p w14:paraId="5B264F8E" w14:textId="77777777" w:rsidR="00F554E7" w:rsidRPr="00CD2107" w:rsidRDefault="00F554E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7C6F04C" w14:textId="77777777" w:rsidR="00F554E7" w:rsidRPr="00CD2107" w:rsidRDefault="00F554E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55FD7B29" w14:textId="77777777" w:rsidR="00F554E7" w:rsidRPr="00CD2107" w:rsidRDefault="00F554E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786AAEC8" w14:textId="77777777" w:rsidR="00F554E7" w:rsidRPr="00CD2107" w:rsidRDefault="00F554E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2FC01529" w14:textId="77777777" w:rsidR="00F554E7" w:rsidRPr="00CD2107" w:rsidRDefault="00F554E7" w:rsidP="00B80789">
            <w:pPr>
              <w:jc w:val="center"/>
              <w:rPr>
                <w:rFonts w:ascii="Arial" w:hAnsi="Arial" w:cs="Arial"/>
              </w:rPr>
            </w:pPr>
          </w:p>
        </w:tc>
      </w:tr>
      <w:tr w:rsidR="00F554E7" w:rsidRPr="00FC3309" w14:paraId="14FA9B39" w14:textId="77777777" w:rsidTr="00B80789">
        <w:trPr>
          <w:trHeight w:val="317"/>
        </w:trPr>
        <w:tc>
          <w:tcPr>
            <w:tcW w:w="59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1DE31D" w14:textId="77777777" w:rsidR="00F554E7" w:rsidRPr="00D1300B" w:rsidRDefault="00F554E7" w:rsidP="00B80789">
            <w:pPr>
              <w:jc w:val="center"/>
              <w:rPr>
                <w:rFonts w:ascii="Arial" w:hAnsi="Arial" w:cs="Arial"/>
              </w:rPr>
            </w:pPr>
            <w:r>
              <w:rPr>
                <w:rFonts w:ascii="Arial" w:hAnsi="Arial" w:cs="Arial"/>
              </w:rPr>
              <w:t>Total</w:t>
            </w:r>
          </w:p>
        </w:tc>
        <w:tc>
          <w:tcPr>
            <w:tcW w:w="1985" w:type="dxa"/>
            <w:tcBorders>
              <w:top w:val="single" w:sz="4" w:space="0" w:color="auto"/>
              <w:left w:val="nil"/>
              <w:bottom w:val="single" w:sz="4" w:space="0" w:color="auto"/>
              <w:right w:val="single" w:sz="4" w:space="0" w:color="auto"/>
            </w:tcBorders>
            <w:shd w:val="clear" w:color="auto" w:fill="A6A6A6"/>
            <w:vAlign w:val="bottom"/>
          </w:tcPr>
          <w:p w14:paraId="6D9E907F" w14:textId="77777777" w:rsidR="00F554E7" w:rsidRPr="00CD2107" w:rsidRDefault="00F554E7" w:rsidP="00B80789">
            <w:pPr>
              <w:jc w:val="center"/>
              <w:rPr>
                <w:rFonts w:ascii="Arial" w:hAnsi="Arial" w:cs="Arial"/>
              </w:rPr>
            </w:pPr>
          </w:p>
        </w:tc>
        <w:tc>
          <w:tcPr>
            <w:tcW w:w="1984" w:type="dxa"/>
            <w:tcBorders>
              <w:top w:val="single" w:sz="4" w:space="0" w:color="auto"/>
              <w:left w:val="nil"/>
            </w:tcBorders>
            <w:vAlign w:val="bottom"/>
          </w:tcPr>
          <w:p w14:paraId="771A447B" w14:textId="77777777" w:rsidR="00F554E7" w:rsidRPr="00CD2107" w:rsidRDefault="00F554E7" w:rsidP="00B80789">
            <w:pPr>
              <w:jc w:val="center"/>
              <w:rPr>
                <w:rFonts w:ascii="Arial" w:hAnsi="Arial" w:cs="Arial"/>
              </w:rPr>
            </w:pPr>
          </w:p>
        </w:tc>
        <w:tc>
          <w:tcPr>
            <w:tcW w:w="1985" w:type="dxa"/>
            <w:tcBorders>
              <w:top w:val="single" w:sz="4" w:space="0" w:color="auto"/>
              <w:right w:val="single" w:sz="4" w:space="0" w:color="auto"/>
            </w:tcBorders>
            <w:vAlign w:val="bottom"/>
          </w:tcPr>
          <w:p w14:paraId="45C215B3" w14:textId="77777777" w:rsidR="00F554E7" w:rsidRPr="00CD2107" w:rsidRDefault="00F554E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41C746F9" w14:textId="77777777" w:rsidR="00F554E7" w:rsidRPr="00CD2107" w:rsidRDefault="00F554E7" w:rsidP="00B80789">
            <w:pPr>
              <w:jc w:val="center"/>
              <w:rPr>
                <w:rFonts w:ascii="Arial" w:hAnsi="Arial" w:cs="Arial"/>
              </w:rPr>
            </w:pPr>
          </w:p>
        </w:tc>
      </w:tr>
    </w:tbl>
    <w:p w14:paraId="6D21883C" w14:textId="77777777" w:rsidR="00F554E7" w:rsidRDefault="00F554E7" w:rsidP="00F554E7">
      <w:pPr>
        <w:rPr>
          <w:rFonts w:ascii="Arial" w:hAnsi="Arial" w:cs="Arial"/>
        </w:rPr>
      </w:pPr>
    </w:p>
    <w:tbl>
      <w:tblPr>
        <w:tblW w:w="13892" w:type="dxa"/>
        <w:tblInd w:w="108" w:type="dxa"/>
        <w:tblLook w:val="04A0" w:firstRow="1" w:lastRow="0" w:firstColumn="1" w:lastColumn="0" w:noHBand="0" w:noVBand="1"/>
      </w:tblPr>
      <w:tblGrid>
        <w:gridCol w:w="13892"/>
      </w:tblGrid>
      <w:tr w:rsidR="00F554E7" w:rsidRPr="00FC3309" w14:paraId="1D51CCFF" w14:textId="77777777" w:rsidTr="00B80789">
        <w:tc>
          <w:tcPr>
            <w:tcW w:w="8789" w:type="dxa"/>
          </w:tcPr>
          <w:p w14:paraId="3A745E48" w14:textId="55B10F58" w:rsidR="00F554E7" w:rsidRPr="00FC3309" w:rsidRDefault="00A063AF" w:rsidP="00F554E7">
            <w:pPr>
              <w:numPr>
                <w:ilvl w:val="0"/>
                <w:numId w:val="45"/>
              </w:numPr>
              <w:rPr>
                <w:rFonts w:ascii="Arial" w:hAnsi="Arial" w:cs="Arial"/>
                <w:b/>
                <w:bCs/>
                <w:sz w:val="24"/>
                <w:szCs w:val="24"/>
              </w:rPr>
            </w:pPr>
            <w:r>
              <w:rPr>
                <w:rFonts w:ascii="Arial" w:hAnsi="Arial" w:cs="Arial"/>
                <w:b/>
                <w:bCs/>
                <w:sz w:val="24"/>
                <w:szCs w:val="24"/>
              </w:rPr>
              <w:t xml:space="preserve">2. </w:t>
            </w:r>
            <w:r w:rsidR="00F554E7" w:rsidRPr="00D03E14">
              <w:rPr>
                <w:rFonts w:ascii="Arial" w:hAnsi="Arial" w:cs="Arial"/>
                <w:b/>
                <w:bCs/>
                <w:sz w:val="24"/>
                <w:szCs w:val="24"/>
              </w:rPr>
              <w:t>Non-APRA regulated</w:t>
            </w:r>
          </w:p>
        </w:tc>
      </w:tr>
    </w:tbl>
    <w:p w14:paraId="66320822" w14:textId="77777777" w:rsidR="00F554E7" w:rsidRDefault="00F554E7" w:rsidP="00F554E7">
      <w:pPr>
        <w:rPr>
          <w:rFonts w:ascii="Arial" w:hAnsi="Arial" w:cs="Arial"/>
        </w:rPr>
      </w:pPr>
    </w:p>
    <w:tbl>
      <w:tblPr>
        <w:tblW w:w="13892" w:type="dxa"/>
        <w:tblInd w:w="108" w:type="dxa"/>
        <w:tblLook w:val="04A0" w:firstRow="1" w:lastRow="0" w:firstColumn="1" w:lastColumn="0" w:noHBand="0" w:noVBand="1"/>
      </w:tblPr>
      <w:tblGrid>
        <w:gridCol w:w="13892"/>
      </w:tblGrid>
      <w:tr w:rsidR="00F554E7" w:rsidRPr="00FC3309" w14:paraId="43AEEDB1" w14:textId="77777777" w:rsidTr="00B80789">
        <w:trPr>
          <w:trHeight w:val="95"/>
        </w:trPr>
        <w:tc>
          <w:tcPr>
            <w:tcW w:w="8804" w:type="dxa"/>
          </w:tcPr>
          <w:p w14:paraId="286EF4B8" w14:textId="29C59A19" w:rsidR="00F554E7" w:rsidRPr="00E25501" w:rsidRDefault="00A063AF" w:rsidP="00F554E7">
            <w:pPr>
              <w:numPr>
                <w:ilvl w:val="1"/>
                <w:numId w:val="45"/>
              </w:numPr>
              <w:ind w:hanging="250"/>
              <w:rPr>
                <w:rFonts w:ascii="Arial" w:hAnsi="Arial" w:cs="Arial"/>
                <w:b/>
                <w:bCs/>
                <w:sz w:val="24"/>
                <w:szCs w:val="24"/>
              </w:rPr>
            </w:pPr>
            <w:r>
              <w:rPr>
                <w:rFonts w:ascii="Arial" w:hAnsi="Arial" w:cs="Arial"/>
                <w:b/>
                <w:bCs/>
                <w:sz w:val="24"/>
                <w:szCs w:val="24"/>
              </w:rPr>
              <w:t xml:space="preserve">2.1. </w:t>
            </w:r>
            <w:r w:rsidR="00F554E7" w:rsidRPr="00E25501">
              <w:rPr>
                <w:rFonts w:ascii="Arial" w:hAnsi="Arial" w:cs="Arial"/>
                <w:b/>
                <w:bCs/>
                <w:sz w:val="24"/>
                <w:szCs w:val="24"/>
              </w:rPr>
              <w:t>100 per cent and top cover</w:t>
            </w:r>
          </w:p>
        </w:tc>
      </w:tr>
    </w:tbl>
    <w:p w14:paraId="28E177A5" w14:textId="77777777" w:rsidR="00F554E7" w:rsidRDefault="00F554E7" w:rsidP="00F554E7">
      <w:pPr>
        <w:rPr>
          <w:rFonts w:ascii="Arial" w:hAnsi="Arial" w:cs="Arial"/>
        </w:rPr>
      </w:pPr>
    </w:p>
    <w:tbl>
      <w:tblPr>
        <w:tblW w:w="13892" w:type="dxa"/>
        <w:tblInd w:w="93" w:type="dxa"/>
        <w:tblLayout w:type="fixed"/>
        <w:tblLook w:val="04A0" w:firstRow="1" w:lastRow="0" w:firstColumn="1" w:lastColumn="0" w:noHBand="0" w:noVBand="1"/>
      </w:tblPr>
      <w:tblGrid>
        <w:gridCol w:w="1157"/>
        <w:gridCol w:w="1158"/>
        <w:gridCol w:w="1157"/>
        <w:gridCol w:w="1158"/>
        <w:gridCol w:w="1157"/>
        <w:gridCol w:w="1158"/>
        <w:gridCol w:w="1157"/>
        <w:gridCol w:w="1158"/>
        <w:gridCol w:w="1158"/>
        <w:gridCol w:w="1158"/>
        <w:gridCol w:w="1158"/>
        <w:gridCol w:w="1158"/>
      </w:tblGrid>
      <w:tr w:rsidR="00F554E7" w:rsidRPr="00FC3309" w14:paraId="65A1105A" w14:textId="77777777" w:rsidTr="00B80789">
        <w:trPr>
          <w:trHeight w:val="317"/>
        </w:trPr>
        <w:tc>
          <w:tcPr>
            <w:tcW w:w="1157" w:type="dxa"/>
            <w:vMerge w:val="restart"/>
            <w:tcBorders>
              <w:top w:val="single" w:sz="4" w:space="0" w:color="auto"/>
              <w:left w:val="single" w:sz="4" w:space="0" w:color="auto"/>
              <w:right w:val="single" w:sz="4" w:space="0" w:color="auto"/>
            </w:tcBorders>
            <w:shd w:val="clear" w:color="auto" w:fill="auto"/>
            <w:vAlign w:val="bottom"/>
          </w:tcPr>
          <w:p w14:paraId="6CB7AE56" w14:textId="77777777" w:rsidR="00F554E7" w:rsidRDefault="00F554E7" w:rsidP="00B80789">
            <w:pPr>
              <w:jc w:val="center"/>
              <w:rPr>
                <w:rFonts w:ascii="Arial" w:hAnsi="Arial" w:cs="Arial"/>
                <w:b/>
                <w:bCs/>
              </w:rPr>
            </w:pPr>
            <w:r>
              <w:rPr>
                <w:rFonts w:ascii="Arial" w:hAnsi="Arial" w:cs="Arial"/>
                <w:b/>
                <w:bCs/>
              </w:rPr>
              <w:t>LVR greater than (%)</w:t>
            </w:r>
          </w:p>
        </w:tc>
        <w:tc>
          <w:tcPr>
            <w:tcW w:w="1158" w:type="dxa"/>
            <w:vMerge w:val="restart"/>
            <w:tcBorders>
              <w:top w:val="single" w:sz="4" w:space="0" w:color="auto"/>
              <w:left w:val="nil"/>
              <w:right w:val="single" w:sz="4" w:space="0" w:color="auto"/>
            </w:tcBorders>
            <w:shd w:val="clear" w:color="auto" w:fill="auto"/>
            <w:vAlign w:val="bottom"/>
          </w:tcPr>
          <w:p w14:paraId="5DA7F853" w14:textId="77777777" w:rsidR="00F554E7" w:rsidRDefault="00F554E7" w:rsidP="00B80789">
            <w:pPr>
              <w:jc w:val="center"/>
              <w:rPr>
                <w:rFonts w:ascii="Arial" w:hAnsi="Arial" w:cs="Arial"/>
                <w:b/>
                <w:bCs/>
              </w:rPr>
            </w:pPr>
            <w:r>
              <w:rPr>
                <w:rFonts w:ascii="Arial" w:hAnsi="Arial" w:cs="Arial"/>
                <w:b/>
                <w:bCs/>
              </w:rPr>
              <w:t>LVR less than or equal to (%)</w:t>
            </w:r>
          </w:p>
        </w:tc>
        <w:tc>
          <w:tcPr>
            <w:tcW w:w="1157" w:type="dxa"/>
            <w:vMerge w:val="restart"/>
            <w:tcBorders>
              <w:top w:val="single" w:sz="4" w:space="0" w:color="auto"/>
              <w:left w:val="nil"/>
              <w:right w:val="single" w:sz="4" w:space="0" w:color="auto"/>
            </w:tcBorders>
            <w:shd w:val="clear" w:color="auto" w:fill="auto"/>
            <w:vAlign w:val="bottom"/>
          </w:tcPr>
          <w:p w14:paraId="0FEE7553" w14:textId="77777777" w:rsidR="00F554E7" w:rsidRDefault="00F554E7" w:rsidP="00B80789">
            <w:pPr>
              <w:jc w:val="center"/>
              <w:rPr>
                <w:rFonts w:ascii="Arial" w:hAnsi="Arial" w:cs="Arial"/>
                <w:b/>
                <w:bCs/>
              </w:rPr>
            </w:pPr>
            <w:r>
              <w:rPr>
                <w:rFonts w:ascii="Arial" w:hAnsi="Arial" w:cs="Arial"/>
                <w:b/>
                <w:bCs/>
              </w:rPr>
              <w:t>Coverage proportion (%)</w:t>
            </w:r>
          </w:p>
        </w:tc>
        <w:tc>
          <w:tcPr>
            <w:tcW w:w="4630" w:type="dxa"/>
            <w:gridSpan w:val="4"/>
            <w:tcBorders>
              <w:top w:val="single" w:sz="4" w:space="0" w:color="auto"/>
              <w:left w:val="nil"/>
              <w:bottom w:val="nil"/>
              <w:right w:val="single" w:sz="4" w:space="0" w:color="000000"/>
            </w:tcBorders>
            <w:shd w:val="clear" w:color="auto" w:fill="auto"/>
            <w:vAlign w:val="bottom"/>
          </w:tcPr>
          <w:p w14:paraId="4A17BD94" w14:textId="77777777" w:rsidR="00F554E7" w:rsidRPr="00FC3309" w:rsidRDefault="00F554E7" w:rsidP="00B80789">
            <w:pPr>
              <w:jc w:val="center"/>
              <w:rPr>
                <w:rFonts w:ascii="Arial" w:hAnsi="Arial" w:cs="Arial"/>
                <w:b/>
                <w:bCs/>
              </w:rPr>
            </w:pPr>
            <w:r>
              <w:rPr>
                <w:rFonts w:ascii="Arial" w:hAnsi="Arial" w:cs="Arial"/>
                <w:b/>
                <w:bCs/>
              </w:rPr>
              <w:t>Age</w:t>
            </w:r>
          </w:p>
        </w:tc>
        <w:tc>
          <w:tcPr>
            <w:tcW w:w="1158" w:type="dxa"/>
            <w:vMerge w:val="restart"/>
            <w:tcBorders>
              <w:top w:val="single" w:sz="4" w:space="0" w:color="auto"/>
              <w:left w:val="nil"/>
              <w:right w:val="single" w:sz="4" w:space="0" w:color="000000"/>
            </w:tcBorders>
            <w:vAlign w:val="bottom"/>
          </w:tcPr>
          <w:p w14:paraId="0BD0BB19" w14:textId="77777777" w:rsidR="00F554E7" w:rsidRPr="00FC3309" w:rsidRDefault="00F554E7" w:rsidP="00B80789">
            <w:pPr>
              <w:jc w:val="center"/>
              <w:rPr>
                <w:rFonts w:ascii="Arial" w:hAnsi="Arial" w:cs="Arial"/>
                <w:b/>
                <w:bCs/>
              </w:rPr>
            </w:pPr>
            <w:r w:rsidRPr="0045317D">
              <w:rPr>
                <w:rFonts w:ascii="Arial" w:hAnsi="Arial" w:cs="Arial"/>
                <w:b/>
                <w:bCs/>
              </w:rPr>
              <w:t>Total sum insured</w:t>
            </w:r>
          </w:p>
        </w:tc>
        <w:tc>
          <w:tcPr>
            <w:tcW w:w="1158" w:type="dxa"/>
            <w:vMerge w:val="restart"/>
            <w:tcBorders>
              <w:top w:val="single" w:sz="4" w:space="0" w:color="auto"/>
              <w:left w:val="nil"/>
              <w:right w:val="single" w:sz="4" w:space="0" w:color="000000"/>
            </w:tcBorders>
            <w:vAlign w:val="bottom"/>
          </w:tcPr>
          <w:p w14:paraId="61A669E0" w14:textId="77777777" w:rsidR="00F554E7" w:rsidRPr="00FC3309" w:rsidRDefault="00F554E7" w:rsidP="00B80789">
            <w:pPr>
              <w:jc w:val="center"/>
              <w:rPr>
                <w:rFonts w:ascii="Arial" w:hAnsi="Arial" w:cs="Arial"/>
                <w:b/>
                <w:bCs/>
              </w:rPr>
            </w:pPr>
            <w:r w:rsidRPr="0045317D">
              <w:rPr>
                <w:rFonts w:ascii="Arial" w:hAnsi="Arial" w:cs="Arial"/>
                <w:b/>
                <w:bCs/>
              </w:rPr>
              <w:t>PD factor</w:t>
            </w:r>
          </w:p>
        </w:tc>
        <w:tc>
          <w:tcPr>
            <w:tcW w:w="1158" w:type="dxa"/>
            <w:vMerge w:val="restart"/>
            <w:tcBorders>
              <w:top w:val="single" w:sz="4" w:space="0" w:color="auto"/>
              <w:left w:val="nil"/>
              <w:right w:val="single" w:sz="4" w:space="0" w:color="000000"/>
            </w:tcBorders>
            <w:vAlign w:val="bottom"/>
          </w:tcPr>
          <w:p w14:paraId="48388E44" w14:textId="77777777" w:rsidR="00F554E7" w:rsidRPr="0045317D" w:rsidRDefault="00F554E7" w:rsidP="00B80789">
            <w:pPr>
              <w:jc w:val="center"/>
              <w:rPr>
                <w:rFonts w:ascii="Arial" w:hAnsi="Arial" w:cs="Arial"/>
                <w:b/>
                <w:bCs/>
              </w:rPr>
            </w:pPr>
            <w:r w:rsidRPr="0045317D">
              <w:rPr>
                <w:rFonts w:ascii="Arial" w:hAnsi="Arial" w:cs="Arial"/>
                <w:b/>
                <w:bCs/>
              </w:rPr>
              <w:t>LGD factor</w:t>
            </w:r>
          </w:p>
          <w:p w14:paraId="3CB6A304" w14:textId="77777777" w:rsidR="00F554E7" w:rsidRPr="00FC3309" w:rsidRDefault="00F554E7" w:rsidP="00B80789">
            <w:pPr>
              <w:jc w:val="center"/>
              <w:rPr>
                <w:rFonts w:ascii="Arial" w:hAnsi="Arial" w:cs="Arial"/>
                <w:b/>
                <w:bCs/>
              </w:rPr>
            </w:pPr>
            <w:r>
              <w:rPr>
                <w:rFonts w:ascii="Arial" w:hAnsi="Arial" w:cs="Arial"/>
                <w:b/>
                <w:bCs/>
              </w:rPr>
              <w:t>(100% cover)</w:t>
            </w:r>
          </w:p>
        </w:tc>
        <w:tc>
          <w:tcPr>
            <w:tcW w:w="1158" w:type="dxa"/>
            <w:vMerge w:val="restart"/>
            <w:tcBorders>
              <w:top w:val="single" w:sz="4" w:space="0" w:color="auto"/>
              <w:left w:val="nil"/>
              <w:right w:val="single" w:sz="4" w:space="0" w:color="000000"/>
            </w:tcBorders>
            <w:vAlign w:val="bottom"/>
          </w:tcPr>
          <w:p w14:paraId="4598A1E6" w14:textId="77777777" w:rsidR="00F554E7" w:rsidRPr="0045317D" w:rsidRDefault="00F554E7" w:rsidP="00B80789">
            <w:pPr>
              <w:jc w:val="center"/>
              <w:rPr>
                <w:rFonts w:ascii="Arial" w:hAnsi="Arial" w:cs="Arial"/>
                <w:b/>
                <w:bCs/>
              </w:rPr>
            </w:pPr>
            <w:r w:rsidRPr="0045317D">
              <w:rPr>
                <w:rFonts w:ascii="Arial" w:hAnsi="Arial" w:cs="Arial"/>
                <w:b/>
                <w:bCs/>
              </w:rPr>
              <w:t>LGD factor</w:t>
            </w:r>
          </w:p>
          <w:p w14:paraId="0B87DF68" w14:textId="77777777" w:rsidR="00F554E7" w:rsidRPr="00FC3309" w:rsidRDefault="00F554E7" w:rsidP="00B80789">
            <w:pPr>
              <w:jc w:val="center"/>
              <w:rPr>
                <w:rFonts w:ascii="Arial" w:hAnsi="Arial" w:cs="Arial"/>
                <w:b/>
                <w:bCs/>
              </w:rPr>
            </w:pPr>
            <w:r>
              <w:rPr>
                <w:rFonts w:ascii="Arial" w:hAnsi="Arial" w:cs="Arial"/>
                <w:b/>
                <w:bCs/>
              </w:rPr>
              <w:t>(top cover)</w:t>
            </w:r>
          </w:p>
        </w:tc>
        <w:tc>
          <w:tcPr>
            <w:tcW w:w="1158" w:type="dxa"/>
            <w:vMerge w:val="restart"/>
            <w:tcBorders>
              <w:top w:val="single" w:sz="4" w:space="0" w:color="auto"/>
              <w:left w:val="nil"/>
              <w:right w:val="single" w:sz="4" w:space="0" w:color="000000"/>
            </w:tcBorders>
            <w:vAlign w:val="bottom"/>
          </w:tcPr>
          <w:p w14:paraId="76924D01" w14:textId="77777777" w:rsidR="00F554E7" w:rsidRPr="00FC3309" w:rsidRDefault="00F554E7" w:rsidP="00B80789">
            <w:pPr>
              <w:jc w:val="center"/>
              <w:rPr>
                <w:rFonts w:ascii="Arial" w:hAnsi="Arial" w:cs="Arial"/>
                <w:b/>
                <w:bCs/>
              </w:rPr>
            </w:pPr>
            <w:r>
              <w:rPr>
                <w:rFonts w:ascii="Arial" w:hAnsi="Arial" w:cs="Arial"/>
                <w:b/>
                <w:bCs/>
              </w:rPr>
              <w:t>PML</w:t>
            </w:r>
          </w:p>
        </w:tc>
      </w:tr>
      <w:tr w:rsidR="00F554E7" w:rsidRPr="00FC3309" w14:paraId="20FC5331" w14:textId="77777777" w:rsidTr="00B80789">
        <w:trPr>
          <w:trHeight w:val="317"/>
        </w:trPr>
        <w:tc>
          <w:tcPr>
            <w:tcW w:w="1157" w:type="dxa"/>
            <w:vMerge/>
            <w:tcBorders>
              <w:left w:val="single" w:sz="4" w:space="0" w:color="auto"/>
              <w:bottom w:val="nil"/>
              <w:right w:val="single" w:sz="4" w:space="0" w:color="auto"/>
            </w:tcBorders>
            <w:shd w:val="clear" w:color="auto" w:fill="auto"/>
            <w:vAlign w:val="bottom"/>
            <w:hideMark/>
          </w:tcPr>
          <w:p w14:paraId="6EFD4999"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auto"/>
            </w:tcBorders>
            <w:shd w:val="clear" w:color="auto" w:fill="auto"/>
            <w:vAlign w:val="bottom"/>
            <w:hideMark/>
          </w:tcPr>
          <w:p w14:paraId="05FD6AEC" w14:textId="77777777" w:rsidR="00F554E7" w:rsidRPr="00FC3309" w:rsidRDefault="00F554E7" w:rsidP="00B80789">
            <w:pPr>
              <w:jc w:val="center"/>
              <w:rPr>
                <w:rFonts w:ascii="Arial" w:hAnsi="Arial" w:cs="Arial"/>
                <w:b/>
                <w:bCs/>
              </w:rPr>
            </w:pPr>
          </w:p>
        </w:tc>
        <w:tc>
          <w:tcPr>
            <w:tcW w:w="1157" w:type="dxa"/>
            <w:vMerge/>
            <w:tcBorders>
              <w:left w:val="nil"/>
              <w:bottom w:val="nil"/>
              <w:right w:val="single" w:sz="4" w:space="0" w:color="auto"/>
            </w:tcBorders>
            <w:shd w:val="clear" w:color="auto" w:fill="auto"/>
            <w:vAlign w:val="bottom"/>
            <w:hideMark/>
          </w:tcPr>
          <w:p w14:paraId="65FB886B" w14:textId="77777777" w:rsidR="00F554E7" w:rsidRPr="00FC3309" w:rsidRDefault="00F554E7" w:rsidP="00B80789">
            <w:pPr>
              <w:rPr>
                <w:rFonts w:ascii="Arial" w:hAnsi="Arial" w:cs="Arial"/>
                <w:b/>
                <w:bCs/>
              </w:rPr>
            </w:pPr>
          </w:p>
        </w:tc>
        <w:tc>
          <w:tcPr>
            <w:tcW w:w="1158" w:type="dxa"/>
            <w:tcBorders>
              <w:top w:val="single" w:sz="4" w:space="0" w:color="auto"/>
              <w:left w:val="nil"/>
              <w:bottom w:val="nil"/>
              <w:right w:val="single" w:sz="4" w:space="0" w:color="000000"/>
            </w:tcBorders>
            <w:shd w:val="clear" w:color="auto" w:fill="auto"/>
            <w:vAlign w:val="bottom"/>
            <w:hideMark/>
          </w:tcPr>
          <w:p w14:paraId="7DAD62E9" w14:textId="77777777" w:rsidR="00F554E7" w:rsidRPr="00FC3309" w:rsidRDefault="00F554E7" w:rsidP="00B80789">
            <w:pPr>
              <w:jc w:val="center"/>
              <w:rPr>
                <w:rFonts w:ascii="Arial" w:hAnsi="Arial" w:cs="Arial"/>
                <w:b/>
                <w:bCs/>
              </w:rPr>
            </w:pPr>
            <w:r w:rsidRPr="0045317D">
              <w:rPr>
                <w:rFonts w:ascii="Arial" w:hAnsi="Arial" w:cs="Arial"/>
                <w:b/>
                <w:bCs/>
              </w:rPr>
              <w:t>&lt; 3 years</w:t>
            </w:r>
          </w:p>
        </w:tc>
        <w:tc>
          <w:tcPr>
            <w:tcW w:w="1157" w:type="dxa"/>
            <w:tcBorders>
              <w:top w:val="single" w:sz="4" w:space="0" w:color="auto"/>
              <w:left w:val="nil"/>
              <w:bottom w:val="nil"/>
              <w:right w:val="single" w:sz="4" w:space="0" w:color="000000"/>
            </w:tcBorders>
            <w:vAlign w:val="bottom"/>
          </w:tcPr>
          <w:p w14:paraId="7FB87003" w14:textId="77777777" w:rsidR="00F554E7" w:rsidRPr="00FC3309" w:rsidRDefault="00F554E7" w:rsidP="00B80789">
            <w:pPr>
              <w:jc w:val="center"/>
              <w:rPr>
                <w:rFonts w:ascii="Arial" w:hAnsi="Arial" w:cs="Arial"/>
                <w:b/>
                <w:bCs/>
              </w:rPr>
            </w:pPr>
            <w:r w:rsidRPr="0045317D">
              <w:rPr>
                <w:rFonts w:ascii="Arial" w:hAnsi="Arial" w:cs="Arial"/>
                <w:b/>
                <w:bCs/>
              </w:rPr>
              <w:t>3 &lt; 5 years</w:t>
            </w:r>
          </w:p>
        </w:tc>
        <w:tc>
          <w:tcPr>
            <w:tcW w:w="1158" w:type="dxa"/>
            <w:tcBorders>
              <w:top w:val="single" w:sz="4" w:space="0" w:color="auto"/>
              <w:left w:val="nil"/>
              <w:bottom w:val="nil"/>
              <w:right w:val="single" w:sz="4" w:space="0" w:color="000000"/>
            </w:tcBorders>
            <w:vAlign w:val="bottom"/>
          </w:tcPr>
          <w:p w14:paraId="61AE2E88" w14:textId="77777777" w:rsidR="00F554E7" w:rsidRPr="00FC3309" w:rsidRDefault="00F554E7" w:rsidP="00B80789">
            <w:pPr>
              <w:jc w:val="center"/>
              <w:rPr>
                <w:rFonts w:ascii="Arial" w:hAnsi="Arial" w:cs="Arial"/>
                <w:b/>
                <w:bCs/>
              </w:rPr>
            </w:pPr>
            <w:r w:rsidRPr="0045317D">
              <w:rPr>
                <w:rFonts w:ascii="Arial" w:hAnsi="Arial" w:cs="Arial"/>
                <w:b/>
                <w:bCs/>
              </w:rPr>
              <w:t>5 &lt; 10 years</w:t>
            </w:r>
          </w:p>
        </w:tc>
        <w:tc>
          <w:tcPr>
            <w:tcW w:w="1157" w:type="dxa"/>
            <w:tcBorders>
              <w:top w:val="single" w:sz="4" w:space="0" w:color="auto"/>
              <w:left w:val="nil"/>
              <w:bottom w:val="nil"/>
              <w:right w:val="single" w:sz="4" w:space="0" w:color="000000"/>
            </w:tcBorders>
            <w:vAlign w:val="bottom"/>
          </w:tcPr>
          <w:p w14:paraId="723BF297" w14:textId="77777777" w:rsidR="00F554E7" w:rsidRPr="00FC3309" w:rsidRDefault="00F554E7" w:rsidP="00B80789">
            <w:pPr>
              <w:jc w:val="center"/>
              <w:rPr>
                <w:rFonts w:ascii="Arial" w:hAnsi="Arial" w:cs="Arial"/>
                <w:b/>
                <w:bCs/>
              </w:rPr>
            </w:pPr>
            <w:r w:rsidRPr="0045317D">
              <w:rPr>
                <w:rFonts w:ascii="Arial" w:hAnsi="Arial" w:cs="Arial"/>
                <w:b/>
                <w:bCs/>
              </w:rPr>
              <w:t>&gt;= 10 years</w:t>
            </w:r>
          </w:p>
        </w:tc>
        <w:tc>
          <w:tcPr>
            <w:tcW w:w="1158" w:type="dxa"/>
            <w:vMerge/>
            <w:tcBorders>
              <w:left w:val="nil"/>
              <w:bottom w:val="nil"/>
              <w:right w:val="single" w:sz="4" w:space="0" w:color="000000"/>
            </w:tcBorders>
            <w:vAlign w:val="bottom"/>
          </w:tcPr>
          <w:p w14:paraId="00D68D3C"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000000"/>
            </w:tcBorders>
            <w:vAlign w:val="bottom"/>
          </w:tcPr>
          <w:p w14:paraId="41F4EC5F"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000000"/>
            </w:tcBorders>
          </w:tcPr>
          <w:p w14:paraId="6C1CCD7B"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000000"/>
            </w:tcBorders>
          </w:tcPr>
          <w:p w14:paraId="2803CC3D" w14:textId="77777777" w:rsidR="00F554E7" w:rsidRPr="00FC3309" w:rsidRDefault="00F554E7" w:rsidP="00B80789">
            <w:pPr>
              <w:jc w:val="center"/>
              <w:rPr>
                <w:rFonts w:ascii="Arial" w:hAnsi="Arial" w:cs="Arial"/>
                <w:b/>
                <w:bCs/>
              </w:rPr>
            </w:pPr>
          </w:p>
        </w:tc>
        <w:tc>
          <w:tcPr>
            <w:tcW w:w="1158" w:type="dxa"/>
            <w:vMerge/>
            <w:tcBorders>
              <w:left w:val="nil"/>
              <w:bottom w:val="nil"/>
              <w:right w:val="single" w:sz="4" w:space="0" w:color="000000"/>
            </w:tcBorders>
          </w:tcPr>
          <w:p w14:paraId="34BF1102" w14:textId="77777777" w:rsidR="00F554E7" w:rsidRPr="00FC3309" w:rsidRDefault="00F554E7" w:rsidP="00B80789">
            <w:pPr>
              <w:rPr>
                <w:rFonts w:ascii="Arial" w:hAnsi="Arial" w:cs="Arial"/>
                <w:b/>
                <w:bCs/>
              </w:rPr>
            </w:pPr>
          </w:p>
        </w:tc>
      </w:tr>
      <w:tr w:rsidR="00F554E7" w:rsidRPr="00FC3309" w14:paraId="59DF43F1" w14:textId="77777777" w:rsidTr="00B80789">
        <w:trPr>
          <w:trHeight w:val="317"/>
        </w:trPr>
        <w:tc>
          <w:tcPr>
            <w:tcW w:w="1157" w:type="dxa"/>
            <w:tcBorders>
              <w:top w:val="nil"/>
              <w:left w:val="single" w:sz="4" w:space="0" w:color="auto"/>
              <w:bottom w:val="single" w:sz="4" w:space="0" w:color="auto"/>
              <w:right w:val="single" w:sz="4" w:space="0" w:color="auto"/>
            </w:tcBorders>
            <w:shd w:val="clear" w:color="auto" w:fill="auto"/>
            <w:vAlign w:val="bottom"/>
            <w:hideMark/>
          </w:tcPr>
          <w:p w14:paraId="0B1053FF" w14:textId="77777777" w:rsidR="00F554E7" w:rsidRPr="00FC3309" w:rsidRDefault="00F554E7" w:rsidP="00B80789">
            <w:pPr>
              <w:jc w:val="center"/>
              <w:rPr>
                <w:rFonts w:ascii="Arial" w:hAnsi="Arial" w:cs="Arial"/>
                <w:b/>
                <w:bCs/>
              </w:rPr>
            </w:pPr>
            <w:r w:rsidRPr="00FC3309">
              <w:rPr>
                <w:rFonts w:ascii="Arial" w:hAnsi="Arial" w:cs="Arial"/>
                <w:b/>
                <w:bCs/>
              </w:rPr>
              <w:t>(1)</w:t>
            </w:r>
          </w:p>
        </w:tc>
        <w:tc>
          <w:tcPr>
            <w:tcW w:w="1158" w:type="dxa"/>
            <w:tcBorders>
              <w:top w:val="nil"/>
              <w:left w:val="nil"/>
              <w:bottom w:val="single" w:sz="4" w:space="0" w:color="auto"/>
              <w:right w:val="single" w:sz="4" w:space="0" w:color="auto"/>
            </w:tcBorders>
            <w:shd w:val="clear" w:color="auto" w:fill="auto"/>
            <w:vAlign w:val="bottom"/>
            <w:hideMark/>
          </w:tcPr>
          <w:p w14:paraId="0C732546" w14:textId="77777777" w:rsidR="00F554E7" w:rsidRPr="00FC3309" w:rsidRDefault="00F554E7" w:rsidP="00B80789">
            <w:pPr>
              <w:jc w:val="center"/>
              <w:rPr>
                <w:rFonts w:ascii="Arial" w:hAnsi="Arial" w:cs="Arial"/>
                <w:b/>
                <w:bCs/>
              </w:rPr>
            </w:pPr>
            <w:r w:rsidRPr="00FC3309">
              <w:rPr>
                <w:rFonts w:ascii="Arial" w:hAnsi="Arial" w:cs="Arial"/>
                <w:b/>
                <w:bCs/>
              </w:rPr>
              <w:t>(2)</w:t>
            </w:r>
          </w:p>
        </w:tc>
        <w:tc>
          <w:tcPr>
            <w:tcW w:w="1157" w:type="dxa"/>
            <w:tcBorders>
              <w:top w:val="nil"/>
              <w:left w:val="nil"/>
              <w:bottom w:val="single" w:sz="4" w:space="0" w:color="auto"/>
              <w:right w:val="single" w:sz="4" w:space="0" w:color="auto"/>
            </w:tcBorders>
            <w:shd w:val="clear" w:color="auto" w:fill="auto"/>
            <w:vAlign w:val="bottom"/>
            <w:hideMark/>
          </w:tcPr>
          <w:p w14:paraId="3869946B" w14:textId="77777777" w:rsidR="00F554E7" w:rsidRPr="00FC3309" w:rsidRDefault="00F554E7" w:rsidP="00B80789">
            <w:pPr>
              <w:jc w:val="center"/>
              <w:rPr>
                <w:rFonts w:ascii="Arial" w:hAnsi="Arial" w:cs="Arial"/>
                <w:b/>
                <w:bCs/>
              </w:rPr>
            </w:pPr>
            <w:r w:rsidRPr="00FC3309">
              <w:rPr>
                <w:rFonts w:ascii="Arial" w:hAnsi="Arial" w:cs="Arial"/>
                <w:b/>
                <w:bCs/>
              </w:rPr>
              <w:t>(3)</w:t>
            </w:r>
          </w:p>
        </w:tc>
        <w:tc>
          <w:tcPr>
            <w:tcW w:w="1158" w:type="dxa"/>
            <w:tcBorders>
              <w:top w:val="nil"/>
              <w:left w:val="nil"/>
              <w:bottom w:val="single" w:sz="4" w:space="0" w:color="auto"/>
              <w:right w:val="single" w:sz="4" w:space="0" w:color="000000"/>
            </w:tcBorders>
            <w:shd w:val="clear" w:color="auto" w:fill="auto"/>
            <w:vAlign w:val="bottom"/>
            <w:hideMark/>
          </w:tcPr>
          <w:p w14:paraId="456FAA3B" w14:textId="77777777" w:rsidR="00F554E7" w:rsidRPr="00FC3309" w:rsidRDefault="00F554E7" w:rsidP="00B80789">
            <w:pPr>
              <w:jc w:val="center"/>
              <w:rPr>
                <w:rFonts w:ascii="Arial" w:hAnsi="Arial" w:cs="Arial"/>
                <w:b/>
                <w:bCs/>
              </w:rPr>
            </w:pPr>
            <w:r w:rsidRPr="00FC3309">
              <w:rPr>
                <w:rFonts w:ascii="Arial" w:hAnsi="Arial" w:cs="Arial"/>
                <w:b/>
                <w:bCs/>
              </w:rPr>
              <w:t>(4</w:t>
            </w:r>
            <w:r>
              <w:rPr>
                <w:rFonts w:ascii="Arial" w:hAnsi="Arial" w:cs="Arial"/>
                <w:b/>
                <w:bCs/>
              </w:rPr>
              <w:t>.1</w:t>
            </w:r>
            <w:r w:rsidRPr="00FC3309">
              <w:rPr>
                <w:rFonts w:ascii="Arial" w:hAnsi="Arial" w:cs="Arial"/>
                <w:b/>
                <w:bCs/>
              </w:rPr>
              <w:t>)</w:t>
            </w:r>
          </w:p>
        </w:tc>
        <w:tc>
          <w:tcPr>
            <w:tcW w:w="1157" w:type="dxa"/>
            <w:tcBorders>
              <w:top w:val="nil"/>
              <w:left w:val="nil"/>
              <w:bottom w:val="single" w:sz="4" w:space="0" w:color="auto"/>
              <w:right w:val="single" w:sz="4" w:space="0" w:color="000000"/>
            </w:tcBorders>
            <w:vAlign w:val="bottom"/>
          </w:tcPr>
          <w:p w14:paraId="67E27FB5" w14:textId="77777777" w:rsidR="00F554E7" w:rsidRPr="00FC3309" w:rsidRDefault="00F554E7" w:rsidP="00B80789">
            <w:pPr>
              <w:jc w:val="center"/>
              <w:rPr>
                <w:rFonts w:ascii="Arial" w:hAnsi="Arial" w:cs="Arial"/>
                <w:b/>
                <w:bCs/>
              </w:rPr>
            </w:pPr>
            <w:r>
              <w:rPr>
                <w:rFonts w:ascii="Arial" w:hAnsi="Arial" w:cs="Arial"/>
                <w:b/>
                <w:bCs/>
              </w:rPr>
              <w:t>(4.2</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774A40A1" w14:textId="77777777" w:rsidR="00F554E7" w:rsidRPr="00FC3309" w:rsidRDefault="00F554E7" w:rsidP="00B80789">
            <w:pPr>
              <w:jc w:val="center"/>
              <w:rPr>
                <w:rFonts w:ascii="Arial" w:hAnsi="Arial" w:cs="Arial"/>
                <w:b/>
                <w:bCs/>
              </w:rPr>
            </w:pPr>
            <w:r w:rsidRPr="00FC3309">
              <w:rPr>
                <w:rFonts w:ascii="Arial" w:hAnsi="Arial" w:cs="Arial"/>
                <w:b/>
                <w:bCs/>
              </w:rPr>
              <w:t>(</w:t>
            </w:r>
            <w:r>
              <w:rPr>
                <w:rFonts w:ascii="Arial" w:hAnsi="Arial" w:cs="Arial"/>
                <w:b/>
                <w:bCs/>
              </w:rPr>
              <w:t>4.3</w:t>
            </w:r>
            <w:r w:rsidRPr="00FC3309">
              <w:rPr>
                <w:rFonts w:ascii="Arial" w:hAnsi="Arial" w:cs="Arial"/>
                <w:b/>
                <w:bCs/>
              </w:rPr>
              <w:t>)</w:t>
            </w:r>
          </w:p>
        </w:tc>
        <w:tc>
          <w:tcPr>
            <w:tcW w:w="1157" w:type="dxa"/>
            <w:tcBorders>
              <w:top w:val="nil"/>
              <w:left w:val="nil"/>
              <w:bottom w:val="single" w:sz="4" w:space="0" w:color="auto"/>
              <w:right w:val="single" w:sz="4" w:space="0" w:color="000000"/>
            </w:tcBorders>
            <w:vAlign w:val="bottom"/>
          </w:tcPr>
          <w:p w14:paraId="769E66AF" w14:textId="77777777" w:rsidR="00F554E7" w:rsidRPr="00FC3309" w:rsidRDefault="00F554E7" w:rsidP="00B80789">
            <w:pPr>
              <w:jc w:val="center"/>
              <w:rPr>
                <w:rFonts w:ascii="Arial" w:hAnsi="Arial" w:cs="Arial"/>
                <w:b/>
                <w:bCs/>
              </w:rPr>
            </w:pPr>
            <w:r w:rsidRPr="00FC3309">
              <w:rPr>
                <w:rFonts w:ascii="Arial" w:hAnsi="Arial" w:cs="Arial"/>
                <w:b/>
                <w:bCs/>
              </w:rPr>
              <w:t>(</w:t>
            </w:r>
            <w:r>
              <w:rPr>
                <w:rFonts w:ascii="Arial" w:hAnsi="Arial" w:cs="Arial"/>
                <w:b/>
                <w:bCs/>
              </w:rPr>
              <w:t>4.4</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35D62DB4" w14:textId="77777777" w:rsidR="00F554E7" w:rsidRPr="00FC3309" w:rsidRDefault="00F554E7" w:rsidP="00B80789">
            <w:pPr>
              <w:jc w:val="center"/>
              <w:rPr>
                <w:rFonts w:ascii="Arial" w:hAnsi="Arial" w:cs="Arial"/>
                <w:b/>
                <w:bCs/>
              </w:rPr>
            </w:pPr>
            <w:r w:rsidRPr="00FC3309">
              <w:rPr>
                <w:rFonts w:ascii="Arial" w:hAnsi="Arial" w:cs="Arial"/>
                <w:b/>
                <w:bCs/>
              </w:rPr>
              <w:t>(</w:t>
            </w:r>
            <w:r>
              <w:rPr>
                <w:rFonts w:ascii="Arial" w:hAnsi="Arial" w:cs="Arial"/>
                <w:b/>
                <w:bCs/>
              </w:rPr>
              <w:t>5</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74A41C0B" w14:textId="77777777" w:rsidR="00F554E7" w:rsidRPr="00FC3309" w:rsidRDefault="00F554E7" w:rsidP="00B80789">
            <w:pPr>
              <w:jc w:val="center"/>
              <w:rPr>
                <w:rFonts w:ascii="Arial" w:hAnsi="Arial" w:cs="Arial"/>
                <w:b/>
                <w:bCs/>
              </w:rPr>
            </w:pPr>
            <w:r>
              <w:rPr>
                <w:rFonts w:ascii="Arial" w:hAnsi="Arial" w:cs="Arial"/>
                <w:b/>
                <w:bCs/>
              </w:rPr>
              <w:t>(6</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56D4C10A" w14:textId="77777777" w:rsidR="00F554E7" w:rsidRDefault="00F554E7" w:rsidP="00B80789">
            <w:pPr>
              <w:jc w:val="center"/>
              <w:rPr>
                <w:rFonts w:ascii="Arial" w:hAnsi="Arial" w:cs="Arial"/>
                <w:b/>
                <w:bCs/>
              </w:rPr>
            </w:pPr>
            <w:r>
              <w:rPr>
                <w:rFonts w:ascii="Arial" w:hAnsi="Arial" w:cs="Arial"/>
                <w:b/>
                <w:bCs/>
              </w:rPr>
              <w:t>(7</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3AFE7DF7" w14:textId="77777777" w:rsidR="00F554E7" w:rsidRDefault="00F554E7" w:rsidP="00B80789">
            <w:pPr>
              <w:jc w:val="center"/>
              <w:rPr>
                <w:rFonts w:ascii="Arial" w:hAnsi="Arial" w:cs="Arial"/>
                <w:b/>
                <w:bCs/>
              </w:rPr>
            </w:pPr>
            <w:r>
              <w:rPr>
                <w:rFonts w:ascii="Arial" w:hAnsi="Arial" w:cs="Arial"/>
                <w:b/>
                <w:bCs/>
              </w:rPr>
              <w:t>(8</w:t>
            </w:r>
            <w:r w:rsidRPr="00FC3309">
              <w:rPr>
                <w:rFonts w:ascii="Arial" w:hAnsi="Arial" w:cs="Arial"/>
                <w:b/>
                <w:bCs/>
              </w:rPr>
              <w:t>)</w:t>
            </w:r>
          </w:p>
        </w:tc>
        <w:tc>
          <w:tcPr>
            <w:tcW w:w="1158" w:type="dxa"/>
            <w:tcBorders>
              <w:top w:val="nil"/>
              <w:left w:val="nil"/>
              <w:bottom w:val="single" w:sz="4" w:space="0" w:color="auto"/>
              <w:right w:val="single" w:sz="4" w:space="0" w:color="000000"/>
            </w:tcBorders>
            <w:vAlign w:val="bottom"/>
          </w:tcPr>
          <w:p w14:paraId="503344B2" w14:textId="77777777" w:rsidR="00F554E7" w:rsidRDefault="00F554E7" w:rsidP="00B80789">
            <w:pPr>
              <w:jc w:val="center"/>
              <w:rPr>
                <w:rFonts w:ascii="Arial" w:hAnsi="Arial" w:cs="Arial"/>
                <w:b/>
                <w:bCs/>
              </w:rPr>
            </w:pPr>
            <w:r>
              <w:rPr>
                <w:rFonts w:ascii="Arial" w:hAnsi="Arial" w:cs="Arial"/>
                <w:b/>
                <w:bCs/>
              </w:rPr>
              <w:t>(9</w:t>
            </w:r>
            <w:r w:rsidRPr="00FC3309">
              <w:rPr>
                <w:rFonts w:ascii="Arial" w:hAnsi="Arial" w:cs="Arial"/>
                <w:b/>
                <w:bCs/>
              </w:rPr>
              <w:t>)</w:t>
            </w:r>
          </w:p>
        </w:tc>
      </w:tr>
      <w:tr w:rsidR="00F554E7" w:rsidRPr="00FC3309" w14:paraId="756AFA53" w14:textId="77777777" w:rsidTr="00B80789">
        <w:trPr>
          <w:trHeight w:val="31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E683D" w14:textId="77777777" w:rsidR="00F554E7" w:rsidRPr="00E25501"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noWrap/>
            <w:vAlign w:val="bottom"/>
          </w:tcPr>
          <w:p w14:paraId="2631D762" w14:textId="77777777" w:rsidR="00F554E7" w:rsidRPr="00E25501" w:rsidRDefault="00F554E7" w:rsidP="00B80789">
            <w:pPr>
              <w:jc w:val="center"/>
              <w:rPr>
                <w:rFonts w:ascii="Arial" w:hAnsi="Arial" w:cs="Arial"/>
              </w:rPr>
            </w:pPr>
          </w:p>
        </w:tc>
        <w:tc>
          <w:tcPr>
            <w:tcW w:w="1157" w:type="dxa"/>
            <w:tcBorders>
              <w:top w:val="single" w:sz="4" w:space="0" w:color="auto"/>
              <w:left w:val="nil"/>
              <w:bottom w:val="single" w:sz="4" w:space="0" w:color="auto"/>
              <w:right w:val="single" w:sz="4" w:space="0" w:color="auto"/>
            </w:tcBorders>
            <w:shd w:val="clear" w:color="auto" w:fill="auto"/>
            <w:noWrap/>
            <w:vAlign w:val="bottom"/>
          </w:tcPr>
          <w:p w14:paraId="6120A1AB" w14:textId="77777777" w:rsidR="00F554E7" w:rsidRPr="00E25501"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uto"/>
            <w:vAlign w:val="bottom"/>
          </w:tcPr>
          <w:p w14:paraId="3BE6F982" w14:textId="77777777" w:rsidR="00F554E7" w:rsidRPr="00E25501" w:rsidRDefault="00F554E7" w:rsidP="00B80789">
            <w:pPr>
              <w:jc w:val="center"/>
              <w:rPr>
                <w:rFonts w:ascii="Arial" w:hAnsi="Arial" w:cs="Arial"/>
              </w:rPr>
            </w:pPr>
          </w:p>
        </w:tc>
        <w:tc>
          <w:tcPr>
            <w:tcW w:w="1157" w:type="dxa"/>
            <w:tcBorders>
              <w:top w:val="single" w:sz="4" w:space="0" w:color="auto"/>
              <w:left w:val="nil"/>
              <w:bottom w:val="single" w:sz="4" w:space="0" w:color="auto"/>
              <w:right w:val="single" w:sz="4" w:space="0" w:color="auto"/>
            </w:tcBorders>
            <w:vAlign w:val="bottom"/>
          </w:tcPr>
          <w:p w14:paraId="26FEC8A5" w14:textId="77777777" w:rsidR="00F554E7" w:rsidRPr="00E25501"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vAlign w:val="bottom"/>
          </w:tcPr>
          <w:p w14:paraId="1764224F" w14:textId="77777777" w:rsidR="00F554E7" w:rsidRPr="00E25501" w:rsidRDefault="00F554E7" w:rsidP="00B80789">
            <w:pPr>
              <w:jc w:val="center"/>
              <w:rPr>
                <w:rFonts w:ascii="Arial" w:hAnsi="Arial" w:cs="Arial"/>
              </w:rPr>
            </w:pPr>
          </w:p>
        </w:tc>
        <w:tc>
          <w:tcPr>
            <w:tcW w:w="1157" w:type="dxa"/>
            <w:tcBorders>
              <w:top w:val="single" w:sz="4" w:space="0" w:color="auto"/>
              <w:left w:val="nil"/>
              <w:bottom w:val="single" w:sz="4" w:space="0" w:color="auto"/>
              <w:right w:val="single" w:sz="4" w:space="0" w:color="auto"/>
            </w:tcBorders>
            <w:vAlign w:val="bottom"/>
          </w:tcPr>
          <w:p w14:paraId="7784E54C" w14:textId="77777777" w:rsidR="00F554E7" w:rsidRPr="00E25501"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405D8214" w14:textId="77777777" w:rsidR="00F554E7" w:rsidRPr="00E25501"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5E5421A4" w14:textId="77777777" w:rsidR="00F554E7" w:rsidRPr="00E25501"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5C9B6B64" w14:textId="77777777" w:rsidR="00F554E7" w:rsidRPr="00E25501"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5173BADC" w14:textId="77777777" w:rsidR="00F554E7" w:rsidRPr="00E25501" w:rsidRDefault="00F554E7" w:rsidP="00B80789">
            <w:pPr>
              <w:jc w:val="center"/>
              <w:rPr>
                <w:rFonts w:ascii="Arial" w:hAnsi="Arial" w:cs="Arial"/>
              </w:rPr>
            </w:pPr>
          </w:p>
        </w:tc>
        <w:tc>
          <w:tcPr>
            <w:tcW w:w="1158" w:type="dxa"/>
            <w:tcBorders>
              <w:top w:val="single" w:sz="4" w:space="0" w:color="auto"/>
              <w:left w:val="nil"/>
              <w:bottom w:val="single" w:sz="4" w:space="0" w:color="auto"/>
              <w:right w:val="single" w:sz="4" w:space="0" w:color="auto"/>
            </w:tcBorders>
            <w:shd w:val="clear" w:color="auto" w:fill="A6A6A6"/>
            <w:vAlign w:val="bottom"/>
          </w:tcPr>
          <w:p w14:paraId="5FD47A76" w14:textId="77777777" w:rsidR="00F554E7" w:rsidRPr="00E25501" w:rsidRDefault="00F554E7" w:rsidP="00B80789">
            <w:pPr>
              <w:jc w:val="center"/>
              <w:rPr>
                <w:rFonts w:ascii="Arial" w:hAnsi="Arial" w:cs="Arial"/>
              </w:rPr>
            </w:pPr>
          </w:p>
        </w:tc>
      </w:tr>
      <w:tr w:rsidR="00F554E7" w:rsidRPr="00FC3309" w14:paraId="727E6CF7" w14:textId="77777777" w:rsidTr="00B80789">
        <w:trPr>
          <w:trHeight w:val="317"/>
        </w:trPr>
        <w:tc>
          <w:tcPr>
            <w:tcW w:w="115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4122CDA" w14:textId="77777777" w:rsidR="00F554E7" w:rsidRPr="0000731A" w:rsidRDefault="00F554E7" w:rsidP="00B80789">
            <w:pPr>
              <w:jc w:val="center"/>
              <w:rPr>
                <w:rFonts w:ascii="Arial" w:hAnsi="Arial" w:cs="Arial"/>
              </w:rPr>
            </w:pPr>
            <w:r w:rsidRPr="0000731A">
              <w:rPr>
                <w:rFonts w:ascii="Arial" w:hAnsi="Arial" w:cs="Arial"/>
              </w:rPr>
              <w:t>100</w:t>
            </w:r>
          </w:p>
        </w:tc>
        <w:tc>
          <w:tcPr>
            <w:tcW w:w="1158" w:type="dxa"/>
            <w:tcBorders>
              <w:top w:val="single" w:sz="4" w:space="0" w:color="auto"/>
              <w:left w:val="dotDash" w:sz="4" w:space="0" w:color="auto"/>
              <w:right w:val="dotDash" w:sz="4" w:space="0" w:color="auto"/>
            </w:tcBorders>
            <w:shd w:val="clear" w:color="auto" w:fill="auto"/>
            <w:noWrap/>
            <w:vAlign w:val="bottom"/>
          </w:tcPr>
          <w:p w14:paraId="684F73D8" w14:textId="77777777" w:rsidR="00F554E7" w:rsidRPr="0045317D" w:rsidRDefault="00F554E7" w:rsidP="00B80789">
            <w:pPr>
              <w:jc w:val="center"/>
              <w:rPr>
                <w:rFonts w:ascii="Arial" w:hAnsi="Arial" w:cs="Arial"/>
              </w:rPr>
            </w:pPr>
          </w:p>
        </w:tc>
        <w:tc>
          <w:tcPr>
            <w:tcW w:w="115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B1C1EB4" w14:textId="77777777" w:rsidR="00F554E7" w:rsidRPr="0000731A" w:rsidRDefault="00F554E7" w:rsidP="00B80789">
            <w:pPr>
              <w:jc w:val="center"/>
              <w:rPr>
                <w:rFonts w:ascii="Arial" w:hAnsi="Arial" w:cs="Arial"/>
              </w:rPr>
            </w:pPr>
            <w:r w:rsidRPr="0000731A">
              <w:rPr>
                <w:rFonts w:ascii="Arial" w:hAnsi="Arial" w:cs="Arial"/>
              </w:rPr>
              <w:t>100</w:t>
            </w:r>
          </w:p>
        </w:tc>
        <w:tc>
          <w:tcPr>
            <w:tcW w:w="1158" w:type="dxa"/>
            <w:tcBorders>
              <w:top w:val="single" w:sz="4" w:space="0" w:color="auto"/>
              <w:left w:val="dotDash" w:sz="4" w:space="0" w:color="auto"/>
            </w:tcBorders>
            <w:shd w:val="clear" w:color="auto" w:fill="auto"/>
            <w:vAlign w:val="bottom"/>
          </w:tcPr>
          <w:p w14:paraId="10D2B530" w14:textId="77777777" w:rsidR="00F554E7" w:rsidRPr="0045317D" w:rsidRDefault="00F554E7" w:rsidP="00B80789">
            <w:pPr>
              <w:jc w:val="center"/>
              <w:rPr>
                <w:rFonts w:ascii="Arial" w:hAnsi="Arial" w:cs="Arial"/>
              </w:rPr>
            </w:pPr>
          </w:p>
        </w:tc>
        <w:tc>
          <w:tcPr>
            <w:tcW w:w="1157" w:type="dxa"/>
            <w:tcBorders>
              <w:top w:val="single" w:sz="4" w:space="0" w:color="auto"/>
            </w:tcBorders>
            <w:vAlign w:val="bottom"/>
          </w:tcPr>
          <w:p w14:paraId="7E7DA516"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3533351A" w14:textId="77777777" w:rsidR="00F554E7" w:rsidRPr="0045317D" w:rsidRDefault="00F554E7" w:rsidP="00B80789">
            <w:pPr>
              <w:jc w:val="center"/>
              <w:rPr>
                <w:rFonts w:ascii="Arial" w:hAnsi="Arial" w:cs="Arial"/>
              </w:rPr>
            </w:pPr>
          </w:p>
        </w:tc>
        <w:tc>
          <w:tcPr>
            <w:tcW w:w="1157" w:type="dxa"/>
            <w:tcBorders>
              <w:top w:val="single" w:sz="4" w:space="0" w:color="auto"/>
            </w:tcBorders>
            <w:vAlign w:val="bottom"/>
          </w:tcPr>
          <w:p w14:paraId="088906E2"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0BD9B6D0"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3A471192"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5379D6DE"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0434F1C5" w14:textId="77777777" w:rsidR="00F554E7" w:rsidRPr="0045317D" w:rsidRDefault="00F554E7" w:rsidP="00B80789">
            <w:pPr>
              <w:jc w:val="center"/>
              <w:rPr>
                <w:rFonts w:ascii="Arial" w:hAnsi="Arial" w:cs="Arial"/>
              </w:rPr>
            </w:pPr>
          </w:p>
        </w:tc>
        <w:tc>
          <w:tcPr>
            <w:tcW w:w="1158" w:type="dxa"/>
            <w:tcBorders>
              <w:top w:val="single" w:sz="4" w:space="0" w:color="auto"/>
            </w:tcBorders>
            <w:vAlign w:val="bottom"/>
          </w:tcPr>
          <w:p w14:paraId="7E2BD45A" w14:textId="77777777" w:rsidR="00F554E7" w:rsidRPr="0045317D" w:rsidRDefault="00F554E7" w:rsidP="00B80789">
            <w:pPr>
              <w:jc w:val="center"/>
              <w:rPr>
                <w:rFonts w:ascii="Arial" w:hAnsi="Arial" w:cs="Arial"/>
              </w:rPr>
            </w:pPr>
          </w:p>
        </w:tc>
      </w:tr>
      <w:tr w:rsidR="00F554E7" w:rsidRPr="00FC3309" w14:paraId="5AEB94A3"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7272BB3" w14:textId="77777777" w:rsidR="00F554E7" w:rsidRPr="0000731A" w:rsidRDefault="00F554E7" w:rsidP="00B80789">
            <w:pPr>
              <w:jc w:val="center"/>
              <w:rPr>
                <w:rFonts w:ascii="Arial" w:hAnsi="Arial" w:cs="Arial"/>
              </w:rPr>
            </w:pPr>
            <w:r w:rsidRPr="0000731A">
              <w:rPr>
                <w:rFonts w:ascii="Arial" w:hAnsi="Arial" w:cs="Arial"/>
              </w:rPr>
              <w:t>95</w:t>
            </w:r>
          </w:p>
        </w:tc>
        <w:tc>
          <w:tcPr>
            <w:tcW w:w="1158" w:type="dxa"/>
            <w:tcBorders>
              <w:left w:val="dotDash" w:sz="4" w:space="0" w:color="auto"/>
              <w:right w:val="dotDash" w:sz="4" w:space="0" w:color="auto"/>
            </w:tcBorders>
            <w:shd w:val="clear" w:color="auto" w:fill="auto"/>
            <w:noWrap/>
            <w:vAlign w:val="bottom"/>
          </w:tcPr>
          <w:p w14:paraId="34C4687D"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DE963FE" w14:textId="77777777" w:rsidR="00F554E7" w:rsidRPr="0000731A" w:rsidRDefault="00F554E7" w:rsidP="00B80789">
            <w:pPr>
              <w:jc w:val="center"/>
              <w:rPr>
                <w:rFonts w:ascii="Arial" w:hAnsi="Arial" w:cs="Arial"/>
              </w:rPr>
            </w:pPr>
            <w:r w:rsidRPr="0000731A">
              <w:rPr>
                <w:rFonts w:ascii="Arial" w:hAnsi="Arial" w:cs="Arial"/>
              </w:rPr>
              <w:t>40</w:t>
            </w:r>
          </w:p>
        </w:tc>
        <w:tc>
          <w:tcPr>
            <w:tcW w:w="1158" w:type="dxa"/>
            <w:tcBorders>
              <w:left w:val="dotDash" w:sz="4" w:space="0" w:color="auto"/>
            </w:tcBorders>
            <w:shd w:val="clear" w:color="auto" w:fill="auto"/>
            <w:vAlign w:val="bottom"/>
          </w:tcPr>
          <w:p w14:paraId="2DADE649" w14:textId="77777777" w:rsidR="00F554E7" w:rsidRPr="0045317D" w:rsidRDefault="00F554E7" w:rsidP="00B80789">
            <w:pPr>
              <w:jc w:val="center"/>
              <w:rPr>
                <w:rFonts w:ascii="Arial" w:hAnsi="Arial" w:cs="Arial"/>
              </w:rPr>
            </w:pPr>
          </w:p>
        </w:tc>
        <w:tc>
          <w:tcPr>
            <w:tcW w:w="1157" w:type="dxa"/>
            <w:vAlign w:val="bottom"/>
          </w:tcPr>
          <w:p w14:paraId="03683E4A" w14:textId="77777777" w:rsidR="00F554E7" w:rsidRPr="0045317D" w:rsidRDefault="00F554E7" w:rsidP="00B80789">
            <w:pPr>
              <w:jc w:val="center"/>
              <w:rPr>
                <w:rFonts w:ascii="Arial" w:hAnsi="Arial" w:cs="Arial"/>
              </w:rPr>
            </w:pPr>
          </w:p>
        </w:tc>
        <w:tc>
          <w:tcPr>
            <w:tcW w:w="1158" w:type="dxa"/>
            <w:vAlign w:val="bottom"/>
          </w:tcPr>
          <w:p w14:paraId="512A4019" w14:textId="77777777" w:rsidR="00F554E7" w:rsidRPr="0045317D" w:rsidRDefault="00F554E7" w:rsidP="00B80789">
            <w:pPr>
              <w:jc w:val="center"/>
              <w:rPr>
                <w:rFonts w:ascii="Arial" w:hAnsi="Arial" w:cs="Arial"/>
              </w:rPr>
            </w:pPr>
          </w:p>
        </w:tc>
        <w:tc>
          <w:tcPr>
            <w:tcW w:w="1157" w:type="dxa"/>
            <w:vAlign w:val="bottom"/>
          </w:tcPr>
          <w:p w14:paraId="5CE9E728" w14:textId="77777777" w:rsidR="00F554E7" w:rsidRPr="0045317D" w:rsidRDefault="00F554E7" w:rsidP="00B80789">
            <w:pPr>
              <w:jc w:val="center"/>
              <w:rPr>
                <w:rFonts w:ascii="Arial" w:hAnsi="Arial" w:cs="Arial"/>
              </w:rPr>
            </w:pPr>
          </w:p>
        </w:tc>
        <w:tc>
          <w:tcPr>
            <w:tcW w:w="1158" w:type="dxa"/>
            <w:vAlign w:val="bottom"/>
          </w:tcPr>
          <w:p w14:paraId="1455CED6" w14:textId="77777777" w:rsidR="00F554E7" w:rsidRPr="0045317D" w:rsidRDefault="00F554E7" w:rsidP="00B80789">
            <w:pPr>
              <w:jc w:val="center"/>
              <w:rPr>
                <w:rFonts w:ascii="Arial" w:hAnsi="Arial" w:cs="Arial"/>
              </w:rPr>
            </w:pPr>
          </w:p>
        </w:tc>
        <w:tc>
          <w:tcPr>
            <w:tcW w:w="1158" w:type="dxa"/>
            <w:vAlign w:val="bottom"/>
          </w:tcPr>
          <w:p w14:paraId="3AECB166" w14:textId="77777777" w:rsidR="00F554E7" w:rsidRPr="0045317D" w:rsidRDefault="00F554E7" w:rsidP="00B80789">
            <w:pPr>
              <w:jc w:val="center"/>
              <w:rPr>
                <w:rFonts w:ascii="Arial" w:hAnsi="Arial" w:cs="Arial"/>
              </w:rPr>
            </w:pPr>
          </w:p>
        </w:tc>
        <w:tc>
          <w:tcPr>
            <w:tcW w:w="1158" w:type="dxa"/>
            <w:vAlign w:val="bottom"/>
          </w:tcPr>
          <w:p w14:paraId="255E5EBD" w14:textId="77777777" w:rsidR="00F554E7" w:rsidRPr="0045317D" w:rsidRDefault="00F554E7" w:rsidP="00B80789">
            <w:pPr>
              <w:jc w:val="center"/>
              <w:rPr>
                <w:rFonts w:ascii="Arial" w:hAnsi="Arial" w:cs="Arial"/>
              </w:rPr>
            </w:pPr>
          </w:p>
        </w:tc>
        <w:tc>
          <w:tcPr>
            <w:tcW w:w="1158" w:type="dxa"/>
            <w:vAlign w:val="bottom"/>
          </w:tcPr>
          <w:p w14:paraId="3065337B" w14:textId="77777777" w:rsidR="00F554E7" w:rsidRPr="0045317D" w:rsidRDefault="00F554E7" w:rsidP="00B80789">
            <w:pPr>
              <w:jc w:val="center"/>
              <w:rPr>
                <w:rFonts w:ascii="Arial" w:hAnsi="Arial" w:cs="Arial"/>
              </w:rPr>
            </w:pPr>
          </w:p>
        </w:tc>
        <w:tc>
          <w:tcPr>
            <w:tcW w:w="1158" w:type="dxa"/>
            <w:vAlign w:val="bottom"/>
          </w:tcPr>
          <w:p w14:paraId="3574BFB7" w14:textId="77777777" w:rsidR="00F554E7" w:rsidRPr="0045317D" w:rsidRDefault="00F554E7" w:rsidP="00B80789">
            <w:pPr>
              <w:jc w:val="center"/>
              <w:rPr>
                <w:rFonts w:ascii="Arial" w:hAnsi="Arial" w:cs="Arial"/>
              </w:rPr>
            </w:pPr>
          </w:p>
        </w:tc>
      </w:tr>
      <w:tr w:rsidR="00F554E7" w:rsidRPr="00FC3309" w14:paraId="3E9A956D"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AB22428" w14:textId="77777777" w:rsidR="00F554E7" w:rsidRPr="0000731A" w:rsidRDefault="00F554E7" w:rsidP="00B80789">
            <w:pPr>
              <w:jc w:val="center"/>
              <w:rPr>
                <w:rFonts w:ascii="Arial" w:hAnsi="Arial" w:cs="Arial"/>
              </w:rPr>
            </w:pPr>
            <w:r w:rsidRPr="0000731A">
              <w:rPr>
                <w:rFonts w:ascii="Arial" w:hAnsi="Arial" w:cs="Arial"/>
              </w:rPr>
              <w:t>90</w:t>
            </w:r>
          </w:p>
        </w:tc>
        <w:tc>
          <w:tcPr>
            <w:tcW w:w="1158" w:type="dxa"/>
            <w:tcBorders>
              <w:left w:val="dotDash" w:sz="4" w:space="0" w:color="auto"/>
              <w:right w:val="dotDash" w:sz="4" w:space="0" w:color="auto"/>
            </w:tcBorders>
            <w:shd w:val="clear" w:color="auto" w:fill="auto"/>
            <w:noWrap/>
            <w:vAlign w:val="bottom"/>
          </w:tcPr>
          <w:p w14:paraId="3F21DE6F"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15F223E" w14:textId="77777777" w:rsidR="00F554E7" w:rsidRPr="0000731A" w:rsidRDefault="00F554E7" w:rsidP="00B80789">
            <w:pPr>
              <w:jc w:val="center"/>
              <w:rPr>
                <w:rFonts w:ascii="Arial" w:hAnsi="Arial" w:cs="Arial"/>
              </w:rPr>
            </w:pPr>
            <w:r w:rsidRPr="0000731A">
              <w:rPr>
                <w:rFonts w:ascii="Arial" w:hAnsi="Arial" w:cs="Arial"/>
              </w:rPr>
              <w:t>35</w:t>
            </w:r>
          </w:p>
        </w:tc>
        <w:tc>
          <w:tcPr>
            <w:tcW w:w="1158" w:type="dxa"/>
            <w:tcBorders>
              <w:left w:val="dotDash" w:sz="4" w:space="0" w:color="auto"/>
            </w:tcBorders>
            <w:shd w:val="clear" w:color="auto" w:fill="auto"/>
            <w:vAlign w:val="bottom"/>
          </w:tcPr>
          <w:p w14:paraId="09B156CE" w14:textId="77777777" w:rsidR="00F554E7" w:rsidRPr="0045317D" w:rsidRDefault="00F554E7" w:rsidP="00B80789">
            <w:pPr>
              <w:jc w:val="center"/>
              <w:rPr>
                <w:rFonts w:ascii="Arial" w:hAnsi="Arial" w:cs="Arial"/>
              </w:rPr>
            </w:pPr>
          </w:p>
        </w:tc>
        <w:tc>
          <w:tcPr>
            <w:tcW w:w="1157" w:type="dxa"/>
            <w:vAlign w:val="bottom"/>
          </w:tcPr>
          <w:p w14:paraId="735BCBBD" w14:textId="77777777" w:rsidR="00F554E7" w:rsidRPr="0045317D" w:rsidRDefault="00F554E7" w:rsidP="00B80789">
            <w:pPr>
              <w:jc w:val="center"/>
              <w:rPr>
                <w:rFonts w:ascii="Arial" w:hAnsi="Arial" w:cs="Arial"/>
              </w:rPr>
            </w:pPr>
          </w:p>
        </w:tc>
        <w:tc>
          <w:tcPr>
            <w:tcW w:w="1158" w:type="dxa"/>
            <w:vAlign w:val="bottom"/>
          </w:tcPr>
          <w:p w14:paraId="23A406A0" w14:textId="77777777" w:rsidR="00F554E7" w:rsidRPr="0045317D" w:rsidRDefault="00F554E7" w:rsidP="00B80789">
            <w:pPr>
              <w:jc w:val="center"/>
              <w:rPr>
                <w:rFonts w:ascii="Arial" w:hAnsi="Arial" w:cs="Arial"/>
              </w:rPr>
            </w:pPr>
          </w:p>
        </w:tc>
        <w:tc>
          <w:tcPr>
            <w:tcW w:w="1157" w:type="dxa"/>
            <w:vAlign w:val="bottom"/>
          </w:tcPr>
          <w:p w14:paraId="669EF06E" w14:textId="77777777" w:rsidR="00F554E7" w:rsidRPr="0045317D" w:rsidRDefault="00F554E7" w:rsidP="00B80789">
            <w:pPr>
              <w:jc w:val="center"/>
              <w:rPr>
                <w:rFonts w:ascii="Arial" w:hAnsi="Arial" w:cs="Arial"/>
              </w:rPr>
            </w:pPr>
          </w:p>
        </w:tc>
        <w:tc>
          <w:tcPr>
            <w:tcW w:w="1158" w:type="dxa"/>
            <w:vAlign w:val="bottom"/>
          </w:tcPr>
          <w:p w14:paraId="7A7A90A9" w14:textId="77777777" w:rsidR="00F554E7" w:rsidRPr="0045317D" w:rsidRDefault="00F554E7" w:rsidP="00B80789">
            <w:pPr>
              <w:jc w:val="center"/>
              <w:rPr>
                <w:rFonts w:ascii="Arial" w:hAnsi="Arial" w:cs="Arial"/>
              </w:rPr>
            </w:pPr>
          </w:p>
        </w:tc>
        <w:tc>
          <w:tcPr>
            <w:tcW w:w="1158" w:type="dxa"/>
            <w:vAlign w:val="bottom"/>
          </w:tcPr>
          <w:p w14:paraId="4B0CA864" w14:textId="77777777" w:rsidR="00F554E7" w:rsidRPr="0045317D" w:rsidRDefault="00F554E7" w:rsidP="00B80789">
            <w:pPr>
              <w:jc w:val="center"/>
              <w:rPr>
                <w:rFonts w:ascii="Arial" w:hAnsi="Arial" w:cs="Arial"/>
              </w:rPr>
            </w:pPr>
          </w:p>
        </w:tc>
        <w:tc>
          <w:tcPr>
            <w:tcW w:w="1158" w:type="dxa"/>
            <w:vAlign w:val="bottom"/>
          </w:tcPr>
          <w:p w14:paraId="3FA4EE0D" w14:textId="77777777" w:rsidR="00F554E7" w:rsidRPr="0045317D" w:rsidRDefault="00F554E7" w:rsidP="00B80789">
            <w:pPr>
              <w:jc w:val="center"/>
              <w:rPr>
                <w:rFonts w:ascii="Arial" w:hAnsi="Arial" w:cs="Arial"/>
              </w:rPr>
            </w:pPr>
          </w:p>
        </w:tc>
        <w:tc>
          <w:tcPr>
            <w:tcW w:w="1158" w:type="dxa"/>
            <w:vAlign w:val="bottom"/>
          </w:tcPr>
          <w:p w14:paraId="354D4DE0" w14:textId="77777777" w:rsidR="00F554E7" w:rsidRPr="0045317D" w:rsidRDefault="00F554E7" w:rsidP="00B80789">
            <w:pPr>
              <w:jc w:val="center"/>
              <w:rPr>
                <w:rFonts w:ascii="Arial" w:hAnsi="Arial" w:cs="Arial"/>
              </w:rPr>
            </w:pPr>
          </w:p>
        </w:tc>
        <w:tc>
          <w:tcPr>
            <w:tcW w:w="1158" w:type="dxa"/>
            <w:vAlign w:val="bottom"/>
          </w:tcPr>
          <w:p w14:paraId="71B16C74" w14:textId="77777777" w:rsidR="00F554E7" w:rsidRPr="0045317D" w:rsidRDefault="00F554E7" w:rsidP="00B80789">
            <w:pPr>
              <w:jc w:val="center"/>
              <w:rPr>
                <w:rFonts w:ascii="Arial" w:hAnsi="Arial" w:cs="Arial"/>
              </w:rPr>
            </w:pPr>
          </w:p>
        </w:tc>
      </w:tr>
      <w:tr w:rsidR="00F554E7" w:rsidRPr="00FC3309" w14:paraId="4A1AFBD7"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B635708" w14:textId="77777777" w:rsidR="00F554E7" w:rsidRPr="0000731A" w:rsidRDefault="00F554E7" w:rsidP="00B80789">
            <w:pPr>
              <w:jc w:val="center"/>
              <w:rPr>
                <w:rFonts w:ascii="Arial" w:hAnsi="Arial" w:cs="Arial"/>
              </w:rPr>
            </w:pPr>
            <w:r w:rsidRPr="0000731A">
              <w:rPr>
                <w:rFonts w:ascii="Arial" w:hAnsi="Arial" w:cs="Arial"/>
              </w:rPr>
              <w:t>85</w:t>
            </w:r>
          </w:p>
        </w:tc>
        <w:tc>
          <w:tcPr>
            <w:tcW w:w="1158" w:type="dxa"/>
            <w:tcBorders>
              <w:left w:val="dotDash" w:sz="4" w:space="0" w:color="auto"/>
              <w:right w:val="dotDash" w:sz="4" w:space="0" w:color="auto"/>
            </w:tcBorders>
            <w:shd w:val="clear" w:color="auto" w:fill="auto"/>
            <w:noWrap/>
            <w:vAlign w:val="bottom"/>
          </w:tcPr>
          <w:p w14:paraId="3D0E9EFB"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4F5CB30" w14:textId="77777777" w:rsidR="00F554E7" w:rsidRPr="0000731A" w:rsidRDefault="00F554E7" w:rsidP="00B80789">
            <w:pPr>
              <w:jc w:val="center"/>
              <w:rPr>
                <w:rFonts w:ascii="Arial" w:hAnsi="Arial" w:cs="Arial"/>
              </w:rPr>
            </w:pPr>
            <w:r w:rsidRPr="0000731A">
              <w:rPr>
                <w:rFonts w:ascii="Arial" w:hAnsi="Arial" w:cs="Arial"/>
              </w:rPr>
              <w:t>30</w:t>
            </w:r>
          </w:p>
        </w:tc>
        <w:tc>
          <w:tcPr>
            <w:tcW w:w="1158" w:type="dxa"/>
            <w:tcBorders>
              <w:left w:val="dotDash" w:sz="4" w:space="0" w:color="auto"/>
            </w:tcBorders>
            <w:shd w:val="clear" w:color="auto" w:fill="auto"/>
            <w:vAlign w:val="bottom"/>
          </w:tcPr>
          <w:p w14:paraId="1480DFA2" w14:textId="77777777" w:rsidR="00F554E7" w:rsidRPr="0045317D" w:rsidRDefault="00F554E7" w:rsidP="00B80789">
            <w:pPr>
              <w:jc w:val="center"/>
              <w:rPr>
                <w:rFonts w:ascii="Arial" w:hAnsi="Arial" w:cs="Arial"/>
              </w:rPr>
            </w:pPr>
          </w:p>
        </w:tc>
        <w:tc>
          <w:tcPr>
            <w:tcW w:w="1157" w:type="dxa"/>
            <w:vAlign w:val="bottom"/>
          </w:tcPr>
          <w:p w14:paraId="2F10129C" w14:textId="77777777" w:rsidR="00F554E7" w:rsidRPr="0045317D" w:rsidRDefault="00F554E7" w:rsidP="00B80789">
            <w:pPr>
              <w:jc w:val="center"/>
              <w:rPr>
                <w:rFonts w:ascii="Arial" w:hAnsi="Arial" w:cs="Arial"/>
              </w:rPr>
            </w:pPr>
          </w:p>
        </w:tc>
        <w:tc>
          <w:tcPr>
            <w:tcW w:w="1158" w:type="dxa"/>
            <w:vAlign w:val="bottom"/>
          </w:tcPr>
          <w:p w14:paraId="16A6AC76" w14:textId="77777777" w:rsidR="00F554E7" w:rsidRPr="0045317D" w:rsidRDefault="00F554E7" w:rsidP="00B80789">
            <w:pPr>
              <w:jc w:val="center"/>
              <w:rPr>
                <w:rFonts w:ascii="Arial" w:hAnsi="Arial" w:cs="Arial"/>
              </w:rPr>
            </w:pPr>
          </w:p>
        </w:tc>
        <w:tc>
          <w:tcPr>
            <w:tcW w:w="1157" w:type="dxa"/>
            <w:vAlign w:val="bottom"/>
          </w:tcPr>
          <w:p w14:paraId="1332F0C7" w14:textId="77777777" w:rsidR="00F554E7" w:rsidRPr="0045317D" w:rsidRDefault="00F554E7" w:rsidP="00B80789">
            <w:pPr>
              <w:jc w:val="center"/>
              <w:rPr>
                <w:rFonts w:ascii="Arial" w:hAnsi="Arial" w:cs="Arial"/>
              </w:rPr>
            </w:pPr>
          </w:p>
        </w:tc>
        <w:tc>
          <w:tcPr>
            <w:tcW w:w="1158" w:type="dxa"/>
            <w:vAlign w:val="bottom"/>
          </w:tcPr>
          <w:p w14:paraId="244BC7D4" w14:textId="77777777" w:rsidR="00F554E7" w:rsidRPr="0045317D" w:rsidRDefault="00F554E7" w:rsidP="00B80789">
            <w:pPr>
              <w:jc w:val="center"/>
              <w:rPr>
                <w:rFonts w:ascii="Arial" w:hAnsi="Arial" w:cs="Arial"/>
              </w:rPr>
            </w:pPr>
          </w:p>
        </w:tc>
        <w:tc>
          <w:tcPr>
            <w:tcW w:w="1158" w:type="dxa"/>
            <w:vAlign w:val="bottom"/>
          </w:tcPr>
          <w:p w14:paraId="0A3DD913" w14:textId="77777777" w:rsidR="00F554E7" w:rsidRPr="0045317D" w:rsidRDefault="00F554E7" w:rsidP="00B80789">
            <w:pPr>
              <w:jc w:val="center"/>
              <w:rPr>
                <w:rFonts w:ascii="Arial" w:hAnsi="Arial" w:cs="Arial"/>
              </w:rPr>
            </w:pPr>
          </w:p>
        </w:tc>
        <w:tc>
          <w:tcPr>
            <w:tcW w:w="1158" w:type="dxa"/>
            <w:vAlign w:val="bottom"/>
          </w:tcPr>
          <w:p w14:paraId="01BD6534" w14:textId="77777777" w:rsidR="00F554E7" w:rsidRPr="0045317D" w:rsidRDefault="00F554E7" w:rsidP="00B80789">
            <w:pPr>
              <w:jc w:val="center"/>
              <w:rPr>
                <w:rFonts w:ascii="Arial" w:hAnsi="Arial" w:cs="Arial"/>
              </w:rPr>
            </w:pPr>
          </w:p>
        </w:tc>
        <w:tc>
          <w:tcPr>
            <w:tcW w:w="1158" w:type="dxa"/>
            <w:vAlign w:val="bottom"/>
          </w:tcPr>
          <w:p w14:paraId="59E03150" w14:textId="77777777" w:rsidR="00F554E7" w:rsidRPr="0045317D" w:rsidRDefault="00F554E7" w:rsidP="00B80789">
            <w:pPr>
              <w:jc w:val="center"/>
              <w:rPr>
                <w:rFonts w:ascii="Arial" w:hAnsi="Arial" w:cs="Arial"/>
              </w:rPr>
            </w:pPr>
          </w:p>
        </w:tc>
        <w:tc>
          <w:tcPr>
            <w:tcW w:w="1158" w:type="dxa"/>
            <w:vAlign w:val="bottom"/>
          </w:tcPr>
          <w:p w14:paraId="08D0B777" w14:textId="77777777" w:rsidR="00F554E7" w:rsidRPr="0045317D" w:rsidRDefault="00F554E7" w:rsidP="00B80789">
            <w:pPr>
              <w:jc w:val="center"/>
              <w:rPr>
                <w:rFonts w:ascii="Arial" w:hAnsi="Arial" w:cs="Arial"/>
              </w:rPr>
            </w:pPr>
          </w:p>
        </w:tc>
      </w:tr>
      <w:tr w:rsidR="00F554E7" w:rsidRPr="00FC3309" w14:paraId="06D71156"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83C3602" w14:textId="77777777" w:rsidR="00F554E7" w:rsidRPr="0000731A" w:rsidRDefault="00F554E7" w:rsidP="00B80789">
            <w:pPr>
              <w:jc w:val="center"/>
              <w:rPr>
                <w:rFonts w:ascii="Arial" w:hAnsi="Arial" w:cs="Arial"/>
              </w:rPr>
            </w:pPr>
            <w:r w:rsidRPr="0000731A">
              <w:rPr>
                <w:rFonts w:ascii="Arial" w:hAnsi="Arial" w:cs="Arial"/>
              </w:rPr>
              <w:t>80</w:t>
            </w:r>
          </w:p>
        </w:tc>
        <w:tc>
          <w:tcPr>
            <w:tcW w:w="1158" w:type="dxa"/>
            <w:tcBorders>
              <w:left w:val="dotDash" w:sz="4" w:space="0" w:color="auto"/>
              <w:right w:val="dotDash" w:sz="4" w:space="0" w:color="auto"/>
            </w:tcBorders>
            <w:shd w:val="clear" w:color="auto" w:fill="auto"/>
            <w:noWrap/>
            <w:vAlign w:val="bottom"/>
          </w:tcPr>
          <w:p w14:paraId="08F0A879"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37BD0D9" w14:textId="77777777" w:rsidR="00F554E7" w:rsidRPr="0000731A" w:rsidRDefault="00F554E7" w:rsidP="00B80789">
            <w:pPr>
              <w:jc w:val="center"/>
              <w:rPr>
                <w:rFonts w:ascii="Arial" w:hAnsi="Arial" w:cs="Arial"/>
              </w:rPr>
            </w:pPr>
            <w:r w:rsidRPr="0000731A">
              <w:rPr>
                <w:rFonts w:ascii="Arial" w:hAnsi="Arial" w:cs="Arial"/>
              </w:rPr>
              <w:t>25</w:t>
            </w:r>
          </w:p>
        </w:tc>
        <w:tc>
          <w:tcPr>
            <w:tcW w:w="1158" w:type="dxa"/>
            <w:tcBorders>
              <w:left w:val="dotDash" w:sz="4" w:space="0" w:color="auto"/>
            </w:tcBorders>
            <w:shd w:val="clear" w:color="auto" w:fill="auto"/>
            <w:vAlign w:val="bottom"/>
          </w:tcPr>
          <w:p w14:paraId="1007D2BA" w14:textId="77777777" w:rsidR="00F554E7" w:rsidRPr="0045317D" w:rsidRDefault="00F554E7" w:rsidP="00B80789">
            <w:pPr>
              <w:jc w:val="center"/>
              <w:rPr>
                <w:rFonts w:ascii="Arial" w:hAnsi="Arial" w:cs="Arial"/>
              </w:rPr>
            </w:pPr>
          </w:p>
        </w:tc>
        <w:tc>
          <w:tcPr>
            <w:tcW w:w="1157" w:type="dxa"/>
            <w:vAlign w:val="bottom"/>
          </w:tcPr>
          <w:p w14:paraId="172BDE66" w14:textId="77777777" w:rsidR="00F554E7" w:rsidRPr="0045317D" w:rsidRDefault="00F554E7" w:rsidP="00B80789">
            <w:pPr>
              <w:jc w:val="center"/>
              <w:rPr>
                <w:rFonts w:ascii="Arial" w:hAnsi="Arial" w:cs="Arial"/>
              </w:rPr>
            </w:pPr>
          </w:p>
        </w:tc>
        <w:tc>
          <w:tcPr>
            <w:tcW w:w="1158" w:type="dxa"/>
            <w:vAlign w:val="bottom"/>
          </w:tcPr>
          <w:p w14:paraId="08FFA4B5" w14:textId="77777777" w:rsidR="00F554E7" w:rsidRPr="0045317D" w:rsidRDefault="00F554E7" w:rsidP="00B80789">
            <w:pPr>
              <w:jc w:val="center"/>
              <w:rPr>
                <w:rFonts w:ascii="Arial" w:hAnsi="Arial" w:cs="Arial"/>
              </w:rPr>
            </w:pPr>
          </w:p>
        </w:tc>
        <w:tc>
          <w:tcPr>
            <w:tcW w:w="1157" w:type="dxa"/>
            <w:vAlign w:val="bottom"/>
          </w:tcPr>
          <w:p w14:paraId="525E6954" w14:textId="77777777" w:rsidR="00F554E7" w:rsidRPr="0045317D" w:rsidRDefault="00F554E7" w:rsidP="00B80789">
            <w:pPr>
              <w:jc w:val="center"/>
              <w:rPr>
                <w:rFonts w:ascii="Arial" w:hAnsi="Arial" w:cs="Arial"/>
              </w:rPr>
            </w:pPr>
          </w:p>
        </w:tc>
        <w:tc>
          <w:tcPr>
            <w:tcW w:w="1158" w:type="dxa"/>
            <w:vAlign w:val="bottom"/>
          </w:tcPr>
          <w:p w14:paraId="0AFB907D" w14:textId="77777777" w:rsidR="00F554E7" w:rsidRPr="0045317D" w:rsidRDefault="00F554E7" w:rsidP="00B80789">
            <w:pPr>
              <w:jc w:val="center"/>
              <w:rPr>
                <w:rFonts w:ascii="Arial" w:hAnsi="Arial" w:cs="Arial"/>
              </w:rPr>
            </w:pPr>
          </w:p>
        </w:tc>
        <w:tc>
          <w:tcPr>
            <w:tcW w:w="1158" w:type="dxa"/>
            <w:vAlign w:val="bottom"/>
          </w:tcPr>
          <w:p w14:paraId="6FE2BE22" w14:textId="77777777" w:rsidR="00F554E7" w:rsidRPr="0045317D" w:rsidRDefault="00F554E7" w:rsidP="00B80789">
            <w:pPr>
              <w:jc w:val="center"/>
              <w:rPr>
                <w:rFonts w:ascii="Arial" w:hAnsi="Arial" w:cs="Arial"/>
              </w:rPr>
            </w:pPr>
          </w:p>
        </w:tc>
        <w:tc>
          <w:tcPr>
            <w:tcW w:w="1158" w:type="dxa"/>
            <w:vAlign w:val="bottom"/>
          </w:tcPr>
          <w:p w14:paraId="68A51D6E" w14:textId="77777777" w:rsidR="00F554E7" w:rsidRPr="0045317D" w:rsidRDefault="00F554E7" w:rsidP="00B80789">
            <w:pPr>
              <w:jc w:val="center"/>
              <w:rPr>
                <w:rFonts w:ascii="Arial" w:hAnsi="Arial" w:cs="Arial"/>
              </w:rPr>
            </w:pPr>
          </w:p>
        </w:tc>
        <w:tc>
          <w:tcPr>
            <w:tcW w:w="1158" w:type="dxa"/>
            <w:vAlign w:val="bottom"/>
          </w:tcPr>
          <w:p w14:paraId="2166E133" w14:textId="77777777" w:rsidR="00F554E7" w:rsidRPr="0045317D" w:rsidRDefault="00F554E7" w:rsidP="00B80789">
            <w:pPr>
              <w:jc w:val="center"/>
              <w:rPr>
                <w:rFonts w:ascii="Arial" w:hAnsi="Arial" w:cs="Arial"/>
              </w:rPr>
            </w:pPr>
          </w:p>
        </w:tc>
        <w:tc>
          <w:tcPr>
            <w:tcW w:w="1158" w:type="dxa"/>
            <w:vAlign w:val="bottom"/>
          </w:tcPr>
          <w:p w14:paraId="02DA2C03" w14:textId="77777777" w:rsidR="00F554E7" w:rsidRPr="0045317D" w:rsidRDefault="00F554E7" w:rsidP="00B80789">
            <w:pPr>
              <w:jc w:val="center"/>
              <w:rPr>
                <w:rFonts w:ascii="Arial" w:hAnsi="Arial" w:cs="Arial"/>
              </w:rPr>
            </w:pPr>
          </w:p>
        </w:tc>
      </w:tr>
      <w:tr w:rsidR="00F554E7" w:rsidRPr="00FC3309" w14:paraId="75967B35"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3C0C419" w14:textId="77777777" w:rsidR="00F554E7" w:rsidRPr="0000731A" w:rsidRDefault="00F554E7" w:rsidP="00B80789">
            <w:pPr>
              <w:jc w:val="center"/>
              <w:rPr>
                <w:rFonts w:ascii="Arial" w:hAnsi="Arial" w:cs="Arial"/>
              </w:rPr>
            </w:pPr>
            <w:r w:rsidRPr="0000731A">
              <w:rPr>
                <w:rFonts w:ascii="Arial" w:hAnsi="Arial" w:cs="Arial"/>
              </w:rPr>
              <w:t>70</w:t>
            </w:r>
          </w:p>
        </w:tc>
        <w:tc>
          <w:tcPr>
            <w:tcW w:w="1158" w:type="dxa"/>
            <w:tcBorders>
              <w:left w:val="dotDash" w:sz="4" w:space="0" w:color="auto"/>
              <w:right w:val="dotDash" w:sz="4" w:space="0" w:color="auto"/>
            </w:tcBorders>
            <w:shd w:val="clear" w:color="auto" w:fill="auto"/>
            <w:noWrap/>
            <w:vAlign w:val="bottom"/>
          </w:tcPr>
          <w:p w14:paraId="152FB1DE" w14:textId="77777777" w:rsidR="00F554E7" w:rsidRPr="0045317D" w:rsidRDefault="00F554E7" w:rsidP="00B80789">
            <w:pPr>
              <w:jc w:val="center"/>
              <w:rPr>
                <w:rFonts w:ascii="Arial" w:hAnsi="Arial" w:cs="Arial"/>
              </w:rPr>
            </w:pPr>
          </w:p>
        </w:tc>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1C73E1B" w14:textId="77777777" w:rsidR="00F554E7" w:rsidRPr="0000731A" w:rsidRDefault="00F554E7" w:rsidP="00B80789">
            <w:pPr>
              <w:jc w:val="center"/>
              <w:rPr>
                <w:rFonts w:ascii="Arial" w:hAnsi="Arial" w:cs="Arial"/>
              </w:rPr>
            </w:pPr>
            <w:r w:rsidRPr="0000731A">
              <w:rPr>
                <w:rFonts w:ascii="Arial" w:hAnsi="Arial" w:cs="Arial"/>
              </w:rPr>
              <w:t>20</w:t>
            </w:r>
          </w:p>
        </w:tc>
        <w:tc>
          <w:tcPr>
            <w:tcW w:w="1158" w:type="dxa"/>
            <w:tcBorders>
              <w:left w:val="dotDash" w:sz="4" w:space="0" w:color="auto"/>
            </w:tcBorders>
            <w:shd w:val="clear" w:color="auto" w:fill="auto"/>
            <w:vAlign w:val="bottom"/>
          </w:tcPr>
          <w:p w14:paraId="33A68E6A" w14:textId="77777777" w:rsidR="00F554E7" w:rsidRPr="0045317D" w:rsidRDefault="00F554E7" w:rsidP="00B80789">
            <w:pPr>
              <w:jc w:val="center"/>
              <w:rPr>
                <w:rFonts w:ascii="Arial" w:hAnsi="Arial" w:cs="Arial"/>
              </w:rPr>
            </w:pPr>
          </w:p>
        </w:tc>
        <w:tc>
          <w:tcPr>
            <w:tcW w:w="1157" w:type="dxa"/>
            <w:vAlign w:val="bottom"/>
          </w:tcPr>
          <w:p w14:paraId="17B254F9" w14:textId="77777777" w:rsidR="00F554E7" w:rsidRPr="0045317D" w:rsidRDefault="00F554E7" w:rsidP="00B80789">
            <w:pPr>
              <w:jc w:val="center"/>
              <w:rPr>
                <w:rFonts w:ascii="Arial" w:hAnsi="Arial" w:cs="Arial"/>
              </w:rPr>
            </w:pPr>
          </w:p>
        </w:tc>
        <w:tc>
          <w:tcPr>
            <w:tcW w:w="1158" w:type="dxa"/>
            <w:vAlign w:val="bottom"/>
          </w:tcPr>
          <w:p w14:paraId="2F728D7B" w14:textId="77777777" w:rsidR="00F554E7" w:rsidRPr="0045317D" w:rsidRDefault="00F554E7" w:rsidP="00B80789">
            <w:pPr>
              <w:jc w:val="center"/>
              <w:rPr>
                <w:rFonts w:ascii="Arial" w:hAnsi="Arial" w:cs="Arial"/>
              </w:rPr>
            </w:pPr>
          </w:p>
        </w:tc>
        <w:tc>
          <w:tcPr>
            <w:tcW w:w="1157" w:type="dxa"/>
            <w:vAlign w:val="bottom"/>
          </w:tcPr>
          <w:p w14:paraId="58AA63ED" w14:textId="77777777" w:rsidR="00F554E7" w:rsidRPr="0045317D" w:rsidRDefault="00F554E7" w:rsidP="00B80789">
            <w:pPr>
              <w:jc w:val="center"/>
              <w:rPr>
                <w:rFonts w:ascii="Arial" w:hAnsi="Arial" w:cs="Arial"/>
              </w:rPr>
            </w:pPr>
          </w:p>
        </w:tc>
        <w:tc>
          <w:tcPr>
            <w:tcW w:w="1158" w:type="dxa"/>
            <w:vAlign w:val="bottom"/>
          </w:tcPr>
          <w:p w14:paraId="1BC85670" w14:textId="77777777" w:rsidR="00F554E7" w:rsidRPr="0045317D" w:rsidRDefault="00F554E7" w:rsidP="00B80789">
            <w:pPr>
              <w:jc w:val="center"/>
              <w:rPr>
                <w:rFonts w:ascii="Arial" w:hAnsi="Arial" w:cs="Arial"/>
              </w:rPr>
            </w:pPr>
          </w:p>
        </w:tc>
        <w:tc>
          <w:tcPr>
            <w:tcW w:w="1158" w:type="dxa"/>
            <w:vAlign w:val="bottom"/>
          </w:tcPr>
          <w:p w14:paraId="6FA8CA45" w14:textId="77777777" w:rsidR="00F554E7" w:rsidRPr="0045317D" w:rsidRDefault="00F554E7" w:rsidP="00B80789">
            <w:pPr>
              <w:jc w:val="center"/>
              <w:rPr>
                <w:rFonts w:ascii="Arial" w:hAnsi="Arial" w:cs="Arial"/>
              </w:rPr>
            </w:pPr>
          </w:p>
        </w:tc>
        <w:tc>
          <w:tcPr>
            <w:tcW w:w="1158" w:type="dxa"/>
            <w:vAlign w:val="bottom"/>
          </w:tcPr>
          <w:p w14:paraId="3964B320" w14:textId="77777777" w:rsidR="00F554E7" w:rsidRPr="0045317D" w:rsidRDefault="00F554E7" w:rsidP="00B80789">
            <w:pPr>
              <w:jc w:val="center"/>
              <w:rPr>
                <w:rFonts w:ascii="Arial" w:hAnsi="Arial" w:cs="Arial"/>
              </w:rPr>
            </w:pPr>
          </w:p>
        </w:tc>
        <w:tc>
          <w:tcPr>
            <w:tcW w:w="1158" w:type="dxa"/>
            <w:vAlign w:val="bottom"/>
          </w:tcPr>
          <w:p w14:paraId="6738A86A" w14:textId="77777777" w:rsidR="00F554E7" w:rsidRPr="0045317D" w:rsidRDefault="00F554E7" w:rsidP="00B80789">
            <w:pPr>
              <w:jc w:val="center"/>
              <w:rPr>
                <w:rFonts w:ascii="Arial" w:hAnsi="Arial" w:cs="Arial"/>
              </w:rPr>
            </w:pPr>
          </w:p>
        </w:tc>
        <w:tc>
          <w:tcPr>
            <w:tcW w:w="1158" w:type="dxa"/>
            <w:vAlign w:val="bottom"/>
          </w:tcPr>
          <w:p w14:paraId="03A1E9E4" w14:textId="77777777" w:rsidR="00F554E7" w:rsidRPr="0045317D" w:rsidRDefault="00F554E7" w:rsidP="00B80789">
            <w:pPr>
              <w:jc w:val="center"/>
              <w:rPr>
                <w:rFonts w:ascii="Arial" w:hAnsi="Arial" w:cs="Arial"/>
              </w:rPr>
            </w:pPr>
          </w:p>
        </w:tc>
      </w:tr>
      <w:tr w:rsidR="00F554E7" w:rsidRPr="00FC3309" w14:paraId="446207F7" w14:textId="77777777" w:rsidTr="00B80789">
        <w:trPr>
          <w:trHeight w:val="317"/>
        </w:trPr>
        <w:tc>
          <w:tcPr>
            <w:tcW w:w="115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901A6FA" w14:textId="77777777" w:rsidR="00F554E7" w:rsidRPr="0000731A" w:rsidRDefault="00F554E7" w:rsidP="00B80789">
            <w:pPr>
              <w:jc w:val="center"/>
              <w:rPr>
                <w:rFonts w:ascii="Arial" w:hAnsi="Arial" w:cs="Arial"/>
              </w:rPr>
            </w:pPr>
            <w:r w:rsidRPr="0000731A">
              <w:rPr>
                <w:rFonts w:ascii="Arial" w:hAnsi="Arial" w:cs="Arial"/>
              </w:rPr>
              <w:t>60</w:t>
            </w:r>
          </w:p>
        </w:tc>
        <w:tc>
          <w:tcPr>
            <w:tcW w:w="1158" w:type="dxa"/>
            <w:tcBorders>
              <w:left w:val="dotDash" w:sz="4" w:space="0" w:color="auto"/>
            </w:tcBorders>
            <w:shd w:val="clear" w:color="auto" w:fill="auto"/>
            <w:noWrap/>
            <w:vAlign w:val="bottom"/>
          </w:tcPr>
          <w:p w14:paraId="3F6F8F13" w14:textId="77777777" w:rsidR="00F554E7" w:rsidRPr="0045317D" w:rsidRDefault="00F554E7" w:rsidP="00B80789">
            <w:pPr>
              <w:jc w:val="center"/>
              <w:rPr>
                <w:rFonts w:ascii="Arial" w:hAnsi="Arial" w:cs="Arial"/>
              </w:rPr>
            </w:pPr>
          </w:p>
        </w:tc>
        <w:tc>
          <w:tcPr>
            <w:tcW w:w="1157" w:type="dxa"/>
            <w:tcBorders>
              <w:top w:val="dotDash" w:sz="4" w:space="0" w:color="auto"/>
            </w:tcBorders>
            <w:shd w:val="clear" w:color="auto" w:fill="auto"/>
            <w:noWrap/>
            <w:vAlign w:val="bottom"/>
          </w:tcPr>
          <w:p w14:paraId="35D0A5F8" w14:textId="77777777" w:rsidR="00F554E7" w:rsidRPr="0045317D" w:rsidRDefault="00F554E7" w:rsidP="00B80789">
            <w:pPr>
              <w:jc w:val="center"/>
              <w:rPr>
                <w:rFonts w:ascii="Arial" w:hAnsi="Arial" w:cs="Arial"/>
              </w:rPr>
            </w:pPr>
          </w:p>
        </w:tc>
        <w:tc>
          <w:tcPr>
            <w:tcW w:w="1158" w:type="dxa"/>
            <w:shd w:val="clear" w:color="auto" w:fill="auto"/>
            <w:vAlign w:val="bottom"/>
          </w:tcPr>
          <w:p w14:paraId="207BDB4F" w14:textId="77777777" w:rsidR="00F554E7" w:rsidRPr="0045317D" w:rsidRDefault="00F554E7" w:rsidP="00B80789">
            <w:pPr>
              <w:jc w:val="center"/>
              <w:rPr>
                <w:rFonts w:ascii="Arial" w:hAnsi="Arial" w:cs="Arial"/>
              </w:rPr>
            </w:pPr>
          </w:p>
        </w:tc>
        <w:tc>
          <w:tcPr>
            <w:tcW w:w="1157" w:type="dxa"/>
            <w:vAlign w:val="bottom"/>
          </w:tcPr>
          <w:p w14:paraId="4A9932BA" w14:textId="77777777" w:rsidR="00F554E7" w:rsidRPr="0045317D" w:rsidRDefault="00F554E7" w:rsidP="00B80789">
            <w:pPr>
              <w:jc w:val="center"/>
              <w:rPr>
                <w:rFonts w:ascii="Arial" w:hAnsi="Arial" w:cs="Arial"/>
              </w:rPr>
            </w:pPr>
          </w:p>
        </w:tc>
        <w:tc>
          <w:tcPr>
            <w:tcW w:w="1158" w:type="dxa"/>
            <w:vAlign w:val="bottom"/>
          </w:tcPr>
          <w:p w14:paraId="723BD8EB" w14:textId="77777777" w:rsidR="00F554E7" w:rsidRPr="0045317D" w:rsidRDefault="00F554E7" w:rsidP="00B80789">
            <w:pPr>
              <w:jc w:val="center"/>
              <w:rPr>
                <w:rFonts w:ascii="Arial" w:hAnsi="Arial" w:cs="Arial"/>
              </w:rPr>
            </w:pPr>
          </w:p>
        </w:tc>
        <w:tc>
          <w:tcPr>
            <w:tcW w:w="1157" w:type="dxa"/>
            <w:vAlign w:val="bottom"/>
          </w:tcPr>
          <w:p w14:paraId="7CFD96EB" w14:textId="77777777" w:rsidR="00F554E7" w:rsidRPr="0045317D" w:rsidRDefault="00F554E7" w:rsidP="00B80789">
            <w:pPr>
              <w:jc w:val="center"/>
              <w:rPr>
                <w:rFonts w:ascii="Arial" w:hAnsi="Arial" w:cs="Arial"/>
              </w:rPr>
            </w:pPr>
          </w:p>
        </w:tc>
        <w:tc>
          <w:tcPr>
            <w:tcW w:w="1158" w:type="dxa"/>
            <w:vAlign w:val="bottom"/>
          </w:tcPr>
          <w:p w14:paraId="2793B6C6" w14:textId="77777777" w:rsidR="00F554E7" w:rsidRPr="0045317D" w:rsidRDefault="00F554E7" w:rsidP="00B80789">
            <w:pPr>
              <w:jc w:val="center"/>
              <w:rPr>
                <w:rFonts w:ascii="Arial" w:hAnsi="Arial" w:cs="Arial"/>
              </w:rPr>
            </w:pPr>
          </w:p>
        </w:tc>
        <w:tc>
          <w:tcPr>
            <w:tcW w:w="1158" w:type="dxa"/>
            <w:vAlign w:val="bottom"/>
          </w:tcPr>
          <w:p w14:paraId="68D79814" w14:textId="77777777" w:rsidR="00F554E7" w:rsidRPr="0045317D" w:rsidRDefault="00F554E7" w:rsidP="00B80789">
            <w:pPr>
              <w:jc w:val="center"/>
              <w:rPr>
                <w:rFonts w:ascii="Arial" w:hAnsi="Arial" w:cs="Arial"/>
              </w:rPr>
            </w:pPr>
          </w:p>
        </w:tc>
        <w:tc>
          <w:tcPr>
            <w:tcW w:w="1158" w:type="dxa"/>
            <w:vAlign w:val="bottom"/>
          </w:tcPr>
          <w:p w14:paraId="31F2226A" w14:textId="77777777" w:rsidR="00F554E7" w:rsidRPr="0045317D" w:rsidRDefault="00F554E7" w:rsidP="00B80789">
            <w:pPr>
              <w:jc w:val="center"/>
              <w:rPr>
                <w:rFonts w:ascii="Arial" w:hAnsi="Arial" w:cs="Arial"/>
              </w:rPr>
            </w:pPr>
          </w:p>
        </w:tc>
        <w:tc>
          <w:tcPr>
            <w:tcW w:w="1158" w:type="dxa"/>
            <w:vAlign w:val="bottom"/>
          </w:tcPr>
          <w:p w14:paraId="311F0C9B" w14:textId="77777777" w:rsidR="00F554E7" w:rsidRPr="0045317D" w:rsidRDefault="00F554E7" w:rsidP="00B80789">
            <w:pPr>
              <w:jc w:val="center"/>
              <w:rPr>
                <w:rFonts w:ascii="Arial" w:hAnsi="Arial" w:cs="Arial"/>
              </w:rPr>
            </w:pPr>
          </w:p>
        </w:tc>
        <w:tc>
          <w:tcPr>
            <w:tcW w:w="1158" w:type="dxa"/>
            <w:vAlign w:val="bottom"/>
          </w:tcPr>
          <w:p w14:paraId="0F3376D2" w14:textId="77777777" w:rsidR="00F554E7" w:rsidRPr="0045317D" w:rsidRDefault="00F554E7" w:rsidP="00B80789">
            <w:pPr>
              <w:jc w:val="center"/>
              <w:rPr>
                <w:rFonts w:ascii="Arial" w:hAnsi="Arial" w:cs="Arial"/>
              </w:rPr>
            </w:pPr>
          </w:p>
        </w:tc>
      </w:tr>
      <w:tr w:rsidR="00F554E7" w:rsidRPr="00FC3309" w14:paraId="24E645AA" w14:textId="77777777" w:rsidTr="00B80789">
        <w:trPr>
          <w:trHeight w:val="317"/>
        </w:trPr>
        <w:tc>
          <w:tcPr>
            <w:tcW w:w="1157" w:type="dxa"/>
            <w:tcBorders>
              <w:top w:val="dotDash" w:sz="4" w:space="0" w:color="auto"/>
              <w:left w:val="dotDash" w:sz="4" w:space="0" w:color="auto"/>
              <w:bottom w:val="single" w:sz="4" w:space="0" w:color="auto"/>
              <w:right w:val="dotDash" w:sz="4" w:space="0" w:color="auto"/>
            </w:tcBorders>
            <w:shd w:val="clear" w:color="auto" w:fill="auto"/>
            <w:noWrap/>
            <w:vAlign w:val="bottom"/>
          </w:tcPr>
          <w:p w14:paraId="7FD878FA" w14:textId="77777777" w:rsidR="00F554E7" w:rsidRPr="0000731A" w:rsidRDefault="00F554E7" w:rsidP="00B80789">
            <w:pPr>
              <w:jc w:val="center"/>
              <w:rPr>
                <w:rFonts w:ascii="Arial" w:hAnsi="Arial" w:cs="Arial"/>
              </w:rPr>
            </w:pPr>
            <w:r w:rsidRPr="0000731A">
              <w:rPr>
                <w:rFonts w:ascii="Arial" w:hAnsi="Arial" w:cs="Arial"/>
              </w:rPr>
              <w:t>0</w:t>
            </w:r>
          </w:p>
        </w:tc>
        <w:tc>
          <w:tcPr>
            <w:tcW w:w="1158" w:type="dxa"/>
            <w:tcBorders>
              <w:left w:val="dotDash" w:sz="4" w:space="0" w:color="auto"/>
              <w:bottom w:val="single" w:sz="4" w:space="0" w:color="auto"/>
            </w:tcBorders>
            <w:shd w:val="clear" w:color="auto" w:fill="auto"/>
            <w:noWrap/>
            <w:vAlign w:val="bottom"/>
          </w:tcPr>
          <w:p w14:paraId="2EA5FE64" w14:textId="77777777" w:rsidR="00F554E7" w:rsidRPr="0045317D" w:rsidRDefault="00F554E7" w:rsidP="00B80789">
            <w:pPr>
              <w:jc w:val="center"/>
              <w:rPr>
                <w:rFonts w:ascii="Arial" w:hAnsi="Arial" w:cs="Arial"/>
              </w:rPr>
            </w:pPr>
          </w:p>
        </w:tc>
        <w:tc>
          <w:tcPr>
            <w:tcW w:w="1157" w:type="dxa"/>
            <w:tcBorders>
              <w:bottom w:val="single" w:sz="4" w:space="0" w:color="auto"/>
            </w:tcBorders>
            <w:shd w:val="clear" w:color="auto" w:fill="auto"/>
            <w:noWrap/>
            <w:vAlign w:val="bottom"/>
          </w:tcPr>
          <w:p w14:paraId="311D07A3" w14:textId="77777777" w:rsidR="00F554E7" w:rsidRPr="0045317D" w:rsidRDefault="00F554E7" w:rsidP="00B80789">
            <w:pPr>
              <w:jc w:val="center"/>
              <w:rPr>
                <w:rFonts w:ascii="Arial" w:hAnsi="Arial" w:cs="Arial"/>
              </w:rPr>
            </w:pPr>
          </w:p>
        </w:tc>
        <w:tc>
          <w:tcPr>
            <w:tcW w:w="1158" w:type="dxa"/>
            <w:tcBorders>
              <w:bottom w:val="single" w:sz="4" w:space="0" w:color="auto"/>
            </w:tcBorders>
            <w:shd w:val="clear" w:color="auto" w:fill="auto"/>
            <w:vAlign w:val="bottom"/>
          </w:tcPr>
          <w:p w14:paraId="41BAD2BA" w14:textId="77777777" w:rsidR="00F554E7" w:rsidRPr="0045317D" w:rsidRDefault="00F554E7" w:rsidP="00B80789">
            <w:pPr>
              <w:jc w:val="center"/>
              <w:rPr>
                <w:rFonts w:ascii="Arial" w:hAnsi="Arial" w:cs="Arial"/>
              </w:rPr>
            </w:pPr>
          </w:p>
        </w:tc>
        <w:tc>
          <w:tcPr>
            <w:tcW w:w="1157" w:type="dxa"/>
            <w:tcBorders>
              <w:bottom w:val="single" w:sz="4" w:space="0" w:color="auto"/>
            </w:tcBorders>
            <w:vAlign w:val="bottom"/>
          </w:tcPr>
          <w:p w14:paraId="37331398" w14:textId="77777777" w:rsidR="00F554E7" w:rsidRPr="0045317D" w:rsidRDefault="00F554E7" w:rsidP="00B80789">
            <w:pPr>
              <w:jc w:val="center"/>
              <w:rPr>
                <w:rFonts w:ascii="Arial" w:hAnsi="Arial" w:cs="Arial"/>
              </w:rPr>
            </w:pPr>
          </w:p>
        </w:tc>
        <w:tc>
          <w:tcPr>
            <w:tcW w:w="1158" w:type="dxa"/>
            <w:tcBorders>
              <w:bottom w:val="single" w:sz="4" w:space="0" w:color="auto"/>
            </w:tcBorders>
            <w:vAlign w:val="bottom"/>
          </w:tcPr>
          <w:p w14:paraId="3D8388E2" w14:textId="77777777" w:rsidR="00F554E7" w:rsidRPr="0045317D" w:rsidRDefault="00F554E7" w:rsidP="00B80789">
            <w:pPr>
              <w:jc w:val="center"/>
              <w:rPr>
                <w:rFonts w:ascii="Arial" w:hAnsi="Arial" w:cs="Arial"/>
              </w:rPr>
            </w:pPr>
          </w:p>
        </w:tc>
        <w:tc>
          <w:tcPr>
            <w:tcW w:w="1157" w:type="dxa"/>
            <w:tcBorders>
              <w:bottom w:val="single" w:sz="4" w:space="0" w:color="auto"/>
            </w:tcBorders>
            <w:vAlign w:val="bottom"/>
          </w:tcPr>
          <w:p w14:paraId="7A2717B2" w14:textId="77777777" w:rsidR="00F554E7" w:rsidRPr="0045317D" w:rsidRDefault="00F554E7" w:rsidP="00B80789">
            <w:pPr>
              <w:jc w:val="center"/>
              <w:rPr>
                <w:rFonts w:ascii="Arial" w:hAnsi="Arial" w:cs="Arial"/>
              </w:rPr>
            </w:pPr>
          </w:p>
        </w:tc>
        <w:tc>
          <w:tcPr>
            <w:tcW w:w="1158" w:type="dxa"/>
            <w:tcBorders>
              <w:bottom w:val="single" w:sz="4" w:space="0" w:color="auto"/>
            </w:tcBorders>
            <w:vAlign w:val="bottom"/>
          </w:tcPr>
          <w:p w14:paraId="48C50073" w14:textId="77777777" w:rsidR="00F554E7" w:rsidRPr="0045317D" w:rsidRDefault="00F554E7" w:rsidP="00B80789">
            <w:pPr>
              <w:jc w:val="center"/>
              <w:rPr>
                <w:rFonts w:ascii="Arial" w:hAnsi="Arial" w:cs="Arial"/>
              </w:rPr>
            </w:pPr>
          </w:p>
        </w:tc>
        <w:tc>
          <w:tcPr>
            <w:tcW w:w="1158" w:type="dxa"/>
            <w:vAlign w:val="bottom"/>
          </w:tcPr>
          <w:p w14:paraId="48AF0E20" w14:textId="77777777" w:rsidR="00F554E7" w:rsidRPr="0045317D" w:rsidRDefault="00F554E7" w:rsidP="00B80789">
            <w:pPr>
              <w:jc w:val="center"/>
              <w:rPr>
                <w:rFonts w:ascii="Arial" w:hAnsi="Arial" w:cs="Arial"/>
              </w:rPr>
            </w:pPr>
          </w:p>
        </w:tc>
        <w:tc>
          <w:tcPr>
            <w:tcW w:w="1158" w:type="dxa"/>
            <w:vAlign w:val="bottom"/>
          </w:tcPr>
          <w:p w14:paraId="7EBDAD00" w14:textId="77777777" w:rsidR="00F554E7" w:rsidRPr="0045317D" w:rsidRDefault="00F554E7" w:rsidP="00B80789">
            <w:pPr>
              <w:jc w:val="center"/>
              <w:rPr>
                <w:rFonts w:ascii="Arial" w:hAnsi="Arial" w:cs="Arial"/>
              </w:rPr>
            </w:pPr>
          </w:p>
        </w:tc>
        <w:tc>
          <w:tcPr>
            <w:tcW w:w="1158" w:type="dxa"/>
            <w:vAlign w:val="bottom"/>
          </w:tcPr>
          <w:p w14:paraId="4DA2CEDD" w14:textId="77777777" w:rsidR="00F554E7" w:rsidRPr="0045317D" w:rsidRDefault="00F554E7" w:rsidP="00B80789">
            <w:pPr>
              <w:jc w:val="center"/>
              <w:rPr>
                <w:rFonts w:ascii="Arial" w:hAnsi="Arial" w:cs="Arial"/>
              </w:rPr>
            </w:pPr>
          </w:p>
        </w:tc>
        <w:tc>
          <w:tcPr>
            <w:tcW w:w="1158" w:type="dxa"/>
            <w:tcBorders>
              <w:bottom w:val="single" w:sz="4" w:space="0" w:color="auto"/>
            </w:tcBorders>
            <w:vAlign w:val="bottom"/>
          </w:tcPr>
          <w:p w14:paraId="79E6C37B" w14:textId="77777777" w:rsidR="00F554E7" w:rsidRPr="0045317D" w:rsidRDefault="00F554E7" w:rsidP="00B80789">
            <w:pPr>
              <w:jc w:val="center"/>
              <w:rPr>
                <w:rFonts w:ascii="Arial" w:hAnsi="Arial" w:cs="Arial"/>
              </w:rPr>
            </w:pPr>
          </w:p>
        </w:tc>
      </w:tr>
      <w:tr w:rsidR="00F554E7" w:rsidRPr="00FC3309" w14:paraId="081670D2" w14:textId="77777777" w:rsidTr="00B80789">
        <w:trPr>
          <w:trHeight w:val="317"/>
        </w:trPr>
        <w:tc>
          <w:tcPr>
            <w:tcW w:w="34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0B4787" w14:textId="77777777" w:rsidR="00F554E7" w:rsidRPr="0045317D" w:rsidRDefault="00F554E7" w:rsidP="00B80789">
            <w:pPr>
              <w:jc w:val="center"/>
              <w:rPr>
                <w:rFonts w:ascii="Arial" w:hAnsi="Arial" w:cs="Arial"/>
              </w:rPr>
            </w:pPr>
            <w:r w:rsidRPr="00D1300B">
              <w:rPr>
                <w:rFonts w:ascii="Arial" w:hAnsi="Arial" w:cs="Arial"/>
              </w:rPr>
              <w:lastRenderedPageBreak/>
              <w:t>Total</w:t>
            </w: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18C3C56F" w14:textId="77777777" w:rsidR="00F554E7" w:rsidRPr="00E25501" w:rsidRDefault="00F554E7" w:rsidP="00B80789">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shd w:val="clear" w:color="auto" w:fill="A6A6A6"/>
            <w:vAlign w:val="bottom"/>
          </w:tcPr>
          <w:p w14:paraId="297A006D" w14:textId="77777777" w:rsidR="00F554E7" w:rsidRPr="00E25501" w:rsidRDefault="00F554E7" w:rsidP="00B80789">
            <w:pPr>
              <w:jc w:val="center"/>
              <w:rPr>
                <w:rFonts w:ascii="Arial" w:hAnsi="Arial" w:cs="Arial"/>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486F2BEA" w14:textId="77777777" w:rsidR="00F554E7" w:rsidRPr="00E25501" w:rsidRDefault="00F554E7" w:rsidP="00B80789">
            <w:pPr>
              <w:jc w:val="center"/>
              <w:rPr>
                <w:rFonts w:ascii="Arial" w:hAnsi="Arial" w:cs="Arial"/>
              </w:rPr>
            </w:pPr>
          </w:p>
        </w:tc>
        <w:tc>
          <w:tcPr>
            <w:tcW w:w="1157" w:type="dxa"/>
            <w:tcBorders>
              <w:top w:val="single" w:sz="4" w:space="0" w:color="auto"/>
              <w:left w:val="single" w:sz="4" w:space="0" w:color="auto"/>
              <w:bottom w:val="single" w:sz="4" w:space="0" w:color="auto"/>
              <w:right w:val="single" w:sz="4" w:space="0" w:color="auto"/>
            </w:tcBorders>
            <w:shd w:val="clear" w:color="auto" w:fill="A6A6A6"/>
            <w:vAlign w:val="bottom"/>
          </w:tcPr>
          <w:p w14:paraId="6BF4936F" w14:textId="77777777" w:rsidR="00F554E7" w:rsidRPr="00E25501" w:rsidRDefault="00F554E7" w:rsidP="00B80789">
            <w:pPr>
              <w:jc w:val="center"/>
              <w:rPr>
                <w:rFonts w:ascii="Arial" w:hAnsi="Arial" w:cs="Arial"/>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20C90AF4" w14:textId="77777777" w:rsidR="00F554E7" w:rsidRPr="00E25501" w:rsidRDefault="00F554E7" w:rsidP="00B80789">
            <w:pPr>
              <w:jc w:val="center"/>
              <w:rPr>
                <w:rFonts w:ascii="Arial" w:hAnsi="Arial" w:cs="Arial"/>
              </w:rPr>
            </w:pPr>
          </w:p>
        </w:tc>
        <w:tc>
          <w:tcPr>
            <w:tcW w:w="1158" w:type="dxa"/>
            <w:tcBorders>
              <w:left w:val="single" w:sz="4" w:space="0" w:color="auto"/>
            </w:tcBorders>
            <w:vAlign w:val="bottom"/>
          </w:tcPr>
          <w:p w14:paraId="5BB5EF68" w14:textId="77777777" w:rsidR="00F554E7" w:rsidRPr="00E25501" w:rsidRDefault="00F554E7" w:rsidP="00B80789">
            <w:pPr>
              <w:jc w:val="center"/>
              <w:rPr>
                <w:rFonts w:ascii="Arial" w:hAnsi="Arial" w:cs="Arial"/>
              </w:rPr>
            </w:pPr>
          </w:p>
        </w:tc>
        <w:tc>
          <w:tcPr>
            <w:tcW w:w="1158" w:type="dxa"/>
            <w:vAlign w:val="bottom"/>
          </w:tcPr>
          <w:p w14:paraId="6DAE4E88" w14:textId="77777777" w:rsidR="00F554E7" w:rsidRPr="00E25501" w:rsidRDefault="00F554E7" w:rsidP="00B80789">
            <w:pPr>
              <w:jc w:val="center"/>
              <w:rPr>
                <w:rFonts w:ascii="Arial" w:hAnsi="Arial" w:cs="Arial"/>
              </w:rPr>
            </w:pPr>
          </w:p>
        </w:tc>
        <w:tc>
          <w:tcPr>
            <w:tcW w:w="1158" w:type="dxa"/>
            <w:tcBorders>
              <w:right w:val="single" w:sz="4" w:space="0" w:color="auto"/>
            </w:tcBorders>
            <w:vAlign w:val="bottom"/>
          </w:tcPr>
          <w:p w14:paraId="5307AADF" w14:textId="77777777" w:rsidR="00F554E7" w:rsidRPr="00E25501" w:rsidRDefault="00F554E7" w:rsidP="00B80789">
            <w:pPr>
              <w:jc w:val="center"/>
              <w:rPr>
                <w:rFonts w:ascii="Arial" w:hAnsi="Arial" w:cs="Arial"/>
              </w:rPr>
            </w:pPr>
          </w:p>
        </w:tc>
        <w:tc>
          <w:tcPr>
            <w:tcW w:w="1158" w:type="dxa"/>
            <w:tcBorders>
              <w:top w:val="single" w:sz="4" w:space="0" w:color="auto"/>
              <w:left w:val="single" w:sz="4" w:space="0" w:color="auto"/>
              <w:bottom w:val="single" w:sz="4" w:space="0" w:color="auto"/>
              <w:right w:val="single" w:sz="4" w:space="0" w:color="auto"/>
            </w:tcBorders>
            <w:shd w:val="clear" w:color="auto" w:fill="A6A6A6"/>
            <w:vAlign w:val="bottom"/>
          </w:tcPr>
          <w:p w14:paraId="68330367" w14:textId="77777777" w:rsidR="00F554E7" w:rsidRPr="00E25501" w:rsidRDefault="00F554E7" w:rsidP="00B80789">
            <w:pPr>
              <w:jc w:val="center"/>
              <w:rPr>
                <w:rFonts w:ascii="Arial" w:hAnsi="Arial" w:cs="Arial"/>
              </w:rPr>
            </w:pPr>
          </w:p>
        </w:tc>
      </w:tr>
    </w:tbl>
    <w:p w14:paraId="5FF2D911" w14:textId="77777777" w:rsidR="00F554E7" w:rsidRDefault="00F554E7" w:rsidP="00F554E7">
      <w:pPr>
        <w:rPr>
          <w:rFonts w:ascii="Arial" w:hAnsi="Arial" w:cs="Arial"/>
        </w:rPr>
      </w:pPr>
    </w:p>
    <w:tbl>
      <w:tblPr>
        <w:tblW w:w="13892" w:type="dxa"/>
        <w:tblInd w:w="108" w:type="dxa"/>
        <w:tblLook w:val="04A0" w:firstRow="1" w:lastRow="0" w:firstColumn="1" w:lastColumn="0" w:noHBand="0" w:noVBand="1"/>
      </w:tblPr>
      <w:tblGrid>
        <w:gridCol w:w="13892"/>
      </w:tblGrid>
      <w:tr w:rsidR="00F554E7" w:rsidRPr="00FC3309" w14:paraId="4117E9B3" w14:textId="77777777" w:rsidTr="00B80789">
        <w:tc>
          <w:tcPr>
            <w:tcW w:w="8804" w:type="dxa"/>
          </w:tcPr>
          <w:p w14:paraId="027E4489" w14:textId="2E06BE19" w:rsidR="00F554E7" w:rsidRPr="00E25501" w:rsidRDefault="00A063AF" w:rsidP="00F554E7">
            <w:pPr>
              <w:numPr>
                <w:ilvl w:val="1"/>
                <w:numId w:val="45"/>
              </w:numPr>
              <w:ind w:hanging="250"/>
              <w:rPr>
                <w:rFonts w:ascii="Arial" w:hAnsi="Arial" w:cs="Arial"/>
                <w:b/>
                <w:bCs/>
                <w:sz w:val="24"/>
                <w:szCs w:val="24"/>
              </w:rPr>
            </w:pPr>
            <w:r>
              <w:rPr>
                <w:rFonts w:ascii="Arial" w:hAnsi="Arial" w:cs="Arial"/>
                <w:b/>
                <w:bCs/>
                <w:sz w:val="24"/>
                <w:szCs w:val="24"/>
              </w:rPr>
              <w:t xml:space="preserve">2.2. </w:t>
            </w:r>
            <w:r w:rsidR="00F554E7" w:rsidRPr="00E25501">
              <w:rPr>
                <w:rFonts w:ascii="Arial" w:hAnsi="Arial" w:cs="Arial"/>
                <w:b/>
                <w:bCs/>
                <w:sz w:val="24"/>
                <w:szCs w:val="24"/>
              </w:rPr>
              <w:t>Pool cover</w:t>
            </w:r>
          </w:p>
        </w:tc>
      </w:tr>
    </w:tbl>
    <w:p w14:paraId="4D6D5F21" w14:textId="77777777" w:rsidR="00F554E7" w:rsidRDefault="00F554E7" w:rsidP="00F554E7">
      <w:pPr>
        <w:rPr>
          <w:rFonts w:ascii="Arial" w:hAnsi="Arial" w:cs="Arial"/>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F554E7" w:rsidRPr="00FC3309" w14:paraId="4DFE43CE" w14:textId="77777777" w:rsidTr="00B80789">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77E7636E" w14:textId="77777777" w:rsidR="00F554E7" w:rsidRPr="00FC3309" w:rsidRDefault="00F554E7" w:rsidP="00B80789">
            <w:pPr>
              <w:jc w:val="center"/>
              <w:rPr>
                <w:rFonts w:ascii="Arial" w:hAnsi="Arial" w:cs="Arial"/>
                <w:b/>
                <w:bCs/>
              </w:rPr>
            </w:pPr>
            <w:r>
              <w:rPr>
                <w:rFonts w:ascii="Arial" w:hAnsi="Arial" w:cs="Arial"/>
                <w:b/>
                <w:bCs/>
              </w:rPr>
              <w:t>Weighted-average LVR (%)</w:t>
            </w:r>
          </w:p>
        </w:tc>
        <w:tc>
          <w:tcPr>
            <w:tcW w:w="1985" w:type="dxa"/>
            <w:tcBorders>
              <w:top w:val="single" w:sz="4" w:space="0" w:color="auto"/>
              <w:left w:val="nil"/>
              <w:bottom w:val="nil"/>
              <w:right w:val="single" w:sz="4" w:space="0" w:color="auto"/>
            </w:tcBorders>
            <w:shd w:val="clear" w:color="auto" w:fill="auto"/>
            <w:vAlign w:val="bottom"/>
            <w:hideMark/>
          </w:tcPr>
          <w:p w14:paraId="02DE6920" w14:textId="77777777" w:rsidR="00F554E7" w:rsidRPr="00FC3309" w:rsidRDefault="00F554E7" w:rsidP="00B80789">
            <w:pPr>
              <w:jc w:val="center"/>
              <w:rPr>
                <w:rFonts w:ascii="Arial" w:hAnsi="Arial" w:cs="Arial"/>
                <w:b/>
                <w:bCs/>
              </w:rPr>
            </w:pPr>
            <w:r w:rsidRPr="00D1300B">
              <w:rPr>
                <w:rFonts w:ascii="Arial" w:hAnsi="Arial" w:cs="Arial"/>
                <w:b/>
                <w:bCs/>
              </w:rPr>
              <w:t>Weighted-average age</w:t>
            </w:r>
          </w:p>
        </w:tc>
        <w:tc>
          <w:tcPr>
            <w:tcW w:w="1984" w:type="dxa"/>
            <w:tcBorders>
              <w:top w:val="single" w:sz="4" w:space="0" w:color="auto"/>
              <w:left w:val="nil"/>
              <w:bottom w:val="nil"/>
              <w:right w:val="single" w:sz="4" w:space="0" w:color="auto"/>
            </w:tcBorders>
            <w:shd w:val="clear" w:color="auto" w:fill="auto"/>
            <w:vAlign w:val="bottom"/>
            <w:hideMark/>
          </w:tcPr>
          <w:p w14:paraId="2973B556" w14:textId="77777777" w:rsidR="00F554E7" w:rsidRPr="00FC3309" w:rsidRDefault="00F554E7" w:rsidP="00B80789">
            <w:pPr>
              <w:jc w:val="center"/>
              <w:rPr>
                <w:rFonts w:ascii="Arial" w:hAnsi="Arial" w:cs="Arial"/>
                <w:b/>
                <w:bCs/>
              </w:rPr>
            </w:pPr>
            <w:r w:rsidRPr="00D1300B">
              <w:rPr>
                <w:rFonts w:ascii="Arial" w:hAnsi="Arial" w:cs="Arial"/>
                <w:b/>
                <w:bCs/>
              </w:rPr>
              <w:t>Seasoning factor</w:t>
            </w:r>
          </w:p>
        </w:tc>
        <w:tc>
          <w:tcPr>
            <w:tcW w:w="1985" w:type="dxa"/>
            <w:tcBorders>
              <w:top w:val="single" w:sz="4" w:space="0" w:color="auto"/>
              <w:left w:val="nil"/>
              <w:bottom w:val="nil"/>
              <w:right w:val="single" w:sz="4" w:space="0" w:color="000000"/>
            </w:tcBorders>
            <w:shd w:val="clear" w:color="auto" w:fill="auto"/>
            <w:vAlign w:val="bottom"/>
            <w:hideMark/>
          </w:tcPr>
          <w:p w14:paraId="57006D60" w14:textId="77777777" w:rsidR="00F554E7" w:rsidRPr="00FC3309" w:rsidRDefault="00F554E7" w:rsidP="00B80789">
            <w:pPr>
              <w:jc w:val="center"/>
              <w:rPr>
                <w:rFonts w:ascii="Arial" w:hAnsi="Arial" w:cs="Arial"/>
                <w:b/>
                <w:bCs/>
              </w:rPr>
            </w:pPr>
            <w:r w:rsidRPr="00D1300B">
              <w:rPr>
                <w:rFonts w:ascii="Arial" w:hAnsi="Arial" w:cs="Arial"/>
                <w:b/>
                <w:bCs/>
              </w:rPr>
              <w:t>Total sum insured</w:t>
            </w:r>
          </w:p>
        </w:tc>
        <w:tc>
          <w:tcPr>
            <w:tcW w:w="1984" w:type="dxa"/>
            <w:tcBorders>
              <w:top w:val="single" w:sz="4" w:space="0" w:color="auto"/>
              <w:left w:val="nil"/>
              <w:bottom w:val="nil"/>
              <w:right w:val="single" w:sz="4" w:space="0" w:color="000000"/>
            </w:tcBorders>
            <w:vAlign w:val="bottom"/>
          </w:tcPr>
          <w:p w14:paraId="4670D125" w14:textId="77777777" w:rsidR="00F554E7" w:rsidRPr="00FC3309" w:rsidRDefault="00F554E7" w:rsidP="00B80789">
            <w:pPr>
              <w:jc w:val="center"/>
              <w:rPr>
                <w:rFonts w:ascii="Arial" w:hAnsi="Arial" w:cs="Arial"/>
                <w:b/>
                <w:bCs/>
              </w:rPr>
            </w:pPr>
            <w:r w:rsidRPr="00D1300B">
              <w:rPr>
                <w:rFonts w:ascii="Arial" w:hAnsi="Arial" w:cs="Arial"/>
                <w:b/>
                <w:bCs/>
              </w:rPr>
              <w:t>PD factor</w:t>
            </w:r>
          </w:p>
        </w:tc>
        <w:tc>
          <w:tcPr>
            <w:tcW w:w="1985" w:type="dxa"/>
            <w:tcBorders>
              <w:top w:val="single" w:sz="4" w:space="0" w:color="auto"/>
              <w:left w:val="nil"/>
              <w:bottom w:val="nil"/>
              <w:right w:val="single" w:sz="4" w:space="0" w:color="000000"/>
            </w:tcBorders>
            <w:vAlign w:val="bottom"/>
          </w:tcPr>
          <w:p w14:paraId="7114470A" w14:textId="77777777" w:rsidR="00F554E7" w:rsidRPr="00FC3309" w:rsidRDefault="00F554E7" w:rsidP="00B80789">
            <w:pPr>
              <w:jc w:val="center"/>
              <w:rPr>
                <w:rFonts w:ascii="Arial" w:hAnsi="Arial" w:cs="Arial"/>
                <w:b/>
                <w:bCs/>
              </w:rPr>
            </w:pPr>
            <w:r w:rsidRPr="00D1300B">
              <w:rPr>
                <w:rFonts w:ascii="Arial" w:hAnsi="Arial" w:cs="Arial"/>
                <w:b/>
                <w:bCs/>
              </w:rPr>
              <w:t>LGD factor</w:t>
            </w:r>
          </w:p>
        </w:tc>
        <w:tc>
          <w:tcPr>
            <w:tcW w:w="1984" w:type="dxa"/>
            <w:tcBorders>
              <w:top w:val="single" w:sz="4" w:space="0" w:color="auto"/>
              <w:left w:val="nil"/>
              <w:bottom w:val="nil"/>
              <w:right w:val="single" w:sz="4" w:space="0" w:color="000000"/>
            </w:tcBorders>
            <w:vAlign w:val="bottom"/>
          </w:tcPr>
          <w:p w14:paraId="31F6393A" w14:textId="77777777" w:rsidR="00F554E7" w:rsidRPr="00FC3309" w:rsidRDefault="00F554E7" w:rsidP="00B80789">
            <w:pPr>
              <w:jc w:val="center"/>
              <w:rPr>
                <w:rFonts w:ascii="Arial" w:hAnsi="Arial" w:cs="Arial"/>
                <w:b/>
                <w:bCs/>
              </w:rPr>
            </w:pPr>
            <w:r w:rsidRPr="00D1300B">
              <w:rPr>
                <w:rFonts w:ascii="Arial" w:hAnsi="Arial" w:cs="Arial"/>
                <w:b/>
                <w:bCs/>
              </w:rPr>
              <w:t>PML</w:t>
            </w:r>
          </w:p>
        </w:tc>
      </w:tr>
      <w:tr w:rsidR="00F554E7" w:rsidRPr="00FC3309" w14:paraId="62BD3B72" w14:textId="77777777" w:rsidTr="00B80789">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2E7C1898" w14:textId="77777777" w:rsidR="00F554E7" w:rsidRPr="00FC3309" w:rsidRDefault="00F554E7" w:rsidP="00B80789">
            <w:pPr>
              <w:jc w:val="center"/>
              <w:rPr>
                <w:rFonts w:ascii="Arial" w:hAnsi="Arial" w:cs="Arial"/>
                <w:b/>
                <w:bCs/>
              </w:rPr>
            </w:pPr>
            <w:r w:rsidRPr="00FC3309">
              <w:rPr>
                <w:rFonts w:ascii="Arial" w:hAnsi="Arial" w:cs="Arial"/>
                <w:b/>
                <w:bCs/>
              </w:rPr>
              <w:t>(1)</w:t>
            </w:r>
          </w:p>
        </w:tc>
        <w:tc>
          <w:tcPr>
            <w:tcW w:w="1985" w:type="dxa"/>
            <w:tcBorders>
              <w:top w:val="nil"/>
              <w:left w:val="nil"/>
              <w:bottom w:val="single" w:sz="4" w:space="0" w:color="auto"/>
              <w:right w:val="single" w:sz="4" w:space="0" w:color="auto"/>
            </w:tcBorders>
            <w:shd w:val="clear" w:color="auto" w:fill="auto"/>
            <w:vAlign w:val="bottom"/>
            <w:hideMark/>
          </w:tcPr>
          <w:p w14:paraId="69C84221" w14:textId="77777777" w:rsidR="00F554E7" w:rsidRPr="00FC3309" w:rsidRDefault="00F554E7" w:rsidP="00B80789">
            <w:pPr>
              <w:jc w:val="center"/>
              <w:rPr>
                <w:rFonts w:ascii="Arial" w:hAnsi="Arial" w:cs="Arial"/>
                <w:b/>
                <w:bCs/>
              </w:rPr>
            </w:pPr>
            <w:r w:rsidRPr="00FC3309">
              <w:rPr>
                <w:rFonts w:ascii="Arial" w:hAnsi="Arial" w:cs="Arial"/>
                <w:b/>
                <w:bCs/>
              </w:rPr>
              <w:t>(2)</w:t>
            </w:r>
          </w:p>
        </w:tc>
        <w:tc>
          <w:tcPr>
            <w:tcW w:w="1984" w:type="dxa"/>
            <w:tcBorders>
              <w:top w:val="nil"/>
              <w:left w:val="nil"/>
              <w:bottom w:val="single" w:sz="4" w:space="0" w:color="auto"/>
              <w:right w:val="single" w:sz="4" w:space="0" w:color="auto"/>
            </w:tcBorders>
            <w:shd w:val="clear" w:color="auto" w:fill="auto"/>
            <w:vAlign w:val="bottom"/>
            <w:hideMark/>
          </w:tcPr>
          <w:p w14:paraId="429DCDB2" w14:textId="77777777" w:rsidR="00F554E7" w:rsidRPr="00FC3309" w:rsidRDefault="00F554E7" w:rsidP="00B80789">
            <w:pPr>
              <w:jc w:val="center"/>
              <w:rPr>
                <w:rFonts w:ascii="Arial" w:hAnsi="Arial" w:cs="Arial"/>
                <w:b/>
                <w:bCs/>
              </w:rPr>
            </w:pPr>
            <w:r w:rsidRPr="00FC3309">
              <w:rPr>
                <w:rFonts w:ascii="Arial" w:hAnsi="Arial" w:cs="Arial"/>
                <w:b/>
                <w:bCs/>
              </w:rPr>
              <w:t>(3)</w:t>
            </w:r>
          </w:p>
        </w:tc>
        <w:tc>
          <w:tcPr>
            <w:tcW w:w="1985" w:type="dxa"/>
            <w:tcBorders>
              <w:top w:val="nil"/>
              <w:left w:val="nil"/>
              <w:bottom w:val="single" w:sz="4" w:space="0" w:color="auto"/>
              <w:right w:val="single" w:sz="4" w:space="0" w:color="000000"/>
            </w:tcBorders>
            <w:shd w:val="clear" w:color="auto" w:fill="auto"/>
            <w:vAlign w:val="bottom"/>
            <w:hideMark/>
          </w:tcPr>
          <w:p w14:paraId="3AE8FA1C" w14:textId="77777777" w:rsidR="00F554E7" w:rsidRPr="00FC3309" w:rsidRDefault="00F554E7" w:rsidP="00B80789">
            <w:pPr>
              <w:jc w:val="center"/>
              <w:rPr>
                <w:rFonts w:ascii="Arial" w:hAnsi="Arial" w:cs="Arial"/>
                <w:b/>
                <w:bCs/>
              </w:rPr>
            </w:pPr>
            <w:r w:rsidRPr="00FC3309">
              <w:rPr>
                <w:rFonts w:ascii="Arial" w:hAnsi="Arial" w:cs="Arial"/>
                <w:b/>
                <w:bCs/>
              </w:rPr>
              <w:t>(4)</w:t>
            </w:r>
          </w:p>
        </w:tc>
        <w:tc>
          <w:tcPr>
            <w:tcW w:w="1984" w:type="dxa"/>
            <w:tcBorders>
              <w:top w:val="nil"/>
              <w:left w:val="nil"/>
              <w:bottom w:val="single" w:sz="4" w:space="0" w:color="auto"/>
              <w:right w:val="single" w:sz="4" w:space="0" w:color="000000"/>
            </w:tcBorders>
            <w:vAlign w:val="bottom"/>
          </w:tcPr>
          <w:p w14:paraId="16CFD2D9" w14:textId="77777777" w:rsidR="00F554E7" w:rsidRPr="00FC3309" w:rsidRDefault="00F554E7" w:rsidP="00B80789">
            <w:pPr>
              <w:jc w:val="center"/>
              <w:rPr>
                <w:rFonts w:ascii="Arial" w:hAnsi="Arial" w:cs="Arial"/>
                <w:b/>
                <w:bCs/>
              </w:rPr>
            </w:pPr>
            <w:r w:rsidRPr="00FC3309">
              <w:rPr>
                <w:rFonts w:ascii="Arial" w:hAnsi="Arial" w:cs="Arial"/>
                <w:b/>
                <w:bCs/>
              </w:rPr>
              <w:t>(5)</w:t>
            </w:r>
          </w:p>
        </w:tc>
        <w:tc>
          <w:tcPr>
            <w:tcW w:w="1985" w:type="dxa"/>
            <w:tcBorders>
              <w:top w:val="nil"/>
              <w:left w:val="nil"/>
              <w:bottom w:val="single" w:sz="4" w:space="0" w:color="auto"/>
              <w:right w:val="single" w:sz="4" w:space="0" w:color="000000"/>
            </w:tcBorders>
            <w:vAlign w:val="bottom"/>
          </w:tcPr>
          <w:p w14:paraId="3DD89E08" w14:textId="77777777" w:rsidR="00F554E7" w:rsidRPr="00FC3309" w:rsidRDefault="00F554E7" w:rsidP="00B80789">
            <w:pPr>
              <w:jc w:val="center"/>
              <w:rPr>
                <w:rFonts w:ascii="Arial" w:hAnsi="Arial" w:cs="Arial"/>
                <w:b/>
                <w:bCs/>
              </w:rPr>
            </w:pPr>
            <w:r w:rsidRPr="00FC3309">
              <w:rPr>
                <w:rFonts w:ascii="Arial" w:hAnsi="Arial" w:cs="Arial"/>
                <w:b/>
                <w:bCs/>
              </w:rPr>
              <w:t>(6)</w:t>
            </w:r>
          </w:p>
        </w:tc>
        <w:tc>
          <w:tcPr>
            <w:tcW w:w="1984" w:type="dxa"/>
            <w:tcBorders>
              <w:top w:val="nil"/>
              <w:left w:val="nil"/>
              <w:bottom w:val="single" w:sz="4" w:space="0" w:color="auto"/>
              <w:right w:val="single" w:sz="4" w:space="0" w:color="000000"/>
            </w:tcBorders>
            <w:vAlign w:val="bottom"/>
          </w:tcPr>
          <w:p w14:paraId="3A337285" w14:textId="77777777" w:rsidR="00F554E7" w:rsidRPr="00FC3309" w:rsidRDefault="00F554E7" w:rsidP="00B80789">
            <w:pPr>
              <w:jc w:val="center"/>
              <w:rPr>
                <w:rFonts w:ascii="Arial" w:hAnsi="Arial" w:cs="Arial"/>
                <w:b/>
                <w:bCs/>
              </w:rPr>
            </w:pPr>
            <w:r w:rsidRPr="00FC3309">
              <w:rPr>
                <w:rFonts w:ascii="Arial" w:hAnsi="Arial" w:cs="Arial"/>
                <w:b/>
                <w:bCs/>
              </w:rPr>
              <w:t>(7)</w:t>
            </w:r>
          </w:p>
        </w:tc>
      </w:tr>
      <w:tr w:rsidR="00F554E7" w:rsidRPr="00FC3309" w14:paraId="3E405E83" w14:textId="77777777" w:rsidTr="00B80789">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E6A2B" w14:textId="77777777" w:rsidR="00F554E7" w:rsidRPr="00E25501" w:rsidRDefault="00F554E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85BC0B9" w14:textId="77777777" w:rsidR="00F554E7" w:rsidRPr="00E25501" w:rsidRDefault="00F554E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noWrap/>
            <w:vAlign w:val="bottom"/>
          </w:tcPr>
          <w:p w14:paraId="62FD4F86" w14:textId="77777777" w:rsidR="00F554E7" w:rsidRPr="00E25501" w:rsidRDefault="00F554E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AE0AB1C" w14:textId="77777777" w:rsidR="00F554E7" w:rsidRPr="00E25501" w:rsidRDefault="00F554E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08112C70" w14:textId="77777777" w:rsidR="00F554E7" w:rsidRPr="00E25501" w:rsidRDefault="00F554E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15E2814F" w14:textId="77777777" w:rsidR="00F554E7" w:rsidRPr="00E25501" w:rsidRDefault="00F554E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2D876527" w14:textId="77777777" w:rsidR="00F554E7" w:rsidRPr="00E25501" w:rsidRDefault="00F554E7" w:rsidP="00B80789">
            <w:pPr>
              <w:jc w:val="center"/>
              <w:rPr>
                <w:rFonts w:ascii="Arial" w:hAnsi="Arial" w:cs="Arial"/>
              </w:rPr>
            </w:pPr>
          </w:p>
        </w:tc>
      </w:tr>
      <w:tr w:rsidR="00F554E7" w:rsidRPr="00FC3309" w14:paraId="3FBB4A2C" w14:textId="77777777" w:rsidTr="00B80789">
        <w:trPr>
          <w:trHeight w:val="317"/>
        </w:trPr>
        <w:tc>
          <w:tcPr>
            <w:tcW w:w="59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769D28" w14:textId="77777777" w:rsidR="00F554E7" w:rsidRPr="00E25501" w:rsidRDefault="00F554E7" w:rsidP="00B80789">
            <w:pPr>
              <w:jc w:val="center"/>
              <w:rPr>
                <w:rFonts w:ascii="Arial" w:hAnsi="Arial" w:cs="Arial"/>
              </w:rPr>
            </w:pPr>
            <w:r w:rsidRPr="00E25501">
              <w:rPr>
                <w:rFonts w:ascii="Arial" w:hAnsi="Arial" w:cs="Arial"/>
              </w:rPr>
              <w:t>Total</w:t>
            </w:r>
          </w:p>
        </w:tc>
        <w:tc>
          <w:tcPr>
            <w:tcW w:w="1985" w:type="dxa"/>
            <w:tcBorders>
              <w:top w:val="single" w:sz="4" w:space="0" w:color="auto"/>
              <w:left w:val="nil"/>
              <w:bottom w:val="single" w:sz="4" w:space="0" w:color="auto"/>
              <w:right w:val="single" w:sz="4" w:space="0" w:color="auto"/>
            </w:tcBorders>
            <w:shd w:val="clear" w:color="auto" w:fill="A6A6A6"/>
            <w:vAlign w:val="bottom"/>
          </w:tcPr>
          <w:p w14:paraId="4F77F201" w14:textId="77777777" w:rsidR="00F554E7" w:rsidRPr="00E25501" w:rsidRDefault="00F554E7" w:rsidP="00B80789">
            <w:pPr>
              <w:jc w:val="center"/>
              <w:rPr>
                <w:rFonts w:ascii="Arial" w:hAnsi="Arial" w:cs="Arial"/>
              </w:rPr>
            </w:pPr>
          </w:p>
        </w:tc>
        <w:tc>
          <w:tcPr>
            <w:tcW w:w="1984" w:type="dxa"/>
            <w:tcBorders>
              <w:top w:val="single" w:sz="4" w:space="0" w:color="auto"/>
              <w:left w:val="nil"/>
            </w:tcBorders>
            <w:vAlign w:val="bottom"/>
          </w:tcPr>
          <w:p w14:paraId="478BEE79" w14:textId="77777777" w:rsidR="00F554E7" w:rsidRPr="00E25501" w:rsidRDefault="00F554E7" w:rsidP="00B80789">
            <w:pPr>
              <w:jc w:val="center"/>
              <w:rPr>
                <w:rFonts w:ascii="Arial" w:hAnsi="Arial" w:cs="Arial"/>
              </w:rPr>
            </w:pPr>
          </w:p>
        </w:tc>
        <w:tc>
          <w:tcPr>
            <w:tcW w:w="1985" w:type="dxa"/>
            <w:tcBorders>
              <w:top w:val="single" w:sz="4" w:space="0" w:color="auto"/>
              <w:right w:val="single" w:sz="4" w:space="0" w:color="auto"/>
            </w:tcBorders>
            <w:vAlign w:val="bottom"/>
          </w:tcPr>
          <w:p w14:paraId="5E487730" w14:textId="77777777" w:rsidR="00F554E7" w:rsidRPr="00E25501" w:rsidRDefault="00F554E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1D116779" w14:textId="77777777" w:rsidR="00F554E7" w:rsidRPr="00E25501" w:rsidRDefault="00F554E7" w:rsidP="00B80789">
            <w:pPr>
              <w:jc w:val="center"/>
              <w:rPr>
                <w:rFonts w:ascii="Arial" w:hAnsi="Arial" w:cs="Arial"/>
              </w:rPr>
            </w:pPr>
          </w:p>
        </w:tc>
      </w:tr>
    </w:tbl>
    <w:p w14:paraId="6E21D2E8" w14:textId="720374C5" w:rsidR="00C0782D" w:rsidRDefault="00C0782D" w:rsidP="00760AC5">
      <w:pPr>
        <w:pStyle w:val="Header"/>
        <w:jc w:val="both"/>
      </w:pPr>
    </w:p>
    <w:p w14:paraId="22A4F35D" w14:textId="5F21ECBC" w:rsidR="00C0782D" w:rsidRDefault="00C0782D" w:rsidP="00760AC5">
      <w:pPr>
        <w:pStyle w:val="Header"/>
        <w:jc w:val="both"/>
        <w:sectPr w:rsidR="00C0782D" w:rsidSect="00C0782D">
          <w:footerReference w:type="default" r:id="rId23"/>
          <w:pgSz w:w="16840" w:h="11907" w:orient="landscape" w:code="9"/>
          <w:pgMar w:top="1797" w:right="1440" w:bottom="1797" w:left="1440" w:header="720" w:footer="720" w:gutter="0"/>
          <w:pgNumType w:start="1"/>
          <w:cols w:space="720"/>
          <w:docGrid w:linePitch="272"/>
        </w:sectPr>
      </w:pPr>
    </w:p>
    <w:tbl>
      <w:tblPr>
        <w:tblW w:w="13892" w:type="dxa"/>
        <w:tblInd w:w="108" w:type="dxa"/>
        <w:tblLook w:val="0400" w:firstRow="0" w:lastRow="0" w:firstColumn="0" w:lastColumn="0" w:noHBand="0" w:noVBand="1"/>
      </w:tblPr>
      <w:tblGrid>
        <w:gridCol w:w="13892"/>
      </w:tblGrid>
      <w:tr w:rsidR="0062692E" w:rsidRPr="00FC3309" w14:paraId="3B1B9912" w14:textId="77777777" w:rsidTr="00B80789">
        <w:trPr>
          <w:trHeight w:val="300"/>
        </w:trPr>
        <w:tc>
          <w:tcPr>
            <w:tcW w:w="8806" w:type="dxa"/>
            <w:shd w:val="clear" w:color="auto" w:fill="auto"/>
            <w:noWrap/>
            <w:vAlign w:val="bottom"/>
            <w:hideMark/>
          </w:tcPr>
          <w:p w14:paraId="0A9CC419" w14:textId="77777777" w:rsidR="0062692E" w:rsidRPr="00FC3309" w:rsidRDefault="0062692E" w:rsidP="00B80789">
            <w:pPr>
              <w:jc w:val="center"/>
              <w:rPr>
                <w:rFonts w:ascii="Arial" w:hAnsi="Arial" w:cs="Arial"/>
                <w:sz w:val="16"/>
                <w:szCs w:val="16"/>
              </w:rPr>
            </w:pPr>
            <w:r w:rsidRPr="00543FFB">
              <w:rPr>
                <w:rFonts w:ascii="Arial" w:hAnsi="Arial" w:cs="Arial"/>
                <w:b/>
                <w:bCs/>
                <w:sz w:val="32"/>
                <w:szCs w:val="32"/>
              </w:rPr>
              <w:lastRenderedPageBreak/>
              <w:t>GRF_116_3: Probable Maximum Loss</w:t>
            </w:r>
            <w:r>
              <w:rPr>
                <w:rFonts w:ascii="Arial" w:hAnsi="Arial" w:cs="Arial"/>
                <w:b/>
                <w:bCs/>
                <w:sz w:val="32"/>
                <w:szCs w:val="32"/>
              </w:rPr>
              <w:t xml:space="preserve"> for LMIs - Commercial Loans</w:t>
            </w:r>
          </w:p>
        </w:tc>
      </w:tr>
    </w:tbl>
    <w:p w14:paraId="2CCC24E7" w14:textId="77777777" w:rsidR="0062692E" w:rsidRPr="00FC3309" w:rsidRDefault="0062692E" w:rsidP="0062692E">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62692E" w:rsidRPr="00FC3309" w14:paraId="5A336406" w14:textId="77777777" w:rsidTr="00B80789">
        <w:trPr>
          <w:trHeight w:val="317"/>
        </w:trPr>
        <w:tc>
          <w:tcPr>
            <w:tcW w:w="6946" w:type="dxa"/>
            <w:tcBorders>
              <w:top w:val="nil"/>
              <w:left w:val="nil"/>
              <w:bottom w:val="single" w:sz="4" w:space="0" w:color="auto"/>
              <w:right w:val="nil"/>
            </w:tcBorders>
            <w:vAlign w:val="bottom"/>
            <w:hideMark/>
          </w:tcPr>
          <w:p w14:paraId="2EB071D5" w14:textId="77777777" w:rsidR="0062692E" w:rsidRPr="00FC3309" w:rsidRDefault="0062692E" w:rsidP="00B80789">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420BCFE5" w14:textId="77777777" w:rsidR="0062692E" w:rsidRPr="00FC3309" w:rsidRDefault="0062692E" w:rsidP="00B80789">
            <w:pPr>
              <w:rPr>
                <w:rFonts w:ascii="Arial" w:hAnsi="Arial" w:cs="Arial"/>
                <w:b/>
                <w:bCs/>
              </w:rPr>
            </w:pPr>
            <w:r w:rsidRPr="00FC3309">
              <w:rPr>
                <w:rFonts w:ascii="Arial" w:hAnsi="Arial" w:cs="Arial"/>
                <w:b/>
                <w:bCs/>
              </w:rPr>
              <w:t>Institution Name</w:t>
            </w:r>
          </w:p>
        </w:tc>
      </w:tr>
      <w:tr w:rsidR="0062692E" w:rsidRPr="00FC3309" w14:paraId="231561FB"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091203C" w14:textId="77777777" w:rsidR="0062692E" w:rsidRPr="00FC3309" w:rsidRDefault="0062692E" w:rsidP="00B80789">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5A8E6068" w14:textId="77777777" w:rsidR="0062692E" w:rsidRPr="00FC3309" w:rsidRDefault="0062692E" w:rsidP="00B80789">
            <w:pPr>
              <w:rPr>
                <w:rFonts w:ascii="Arial" w:hAnsi="Arial" w:cs="Arial"/>
              </w:rPr>
            </w:pPr>
          </w:p>
        </w:tc>
      </w:tr>
      <w:tr w:rsidR="0062692E" w:rsidRPr="00FC3309" w14:paraId="4FF70CA7" w14:textId="77777777" w:rsidTr="00B80789">
        <w:trPr>
          <w:trHeight w:val="317"/>
        </w:trPr>
        <w:tc>
          <w:tcPr>
            <w:tcW w:w="6946" w:type="dxa"/>
            <w:tcBorders>
              <w:top w:val="single" w:sz="4" w:space="0" w:color="auto"/>
              <w:left w:val="nil"/>
              <w:bottom w:val="single" w:sz="4" w:space="0" w:color="auto"/>
              <w:right w:val="nil"/>
            </w:tcBorders>
            <w:noWrap/>
            <w:vAlign w:val="bottom"/>
            <w:hideMark/>
          </w:tcPr>
          <w:p w14:paraId="065CA437" w14:textId="77777777" w:rsidR="0062692E" w:rsidRPr="00FC3309" w:rsidRDefault="0062692E" w:rsidP="00B80789">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2B149724" w14:textId="77777777" w:rsidR="0062692E" w:rsidRPr="00FC3309" w:rsidRDefault="0062692E" w:rsidP="00B80789">
            <w:pPr>
              <w:rPr>
                <w:rFonts w:ascii="Arial" w:hAnsi="Arial" w:cs="Arial"/>
                <w:b/>
              </w:rPr>
            </w:pPr>
            <w:r w:rsidRPr="00FC3309">
              <w:rPr>
                <w:rFonts w:ascii="Arial" w:hAnsi="Arial" w:cs="Arial"/>
                <w:b/>
              </w:rPr>
              <w:t xml:space="preserve">Scale Factor </w:t>
            </w:r>
          </w:p>
        </w:tc>
      </w:tr>
      <w:tr w:rsidR="0062692E" w:rsidRPr="00FC3309" w14:paraId="0B2DE14E"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3AD54EF" w14:textId="77777777" w:rsidR="0062692E" w:rsidRPr="00FC3309" w:rsidRDefault="0062692E" w:rsidP="00B80789">
            <w:pPr>
              <w:rPr>
                <w:rFonts w:ascii="Arial" w:hAnsi="Arial" w:cs="Arial"/>
              </w:rPr>
            </w:pPr>
            <w:r>
              <w:rPr>
                <w:rFonts w:ascii="Arial" w:hAnsi="Arial" w:cs="Arial"/>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BA02EBD" w14:textId="77777777" w:rsidR="0062692E" w:rsidRPr="00FC3309" w:rsidRDefault="0062692E" w:rsidP="00B80789">
            <w:pPr>
              <w:rPr>
                <w:rFonts w:ascii="Arial" w:hAnsi="Arial" w:cs="Arial"/>
              </w:rPr>
            </w:pPr>
            <w:r w:rsidRPr="00543FFB">
              <w:rPr>
                <w:rFonts w:ascii="Arial" w:hAnsi="Arial" w:cs="Arial"/>
              </w:rPr>
              <w:t>Thousa</w:t>
            </w:r>
            <w:r>
              <w:rPr>
                <w:rFonts w:ascii="Arial" w:hAnsi="Arial" w:cs="Arial"/>
              </w:rPr>
              <w:t>nds of dollars no decimal place</w:t>
            </w:r>
          </w:p>
        </w:tc>
      </w:tr>
      <w:tr w:rsidR="0062692E" w:rsidRPr="00FC3309" w14:paraId="61C1A4EE" w14:textId="77777777" w:rsidTr="00B80789">
        <w:trPr>
          <w:trHeight w:val="317"/>
        </w:trPr>
        <w:tc>
          <w:tcPr>
            <w:tcW w:w="6946" w:type="dxa"/>
            <w:tcBorders>
              <w:top w:val="single" w:sz="4" w:space="0" w:color="auto"/>
              <w:bottom w:val="single" w:sz="4" w:space="0" w:color="auto"/>
            </w:tcBorders>
            <w:noWrap/>
            <w:vAlign w:val="bottom"/>
          </w:tcPr>
          <w:p w14:paraId="7A291C3D" w14:textId="77777777" w:rsidR="0062692E" w:rsidRPr="00FC3309" w:rsidRDefault="0062692E" w:rsidP="00B80789">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162D4520" w14:textId="77777777" w:rsidR="0062692E" w:rsidRPr="00FC3309" w:rsidRDefault="0062692E" w:rsidP="00B80789">
            <w:pPr>
              <w:rPr>
                <w:rFonts w:ascii="Arial" w:hAnsi="Arial" w:cs="Arial"/>
              </w:rPr>
            </w:pPr>
          </w:p>
        </w:tc>
      </w:tr>
      <w:tr w:rsidR="0062692E" w:rsidRPr="00FC3309" w14:paraId="09D6747B"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5CE1232A" w14:textId="77777777" w:rsidR="0062692E" w:rsidRPr="00FC3309" w:rsidRDefault="0062692E" w:rsidP="00B80789">
            <w:pPr>
              <w:rPr>
                <w:rFonts w:ascii="Arial" w:hAnsi="Arial" w:cs="Arial"/>
              </w:rPr>
            </w:pPr>
            <w:r>
              <w:rPr>
                <w:rFonts w:ascii="Arial" w:hAnsi="Arial" w:cs="Arial"/>
              </w:rPr>
              <w:t>Licensed insurer</w:t>
            </w:r>
          </w:p>
        </w:tc>
        <w:tc>
          <w:tcPr>
            <w:tcW w:w="6946" w:type="dxa"/>
            <w:tcBorders>
              <w:left w:val="single" w:sz="4" w:space="0" w:color="auto"/>
            </w:tcBorders>
            <w:noWrap/>
            <w:vAlign w:val="bottom"/>
          </w:tcPr>
          <w:p w14:paraId="440EE0E4" w14:textId="77777777" w:rsidR="0062692E" w:rsidRPr="00FC3309" w:rsidRDefault="0062692E" w:rsidP="00B80789">
            <w:pPr>
              <w:rPr>
                <w:rFonts w:ascii="Arial" w:hAnsi="Arial" w:cs="Arial"/>
              </w:rPr>
            </w:pPr>
          </w:p>
        </w:tc>
      </w:tr>
    </w:tbl>
    <w:p w14:paraId="033F4A82" w14:textId="77777777" w:rsidR="0062692E" w:rsidRDefault="0062692E" w:rsidP="0062692E">
      <w:pPr>
        <w:rPr>
          <w:rFonts w:ascii="Arial" w:hAnsi="Arial" w:cs="Arial"/>
        </w:rPr>
      </w:pPr>
    </w:p>
    <w:tbl>
      <w:tblPr>
        <w:tblW w:w="8682" w:type="dxa"/>
        <w:tblInd w:w="93" w:type="dxa"/>
        <w:tblLayout w:type="fixed"/>
        <w:tblLook w:val="04A0" w:firstRow="1" w:lastRow="0" w:firstColumn="1" w:lastColumn="0" w:noHBand="0" w:noVBand="1"/>
      </w:tblPr>
      <w:tblGrid>
        <w:gridCol w:w="1736"/>
        <w:gridCol w:w="1737"/>
        <w:gridCol w:w="1736"/>
        <w:gridCol w:w="1737"/>
        <w:gridCol w:w="1736"/>
      </w:tblGrid>
      <w:tr w:rsidR="0062692E" w:rsidRPr="00FC3309" w14:paraId="5C86E988" w14:textId="77777777" w:rsidTr="00B80789">
        <w:trPr>
          <w:trHeight w:val="317"/>
        </w:trPr>
        <w:tc>
          <w:tcPr>
            <w:tcW w:w="1736" w:type="dxa"/>
            <w:tcBorders>
              <w:top w:val="single" w:sz="4" w:space="0" w:color="auto"/>
              <w:left w:val="single" w:sz="4" w:space="0" w:color="auto"/>
              <w:bottom w:val="nil"/>
              <w:right w:val="single" w:sz="4" w:space="0" w:color="auto"/>
            </w:tcBorders>
            <w:shd w:val="clear" w:color="auto" w:fill="auto"/>
            <w:vAlign w:val="bottom"/>
            <w:hideMark/>
          </w:tcPr>
          <w:p w14:paraId="2E1A1D11" w14:textId="77777777" w:rsidR="0062692E" w:rsidRPr="00FC3309" w:rsidRDefault="0062692E" w:rsidP="00B80789">
            <w:pPr>
              <w:jc w:val="center"/>
              <w:rPr>
                <w:rFonts w:ascii="Arial" w:hAnsi="Arial" w:cs="Arial"/>
                <w:b/>
                <w:bCs/>
              </w:rPr>
            </w:pPr>
            <w:r w:rsidRPr="00543FFB">
              <w:rPr>
                <w:rFonts w:ascii="Arial" w:hAnsi="Arial" w:cs="Arial"/>
                <w:b/>
                <w:bCs/>
              </w:rPr>
              <w:t>Factor</w:t>
            </w:r>
          </w:p>
        </w:tc>
        <w:tc>
          <w:tcPr>
            <w:tcW w:w="1737" w:type="dxa"/>
            <w:tcBorders>
              <w:top w:val="single" w:sz="4" w:space="0" w:color="auto"/>
              <w:left w:val="nil"/>
              <w:bottom w:val="nil"/>
              <w:right w:val="single" w:sz="4" w:space="0" w:color="auto"/>
            </w:tcBorders>
            <w:shd w:val="clear" w:color="auto" w:fill="auto"/>
            <w:vAlign w:val="bottom"/>
            <w:hideMark/>
          </w:tcPr>
          <w:p w14:paraId="3AD9E5BA" w14:textId="77777777" w:rsidR="0062692E" w:rsidRPr="00FC3309" w:rsidRDefault="0062692E" w:rsidP="00B80789">
            <w:pPr>
              <w:jc w:val="center"/>
              <w:rPr>
                <w:rFonts w:ascii="Arial" w:hAnsi="Arial" w:cs="Arial"/>
                <w:b/>
                <w:bCs/>
              </w:rPr>
            </w:pPr>
            <w:r w:rsidRPr="00543FFB">
              <w:rPr>
                <w:rFonts w:ascii="Arial" w:hAnsi="Arial" w:cs="Arial"/>
                <w:b/>
                <w:bCs/>
              </w:rPr>
              <w:t>ADI</w:t>
            </w:r>
          </w:p>
        </w:tc>
        <w:tc>
          <w:tcPr>
            <w:tcW w:w="1736" w:type="dxa"/>
            <w:tcBorders>
              <w:top w:val="single" w:sz="4" w:space="0" w:color="auto"/>
              <w:left w:val="nil"/>
              <w:bottom w:val="nil"/>
              <w:right w:val="single" w:sz="4" w:space="0" w:color="auto"/>
            </w:tcBorders>
            <w:shd w:val="clear" w:color="auto" w:fill="auto"/>
            <w:vAlign w:val="bottom"/>
            <w:hideMark/>
          </w:tcPr>
          <w:p w14:paraId="544EE52A" w14:textId="77777777" w:rsidR="0062692E" w:rsidRPr="00FC3309" w:rsidRDefault="0062692E" w:rsidP="00B80789">
            <w:pPr>
              <w:jc w:val="center"/>
              <w:rPr>
                <w:rFonts w:ascii="Arial" w:hAnsi="Arial" w:cs="Arial"/>
                <w:b/>
                <w:bCs/>
              </w:rPr>
            </w:pPr>
            <w:r w:rsidRPr="00543FFB">
              <w:rPr>
                <w:rFonts w:ascii="Arial" w:hAnsi="Arial" w:cs="Arial"/>
                <w:b/>
                <w:bCs/>
              </w:rPr>
              <w:t>Non-APRA regulated</w:t>
            </w:r>
          </w:p>
        </w:tc>
        <w:tc>
          <w:tcPr>
            <w:tcW w:w="1737" w:type="dxa"/>
            <w:tcBorders>
              <w:top w:val="single" w:sz="4" w:space="0" w:color="auto"/>
              <w:left w:val="nil"/>
              <w:bottom w:val="nil"/>
              <w:right w:val="single" w:sz="4" w:space="0" w:color="000000"/>
            </w:tcBorders>
            <w:shd w:val="clear" w:color="auto" w:fill="auto"/>
            <w:vAlign w:val="bottom"/>
            <w:hideMark/>
          </w:tcPr>
          <w:p w14:paraId="71BA58DE" w14:textId="77777777" w:rsidR="0062692E" w:rsidRPr="00FC3309" w:rsidRDefault="0062692E" w:rsidP="00B80789">
            <w:pPr>
              <w:jc w:val="center"/>
              <w:rPr>
                <w:rFonts w:ascii="Arial" w:hAnsi="Arial" w:cs="Arial"/>
                <w:b/>
                <w:bCs/>
              </w:rPr>
            </w:pPr>
            <w:r w:rsidRPr="00543FFB">
              <w:rPr>
                <w:rFonts w:ascii="Arial" w:hAnsi="Arial" w:cs="Arial"/>
                <w:b/>
                <w:bCs/>
              </w:rPr>
              <w:t>Total sum insured</w:t>
            </w:r>
          </w:p>
        </w:tc>
        <w:tc>
          <w:tcPr>
            <w:tcW w:w="1736" w:type="dxa"/>
            <w:tcBorders>
              <w:top w:val="single" w:sz="4" w:space="0" w:color="auto"/>
              <w:left w:val="nil"/>
              <w:bottom w:val="nil"/>
              <w:right w:val="single" w:sz="4" w:space="0" w:color="000000"/>
            </w:tcBorders>
            <w:vAlign w:val="bottom"/>
          </w:tcPr>
          <w:p w14:paraId="14F029F9" w14:textId="77777777" w:rsidR="0062692E" w:rsidRPr="00FC3309" w:rsidRDefault="0062692E" w:rsidP="00B80789">
            <w:pPr>
              <w:jc w:val="center"/>
              <w:rPr>
                <w:rFonts w:ascii="Arial" w:hAnsi="Arial" w:cs="Arial"/>
                <w:b/>
                <w:bCs/>
              </w:rPr>
            </w:pPr>
            <w:r w:rsidRPr="00543FFB">
              <w:rPr>
                <w:rFonts w:ascii="Arial" w:hAnsi="Arial" w:cs="Arial"/>
                <w:b/>
                <w:bCs/>
              </w:rPr>
              <w:t>PML</w:t>
            </w:r>
          </w:p>
        </w:tc>
      </w:tr>
      <w:tr w:rsidR="0062692E" w:rsidRPr="00FC3309" w14:paraId="2312F8D3" w14:textId="77777777" w:rsidTr="00B80789">
        <w:trPr>
          <w:trHeight w:val="317"/>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3EB9E976" w14:textId="77777777" w:rsidR="0062692E" w:rsidRPr="00FC3309" w:rsidRDefault="0062692E" w:rsidP="00B80789">
            <w:pPr>
              <w:jc w:val="center"/>
              <w:rPr>
                <w:rFonts w:ascii="Arial" w:hAnsi="Arial" w:cs="Arial"/>
                <w:b/>
                <w:bCs/>
              </w:rPr>
            </w:pPr>
            <w:r w:rsidRPr="00FC3309">
              <w:rPr>
                <w:rFonts w:ascii="Arial" w:hAnsi="Arial" w:cs="Arial"/>
                <w:b/>
                <w:bCs/>
              </w:rPr>
              <w:t>(1)</w:t>
            </w:r>
          </w:p>
        </w:tc>
        <w:tc>
          <w:tcPr>
            <w:tcW w:w="1737" w:type="dxa"/>
            <w:tcBorders>
              <w:top w:val="nil"/>
              <w:left w:val="nil"/>
              <w:bottom w:val="single" w:sz="4" w:space="0" w:color="auto"/>
              <w:right w:val="single" w:sz="4" w:space="0" w:color="auto"/>
            </w:tcBorders>
            <w:shd w:val="clear" w:color="auto" w:fill="auto"/>
            <w:vAlign w:val="bottom"/>
            <w:hideMark/>
          </w:tcPr>
          <w:p w14:paraId="7D3E32A6" w14:textId="77777777" w:rsidR="0062692E" w:rsidRPr="00FC3309" w:rsidRDefault="0062692E" w:rsidP="00B80789">
            <w:pPr>
              <w:jc w:val="center"/>
              <w:rPr>
                <w:rFonts w:ascii="Arial" w:hAnsi="Arial" w:cs="Arial"/>
                <w:b/>
                <w:bCs/>
              </w:rPr>
            </w:pPr>
            <w:r w:rsidRPr="00FC3309">
              <w:rPr>
                <w:rFonts w:ascii="Arial" w:hAnsi="Arial" w:cs="Arial"/>
                <w:b/>
                <w:bCs/>
              </w:rPr>
              <w:t>(2)</w:t>
            </w:r>
          </w:p>
        </w:tc>
        <w:tc>
          <w:tcPr>
            <w:tcW w:w="1736" w:type="dxa"/>
            <w:tcBorders>
              <w:top w:val="nil"/>
              <w:left w:val="nil"/>
              <w:bottom w:val="single" w:sz="4" w:space="0" w:color="auto"/>
              <w:right w:val="single" w:sz="4" w:space="0" w:color="auto"/>
            </w:tcBorders>
            <w:shd w:val="clear" w:color="auto" w:fill="auto"/>
            <w:vAlign w:val="bottom"/>
            <w:hideMark/>
          </w:tcPr>
          <w:p w14:paraId="562A01E4" w14:textId="77777777" w:rsidR="0062692E" w:rsidRPr="00FC3309" w:rsidRDefault="0062692E" w:rsidP="00B80789">
            <w:pPr>
              <w:jc w:val="center"/>
              <w:rPr>
                <w:rFonts w:ascii="Arial" w:hAnsi="Arial" w:cs="Arial"/>
                <w:b/>
                <w:bCs/>
              </w:rPr>
            </w:pPr>
            <w:r w:rsidRPr="00FC3309">
              <w:rPr>
                <w:rFonts w:ascii="Arial" w:hAnsi="Arial" w:cs="Arial"/>
                <w:b/>
                <w:bCs/>
              </w:rPr>
              <w:t>(3)</w:t>
            </w:r>
          </w:p>
        </w:tc>
        <w:tc>
          <w:tcPr>
            <w:tcW w:w="1737" w:type="dxa"/>
            <w:tcBorders>
              <w:top w:val="nil"/>
              <w:left w:val="nil"/>
              <w:bottom w:val="single" w:sz="4" w:space="0" w:color="auto"/>
              <w:right w:val="single" w:sz="4" w:space="0" w:color="000000"/>
            </w:tcBorders>
            <w:shd w:val="clear" w:color="auto" w:fill="auto"/>
            <w:vAlign w:val="bottom"/>
            <w:hideMark/>
          </w:tcPr>
          <w:p w14:paraId="24975DC6" w14:textId="77777777" w:rsidR="0062692E" w:rsidRPr="00FC3309" w:rsidRDefault="0062692E" w:rsidP="00B80789">
            <w:pPr>
              <w:jc w:val="center"/>
              <w:rPr>
                <w:rFonts w:ascii="Arial" w:hAnsi="Arial" w:cs="Arial"/>
                <w:b/>
                <w:bCs/>
              </w:rPr>
            </w:pPr>
            <w:r w:rsidRPr="00FC3309">
              <w:rPr>
                <w:rFonts w:ascii="Arial" w:hAnsi="Arial" w:cs="Arial"/>
                <w:b/>
                <w:bCs/>
              </w:rPr>
              <w:t>(4)</w:t>
            </w:r>
          </w:p>
        </w:tc>
        <w:tc>
          <w:tcPr>
            <w:tcW w:w="1736" w:type="dxa"/>
            <w:tcBorders>
              <w:top w:val="nil"/>
              <w:left w:val="nil"/>
              <w:bottom w:val="single" w:sz="4" w:space="0" w:color="auto"/>
              <w:right w:val="single" w:sz="4" w:space="0" w:color="000000"/>
            </w:tcBorders>
            <w:vAlign w:val="bottom"/>
          </w:tcPr>
          <w:p w14:paraId="5DF53584" w14:textId="77777777" w:rsidR="0062692E" w:rsidRPr="00FC3309" w:rsidRDefault="0062692E" w:rsidP="00B80789">
            <w:pPr>
              <w:jc w:val="center"/>
              <w:rPr>
                <w:rFonts w:ascii="Arial" w:hAnsi="Arial" w:cs="Arial"/>
                <w:b/>
                <w:bCs/>
              </w:rPr>
            </w:pPr>
            <w:r w:rsidRPr="00FC3309">
              <w:rPr>
                <w:rFonts w:ascii="Arial" w:hAnsi="Arial" w:cs="Arial"/>
                <w:b/>
                <w:bCs/>
              </w:rPr>
              <w:t>(5)</w:t>
            </w:r>
          </w:p>
        </w:tc>
      </w:tr>
      <w:tr w:rsidR="0062692E" w:rsidRPr="00FC3309" w14:paraId="623BE27B" w14:textId="77777777" w:rsidTr="00B80789">
        <w:trPr>
          <w:trHeight w:val="31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07166" w14:textId="77777777" w:rsidR="0062692E" w:rsidRPr="00543FFB" w:rsidRDefault="0062692E" w:rsidP="00B80789">
            <w:pPr>
              <w:jc w:val="center"/>
              <w:rPr>
                <w:rFonts w:ascii="Arial" w:hAnsi="Arial" w:cs="Arial"/>
              </w:rPr>
            </w:pPr>
            <w:r w:rsidRPr="00543FFB">
              <w:rPr>
                <w:rFonts w:ascii="Arial" w:hAnsi="Arial" w:cs="Arial"/>
              </w:rPr>
              <w:t>8%</w:t>
            </w: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226B191E" w14:textId="77777777" w:rsidR="0062692E" w:rsidRPr="00543FFB" w:rsidRDefault="0062692E" w:rsidP="00B80789">
            <w:pPr>
              <w:jc w:val="center"/>
              <w:rPr>
                <w:rFonts w:ascii="Arial" w:hAnsi="Arial" w:cs="Arial"/>
              </w:rPr>
            </w:pPr>
          </w:p>
        </w:tc>
        <w:tc>
          <w:tcPr>
            <w:tcW w:w="1736" w:type="dxa"/>
            <w:tcBorders>
              <w:top w:val="single" w:sz="4" w:space="0" w:color="auto"/>
              <w:left w:val="nil"/>
              <w:bottom w:val="single" w:sz="4" w:space="0" w:color="auto"/>
              <w:right w:val="single" w:sz="4" w:space="0" w:color="auto"/>
            </w:tcBorders>
            <w:shd w:val="clear" w:color="auto" w:fill="auto"/>
            <w:noWrap/>
            <w:vAlign w:val="bottom"/>
          </w:tcPr>
          <w:p w14:paraId="01AF5D2F" w14:textId="77777777" w:rsidR="0062692E" w:rsidRPr="00543FFB" w:rsidRDefault="0062692E" w:rsidP="00B80789">
            <w:pPr>
              <w:jc w:val="center"/>
              <w:rPr>
                <w:rFonts w:ascii="Arial" w:hAnsi="Arial" w:cs="Arial"/>
              </w:rPr>
            </w:pPr>
          </w:p>
        </w:tc>
        <w:tc>
          <w:tcPr>
            <w:tcW w:w="1737" w:type="dxa"/>
            <w:tcBorders>
              <w:top w:val="single" w:sz="4" w:space="0" w:color="auto"/>
              <w:left w:val="nil"/>
              <w:bottom w:val="single" w:sz="4" w:space="0" w:color="auto"/>
              <w:right w:val="single" w:sz="4" w:space="0" w:color="auto"/>
            </w:tcBorders>
            <w:shd w:val="clear" w:color="auto" w:fill="A6A6A6"/>
            <w:vAlign w:val="bottom"/>
          </w:tcPr>
          <w:p w14:paraId="3F9679EA" w14:textId="77777777" w:rsidR="0062692E" w:rsidRPr="00543FFB" w:rsidRDefault="0062692E" w:rsidP="00B80789">
            <w:pPr>
              <w:jc w:val="center"/>
              <w:rPr>
                <w:rFonts w:ascii="Arial" w:hAnsi="Arial" w:cs="Arial"/>
              </w:rPr>
            </w:pPr>
          </w:p>
        </w:tc>
        <w:tc>
          <w:tcPr>
            <w:tcW w:w="1736" w:type="dxa"/>
            <w:tcBorders>
              <w:top w:val="single" w:sz="4" w:space="0" w:color="auto"/>
              <w:left w:val="nil"/>
              <w:bottom w:val="single" w:sz="4" w:space="0" w:color="auto"/>
              <w:right w:val="single" w:sz="4" w:space="0" w:color="auto"/>
            </w:tcBorders>
            <w:shd w:val="clear" w:color="auto" w:fill="A6A6A6"/>
            <w:vAlign w:val="bottom"/>
          </w:tcPr>
          <w:p w14:paraId="0ACFD570" w14:textId="77777777" w:rsidR="0062692E" w:rsidRPr="00543FFB" w:rsidRDefault="0062692E" w:rsidP="00B80789">
            <w:pPr>
              <w:jc w:val="center"/>
              <w:rPr>
                <w:rFonts w:ascii="Arial" w:hAnsi="Arial" w:cs="Arial"/>
              </w:rPr>
            </w:pPr>
          </w:p>
        </w:tc>
      </w:tr>
    </w:tbl>
    <w:p w14:paraId="2D18EB9C" w14:textId="0DBD6D9B" w:rsidR="00C0782D" w:rsidRDefault="00C0782D" w:rsidP="00760AC5">
      <w:pPr>
        <w:pStyle w:val="Header"/>
        <w:jc w:val="both"/>
        <w:sectPr w:rsidR="00C0782D" w:rsidSect="00C0782D">
          <w:footerReference w:type="default" r:id="rId24"/>
          <w:pgSz w:w="16840" w:h="11907" w:orient="landscape" w:code="9"/>
          <w:pgMar w:top="1797" w:right="1440" w:bottom="1797" w:left="1440" w:header="720" w:footer="720" w:gutter="0"/>
          <w:pgNumType w:start="1"/>
          <w:cols w:space="720"/>
          <w:docGrid w:linePitch="272"/>
        </w:sectPr>
      </w:pPr>
    </w:p>
    <w:tbl>
      <w:tblPr>
        <w:tblW w:w="13892" w:type="dxa"/>
        <w:tblInd w:w="108" w:type="dxa"/>
        <w:tblLook w:val="0400" w:firstRow="0" w:lastRow="0" w:firstColumn="0" w:lastColumn="0" w:noHBand="0" w:noVBand="1"/>
      </w:tblPr>
      <w:tblGrid>
        <w:gridCol w:w="13892"/>
      </w:tblGrid>
      <w:tr w:rsidR="00A64523" w:rsidRPr="00A64523" w14:paraId="79D25722" w14:textId="77777777" w:rsidTr="00B80789">
        <w:trPr>
          <w:trHeight w:val="300"/>
        </w:trPr>
        <w:tc>
          <w:tcPr>
            <w:tcW w:w="8806" w:type="dxa"/>
            <w:shd w:val="clear" w:color="auto" w:fill="auto"/>
            <w:noWrap/>
            <w:vAlign w:val="bottom"/>
            <w:hideMark/>
          </w:tcPr>
          <w:p w14:paraId="633EC32C" w14:textId="77777777" w:rsidR="00A64523" w:rsidRPr="00A64523" w:rsidRDefault="00A64523" w:rsidP="00A64523">
            <w:pPr>
              <w:jc w:val="center"/>
              <w:rPr>
                <w:rFonts w:ascii="Arial" w:hAnsi="Arial" w:cs="Arial"/>
                <w:sz w:val="16"/>
                <w:szCs w:val="16"/>
              </w:rPr>
            </w:pPr>
            <w:r w:rsidRPr="00A64523">
              <w:rPr>
                <w:rFonts w:ascii="Arial" w:hAnsi="Arial" w:cs="Arial"/>
                <w:b/>
                <w:bCs/>
                <w:sz w:val="32"/>
                <w:szCs w:val="32"/>
              </w:rPr>
              <w:lastRenderedPageBreak/>
              <w:t>GRF_116_4: LMI Concentration Risk Charge</w:t>
            </w:r>
          </w:p>
        </w:tc>
      </w:tr>
    </w:tbl>
    <w:p w14:paraId="15659FA0" w14:textId="77777777" w:rsidR="00A64523" w:rsidRPr="00A64523" w:rsidRDefault="00A64523" w:rsidP="00A64523">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A64523" w:rsidRPr="00A64523" w14:paraId="5C75C154" w14:textId="77777777" w:rsidTr="00B80789">
        <w:trPr>
          <w:trHeight w:val="317"/>
        </w:trPr>
        <w:tc>
          <w:tcPr>
            <w:tcW w:w="6946" w:type="dxa"/>
            <w:tcBorders>
              <w:top w:val="nil"/>
              <w:left w:val="nil"/>
              <w:bottom w:val="single" w:sz="4" w:space="0" w:color="auto"/>
              <w:right w:val="nil"/>
            </w:tcBorders>
            <w:vAlign w:val="bottom"/>
            <w:hideMark/>
          </w:tcPr>
          <w:p w14:paraId="76A982BB" w14:textId="77777777" w:rsidR="00A64523" w:rsidRPr="00A64523" w:rsidRDefault="00A64523" w:rsidP="00A64523">
            <w:pPr>
              <w:rPr>
                <w:rFonts w:ascii="Arial" w:eastAsia="Calibri" w:hAnsi="Arial" w:cs="Arial"/>
                <w:b/>
                <w:bCs/>
                <w:sz w:val="22"/>
                <w:szCs w:val="22"/>
              </w:rPr>
            </w:pPr>
            <w:r w:rsidRPr="00A64523">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60093652" w14:textId="77777777" w:rsidR="00A64523" w:rsidRPr="00A64523" w:rsidRDefault="00A64523" w:rsidP="00A64523">
            <w:pPr>
              <w:rPr>
                <w:rFonts w:ascii="Arial" w:eastAsia="Calibri" w:hAnsi="Arial" w:cs="Arial"/>
                <w:b/>
                <w:bCs/>
                <w:sz w:val="22"/>
                <w:szCs w:val="22"/>
              </w:rPr>
            </w:pPr>
            <w:r w:rsidRPr="00A64523">
              <w:rPr>
                <w:rFonts w:ascii="Arial" w:eastAsia="Calibri" w:hAnsi="Arial" w:cs="Arial"/>
                <w:b/>
                <w:bCs/>
                <w:sz w:val="22"/>
                <w:szCs w:val="22"/>
              </w:rPr>
              <w:t>Institution Name</w:t>
            </w:r>
          </w:p>
        </w:tc>
      </w:tr>
      <w:tr w:rsidR="00A64523" w:rsidRPr="00A64523" w14:paraId="3A418AEF"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C868FAE" w14:textId="77777777" w:rsidR="00A64523" w:rsidRPr="00A64523" w:rsidRDefault="00A64523" w:rsidP="00A64523">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142C9B9" w14:textId="77777777" w:rsidR="00A64523" w:rsidRPr="00A64523" w:rsidRDefault="00A64523" w:rsidP="00A64523">
            <w:pPr>
              <w:rPr>
                <w:rFonts w:ascii="Arial" w:hAnsi="Arial" w:cs="Arial"/>
                <w:sz w:val="22"/>
                <w:szCs w:val="22"/>
              </w:rPr>
            </w:pPr>
          </w:p>
        </w:tc>
      </w:tr>
      <w:tr w:rsidR="00A64523" w:rsidRPr="00A64523" w14:paraId="58F7C080" w14:textId="77777777" w:rsidTr="00B80789">
        <w:trPr>
          <w:trHeight w:val="317"/>
        </w:trPr>
        <w:tc>
          <w:tcPr>
            <w:tcW w:w="6946" w:type="dxa"/>
            <w:tcBorders>
              <w:top w:val="single" w:sz="4" w:space="0" w:color="auto"/>
              <w:left w:val="nil"/>
              <w:bottom w:val="single" w:sz="4" w:space="0" w:color="auto"/>
              <w:right w:val="nil"/>
            </w:tcBorders>
            <w:noWrap/>
            <w:vAlign w:val="bottom"/>
            <w:hideMark/>
          </w:tcPr>
          <w:p w14:paraId="7F7BCCA9" w14:textId="77777777" w:rsidR="00A64523" w:rsidRPr="00A64523" w:rsidRDefault="00A64523" w:rsidP="00A64523">
            <w:pPr>
              <w:rPr>
                <w:rFonts w:ascii="Arial" w:eastAsia="Calibri" w:hAnsi="Arial" w:cs="Arial"/>
                <w:b/>
                <w:sz w:val="22"/>
                <w:szCs w:val="22"/>
              </w:rPr>
            </w:pPr>
            <w:r w:rsidRPr="00A64523">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4B67676E" w14:textId="77777777" w:rsidR="00A64523" w:rsidRPr="00A64523" w:rsidRDefault="00A64523" w:rsidP="00A64523">
            <w:pPr>
              <w:rPr>
                <w:rFonts w:ascii="Arial" w:eastAsia="Calibri" w:hAnsi="Arial" w:cs="Arial"/>
                <w:b/>
                <w:sz w:val="22"/>
                <w:szCs w:val="22"/>
              </w:rPr>
            </w:pPr>
            <w:r w:rsidRPr="00A64523">
              <w:rPr>
                <w:rFonts w:ascii="Arial" w:eastAsia="Calibri" w:hAnsi="Arial" w:cs="Arial"/>
                <w:b/>
                <w:sz w:val="22"/>
                <w:szCs w:val="22"/>
              </w:rPr>
              <w:t xml:space="preserve">Scale Factor </w:t>
            </w:r>
          </w:p>
        </w:tc>
      </w:tr>
      <w:tr w:rsidR="00A64523" w:rsidRPr="00A64523" w14:paraId="1969E6CC"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3A0CAAA" w14:textId="77777777" w:rsidR="00A64523" w:rsidRPr="00A64523" w:rsidRDefault="00A64523" w:rsidP="00A64523">
            <w:pPr>
              <w:rPr>
                <w:rFonts w:ascii="Arial" w:hAnsi="Arial" w:cs="Arial"/>
                <w:sz w:val="22"/>
                <w:szCs w:val="22"/>
              </w:rPr>
            </w:pPr>
            <w:r w:rsidRPr="00A64523">
              <w:rPr>
                <w:rFonts w:ascii="Arial" w:hAnsi="Arial" w:cs="Arial"/>
                <w:sz w:val="22"/>
                <w:szCs w:val="22"/>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A8B9F45" w14:textId="77777777" w:rsidR="00A64523" w:rsidRPr="00A64523" w:rsidRDefault="00A64523" w:rsidP="00A64523">
            <w:pPr>
              <w:rPr>
                <w:rFonts w:ascii="Arial" w:hAnsi="Arial" w:cs="Arial"/>
                <w:sz w:val="22"/>
                <w:szCs w:val="22"/>
              </w:rPr>
            </w:pPr>
            <w:r w:rsidRPr="00A64523">
              <w:rPr>
                <w:rFonts w:ascii="Arial" w:hAnsi="Arial" w:cs="Arial"/>
                <w:sz w:val="22"/>
                <w:szCs w:val="22"/>
              </w:rPr>
              <w:t>Thousands of dollars no decimal place</w:t>
            </w:r>
          </w:p>
        </w:tc>
      </w:tr>
      <w:tr w:rsidR="00A64523" w:rsidRPr="00A64523" w14:paraId="42D96BA6" w14:textId="77777777" w:rsidTr="00B80789">
        <w:trPr>
          <w:trHeight w:val="317"/>
        </w:trPr>
        <w:tc>
          <w:tcPr>
            <w:tcW w:w="6946" w:type="dxa"/>
            <w:tcBorders>
              <w:top w:val="single" w:sz="4" w:space="0" w:color="auto"/>
              <w:bottom w:val="single" w:sz="4" w:space="0" w:color="auto"/>
            </w:tcBorders>
            <w:noWrap/>
            <w:vAlign w:val="bottom"/>
          </w:tcPr>
          <w:p w14:paraId="0EC7D397" w14:textId="77777777" w:rsidR="00A64523" w:rsidRPr="00A64523" w:rsidRDefault="00A64523" w:rsidP="00A64523">
            <w:pPr>
              <w:rPr>
                <w:rFonts w:ascii="Arial" w:hAnsi="Arial" w:cs="Arial"/>
                <w:sz w:val="22"/>
                <w:szCs w:val="22"/>
              </w:rPr>
            </w:pPr>
            <w:r w:rsidRPr="00A64523">
              <w:rPr>
                <w:rFonts w:ascii="Arial" w:eastAsia="Calibri" w:hAnsi="Arial" w:cs="Arial"/>
                <w:b/>
                <w:sz w:val="22"/>
                <w:szCs w:val="22"/>
              </w:rPr>
              <w:t>Reporting Consolidation</w:t>
            </w:r>
          </w:p>
        </w:tc>
        <w:tc>
          <w:tcPr>
            <w:tcW w:w="6946" w:type="dxa"/>
            <w:tcBorders>
              <w:top w:val="single" w:sz="4" w:space="0" w:color="auto"/>
            </w:tcBorders>
            <w:noWrap/>
            <w:vAlign w:val="bottom"/>
          </w:tcPr>
          <w:p w14:paraId="230CF32B" w14:textId="77777777" w:rsidR="00A64523" w:rsidRPr="00A64523" w:rsidRDefault="00A64523" w:rsidP="00A64523">
            <w:pPr>
              <w:rPr>
                <w:rFonts w:ascii="Arial" w:hAnsi="Arial" w:cs="Arial"/>
                <w:sz w:val="22"/>
                <w:szCs w:val="22"/>
              </w:rPr>
            </w:pPr>
          </w:p>
        </w:tc>
      </w:tr>
      <w:tr w:rsidR="00A64523" w:rsidRPr="00A64523" w14:paraId="31B0FEDF"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A038D88" w14:textId="77777777" w:rsidR="00A64523" w:rsidRPr="00A64523" w:rsidRDefault="00A64523" w:rsidP="00A64523">
            <w:pPr>
              <w:rPr>
                <w:rFonts w:ascii="Arial" w:hAnsi="Arial" w:cs="Arial"/>
                <w:sz w:val="22"/>
                <w:szCs w:val="22"/>
              </w:rPr>
            </w:pPr>
            <w:r w:rsidRPr="00A64523">
              <w:rPr>
                <w:rFonts w:ascii="Arial" w:hAnsi="Arial" w:cs="Arial"/>
                <w:sz w:val="22"/>
                <w:szCs w:val="22"/>
              </w:rPr>
              <w:t>Licensed insurer</w:t>
            </w:r>
          </w:p>
        </w:tc>
        <w:tc>
          <w:tcPr>
            <w:tcW w:w="6946" w:type="dxa"/>
            <w:tcBorders>
              <w:left w:val="single" w:sz="4" w:space="0" w:color="auto"/>
            </w:tcBorders>
            <w:noWrap/>
            <w:vAlign w:val="bottom"/>
          </w:tcPr>
          <w:p w14:paraId="65596628" w14:textId="77777777" w:rsidR="00A64523" w:rsidRPr="00A64523" w:rsidRDefault="00A64523" w:rsidP="00A64523">
            <w:pPr>
              <w:rPr>
                <w:rFonts w:ascii="Arial" w:hAnsi="Arial" w:cs="Arial"/>
                <w:sz w:val="22"/>
                <w:szCs w:val="22"/>
              </w:rPr>
            </w:pPr>
          </w:p>
        </w:tc>
      </w:tr>
    </w:tbl>
    <w:p w14:paraId="6E2E91E4" w14:textId="77777777" w:rsidR="00A64523" w:rsidRPr="00A64523" w:rsidRDefault="00A64523" w:rsidP="00A64523">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A64523" w:rsidRPr="00A64523" w14:paraId="0D6365C3" w14:textId="77777777" w:rsidTr="00B80789">
        <w:tc>
          <w:tcPr>
            <w:tcW w:w="8789" w:type="dxa"/>
          </w:tcPr>
          <w:p w14:paraId="0B9FD2B7" w14:textId="4E79CF28" w:rsidR="00A64523" w:rsidRPr="00A64523" w:rsidRDefault="00D64C60" w:rsidP="00A64523">
            <w:pPr>
              <w:numPr>
                <w:ilvl w:val="0"/>
                <w:numId w:val="46"/>
              </w:numPr>
              <w:rPr>
                <w:rFonts w:ascii="Arial" w:hAnsi="Arial" w:cs="Arial"/>
                <w:b/>
                <w:bCs/>
                <w:sz w:val="22"/>
                <w:szCs w:val="22"/>
              </w:rPr>
            </w:pPr>
            <w:r>
              <w:rPr>
                <w:rFonts w:ascii="Arial" w:hAnsi="Arial" w:cs="Arial"/>
                <w:b/>
                <w:bCs/>
                <w:sz w:val="22"/>
                <w:szCs w:val="22"/>
              </w:rPr>
              <w:t xml:space="preserve">1. </w:t>
            </w:r>
            <w:r w:rsidR="00A64523" w:rsidRPr="00A64523">
              <w:rPr>
                <w:rFonts w:ascii="Arial" w:hAnsi="Arial" w:cs="Arial"/>
                <w:b/>
                <w:bCs/>
                <w:sz w:val="22"/>
                <w:szCs w:val="22"/>
              </w:rPr>
              <w:t>Summary</w:t>
            </w:r>
          </w:p>
        </w:tc>
      </w:tr>
    </w:tbl>
    <w:p w14:paraId="3943B4EB" w14:textId="77777777" w:rsidR="00A64523" w:rsidRPr="00A64523" w:rsidRDefault="00A64523" w:rsidP="00A64523">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9008"/>
        <w:gridCol w:w="2441"/>
        <w:gridCol w:w="2443"/>
      </w:tblGrid>
      <w:tr w:rsidR="00A64523" w:rsidRPr="00A64523" w14:paraId="275C5610" w14:textId="77777777" w:rsidTr="00B80789">
        <w:trPr>
          <w:trHeight w:val="1115"/>
        </w:trPr>
        <w:tc>
          <w:tcPr>
            <w:tcW w:w="9008" w:type="dxa"/>
            <w:tcBorders>
              <w:top w:val="nil"/>
              <w:left w:val="nil"/>
              <w:bottom w:val="nil"/>
              <w:right w:val="nil"/>
            </w:tcBorders>
            <w:shd w:val="clear" w:color="auto" w:fill="auto"/>
            <w:noWrap/>
            <w:vAlign w:val="bottom"/>
            <w:hideMark/>
          </w:tcPr>
          <w:p w14:paraId="7580755B" w14:textId="77777777" w:rsidR="00A64523" w:rsidRPr="00A64523" w:rsidRDefault="00A64523" w:rsidP="00A64523">
            <w:pPr>
              <w:rPr>
                <w:rFonts w:ascii="Arial" w:hAnsi="Arial" w:cs="Arial"/>
                <w:b/>
                <w:bCs/>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32A07" w14:textId="77777777" w:rsidR="00A64523" w:rsidRPr="00A64523" w:rsidRDefault="00A64523" w:rsidP="00A64523">
            <w:pPr>
              <w:jc w:val="center"/>
              <w:rPr>
                <w:rFonts w:ascii="Arial" w:hAnsi="Arial" w:cs="Arial"/>
                <w:b/>
                <w:bCs/>
              </w:rPr>
            </w:pPr>
            <w:r w:rsidRPr="00A64523">
              <w:rPr>
                <w:rFonts w:ascii="Arial" w:hAnsi="Arial" w:cs="Arial"/>
                <w:b/>
                <w:bCs/>
              </w:rPr>
              <w:t>Sum insured</w:t>
            </w:r>
          </w:p>
        </w:tc>
        <w:tc>
          <w:tcPr>
            <w:tcW w:w="2443" w:type="dxa"/>
            <w:tcBorders>
              <w:top w:val="single" w:sz="4" w:space="0" w:color="auto"/>
              <w:left w:val="nil"/>
              <w:bottom w:val="single" w:sz="4" w:space="0" w:color="auto"/>
              <w:right w:val="single" w:sz="4" w:space="0" w:color="auto"/>
            </w:tcBorders>
            <w:shd w:val="clear" w:color="auto" w:fill="auto"/>
            <w:vAlign w:val="bottom"/>
            <w:hideMark/>
          </w:tcPr>
          <w:p w14:paraId="4C10460E" w14:textId="77777777" w:rsidR="00A64523" w:rsidRPr="00A64523" w:rsidRDefault="00A64523" w:rsidP="00A64523">
            <w:pPr>
              <w:jc w:val="center"/>
              <w:rPr>
                <w:rFonts w:ascii="Arial" w:hAnsi="Arial" w:cs="Arial"/>
                <w:b/>
                <w:bCs/>
              </w:rPr>
            </w:pPr>
            <w:r w:rsidRPr="00A64523">
              <w:rPr>
                <w:rFonts w:ascii="Arial" w:hAnsi="Arial" w:cs="Arial"/>
                <w:b/>
                <w:bCs/>
              </w:rPr>
              <w:t>PML</w:t>
            </w:r>
          </w:p>
        </w:tc>
      </w:tr>
      <w:tr w:rsidR="00A64523" w:rsidRPr="00A64523" w14:paraId="78C4CEC1" w14:textId="77777777" w:rsidTr="00B80789">
        <w:trPr>
          <w:trHeight w:val="315"/>
        </w:trPr>
        <w:tc>
          <w:tcPr>
            <w:tcW w:w="9008" w:type="dxa"/>
            <w:tcBorders>
              <w:top w:val="nil"/>
              <w:left w:val="nil"/>
              <w:bottom w:val="nil"/>
              <w:right w:val="nil"/>
            </w:tcBorders>
            <w:shd w:val="clear" w:color="auto" w:fill="auto"/>
            <w:noWrap/>
            <w:vAlign w:val="bottom"/>
            <w:hideMark/>
          </w:tcPr>
          <w:p w14:paraId="1C5E6886" w14:textId="28F22940" w:rsidR="00A64523" w:rsidRPr="00A64523" w:rsidRDefault="00D64C60" w:rsidP="00A64523">
            <w:pPr>
              <w:numPr>
                <w:ilvl w:val="1"/>
                <w:numId w:val="46"/>
              </w:numPr>
              <w:rPr>
                <w:rFonts w:ascii="Arial" w:hAnsi="Arial" w:cs="Arial"/>
                <w:b/>
                <w:bCs/>
                <w:sz w:val="22"/>
                <w:szCs w:val="22"/>
              </w:rPr>
            </w:pPr>
            <w:r>
              <w:rPr>
                <w:rFonts w:ascii="Arial" w:hAnsi="Arial" w:cs="Arial"/>
                <w:b/>
                <w:bCs/>
                <w:sz w:val="22"/>
                <w:szCs w:val="22"/>
              </w:rPr>
              <w:t xml:space="preserve">1.1 </w:t>
            </w:r>
            <w:r w:rsidR="00A64523" w:rsidRPr="00A64523">
              <w:rPr>
                <w:rFonts w:ascii="Arial" w:hAnsi="Arial" w:cs="Arial"/>
                <w:b/>
                <w:bCs/>
                <w:sz w:val="22"/>
                <w:szCs w:val="22"/>
              </w:rPr>
              <w:t>Standard loans</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DCA5CF"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67D1DAD3"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1CE033F2" w14:textId="77777777" w:rsidTr="00B80789">
        <w:trPr>
          <w:trHeight w:val="315"/>
        </w:trPr>
        <w:tc>
          <w:tcPr>
            <w:tcW w:w="9008" w:type="dxa"/>
            <w:tcBorders>
              <w:top w:val="nil"/>
              <w:left w:val="nil"/>
              <w:bottom w:val="nil"/>
              <w:right w:val="nil"/>
            </w:tcBorders>
            <w:shd w:val="clear" w:color="auto" w:fill="auto"/>
            <w:noWrap/>
            <w:vAlign w:val="bottom"/>
            <w:hideMark/>
          </w:tcPr>
          <w:p w14:paraId="313CB6DA" w14:textId="2DAB80AD" w:rsidR="00A64523" w:rsidRPr="00A64523" w:rsidRDefault="00D64C60" w:rsidP="00D64C60">
            <w:pPr>
              <w:numPr>
                <w:ilvl w:val="4"/>
                <w:numId w:val="46"/>
              </w:numPr>
              <w:ind w:left="216"/>
              <w:rPr>
                <w:rFonts w:ascii="Arial" w:hAnsi="Arial" w:cs="Arial"/>
                <w:bCs/>
                <w:sz w:val="22"/>
                <w:szCs w:val="22"/>
              </w:rPr>
            </w:pPr>
            <w:r>
              <w:rPr>
                <w:rFonts w:ascii="Arial" w:hAnsi="Arial" w:cs="Arial"/>
                <w:bCs/>
                <w:sz w:val="22"/>
                <w:szCs w:val="22"/>
              </w:rPr>
              <w:t xml:space="preserve">1.1.1. </w:t>
            </w:r>
            <w:r w:rsidR="00A64523" w:rsidRPr="00A64523">
              <w:rPr>
                <w:rFonts w:ascii="Arial" w:hAnsi="Arial" w:cs="Arial"/>
                <w:bCs/>
                <w:sz w:val="22"/>
                <w:szCs w:val="22"/>
              </w:rPr>
              <w:t>ADI - 100 per cent and top cover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3FA30A"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015E61F2"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5AFDEEE1" w14:textId="77777777" w:rsidTr="00B80789">
        <w:trPr>
          <w:trHeight w:val="315"/>
        </w:trPr>
        <w:tc>
          <w:tcPr>
            <w:tcW w:w="9008" w:type="dxa"/>
            <w:tcBorders>
              <w:top w:val="nil"/>
              <w:left w:val="nil"/>
              <w:bottom w:val="nil"/>
              <w:right w:val="nil"/>
            </w:tcBorders>
            <w:shd w:val="clear" w:color="auto" w:fill="auto"/>
            <w:noWrap/>
            <w:vAlign w:val="bottom"/>
          </w:tcPr>
          <w:p w14:paraId="60357E46" w14:textId="3CBBC119" w:rsidR="00A64523" w:rsidRPr="00A64523" w:rsidRDefault="00D64C60" w:rsidP="00D64C60">
            <w:pPr>
              <w:numPr>
                <w:ilvl w:val="4"/>
                <w:numId w:val="46"/>
              </w:numPr>
              <w:ind w:left="216"/>
              <w:rPr>
                <w:rFonts w:ascii="Arial" w:hAnsi="Arial" w:cs="Arial"/>
                <w:bCs/>
                <w:sz w:val="22"/>
                <w:szCs w:val="22"/>
              </w:rPr>
            </w:pPr>
            <w:r>
              <w:rPr>
                <w:rFonts w:ascii="Arial" w:hAnsi="Arial" w:cs="Arial"/>
                <w:bCs/>
                <w:sz w:val="22"/>
                <w:szCs w:val="22"/>
              </w:rPr>
              <w:t xml:space="preserve">1.1.2. </w:t>
            </w:r>
            <w:r w:rsidR="00A64523" w:rsidRPr="00A64523">
              <w:rPr>
                <w:rFonts w:ascii="Arial" w:hAnsi="Arial" w:cs="Arial"/>
                <w:bCs/>
                <w:sz w:val="22"/>
                <w:szCs w:val="22"/>
              </w:rPr>
              <w:t>ADI - pool cover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3A2D30"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75E48637"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0AF3A38F" w14:textId="77777777" w:rsidTr="00B80789">
        <w:trPr>
          <w:trHeight w:val="315"/>
        </w:trPr>
        <w:tc>
          <w:tcPr>
            <w:tcW w:w="9008" w:type="dxa"/>
            <w:tcBorders>
              <w:top w:val="nil"/>
              <w:left w:val="nil"/>
              <w:bottom w:val="nil"/>
              <w:right w:val="nil"/>
            </w:tcBorders>
            <w:shd w:val="clear" w:color="auto" w:fill="auto"/>
            <w:noWrap/>
            <w:vAlign w:val="bottom"/>
          </w:tcPr>
          <w:p w14:paraId="5AC2142A" w14:textId="17DD293C" w:rsidR="00A64523" w:rsidRPr="00A64523" w:rsidRDefault="00D64C60" w:rsidP="00D64C60">
            <w:pPr>
              <w:numPr>
                <w:ilvl w:val="4"/>
                <w:numId w:val="46"/>
              </w:numPr>
              <w:ind w:left="216"/>
              <w:rPr>
                <w:rFonts w:ascii="Arial" w:hAnsi="Arial" w:cs="Arial"/>
                <w:bCs/>
                <w:sz w:val="22"/>
                <w:szCs w:val="22"/>
              </w:rPr>
            </w:pPr>
            <w:r>
              <w:rPr>
                <w:rFonts w:ascii="Arial" w:hAnsi="Arial" w:cs="Arial"/>
                <w:bCs/>
                <w:sz w:val="22"/>
                <w:szCs w:val="22"/>
              </w:rPr>
              <w:t xml:space="preserve">1.1.3. </w:t>
            </w:r>
            <w:r w:rsidR="00A64523" w:rsidRPr="00A64523">
              <w:rPr>
                <w:rFonts w:ascii="Arial" w:hAnsi="Arial" w:cs="Arial"/>
                <w:bCs/>
                <w:sz w:val="22"/>
                <w:szCs w:val="22"/>
              </w:rPr>
              <w:t>Non-APRA regulated - 100 per cent and top cover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8C74B5"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416641B5"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6C7AF3A0" w14:textId="77777777" w:rsidTr="00B80789">
        <w:trPr>
          <w:trHeight w:val="315"/>
        </w:trPr>
        <w:tc>
          <w:tcPr>
            <w:tcW w:w="9008" w:type="dxa"/>
            <w:tcBorders>
              <w:top w:val="nil"/>
              <w:left w:val="nil"/>
              <w:bottom w:val="nil"/>
              <w:right w:val="nil"/>
            </w:tcBorders>
            <w:shd w:val="clear" w:color="auto" w:fill="auto"/>
            <w:noWrap/>
            <w:vAlign w:val="bottom"/>
          </w:tcPr>
          <w:p w14:paraId="3FD66084" w14:textId="3C71E0F6" w:rsidR="00A64523" w:rsidRPr="00A64523" w:rsidRDefault="00D64C60" w:rsidP="00D64C60">
            <w:pPr>
              <w:numPr>
                <w:ilvl w:val="4"/>
                <w:numId w:val="46"/>
              </w:numPr>
              <w:ind w:left="216"/>
              <w:rPr>
                <w:rFonts w:ascii="Arial" w:hAnsi="Arial" w:cs="Arial"/>
                <w:bCs/>
                <w:sz w:val="22"/>
                <w:szCs w:val="22"/>
              </w:rPr>
            </w:pPr>
            <w:r>
              <w:rPr>
                <w:rFonts w:ascii="Arial" w:hAnsi="Arial" w:cs="Arial"/>
                <w:bCs/>
                <w:sz w:val="22"/>
                <w:szCs w:val="22"/>
              </w:rPr>
              <w:t xml:space="preserve">1.1.4. </w:t>
            </w:r>
            <w:r w:rsidR="00A64523" w:rsidRPr="00A64523">
              <w:rPr>
                <w:rFonts w:ascii="Arial" w:hAnsi="Arial" w:cs="Arial"/>
                <w:bCs/>
                <w:sz w:val="22"/>
                <w:szCs w:val="22"/>
              </w:rPr>
              <w:t>Non-APRA regulated - pool cover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41914E"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54701FA6"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00326EF0" w14:textId="77777777" w:rsidTr="00B80789">
        <w:trPr>
          <w:trHeight w:val="315"/>
        </w:trPr>
        <w:tc>
          <w:tcPr>
            <w:tcW w:w="9008" w:type="dxa"/>
            <w:tcBorders>
              <w:top w:val="nil"/>
              <w:left w:val="nil"/>
              <w:bottom w:val="nil"/>
              <w:right w:val="nil"/>
            </w:tcBorders>
            <w:shd w:val="clear" w:color="auto" w:fill="auto"/>
            <w:noWrap/>
            <w:vAlign w:val="bottom"/>
          </w:tcPr>
          <w:p w14:paraId="43E1368A" w14:textId="0FE3F9DF" w:rsidR="00A64523" w:rsidRPr="00A64523" w:rsidRDefault="00D64C60" w:rsidP="00A64523">
            <w:pPr>
              <w:numPr>
                <w:ilvl w:val="1"/>
                <w:numId w:val="46"/>
              </w:numPr>
              <w:rPr>
                <w:rFonts w:ascii="Arial" w:hAnsi="Arial" w:cs="Arial"/>
                <w:b/>
                <w:bCs/>
                <w:sz w:val="22"/>
                <w:szCs w:val="22"/>
              </w:rPr>
            </w:pPr>
            <w:r>
              <w:rPr>
                <w:rFonts w:ascii="Arial" w:hAnsi="Arial" w:cs="Arial"/>
                <w:b/>
                <w:bCs/>
                <w:sz w:val="22"/>
                <w:szCs w:val="22"/>
              </w:rPr>
              <w:t xml:space="preserve">1.2. </w:t>
            </w:r>
            <w:r w:rsidR="00A64523" w:rsidRPr="00A64523">
              <w:rPr>
                <w:rFonts w:ascii="Arial" w:hAnsi="Arial" w:cs="Arial"/>
                <w:b/>
                <w:bCs/>
                <w:sz w:val="22"/>
                <w:szCs w:val="22"/>
              </w:rPr>
              <w:t>Non-standard loans</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F617E3"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48FF2B71"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50FED7B1" w14:textId="77777777" w:rsidTr="00B80789">
        <w:trPr>
          <w:trHeight w:val="315"/>
        </w:trPr>
        <w:tc>
          <w:tcPr>
            <w:tcW w:w="9008" w:type="dxa"/>
            <w:tcBorders>
              <w:top w:val="nil"/>
              <w:left w:val="nil"/>
              <w:bottom w:val="nil"/>
              <w:right w:val="nil"/>
            </w:tcBorders>
            <w:shd w:val="clear" w:color="auto" w:fill="auto"/>
            <w:noWrap/>
            <w:vAlign w:val="bottom"/>
          </w:tcPr>
          <w:p w14:paraId="29D69B58" w14:textId="09FB6285" w:rsidR="00A64523" w:rsidRPr="00A64523" w:rsidRDefault="00D64C60" w:rsidP="00D64C60">
            <w:pPr>
              <w:numPr>
                <w:ilvl w:val="4"/>
                <w:numId w:val="46"/>
              </w:numPr>
              <w:ind w:left="216"/>
              <w:rPr>
                <w:rFonts w:ascii="Arial" w:hAnsi="Arial" w:cs="Arial"/>
                <w:bCs/>
                <w:sz w:val="22"/>
                <w:szCs w:val="22"/>
              </w:rPr>
            </w:pPr>
            <w:r>
              <w:rPr>
                <w:rFonts w:ascii="Arial" w:hAnsi="Arial" w:cs="Arial"/>
                <w:bCs/>
                <w:sz w:val="22"/>
                <w:szCs w:val="22"/>
              </w:rPr>
              <w:t xml:space="preserve">1.2.1. </w:t>
            </w:r>
            <w:r w:rsidR="00A64523" w:rsidRPr="00A64523">
              <w:rPr>
                <w:rFonts w:ascii="Arial" w:hAnsi="Arial" w:cs="Arial"/>
                <w:bCs/>
                <w:sz w:val="22"/>
                <w:szCs w:val="22"/>
              </w:rPr>
              <w:t>ADI - 100 per cent and top cover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12549D"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3F44E480"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0E790A00" w14:textId="77777777" w:rsidTr="00B80789">
        <w:trPr>
          <w:trHeight w:val="315"/>
        </w:trPr>
        <w:tc>
          <w:tcPr>
            <w:tcW w:w="9008" w:type="dxa"/>
            <w:tcBorders>
              <w:top w:val="nil"/>
              <w:left w:val="nil"/>
              <w:bottom w:val="nil"/>
              <w:right w:val="nil"/>
            </w:tcBorders>
            <w:shd w:val="clear" w:color="auto" w:fill="auto"/>
            <w:noWrap/>
            <w:vAlign w:val="bottom"/>
          </w:tcPr>
          <w:p w14:paraId="5BA58F4B" w14:textId="472DB51F" w:rsidR="00A64523" w:rsidRPr="00A64523" w:rsidRDefault="00D64C60" w:rsidP="00D64C60">
            <w:pPr>
              <w:numPr>
                <w:ilvl w:val="4"/>
                <w:numId w:val="46"/>
              </w:numPr>
              <w:ind w:left="216"/>
              <w:rPr>
                <w:rFonts w:ascii="Arial" w:hAnsi="Arial" w:cs="Arial"/>
                <w:bCs/>
                <w:sz w:val="22"/>
                <w:szCs w:val="22"/>
              </w:rPr>
            </w:pPr>
            <w:r>
              <w:rPr>
                <w:rFonts w:ascii="Arial" w:hAnsi="Arial" w:cs="Arial"/>
                <w:bCs/>
                <w:sz w:val="22"/>
                <w:szCs w:val="22"/>
              </w:rPr>
              <w:t xml:space="preserve">1.2.2. </w:t>
            </w:r>
            <w:r w:rsidR="00A64523" w:rsidRPr="00A64523">
              <w:rPr>
                <w:rFonts w:ascii="Arial" w:hAnsi="Arial" w:cs="Arial"/>
                <w:bCs/>
                <w:sz w:val="22"/>
                <w:szCs w:val="22"/>
              </w:rPr>
              <w:t>ADI - pool cover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7722F5"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6A8514BA"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323DC66A" w14:textId="77777777" w:rsidTr="00B80789">
        <w:trPr>
          <w:trHeight w:val="315"/>
        </w:trPr>
        <w:tc>
          <w:tcPr>
            <w:tcW w:w="9008" w:type="dxa"/>
            <w:tcBorders>
              <w:top w:val="nil"/>
              <w:left w:val="nil"/>
              <w:bottom w:val="nil"/>
              <w:right w:val="nil"/>
            </w:tcBorders>
            <w:shd w:val="clear" w:color="auto" w:fill="auto"/>
            <w:noWrap/>
            <w:vAlign w:val="bottom"/>
          </w:tcPr>
          <w:p w14:paraId="54816117" w14:textId="03B32879" w:rsidR="00A64523" w:rsidRPr="00A64523" w:rsidRDefault="00D64C60" w:rsidP="00D64C60">
            <w:pPr>
              <w:numPr>
                <w:ilvl w:val="4"/>
                <w:numId w:val="46"/>
              </w:numPr>
              <w:ind w:left="216"/>
              <w:rPr>
                <w:rFonts w:ascii="Arial" w:hAnsi="Arial" w:cs="Arial"/>
                <w:bCs/>
                <w:sz w:val="22"/>
                <w:szCs w:val="22"/>
              </w:rPr>
            </w:pPr>
            <w:r>
              <w:rPr>
                <w:rFonts w:ascii="Arial" w:hAnsi="Arial" w:cs="Arial"/>
                <w:bCs/>
                <w:sz w:val="22"/>
                <w:szCs w:val="22"/>
              </w:rPr>
              <w:t xml:space="preserve">1.2.3. </w:t>
            </w:r>
            <w:r w:rsidR="00A64523" w:rsidRPr="00A64523">
              <w:rPr>
                <w:rFonts w:ascii="Arial" w:hAnsi="Arial" w:cs="Arial"/>
                <w:bCs/>
                <w:sz w:val="22"/>
                <w:szCs w:val="22"/>
              </w:rPr>
              <w:t>Non-APRA regulated - 100 per cent and top cover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7686F3"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1823D8B8"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5FEEB7BE" w14:textId="77777777" w:rsidTr="00B80789">
        <w:trPr>
          <w:trHeight w:val="315"/>
        </w:trPr>
        <w:tc>
          <w:tcPr>
            <w:tcW w:w="9008" w:type="dxa"/>
            <w:tcBorders>
              <w:top w:val="nil"/>
              <w:left w:val="nil"/>
              <w:bottom w:val="nil"/>
              <w:right w:val="nil"/>
            </w:tcBorders>
            <w:shd w:val="clear" w:color="auto" w:fill="auto"/>
            <w:noWrap/>
            <w:vAlign w:val="bottom"/>
          </w:tcPr>
          <w:p w14:paraId="06F1AA80" w14:textId="4C6BCF78" w:rsidR="00A64523" w:rsidRPr="00A64523" w:rsidRDefault="00D64C60" w:rsidP="00D64C60">
            <w:pPr>
              <w:numPr>
                <w:ilvl w:val="4"/>
                <w:numId w:val="46"/>
              </w:numPr>
              <w:ind w:left="216"/>
              <w:rPr>
                <w:rFonts w:ascii="Arial" w:hAnsi="Arial" w:cs="Arial"/>
                <w:bCs/>
                <w:sz w:val="22"/>
                <w:szCs w:val="22"/>
              </w:rPr>
            </w:pPr>
            <w:r>
              <w:rPr>
                <w:rFonts w:ascii="Arial" w:hAnsi="Arial" w:cs="Arial"/>
                <w:bCs/>
                <w:sz w:val="22"/>
                <w:szCs w:val="22"/>
              </w:rPr>
              <w:t xml:space="preserve">1.2.4. </w:t>
            </w:r>
            <w:r w:rsidR="00A64523" w:rsidRPr="00A64523">
              <w:rPr>
                <w:rFonts w:ascii="Arial" w:hAnsi="Arial" w:cs="Arial"/>
                <w:bCs/>
                <w:sz w:val="22"/>
                <w:szCs w:val="22"/>
              </w:rPr>
              <w:t>Non-APRA regulated - pool cover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26A9C0"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664AD588"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7C301E7B" w14:textId="77777777" w:rsidTr="00B80789">
        <w:trPr>
          <w:trHeight w:val="315"/>
        </w:trPr>
        <w:tc>
          <w:tcPr>
            <w:tcW w:w="9008" w:type="dxa"/>
            <w:tcBorders>
              <w:top w:val="nil"/>
              <w:left w:val="nil"/>
              <w:bottom w:val="nil"/>
              <w:right w:val="nil"/>
            </w:tcBorders>
            <w:shd w:val="clear" w:color="auto" w:fill="auto"/>
            <w:noWrap/>
            <w:vAlign w:val="bottom"/>
          </w:tcPr>
          <w:p w14:paraId="640BED7B" w14:textId="730DEA82" w:rsidR="00A64523" w:rsidRPr="00A64523" w:rsidRDefault="00D64C60" w:rsidP="00A64523">
            <w:pPr>
              <w:numPr>
                <w:ilvl w:val="1"/>
                <w:numId w:val="46"/>
              </w:numPr>
              <w:rPr>
                <w:rFonts w:ascii="Arial" w:hAnsi="Arial" w:cs="Arial"/>
                <w:b/>
                <w:bCs/>
                <w:sz w:val="22"/>
                <w:szCs w:val="22"/>
              </w:rPr>
            </w:pPr>
            <w:r>
              <w:rPr>
                <w:rFonts w:ascii="Arial" w:hAnsi="Arial" w:cs="Arial"/>
                <w:b/>
                <w:bCs/>
                <w:sz w:val="22"/>
                <w:szCs w:val="22"/>
              </w:rPr>
              <w:t xml:space="preserve">1.3 </w:t>
            </w:r>
            <w:r w:rsidR="00A64523" w:rsidRPr="00A64523">
              <w:rPr>
                <w:rFonts w:ascii="Arial" w:hAnsi="Arial" w:cs="Arial"/>
                <w:b/>
                <w:bCs/>
                <w:sz w:val="22"/>
                <w:szCs w:val="22"/>
              </w:rPr>
              <w:t>Commercial loans</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A27262"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4B0AE641"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310CBAFA" w14:textId="77777777" w:rsidTr="00B80789">
        <w:trPr>
          <w:trHeight w:val="315"/>
        </w:trPr>
        <w:tc>
          <w:tcPr>
            <w:tcW w:w="9008" w:type="dxa"/>
            <w:tcBorders>
              <w:top w:val="nil"/>
              <w:left w:val="nil"/>
              <w:bottom w:val="nil"/>
              <w:right w:val="nil"/>
            </w:tcBorders>
            <w:shd w:val="clear" w:color="auto" w:fill="auto"/>
            <w:noWrap/>
            <w:vAlign w:val="bottom"/>
          </w:tcPr>
          <w:p w14:paraId="5D0E50D7" w14:textId="240188AA" w:rsidR="00A64523" w:rsidRPr="00A64523" w:rsidRDefault="00541F0F" w:rsidP="00541F0F">
            <w:pPr>
              <w:numPr>
                <w:ilvl w:val="4"/>
                <w:numId w:val="46"/>
              </w:numPr>
              <w:ind w:left="216"/>
              <w:rPr>
                <w:rFonts w:ascii="Arial" w:hAnsi="Arial" w:cs="Arial"/>
                <w:bCs/>
                <w:sz w:val="22"/>
                <w:szCs w:val="22"/>
              </w:rPr>
            </w:pPr>
            <w:r>
              <w:rPr>
                <w:rFonts w:ascii="Arial" w:hAnsi="Arial" w:cs="Arial"/>
                <w:bCs/>
                <w:sz w:val="22"/>
                <w:szCs w:val="22"/>
              </w:rPr>
              <w:lastRenderedPageBreak/>
              <w:t xml:space="preserve">1.3.1. </w:t>
            </w:r>
            <w:r w:rsidR="00A64523" w:rsidRPr="00A64523">
              <w:rPr>
                <w:rFonts w:ascii="Arial" w:hAnsi="Arial" w:cs="Arial"/>
                <w:bCs/>
                <w:sz w:val="22"/>
                <w:szCs w:val="22"/>
              </w:rPr>
              <w:t>ADI</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402133"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7C4653E0"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5DE1C789" w14:textId="77777777" w:rsidTr="00B80789">
        <w:trPr>
          <w:trHeight w:val="315"/>
        </w:trPr>
        <w:tc>
          <w:tcPr>
            <w:tcW w:w="9008" w:type="dxa"/>
            <w:tcBorders>
              <w:top w:val="nil"/>
              <w:left w:val="nil"/>
              <w:bottom w:val="nil"/>
              <w:right w:val="nil"/>
            </w:tcBorders>
            <w:shd w:val="clear" w:color="auto" w:fill="auto"/>
            <w:noWrap/>
            <w:vAlign w:val="bottom"/>
          </w:tcPr>
          <w:p w14:paraId="506DD360" w14:textId="3DC01E24" w:rsidR="00A64523" w:rsidRPr="00A64523" w:rsidRDefault="00541F0F" w:rsidP="00541F0F">
            <w:pPr>
              <w:numPr>
                <w:ilvl w:val="4"/>
                <w:numId w:val="46"/>
              </w:numPr>
              <w:ind w:left="216"/>
              <w:rPr>
                <w:rFonts w:ascii="Arial" w:hAnsi="Arial" w:cs="Arial"/>
                <w:bCs/>
                <w:sz w:val="22"/>
                <w:szCs w:val="22"/>
              </w:rPr>
            </w:pPr>
            <w:r>
              <w:rPr>
                <w:rFonts w:ascii="Arial" w:hAnsi="Arial" w:cs="Arial"/>
                <w:bCs/>
                <w:sz w:val="22"/>
                <w:szCs w:val="22"/>
              </w:rPr>
              <w:t xml:space="preserve">1.3.2. </w:t>
            </w:r>
            <w:r w:rsidR="00A64523" w:rsidRPr="00A64523">
              <w:rPr>
                <w:rFonts w:ascii="Arial" w:hAnsi="Arial" w:cs="Arial"/>
                <w:bCs/>
                <w:sz w:val="22"/>
                <w:szCs w:val="22"/>
              </w:rPr>
              <w:t>Non-APRA regulated</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52D973"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bottom w:val="single" w:sz="4" w:space="0" w:color="auto"/>
              <w:right w:val="single" w:sz="4" w:space="0" w:color="auto"/>
            </w:tcBorders>
            <w:shd w:val="clear" w:color="auto" w:fill="A6A6A6"/>
            <w:noWrap/>
            <w:vAlign w:val="bottom"/>
          </w:tcPr>
          <w:p w14:paraId="256CE6DF"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70E81FF4" w14:textId="77777777" w:rsidTr="00B80789">
        <w:trPr>
          <w:trHeight w:val="315"/>
        </w:trPr>
        <w:tc>
          <w:tcPr>
            <w:tcW w:w="9008" w:type="dxa"/>
            <w:tcBorders>
              <w:top w:val="nil"/>
              <w:left w:val="nil"/>
              <w:bottom w:val="nil"/>
              <w:right w:val="nil"/>
            </w:tcBorders>
            <w:shd w:val="clear" w:color="auto" w:fill="auto"/>
            <w:noWrap/>
            <w:vAlign w:val="bottom"/>
          </w:tcPr>
          <w:p w14:paraId="39B0BA65" w14:textId="53CB9860"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1.4. </w:t>
            </w:r>
            <w:r w:rsidR="00A64523" w:rsidRPr="00A64523">
              <w:rPr>
                <w:rFonts w:ascii="Arial" w:hAnsi="Arial" w:cs="Arial"/>
                <w:b/>
                <w:bCs/>
                <w:sz w:val="22"/>
                <w:szCs w:val="22"/>
              </w:rPr>
              <w:t>Total</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EB968C" w14:textId="77777777" w:rsidR="00A64523" w:rsidRPr="00A64523" w:rsidRDefault="00A64523" w:rsidP="00A64523">
            <w:pPr>
              <w:jc w:val="center"/>
              <w:rPr>
                <w:rFonts w:ascii="Arial" w:eastAsia="Calibri" w:hAnsi="Arial" w:cs="Arial"/>
                <w:sz w:val="22"/>
                <w:szCs w:val="22"/>
                <w:lang w:eastAsia="en-US"/>
              </w:rPr>
            </w:pPr>
          </w:p>
        </w:tc>
        <w:tc>
          <w:tcPr>
            <w:tcW w:w="2443" w:type="dxa"/>
            <w:tcBorders>
              <w:top w:val="single" w:sz="4" w:space="0" w:color="auto"/>
              <w:left w:val="nil"/>
            </w:tcBorders>
            <w:shd w:val="clear" w:color="auto" w:fill="auto"/>
            <w:noWrap/>
            <w:vAlign w:val="bottom"/>
          </w:tcPr>
          <w:p w14:paraId="27FB5B3E"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7C366848" w14:textId="77777777" w:rsidTr="00B80789">
        <w:tc>
          <w:tcPr>
            <w:tcW w:w="13892" w:type="dxa"/>
            <w:gridSpan w:val="3"/>
          </w:tcPr>
          <w:p w14:paraId="0294104F" w14:textId="77777777" w:rsidR="00541F0F" w:rsidRDefault="00541F0F" w:rsidP="00A64523">
            <w:pPr>
              <w:numPr>
                <w:ilvl w:val="0"/>
                <w:numId w:val="46"/>
              </w:numPr>
              <w:rPr>
                <w:rFonts w:ascii="Arial" w:hAnsi="Arial" w:cs="Arial"/>
                <w:b/>
                <w:bCs/>
                <w:sz w:val="22"/>
                <w:szCs w:val="22"/>
              </w:rPr>
            </w:pPr>
          </w:p>
          <w:p w14:paraId="141EC9F5" w14:textId="4B2E6904" w:rsidR="00A64523" w:rsidRPr="00A64523" w:rsidRDefault="00541F0F" w:rsidP="00A64523">
            <w:pPr>
              <w:numPr>
                <w:ilvl w:val="0"/>
                <w:numId w:val="46"/>
              </w:numPr>
              <w:rPr>
                <w:rFonts w:ascii="Arial" w:hAnsi="Arial" w:cs="Arial"/>
                <w:b/>
                <w:bCs/>
                <w:sz w:val="22"/>
                <w:szCs w:val="22"/>
              </w:rPr>
            </w:pPr>
            <w:r>
              <w:rPr>
                <w:rFonts w:ascii="Arial" w:hAnsi="Arial" w:cs="Arial"/>
                <w:b/>
                <w:bCs/>
                <w:sz w:val="22"/>
                <w:szCs w:val="22"/>
              </w:rPr>
              <w:t xml:space="preserve">2. </w:t>
            </w:r>
            <w:r w:rsidR="00A64523" w:rsidRPr="00A64523">
              <w:rPr>
                <w:rFonts w:ascii="Arial" w:hAnsi="Arial" w:cs="Arial"/>
                <w:b/>
                <w:bCs/>
                <w:sz w:val="22"/>
                <w:szCs w:val="22"/>
              </w:rPr>
              <w:t>LMI Concentration Risk Charge (LMICRC) calculation</w:t>
            </w:r>
          </w:p>
        </w:tc>
      </w:tr>
    </w:tbl>
    <w:p w14:paraId="4E4B9FC5" w14:textId="77777777" w:rsidR="00A64523" w:rsidRPr="00A64523" w:rsidRDefault="00A64523" w:rsidP="00A64523">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666"/>
        <w:gridCol w:w="1806"/>
        <w:gridCol w:w="1807"/>
        <w:gridCol w:w="1807"/>
        <w:gridCol w:w="1806"/>
      </w:tblGrid>
      <w:tr w:rsidR="00A64523" w:rsidRPr="00A64523" w14:paraId="36790744" w14:textId="77777777" w:rsidTr="00B80789">
        <w:trPr>
          <w:trHeight w:val="338"/>
        </w:trPr>
        <w:tc>
          <w:tcPr>
            <w:tcW w:w="6666" w:type="dxa"/>
            <w:tcBorders>
              <w:top w:val="nil"/>
              <w:left w:val="nil"/>
              <w:bottom w:val="nil"/>
              <w:right w:val="nil"/>
            </w:tcBorders>
            <w:shd w:val="clear" w:color="auto" w:fill="auto"/>
            <w:noWrap/>
            <w:vAlign w:val="bottom"/>
            <w:hideMark/>
          </w:tcPr>
          <w:p w14:paraId="463D2E18" w14:textId="77777777" w:rsidR="00A64523" w:rsidRPr="00A64523" w:rsidRDefault="00A64523" w:rsidP="00A64523">
            <w:pPr>
              <w:rPr>
                <w:rFonts w:ascii="Arial" w:hAnsi="Arial" w:cs="Arial"/>
                <w:b/>
                <w:bCs/>
              </w:rPr>
            </w:pPr>
          </w:p>
        </w:tc>
        <w:tc>
          <w:tcPr>
            <w:tcW w:w="54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1E2D48" w14:textId="77777777" w:rsidR="00A64523" w:rsidRPr="00A64523" w:rsidRDefault="00A64523" w:rsidP="00A64523">
            <w:pPr>
              <w:jc w:val="center"/>
              <w:rPr>
                <w:rFonts w:ascii="Arial" w:hAnsi="Arial" w:cs="Arial"/>
                <w:b/>
                <w:bCs/>
              </w:rPr>
            </w:pPr>
            <w:r w:rsidRPr="00A64523">
              <w:rPr>
                <w:rFonts w:ascii="Arial" w:hAnsi="Arial" w:cs="Arial"/>
                <w:b/>
                <w:bCs/>
              </w:rPr>
              <w:t>Year</w:t>
            </w:r>
          </w:p>
        </w:tc>
        <w:tc>
          <w:tcPr>
            <w:tcW w:w="1806" w:type="dxa"/>
            <w:vMerge w:val="restart"/>
            <w:tcBorders>
              <w:top w:val="single" w:sz="4" w:space="0" w:color="auto"/>
              <w:left w:val="nil"/>
              <w:right w:val="single" w:sz="4" w:space="0" w:color="auto"/>
            </w:tcBorders>
            <w:shd w:val="clear" w:color="auto" w:fill="auto"/>
            <w:vAlign w:val="bottom"/>
            <w:hideMark/>
          </w:tcPr>
          <w:p w14:paraId="04BBDF7A" w14:textId="77777777" w:rsidR="00A64523" w:rsidRPr="00A64523" w:rsidRDefault="00A64523" w:rsidP="00A64523">
            <w:pPr>
              <w:jc w:val="center"/>
              <w:rPr>
                <w:rFonts w:ascii="Arial" w:hAnsi="Arial" w:cs="Arial"/>
                <w:b/>
                <w:bCs/>
              </w:rPr>
            </w:pPr>
            <w:r w:rsidRPr="00A64523">
              <w:rPr>
                <w:rFonts w:ascii="Arial" w:hAnsi="Arial" w:cs="Arial"/>
                <w:b/>
                <w:bCs/>
              </w:rPr>
              <w:t>Total</w:t>
            </w:r>
          </w:p>
        </w:tc>
      </w:tr>
      <w:tr w:rsidR="00A64523" w:rsidRPr="00A64523" w14:paraId="10CE7BA0" w14:textId="77777777" w:rsidTr="00B80789">
        <w:trPr>
          <w:trHeight w:val="315"/>
        </w:trPr>
        <w:tc>
          <w:tcPr>
            <w:tcW w:w="6666" w:type="dxa"/>
            <w:tcBorders>
              <w:top w:val="nil"/>
              <w:left w:val="nil"/>
              <w:bottom w:val="nil"/>
              <w:right w:val="nil"/>
            </w:tcBorders>
            <w:shd w:val="clear" w:color="auto" w:fill="auto"/>
            <w:noWrap/>
            <w:vAlign w:val="bottom"/>
            <w:hideMark/>
          </w:tcPr>
          <w:p w14:paraId="5C187B2A" w14:textId="77777777" w:rsidR="00A64523" w:rsidRPr="00A64523" w:rsidRDefault="00A64523" w:rsidP="00A64523">
            <w:pPr>
              <w:rPr>
                <w:rFonts w:ascii="Arial" w:hAnsi="Arial" w:cs="Arial"/>
                <w:b/>
                <w:bCs/>
              </w:rPr>
            </w:pPr>
          </w:p>
        </w:tc>
        <w:tc>
          <w:tcPr>
            <w:tcW w:w="18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9F4B1" w14:textId="77777777" w:rsidR="00A64523" w:rsidRPr="00A64523" w:rsidRDefault="00A64523" w:rsidP="00A64523">
            <w:pPr>
              <w:jc w:val="center"/>
              <w:rPr>
                <w:rFonts w:ascii="Arial" w:hAnsi="Arial" w:cs="Arial"/>
                <w:b/>
                <w:bCs/>
              </w:rPr>
            </w:pPr>
            <w:r w:rsidRPr="00A64523">
              <w:rPr>
                <w:rFonts w:ascii="Arial" w:hAnsi="Arial" w:cs="Arial"/>
                <w:b/>
                <w:bCs/>
              </w:rPr>
              <w:t>1</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14:paraId="746CFC7F" w14:textId="77777777" w:rsidR="00A64523" w:rsidRPr="00A64523" w:rsidRDefault="00A64523" w:rsidP="00A64523">
            <w:pPr>
              <w:jc w:val="center"/>
              <w:rPr>
                <w:rFonts w:ascii="Arial" w:hAnsi="Arial" w:cs="Arial"/>
                <w:b/>
                <w:bCs/>
              </w:rPr>
            </w:pPr>
            <w:r w:rsidRPr="00A64523">
              <w:rPr>
                <w:rFonts w:ascii="Arial" w:hAnsi="Arial" w:cs="Arial"/>
                <w:b/>
                <w:bCs/>
              </w:rPr>
              <w:t>2</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14:paraId="141F77F2" w14:textId="77777777" w:rsidR="00A64523" w:rsidRPr="00A64523" w:rsidRDefault="00A64523" w:rsidP="00A64523">
            <w:pPr>
              <w:jc w:val="center"/>
              <w:rPr>
                <w:rFonts w:ascii="Arial" w:hAnsi="Arial" w:cs="Arial"/>
                <w:b/>
                <w:bCs/>
              </w:rPr>
            </w:pPr>
            <w:r w:rsidRPr="00A64523">
              <w:rPr>
                <w:rFonts w:ascii="Arial" w:hAnsi="Arial" w:cs="Arial"/>
                <w:b/>
                <w:bCs/>
              </w:rPr>
              <w:t>3</w:t>
            </w:r>
          </w:p>
        </w:tc>
        <w:tc>
          <w:tcPr>
            <w:tcW w:w="1806" w:type="dxa"/>
            <w:vMerge/>
            <w:tcBorders>
              <w:left w:val="nil"/>
              <w:bottom w:val="single" w:sz="4" w:space="0" w:color="auto"/>
              <w:right w:val="single" w:sz="4" w:space="0" w:color="auto"/>
            </w:tcBorders>
            <w:shd w:val="clear" w:color="auto" w:fill="auto"/>
            <w:vAlign w:val="bottom"/>
            <w:hideMark/>
          </w:tcPr>
          <w:p w14:paraId="1649304B" w14:textId="77777777" w:rsidR="00A64523" w:rsidRPr="00A64523" w:rsidRDefault="00A64523" w:rsidP="00A64523">
            <w:pPr>
              <w:jc w:val="center"/>
              <w:rPr>
                <w:rFonts w:ascii="Arial" w:hAnsi="Arial" w:cs="Arial"/>
                <w:b/>
                <w:bCs/>
              </w:rPr>
            </w:pPr>
          </w:p>
        </w:tc>
      </w:tr>
      <w:tr w:rsidR="00A64523" w:rsidRPr="00A64523" w14:paraId="44C741D6" w14:textId="77777777" w:rsidTr="00B80789">
        <w:trPr>
          <w:trHeight w:val="315"/>
        </w:trPr>
        <w:tc>
          <w:tcPr>
            <w:tcW w:w="6666" w:type="dxa"/>
            <w:tcBorders>
              <w:top w:val="nil"/>
              <w:left w:val="nil"/>
              <w:bottom w:val="nil"/>
              <w:right w:val="nil"/>
            </w:tcBorders>
            <w:shd w:val="clear" w:color="auto" w:fill="auto"/>
            <w:noWrap/>
            <w:vAlign w:val="bottom"/>
            <w:hideMark/>
          </w:tcPr>
          <w:p w14:paraId="5C695C73" w14:textId="35F356CA"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2.1. </w:t>
            </w:r>
            <w:r w:rsidR="00A64523" w:rsidRPr="00A64523">
              <w:rPr>
                <w:rFonts w:ascii="Arial" w:hAnsi="Arial" w:cs="Arial"/>
                <w:b/>
                <w:bCs/>
                <w:sz w:val="22"/>
                <w:szCs w:val="22"/>
              </w:rPr>
              <w:t>PML</w:t>
            </w:r>
            <w:r w:rsidR="00A64523" w:rsidRPr="00A64523">
              <w:rPr>
                <w:rFonts w:ascii="Arial" w:hAnsi="Arial" w:cs="Arial"/>
                <w:b/>
                <w:bCs/>
                <w:sz w:val="22"/>
                <w:szCs w:val="22"/>
              </w:rPr>
              <w:tab/>
            </w: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10C91E0"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6A452001"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78E9BA33" w14:textId="77777777" w:rsidR="00A64523" w:rsidRPr="00A64523" w:rsidRDefault="00A64523"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39992FB0"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1738A122" w14:textId="77777777" w:rsidTr="00B80789">
        <w:trPr>
          <w:trHeight w:val="315"/>
        </w:trPr>
        <w:tc>
          <w:tcPr>
            <w:tcW w:w="6666" w:type="dxa"/>
            <w:tcBorders>
              <w:top w:val="nil"/>
              <w:left w:val="nil"/>
              <w:bottom w:val="nil"/>
            </w:tcBorders>
            <w:shd w:val="clear" w:color="auto" w:fill="auto"/>
            <w:noWrap/>
            <w:vAlign w:val="bottom"/>
            <w:hideMark/>
          </w:tcPr>
          <w:p w14:paraId="2B3592D9" w14:textId="53CD4CC5"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2.2. </w:t>
            </w:r>
            <w:r w:rsidR="00A64523" w:rsidRPr="00A64523">
              <w:rPr>
                <w:rFonts w:ascii="Arial" w:hAnsi="Arial" w:cs="Arial"/>
                <w:b/>
                <w:bCs/>
                <w:sz w:val="22"/>
                <w:szCs w:val="22"/>
              </w:rPr>
              <w:t>Adjustment to the PML</w:t>
            </w:r>
          </w:p>
        </w:tc>
        <w:tc>
          <w:tcPr>
            <w:tcW w:w="1806" w:type="dxa"/>
            <w:tcBorders>
              <w:top w:val="single" w:sz="4" w:space="0" w:color="auto"/>
              <w:bottom w:val="single" w:sz="4" w:space="0" w:color="auto"/>
              <w:right w:val="single" w:sz="4" w:space="0" w:color="auto"/>
            </w:tcBorders>
            <w:shd w:val="clear" w:color="auto" w:fill="auto"/>
            <w:noWrap/>
            <w:vAlign w:val="bottom"/>
          </w:tcPr>
          <w:p w14:paraId="414F5C15"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1C8C75E3"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3933A4A" w14:textId="77777777" w:rsidR="00A64523" w:rsidRPr="00A64523" w:rsidRDefault="00A64523"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523004E5"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6A4A648D" w14:textId="77777777" w:rsidTr="00B80789">
        <w:trPr>
          <w:trHeight w:val="315"/>
        </w:trPr>
        <w:tc>
          <w:tcPr>
            <w:tcW w:w="6666" w:type="dxa"/>
            <w:tcBorders>
              <w:top w:val="nil"/>
              <w:left w:val="nil"/>
              <w:bottom w:val="nil"/>
              <w:right w:val="nil"/>
            </w:tcBorders>
            <w:shd w:val="clear" w:color="auto" w:fill="auto"/>
            <w:noWrap/>
            <w:vAlign w:val="bottom"/>
            <w:hideMark/>
          </w:tcPr>
          <w:p w14:paraId="728A43F4" w14:textId="011B94B5"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2.3. </w:t>
            </w:r>
            <w:r w:rsidR="00A64523" w:rsidRPr="00A64523">
              <w:rPr>
                <w:rFonts w:ascii="Arial" w:hAnsi="Arial" w:cs="Arial"/>
                <w:b/>
                <w:bCs/>
                <w:sz w:val="22"/>
                <w:szCs w:val="22"/>
              </w:rPr>
              <w:t>Adjusted PML</w:t>
            </w:r>
          </w:p>
        </w:tc>
        <w:tc>
          <w:tcPr>
            <w:tcW w:w="18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5DE718"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56775C82"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left w:val="nil"/>
              <w:bottom w:val="single" w:sz="4" w:space="0" w:color="auto"/>
              <w:right w:val="single" w:sz="4" w:space="0" w:color="auto"/>
            </w:tcBorders>
            <w:shd w:val="clear" w:color="auto" w:fill="A6A6A6"/>
            <w:noWrap/>
            <w:vAlign w:val="bottom"/>
          </w:tcPr>
          <w:p w14:paraId="3C24CA6F" w14:textId="77777777" w:rsidR="00A64523" w:rsidRPr="00A64523" w:rsidRDefault="00A64523"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6A76CAAE"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5AC91503" w14:textId="77777777" w:rsidTr="00B80789">
        <w:trPr>
          <w:trHeight w:val="315"/>
        </w:trPr>
        <w:tc>
          <w:tcPr>
            <w:tcW w:w="6666" w:type="dxa"/>
            <w:tcBorders>
              <w:top w:val="nil"/>
              <w:left w:val="nil"/>
              <w:bottom w:val="nil"/>
              <w:right w:val="nil"/>
            </w:tcBorders>
            <w:shd w:val="clear" w:color="auto" w:fill="auto"/>
            <w:noWrap/>
            <w:vAlign w:val="bottom"/>
          </w:tcPr>
          <w:p w14:paraId="43007247" w14:textId="0CDD46E9"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2.4. </w:t>
            </w:r>
            <w:r w:rsidR="00A64523" w:rsidRPr="00A64523">
              <w:rPr>
                <w:rFonts w:ascii="Arial" w:hAnsi="Arial" w:cs="Arial"/>
                <w:b/>
                <w:bCs/>
                <w:sz w:val="22"/>
                <w:szCs w:val="22"/>
              </w:rPr>
              <w:t>Available reinsurance</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CEDB5"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6DA7D90C"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left w:val="nil"/>
              <w:bottom w:val="single" w:sz="4" w:space="0" w:color="auto"/>
              <w:right w:val="single" w:sz="4" w:space="0" w:color="auto"/>
            </w:tcBorders>
            <w:shd w:val="clear" w:color="auto" w:fill="auto"/>
            <w:noWrap/>
            <w:vAlign w:val="bottom"/>
          </w:tcPr>
          <w:p w14:paraId="5B3E8637" w14:textId="77777777" w:rsidR="00A64523" w:rsidRPr="00A64523" w:rsidRDefault="00A64523"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08AFC945"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5CD6A83E" w14:textId="77777777" w:rsidTr="00B80789">
        <w:trPr>
          <w:trHeight w:val="315"/>
        </w:trPr>
        <w:tc>
          <w:tcPr>
            <w:tcW w:w="6666" w:type="dxa"/>
            <w:tcBorders>
              <w:top w:val="nil"/>
              <w:left w:val="nil"/>
              <w:bottom w:val="nil"/>
            </w:tcBorders>
            <w:shd w:val="clear" w:color="auto" w:fill="auto"/>
            <w:noWrap/>
            <w:vAlign w:val="bottom"/>
          </w:tcPr>
          <w:p w14:paraId="6F37EFB9" w14:textId="7B1117AE"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2.5. </w:t>
            </w:r>
            <w:r w:rsidR="00A64523" w:rsidRPr="00A64523">
              <w:rPr>
                <w:rFonts w:ascii="Arial" w:hAnsi="Arial" w:cs="Arial"/>
                <w:b/>
                <w:bCs/>
                <w:sz w:val="22"/>
                <w:szCs w:val="22"/>
              </w:rPr>
              <w:t>Allowable reinsurance</w:t>
            </w:r>
          </w:p>
        </w:tc>
        <w:tc>
          <w:tcPr>
            <w:tcW w:w="1806" w:type="dxa"/>
            <w:tcBorders>
              <w:top w:val="single" w:sz="4" w:space="0" w:color="auto"/>
              <w:bottom w:val="nil"/>
            </w:tcBorders>
            <w:shd w:val="clear" w:color="auto" w:fill="auto"/>
            <w:noWrap/>
            <w:vAlign w:val="bottom"/>
          </w:tcPr>
          <w:p w14:paraId="4FF49207"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bottom w:val="nil"/>
            </w:tcBorders>
            <w:shd w:val="clear" w:color="auto" w:fill="auto"/>
            <w:noWrap/>
            <w:vAlign w:val="bottom"/>
          </w:tcPr>
          <w:p w14:paraId="74930044"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single" w:sz="4" w:space="0" w:color="auto"/>
              <w:bottom w:val="nil"/>
              <w:right w:val="single" w:sz="4" w:space="0" w:color="auto"/>
            </w:tcBorders>
            <w:shd w:val="clear" w:color="auto" w:fill="auto"/>
            <w:noWrap/>
            <w:vAlign w:val="bottom"/>
          </w:tcPr>
          <w:p w14:paraId="467E15DB" w14:textId="77777777" w:rsidR="00A64523" w:rsidRPr="00A64523" w:rsidRDefault="00A64523"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6E1954C9"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0F8582DE" w14:textId="77777777" w:rsidTr="00B80789">
        <w:trPr>
          <w:trHeight w:val="315"/>
        </w:trPr>
        <w:tc>
          <w:tcPr>
            <w:tcW w:w="6666" w:type="dxa"/>
            <w:tcBorders>
              <w:top w:val="nil"/>
              <w:left w:val="nil"/>
              <w:bottom w:val="nil"/>
            </w:tcBorders>
            <w:shd w:val="clear" w:color="auto" w:fill="auto"/>
            <w:noWrap/>
            <w:vAlign w:val="bottom"/>
          </w:tcPr>
          <w:p w14:paraId="32012ADD" w14:textId="12E52B99"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2.6. </w:t>
            </w:r>
            <w:r w:rsidR="00A64523" w:rsidRPr="00A64523">
              <w:rPr>
                <w:rFonts w:ascii="Arial" w:hAnsi="Arial" w:cs="Arial"/>
                <w:b/>
                <w:bCs/>
                <w:sz w:val="22"/>
                <w:szCs w:val="22"/>
              </w:rPr>
              <w:t>PML net of reinsurance</w:t>
            </w:r>
          </w:p>
        </w:tc>
        <w:tc>
          <w:tcPr>
            <w:tcW w:w="1806" w:type="dxa"/>
            <w:tcBorders>
              <w:top w:val="nil"/>
              <w:bottom w:val="nil"/>
            </w:tcBorders>
            <w:shd w:val="clear" w:color="auto" w:fill="auto"/>
            <w:noWrap/>
            <w:vAlign w:val="bottom"/>
          </w:tcPr>
          <w:p w14:paraId="71D6400A"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nil"/>
              <w:bottom w:val="nil"/>
            </w:tcBorders>
            <w:shd w:val="clear" w:color="auto" w:fill="auto"/>
            <w:noWrap/>
            <w:vAlign w:val="bottom"/>
          </w:tcPr>
          <w:p w14:paraId="4363C515"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nil"/>
              <w:bottom w:val="nil"/>
              <w:right w:val="single" w:sz="4" w:space="0" w:color="auto"/>
            </w:tcBorders>
            <w:shd w:val="clear" w:color="auto" w:fill="auto"/>
            <w:noWrap/>
            <w:vAlign w:val="bottom"/>
          </w:tcPr>
          <w:p w14:paraId="658C7D6F" w14:textId="77777777" w:rsidR="00A64523" w:rsidRPr="00A64523" w:rsidRDefault="00A64523"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59B4FE1D"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7AE5BF1D" w14:textId="77777777" w:rsidTr="00B80789">
        <w:trPr>
          <w:trHeight w:val="315"/>
        </w:trPr>
        <w:tc>
          <w:tcPr>
            <w:tcW w:w="6666" w:type="dxa"/>
            <w:tcBorders>
              <w:top w:val="nil"/>
              <w:left w:val="nil"/>
              <w:bottom w:val="nil"/>
            </w:tcBorders>
            <w:shd w:val="clear" w:color="auto" w:fill="auto"/>
            <w:noWrap/>
            <w:vAlign w:val="bottom"/>
          </w:tcPr>
          <w:p w14:paraId="0FFA3A72" w14:textId="1F9612DC"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2.7. </w:t>
            </w:r>
            <w:r w:rsidR="00A64523" w:rsidRPr="00A64523">
              <w:rPr>
                <w:rFonts w:ascii="Arial" w:hAnsi="Arial" w:cs="Arial"/>
                <w:b/>
                <w:bCs/>
                <w:sz w:val="22"/>
                <w:szCs w:val="22"/>
              </w:rPr>
              <w:t>Net premiums liability deduction</w:t>
            </w:r>
          </w:p>
        </w:tc>
        <w:tc>
          <w:tcPr>
            <w:tcW w:w="1806" w:type="dxa"/>
            <w:tcBorders>
              <w:top w:val="nil"/>
              <w:bottom w:val="nil"/>
            </w:tcBorders>
            <w:shd w:val="clear" w:color="auto" w:fill="auto"/>
            <w:noWrap/>
            <w:vAlign w:val="bottom"/>
          </w:tcPr>
          <w:p w14:paraId="0DA0D8F2"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nil"/>
              <w:bottom w:val="nil"/>
            </w:tcBorders>
            <w:shd w:val="clear" w:color="auto" w:fill="auto"/>
            <w:noWrap/>
            <w:vAlign w:val="bottom"/>
          </w:tcPr>
          <w:p w14:paraId="6EAF71DC"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nil"/>
              <w:bottom w:val="nil"/>
              <w:right w:val="single" w:sz="4" w:space="0" w:color="auto"/>
            </w:tcBorders>
            <w:shd w:val="clear" w:color="auto" w:fill="auto"/>
            <w:noWrap/>
            <w:vAlign w:val="bottom"/>
          </w:tcPr>
          <w:p w14:paraId="5BAFFCBB" w14:textId="77777777" w:rsidR="00A64523" w:rsidRPr="00A64523" w:rsidRDefault="00A64523"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97F7CDC" w14:textId="77777777" w:rsidR="00A64523" w:rsidRPr="00A64523" w:rsidRDefault="00A64523" w:rsidP="00A64523">
            <w:pPr>
              <w:jc w:val="center"/>
              <w:rPr>
                <w:rFonts w:ascii="Arial" w:eastAsia="Calibri" w:hAnsi="Arial" w:cs="Arial"/>
                <w:sz w:val="22"/>
                <w:szCs w:val="22"/>
                <w:lang w:eastAsia="en-US"/>
              </w:rPr>
            </w:pPr>
          </w:p>
        </w:tc>
      </w:tr>
      <w:tr w:rsidR="00A64523" w:rsidRPr="00A64523" w14:paraId="6D3FD85A" w14:textId="77777777" w:rsidTr="00B80789">
        <w:trPr>
          <w:trHeight w:val="315"/>
        </w:trPr>
        <w:tc>
          <w:tcPr>
            <w:tcW w:w="6666" w:type="dxa"/>
            <w:tcBorders>
              <w:top w:val="nil"/>
              <w:left w:val="nil"/>
              <w:bottom w:val="nil"/>
            </w:tcBorders>
            <w:shd w:val="clear" w:color="auto" w:fill="auto"/>
            <w:noWrap/>
            <w:vAlign w:val="bottom"/>
          </w:tcPr>
          <w:p w14:paraId="5AE1A868" w14:textId="5093ED8D" w:rsidR="00A64523" w:rsidRPr="00A64523" w:rsidRDefault="00541F0F" w:rsidP="00A64523">
            <w:pPr>
              <w:numPr>
                <w:ilvl w:val="1"/>
                <w:numId w:val="46"/>
              </w:numPr>
              <w:rPr>
                <w:rFonts w:ascii="Arial" w:hAnsi="Arial" w:cs="Arial"/>
                <w:b/>
                <w:bCs/>
                <w:sz w:val="22"/>
                <w:szCs w:val="22"/>
              </w:rPr>
            </w:pPr>
            <w:r>
              <w:rPr>
                <w:rFonts w:ascii="Arial" w:hAnsi="Arial" w:cs="Arial"/>
                <w:b/>
                <w:bCs/>
                <w:sz w:val="22"/>
                <w:szCs w:val="22"/>
              </w:rPr>
              <w:t xml:space="preserve">2.8. </w:t>
            </w:r>
            <w:r w:rsidR="00A64523" w:rsidRPr="00A64523">
              <w:rPr>
                <w:rFonts w:ascii="Arial" w:hAnsi="Arial" w:cs="Arial"/>
                <w:b/>
                <w:bCs/>
                <w:sz w:val="22"/>
                <w:szCs w:val="22"/>
              </w:rPr>
              <w:t>Adjustments to LMICRC as approved by APRA</w:t>
            </w:r>
          </w:p>
        </w:tc>
        <w:tc>
          <w:tcPr>
            <w:tcW w:w="1806" w:type="dxa"/>
            <w:tcBorders>
              <w:top w:val="nil"/>
              <w:bottom w:val="nil"/>
            </w:tcBorders>
            <w:shd w:val="clear" w:color="auto" w:fill="auto"/>
            <w:noWrap/>
            <w:vAlign w:val="bottom"/>
          </w:tcPr>
          <w:p w14:paraId="1E0674C7"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nil"/>
              <w:bottom w:val="nil"/>
            </w:tcBorders>
            <w:shd w:val="clear" w:color="auto" w:fill="auto"/>
            <w:noWrap/>
            <w:vAlign w:val="bottom"/>
          </w:tcPr>
          <w:p w14:paraId="78BAA558" w14:textId="77777777" w:rsidR="00A64523" w:rsidRPr="00A64523" w:rsidRDefault="00A64523" w:rsidP="00A64523">
            <w:pPr>
              <w:jc w:val="center"/>
              <w:rPr>
                <w:rFonts w:ascii="Arial" w:eastAsia="Calibri" w:hAnsi="Arial" w:cs="Arial"/>
                <w:sz w:val="22"/>
                <w:szCs w:val="22"/>
                <w:lang w:eastAsia="en-US"/>
              </w:rPr>
            </w:pPr>
          </w:p>
        </w:tc>
        <w:tc>
          <w:tcPr>
            <w:tcW w:w="1807" w:type="dxa"/>
            <w:tcBorders>
              <w:top w:val="nil"/>
              <w:bottom w:val="nil"/>
              <w:right w:val="single" w:sz="4" w:space="0" w:color="auto"/>
            </w:tcBorders>
            <w:shd w:val="clear" w:color="auto" w:fill="auto"/>
            <w:noWrap/>
            <w:vAlign w:val="bottom"/>
          </w:tcPr>
          <w:p w14:paraId="2B6623DF" w14:textId="77777777" w:rsidR="00A64523" w:rsidRPr="00A64523" w:rsidRDefault="00A64523"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uto"/>
            <w:noWrap/>
            <w:vAlign w:val="bottom"/>
          </w:tcPr>
          <w:p w14:paraId="087AE214" w14:textId="77777777" w:rsidR="00A64523" w:rsidRPr="00A64523" w:rsidRDefault="00A64523" w:rsidP="00A64523">
            <w:pPr>
              <w:jc w:val="center"/>
              <w:rPr>
                <w:rFonts w:ascii="Arial" w:eastAsia="Calibri" w:hAnsi="Arial" w:cs="Arial"/>
                <w:sz w:val="22"/>
                <w:szCs w:val="22"/>
                <w:lang w:eastAsia="en-US"/>
              </w:rPr>
            </w:pPr>
          </w:p>
        </w:tc>
      </w:tr>
      <w:tr w:rsidR="00541F0F" w:rsidRPr="00A64523" w14:paraId="74E5B449" w14:textId="77777777" w:rsidTr="00541F0F">
        <w:trPr>
          <w:trHeight w:val="315"/>
        </w:trPr>
        <w:tc>
          <w:tcPr>
            <w:tcW w:w="6666" w:type="dxa"/>
            <w:tcBorders>
              <w:top w:val="nil"/>
              <w:left w:val="nil"/>
              <w:bottom w:val="nil"/>
            </w:tcBorders>
            <w:shd w:val="clear" w:color="auto" w:fill="auto"/>
            <w:noWrap/>
            <w:vAlign w:val="bottom"/>
          </w:tcPr>
          <w:p w14:paraId="0C2DF5CF" w14:textId="2272ABE5" w:rsidR="00541F0F" w:rsidRDefault="00541F0F" w:rsidP="00A64523">
            <w:pPr>
              <w:numPr>
                <w:ilvl w:val="1"/>
                <w:numId w:val="46"/>
              </w:numPr>
              <w:rPr>
                <w:rFonts w:ascii="Arial" w:hAnsi="Arial" w:cs="Arial"/>
                <w:b/>
                <w:bCs/>
                <w:sz w:val="22"/>
                <w:szCs w:val="22"/>
              </w:rPr>
            </w:pPr>
            <w:r>
              <w:rPr>
                <w:rFonts w:ascii="Arial" w:hAnsi="Arial" w:cs="Arial"/>
                <w:b/>
                <w:bCs/>
                <w:sz w:val="22"/>
                <w:szCs w:val="22"/>
              </w:rPr>
              <w:t xml:space="preserve">2.9. </w:t>
            </w:r>
            <w:r w:rsidRPr="00541F0F">
              <w:rPr>
                <w:rFonts w:ascii="Arial" w:hAnsi="Arial" w:cs="Arial"/>
                <w:b/>
                <w:bCs/>
                <w:sz w:val="22"/>
                <w:szCs w:val="22"/>
              </w:rPr>
              <w:t>LMI Concentration Risk Charge</w:t>
            </w:r>
          </w:p>
        </w:tc>
        <w:tc>
          <w:tcPr>
            <w:tcW w:w="1806" w:type="dxa"/>
            <w:tcBorders>
              <w:top w:val="nil"/>
              <w:bottom w:val="nil"/>
            </w:tcBorders>
            <w:shd w:val="clear" w:color="auto" w:fill="auto"/>
            <w:noWrap/>
            <w:vAlign w:val="bottom"/>
          </w:tcPr>
          <w:p w14:paraId="5A3BB09B" w14:textId="77777777" w:rsidR="00541F0F" w:rsidRPr="00A64523" w:rsidRDefault="00541F0F" w:rsidP="00A64523">
            <w:pPr>
              <w:jc w:val="center"/>
              <w:rPr>
                <w:rFonts w:ascii="Arial" w:eastAsia="Calibri" w:hAnsi="Arial" w:cs="Arial"/>
                <w:sz w:val="22"/>
                <w:szCs w:val="22"/>
                <w:lang w:eastAsia="en-US"/>
              </w:rPr>
            </w:pPr>
          </w:p>
        </w:tc>
        <w:tc>
          <w:tcPr>
            <w:tcW w:w="1807" w:type="dxa"/>
            <w:tcBorders>
              <w:top w:val="nil"/>
              <w:bottom w:val="nil"/>
            </w:tcBorders>
            <w:shd w:val="clear" w:color="auto" w:fill="auto"/>
            <w:noWrap/>
            <w:vAlign w:val="bottom"/>
          </w:tcPr>
          <w:p w14:paraId="3EF3232B" w14:textId="77777777" w:rsidR="00541F0F" w:rsidRPr="00A64523" w:rsidRDefault="00541F0F" w:rsidP="00A64523">
            <w:pPr>
              <w:jc w:val="center"/>
              <w:rPr>
                <w:rFonts w:ascii="Arial" w:eastAsia="Calibri" w:hAnsi="Arial" w:cs="Arial"/>
                <w:sz w:val="22"/>
                <w:szCs w:val="22"/>
                <w:lang w:eastAsia="en-US"/>
              </w:rPr>
            </w:pPr>
          </w:p>
        </w:tc>
        <w:tc>
          <w:tcPr>
            <w:tcW w:w="1807" w:type="dxa"/>
            <w:tcBorders>
              <w:top w:val="nil"/>
              <w:bottom w:val="nil"/>
              <w:right w:val="single" w:sz="4" w:space="0" w:color="auto"/>
            </w:tcBorders>
            <w:shd w:val="clear" w:color="auto" w:fill="auto"/>
            <w:noWrap/>
            <w:vAlign w:val="bottom"/>
          </w:tcPr>
          <w:p w14:paraId="109901F0" w14:textId="77777777" w:rsidR="00541F0F" w:rsidRPr="00A64523" w:rsidRDefault="00541F0F"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58EC1B71" w14:textId="77777777" w:rsidR="00541F0F" w:rsidRPr="00A64523" w:rsidRDefault="00541F0F" w:rsidP="00A64523">
            <w:pPr>
              <w:jc w:val="center"/>
              <w:rPr>
                <w:rFonts w:ascii="Arial" w:eastAsia="Calibri" w:hAnsi="Arial" w:cs="Arial"/>
                <w:sz w:val="22"/>
                <w:szCs w:val="22"/>
                <w:lang w:eastAsia="en-US"/>
              </w:rPr>
            </w:pPr>
          </w:p>
        </w:tc>
      </w:tr>
      <w:tr w:rsidR="00541F0F" w:rsidRPr="00A64523" w14:paraId="414648FC" w14:textId="77777777" w:rsidTr="00541F0F">
        <w:trPr>
          <w:trHeight w:val="315"/>
        </w:trPr>
        <w:tc>
          <w:tcPr>
            <w:tcW w:w="6666" w:type="dxa"/>
            <w:tcBorders>
              <w:top w:val="nil"/>
              <w:left w:val="nil"/>
              <w:bottom w:val="nil"/>
            </w:tcBorders>
            <w:shd w:val="clear" w:color="auto" w:fill="auto"/>
            <w:noWrap/>
            <w:vAlign w:val="bottom"/>
          </w:tcPr>
          <w:p w14:paraId="79756F91" w14:textId="3283C7B5" w:rsidR="00541F0F" w:rsidRDefault="00541F0F" w:rsidP="00A64523">
            <w:pPr>
              <w:numPr>
                <w:ilvl w:val="1"/>
                <w:numId w:val="46"/>
              </w:numPr>
              <w:rPr>
                <w:rFonts w:ascii="Arial" w:hAnsi="Arial" w:cs="Arial"/>
                <w:b/>
                <w:bCs/>
                <w:sz w:val="22"/>
                <w:szCs w:val="22"/>
              </w:rPr>
            </w:pPr>
            <w:r>
              <w:rPr>
                <w:rFonts w:ascii="Arial" w:hAnsi="Arial" w:cs="Arial"/>
                <w:b/>
                <w:bCs/>
                <w:sz w:val="22"/>
                <w:szCs w:val="22"/>
              </w:rPr>
              <w:t xml:space="preserve">2.10. </w:t>
            </w:r>
            <w:r w:rsidRPr="00541F0F">
              <w:rPr>
                <w:rFonts w:ascii="Arial" w:hAnsi="Arial" w:cs="Arial"/>
                <w:b/>
                <w:bCs/>
                <w:sz w:val="22"/>
                <w:szCs w:val="22"/>
              </w:rPr>
              <w:t>LMI Concentration Risk Charge / PML</w:t>
            </w:r>
          </w:p>
        </w:tc>
        <w:tc>
          <w:tcPr>
            <w:tcW w:w="1806" w:type="dxa"/>
            <w:tcBorders>
              <w:top w:val="nil"/>
              <w:bottom w:val="nil"/>
            </w:tcBorders>
            <w:shd w:val="clear" w:color="auto" w:fill="auto"/>
            <w:noWrap/>
            <w:vAlign w:val="bottom"/>
          </w:tcPr>
          <w:p w14:paraId="2946039D" w14:textId="77777777" w:rsidR="00541F0F" w:rsidRPr="00A64523" w:rsidRDefault="00541F0F" w:rsidP="00A64523">
            <w:pPr>
              <w:jc w:val="center"/>
              <w:rPr>
                <w:rFonts w:ascii="Arial" w:eastAsia="Calibri" w:hAnsi="Arial" w:cs="Arial"/>
                <w:sz w:val="22"/>
                <w:szCs w:val="22"/>
                <w:lang w:eastAsia="en-US"/>
              </w:rPr>
            </w:pPr>
          </w:p>
        </w:tc>
        <w:tc>
          <w:tcPr>
            <w:tcW w:w="1807" w:type="dxa"/>
            <w:tcBorders>
              <w:top w:val="nil"/>
              <w:bottom w:val="nil"/>
            </w:tcBorders>
            <w:shd w:val="clear" w:color="auto" w:fill="auto"/>
            <w:noWrap/>
            <w:vAlign w:val="bottom"/>
          </w:tcPr>
          <w:p w14:paraId="7E057446" w14:textId="77777777" w:rsidR="00541F0F" w:rsidRPr="00A64523" w:rsidRDefault="00541F0F" w:rsidP="00A64523">
            <w:pPr>
              <w:jc w:val="center"/>
              <w:rPr>
                <w:rFonts w:ascii="Arial" w:eastAsia="Calibri" w:hAnsi="Arial" w:cs="Arial"/>
                <w:sz w:val="22"/>
                <w:szCs w:val="22"/>
                <w:lang w:eastAsia="en-US"/>
              </w:rPr>
            </w:pPr>
          </w:p>
        </w:tc>
        <w:tc>
          <w:tcPr>
            <w:tcW w:w="1807" w:type="dxa"/>
            <w:tcBorders>
              <w:top w:val="nil"/>
              <w:bottom w:val="nil"/>
              <w:right w:val="single" w:sz="4" w:space="0" w:color="auto"/>
            </w:tcBorders>
            <w:shd w:val="clear" w:color="auto" w:fill="auto"/>
            <w:noWrap/>
            <w:vAlign w:val="bottom"/>
          </w:tcPr>
          <w:p w14:paraId="324AA441" w14:textId="77777777" w:rsidR="00541F0F" w:rsidRPr="00A64523" w:rsidRDefault="00541F0F" w:rsidP="00A64523">
            <w:pPr>
              <w:jc w:val="center"/>
              <w:rPr>
                <w:rFonts w:ascii="Arial" w:eastAsia="Calibri" w:hAnsi="Arial" w:cs="Arial"/>
                <w:sz w:val="22"/>
                <w:szCs w:val="22"/>
                <w:lang w:eastAsia="en-US"/>
              </w:rPr>
            </w:pPr>
          </w:p>
        </w:tc>
        <w:tc>
          <w:tcPr>
            <w:tcW w:w="1806" w:type="dxa"/>
            <w:tcBorders>
              <w:top w:val="single" w:sz="4" w:space="0" w:color="auto"/>
              <w:left w:val="nil"/>
              <w:bottom w:val="single" w:sz="4" w:space="0" w:color="auto"/>
              <w:right w:val="single" w:sz="4" w:space="0" w:color="auto"/>
            </w:tcBorders>
            <w:shd w:val="clear" w:color="auto" w:fill="A6A6A6"/>
            <w:noWrap/>
            <w:vAlign w:val="bottom"/>
          </w:tcPr>
          <w:p w14:paraId="748C3125" w14:textId="77777777" w:rsidR="00541F0F" w:rsidRPr="00A64523" w:rsidRDefault="00541F0F" w:rsidP="00A64523">
            <w:pPr>
              <w:jc w:val="center"/>
              <w:rPr>
                <w:rFonts w:ascii="Arial" w:eastAsia="Calibri" w:hAnsi="Arial" w:cs="Arial"/>
                <w:sz w:val="22"/>
                <w:szCs w:val="22"/>
                <w:lang w:eastAsia="en-US"/>
              </w:rPr>
            </w:pPr>
          </w:p>
        </w:tc>
      </w:tr>
    </w:tbl>
    <w:p w14:paraId="30139BAF" w14:textId="2F31B9EA" w:rsidR="00C0782D" w:rsidRDefault="00C0782D" w:rsidP="00760AC5">
      <w:pPr>
        <w:pStyle w:val="Header"/>
        <w:jc w:val="both"/>
      </w:pPr>
    </w:p>
    <w:p w14:paraId="7B486482" w14:textId="51480F47" w:rsidR="00C0782D" w:rsidRDefault="00C0782D" w:rsidP="00760AC5">
      <w:pPr>
        <w:pStyle w:val="Header"/>
        <w:jc w:val="both"/>
        <w:sectPr w:rsidR="00C0782D" w:rsidSect="00C0782D">
          <w:footerReference w:type="default" r:id="rId25"/>
          <w:pgSz w:w="16840" w:h="11907" w:orient="landscape" w:code="9"/>
          <w:pgMar w:top="1797" w:right="1440" w:bottom="1797" w:left="1440" w:header="720" w:footer="720" w:gutter="0"/>
          <w:pgNumType w:start="1"/>
          <w:cols w:space="720"/>
          <w:docGrid w:linePitch="272"/>
        </w:sectPr>
      </w:pPr>
    </w:p>
    <w:p w14:paraId="6085D42B" w14:textId="19E60A60" w:rsidR="00F65307" w:rsidRDefault="00F65307" w:rsidP="00760AC5">
      <w:pPr>
        <w:pStyle w:val="Header"/>
        <w:jc w:val="both"/>
      </w:pPr>
    </w:p>
    <w:tbl>
      <w:tblPr>
        <w:tblW w:w="13892" w:type="dxa"/>
        <w:tblInd w:w="108" w:type="dxa"/>
        <w:tblLook w:val="0400" w:firstRow="0" w:lastRow="0" w:firstColumn="0" w:lastColumn="0" w:noHBand="0" w:noVBand="1"/>
      </w:tblPr>
      <w:tblGrid>
        <w:gridCol w:w="13892"/>
      </w:tblGrid>
      <w:tr w:rsidR="00F65307" w:rsidRPr="00FC3309" w14:paraId="14668AAD" w14:textId="77777777" w:rsidTr="00B80789">
        <w:trPr>
          <w:trHeight w:val="300"/>
        </w:trPr>
        <w:tc>
          <w:tcPr>
            <w:tcW w:w="8806" w:type="dxa"/>
            <w:shd w:val="clear" w:color="auto" w:fill="auto"/>
            <w:noWrap/>
            <w:vAlign w:val="bottom"/>
            <w:hideMark/>
          </w:tcPr>
          <w:p w14:paraId="09296724" w14:textId="77777777" w:rsidR="00F65307" w:rsidRPr="00FC3309" w:rsidRDefault="00F65307" w:rsidP="00B80789">
            <w:pPr>
              <w:jc w:val="center"/>
              <w:rPr>
                <w:rFonts w:ascii="Arial" w:hAnsi="Arial" w:cs="Arial"/>
                <w:sz w:val="16"/>
                <w:szCs w:val="16"/>
              </w:rPr>
            </w:pPr>
            <w:r w:rsidRPr="00C20A4F">
              <w:rPr>
                <w:rFonts w:ascii="Arial" w:hAnsi="Arial" w:cs="Arial"/>
                <w:b/>
                <w:bCs/>
                <w:sz w:val="32"/>
                <w:szCs w:val="32"/>
              </w:rPr>
              <w:t>GRF_116_5: Probable Maximum Loss for LMIs</w:t>
            </w:r>
            <w:r>
              <w:rPr>
                <w:rFonts w:ascii="Arial" w:hAnsi="Arial" w:cs="Arial"/>
                <w:b/>
                <w:bCs/>
                <w:sz w:val="32"/>
                <w:szCs w:val="32"/>
              </w:rPr>
              <w:t xml:space="preserve"> - Additional Information</w:t>
            </w:r>
          </w:p>
        </w:tc>
      </w:tr>
    </w:tbl>
    <w:p w14:paraId="3CE2C3F9" w14:textId="77777777" w:rsidR="00F65307" w:rsidRPr="00FC3309" w:rsidRDefault="00F65307" w:rsidP="00F65307">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F65307" w:rsidRPr="00FC3309" w14:paraId="0563C3B0" w14:textId="77777777" w:rsidTr="00B80789">
        <w:trPr>
          <w:trHeight w:val="317"/>
        </w:trPr>
        <w:tc>
          <w:tcPr>
            <w:tcW w:w="6946" w:type="dxa"/>
            <w:tcBorders>
              <w:top w:val="nil"/>
              <w:left w:val="nil"/>
              <w:bottom w:val="single" w:sz="4" w:space="0" w:color="auto"/>
              <w:right w:val="nil"/>
            </w:tcBorders>
            <w:vAlign w:val="bottom"/>
            <w:hideMark/>
          </w:tcPr>
          <w:p w14:paraId="6284F8FA" w14:textId="77777777" w:rsidR="00F65307" w:rsidRPr="00FC3309" w:rsidRDefault="00F65307" w:rsidP="00B80789">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225080A3" w14:textId="77777777" w:rsidR="00F65307" w:rsidRPr="00FC3309" w:rsidRDefault="00F65307" w:rsidP="00B80789">
            <w:pPr>
              <w:rPr>
                <w:rFonts w:ascii="Arial" w:hAnsi="Arial" w:cs="Arial"/>
                <w:b/>
                <w:bCs/>
              </w:rPr>
            </w:pPr>
            <w:r w:rsidRPr="00FC3309">
              <w:rPr>
                <w:rFonts w:ascii="Arial" w:hAnsi="Arial" w:cs="Arial"/>
                <w:b/>
                <w:bCs/>
              </w:rPr>
              <w:t>Institution Name</w:t>
            </w:r>
          </w:p>
        </w:tc>
      </w:tr>
      <w:tr w:rsidR="00F65307" w:rsidRPr="00FC3309" w14:paraId="08C2F5C1"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F56DB93" w14:textId="77777777" w:rsidR="00F65307" w:rsidRPr="00FC3309" w:rsidRDefault="00F65307" w:rsidP="00B80789">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2328FCA" w14:textId="77777777" w:rsidR="00F65307" w:rsidRPr="00FC3309" w:rsidRDefault="00F65307" w:rsidP="00B80789">
            <w:pPr>
              <w:rPr>
                <w:rFonts w:ascii="Arial" w:hAnsi="Arial" w:cs="Arial"/>
              </w:rPr>
            </w:pPr>
          </w:p>
        </w:tc>
      </w:tr>
      <w:tr w:rsidR="00F65307" w:rsidRPr="00FC3309" w14:paraId="33ED11AA" w14:textId="77777777" w:rsidTr="00B80789">
        <w:trPr>
          <w:trHeight w:val="317"/>
        </w:trPr>
        <w:tc>
          <w:tcPr>
            <w:tcW w:w="6946" w:type="dxa"/>
            <w:tcBorders>
              <w:top w:val="single" w:sz="4" w:space="0" w:color="auto"/>
              <w:left w:val="nil"/>
              <w:bottom w:val="single" w:sz="4" w:space="0" w:color="auto"/>
              <w:right w:val="nil"/>
            </w:tcBorders>
            <w:noWrap/>
            <w:vAlign w:val="bottom"/>
            <w:hideMark/>
          </w:tcPr>
          <w:p w14:paraId="3A5A9786" w14:textId="77777777" w:rsidR="00F65307" w:rsidRPr="00FC3309" w:rsidRDefault="00F65307" w:rsidP="00B80789">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4073C22D" w14:textId="77777777" w:rsidR="00F65307" w:rsidRPr="00FC3309" w:rsidRDefault="00F65307" w:rsidP="00B80789">
            <w:pPr>
              <w:rPr>
                <w:rFonts w:ascii="Arial" w:hAnsi="Arial" w:cs="Arial"/>
                <w:b/>
              </w:rPr>
            </w:pPr>
            <w:r w:rsidRPr="00FC3309">
              <w:rPr>
                <w:rFonts w:ascii="Arial" w:hAnsi="Arial" w:cs="Arial"/>
                <w:b/>
              </w:rPr>
              <w:t xml:space="preserve">Scale Factor </w:t>
            </w:r>
          </w:p>
        </w:tc>
      </w:tr>
      <w:tr w:rsidR="00F65307" w:rsidRPr="00FC3309" w14:paraId="367DE51F"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8CB6E04" w14:textId="77777777" w:rsidR="00F65307" w:rsidRPr="00FC3309" w:rsidRDefault="00F65307" w:rsidP="00B80789">
            <w:pPr>
              <w:rPr>
                <w:rFonts w:ascii="Arial" w:hAnsi="Arial" w:cs="Arial"/>
              </w:rPr>
            </w:pPr>
            <w:r>
              <w:rPr>
                <w:rFonts w:ascii="Arial" w:hAnsi="Arial" w:cs="Arial"/>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F485F54" w14:textId="77777777" w:rsidR="00F65307" w:rsidRPr="00FC3309" w:rsidRDefault="00F65307" w:rsidP="00B80789">
            <w:pPr>
              <w:rPr>
                <w:rFonts w:ascii="Arial" w:hAnsi="Arial" w:cs="Arial"/>
              </w:rPr>
            </w:pPr>
            <w:r w:rsidRPr="00C20A4F">
              <w:rPr>
                <w:rFonts w:ascii="Arial" w:hAnsi="Arial" w:cs="Arial"/>
              </w:rPr>
              <w:t>Thousand</w:t>
            </w:r>
            <w:r>
              <w:rPr>
                <w:rFonts w:ascii="Arial" w:hAnsi="Arial" w:cs="Arial"/>
              </w:rPr>
              <w:t>s of dollars no decimal place</w:t>
            </w:r>
          </w:p>
        </w:tc>
      </w:tr>
      <w:tr w:rsidR="00F65307" w:rsidRPr="00FC3309" w14:paraId="321F8DDA" w14:textId="77777777" w:rsidTr="00B80789">
        <w:trPr>
          <w:trHeight w:val="317"/>
        </w:trPr>
        <w:tc>
          <w:tcPr>
            <w:tcW w:w="6946" w:type="dxa"/>
            <w:tcBorders>
              <w:top w:val="single" w:sz="4" w:space="0" w:color="auto"/>
              <w:bottom w:val="single" w:sz="4" w:space="0" w:color="auto"/>
            </w:tcBorders>
            <w:noWrap/>
            <w:vAlign w:val="bottom"/>
          </w:tcPr>
          <w:p w14:paraId="16CB944E" w14:textId="77777777" w:rsidR="00F65307" w:rsidRPr="00FC3309" w:rsidRDefault="00F65307" w:rsidP="00B80789">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1B05371A" w14:textId="77777777" w:rsidR="00F65307" w:rsidRPr="00FC3309" w:rsidRDefault="00F65307" w:rsidP="00B80789">
            <w:pPr>
              <w:rPr>
                <w:rFonts w:ascii="Arial" w:hAnsi="Arial" w:cs="Arial"/>
              </w:rPr>
            </w:pPr>
          </w:p>
        </w:tc>
      </w:tr>
      <w:tr w:rsidR="00F65307" w:rsidRPr="00FC3309" w14:paraId="6CBA1EC8" w14:textId="77777777" w:rsidTr="00B80789">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7F91C0E1" w14:textId="77777777" w:rsidR="00F65307" w:rsidRPr="00FC3309" w:rsidRDefault="00F65307" w:rsidP="00B80789">
            <w:pPr>
              <w:rPr>
                <w:rFonts w:ascii="Arial" w:hAnsi="Arial" w:cs="Arial"/>
              </w:rPr>
            </w:pPr>
            <w:r>
              <w:rPr>
                <w:rFonts w:ascii="Arial" w:hAnsi="Arial" w:cs="Arial"/>
              </w:rPr>
              <w:t>Licensed insurer</w:t>
            </w:r>
          </w:p>
        </w:tc>
        <w:tc>
          <w:tcPr>
            <w:tcW w:w="6946" w:type="dxa"/>
            <w:tcBorders>
              <w:left w:val="single" w:sz="4" w:space="0" w:color="auto"/>
            </w:tcBorders>
            <w:noWrap/>
            <w:vAlign w:val="bottom"/>
          </w:tcPr>
          <w:p w14:paraId="15A16C08" w14:textId="77777777" w:rsidR="00F65307" w:rsidRPr="00FC3309" w:rsidRDefault="00F65307" w:rsidP="00B80789">
            <w:pPr>
              <w:rPr>
                <w:rFonts w:ascii="Arial" w:hAnsi="Arial" w:cs="Arial"/>
              </w:rPr>
            </w:pPr>
          </w:p>
        </w:tc>
      </w:tr>
    </w:tbl>
    <w:p w14:paraId="3B3BE17B" w14:textId="77777777" w:rsidR="00F65307" w:rsidRPr="00FC3309" w:rsidRDefault="00F65307" w:rsidP="00F65307">
      <w:pPr>
        <w:rPr>
          <w:rFonts w:ascii="Arial" w:hAnsi="Arial" w:cs="Arial"/>
        </w:rPr>
      </w:pPr>
    </w:p>
    <w:tbl>
      <w:tblPr>
        <w:tblW w:w="13892" w:type="dxa"/>
        <w:tblInd w:w="108" w:type="dxa"/>
        <w:tblLook w:val="04A0" w:firstRow="1" w:lastRow="0" w:firstColumn="1" w:lastColumn="0" w:noHBand="0" w:noVBand="1"/>
      </w:tblPr>
      <w:tblGrid>
        <w:gridCol w:w="13892"/>
      </w:tblGrid>
      <w:tr w:rsidR="00F65307" w:rsidRPr="00FC3309" w14:paraId="31292D86" w14:textId="77777777" w:rsidTr="00B80789">
        <w:tc>
          <w:tcPr>
            <w:tcW w:w="8789" w:type="dxa"/>
          </w:tcPr>
          <w:p w14:paraId="03460B39" w14:textId="77777777" w:rsidR="00F65307" w:rsidRPr="00FC3309" w:rsidRDefault="00F65307" w:rsidP="00B80789">
            <w:pPr>
              <w:rPr>
                <w:rFonts w:ascii="Arial" w:hAnsi="Arial" w:cs="Arial"/>
                <w:b/>
                <w:bCs/>
                <w:sz w:val="24"/>
                <w:szCs w:val="24"/>
              </w:rPr>
            </w:pPr>
            <w:r w:rsidRPr="00C20A4F">
              <w:rPr>
                <w:rFonts w:ascii="Arial" w:hAnsi="Arial" w:cs="Arial"/>
                <w:b/>
                <w:bCs/>
                <w:sz w:val="24"/>
                <w:szCs w:val="24"/>
              </w:rPr>
              <w:t>Section 1: Inwards reinsurance</w:t>
            </w:r>
          </w:p>
        </w:tc>
      </w:tr>
    </w:tbl>
    <w:p w14:paraId="13C440C8" w14:textId="77777777" w:rsidR="00F65307" w:rsidRDefault="00F65307" w:rsidP="00F65307">
      <w:pPr>
        <w:rPr>
          <w:rFonts w:ascii="Arial" w:hAnsi="Arial" w:cs="Arial"/>
        </w:rPr>
      </w:pPr>
    </w:p>
    <w:tbl>
      <w:tblPr>
        <w:tblW w:w="13892" w:type="dxa"/>
        <w:tblInd w:w="108" w:type="dxa"/>
        <w:tblLook w:val="04A0" w:firstRow="1" w:lastRow="0" w:firstColumn="1" w:lastColumn="0" w:noHBand="0" w:noVBand="1"/>
      </w:tblPr>
      <w:tblGrid>
        <w:gridCol w:w="13892"/>
      </w:tblGrid>
      <w:tr w:rsidR="00F65307" w:rsidRPr="00FC3309" w14:paraId="77AA236F" w14:textId="77777777" w:rsidTr="00B80789">
        <w:tc>
          <w:tcPr>
            <w:tcW w:w="8804" w:type="dxa"/>
          </w:tcPr>
          <w:p w14:paraId="6AF5EDA1" w14:textId="00957D93" w:rsidR="00F65307" w:rsidRPr="00CD2107" w:rsidRDefault="001C048C" w:rsidP="00F65307">
            <w:pPr>
              <w:numPr>
                <w:ilvl w:val="1"/>
                <w:numId w:val="47"/>
              </w:numPr>
              <w:rPr>
                <w:rFonts w:ascii="Arial" w:hAnsi="Arial" w:cs="Arial"/>
                <w:b/>
                <w:bCs/>
                <w:sz w:val="24"/>
                <w:szCs w:val="24"/>
              </w:rPr>
            </w:pPr>
            <w:r>
              <w:rPr>
                <w:rFonts w:ascii="Arial" w:hAnsi="Arial" w:cs="Arial"/>
                <w:b/>
                <w:bCs/>
                <w:sz w:val="24"/>
                <w:szCs w:val="24"/>
              </w:rPr>
              <w:t xml:space="preserve"> </w:t>
            </w:r>
            <w:r w:rsidR="00F65307" w:rsidRPr="00C20A4F">
              <w:rPr>
                <w:rFonts w:ascii="Arial" w:hAnsi="Arial" w:cs="Arial"/>
                <w:b/>
                <w:bCs/>
                <w:sz w:val="24"/>
                <w:szCs w:val="24"/>
              </w:rPr>
              <w:t>Standard and non-standard loans - 100 per cent and top cover</w:t>
            </w:r>
          </w:p>
        </w:tc>
      </w:tr>
    </w:tbl>
    <w:p w14:paraId="551E5388" w14:textId="77777777" w:rsidR="00F65307" w:rsidRDefault="00F65307" w:rsidP="00F65307">
      <w:pPr>
        <w:rPr>
          <w:rFonts w:ascii="Arial" w:hAnsi="Arial" w:cs="Arial"/>
        </w:rPr>
      </w:pPr>
    </w:p>
    <w:tbl>
      <w:tblPr>
        <w:tblW w:w="13892" w:type="dxa"/>
        <w:tblInd w:w="93" w:type="dxa"/>
        <w:tblLayout w:type="fixed"/>
        <w:tblLook w:val="04A0" w:firstRow="1" w:lastRow="0" w:firstColumn="1" w:lastColumn="0" w:noHBand="0" w:noVBand="1"/>
      </w:tblPr>
      <w:tblGrid>
        <w:gridCol w:w="1388"/>
        <w:gridCol w:w="1390"/>
        <w:gridCol w:w="1388"/>
        <w:gridCol w:w="1390"/>
        <w:gridCol w:w="1388"/>
        <w:gridCol w:w="1390"/>
        <w:gridCol w:w="1388"/>
        <w:gridCol w:w="1390"/>
        <w:gridCol w:w="1390"/>
        <w:gridCol w:w="1390"/>
      </w:tblGrid>
      <w:tr w:rsidR="00F65307" w:rsidRPr="00FC3309" w14:paraId="38A7972A" w14:textId="77777777" w:rsidTr="00B80789">
        <w:trPr>
          <w:trHeight w:val="317"/>
        </w:trPr>
        <w:tc>
          <w:tcPr>
            <w:tcW w:w="1388" w:type="dxa"/>
            <w:vMerge w:val="restart"/>
            <w:tcBorders>
              <w:top w:val="single" w:sz="4" w:space="0" w:color="auto"/>
              <w:left w:val="single" w:sz="4" w:space="0" w:color="auto"/>
              <w:right w:val="single" w:sz="4" w:space="0" w:color="auto"/>
            </w:tcBorders>
            <w:shd w:val="clear" w:color="auto" w:fill="auto"/>
            <w:vAlign w:val="bottom"/>
          </w:tcPr>
          <w:p w14:paraId="07776C24" w14:textId="77777777" w:rsidR="00F65307" w:rsidRDefault="00F65307" w:rsidP="00B80789">
            <w:pPr>
              <w:jc w:val="center"/>
              <w:rPr>
                <w:rFonts w:ascii="Arial" w:hAnsi="Arial" w:cs="Arial"/>
                <w:b/>
                <w:bCs/>
              </w:rPr>
            </w:pPr>
            <w:r>
              <w:rPr>
                <w:rFonts w:ascii="Arial" w:hAnsi="Arial" w:cs="Arial"/>
                <w:b/>
                <w:bCs/>
              </w:rPr>
              <w:t>LVR greater than (%)</w:t>
            </w:r>
          </w:p>
        </w:tc>
        <w:tc>
          <w:tcPr>
            <w:tcW w:w="1390" w:type="dxa"/>
            <w:vMerge w:val="restart"/>
            <w:tcBorders>
              <w:top w:val="single" w:sz="4" w:space="0" w:color="auto"/>
              <w:left w:val="nil"/>
              <w:right w:val="single" w:sz="4" w:space="0" w:color="auto"/>
            </w:tcBorders>
            <w:shd w:val="clear" w:color="auto" w:fill="auto"/>
            <w:vAlign w:val="bottom"/>
          </w:tcPr>
          <w:p w14:paraId="0B7C4B7E" w14:textId="77777777" w:rsidR="00F65307" w:rsidRDefault="00F65307" w:rsidP="00B80789">
            <w:pPr>
              <w:jc w:val="center"/>
              <w:rPr>
                <w:rFonts w:ascii="Arial" w:hAnsi="Arial" w:cs="Arial"/>
                <w:b/>
                <w:bCs/>
              </w:rPr>
            </w:pPr>
            <w:r>
              <w:rPr>
                <w:rFonts w:ascii="Arial" w:hAnsi="Arial" w:cs="Arial"/>
                <w:b/>
                <w:bCs/>
              </w:rPr>
              <w:t>LVR less than or equal to (%)</w:t>
            </w:r>
          </w:p>
        </w:tc>
        <w:tc>
          <w:tcPr>
            <w:tcW w:w="1388" w:type="dxa"/>
            <w:vMerge w:val="restart"/>
            <w:tcBorders>
              <w:top w:val="single" w:sz="4" w:space="0" w:color="auto"/>
              <w:left w:val="nil"/>
              <w:right w:val="single" w:sz="4" w:space="0" w:color="auto"/>
            </w:tcBorders>
            <w:shd w:val="clear" w:color="auto" w:fill="auto"/>
            <w:vAlign w:val="bottom"/>
          </w:tcPr>
          <w:p w14:paraId="3A68CCE8" w14:textId="77777777" w:rsidR="00F65307" w:rsidRDefault="00F65307" w:rsidP="00B80789">
            <w:pPr>
              <w:jc w:val="center"/>
              <w:rPr>
                <w:rFonts w:ascii="Arial" w:hAnsi="Arial" w:cs="Arial"/>
                <w:b/>
                <w:bCs/>
              </w:rPr>
            </w:pPr>
            <w:r>
              <w:rPr>
                <w:rFonts w:ascii="Arial" w:hAnsi="Arial" w:cs="Arial"/>
                <w:b/>
                <w:bCs/>
              </w:rPr>
              <w:t>Coverage proportion (%)</w:t>
            </w:r>
          </w:p>
        </w:tc>
        <w:tc>
          <w:tcPr>
            <w:tcW w:w="5556" w:type="dxa"/>
            <w:gridSpan w:val="4"/>
            <w:tcBorders>
              <w:top w:val="single" w:sz="4" w:space="0" w:color="auto"/>
              <w:left w:val="nil"/>
              <w:bottom w:val="nil"/>
              <w:right w:val="single" w:sz="4" w:space="0" w:color="000000"/>
            </w:tcBorders>
            <w:shd w:val="clear" w:color="auto" w:fill="auto"/>
            <w:vAlign w:val="bottom"/>
          </w:tcPr>
          <w:p w14:paraId="6189B998" w14:textId="77777777" w:rsidR="00F65307" w:rsidRPr="00FC3309" w:rsidRDefault="00F65307" w:rsidP="00B80789">
            <w:pPr>
              <w:jc w:val="center"/>
              <w:rPr>
                <w:rFonts w:ascii="Arial" w:hAnsi="Arial" w:cs="Arial"/>
                <w:b/>
                <w:bCs/>
              </w:rPr>
            </w:pPr>
            <w:r>
              <w:rPr>
                <w:rFonts w:ascii="Arial" w:hAnsi="Arial" w:cs="Arial"/>
                <w:b/>
                <w:bCs/>
              </w:rPr>
              <w:t>Age</w:t>
            </w:r>
          </w:p>
        </w:tc>
        <w:tc>
          <w:tcPr>
            <w:tcW w:w="1390" w:type="dxa"/>
            <w:vMerge w:val="restart"/>
            <w:tcBorders>
              <w:top w:val="single" w:sz="4" w:space="0" w:color="auto"/>
              <w:left w:val="nil"/>
              <w:right w:val="single" w:sz="4" w:space="0" w:color="000000"/>
            </w:tcBorders>
            <w:vAlign w:val="bottom"/>
          </w:tcPr>
          <w:p w14:paraId="7BA1E9D6" w14:textId="77777777" w:rsidR="00F65307" w:rsidRPr="00FC3309" w:rsidRDefault="00F65307" w:rsidP="00B80789">
            <w:pPr>
              <w:jc w:val="center"/>
              <w:rPr>
                <w:rFonts w:ascii="Arial" w:hAnsi="Arial" w:cs="Arial"/>
                <w:b/>
                <w:bCs/>
              </w:rPr>
            </w:pPr>
            <w:r w:rsidRPr="0024487C">
              <w:rPr>
                <w:rFonts w:ascii="Arial" w:hAnsi="Arial" w:cs="Arial"/>
                <w:b/>
                <w:bCs/>
              </w:rPr>
              <w:t>Total inwards reinsurance</w:t>
            </w:r>
          </w:p>
        </w:tc>
        <w:tc>
          <w:tcPr>
            <w:tcW w:w="1390" w:type="dxa"/>
            <w:vMerge w:val="restart"/>
            <w:tcBorders>
              <w:top w:val="single" w:sz="4" w:space="0" w:color="auto"/>
              <w:left w:val="nil"/>
              <w:right w:val="single" w:sz="4" w:space="0" w:color="000000"/>
            </w:tcBorders>
            <w:vAlign w:val="bottom"/>
          </w:tcPr>
          <w:p w14:paraId="0D94ACFC" w14:textId="77777777" w:rsidR="00F65307" w:rsidRPr="00FC3309" w:rsidRDefault="00F65307" w:rsidP="00B80789">
            <w:pPr>
              <w:jc w:val="center"/>
              <w:rPr>
                <w:rFonts w:ascii="Arial" w:hAnsi="Arial" w:cs="Arial"/>
                <w:b/>
                <w:bCs/>
              </w:rPr>
            </w:pPr>
            <w:r w:rsidRPr="0024487C">
              <w:rPr>
                <w:rFonts w:ascii="Arial" w:hAnsi="Arial" w:cs="Arial"/>
                <w:b/>
                <w:bCs/>
              </w:rPr>
              <w:t>Of which non-APRA regulated</w:t>
            </w:r>
          </w:p>
        </w:tc>
        <w:tc>
          <w:tcPr>
            <w:tcW w:w="1390" w:type="dxa"/>
            <w:vMerge w:val="restart"/>
            <w:tcBorders>
              <w:top w:val="single" w:sz="4" w:space="0" w:color="auto"/>
              <w:left w:val="nil"/>
              <w:right w:val="single" w:sz="4" w:space="0" w:color="000000"/>
            </w:tcBorders>
            <w:vAlign w:val="bottom"/>
          </w:tcPr>
          <w:p w14:paraId="1BBCE4F0" w14:textId="77777777" w:rsidR="00F65307" w:rsidRPr="00FC3309" w:rsidRDefault="00F65307" w:rsidP="00B80789">
            <w:pPr>
              <w:jc w:val="center"/>
              <w:rPr>
                <w:rFonts w:ascii="Arial" w:hAnsi="Arial" w:cs="Arial"/>
                <w:b/>
                <w:bCs/>
              </w:rPr>
            </w:pPr>
            <w:r w:rsidRPr="0024487C">
              <w:rPr>
                <w:rFonts w:ascii="Arial" w:hAnsi="Arial" w:cs="Arial"/>
                <w:b/>
                <w:bCs/>
              </w:rPr>
              <w:t>Of which non-standard loans</w:t>
            </w:r>
          </w:p>
        </w:tc>
      </w:tr>
      <w:tr w:rsidR="00F65307" w:rsidRPr="00FC3309" w14:paraId="1364BEAC" w14:textId="77777777" w:rsidTr="00B80789">
        <w:trPr>
          <w:trHeight w:val="317"/>
        </w:trPr>
        <w:tc>
          <w:tcPr>
            <w:tcW w:w="1388" w:type="dxa"/>
            <w:vMerge/>
            <w:tcBorders>
              <w:left w:val="single" w:sz="4" w:space="0" w:color="auto"/>
              <w:bottom w:val="nil"/>
              <w:right w:val="single" w:sz="4" w:space="0" w:color="auto"/>
            </w:tcBorders>
            <w:shd w:val="clear" w:color="auto" w:fill="auto"/>
            <w:vAlign w:val="bottom"/>
            <w:hideMark/>
          </w:tcPr>
          <w:p w14:paraId="105F0725" w14:textId="77777777" w:rsidR="00F65307" w:rsidRPr="00FC3309" w:rsidRDefault="00F65307" w:rsidP="00B80789">
            <w:pPr>
              <w:jc w:val="center"/>
              <w:rPr>
                <w:rFonts w:ascii="Arial" w:hAnsi="Arial" w:cs="Arial"/>
                <w:b/>
                <w:bCs/>
              </w:rPr>
            </w:pPr>
          </w:p>
        </w:tc>
        <w:tc>
          <w:tcPr>
            <w:tcW w:w="1390" w:type="dxa"/>
            <w:vMerge/>
            <w:tcBorders>
              <w:left w:val="nil"/>
              <w:bottom w:val="nil"/>
              <w:right w:val="single" w:sz="4" w:space="0" w:color="auto"/>
            </w:tcBorders>
            <w:shd w:val="clear" w:color="auto" w:fill="auto"/>
            <w:vAlign w:val="bottom"/>
            <w:hideMark/>
          </w:tcPr>
          <w:p w14:paraId="28A1C499" w14:textId="77777777" w:rsidR="00F65307" w:rsidRPr="00FC3309" w:rsidRDefault="00F65307" w:rsidP="00B80789">
            <w:pPr>
              <w:jc w:val="center"/>
              <w:rPr>
                <w:rFonts w:ascii="Arial" w:hAnsi="Arial" w:cs="Arial"/>
                <w:b/>
                <w:bCs/>
              </w:rPr>
            </w:pPr>
          </w:p>
        </w:tc>
        <w:tc>
          <w:tcPr>
            <w:tcW w:w="1388" w:type="dxa"/>
            <w:vMerge/>
            <w:tcBorders>
              <w:left w:val="nil"/>
              <w:bottom w:val="nil"/>
              <w:right w:val="single" w:sz="4" w:space="0" w:color="auto"/>
            </w:tcBorders>
            <w:shd w:val="clear" w:color="auto" w:fill="auto"/>
            <w:vAlign w:val="bottom"/>
            <w:hideMark/>
          </w:tcPr>
          <w:p w14:paraId="60FFF739" w14:textId="77777777" w:rsidR="00F65307" w:rsidRPr="00FC3309" w:rsidRDefault="00F65307" w:rsidP="00B80789">
            <w:pPr>
              <w:rPr>
                <w:rFonts w:ascii="Arial" w:hAnsi="Arial" w:cs="Arial"/>
                <w:b/>
                <w:bCs/>
              </w:rPr>
            </w:pPr>
          </w:p>
        </w:tc>
        <w:tc>
          <w:tcPr>
            <w:tcW w:w="1390" w:type="dxa"/>
            <w:tcBorders>
              <w:top w:val="single" w:sz="4" w:space="0" w:color="auto"/>
              <w:left w:val="nil"/>
              <w:bottom w:val="nil"/>
              <w:right w:val="single" w:sz="4" w:space="0" w:color="000000"/>
            </w:tcBorders>
            <w:shd w:val="clear" w:color="auto" w:fill="auto"/>
            <w:vAlign w:val="bottom"/>
            <w:hideMark/>
          </w:tcPr>
          <w:p w14:paraId="56BC3726" w14:textId="77777777" w:rsidR="00F65307" w:rsidRPr="00FC3309" w:rsidRDefault="00F65307" w:rsidP="00B80789">
            <w:pPr>
              <w:jc w:val="center"/>
              <w:rPr>
                <w:rFonts w:ascii="Arial" w:hAnsi="Arial" w:cs="Arial"/>
                <w:b/>
                <w:bCs/>
              </w:rPr>
            </w:pPr>
            <w:r w:rsidRPr="0045317D">
              <w:rPr>
                <w:rFonts w:ascii="Arial" w:hAnsi="Arial" w:cs="Arial"/>
                <w:b/>
                <w:bCs/>
              </w:rPr>
              <w:t>&lt; 3 years</w:t>
            </w:r>
          </w:p>
        </w:tc>
        <w:tc>
          <w:tcPr>
            <w:tcW w:w="1388" w:type="dxa"/>
            <w:tcBorders>
              <w:top w:val="single" w:sz="4" w:space="0" w:color="auto"/>
              <w:left w:val="nil"/>
              <w:bottom w:val="nil"/>
              <w:right w:val="single" w:sz="4" w:space="0" w:color="000000"/>
            </w:tcBorders>
            <w:vAlign w:val="bottom"/>
          </w:tcPr>
          <w:p w14:paraId="0D9C86CC" w14:textId="77777777" w:rsidR="00F65307" w:rsidRPr="00FC3309" w:rsidRDefault="00F65307" w:rsidP="00B80789">
            <w:pPr>
              <w:jc w:val="center"/>
              <w:rPr>
                <w:rFonts w:ascii="Arial" w:hAnsi="Arial" w:cs="Arial"/>
                <w:b/>
                <w:bCs/>
              </w:rPr>
            </w:pPr>
            <w:r w:rsidRPr="0045317D">
              <w:rPr>
                <w:rFonts w:ascii="Arial" w:hAnsi="Arial" w:cs="Arial"/>
                <w:b/>
                <w:bCs/>
              </w:rPr>
              <w:t>3 &lt; 5 years</w:t>
            </w:r>
          </w:p>
        </w:tc>
        <w:tc>
          <w:tcPr>
            <w:tcW w:w="1390" w:type="dxa"/>
            <w:tcBorders>
              <w:top w:val="single" w:sz="4" w:space="0" w:color="auto"/>
              <w:left w:val="nil"/>
              <w:bottom w:val="nil"/>
              <w:right w:val="single" w:sz="4" w:space="0" w:color="000000"/>
            </w:tcBorders>
            <w:vAlign w:val="bottom"/>
          </w:tcPr>
          <w:p w14:paraId="48EBF95B" w14:textId="77777777" w:rsidR="00F65307" w:rsidRPr="00FC3309" w:rsidRDefault="00F65307" w:rsidP="00B80789">
            <w:pPr>
              <w:jc w:val="center"/>
              <w:rPr>
                <w:rFonts w:ascii="Arial" w:hAnsi="Arial" w:cs="Arial"/>
                <w:b/>
                <w:bCs/>
              </w:rPr>
            </w:pPr>
            <w:r w:rsidRPr="0045317D">
              <w:rPr>
                <w:rFonts w:ascii="Arial" w:hAnsi="Arial" w:cs="Arial"/>
                <w:b/>
                <w:bCs/>
              </w:rPr>
              <w:t>5 &lt; 10 years</w:t>
            </w:r>
          </w:p>
        </w:tc>
        <w:tc>
          <w:tcPr>
            <w:tcW w:w="1388" w:type="dxa"/>
            <w:tcBorders>
              <w:top w:val="single" w:sz="4" w:space="0" w:color="auto"/>
              <w:left w:val="nil"/>
              <w:bottom w:val="nil"/>
              <w:right w:val="single" w:sz="4" w:space="0" w:color="000000"/>
            </w:tcBorders>
            <w:vAlign w:val="bottom"/>
          </w:tcPr>
          <w:p w14:paraId="1FC9E935" w14:textId="77777777" w:rsidR="00F65307" w:rsidRPr="00FC3309" w:rsidRDefault="00F65307" w:rsidP="00B80789">
            <w:pPr>
              <w:jc w:val="center"/>
              <w:rPr>
                <w:rFonts w:ascii="Arial" w:hAnsi="Arial" w:cs="Arial"/>
                <w:b/>
                <w:bCs/>
              </w:rPr>
            </w:pPr>
            <w:r w:rsidRPr="0045317D">
              <w:rPr>
                <w:rFonts w:ascii="Arial" w:hAnsi="Arial" w:cs="Arial"/>
                <w:b/>
                <w:bCs/>
              </w:rPr>
              <w:t>&gt;= 10 years</w:t>
            </w:r>
          </w:p>
        </w:tc>
        <w:tc>
          <w:tcPr>
            <w:tcW w:w="1390" w:type="dxa"/>
            <w:vMerge/>
            <w:tcBorders>
              <w:left w:val="nil"/>
              <w:bottom w:val="nil"/>
              <w:right w:val="single" w:sz="4" w:space="0" w:color="000000"/>
            </w:tcBorders>
            <w:vAlign w:val="bottom"/>
          </w:tcPr>
          <w:p w14:paraId="2004653B" w14:textId="77777777" w:rsidR="00F65307" w:rsidRPr="00FC3309" w:rsidRDefault="00F65307" w:rsidP="00B80789">
            <w:pPr>
              <w:jc w:val="center"/>
              <w:rPr>
                <w:rFonts w:ascii="Arial" w:hAnsi="Arial" w:cs="Arial"/>
                <w:b/>
                <w:bCs/>
              </w:rPr>
            </w:pPr>
          </w:p>
        </w:tc>
        <w:tc>
          <w:tcPr>
            <w:tcW w:w="1390" w:type="dxa"/>
            <w:vMerge/>
            <w:tcBorders>
              <w:left w:val="nil"/>
              <w:bottom w:val="nil"/>
              <w:right w:val="single" w:sz="4" w:space="0" w:color="000000"/>
            </w:tcBorders>
            <w:vAlign w:val="bottom"/>
          </w:tcPr>
          <w:p w14:paraId="63AC4D24" w14:textId="77777777" w:rsidR="00F65307" w:rsidRPr="00FC3309" w:rsidRDefault="00F65307" w:rsidP="00B80789">
            <w:pPr>
              <w:jc w:val="center"/>
              <w:rPr>
                <w:rFonts w:ascii="Arial" w:hAnsi="Arial" w:cs="Arial"/>
                <w:b/>
                <w:bCs/>
              </w:rPr>
            </w:pPr>
          </w:p>
        </w:tc>
        <w:tc>
          <w:tcPr>
            <w:tcW w:w="1390" w:type="dxa"/>
            <w:vMerge/>
            <w:tcBorders>
              <w:left w:val="nil"/>
              <w:bottom w:val="nil"/>
              <w:right w:val="single" w:sz="4" w:space="0" w:color="000000"/>
            </w:tcBorders>
          </w:tcPr>
          <w:p w14:paraId="64184D92" w14:textId="77777777" w:rsidR="00F65307" w:rsidRPr="00FC3309" w:rsidRDefault="00F65307" w:rsidP="00B80789">
            <w:pPr>
              <w:jc w:val="center"/>
              <w:rPr>
                <w:rFonts w:ascii="Arial" w:hAnsi="Arial" w:cs="Arial"/>
                <w:b/>
                <w:bCs/>
              </w:rPr>
            </w:pPr>
          </w:p>
        </w:tc>
      </w:tr>
      <w:tr w:rsidR="00F65307" w:rsidRPr="00FC3309" w14:paraId="7038338E" w14:textId="77777777" w:rsidTr="00B80789">
        <w:trPr>
          <w:trHeight w:val="31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1AF37DCA" w14:textId="77777777" w:rsidR="00F65307" w:rsidRPr="00FC3309" w:rsidRDefault="00F65307" w:rsidP="00B80789">
            <w:pPr>
              <w:jc w:val="center"/>
              <w:rPr>
                <w:rFonts w:ascii="Arial" w:hAnsi="Arial" w:cs="Arial"/>
                <w:b/>
                <w:bCs/>
              </w:rPr>
            </w:pPr>
            <w:r w:rsidRPr="00FC3309">
              <w:rPr>
                <w:rFonts w:ascii="Arial" w:hAnsi="Arial" w:cs="Arial"/>
                <w:b/>
                <w:bCs/>
              </w:rPr>
              <w:t>(1)</w:t>
            </w:r>
          </w:p>
        </w:tc>
        <w:tc>
          <w:tcPr>
            <w:tcW w:w="1390" w:type="dxa"/>
            <w:tcBorders>
              <w:top w:val="nil"/>
              <w:left w:val="nil"/>
              <w:bottom w:val="single" w:sz="4" w:space="0" w:color="auto"/>
              <w:right w:val="single" w:sz="4" w:space="0" w:color="auto"/>
            </w:tcBorders>
            <w:shd w:val="clear" w:color="auto" w:fill="auto"/>
            <w:vAlign w:val="bottom"/>
            <w:hideMark/>
          </w:tcPr>
          <w:p w14:paraId="0A2D75CB" w14:textId="77777777" w:rsidR="00F65307" w:rsidRPr="00FC3309" w:rsidRDefault="00F65307" w:rsidP="00B80789">
            <w:pPr>
              <w:jc w:val="center"/>
              <w:rPr>
                <w:rFonts w:ascii="Arial" w:hAnsi="Arial" w:cs="Arial"/>
                <w:b/>
                <w:bCs/>
              </w:rPr>
            </w:pPr>
            <w:r w:rsidRPr="00FC3309">
              <w:rPr>
                <w:rFonts w:ascii="Arial" w:hAnsi="Arial" w:cs="Arial"/>
                <w:b/>
                <w:bCs/>
              </w:rPr>
              <w:t>(2)</w:t>
            </w:r>
          </w:p>
        </w:tc>
        <w:tc>
          <w:tcPr>
            <w:tcW w:w="1388" w:type="dxa"/>
            <w:tcBorders>
              <w:top w:val="nil"/>
              <w:left w:val="nil"/>
              <w:bottom w:val="single" w:sz="4" w:space="0" w:color="auto"/>
              <w:right w:val="single" w:sz="4" w:space="0" w:color="auto"/>
            </w:tcBorders>
            <w:shd w:val="clear" w:color="auto" w:fill="auto"/>
            <w:vAlign w:val="bottom"/>
            <w:hideMark/>
          </w:tcPr>
          <w:p w14:paraId="0D0CA432" w14:textId="77777777" w:rsidR="00F65307" w:rsidRPr="00FC3309" w:rsidRDefault="00F65307" w:rsidP="00B80789">
            <w:pPr>
              <w:jc w:val="center"/>
              <w:rPr>
                <w:rFonts w:ascii="Arial" w:hAnsi="Arial" w:cs="Arial"/>
                <w:b/>
                <w:bCs/>
              </w:rPr>
            </w:pPr>
            <w:r w:rsidRPr="00FC3309">
              <w:rPr>
                <w:rFonts w:ascii="Arial" w:hAnsi="Arial" w:cs="Arial"/>
                <w:b/>
                <w:bCs/>
              </w:rPr>
              <w:t>(3)</w:t>
            </w:r>
          </w:p>
        </w:tc>
        <w:tc>
          <w:tcPr>
            <w:tcW w:w="1390" w:type="dxa"/>
            <w:tcBorders>
              <w:top w:val="nil"/>
              <w:left w:val="nil"/>
              <w:bottom w:val="single" w:sz="4" w:space="0" w:color="auto"/>
              <w:right w:val="single" w:sz="4" w:space="0" w:color="000000"/>
            </w:tcBorders>
            <w:shd w:val="clear" w:color="auto" w:fill="auto"/>
            <w:vAlign w:val="bottom"/>
            <w:hideMark/>
          </w:tcPr>
          <w:p w14:paraId="3903D586" w14:textId="77777777" w:rsidR="00F65307" w:rsidRPr="00FC3309" w:rsidRDefault="00F65307" w:rsidP="00B80789">
            <w:pPr>
              <w:jc w:val="center"/>
              <w:rPr>
                <w:rFonts w:ascii="Arial" w:hAnsi="Arial" w:cs="Arial"/>
                <w:b/>
                <w:bCs/>
              </w:rPr>
            </w:pPr>
            <w:r w:rsidRPr="00FC3309">
              <w:rPr>
                <w:rFonts w:ascii="Arial" w:hAnsi="Arial" w:cs="Arial"/>
                <w:b/>
                <w:bCs/>
              </w:rPr>
              <w:t>(4</w:t>
            </w:r>
            <w:r>
              <w:rPr>
                <w:rFonts w:ascii="Arial" w:hAnsi="Arial" w:cs="Arial"/>
                <w:b/>
                <w:bCs/>
              </w:rPr>
              <w:t>.1</w:t>
            </w:r>
            <w:r w:rsidRPr="00FC3309">
              <w:rPr>
                <w:rFonts w:ascii="Arial" w:hAnsi="Arial" w:cs="Arial"/>
                <w:b/>
                <w:bCs/>
              </w:rPr>
              <w:t>)</w:t>
            </w:r>
          </w:p>
        </w:tc>
        <w:tc>
          <w:tcPr>
            <w:tcW w:w="1388" w:type="dxa"/>
            <w:tcBorders>
              <w:top w:val="nil"/>
              <w:left w:val="nil"/>
              <w:bottom w:val="single" w:sz="4" w:space="0" w:color="auto"/>
              <w:right w:val="single" w:sz="4" w:space="0" w:color="000000"/>
            </w:tcBorders>
            <w:vAlign w:val="bottom"/>
          </w:tcPr>
          <w:p w14:paraId="63235AD5" w14:textId="77777777" w:rsidR="00F65307" w:rsidRPr="00FC3309" w:rsidRDefault="00F65307" w:rsidP="00B80789">
            <w:pPr>
              <w:jc w:val="center"/>
              <w:rPr>
                <w:rFonts w:ascii="Arial" w:hAnsi="Arial" w:cs="Arial"/>
                <w:b/>
                <w:bCs/>
              </w:rPr>
            </w:pPr>
            <w:r>
              <w:rPr>
                <w:rFonts w:ascii="Arial" w:hAnsi="Arial" w:cs="Arial"/>
                <w:b/>
                <w:bCs/>
              </w:rPr>
              <w:t>(4.2</w:t>
            </w:r>
            <w:r w:rsidRPr="00FC3309">
              <w:rPr>
                <w:rFonts w:ascii="Arial" w:hAnsi="Arial" w:cs="Arial"/>
                <w:b/>
                <w:bCs/>
              </w:rPr>
              <w:t>)</w:t>
            </w:r>
          </w:p>
        </w:tc>
        <w:tc>
          <w:tcPr>
            <w:tcW w:w="1390" w:type="dxa"/>
            <w:tcBorders>
              <w:top w:val="nil"/>
              <w:left w:val="nil"/>
              <w:bottom w:val="single" w:sz="4" w:space="0" w:color="auto"/>
              <w:right w:val="single" w:sz="4" w:space="0" w:color="000000"/>
            </w:tcBorders>
            <w:vAlign w:val="bottom"/>
          </w:tcPr>
          <w:p w14:paraId="5E607F75" w14:textId="77777777" w:rsidR="00F65307" w:rsidRPr="00FC3309" w:rsidRDefault="00F65307" w:rsidP="00B80789">
            <w:pPr>
              <w:jc w:val="center"/>
              <w:rPr>
                <w:rFonts w:ascii="Arial" w:hAnsi="Arial" w:cs="Arial"/>
                <w:b/>
                <w:bCs/>
              </w:rPr>
            </w:pPr>
            <w:r w:rsidRPr="00FC3309">
              <w:rPr>
                <w:rFonts w:ascii="Arial" w:hAnsi="Arial" w:cs="Arial"/>
                <w:b/>
                <w:bCs/>
              </w:rPr>
              <w:t>(</w:t>
            </w:r>
            <w:r>
              <w:rPr>
                <w:rFonts w:ascii="Arial" w:hAnsi="Arial" w:cs="Arial"/>
                <w:b/>
                <w:bCs/>
              </w:rPr>
              <w:t>4.3</w:t>
            </w:r>
            <w:r w:rsidRPr="00FC3309">
              <w:rPr>
                <w:rFonts w:ascii="Arial" w:hAnsi="Arial" w:cs="Arial"/>
                <w:b/>
                <w:bCs/>
              </w:rPr>
              <w:t>)</w:t>
            </w:r>
          </w:p>
        </w:tc>
        <w:tc>
          <w:tcPr>
            <w:tcW w:w="1388" w:type="dxa"/>
            <w:tcBorders>
              <w:top w:val="nil"/>
              <w:left w:val="nil"/>
              <w:bottom w:val="single" w:sz="4" w:space="0" w:color="auto"/>
              <w:right w:val="single" w:sz="4" w:space="0" w:color="000000"/>
            </w:tcBorders>
            <w:vAlign w:val="bottom"/>
          </w:tcPr>
          <w:p w14:paraId="3706A2CA" w14:textId="77777777" w:rsidR="00F65307" w:rsidRPr="00FC3309" w:rsidRDefault="00F65307" w:rsidP="00B80789">
            <w:pPr>
              <w:jc w:val="center"/>
              <w:rPr>
                <w:rFonts w:ascii="Arial" w:hAnsi="Arial" w:cs="Arial"/>
                <w:b/>
                <w:bCs/>
              </w:rPr>
            </w:pPr>
            <w:r w:rsidRPr="00FC3309">
              <w:rPr>
                <w:rFonts w:ascii="Arial" w:hAnsi="Arial" w:cs="Arial"/>
                <w:b/>
                <w:bCs/>
              </w:rPr>
              <w:t>(</w:t>
            </w:r>
            <w:r>
              <w:rPr>
                <w:rFonts w:ascii="Arial" w:hAnsi="Arial" w:cs="Arial"/>
                <w:b/>
                <w:bCs/>
              </w:rPr>
              <w:t>4.4</w:t>
            </w:r>
            <w:r w:rsidRPr="00FC3309">
              <w:rPr>
                <w:rFonts w:ascii="Arial" w:hAnsi="Arial" w:cs="Arial"/>
                <w:b/>
                <w:bCs/>
              </w:rPr>
              <w:t>)</w:t>
            </w:r>
          </w:p>
        </w:tc>
        <w:tc>
          <w:tcPr>
            <w:tcW w:w="1390" w:type="dxa"/>
            <w:tcBorders>
              <w:top w:val="nil"/>
              <w:left w:val="nil"/>
              <w:bottom w:val="single" w:sz="4" w:space="0" w:color="auto"/>
              <w:right w:val="single" w:sz="4" w:space="0" w:color="000000"/>
            </w:tcBorders>
            <w:vAlign w:val="bottom"/>
          </w:tcPr>
          <w:p w14:paraId="149FFFD2" w14:textId="77777777" w:rsidR="00F65307" w:rsidRPr="00FC3309" w:rsidRDefault="00F65307" w:rsidP="00B80789">
            <w:pPr>
              <w:jc w:val="center"/>
              <w:rPr>
                <w:rFonts w:ascii="Arial" w:hAnsi="Arial" w:cs="Arial"/>
                <w:b/>
                <w:bCs/>
              </w:rPr>
            </w:pPr>
            <w:r w:rsidRPr="00FC3309">
              <w:rPr>
                <w:rFonts w:ascii="Arial" w:hAnsi="Arial" w:cs="Arial"/>
                <w:b/>
                <w:bCs/>
              </w:rPr>
              <w:t>(</w:t>
            </w:r>
            <w:r>
              <w:rPr>
                <w:rFonts w:ascii="Arial" w:hAnsi="Arial" w:cs="Arial"/>
                <w:b/>
                <w:bCs/>
              </w:rPr>
              <w:t>5</w:t>
            </w:r>
            <w:r w:rsidRPr="00FC3309">
              <w:rPr>
                <w:rFonts w:ascii="Arial" w:hAnsi="Arial" w:cs="Arial"/>
                <w:b/>
                <w:bCs/>
              </w:rPr>
              <w:t>)</w:t>
            </w:r>
          </w:p>
        </w:tc>
        <w:tc>
          <w:tcPr>
            <w:tcW w:w="1390" w:type="dxa"/>
            <w:tcBorders>
              <w:top w:val="nil"/>
              <w:left w:val="nil"/>
              <w:bottom w:val="single" w:sz="4" w:space="0" w:color="auto"/>
              <w:right w:val="single" w:sz="4" w:space="0" w:color="000000"/>
            </w:tcBorders>
            <w:vAlign w:val="bottom"/>
          </w:tcPr>
          <w:p w14:paraId="5925C5FF" w14:textId="77777777" w:rsidR="00F65307" w:rsidRPr="00FC3309" w:rsidRDefault="00F65307" w:rsidP="00B80789">
            <w:pPr>
              <w:jc w:val="center"/>
              <w:rPr>
                <w:rFonts w:ascii="Arial" w:hAnsi="Arial" w:cs="Arial"/>
                <w:b/>
                <w:bCs/>
              </w:rPr>
            </w:pPr>
            <w:r>
              <w:rPr>
                <w:rFonts w:ascii="Arial" w:hAnsi="Arial" w:cs="Arial"/>
                <w:b/>
                <w:bCs/>
              </w:rPr>
              <w:t>(6</w:t>
            </w:r>
            <w:r w:rsidRPr="00FC3309">
              <w:rPr>
                <w:rFonts w:ascii="Arial" w:hAnsi="Arial" w:cs="Arial"/>
                <w:b/>
                <w:bCs/>
              </w:rPr>
              <w:t>)</w:t>
            </w:r>
          </w:p>
        </w:tc>
        <w:tc>
          <w:tcPr>
            <w:tcW w:w="1390" w:type="dxa"/>
            <w:tcBorders>
              <w:top w:val="nil"/>
              <w:left w:val="nil"/>
              <w:bottom w:val="single" w:sz="4" w:space="0" w:color="auto"/>
              <w:right w:val="single" w:sz="4" w:space="0" w:color="000000"/>
            </w:tcBorders>
            <w:vAlign w:val="bottom"/>
          </w:tcPr>
          <w:p w14:paraId="1929B602" w14:textId="77777777" w:rsidR="00F65307" w:rsidRDefault="00F65307" w:rsidP="00B80789">
            <w:pPr>
              <w:jc w:val="center"/>
              <w:rPr>
                <w:rFonts w:ascii="Arial" w:hAnsi="Arial" w:cs="Arial"/>
                <w:b/>
                <w:bCs/>
              </w:rPr>
            </w:pPr>
            <w:r>
              <w:rPr>
                <w:rFonts w:ascii="Arial" w:hAnsi="Arial" w:cs="Arial"/>
                <w:b/>
                <w:bCs/>
              </w:rPr>
              <w:t>(7</w:t>
            </w:r>
            <w:r w:rsidRPr="00FC3309">
              <w:rPr>
                <w:rFonts w:ascii="Arial" w:hAnsi="Arial" w:cs="Arial"/>
                <w:b/>
                <w:bCs/>
              </w:rPr>
              <w:t>)</w:t>
            </w:r>
          </w:p>
        </w:tc>
      </w:tr>
      <w:tr w:rsidR="00F65307" w:rsidRPr="00FC3309" w14:paraId="1EA060C4" w14:textId="77777777" w:rsidTr="00B80789">
        <w:trPr>
          <w:trHeight w:val="317"/>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EBDB5" w14:textId="77777777" w:rsidR="00F65307" w:rsidRPr="0024487C" w:rsidRDefault="00F65307" w:rsidP="00B80789">
            <w:pPr>
              <w:jc w:val="center"/>
              <w:rPr>
                <w:rFonts w:ascii="Arial" w:hAnsi="Arial" w:cs="Arial"/>
              </w:rPr>
            </w:pPr>
          </w:p>
        </w:tc>
        <w:tc>
          <w:tcPr>
            <w:tcW w:w="1390" w:type="dxa"/>
            <w:tcBorders>
              <w:top w:val="single" w:sz="4" w:space="0" w:color="auto"/>
              <w:left w:val="nil"/>
              <w:bottom w:val="single" w:sz="4" w:space="0" w:color="auto"/>
              <w:right w:val="single" w:sz="4" w:space="0" w:color="auto"/>
            </w:tcBorders>
            <w:shd w:val="clear" w:color="auto" w:fill="A6A6A6"/>
            <w:noWrap/>
            <w:vAlign w:val="bottom"/>
          </w:tcPr>
          <w:p w14:paraId="31608A9E" w14:textId="77777777" w:rsidR="00F65307" w:rsidRPr="0024487C" w:rsidRDefault="00F65307" w:rsidP="00B80789">
            <w:pPr>
              <w:rPr>
                <w:rFonts w:ascii="Arial" w:hAnsi="Arial" w:cs="Arial"/>
              </w:rPr>
            </w:pPr>
          </w:p>
        </w:tc>
        <w:tc>
          <w:tcPr>
            <w:tcW w:w="1388" w:type="dxa"/>
            <w:tcBorders>
              <w:top w:val="single" w:sz="4" w:space="0" w:color="auto"/>
              <w:left w:val="nil"/>
              <w:bottom w:val="single" w:sz="4" w:space="0" w:color="auto"/>
              <w:right w:val="single" w:sz="4" w:space="0" w:color="auto"/>
            </w:tcBorders>
            <w:shd w:val="clear" w:color="auto" w:fill="auto"/>
            <w:noWrap/>
            <w:vAlign w:val="bottom"/>
          </w:tcPr>
          <w:p w14:paraId="5FB29C46" w14:textId="77777777" w:rsidR="00F65307" w:rsidRPr="0024487C" w:rsidRDefault="00F65307" w:rsidP="00B80789">
            <w:pPr>
              <w:jc w:val="center"/>
              <w:rPr>
                <w:rFonts w:ascii="Arial" w:hAnsi="Arial" w:cs="Arial"/>
              </w:rPr>
            </w:pPr>
          </w:p>
        </w:tc>
        <w:tc>
          <w:tcPr>
            <w:tcW w:w="1390" w:type="dxa"/>
            <w:tcBorders>
              <w:top w:val="single" w:sz="4" w:space="0" w:color="auto"/>
              <w:left w:val="nil"/>
              <w:bottom w:val="single" w:sz="4" w:space="0" w:color="auto"/>
              <w:right w:val="single" w:sz="4" w:space="0" w:color="auto"/>
            </w:tcBorders>
            <w:shd w:val="clear" w:color="auto" w:fill="auto"/>
            <w:vAlign w:val="bottom"/>
          </w:tcPr>
          <w:p w14:paraId="62221134" w14:textId="77777777" w:rsidR="00F65307" w:rsidRPr="0024487C" w:rsidRDefault="00F65307" w:rsidP="00B80789">
            <w:pPr>
              <w:jc w:val="center"/>
              <w:rPr>
                <w:rFonts w:ascii="Arial" w:hAnsi="Arial" w:cs="Arial"/>
              </w:rPr>
            </w:pPr>
          </w:p>
        </w:tc>
        <w:tc>
          <w:tcPr>
            <w:tcW w:w="1388" w:type="dxa"/>
            <w:tcBorders>
              <w:top w:val="single" w:sz="4" w:space="0" w:color="auto"/>
              <w:left w:val="nil"/>
              <w:bottom w:val="single" w:sz="4" w:space="0" w:color="auto"/>
              <w:right w:val="single" w:sz="4" w:space="0" w:color="auto"/>
            </w:tcBorders>
            <w:vAlign w:val="bottom"/>
          </w:tcPr>
          <w:p w14:paraId="4FFAE7AF" w14:textId="77777777" w:rsidR="00F65307" w:rsidRPr="0024487C" w:rsidRDefault="00F65307" w:rsidP="00B80789">
            <w:pPr>
              <w:jc w:val="center"/>
              <w:rPr>
                <w:rFonts w:ascii="Arial" w:hAnsi="Arial" w:cs="Arial"/>
              </w:rPr>
            </w:pPr>
          </w:p>
        </w:tc>
        <w:tc>
          <w:tcPr>
            <w:tcW w:w="1390" w:type="dxa"/>
            <w:tcBorders>
              <w:top w:val="single" w:sz="4" w:space="0" w:color="auto"/>
              <w:left w:val="nil"/>
              <w:bottom w:val="single" w:sz="4" w:space="0" w:color="auto"/>
              <w:right w:val="single" w:sz="4" w:space="0" w:color="auto"/>
            </w:tcBorders>
            <w:vAlign w:val="bottom"/>
          </w:tcPr>
          <w:p w14:paraId="6796FEB6" w14:textId="77777777" w:rsidR="00F65307" w:rsidRPr="0024487C" w:rsidRDefault="00F65307" w:rsidP="00B80789">
            <w:pPr>
              <w:jc w:val="center"/>
              <w:rPr>
                <w:rFonts w:ascii="Arial" w:hAnsi="Arial" w:cs="Arial"/>
              </w:rPr>
            </w:pPr>
          </w:p>
        </w:tc>
        <w:tc>
          <w:tcPr>
            <w:tcW w:w="1388" w:type="dxa"/>
            <w:tcBorders>
              <w:top w:val="single" w:sz="4" w:space="0" w:color="auto"/>
              <w:left w:val="nil"/>
              <w:bottom w:val="single" w:sz="4" w:space="0" w:color="auto"/>
              <w:right w:val="single" w:sz="4" w:space="0" w:color="auto"/>
            </w:tcBorders>
            <w:vAlign w:val="bottom"/>
          </w:tcPr>
          <w:p w14:paraId="26B679AA" w14:textId="77777777" w:rsidR="00F65307" w:rsidRPr="0024487C" w:rsidRDefault="00F65307" w:rsidP="00B80789">
            <w:pPr>
              <w:jc w:val="center"/>
              <w:rPr>
                <w:rFonts w:ascii="Arial" w:hAnsi="Arial" w:cs="Arial"/>
              </w:rPr>
            </w:pPr>
          </w:p>
        </w:tc>
        <w:tc>
          <w:tcPr>
            <w:tcW w:w="1390" w:type="dxa"/>
            <w:tcBorders>
              <w:top w:val="single" w:sz="4" w:space="0" w:color="auto"/>
              <w:left w:val="nil"/>
              <w:bottom w:val="single" w:sz="4" w:space="0" w:color="auto"/>
              <w:right w:val="single" w:sz="4" w:space="0" w:color="auto"/>
            </w:tcBorders>
            <w:shd w:val="clear" w:color="auto" w:fill="A6A6A6"/>
            <w:vAlign w:val="bottom"/>
          </w:tcPr>
          <w:p w14:paraId="416637AA" w14:textId="77777777" w:rsidR="00F65307" w:rsidRPr="0024487C" w:rsidRDefault="00F65307" w:rsidP="00B80789">
            <w:pPr>
              <w:jc w:val="center"/>
              <w:rPr>
                <w:rFonts w:ascii="Arial" w:hAnsi="Arial" w:cs="Arial"/>
              </w:rPr>
            </w:pPr>
          </w:p>
        </w:tc>
        <w:tc>
          <w:tcPr>
            <w:tcW w:w="1390" w:type="dxa"/>
            <w:tcBorders>
              <w:top w:val="single" w:sz="4" w:space="0" w:color="auto"/>
              <w:left w:val="nil"/>
              <w:bottom w:val="single" w:sz="4" w:space="0" w:color="auto"/>
              <w:right w:val="single" w:sz="4" w:space="0" w:color="auto"/>
            </w:tcBorders>
            <w:shd w:val="clear" w:color="auto" w:fill="auto"/>
            <w:vAlign w:val="bottom"/>
          </w:tcPr>
          <w:p w14:paraId="0972447C" w14:textId="77777777" w:rsidR="00F65307" w:rsidRPr="0024487C" w:rsidRDefault="00F65307" w:rsidP="00B80789">
            <w:pPr>
              <w:jc w:val="center"/>
              <w:rPr>
                <w:rFonts w:ascii="Arial" w:hAnsi="Arial" w:cs="Arial"/>
              </w:rPr>
            </w:pPr>
          </w:p>
        </w:tc>
        <w:tc>
          <w:tcPr>
            <w:tcW w:w="1390" w:type="dxa"/>
            <w:tcBorders>
              <w:top w:val="single" w:sz="4" w:space="0" w:color="auto"/>
              <w:left w:val="nil"/>
              <w:bottom w:val="single" w:sz="4" w:space="0" w:color="auto"/>
              <w:right w:val="single" w:sz="4" w:space="0" w:color="auto"/>
            </w:tcBorders>
            <w:shd w:val="clear" w:color="auto" w:fill="auto"/>
            <w:vAlign w:val="bottom"/>
          </w:tcPr>
          <w:p w14:paraId="7FBA06B6" w14:textId="77777777" w:rsidR="00F65307" w:rsidRPr="0024487C" w:rsidRDefault="00F65307" w:rsidP="00B80789">
            <w:pPr>
              <w:jc w:val="center"/>
              <w:rPr>
                <w:rFonts w:ascii="Arial" w:hAnsi="Arial" w:cs="Arial"/>
              </w:rPr>
            </w:pPr>
          </w:p>
        </w:tc>
      </w:tr>
      <w:tr w:rsidR="00F65307" w:rsidRPr="00FC3309" w14:paraId="40AC2018" w14:textId="77777777" w:rsidTr="00B80789">
        <w:trPr>
          <w:trHeight w:val="317"/>
        </w:trPr>
        <w:tc>
          <w:tcPr>
            <w:tcW w:w="138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9AD015E" w14:textId="77777777" w:rsidR="00F65307" w:rsidRPr="0024487C" w:rsidRDefault="00F65307" w:rsidP="00B80789">
            <w:pPr>
              <w:jc w:val="center"/>
              <w:rPr>
                <w:rFonts w:ascii="Arial" w:hAnsi="Arial" w:cs="Arial"/>
              </w:rPr>
            </w:pPr>
            <w:r w:rsidRPr="0024487C">
              <w:rPr>
                <w:rFonts w:ascii="Arial" w:hAnsi="Arial" w:cs="Arial"/>
              </w:rPr>
              <w:t>100</w:t>
            </w:r>
          </w:p>
        </w:tc>
        <w:tc>
          <w:tcPr>
            <w:tcW w:w="1390" w:type="dxa"/>
            <w:tcBorders>
              <w:top w:val="single" w:sz="4" w:space="0" w:color="auto"/>
              <w:left w:val="dotDash" w:sz="4" w:space="0" w:color="auto"/>
              <w:right w:val="dotDash" w:sz="4" w:space="0" w:color="auto"/>
            </w:tcBorders>
            <w:shd w:val="clear" w:color="auto" w:fill="auto"/>
            <w:noWrap/>
            <w:vAlign w:val="bottom"/>
          </w:tcPr>
          <w:p w14:paraId="4D1A3589" w14:textId="77777777" w:rsidR="00F65307" w:rsidRPr="0045317D" w:rsidRDefault="00F65307" w:rsidP="00B80789">
            <w:pPr>
              <w:jc w:val="center"/>
              <w:rPr>
                <w:rFonts w:ascii="Arial" w:hAnsi="Arial" w:cs="Arial"/>
              </w:rPr>
            </w:pPr>
          </w:p>
        </w:tc>
        <w:tc>
          <w:tcPr>
            <w:tcW w:w="1388"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184A011" w14:textId="77777777" w:rsidR="00F65307" w:rsidRPr="00AF4764" w:rsidRDefault="00F65307" w:rsidP="00B80789">
            <w:pPr>
              <w:jc w:val="center"/>
              <w:rPr>
                <w:rFonts w:ascii="Arial" w:hAnsi="Arial" w:cs="Arial"/>
              </w:rPr>
            </w:pPr>
            <w:r w:rsidRPr="00AF4764">
              <w:rPr>
                <w:rFonts w:ascii="Arial" w:hAnsi="Arial" w:cs="Arial"/>
              </w:rPr>
              <w:t>100</w:t>
            </w:r>
          </w:p>
        </w:tc>
        <w:tc>
          <w:tcPr>
            <w:tcW w:w="1390" w:type="dxa"/>
            <w:tcBorders>
              <w:top w:val="single" w:sz="4" w:space="0" w:color="auto"/>
              <w:left w:val="dotDash" w:sz="4" w:space="0" w:color="auto"/>
            </w:tcBorders>
            <w:shd w:val="clear" w:color="auto" w:fill="auto"/>
            <w:vAlign w:val="bottom"/>
          </w:tcPr>
          <w:p w14:paraId="57FD50BD" w14:textId="77777777" w:rsidR="00F65307" w:rsidRPr="0045317D" w:rsidRDefault="00F65307" w:rsidP="00B80789">
            <w:pPr>
              <w:jc w:val="center"/>
              <w:rPr>
                <w:rFonts w:ascii="Arial" w:hAnsi="Arial" w:cs="Arial"/>
              </w:rPr>
            </w:pPr>
          </w:p>
        </w:tc>
        <w:tc>
          <w:tcPr>
            <w:tcW w:w="1388" w:type="dxa"/>
            <w:tcBorders>
              <w:top w:val="single" w:sz="4" w:space="0" w:color="auto"/>
            </w:tcBorders>
            <w:vAlign w:val="bottom"/>
          </w:tcPr>
          <w:p w14:paraId="2C0F5514" w14:textId="77777777" w:rsidR="00F65307" w:rsidRPr="0045317D" w:rsidRDefault="00F65307" w:rsidP="00B80789">
            <w:pPr>
              <w:jc w:val="center"/>
              <w:rPr>
                <w:rFonts w:ascii="Arial" w:hAnsi="Arial" w:cs="Arial"/>
              </w:rPr>
            </w:pPr>
          </w:p>
        </w:tc>
        <w:tc>
          <w:tcPr>
            <w:tcW w:w="1390" w:type="dxa"/>
            <w:tcBorders>
              <w:top w:val="single" w:sz="4" w:space="0" w:color="auto"/>
            </w:tcBorders>
            <w:vAlign w:val="bottom"/>
          </w:tcPr>
          <w:p w14:paraId="633FAD37" w14:textId="77777777" w:rsidR="00F65307" w:rsidRPr="0045317D" w:rsidRDefault="00F65307" w:rsidP="00B80789">
            <w:pPr>
              <w:jc w:val="center"/>
              <w:rPr>
                <w:rFonts w:ascii="Arial" w:hAnsi="Arial" w:cs="Arial"/>
              </w:rPr>
            </w:pPr>
          </w:p>
        </w:tc>
        <w:tc>
          <w:tcPr>
            <w:tcW w:w="1388" w:type="dxa"/>
            <w:tcBorders>
              <w:top w:val="single" w:sz="4" w:space="0" w:color="auto"/>
            </w:tcBorders>
            <w:vAlign w:val="bottom"/>
          </w:tcPr>
          <w:p w14:paraId="1CE505BA" w14:textId="77777777" w:rsidR="00F65307" w:rsidRPr="0045317D" w:rsidRDefault="00F65307" w:rsidP="00B80789">
            <w:pPr>
              <w:jc w:val="center"/>
              <w:rPr>
                <w:rFonts w:ascii="Arial" w:hAnsi="Arial" w:cs="Arial"/>
              </w:rPr>
            </w:pPr>
          </w:p>
        </w:tc>
        <w:tc>
          <w:tcPr>
            <w:tcW w:w="1390" w:type="dxa"/>
            <w:tcBorders>
              <w:top w:val="single" w:sz="4" w:space="0" w:color="auto"/>
            </w:tcBorders>
            <w:vAlign w:val="bottom"/>
          </w:tcPr>
          <w:p w14:paraId="191975E2" w14:textId="77777777" w:rsidR="00F65307" w:rsidRPr="0045317D" w:rsidRDefault="00F65307" w:rsidP="00B80789">
            <w:pPr>
              <w:jc w:val="center"/>
              <w:rPr>
                <w:rFonts w:ascii="Arial" w:hAnsi="Arial" w:cs="Arial"/>
              </w:rPr>
            </w:pPr>
          </w:p>
        </w:tc>
        <w:tc>
          <w:tcPr>
            <w:tcW w:w="1390" w:type="dxa"/>
            <w:tcBorders>
              <w:top w:val="single" w:sz="4" w:space="0" w:color="auto"/>
            </w:tcBorders>
            <w:vAlign w:val="bottom"/>
          </w:tcPr>
          <w:p w14:paraId="00CC1341" w14:textId="77777777" w:rsidR="00F65307" w:rsidRPr="0045317D" w:rsidRDefault="00F65307" w:rsidP="00B80789">
            <w:pPr>
              <w:jc w:val="center"/>
              <w:rPr>
                <w:rFonts w:ascii="Arial" w:hAnsi="Arial" w:cs="Arial"/>
              </w:rPr>
            </w:pPr>
          </w:p>
        </w:tc>
        <w:tc>
          <w:tcPr>
            <w:tcW w:w="1390" w:type="dxa"/>
            <w:tcBorders>
              <w:top w:val="single" w:sz="4" w:space="0" w:color="auto"/>
            </w:tcBorders>
            <w:vAlign w:val="bottom"/>
          </w:tcPr>
          <w:p w14:paraId="300B6846" w14:textId="77777777" w:rsidR="00F65307" w:rsidRPr="0045317D" w:rsidRDefault="00F65307" w:rsidP="00B80789">
            <w:pPr>
              <w:jc w:val="center"/>
              <w:rPr>
                <w:rFonts w:ascii="Arial" w:hAnsi="Arial" w:cs="Arial"/>
              </w:rPr>
            </w:pPr>
          </w:p>
        </w:tc>
      </w:tr>
      <w:tr w:rsidR="00F65307" w:rsidRPr="00FC3309" w14:paraId="31D66D67" w14:textId="77777777" w:rsidTr="00B80789">
        <w:trPr>
          <w:trHeight w:val="317"/>
        </w:trPr>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65815D2" w14:textId="77777777" w:rsidR="00F65307" w:rsidRPr="0024487C" w:rsidRDefault="00F65307" w:rsidP="00B80789">
            <w:pPr>
              <w:jc w:val="center"/>
              <w:rPr>
                <w:rFonts w:ascii="Arial" w:hAnsi="Arial" w:cs="Arial"/>
              </w:rPr>
            </w:pPr>
            <w:r w:rsidRPr="0024487C">
              <w:rPr>
                <w:rFonts w:ascii="Arial" w:hAnsi="Arial" w:cs="Arial"/>
              </w:rPr>
              <w:t>95</w:t>
            </w:r>
          </w:p>
        </w:tc>
        <w:tc>
          <w:tcPr>
            <w:tcW w:w="1390" w:type="dxa"/>
            <w:tcBorders>
              <w:left w:val="dotDash" w:sz="4" w:space="0" w:color="auto"/>
              <w:right w:val="dotDash" w:sz="4" w:space="0" w:color="auto"/>
            </w:tcBorders>
            <w:shd w:val="clear" w:color="auto" w:fill="auto"/>
            <w:noWrap/>
            <w:vAlign w:val="bottom"/>
          </w:tcPr>
          <w:p w14:paraId="1C49D409" w14:textId="77777777" w:rsidR="00F65307" w:rsidRPr="0045317D" w:rsidRDefault="00F65307" w:rsidP="00B80789">
            <w:pPr>
              <w:jc w:val="center"/>
              <w:rPr>
                <w:rFonts w:ascii="Arial" w:hAnsi="Arial" w:cs="Arial"/>
              </w:rPr>
            </w:pPr>
          </w:p>
        </w:tc>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7582054" w14:textId="77777777" w:rsidR="00F65307" w:rsidRPr="00AF4764" w:rsidRDefault="00F65307" w:rsidP="00B80789">
            <w:pPr>
              <w:jc w:val="center"/>
              <w:rPr>
                <w:rFonts w:ascii="Arial" w:hAnsi="Arial" w:cs="Arial"/>
              </w:rPr>
            </w:pPr>
            <w:r w:rsidRPr="00AF4764">
              <w:rPr>
                <w:rFonts w:ascii="Arial" w:hAnsi="Arial" w:cs="Arial"/>
              </w:rPr>
              <w:t>40</w:t>
            </w:r>
          </w:p>
        </w:tc>
        <w:tc>
          <w:tcPr>
            <w:tcW w:w="1390" w:type="dxa"/>
            <w:tcBorders>
              <w:left w:val="dotDash" w:sz="4" w:space="0" w:color="auto"/>
            </w:tcBorders>
            <w:shd w:val="clear" w:color="auto" w:fill="auto"/>
            <w:vAlign w:val="bottom"/>
          </w:tcPr>
          <w:p w14:paraId="6ADD2628" w14:textId="77777777" w:rsidR="00F65307" w:rsidRPr="0045317D" w:rsidRDefault="00F65307" w:rsidP="00B80789">
            <w:pPr>
              <w:jc w:val="center"/>
              <w:rPr>
                <w:rFonts w:ascii="Arial" w:hAnsi="Arial" w:cs="Arial"/>
              </w:rPr>
            </w:pPr>
          </w:p>
        </w:tc>
        <w:tc>
          <w:tcPr>
            <w:tcW w:w="1388" w:type="dxa"/>
            <w:vAlign w:val="bottom"/>
          </w:tcPr>
          <w:p w14:paraId="410DBF19" w14:textId="77777777" w:rsidR="00F65307" w:rsidRPr="0045317D" w:rsidRDefault="00F65307" w:rsidP="00B80789">
            <w:pPr>
              <w:jc w:val="center"/>
              <w:rPr>
                <w:rFonts w:ascii="Arial" w:hAnsi="Arial" w:cs="Arial"/>
              </w:rPr>
            </w:pPr>
          </w:p>
        </w:tc>
        <w:tc>
          <w:tcPr>
            <w:tcW w:w="1390" w:type="dxa"/>
            <w:vAlign w:val="bottom"/>
          </w:tcPr>
          <w:p w14:paraId="4768F195" w14:textId="77777777" w:rsidR="00F65307" w:rsidRPr="0045317D" w:rsidRDefault="00F65307" w:rsidP="00B80789">
            <w:pPr>
              <w:jc w:val="center"/>
              <w:rPr>
                <w:rFonts w:ascii="Arial" w:hAnsi="Arial" w:cs="Arial"/>
              </w:rPr>
            </w:pPr>
          </w:p>
        </w:tc>
        <w:tc>
          <w:tcPr>
            <w:tcW w:w="1388" w:type="dxa"/>
            <w:vAlign w:val="bottom"/>
          </w:tcPr>
          <w:p w14:paraId="2008B041" w14:textId="77777777" w:rsidR="00F65307" w:rsidRPr="0045317D" w:rsidRDefault="00F65307" w:rsidP="00B80789">
            <w:pPr>
              <w:jc w:val="center"/>
              <w:rPr>
                <w:rFonts w:ascii="Arial" w:hAnsi="Arial" w:cs="Arial"/>
              </w:rPr>
            </w:pPr>
          </w:p>
        </w:tc>
        <w:tc>
          <w:tcPr>
            <w:tcW w:w="1390" w:type="dxa"/>
            <w:vAlign w:val="bottom"/>
          </w:tcPr>
          <w:p w14:paraId="085E8043" w14:textId="77777777" w:rsidR="00F65307" w:rsidRPr="0045317D" w:rsidRDefault="00F65307" w:rsidP="00B80789">
            <w:pPr>
              <w:jc w:val="center"/>
              <w:rPr>
                <w:rFonts w:ascii="Arial" w:hAnsi="Arial" w:cs="Arial"/>
              </w:rPr>
            </w:pPr>
          </w:p>
        </w:tc>
        <w:tc>
          <w:tcPr>
            <w:tcW w:w="1390" w:type="dxa"/>
            <w:vAlign w:val="bottom"/>
          </w:tcPr>
          <w:p w14:paraId="2C6B4B3B" w14:textId="77777777" w:rsidR="00F65307" w:rsidRPr="0045317D" w:rsidRDefault="00F65307" w:rsidP="00B80789">
            <w:pPr>
              <w:jc w:val="center"/>
              <w:rPr>
                <w:rFonts w:ascii="Arial" w:hAnsi="Arial" w:cs="Arial"/>
              </w:rPr>
            </w:pPr>
          </w:p>
        </w:tc>
        <w:tc>
          <w:tcPr>
            <w:tcW w:w="1390" w:type="dxa"/>
            <w:vAlign w:val="bottom"/>
          </w:tcPr>
          <w:p w14:paraId="2B31D573" w14:textId="77777777" w:rsidR="00F65307" w:rsidRPr="0045317D" w:rsidRDefault="00F65307" w:rsidP="00B80789">
            <w:pPr>
              <w:jc w:val="center"/>
              <w:rPr>
                <w:rFonts w:ascii="Arial" w:hAnsi="Arial" w:cs="Arial"/>
              </w:rPr>
            </w:pPr>
          </w:p>
        </w:tc>
      </w:tr>
      <w:tr w:rsidR="00F65307" w:rsidRPr="00FC3309" w14:paraId="1386AEE7" w14:textId="77777777" w:rsidTr="00B80789">
        <w:trPr>
          <w:trHeight w:val="317"/>
        </w:trPr>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A2FCCFB" w14:textId="77777777" w:rsidR="00F65307" w:rsidRPr="0024487C" w:rsidRDefault="00F65307" w:rsidP="00B80789">
            <w:pPr>
              <w:jc w:val="center"/>
              <w:rPr>
                <w:rFonts w:ascii="Arial" w:hAnsi="Arial" w:cs="Arial"/>
              </w:rPr>
            </w:pPr>
            <w:r w:rsidRPr="0024487C">
              <w:rPr>
                <w:rFonts w:ascii="Arial" w:hAnsi="Arial" w:cs="Arial"/>
              </w:rPr>
              <w:t>90</w:t>
            </w:r>
          </w:p>
        </w:tc>
        <w:tc>
          <w:tcPr>
            <w:tcW w:w="1390" w:type="dxa"/>
            <w:tcBorders>
              <w:left w:val="dotDash" w:sz="4" w:space="0" w:color="auto"/>
              <w:right w:val="dotDash" w:sz="4" w:space="0" w:color="auto"/>
            </w:tcBorders>
            <w:shd w:val="clear" w:color="auto" w:fill="auto"/>
            <w:noWrap/>
            <w:vAlign w:val="bottom"/>
          </w:tcPr>
          <w:p w14:paraId="66D77460" w14:textId="77777777" w:rsidR="00F65307" w:rsidRPr="0045317D" w:rsidRDefault="00F65307" w:rsidP="00B80789">
            <w:pPr>
              <w:jc w:val="center"/>
              <w:rPr>
                <w:rFonts w:ascii="Arial" w:hAnsi="Arial" w:cs="Arial"/>
              </w:rPr>
            </w:pPr>
          </w:p>
        </w:tc>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9873BE" w14:textId="77777777" w:rsidR="00F65307" w:rsidRPr="00AF4764" w:rsidRDefault="00F65307" w:rsidP="00B80789">
            <w:pPr>
              <w:jc w:val="center"/>
              <w:rPr>
                <w:rFonts w:ascii="Arial" w:hAnsi="Arial" w:cs="Arial"/>
              </w:rPr>
            </w:pPr>
            <w:r w:rsidRPr="00AF4764">
              <w:rPr>
                <w:rFonts w:ascii="Arial" w:hAnsi="Arial" w:cs="Arial"/>
              </w:rPr>
              <w:t>35</w:t>
            </w:r>
          </w:p>
        </w:tc>
        <w:tc>
          <w:tcPr>
            <w:tcW w:w="1390" w:type="dxa"/>
            <w:tcBorders>
              <w:left w:val="dotDash" w:sz="4" w:space="0" w:color="auto"/>
            </w:tcBorders>
            <w:shd w:val="clear" w:color="auto" w:fill="auto"/>
            <w:vAlign w:val="bottom"/>
          </w:tcPr>
          <w:p w14:paraId="5D9D3D4D" w14:textId="77777777" w:rsidR="00F65307" w:rsidRPr="0045317D" w:rsidRDefault="00F65307" w:rsidP="00B80789">
            <w:pPr>
              <w:jc w:val="center"/>
              <w:rPr>
                <w:rFonts w:ascii="Arial" w:hAnsi="Arial" w:cs="Arial"/>
              </w:rPr>
            </w:pPr>
          </w:p>
        </w:tc>
        <w:tc>
          <w:tcPr>
            <w:tcW w:w="1388" w:type="dxa"/>
            <w:vAlign w:val="bottom"/>
          </w:tcPr>
          <w:p w14:paraId="7445A7C8" w14:textId="77777777" w:rsidR="00F65307" w:rsidRPr="0045317D" w:rsidRDefault="00F65307" w:rsidP="00B80789">
            <w:pPr>
              <w:jc w:val="center"/>
              <w:rPr>
                <w:rFonts w:ascii="Arial" w:hAnsi="Arial" w:cs="Arial"/>
              </w:rPr>
            </w:pPr>
          </w:p>
        </w:tc>
        <w:tc>
          <w:tcPr>
            <w:tcW w:w="1390" w:type="dxa"/>
            <w:vAlign w:val="bottom"/>
          </w:tcPr>
          <w:p w14:paraId="2F42AAAE" w14:textId="77777777" w:rsidR="00F65307" w:rsidRPr="0045317D" w:rsidRDefault="00F65307" w:rsidP="00B80789">
            <w:pPr>
              <w:jc w:val="center"/>
              <w:rPr>
                <w:rFonts w:ascii="Arial" w:hAnsi="Arial" w:cs="Arial"/>
              </w:rPr>
            </w:pPr>
          </w:p>
        </w:tc>
        <w:tc>
          <w:tcPr>
            <w:tcW w:w="1388" w:type="dxa"/>
            <w:vAlign w:val="bottom"/>
          </w:tcPr>
          <w:p w14:paraId="2B9A94FA" w14:textId="77777777" w:rsidR="00F65307" w:rsidRPr="0045317D" w:rsidRDefault="00F65307" w:rsidP="00B80789">
            <w:pPr>
              <w:jc w:val="center"/>
              <w:rPr>
                <w:rFonts w:ascii="Arial" w:hAnsi="Arial" w:cs="Arial"/>
              </w:rPr>
            </w:pPr>
          </w:p>
        </w:tc>
        <w:tc>
          <w:tcPr>
            <w:tcW w:w="1390" w:type="dxa"/>
            <w:vAlign w:val="bottom"/>
          </w:tcPr>
          <w:p w14:paraId="64520466" w14:textId="77777777" w:rsidR="00F65307" w:rsidRPr="0045317D" w:rsidRDefault="00F65307" w:rsidP="00B80789">
            <w:pPr>
              <w:jc w:val="center"/>
              <w:rPr>
                <w:rFonts w:ascii="Arial" w:hAnsi="Arial" w:cs="Arial"/>
              </w:rPr>
            </w:pPr>
          </w:p>
        </w:tc>
        <w:tc>
          <w:tcPr>
            <w:tcW w:w="1390" w:type="dxa"/>
            <w:vAlign w:val="bottom"/>
          </w:tcPr>
          <w:p w14:paraId="397FA521" w14:textId="77777777" w:rsidR="00F65307" w:rsidRPr="0045317D" w:rsidRDefault="00F65307" w:rsidP="00B80789">
            <w:pPr>
              <w:jc w:val="center"/>
              <w:rPr>
                <w:rFonts w:ascii="Arial" w:hAnsi="Arial" w:cs="Arial"/>
              </w:rPr>
            </w:pPr>
          </w:p>
        </w:tc>
        <w:tc>
          <w:tcPr>
            <w:tcW w:w="1390" w:type="dxa"/>
            <w:vAlign w:val="bottom"/>
          </w:tcPr>
          <w:p w14:paraId="70EEC84A" w14:textId="77777777" w:rsidR="00F65307" w:rsidRPr="0045317D" w:rsidRDefault="00F65307" w:rsidP="00B80789">
            <w:pPr>
              <w:jc w:val="center"/>
              <w:rPr>
                <w:rFonts w:ascii="Arial" w:hAnsi="Arial" w:cs="Arial"/>
              </w:rPr>
            </w:pPr>
          </w:p>
        </w:tc>
      </w:tr>
      <w:tr w:rsidR="00F65307" w:rsidRPr="00FC3309" w14:paraId="53BE7028" w14:textId="77777777" w:rsidTr="00B80789">
        <w:trPr>
          <w:trHeight w:val="317"/>
        </w:trPr>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0F09CAD" w14:textId="77777777" w:rsidR="00F65307" w:rsidRPr="0024487C" w:rsidRDefault="00F65307" w:rsidP="00B80789">
            <w:pPr>
              <w:jc w:val="center"/>
              <w:rPr>
                <w:rFonts w:ascii="Arial" w:hAnsi="Arial" w:cs="Arial"/>
              </w:rPr>
            </w:pPr>
            <w:r w:rsidRPr="0024487C">
              <w:rPr>
                <w:rFonts w:ascii="Arial" w:hAnsi="Arial" w:cs="Arial"/>
              </w:rPr>
              <w:t>85</w:t>
            </w:r>
          </w:p>
        </w:tc>
        <w:tc>
          <w:tcPr>
            <w:tcW w:w="1390" w:type="dxa"/>
            <w:tcBorders>
              <w:left w:val="dotDash" w:sz="4" w:space="0" w:color="auto"/>
              <w:right w:val="dotDash" w:sz="4" w:space="0" w:color="auto"/>
            </w:tcBorders>
            <w:shd w:val="clear" w:color="auto" w:fill="auto"/>
            <w:noWrap/>
            <w:vAlign w:val="bottom"/>
          </w:tcPr>
          <w:p w14:paraId="19B75AA3" w14:textId="77777777" w:rsidR="00F65307" w:rsidRPr="0045317D" w:rsidRDefault="00F65307" w:rsidP="00B80789">
            <w:pPr>
              <w:jc w:val="center"/>
              <w:rPr>
                <w:rFonts w:ascii="Arial" w:hAnsi="Arial" w:cs="Arial"/>
              </w:rPr>
            </w:pPr>
          </w:p>
        </w:tc>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A1CE520" w14:textId="77777777" w:rsidR="00F65307" w:rsidRPr="00AF4764" w:rsidRDefault="00F65307" w:rsidP="00B80789">
            <w:pPr>
              <w:jc w:val="center"/>
              <w:rPr>
                <w:rFonts w:ascii="Arial" w:hAnsi="Arial" w:cs="Arial"/>
              </w:rPr>
            </w:pPr>
            <w:r w:rsidRPr="00AF4764">
              <w:rPr>
                <w:rFonts w:ascii="Arial" w:hAnsi="Arial" w:cs="Arial"/>
              </w:rPr>
              <w:t>30</w:t>
            </w:r>
          </w:p>
        </w:tc>
        <w:tc>
          <w:tcPr>
            <w:tcW w:w="1390" w:type="dxa"/>
            <w:tcBorders>
              <w:left w:val="dotDash" w:sz="4" w:space="0" w:color="auto"/>
            </w:tcBorders>
            <w:shd w:val="clear" w:color="auto" w:fill="auto"/>
            <w:vAlign w:val="bottom"/>
          </w:tcPr>
          <w:p w14:paraId="318EC229" w14:textId="77777777" w:rsidR="00F65307" w:rsidRPr="0045317D" w:rsidRDefault="00F65307" w:rsidP="00B80789">
            <w:pPr>
              <w:jc w:val="center"/>
              <w:rPr>
                <w:rFonts w:ascii="Arial" w:hAnsi="Arial" w:cs="Arial"/>
              </w:rPr>
            </w:pPr>
          </w:p>
        </w:tc>
        <w:tc>
          <w:tcPr>
            <w:tcW w:w="1388" w:type="dxa"/>
            <w:vAlign w:val="bottom"/>
          </w:tcPr>
          <w:p w14:paraId="4CBB67F3" w14:textId="77777777" w:rsidR="00F65307" w:rsidRPr="0045317D" w:rsidRDefault="00F65307" w:rsidP="00B80789">
            <w:pPr>
              <w:jc w:val="center"/>
              <w:rPr>
                <w:rFonts w:ascii="Arial" w:hAnsi="Arial" w:cs="Arial"/>
              </w:rPr>
            </w:pPr>
          </w:p>
        </w:tc>
        <w:tc>
          <w:tcPr>
            <w:tcW w:w="1390" w:type="dxa"/>
            <w:vAlign w:val="bottom"/>
          </w:tcPr>
          <w:p w14:paraId="4C8FB2F0" w14:textId="77777777" w:rsidR="00F65307" w:rsidRPr="0045317D" w:rsidRDefault="00F65307" w:rsidP="00B80789">
            <w:pPr>
              <w:jc w:val="center"/>
              <w:rPr>
                <w:rFonts w:ascii="Arial" w:hAnsi="Arial" w:cs="Arial"/>
              </w:rPr>
            </w:pPr>
          </w:p>
        </w:tc>
        <w:tc>
          <w:tcPr>
            <w:tcW w:w="1388" w:type="dxa"/>
            <w:vAlign w:val="bottom"/>
          </w:tcPr>
          <w:p w14:paraId="3FD07CFA" w14:textId="77777777" w:rsidR="00F65307" w:rsidRPr="0045317D" w:rsidRDefault="00F65307" w:rsidP="00B80789">
            <w:pPr>
              <w:jc w:val="center"/>
              <w:rPr>
                <w:rFonts w:ascii="Arial" w:hAnsi="Arial" w:cs="Arial"/>
              </w:rPr>
            </w:pPr>
          </w:p>
        </w:tc>
        <w:tc>
          <w:tcPr>
            <w:tcW w:w="1390" w:type="dxa"/>
            <w:vAlign w:val="bottom"/>
          </w:tcPr>
          <w:p w14:paraId="3C5749DA" w14:textId="77777777" w:rsidR="00F65307" w:rsidRPr="0045317D" w:rsidRDefault="00F65307" w:rsidP="00B80789">
            <w:pPr>
              <w:jc w:val="center"/>
              <w:rPr>
                <w:rFonts w:ascii="Arial" w:hAnsi="Arial" w:cs="Arial"/>
              </w:rPr>
            </w:pPr>
          </w:p>
        </w:tc>
        <w:tc>
          <w:tcPr>
            <w:tcW w:w="1390" w:type="dxa"/>
            <w:vAlign w:val="bottom"/>
          </w:tcPr>
          <w:p w14:paraId="7BB91186" w14:textId="77777777" w:rsidR="00F65307" w:rsidRPr="0045317D" w:rsidRDefault="00F65307" w:rsidP="00B80789">
            <w:pPr>
              <w:jc w:val="center"/>
              <w:rPr>
                <w:rFonts w:ascii="Arial" w:hAnsi="Arial" w:cs="Arial"/>
              </w:rPr>
            </w:pPr>
          </w:p>
        </w:tc>
        <w:tc>
          <w:tcPr>
            <w:tcW w:w="1390" w:type="dxa"/>
            <w:vAlign w:val="bottom"/>
          </w:tcPr>
          <w:p w14:paraId="05E24003" w14:textId="77777777" w:rsidR="00F65307" w:rsidRPr="0045317D" w:rsidRDefault="00F65307" w:rsidP="00B80789">
            <w:pPr>
              <w:jc w:val="center"/>
              <w:rPr>
                <w:rFonts w:ascii="Arial" w:hAnsi="Arial" w:cs="Arial"/>
              </w:rPr>
            </w:pPr>
          </w:p>
        </w:tc>
      </w:tr>
      <w:tr w:rsidR="00F65307" w:rsidRPr="00FC3309" w14:paraId="64BB297D" w14:textId="77777777" w:rsidTr="00B80789">
        <w:trPr>
          <w:trHeight w:val="317"/>
        </w:trPr>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BE189CB" w14:textId="77777777" w:rsidR="00F65307" w:rsidRPr="0024487C" w:rsidRDefault="00F65307" w:rsidP="00B80789">
            <w:pPr>
              <w:jc w:val="center"/>
              <w:rPr>
                <w:rFonts w:ascii="Arial" w:hAnsi="Arial" w:cs="Arial"/>
              </w:rPr>
            </w:pPr>
            <w:r w:rsidRPr="0024487C">
              <w:rPr>
                <w:rFonts w:ascii="Arial" w:hAnsi="Arial" w:cs="Arial"/>
              </w:rPr>
              <w:t>80</w:t>
            </w:r>
          </w:p>
        </w:tc>
        <w:tc>
          <w:tcPr>
            <w:tcW w:w="1390" w:type="dxa"/>
            <w:tcBorders>
              <w:left w:val="dotDash" w:sz="4" w:space="0" w:color="auto"/>
              <w:right w:val="dotDash" w:sz="4" w:space="0" w:color="auto"/>
            </w:tcBorders>
            <w:shd w:val="clear" w:color="auto" w:fill="auto"/>
            <w:noWrap/>
            <w:vAlign w:val="bottom"/>
          </w:tcPr>
          <w:p w14:paraId="267013BA" w14:textId="77777777" w:rsidR="00F65307" w:rsidRPr="0045317D" w:rsidRDefault="00F65307" w:rsidP="00B80789">
            <w:pPr>
              <w:jc w:val="center"/>
              <w:rPr>
                <w:rFonts w:ascii="Arial" w:hAnsi="Arial" w:cs="Arial"/>
              </w:rPr>
            </w:pPr>
          </w:p>
        </w:tc>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B19E63" w14:textId="77777777" w:rsidR="00F65307" w:rsidRPr="00AF4764" w:rsidRDefault="00F65307" w:rsidP="00B80789">
            <w:pPr>
              <w:jc w:val="center"/>
              <w:rPr>
                <w:rFonts w:ascii="Arial" w:hAnsi="Arial" w:cs="Arial"/>
              </w:rPr>
            </w:pPr>
            <w:r w:rsidRPr="00AF4764">
              <w:rPr>
                <w:rFonts w:ascii="Arial" w:hAnsi="Arial" w:cs="Arial"/>
              </w:rPr>
              <w:t>25</w:t>
            </w:r>
          </w:p>
        </w:tc>
        <w:tc>
          <w:tcPr>
            <w:tcW w:w="1390" w:type="dxa"/>
            <w:tcBorders>
              <w:left w:val="dotDash" w:sz="4" w:space="0" w:color="auto"/>
            </w:tcBorders>
            <w:shd w:val="clear" w:color="auto" w:fill="auto"/>
            <w:vAlign w:val="bottom"/>
          </w:tcPr>
          <w:p w14:paraId="1D161150" w14:textId="77777777" w:rsidR="00F65307" w:rsidRPr="0045317D" w:rsidRDefault="00F65307" w:rsidP="00B80789">
            <w:pPr>
              <w:jc w:val="center"/>
              <w:rPr>
                <w:rFonts w:ascii="Arial" w:hAnsi="Arial" w:cs="Arial"/>
              </w:rPr>
            </w:pPr>
          </w:p>
        </w:tc>
        <w:tc>
          <w:tcPr>
            <w:tcW w:w="1388" w:type="dxa"/>
            <w:vAlign w:val="bottom"/>
          </w:tcPr>
          <w:p w14:paraId="72A2D944" w14:textId="77777777" w:rsidR="00F65307" w:rsidRPr="0045317D" w:rsidRDefault="00F65307" w:rsidP="00B80789">
            <w:pPr>
              <w:jc w:val="center"/>
              <w:rPr>
                <w:rFonts w:ascii="Arial" w:hAnsi="Arial" w:cs="Arial"/>
              </w:rPr>
            </w:pPr>
          </w:p>
        </w:tc>
        <w:tc>
          <w:tcPr>
            <w:tcW w:w="1390" w:type="dxa"/>
            <w:vAlign w:val="bottom"/>
          </w:tcPr>
          <w:p w14:paraId="6C75F02D" w14:textId="77777777" w:rsidR="00F65307" w:rsidRPr="0045317D" w:rsidRDefault="00F65307" w:rsidP="00B80789">
            <w:pPr>
              <w:jc w:val="center"/>
              <w:rPr>
                <w:rFonts w:ascii="Arial" w:hAnsi="Arial" w:cs="Arial"/>
              </w:rPr>
            </w:pPr>
          </w:p>
        </w:tc>
        <w:tc>
          <w:tcPr>
            <w:tcW w:w="1388" w:type="dxa"/>
            <w:vAlign w:val="bottom"/>
          </w:tcPr>
          <w:p w14:paraId="038BCC89" w14:textId="77777777" w:rsidR="00F65307" w:rsidRPr="0045317D" w:rsidRDefault="00F65307" w:rsidP="00B80789">
            <w:pPr>
              <w:jc w:val="center"/>
              <w:rPr>
                <w:rFonts w:ascii="Arial" w:hAnsi="Arial" w:cs="Arial"/>
              </w:rPr>
            </w:pPr>
          </w:p>
        </w:tc>
        <w:tc>
          <w:tcPr>
            <w:tcW w:w="1390" w:type="dxa"/>
            <w:vAlign w:val="bottom"/>
          </w:tcPr>
          <w:p w14:paraId="253263AF" w14:textId="77777777" w:rsidR="00F65307" w:rsidRPr="0045317D" w:rsidRDefault="00F65307" w:rsidP="00B80789">
            <w:pPr>
              <w:jc w:val="center"/>
              <w:rPr>
                <w:rFonts w:ascii="Arial" w:hAnsi="Arial" w:cs="Arial"/>
              </w:rPr>
            </w:pPr>
          </w:p>
        </w:tc>
        <w:tc>
          <w:tcPr>
            <w:tcW w:w="1390" w:type="dxa"/>
            <w:vAlign w:val="bottom"/>
          </w:tcPr>
          <w:p w14:paraId="19270818" w14:textId="77777777" w:rsidR="00F65307" w:rsidRPr="0045317D" w:rsidRDefault="00F65307" w:rsidP="00B80789">
            <w:pPr>
              <w:jc w:val="center"/>
              <w:rPr>
                <w:rFonts w:ascii="Arial" w:hAnsi="Arial" w:cs="Arial"/>
              </w:rPr>
            </w:pPr>
          </w:p>
        </w:tc>
        <w:tc>
          <w:tcPr>
            <w:tcW w:w="1390" w:type="dxa"/>
            <w:vAlign w:val="bottom"/>
          </w:tcPr>
          <w:p w14:paraId="096E3A31" w14:textId="77777777" w:rsidR="00F65307" w:rsidRPr="0045317D" w:rsidRDefault="00F65307" w:rsidP="00B80789">
            <w:pPr>
              <w:jc w:val="center"/>
              <w:rPr>
                <w:rFonts w:ascii="Arial" w:hAnsi="Arial" w:cs="Arial"/>
              </w:rPr>
            </w:pPr>
          </w:p>
        </w:tc>
      </w:tr>
      <w:tr w:rsidR="00F65307" w:rsidRPr="00FC3309" w14:paraId="55A8E8B6" w14:textId="77777777" w:rsidTr="00B80789">
        <w:trPr>
          <w:trHeight w:val="317"/>
        </w:trPr>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B338962" w14:textId="77777777" w:rsidR="00F65307" w:rsidRPr="0024487C" w:rsidRDefault="00F65307" w:rsidP="00B80789">
            <w:pPr>
              <w:jc w:val="center"/>
              <w:rPr>
                <w:rFonts w:ascii="Arial" w:hAnsi="Arial" w:cs="Arial"/>
              </w:rPr>
            </w:pPr>
            <w:r w:rsidRPr="0024487C">
              <w:rPr>
                <w:rFonts w:ascii="Arial" w:hAnsi="Arial" w:cs="Arial"/>
              </w:rPr>
              <w:t>70</w:t>
            </w:r>
          </w:p>
        </w:tc>
        <w:tc>
          <w:tcPr>
            <w:tcW w:w="1390" w:type="dxa"/>
            <w:tcBorders>
              <w:left w:val="dotDash" w:sz="4" w:space="0" w:color="auto"/>
              <w:right w:val="dotDash" w:sz="4" w:space="0" w:color="auto"/>
            </w:tcBorders>
            <w:shd w:val="clear" w:color="auto" w:fill="auto"/>
            <w:noWrap/>
            <w:vAlign w:val="bottom"/>
          </w:tcPr>
          <w:p w14:paraId="032A60CD" w14:textId="77777777" w:rsidR="00F65307" w:rsidRPr="0045317D" w:rsidRDefault="00F65307" w:rsidP="00B80789">
            <w:pPr>
              <w:jc w:val="center"/>
              <w:rPr>
                <w:rFonts w:ascii="Arial" w:hAnsi="Arial" w:cs="Arial"/>
              </w:rPr>
            </w:pPr>
          </w:p>
        </w:tc>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BD0570B" w14:textId="77777777" w:rsidR="00F65307" w:rsidRPr="00AF4764" w:rsidRDefault="00F65307" w:rsidP="00B80789">
            <w:pPr>
              <w:jc w:val="center"/>
              <w:rPr>
                <w:rFonts w:ascii="Arial" w:hAnsi="Arial" w:cs="Arial"/>
              </w:rPr>
            </w:pPr>
            <w:r w:rsidRPr="00AF4764">
              <w:rPr>
                <w:rFonts w:ascii="Arial" w:hAnsi="Arial" w:cs="Arial"/>
              </w:rPr>
              <w:t>20</w:t>
            </w:r>
          </w:p>
        </w:tc>
        <w:tc>
          <w:tcPr>
            <w:tcW w:w="1390" w:type="dxa"/>
            <w:tcBorders>
              <w:left w:val="dotDash" w:sz="4" w:space="0" w:color="auto"/>
            </w:tcBorders>
            <w:shd w:val="clear" w:color="auto" w:fill="auto"/>
            <w:vAlign w:val="bottom"/>
          </w:tcPr>
          <w:p w14:paraId="52A7E7CF" w14:textId="77777777" w:rsidR="00F65307" w:rsidRPr="0045317D" w:rsidRDefault="00F65307" w:rsidP="00B80789">
            <w:pPr>
              <w:jc w:val="center"/>
              <w:rPr>
                <w:rFonts w:ascii="Arial" w:hAnsi="Arial" w:cs="Arial"/>
              </w:rPr>
            </w:pPr>
          </w:p>
        </w:tc>
        <w:tc>
          <w:tcPr>
            <w:tcW w:w="1388" w:type="dxa"/>
            <w:vAlign w:val="bottom"/>
          </w:tcPr>
          <w:p w14:paraId="0E74E47B" w14:textId="77777777" w:rsidR="00F65307" w:rsidRPr="0045317D" w:rsidRDefault="00F65307" w:rsidP="00B80789">
            <w:pPr>
              <w:jc w:val="center"/>
              <w:rPr>
                <w:rFonts w:ascii="Arial" w:hAnsi="Arial" w:cs="Arial"/>
              </w:rPr>
            </w:pPr>
          </w:p>
        </w:tc>
        <w:tc>
          <w:tcPr>
            <w:tcW w:w="1390" w:type="dxa"/>
            <w:vAlign w:val="bottom"/>
          </w:tcPr>
          <w:p w14:paraId="356E09A4" w14:textId="77777777" w:rsidR="00F65307" w:rsidRPr="0045317D" w:rsidRDefault="00F65307" w:rsidP="00B80789">
            <w:pPr>
              <w:jc w:val="center"/>
              <w:rPr>
                <w:rFonts w:ascii="Arial" w:hAnsi="Arial" w:cs="Arial"/>
              </w:rPr>
            </w:pPr>
          </w:p>
        </w:tc>
        <w:tc>
          <w:tcPr>
            <w:tcW w:w="1388" w:type="dxa"/>
            <w:vAlign w:val="bottom"/>
          </w:tcPr>
          <w:p w14:paraId="5974B2F1" w14:textId="77777777" w:rsidR="00F65307" w:rsidRPr="0045317D" w:rsidRDefault="00F65307" w:rsidP="00B80789">
            <w:pPr>
              <w:jc w:val="center"/>
              <w:rPr>
                <w:rFonts w:ascii="Arial" w:hAnsi="Arial" w:cs="Arial"/>
              </w:rPr>
            </w:pPr>
          </w:p>
        </w:tc>
        <w:tc>
          <w:tcPr>
            <w:tcW w:w="1390" w:type="dxa"/>
            <w:vAlign w:val="bottom"/>
          </w:tcPr>
          <w:p w14:paraId="6D01A3A3" w14:textId="77777777" w:rsidR="00F65307" w:rsidRPr="0045317D" w:rsidRDefault="00F65307" w:rsidP="00B80789">
            <w:pPr>
              <w:jc w:val="center"/>
              <w:rPr>
                <w:rFonts w:ascii="Arial" w:hAnsi="Arial" w:cs="Arial"/>
              </w:rPr>
            </w:pPr>
          </w:p>
        </w:tc>
        <w:tc>
          <w:tcPr>
            <w:tcW w:w="1390" w:type="dxa"/>
            <w:vAlign w:val="bottom"/>
          </w:tcPr>
          <w:p w14:paraId="72EF871E" w14:textId="77777777" w:rsidR="00F65307" w:rsidRPr="0045317D" w:rsidRDefault="00F65307" w:rsidP="00B80789">
            <w:pPr>
              <w:jc w:val="center"/>
              <w:rPr>
                <w:rFonts w:ascii="Arial" w:hAnsi="Arial" w:cs="Arial"/>
              </w:rPr>
            </w:pPr>
          </w:p>
        </w:tc>
        <w:tc>
          <w:tcPr>
            <w:tcW w:w="1390" w:type="dxa"/>
            <w:vAlign w:val="bottom"/>
          </w:tcPr>
          <w:p w14:paraId="6A1F811B" w14:textId="77777777" w:rsidR="00F65307" w:rsidRPr="0045317D" w:rsidRDefault="00F65307" w:rsidP="00B80789">
            <w:pPr>
              <w:jc w:val="center"/>
              <w:rPr>
                <w:rFonts w:ascii="Arial" w:hAnsi="Arial" w:cs="Arial"/>
              </w:rPr>
            </w:pPr>
          </w:p>
        </w:tc>
      </w:tr>
      <w:tr w:rsidR="00F65307" w:rsidRPr="00FC3309" w14:paraId="1E3F4485" w14:textId="77777777" w:rsidTr="00B80789">
        <w:trPr>
          <w:trHeight w:val="317"/>
        </w:trPr>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BF46A47" w14:textId="77777777" w:rsidR="00F65307" w:rsidRPr="0024487C" w:rsidRDefault="00F65307" w:rsidP="00B80789">
            <w:pPr>
              <w:jc w:val="center"/>
              <w:rPr>
                <w:rFonts w:ascii="Arial" w:hAnsi="Arial" w:cs="Arial"/>
              </w:rPr>
            </w:pPr>
            <w:r w:rsidRPr="0024487C">
              <w:rPr>
                <w:rFonts w:ascii="Arial" w:hAnsi="Arial" w:cs="Arial"/>
              </w:rPr>
              <w:t>60</w:t>
            </w:r>
          </w:p>
        </w:tc>
        <w:tc>
          <w:tcPr>
            <w:tcW w:w="1390" w:type="dxa"/>
            <w:tcBorders>
              <w:left w:val="dotDash" w:sz="4" w:space="0" w:color="auto"/>
            </w:tcBorders>
            <w:shd w:val="clear" w:color="auto" w:fill="auto"/>
            <w:noWrap/>
            <w:vAlign w:val="bottom"/>
          </w:tcPr>
          <w:p w14:paraId="7A9E0FAA" w14:textId="77777777" w:rsidR="00F65307" w:rsidRPr="0045317D" w:rsidRDefault="00F65307" w:rsidP="00B80789">
            <w:pPr>
              <w:jc w:val="center"/>
              <w:rPr>
                <w:rFonts w:ascii="Arial" w:hAnsi="Arial" w:cs="Arial"/>
              </w:rPr>
            </w:pPr>
          </w:p>
        </w:tc>
        <w:tc>
          <w:tcPr>
            <w:tcW w:w="1388" w:type="dxa"/>
            <w:tcBorders>
              <w:top w:val="dotDash" w:sz="4" w:space="0" w:color="auto"/>
            </w:tcBorders>
            <w:shd w:val="clear" w:color="auto" w:fill="auto"/>
            <w:noWrap/>
            <w:vAlign w:val="bottom"/>
          </w:tcPr>
          <w:p w14:paraId="1CCBDFDA" w14:textId="77777777" w:rsidR="00F65307" w:rsidRPr="0045317D" w:rsidRDefault="00F65307" w:rsidP="00B80789">
            <w:pPr>
              <w:jc w:val="center"/>
              <w:rPr>
                <w:rFonts w:ascii="Arial" w:hAnsi="Arial" w:cs="Arial"/>
              </w:rPr>
            </w:pPr>
          </w:p>
        </w:tc>
        <w:tc>
          <w:tcPr>
            <w:tcW w:w="1390" w:type="dxa"/>
            <w:shd w:val="clear" w:color="auto" w:fill="auto"/>
            <w:vAlign w:val="bottom"/>
          </w:tcPr>
          <w:p w14:paraId="545761AC" w14:textId="77777777" w:rsidR="00F65307" w:rsidRPr="0045317D" w:rsidRDefault="00F65307" w:rsidP="00B80789">
            <w:pPr>
              <w:jc w:val="center"/>
              <w:rPr>
                <w:rFonts w:ascii="Arial" w:hAnsi="Arial" w:cs="Arial"/>
              </w:rPr>
            </w:pPr>
          </w:p>
        </w:tc>
        <w:tc>
          <w:tcPr>
            <w:tcW w:w="1388" w:type="dxa"/>
            <w:vAlign w:val="bottom"/>
          </w:tcPr>
          <w:p w14:paraId="374AD528" w14:textId="77777777" w:rsidR="00F65307" w:rsidRPr="0045317D" w:rsidRDefault="00F65307" w:rsidP="00B80789">
            <w:pPr>
              <w:jc w:val="center"/>
              <w:rPr>
                <w:rFonts w:ascii="Arial" w:hAnsi="Arial" w:cs="Arial"/>
              </w:rPr>
            </w:pPr>
          </w:p>
        </w:tc>
        <w:tc>
          <w:tcPr>
            <w:tcW w:w="1390" w:type="dxa"/>
            <w:vAlign w:val="bottom"/>
          </w:tcPr>
          <w:p w14:paraId="4CE038EC" w14:textId="77777777" w:rsidR="00F65307" w:rsidRPr="0045317D" w:rsidRDefault="00F65307" w:rsidP="00B80789">
            <w:pPr>
              <w:jc w:val="center"/>
              <w:rPr>
                <w:rFonts w:ascii="Arial" w:hAnsi="Arial" w:cs="Arial"/>
              </w:rPr>
            </w:pPr>
          </w:p>
        </w:tc>
        <w:tc>
          <w:tcPr>
            <w:tcW w:w="1388" w:type="dxa"/>
            <w:vAlign w:val="bottom"/>
          </w:tcPr>
          <w:p w14:paraId="50F483F5" w14:textId="77777777" w:rsidR="00F65307" w:rsidRPr="0045317D" w:rsidRDefault="00F65307" w:rsidP="00B80789">
            <w:pPr>
              <w:jc w:val="center"/>
              <w:rPr>
                <w:rFonts w:ascii="Arial" w:hAnsi="Arial" w:cs="Arial"/>
              </w:rPr>
            </w:pPr>
          </w:p>
        </w:tc>
        <w:tc>
          <w:tcPr>
            <w:tcW w:w="1390" w:type="dxa"/>
            <w:vAlign w:val="bottom"/>
          </w:tcPr>
          <w:p w14:paraId="4F77401E" w14:textId="77777777" w:rsidR="00F65307" w:rsidRPr="0045317D" w:rsidRDefault="00F65307" w:rsidP="00B80789">
            <w:pPr>
              <w:jc w:val="center"/>
              <w:rPr>
                <w:rFonts w:ascii="Arial" w:hAnsi="Arial" w:cs="Arial"/>
              </w:rPr>
            </w:pPr>
          </w:p>
        </w:tc>
        <w:tc>
          <w:tcPr>
            <w:tcW w:w="1390" w:type="dxa"/>
            <w:vAlign w:val="bottom"/>
          </w:tcPr>
          <w:p w14:paraId="2CE3B13E" w14:textId="77777777" w:rsidR="00F65307" w:rsidRPr="0045317D" w:rsidRDefault="00F65307" w:rsidP="00B80789">
            <w:pPr>
              <w:jc w:val="center"/>
              <w:rPr>
                <w:rFonts w:ascii="Arial" w:hAnsi="Arial" w:cs="Arial"/>
              </w:rPr>
            </w:pPr>
          </w:p>
        </w:tc>
        <w:tc>
          <w:tcPr>
            <w:tcW w:w="1390" w:type="dxa"/>
            <w:vAlign w:val="bottom"/>
          </w:tcPr>
          <w:p w14:paraId="3613520B" w14:textId="77777777" w:rsidR="00F65307" w:rsidRPr="0045317D" w:rsidRDefault="00F65307" w:rsidP="00B80789">
            <w:pPr>
              <w:jc w:val="center"/>
              <w:rPr>
                <w:rFonts w:ascii="Arial" w:hAnsi="Arial" w:cs="Arial"/>
              </w:rPr>
            </w:pPr>
          </w:p>
        </w:tc>
      </w:tr>
      <w:tr w:rsidR="00F65307" w:rsidRPr="00FC3309" w14:paraId="71A02C45" w14:textId="77777777" w:rsidTr="00B80789">
        <w:trPr>
          <w:trHeight w:val="317"/>
        </w:trPr>
        <w:tc>
          <w:tcPr>
            <w:tcW w:w="1388"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C345198" w14:textId="77777777" w:rsidR="00F65307" w:rsidRPr="0024487C" w:rsidRDefault="00F65307" w:rsidP="00B80789">
            <w:pPr>
              <w:jc w:val="center"/>
              <w:rPr>
                <w:rFonts w:ascii="Arial" w:hAnsi="Arial" w:cs="Arial"/>
              </w:rPr>
            </w:pPr>
            <w:r w:rsidRPr="0024487C">
              <w:rPr>
                <w:rFonts w:ascii="Arial" w:hAnsi="Arial" w:cs="Arial"/>
              </w:rPr>
              <w:t>0</w:t>
            </w:r>
          </w:p>
        </w:tc>
        <w:tc>
          <w:tcPr>
            <w:tcW w:w="1390" w:type="dxa"/>
            <w:tcBorders>
              <w:left w:val="dotDash" w:sz="4" w:space="0" w:color="auto"/>
            </w:tcBorders>
            <w:shd w:val="clear" w:color="auto" w:fill="auto"/>
            <w:noWrap/>
            <w:vAlign w:val="bottom"/>
          </w:tcPr>
          <w:p w14:paraId="7E2B25A8" w14:textId="77777777" w:rsidR="00F65307" w:rsidRPr="0045317D" w:rsidRDefault="00F65307" w:rsidP="00B80789">
            <w:pPr>
              <w:jc w:val="center"/>
              <w:rPr>
                <w:rFonts w:ascii="Arial" w:hAnsi="Arial" w:cs="Arial"/>
              </w:rPr>
            </w:pPr>
          </w:p>
        </w:tc>
        <w:tc>
          <w:tcPr>
            <w:tcW w:w="1388" w:type="dxa"/>
            <w:shd w:val="clear" w:color="auto" w:fill="auto"/>
            <w:noWrap/>
            <w:vAlign w:val="bottom"/>
          </w:tcPr>
          <w:p w14:paraId="58509E88" w14:textId="77777777" w:rsidR="00F65307" w:rsidRPr="0045317D" w:rsidRDefault="00F65307" w:rsidP="00B80789">
            <w:pPr>
              <w:jc w:val="center"/>
              <w:rPr>
                <w:rFonts w:ascii="Arial" w:hAnsi="Arial" w:cs="Arial"/>
              </w:rPr>
            </w:pPr>
          </w:p>
        </w:tc>
        <w:tc>
          <w:tcPr>
            <w:tcW w:w="1390" w:type="dxa"/>
            <w:tcBorders>
              <w:bottom w:val="single" w:sz="4" w:space="0" w:color="auto"/>
            </w:tcBorders>
            <w:shd w:val="clear" w:color="auto" w:fill="auto"/>
            <w:vAlign w:val="bottom"/>
          </w:tcPr>
          <w:p w14:paraId="27DEB507" w14:textId="77777777" w:rsidR="00F65307" w:rsidRPr="0045317D" w:rsidRDefault="00F65307" w:rsidP="00B80789">
            <w:pPr>
              <w:jc w:val="center"/>
              <w:rPr>
                <w:rFonts w:ascii="Arial" w:hAnsi="Arial" w:cs="Arial"/>
              </w:rPr>
            </w:pPr>
          </w:p>
        </w:tc>
        <w:tc>
          <w:tcPr>
            <w:tcW w:w="1388" w:type="dxa"/>
            <w:tcBorders>
              <w:bottom w:val="single" w:sz="4" w:space="0" w:color="auto"/>
            </w:tcBorders>
            <w:vAlign w:val="bottom"/>
          </w:tcPr>
          <w:p w14:paraId="25D39D6B" w14:textId="77777777" w:rsidR="00F65307" w:rsidRPr="0045317D" w:rsidRDefault="00F65307" w:rsidP="00B80789">
            <w:pPr>
              <w:jc w:val="center"/>
              <w:rPr>
                <w:rFonts w:ascii="Arial" w:hAnsi="Arial" w:cs="Arial"/>
              </w:rPr>
            </w:pPr>
          </w:p>
        </w:tc>
        <w:tc>
          <w:tcPr>
            <w:tcW w:w="1390" w:type="dxa"/>
            <w:tcBorders>
              <w:bottom w:val="single" w:sz="4" w:space="0" w:color="auto"/>
            </w:tcBorders>
            <w:vAlign w:val="bottom"/>
          </w:tcPr>
          <w:p w14:paraId="424ADD79" w14:textId="77777777" w:rsidR="00F65307" w:rsidRPr="0045317D" w:rsidRDefault="00F65307" w:rsidP="00B80789">
            <w:pPr>
              <w:jc w:val="center"/>
              <w:rPr>
                <w:rFonts w:ascii="Arial" w:hAnsi="Arial" w:cs="Arial"/>
              </w:rPr>
            </w:pPr>
          </w:p>
        </w:tc>
        <w:tc>
          <w:tcPr>
            <w:tcW w:w="1388" w:type="dxa"/>
            <w:tcBorders>
              <w:bottom w:val="single" w:sz="4" w:space="0" w:color="auto"/>
            </w:tcBorders>
            <w:vAlign w:val="bottom"/>
          </w:tcPr>
          <w:p w14:paraId="4D1F4F5C" w14:textId="77777777" w:rsidR="00F65307" w:rsidRPr="0045317D" w:rsidRDefault="00F65307" w:rsidP="00B80789">
            <w:pPr>
              <w:jc w:val="center"/>
              <w:rPr>
                <w:rFonts w:ascii="Arial" w:hAnsi="Arial" w:cs="Arial"/>
              </w:rPr>
            </w:pPr>
          </w:p>
        </w:tc>
        <w:tc>
          <w:tcPr>
            <w:tcW w:w="1390" w:type="dxa"/>
            <w:tcBorders>
              <w:bottom w:val="single" w:sz="4" w:space="0" w:color="auto"/>
            </w:tcBorders>
            <w:vAlign w:val="bottom"/>
          </w:tcPr>
          <w:p w14:paraId="4534658C" w14:textId="77777777" w:rsidR="00F65307" w:rsidRPr="0045317D" w:rsidRDefault="00F65307" w:rsidP="00B80789">
            <w:pPr>
              <w:jc w:val="center"/>
              <w:rPr>
                <w:rFonts w:ascii="Arial" w:hAnsi="Arial" w:cs="Arial"/>
              </w:rPr>
            </w:pPr>
          </w:p>
        </w:tc>
        <w:tc>
          <w:tcPr>
            <w:tcW w:w="1390" w:type="dxa"/>
            <w:tcBorders>
              <w:bottom w:val="single" w:sz="4" w:space="0" w:color="auto"/>
            </w:tcBorders>
            <w:vAlign w:val="bottom"/>
          </w:tcPr>
          <w:p w14:paraId="06287FA2" w14:textId="77777777" w:rsidR="00F65307" w:rsidRPr="0045317D" w:rsidRDefault="00F65307" w:rsidP="00B80789">
            <w:pPr>
              <w:jc w:val="center"/>
              <w:rPr>
                <w:rFonts w:ascii="Arial" w:hAnsi="Arial" w:cs="Arial"/>
              </w:rPr>
            </w:pPr>
          </w:p>
        </w:tc>
        <w:tc>
          <w:tcPr>
            <w:tcW w:w="1390" w:type="dxa"/>
            <w:tcBorders>
              <w:bottom w:val="single" w:sz="4" w:space="0" w:color="auto"/>
            </w:tcBorders>
            <w:vAlign w:val="bottom"/>
          </w:tcPr>
          <w:p w14:paraId="5AB5202C" w14:textId="77777777" w:rsidR="00F65307" w:rsidRPr="0045317D" w:rsidRDefault="00F65307" w:rsidP="00B80789">
            <w:pPr>
              <w:jc w:val="center"/>
              <w:rPr>
                <w:rFonts w:ascii="Arial" w:hAnsi="Arial" w:cs="Arial"/>
              </w:rPr>
            </w:pPr>
          </w:p>
        </w:tc>
      </w:tr>
      <w:tr w:rsidR="00F65307" w:rsidRPr="00FC3309" w14:paraId="0E57B131" w14:textId="77777777" w:rsidTr="00B80789">
        <w:trPr>
          <w:trHeight w:val="317"/>
        </w:trPr>
        <w:tc>
          <w:tcPr>
            <w:tcW w:w="4166" w:type="dxa"/>
            <w:gridSpan w:val="3"/>
            <w:tcBorders>
              <w:right w:val="single" w:sz="4" w:space="0" w:color="auto"/>
            </w:tcBorders>
            <w:shd w:val="clear" w:color="auto" w:fill="auto"/>
            <w:noWrap/>
            <w:vAlign w:val="bottom"/>
          </w:tcPr>
          <w:p w14:paraId="28CF4FAD" w14:textId="77777777" w:rsidR="00F65307" w:rsidRPr="0024487C" w:rsidRDefault="00F65307" w:rsidP="00B80789">
            <w:pPr>
              <w:pStyle w:val="ListParagraph"/>
              <w:ind w:left="0"/>
              <w:rPr>
                <w:rFonts w:ascii="Arial" w:hAnsi="Arial" w:cs="Arial"/>
                <w:bCs/>
              </w:rPr>
            </w:pPr>
            <w:r w:rsidRPr="0024487C">
              <w:rPr>
                <w:rFonts w:ascii="Arial" w:hAnsi="Arial" w:cs="Arial"/>
                <w:bCs/>
              </w:rPr>
              <w:lastRenderedPageBreak/>
              <w:t>Total</w:t>
            </w:r>
          </w:p>
        </w:tc>
        <w:tc>
          <w:tcPr>
            <w:tcW w:w="1390" w:type="dxa"/>
            <w:tcBorders>
              <w:top w:val="single" w:sz="4" w:space="0" w:color="auto"/>
              <w:left w:val="single" w:sz="4" w:space="0" w:color="auto"/>
              <w:bottom w:val="single" w:sz="4" w:space="0" w:color="auto"/>
              <w:right w:val="single" w:sz="4" w:space="0" w:color="auto"/>
            </w:tcBorders>
            <w:shd w:val="clear" w:color="auto" w:fill="A6A6A6"/>
            <w:vAlign w:val="bottom"/>
          </w:tcPr>
          <w:p w14:paraId="34305606" w14:textId="77777777" w:rsidR="00F65307" w:rsidRPr="0024487C" w:rsidRDefault="00F65307" w:rsidP="00B80789">
            <w:pPr>
              <w:jc w:val="center"/>
              <w:rPr>
                <w:rFonts w:ascii="Arial" w:hAnsi="Arial" w:cs="Arial"/>
              </w:rPr>
            </w:pPr>
          </w:p>
        </w:tc>
        <w:tc>
          <w:tcPr>
            <w:tcW w:w="1388" w:type="dxa"/>
            <w:tcBorders>
              <w:top w:val="single" w:sz="4" w:space="0" w:color="auto"/>
              <w:left w:val="single" w:sz="4" w:space="0" w:color="auto"/>
              <w:bottom w:val="single" w:sz="4" w:space="0" w:color="auto"/>
              <w:right w:val="single" w:sz="4" w:space="0" w:color="auto"/>
            </w:tcBorders>
            <w:shd w:val="clear" w:color="auto" w:fill="A6A6A6"/>
            <w:vAlign w:val="bottom"/>
          </w:tcPr>
          <w:p w14:paraId="3D60E42B" w14:textId="77777777" w:rsidR="00F65307" w:rsidRPr="0024487C" w:rsidRDefault="00F65307" w:rsidP="00B80789">
            <w:pPr>
              <w:jc w:val="cente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6A6A6"/>
            <w:vAlign w:val="bottom"/>
          </w:tcPr>
          <w:p w14:paraId="491E241B" w14:textId="77777777" w:rsidR="00F65307" w:rsidRPr="0024487C" w:rsidRDefault="00F65307" w:rsidP="00B80789">
            <w:pPr>
              <w:jc w:val="center"/>
              <w:rPr>
                <w:rFonts w:ascii="Arial" w:hAnsi="Arial" w:cs="Arial"/>
              </w:rPr>
            </w:pPr>
          </w:p>
        </w:tc>
        <w:tc>
          <w:tcPr>
            <w:tcW w:w="1388" w:type="dxa"/>
            <w:tcBorders>
              <w:top w:val="single" w:sz="4" w:space="0" w:color="auto"/>
              <w:left w:val="single" w:sz="4" w:space="0" w:color="auto"/>
              <w:bottom w:val="single" w:sz="4" w:space="0" w:color="auto"/>
              <w:right w:val="single" w:sz="4" w:space="0" w:color="auto"/>
            </w:tcBorders>
            <w:shd w:val="clear" w:color="auto" w:fill="A6A6A6"/>
            <w:vAlign w:val="bottom"/>
          </w:tcPr>
          <w:p w14:paraId="245BFB86" w14:textId="77777777" w:rsidR="00F65307" w:rsidRPr="0024487C" w:rsidRDefault="00F65307" w:rsidP="00B80789">
            <w:pPr>
              <w:jc w:val="cente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6A6A6"/>
            <w:vAlign w:val="bottom"/>
          </w:tcPr>
          <w:p w14:paraId="77CD03BE" w14:textId="77777777" w:rsidR="00F65307" w:rsidRPr="0024487C" w:rsidRDefault="00F65307" w:rsidP="00B80789">
            <w:pPr>
              <w:jc w:val="cente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6A6A6"/>
            <w:vAlign w:val="bottom"/>
          </w:tcPr>
          <w:p w14:paraId="0F15757B" w14:textId="77777777" w:rsidR="00F65307" w:rsidRPr="0024487C" w:rsidRDefault="00F65307" w:rsidP="00B80789">
            <w:pPr>
              <w:jc w:val="cente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6A6A6"/>
            <w:vAlign w:val="bottom"/>
          </w:tcPr>
          <w:p w14:paraId="4548A110" w14:textId="77777777" w:rsidR="00F65307" w:rsidRPr="0024487C" w:rsidRDefault="00F65307" w:rsidP="00B80789">
            <w:pPr>
              <w:jc w:val="center"/>
              <w:rPr>
                <w:rFonts w:ascii="Arial" w:hAnsi="Arial" w:cs="Arial"/>
              </w:rPr>
            </w:pPr>
          </w:p>
        </w:tc>
      </w:tr>
      <w:tr w:rsidR="00F65307" w:rsidRPr="00FC3309" w14:paraId="5CF2D6A3" w14:textId="77777777" w:rsidTr="00B80789">
        <w:trPr>
          <w:trHeight w:val="317"/>
        </w:trPr>
        <w:tc>
          <w:tcPr>
            <w:tcW w:w="4166" w:type="dxa"/>
            <w:gridSpan w:val="3"/>
            <w:tcBorders>
              <w:right w:val="single" w:sz="4" w:space="0" w:color="auto"/>
            </w:tcBorders>
            <w:shd w:val="clear" w:color="auto" w:fill="auto"/>
            <w:noWrap/>
            <w:vAlign w:val="bottom"/>
          </w:tcPr>
          <w:p w14:paraId="55355820" w14:textId="77777777" w:rsidR="00F65307" w:rsidRPr="0024487C" w:rsidRDefault="00F65307" w:rsidP="00B80789">
            <w:pPr>
              <w:pStyle w:val="ListParagraph"/>
              <w:ind w:left="284"/>
              <w:rPr>
                <w:rFonts w:ascii="Arial" w:hAnsi="Arial" w:cs="Arial"/>
                <w:i/>
              </w:rPr>
            </w:pPr>
            <w:r w:rsidRPr="0024487C">
              <w:rPr>
                <w:rFonts w:ascii="Arial" w:hAnsi="Arial" w:cs="Arial"/>
                <w:i/>
              </w:rPr>
              <w:t>Of which: non-APRA regulated</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7A82ADB8" w14:textId="77777777" w:rsidR="00F65307" w:rsidRPr="0024487C" w:rsidRDefault="00F65307" w:rsidP="00B80789">
            <w:pPr>
              <w:jc w:val="center"/>
              <w:rPr>
                <w:rFonts w:ascii="Arial" w:hAnsi="Arial" w:cs="Arial"/>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024F73D8" w14:textId="77777777" w:rsidR="00F65307" w:rsidRPr="0024487C" w:rsidRDefault="00F65307" w:rsidP="00B80789">
            <w:pPr>
              <w:jc w:val="cente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3D1BCCA8" w14:textId="77777777" w:rsidR="00F65307" w:rsidRPr="0024487C" w:rsidRDefault="00F65307" w:rsidP="00B80789">
            <w:pPr>
              <w:jc w:val="center"/>
              <w:rPr>
                <w:rFonts w:ascii="Arial" w:hAnsi="Arial" w:cs="Arial"/>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6E8722CC" w14:textId="77777777" w:rsidR="00F65307" w:rsidRPr="0024487C" w:rsidRDefault="00F65307" w:rsidP="00B80789">
            <w:pPr>
              <w:jc w:val="center"/>
              <w:rPr>
                <w:rFonts w:ascii="Arial" w:hAnsi="Arial" w:cs="Arial"/>
              </w:rPr>
            </w:pPr>
          </w:p>
        </w:tc>
        <w:tc>
          <w:tcPr>
            <w:tcW w:w="1390" w:type="dxa"/>
            <w:tcBorders>
              <w:top w:val="single" w:sz="4" w:space="0" w:color="auto"/>
              <w:left w:val="single" w:sz="4" w:space="0" w:color="auto"/>
            </w:tcBorders>
            <w:shd w:val="clear" w:color="auto" w:fill="auto"/>
            <w:vAlign w:val="bottom"/>
          </w:tcPr>
          <w:p w14:paraId="514ECDD1" w14:textId="77777777" w:rsidR="00F65307" w:rsidRPr="0024487C" w:rsidRDefault="00F65307" w:rsidP="00B80789">
            <w:pPr>
              <w:jc w:val="center"/>
              <w:rPr>
                <w:rFonts w:ascii="Arial" w:hAnsi="Arial" w:cs="Arial"/>
              </w:rPr>
            </w:pPr>
          </w:p>
        </w:tc>
        <w:tc>
          <w:tcPr>
            <w:tcW w:w="1390" w:type="dxa"/>
            <w:tcBorders>
              <w:left w:val="nil"/>
            </w:tcBorders>
            <w:vAlign w:val="bottom"/>
          </w:tcPr>
          <w:p w14:paraId="573A9F5E" w14:textId="77777777" w:rsidR="00F65307" w:rsidRPr="0024487C" w:rsidRDefault="00F65307" w:rsidP="00B80789">
            <w:pPr>
              <w:jc w:val="center"/>
              <w:rPr>
                <w:rFonts w:ascii="Arial" w:hAnsi="Arial" w:cs="Arial"/>
              </w:rPr>
            </w:pPr>
          </w:p>
        </w:tc>
        <w:tc>
          <w:tcPr>
            <w:tcW w:w="1390" w:type="dxa"/>
            <w:vAlign w:val="bottom"/>
          </w:tcPr>
          <w:p w14:paraId="7F00CE2F" w14:textId="77777777" w:rsidR="00F65307" w:rsidRPr="0024487C" w:rsidRDefault="00F65307" w:rsidP="00B80789">
            <w:pPr>
              <w:jc w:val="center"/>
              <w:rPr>
                <w:rFonts w:ascii="Arial" w:hAnsi="Arial" w:cs="Arial"/>
              </w:rPr>
            </w:pPr>
          </w:p>
        </w:tc>
      </w:tr>
      <w:tr w:rsidR="00F65307" w:rsidRPr="00FC3309" w14:paraId="305D760E" w14:textId="77777777" w:rsidTr="00B80789">
        <w:trPr>
          <w:trHeight w:val="317"/>
        </w:trPr>
        <w:tc>
          <w:tcPr>
            <w:tcW w:w="4166" w:type="dxa"/>
            <w:gridSpan w:val="3"/>
            <w:tcBorders>
              <w:right w:val="single" w:sz="4" w:space="0" w:color="auto"/>
            </w:tcBorders>
            <w:shd w:val="clear" w:color="auto" w:fill="auto"/>
            <w:noWrap/>
            <w:vAlign w:val="bottom"/>
          </w:tcPr>
          <w:p w14:paraId="6B2104E7" w14:textId="77777777" w:rsidR="00F65307" w:rsidRPr="0024487C" w:rsidRDefault="00F65307" w:rsidP="00B80789">
            <w:pPr>
              <w:pStyle w:val="ListParagraph"/>
              <w:ind w:left="284"/>
              <w:rPr>
                <w:rFonts w:ascii="Arial" w:hAnsi="Arial" w:cs="Arial"/>
                <w:i/>
              </w:rPr>
            </w:pPr>
            <w:r w:rsidRPr="0024487C">
              <w:rPr>
                <w:rFonts w:ascii="Arial" w:hAnsi="Arial" w:cs="Arial"/>
                <w:i/>
              </w:rPr>
              <w:t>Of which: non-standard loans</w:t>
            </w:r>
            <w:r w:rsidRPr="0024487C">
              <w:rPr>
                <w:rFonts w:ascii="Arial" w:hAnsi="Arial" w:cs="Arial"/>
                <w:i/>
              </w:rPr>
              <w:tab/>
            </w: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6CC5FC04" w14:textId="77777777" w:rsidR="00F65307" w:rsidRPr="0024487C" w:rsidRDefault="00F65307" w:rsidP="00B80789">
            <w:pPr>
              <w:jc w:val="center"/>
              <w:rPr>
                <w:rFonts w:ascii="Arial" w:hAnsi="Arial" w:cs="Arial"/>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02620717" w14:textId="77777777" w:rsidR="00F65307" w:rsidRPr="0024487C" w:rsidRDefault="00F65307" w:rsidP="00B80789">
            <w:pPr>
              <w:jc w:val="center"/>
              <w:rPr>
                <w:rFonts w:ascii="Arial" w:hAnsi="Arial" w:cs="Arial"/>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bottom"/>
          </w:tcPr>
          <w:p w14:paraId="05B6A48C" w14:textId="77777777" w:rsidR="00F65307" w:rsidRPr="0024487C" w:rsidRDefault="00F65307" w:rsidP="00B80789">
            <w:pPr>
              <w:jc w:val="center"/>
              <w:rPr>
                <w:rFonts w:ascii="Arial" w:hAnsi="Arial" w:cs="Arial"/>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14:paraId="4AD34243" w14:textId="77777777" w:rsidR="00F65307" w:rsidRPr="0024487C" w:rsidRDefault="00F65307" w:rsidP="00B80789">
            <w:pPr>
              <w:jc w:val="center"/>
              <w:rPr>
                <w:rFonts w:ascii="Arial" w:hAnsi="Arial" w:cs="Arial"/>
              </w:rPr>
            </w:pPr>
          </w:p>
        </w:tc>
        <w:tc>
          <w:tcPr>
            <w:tcW w:w="1390" w:type="dxa"/>
            <w:tcBorders>
              <w:left w:val="single" w:sz="4" w:space="0" w:color="auto"/>
            </w:tcBorders>
            <w:shd w:val="clear" w:color="auto" w:fill="auto"/>
            <w:vAlign w:val="bottom"/>
          </w:tcPr>
          <w:p w14:paraId="25A1E60A" w14:textId="77777777" w:rsidR="00F65307" w:rsidRPr="0024487C" w:rsidRDefault="00F65307" w:rsidP="00B80789">
            <w:pPr>
              <w:jc w:val="center"/>
              <w:rPr>
                <w:rFonts w:ascii="Arial" w:hAnsi="Arial" w:cs="Arial"/>
              </w:rPr>
            </w:pPr>
          </w:p>
        </w:tc>
        <w:tc>
          <w:tcPr>
            <w:tcW w:w="1390" w:type="dxa"/>
            <w:tcBorders>
              <w:left w:val="nil"/>
            </w:tcBorders>
            <w:vAlign w:val="bottom"/>
          </w:tcPr>
          <w:p w14:paraId="4F02D2CB" w14:textId="77777777" w:rsidR="00F65307" w:rsidRPr="0024487C" w:rsidRDefault="00F65307" w:rsidP="00B80789">
            <w:pPr>
              <w:jc w:val="center"/>
              <w:rPr>
                <w:rFonts w:ascii="Arial" w:hAnsi="Arial" w:cs="Arial"/>
              </w:rPr>
            </w:pPr>
          </w:p>
        </w:tc>
        <w:tc>
          <w:tcPr>
            <w:tcW w:w="1390" w:type="dxa"/>
            <w:vAlign w:val="bottom"/>
          </w:tcPr>
          <w:p w14:paraId="3A5D8253" w14:textId="77777777" w:rsidR="00F65307" w:rsidRPr="0024487C" w:rsidRDefault="00F65307" w:rsidP="00B80789">
            <w:pPr>
              <w:jc w:val="center"/>
              <w:rPr>
                <w:rFonts w:ascii="Arial" w:hAnsi="Arial" w:cs="Arial"/>
              </w:rPr>
            </w:pPr>
          </w:p>
        </w:tc>
      </w:tr>
    </w:tbl>
    <w:p w14:paraId="0C86D101" w14:textId="77777777" w:rsidR="00F65307" w:rsidRPr="00FC3309" w:rsidRDefault="00F65307" w:rsidP="00F65307">
      <w:pPr>
        <w:rPr>
          <w:rFonts w:ascii="Arial" w:hAnsi="Arial" w:cs="Arial"/>
        </w:rPr>
      </w:pPr>
    </w:p>
    <w:tbl>
      <w:tblPr>
        <w:tblW w:w="13892" w:type="dxa"/>
        <w:tblInd w:w="108" w:type="dxa"/>
        <w:tblLook w:val="04A0" w:firstRow="1" w:lastRow="0" w:firstColumn="1" w:lastColumn="0" w:noHBand="0" w:noVBand="1"/>
      </w:tblPr>
      <w:tblGrid>
        <w:gridCol w:w="13892"/>
      </w:tblGrid>
      <w:tr w:rsidR="00F65307" w:rsidRPr="00FC3309" w14:paraId="2406F9D9" w14:textId="77777777" w:rsidTr="00B80789">
        <w:tc>
          <w:tcPr>
            <w:tcW w:w="8804" w:type="dxa"/>
          </w:tcPr>
          <w:p w14:paraId="2B0CC5A4" w14:textId="1B376FBC" w:rsidR="00F65307" w:rsidRPr="00CD2107" w:rsidRDefault="001C048C" w:rsidP="00F65307">
            <w:pPr>
              <w:numPr>
                <w:ilvl w:val="1"/>
                <w:numId w:val="47"/>
              </w:numPr>
              <w:rPr>
                <w:rFonts w:ascii="Arial" w:hAnsi="Arial" w:cs="Arial"/>
                <w:b/>
                <w:bCs/>
                <w:sz w:val="24"/>
                <w:szCs w:val="24"/>
              </w:rPr>
            </w:pPr>
            <w:r>
              <w:rPr>
                <w:rFonts w:ascii="Arial" w:hAnsi="Arial" w:cs="Arial"/>
                <w:b/>
                <w:bCs/>
                <w:sz w:val="24"/>
                <w:szCs w:val="24"/>
              </w:rPr>
              <w:t xml:space="preserve"> </w:t>
            </w:r>
            <w:r w:rsidR="00F65307" w:rsidRPr="00AF4764">
              <w:rPr>
                <w:rFonts w:ascii="Arial" w:hAnsi="Arial" w:cs="Arial"/>
                <w:b/>
                <w:bCs/>
                <w:sz w:val="24"/>
                <w:szCs w:val="24"/>
              </w:rPr>
              <w:t>Standard and non-standard loans - pool cover</w:t>
            </w:r>
          </w:p>
        </w:tc>
      </w:tr>
    </w:tbl>
    <w:p w14:paraId="3AABC86F" w14:textId="77777777" w:rsidR="00F65307" w:rsidRDefault="00F65307" w:rsidP="00F65307">
      <w:pPr>
        <w:rPr>
          <w:rFonts w:ascii="Arial" w:hAnsi="Arial" w:cs="Arial"/>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F65307" w:rsidRPr="00FC3309" w14:paraId="421B5811" w14:textId="77777777" w:rsidTr="00B80789">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6B35128E" w14:textId="77777777" w:rsidR="00F65307" w:rsidRPr="00FC3309" w:rsidRDefault="00F65307" w:rsidP="00B80789">
            <w:pPr>
              <w:jc w:val="center"/>
              <w:rPr>
                <w:rFonts w:ascii="Arial" w:hAnsi="Arial" w:cs="Arial"/>
                <w:b/>
                <w:bCs/>
              </w:rPr>
            </w:pPr>
            <w:r w:rsidRPr="00AF4764">
              <w:rPr>
                <w:rFonts w:ascii="Arial" w:hAnsi="Arial" w:cs="Arial"/>
                <w:b/>
                <w:bCs/>
              </w:rPr>
              <w:t>Weighted-average LVR (%)</w:t>
            </w:r>
          </w:p>
        </w:tc>
        <w:tc>
          <w:tcPr>
            <w:tcW w:w="1985" w:type="dxa"/>
            <w:tcBorders>
              <w:top w:val="single" w:sz="4" w:space="0" w:color="auto"/>
              <w:left w:val="nil"/>
              <w:bottom w:val="nil"/>
              <w:right w:val="single" w:sz="4" w:space="0" w:color="auto"/>
            </w:tcBorders>
            <w:shd w:val="clear" w:color="auto" w:fill="auto"/>
            <w:vAlign w:val="bottom"/>
            <w:hideMark/>
          </w:tcPr>
          <w:p w14:paraId="6E15AF52" w14:textId="77777777" w:rsidR="00F65307" w:rsidRPr="00FC3309" w:rsidRDefault="00F65307" w:rsidP="00B80789">
            <w:pPr>
              <w:jc w:val="center"/>
              <w:rPr>
                <w:rFonts w:ascii="Arial" w:hAnsi="Arial" w:cs="Arial"/>
                <w:b/>
                <w:bCs/>
              </w:rPr>
            </w:pPr>
            <w:r w:rsidRPr="00AF4764">
              <w:rPr>
                <w:rFonts w:ascii="Arial" w:hAnsi="Arial" w:cs="Arial"/>
                <w:b/>
                <w:bCs/>
              </w:rPr>
              <w:t>Weighted-average age</w:t>
            </w:r>
          </w:p>
        </w:tc>
        <w:tc>
          <w:tcPr>
            <w:tcW w:w="1984" w:type="dxa"/>
            <w:tcBorders>
              <w:top w:val="single" w:sz="4" w:space="0" w:color="auto"/>
              <w:left w:val="nil"/>
              <w:bottom w:val="nil"/>
              <w:right w:val="single" w:sz="4" w:space="0" w:color="auto"/>
            </w:tcBorders>
            <w:shd w:val="clear" w:color="auto" w:fill="auto"/>
            <w:vAlign w:val="bottom"/>
            <w:hideMark/>
          </w:tcPr>
          <w:p w14:paraId="50F3BF9E" w14:textId="77777777" w:rsidR="00F65307" w:rsidRPr="00FC3309" w:rsidRDefault="00F65307" w:rsidP="00B80789">
            <w:pPr>
              <w:jc w:val="center"/>
              <w:rPr>
                <w:rFonts w:ascii="Arial" w:hAnsi="Arial" w:cs="Arial"/>
                <w:b/>
                <w:bCs/>
              </w:rPr>
            </w:pPr>
            <w:r w:rsidRPr="00AF4764">
              <w:rPr>
                <w:rFonts w:ascii="Arial" w:hAnsi="Arial" w:cs="Arial"/>
                <w:b/>
                <w:bCs/>
              </w:rPr>
              <w:t>Total inwards reinsurance</w:t>
            </w:r>
          </w:p>
        </w:tc>
        <w:tc>
          <w:tcPr>
            <w:tcW w:w="1985" w:type="dxa"/>
            <w:tcBorders>
              <w:top w:val="single" w:sz="4" w:space="0" w:color="auto"/>
              <w:left w:val="nil"/>
              <w:bottom w:val="nil"/>
              <w:right w:val="single" w:sz="4" w:space="0" w:color="000000"/>
            </w:tcBorders>
            <w:shd w:val="clear" w:color="auto" w:fill="auto"/>
            <w:vAlign w:val="bottom"/>
            <w:hideMark/>
          </w:tcPr>
          <w:p w14:paraId="320B00B8" w14:textId="77777777" w:rsidR="00F65307" w:rsidRPr="00FC3309" w:rsidRDefault="00F65307" w:rsidP="00B80789">
            <w:pPr>
              <w:jc w:val="center"/>
              <w:rPr>
                <w:rFonts w:ascii="Arial" w:hAnsi="Arial" w:cs="Arial"/>
                <w:b/>
                <w:bCs/>
              </w:rPr>
            </w:pPr>
            <w:r w:rsidRPr="00AF4764">
              <w:rPr>
                <w:rFonts w:ascii="Arial" w:hAnsi="Arial" w:cs="Arial"/>
                <w:b/>
                <w:bCs/>
              </w:rPr>
              <w:t>Of which non-APRA regulated</w:t>
            </w:r>
          </w:p>
        </w:tc>
        <w:tc>
          <w:tcPr>
            <w:tcW w:w="1984" w:type="dxa"/>
            <w:tcBorders>
              <w:top w:val="single" w:sz="4" w:space="0" w:color="auto"/>
              <w:left w:val="nil"/>
              <w:bottom w:val="nil"/>
              <w:right w:val="single" w:sz="4" w:space="0" w:color="000000"/>
            </w:tcBorders>
            <w:vAlign w:val="bottom"/>
          </w:tcPr>
          <w:p w14:paraId="6B275108" w14:textId="77777777" w:rsidR="00F65307" w:rsidRPr="00FC3309" w:rsidRDefault="00F65307" w:rsidP="00B80789">
            <w:pPr>
              <w:jc w:val="center"/>
              <w:rPr>
                <w:rFonts w:ascii="Arial" w:hAnsi="Arial" w:cs="Arial"/>
                <w:b/>
                <w:bCs/>
              </w:rPr>
            </w:pPr>
            <w:r w:rsidRPr="00AF4764">
              <w:rPr>
                <w:rFonts w:ascii="Arial" w:hAnsi="Arial" w:cs="Arial"/>
                <w:b/>
                <w:bCs/>
              </w:rPr>
              <w:t>Of which non-standard loans</w:t>
            </w:r>
          </w:p>
        </w:tc>
        <w:tc>
          <w:tcPr>
            <w:tcW w:w="1985" w:type="dxa"/>
            <w:tcBorders>
              <w:left w:val="nil"/>
              <w:bottom w:val="nil"/>
            </w:tcBorders>
            <w:vAlign w:val="bottom"/>
          </w:tcPr>
          <w:p w14:paraId="5E5C96F7" w14:textId="77777777" w:rsidR="00F65307" w:rsidRPr="00FC3309" w:rsidRDefault="00F65307" w:rsidP="00B80789">
            <w:pPr>
              <w:jc w:val="center"/>
              <w:rPr>
                <w:rFonts w:ascii="Arial" w:hAnsi="Arial" w:cs="Arial"/>
                <w:b/>
                <w:bCs/>
              </w:rPr>
            </w:pPr>
          </w:p>
        </w:tc>
        <w:tc>
          <w:tcPr>
            <w:tcW w:w="1984" w:type="dxa"/>
            <w:tcBorders>
              <w:bottom w:val="nil"/>
            </w:tcBorders>
            <w:vAlign w:val="bottom"/>
          </w:tcPr>
          <w:p w14:paraId="211873B3" w14:textId="77777777" w:rsidR="00F65307" w:rsidRPr="00FC3309" w:rsidRDefault="00F65307" w:rsidP="00B80789">
            <w:pPr>
              <w:jc w:val="center"/>
              <w:rPr>
                <w:rFonts w:ascii="Arial" w:hAnsi="Arial" w:cs="Arial"/>
                <w:b/>
                <w:bCs/>
              </w:rPr>
            </w:pPr>
          </w:p>
        </w:tc>
      </w:tr>
      <w:tr w:rsidR="00F65307" w:rsidRPr="00FC3309" w14:paraId="0D42A34A" w14:textId="77777777" w:rsidTr="00B80789">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2E0E6D4D" w14:textId="77777777" w:rsidR="00F65307" w:rsidRPr="00FC3309" w:rsidRDefault="00F65307" w:rsidP="00B80789">
            <w:pPr>
              <w:jc w:val="center"/>
              <w:rPr>
                <w:rFonts w:ascii="Arial" w:hAnsi="Arial" w:cs="Arial"/>
                <w:b/>
                <w:bCs/>
              </w:rPr>
            </w:pPr>
            <w:r w:rsidRPr="00FC3309">
              <w:rPr>
                <w:rFonts w:ascii="Arial" w:hAnsi="Arial" w:cs="Arial"/>
                <w:b/>
                <w:bCs/>
              </w:rPr>
              <w:t>(1)</w:t>
            </w:r>
          </w:p>
        </w:tc>
        <w:tc>
          <w:tcPr>
            <w:tcW w:w="1985" w:type="dxa"/>
            <w:tcBorders>
              <w:top w:val="nil"/>
              <w:left w:val="nil"/>
              <w:bottom w:val="single" w:sz="4" w:space="0" w:color="auto"/>
              <w:right w:val="single" w:sz="4" w:space="0" w:color="auto"/>
            </w:tcBorders>
            <w:shd w:val="clear" w:color="auto" w:fill="auto"/>
            <w:vAlign w:val="bottom"/>
            <w:hideMark/>
          </w:tcPr>
          <w:p w14:paraId="7A83F6BD" w14:textId="77777777" w:rsidR="00F65307" w:rsidRPr="00FC3309" w:rsidRDefault="00F65307" w:rsidP="00B80789">
            <w:pPr>
              <w:jc w:val="center"/>
              <w:rPr>
                <w:rFonts w:ascii="Arial" w:hAnsi="Arial" w:cs="Arial"/>
                <w:b/>
                <w:bCs/>
              </w:rPr>
            </w:pPr>
            <w:r w:rsidRPr="00FC3309">
              <w:rPr>
                <w:rFonts w:ascii="Arial" w:hAnsi="Arial" w:cs="Arial"/>
                <w:b/>
                <w:bCs/>
              </w:rPr>
              <w:t>(2)</w:t>
            </w:r>
          </w:p>
        </w:tc>
        <w:tc>
          <w:tcPr>
            <w:tcW w:w="1984" w:type="dxa"/>
            <w:tcBorders>
              <w:top w:val="nil"/>
              <w:left w:val="nil"/>
              <w:bottom w:val="single" w:sz="4" w:space="0" w:color="auto"/>
              <w:right w:val="single" w:sz="4" w:space="0" w:color="auto"/>
            </w:tcBorders>
            <w:shd w:val="clear" w:color="auto" w:fill="auto"/>
            <w:vAlign w:val="bottom"/>
            <w:hideMark/>
          </w:tcPr>
          <w:p w14:paraId="339DB3B6" w14:textId="77777777" w:rsidR="00F65307" w:rsidRPr="00FC3309" w:rsidRDefault="00F65307" w:rsidP="00B80789">
            <w:pPr>
              <w:jc w:val="center"/>
              <w:rPr>
                <w:rFonts w:ascii="Arial" w:hAnsi="Arial" w:cs="Arial"/>
                <w:b/>
                <w:bCs/>
              </w:rPr>
            </w:pPr>
            <w:r w:rsidRPr="00FC3309">
              <w:rPr>
                <w:rFonts w:ascii="Arial" w:hAnsi="Arial" w:cs="Arial"/>
                <w:b/>
                <w:bCs/>
              </w:rPr>
              <w:t>(3)</w:t>
            </w:r>
          </w:p>
        </w:tc>
        <w:tc>
          <w:tcPr>
            <w:tcW w:w="1985" w:type="dxa"/>
            <w:tcBorders>
              <w:top w:val="nil"/>
              <w:left w:val="nil"/>
              <w:bottom w:val="single" w:sz="4" w:space="0" w:color="auto"/>
              <w:right w:val="single" w:sz="4" w:space="0" w:color="000000"/>
            </w:tcBorders>
            <w:shd w:val="clear" w:color="auto" w:fill="auto"/>
            <w:vAlign w:val="bottom"/>
            <w:hideMark/>
          </w:tcPr>
          <w:p w14:paraId="44041B1E" w14:textId="77777777" w:rsidR="00F65307" w:rsidRPr="00FC3309" w:rsidRDefault="00F65307" w:rsidP="00B80789">
            <w:pPr>
              <w:jc w:val="center"/>
              <w:rPr>
                <w:rFonts w:ascii="Arial" w:hAnsi="Arial" w:cs="Arial"/>
                <w:b/>
                <w:bCs/>
              </w:rPr>
            </w:pPr>
            <w:r w:rsidRPr="00FC3309">
              <w:rPr>
                <w:rFonts w:ascii="Arial" w:hAnsi="Arial" w:cs="Arial"/>
                <w:b/>
                <w:bCs/>
              </w:rPr>
              <w:t>(4)</w:t>
            </w:r>
          </w:p>
        </w:tc>
        <w:tc>
          <w:tcPr>
            <w:tcW w:w="1984" w:type="dxa"/>
            <w:tcBorders>
              <w:top w:val="nil"/>
              <w:left w:val="nil"/>
              <w:bottom w:val="single" w:sz="4" w:space="0" w:color="auto"/>
              <w:right w:val="single" w:sz="4" w:space="0" w:color="000000"/>
            </w:tcBorders>
            <w:vAlign w:val="bottom"/>
          </w:tcPr>
          <w:p w14:paraId="6C912B1B" w14:textId="77777777" w:rsidR="00F65307" w:rsidRPr="00FC3309" w:rsidRDefault="00F65307" w:rsidP="00B80789">
            <w:pPr>
              <w:jc w:val="center"/>
              <w:rPr>
                <w:rFonts w:ascii="Arial" w:hAnsi="Arial" w:cs="Arial"/>
                <w:b/>
                <w:bCs/>
              </w:rPr>
            </w:pPr>
            <w:r w:rsidRPr="00FC3309">
              <w:rPr>
                <w:rFonts w:ascii="Arial" w:hAnsi="Arial" w:cs="Arial"/>
                <w:b/>
                <w:bCs/>
              </w:rPr>
              <w:t>(5)</w:t>
            </w:r>
          </w:p>
        </w:tc>
        <w:tc>
          <w:tcPr>
            <w:tcW w:w="1985" w:type="dxa"/>
            <w:tcBorders>
              <w:top w:val="nil"/>
              <w:left w:val="nil"/>
            </w:tcBorders>
            <w:vAlign w:val="bottom"/>
          </w:tcPr>
          <w:p w14:paraId="182FA984" w14:textId="77777777" w:rsidR="00F65307" w:rsidRPr="00FC3309" w:rsidRDefault="00F65307" w:rsidP="00B80789">
            <w:pPr>
              <w:jc w:val="center"/>
              <w:rPr>
                <w:rFonts w:ascii="Arial" w:hAnsi="Arial" w:cs="Arial"/>
                <w:b/>
                <w:bCs/>
              </w:rPr>
            </w:pPr>
          </w:p>
        </w:tc>
        <w:tc>
          <w:tcPr>
            <w:tcW w:w="1984" w:type="dxa"/>
            <w:tcBorders>
              <w:top w:val="nil"/>
            </w:tcBorders>
            <w:vAlign w:val="bottom"/>
          </w:tcPr>
          <w:p w14:paraId="7786E66C" w14:textId="77777777" w:rsidR="00F65307" w:rsidRPr="00FC3309" w:rsidRDefault="00F65307" w:rsidP="00B80789">
            <w:pPr>
              <w:jc w:val="center"/>
              <w:rPr>
                <w:rFonts w:ascii="Arial" w:hAnsi="Arial" w:cs="Arial"/>
                <w:b/>
                <w:bCs/>
              </w:rPr>
            </w:pPr>
          </w:p>
        </w:tc>
      </w:tr>
      <w:tr w:rsidR="00F65307" w:rsidRPr="00FC3309" w14:paraId="60447A44" w14:textId="77777777" w:rsidTr="00B80789">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F10A5" w14:textId="77777777" w:rsidR="00F65307" w:rsidRPr="00AF4764" w:rsidRDefault="00F6530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5AE5DB6" w14:textId="77777777" w:rsidR="00F65307" w:rsidRPr="00AF4764" w:rsidRDefault="00F6530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D4DEBCD" w14:textId="77777777" w:rsidR="00F65307" w:rsidRPr="00AF4764" w:rsidRDefault="00F6530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15C0BC3" w14:textId="77777777" w:rsidR="00F65307" w:rsidRPr="00AF4764" w:rsidRDefault="00F6530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vAlign w:val="bottom"/>
          </w:tcPr>
          <w:p w14:paraId="333C0E15" w14:textId="77777777" w:rsidR="00F65307" w:rsidRPr="00AF4764" w:rsidRDefault="00F65307" w:rsidP="00B80789">
            <w:pPr>
              <w:jc w:val="center"/>
              <w:rPr>
                <w:rFonts w:ascii="Arial" w:hAnsi="Arial" w:cs="Arial"/>
              </w:rPr>
            </w:pPr>
          </w:p>
        </w:tc>
        <w:tc>
          <w:tcPr>
            <w:tcW w:w="1985" w:type="dxa"/>
            <w:tcBorders>
              <w:left w:val="nil"/>
            </w:tcBorders>
            <w:vAlign w:val="bottom"/>
          </w:tcPr>
          <w:p w14:paraId="21F51818" w14:textId="77777777" w:rsidR="00F65307" w:rsidRPr="00FC3309" w:rsidRDefault="00F65307" w:rsidP="00B80789">
            <w:pPr>
              <w:jc w:val="center"/>
              <w:rPr>
                <w:rFonts w:ascii="Arial" w:hAnsi="Arial" w:cs="Arial"/>
                <w:color w:val="000000"/>
              </w:rPr>
            </w:pPr>
          </w:p>
        </w:tc>
        <w:tc>
          <w:tcPr>
            <w:tcW w:w="1984" w:type="dxa"/>
            <w:vAlign w:val="bottom"/>
          </w:tcPr>
          <w:p w14:paraId="52AA09BD" w14:textId="77777777" w:rsidR="00F65307" w:rsidRPr="00FC3309" w:rsidRDefault="00F65307" w:rsidP="00B80789">
            <w:pPr>
              <w:jc w:val="center"/>
              <w:rPr>
                <w:rFonts w:ascii="Arial" w:hAnsi="Arial" w:cs="Arial"/>
                <w:color w:val="000000"/>
              </w:rPr>
            </w:pPr>
          </w:p>
        </w:tc>
      </w:tr>
      <w:tr w:rsidR="00F65307" w:rsidRPr="00FC3309" w14:paraId="6CBE050E" w14:textId="77777777" w:rsidTr="00B80789">
        <w:trPr>
          <w:trHeight w:val="317"/>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135E0B" w14:textId="77777777" w:rsidR="00F65307" w:rsidRPr="00AD3574" w:rsidRDefault="00F65307" w:rsidP="00B80789">
            <w:pPr>
              <w:jc w:val="center"/>
              <w:rPr>
                <w:rFonts w:ascii="Arial" w:hAnsi="Arial" w:cs="Arial"/>
              </w:rPr>
            </w:pPr>
            <w:r w:rsidRPr="00AD3574">
              <w:rPr>
                <w:rFonts w:ascii="Arial" w:hAnsi="Arial" w:cs="Arial"/>
              </w:rPr>
              <w:t>Total</w:t>
            </w:r>
          </w:p>
        </w:tc>
        <w:tc>
          <w:tcPr>
            <w:tcW w:w="1984" w:type="dxa"/>
            <w:tcBorders>
              <w:top w:val="single" w:sz="4" w:space="0" w:color="auto"/>
              <w:left w:val="nil"/>
              <w:bottom w:val="single" w:sz="4" w:space="0" w:color="auto"/>
              <w:right w:val="single" w:sz="4" w:space="0" w:color="auto"/>
            </w:tcBorders>
            <w:shd w:val="clear" w:color="auto" w:fill="A6A6A6"/>
            <w:noWrap/>
            <w:vAlign w:val="bottom"/>
          </w:tcPr>
          <w:p w14:paraId="080B8F96" w14:textId="77777777" w:rsidR="00F65307" w:rsidRPr="00AD3574" w:rsidRDefault="00F6530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6A6A6"/>
            <w:vAlign w:val="bottom"/>
          </w:tcPr>
          <w:p w14:paraId="3E901AD3" w14:textId="77777777" w:rsidR="00F65307" w:rsidRPr="00AD3574" w:rsidRDefault="00F6530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vAlign w:val="bottom"/>
          </w:tcPr>
          <w:p w14:paraId="3961E65F" w14:textId="77777777" w:rsidR="00F65307" w:rsidRPr="00AD3574" w:rsidRDefault="00F65307" w:rsidP="00B80789">
            <w:pPr>
              <w:jc w:val="center"/>
              <w:rPr>
                <w:rFonts w:ascii="Arial" w:hAnsi="Arial" w:cs="Arial"/>
              </w:rPr>
            </w:pPr>
          </w:p>
        </w:tc>
        <w:tc>
          <w:tcPr>
            <w:tcW w:w="1985" w:type="dxa"/>
            <w:tcBorders>
              <w:left w:val="nil"/>
            </w:tcBorders>
            <w:vAlign w:val="bottom"/>
          </w:tcPr>
          <w:p w14:paraId="7BCF9C8E" w14:textId="77777777" w:rsidR="00F65307" w:rsidRPr="00FC3309" w:rsidRDefault="00F65307" w:rsidP="00B80789">
            <w:pPr>
              <w:jc w:val="center"/>
              <w:rPr>
                <w:rFonts w:ascii="Arial" w:hAnsi="Arial" w:cs="Arial"/>
                <w:color w:val="000000"/>
              </w:rPr>
            </w:pPr>
          </w:p>
        </w:tc>
        <w:tc>
          <w:tcPr>
            <w:tcW w:w="1984" w:type="dxa"/>
            <w:vAlign w:val="bottom"/>
          </w:tcPr>
          <w:p w14:paraId="66B5EFD1" w14:textId="77777777" w:rsidR="00F65307" w:rsidRPr="00FC3309" w:rsidRDefault="00F65307" w:rsidP="00B80789">
            <w:pPr>
              <w:jc w:val="center"/>
              <w:rPr>
                <w:rFonts w:ascii="Arial" w:hAnsi="Arial" w:cs="Arial"/>
                <w:color w:val="000000"/>
              </w:rPr>
            </w:pPr>
          </w:p>
        </w:tc>
      </w:tr>
    </w:tbl>
    <w:p w14:paraId="50D4EC03" w14:textId="77777777" w:rsidR="00F65307" w:rsidRDefault="00F65307" w:rsidP="00F65307">
      <w:pPr>
        <w:rPr>
          <w:rFonts w:ascii="Arial" w:hAnsi="Arial" w:cs="Arial"/>
        </w:rPr>
      </w:pPr>
    </w:p>
    <w:tbl>
      <w:tblPr>
        <w:tblW w:w="13892" w:type="dxa"/>
        <w:tblInd w:w="108" w:type="dxa"/>
        <w:tblLook w:val="04A0" w:firstRow="1" w:lastRow="0" w:firstColumn="1" w:lastColumn="0" w:noHBand="0" w:noVBand="1"/>
      </w:tblPr>
      <w:tblGrid>
        <w:gridCol w:w="13892"/>
      </w:tblGrid>
      <w:tr w:rsidR="00F65307" w:rsidRPr="00FC3309" w14:paraId="25886634" w14:textId="77777777" w:rsidTr="00B80789">
        <w:tc>
          <w:tcPr>
            <w:tcW w:w="8804" w:type="dxa"/>
          </w:tcPr>
          <w:p w14:paraId="136F07BC" w14:textId="38C6334C" w:rsidR="00F65307" w:rsidRPr="00CD2107" w:rsidRDefault="001C048C" w:rsidP="00F65307">
            <w:pPr>
              <w:numPr>
                <w:ilvl w:val="1"/>
                <w:numId w:val="47"/>
              </w:numPr>
              <w:rPr>
                <w:rFonts w:ascii="Arial" w:hAnsi="Arial" w:cs="Arial"/>
                <w:b/>
                <w:bCs/>
                <w:sz w:val="24"/>
                <w:szCs w:val="24"/>
              </w:rPr>
            </w:pPr>
            <w:r>
              <w:rPr>
                <w:rFonts w:ascii="Arial" w:hAnsi="Arial" w:cs="Arial"/>
                <w:b/>
                <w:bCs/>
                <w:sz w:val="24"/>
                <w:szCs w:val="24"/>
              </w:rPr>
              <w:t xml:space="preserve"> </w:t>
            </w:r>
            <w:r w:rsidR="00F65307" w:rsidRPr="00AD3574">
              <w:rPr>
                <w:rFonts w:ascii="Arial" w:hAnsi="Arial" w:cs="Arial"/>
                <w:b/>
                <w:bCs/>
                <w:sz w:val="24"/>
                <w:szCs w:val="24"/>
              </w:rPr>
              <w:t>Commercial loans</w:t>
            </w:r>
          </w:p>
        </w:tc>
      </w:tr>
    </w:tbl>
    <w:p w14:paraId="7CC5A77D" w14:textId="77777777" w:rsidR="00F65307" w:rsidRDefault="00F65307" w:rsidP="00F65307">
      <w:pPr>
        <w:rPr>
          <w:rFonts w:ascii="Arial" w:hAnsi="Arial" w:cs="Arial"/>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F65307" w:rsidRPr="00FC3309" w14:paraId="36C24E5B" w14:textId="77777777" w:rsidTr="00B80789">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45B75501" w14:textId="77777777" w:rsidR="00F65307" w:rsidRPr="00FC3309" w:rsidRDefault="00F65307" w:rsidP="00B80789">
            <w:pPr>
              <w:jc w:val="center"/>
              <w:rPr>
                <w:rFonts w:ascii="Arial" w:hAnsi="Arial" w:cs="Arial"/>
                <w:b/>
                <w:bCs/>
              </w:rPr>
            </w:pPr>
            <w:r w:rsidRPr="00AD3574">
              <w:rPr>
                <w:rFonts w:ascii="Arial" w:hAnsi="Arial" w:cs="Arial"/>
                <w:b/>
                <w:bCs/>
              </w:rPr>
              <w:t>Total inwards reinsurance</w:t>
            </w:r>
          </w:p>
        </w:tc>
        <w:tc>
          <w:tcPr>
            <w:tcW w:w="1985" w:type="dxa"/>
            <w:tcBorders>
              <w:top w:val="single" w:sz="4" w:space="0" w:color="auto"/>
              <w:left w:val="nil"/>
              <w:bottom w:val="nil"/>
              <w:right w:val="single" w:sz="4" w:space="0" w:color="auto"/>
            </w:tcBorders>
            <w:shd w:val="clear" w:color="auto" w:fill="auto"/>
            <w:vAlign w:val="bottom"/>
            <w:hideMark/>
          </w:tcPr>
          <w:p w14:paraId="2544E51A" w14:textId="77777777" w:rsidR="00F65307" w:rsidRPr="00FC3309" w:rsidRDefault="00F65307" w:rsidP="00B80789">
            <w:pPr>
              <w:jc w:val="center"/>
              <w:rPr>
                <w:rFonts w:ascii="Arial" w:hAnsi="Arial" w:cs="Arial"/>
                <w:b/>
                <w:bCs/>
              </w:rPr>
            </w:pPr>
            <w:r w:rsidRPr="00AD3574">
              <w:rPr>
                <w:rFonts w:ascii="Arial" w:hAnsi="Arial" w:cs="Arial"/>
                <w:b/>
                <w:bCs/>
              </w:rPr>
              <w:t>Of which non-APRA regulated</w:t>
            </w:r>
          </w:p>
        </w:tc>
        <w:tc>
          <w:tcPr>
            <w:tcW w:w="1984" w:type="dxa"/>
            <w:tcBorders>
              <w:left w:val="nil"/>
              <w:bottom w:val="nil"/>
            </w:tcBorders>
            <w:shd w:val="clear" w:color="auto" w:fill="auto"/>
            <w:vAlign w:val="bottom"/>
          </w:tcPr>
          <w:p w14:paraId="5F15D2D6" w14:textId="77777777" w:rsidR="00F65307" w:rsidRPr="00FC3309" w:rsidRDefault="00F65307" w:rsidP="00B80789">
            <w:pPr>
              <w:jc w:val="center"/>
              <w:rPr>
                <w:rFonts w:ascii="Arial" w:hAnsi="Arial" w:cs="Arial"/>
                <w:b/>
                <w:bCs/>
              </w:rPr>
            </w:pPr>
          </w:p>
        </w:tc>
        <w:tc>
          <w:tcPr>
            <w:tcW w:w="1985" w:type="dxa"/>
            <w:tcBorders>
              <w:bottom w:val="nil"/>
            </w:tcBorders>
            <w:shd w:val="clear" w:color="auto" w:fill="auto"/>
            <w:vAlign w:val="bottom"/>
          </w:tcPr>
          <w:p w14:paraId="63464504" w14:textId="77777777" w:rsidR="00F65307" w:rsidRPr="00FC3309" w:rsidRDefault="00F65307" w:rsidP="00B80789">
            <w:pPr>
              <w:jc w:val="center"/>
              <w:rPr>
                <w:rFonts w:ascii="Arial" w:hAnsi="Arial" w:cs="Arial"/>
                <w:b/>
                <w:bCs/>
              </w:rPr>
            </w:pPr>
          </w:p>
        </w:tc>
        <w:tc>
          <w:tcPr>
            <w:tcW w:w="1984" w:type="dxa"/>
            <w:tcBorders>
              <w:bottom w:val="nil"/>
            </w:tcBorders>
            <w:vAlign w:val="bottom"/>
          </w:tcPr>
          <w:p w14:paraId="19D28C2A" w14:textId="77777777" w:rsidR="00F65307" w:rsidRPr="00FC3309" w:rsidRDefault="00F65307" w:rsidP="00B80789">
            <w:pPr>
              <w:jc w:val="center"/>
              <w:rPr>
                <w:rFonts w:ascii="Arial" w:hAnsi="Arial" w:cs="Arial"/>
                <w:b/>
                <w:bCs/>
              </w:rPr>
            </w:pPr>
          </w:p>
        </w:tc>
        <w:tc>
          <w:tcPr>
            <w:tcW w:w="1985" w:type="dxa"/>
            <w:tcBorders>
              <w:left w:val="nil"/>
              <w:bottom w:val="nil"/>
            </w:tcBorders>
            <w:vAlign w:val="bottom"/>
          </w:tcPr>
          <w:p w14:paraId="3D57D557" w14:textId="77777777" w:rsidR="00F65307" w:rsidRPr="00FC3309" w:rsidRDefault="00F65307" w:rsidP="00B80789">
            <w:pPr>
              <w:jc w:val="center"/>
              <w:rPr>
                <w:rFonts w:ascii="Arial" w:hAnsi="Arial" w:cs="Arial"/>
                <w:b/>
                <w:bCs/>
              </w:rPr>
            </w:pPr>
          </w:p>
        </w:tc>
        <w:tc>
          <w:tcPr>
            <w:tcW w:w="1984" w:type="dxa"/>
            <w:tcBorders>
              <w:bottom w:val="nil"/>
            </w:tcBorders>
            <w:vAlign w:val="bottom"/>
          </w:tcPr>
          <w:p w14:paraId="6DA03947" w14:textId="77777777" w:rsidR="00F65307" w:rsidRPr="00FC3309" w:rsidRDefault="00F65307" w:rsidP="00B80789">
            <w:pPr>
              <w:jc w:val="center"/>
              <w:rPr>
                <w:rFonts w:ascii="Arial" w:hAnsi="Arial" w:cs="Arial"/>
                <w:b/>
                <w:bCs/>
              </w:rPr>
            </w:pPr>
          </w:p>
        </w:tc>
      </w:tr>
      <w:tr w:rsidR="00F65307" w:rsidRPr="00FC3309" w14:paraId="728B1A6D" w14:textId="77777777" w:rsidTr="00B80789">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5744D2BF" w14:textId="77777777" w:rsidR="00F65307" w:rsidRPr="00FC3309" w:rsidRDefault="00F65307" w:rsidP="00B80789">
            <w:pPr>
              <w:jc w:val="center"/>
              <w:rPr>
                <w:rFonts w:ascii="Arial" w:hAnsi="Arial" w:cs="Arial"/>
                <w:b/>
                <w:bCs/>
              </w:rPr>
            </w:pPr>
            <w:r w:rsidRPr="00FC3309">
              <w:rPr>
                <w:rFonts w:ascii="Arial" w:hAnsi="Arial" w:cs="Arial"/>
                <w:b/>
                <w:bCs/>
              </w:rPr>
              <w:t>(1)</w:t>
            </w:r>
          </w:p>
        </w:tc>
        <w:tc>
          <w:tcPr>
            <w:tcW w:w="1985" w:type="dxa"/>
            <w:tcBorders>
              <w:top w:val="nil"/>
              <w:left w:val="nil"/>
              <w:bottom w:val="single" w:sz="4" w:space="0" w:color="auto"/>
              <w:right w:val="single" w:sz="4" w:space="0" w:color="auto"/>
            </w:tcBorders>
            <w:shd w:val="clear" w:color="auto" w:fill="auto"/>
            <w:vAlign w:val="bottom"/>
            <w:hideMark/>
          </w:tcPr>
          <w:p w14:paraId="0655D37D" w14:textId="77777777" w:rsidR="00F65307" w:rsidRPr="00FC3309" w:rsidRDefault="00F65307" w:rsidP="00B80789">
            <w:pPr>
              <w:jc w:val="center"/>
              <w:rPr>
                <w:rFonts w:ascii="Arial" w:hAnsi="Arial" w:cs="Arial"/>
                <w:b/>
                <w:bCs/>
              </w:rPr>
            </w:pPr>
            <w:r w:rsidRPr="00FC3309">
              <w:rPr>
                <w:rFonts w:ascii="Arial" w:hAnsi="Arial" w:cs="Arial"/>
                <w:b/>
                <w:bCs/>
              </w:rPr>
              <w:t>(2)</w:t>
            </w:r>
          </w:p>
        </w:tc>
        <w:tc>
          <w:tcPr>
            <w:tcW w:w="1984" w:type="dxa"/>
            <w:tcBorders>
              <w:top w:val="nil"/>
              <w:left w:val="nil"/>
            </w:tcBorders>
            <w:shd w:val="clear" w:color="auto" w:fill="auto"/>
            <w:vAlign w:val="bottom"/>
          </w:tcPr>
          <w:p w14:paraId="259F1DAE" w14:textId="77777777" w:rsidR="00F65307" w:rsidRPr="00FC3309" w:rsidRDefault="00F65307" w:rsidP="00B80789">
            <w:pPr>
              <w:jc w:val="center"/>
              <w:rPr>
                <w:rFonts w:ascii="Arial" w:hAnsi="Arial" w:cs="Arial"/>
                <w:b/>
                <w:bCs/>
              </w:rPr>
            </w:pPr>
          </w:p>
        </w:tc>
        <w:tc>
          <w:tcPr>
            <w:tcW w:w="1985" w:type="dxa"/>
            <w:tcBorders>
              <w:top w:val="nil"/>
            </w:tcBorders>
            <w:shd w:val="clear" w:color="auto" w:fill="auto"/>
            <w:vAlign w:val="bottom"/>
          </w:tcPr>
          <w:p w14:paraId="644269AF" w14:textId="77777777" w:rsidR="00F65307" w:rsidRPr="00FC3309" w:rsidRDefault="00F65307" w:rsidP="00B80789">
            <w:pPr>
              <w:jc w:val="center"/>
              <w:rPr>
                <w:rFonts w:ascii="Arial" w:hAnsi="Arial" w:cs="Arial"/>
                <w:b/>
                <w:bCs/>
              </w:rPr>
            </w:pPr>
          </w:p>
        </w:tc>
        <w:tc>
          <w:tcPr>
            <w:tcW w:w="1984" w:type="dxa"/>
            <w:tcBorders>
              <w:top w:val="nil"/>
            </w:tcBorders>
            <w:vAlign w:val="bottom"/>
          </w:tcPr>
          <w:p w14:paraId="62DD57BB" w14:textId="77777777" w:rsidR="00F65307" w:rsidRPr="00FC3309" w:rsidRDefault="00F65307" w:rsidP="00B80789">
            <w:pPr>
              <w:jc w:val="center"/>
              <w:rPr>
                <w:rFonts w:ascii="Arial" w:hAnsi="Arial" w:cs="Arial"/>
                <w:b/>
                <w:bCs/>
              </w:rPr>
            </w:pPr>
          </w:p>
        </w:tc>
        <w:tc>
          <w:tcPr>
            <w:tcW w:w="1985" w:type="dxa"/>
            <w:tcBorders>
              <w:top w:val="nil"/>
              <w:left w:val="nil"/>
            </w:tcBorders>
            <w:vAlign w:val="bottom"/>
          </w:tcPr>
          <w:p w14:paraId="607B961F" w14:textId="77777777" w:rsidR="00F65307" w:rsidRPr="00FC3309" w:rsidRDefault="00F65307" w:rsidP="00B80789">
            <w:pPr>
              <w:jc w:val="center"/>
              <w:rPr>
                <w:rFonts w:ascii="Arial" w:hAnsi="Arial" w:cs="Arial"/>
                <w:b/>
                <w:bCs/>
              </w:rPr>
            </w:pPr>
          </w:p>
        </w:tc>
        <w:tc>
          <w:tcPr>
            <w:tcW w:w="1984" w:type="dxa"/>
            <w:tcBorders>
              <w:top w:val="nil"/>
            </w:tcBorders>
            <w:vAlign w:val="bottom"/>
          </w:tcPr>
          <w:p w14:paraId="003B0067" w14:textId="77777777" w:rsidR="00F65307" w:rsidRPr="00FC3309" w:rsidRDefault="00F65307" w:rsidP="00B80789">
            <w:pPr>
              <w:jc w:val="center"/>
              <w:rPr>
                <w:rFonts w:ascii="Arial" w:hAnsi="Arial" w:cs="Arial"/>
                <w:b/>
                <w:bCs/>
              </w:rPr>
            </w:pPr>
          </w:p>
        </w:tc>
      </w:tr>
      <w:tr w:rsidR="00F65307" w:rsidRPr="00FC3309" w14:paraId="43403CF8" w14:textId="77777777" w:rsidTr="00B80789">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1AB7A" w14:textId="77777777" w:rsidR="00F65307" w:rsidRPr="00AD3574" w:rsidRDefault="00F6530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29C547D" w14:textId="77777777" w:rsidR="00F65307" w:rsidRPr="00AD3574" w:rsidRDefault="00F65307" w:rsidP="00B80789">
            <w:pPr>
              <w:jc w:val="center"/>
              <w:rPr>
                <w:rFonts w:ascii="Arial" w:hAnsi="Arial" w:cs="Arial"/>
              </w:rPr>
            </w:pPr>
          </w:p>
        </w:tc>
        <w:tc>
          <w:tcPr>
            <w:tcW w:w="1984" w:type="dxa"/>
            <w:tcBorders>
              <w:left w:val="nil"/>
            </w:tcBorders>
            <w:shd w:val="clear" w:color="auto" w:fill="auto"/>
            <w:noWrap/>
            <w:vAlign w:val="bottom"/>
          </w:tcPr>
          <w:p w14:paraId="52623233" w14:textId="77777777" w:rsidR="00F65307" w:rsidRPr="00AF4764" w:rsidRDefault="00F65307" w:rsidP="00B80789">
            <w:pPr>
              <w:jc w:val="center"/>
              <w:rPr>
                <w:rFonts w:ascii="Arial" w:hAnsi="Arial" w:cs="Arial"/>
              </w:rPr>
            </w:pPr>
          </w:p>
        </w:tc>
        <w:tc>
          <w:tcPr>
            <w:tcW w:w="1985" w:type="dxa"/>
            <w:shd w:val="clear" w:color="auto" w:fill="auto"/>
            <w:vAlign w:val="bottom"/>
          </w:tcPr>
          <w:p w14:paraId="1C2CB2DC" w14:textId="77777777" w:rsidR="00F65307" w:rsidRPr="00AF4764" w:rsidRDefault="00F65307" w:rsidP="00B80789">
            <w:pPr>
              <w:jc w:val="center"/>
              <w:rPr>
                <w:rFonts w:ascii="Arial" w:hAnsi="Arial" w:cs="Arial"/>
              </w:rPr>
            </w:pPr>
          </w:p>
        </w:tc>
        <w:tc>
          <w:tcPr>
            <w:tcW w:w="1984" w:type="dxa"/>
            <w:vAlign w:val="bottom"/>
          </w:tcPr>
          <w:p w14:paraId="79D65DB6" w14:textId="77777777" w:rsidR="00F65307" w:rsidRPr="00AF4764" w:rsidRDefault="00F65307" w:rsidP="00B80789">
            <w:pPr>
              <w:jc w:val="center"/>
              <w:rPr>
                <w:rFonts w:ascii="Arial" w:hAnsi="Arial" w:cs="Arial"/>
              </w:rPr>
            </w:pPr>
          </w:p>
        </w:tc>
        <w:tc>
          <w:tcPr>
            <w:tcW w:w="1985" w:type="dxa"/>
            <w:tcBorders>
              <w:left w:val="nil"/>
            </w:tcBorders>
            <w:vAlign w:val="bottom"/>
          </w:tcPr>
          <w:p w14:paraId="2FD60D5F" w14:textId="77777777" w:rsidR="00F65307" w:rsidRPr="00FC3309" w:rsidRDefault="00F65307" w:rsidP="00B80789">
            <w:pPr>
              <w:jc w:val="center"/>
              <w:rPr>
                <w:rFonts w:ascii="Arial" w:hAnsi="Arial" w:cs="Arial"/>
                <w:color w:val="000000"/>
              </w:rPr>
            </w:pPr>
          </w:p>
        </w:tc>
        <w:tc>
          <w:tcPr>
            <w:tcW w:w="1984" w:type="dxa"/>
            <w:vAlign w:val="bottom"/>
          </w:tcPr>
          <w:p w14:paraId="41CBD1E6" w14:textId="77777777" w:rsidR="00F65307" w:rsidRPr="00FC3309" w:rsidRDefault="00F65307" w:rsidP="00B80789">
            <w:pPr>
              <w:jc w:val="center"/>
              <w:rPr>
                <w:rFonts w:ascii="Arial" w:hAnsi="Arial" w:cs="Arial"/>
                <w:color w:val="000000"/>
              </w:rPr>
            </w:pPr>
          </w:p>
        </w:tc>
      </w:tr>
    </w:tbl>
    <w:p w14:paraId="126FDCD3" w14:textId="77777777" w:rsidR="00F65307" w:rsidRDefault="00F65307" w:rsidP="00F65307">
      <w:pPr>
        <w:rPr>
          <w:rFonts w:ascii="Arial" w:hAnsi="Arial" w:cs="Arial"/>
        </w:rPr>
      </w:pPr>
    </w:p>
    <w:tbl>
      <w:tblPr>
        <w:tblW w:w="13892" w:type="dxa"/>
        <w:tblInd w:w="108" w:type="dxa"/>
        <w:tblLook w:val="04A0" w:firstRow="1" w:lastRow="0" w:firstColumn="1" w:lastColumn="0" w:noHBand="0" w:noVBand="1"/>
      </w:tblPr>
      <w:tblGrid>
        <w:gridCol w:w="13892"/>
      </w:tblGrid>
      <w:tr w:rsidR="00F65307" w:rsidRPr="00FC3309" w14:paraId="41C267B8" w14:textId="77777777" w:rsidTr="00B80789">
        <w:tc>
          <w:tcPr>
            <w:tcW w:w="8804" w:type="dxa"/>
          </w:tcPr>
          <w:p w14:paraId="68773F40" w14:textId="26AAC6B3" w:rsidR="00F65307" w:rsidRPr="00CD2107" w:rsidRDefault="001C048C" w:rsidP="00F65307">
            <w:pPr>
              <w:numPr>
                <w:ilvl w:val="1"/>
                <w:numId w:val="47"/>
              </w:numPr>
              <w:rPr>
                <w:rFonts w:ascii="Arial" w:hAnsi="Arial" w:cs="Arial"/>
                <w:b/>
                <w:bCs/>
                <w:sz w:val="24"/>
                <w:szCs w:val="24"/>
              </w:rPr>
            </w:pPr>
            <w:r>
              <w:rPr>
                <w:rFonts w:ascii="Arial" w:hAnsi="Arial" w:cs="Arial"/>
                <w:b/>
                <w:bCs/>
                <w:sz w:val="24"/>
                <w:szCs w:val="24"/>
              </w:rPr>
              <w:t xml:space="preserve"> </w:t>
            </w:r>
            <w:r w:rsidR="00F65307" w:rsidRPr="00AD3574">
              <w:rPr>
                <w:rFonts w:ascii="Arial" w:hAnsi="Arial" w:cs="Arial"/>
                <w:b/>
                <w:bCs/>
                <w:sz w:val="24"/>
                <w:szCs w:val="24"/>
              </w:rPr>
              <w:t>Total inwards reinsurance</w:t>
            </w:r>
          </w:p>
        </w:tc>
      </w:tr>
    </w:tbl>
    <w:p w14:paraId="5A11E625" w14:textId="77777777" w:rsidR="00F65307" w:rsidRDefault="00F65307" w:rsidP="00F65307">
      <w:pPr>
        <w:rPr>
          <w:rFonts w:ascii="Arial" w:hAnsi="Arial" w:cs="Arial"/>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F65307" w:rsidRPr="00FC3309" w14:paraId="438476AF" w14:textId="77777777" w:rsidTr="00B80789">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7BB6ED48" w14:textId="77777777" w:rsidR="00F65307" w:rsidRPr="00FC3309" w:rsidRDefault="00F65307" w:rsidP="00B80789">
            <w:pPr>
              <w:jc w:val="center"/>
              <w:rPr>
                <w:rFonts w:ascii="Arial" w:hAnsi="Arial" w:cs="Arial"/>
                <w:b/>
                <w:bCs/>
              </w:rPr>
            </w:pPr>
            <w:r w:rsidRPr="00AD3574">
              <w:rPr>
                <w:rFonts w:ascii="Arial" w:hAnsi="Arial" w:cs="Arial"/>
                <w:b/>
                <w:bCs/>
              </w:rPr>
              <w:t>Total inwards reinsurance</w:t>
            </w:r>
          </w:p>
        </w:tc>
        <w:tc>
          <w:tcPr>
            <w:tcW w:w="1985" w:type="dxa"/>
            <w:tcBorders>
              <w:top w:val="single" w:sz="4" w:space="0" w:color="auto"/>
              <w:left w:val="nil"/>
              <w:bottom w:val="nil"/>
              <w:right w:val="single" w:sz="4" w:space="0" w:color="auto"/>
            </w:tcBorders>
            <w:shd w:val="clear" w:color="auto" w:fill="auto"/>
            <w:vAlign w:val="bottom"/>
            <w:hideMark/>
          </w:tcPr>
          <w:p w14:paraId="33B9ED2D" w14:textId="77777777" w:rsidR="00F65307" w:rsidRPr="00FC3309" w:rsidRDefault="00F65307" w:rsidP="00B80789">
            <w:pPr>
              <w:jc w:val="center"/>
              <w:rPr>
                <w:rFonts w:ascii="Arial" w:hAnsi="Arial" w:cs="Arial"/>
                <w:b/>
                <w:bCs/>
              </w:rPr>
            </w:pPr>
            <w:r w:rsidRPr="00AD3574">
              <w:rPr>
                <w:rFonts w:ascii="Arial" w:hAnsi="Arial" w:cs="Arial"/>
                <w:b/>
                <w:bCs/>
              </w:rPr>
              <w:t>Of which non-APRA regulated</w:t>
            </w:r>
          </w:p>
        </w:tc>
        <w:tc>
          <w:tcPr>
            <w:tcW w:w="1984" w:type="dxa"/>
            <w:tcBorders>
              <w:top w:val="single" w:sz="4" w:space="0" w:color="auto"/>
              <w:left w:val="nil"/>
              <w:bottom w:val="nil"/>
              <w:right w:val="single" w:sz="4" w:space="0" w:color="auto"/>
            </w:tcBorders>
            <w:shd w:val="clear" w:color="auto" w:fill="auto"/>
            <w:vAlign w:val="bottom"/>
            <w:hideMark/>
          </w:tcPr>
          <w:p w14:paraId="7ECCA14C" w14:textId="77777777" w:rsidR="00F65307" w:rsidRPr="00FC3309" w:rsidRDefault="00F65307" w:rsidP="00B80789">
            <w:pPr>
              <w:jc w:val="center"/>
              <w:rPr>
                <w:rFonts w:ascii="Arial" w:hAnsi="Arial" w:cs="Arial"/>
                <w:b/>
                <w:bCs/>
              </w:rPr>
            </w:pPr>
            <w:r w:rsidRPr="00AD3574">
              <w:rPr>
                <w:rFonts w:ascii="Arial" w:hAnsi="Arial" w:cs="Arial"/>
                <w:b/>
                <w:bCs/>
              </w:rPr>
              <w:t>Of which non-standard loans</w:t>
            </w:r>
          </w:p>
        </w:tc>
        <w:tc>
          <w:tcPr>
            <w:tcW w:w="1985" w:type="dxa"/>
            <w:tcBorders>
              <w:left w:val="nil"/>
              <w:bottom w:val="nil"/>
            </w:tcBorders>
            <w:shd w:val="clear" w:color="auto" w:fill="auto"/>
            <w:vAlign w:val="bottom"/>
          </w:tcPr>
          <w:p w14:paraId="0B54EB88" w14:textId="77777777" w:rsidR="00F65307" w:rsidRPr="00FC3309" w:rsidRDefault="00F65307" w:rsidP="00B80789">
            <w:pPr>
              <w:jc w:val="center"/>
              <w:rPr>
                <w:rFonts w:ascii="Arial" w:hAnsi="Arial" w:cs="Arial"/>
                <w:b/>
                <w:bCs/>
              </w:rPr>
            </w:pPr>
          </w:p>
        </w:tc>
        <w:tc>
          <w:tcPr>
            <w:tcW w:w="1984" w:type="dxa"/>
            <w:tcBorders>
              <w:bottom w:val="nil"/>
            </w:tcBorders>
            <w:vAlign w:val="bottom"/>
          </w:tcPr>
          <w:p w14:paraId="53DC6AE4" w14:textId="77777777" w:rsidR="00F65307" w:rsidRPr="00FC3309" w:rsidRDefault="00F65307" w:rsidP="00B80789">
            <w:pPr>
              <w:jc w:val="center"/>
              <w:rPr>
                <w:rFonts w:ascii="Arial" w:hAnsi="Arial" w:cs="Arial"/>
                <w:b/>
                <w:bCs/>
              </w:rPr>
            </w:pPr>
          </w:p>
        </w:tc>
        <w:tc>
          <w:tcPr>
            <w:tcW w:w="1985" w:type="dxa"/>
            <w:tcBorders>
              <w:left w:val="nil"/>
              <w:bottom w:val="nil"/>
            </w:tcBorders>
            <w:vAlign w:val="bottom"/>
          </w:tcPr>
          <w:p w14:paraId="49FD864B" w14:textId="77777777" w:rsidR="00F65307" w:rsidRPr="00FC3309" w:rsidRDefault="00F65307" w:rsidP="00B80789">
            <w:pPr>
              <w:jc w:val="center"/>
              <w:rPr>
                <w:rFonts w:ascii="Arial" w:hAnsi="Arial" w:cs="Arial"/>
                <w:b/>
                <w:bCs/>
              </w:rPr>
            </w:pPr>
          </w:p>
        </w:tc>
        <w:tc>
          <w:tcPr>
            <w:tcW w:w="1984" w:type="dxa"/>
            <w:tcBorders>
              <w:bottom w:val="nil"/>
            </w:tcBorders>
            <w:vAlign w:val="bottom"/>
          </w:tcPr>
          <w:p w14:paraId="1E15C071" w14:textId="77777777" w:rsidR="00F65307" w:rsidRPr="00FC3309" w:rsidRDefault="00F65307" w:rsidP="00B80789">
            <w:pPr>
              <w:jc w:val="center"/>
              <w:rPr>
                <w:rFonts w:ascii="Arial" w:hAnsi="Arial" w:cs="Arial"/>
                <w:b/>
                <w:bCs/>
              </w:rPr>
            </w:pPr>
          </w:p>
        </w:tc>
      </w:tr>
      <w:tr w:rsidR="00F65307" w:rsidRPr="00FC3309" w14:paraId="4AFB1B04" w14:textId="77777777" w:rsidTr="00B80789">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4BC9E3ED" w14:textId="77777777" w:rsidR="00F65307" w:rsidRPr="00FC3309" w:rsidRDefault="00F65307" w:rsidP="00B80789">
            <w:pPr>
              <w:jc w:val="center"/>
              <w:rPr>
                <w:rFonts w:ascii="Arial" w:hAnsi="Arial" w:cs="Arial"/>
                <w:b/>
                <w:bCs/>
              </w:rPr>
            </w:pPr>
            <w:r w:rsidRPr="00FC3309">
              <w:rPr>
                <w:rFonts w:ascii="Arial" w:hAnsi="Arial" w:cs="Arial"/>
                <w:b/>
                <w:bCs/>
              </w:rPr>
              <w:t>(1)</w:t>
            </w:r>
          </w:p>
        </w:tc>
        <w:tc>
          <w:tcPr>
            <w:tcW w:w="1985" w:type="dxa"/>
            <w:tcBorders>
              <w:top w:val="nil"/>
              <w:left w:val="nil"/>
              <w:bottom w:val="single" w:sz="4" w:space="0" w:color="auto"/>
              <w:right w:val="single" w:sz="4" w:space="0" w:color="auto"/>
            </w:tcBorders>
            <w:shd w:val="clear" w:color="auto" w:fill="auto"/>
            <w:vAlign w:val="bottom"/>
            <w:hideMark/>
          </w:tcPr>
          <w:p w14:paraId="1B39D876" w14:textId="77777777" w:rsidR="00F65307" w:rsidRPr="00FC3309" w:rsidRDefault="00F65307" w:rsidP="00B80789">
            <w:pPr>
              <w:jc w:val="center"/>
              <w:rPr>
                <w:rFonts w:ascii="Arial" w:hAnsi="Arial" w:cs="Arial"/>
                <w:b/>
                <w:bCs/>
              </w:rPr>
            </w:pPr>
            <w:r w:rsidRPr="00FC3309">
              <w:rPr>
                <w:rFonts w:ascii="Arial" w:hAnsi="Arial" w:cs="Arial"/>
                <w:b/>
                <w:bCs/>
              </w:rPr>
              <w:t>(2)</w:t>
            </w:r>
          </w:p>
        </w:tc>
        <w:tc>
          <w:tcPr>
            <w:tcW w:w="1984" w:type="dxa"/>
            <w:tcBorders>
              <w:top w:val="nil"/>
              <w:left w:val="nil"/>
              <w:bottom w:val="single" w:sz="4" w:space="0" w:color="auto"/>
              <w:right w:val="single" w:sz="4" w:space="0" w:color="auto"/>
            </w:tcBorders>
            <w:shd w:val="clear" w:color="auto" w:fill="auto"/>
            <w:vAlign w:val="bottom"/>
            <w:hideMark/>
          </w:tcPr>
          <w:p w14:paraId="1531E6C9" w14:textId="77777777" w:rsidR="00F65307" w:rsidRPr="00FC3309" w:rsidRDefault="00F65307" w:rsidP="00B80789">
            <w:pPr>
              <w:jc w:val="center"/>
              <w:rPr>
                <w:rFonts w:ascii="Arial" w:hAnsi="Arial" w:cs="Arial"/>
                <w:b/>
                <w:bCs/>
              </w:rPr>
            </w:pPr>
            <w:r w:rsidRPr="00FC3309">
              <w:rPr>
                <w:rFonts w:ascii="Arial" w:hAnsi="Arial" w:cs="Arial"/>
                <w:b/>
                <w:bCs/>
              </w:rPr>
              <w:t>(3)</w:t>
            </w:r>
          </w:p>
        </w:tc>
        <w:tc>
          <w:tcPr>
            <w:tcW w:w="1985" w:type="dxa"/>
            <w:tcBorders>
              <w:top w:val="nil"/>
              <w:left w:val="nil"/>
            </w:tcBorders>
            <w:shd w:val="clear" w:color="auto" w:fill="auto"/>
            <w:vAlign w:val="bottom"/>
          </w:tcPr>
          <w:p w14:paraId="366F5E2C" w14:textId="77777777" w:rsidR="00F65307" w:rsidRPr="00FC3309" w:rsidRDefault="00F65307" w:rsidP="00B80789">
            <w:pPr>
              <w:jc w:val="center"/>
              <w:rPr>
                <w:rFonts w:ascii="Arial" w:hAnsi="Arial" w:cs="Arial"/>
                <w:b/>
                <w:bCs/>
              </w:rPr>
            </w:pPr>
          </w:p>
        </w:tc>
        <w:tc>
          <w:tcPr>
            <w:tcW w:w="1984" w:type="dxa"/>
            <w:tcBorders>
              <w:top w:val="nil"/>
            </w:tcBorders>
            <w:vAlign w:val="bottom"/>
          </w:tcPr>
          <w:p w14:paraId="697C9DD1" w14:textId="77777777" w:rsidR="00F65307" w:rsidRPr="00FC3309" w:rsidRDefault="00F65307" w:rsidP="00B80789">
            <w:pPr>
              <w:jc w:val="center"/>
              <w:rPr>
                <w:rFonts w:ascii="Arial" w:hAnsi="Arial" w:cs="Arial"/>
                <w:b/>
                <w:bCs/>
              </w:rPr>
            </w:pPr>
          </w:p>
        </w:tc>
        <w:tc>
          <w:tcPr>
            <w:tcW w:w="1985" w:type="dxa"/>
            <w:tcBorders>
              <w:top w:val="nil"/>
              <w:left w:val="nil"/>
            </w:tcBorders>
            <w:vAlign w:val="bottom"/>
          </w:tcPr>
          <w:p w14:paraId="6CBF40FA" w14:textId="77777777" w:rsidR="00F65307" w:rsidRPr="00FC3309" w:rsidRDefault="00F65307" w:rsidP="00B80789">
            <w:pPr>
              <w:jc w:val="center"/>
              <w:rPr>
                <w:rFonts w:ascii="Arial" w:hAnsi="Arial" w:cs="Arial"/>
                <w:b/>
                <w:bCs/>
              </w:rPr>
            </w:pPr>
          </w:p>
        </w:tc>
        <w:tc>
          <w:tcPr>
            <w:tcW w:w="1984" w:type="dxa"/>
            <w:tcBorders>
              <w:top w:val="nil"/>
            </w:tcBorders>
            <w:vAlign w:val="bottom"/>
          </w:tcPr>
          <w:p w14:paraId="002C9FCD" w14:textId="77777777" w:rsidR="00F65307" w:rsidRPr="00FC3309" w:rsidRDefault="00F65307" w:rsidP="00B80789">
            <w:pPr>
              <w:jc w:val="center"/>
              <w:rPr>
                <w:rFonts w:ascii="Arial" w:hAnsi="Arial" w:cs="Arial"/>
                <w:b/>
                <w:bCs/>
              </w:rPr>
            </w:pPr>
          </w:p>
        </w:tc>
      </w:tr>
      <w:tr w:rsidR="00F65307" w:rsidRPr="00FC3309" w14:paraId="4424AAAF" w14:textId="77777777" w:rsidTr="00C516FB">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48545B" w14:textId="77777777" w:rsidR="00F65307" w:rsidRPr="00AD3574" w:rsidRDefault="00F6530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6A6A6"/>
            <w:noWrap/>
            <w:vAlign w:val="bottom"/>
          </w:tcPr>
          <w:p w14:paraId="57D8D823" w14:textId="77777777" w:rsidR="00F65307" w:rsidRPr="00AD3574" w:rsidRDefault="00F6530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noWrap/>
            <w:vAlign w:val="bottom"/>
          </w:tcPr>
          <w:p w14:paraId="34E88F95" w14:textId="77777777" w:rsidR="00F65307" w:rsidRPr="00AD3574" w:rsidRDefault="00F65307" w:rsidP="00B80789">
            <w:pPr>
              <w:jc w:val="center"/>
              <w:rPr>
                <w:rFonts w:ascii="Arial" w:hAnsi="Arial" w:cs="Arial"/>
              </w:rPr>
            </w:pPr>
          </w:p>
        </w:tc>
        <w:tc>
          <w:tcPr>
            <w:tcW w:w="1985" w:type="dxa"/>
            <w:tcBorders>
              <w:left w:val="nil"/>
            </w:tcBorders>
            <w:shd w:val="clear" w:color="auto" w:fill="auto"/>
            <w:vAlign w:val="bottom"/>
          </w:tcPr>
          <w:p w14:paraId="58D90AF0" w14:textId="77777777" w:rsidR="00F65307" w:rsidRPr="00AF4764" w:rsidRDefault="00F65307" w:rsidP="00B80789">
            <w:pPr>
              <w:jc w:val="center"/>
              <w:rPr>
                <w:rFonts w:ascii="Arial" w:hAnsi="Arial" w:cs="Arial"/>
              </w:rPr>
            </w:pPr>
          </w:p>
        </w:tc>
        <w:tc>
          <w:tcPr>
            <w:tcW w:w="1984" w:type="dxa"/>
            <w:vAlign w:val="bottom"/>
          </w:tcPr>
          <w:p w14:paraId="198581CA" w14:textId="77777777" w:rsidR="00F65307" w:rsidRPr="00AF4764" w:rsidRDefault="00F65307" w:rsidP="00B80789">
            <w:pPr>
              <w:jc w:val="center"/>
              <w:rPr>
                <w:rFonts w:ascii="Arial" w:hAnsi="Arial" w:cs="Arial"/>
              </w:rPr>
            </w:pPr>
          </w:p>
        </w:tc>
        <w:tc>
          <w:tcPr>
            <w:tcW w:w="1985" w:type="dxa"/>
            <w:tcBorders>
              <w:left w:val="nil"/>
            </w:tcBorders>
            <w:vAlign w:val="bottom"/>
          </w:tcPr>
          <w:p w14:paraId="31D0EBBD" w14:textId="77777777" w:rsidR="00F65307" w:rsidRPr="00FC3309" w:rsidRDefault="00F65307" w:rsidP="00B80789">
            <w:pPr>
              <w:jc w:val="center"/>
              <w:rPr>
                <w:rFonts w:ascii="Arial" w:hAnsi="Arial" w:cs="Arial"/>
                <w:color w:val="000000"/>
              </w:rPr>
            </w:pPr>
          </w:p>
        </w:tc>
        <w:tc>
          <w:tcPr>
            <w:tcW w:w="1984" w:type="dxa"/>
            <w:vAlign w:val="bottom"/>
          </w:tcPr>
          <w:p w14:paraId="36F084D5" w14:textId="77777777" w:rsidR="00F65307" w:rsidRPr="00FC3309" w:rsidRDefault="00F65307" w:rsidP="00B80789">
            <w:pPr>
              <w:jc w:val="center"/>
              <w:rPr>
                <w:rFonts w:ascii="Arial" w:hAnsi="Arial" w:cs="Arial"/>
                <w:color w:val="000000"/>
              </w:rPr>
            </w:pPr>
          </w:p>
        </w:tc>
      </w:tr>
    </w:tbl>
    <w:p w14:paraId="4DB4C41B" w14:textId="77777777" w:rsidR="00F65307" w:rsidRDefault="00F65307" w:rsidP="00F65307">
      <w:pPr>
        <w:rPr>
          <w:rFonts w:ascii="Arial" w:hAnsi="Arial" w:cs="Arial"/>
        </w:rPr>
      </w:pPr>
    </w:p>
    <w:tbl>
      <w:tblPr>
        <w:tblW w:w="13892" w:type="dxa"/>
        <w:tblInd w:w="108" w:type="dxa"/>
        <w:tblLook w:val="04A0" w:firstRow="1" w:lastRow="0" w:firstColumn="1" w:lastColumn="0" w:noHBand="0" w:noVBand="1"/>
      </w:tblPr>
      <w:tblGrid>
        <w:gridCol w:w="13892"/>
      </w:tblGrid>
      <w:tr w:rsidR="00F65307" w:rsidRPr="00FC3309" w14:paraId="24EBD25C" w14:textId="77777777" w:rsidTr="00B80789">
        <w:tc>
          <w:tcPr>
            <w:tcW w:w="8804" w:type="dxa"/>
          </w:tcPr>
          <w:p w14:paraId="2AD4130E" w14:textId="77777777" w:rsidR="00F65307" w:rsidRPr="00CD2107" w:rsidRDefault="00F65307" w:rsidP="00B80789">
            <w:pPr>
              <w:rPr>
                <w:rFonts w:ascii="Arial" w:hAnsi="Arial" w:cs="Arial"/>
                <w:b/>
                <w:bCs/>
                <w:sz w:val="24"/>
                <w:szCs w:val="24"/>
              </w:rPr>
            </w:pPr>
            <w:r w:rsidRPr="00AD3574">
              <w:rPr>
                <w:rFonts w:ascii="Arial" w:hAnsi="Arial" w:cs="Arial"/>
                <w:b/>
                <w:bCs/>
                <w:sz w:val="24"/>
                <w:szCs w:val="24"/>
              </w:rPr>
              <w:t>Section 2: Large liability exposures by originator</w:t>
            </w:r>
          </w:p>
        </w:tc>
      </w:tr>
    </w:tbl>
    <w:p w14:paraId="05F1D7D6" w14:textId="77777777" w:rsidR="00F65307" w:rsidRDefault="00F65307" w:rsidP="00F65307">
      <w:pPr>
        <w:rPr>
          <w:rFonts w:ascii="Arial" w:hAnsi="Arial" w:cs="Arial"/>
        </w:rPr>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F65307" w:rsidRPr="00FC3309" w14:paraId="1E79636C" w14:textId="77777777" w:rsidTr="00B80789">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29F1DA00" w14:textId="77777777" w:rsidR="00F65307" w:rsidRPr="00FC3309" w:rsidRDefault="00F65307" w:rsidP="00B80789">
            <w:pPr>
              <w:jc w:val="center"/>
              <w:rPr>
                <w:rFonts w:ascii="Arial" w:hAnsi="Arial" w:cs="Arial"/>
                <w:b/>
                <w:bCs/>
              </w:rPr>
            </w:pPr>
            <w:r w:rsidRPr="00AD3574">
              <w:rPr>
                <w:rFonts w:ascii="Arial" w:hAnsi="Arial" w:cs="Arial"/>
                <w:b/>
                <w:bCs/>
              </w:rPr>
              <w:t>Large exposures</w:t>
            </w:r>
          </w:p>
        </w:tc>
        <w:tc>
          <w:tcPr>
            <w:tcW w:w="1985" w:type="dxa"/>
            <w:tcBorders>
              <w:top w:val="single" w:sz="4" w:space="0" w:color="auto"/>
              <w:left w:val="nil"/>
              <w:bottom w:val="nil"/>
              <w:right w:val="single" w:sz="4" w:space="0" w:color="auto"/>
            </w:tcBorders>
            <w:shd w:val="clear" w:color="auto" w:fill="auto"/>
            <w:vAlign w:val="bottom"/>
            <w:hideMark/>
          </w:tcPr>
          <w:p w14:paraId="3E4500C0" w14:textId="77777777" w:rsidR="00F65307" w:rsidRPr="00FC3309" w:rsidRDefault="00F65307" w:rsidP="00B80789">
            <w:pPr>
              <w:jc w:val="center"/>
              <w:rPr>
                <w:rFonts w:ascii="Arial" w:hAnsi="Arial" w:cs="Arial"/>
                <w:b/>
                <w:bCs/>
              </w:rPr>
            </w:pPr>
            <w:r w:rsidRPr="00AD3574">
              <w:rPr>
                <w:rFonts w:ascii="Arial" w:hAnsi="Arial" w:cs="Arial"/>
                <w:b/>
                <w:bCs/>
              </w:rPr>
              <w:t>Originator</w:t>
            </w:r>
          </w:p>
        </w:tc>
        <w:tc>
          <w:tcPr>
            <w:tcW w:w="1984" w:type="dxa"/>
            <w:tcBorders>
              <w:top w:val="single" w:sz="4" w:space="0" w:color="auto"/>
              <w:left w:val="nil"/>
              <w:bottom w:val="nil"/>
              <w:right w:val="single" w:sz="4" w:space="0" w:color="auto"/>
            </w:tcBorders>
            <w:shd w:val="clear" w:color="auto" w:fill="auto"/>
            <w:vAlign w:val="bottom"/>
            <w:hideMark/>
          </w:tcPr>
          <w:p w14:paraId="783A9BEA" w14:textId="77777777" w:rsidR="00F65307" w:rsidRPr="00FC3309" w:rsidRDefault="00F65307" w:rsidP="00B80789">
            <w:pPr>
              <w:jc w:val="center"/>
              <w:rPr>
                <w:rFonts w:ascii="Arial" w:hAnsi="Arial" w:cs="Arial"/>
                <w:b/>
                <w:bCs/>
              </w:rPr>
            </w:pPr>
            <w:r w:rsidRPr="00AD3574">
              <w:rPr>
                <w:rFonts w:ascii="Arial" w:hAnsi="Arial" w:cs="Arial"/>
                <w:b/>
                <w:bCs/>
              </w:rPr>
              <w:t>ACN / ABN</w:t>
            </w:r>
          </w:p>
        </w:tc>
        <w:tc>
          <w:tcPr>
            <w:tcW w:w="1985" w:type="dxa"/>
            <w:tcBorders>
              <w:top w:val="single" w:sz="4" w:space="0" w:color="auto"/>
              <w:left w:val="nil"/>
              <w:bottom w:val="nil"/>
              <w:right w:val="single" w:sz="4" w:space="0" w:color="000000"/>
            </w:tcBorders>
            <w:shd w:val="clear" w:color="auto" w:fill="auto"/>
            <w:vAlign w:val="bottom"/>
            <w:hideMark/>
          </w:tcPr>
          <w:p w14:paraId="7B7C5BDC" w14:textId="77777777" w:rsidR="00F65307" w:rsidRPr="00FC3309" w:rsidRDefault="00F65307" w:rsidP="00B80789">
            <w:pPr>
              <w:jc w:val="center"/>
              <w:rPr>
                <w:rFonts w:ascii="Arial" w:hAnsi="Arial" w:cs="Arial"/>
                <w:b/>
                <w:bCs/>
              </w:rPr>
            </w:pPr>
            <w:r w:rsidRPr="00AD3574">
              <w:rPr>
                <w:rFonts w:ascii="Arial" w:hAnsi="Arial" w:cs="Arial"/>
                <w:b/>
                <w:bCs/>
              </w:rPr>
              <w:t>Sum insured</w:t>
            </w:r>
          </w:p>
        </w:tc>
        <w:tc>
          <w:tcPr>
            <w:tcW w:w="1984" w:type="dxa"/>
            <w:tcBorders>
              <w:top w:val="single" w:sz="4" w:space="0" w:color="auto"/>
              <w:left w:val="nil"/>
              <w:bottom w:val="nil"/>
              <w:right w:val="single" w:sz="4" w:space="0" w:color="000000"/>
            </w:tcBorders>
            <w:vAlign w:val="bottom"/>
          </w:tcPr>
          <w:p w14:paraId="6CDD10DD" w14:textId="77777777" w:rsidR="00F65307" w:rsidRPr="00FC3309" w:rsidRDefault="00F65307" w:rsidP="00B80789">
            <w:pPr>
              <w:jc w:val="center"/>
              <w:rPr>
                <w:rFonts w:ascii="Arial" w:hAnsi="Arial" w:cs="Arial"/>
                <w:b/>
                <w:bCs/>
              </w:rPr>
            </w:pPr>
            <w:r w:rsidRPr="00AD3574">
              <w:rPr>
                <w:rFonts w:ascii="Arial" w:hAnsi="Arial" w:cs="Arial"/>
                <w:b/>
                <w:bCs/>
              </w:rPr>
              <w:t>Open policy (%)</w:t>
            </w:r>
          </w:p>
        </w:tc>
        <w:tc>
          <w:tcPr>
            <w:tcW w:w="1985" w:type="dxa"/>
            <w:tcBorders>
              <w:left w:val="nil"/>
              <w:bottom w:val="nil"/>
            </w:tcBorders>
            <w:vAlign w:val="bottom"/>
          </w:tcPr>
          <w:p w14:paraId="77DCD78E" w14:textId="77777777" w:rsidR="00F65307" w:rsidRPr="00FC3309" w:rsidRDefault="00F65307" w:rsidP="00B80789">
            <w:pPr>
              <w:jc w:val="center"/>
              <w:rPr>
                <w:rFonts w:ascii="Arial" w:hAnsi="Arial" w:cs="Arial"/>
                <w:b/>
                <w:bCs/>
              </w:rPr>
            </w:pPr>
          </w:p>
        </w:tc>
        <w:tc>
          <w:tcPr>
            <w:tcW w:w="1984" w:type="dxa"/>
            <w:tcBorders>
              <w:bottom w:val="nil"/>
            </w:tcBorders>
            <w:vAlign w:val="bottom"/>
          </w:tcPr>
          <w:p w14:paraId="6E466ABA" w14:textId="77777777" w:rsidR="00F65307" w:rsidRPr="00FC3309" w:rsidRDefault="00F65307" w:rsidP="00B80789">
            <w:pPr>
              <w:jc w:val="center"/>
              <w:rPr>
                <w:rFonts w:ascii="Arial" w:hAnsi="Arial" w:cs="Arial"/>
                <w:b/>
                <w:bCs/>
              </w:rPr>
            </w:pPr>
          </w:p>
        </w:tc>
      </w:tr>
      <w:tr w:rsidR="00F65307" w:rsidRPr="00FC3309" w14:paraId="5DC1BE6C" w14:textId="77777777" w:rsidTr="00B80789">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31E7F7D5" w14:textId="77777777" w:rsidR="00F65307" w:rsidRPr="00FC3309" w:rsidRDefault="00F65307" w:rsidP="00B80789">
            <w:pPr>
              <w:jc w:val="center"/>
              <w:rPr>
                <w:rFonts w:ascii="Arial" w:hAnsi="Arial" w:cs="Arial"/>
                <w:b/>
                <w:bCs/>
              </w:rPr>
            </w:pPr>
            <w:r w:rsidRPr="00FC3309">
              <w:rPr>
                <w:rFonts w:ascii="Arial" w:hAnsi="Arial" w:cs="Arial"/>
                <w:b/>
                <w:bCs/>
              </w:rPr>
              <w:t>(1)</w:t>
            </w:r>
          </w:p>
        </w:tc>
        <w:tc>
          <w:tcPr>
            <w:tcW w:w="1985" w:type="dxa"/>
            <w:tcBorders>
              <w:top w:val="nil"/>
              <w:left w:val="nil"/>
              <w:bottom w:val="single" w:sz="4" w:space="0" w:color="auto"/>
              <w:right w:val="single" w:sz="4" w:space="0" w:color="auto"/>
            </w:tcBorders>
            <w:shd w:val="clear" w:color="auto" w:fill="auto"/>
            <w:vAlign w:val="bottom"/>
            <w:hideMark/>
          </w:tcPr>
          <w:p w14:paraId="2B1B78CD" w14:textId="77777777" w:rsidR="00F65307" w:rsidRPr="00FC3309" w:rsidRDefault="00F65307" w:rsidP="00B80789">
            <w:pPr>
              <w:jc w:val="center"/>
              <w:rPr>
                <w:rFonts w:ascii="Arial" w:hAnsi="Arial" w:cs="Arial"/>
                <w:b/>
                <w:bCs/>
              </w:rPr>
            </w:pPr>
            <w:r w:rsidRPr="00FC3309">
              <w:rPr>
                <w:rFonts w:ascii="Arial" w:hAnsi="Arial" w:cs="Arial"/>
                <w:b/>
                <w:bCs/>
              </w:rPr>
              <w:t>(2)</w:t>
            </w:r>
          </w:p>
        </w:tc>
        <w:tc>
          <w:tcPr>
            <w:tcW w:w="1984" w:type="dxa"/>
            <w:tcBorders>
              <w:top w:val="nil"/>
              <w:left w:val="nil"/>
              <w:bottom w:val="single" w:sz="4" w:space="0" w:color="auto"/>
              <w:right w:val="single" w:sz="4" w:space="0" w:color="auto"/>
            </w:tcBorders>
            <w:shd w:val="clear" w:color="auto" w:fill="auto"/>
            <w:vAlign w:val="bottom"/>
            <w:hideMark/>
          </w:tcPr>
          <w:p w14:paraId="57F622D1" w14:textId="77777777" w:rsidR="00F65307" w:rsidRPr="00FC3309" w:rsidRDefault="00F65307" w:rsidP="00B80789">
            <w:pPr>
              <w:jc w:val="center"/>
              <w:rPr>
                <w:rFonts w:ascii="Arial" w:hAnsi="Arial" w:cs="Arial"/>
                <w:b/>
                <w:bCs/>
              </w:rPr>
            </w:pPr>
            <w:r w:rsidRPr="00FC3309">
              <w:rPr>
                <w:rFonts w:ascii="Arial" w:hAnsi="Arial" w:cs="Arial"/>
                <w:b/>
                <w:bCs/>
              </w:rPr>
              <w:t>(3)</w:t>
            </w:r>
          </w:p>
        </w:tc>
        <w:tc>
          <w:tcPr>
            <w:tcW w:w="1985" w:type="dxa"/>
            <w:tcBorders>
              <w:top w:val="nil"/>
              <w:left w:val="nil"/>
              <w:bottom w:val="single" w:sz="4" w:space="0" w:color="auto"/>
              <w:right w:val="single" w:sz="4" w:space="0" w:color="000000"/>
            </w:tcBorders>
            <w:shd w:val="clear" w:color="auto" w:fill="auto"/>
            <w:vAlign w:val="bottom"/>
            <w:hideMark/>
          </w:tcPr>
          <w:p w14:paraId="18A29DAB" w14:textId="77777777" w:rsidR="00F65307" w:rsidRPr="00FC3309" w:rsidRDefault="00F65307" w:rsidP="00B80789">
            <w:pPr>
              <w:jc w:val="center"/>
              <w:rPr>
                <w:rFonts w:ascii="Arial" w:hAnsi="Arial" w:cs="Arial"/>
                <w:b/>
                <w:bCs/>
              </w:rPr>
            </w:pPr>
            <w:r w:rsidRPr="00FC3309">
              <w:rPr>
                <w:rFonts w:ascii="Arial" w:hAnsi="Arial" w:cs="Arial"/>
                <w:b/>
                <w:bCs/>
              </w:rPr>
              <w:t>(4)</w:t>
            </w:r>
          </w:p>
        </w:tc>
        <w:tc>
          <w:tcPr>
            <w:tcW w:w="1984" w:type="dxa"/>
            <w:tcBorders>
              <w:top w:val="nil"/>
              <w:left w:val="nil"/>
              <w:bottom w:val="single" w:sz="4" w:space="0" w:color="auto"/>
              <w:right w:val="single" w:sz="4" w:space="0" w:color="000000"/>
            </w:tcBorders>
            <w:vAlign w:val="bottom"/>
          </w:tcPr>
          <w:p w14:paraId="3187789F" w14:textId="77777777" w:rsidR="00F65307" w:rsidRPr="00FC3309" w:rsidRDefault="00F65307" w:rsidP="00B80789">
            <w:pPr>
              <w:jc w:val="center"/>
              <w:rPr>
                <w:rFonts w:ascii="Arial" w:hAnsi="Arial" w:cs="Arial"/>
                <w:b/>
                <w:bCs/>
              </w:rPr>
            </w:pPr>
            <w:r w:rsidRPr="00FC3309">
              <w:rPr>
                <w:rFonts w:ascii="Arial" w:hAnsi="Arial" w:cs="Arial"/>
                <w:b/>
                <w:bCs/>
              </w:rPr>
              <w:t>(5)</w:t>
            </w:r>
          </w:p>
        </w:tc>
        <w:tc>
          <w:tcPr>
            <w:tcW w:w="1985" w:type="dxa"/>
            <w:tcBorders>
              <w:top w:val="nil"/>
              <w:left w:val="nil"/>
            </w:tcBorders>
            <w:vAlign w:val="bottom"/>
          </w:tcPr>
          <w:p w14:paraId="352B3AE3" w14:textId="77777777" w:rsidR="00F65307" w:rsidRPr="00FC3309" w:rsidRDefault="00F65307" w:rsidP="00B80789">
            <w:pPr>
              <w:jc w:val="center"/>
              <w:rPr>
                <w:rFonts w:ascii="Arial" w:hAnsi="Arial" w:cs="Arial"/>
                <w:b/>
                <w:bCs/>
              </w:rPr>
            </w:pPr>
          </w:p>
        </w:tc>
        <w:tc>
          <w:tcPr>
            <w:tcW w:w="1984" w:type="dxa"/>
            <w:tcBorders>
              <w:top w:val="nil"/>
            </w:tcBorders>
            <w:vAlign w:val="bottom"/>
          </w:tcPr>
          <w:p w14:paraId="567EE91C" w14:textId="77777777" w:rsidR="00F65307" w:rsidRPr="00F65307" w:rsidRDefault="00F65307" w:rsidP="00B80789">
            <w:pPr>
              <w:jc w:val="center"/>
              <w:rPr>
                <w:rFonts w:ascii="Arial" w:hAnsi="Arial" w:cs="Arial"/>
                <w:b/>
                <w:bCs/>
              </w:rPr>
            </w:pPr>
          </w:p>
        </w:tc>
      </w:tr>
      <w:tr w:rsidR="00F65307" w:rsidRPr="00FC3309" w14:paraId="42354D1F" w14:textId="77777777" w:rsidTr="00B80789">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31A9C" w14:textId="77777777" w:rsidR="00F65307" w:rsidRPr="00AD3574" w:rsidRDefault="00F6530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E10C9A9" w14:textId="77777777" w:rsidR="00F65307" w:rsidRPr="00AD3574" w:rsidRDefault="00F6530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5151CF4" w14:textId="77777777" w:rsidR="00F65307" w:rsidRPr="00AD3574" w:rsidRDefault="00F65307" w:rsidP="00B80789">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6049E33" w14:textId="77777777" w:rsidR="00F65307" w:rsidRPr="00AD3574" w:rsidRDefault="00F65307" w:rsidP="00B80789">
            <w:pPr>
              <w:jc w:val="center"/>
              <w:rPr>
                <w:rFonts w:ascii="Arial" w:hAnsi="Arial" w:cs="Arial"/>
              </w:rPr>
            </w:pPr>
          </w:p>
        </w:tc>
        <w:tc>
          <w:tcPr>
            <w:tcW w:w="1984" w:type="dxa"/>
            <w:tcBorders>
              <w:top w:val="single" w:sz="4" w:space="0" w:color="auto"/>
              <w:left w:val="nil"/>
              <w:bottom w:val="single" w:sz="4" w:space="0" w:color="auto"/>
              <w:right w:val="single" w:sz="4" w:space="0" w:color="auto"/>
            </w:tcBorders>
            <w:vAlign w:val="bottom"/>
          </w:tcPr>
          <w:p w14:paraId="1A35D10A" w14:textId="77777777" w:rsidR="00F65307" w:rsidRPr="00AD3574" w:rsidRDefault="00F65307" w:rsidP="00B80789">
            <w:pPr>
              <w:jc w:val="center"/>
              <w:rPr>
                <w:rFonts w:ascii="Arial" w:hAnsi="Arial" w:cs="Arial"/>
              </w:rPr>
            </w:pPr>
          </w:p>
        </w:tc>
        <w:tc>
          <w:tcPr>
            <w:tcW w:w="1985" w:type="dxa"/>
            <w:tcBorders>
              <w:left w:val="nil"/>
            </w:tcBorders>
            <w:vAlign w:val="bottom"/>
          </w:tcPr>
          <w:p w14:paraId="1DA11D30" w14:textId="77777777" w:rsidR="00F65307" w:rsidRPr="00FC3309" w:rsidRDefault="00F65307" w:rsidP="00B80789">
            <w:pPr>
              <w:jc w:val="center"/>
              <w:rPr>
                <w:rFonts w:ascii="Arial" w:hAnsi="Arial" w:cs="Arial"/>
                <w:color w:val="000000"/>
              </w:rPr>
            </w:pPr>
          </w:p>
        </w:tc>
        <w:tc>
          <w:tcPr>
            <w:tcW w:w="1984" w:type="dxa"/>
            <w:vAlign w:val="bottom"/>
          </w:tcPr>
          <w:p w14:paraId="48E988E3" w14:textId="77777777" w:rsidR="00F65307" w:rsidRPr="00FC3309" w:rsidRDefault="00F65307" w:rsidP="00B80789">
            <w:pPr>
              <w:jc w:val="center"/>
              <w:rPr>
                <w:rFonts w:ascii="Arial" w:hAnsi="Arial" w:cs="Arial"/>
                <w:color w:val="000000"/>
              </w:rPr>
            </w:pPr>
          </w:p>
        </w:tc>
      </w:tr>
      <w:tr w:rsidR="00F65307" w:rsidRPr="00FC3309" w14:paraId="11017B16" w14:textId="77777777" w:rsidTr="00B80789">
        <w:trPr>
          <w:trHeight w:val="317"/>
        </w:trPr>
        <w:tc>
          <w:tcPr>
            <w:tcW w:w="198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1DC843E" w14:textId="77777777" w:rsidR="00F65307" w:rsidRPr="00AD3574" w:rsidRDefault="00F65307" w:rsidP="00B80789">
            <w:pPr>
              <w:jc w:val="center"/>
              <w:rPr>
                <w:rFonts w:ascii="Arial" w:hAnsi="Arial" w:cs="Arial"/>
              </w:rPr>
            </w:pPr>
            <w:r w:rsidRPr="00AD3574">
              <w:rPr>
                <w:rFonts w:ascii="Arial" w:hAnsi="Arial" w:cs="Arial"/>
              </w:rPr>
              <w:t>1</w:t>
            </w:r>
          </w:p>
        </w:tc>
        <w:tc>
          <w:tcPr>
            <w:tcW w:w="1985" w:type="dxa"/>
            <w:tcBorders>
              <w:top w:val="single" w:sz="4" w:space="0" w:color="auto"/>
              <w:left w:val="dotDash" w:sz="4" w:space="0" w:color="auto"/>
            </w:tcBorders>
            <w:shd w:val="clear" w:color="auto" w:fill="auto"/>
            <w:noWrap/>
            <w:vAlign w:val="bottom"/>
          </w:tcPr>
          <w:p w14:paraId="53C9FA2A" w14:textId="77777777" w:rsidR="00F65307" w:rsidRPr="00AD3574" w:rsidRDefault="00F65307" w:rsidP="00B80789">
            <w:pPr>
              <w:jc w:val="center"/>
              <w:rPr>
                <w:rFonts w:ascii="Arial" w:hAnsi="Arial" w:cs="Arial"/>
              </w:rPr>
            </w:pPr>
          </w:p>
        </w:tc>
        <w:tc>
          <w:tcPr>
            <w:tcW w:w="1984" w:type="dxa"/>
            <w:tcBorders>
              <w:top w:val="single" w:sz="4" w:space="0" w:color="auto"/>
            </w:tcBorders>
            <w:shd w:val="clear" w:color="auto" w:fill="auto"/>
            <w:noWrap/>
            <w:vAlign w:val="bottom"/>
          </w:tcPr>
          <w:p w14:paraId="068F0D94" w14:textId="77777777" w:rsidR="00F65307" w:rsidRPr="00AD3574" w:rsidRDefault="00F65307" w:rsidP="00B80789">
            <w:pPr>
              <w:jc w:val="center"/>
              <w:rPr>
                <w:rFonts w:ascii="Arial" w:hAnsi="Arial" w:cs="Arial"/>
              </w:rPr>
            </w:pPr>
          </w:p>
        </w:tc>
        <w:tc>
          <w:tcPr>
            <w:tcW w:w="1985" w:type="dxa"/>
            <w:tcBorders>
              <w:top w:val="single" w:sz="4" w:space="0" w:color="auto"/>
            </w:tcBorders>
            <w:shd w:val="clear" w:color="auto" w:fill="auto"/>
            <w:vAlign w:val="bottom"/>
          </w:tcPr>
          <w:p w14:paraId="3908A4F5" w14:textId="77777777" w:rsidR="00F65307" w:rsidRPr="00AD3574" w:rsidRDefault="00F65307" w:rsidP="00B80789">
            <w:pPr>
              <w:jc w:val="center"/>
              <w:rPr>
                <w:rFonts w:ascii="Arial" w:hAnsi="Arial" w:cs="Arial"/>
              </w:rPr>
            </w:pPr>
          </w:p>
        </w:tc>
        <w:tc>
          <w:tcPr>
            <w:tcW w:w="1984" w:type="dxa"/>
            <w:tcBorders>
              <w:top w:val="single" w:sz="4" w:space="0" w:color="auto"/>
            </w:tcBorders>
            <w:vAlign w:val="bottom"/>
          </w:tcPr>
          <w:p w14:paraId="1BAD1BB4" w14:textId="77777777" w:rsidR="00F65307" w:rsidRPr="00AD3574" w:rsidRDefault="00F65307" w:rsidP="00B80789">
            <w:pPr>
              <w:jc w:val="center"/>
              <w:rPr>
                <w:rFonts w:ascii="Arial" w:hAnsi="Arial" w:cs="Arial"/>
              </w:rPr>
            </w:pPr>
          </w:p>
        </w:tc>
        <w:tc>
          <w:tcPr>
            <w:tcW w:w="1985" w:type="dxa"/>
            <w:tcBorders>
              <w:left w:val="nil"/>
            </w:tcBorders>
            <w:vAlign w:val="bottom"/>
          </w:tcPr>
          <w:p w14:paraId="5B0C93EB" w14:textId="77777777" w:rsidR="00F65307" w:rsidRPr="00FC3309" w:rsidRDefault="00F65307" w:rsidP="00B80789">
            <w:pPr>
              <w:jc w:val="center"/>
              <w:rPr>
                <w:rFonts w:ascii="Arial" w:hAnsi="Arial" w:cs="Arial"/>
                <w:color w:val="000000"/>
              </w:rPr>
            </w:pPr>
          </w:p>
        </w:tc>
        <w:tc>
          <w:tcPr>
            <w:tcW w:w="1984" w:type="dxa"/>
            <w:vAlign w:val="bottom"/>
          </w:tcPr>
          <w:p w14:paraId="0C937BCF" w14:textId="77777777" w:rsidR="00F65307" w:rsidRPr="00FC3309" w:rsidRDefault="00F65307" w:rsidP="00B80789">
            <w:pPr>
              <w:jc w:val="center"/>
              <w:rPr>
                <w:rFonts w:ascii="Arial" w:hAnsi="Arial" w:cs="Arial"/>
                <w:color w:val="000000"/>
              </w:rPr>
            </w:pPr>
          </w:p>
        </w:tc>
      </w:tr>
      <w:tr w:rsidR="00F65307" w:rsidRPr="00FC3309" w14:paraId="3B146973" w14:textId="77777777" w:rsidTr="00B80789">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0DBA807" w14:textId="77777777" w:rsidR="00F65307" w:rsidRPr="00AD3574" w:rsidRDefault="00F65307" w:rsidP="00B80789">
            <w:pPr>
              <w:jc w:val="center"/>
              <w:rPr>
                <w:rFonts w:ascii="Arial" w:hAnsi="Arial" w:cs="Arial"/>
              </w:rPr>
            </w:pPr>
            <w:r w:rsidRPr="00AD3574">
              <w:rPr>
                <w:rFonts w:ascii="Arial" w:hAnsi="Arial" w:cs="Arial"/>
              </w:rPr>
              <w:t>2</w:t>
            </w:r>
          </w:p>
        </w:tc>
        <w:tc>
          <w:tcPr>
            <w:tcW w:w="1985" w:type="dxa"/>
            <w:tcBorders>
              <w:left w:val="dotDash" w:sz="4" w:space="0" w:color="auto"/>
            </w:tcBorders>
            <w:shd w:val="clear" w:color="auto" w:fill="auto"/>
            <w:noWrap/>
            <w:vAlign w:val="bottom"/>
          </w:tcPr>
          <w:p w14:paraId="05C9CE64" w14:textId="77777777" w:rsidR="00F65307" w:rsidRPr="00AD3574" w:rsidRDefault="00F65307" w:rsidP="00B80789">
            <w:pPr>
              <w:jc w:val="center"/>
              <w:rPr>
                <w:rFonts w:ascii="Arial" w:hAnsi="Arial" w:cs="Arial"/>
              </w:rPr>
            </w:pPr>
          </w:p>
        </w:tc>
        <w:tc>
          <w:tcPr>
            <w:tcW w:w="1984" w:type="dxa"/>
            <w:shd w:val="clear" w:color="auto" w:fill="auto"/>
            <w:noWrap/>
            <w:vAlign w:val="bottom"/>
          </w:tcPr>
          <w:p w14:paraId="29FF8E80" w14:textId="77777777" w:rsidR="00F65307" w:rsidRPr="00AD3574" w:rsidRDefault="00F65307" w:rsidP="00B80789">
            <w:pPr>
              <w:jc w:val="center"/>
              <w:rPr>
                <w:rFonts w:ascii="Arial" w:hAnsi="Arial" w:cs="Arial"/>
              </w:rPr>
            </w:pPr>
          </w:p>
        </w:tc>
        <w:tc>
          <w:tcPr>
            <w:tcW w:w="1985" w:type="dxa"/>
            <w:shd w:val="clear" w:color="auto" w:fill="auto"/>
            <w:vAlign w:val="bottom"/>
          </w:tcPr>
          <w:p w14:paraId="4C0A7E01" w14:textId="77777777" w:rsidR="00F65307" w:rsidRPr="00AD3574" w:rsidRDefault="00F65307" w:rsidP="00B80789">
            <w:pPr>
              <w:jc w:val="center"/>
              <w:rPr>
                <w:rFonts w:ascii="Arial" w:hAnsi="Arial" w:cs="Arial"/>
              </w:rPr>
            </w:pPr>
          </w:p>
        </w:tc>
        <w:tc>
          <w:tcPr>
            <w:tcW w:w="1984" w:type="dxa"/>
            <w:vAlign w:val="bottom"/>
          </w:tcPr>
          <w:p w14:paraId="4990BB13" w14:textId="77777777" w:rsidR="00F65307" w:rsidRPr="00AD3574" w:rsidRDefault="00F65307" w:rsidP="00B80789">
            <w:pPr>
              <w:jc w:val="center"/>
              <w:rPr>
                <w:rFonts w:ascii="Arial" w:hAnsi="Arial" w:cs="Arial"/>
              </w:rPr>
            </w:pPr>
          </w:p>
        </w:tc>
        <w:tc>
          <w:tcPr>
            <w:tcW w:w="1985" w:type="dxa"/>
            <w:tcBorders>
              <w:left w:val="nil"/>
            </w:tcBorders>
            <w:vAlign w:val="bottom"/>
          </w:tcPr>
          <w:p w14:paraId="5065ADCE" w14:textId="77777777" w:rsidR="00F65307" w:rsidRPr="00FC3309" w:rsidRDefault="00F65307" w:rsidP="00B80789">
            <w:pPr>
              <w:jc w:val="center"/>
              <w:rPr>
                <w:rFonts w:ascii="Arial" w:hAnsi="Arial" w:cs="Arial"/>
                <w:color w:val="000000"/>
              </w:rPr>
            </w:pPr>
          </w:p>
        </w:tc>
        <w:tc>
          <w:tcPr>
            <w:tcW w:w="1984" w:type="dxa"/>
            <w:vAlign w:val="bottom"/>
          </w:tcPr>
          <w:p w14:paraId="67C992DF" w14:textId="77777777" w:rsidR="00F65307" w:rsidRPr="00FC3309" w:rsidRDefault="00F65307" w:rsidP="00B80789">
            <w:pPr>
              <w:jc w:val="center"/>
              <w:rPr>
                <w:rFonts w:ascii="Arial" w:hAnsi="Arial" w:cs="Arial"/>
                <w:color w:val="000000"/>
              </w:rPr>
            </w:pPr>
          </w:p>
        </w:tc>
      </w:tr>
      <w:tr w:rsidR="00F65307" w:rsidRPr="00FC3309" w14:paraId="3F3B5FA5" w14:textId="77777777" w:rsidTr="00B80789">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91E44F6" w14:textId="77777777" w:rsidR="00F65307" w:rsidRPr="00AD3574" w:rsidRDefault="00F65307" w:rsidP="00B80789">
            <w:pPr>
              <w:jc w:val="center"/>
              <w:rPr>
                <w:rFonts w:ascii="Arial" w:hAnsi="Arial" w:cs="Arial"/>
              </w:rPr>
            </w:pPr>
            <w:r w:rsidRPr="00AD3574">
              <w:rPr>
                <w:rFonts w:ascii="Arial" w:hAnsi="Arial" w:cs="Arial"/>
              </w:rPr>
              <w:t>3</w:t>
            </w:r>
          </w:p>
        </w:tc>
        <w:tc>
          <w:tcPr>
            <w:tcW w:w="1985" w:type="dxa"/>
            <w:tcBorders>
              <w:left w:val="dotDash" w:sz="4" w:space="0" w:color="auto"/>
            </w:tcBorders>
            <w:shd w:val="clear" w:color="auto" w:fill="auto"/>
            <w:noWrap/>
            <w:vAlign w:val="bottom"/>
          </w:tcPr>
          <w:p w14:paraId="39483F39" w14:textId="77777777" w:rsidR="00F65307" w:rsidRPr="00AD3574" w:rsidRDefault="00F65307" w:rsidP="00B80789">
            <w:pPr>
              <w:jc w:val="center"/>
              <w:rPr>
                <w:rFonts w:ascii="Arial" w:hAnsi="Arial" w:cs="Arial"/>
              </w:rPr>
            </w:pPr>
          </w:p>
        </w:tc>
        <w:tc>
          <w:tcPr>
            <w:tcW w:w="1984" w:type="dxa"/>
            <w:shd w:val="clear" w:color="auto" w:fill="auto"/>
            <w:noWrap/>
            <w:vAlign w:val="bottom"/>
          </w:tcPr>
          <w:p w14:paraId="23AE4DD8" w14:textId="77777777" w:rsidR="00F65307" w:rsidRPr="00AD3574" w:rsidRDefault="00F65307" w:rsidP="00B80789">
            <w:pPr>
              <w:jc w:val="center"/>
              <w:rPr>
                <w:rFonts w:ascii="Arial" w:hAnsi="Arial" w:cs="Arial"/>
              </w:rPr>
            </w:pPr>
          </w:p>
        </w:tc>
        <w:tc>
          <w:tcPr>
            <w:tcW w:w="1985" w:type="dxa"/>
            <w:shd w:val="clear" w:color="auto" w:fill="auto"/>
            <w:vAlign w:val="bottom"/>
          </w:tcPr>
          <w:p w14:paraId="70ED0CAA" w14:textId="77777777" w:rsidR="00F65307" w:rsidRPr="00AD3574" w:rsidRDefault="00F65307" w:rsidP="00B80789">
            <w:pPr>
              <w:jc w:val="center"/>
              <w:rPr>
                <w:rFonts w:ascii="Arial" w:hAnsi="Arial" w:cs="Arial"/>
              </w:rPr>
            </w:pPr>
          </w:p>
        </w:tc>
        <w:tc>
          <w:tcPr>
            <w:tcW w:w="1984" w:type="dxa"/>
            <w:vAlign w:val="bottom"/>
          </w:tcPr>
          <w:p w14:paraId="510BD49C" w14:textId="77777777" w:rsidR="00F65307" w:rsidRPr="00AD3574" w:rsidRDefault="00F65307" w:rsidP="00B80789">
            <w:pPr>
              <w:jc w:val="center"/>
              <w:rPr>
                <w:rFonts w:ascii="Arial" w:hAnsi="Arial" w:cs="Arial"/>
              </w:rPr>
            </w:pPr>
          </w:p>
        </w:tc>
        <w:tc>
          <w:tcPr>
            <w:tcW w:w="1985" w:type="dxa"/>
            <w:tcBorders>
              <w:left w:val="nil"/>
            </w:tcBorders>
            <w:vAlign w:val="bottom"/>
          </w:tcPr>
          <w:p w14:paraId="4DE85271" w14:textId="77777777" w:rsidR="00F65307" w:rsidRPr="00FC3309" w:rsidRDefault="00F65307" w:rsidP="00B80789">
            <w:pPr>
              <w:jc w:val="center"/>
              <w:rPr>
                <w:rFonts w:ascii="Arial" w:hAnsi="Arial" w:cs="Arial"/>
                <w:color w:val="000000"/>
              </w:rPr>
            </w:pPr>
          </w:p>
        </w:tc>
        <w:tc>
          <w:tcPr>
            <w:tcW w:w="1984" w:type="dxa"/>
            <w:vAlign w:val="bottom"/>
          </w:tcPr>
          <w:p w14:paraId="64AF96DC" w14:textId="77777777" w:rsidR="00F65307" w:rsidRPr="00FC3309" w:rsidRDefault="00F65307" w:rsidP="00B80789">
            <w:pPr>
              <w:jc w:val="center"/>
              <w:rPr>
                <w:rFonts w:ascii="Arial" w:hAnsi="Arial" w:cs="Arial"/>
                <w:color w:val="000000"/>
              </w:rPr>
            </w:pPr>
          </w:p>
        </w:tc>
      </w:tr>
      <w:tr w:rsidR="00F65307" w:rsidRPr="00FC3309" w14:paraId="425DC333" w14:textId="77777777" w:rsidTr="00B80789">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D12218" w14:textId="77777777" w:rsidR="00F65307" w:rsidRPr="00AD3574" w:rsidRDefault="00F65307" w:rsidP="00B80789">
            <w:pPr>
              <w:jc w:val="center"/>
              <w:rPr>
                <w:rFonts w:ascii="Arial" w:hAnsi="Arial" w:cs="Arial"/>
              </w:rPr>
            </w:pPr>
            <w:r w:rsidRPr="00AD3574">
              <w:rPr>
                <w:rFonts w:ascii="Arial" w:hAnsi="Arial" w:cs="Arial"/>
              </w:rPr>
              <w:t>4</w:t>
            </w:r>
          </w:p>
        </w:tc>
        <w:tc>
          <w:tcPr>
            <w:tcW w:w="1985" w:type="dxa"/>
            <w:tcBorders>
              <w:left w:val="dotDash" w:sz="4" w:space="0" w:color="auto"/>
            </w:tcBorders>
            <w:shd w:val="clear" w:color="auto" w:fill="auto"/>
            <w:noWrap/>
            <w:vAlign w:val="bottom"/>
          </w:tcPr>
          <w:p w14:paraId="6915D4CC" w14:textId="77777777" w:rsidR="00F65307" w:rsidRPr="00AD3574" w:rsidRDefault="00F65307" w:rsidP="00B80789">
            <w:pPr>
              <w:jc w:val="center"/>
              <w:rPr>
                <w:rFonts w:ascii="Arial" w:hAnsi="Arial" w:cs="Arial"/>
              </w:rPr>
            </w:pPr>
          </w:p>
        </w:tc>
        <w:tc>
          <w:tcPr>
            <w:tcW w:w="1984" w:type="dxa"/>
            <w:shd w:val="clear" w:color="auto" w:fill="auto"/>
            <w:noWrap/>
            <w:vAlign w:val="bottom"/>
          </w:tcPr>
          <w:p w14:paraId="05918D66" w14:textId="77777777" w:rsidR="00F65307" w:rsidRPr="00AD3574" w:rsidRDefault="00F65307" w:rsidP="00B80789">
            <w:pPr>
              <w:jc w:val="center"/>
              <w:rPr>
                <w:rFonts w:ascii="Arial" w:hAnsi="Arial" w:cs="Arial"/>
              </w:rPr>
            </w:pPr>
          </w:p>
        </w:tc>
        <w:tc>
          <w:tcPr>
            <w:tcW w:w="1985" w:type="dxa"/>
            <w:shd w:val="clear" w:color="auto" w:fill="auto"/>
            <w:vAlign w:val="bottom"/>
          </w:tcPr>
          <w:p w14:paraId="3BEA3C20" w14:textId="77777777" w:rsidR="00F65307" w:rsidRPr="00AD3574" w:rsidRDefault="00F65307" w:rsidP="00B80789">
            <w:pPr>
              <w:jc w:val="center"/>
              <w:rPr>
                <w:rFonts w:ascii="Arial" w:hAnsi="Arial" w:cs="Arial"/>
              </w:rPr>
            </w:pPr>
          </w:p>
        </w:tc>
        <w:tc>
          <w:tcPr>
            <w:tcW w:w="1984" w:type="dxa"/>
            <w:vAlign w:val="bottom"/>
          </w:tcPr>
          <w:p w14:paraId="241168B3" w14:textId="77777777" w:rsidR="00F65307" w:rsidRPr="00AD3574" w:rsidRDefault="00F65307" w:rsidP="00B80789">
            <w:pPr>
              <w:jc w:val="center"/>
              <w:rPr>
                <w:rFonts w:ascii="Arial" w:hAnsi="Arial" w:cs="Arial"/>
              </w:rPr>
            </w:pPr>
          </w:p>
        </w:tc>
        <w:tc>
          <w:tcPr>
            <w:tcW w:w="1985" w:type="dxa"/>
            <w:tcBorders>
              <w:left w:val="nil"/>
            </w:tcBorders>
            <w:vAlign w:val="bottom"/>
          </w:tcPr>
          <w:p w14:paraId="4AEA6308" w14:textId="77777777" w:rsidR="00F65307" w:rsidRPr="00FC3309" w:rsidRDefault="00F65307" w:rsidP="00B80789">
            <w:pPr>
              <w:jc w:val="center"/>
              <w:rPr>
                <w:rFonts w:ascii="Arial" w:hAnsi="Arial" w:cs="Arial"/>
                <w:color w:val="000000"/>
              </w:rPr>
            </w:pPr>
          </w:p>
        </w:tc>
        <w:tc>
          <w:tcPr>
            <w:tcW w:w="1984" w:type="dxa"/>
            <w:vAlign w:val="bottom"/>
          </w:tcPr>
          <w:p w14:paraId="1CE6191A" w14:textId="77777777" w:rsidR="00F65307" w:rsidRPr="00FC3309" w:rsidRDefault="00F65307" w:rsidP="00B80789">
            <w:pPr>
              <w:jc w:val="center"/>
              <w:rPr>
                <w:rFonts w:ascii="Arial" w:hAnsi="Arial" w:cs="Arial"/>
                <w:color w:val="000000"/>
              </w:rPr>
            </w:pPr>
          </w:p>
        </w:tc>
      </w:tr>
      <w:tr w:rsidR="00F65307" w:rsidRPr="00FC3309" w14:paraId="47CF346E" w14:textId="77777777" w:rsidTr="00B80789">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21663AE" w14:textId="77777777" w:rsidR="00F65307" w:rsidRPr="00AD3574" w:rsidRDefault="00F65307" w:rsidP="00B80789">
            <w:pPr>
              <w:jc w:val="center"/>
              <w:rPr>
                <w:rFonts w:ascii="Arial" w:hAnsi="Arial" w:cs="Arial"/>
              </w:rPr>
            </w:pPr>
            <w:r w:rsidRPr="00AD3574">
              <w:rPr>
                <w:rFonts w:ascii="Arial" w:hAnsi="Arial" w:cs="Arial"/>
              </w:rPr>
              <w:t>5</w:t>
            </w:r>
          </w:p>
        </w:tc>
        <w:tc>
          <w:tcPr>
            <w:tcW w:w="1985" w:type="dxa"/>
            <w:tcBorders>
              <w:left w:val="dotDash" w:sz="4" w:space="0" w:color="auto"/>
            </w:tcBorders>
            <w:shd w:val="clear" w:color="auto" w:fill="auto"/>
            <w:noWrap/>
            <w:vAlign w:val="bottom"/>
          </w:tcPr>
          <w:p w14:paraId="4FFAD01E" w14:textId="77777777" w:rsidR="00F65307" w:rsidRPr="00AD3574" w:rsidRDefault="00F65307" w:rsidP="00B80789">
            <w:pPr>
              <w:jc w:val="center"/>
              <w:rPr>
                <w:rFonts w:ascii="Arial" w:hAnsi="Arial" w:cs="Arial"/>
              </w:rPr>
            </w:pPr>
          </w:p>
        </w:tc>
        <w:tc>
          <w:tcPr>
            <w:tcW w:w="1984" w:type="dxa"/>
            <w:shd w:val="clear" w:color="auto" w:fill="auto"/>
            <w:noWrap/>
            <w:vAlign w:val="bottom"/>
          </w:tcPr>
          <w:p w14:paraId="640EFACB" w14:textId="77777777" w:rsidR="00F65307" w:rsidRPr="00AD3574" w:rsidRDefault="00F65307" w:rsidP="00B80789">
            <w:pPr>
              <w:jc w:val="center"/>
              <w:rPr>
                <w:rFonts w:ascii="Arial" w:hAnsi="Arial" w:cs="Arial"/>
              </w:rPr>
            </w:pPr>
          </w:p>
        </w:tc>
        <w:tc>
          <w:tcPr>
            <w:tcW w:w="1985" w:type="dxa"/>
            <w:shd w:val="clear" w:color="auto" w:fill="auto"/>
            <w:vAlign w:val="bottom"/>
          </w:tcPr>
          <w:p w14:paraId="2DB82D2A" w14:textId="77777777" w:rsidR="00F65307" w:rsidRPr="00AD3574" w:rsidRDefault="00F65307" w:rsidP="00B80789">
            <w:pPr>
              <w:jc w:val="center"/>
              <w:rPr>
                <w:rFonts w:ascii="Arial" w:hAnsi="Arial" w:cs="Arial"/>
              </w:rPr>
            </w:pPr>
          </w:p>
        </w:tc>
        <w:tc>
          <w:tcPr>
            <w:tcW w:w="1984" w:type="dxa"/>
            <w:vAlign w:val="bottom"/>
          </w:tcPr>
          <w:p w14:paraId="0DA981EC" w14:textId="77777777" w:rsidR="00F65307" w:rsidRPr="00AD3574" w:rsidRDefault="00F65307" w:rsidP="00B80789">
            <w:pPr>
              <w:jc w:val="center"/>
              <w:rPr>
                <w:rFonts w:ascii="Arial" w:hAnsi="Arial" w:cs="Arial"/>
              </w:rPr>
            </w:pPr>
          </w:p>
        </w:tc>
        <w:tc>
          <w:tcPr>
            <w:tcW w:w="1985" w:type="dxa"/>
            <w:tcBorders>
              <w:left w:val="nil"/>
            </w:tcBorders>
            <w:vAlign w:val="bottom"/>
          </w:tcPr>
          <w:p w14:paraId="3AE9F029" w14:textId="77777777" w:rsidR="00F65307" w:rsidRPr="00FC3309" w:rsidRDefault="00F65307" w:rsidP="00B80789">
            <w:pPr>
              <w:jc w:val="center"/>
              <w:rPr>
                <w:rFonts w:ascii="Arial" w:hAnsi="Arial" w:cs="Arial"/>
                <w:color w:val="000000"/>
              </w:rPr>
            </w:pPr>
          </w:p>
        </w:tc>
        <w:tc>
          <w:tcPr>
            <w:tcW w:w="1984" w:type="dxa"/>
            <w:vAlign w:val="bottom"/>
          </w:tcPr>
          <w:p w14:paraId="3BAF1BED" w14:textId="77777777" w:rsidR="00F65307" w:rsidRPr="00FC3309" w:rsidRDefault="00F65307" w:rsidP="00B80789">
            <w:pPr>
              <w:jc w:val="center"/>
              <w:rPr>
                <w:rFonts w:ascii="Arial" w:hAnsi="Arial" w:cs="Arial"/>
                <w:color w:val="000000"/>
              </w:rPr>
            </w:pPr>
          </w:p>
        </w:tc>
      </w:tr>
    </w:tbl>
    <w:p w14:paraId="2344CA90" w14:textId="0D571323" w:rsidR="00C0782D" w:rsidRDefault="00C0782D" w:rsidP="00760AC5">
      <w:pPr>
        <w:pStyle w:val="Header"/>
        <w:jc w:val="both"/>
      </w:pPr>
    </w:p>
    <w:p w14:paraId="211BA931" w14:textId="32BBB8A8" w:rsidR="00C0782D" w:rsidRDefault="00C0782D" w:rsidP="00760AC5">
      <w:pPr>
        <w:pStyle w:val="Header"/>
        <w:jc w:val="both"/>
        <w:sectPr w:rsidR="00C0782D" w:rsidSect="00C0782D">
          <w:footerReference w:type="default" r:id="rId26"/>
          <w:pgSz w:w="16840" w:h="11907" w:orient="landscape" w:code="9"/>
          <w:pgMar w:top="1797" w:right="1440" w:bottom="1797" w:left="1440" w:header="720" w:footer="720" w:gutter="0"/>
          <w:pgNumType w:start="1"/>
          <w:cols w:space="720"/>
          <w:docGrid w:linePitch="272"/>
        </w:sectPr>
      </w:pPr>
    </w:p>
    <w:p w14:paraId="3D367D17" w14:textId="77777777" w:rsidR="00C0782D" w:rsidRDefault="00C0782D" w:rsidP="00760AC5">
      <w:pPr>
        <w:pStyle w:val="Header"/>
        <w:jc w:val="both"/>
      </w:pPr>
    </w:p>
    <w:p w14:paraId="6E69AF59" w14:textId="77777777" w:rsidR="00C0782D" w:rsidRPr="00C0782D" w:rsidRDefault="00C0782D" w:rsidP="00C0782D">
      <w:pPr>
        <w:keepNext/>
        <w:spacing w:before="120" w:after="360"/>
        <w:jc w:val="center"/>
        <w:rPr>
          <w:rFonts w:ascii="Arial" w:hAnsi="Arial" w:cs="Arial"/>
          <w:b/>
          <w:sz w:val="32"/>
          <w:szCs w:val="32"/>
        </w:rPr>
      </w:pPr>
      <w:r w:rsidRPr="00C0782D">
        <w:rPr>
          <w:rFonts w:ascii="Arial" w:hAnsi="Arial" w:cs="Arial"/>
          <w:b/>
          <w:bCs/>
          <w:sz w:val="32"/>
          <w:szCs w:val="32"/>
        </w:rPr>
        <w:t>GRF_116_1 Probable Maximum Loss for LMIs - Standard Loans</w:t>
      </w:r>
    </w:p>
    <w:p w14:paraId="6778DAEC" w14:textId="77777777" w:rsidR="00C0782D" w:rsidRPr="00C0782D" w:rsidRDefault="00C0782D" w:rsidP="00C0782D">
      <w:pPr>
        <w:keepNext/>
        <w:spacing w:before="120" w:after="360"/>
        <w:jc w:val="both"/>
        <w:rPr>
          <w:rFonts w:ascii="Arial" w:hAnsi="Arial" w:cs="Arial"/>
          <w:b/>
          <w:sz w:val="32"/>
          <w:szCs w:val="32"/>
        </w:rPr>
      </w:pPr>
      <w:r w:rsidRPr="00C0782D">
        <w:rPr>
          <w:sz w:val="24"/>
          <w:szCs w:val="24"/>
        </w:rPr>
        <w:t>These instructions must be read in conjunction with the general instruction guide.</w:t>
      </w:r>
    </w:p>
    <w:p w14:paraId="227377A9" w14:textId="77777777" w:rsidR="00C0782D" w:rsidRPr="00C0782D" w:rsidRDefault="00C0782D" w:rsidP="00C0782D">
      <w:pPr>
        <w:keepNext/>
        <w:spacing w:before="120" w:after="360"/>
        <w:jc w:val="both"/>
        <w:rPr>
          <w:rFonts w:ascii="Arial" w:hAnsi="Arial" w:cs="Arial"/>
          <w:b/>
          <w:sz w:val="32"/>
          <w:szCs w:val="32"/>
        </w:rPr>
      </w:pPr>
      <w:r w:rsidRPr="00C0782D">
        <w:rPr>
          <w:rFonts w:ascii="Arial" w:hAnsi="Arial" w:cs="Arial"/>
          <w:b/>
          <w:sz w:val="32"/>
          <w:szCs w:val="32"/>
        </w:rPr>
        <w:t>Explanatory notes</w:t>
      </w:r>
    </w:p>
    <w:p w14:paraId="42C265C3"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Standard loan</w:t>
      </w:r>
    </w:p>
    <w:p w14:paraId="36C6BBBD" w14:textId="77777777" w:rsidR="00C0782D" w:rsidRPr="00C0782D" w:rsidRDefault="00C0782D" w:rsidP="00C0782D">
      <w:pPr>
        <w:spacing w:after="240"/>
        <w:jc w:val="both"/>
        <w:rPr>
          <w:sz w:val="24"/>
          <w:szCs w:val="24"/>
        </w:rPr>
      </w:pPr>
      <w:r w:rsidRPr="00C0782D">
        <w:rPr>
          <w:sz w:val="24"/>
          <w:szCs w:val="24"/>
        </w:rPr>
        <w:t xml:space="preserve">A standard loan is one which meets the criteria defined in Attachment A of </w:t>
      </w:r>
      <w:r w:rsidRPr="00C0782D">
        <w:rPr>
          <w:i/>
          <w:sz w:val="24"/>
          <w:szCs w:val="24"/>
        </w:rPr>
        <w:t xml:space="preserve">Prudential Standard GPS 116 Capital Adequacy: Insurance Concentration Risk Charge </w:t>
      </w:r>
      <w:r w:rsidRPr="00C0782D">
        <w:rPr>
          <w:sz w:val="24"/>
          <w:szCs w:val="24"/>
        </w:rPr>
        <w:t>(GPS 116).</w:t>
      </w:r>
    </w:p>
    <w:p w14:paraId="011D0998"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100% cover</w:t>
      </w:r>
    </w:p>
    <w:p w14:paraId="5205CE14" w14:textId="77777777" w:rsidR="00C0782D" w:rsidRPr="00C0782D" w:rsidRDefault="00C0782D" w:rsidP="00C0782D">
      <w:pPr>
        <w:spacing w:after="240"/>
        <w:jc w:val="both"/>
        <w:rPr>
          <w:sz w:val="24"/>
          <w:szCs w:val="24"/>
        </w:rPr>
      </w:pPr>
      <w:r w:rsidRPr="00C0782D">
        <w:rPr>
          <w:sz w:val="24"/>
          <w:szCs w:val="24"/>
        </w:rPr>
        <w:t>100% cover provides insurance for 100% of the loan amount.</w:t>
      </w:r>
    </w:p>
    <w:p w14:paraId="43BFC882"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Top cover</w:t>
      </w:r>
    </w:p>
    <w:p w14:paraId="2F7BF01B" w14:textId="77777777" w:rsidR="00C0782D" w:rsidRPr="00C0782D" w:rsidRDefault="00C0782D" w:rsidP="00C0782D">
      <w:pPr>
        <w:spacing w:after="240"/>
        <w:jc w:val="both"/>
        <w:rPr>
          <w:sz w:val="24"/>
          <w:szCs w:val="24"/>
        </w:rPr>
      </w:pPr>
      <w:r w:rsidRPr="00C0782D">
        <w:rPr>
          <w:sz w:val="24"/>
          <w:szCs w:val="24"/>
        </w:rPr>
        <w:t>Top cover provides insurance for less than 100% of the loan amount.</w:t>
      </w:r>
    </w:p>
    <w:p w14:paraId="40B6FD39"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Pool cover</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471D3D23" w14:textId="77777777" w:rsidR="00C0782D" w:rsidRPr="00C0782D" w:rsidRDefault="00C0782D" w:rsidP="00C0782D">
      <w:pPr>
        <w:spacing w:after="240"/>
        <w:jc w:val="both"/>
        <w:rPr>
          <w:sz w:val="24"/>
          <w:szCs w:val="24"/>
        </w:rPr>
      </w:pPr>
      <w:r w:rsidRPr="00C0782D">
        <w:rPr>
          <w:sz w:val="24"/>
          <w:szCs w:val="24"/>
        </w:rPr>
        <w:t xml:space="preserve">A pooled LMI policy, or pool cover, is lenders mortgage insurance underwritten and issued in respect of a pool of loans. For clarity, each loan is not individually insured. </w:t>
      </w:r>
    </w:p>
    <w:p w14:paraId="47BF41DA"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 1: ADI</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0F4E35BE" w14:textId="77777777" w:rsidR="00C0782D" w:rsidRPr="00C0782D" w:rsidRDefault="00C0782D" w:rsidP="00C0782D">
      <w:pPr>
        <w:spacing w:after="240"/>
        <w:jc w:val="both"/>
        <w:rPr>
          <w:sz w:val="24"/>
          <w:szCs w:val="24"/>
        </w:rPr>
      </w:pPr>
      <w:r w:rsidRPr="00C0782D">
        <w:rPr>
          <w:sz w:val="24"/>
          <w:szCs w:val="24"/>
        </w:rPr>
        <w:t xml:space="preserve">Report in this section information relating to loans approved, advanced and funded by an authorised deposit-taking institution (ADI). An ADI has an in force authority under subsection 9(3) of the </w:t>
      </w:r>
      <w:r w:rsidRPr="00C0782D">
        <w:rPr>
          <w:i/>
          <w:sz w:val="24"/>
          <w:szCs w:val="24"/>
        </w:rPr>
        <w:t>Banking Act 1959</w:t>
      </w:r>
      <w:r w:rsidRPr="00C0782D">
        <w:rPr>
          <w:sz w:val="24"/>
          <w:szCs w:val="24"/>
        </w:rPr>
        <w:t>.</w:t>
      </w:r>
    </w:p>
    <w:p w14:paraId="467082EE"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 2: Non-APRA regulated</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655BB42F" w14:textId="77777777" w:rsidR="00C0782D" w:rsidRPr="00C0782D" w:rsidRDefault="00C0782D" w:rsidP="00C0782D">
      <w:pPr>
        <w:spacing w:after="240"/>
        <w:jc w:val="both"/>
        <w:rPr>
          <w:rFonts w:ascii="Arial" w:hAnsi="Arial" w:cs="Arial"/>
          <w:b/>
          <w:sz w:val="32"/>
          <w:szCs w:val="32"/>
        </w:rPr>
      </w:pPr>
      <w:r w:rsidRPr="00C0782D">
        <w:rPr>
          <w:sz w:val="24"/>
          <w:szCs w:val="24"/>
        </w:rPr>
        <w:t>Report in this section information relating to loans approved, advance and funded by entities that are not ADIs.</w:t>
      </w:r>
    </w:p>
    <w:p w14:paraId="0A1C531B" w14:textId="77777777" w:rsidR="00C0782D" w:rsidRPr="00C0782D" w:rsidRDefault="00C0782D" w:rsidP="00C0782D">
      <w:pPr>
        <w:spacing w:before="120" w:after="360"/>
        <w:jc w:val="both"/>
        <w:rPr>
          <w:rFonts w:ascii="Arial" w:hAnsi="Arial" w:cs="Arial"/>
          <w:b/>
          <w:sz w:val="32"/>
          <w:szCs w:val="32"/>
        </w:rPr>
      </w:pPr>
      <w:r w:rsidRPr="00C0782D">
        <w:rPr>
          <w:rFonts w:ascii="Arial" w:hAnsi="Arial" w:cs="Arial"/>
          <w:b/>
          <w:sz w:val="32"/>
          <w:szCs w:val="32"/>
        </w:rPr>
        <w:t>Instructions for specific items</w:t>
      </w:r>
    </w:p>
    <w:p w14:paraId="7BACF917" w14:textId="77777777" w:rsidR="00C0782D" w:rsidRPr="00C0782D" w:rsidRDefault="00C0782D" w:rsidP="00C0782D">
      <w:pPr>
        <w:spacing w:before="120" w:after="240"/>
        <w:jc w:val="both"/>
        <w:rPr>
          <w:rFonts w:ascii="Arial" w:hAnsi="Arial" w:cs="Arial"/>
          <w:b/>
          <w:sz w:val="24"/>
          <w:szCs w:val="24"/>
        </w:rPr>
      </w:pPr>
      <w:r w:rsidRPr="00C0782D">
        <w:rPr>
          <w:rFonts w:ascii="Arial" w:hAnsi="Arial" w:cs="Arial"/>
          <w:b/>
          <w:sz w:val="24"/>
          <w:szCs w:val="24"/>
        </w:rPr>
        <w:t>Sections 1 and 2 - 1.1 and 2.1: 100 per cent and top cover</w:t>
      </w:r>
    </w:p>
    <w:p w14:paraId="35DCCFBB" w14:textId="77777777" w:rsidR="00C0782D" w:rsidRPr="00C0782D" w:rsidRDefault="00C0782D" w:rsidP="00C0782D">
      <w:pPr>
        <w:numPr>
          <w:ilvl w:val="0"/>
          <w:numId w:val="32"/>
        </w:numPr>
        <w:spacing w:before="120" w:after="240"/>
        <w:ind w:left="0" w:firstLine="0"/>
        <w:jc w:val="both"/>
        <w:rPr>
          <w:rFonts w:ascii="Arial" w:hAnsi="Arial" w:cs="Arial"/>
          <w:b/>
          <w:sz w:val="24"/>
          <w:szCs w:val="24"/>
        </w:rPr>
      </w:pPr>
      <w:r w:rsidRPr="00C0782D">
        <w:rPr>
          <w:rFonts w:ascii="Arial" w:hAnsi="Arial" w:cs="Arial"/>
          <w:b/>
          <w:sz w:val="24"/>
          <w:szCs w:val="24"/>
        </w:rPr>
        <w:t>LVR greater than (%)</w:t>
      </w:r>
    </w:p>
    <w:p w14:paraId="731A13D2" w14:textId="77777777" w:rsidR="00C0782D" w:rsidRPr="00C0782D" w:rsidRDefault="00C0782D" w:rsidP="00C0782D">
      <w:pPr>
        <w:spacing w:after="240"/>
        <w:jc w:val="both"/>
        <w:rPr>
          <w:sz w:val="24"/>
          <w:szCs w:val="24"/>
        </w:rPr>
      </w:pPr>
      <w:r w:rsidRPr="00C0782D">
        <w:rPr>
          <w:sz w:val="24"/>
          <w:szCs w:val="24"/>
        </w:rPr>
        <w:t>The Loan-to-Valuation Ratio (LVR) is the ratio of the amount of the loan to the value of the secured residential property, as at the date of origination of the loan. Where the mortgage insurance premium is capitalised in the loan amount, the LVR must be calculated including the premium; that is, the loan amount must be increased by the amount of the capitalised premium, irrespective of whether the premium is insured. The inclusion of a First Home Owners Grant in the deposit for a mortgaged property will not otherwise increase the LVR of a loan.</w:t>
      </w:r>
    </w:p>
    <w:p w14:paraId="4A7745CA" w14:textId="77777777" w:rsidR="00C0782D" w:rsidRPr="00C0782D" w:rsidRDefault="00C0782D" w:rsidP="00C0782D">
      <w:pPr>
        <w:spacing w:after="240"/>
        <w:jc w:val="both"/>
        <w:rPr>
          <w:sz w:val="24"/>
          <w:szCs w:val="24"/>
        </w:rPr>
      </w:pPr>
      <w:r w:rsidRPr="00C0782D">
        <w:rPr>
          <w:sz w:val="24"/>
          <w:szCs w:val="24"/>
        </w:rPr>
        <w:lastRenderedPageBreak/>
        <w:t>LMIs are required to report the sum insured according to the following categories: LVR of less than 60.01, 60.01 to 70, 70.01 to 80, 80.01 to 85, 85.01 to 90, 90.01 to 95, 95.01 to 100, and greater than 100 per cent. Report the relevant category by selecting the appropriate lower and upper bound percentages in Columns 1 and 2.</w:t>
      </w:r>
      <w:r w:rsidRPr="00C0782D">
        <w:rPr>
          <w:sz w:val="24"/>
          <w:szCs w:val="24"/>
        </w:rPr>
        <w:tab/>
      </w:r>
    </w:p>
    <w:p w14:paraId="5CBD42CD" w14:textId="77777777" w:rsidR="00C0782D" w:rsidRPr="00C0782D" w:rsidRDefault="00C0782D" w:rsidP="00C0782D">
      <w:pPr>
        <w:keepNext/>
        <w:numPr>
          <w:ilvl w:val="0"/>
          <w:numId w:val="32"/>
        </w:numPr>
        <w:spacing w:before="120" w:after="240"/>
        <w:ind w:left="0" w:firstLine="0"/>
        <w:jc w:val="both"/>
        <w:rPr>
          <w:rFonts w:ascii="Arial" w:hAnsi="Arial" w:cs="Arial"/>
          <w:b/>
          <w:sz w:val="24"/>
          <w:szCs w:val="24"/>
        </w:rPr>
      </w:pPr>
      <w:r w:rsidRPr="00C0782D">
        <w:rPr>
          <w:rFonts w:ascii="Arial" w:hAnsi="Arial" w:cs="Arial"/>
          <w:b/>
          <w:sz w:val="24"/>
          <w:szCs w:val="24"/>
        </w:rPr>
        <w:t>LVR less than or equal to (%)</w:t>
      </w:r>
    </w:p>
    <w:p w14:paraId="63B8AC4E" w14:textId="77777777" w:rsidR="00C0782D" w:rsidRPr="00C0782D" w:rsidRDefault="00C0782D" w:rsidP="00C0782D">
      <w:pPr>
        <w:spacing w:after="240"/>
        <w:jc w:val="both"/>
        <w:rPr>
          <w:sz w:val="24"/>
          <w:szCs w:val="24"/>
        </w:rPr>
      </w:pPr>
      <w:r w:rsidRPr="00C0782D">
        <w:rPr>
          <w:sz w:val="24"/>
          <w:szCs w:val="24"/>
        </w:rPr>
        <w:t>The Loan-to-Valuation Ratio (LVR) is the ratio of the amount of the loan to the value of the secured residential property, as at the date of origination of the loan. Where the mortgage insurance premium is capitalised in the loan amount, the LVR must be calculated including the premium; that is, the loan amount must be increased by the amount of the capitalised premium, irrespective of whether the premium is insured. The inclusion of a First Home Owners Grant in the deposit for a mortgaged property will not otherwise increase the LVR of a loan.</w:t>
      </w:r>
    </w:p>
    <w:p w14:paraId="3EB71383" w14:textId="77777777" w:rsidR="00C0782D" w:rsidRPr="00C0782D" w:rsidRDefault="00C0782D" w:rsidP="00C0782D">
      <w:pPr>
        <w:spacing w:after="240"/>
        <w:jc w:val="both"/>
        <w:rPr>
          <w:sz w:val="24"/>
          <w:szCs w:val="24"/>
        </w:rPr>
      </w:pPr>
      <w:r w:rsidRPr="00C0782D">
        <w:rPr>
          <w:sz w:val="24"/>
          <w:szCs w:val="24"/>
        </w:rPr>
        <w:t>LMIs are required to report the sum insured according to the following categories: LVR of less than 60.01, 60.01 to 70, 70.01 to 80, 80.01 to 85, 85.01 to 90, 90.01 to 95, 95.01 to 100, and greater than 100 per cent. Report the relevant category by selecting the appropriate lower and upper bound percentages in Columns 1 and 2.</w:t>
      </w:r>
      <w:r w:rsidRPr="00C0782D">
        <w:rPr>
          <w:sz w:val="24"/>
          <w:szCs w:val="24"/>
        </w:rPr>
        <w:tab/>
      </w:r>
    </w:p>
    <w:p w14:paraId="10746701" w14:textId="77777777" w:rsidR="00C0782D" w:rsidRPr="00C0782D" w:rsidRDefault="00C0782D" w:rsidP="00C0782D">
      <w:pPr>
        <w:keepNext/>
        <w:numPr>
          <w:ilvl w:val="0"/>
          <w:numId w:val="32"/>
        </w:numPr>
        <w:spacing w:before="120" w:after="240"/>
        <w:ind w:left="0" w:firstLine="0"/>
        <w:jc w:val="both"/>
        <w:rPr>
          <w:rFonts w:ascii="Arial" w:hAnsi="Arial" w:cs="Arial"/>
          <w:b/>
          <w:sz w:val="24"/>
          <w:szCs w:val="24"/>
        </w:rPr>
      </w:pPr>
      <w:r w:rsidRPr="00C0782D">
        <w:rPr>
          <w:rFonts w:ascii="Arial" w:hAnsi="Arial" w:cs="Arial"/>
          <w:b/>
          <w:sz w:val="24"/>
          <w:szCs w:val="24"/>
        </w:rPr>
        <w:t>Coverage proportion (%)</w:t>
      </w:r>
    </w:p>
    <w:p w14:paraId="5CA03FBE" w14:textId="77777777" w:rsidR="00C0782D" w:rsidRPr="00C0782D" w:rsidRDefault="00C0782D" w:rsidP="00C0782D">
      <w:pPr>
        <w:spacing w:after="240"/>
        <w:jc w:val="both"/>
        <w:rPr>
          <w:sz w:val="24"/>
          <w:szCs w:val="24"/>
        </w:rPr>
      </w:pPr>
      <w:r w:rsidRPr="00C0782D">
        <w:rPr>
          <w:sz w:val="24"/>
          <w:szCs w:val="24"/>
        </w:rPr>
        <w:t>This is the percentage of cover for which the insurance provides over the loan amount.</w:t>
      </w:r>
    </w:p>
    <w:p w14:paraId="0ABA4693" w14:textId="77777777" w:rsidR="00C0782D" w:rsidRPr="00C0782D" w:rsidRDefault="00C0782D" w:rsidP="00C0782D">
      <w:pPr>
        <w:spacing w:after="240"/>
        <w:jc w:val="both"/>
        <w:rPr>
          <w:sz w:val="24"/>
          <w:szCs w:val="24"/>
        </w:rPr>
      </w:pPr>
      <w:r w:rsidRPr="00C0782D">
        <w:rPr>
          <w:sz w:val="24"/>
          <w:szCs w:val="24"/>
        </w:rPr>
        <w:t>Select from the appropriate coverage proportion percentage: 20, 25, 30, 35, 40 or 100 per cent."</w:t>
      </w:r>
    </w:p>
    <w:p w14:paraId="2732341F" w14:textId="77777777" w:rsidR="00C0782D" w:rsidRPr="00C0782D" w:rsidRDefault="00C0782D" w:rsidP="00C0782D">
      <w:pPr>
        <w:keepNext/>
        <w:numPr>
          <w:ilvl w:val="0"/>
          <w:numId w:val="33"/>
        </w:numPr>
        <w:spacing w:before="120" w:after="240"/>
        <w:ind w:left="0" w:firstLine="0"/>
        <w:jc w:val="both"/>
        <w:rPr>
          <w:rFonts w:ascii="Arial" w:hAnsi="Arial" w:cs="Arial"/>
          <w:b/>
          <w:sz w:val="24"/>
          <w:szCs w:val="24"/>
        </w:rPr>
      </w:pPr>
      <w:r w:rsidRPr="00C0782D">
        <w:rPr>
          <w:rFonts w:ascii="Arial" w:hAnsi="Arial" w:cs="Arial"/>
          <w:b/>
          <w:sz w:val="24"/>
          <w:szCs w:val="24"/>
        </w:rPr>
        <w:t>&lt; 3 years</w:t>
      </w:r>
    </w:p>
    <w:p w14:paraId="4C063E03" w14:textId="77777777" w:rsidR="00C0782D" w:rsidRPr="00C0782D" w:rsidRDefault="00C0782D" w:rsidP="00C0782D">
      <w:pPr>
        <w:keepNext/>
        <w:numPr>
          <w:ilvl w:val="0"/>
          <w:numId w:val="33"/>
        </w:numPr>
        <w:spacing w:before="120" w:after="240"/>
        <w:ind w:left="0" w:firstLine="0"/>
        <w:jc w:val="both"/>
        <w:rPr>
          <w:rFonts w:ascii="Arial" w:hAnsi="Arial" w:cs="Arial"/>
          <w:b/>
          <w:sz w:val="24"/>
          <w:szCs w:val="24"/>
        </w:rPr>
      </w:pPr>
      <w:r w:rsidRPr="00C0782D">
        <w:rPr>
          <w:rFonts w:ascii="Arial" w:hAnsi="Arial" w:cs="Arial"/>
          <w:b/>
          <w:sz w:val="24"/>
          <w:szCs w:val="24"/>
        </w:rPr>
        <w:t>3 &lt; 5 years</w:t>
      </w:r>
    </w:p>
    <w:p w14:paraId="2685CE23" w14:textId="77777777" w:rsidR="00C0782D" w:rsidRPr="00C0782D" w:rsidRDefault="00C0782D" w:rsidP="00C0782D">
      <w:pPr>
        <w:keepNext/>
        <w:numPr>
          <w:ilvl w:val="0"/>
          <w:numId w:val="33"/>
        </w:numPr>
        <w:spacing w:before="120" w:after="240"/>
        <w:ind w:left="0" w:firstLine="0"/>
        <w:jc w:val="both"/>
        <w:rPr>
          <w:rFonts w:ascii="Arial" w:hAnsi="Arial" w:cs="Arial"/>
          <w:b/>
          <w:sz w:val="24"/>
          <w:szCs w:val="24"/>
        </w:rPr>
      </w:pPr>
      <w:r w:rsidRPr="00C0782D">
        <w:rPr>
          <w:rFonts w:ascii="Arial" w:hAnsi="Arial" w:cs="Arial"/>
          <w:b/>
          <w:sz w:val="24"/>
          <w:szCs w:val="24"/>
        </w:rPr>
        <w:t>5 &lt; 10 years</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7641CE68" w14:textId="77777777" w:rsidR="00C0782D" w:rsidRPr="00C0782D" w:rsidRDefault="00C0782D" w:rsidP="00C0782D">
      <w:pPr>
        <w:keepNext/>
        <w:numPr>
          <w:ilvl w:val="0"/>
          <w:numId w:val="34"/>
        </w:numPr>
        <w:spacing w:before="120" w:after="240"/>
        <w:ind w:left="0" w:firstLine="0"/>
        <w:jc w:val="both"/>
        <w:rPr>
          <w:rFonts w:ascii="Arial" w:hAnsi="Arial" w:cs="Arial"/>
          <w:b/>
          <w:sz w:val="24"/>
          <w:szCs w:val="24"/>
        </w:rPr>
      </w:pPr>
      <w:r w:rsidRPr="00C0782D">
        <w:rPr>
          <w:rFonts w:ascii="Arial" w:hAnsi="Arial" w:cs="Arial"/>
          <w:b/>
          <w:sz w:val="24"/>
          <w:szCs w:val="24"/>
        </w:rPr>
        <w:t>&gt;= 10 years</w:t>
      </w:r>
    </w:p>
    <w:p w14:paraId="559866BD" w14:textId="77777777" w:rsidR="00C0782D" w:rsidRPr="00C0782D" w:rsidRDefault="00C0782D" w:rsidP="00C0782D">
      <w:pPr>
        <w:spacing w:after="240"/>
        <w:jc w:val="both"/>
        <w:rPr>
          <w:sz w:val="24"/>
          <w:szCs w:val="24"/>
        </w:rPr>
      </w:pPr>
      <w:r w:rsidRPr="00C0782D">
        <w:rPr>
          <w:sz w:val="24"/>
          <w:szCs w:val="24"/>
        </w:rPr>
        <w:t>Age is the length of time from the date of origination of the loan to the date of calculation for the purposes of determining the seasoning factors in Attachment A of GPS 116.</w:t>
      </w:r>
    </w:p>
    <w:p w14:paraId="52AA3D58" w14:textId="77777777" w:rsidR="00C0782D" w:rsidRPr="00C0782D" w:rsidRDefault="00C0782D" w:rsidP="00C0782D">
      <w:pPr>
        <w:spacing w:after="240"/>
        <w:jc w:val="both"/>
        <w:rPr>
          <w:sz w:val="24"/>
          <w:szCs w:val="24"/>
        </w:rPr>
      </w:pPr>
      <w:r w:rsidRPr="00C0782D">
        <w:rPr>
          <w:sz w:val="24"/>
          <w:szCs w:val="24"/>
        </w:rPr>
        <w:t>Report the sums insured for the LMI policies according to the following categories: age of less than three years, three to less than five years, five to less than 10 years, and more than 10 years.</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68004D41" w14:textId="77777777" w:rsidR="00C0782D" w:rsidRPr="00C0782D" w:rsidRDefault="00C0782D" w:rsidP="00C0782D">
      <w:pPr>
        <w:keepNext/>
        <w:numPr>
          <w:ilvl w:val="0"/>
          <w:numId w:val="35"/>
        </w:numPr>
        <w:spacing w:before="120" w:after="240"/>
        <w:ind w:left="0" w:firstLine="0"/>
        <w:jc w:val="both"/>
        <w:rPr>
          <w:rFonts w:ascii="Arial" w:hAnsi="Arial" w:cs="Arial"/>
          <w:b/>
          <w:sz w:val="24"/>
          <w:szCs w:val="24"/>
        </w:rPr>
      </w:pPr>
      <w:r w:rsidRPr="00C0782D">
        <w:rPr>
          <w:rFonts w:ascii="Arial" w:hAnsi="Arial" w:cs="Arial"/>
          <w:b/>
          <w:sz w:val="24"/>
          <w:szCs w:val="24"/>
        </w:rPr>
        <w:t>Total sum insured</w:t>
      </w:r>
      <w:r w:rsidRPr="00C0782D">
        <w:rPr>
          <w:rFonts w:ascii="Arial" w:hAnsi="Arial" w:cs="Arial"/>
          <w:b/>
          <w:sz w:val="24"/>
          <w:szCs w:val="24"/>
        </w:rPr>
        <w:tab/>
      </w:r>
    </w:p>
    <w:p w14:paraId="6EA0B337" w14:textId="77777777" w:rsidR="00C0782D" w:rsidRPr="00C0782D" w:rsidRDefault="00C0782D" w:rsidP="00C0782D">
      <w:pPr>
        <w:spacing w:after="240"/>
        <w:jc w:val="both"/>
        <w:rPr>
          <w:sz w:val="24"/>
          <w:szCs w:val="24"/>
        </w:rPr>
      </w:pPr>
      <w:r w:rsidRPr="00C0782D">
        <w:rPr>
          <w:sz w:val="24"/>
          <w:szCs w:val="24"/>
        </w:rPr>
        <w:t>The sum insured is the original exposure amount for an LMI as stated in the mortgage insurance policy.</w:t>
      </w:r>
    </w:p>
    <w:p w14:paraId="260847CF" w14:textId="77777777" w:rsidR="00C0782D" w:rsidRPr="00C0782D" w:rsidRDefault="00C0782D" w:rsidP="00C0782D">
      <w:pPr>
        <w:spacing w:after="240"/>
        <w:jc w:val="both"/>
        <w:rPr>
          <w:sz w:val="24"/>
          <w:szCs w:val="24"/>
        </w:rPr>
      </w:pPr>
      <w:r w:rsidRPr="00C0782D">
        <w:rPr>
          <w:sz w:val="24"/>
          <w:szCs w:val="24"/>
        </w:rPr>
        <w:t>It is automatically calculated as the sum of Columns 4.1 to 4.4 multiplied by their corresponding seasoning factors.</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26B7895F" w14:textId="77777777" w:rsidR="00C0782D" w:rsidRPr="00C0782D" w:rsidRDefault="00C0782D" w:rsidP="00C0782D">
      <w:pPr>
        <w:keepNext/>
        <w:numPr>
          <w:ilvl w:val="0"/>
          <w:numId w:val="35"/>
        </w:numPr>
        <w:spacing w:before="120" w:after="240"/>
        <w:ind w:left="0" w:firstLine="0"/>
        <w:jc w:val="both"/>
        <w:rPr>
          <w:rFonts w:ascii="Arial" w:hAnsi="Arial" w:cs="Arial"/>
          <w:b/>
          <w:sz w:val="24"/>
          <w:szCs w:val="24"/>
        </w:rPr>
      </w:pPr>
      <w:r w:rsidRPr="00C0782D">
        <w:rPr>
          <w:rFonts w:ascii="Arial" w:hAnsi="Arial" w:cs="Arial"/>
          <w:b/>
          <w:sz w:val="24"/>
          <w:szCs w:val="24"/>
        </w:rPr>
        <w:t>PD factor</w:t>
      </w:r>
    </w:p>
    <w:p w14:paraId="6A1DCBB0" w14:textId="77777777" w:rsidR="00C0782D" w:rsidRPr="00C0782D" w:rsidRDefault="00C0782D" w:rsidP="00C0782D">
      <w:pPr>
        <w:spacing w:after="240"/>
        <w:jc w:val="both"/>
        <w:rPr>
          <w:sz w:val="24"/>
          <w:szCs w:val="24"/>
        </w:rPr>
      </w:pPr>
      <w:r w:rsidRPr="00C0782D">
        <w:rPr>
          <w:sz w:val="24"/>
          <w:szCs w:val="24"/>
        </w:rPr>
        <w:t>The probability of default (PD) is the risk of default by the borrower. It varies according to LVR as per Attachment A of GPS 116.</w:t>
      </w:r>
    </w:p>
    <w:p w14:paraId="141C1866" w14:textId="77777777" w:rsidR="00C0782D" w:rsidRPr="00C0782D" w:rsidRDefault="00C0782D" w:rsidP="00C0782D">
      <w:pPr>
        <w:spacing w:after="240"/>
        <w:jc w:val="both"/>
        <w:rPr>
          <w:sz w:val="24"/>
          <w:szCs w:val="24"/>
        </w:rPr>
      </w:pPr>
      <w:r w:rsidRPr="00C0782D">
        <w:rPr>
          <w:sz w:val="24"/>
          <w:szCs w:val="24"/>
        </w:rPr>
        <w:lastRenderedPageBreak/>
        <w:t>This is automatically determined from the LVR percentages in Columns 1 and 2.</w:t>
      </w:r>
      <w:r w:rsidRPr="00C0782D">
        <w:rPr>
          <w:sz w:val="24"/>
          <w:szCs w:val="24"/>
        </w:rPr>
        <w:tab/>
      </w:r>
    </w:p>
    <w:p w14:paraId="14E0C564" w14:textId="77777777" w:rsidR="00C0782D" w:rsidRPr="00C0782D" w:rsidRDefault="00C0782D" w:rsidP="00C0782D">
      <w:pPr>
        <w:keepNext/>
        <w:numPr>
          <w:ilvl w:val="0"/>
          <w:numId w:val="35"/>
        </w:numPr>
        <w:spacing w:before="120" w:after="240"/>
        <w:ind w:left="0" w:firstLine="0"/>
        <w:jc w:val="both"/>
        <w:rPr>
          <w:rFonts w:ascii="Arial" w:hAnsi="Arial" w:cs="Arial"/>
          <w:b/>
          <w:sz w:val="24"/>
          <w:szCs w:val="24"/>
        </w:rPr>
      </w:pPr>
      <w:r w:rsidRPr="00C0782D">
        <w:rPr>
          <w:rFonts w:ascii="Arial" w:hAnsi="Arial" w:cs="Arial"/>
          <w:b/>
          <w:sz w:val="24"/>
          <w:szCs w:val="24"/>
        </w:rPr>
        <w:t>LGD factor (100% cover)</w:t>
      </w:r>
      <w:r w:rsidRPr="00C0782D">
        <w:rPr>
          <w:rFonts w:ascii="Arial" w:hAnsi="Arial" w:cs="Arial"/>
          <w:b/>
          <w:sz w:val="24"/>
          <w:szCs w:val="24"/>
        </w:rPr>
        <w:tab/>
        <w:t xml:space="preserve"> </w:t>
      </w:r>
    </w:p>
    <w:p w14:paraId="0E0159FC" w14:textId="77777777" w:rsidR="00C0782D" w:rsidRPr="00C0782D" w:rsidRDefault="00C0782D" w:rsidP="00C0782D">
      <w:pPr>
        <w:spacing w:after="240"/>
        <w:jc w:val="both"/>
        <w:rPr>
          <w:sz w:val="24"/>
          <w:szCs w:val="24"/>
        </w:rPr>
      </w:pPr>
      <w:r w:rsidRPr="00C0782D">
        <w:rPr>
          <w:sz w:val="24"/>
          <w:szCs w:val="24"/>
        </w:rPr>
        <w:t>Loss given default (LGD) is the loss to the LMI upon default by the borrower. It varies according to LVR as per Attachment A of GPS 116. The LGD factors are for 100% cover.</w:t>
      </w:r>
    </w:p>
    <w:p w14:paraId="64E5C50D" w14:textId="77777777" w:rsidR="00C0782D" w:rsidRPr="00C0782D" w:rsidRDefault="00C0782D" w:rsidP="00C0782D">
      <w:pPr>
        <w:spacing w:after="240"/>
        <w:jc w:val="both"/>
        <w:rPr>
          <w:sz w:val="24"/>
          <w:szCs w:val="24"/>
        </w:rPr>
      </w:pPr>
      <w:r w:rsidRPr="00C0782D">
        <w:rPr>
          <w:sz w:val="24"/>
          <w:szCs w:val="24"/>
        </w:rPr>
        <w:t>This is automatically determined from the LVR percentages in Columns 1 and 2.</w:t>
      </w:r>
      <w:r w:rsidRPr="00C0782D">
        <w:rPr>
          <w:sz w:val="24"/>
          <w:szCs w:val="24"/>
        </w:rPr>
        <w:tab/>
      </w:r>
      <w:r w:rsidRPr="00C0782D">
        <w:rPr>
          <w:sz w:val="24"/>
          <w:szCs w:val="24"/>
        </w:rPr>
        <w:tab/>
      </w:r>
    </w:p>
    <w:p w14:paraId="5DC57FE1" w14:textId="77777777" w:rsidR="00C0782D" w:rsidRPr="00C0782D" w:rsidRDefault="00C0782D" w:rsidP="00C0782D">
      <w:pPr>
        <w:keepNext/>
        <w:numPr>
          <w:ilvl w:val="0"/>
          <w:numId w:val="35"/>
        </w:numPr>
        <w:spacing w:before="120" w:after="240"/>
        <w:ind w:left="0" w:firstLine="0"/>
        <w:jc w:val="both"/>
        <w:rPr>
          <w:rFonts w:ascii="Arial" w:hAnsi="Arial" w:cs="Arial"/>
          <w:b/>
          <w:sz w:val="24"/>
          <w:szCs w:val="24"/>
        </w:rPr>
      </w:pPr>
      <w:r w:rsidRPr="00C0782D">
        <w:rPr>
          <w:rFonts w:ascii="Arial" w:hAnsi="Arial" w:cs="Arial"/>
          <w:b/>
          <w:sz w:val="24"/>
          <w:szCs w:val="24"/>
        </w:rPr>
        <w:t>LGD factor (top cover)</w:t>
      </w:r>
    </w:p>
    <w:p w14:paraId="7CC7B3C0" w14:textId="77777777" w:rsidR="00C0782D" w:rsidRPr="00C0782D" w:rsidRDefault="00C0782D" w:rsidP="00C0782D">
      <w:pPr>
        <w:spacing w:after="240"/>
        <w:jc w:val="both"/>
        <w:rPr>
          <w:sz w:val="24"/>
          <w:szCs w:val="24"/>
        </w:rPr>
      </w:pPr>
      <w:r w:rsidRPr="00C0782D">
        <w:rPr>
          <w:sz w:val="24"/>
          <w:szCs w:val="24"/>
        </w:rPr>
        <w:t>This is the LGD factor for top cover. It is automatically calculated as Column 7 divided by Column 3, subject to a maximum of 100%.</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1447C4DD" w14:textId="77777777" w:rsidR="00C0782D" w:rsidRPr="00C0782D" w:rsidRDefault="00C0782D" w:rsidP="00C0782D">
      <w:pPr>
        <w:keepNext/>
        <w:numPr>
          <w:ilvl w:val="0"/>
          <w:numId w:val="35"/>
        </w:numPr>
        <w:spacing w:before="120" w:after="240"/>
        <w:ind w:left="0" w:firstLine="0"/>
        <w:jc w:val="both"/>
        <w:rPr>
          <w:rFonts w:ascii="Arial" w:hAnsi="Arial" w:cs="Arial"/>
          <w:b/>
          <w:sz w:val="24"/>
          <w:szCs w:val="24"/>
        </w:rPr>
      </w:pPr>
      <w:r w:rsidRPr="00C0782D">
        <w:rPr>
          <w:rFonts w:ascii="Arial" w:hAnsi="Arial" w:cs="Arial"/>
          <w:b/>
          <w:sz w:val="24"/>
          <w:szCs w:val="24"/>
        </w:rPr>
        <w:t>PML</w:t>
      </w:r>
    </w:p>
    <w:p w14:paraId="20580C5B" w14:textId="77777777" w:rsidR="00C0782D" w:rsidRPr="00C0782D" w:rsidRDefault="00C0782D" w:rsidP="00C0782D">
      <w:pPr>
        <w:spacing w:after="240"/>
        <w:jc w:val="both"/>
        <w:rPr>
          <w:sz w:val="24"/>
          <w:szCs w:val="24"/>
        </w:rPr>
      </w:pPr>
      <w:r w:rsidRPr="00C0782D">
        <w:rPr>
          <w:sz w:val="24"/>
          <w:szCs w:val="24"/>
        </w:rPr>
        <w:t>For each individual LMI policy, the probable maximum loss (PML) is the sum insured multiplied by the seasoning, PD and LGD factors applicable to the policy. It is determined in accordance with Attachment A of GPS 116.</w:t>
      </w:r>
    </w:p>
    <w:p w14:paraId="6CDED021" w14:textId="77777777" w:rsidR="00C0782D" w:rsidRPr="00C0782D" w:rsidRDefault="00C0782D" w:rsidP="00C0782D">
      <w:pPr>
        <w:spacing w:after="240"/>
        <w:jc w:val="both"/>
        <w:rPr>
          <w:sz w:val="24"/>
          <w:szCs w:val="24"/>
        </w:rPr>
      </w:pPr>
      <w:r w:rsidRPr="00C0782D">
        <w:rPr>
          <w:sz w:val="24"/>
          <w:szCs w:val="24"/>
        </w:rPr>
        <w:t>It is automatically calculated as Column 5 multiplied by Column 6 multiplied by Column 8.</w:t>
      </w:r>
    </w:p>
    <w:p w14:paraId="3AE3705C"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Sections 1 and 2 - 1.2 and 2.2: Pool cover</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425A4254" w14:textId="77777777" w:rsidR="00C0782D" w:rsidRPr="00C0782D" w:rsidRDefault="00C0782D" w:rsidP="00C0782D">
      <w:pPr>
        <w:keepNext/>
        <w:numPr>
          <w:ilvl w:val="0"/>
          <w:numId w:val="36"/>
        </w:numPr>
        <w:spacing w:before="120" w:after="240"/>
        <w:ind w:left="0" w:firstLine="0"/>
        <w:jc w:val="both"/>
        <w:rPr>
          <w:rFonts w:ascii="Arial" w:hAnsi="Arial" w:cs="Arial"/>
          <w:b/>
          <w:sz w:val="24"/>
          <w:szCs w:val="24"/>
        </w:rPr>
      </w:pPr>
      <w:r w:rsidRPr="00C0782D">
        <w:rPr>
          <w:rFonts w:ascii="Arial" w:hAnsi="Arial" w:cs="Arial"/>
          <w:b/>
          <w:sz w:val="24"/>
          <w:szCs w:val="24"/>
        </w:rPr>
        <w:t>Weighted-average LVR (%)</w:t>
      </w:r>
      <w:r w:rsidRPr="00C0782D">
        <w:rPr>
          <w:rFonts w:ascii="Arial" w:hAnsi="Arial" w:cs="Arial"/>
          <w:b/>
          <w:sz w:val="24"/>
          <w:szCs w:val="24"/>
        </w:rPr>
        <w:tab/>
      </w:r>
    </w:p>
    <w:p w14:paraId="1BAF603E" w14:textId="77777777" w:rsidR="00C0782D" w:rsidRPr="00C0782D" w:rsidRDefault="00C0782D" w:rsidP="00C0782D">
      <w:pPr>
        <w:spacing w:after="240"/>
        <w:jc w:val="both"/>
        <w:rPr>
          <w:sz w:val="24"/>
          <w:szCs w:val="24"/>
        </w:rPr>
      </w:pPr>
      <w:r w:rsidRPr="00C0782D">
        <w:rPr>
          <w:sz w:val="24"/>
          <w:szCs w:val="24"/>
        </w:rPr>
        <w:t>Input the weighted-average LVR as a percentage for each pool. The weighted-average LVR should be calculated outside of the reporting forms and should not be based on summarised data.</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320BE831" w14:textId="77777777" w:rsidR="00C0782D" w:rsidRPr="00C0782D" w:rsidRDefault="00C0782D" w:rsidP="00C0782D">
      <w:pPr>
        <w:keepNext/>
        <w:numPr>
          <w:ilvl w:val="0"/>
          <w:numId w:val="36"/>
        </w:numPr>
        <w:spacing w:before="120" w:after="240"/>
        <w:ind w:left="0" w:firstLine="0"/>
        <w:jc w:val="both"/>
        <w:rPr>
          <w:rFonts w:ascii="Arial" w:hAnsi="Arial" w:cs="Arial"/>
          <w:b/>
          <w:sz w:val="24"/>
          <w:szCs w:val="24"/>
        </w:rPr>
      </w:pPr>
      <w:r w:rsidRPr="00C0782D">
        <w:rPr>
          <w:rFonts w:ascii="Arial" w:hAnsi="Arial" w:cs="Arial"/>
          <w:b/>
          <w:sz w:val="24"/>
          <w:szCs w:val="24"/>
        </w:rPr>
        <w:t>Weighted-average age</w:t>
      </w:r>
      <w:r w:rsidRPr="00C0782D">
        <w:rPr>
          <w:rFonts w:ascii="Arial" w:hAnsi="Arial" w:cs="Arial"/>
          <w:b/>
          <w:sz w:val="24"/>
          <w:szCs w:val="24"/>
        </w:rPr>
        <w:tab/>
      </w:r>
    </w:p>
    <w:p w14:paraId="0DD76616" w14:textId="77777777" w:rsidR="00C0782D" w:rsidRPr="00C0782D" w:rsidRDefault="00C0782D" w:rsidP="00C0782D">
      <w:pPr>
        <w:spacing w:after="240"/>
        <w:jc w:val="both"/>
        <w:rPr>
          <w:sz w:val="24"/>
          <w:szCs w:val="24"/>
        </w:rPr>
      </w:pPr>
      <w:r w:rsidRPr="00C0782D">
        <w:rPr>
          <w:sz w:val="24"/>
          <w:szCs w:val="24"/>
        </w:rPr>
        <w:t>Input the weighted-average age (in years) for each pool. The weighted-average age should be calculated outside of the reporting forms and should not be based on summarised data.</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1B741C02" w14:textId="77777777" w:rsidR="00C0782D" w:rsidRPr="00C0782D" w:rsidRDefault="00C0782D" w:rsidP="00C0782D">
      <w:pPr>
        <w:keepNext/>
        <w:numPr>
          <w:ilvl w:val="0"/>
          <w:numId w:val="36"/>
        </w:numPr>
        <w:spacing w:before="120" w:after="240"/>
        <w:ind w:left="0" w:firstLine="0"/>
        <w:jc w:val="both"/>
        <w:rPr>
          <w:rFonts w:ascii="Arial" w:hAnsi="Arial" w:cs="Arial"/>
          <w:b/>
          <w:sz w:val="24"/>
          <w:szCs w:val="24"/>
        </w:rPr>
      </w:pPr>
      <w:r w:rsidRPr="00C0782D">
        <w:rPr>
          <w:rFonts w:ascii="Arial" w:hAnsi="Arial" w:cs="Arial"/>
          <w:b/>
          <w:sz w:val="24"/>
          <w:szCs w:val="24"/>
        </w:rPr>
        <w:t xml:space="preserve">Seasoning factor </w:t>
      </w:r>
    </w:p>
    <w:p w14:paraId="50632D2D" w14:textId="77777777" w:rsidR="00C0782D" w:rsidRPr="00C0782D" w:rsidRDefault="00C0782D" w:rsidP="00C0782D">
      <w:pPr>
        <w:spacing w:after="240"/>
        <w:jc w:val="both"/>
        <w:rPr>
          <w:sz w:val="24"/>
          <w:szCs w:val="24"/>
        </w:rPr>
      </w:pPr>
      <w:r w:rsidRPr="00C0782D">
        <w:rPr>
          <w:sz w:val="24"/>
          <w:szCs w:val="24"/>
        </w:rPr>
        <w:t>This is the seasoning factor corresponding to the weighted-average age of the pool.</w:t>
      </w:r>
    </w:p>
    <w:p w14:paraId="07C8F6E3" w14:textId="77777777" w:rsidR="00C0782D" w:rsidRPr="00C0782D" w:rsidRDefault="00C0782D" w:rsidP="00C0782D">
      <w:pPr>
        <w:spacing w:after="240"/>
        <w:jc w:val="both"/>
        <w:rPr>
          <w:sz w:val="24"/>
          <w:szCs w:val="24"/>
        </w:rPr>
      </w:pPr>
      <w:r w:rsidRPr="00C0782D">
        <w:rPr>
          <w:sz w:val="24"/>
          <w:szCs w:val="24"/>
        </w:rPr>
        <w:t>It is automatically determined from the weighted-average age in Column 2.</w:t>
      </w:r>
    </w:p>
    <w:p w14:paraId="43B40648" w14:textId="77777777" w:rsidR="00C0782D" w:rsidRPr="00C0782D" w:rsidRDefault="00C0782D" w:rsidP="00C0782D">
      <w:pPr>
        <w:keepNext/>
        <w:numPr>
          <w:ilvl w:val="0"/>
          <w:numId w:val="36"/>
        </w:numPr>
        <w:spacing w:before="120" w:after="240"/>
        <w:ind w:left="0" w:firstLine="0"/>
        <w:jc w:val="both"/>
        <w:rPr>
          <w:rFonts w:ascii="Arial" w:hAnsi="Arial" w:cs="Arial"/>
          <w:b/>
          <w:sz w:val="24"/>
          <w:szCs w:val="24"/>
        </w:rPr>
      </w:pPr>
      <w:r w:rsidRPr="00C0782D">
        <w:rPr>
          <w:rFonts w:ascii="Arial" w:hAnsi="Arial" w:cs="Arial"/>
          <w:b/>
          <w:sz w:val="24"/>
          <w:szCs w:val="24"/>
        </w:rPr>
        <w:t>Total sum insured</w:t>
      </w:r>
      <w:r w:rsidRPr="00C0782D">
        <w:rPr>
          <w:rFonts w:ascii="Arial" w:hAnsi="Arial" w:cs="Arial"/>
          <w:b/>
          <w:sz w:val="24"/>
          <w:szCs w:val="24"/>
        </w:rPr>
        <w:tab/>
      </w:r>
    </w:p>
    <w:p w14:paraId="6C61CB40" w14:textId="77777777" w:rsidR="00C0782D" w:rsidRPr="00C0782D" w:rsidRDefault="00C0782D" w:rsidP="00C0782D">
      <w:pPr>
        <w:spacing w:after="240"/>
        <w:jc w:val="both"/>
        <w:rPr>
          <w:sz w:val="24"/>
          <w:szCs w:val="24"/>
        </w:rPr>
      </w:pPr>
      <w:r w:rsidRPr="00C0782D">
        <w:rPr>
          <w:sz w:val="24"/>
          <w:szCs w:val="24"/>
        </w:rPr>
        <w:t>Report the sum insured for pools of loans. The sum insured is the original exposure amount for an LMI as stated in the mortgage insurance policy.</w:t>
      </w:r>
      <w:r w:rsidRPr="00C0782D">
        <w:rPr>
          <w:sz w:val="24"/>
          <w:szCs w:val="24"/>
        </w:rPr>
        <w:tab/>
      </w:r>
      <w:r w:rsidRPr="00C0782D">
        <w:rPr>
          <w:sz w:val="24"/>
          <w:szCs w:val="24"/>
        </w:rPr>
        <w:tab/>
      </w:r>
    </w:p>
    <w:p w14:paraId="7EBF40F2" w14:textId="77777777" w:rsidR="00C0782D" w:rsidRPr="00C0782D" w:rsidRDefault="00C0782D" w:rsidP="00C0782D">
      <w:pPr>
        <w:keepNext/>
        <w:numPr>
          <w:ilvl w:val="0"/>
          <w:numId w:val="36"/>
        </w:numPr>
        <w:spacing w:before="120" w:after="240"/>
        <w:ind w:left="0" w:firstLine="0"/>
        <w:jc w:val="both"/>
        <w:rPr>
          <w:rFonts w:ascii="Arial" w:hAnsi="Arial" w:cs="Arial"/>
          <w:b/>
          <w:sz w:val="24"/>
          <w:szCs w:val="24"/>
        </w:rPr>
      </w:pPr>
      <w:r w:rsidRPr="00C0782D">
        <w:rPr>
          <w:rFonts w:ascii="Arial" w:hAnsi="Arial" w:cs="Arial"/>
          <w:b/>
          <w:sz w:val="24"/>
          <w:szCs w:val="24"/>
        </w:rPr>
        <w:t>PD factor</w:t>
      </w:r>
    </w:p>
    <w:p w14:paraId="0A2B76EF" w14:textId="77777777" w:rsidR="00C0782D" w:rsidRPr="00C0782D" w:rsidRDefault="00C0782D" w:rsidP="00C0782D">
      <w:pPr>
        <w:spacing w:after="240"/>
        <w:jc w:val="both"/>
        <w:rPr>
          <w:sz w:val="24"/>
          <w:szCs w:val="24"/>
        </w:rPr>
      </w:pPr>
      <w:r w:rsidRPr="00C0782D">
        <w:rPr>
          <w:sz w:val="24"/>
          <w:szCs w:val="24"/>
        </w:rPr>
        <w:t>This is the PD corresponding to the weighted-average LVR of the pool.</w:t>
      </w:r>
    </w:p>
    <w:p w14:paraId="407E5B68" w14:textId="77777777" w:rsidR="00C0782D" w:rsidRPr="00C0782D" w:rsidRDefault="00C0782D" w:rsidP="00C0782D">
      <w:pPr>
        <w:spacing w:after="240"/>
        <w:jc w:val="both"/>
        <w:rPr>
          <w:sz w:val="24"/>
          <w:szCs w:val="24"/>
        </w:rPr>
      </w:pPr>
      <w:r w:rsidRPr="00C0782D">
        <w:rPr>
          <w:sz w:val="24"/>
          <w:szCs w:val="24"/>
        </w:rPr>
        <w:t>It is automatically determined from the weighted average LVR percentage in Column 1.</w:t>
      </w:r>
    </w:p>
    <w:p w14:paraId="4A85818B" w14:textId="77777777" w:rsidR="00C0782D" w:rsidRPr="00C0782D" w:rsidRDefault="00C0782D" w:rsidP="00C0782D">
      <w:pPr>
        <w:keepNext/>
        <w:numPr>
          <w:ilvl w:val="0"/>
          <w:numId w:val="36"/>
        </w:numPr>
        <w:spacing w:before="120" w:after="240"/>
        <w:ind w:left="0" w:firstLine="0"/>
        <w:jc w:val="both"/>
        <w:rPr>
          <w:rFonts w:ascii="Arial" w:hAnsi="Arial" w:cs="Arial"/>
          <w:b/>
          <w:sz w:val="24"/>
          <w:szCs w:val="24"/>
        </w:rPr>
      </w:pPr>
      <w:r w:rsidRPr="00C0782D">
        <w:rPr>
          <w:rFonts w:ascii="Arial" w:hAnsi="Arial" w:cs="Arial"/>
          <w:b/>
          <w:sz w:val="24"/>
          <w:szCs w:val="24"/>
        </w:rPr>
        <w:lastRenderedPageBreak/>
        <w:t>LGD factor</w:t>
      </w:r>
    </w:p>
    <w:p w14:paraId="7EC78663" w14:textId="77777777" w:rsidR="00C0782D" w:rsidRPr="00C0782D" w:rsidRDefault="00C0782D" w:rsidP="00C0782D">
      <w:pPr>
        <w:spacing w:after="240"/>
        <w:jc w:val="both"/>
        <w:rPr>
          <w:sz w:val="24"/>
          <w:szCs w:val="24"/>
        </w:rPr>
      </w:pPr>
      <w:r w:rsidRPr="00C0782D">
        <w:rPr>
          <w:sz w:val="24"/>
          <w:szCs w:val="24"/>
        </w:rPr>
        <w:t>This is the LGD corresponding to the weighted-average LVR of the pool.</w:t>
      </w:r>
    </w:p>
    <w:p w14:paraId="477B7C73" w14:textId="77777777" w:rsidR="00C0782D" w:rsidRPr="00C0782D" w:rsidRDefault="00C0782D" w:rsidP="00C0782D">
      <w:pPr>
        <w:spacing w:after="240"/>
        <w:jc w:val="both"/>
        <w:rPr>
          <w:sz w:val="24"/>
          <w:szCs w:val="24"/>
        </w:rPr>
      </w:pPr>
      <w:r w:rsidRPr="00C0782D">
        <w:rPr>
          <w:sz w:val="24"/>
          <w:szCs w:val="24"/>
        </w:rPr>
        <w:t>It is automatically determined from the weighted-average LVR percentage in Column 1.</w:t>
      </w:r>
    </w:p>
    <w:p w14:paraId="6762249D" w14:textId="77777777" w:rsidR="00C0782D" w:rsidRPr="00C0782D" w:rsidRDefault="00C0782D" w:rsidP="00C0782D">
      <w:pPr>
        <w:keepNext/>
        <w:numPr>
          <w:ilvl w:val="0"/>
          <w:numId w:val="36"/>
        </w:numPr>
        <w:spacing w:before="120" w:after="240"/>
        <w:ind w:left="0" w:firstLine="0"/>
        <w:jc w:val="both"/>
        <w:rPr>
          <w:rFonts w:ascii="Arial" w:hAnsi="Arial" w:cs="Arial"/>
          <w:b/>
          <w:sz w:val="24"/>
          <w:szCs w:val="24"/>
        </w:rPr>
      </w:pPr>
      <w:r w:rsidRPr="00C0782D">
        <w:rPr>
          <w:rFonts w:ascii="Arial" w:hAnsi="Arial" w:cs="Arial"/>
          <w:b/>
          <w:sz w:val="24"/>
          <w:szCs w:val="24"/>
        </w:rPr>
        <w:t>PML</w:t>
      </w:r>
    </w:p>
    <w:p w14:paraId="3B2376E6" w14:textId="77777777" w:rsidR="00C0782D" w:rsidRPr="00C0782D" w:rsidRDefault="00C0782D" w:rsidP="00C0782D">
      <w:pPr>
        <w:spacing w:after="240"/>
        <w:jc w:val="both"/>
        <w:rPr>
          <w:sz w:val="24"/>
          <w:szCs w:val="24"/>
        </w:rPr>
        <w:sectPr w:rsidR="00C0782D" w:rsidRPr="00C0782D" w:rsidSect="00251A4C">
          <w:footerReference w:type="default" r:id="rId27"/>
          <w:pgSz w:w="11906" w:h="16838" w:code="9"/>
          <w:pgMar w:top="1440" w:right="1440" w:bottom="1440" w:left="1440" w:header="709" w:footer="709" w:gutter="0"/>
          <w:pgNumType w:start="1"/>
          <w:cols w:space="708"/>
          <w:docGrid w:linePitch="360"/>
        </w:sectPr>
      </w:pPr>
      <w:r w:rsidRPr="00C0782D">
        <w:rPr>
          <w:sz w:val="24"/>
          <w:szCs w:val="24"/>
        </w:rPr>
        <w:t>This is automatically calculated as Column 4 multiplied by Column 3 multiplied by Column 5 multiplied by Column 6.</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5A95238E" w14:textId="77777777" w:rsidR="00C0782D" w:rsidRPr="00C0782D" w:rsidRDefault="00C0782D" w:rsidP="00C0782D">
      <w:pPr>
        <w:keepNext/>
        <w:spacing w:before="120" w:after="360"/>
        <w:jc w:val="center"/>
        <w:rPr>
          <w:rFonts w:ascii="Arial" w:hAnsi="Arial" w:cs="Arial"/>
          <w:b/>
          <w:sz w:val="32"/>
          <w:szCs w:val="32"/>
        </w:rPr>
      </w:pPr>
      <w:r w:rsidRPr="00C0782D">
        <w:rPr>
          <w:rFonts w:ascii="Arial" w:hAnsi="Arial" w:cs="Arial"/>
          <w:b/>
          <w:bCs/>
          <w:sz w:val="32"/>
          <w:szCs w:val="32"/>
        </w:rPr>
        <w:lastRenderedPageBreak/>
        <w:t>GRF_116_2 Probable Maximum Loss for LMIs - Non-Standard Loans</w:t>
      </w:r>
    </w:p>
    <w:p w14:paraId="2681DBCC" w14:textId="77777777" w:rsidR="00C0782D" w:rsidRPr="00C0782D" w:rsidRDefault="00C0782D" w:rsidP="00C0782D">
      <w:pPr>
        <w:keepNext/>
        <w:spacing w:before="120" w:after="360"/>
        <w:jc w:val="both"/>
        <w:rPr>
          <w:rFonts w:ascii="Arial" w:hAnsi="Arial" w:cs="Arial"/>
          <w:b/>
          <w:sz w:val="32"/>
          <w:szCs w:val="32"/>
        </w:rPr>
      </w:pPr>
      <w:r w:rsidRPr="00C0782D">
        <w:rPr>
          <w:sz w:val="24"/>
          <w:szCs w:val="24"/>
        </w:rPr>
        <w:t>These instructions must be read in conjunction with the general instruction guide.</w:t>
      </w:r>
    </w:p>
    <w:p w14:paraId="5ED9F973" w14:textId="77777777" w:rsidR="00C0782D" w:rsidRPr="00C0782D" w:rsidRDefault="00C0782D" w:rsidP="00C0782D">
      <w:pPr>
        <w:keepNext/>
        <w:spacing w:before="120" w:after="360"/>
        <w:jc w:val="both"/>
        <w:rPr>
          <w:rFonts w:ascii="Arial" w:hAnsi="Arial" w:cs="Arial"/>
          <w:b/>
          <w:sz w:val="32"/>
          <w:szCs w:val="32"/>
        </w:rPr>
      </w:pPr>
      <w:r w:rsidRPr="00C0782D">
        <w:rPr>
          <w:rFonts w:ascii="Arial" w:hAnsi="Arial" w:cs="Arial"/>
          <w:b/>
          <w:sz w:val="32"/>
          <w:szCs w:val="32"/>
        </w:rPr>
        <w:t>Explanatory notes</w:t>
      </w:r>
    </w:p>
    <w:p w14:paraId="6B439089"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Non-standard loan</w:t>
      </w:r>
    </w:p>
    <w:p w14:paraId="1A0CB6DB" w14:textId="77777777" w:rsidR="00C0782D" w:rsidRPr="00C0782D" w:rsidRDefault="00C0782D" w:rsidP="00C0782D">
      <w:pPr>
        <w:spacing w:after="240"/>
        <w:jc w:val="both"/>
        <w:rPr>
          <w:sz w:val="24"/>
          <w:szCs w:val="24"/>
        </w:rPr>
      </w:pPr>
      <w:r w:rsidRPr="00C0782D">
        <w:rPr>
          <w:sz w:val="24"/>
          <w:szCs w:val="24"/>
        </w:rPr>
        <w:t>A non-standard loan is a loan predominantly secured by residential property which does not meet the criteria for a standard loan as defined in Attachment A of GPS 116 and/or where APRA has given a direction that the loan should be classified as a non-standard loan.</w:t>
      </w:r>
    </w:p>
    <w:p w14:paraId="74CFB65D"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100% cover</w:t>
      </w:r>
    </w:p>
    <w:p w14:paraId="5F940093" w14:textId="77777777" w:rsidR="00C0782D" w:rsidRPr="00C0782D" w:rsidRDefault="00C0782D" w:rsidP="00C0782D">
      <w:pPr>
        <w:spacing w:after="240"/>
        <w:jc w:val="both"/>
        <w:rPr>
          <w:sz w:val="24"/>
          <w:szCs w:val="24"/>
        </w:rPr>
      </w:pPr>
      <w:r w:rsidRPr="00C0782D">
        <w:rPr>
          <w:sz w:val="24"/>
          <w:szCs w:val="24"/>
        </w:rPr>
        <w:t>100% cover provides insurance for 100% of the loan amount.</w:t>
      </w:r>
    </w:p>
    <w:p w14:paraId="4BE6EBBB"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Top cover</w:t>
      </w:r>
    </w:p>
    <w:p w14:paraId="74EE4716" w14:textId="77777777" w:rsidR="00C0782D" w:rsidRPr="00C0782D" w:rsidRDefault="00C0782D" w:rsidP="00C0782D">
      <w:pPr>
        <w:spacing w:after="240"/>
        <w:jc w:val="both"/>
        <w:rPr>
          <w:sz w:val="24"/>
          <w:szCs w:val="24"/>
        </w:rPr>
      </w:pPr>
      <w:r w:rsidRPr="00C0782D">
        <w:rPr>
          <w:sz w:val="24"/>
          <w:szCs w:val="24"/>
        </w:rPr>
        <w:t>Top cover provides insurance for less than 100% of the loan amount.</w:t>
      </w:r>
    </w:p>
    <w:p w14:paraId="742A153E"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Pool cover</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0D7DEE47" w14:textId="77777777" w:rsidR="00C0782D" w:rsidRPr="00C0782D" w:rsidRDefault="00C0782D" w:rsidP="00C0782D">
      <w:pPr>
        <w:spacing w:after="240"/>
        <w:jc w:val="both"/>
        <w:rPr>
          <w:sz w:val="24"/>
          <w:szCs w:val="24"/>
        </w:rPr>
      </w:pPr>
      <w:r w:rsidRPr="00C0782D">
        <w:rPr>
          <w:sz w:val="24"/>
          <w:szCs w:val="24"/>
        </w:rPr>
        <w:t xml:space="preserve">A pooled LMI policy, or pool cover, is lenders mortgage insurance underwritten and issued in respect of a pool of loans. For clarity, each loan is not individually insured. </w:t>
      </w:r>
    </w:p>
    <w:p w14:paraId="332ACBEC"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 1: ADI</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0BDDE412" w14:textId="77777777" w:rsidR="00C0782D" w:rsidRPr="00C0782D" w:rsidRDefault="00C0782D" w:rsidP="00C0782D">
      <w:pPr>
        <w:spacing w:after="240"/>
        <w:jc w:val="both"/>
        <w:rPr>
          <w:sz w:val="24"/>
          <w:szCs w:val="24"/>
        </w:rPr>
      </w:pPr>
      <w:r w:rsidRPr="00C0782D">
        <w:rPr>
          <w:sz w:val="24"/>
          <w:szCs w:val="24"/>
        </w:rPr>
        <w:t xml:space="preserve">Report in this section information relating to loans approved, advanced and funded by an Authorised Deposit-taking Institution (ADI). An ADI has an in force authority under subsection 9(3) of the </w:t>
      </w:r>
      <w:r w:rsidRPr="00C0782D">
        <w:rPr>
          <w:i/>
          <w:sz w:val="24"/>
          <w:szCs w:val="24"/>
        </w:rPr>
        <w:t>Banking Act 1959</w:t>
      </w:r>
      <w:r w:rsidRPr="00C0782D">
        <w:rPr>
          <w:sz w:val="24"/>
          <w:szCs w:val="24"/>
        </w:rPr>
        <w:t>.</w:t>
      </w:r>
    </w:p>
    <w:p w14:paraId="5A833704"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 2: Non-APRA regulated</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76E2824C" w14:textId="77777777" w:rsidR="00C0782D" w:rsidRPr="00C0782D" w:rsidRDefault="00C0782D" w:rsidP="00C0782D">
      <w:pPr>
        <w:spacing w:after="240"/>
        <w:jc w:val="both"/>
        <w:rPr>
          <w:sz w:val="24"/>
          <w:szCs w:val="24"/>
        </w:rPr>
      </w:pPr>
      <w:r w:rsidRPr="00C0782D">
        <w:rPr>
          <w:sz w:val="24"/>
          <w:szCs w:val="24"/>
        </w:rPr>
        <w:t>Report in this section information relating to loans approved, advance and funded by entities that are not ADIs.</w:t>
      </w:r>
    </w:p>
    <w:p w14:paraId="6AAD8263" w14:textId="77777777" w:rsidR="00C0782D" w:rsidRPr="00C0782D" w:rsidRDefault="00C0782D" w:rsidP="00C0782D">
      <w:pPr>
        <w:spacing w:after="240"/>
        <w:jc w:val="both"/>
        <w:rPr>
          <w:sz w:val="24"/>
          <w:szCs w:val="24"/>
        </w:rPr>
      </w:pPr>
      <w:r w:rsidRPr="00C0782D">
        <w:rPr>
          <w:sz w:val="24"/>
          <w:szCs w:val="24"/>
        </w:rPr>
        <w:tab/>
      </w:r>
      <w:r w:rsidRPr="00C0782D">
        <w:rPr>
          <w:sz w:val="24"/>
          <w:szCs w:val="24"/>
        </w:rPr>
        <w:tab/>
      </w:r>
      <w:r w:rsidRPr="00C0782D">
        <w:rPr>
          <w:sz w:val="24"/>
          <w:szCs w:val="24"/>
        </w:rPr>
        <w:tab/>
      </w:r>
    </w:p>
    <w:p w14:paraId="1D6FF5A5" w14:textId="77777777" w:rsidR="00C0782D" w:rsidRPr="00C0782D" w:rsidRDefault="00C0782D" w:rsidP="00C0782D">
      <w:pPr>
        <w:spacing w:after="200" w:line="276" w:lineRule="auto"/>
        <w:rPr>
          <w:sz w:val="24"/>
          <w:szCs w:val="24"/>
        </w:rPr>
      </w:pPr>
      <w:r w:rsidRPr="00C0782D">
        <w:rPr>
          <w:sz w:val="24"/>
          <w:szCs w:val="24"/>
        </w:rPr>
        <w:br w:type="page"/>
      </w:r>
    </w:p>
    <w:p w14:paraId="6B2F8112" w14:textId="77777777" w:rsidR="00C0782D" w:rsidRPr="00C0782D" w:rsidRDefault="00C0782D" w:rsidP="00C0782D">
      <w:pPr>
        <w:keepNext/>
        <w:spacing w:before="120" w:after="360"/>
        <w:jc w:val="both"/>
        <w:rPr>
          <w:rFonts w:ascii="Arial" w:hAnsi="Arial" w:cs="Arial"/>
          <w:b/>
          <w:sz w:val="32"/>
          <w:szCs w:val="32"/>
        </w:rPr>
      </w:pPr>
      <w:r w:rsidRPr="00C0782D">
        <w:rPr>
          <w:rFonts w:ascii="Arial" w:hAnsi="Arial" w:cs="Arial"/>
          <w:b/>
          <w:sz w:val="32"/>
          <w:szCs w:val="32"/>
        </w:rPr>
        <w:lastRenderedPageBreak/>
        <w:t>Instructions for specific items</w:t>
      </w:r>
    </w:p>
    <w:p w14:paraId="18779058"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Sections 1 and 2 - 1.1 and 2.1: 100 per cent and top cover</w:t>
      </w:r>
    </w:p>
    <w:p w14:paraId="3DE93CBC" w14:textId="77777777" w:rsidR="00C0782D" w:rsidRPr="00C0782D" w:rsidRDefault="00C0782D" w:rsidP="00C0782D">
      <w:pPr>
        <w:keepNext/>
        <w:numPr>
          <w:ilvl w:val="0"/>
          <w:numId w:val="37"/>
        </w:numPr>
        <w:spacing w:before="120" w:after="240"/>
        <w:ind w:left="567" w:hanging="567"/>
        <w:jc w:val="both"/>
        <w:rPr>
          <w:rFonts w:ascii="Arial" w:hAnsi="Arial" w:cs="Arial"/>
          <w:b/>
          <w:sz w:val="24"/>
          <w:szCs w:val="24"/>
        </w:rPr>
      </w:pPr>
      <w:r w:rsidRPr="00C0782D">
        <w:rPr>
          <w:rFonts w:ascii="Arial" w:hAnsi="Arial" w:cs="Arial"/>
          <w:b/>
          <w:sz w:val="24"/>
          <w:szCs w:val="24"/>
        </w:rPr>
        <w:t>LVR greater than (%)</w:t>
      </w:r>
    </w:p>
    <w:p w14:paraId="37CBDE0D" w14:textId="77777777" w:rsidR="00C0782D" w:rsidRPr="00C0782D" w:rsidRDefault="00C0782D" w:rsidP="00C0782D">
      <w:pPr>
        <w:spacing w:after="240"/>
        <w:jc w:val="both"/>
        <w:rPr>
          <w:sz w:val="24"/>
          <w:szCs w:val="24"/>
        </w:rPr>
      </w:pPr>
      <w:r w:rsidRPr="00C0782D">
        <w:rPr>
          <w:sz w:val="24"/>
          <w:szCs w:val="24"/>
        </w:rPr>
        <w:t>The Loan-to-Valuation Ratio (LVR) is the ratio of the amount of the loan to the value of the secured residential property, as at the date of origination of the loan. Where the mortgage insurance premium is capitalised in the loan amount, the LVR must be calculated including the premium; that is, the loan amount must be increased by the amount of the capitalised premium, irrespective of whether the premium is insured. The inclusion of a First Home Owners Grant in the deposit for a mortgaged property will not otherwise increase the LVR of a loan.</w:t>
      </w:r>
    </w:p>
    <w:p w14:paraId="231265D3" w14:textId="77777777" w:rsidR="00C0782D" w:rsidRPr="00C0782D" w:rsidRDefault="00C0782D" w:rsidP="00C0782D">
      <w:pPr>
        <w:spacing w:after="240"/>
        <w:jc w:val="both"/>
        <w:rPr>
          <w:sz w:val="24"/>
          <w:szCs w:val="24"/>
        </w:rPr>
      </w:pPr>
      <w:r w:rsidRPr="00C0782D">
        <w:rPr>
          <w:sz w:val="24"/>
          <w:szCs w:val="24"/>
        </w:rPr>
        <w:t>Lenders mortgage insurers (LMIs) are required to report the sum insured according to the following categories: LVR of less than 60.01, 60.01 to 70, 70.01 to 80, 80.01 to 85, 85.01 to 90, 90.01 to 95, 95.01 to 100, and greater than 100 per cent. Report the relevant category by selecting the appropriate lower and upper bound percentages in Columns 1 and 2.</w:t>
      </w:r>
      <w:r w:rsidRPr="00C0782D">
        <w:rPr>
          <w:sz w:val="24"/>
          <w:szCs w:val="24"/>
        </w:rPr>
        <w:tab/>
      </w:r>
    </w:p>
    <w:p w14:paraId="13D925F9" w14:textId="77777777" w:rsidR="00C0782D" w:rsidRPr="00C0782D" w:rsidRDefault="00C0782D" w:rsidP="00C0782D">
      <w:pPr>
        <w:keepNext/>
        <w:numPr>
          <w:ilvl w:val="0"/>
          <w:numId w:val="37"/>
        </w:numPr>
        <w:spacing w:before="120" w:after="240"/>
        <w:ind w:left="0" w:firstLine="0"/>
        <w:jc w:val="both"/>
        <w:rPr>
          <w:rFonts w:ascii="Arial" w:hAnsi="Arial" w:cs="Arial"/>
          <w:b/>
          <w:sz w:val="24"/>
          <w:szCs w:val="24"/>
        </w:rPr>
      </w:pPr>
      <w:r w:rsidRPr="00C0782D">
        <w:rPr>
          <w:rFonts w:ascii="Arial" w:hAnsi="Arial" w:cs="Arial"/>
          <w:b/>
          <w:sz w:val="24"/>
          <w:szCs w:val="24"/>
        </w:rPr>
        <w:t>LVR less than or equal to (%)</w:t>
      </w:r>
    </w:p>
    <w:p w14:paraId="0C927E87" w14:textId="77777777" w:rsidR="00C0782D" w:rsidRPr="00C0782D" w:rsidRDefault="00C0782D" w:rsidP="00C0782D">
      <w:pPr>
        <w:spacing w:after="240"/>
        <w:jc w:val="both"/>
        <w:rPr>
          <w:sz w:val="24"/>
          <w:szCs w:val="24"/>
        </w:rPr>
      </w:pPr>
      <w:r w:rsidRPr="00C0782D">
        <w:rPr>
          <w:sz w:val="24"/>
          <w:szCs w:val="24"/>
        </w:rPr>
        <w:t>The Loan-to-Valuation Ratio (LVR) is the ratio of the amount of the loan to the value of the secured residential property, as at the date of origination of the loan. Where the mortgage insurance premium is capitalised in the loan amount, the LVR must be calculated including the premium; that is, the loan amount must be increased by the amount of the capitalised premium, irrespective of whether the premium is insured. The inclusion of a First Home Owners Grant in the deposit for a mortgaged property will not otherwise increase the LVR of a loan.</w:t>
      </w:r>
    </w:p>
    <w:p w14:paraId="6B0CB5F1" w14:textId="77777777" w:rsidR="00C0782D" w:rsidRPr="00C0782D" w:rsidRDefault="00C0782D" w:rsidP="00C0782D">
      <w:pPr>
        <w:spacing w:after="240"/>
        <w:jc w:val="both"/>
        <w:rPr>
          <w:sz w:val="24"/>
          <w:szCs w:val="24"/>
        </w:rPr>
      </w:pPr>
      <w:r w:rsidRPr="00C0782D">
        <w:rPr>
          <w:sz w:val="24"/>
          <w:szCs w:val="24"/>
        </w:rPr>
        <w:t>Lenders mortgage insurers (LMIs) are required to report the sum insured according to the following categories: LVR of less than 60.01, 60.01 to 70, 70.01 to 80, 80.01 to 85, 85.01 to 90, 90.01 to 95, 95.01 to 100, and greater than 100 per cent. Report the relevant category by selecting the appropriate lower and upper bound percentages in Columns 1 and 2.</w:t>
      </w:r>
      <w:r w:rsidRPr="00C0782D">
        <w:rPr>
          <w:sz w:val="24"/>
          <w:szCs w:val="24"/>
        </w:rPr>
        <w:tab/>
      </w:r>
    </w:p>
    <w:p w14:paraId="61ACC188" w14:textId="77777777" w:rsidR="00C0782D" w:rsidRPr="00C0782D" w:rsidRDefault="00C0782D" w:rsidP="00C0782D">
      <w:pPr>
        <w:keepNext/>
        <w:numPr>
          <w:ilvl w:val="0"/>
          <w:numId w:val="37"/>
        </w:numPr>
        <w:spacing w:before="120" w:after="240"/>
        <w:ind w:left="0" w:firstLine="0"/>
        <w:jc w:val="both"/>
        <w:rPr>
          <w:rFonts w:ascii="Arial" w:hAnsi="Arial" w:cs="Arial"/>
          <w:b/>
          <w:sz w:val="24"/>
          <w:szCs w:val="24"/>
        </w:rPr>
      </w:pPr>
      <w:r w:rsidRPr="00C0782D">
        <w:rPr>
          <w:rFonts w:ascii="Arial" w:hAnsi="Arial" w:cs="Arial"/>
          <w:b/>
          <w:sz w:val="24"/>
          <w:szCs w:val="24"/>
        </w:rPr>
        <w:t>Coverage proportion (%)</w:t>
      </w:r>
    </w:p>
    <w:p w14:paraId="3B89564C" w14:textId="77777777" w:rsidR="00C0782D" w:rsidRPr="00C0782D" w:rsidRDefault="00C0782D" w:rsidP="00C0782D">
      <w:pPr>
        <w:spacing w:after="240"/>
        <w:jc w:val="both"/>
        <w:rPr>
          <w:sz w:val="24"/>
          <w:szCs w:val="24"/>
        </w:rPr>
      </w:pPr>
      <w:r w:rsidRPr="00C0782D">
        <w:rPr>
          <w:sz w:val="24"/>
          <w:szCs w:val="24"/>
        </w:rPr>
        <w:t>This is the percentage of cover for which the insurance provides over the loan amount.</w:t>
      </w:r>
    </w:p>
    <w:p w14:paraId="1EC07DEC" w14:textId="77777777" w:rsidR="00C0782D" w:rsidRPr="00C0782D" w:rsidRDefault="00C0782D" w:rsidP="00C0782D">
      <w:pPr>
        <w:spacing w:after="240"/>
        <w:jc w:val="both"/>
        <w:rPr>
          <w:sz w:val="24"/>
          <w:szCs w:val="24"/>
        </w:rPr>
      </w:pPr>
      <w:r w:rsidRPr="00C0782D">
        <w:rPr>
          <w:sz w:val="24"/>
          <w:szCs w:val="24"/>
        </w:rPr>
        <w:t>Select from the appropriate coverage proportion percentage: 20, 25, 30, 35, 40 or 100 per cent.</w:t>
      </w:r>
    </w:p>
    <w:p w14:paraId="59AB982E" w14:textId="77777777" w:rsidR="00C0782D" w:rsidRPr="00C0782D" w:rsidRDefault="00C0782D" w:rsidP="00C0782D">
      <w:pPr>
        <w:keepNext/>
        <w:numPr>
          <w:ilvl w:val="0"/>
          <w:numId w:val="38"/>
        </w:numPr>
        <w:spacing w:before="120" w:after="240"/>
        <w:ind w:left="567" w:hanging="567"/>
        <w:jc w:val="both"/>
        <w:rPr>
          <w:rFonts w:ascii="Arial" w:hAnsi="Arial" w:cs="Arial"/>
          <w:b/>
          <w:sz w:val="24"/>
          <w:szCs w:val="24"/>
        </w:rPr>
      </w:pPr>
      <w:r w:rsidRPr="00C0782D">
        <w:rPr>
          <w:rFonts w:ascii="Arial" w:hAnsi="Arial" w:cs="Arial"/>
          <w:b/>
          <w:sz w:val="24"/>
          <w:szCs w:val="24"/>
        </w:rPr>
        <w:t>&lt; 3 years</w:t>
      </w:r>
    </w:p>
    <w:p w14:paraId="26FA078F" w14:textId="77777777" w:rsidR="00C0782D" w:rsidRPr="00C0782D" w:rsidRDefault="00C0782D" w:rsidP="00C0782D">
      <w:pPr>
        <w:keepNext/>
        <w:numPr>
          <w:ilvl w:val="0"/>
          <w:numId w:val="38"/>
        </w:numPr>
        <w:spacing w:before="120" w:after="240"/>
        <w:jc w:val="both"/>
        <w:rPr>
          <w:rFonts w:ascii="Arial" w:hAnsi="Arial" w:cs="Arial"/>
          <w:b/>
          <w:sz w:val="24"/>
          <w:szCs w:val="24"/>
        </w:rPr>
      </w:pPr>
      <w:r w:rsidRPr="00C0782D">
        <w:rPr>
          <w:rFonts w:ascii="Arial" w:hAnsi="Arial" w:cs="Arial"/>
          <w:b/>
          <w:sz w:val="24"/>
          <w:szCs w:val="24"/>
        </w:rPr>
        <w:t>3 &lt; 5 years</w:t>
      </w:r>
    </w:p>
    <w:p w14:paraId="6100D389" w14:textId="77777777" w:rsidR="00C0782D" w:rsidRPr="00C0782D" w:rsidRDefault="00C0782D" w:rsidP="00C0782D">
      <w:pPr>
        <w:keepNext/>
        <w:numPr>
          <w:ilvl w:val="0"/>
          <w:numId w:val="38"/>
        </w:numPr>
        <w:spacing w:before="120" w:after="240"/>
        <w:jc w:val="both"/>
        <w:rPr>
          <w:rFonts w:ascii="Arial" w:hAnsi="Arial" w:cs="Arial"/>
          <w:b/>
          <w:sz w:val="24"/>
          <w:szCs w:val="24"/>
        </w:rPr>
      </w:pPr>
      <w:r w:rsidRPr="00C0782D">
        <w:rPr>
          <w:rFonts w:ascii="Arial" w:hAnsi="Arial" w:cs="Arial"/>
          <w:b/>
          <w:sz w:val="24"/>
          <w:szCs w:val="24"/>
        </w:rPr>
        <w:t>5 &lt; 10 years</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77C01FC2" w14:textId="77777777" w:rsidR="00C0782D" w:rsidRPr="00C0782D" w:rsidRDefault="00C0782D" w:rsidP="00C0782D">
      <w:pPr>
        <w:keepNext/>
        <w:numPr>
          <w:ilvl w:val="0"/>
          <w:numId w:val="34"/>
        </w:numPr>
        <w:spacing w:before="120" w:after="240"/>
        <w:ind w:left="0" w:firstLine="0"/>
        <w:jc w:val="both"/>
        <w:rPr>
          <w:rFonts w:ascii="Arial" w:hAnsi="Arial" w:cs="Arial"/>
          <w:b/>
          <w:sz w:val="24"/>
          <w:szCs w:val="24"/>
        </w:rPr>
      </w:pPr>
      <w:r w:rsidRPr="00C0782D">
        <w:rPr>
          <w:rFonts w:ascii="Arial" w:hAnsi="Arial" w:cs="Arial"/>
          <w:b/>
          <w:sz w:val="24"/>
          <w:szCs w:val="24"/>
        </w:rPr>
        <w:t>&gt;= 10 years</w:t>
      </w:r>
    </w:p>
    <w:p w14:paraId="208F5262" w14:textId="77777777" w:rsidR="00C0782D" w:rsidRPr="00C0782D" w:rsidRDefault="00C0782D" w:rsidP="00C0782D">
      <w:pPr>
        <w:spacing w:after="240"/>
        <w:jc w:val="both"/>
        <w:rPr>
          <w:sz w:val="24"/>
          <w:szCs w:val="24"/>
        </w:rPr>
      </w:pPr>
      <w:r w:rsidRPr="00C0782D">
        <w:rPr>
          <w:sz w:val="24"/>
          <w:szCs w:val="24"/>
        </w:rPr>
        <w:t>Age is the length of time from the date of origination of the loan to the date of calculation for the purposes of determining the seasoning factors in Attachment A of GPS 116.</w:t>
      </w:r>
    </w:p>
    <w:p w14:paraId="35584BA6" w14:textId="77777777" w:rsidR="00C0782D" w:rsidRPr="00C0782D" w:rsidRDefault="00C0782D" w:rsidP="00C0782D">
      <w:pPr>
        <w:spacing w:after="240"/>
        <w:jc w:val="both"/>
        <w:rPr>
          <w:sz w:val="24"/>
          <w:szCs w:val="24"/>
        </w:rPr>
      </w:pPr>
      <w:r w:rsidRPr="00C0782D">
        <w:rPr>
          <w:sz w:val="24"/>
          <w:szCs w:val="24"/>
        </w:rPr>
        <w:t>Report the sums insured for the LMI policies according to the following categories: age of less than three years, three to less than five years, five to less than 10 years, and more than 10 years.</w:t>
      </w:r>
    </w:p>
    <w:p w14:paraId="175AF52D" w14:textId="77777777" w:rsidR="00C0782D" w:rsidRPr="00C0782D" w:rsidRDefault="00C0782D" w:rsidP="00C0782D">
      <w:pPr>
        <w:keepNext/>
        <w:numPr>
          <w:ilvl w:val="0"/>
          <w:numId w:val="39"/>
        </w:numPr>
        <w:spacing w:before="120" w:after="240"/>
        <w:ind w:left="567" w:hanging="567"/>
        <w:jc w:val="both"/>
        <w:rPr>
          <w:rFonts w:ascii="Arial" w:hAnsi="Arial" w:cs="Arial"/>
          <w:b/>
          <w:sz w:val="24"/>
          <w:szCs w:val="24"/>
        </w:rPr>
      </w:pPr>
      <w:r w:rsidRPr="00C0782D">
        <w:rPr>
          <w:rFonts w:ascii="Arial" w:hAnsi="Arial" w:cs="Arial"/>
          <w:b/>
          <w:sz w:val="24"/>
          <w:szCs w:val="24"/>
        </w:rPr>
        <w:lastRenderedPageBreak/>
        <w:t>Total sum insured</w:t>
      </w:r>
      <w:r w:rsidRPr="00C0782D">
        <w:rPr>
          <w:rFonts w:ascii="Arial" w:hAnsi="Arial" w:cs="Arial"/>
          <w:b/>
          <w:sz w:val="24"/>
          <w:szCs w:val="24"/>
        </w:rPr>
        <w:tab/>
      </w:r>
    </w:p>
    <w:p w14:paraId="177C78F8" w14:textId="77777777" w:rsidR="00C0782D" w:rsidRPr="00C0782D" w:rsidRDefault="00C0782D" w:rsidP="00C0782D">
      <w:pPr>
        <w:spacing w:after="240"/>
        <w:jc w:val="both"/>
        <w:rPr>
          <w:sz w:val="24"/>
          <w:szCs w:val="24"/>
        </w:rPr>
      </w:pPr>
      <w:r w:rsidRPr="00C0782D">
        <w:rPr>
          <w:sz w:val="24"/>
          <w:szCs w:val="24"/>
        </w:rPr>
        <w:t>The sum insured is the original exposure amount for an LMI as stated in the mortgage insurance policy.</w:t>
      </w:r>
    </w:p>
    <w:p w14:paraId="1D398FB9" w14:textId="77777777" w:rsidR="00C0782D" w:rsidRPr="00C0782D" w:rsidRDefault="00C0782D" w:rsidP="00C0782D">
      <w:pPr>
        <w:spacing w:after="240"/>
        <w:jc w:val="both"/>
        <w:rPr>
          <w:sz w:val="24"/>
          <w:szCs w:val="24"/>
        </w:rPr>
      </w:pPr>
      <w:r w:rsidRPr="00C0782D">
        <w:rPr>
          <w:sz w:val="24"/>
          <w:szCs w:val="24"/>
        </w:rPr>
        <w:t>It is automatically calculated as the sum of Columns 4.1 to 4.4 multiplied by their corresponding seasoning factors.</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444B6694" w14:textId="77777777" w:rsidR="00C0782D" w:rsidRPr="00C0782D" w:rsidRDefault="00C0782D" w:rsidP="00C0782D">
      <w:pPr>
        <w:keepNext/>
        <w:numPr>
          <w:ilvl w:val="0"/>
          <w:numId w:val="39"/>
        </w:numPr>
        <w:spacing w:before="120" w:after="240"/>
        <w:jc w:val="both"/>
        <w:rPr>
          <w:rFonts w:ascii="Arial" w:hAnsi="Arial" w:cs="Arial"/>
          <w:b/>
          <w:sz w:val="24"/>
          <w:szCs w:val="24"/>
        </w:rPr>
      </w:pPr>
      <w:r w:rsidRPr="00C0782D">
        <w:rPr>
          <w:rFonts w:ascii="Arial" w:hAnsi="Arial" w:cs="Arial"/>
          <w:b/>
          <w:sz w:val="24"/>
          <w:szCs w:val="24"/>
        </w:rPr>
        <w:t>PD factor</w:t>
      </w:r>
    </w:p>
    <w:p w14:paraId="1BAB025A" w14:textId="77777777" w:rsidR="00C0782D" w:rsidRPr="00C0782D" w:rsidRDefault="00C0782D" w:rsidP="00C0782D">
      <w:pPr>
        <w:spacing w:after="240"/>
        <w:jc w:val="both"/>
        <w:rPr>
          <w:sz w:val="24"/>
          <w:szCs w:val="24"/>
        </w:rPr>
      </w:pPr>
      <w:r w:rsidRPr="00C0782D">
        <w:rPr>
          <w:sz w:val="24"/>
          <w:szCs w:val="24"/>
        </w:rPr>
        <w:t>The probability of default (PD) is the risk of default by the borrower. It varies according to LVR as per Attachment A of GPS 116.</w:t>
      </w:r>
    </w:p>
    <w:p w14:paraId="0A85EE39" w14:textId="77777777" w:rsidR="00C0782D" w:rsidRPr="00C0782D" w:rsidRDefault="00C0782D" w:rsidP="00C0782D">
      <w:pPr>
        <w:spacing w:after="240"/>
        <w:jc w:val="both"/>
        <w:rPr>
          <w:sz w:val="24"/>
          <w:szCs w:val="24"/>
        </w:rPr>
      </w:pPr>
      <w:r w:rsidRPr="00C0782D">
        <w:rPr>
          <w:sz w:val="24"/>
          <w:szCs w:val="24"/>
        </w:rPr>
        <w:t>This is automatically determined from the LVR percentages in Columns 1 and 2.</w:t>
      </w:r>
      <w:r w:rsidRPr="00C0782D">
        <w:rPr>
          <w:sz w:val="24"/>
          <w:szCs w:val="24"/>
        </w:rPr>
        <w:tab/>
      </w:r>
    </w:p>
    <w:p w14:paraId="4F10A4AC" w14:textId="77777777" w:rsidR="00C0782D" w:rsidRPr="00C0782D" w:rsidRDefault="00C0782D" w:rsidP="00C0782D">
      <w:pPr>
        <w:keepNext/>
        <w:numPr>
          <w:ilvl w:val="0"/>
          <w:numId w:val="39"/>
        </w:numPr>
        <w:spacing w:before="120" w:after="240"/>
        <w:jc w:val="both"/>
        <w:rPr>
          <w:rFonts w:ascii="Arial" w:hAnsi="Arial" w:cs="Arial"/>
          <w:b/>
          <w:sz w:val="24"/>
          <w:szCs w:val="24"/>
        </w:rPr>
      </w:pPr>
      <w:r w:rsidRPr="00C0782D">
        <w:rPr>
          <w:rFonts w:ascii="Arial" w:hAnsi="Arial" w:cs="Arial"/>
          <w:b/>
          <w:sz w:val="24"/>
          <w:szCs w:val="24"/>
        </w:rPr>
        <w:t>LGD factor (100% cover)</w:t>
      </w:r>
      <w:r w:rsidRPr="00C0782D">
        <w:rPr>
          <w:rFonts w:ascii="Arial" w:hAnsi="Arial" w:cs="Arial"/>
          <w:b/>
          <w:sz w:val="24"/>
          <w:szCs w:val="24"/>
        </w:rPr>
        <w:tab/>
        <w:t xml:space="preserve"> </w:t>
      </w:r>
    </w:p>
    <w:p w14:paraId="4C8A3B84" w14:textId="77777777" w:rsidR="00C0782D" w:rsidRPr="00C0782D" w:rsidRDefault="00C0782D" w:rsidP="00C0782D">
      <w:pPr>
        <w:spacing w:after="240"/>
        <w:jc w:val="both"/>
        <w:rPr>
          <w:sz w:val="24"/>
          <w:szCs w:val="24"/>
        </w:rPr>
      </w:pPr>
      <w:r w:rsidRPr="00C0782D">
        <w:rPr>
          <w:sz w:val="24"/>
          <w:szCs w:val="24"/>
        </w:rPr>
        <w:t>Loss given default (LGD) is the loss to the LMI upon default by the borrower. It varies according to LVR as per Attachment A of GPS 116. The LGD factors are for 100% cover.</w:t>
      </w:r>
    </w:p>
    <w:p w14:paraId="6E1A1968" w14:textId="77777777" w:rsidR="00C0782D" w:rsidRPr="00C0782D" w:rsidRDefault="00C0782D" w:rsidP="00C0782D">
      <w:pPr>
        <w:spacing w:after="240"/>
        <w:jc w:val="both"/>
        <w:rPr>
          <w:sz w:val="24"/>
          <w:szCs w:val="24"/>
        </w:rPr>
      </w:pPr>
      <w:r w:rsidRPr="00C0782D">
        <w:rPr>
          <w:sz w:val="24"/>
          <w:szCs w:val="24"/>
        </w:rPr>
        <w:t>This is automatically determined from the LVR percentages in Columns 1 and 2.</w:t>
      </w:r>
      <w:r w:rsidRPr="00C0782D">
        <w:rPr>
          <w:sz w:val="24"/>
          <w:szCs w:val="24"/>
        </w:rPr>
        <w:tab/>
      </w:r>
      <w:r w:rsidRPr="00C0782D">
        <w:rPr>
          <w:sz w:val="24"/>
          <w:szCs w:val="24"/>
        </w:rPr>
        <w:tab/>
      </w:r>
    </w:p>
    <w:p w14:paraId="7A4D9E8B" w14:textId="77777777" w:rsidR="00C0782D" w:rsidRPr="00C0782D" w:rsidRDefault="00C0782D" w:rsidP="00C0782D">
      <w:pPr>
        <w:keepNext/>
        <w:numPr>
          <w:ilvl w:val="0"/>
          <w:numId w:val="39"/>
        </w:numPr>
        <w:spacing w:before="120" w:after="240"/>
        <w:jc w:val="both"/>
        <w:rPr>
          <w:rFonts w:ascii="Arial" w:hAnsi="Arial" w:cs="Arial"/>
          <w:b/>
          <w:sz w:val="24"/>
          <w:szCs w:val="24"/>
        </w:rPr>
      </w:pPr>
      <w:r w:rsidRPr="00C0782D">
        <w:rPr>
          <w:rFonts w:ascii="Arial" w:hAnsi="Arial" w:cs="Arial"/>
          <w:b/>
          <w:sz w:val="24"/>
          <w:szCs w:val="24"/>
        </w:rPr>
        <w:t>LGD factor (top cover)</w:t>
      </w:r>
    </w:p>
    <w:p w14:paraId="0EC82CC4" w14:textId="77777777" w:rsidR="00C0782D" w:rsidRPr="00C0782D" w:rsidRDefault="00C0782D" w:rsidP="00C0782D">
      <w:pPr>
        <w:spacing w:after="240"/>
        <w:jc w:val="both"/>
        <w:rPr>
          <w:sz w:val="24"/>
          <w:szCs w:val="24"/>
        </w:rPr>
      </w:pPr>
      <w:r w:rsidRPr="00C0782D">
        <w:rPr>
          <w:sz w:val="24"/>
          <w:szCs w:val="24"/>
        </w:rPr>
        <w:t>This is the LGD factor for top cover. It is automatically calculated as Column 7 divided by Column 3, subject to a maximum of 100%.</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306A0ED4" w14:textId="77777777" w:rsidR="00C0782D" w:rsidRPr="00C0782D" w:rsidRDefault="00C0782D" w:rsidP="00C0782D">
      <w:pPr>
        <w:keepNext/>
        <w:numPr>
          <w:ilvl w:val="0"/>
          <w:numId w:val="39"/>
        </w:numPr>
        <w:spacing w:before="120" w:after="240"/>
        <w:jc w:val="both"/>
        <w:rPr>
          <w:rFonts w:ascii="Arial" w:hAnsi="Arial" w:cs="Arial"/>
          <w:b/>
          <w:sz w:val="24"/>
          <w:szCs w:val="24"/>
        </w:rPr>
      </w:pPr>
      <w:r w:rsidRPr="00C0782D">
        <w:rPr>
          <w:rFonts w:ascii="Arial" w:hAnsi="Arial" w:cs="Arial"/>
          <w:b/>
          <w:sz w:val="24"/>
          <w:szCs w:val="24"/>
        </w:rPr>
        <w:t>PML</w:t>
      </w:r>
    </w:p>
    <w:p w14:paraId="6FC7BA9F" w14:textId="77777777" w:rsidR="00C0782D" w:rsidRPr="00C0782D" w:rsidRDefault="00C0782D" w:rsidP="00C0782D">
      <w:pPr>
        <w:spacing w:after="240"/>
        <w:jc w:val="both"/>
        <w:rPr>
          <w:sz w:val="24"/>
          <w:szCs w:val="24"/>
        </w:rPr>
      </w:pPr>
      <w:r w:rsidRPr="00C0782D">
        <w:rPr>
          <w:sz w:val="24"/>
          <w:szCs w:val="24"/>
        </w:rPr>
        <w:t>For each individual LMI policy, the probable maximum loss (PML) is the sum insured multiplied by the seasoning, PD and LGD factors applicable to the policy. It is determined in accordance with Attachment A of GPS 116.</w:t>
      </w:r>
    </w:p>
    <w:p w14:paraId="5C4F5D45" w14:textId="77777777" w:rsidR="00C0782D" w:rsidRPr="00C0782D" w:rsidRDefault="00C0782D" w:rsidP="00C0782D">
      <w:pPr>
        <w:spacing w:after="240"/>
        <w:jc w:val="both"/>
        <w:rPr>
          <w:sz w:val="24"/>
          <w:szCs w:val="24"/>
        </w:rPr>
      </w:pPr>
      <w:r w:rsidRPr="00C0782D">
        <w:rPr>
          <w:sz w:val="24"/>
          <w:szCs w:val="24"/>
        </w:rPr>
        <w:t>It is automatically calculated as Column 5 multiplied by Column 6 multiplied by Column 8.</w:t>
      </w:r>
    </w:p>
    <w:p w14:paraId="6BBA157A"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Sections 1 and 2 - 1.2 and 2.2: Pool cover</w:t>
      </w:r>
    </w:p>
    <w:p w14:paraId="5CD6DB5C" w14:textId="77777777" w:rsidR="00C0782D" w:rsidRPr="00C0782D" w:rsidRDefault="00C0782D" w:rsidP="00C0782D">
      <w:pPr>
        <w:keepNext/>
        <w:numPr>
          <w:ilvl w:val="0"/>
          <w:numId w:val="40"/>
        </w:numPr>
        <w:spacing w:before="120" w:after="240"/>
        <w:jc w:val="both"/>
        <w:rPr>
          <w:rFonts w:ascii="Arial" w:hAnsi="Arial" w:cs="Arial"/>
          <w:b/>
          <w:sz w:val="24"/>
          <w:szCs w:val="24"/>
        </w:rPr>
      </w:pPr>
      <w:r w:rsidRPr="00C0782D">
        <w:rPr>
          <w:rFonts w:ascii="Arial" w:hAnsi="Arial" w:cs="Arial"/>
          <w:b/>
          <w:sz w:val="24"/>
          <w:szCs w:val="24"/>
        </w:rPr>
        <w:t>Weighted-average LVR (%)</w:t>
      </w:r>
      <w:r w:rsidRPr="00C0782D">
        <w:rPr>
          <w:rFonts w:ascii="Arial" w:hAnsi="Arial" w:cs="Arial"/>
          <w:b/>
          <w:sz w:val="24"/>
          <w:szCs w:val="24"/>
        </w:rPr>
        <w:tab/>
      </w:r>
    </w:p>
    <w:p w14:paraId="39AA43F2" w14:textId="77777777" w:rsidR="00C0782D" w:rsidRPr="00C0782D" w:rsidRDefault="00C0782D" w:rsidP="00C0782D">
      <w:pPr>
        <w:spacing w:after="240"/>
        <w:jc w:val="both"/>
        <w:rPr>
          <w:sz w:val="24"/>
          <w:szCs w:val="24"/>
        </w:rPr>
      </w:pPr>
      <w:r w:rsidRPr="00C0782D">
        <w:rPr>
          <w:sz w:val="24"/>
          <w:szCs w:val="24"/>
        </w:rPr>
        <w:t>Input the weighted-average LVR as a percentage for each pool. The weighted-average LVR should be calculated outside of the reporting forms and should not be based on summarised data.</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53FD677D" w14:textId="77777777" w:rsidR="00C0782D" w:rsidRPr="00C0782D" w:rsidRDefault="00C0782D" w:rsidP="00C0782D">
      <w:pPr>
        <w:keepNext/>
        <w:numPr>
          <w:ilvl w:val="0"/>
          <w:numId w:val="40"/>
        </w:numPr>
        <w:spacing w:before="120" w:after="240"/>
        <w:jc w:val="both"/>
        <w:rPr>
          <w:rFonts w:ascii="Arial" w:hAnsi="Arial" w:cs="Arial"/>
          <w:b/>
          <w:sz w:val="24"/>
          <w:szCs w:val="24"/>
        </w:rPr>
      </w:pPr>
      <w:r w:rsidRPr="00C0782D">
        <w:rPr>
          <w:rFonts w:ascii="Arial" w:hAnsi="Arial" w:cs="Arial"/>
          <w:b/>
          <w:sz w:val="24"/>
          <w:szCs w:val="24"/>
        </w:rPr>
        <w:t>Weighted-average age</w:t>
      </w:r>
      <w:r w:rsidRPr="00C0782D">
        <w:rPr>
          <w:rFonts w:ascii="Arial" w:hAnsi="Arial" w:cs="Arial"/>
          <w:b/>
          <w:sz w:val="24"/>
          <w:szCs w:val="24"/>
        </w:rPr>
        <w:tab/>
      </w:r>
    </w:p>
    <w:p w14:paraId="3B7818AD" w14:textId="77777777" w:rsidR="00C0782D" w:rsidRPr="00C0782D" w:rsidRDefault="00C0782D" w:rsidP="00C0782D">
      <w:pPr>
        <w:spacing w:after="240"/>
        <w:jc w:val="both"/>
        <w:rPr>
          <w:sz w:val="24"/>
          <w:szCs w:val="24"/>
        </w:rPr>
      </w:pPr>
      <w:r w:rsidRPr="00C0782D">
        <w:rPr>
          <w:sz w:val="24"/>
          <w:szCs w:val="24"/>
        </w:rPr>
        <w:t>Input the weighted-average age (in years) for each pool. The weighted-average age should be calculated outside of the reporting forms and should not be based on summarised data.</w:t>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r w:rsidRPr="00C0782D">
        <w:rPr>
          <w:sz w:val="24"/>
          <w:szCs w:val="24"/>
        </w:rPr>
        <w:tab/>
      </w:r>
    </w:p>
    <w:p w14:paraId="09577EC4" w14:textId="77777777" w:rsidR="00C0782D" w:rsidRPr="00C0782D" w:rsidRDefault="00C0782D" w:rsidP="00C0782D">
      <w:pPr>
        <w:keepNext/>
        <w:numPr>
          <w:ilvl w:val="0"/>
          <w:numId w:val="40"/>
        </w:numPr>
        <w:spacing w:before="120" w:after="240"/>
        <w:jc w:val="both"/>
        <w:rPr>
          <w:rFonts w:ascii="Arial" w:hAnsi="Arial" w:cs="Arial"/>
          <w:b/>
          <w:sz w:val="24"/>
          <w:szCs w:val="24"/>
        </w:rPr>
      </w:pPr>
      <w:r w:rsidRPr="00C0782D">
        <w:rPr>
          <w:rFonts w:ascii="Arial" w:hAnsi="Arial" w:cs="Arial"/>
          <w:b/>
          <w:sz w:val="24"/>
          <w:szCs w:val="24"/>
        </w:rPr>
        <w:t xml:space="preserve">Seasoning factor </w:t>
      </w:r>
    </w:p>
    <w:p w14:paraId="7CA6D77A" w14:textId="77777777" w:rsidR="00C0782D" w:rsidRPr="00C0782D" w:rsidRDefault="00C0782D" w:rsidP="00C0782D">
      <w:pPr>
        <w:spacing w:after="240"/>
        <w:jc w:val="both"/>
        <w:rPr>
          <w:sz w:val="24"/>
          <w:szCs w:val="24"/>
        </w:rPr>
      </w:pPr>
      <w:r w:rsidRPr="00C0782D">
        <w:rPr>
          <w:sz w:val="24"/>
          <w:szCs w:val="24"/>
        </w:rPr>
        <w:t>This is the seasoning factor corresponding to the weighted-average age of the pool.</w:t>
      </w:r>
    </w:p>
    <w:p w14:paraId="27A55EF4" w14:textId="77777777" w:rsidR="00C0782D" w:rsidRPr="00C0782D" w:rsidRDefault="00C0782D" w:rsidP="00C0782D">
      <w:pPr>
        <w:spacing w:after="240"/>
        <w:jc w:val="both"/>
        <w:rPr>
          <w:sz w:val="24"/>
          <w:szCs w:val="24"/>
        </w:rPr>
      </w:pPr>
      <w:r w:rsidRPr="00C0782D">
        <w:rPr>
          <w:sz w:val="24"/>
          <w:szCs w:val="24"/>
        </w:rPr>
        <w:lastRenderedPageBreak/>
        <w:t>It is automatically determined from the weighted-average age in Column 2.</w:t>
      </w:r>
    </w:p>
    <w:p w14:paraId="0E388565" w14:textId="77777777" w:rsidR="00C0782D" w:rsidRPr="00C0782D" w:rsidRDefault="00C0782D" w:rsidP="00C0782D">
      <w:pPr>
        <w:keepNext/>
        <w:numPr>
          <w:ilvl w:val="0"/>
          <w:numId w:val="40"/>
        </w:numPr>
        <w:spacing w:before="120" w:after="240"/>
        <w:jc w:val="both"/>
        <w:rPr>
          <w:rFonts w:ascii="Arial" w:hAnsi="Arial" w:cs="Arial"/>
          <w:b/>
          <w:sz w:val="24"/>
          <w:szCs w:val="24"/>
        </w:rPr>
      </w:pPr>
      <w:r w:rsidRPr="00C0782D">
        <w:rPr>
          <w:rFonts w:ascii="Arial" w:hAnsi="Arial" w:cs="Arial"/>
          <w:b/>
          <w:sz w:val="24"/>
          <w:szCs w:val="24"/>
        </w:rPr>
        <w:t>Total sum insured</w:t>
      </w:r>
      <w:r w:rsidRPr="00C0782D">
        <w:rPr>
          <w:rFonts w:ascii="Arial" w:hAnsi="Arial" w:cs="Arial"/>
          <w:b/>
          <w:sz w:val="24"/>
          <w:szCs w:val="24"/>
        </w:rPr>
        <w:tab/>
      </w:r>
    </w:p>
    <w:p w14:paraId="2962237F" w14:textId="77777777" w:rsidR="00C0782D" w:rsidRPr="00C0782D" w:rsidRDefault="00C0782D" w:rsidP="00C0782D">
      <w:pPr>
        <w:spacing w:after="240"/>
        <w:jc w:val="both"/>
        <w:rPr>
          <w:sz w:val="24"/>
          <w:szCs w:val="24"/>
        </w:rPr>
      </w:pPr>
      <w:r w:rsidRPr="00C0782D">
        <w:rPr>
          <w:sz w:val="24"/>
          <w:szCs w:val="24"/>
        </w:rPr>
        <w:t>Report the sum insured for pools of loans. The sum insured is the original exposure amount for an LMI as stated in the mortgage insurance policy.</w:t>
      </w:r>
      <w:r w:rsidRPr="00C0782D">
        <w:rPr>
          <w:sz w:val="24"/>
          <w:szCs w:val="24"/>
        </w:rPr>
        <w:tab/>
      </w:r>
      <w:r w:rsidRPr="00C0782D">
        <w:rPr>
          <w:sz w:val="24"/>
          <w:szCs w:val="24"/>
        </w:rPr>
        <w:tab/>
      </w:r>
    </w:p>
    <w:p w14:paraId="34F894A2" w14:textId="77777777" w:rsidR="00C0782D" w:rsidRPr="00C0782D" w:rsidRDefault="00C0782D" w:rsidP="00C0782D">
      <w:pPr>
        <w:keepNext/>
        <w:numPr>
          <w:ilvl w:val="0"/>
          <w:numId w:val="40"/>
        </w:numPr>
        <w:spacing w:before="120" w:after="240"/>
        <w:jc w:val="both"/>
        <w:rPr>
          <w:rFonts w:ascii="Arial" w:hAnsi="Arial" w:cs="Arial"/>
          <w:b/>
          <w:sz w:val="24"/>
          <w:szCs w:val="24"/>
        </w:rPr>
      </w:pPr>
      <w:r w:rsidRPr="00C0782D">
        <w:rPr>
          <w:rFonts w:ascii="Arial" w:hAnsi="Arial" w:cs="Arial"/>
          <w:b/>
          <w:sz w:val="24"/>
          <w:szCs w:val="24"/>
        </w:rPr>
        <w:t>PD factor</w:t>
      </w:r>
    </w:p>
    <w:p w14:paraId="3F6AC7FE" w14:textId="77777777" w:rsidR="00C0782D" w:rsidRPr="00C0782D" w:rsidRDefault="00C0782D" w:rsidP="00C0782D">
      <w:pPr>
        <w:spacing w:after="240"/>
        <w:jc w:val="both"/>
        <w:rPr>
          <w:sz w:val="24"/>
          <w:szCs w:val="24"/>
        </w:rPr>
      </w:pPr>
      <w:r w:rsidRPr="00C0782D">
        <w:rPr>
          <w:sz w:val="24"/>
          <w:szCs w:val="24"/>
        </w:rPr>
        <w:t>This is the PD corresponding to the weighted-average LVR of the pool.</w:t>
      </w:r>
    </w:p>
    <w:p w14:paraId="7E873D80" w14:textId="77777777" w:rsidR="00C0782D" w:rsidRPr="00C0782D" w:rsidRDefault="00C0782D" w:rsidP="00C0782D">
      <w:pPr>
        <w:spacing w:after="240"/>
        <w:jc w:val="both"/>
        <w:rPr>
          <w:sz w:val="24"/>
          <w:szCs w:val="24"/>
        </w:rPr>
      </w:pPr>
      <w:r w:rsidRPr="00C0782D">
        <w:rPr>
          <w:sz w:val="24"/>
          <w:szCs w:val="24"/>
        </w:rPr>
        <w:t>It is automatically determined from the weighted average LVR percentage in Column 1.</w:t>
      </w:r>
    </w:p>
    <w:p w14:paraId="254F5CB9" w14:textId="77777777" w:rsidR="00C0782D" w:rsidRPr="00C0782D" w:rsidRDefault="00C0782D" w:rsidP="00C0782D">
      <w:pPr>
        <w:keepNext/>
        <w:numPr>
          <w:ilvl w:val="0"/>
          <w:numId w:val="40"/>
        </w:numPr>
        <w:spacing w:before="120" w:after="240"/>
        <w:jc w:val="both"/>
        <w:rPr>
          <w:rFonts w:ascii="Arial" w:hAnsi="Arial" w:cs="Arial"/>
          <w:b/>
          <w:sz w:val="24"/>
          <w:szCs w:val="24"/>
        </w:rPr>
      </w:pPr>
      <w:r w:rsidRPr="00C0782D">
        <w:rPr>
          <w:rFonts w:ascii="Arial" w:hAnsi="Arial" w:cs="Arial"/>
          <w:b/>
          <w:sz w:val="24"/>
          <w:szCs w:val="24"/>
        </w:rPr>
        <w:t>LGD factor</w:t>
      </w:r>
    </w:p>
    <w:p w14:paraId="70A4FD8B" w14:textId="77777777" w:rsidR="00C0782D" w:rsidRPr="00C0782D" w:rsidRDefault="00C0782D" w:rsidP="00C0782D">
      <w:pPr>
        <w:spacing w:after="240"/>
        <w:jc w:val="both"/>
        <w:rPr>
          <w:sz w:val="24"/>
          <w:szCs w:val="24"/>
        </w:rPr>
      </w:pPr>
      <w:r w:rsidRPr="00C0782D">
        <w:rPr>
          <w:sz w:val="24"/>
          <w:szCs w:val="24"/>
        </w:rPr>
        <w:t>This is the LGD corresponding to the weighted-average LVR of the pool.</w:t>
      </w:r>
    </w:p>
    <w:p w14:paraId="049FC39F" w14:textId="77777777" w:rsidR="00C0782D" w:rsidRPr="00C0782D" w:rsidRDefault="00C0782D" w:rsidP="00C0782D">
      <w:pPr>
        <w:spacing w:after="240"/>
        <w:jc w:val="both"/>
        <w:rPr>
          <w:sz w:val="24"/>
          <w:szCs w:val="24"/>
        </w:rPr>
      </w:pPr>
      <w:r w:rsidRPr="00C0782D">
        <w:rPr>
          <w:sz w:val="24"/>
          <w:szCs w:val="24"/>
        </w:rPr>
        <w:t>It is automatically determined from the weighted-average LVR percentage in Column 1.</w:t>
      </w:r>
    </w:p>
    <w:p w14:paraId="002063A3" w14:textId="77777777" w:rsidR="00C0782D" w:rsidRPr="00C0782D" w:rsidRDefault="00C0782D" w:rsidP="00C0782D">
      <w:pPr>
        <w:keepNext/>
        <w:numPr>
          <w:ilvl w:val="0"/>
          <w:numId w:val="40"/>
        </w:numPr>
        <w:spacing w:before="120" w:after="240"/>
        <w:jc w:val="both"/>
        <w:rPr>
          <w:rFonts w:ascii="Arial" w:hAnsi="Arial" w:cs="Arial"/>
          <w:b/>
          <w:sz w:val="24"/>
          <w:szCs w:val="24"/>
        </w:rPr>
      </w:pPr>
      <w:r w:rsidRPr="00C0782D">
        <w:rPr>
          <w:rFonts w:ascii="Arial" w:hAnsi="Arial" w:cs="Arial"/>
          <w:b/>
          <w:sz w:val="24"/>
          <w:szCs w:val="24"/>
        </w:rPr>
        <w:t>PML</w:t>
      </w:r>
    </w:p>
    <w:p w14:paraId="759B1285" w14:textId="77777777" w:rsidR="00C0782D" w:rsidRPr="00C0782D" w:rsidRDefault="00C0782D" w:rsidP="00C0782D">
      <w:pPr>
        <w:spacing w:after="240"/>
        <w:jc w:val="both"/>
        <w:rPr>
          <w:sz w:val="24"/>
          <w:szCs w:val="24"/>
        </w:rPr>
        <w:sectPr w:rsidR="00C0782D" w:rsidRPr="00C0782D" w:rsidSect="00251A4C">
          <w:footerReference w:type="default" r:id="rId28"/>
          <w:pgSz w:w="11906" w:h="16838" w:code="9"/>
          <w:pgMar w:top="1440" w:right="1440" w:bottom="1440" w:left="1440" w:header="709" w:footer="709" w:gutter="0"/>
          <w:pgNumType w:start="1"/>
          <w:cols w:space="708"/>
          <w:docGrid w:linePitch="360"/>
        </w:sectPr>
      </w:pPr>
      <w:r w:rsidRPr="00C0782D">
        <w:rPr>
          <w:sz w:val="24"/>
          <w:szCs w:val="24"/>
        </w:rPr>
        <w:t>This is automatically calculated as Column 4 multiplied by Column 3 multiplied by Column 5 multiplied by Column 6.</w:t>
      </w:r>
      <w:r w:rsidRPr="00C0782D">
        <w:rPr>
          <w:sz w:val="24"/>
          <w:szCs w:val="24"/>
        </w:rPr>
        <w:tab/>
      </w:r>
      <w:r w:rsidRPr="00C0782D">
        <w:rPr>
          <w:sz w:val="24"/>
          <w:szCs w:val="24"/>
        </w:rPr>
        <w:tab/>
      </w:r>
    </w:p>
    <w:p w14:paraId="59225BE5" w14:textId="77777777" w:rsidR="00C0782D" w:rsidRPr="00C0782D" w:rsidRDefault="00C0782D" w:rsidP="00C0782D">
      <w:pPr>
        <w:keepNext/>
        <w:spacing w:before="120" w:after="360"/>
        <w:jc w:val="center"/>
        <w:rPr>
          <w:rFonts w:ascii="Arial" w:hAnsi="Arial" w:cs="Arial"/>
          <w:b/>
          <w:sz w:val="32"/>
          <w:szCs w:val="32"/>
        </w:rPr>
      </w:pPr>
      <w:r w:rsidRPr="00C0782D">
        <w:rPr>
          <w:rFonts w:ascii="Arial" w:hAnsi="Arial" w:cs="Arial"/>
          <w:b/>
          <w:bCs/>
          <w:sz w:val="32"/>
          <w:szCs w:val="32"/>
        </w:rPr>
        <w:lastRenderedPageBreak/>
        <w:t>GRF_116_3 Probable Maximum Loss for LMIs - Commercial Loans</w:t>
      </w:r>
    </w:p>
    <w:p w14:paraId="162C57DB" w14:textId="77777777" w:rsidR="00C0782D" w:rsidRPr="00C0782D" w:rsidRDefault="00C0782D" w:rsidP="00C0782D">
      <w:pPr>
        <w:keepNext/>
        <w:spacing w:before="120" w:after="360"/>
        <w:jc w:val="both"/>
        <w:rPr>
          <w:rFonts w:ascii="Arial" w:hAnsi="Arial" w:cs="Arial"/>
          <w:b/>
          <w:sz w:val="32"/>
          <w:szCs w:val="32"/>
        </w:rPr>
      </w:pPr>
      <w:r w:rsidRPr="00C0782D">
        <w:rPr>
          <w:sz w:val="24"/>
          <w:szCs w:val="24"/>
        </w:rPr>
        <w:t>These instructions must be read in conjunction with the general instruction guide.</w:t>
      </w:r>
    </w:p>
    <w:p w14:paraId="3E33231B" w14:textId="77777777" w:rsidR="00C0782D" w:rsidRPr="00C0782D" w:rsidRDefault="00C0782D" w:rsidP="00C0782D">
      <w:pPr>
        <w:keepNext/>
        <w:spacing w:before="120" w:after="360"/>
        <w:jc w:val="both"/>
        <w:rPr>
          <w:rFonts w:ascii="Arial" w:hAnsi="Arial" w:cs="Arial"/>
          <w:b/>
          <w:sz w:val="32"/>
          <w:szCs w:val="32"/>
        </w:rPr>
      </w:pPr>
      <w:r w:rsidRPr="00C0782D">
        <w:rPr>
          <w:rFonts w:ascii="Arial" w:hAnsi="Arial" w:cs="Arial"/>
          <w:b/>
          <w:sz w:val="32"/>
          <w:szCs w:val="32"/>
        </w:rPr>
        <w:t>Explanatory notes</w:t>
      </w:r>
    </w:p>
    <w:p w14:paraId="4AD6A5A4"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Commercial loan</w:t>
      </w:r>
    </w:p>
    <w:p w14:paraId="279D4E76" w14:textId="77777777" w:rsidR="00C0782D" w:rsidRPr="00C0782D" w:rsidRDefault="00C0782D" w:rsidP="00C0782D">
      <w:pPr>
        <w:spacing w:after="240"/>
        <w:jc w:val="both"/>
        <w:rPr>
          <w:sz w:val="24"/>
          <w:szCs w:val="24"/>
        </w:rPr>
      </w:pPr>
      <w:r w:rsidRPr="00C0782D">
        <w:rPr>
          <w:sz w:val="24"/>
          <w:szCs w:val="24"/>
        </w:rPr>
        <w:t>A commercial loan is a loan that is not predominantly secured by a registered mortgage over residential property, and/or where APRA has given a direction that the loan should be classified as a commercial loan.</w:t>
      </w:r>
    </w:p>
    <w:p w14:paraId="58D7BC17" w14:textId="77777777" w:rsidR="00C0782D" w:rsidRPr="00C0782D" w:rsidRDefault="00C0782D" w:rsidP="00C0782D">
      <w:pPr>
        <w:keepNext/>
        <w:spacing w:before="120" w:after="360"/>
        <w:jc w:val="both"/>
        <w:rPr>
          <w:rFonts w:ascii="Arial" w:hAnsi="Arial" w:cs="Arial"/>
          <w:b/>
          <w:sz w:val="32"/>
          <w:szCs w:val="32"/>
        </w:rPr>
      </w:pPr>
      <w:r w:rsidRPr="00C0782D">
        <w:rPr>
          <w:rFonts w:ascii="Arial" w:hAnsi="Arial" w:cs="Arial"/>
          <w:b/>
          <w:sz w:val="32"/>
          <w:szCs w:val="32"/>
        </w:rPr>
        <w:t>Instructions for specific items</w:t>
      </w:r>
    </w:p>
    <w:p w14:paraId="6757932C" w14:textId="77777777" w:rsidR="00C0782D" w:rsidRPr="00C0782D" w:rsidRDefault="00C0782D" w:rsidP="00C0782D">
      <w:pPr>
        <w:keepNext/>
        <w:numPr>
          <w:ilvl w:val="0"/>
          <w:numId w:val="41"/>
        </w:numPr>
        <w:spacing w:before="120" w:after="240"/>
        <w:jc w:val="both"/>
        <w:rPr>
          <w:rFonts w:ascii="Arial" w:hAnsi="Arial" w:cs="Arial"/>
          <w:b/>
          <w:sz w:val="24"/>
          <w:szCs w:val="24"/>
        </w:rPr>
      </w:pPr>
      <w:r w:rsidRPr="00C0782D">
        <w:rPr>
          <w:rFonts w:ascii="Arial" w:hAnsi="Arial" w:cs="Arial"/>
          <w:b/>
          <w:sz w:val="24"/>
          <w:szCs w:val="24"/>
        </w:rPr>
        <w:t>Factor</w:t>
      </w:r>
    </w:p>
    <w:p w14:paraId="25B5F081" w14:textId="77777777" w:rsidR="00C0782D" w:rsidRPr="00C0782D" w:rsidRDefault="00C0782D" w:rsidP="00C0782D">
      <w:pPr>
        <w:spacing w:after="240"/>
        <w:jc w:val="both"/>
        <w:rPr>
          <w:sz w:val="24"/>
          <w:szCs w:val="24"/>
        </w:rPr>
      </w:pPr>
      <w:r w:rsidRPr="00C0782D">
        <w:rPr>
          <w:sz w:val="24"/>
          <w:szCs w:val="24"/>
        </w:rPr>
        <w:t>The probable maximum loss (PML) for a commercial loan is the sum insured multiplied by 8%.</w:t>
      </w:r>
    </w:p>
    <w:p w14:paraId="4FD83F75" w14:textId="77777777" w:rsidR="00C0782D" w:rsidRPr="00C0782D" w:rsidRDefault="00C0782D" w:rsidP="00C0782D">
      <w:pPr>
        <w:keepNext/>
        <w:numPr>
          <w:ilvl w:val="0"/>
          <w:numId w:val="41"/>
        </w:numPr>
        <w:spacing w:before="120" w:after="240"/>
        <w:jc w:val="both"/>
        <w:rPr>
          <w:rFonts w:ascii="Arial" w:hAnsi="Arial" w:cs="Arial"/>
          <w:b/>
          <w:sz w:val="24"/>
          <w:szCs w:val="24"/>
        </w:rPr>
      </w:pPr>
      <w:r w:rsidRPr="00C0782D">
        <w:rPr>
          <w:rFonts w:ascii="Arial" w:hAnsi="Arial" w:cs="Arial"/>
          <w:b/>
          <w:sz w:val="24"/>
          <w:szCs w:val="24"/>
        </w:rPr>
        <w:t>ADI</w:t>
      </w:r>
    </w:p>
    <w:p w14:paraId="360746FE" w14:textId="77777777" w:rsidR="00C0782D" w:rsidRPr="00C0782D" w:rsidRDefault="00C0782D" w:rsidP="00C0782D">
      <w:pPr>
        <w:spacing w:after="240"/>
        <w:jc w:val="both"/>
        <w:rPr>
          <w:sz w:val="24"/>
          <w:szCs w:val="24"/>
        </w:rPr>
      </w:pPr>
      <w:r w:rsidRPr="00C0782D">
        <w:rPr>
          <w:sz w:val="24"/>
          <w:szCs w:val="24"/>
        </w:rPr>
        <w:t>Report the sum insured for individual lenders mortgage insurer (LMI) policies insuring commercial loans that are approved, advanced and funded by an authorised deposit-taking institution (ADI).</w:t>
      </w:r>
      <w:r w:rsidRPr="00C0782D">
        <w:rPr>
          <w:sz w:val="24"/>
          <w:szCs w:val="24"/>
        </w:rPr>
        <w:tab/>
      </w:r>
    </w:p>
    <w:p w14:paraId="503B4FCB" w14:textId="77777777" w:rsidR="00C0782D" w:rsidRPr="00C0782D" w:rsidRDefault="00C0782D" w:rsidP="00C0782D">
      <w:pPr>
        <w:keepNext/>
        <w:numPr>
          <w:ilvl w:val="0"/>
          <w:numId w:val="41"/>
        </w:numPr>
        <w:spacing w:before="120" w:after="240"/>
        <w:jc w:val="both"/>
        <w:rPr>
          <w:rFonts w:ascii="Arial" w:hAnsi="Arial" w:cs="Arial"/>
          <w:b/>
          <w:sz w:val="24"/>
          <w:szCs w:val="24"/>
        </w:rPr>
      </w:pPr>
      <w:r w:rsidRPr="00C0782D">
        <w:rPr>
          <w:rFonts w:ascii="Arial" w:hAnsi="Arial" w:cs="Arial"/>
          <w:b/>
          <w:sz w:val="24"/>
          <w:szCs w:val="24"/>
        </w:rPr>
        <w:t>Non-APRA regulated</w:t>
      </w:r>
    </w:p>
    <w:p w14:paraId="0E711091" w14:textId="77777777" w:rsidR="00C0782D" w:rsidRPr="00C0782D" w:rsidRDefault="00C0782D" w:rsidP="00C0782D">
      <w:pPr>
        <w:spacing w:after="240"/>
        <w:jc w:val="both"/>
        <w:rPr>
          <w:sz w:val="24"/>
          <w:szCs w:val="24"/>
        </w:rPr>
      </w:pPr>
      <w:r w:rsidRPr="00C0782D">
        <w:rPr>
          <w:sz w:val="24"/>
          <w:szCs w:val="24"/>
        </w:rPr>
        <w:t>Report the sum insured for individual LMI policies insuring commercial loans that are approved, advanced and funded by a non-ADI.</w:t>
      </w:r>
    </w:p>
    <w:p w14:paraId="22953AC8" w14:textId="77777777" w:rsidR="00C0782D" w:rsidRPr="00C0782D" w:rsidRDefault="00C0782D" w:rsidP="00C0782D">
      <w:pPr>
        <w:keepNext/>
        <w:numPr>
          <w:ilvl w:val="0"/>
          <w:numId w:val="41"/>
        </w:numPr>
        <w:spacing w:before="120" w:after="240"/>
        <w:jc w:val="both"/>
        <w:rPr>
          <w:rFonts w:ascii="Arial" w:hAnsi="Arial" w:cs="Arial"/>
          <w:b/>
          <w:sz w:val="24"/>
          <w:szCs w:val="24"/>
        </w:rPr>
      </w:pPr>
      <w:r w:rsidRPr="00C0782D">
        <w:rPr>
          <w:rFonts w:ascii="Arial" w:hAnsi="Arial" w:cs="Arial"/>
          <w:b/>
          <w:sz w:val="24"/>
          <w:szCs w:val="24"/>
        </w:rPr>
        <w:t>Total sum insured</w:t>
      </w:r>
    </w:p>
    <w:p w14:paraId="51FCD5A9" w14:textId="77777777" w:rsidR="00C0782D" w:rsidRPr="00C0782D" w:rsidRDefault="00C0782D" w:rsidP="00C0782D">
      <w:pPr>
        <w:spacing w:after="240"/>
        <w:jc w:val="both"/>
        <w:rPr>
          <w:sz w:val="24"/>
          <w:szCs w:val="24"/>
        </w:rPr>
      </w:pPr>
      <w:r w:rsidRPr="00C0782D">
        <w:rPr>
          <w:sz w:val="24"/>
          <w:szCs w:val="24"/>
        </w:rPr>
        <w:t>The sum insured is the original exposure amount for an LMI as stated in the mortgage insurance policy.</w:t>
      </w:r>
      <w:r w:rsidRPr="00C0782D">
        <w:rPr>
          <w:sz w:val="24"/>
          <w:szCs w:val="24"/>
        </w:rPr>
        <w:tab/>
      </w:r>
      <w:r w:rsidRPr="00C0782D">
        <w:rPr>
          <w:sz w:val="24"/>
          <w:szCs w:val="24"/>
        </w:rPr>
        <w:tab/>
      </w:r>
    </w:p>
    <w:p w14:paraId="6B9D876A" w14:textId="77777777" w:rsidR="00C0782D" w:rsidRPr="00C0782D" w:rsidRDefault="00C0782D" w:rsidP="00C0782D">
      <w:pPr>
        <w:keepNext/>
        <w:numPr>
          <w:ilvl w:val="0"/>
          <w:numId w:val="41"/>
        </w:numPr>
        <w:spacing w:before="120" w:after="240"/>
        <w:jc w:val="both"/>
        <w:rPr>
          <w:rFonts w:ascii="Arial" w:hAnsi="Arial" w:cs="Arial"/>
          <w:b/>
          <w:sz w:val="24"/>
          <w:szCs w:val="24"/>
        </w:rPr>
      </w:pPr>
      <w:r w:rsidRPr="00C0782D">
        <w:rPr>
          <w:rFonts w:ascii="Arial" w:hAnsi="Arial" w:cs="Arial"/>
          <w:b/>
          <w:sz w:val="24"/>
          <w:szCs w:val="24"/>
        </w:rPr>
        <w:t>PML</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1560D13E" w14:textId="77777777" w:rsidR="00C0782D" w:rsidRPr="00C0782D" w:rsidRDefault="00C0782D" w:rsidP="00C0782D">
      <w:pPr>
        <w:spacing w:after="240"/>
        <w:jc w:val="both"/>
        <w:rPr>
          <w:sz w:val="24"/>
          <w:szCs w:val="24"/>
        </w:rPr>
      </w:pPr>
      <w:r w:rsidRPr="00C0782D">
        <w:rPr>
          <w:sz w:val="24"/>
          <w:szCs w:val="24"/>
        </w:rPr>
        <w:t>This is automatically calculated as Column 4 multiplied by Column 1.</w:t>
      </w:r>
    </w:p>
    <w:p w14:paraId="3E47E202" w14:textId="77777777" w:rsidR="00C0782D" w:rsidRPr="00C0782D" w:rsidRDefault="00C0782D" w:rsidP="00C0782D">
      <w:pPr>
        <w:spacing w:after="240"/>
        <w:jc w:val="both"/>
        <w:rPr>
          <w:sz w:val="24"/>
          <w:szCs w:val="24"/>
        </w:rPr>
        <w:sectPr w:rsidR="00C0782D" w:rsidRPr="00C0782D" w:rsidSect="00251A4C">
          <w:footerReference w:type="default" r:id="rId29"/>
          <w:pgSz w:w="11906" w:h="16838" w:code="9"/>
          <w:pgMar w:top="1440" w:right="1440" w:bottom="1440" w:left="1440" w:header="709" w:footer="709" w:gutter="0"/>
          <w:pgNumType w:start="1"/>
          <w:cols w:space="708"/>
          <w:docGrid w:linePitch="360"/>
        </w:sectPr>
      </w:pPr>
    </w:p>
    <w:p w14:paraId="66B64030" w14:textId="77777777" w:rsidR="00C0782D" w:rsidRPr="00C0782D" w:rsidRDefault="00C0782D" w:rsidP="00C0782D">
      <w:pPr>
        <w:spacing w:after="240"/>
        <w:jc w:val="both"/>
        <w:rPr>
          <w:sz w:val="24"/>
          <w:szCs w:val="24"/>
        </w:rPr>
      </w:pPr>
    </w:p>
    <w:p w14:paraId="78C96CFE" w14:textId="77777777" w:rsidR="00C0782D" w:rsidRPr="00C0782D" w:rsidRDefault="00C0782D" w:rsidP="00C0782D">
      <w:pPr>
        <w:keepNext/>
        <w:spacing w:before="120" w:after="360"/>
        <w:jc w:val="center"/>
        <w:rPr>
          <w:rFonts w:ascii="Arial" w:hAnsi="Arial" w:cs="Arial"/>
          <w:b/>
          <w:sz w:val="32"/>
          <w:szCs w:val="32"/>
        </w:rPr>
      </w:pPr>
      <w:r w:rsidRPr="00C0782D">
        <w:rPr>
          <w:rFonts w:ascii="Arial" w:hAnsi="Arial" w:cs="Arial"/>
          <w:b/>
          <w:bCs/>
          <w:sz w:val="32"/>
          <w:szCs w:val="32"/>
        </w:rPr>
        <w:t>GRF_116_4 LMI Concentration Risk Charge</w:t>
      </w:r>
    </w:p>
    <w:p w14:paraId="62673A44" w14:textId="77777777" w:rsidR="00C0782D" w:rsidRPr="00C0782D" w:rsidRDefault="00C0782D" w:rsidP="00C0782D">
      <w:pPr>
        <w:keepNext/>
        <w:spacing w:before="120" w:after="360"/>
        <w:jc w:val="both"/>
        <w:rPr>
          <w:rFonts w:ascii="Arial" w:hAnsi="Arial" w:cs="Arial"/>
          <w:b/>
          <w:sz w:val="32"/>
          <w:szCs w:val="32"/>
        </w:rPr>
      </w:pPr>
      <w:r w:rsidRPr="00C0782D">
        <w:rPr>
          <w:sz w:val="24"/>
          <w:szCs w:val="24"/>
        </w:rPr>
        <w:t>These instructions must be read in conjunction with the general instruction guide.</w:t>
      </w:r>
    </w:p>
    <w:p w14:paraId="2D33356B" w14:textId="77777777" w:rsidR="00C0782D" w:rsidRPr="00C0782D" w:rsidRDefault="00C0782D" w:rsidP="00C0782D">
      <w:pPr>
        <w:keepNext/>
        <w:spacing w:before="120" w:after="360"/>
        <w:jc w:val="both"/>
        <w:rPr>
          <w:rFonts w:ascii="Arial" w:hAnsi="Arial" w:cs="Arial"/>
          <w:b/>
          <w:sz w:val="32"/>
          <w:szCs w:val="32"/>
        </w:rPr>
      </w:pPr>
      <w:r w:rsidRPr="00C0782D">
        <w:rPr>
          <w:rFonts w:ascii="Arial" w:hAnsi="Arial" w:cs="Arial"/>
          <w:b/>
          <w:sz w:val="32"/>
          <w:szCs w:val="32"/>
        </w:rPr>
        <w:t>Instructions for specific items</w:t>
      </w:r>
    </w:p>
    <w:p w14:paraId="2095273C" w14:textId="77777777" w:rsidR="00C0782D" w:rsidRPr="00C0782D" w:rsidRDefault="00C0782D" w:rsidP="00AB4F69">
      <w:pPr>
        <w:keepNext/>
        <w:numPr>
          <w:ilvl w:val="0"/>
          <w:numId w:val="48"/>
        </w:numPr>
        <w:spacing w:before="120" w:after="240"/>
        <w:jc w:val="both"/>
        <w:rPr>
          <w:rFonts w:ascii="Arial" w:hAnsi="Arial" w:cs="Arial"/>
          <w:b/>
          <w:sz w:val="24"/>
          <w:szCs w:val="24"/>
        </w:rPr>
      </w:pPr>
      <w:r w:rsidRPr="00C0782D">
        <w:rPr>
          <w:rFonts w:ascii="Arial" w:hAnsi="Arial" w:cs="Arial"/>
          <w:b/>
          <w:sz w:val="24"/>
          <w:szCs w:val="24"/>
        </w:rPr>
        <w:t xml:space="preserve">Summary </w:t>
      </w:r>
    </w:p>
    <w:p w14:paraId="150EE8B7" w14:textId="77777777" w:rsidR="00C0782D" w:rsidRPr="00C0782D" w:rsidRDefault="00C0782D" w:rsidP="00C0782D">
      <w:pPr>
        <w:spacing w:after="240"/>
        <w:jc w:val="both"/>
        <w:rPr>
          <w:sz w:val="24"/>
          <w:szCs w:val="24"/>
        </w:rPr>
      </w:pPr>
      <w:r w:rsidRPr="00C0782D">
        <w:rPr>
          <w:sz w:val="24"/>
          <w:szCs w:val="24"/>
        </w:rPr>
        <w:t>These columns represent the total sum insured and probable maximum losses (PMLs) across all loans types, coverage types and origination channels.</w:t>
      </w:r>
    </w:p>
    <w:p w14:paraId="780265A1" w14:textId="77777777" w:rsidR="00C0782D" w:rsidRPr="00C0782D" w:rsidRDefault="00C0782D" w:rsidP="00C0782D">
      <w:pPr>
        <w:spacing w:after="240"/>
        <w:jc w:val="both"/>
        <w:rPr>
          <w:sz w:val="24"/>
          <w:szCs w:val="24"/>
        </w:rPr>
      </w:pPr>
      <w:r w:rsidRPr="00C0782D">
        <w:rPr>
          <w:sz w:val="24"/>
          <w:szCs w:val="24"/>
        </w:rPr>
        <w:t xml:space="preserve">Amounts are automatically derived from corresponding amounts in </w:t>
      </w:r>
      <w:r w:rsidRPr="00C0782D">
        <w:rPr>
          <w:i/>
          <w:sz w:val="24"/>
          <w:szCs w:val="24"/>
        </w:rPr>
        <w:t xml:space="preserve">GRF 116.1 Probable Maximum Loss for LMIs – Standard Loans </w:t>
      </w:r>
      <w:r w:rsidRPr="00C0782D">
        <w:rPr>
          <w:sz w:val="24"/>
          <w:szCs w:val="24"/>
        </w:rPr>
        <w:t xml:space="preserve">(GRF 116.1), </w:t>
      </w:r>
      <w:r w:rsidRPr="00C0782D">
        <w:rPr>
          <w:i/>
          <w:sz w:val="24"/>
          <w:szCs w:val="24"/>
        </w:rPr>
        <w:t xml:space="preserve">GRF 116.2 Probable Maximum Loss for LMIs – Non-Standard Loans </w:t>
      </w:r>
      <w:r w:rsidRPr="00C0782D">
        <w:rPr>
          <w:sz w:val="24"/>
          <w:szCs w:val="24"/>
        </w:rPr>
        <w:t xml:space="preserve">(GRF 116.2) and </w:t>
      </w:r>
      <w:r w:rsidRPr="00C0782D">
        <w:rPr>
          <w:i/>
          <w:sz w:val="24"/>
          <w:szCs w:val="24"/>
        </w:rPr>
        <w:t xml:space="preserve">GRF 116.3 Probable Maximum Loss for LMIs – Commercial Loans </w:t>
      </w:r>
      <w:r w:rsidRPr="00C0782D">
        <w:rPr>
          <w:sz w:val="24"/>
          <w:szCs w:val="24"/>
        </w:rPr>
        <w:t>(GRF 116.3).</w:t>
      </w:r>
    </w:p>
    <w:p w14:paraId="0F01D7B0" w14:textId="77777777" w:rsidR="00C0782D" w:rsidRPr="00C0782D" w:rsidRDefault="00C0782D" w:rsidP="00C0782D">
      <w:pPr>
        <w:keepNext/>
        <w:numPr>
          <w:ilvl w:val="1"/>
          <w:numId w:val="42"/>
        </w:numPr>
        <w:tabs>
          <w:tab w:val="left" w:pos="709"/>
        </w:tabs>
        <w:spacing w:before="120" w:after="240"/>
        <w:jc w:val="both"/>
        <w:rPr>
          <w:rFonts w:ascii="Arial" w:hAnsi="Arial" w:cs="Arial"/>
          <w:b/>
          <w:sz w:val="24"/>
          <w:szCs w:val="24"/>
        </w:rPr>
      </w:pPr>
      <w:r w:rsidRPr="00C0782D">
        <w:rPr>
          <w:rFonts w:ascii="Arial" w:hAnsi="Arial" w:cs="Arial"/>
          <w:b/>
          <w:sz w:val="24"/>
          <w:szCs w:val="24"/>
        </w:rPr>
        <w:t>Standard loans</w:t>
      </w:r>
    </w:p>
    <w:p w14:paraId="54BC3AB3" w14:textId="77777777" w:rsidR="00C0782D" w:rsidRPr="00C0782D" w:rsidRDefault="00C0782D" w:rsidP="00C0782D">
      <w:pPr>
        <w:spacing w:after="240"/>
        <w:jc w:val="both"/>
        <w:rPr>
          <w:sz w:val="24"/>
          <w:szCs w:val="24"/>
        </w:rPr>
      </w:pPr>
      <w:r w:rsidRPr="00C0782D">
        <w:rPr>
          <w:sz w:val="24"/>
          <w:szCs w:val="24"/>
        </w:rPr>
        <w:t>This is automatically calculated as the sum of Items 1.1.1 to 1.1.4.</w:t>
      </w:r>
    </w:p>
    <w:p w14:paraId="5424D4F8"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ADI - 100 per cent and top cover</w:t>
      </w:r>
    </w:p>
    <w:p w14:paraId="240B162C" w14:textId="77777777" w:rsidR="00C0782D" w:rsidRPr="00C0782D" w:rsidRDefault="00C0782D" w:rsidP="00C0782D">
      <w:pPr>
        <w:spacing w:after="240"/>
        <w:jc w:val="both"/>
        <w:rPr>
          <w:sz w:val="24"/>
          <w:szCs w:val="24"/>
        </w:rPr>
      </w:pPr>
      <w:r w:rsidRPr="00C0782D">
        <w:rPr>
          <w:sz w:val="24"/>
          <w:szCs w:val="24"/>
        </w:rPr>
        <w:t>This amount is automatically derived from Columns 5 and 9 of Table 1.1 in GRF 116.1.</w:t>
      </w:r>
    </w:p>
    <w:p w14:paraId="585E54EC"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ADI - pool cover</w:t>
      </w:r>
    </w:p>
    <w:p w14:paraId="35ECD1C1" w14:textId="77777777" w:rsidR="00C0782D" w:rsidRPr="00C0782D" w:rsidRDefault="00C0782D" w:rsidP="00C0782D">
      <w:pPr>
        <w:spacing w:after="240"/>
        <w:jc w:val="both"/>
        <w:rPr>
          <w:sz w:val="24"/>
          <w:szCs w:val="24"/>
        </w:rPr>
      </w:pPr>
      <w:r w:rsidRPr="00C0782D">
        <w:rPr>
          <w:sz w:val="24"/>
          <w:szCs w:val="24"/>
        </w:rPr>
        <w:t>This amount is automatically derived from Columns 4 and 7 of Table 1.2 in GRF 116.1.</w:t>
      </w:r>
    </w:p>
    <w:p w14:paraId="5937A1CB"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Non-APRA regulated - 100 per cent and top cover</w:t>
      </w:r>
    </w:p>
    <w:p w14:paraId="4646C9EE" w14:textId="77777777" w:rsidR="00C0782D" w:rsidRPr="00C0782D" w:rsidRDefault="00C0782D" w:rsidP="00C0782D">
      <w:pPr>
        <w:spacing w:after="240"/>
        <w:jc w:val="both"/>
        <w:rPr>
          <w:sz w:val="24"/>
          <w:szCs w:val="24"/>
        </w:rPr>
      </w:pPr>
      <w:r w:rsidRPr="00C0782D">
        <w:rPr>
          <w:sz w:val="24"/>
          <w:szCs w:val="24"/>
        </w:rPr>
        <w:t>This amount is automatically derived from Columns 5 and 9 of Table 2.1 in GRF 116.1.</w:t>
      </w:r>
    </w:p>
    <w:p w14:paraId="24BD797E"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Non-APRA regulated - pool cover</w:t>
      </w:r>
    </w:p>
    <w:p w14:paraId="13EA9BEF" w14:textId="77777777" w:rsidR="00C0782D" w:rsidRPr="00C0782D" w:rsidRDefault="00C0782D" w:rsidP="00C0782D">
      <w:pPr>
        <w:spacing w:after="240"/>
        <w:jc w:val="both"/>
        <w:rPr>
          <w:sz w:val="24"/>
          <w:szCs w:val="24"/>
        </w:rPr>
      </w:pPr>
      <w:r w:rsidRPr="00C0782D">
        <w:rPr>
          <w:sz w:val="24"/>
          <w:szCs w:val="24"/>
        </w:rPr>
        <w:t>This amount is automatically derived from Columns 4 and 7 of Table 2.2 in GRF 116.1.</w:t>
      </w:r>
    </w:p>
    <w:p w14:paraId="2A6CEC67" w14:textId="77777777" w:rsidR="00C0782D" w:rsidRPr="00C0782D" w:rsidRDefault="00C0782D" w:rsidP="00C0782D">
      <w:pPr>
        <w:keepNext/>
        <w:numPr>
          <w:ilvl w:val="1"/>
          <w:numId w:val="42"/>
        </w:numPr>
        <w:tabs>
          <w:tab w:val="left" w:pos="709"/>
        </w:tabs>
        <w:spacing w:before="120" w:after="240"/>
        <w:jc w:val="both"/>
        <w:rPr>
          <w:rFonts w:ascii="Arial" w:hAnsi="Arial" w:cs="Arial"/>
          <w:b/>
          <w:sz w:val="24"/>
          <w:szCs w:val="24"/>
        </w:rPr>
      </w:pPr>
      <w:r w:rsidRPr="00C0782D">
        <w:rPr>
          <w:rFonts w:ascii="Arial" w:hAnsi="Arial" w:cs="Arial"/>
          <w:b/>
          <w:sz w:val="24"/>
          <w:szCs w:val="24"/>
        </w:rPr>
        <w:t>Non-standard loans</w:t>
      </w:r>
    </w:p>
    <w:p w14:paraId="2FB5F752" w14:textId="77777777" w:rsidR="00C0782D" w:rsidRPr="00C0782D" w:rsidRDefault="00C0782D" w:rsidP="00C0782D">
      <w:pPr>
        <w:spacing w:after="240"/>
        <w:jc w:val="both"/>
        <w:rPr>
          <w:sz w:val="24"/>
          <w:szCs w:val="24"/>
        </w:rPr>
      </w:pPr>
      <w:r w:rsidRPr="00C0782D">
        <w:rPr>
          <w:sz w:val="24"/>
          <w:szCs w:val="24"/>
        </w:rPr>
        <w:t>This is automatically calculated as the sum of Items 1.2.1 to 1.2.4.</w:t>
      </w:r>
    </w:p>
    <w:p w14:paraId="72DDDEB3"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ADI - 100 per cent and top cover</w:t>
      </w:r>
    </w:p>
    <w:p w14:paraId="44B57808" w14:textId="77777777" w:rsidR="00C0782D" w:rsidRPr="00C0782D" w:rsidRDefault="00C0782D" w:rsidP="00C0782D">
      <w:pPr>
        <w:spacing w:after="240"/>
        <w:jc w:val="both"/>
        <w:rPr>
          <w:sz w:val="24"/>
          <w:szCs w:val="24"/>
        </w:rPr>
      </w:pPr>
      <w:r w:rsidRPr="00C0782D">
        <w:rPr>
          <w:sz w:val="24"/>
          <w:szCs w:val="24"/>
        </w:rPr>
        <w:t>This amount is automatically derived from Columns 5 and 9 of Table 1.1 in GRF 116.2.</w:t>
      </w:r>
    </w:p>
    <w:p w14:paraId="00CAA041"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ADI - pool cover</w:t>
      </w:r>
    </w:p>
    <w:p w14:paraId="78728CD1" w14:textId="77777777" w:rsidR="00C0782D" w:rsidRPr="00C0782D" w:rsidRDefault="00C0782D" w:rsidP="00C0782D">
      <w:pPr>
        <w:spacing w:after="240"/>
        <w:jc w:val="both"/>
        <w:rPr>
          <w:sz w:val="24"/>
          <w:szCs w:val="24"/>
        </w:rPr>
      </w:pPr>
      <w:r w:rsidRPr="00C0782D">
        <w:rPr>
          <w:sz w:val="24"/>
          <w:szCs w:val="24"/>
        </w:rPr>
        <w:t>This amount is automatically derived from Columns 4 and 7 of Table 1.2 in GRF 116.2.</w:t>
      </w:r>
    </w:p>
    <w:p w14:paraId="5D911866"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lastRenderedPageBreak/>
        <w:t>Non-APRA regulated - 100 per cent and top cover</w:t>
      </w:r>
      <w:r w:rsidRPr="00C0782D">
        <w:rPr>
          <w:rFonts w:ascii="Arial" w:hAnsi="Arial" w:cs="Arial"/>
          <w:b/>
          <w:sz w:val="24"/>
          <w:szCs w:val="24"/>
        </w:rPr>
        <w:tab/>
      </w:r>
    </w:p>
    <w:p w14:paraId="2261EAC8" w14:textId="77777777" w:rsidR="00C0782D" w:rsidRPr="00C0782D" w:rsidRDefault="00C0782D" w:rsidP="00C0782D">
      <w:pPr>
        <w:spacing w:after="240"/>
        <w:jc w:val="both"/>
        <w:rPr>
          <w:sz w:val="24"/>
          <w:szCs w:val="24"/>
        </w:rPr>
      </w:pPr>
      <w:r w:rsidRPr="00C0782D">
        <w:rPr>
          <w:sz w:val="24"/>
          <w:szCs w:val="24"/>
        </w:rPr>
        <w:t>This amount is automatically derived from Columns 5 and 9 of Table 2.1 in GRF 116.2.</w:t>
      </w:r>
    </w:p>
    <w:p w14:paraId="2178B973"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Non-APRA regulated - pool cover</w:t>
      </w:r>
      <w:r w:rsidRPr="00C0782D">
        <w:rPr>
          <w:rFonts w:ascii="Arial" w:hAnsi="Arial" w:cs="Arial"/>
          <w:b/>
          <w:sz w:val="24"/>
          <w:szCs w:val="24"/>
        </w:rPr>
        <w:tab/>
      </w:r>
    </w:p>
    <w:p w14:paraId="2F6F2C7F" w14:textId="77777777" w:rsidR="00C0782D" w:rsidRPr="00C0782D" w:rsidRDefault="00C0782D" w:rsidP="00C0782D">
      <w:pPr>
        <w:spacing w:after="240"/>
        <w:jc w:val="both"/>
        <w:rPr>
          <w:sz w:val="24"/>
          <w:szCs w:val="24"/>
        </w:rPr>
      </w:pPr>
      <w:r w:rsidRPr="00C0782D">
        <w:rPr>
          <w:sz w:val="24"/>
          <w:szCs w:val="24"/>
        </w:rPr>
        <w:t>This amount is automatically derived from Columns 4 and 7 of Table 2.2 in GRF 116.2.</w:t>
      </w:r>
    </w:p>
    <w:p w14:paraId="570AD50F" w14:textId="77777777" w:rsidR="00C0782D" w:rsidRPr="00C0782D" w:rsidRDefault="00C0782D" w:rsidP="00C0782D">
      <w:pPr>
        <w:keepNext/>
        <w:numPr>
          <w:ilvl w:val="1"/>
          <w:numId w:val="42"/>
        </w:numPr>
        <w:tabs>
          <w:tab w:val="left" w:pos="709"/>
        </w:tabs>
        <w:spacing w:before="120" w:after="240"/>
        <w:jc w:val="both"/>
        <w:rPr>
          <w:rFonts w:ascii="Arial" w:hAnsi="Arial" w:cs="Arial"/>
          <w:b/>
          <w:sz w:val="24"/>
          <w:szCs w:val="24"/>
        </w:rPr>
      </w:pPr>
      <w:r w:rsidRPr="00C0782D">
        <w:rPr>
          <w:rFonts w:ascii="Arial" w:hAnsi="Arial" w:cs="Arial"/>
          <w:b/>
          <w:sz w:val="24"/>
          <w:szCs w:val="24"/>
        </w:rPr>
        <w:t>Commercial loans</w:t>
      </w:r>
      <w:r w:rsidRPr="00C0782D">
        <w:rPr>
          <w:rFonts w:ascii="Arial" w:hAnsi="Arial" w:cs="Arial"/>
          <w:b/>
          <w:sz w:val="24"/>
          <w:szCs w:val="24"/>
        </w:rPr>
        <w:tab/>
      </w:r>
    </w:p>
    <w:p w14:paraId="559C80E2" w14:textId="77777777" w:rsidR="00C0782D" w:rsidRPr="00C0782D" w:rsidRDefault="00C0782D" w:rsidP="00C0782D">
      <w:pPr>
        <w:spacing w:after="240"/>
        <w:jc w:val="both"/>
        <w:rPr>
          <w:sz w:val="24"/>
          <w:szCs w:val="24"/>
        </w:rPr>
      </w:pPr>
      <w:r w:rsidRPr="00C0782D">
        <w:rPr>
          <w:sz w:val="24"/>
          <w:szCs w:val="24"/>
        </w:rPr>
        <w:t>This is automatically calculated as the sum of Items 1.3.1 and 1.3.2.</w:t>
      </w:r>
    </w:p>
    <w:p w14:paraId="70092F2C"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ADI</w:t>
      </w:r>
    </w:p>
    <w:p w14:paraId="2B63995B" w14:textId="77777777" w:rsidR="00C0782D" w:rsidRPr="00C0782D" w:rsidRDefault="00C0782D" w:rsidP="00C0782D">
      <w:pPr>
        <w:spacing w:after="240"/>
        <w:jc w:val="both"/>
        <w:rPr>
          <w:sz w:val="24"/>
          <w:szCs w:val="24"/>
        </w:rPr>
      </w:pPr>
      <w:r w:rsidRPr="00C0782D">
        <w:rPr>
          <w:sz w:val="24"/>
          <w:szCs w:val="24"/>
        </w:rPr>
        <w:t>This amount is automatically derived from GRF 116.3.</w:t>
      </w:r>
    </w:p>
    <w:p w14:paraId="26FF00F7" w14:textId="77777777" w:rsidR="00C0782D" w:rsidRPr="00C0782D" w:rsidRDefault="00C0782D" w:rsidP="00C0782D">
      <w:pPr>
        <w:keepNext/>
        <w:numPr>
          <w:ilvl w:val="2"/>
          <w:numId w:val="42"/>
        </w:numPr>
        <w:spacing w:before="120" w:after="240"/>
        <w:jc w:val="both"/>
        <w:rPr>
          <w:rFonts w:ascii="Arial" w:hAnsi="Arial" w:cs="Arial"/>
          <w:b/>
          <w:sz w:val="24"/>
          <w:szCs w:val="24"/>
        </w:rPr>
      </w:pPr>
      <w:r w:rsidRPr="00C0782D">
        <w:rPr>
          <w:rFonts w:ascii="Arial" w:hAnsi="Arial" w:cs="Arial"/>
          <w:b/>
          <w:sz w:val="24"/>
          <w:szCs w:val="24"/>
        </w:rPr>
        <w:t>Non-APRA regulated</w:t>
      </w:r>
      <w:r w:rsidRPr="00C0782D">
        <w:rPr>
          <w:rFonts w:ascii="Arial" w:hAnsi="Arial" w:cs="Arial"/>
          <w:b/>
          <w:sz w:val="24"/>
          <w:szCs w:val="24"/>
        </w:rPr>
        <w:tab/>
      </w:r>
    </w:p>
    <w:p w14:paraId="1FD4D375" w14:textId="77777777" w:rsidR="00C0782D" w:rsidRPr="00C0782D" w:rsidRDefault="00C0782D" w:rsidP="00C0782D">
      <w:pPr>
        <w:spacing w:after="240"/>
        <w:jc w:val="both"/>
        <w:rPr>
          <w:sz w:val="24"/>
          <w:szCs w:val="24"/>
        </w:rPr>
      </w:pPr>
      <w:r w:rsidRPr="00C0782D">
        <w:rPr>
          <w:sz w:val="24"/>
          <w:szCs w:val="24"/>
        </w:rPr>
        <w:t>This amount is automatically derived from GRF 116.3.</w:t>
      </w:r>
    </w:p>
    <w:p w14:paraId="42C0ED2C" w14:textId="77777777" w:rsidR="00C0782D" w:rsidRPr="00C0782D" w:rsidRDefault="00C0782D" w:rsidP="00C0782D">
      <w:pPr>
        <w:keepNext/>
        <w:numPr>
          <w:ilvl w:val="1"/>
          <w:numId w:val="42"/>
        </w:numPr>
        <w:tabs>
          <w:tab w:val="left" w:pos="709"/>
        </w:tabs>
        <w:spacing w:before="120" w:after="240"/>
        <w:jc w:val="both"/>
        <w:rPr>
          <w:rFonts w:ascii="Arial" w:hAnsi="Arial" w:cs="Arial"/>
          <w:b/>
          <w:sz w:val="24"/>
          <w:szCs w:val="24"/>
        </w:rPr>
      </w:pPr>
      <w:r w:rsidRPr="00C0782D">
        <w:rPr>
          <w:rFonts w:ascii="Arial" w:hAnsi="Arial" w:cs="Arial"/>
          <w:b/>
          <w:sz w:val="24"/>
          <w:szCs w:val="24"/>
        </w:rPr>
        <w:t>Total</w:t>
      </w:r>
      <w:r w:rsidRPr="00C0782D">
        <w:rPr>
          <w:rFonts w:ascii="Arial" w:hAnsi="Arial" w:cs="Arial"/>
          <w:b/>
          <w:sz w:val="24"/>
          <w:szCs w:val="24"/>
        </w:rPr>
        <w:tab/>
      </w:r>
    </w:p>
    <w:p w14:paraId="7E577743" w14:textId="77777777" w:rsidR="00C0782D" w:rsidRPr="00C0782D" w:rsidRDefault="00C0782D" w:rsidP="00C0782D">
      <w:pPr>
        <w:spacing w:after="240"/>
        <w:jc w:val="both"/>
        <w:rPr>
          <w:sz w:val="24"/>
          <w:szCs w:val="24"/>
        </w:rPr>
      </w:pPr>
      <w:r w:rsidRPr="00C0782D">
        <w:rPr>
          <w:sz w:val="24"/>
          <w:szCs w:val="24"/>
        </w:rPr>
        <w:t>This is automatically calculated as the sum of Items 1.1, 1.2 and 1.3.</w:t>
      </w:r>
    </w:p>
    <w:p w14:paraId="7C875413" w14:textId="77777777" w:rsidR="00C0782D" w:rsidRPr="00C0782D" w:rsidRDefault="00C0782D" w:rsidP="00AB4F69">
      <w:pPr>
        <w:keepNext/>
        <w:numPr>
          <w:ilvl w:val="0"/>
          <w:numId w:val="48"/>
        </w:numPr>
        <w:tabs>
          <w:tab w:val="left" w:pos="709"/>
        </w:tabs>
        <w:spacing w:before="120" w:after="240"/>
        <w:ind w:left="0" w:firstLine="0"/>
        <w:jc w:val="both"/>
        <w:rPr>
          <w:rFonts w:ascii="Arial" w:hAnsi="Arial" w:cs="Arial"/>
          <w:b/>
          <w:sz w:val="24"/>
          <w:szCs w:val="24"/>
        </w:rPr>
      </w:pPr>
      <w:r w:rsidRPr="00C0782D">
        <w:rPr>
          <w:rFonts w:ascii="Arial" w:hAnsi="Arial" w:cs="Arial"/>
          <w:b/>
          <w:sz w:val="24"/>
          <w:szCs w:val="24"/>
        </w:rPr>
        <w:t>LMI Concentration Risk Charge (LMICRC) calculation</w:t>
      </w:r>
      <w:r w:rsidRPr="00C0782D">
        <w:rPr>
          <w:rFonts w:ascii="Arial" w:hAnsi="Arial" w:cs="Arial"/>
          <w:b/>
          <w:sz w:val="24"/>
          <w:szCs w:val="24"/>
        </w:rPr>
        <w:tab/>
      </w:r>
    </w:p>
    <w:p w14:paraId="6EB15E27" w14:textId="77777777" w:rsidR="00C0782D" w:rsidRPr="00C0782D" w:rsidRDefault="00C0782D" w:rsidP="00C0782D">
      <w:pPr>
        <w:spacing w:after="240"/>
        <w:jc w:val="both"/>
        <w:rPr>
          <w:sz w:val="24"/>
          <w:szCs w:val="24"/>
        </w:rPr>
      </w:pPr>
      <w:r w:rsidRPr="00C0782D">
        <w:rPr>
          <w:sz w:val="24"/>
          <w:szCs w:val="24"/>
        </w:rPr>
        <w:t>This represents the years for the Prescribed Stress Scenario which is in the form of a three-year economic or property downturn. The PML must be allocated in the proportion of 25 per cent to year one, 50 per cent to year two and 25 per cent to year three of the downturn.</w:t>
      </w:r>
    </w:p>
    <w:p w14:paraId="2575E4BF"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PML</w:t>
      </w:r>
      <w:r w:rsidRPr="00C0782D">
        <w:rPr>
          <w:rFonts w:ascii="Arial" w:hAnsi="Arial" w:cs="Arial"/>
          <w:b/>
          <w:sz w:val="24"/>
          <w:szCs w:val="24"/>
        </w:rPr>
        <w:tab/>
      </w:r>
    </w:p>
    <w:p w14:paraId="36D5407D" w14:textId="77777777" w:rsidR="00C0782D" w:rsidRPr="00C0782D" w:rsidRDefault="00C0782D" w:rsidP="00C0782D">
      <w:pPr>
        <w:spacing w:after="240"/>
        <w:jc w:val="both"/>
        <w:rPr>
          <w:sz w:val="24"/>
          <w:szCs w:val="24"/>
        </w:rPr>
      </w:pPr>
      <w:r w:rsidRPr="00C0782D">
        <w:rPr>
          <w:sz w:val="24"/>
          <w:szCs w:val="24"/>
        </w:rPr>
        <w:t>This represents the total PML across all loan types, coverage types and origination channels. Total PML is automatically allocated in the proportions of 25 per cent to year one, 50 per cent to year two and 25 per cent to year three of the Prescribed Stress Scenario.</w:t>
      </w:r>
    </w:p>
    <w:p w14:paraId="2E17D1BB"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Adjustment to the PML</w:t>
      </w:r>
      <w:r w:rsidRPr="00C0782D">
        <w:rPr>
          <w:rFonts w:ascii="Arial" w:hAnsi="Arial" w:cs="Arial"/>
          <w:b/>
          <w:sz w:val="24"/>
          <w:szCs w:val="24"/>
        </w:rPr>
        <w:tab/>
      </w:r>
    </w:p>
    <w:p w14:paraId="62D5B000" w14:textId="77777777" w:rsidR="00C0782D" w:rsidRPr="00C0782D" w:rsidRDefault="00C0782D" w:rsidP="00C0782D">
      <w:pPr>
        <w:spacing w:after="240"/>
        <w:jc w:val="both"/>
        <w:rPr>
          <w:sz w:val="24"/>
          <w:szCs w:val="24"/>
        </w:rPr>
      </w:pPr>
      <w:r w:rsidRPr="00C0782D">
        <w:rPr>
          <w:sz w:val="24"/>
          <w:szCs w:val="24"/>
        </w:rPr>
        <w:t>For a lenders mortgage insurer (LMI) no longer writing new business (i.e. in run-off), the sum insured is expected to decrease over the three-year scenario and it may be appropriate for an LMI in run-off to adjust its PML downwards. The methodology for adjusting an LMI’s PML in a run-off situation must be approved by APRA and documented in the LMI’s Reinsurance Management Strategy (</w:t>
      </w:r>
      <w:proofErr w:type="spellStart"/>
      <w:r w:rsidRPr="00C0782D">
        <w:rPr>
          <w:sz w:val="24"/>
          <w:szCs w:val="24"/>
        </w:rPr>
        <w:t>ReMS</w:t>
      </w:r>
      <w:proofErr w:type="spellEnd"/>
      <w:r w:rsidRPr="00C0782D">
        <w:rPr>
          <w:sz w:val="24"/>
          <w:szCs w:val="24"/>
        </w:rPr>
        <w:t>).</w:t>
      </w:r>
    </w:p>
    <w:p w14:paraId="3ACDCB43" w14:textId="77777777" w:rsidR="00C0782D" w:rsidRPr="00C0782D" w:rsidRDefault="00C0782D" w:rsidP="00C0782D">
      <w:pPr>
        <w:spacing w:after="240"/>
        <w:jc w:val="both"/>
        <w:rPr>
          <w:sz w:val="24"/>
          <w:szCs w:val="24"/>
        </w:rPr>
      </w:pPr>
      <w:r w:rsidRPr="00C0782D">
        <w:rPr>
          <w:sz w:val="24"/>
          <w:szCs w:val="24"/>
        </w:rPr>
        <w:t>A reduction in PML is to be entered as a positive amount. Do not enter any other adjustments to PML in this field.</w:t>
      </w:r>
    </w:p>
    <w:p w14:paraId="03FBAC53"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Adjusted PML</w:t>
      </w:r>
      <w:r w:rsidRPr="00C0782D">
        <w:rPr>
          <w:rFonts w:ascii="Arial" w:hAnsi="Arial" w:cs="Arial"/>
          <w:b/>
          <w:sz w:val="24"/>
          <w:szCs w:val="24"/>
        </w:rPr>
        <w:tab/>
      </w:r>
    </w:p>
    <w:p w14:paraId="690E9D9A" w14:textId="77777777" w:rsidR="00C0782D" w:rsidRPr="00C0782D" w:rsidRDefault="00C0782D" w:rsidP="00C0782D">
      <w:pPr>
        <w:spacing w:after="240"/>
        <w:jc w:val="both"/>
        <w:rPr>
          <w:sz w:val="24"/>
          <w:szCs w:val="24"/>
        </w:rPr>
      </w:pPr>
      <w:r w:rsidRPr="00C0782D">
        <w:rPr>
          <w:sz w:val="24"/>
          <w:szCs w:val="24"/>
        </w:rPr>
        <w:t>This is automatically calculated as Item 2.1 less Item 2.2.</w:t>
      </w:r>
    </w:p>
    <w:p w14:paraId="70C118A6"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lastRenderedPageBreak/>
        <w:t>Available reinsurance</w:t>
      </w:r>
      <w:r w:rsidRPr="00C0782D">
        <w:rPr>
          <w:rFonts w:ascii="Arial" w:hAnsi="Arial" w:cs="Arial"/>
          <w:b/>
          <w:sz w:val="24"/>
          <w:szCs w:val="24"/>
        </w:rPr>
        <w:tab/>
      </w:r>
    </w:p>
    <w:p w14:paraId="3ADB943D" w14:textId="77777777" w:rsidR="00C0782D" w:rsidRPr="00C0782D" w:rsidRDefault="00C0782D" w:rsidP="00C0782D">
      <w:pPr>
        <w:spacing w:after="240"/>
        <w:jc w:val="both"/>
        <w:rPr>
          <w:sz w:val="24"/>
          <w:szCs w:val="24"/>
        </w:rPr>
      </w:pPr>
      <w:r w:rsidRPr="00C0782D">
        <w:rPr>
          <w:sz w:val="24"/>
          <w:szCs w:val="24"/>
        </w:rPr>
        <w:t>Report the amount of available reinsurance for each of the three years of the Prescribed Stress Scenario. The methodology for calculating available reinsurance is detailed in Attachment A of GPS 116.</w:t>
      </w:r>
    </w:p>
    <w:p w14:paraId="14D2AC6C"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Allowable reinsurance</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712D70EA" w14:textId="77777777" w:rsidR="00C0782D" w:rsidRPr="00C0782D" w:rsidRDefault="00C0782D" w:rsidP="00C0782D">
      <w:pPr>
        <w:spacing w:after="240"/>
        <w:jc w:val="both"/>
        <w:rPr>
          <w:sz w:val="24"/>
          <w:szCs w:val="24"/>
        </w:rPr>
      </w:pPr>
      <w:r w:rsidRPr="00C0782D">
        <w:rPr>
          <w:sz w:val="24"/>
          <w:szCs w:val="24"/>
        </w:rPr>
        <w:t xml:space="preserve">This is the lesser of </w:t>
      </w:r>
      <w:r w:rsidRPr="00C0782D">
        <w:rPr>
          <w:i/>
          <w:sz w:val="24"/>
          <w:szCs w:val="24"/>
        </w:rPr>
        <w:t>Available reinsurance</w:t>
      </w:r>
      <w:r w:rsidRPr="00C0782D">
        <w:rPr>
          <w:sz w:val="24"/>
          <w:szCs w:val="24"/>
        </w:rPr>
        <w:t xml:space="preserve"> and 60 per cent of the Adjusted PML. It is automatically calculated by the form.</w:t>
      </w:r>
    </w:p>
    <w:p w14:paraId="7751BE5C"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PML net of reinsurance</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1600CB48" w14:textId="77777777" w:rsidR="00C0782D" w:rsidRPr="00C0782D" w:rsidRDefault="00C0782D" w:rsidP="00C0782D">
      <w:pPr>
        <w:spacing w:after="240"/>
        <w:jc w:val="both"/>
        <w:rPr>
          <w:sz w:val="24"/>
          <w:szCs w:val="24"/>
        </w:rPr>
      </w:pPr>
      <w:r w:rsidRPr="00C0782D">
        <w:rPr>
          <w:sz w:val="24"/>
          <w:szCs w:val="24"/>
        </w:rPr>
        <w:t>This is automatically calculated as Item 2.3 less Item 2.5.</w:t>
      </w:r>
    </w:p>
    <w:p w14:paraId="37834660"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Net premiums liability deduction</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422F93B6" w14:textId="77777777" w:rsidR="00C0782D" w:rsidRPr="00C0782D" w:rsidRDefault="00C0782D" w:rsidP="00C0782D">
      <w:pPr>
        <w:spacing w:after="240"/>
        <w:jc w:val="both"/>
        <w:rPr>
          <w:sz w:val="24"/>
          <w:szCs w:val="24"/>
        </w:rPr>
      </w:pPr>
      <w:r w:rsidRPr="00C0782D">
        <w:rPr>
          <w:sz w:val="24"/>
          <w:szCs w:val="24"/>
        </w:rPr>
        <w:t>In determining the LMI Concentration Risk Charge (LMICRC), this is the value of the deduction from the PML, allowed under GPS 116, for net premiums liability of the LMI that relates to an economic downturn.</w:t>
      </w:r>
    </w:p>
    <w:p w14:paraId="364287DB" w14:textId="77777777" w:rsidR="00C0782D" w:rsidRPr="00C0782D" w:rsidRDefault="00C0782D" w:rsidP="00C0782D">
      <w:pPr>
        <w:spacing w:after="240"/>
        <w:jc w:val="both"/>
        <w:rPr>
          <w:sz w:val="24"/>
          <w:szCs w:val="24"/>
        </w:rPr>
      </w:pPr>
      <w:r w:rsidRPr="00C0782D">
        <w:rPr>
          <w:sz w:val="24"/>
          <w:szCs w:val="24"/>
        </w:rPr>
        <w:t>It is to be reported as a positive amount.</w:t>
      </w:r>
    </w:p>
    <w:p w14:paraId="3162B520"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Adjustments to LMICRC as approved by APRA</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32CB5AED" w14:textId="77777777" w:rsidR="00C0782D" w:rsidRPr="00C0782D" w:rsidRDefault="00C0782D" w:rsidP="00C0782D">
      <w:pPr>
        <w:spacing w:after="240"/>
        <w:jc w:val="both"/>
        <w:rPr>
          <w:sz w:val="24"/>
          <w:szCs w:val="24"/>
        </w:rPr>
      </w:pPr>
      <w:r w:rsidRPr="00C0782D">
        <w:rPr>
          <w:sz w:val="24"/>
          <w:szCs w:val="24"/>
        </w:rPr>
        <w:t>If APRA is of the view that the Standard Method for calculating the LMICRC component of the prescribed capital amount does not produce an appropriate outcome in respect of a reporting insurer, or a reporting insurer has used inappropriate judgement or estimation in calculating the LMICRC, APRA may adjust the LMICRC calculation for that reporting insurer.</w:t>
      </w:r>
    </w:p>
    <w:p w14:paraId="3E6C08D2" w14:textId="77777777" w:rsidR="00C0782D" w:rsidRPr="00C0782D" w:rsidRDefault="00C0782D" w:rsidP="00C0782D">
      <w:pPr>
        <w:spacing w:after="240"/>
        <w:jc w:val="both"/>
        <w:rPr>
          <w:sz w:val="24"/>
          <w:szCs w:val="24"/>
        </w:rPr>
      </w:pPr>
      <w:r w:rsidRPr="00C0782D">
        <w:rPr>
          <w:sz w:val="24"/>
          <w:szCs w:val="24"/>
        </w:rPr>
        <w:t>An increase in the LMICRC is to be reported as a positive amount.</w:t>
      </w:r>
    </w:p>
    <w:p w14:paraId="519B2825"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LMI Concentration Risk Charge</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485FF4B3" w14:textId="77777777" w:rsidR="00C0782D" w:rsidRPr="00C0782D" w:rsidRDefault="00C0782D" w:rsidP="00C0782D">
      <w:pPr>
        <w:spacing w:after="240"/>
        <w:jc w:val="both"/>
        <w:rPr>
          <w:sz w:val="24"/>
          <w:szCs w:val="24"/>
        </w:rPr>
      </w:pPr>
      <w:r w:rsidRPr="00C0782D">
        <w:rPr>
          <w:sz w:val="24"/>
          <w:szCs w:val="24"/>
        </w:rPr>
        <w:t>This is automatically calculated as Item 2.6 less Item 2.7 plus Item 2.8.</w:t>
      </w:r>
    </w:p>
    <w:p w14:paraId="243B4807" w14:textId="77777777" w:rsidR="00C0782D" w:rsidRPr="00C0782D" w:rsidRDefault="00C0782D" w:rsidP="00C0782D">
      <w:pPr>
        <w:keepNext/>
        <w:numPr>
          <w:ilvl w:val="0"/>
          <w:numId w:val="43"/>
        </w:numPr>
        <w:spacing w:before="120" w:after="240"/>
        <w:jc w:val="both"/>
        <w:rPr>
          <w:rFonts w:ascii="Arial" w:hAnsi="Arial" w:cs="Arial"/>
          <w:b/>
          <w:sz w:val="24"/>
          <w:szCs w:val="24"/>
        </w:rPr>
      </w:pPr>
      <w:r w:rsidRPr="00C0782D">
        <w:rPr>
          <w:rFonts w:ascii="Arial" w:hAnsi="Arial" w:cs="Arial"/>
          <w:b/>
          <w:sz w:val="24"/>
          <w:szCs w:val="24"/>
        </w:rPr>
        <w:t>LMI Concentration Risk Charge / PML</w:t>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r w:rsidRPr="00C0782D">
        <w:rPr>
          <w:rFonts w:ascii="Arial" w:hAnsi="Arial" w:cs="Arial"/>
          <w:b/>
          <w:sz w:val="24"/>
          <w:szCs w:val="24"/>
        </w:rPr>
        <w:tab/>
      </w:r>
    </w:p>
    <w:p w14:paraId="1146F595" w14:textId="77777777" w:rsidR="00C0782D" w:rsidRPr="00C0782D" w:rsidRDefault="00C0782D" w:rsidP="00C0782D">
      <w:pPr>
        <w:spacing w:after="240"/>
        <w:jc w:val="both"/>
        <w:rPr>
          <w:sz w:val="24"/>
          <w:szCs w:val="24"/>
        </w:rPr>
      </w:pPr>
      <w:r w:rsidRPr="00C0782D">
        <w:rPr>
          <w:sz w:val="24"/>
          <w:szCs w:val="24"/>
        </w:rPr>
        <w:t>This is automatically calculated as Item 2.9 divided by Item 2.3.</w:t>
      </w:r>
    </w:p>
    <w:p w14:paraId="6A482214" w14:textId="77777777" w:rsidR="00C0782D" w:rsidRPr="00C0782D" w:rsidRDefault="00C0782D" w:rsidP="00C0782D">
      <w:pPr>
        <w:spacing w:after="240"/>
        <w:jc w:val="both"/>
        <w:rPr>
          <w:sz w:val="24"/>
          <w:szCs w:val="24"/>
        </w:rPr>
        <w:sectPr w:rsidR="00C0782D" w:rsidRPr="00C0782D" w:rsidSect="00251A4C">
          <w:footerReference w:type="default" r:id="rId30"/>
          <w:pgSz w:w="11906" w:h="16838" w:code="9"/>
          <w:pgMar w:top="1440" w:right="1440" w:bottom="1440" w:left="1440" w:header="709" w:footer="709" w:gutter="0"/>
          <w:pgNumType w:start="1"/>
          <w:cols w:space="708"/>
          <w:docGrid w:linePitch="360"/>
        </w:sectPr>
      </w:pPr>
    </w:p>
    <w:p w14:paraId="6C504802" w14:textId="77777777" w:rsidR="00C0782D" w:rsidRPr="00C0782D" w:rsidRDefault="00C0782D" w:rsidP="00C0782D">
      <w:pPr>
        <w:keepNext/>
        <w:spacing w:before="120" w:after="360"/>
        <w:jc w:val="center"/>
        <w:rPr>
          <w:rFonts w:ascii="Arial" w:hAnsi="Arial" w:cs="Arial"/>
          <w:b/>
          <w:sz w:val="32"/>
          <w:szCs w:val="32"/>
        </w:rPr>
      </w:pPr>
      <w:r w:rsidRPr="00C0782D">
        <w:rPr>
          <w:rFonts w:ascii="Arial" w:hAnsi="Arial" w:cs="Arial"/>
          <w:b/>
          <w:bCs/>
          <w:sz w:val="32"/>
          <w:szCs w:val="32"/>
        </w:rPr>
        <w:lastRenderedPageBreak/>
        <w:t>GRF_116_5: Probable Maximum Loss for LMIs – Additional Information</w:t>
      </w:r>
    </w:p>
    <w:p w14:paraId="5EE76066" w14:textId="77777777" w:rsidR="00C0782D" w:rsidRPr="00C0782D" w:rsidRDefault="00C0782D" w:rsidP="00C0782D">
      <w:pPr>
        <w:keepNext/>
        <w:spacing w:before="120" w:after="360"/>
        <w:jc w:val="both"/>
        <w:rPr>
          <w:rFonts w:ascii="Arial" w:hAnsi="Arial" w:cs="Arial"/>
          <w:b/>
          <w:sz w:val="32"/>
          <w:szCs w:val="32"/>
        </w:rPr>
      </w:pPr>
      <w:r w:rsidRPr="00C0782D">
        <w:rPr>
          <w:sz w:val="24"/>
          <w:szCs w:val="24"/>
        </w:rPr>
        <w:t>These instructions must be read in conjunction with the general instruction guide.</w:t>
      </w:r>
    </w:p>
    <w:p w14:paraId="6D6A03A4" w14:textId="77777777" w:rsidR="00C0782D" w:rsidRPr="00C0782D" w:rsidRDefault="00C0782D" w:rsidP="00C0782D">
      <w:pPr>
        <w:keepNext/>
        <w:spacing w:before="120" w:after="360"/>
        <w:jc w:val="both"/>
        <w:rPr>
          <w:rFonts w:ascii="Arial" w:hAnsi="Arial" w:cs="Arial"/>
          <w:b/>
          <w:sz w:val="32"/>
          <w:szCs w:val="32"/>
        </w:rPr>
      </w:pPr>
      <w:r w:rsidRPr="00C0782D">
        <w:rPr>
          <w:rFonts w:ascii="Arial" w:hAnsi="Arial" w:cs="Arial"/>
          <w:b/>
          <w:sz w:val="32"/>
          <w:szCs w:val="32"/>
        </w:rPr>
        <w:t>Explanatory notes</w:t>
      </w:r>
    </w:p>
    <w:p w14:paraId="171A9B93"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 1: Inwards reinsurance</w:t>
      </w:r>
    </w:p>
    <w:p w14:paraId="72CF0694" w14:textId="77777777" w:rsidR="00C0782D" w:rsidRPr="00C0782D" w:rsidRDefault="00C0782D" w:rsidP="00C0782D">
      <w:pPr>
        <w:keepNext/>
        <w:spacing w:before="120" w:after="240"/>
        <w:jc w:val="both"/>
        <w:rPr>
          <w:sz w:val="24"/>
          <w:szCs w:val="24"/>
        </w:rPr>
      </w:pPr>
      <w:r w:rsidRPr="00C0782D">
        <w:rPr>
          <w:sz w:val="24"/>
          <w:szCs w:val="24"/>
        </w:rPr>
        <w:t>This section relates to policies held with the insurer by other lenders mortgage insurers (LMIs).</w:t>
      </w:r>
    </w:p>
    <w:p w14:paraId="0B3C541B"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Section 2: Large liability exposures by originator</w:t>
      </w:r>
    </w:p>
    <w:p w14:paraId="2473387F" w14:textId="77777777" w:rsidR="00C0782D" w:rsidRPr="00C0782D" w:rsidRDefault="00C0782D" w:rsidP="00C0782D">
      <w:pPr>
        <w:jc w:val="both"/>
        <w:rPr>
          <w:color w:val="000000"/>
          <w:sz w:val="24"/>
          <w:szCs w:val="24"/>
        </w:rPr>
      </w:pPr>
      <w:r w:rsidRPr="00C0782D">
        <w:rPr>
          <w:color w:val="000000"/>
          <w:sz w:val="24"/>
          <w:szCs w:val="24"/>
        </w:rPr>
        <w:t>Information is to be reported in this section for the five largest liability exposures by originator.</w:t>
      </w:r>
    </w:p>
    <w:p w14:paraId="734B2BD0" w14:textId="77777777" w:rsidR="00C0782D" w:rsidRPr="00C0782D" w:rsidRDefault="00C0782D" w:rsidP="00C0782D">
      <w:pPr>
        <w:keepNext/>
        <w:spacing w:before="120" w:after="240"/>
        <w:jc w:val="both"/>
        <w:rPr>
          <w:rFonts w:ascii="Arial" w:hAnsi="Arial" w:cs="Arial"/>
          <w:b/>
          <w:sz w:val="24"/>
          <w:szCs w:val="24"/>
        </w:rPr>
      </w:pPr>
      <w:r w:rsidRPr="00C0782D">
        <w:rPr>
          <w:rFonts w:ascii="Arial" w:hAnsi="Arial" w:cs="Arial"/>
          <w:b/>
          <w:sz w:val="24"/>
          <w:szCs w:val="24"/>
        </w:rPr>
        <w:t>Calculation of LMICRC</w:t>
      </w:r>
    </w:p>
    <w:p w14:paraId="25DCB5F0" w14:textId="77777777" w:rsidR="00C0782D" w:rsidRPr="00C0782D" w:rsidRDefault="00C0782D" w:rsidP="00C0782D">
      <w:pPr>
        <w:jc w:val="both"/>
        <w:rPr>
          <w:color w:val="000000"/>
          <w:sz w:val="24"/>
          <w:szCs w:val="24"/>
        </w:rPr>
      </w:pPr>
      <w:r w:rsidRPr="00C0782D">
        <w:rPr>
          <w:color w:val="000000"/>
          <w:sz w:val="24"/>
          <w:szCs w:val="24"/>
        </w:rPr>
        <w:t>The information on this form will not directly affected the calculation of the LMI concentration risk charge</w:t>
      </w:r>
    </w:p>
    <w:p w14:paraId="1F3C76E8" w14:textId="77777777" w:rsidR="00C0782D" w:rsidRPr="00C0782D" w:rsidRDefault="00C0782D" w:rsidP="00C0782D">
      <w:pPr>
        <w:jc w:val="both"/>
        <w:rPr>
          <w:sz w:val="24"/>
          <w:szCs w:val="24"/>
        </w:rPr>
      </w:pPr>
    </w:p>
    <w:p w14:paraId="6DAA5707" w14:textId="77777777" w:rsidR="00C0782D" w:rsidRPr="00C0782D" w:rsidRDefault="00C0782D" w:rsidP="00C0782D">
      <w:pPr>
        <w:keepNext/>
        <w:spacing w:before="120" w:after="360"/>
        <w:jc w:val="both"/>
        <w:rPr>
          <w:rFonts w:ascii="Arial" w:hAnsi="Arial" w:cs="Arial"/>
          <w:b/>
          <w:sz w:val="32"/>
          <w:szCs w:val="32"/>
        </w:rPr>
      </w:pPr>
      <w:r w:rsidRPr="00C0782D">
        <w:rPr>
          <w:rFonts w:ascii="Arial" w:hAnsi="Arial" w:cs="Arial"/>
          <w:b/>
          <w:sz w:val="32"/>
          <w:szCs w:val="32"/>
        </w:rPr>
        <w:t>Specific reporting instructions</w:t>
      </w:r>
    </w:p>
    <w:p w14:paraId="3AD9A2F3" w14:textId="77777777" w:rsidR="00C0782D" w:rsidRPr="00C0782D" w:rsidRDefault="00C0782D" w:rsidP="00C0782D">
      <w:pPr>
        <w:spacing w:after="240"/>
        <w:jc w:val="both"/>
        <w:rPr>
          <w:rFonts w:ascii="Arial" w:hAnsi="Arial" w:cs="Arial"/>
          <w:b/>
          <w:sz w:val="24"/>
          <w:szCs w:val="24"/>
        </w:rPr>
      </w:pPr>
      <w:r w:rsidRPr="00C0782D">
        <w:rPr>
          <w:rFonts w:ascii="Arial" w:hAnsi="Arial" w:cs="Arial"/>
          <w:b/>
          <w:sz w:val="24"/>
          <w:szCs w:val="24"/>
        </w:rPr>
        <w:t>Section 1: 1.1</w:t>
      </w:r>
    </w:p>
    <w:p w14:paraId="4A4D2469" w14:textId="77777777" w:rsidR="00C0782D" w:rsidRPr="00C0782D" w:rsidRDefault="00C0782D" w:rsidP="00C0782D">
      <w:pPr>
        <w:spacing w:after="240"/>
        <w:jc w:val="both"/>
        <w:rPr>
          <w:rFonts w:ascii="Arial" w:hAnsi="Arial" w:cs="Arial"/>
          <w:b/>
          <w:sz w:val="24"/>
          <w:szCs w:val="24"/>
        </w:rPr>
      </w:pPr>
      <w:r w:rsidRPr="00C0782D">
        <w:rPr>
          <w:rFonts w:ascii="Arial" w:hAnsi="Arial" w:cs="Arial"/>
          <w:b/>
          <w:sz w:val="24"/>
          <w:szCs w:val="24"/>
        </w:rPr>
        <w:t>(1) LVR greater than (%)</w:t>
      </w:r>
    </w:p>
    <w:p w14:paraId="0C7AABB6" w14:textId="77777777" w:rsidR="00C0782D" w:rsidRPr="00C0782D" w:rsidRDefault="00C0782D" w:rsidP="00C0782D">
      <w:pPr>
        <w:spacing w:after="240"/>
        <w:jc w:val="both"/>
        <w:rPr>
          <w:rFonts w:ascii="Arial" w:hAnsi="Arial" w:cs="Arial"/>
          <w:b/>
          <w:sz w:val="24"/>
          <w:szCs w:val="24"/>
        </w:rPr>
      </w:pPr>
      <w:r w:rsidRPr="00C0782D">
        <w:rPr>
          <w:rFonts w:ascii="Arial" w:hAnsi="Arial" w:cs="Arial"/>
          <w:b/>
          <w:sz w:val="24"/>
          <w:szCs w:val="24"/>
        </w:rPr>
        <w:t>(2) LVR less than or equal to (%)</w:t>
      </w:r>
    </w:p>
    <w:p w14:paraId="591A173E" w14:textId="77777777" w:rsidR="00C0782D" w:rsidRPr="00C0782D" w:rsidRDefault="00C0782D" w:rsidP="00C0782D">
      <w:pPr>
        <w:spacing w:after="240"/>
        <w:jc w:val="both"/>
        <w:rPr>
          <w:rFonts w:ascii="Arial" w:hAnsi="Arial" w:cs="Arial"/>
          <w:b/>
          <w:sz w:val="24"/>
          <w:szCs w:val="24"/>
        </w:rPr>
      </w:pPr>
      <w:r w:rsidRPr="00C0782D">
        <w:rPr>
          <w:rFonts w:ascii="Arial" w:hAnsi="Arial" w:cs="Arial"/>
          <w:b/>
          <w:sz w:val="24"/>
          <w:szCs w:val="24"/>
        </w:rPr>
        <w:t>(3) Coverage proportion (%)</w:t>
      </w:r>
    </w:p>
    <w:p w14:paraId="58FA9338" w14:textId="77777777" w:rsidR="00C0782D" w:rsidRPr="00C0782D" w:rsidRDefault="00C0782D" w:rsidP="00C0782D">
      <w:pPr>
        <w:spacing w:after="240"/>
        <w:jc w:val="both"/>
        <w:rPr>
          <w:rFonts w:ascii="Arial" w:hAnsi="Arial" w:cs="Arial"/>
          <w:b/>
          <w:sz w:val="24"/>
          <w:szCs w:val="24"/>
        </w:rPr>
      </w:pPr>
      <w:r w:rsidRPr="00C0782D">
        <w:rPr>
          <w:rFonts w:ascii="Arial" w:hAnsi="Arial" w:cs="Arial"/>
          <w:b/>
          <w:sz w:val="24"/>
          <w:szCs w:val="24"/>
        </w:rPr>
        <w:t>(4.1.) &lt; 3 years</w:t>
      </w:r>
    </w:p>
    <w:p w14:paraId="1FEEA230" w14:textId="77777777" w:rsidR="00C0782D" w:rsidRPr="00C0782D" w:rsidRDefault="00C0782D" w:rsidP="00C0782D">
      <w:pPr>
        <w:spacing w:after="240"/>
        <w:jc w:val="both"/>
        <w:rPr>
          <w:rFonts w:ascii="Arial" w:hAnsi="Arial" w:cs="Arial"/>
          <w:b/>
          <w:sz w:val="24"/>
          <w:szCs w:val="24"/>
        </w:rPr>
      </w:pPr>
      <w:r w:rsidRPr="00C0782D">
        <w:rPr>
          <w:rFonts w:ascii="Arial" w:hAnsi="Arial" w:cs="Arial"/>
          <w:b/>
          <w:sz w:val="24"/>
          <w:szCs w:val="24"/>
        </w:rPr>
        <w:t>(4.2.) 3 &lt; 5 years</w:t>
      </w:r>
    </w:p>
    <w:p w14:paraId="20D0D2EC" w14:textId="77777777" w:rsidR="00C0782D" w:rsidRPr="00C0782D" w:rsidRDefault="00C0782D" w:rsidP="00C0782D">
      <w:pPr>
        <w:spacing w:after="240"/>
        <w:jc w:val="both"/>
        <w:rPr>
          <w:rFonts w:ascii="Arial" w:hAnsi="Arial" w:cs="Arial"/>
          <w:b/>
          <w:sz w:val="24"/>
          <w:szCs w:val="24"/>
        </w:rPr>
      </w:pPr>
      <w:r w:rsidRPr="00C0782D">
        <w:rPr>
          <w:rFonts w:ascii="Arial" w:hAnsi="Arial" w:cs="Arial"/>
          <w:b/>
          <w:sz w:val="24"/>
          <w:szCs w:val="24"/>
        </w:rPr>
        <w:t>(4.3.) 5 &lt; 10 years</w:t>
      </w:r>
    </w:p>
    <w:p w14:paraId="06386627" w14:textId="77777777" w:rsidR="00C0782D" w:rsidRPr="00C0782D" w:rsidRDefault="00C0782D" w:rsidP="00C0782D">
      <w:pPr>
        <w:spacing w:after="240"/>
        <w:jc w:val="both"/>
        <w:rPr>
          <w:rFonts w:ascii="Arial" w:hAnsi="Arial" w:cs="Arial"/>
          <w:b/>
          <w:sz w:val="24"/>
          <w:szCs w:val="24"/>
        </w:rPr>
      </w:pPr>
      <w:r w:rsidRPr="00C0782D">
        <w:rPr>
          <w:rFonts w:ascii="Arial" w:hAnsi="Arial" w:cs="Arial"/>
          <w:b/>
          <w:sz w:val="24"/>
          <w:szCs w:val="24"/>
        </w:rPr>
        <w:t xml:space="preserve">(4.4.) &gt;= 10 years   </w:t>
      </w:r>
    </w:p>
    <w:p w14:paraId="3CB3A568" w14:textId="77777777" w:rsidR="00C0782D" w:rsidRPr="00C0782D" w:rsidRDefault="00C0782D" w:rsidP="00C0782D">
      <w:pPr>
        <w:rPr>
          <w:sz w:val="24"/>
          <w:szCs w:val="24"/>
        </w:rPr>
      </w:pPr>
      <w:r w:rsidRPr="00C0782D">
        <w:rPr>
          <w:sz w:val="24"/>
          <w:szCs w:val="24"/>
        </w:rPr>
        <w:t>Refer to instructions for the corresponding columns in Section 1: 1.1 of GRF 116.1.</w:t>
      </w:r>
    </w:p>
    <w:p w14:paraId="52DD6C4F" w14:textId="77777777" w:rsidR="00C0782D" w:rsidRPr="00C0782D" w:rsidRDefault="00C0782D" w:rsidP="00C0782D">
      <w:pPr>
        <w:rPr>
          <w:sz w:val="24"/>
          <w:szCs w:val="24"/>
        </w:rPr>
      </w:pPr>
    </w:p>
    <w:p w14:paraId="1390F143"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(5) Total inwards reinsurance</w:t>
      </w:r>
    </w:p>
    <w:p w14:paraId="3A8453A8" w14:textId="77777777" w:rsidR="00C0782D" w:rsidRPr="00C0782D" w:rsidRDefault="00C0782D" w:rsidP="00C0782D">
      <w:pPr>
        <w:rPr>
          <w:sz w:val="24"/>
          <w:szCs w:val="24"/>
        </w:rPr>
      </w:pPr>
    </w:p>
    <w:p w14:paraId="018A3657" w14:textId="77777777" w:rsidR="00C0782D" w:rsidRPr="00C0782D" w:rsidRDefault="00C0782D" w:rsidP="00C0782D">
      <w:pPr>
        <w:jc w:val="both"/>
        <w:rPr>
          <w:sz w:val="24"/>
          <w:szCs w:val="24"/>
        </w:rPr>
      </w:pPr>
      <w:r w:rsidRPr="00C0782D">
        <w:rPr>
          <w:sz w:val="24"/>
          <w:szCs w:val="24"/>
        </w:rPr>
        <w:t>Report the total inwards reinsurance exposure for the LMI relating to 100 per cent and top cover loans.</w:t>
      </w:r>
    </w:p>
    <w:p w14:paraId="2E536712" w14:textId="77777777" w:rsidR="00C0782D" w:rsidRPr="00C0782D" w:rsidRDefault="00C0782D" w:rsidP="00C0782D">
      <w:pPr>
        <w:jc w:val="both"/>
        <w:rPr>
          <w:sz w:val="24"/>
          <w:szCs w:val="24"/>
        </w:rPr>
      </w:pPr>
    </w:p>
    <w:p w14:paraId="50A5F19C" w14:textId="77777777" w:rsidR="00C0782D" w:rsidRPr="00C0782D" w:rsidRDefault="00C0782D" w:rsidP="00C0782D">
      <w:pPr>
        <w:jc w:val="both"/>
        <w:rPr>
          <w:sz w:val="24"/>
          <w:szCs w:val="24"/>
        </w:rPr>
      </w:pPr>
      <w:r w:rsidRPr="00C0782D">
        <w:rPr>
          <w:sz w:val="24"/>
          <w:szCs w:val="24"/>
        </w:rPr>
        <w:t>This is automatically calculated as the sum of Columns 4.1 to 4.4 multiplied by their corresponding seasoning factors.</w:t>
      </w:r>
    </w:p>
    <w:p w14:paraId="0932CB60" w14:textId="77777777" w:rsidR="00C0782D" w:rsidRPr="00C0782D" w:rsidRDefault="00C0782D" w:rsidP="00C0782D">
      <w:pPr>
        <w:rPr>
          <w:sz w:val="24"/>
          <w:szCs w:val="24"/>
        </w:rPr>
      </w:pPr>
    </w:p>
    <w:p w14:paraId="7CB0C7A3"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lastRenderedPageBreak/>
        <w:t>(6) Of which non-APRA regulated</w:t>
      </w:r>
    </w:p>
    <w:p w14:paraId="24E7A709" w14:textId="77777777" w:rsidR="00C0782D" w:rsidRPr="00C0782D" w:rsidRDefault="00C0782D" w:rsidP="00C0782D">
      <w:pPr>
        <w:rPr>
          <w:sz w:val="24"/>
          <w:szCs w:val="24"/>
        </w:rPr>
      </w:pPr>
    </w:p>
    <w:p w14:paraId="65FFD09F" w14:textId="77777777" w:rsidR="00C0782D" w:rsidRPr="00C0782D" w:rsidRDefault="00C0782D" w:rsidP="00C0782D">
      <w:pPr>
        <w:jc w:val="both"/>
        <w:rPr>
          <w:sz w:val="24"/>
          <w:szCs w:val="24"/>
        </w:rPr>
      </w:pPr>
      <w:r w:rsidRPr="00C0782D">
        <w:rPr>
          <w:sz w:val="24"/>
          <w:szCs w:val="24"/>
        </w:rPr>
        <w:t>Report the total inwards reinsurance exposure relating to policies insuring 100 per cent and top cover loans that are approved, advanced and funded by non-ADIs.</w:t>
      </w:r>
    </w:p>
    <w:p w14:paraId="21F34120" w14:textId="77777777" w:rsidR="00C0782D" w:rsidRPr="00C0782D" w:rsidRDefault="00C0782D" w:rsidP="00C0782D">
      <w:pPr>
        <w:rPr>
          <w:sz w:val="24"/>
          <w:szCs w:val="24"/>
        </w:rPr>
      </w:pPr>
    </w:p>
    <w:p w14:paraId="0C16288B"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(7) Of which non-standards loans</w:t>
      </w:r>
    </w:p>
    <w:p w14:paraId="491E0DA6" w14:textId="77777777" w:rsidR="00C0782D" w:rsidRPr="00C0782D" w:rsidRDefault="00C0782D" w:rsidP="00C0782D">
      <w:pPr>
        <w:rPr>
          <w:sz w:val="24"/>
          <w:szCs w:val="24"/>
        </w:rPr>
      </w:pPr>
    </w:p>
    <w:p w14:paraId="20FE7924" w14:textId="77777777" w:rsidR="00C0782D" w:rsidRPr="00C0782D" w:rsidRDefault="00C0782D" w:rsidP="00C0782D">
      <w:pPr>
        <w:jc w:val="both"/>
        <w:rPr>
          <w:sz w:val="24"/>
          <w:szCs w:val="24"/>
        </w:rPr>
      </w:pPr>
      <w:r w:rsidRPr="00C0782D">
        <w:rPr>
          <w:sz w:val="24"/>
          <w:szCs w:val="24"/>
        </w:rPr>
        <w:t>Report the total inwards reinsurance exposure relating to policies insuring non-standard, 100 per cent and top cover loans.</w:t>
      </w:r>
    </w:p>
    <w:p w14:paraId="5D7A19C4" w14:textId="77777777" w:rsidR="00C0782D" w:rsidRPr="00C0782D" w:rsidRDefault="00C0782D" w:rsidP="00C0782D">
      <w:pPr>
        <w:rPr>
          <w:sz w:val="24"/>
          <w:szCs w:val="24"/>
        </w:rPr>
      </w:pPr>
    </w:p>
    <w:p w14:paraId="303B5D2E"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Section 1: 1.2</w:t>
      </w:r>
    </w:p>
    <w:p w14:paraId="7072738B" w14:textId="77777777" w:rsidR="00C0782D" w:rsidRPr="00C0782D" w:rsidRDefault="00C0782D" w:rsidP="00C0782D">
      <w:pPr>
        <w:rPr>
          <w:sz w:val="24"/>
          <w:szCs w:val="24"/>
        </w:rPr>
      </w:pPr>
    </w:p>
    <w:p w14:paraId="71C7806C"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(1) Weighted average LVR (%)</w:t>
      </w:r>
    </w:p>
    <w:p w14:paraId="0D96A2DA" w14:textId="77777777" w:rsidR="00C0782D" w:rsidRPr="00C0782D" w:rsidRDefault="00C0782D" w:rsidP="00C0782D">
      <w:pPr>
        <w:rPr>
          <w:sz w:val="24"/>
          <w:szCs w:val="24"/>
        </w:rPr>
      </w:pPr>
    </w:p>
    <w:p w14:paraId="66F24329"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 xml:space="preserve">(2) Weighted-average age </w:t>
      </w:r>
    </w:p>
    <w:p w14:paraId="77075E0C" w14:textId="77777777" w:rsidR="00C0782D" w:rsidRPr="00C0782D" w:rsidRDefault="00C0782D" w:rsidP="00C0782D">
      <w:pPr>
        <w:rPr>
          <w:sz w:val="24"/>
          <w:szCs w:val="24"/>
        </w:rPr>
      </w:pPr>
    </w:p>
    <w:p w14:paraId="70AFF09C" w14:textId="77777777" w:rsidR="00C0782D" w:rsidRPr="00C0782D" w:rsidRDefault="00C0782D" w:rsidP="00C0782D">
      <w:pPr>
        <w:rPr>
          <w:sz w:val="24"/>
          <w:szCs w:val="24"/>
        </w:rPr>
      </w:pPr>
      <w:r w:rsidRPr="00C0782D">
        <w:rPr>
          <w:sz w:val="24"/>
          <w:szCs w:val="24"/>
        </w:rPr>
        <w:t>Refer to instructions for the corresponding columns in Section 1: 1.2 of GRF 116.1.</w:t>
      </w:r>
    </w:p>
    <w:p w14:paraId="28AE936C" w14:textId="77777777" w:rsidR="00C0782D" w:rsidRPr="00C0782D" w:rsidRDefault="00C0782D" w:rsidP="00C0782D">
      <w:pPr>
        <w:rPr>
          <w:sz w:val="24"/>
          <w:szCs w:val="24"/>
        </w:rPr>
      </w:pPr>
    </w:p>
    <w:p w14:paraId="4C5A6EB9"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(3) Total inwards reinsurance</w:t>
      </w:r>
    </w:p>
    <w:p w14:paraId="44569CE7" w14:textId="77777777" w:rsidR="00C0782D" w:rsidRPr="00C0782D" w:rsidRDefault="00C0782D" w:rsidP="00C0782D">
      <w:pPr>
        <w:rPr>
          <w:sz w:val="24"/>
          <w:szCs w:val="24"/>
        </w:rPr>
      </w:pPr>
    </w:p>
    <w:p w14:paraId="49CE20C2" w14:textId="77777777" w:rsidR="00C0782D" w:rsidRPr="00C0782D" w:rsidRDefault="00C0782D" w:rsidP="00C0782D">
      <w:pPr>
        <w:jc w:val="both"/>
        <w:rPr>
          <w:sz w:val="24"/>
          <w:szCs w:val="24"/>
        </w:rPr>
      </w:pPr>
      <w:r w:rsidRPr="00C0782D">
        <w:rPr>
          <w:sz w:val="24"/>
          <w:szCs w:val="24"/>
        </w:rPr>
        <w:t>Report the total inwards reinsurance exposure for the LMI relating to pool cover loans.</w:t>
      </w:r>
    </w:p>
    <w:p w14:paraId="03CBA053" w14:textId="77777777" w:rsidR="00C0782D" w:rsidRPr="00C0782D" w:rsidRDefault="00C0782D" w:rsidP="00C0782D">
      <w:pPr>
        <w:rPr>
          <w:sz w:val="24"/>
          <w:szCs w:val="24"/>
        </w:rPr>
      </w:pPr>
    </w:p>
    <w:p w14:paraId="35D24E92"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(4) Of which non-APRA regulated</w:t>
      </w:r>
    </w:p>
    <w:p w14:paraId="601CF647" w14:textId="77777777" w:rsidR="00C0782D" w:rsidRPr="00C0782D" w:rsidRDefault="00C0782D" w:rsidP="00C0782D">
      <w:pPr>
        <w:rPr>
          <w:sz w:val="24"/>
          <w:szCs w:val="24"/>
        </w:rPr>
      </w:pPr>
    </w:p>
    <w:p w14:paraId="5220E752" w14:textId="77777777" w:rsidR="00C0782D" w:rsidRPr="00C0782D" w:rsidRDefault="00C0782D" w:rsidP="00C0782D">
      <w:pPr>
        <w:jc w:val="both"/>
        <w:rPr>
          <w:sz w:val="24"/>
          <w:szCs w:val="24"/>
        </w:rPr>
      </w:pPr>
      <w:r w:rsidRPr="00C0782D">
        <w:rPr>
          <w:sz w:val="24"/>
          <w:szCs w:val="24"/>
        </w:rPr>
        <w:t>Report the total inwards reinsurance exposure relating to policies insuring pool cover loans that are approved, advanced and funded by non-ADIs.</w:t>
      </w:r>
    </w:p>
    <w:p w14:paraId="53571359" w14:textId="77777777" w:rsidR="00C0782D" w:rsidRPr="00C0782D" w:rsidRDefault="00C0782D" w:rsidP="00C0782D">
      <w:pPr>
        <w:rPr>
          <w:sz w:val="24"/>
          <w:szCs w:val="24"/>
        </w:rPr>
      </w:pPr>
    </w:p>
    <w:p w14:paraId="4E8E2003"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(5) Of which non-standard loans</w:t>
      </w:r>
    </w:p>
    <w:p w14:paraId="3D6EF565" w14:textId="77777777" w:rsidR="00C0782D" w:rsidRPr="00C0782D" w:rsidRDefault="00C0782D" w:rsidP="00C0782D">
      <w:pPr>
        <w:rPr>
          <w:sz w:val="24"/>
          <w:szCs w:val="24"/>
        </w:rPr>
      </w:pPr>
    </w:p>
    <w:p w14:paraId="64C90984" w14:textId="77777777" w:rsidR="00C0782D" w:rsidRPr="00C0782D" w:rsidRDefault="00C0782D" w:rsidP="00C0782D">
      <w:pPr>
        <w:jc w:val="both"/>
        <w:rPr>
          <w:sz w:val="24"/>
          <w:szCs w:val="24"/>
        </w:rPr>
      </w:pPr>
      <w:r w:rsidRPr="00C0782D">
        <w:rPr>
          <w:sz w:val="24"/>
          <w:szCs w:val="24"/>
        </w:rPr>
        <w:t>Report the total inwards reinsurance exposure relating to policies insuring non-standard, pool cover loans.</w:t>
      </w:r>
    </w:p>
    <w:p w14:paraId="0F7F0764" w14:textId="77777777" w:rsidR="00C0782D" w:rsidRPr="00C0782D" w:rsidRDefault="00C0782D" w:rsidP="00C0782D">
      <w:pPr>
        <w:rPr>
          <w:sz w:val="24"/>
          <w:szCs w:val="24"/>
        </w:rPr>
      </w:pPr>
    </w:p>
    <w:p w14:paraId="174B332A"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Section 1: 1.3</w:t>
      </w:r>
    </w:p>
    <w:p w14:paraId="3AF68FB3" w14:textId="77777777" w:rsidR="00C0782D" w:rsidRPr="00C0782D" w:rsidRDefault="00C0782D" w:rsidP="00C0782D">
      <w:pPr>
        <w:keepNext/>
        <w:keepLines/>
        <w:outlineLvl w:val="1"/>
        <w:rPr>
          <w:rFonts w:ascii="Arial" w:hAnsi="Arial"/>
          <w:b/>
          <w:bCs/>
          <w:color w:val="000000"/>
          <w:sz w:val="24"/>
          <w:szCs w:val="24"/>
        </w:rPr>
      </w:pPr>
    </w:p>
    <w:p w14:paraId="1FF39DC5"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(1) Total inwards reinsurance</w:t>
      </w:r>
    </w:p>
    <w:p w14:paraId="5FF85CF1" w14:textId="77777777" w:rsidR="00C0782D" w:rsidRPr="00C0782D" w:rsidRDefault="00C0782D" w:rsidP="00C0782D">
      <w:pPr>
        <w:rPr>
          <w:sz w:val="24"/>
          <w:szCs w:val="24"/>
        </w:rPr>
      </w:pPr>
    </w:p>
    <w:p w14:paraId="5612633D" w14:textId="77777777" w:rsidR="00C0782D" w:rsidRPr="00C0782D" w:rsidRDefault="00C0782D" w:rsidP="00C0782D">
      <w:pPr>
        <w:jc w:val="both"/>
        <w:rPr>
          <w:sz w:val="24"/>
          <w:szCs w:val="24"/>
        </w:rPr>
      </w:pPr>
      <w:r w:rsidRPr="00C0782D">
        <w:rPr>
          <w:sz w:val="24"/>
          <w:szCs w:val="24"/>
        </w:rPr>
        <w:t>Report the total inwards reinsurance exposure for the LMI relating to commercial loans.</w:t>
      </w:r>
    </w:p>
    <w:p w14:paraId="1A760543" w14:textId="77777777" w:rsidR="00C0782D" w:rsidRPr="00C0782D" w:rsidRDefault="00C0782D" w:rsidP="00C0782D">
      <w:pPr>
        <w:rPr>
          <w:sz w:val="24"/>
          <w:szCs w:val="24"/>
        </w:rPr>
      </w:pPr>
    </w:p>
    <w:p w14:paraId="3CB4969C"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(2) Of which non-APRA regulated</w:t>
      </w:r>
    </w:p>
    <w:p w14:paraId="7702AC25" w14:textId="77777777" w:rsidR="00C0782D" w:rsidRPr="00C0782D" w:rsidRDefault="00C0782D" w:rsidP="00C0782D">
      <w:pPr>
        <w:rPr>
          <w:sz w:val="24"/>
          <w:szCs w:val="24"/>
        </w:rPr>
      </w:pPr>
    </w:p>
    <w:p w14:paraId="3C93009A" w14:textId="77777777" w:rsidR="00C0782D" w:rsidRPr="00C0782D" w:rsidRDefault="00C0782D" w:rsidP="00C0782D">
      <w:pPr>
        <w:rPr>
          <w:sz w:val="24"/>
          <w:szCs w:val="24"/>
        </w:rPr>
      </w:pPr>
      <w:r w:rsidRPr="00C0782D">
        <w:rPr>
          <w:sz w:val="24"/>
          <w:szCs w:val="24"/>
        </w:rPr>
        <w:t>Report the total inwards reinsurance exposure relating to policies insuring commercial loans that are approved, advanced and funded by non-ADIs.</w:t>
      </w:r>
    </w:p>
    <w:p w14:paraId="6E8AE2D8" w14:textId="77777777" w:rsidR="00C0782D" w:rsidRPr="00C0782D" w:rsidRDefault="00C0782D" w:rsidP="00C0782D">
      <w:pPr>
        <w:rPr>
          <w:sz w:val="24"/>
          <w:szCs w:val="24"/>
        </w:rPr>
      </w:pPr>
    </w:p>
    <w:p w14:paraId="612D5C92" w14:textId="77777777" w:rsidR="00C0782D" w:rsidRPr="00C0782D" w:rsidRDefault="00C0782D" w:rsidP="00C0782D">
      <w:pPr>
        <w:rPr>
          <w:rFonts w:ascii="Arial" w:hAnsi="Arial"/>
          <w:b/>
          <w:bCs/>
          <w:color w:val="000000"/>
          <w:sz w:val="24"/>
          <w:szCs w:val="24"/>
        </w:rPr>
      </w:pPr>
      <w:r w:rsidRPr="00C0782D">
        <w:rPr>
          <w:sz w:val="24"/>
          <w:szCs w:val="24"/>
        </w:rPr>
        <w:br w:type="page"/>
      </w:r>
    </w:p>
    <w:p w14:paraId="244540A8"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lastRenderedPageBreak/>
        <w:t>Section 1: 1.4</w:t>
      </w:r>
    </w:p>
    <w:p w14:paraId="0FCE2AED" w14:textId="77777777" w:rsidR="00C0782D" w:rsidRPr="00C0782D" w:rsidRDefault="00C0782D" w:rsidP="00C0782D">
      <w:pPr>
        <w:keepNext/>
        <w:keepLines/>
        <w:outlineLvl w:val="1"/>
        <w:rPr>
          <w:rFonts w:ascii="Arial" w:hAnsi="Arial"/>
          <w:b/>
          <w:bCs/>
          <w:color w:val="000000"/>
          <w:sz w:val="24"/>
          <w:szCs w:val="24"/>
        </w:rPr>
      </w:pPr>
    </w:p>
    <w:p w14:paraId="73517AEB"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(1) Total inwards reinsurance</w:t>
      </w:r>
    </w:p>
    <w:p w14:paraId="17E58BC0" w14:textId="77777777" w:rsidR="00C0782D" w:rsidRPr="00C0782D" w:rsidRDefault="00C0782D" w:rsidP="00C0782D">
      <w:pPr>
        <w:rPr>
          <w:sz w:val="24"/>
          <w:szCs w:val="24"/>
        </w:rPr>
      </w:pPr>
    </w:p>
    <w:p w14:paraId="5C2EFA53" w14:textId="77777777" w:rsidR="00C0782D" w:rsidRPr="00C0782D" w:rsidRDefault="00C0782D" w:rsidP="00C0782D">
      <w:pPr>
        <w:rPr>
          <w:sz w:val="24"/>
          <w:szCs w:val="24"/>
        </w:rPr>
      </w:pPr>
      <w:r w:rsidRPr="00C0782D">
        <w:rPr>
          <w:sz w:val="24"/>
          <w:szCs w:val="24"/>
        </w:rPr>
        <w:t>This is automatically calculated as the sum of Column 5 of 1.1, Column 3 of 1.2 and Column 1 of 1.3.</w:t>
      </w:r>
    </w:p>
    <w:p w14:paraId="11461720" w14:textId="77777777" w:rsidR="00C0782D" w:rsidRPr="00C0782D" w:rsidRDefault="00C0782D" w:rsidP="00C0782D">
      <w:pPr>
        <w:rPr>
          <w:sz w:val="24"/>
          <w:szCs w:val="24"/>
        </w:rPr>
      </w:pPr>
    </w:p>
    <w:p w14:paraId="48F1D95A"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(2) Of which non-APRA regulated</w:t>
      </w:r>
    </w:p>
    <w:p w14:paraId="012C2A6A" w14:textId="77777777" w:rsidR="00C0782D" w:rsidRPr="00C0782D" w:rsidRDefault="00C0782D" w:rsidP="00C0782D">
      <w:pPr>
        <w:rPr>
          <w:sz w:val="24"/>
          <w:szCs w:val="24"/>
        </w:rPr>
      </w:pPr>
    </w:p>
    <w:p w14:paraId="1663DA62" w14:textId="77777777" w:rsidR="00C0782D" w:rsidRPr="00C0782D" w:rsidRDefault="00C0782D" w:rsidP="00C0782D">
      <w:pPr>
        <w:rPr>
          <w:sz w:val="24"/>
          <w:szCs w:val="24"/>
        </w:rPr>
      </w:pPr>
      <w:r w:rsidRPr="00C0782D">
        <w:rPr>
          <w:sz w:val="24"/>
          <w:szCs w:val="24"/>
        </w:rPr>
        <w:t>This is automatically calculated as the sum of Column 6 of 1.1, Column 4 of 1.2 and Column 2 of 1.3.</w:t>
      </w:r>
    </w:p>
    <w:p w14:paraId="0FBDAC16" w14:textId="77777777" w:rsidR="00C0782D" w:rsidRPr="00C0782D" w:rsidRDefault="00C0782D" w:rsidP="00C0782D">
      <w:pPr>
        <w:rPr>
          <w:sz w:val="24"/>
          <w:szCs w:val="24"/>
        </w:rPr>
      </w:pPr>
    </w:p>
    <w:p w14:paraId="7A7F75BC"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(3) Of which non-standards loans</w:t>
      </w:r>
    </w:p>
    <w:p w14:paraId="06D4962A" w14:textId="77777777" w:rsidR="00C0782D" w:rsidRPr="00C0782D" w:rsidRDefault="00C0782D" w:rsidP="00C0782D">
      <w:pPr>
        <w:rPr>
          <w:sz w:val="24"/>
          <w:szCs w:val="24"/>
        </w:rPr>
      </w:pPr>
    </w:p>
    <w:p w14:paraId="2491717F" w14:textId="77777777" w:rsidR="00C0782D" w:rsidRPr="00C0782D" w:rsidRDefault="00C0782D" w:rsidP="00C0782D">
      <w:pPr>
        <w:rPr>
          <w:sz w:val="24"/>
          <w:szCs w:val="24"/>
        </w:rPr>
      </w:pPr>
      <w:r w:rsidRPr="00C0782D">
        <w:rPr>
          <w:sz w:val="24"/>
          <w:szCs w:val="24"/>
        </w:rPr>
        <w:t>This is automatically calculated as the sum of Column 7 of 1.1 and Column 5 of 1.2.</w:t>
      </w:r>
    </w:p>
    <w:p w14:paraId="7ABBDD5D" w14:textId="77777777" w:rsidR="00C0782D" w:rsidRPr="00C0782D" w:rsidRDefault="00C0782D" w:rsidP="00C0782D">
      <w:pPr>
        <w:rPr>
          <w:sz w:val="24"/>
          <w:szCs w:val="24"/>
        </w:rPr>
      </w:pPr>
    </w:p>
    <w:p w14:paraId="14283CE3"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Section 2</w:t>
      </w:r>
    </w:p>
    <w:p w14:paraId="66B48CEE" w14:textId="77777777" w:rsidR="00C0782D" w:rsidRPr="00C0782D" w:rsidRDefault="00C0782D" w:rsidP="00C0782D">
      <w:pPr>
        <w:keepNext/>
        <w:keepLines/>
        <w:outlineLvl w:val="1"/>
        <w:rPr>
          <w:rFonts w:ascii="Arial" w:hAnsi="Arial"/>
          <w:b/>
          <w:bCs/>
          <w:color w:val="000000"/>
          <w:sz w:val="24"/>
          <w:szCs w:val="24"/>
        </w:rPr>
      </w:pPr>
    </w:p>
    <w:p w14:paraId="378F76B4"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(1) Large exposures</w:t>
      </w:r>
    </w:p>
    <w:p w14:paraId="15C9B4FB" w14:textId="77777777" w:rsidR="00C0782D" w:rsidRPr="00C0782D" w:rsidRDefault="00C0782D" w:rsidP="00C0782D">
      <w:pPr>
        <w:rPr>
          <w:sz w:val="24"/>
          <w:szCs w:val="24"/>
        </w:rPr>
      </w:pPr>
    </w:p>
    <w:p w14:paraId="7630AFA3" w14:textId="77777777" w:rsidR="00C0782D" w:rsidRPr="00C0782D" w:rsidRDefault="00C0782D" w:rsidP="00C0782D">
      <w:pPr>
        <w:rPr>
          <w:sz w:val="24"/>
          <w:szCs w:val="24"/>
        </w:rPr>
      </w:pPr>
      <w:r w:rsidRPr="00C0782D">
        <w:rPr>
          <w:sz w:val="24"/>
          <w:szCs w:val="24"/>
        </w:rPr>
        <w:t>This indicates the ranking of the five largest liability exposures by a number from 1 to 5.</w:t>
      </w:r>
    </w:p>
    <w:p w14:paraId="44CEF1BB" w14:textId="77777777" w:rsidR="00C0782D" w:rsidRPr="00C0782D" w:rsidRDefault="00C0782D" w:rsidP="00C0782D">
      <w:pPr>
        <w:rPr>
          <w:sz w:val="24"/>
          <w:szCs w:val="24"/>
        </w:rPr>
      </w:pPr>
    </w:p>
    <w:p w14:paraId="521C73F7"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(2) Originator</w:t>
      </w:r>
    </w:p>
    <w:p w14:paraId="2899AD30" w14:textId="77777777" w:rsidR="00C0782D" w:rsidRPr="00C0782D" w:rsidRDefault="00C0782D" w:rsidP="00C0782D">
      <w:pPr>
        <w:rPr>
          <w:sz w:val="24"/>
          <w:szCs w:val="24"/>
        </w:rPr>
      </w:pPr>
    </w:p>
    <w:p w14:paraId="2A95D7D7" w14:textId="77777777" w:rsidR="00C0782D" w:rsidRPr="00C0782D" w:rsidRDefault="00C0782D" w:rsidP="00C0782D">
      <w:pPr>
        <w:rPr>
          <w:sz w:val="24"/>
          <w:szCs w:val="24"/>
        </w:rPr>
      </w:pPr>
      <w:r w:rsidRPr="00C0782D">
        <w:rPr>
          <w:sz w:val="24"/>
          <w:szCs w:val="24"/>
        </w:rPr>
        <w:t>Report the name of the originator.</w:t>
      </w:r>
    </w:p>
    <w:p w14:paraId="51861EEF" w14:textId="77777777" w:rsidR="00C0782D" w:rsidRPr="00C0782D" w:rsidRDefault="00C0782D" w:rsidP="00C0782D">
      <w:pPr>
        <w:rPr>
          <w:sz w:val="24"/>
          <w:szCs w:val="24"/>
        </w:rPr>
      </w:pPr>
    </w:p>
    <w:p w14:paraId="215D89C6"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(3) ACN / ABN</w:t>
      </w:r>
    </w:p>
    <w:p w14:paraId="1C7B2755" w14:textId="77777777" w:rsidR="00C0782D" w:rsidRPr="00C0782D" w:rsidRDefault="00C0782D" w:rsidP="00C0782D">
      <w:pPr>
        <w:rPr>
          <w:sz w:val="24"/>
          <w:szCs w:val="24"/>
        </w:rPr>
      </w:pPr>
    </w:p>
    <w:p w14:paraId="3BA09669" w14:textId="77777777" w:rsidR="00C0782D" w:rsidRPr="00C0782D" w:rsidRDefault="00C0782D" w:rsidP="00C0782D">
      <w:pPr>
        <w:spacing w:after="240"/>
        <w:jc w:val="both"/>
        <w:rPr>
          <w:sz w:val="24"/>
          <w:szCs w:val="24"/>
        </w:rPr>
      </w:pPr>
      <w:r w:rsidRPr="00C0782D">
        <w:rPr>
          <w:sz w:val="24"/>
          <w:szCs w:val="24"/>
        </w:rPr>
        <w:t xml:space="preserve">Where relevant, this column reports the Australian Company Number (ACN) of the originator reported in column 2.  In cases where the originator doesn’t have an ACN but it does have an Australian Business Number (ABN) or an Australian Registered Body Number (ARBN), the ABN or ARBN should be reported.  If the originator does not have an ACN, ABN, or ARBN the column should be left blank. </w:t>
      </w:r>
    </w:p>
    <w:p w14:paraId="1AB70C45" w14:textId="77777777" w:rsidR="00C0782D" w:rsidRPr="00C0782D" w:rsidRDefault="00C0782D" w:rsidP="00C0782D">
      <w:pPr>
        <w:keepNext/>
        <w:spacing w:after="240"/>
        <w:jc w:val="both"/>
        <w:rPr>
          <w:sz w:val="24"/>
          <w:szCs w:val="24"/>
        </w:rPr>
      </w:pPr>
      <w:r w:rsidRPr="00C0782D">
        <w:rPr>
          <w:sz w:val="24"/>
          <w:szCs w:val="24"/>
        </w:rPr>
        <w:t>Input the number without spaces.</w:t>
      </w:r>
    </w:p>
    <w:p w14:paraId="7B5E6989"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(4) Sum insured</w:t>
      </w:r>
    </w:p>
    <w:p w14:paraId="7003AEFE" w14:textId="77777777" w:rsidR="00C0782D" w:rsidRPr="00C0782D" w:rsidRDefault="00C0782D" w:rsidP="00C0782D">
      <w:pPr>
        <w:rPr>
          <w:sz w:val="24"/>
          <w:szCs w:val="24"/>
        </w:rPr>
      </w:pPr>
    </w:p>
    <w:p w14:paraId="585D3AC9" w14:textId="77777777" w:rsidR="00C0782D" w:rsidRPr="00C0782D" w:rsidRDefault="00C0782D" w:rsidP="00C0782D">
      <w:pPr>
        <w:rPr>
          <w:sz w:val="24"/>
          <w:szCs w:val="24"/>
        </w:rPr>
      </w:pPr>
      <w:r w:rsidRPr="00C0782D">
        <w:rPr>
          <w:sz w:val="24"/>
          <w:szCs w:val="24"/>
        </w:rPr>
        <w:t>Report the total sum insured for the originator.</w:t>
      </w:r>
    </w:p>
    <w:p w14:paraId="0BA51C3F" w14:textId="77777777" w:rsidR="00C0782D" w:rsidRPr="00C0782D" w:rsidRDefault="00C0782D" w:rsidP="00C0782D">
      <w:pPr>
        <w:rPr>
          <w:sz w:val="24"/>
          <w:szCs w:val="24"/>
        </w:rPr>
      </w:pPr>
    </w:p>
    <w:p w14:paraId="58394D97" w14:textId="77777777" w:rsidR="00C0782D" w:rsidRPr="00C0782D" w:rsidRDefault="00C0782D" w:rsidP="00C0782D">
      <w:pPr>
        <w:keepNext/>
        <w:keepLines/>
        <w:outlineLvl w:val="1"/>
        <w:rPr>
          <w:rFonts w:ascii="Arial" w:hAnsi="Arial"/>
          <w:b/>
          <w:bCs/>
          <w:color w:val="000000"/>
          <w:sz w:val="24"/>
          <w:szCs w:val="24"/>
        </w:rPr>
      </w:pPr>
      <w:r w:rsidRPr="00C0782D">
        <w:rPr>
          <w:rFonts w:ascii="Arial" w:hAnsi="Arial"/>
          <w:b/>
          <w:bCs/>
          <w:color w:val="000000"/>
          <w:sz w:val="24"/>
          <w:szCs w:val="24"/>
        </w:rPr>
        <w:t>(5) Open policy (%)</w:t>
      </w:r>
    </w:p>
    <w:p w14:paraId="2962763E" w14:textId="77777777" w:rsidR="00C0782D" w:rsidRPr="00C0782D" w:rsidRDefault="00C0782D" w:rsidP="00C0782D">
      <w:pPr>
        <w:rPr>
          <w:sz w:val="24"/>
          <w:szCs w:val="24"/>
        </w:rPr>
      </w:pPr>
    </w:p>
    <w:p w14:paraId="415F00F0" w14:textId="77777777" w:rsidR="00C0782D" w:rsidRPr="00C0782D" w:rsidRDefault="00C0782D" w:rsidP="00C0782D">
      <w:pPr>
        <w:spacing w:after="240"/>
        <w:jc w:val="both"/>
        <w:rPr>
          <w:sz w:val="24"/>
          <w:szCs w:val="24"/>
        </w:rPr>
      </w:pPr>
      <w:r w:rsidRPr="00C0782D">
        <w:rPr>
          <w:sz w:val="24"/>
          <w:szCs w:val="24"/>
        </w:rPr>
        <w:t>Open policy is a legal arrangement whereby a lender is given direct underwriting control for mortgage insurance policies without reference to the LMI, subject to the transaction meeting certain underwriting requirements. Report the percentage of insurance policies, by value, written under open policy</w:t>
      </w:r>
    </w:p>
    <w:p w14:paraId="74B3DDE9" w14:textId="77777777" w:rsidR="00760AC5" w:rsidRDefault="00760AC5" w:rsidP="00760AC5">
      <w:pPr>
        <w:pStyle w:val="Header"/>
        <w:jc w:val="both"/>
        <w:rPr>
          <w:bCs/>
        </w:rPr>
      </w:pPr>
    </w:p>
    <w:sectPr w:rsidR="00760AC5" w:rsidSect="00251A4C">
      <w:footerReference w:type="default" r:id="rId31"/>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EAEF5" w14:textId="77777777" w:rsidR="005A6485" w:rsidRDefault="005A6485" w:rsidP="00CC70E3">
      <w:r>
        <w:separator/>
      </w:r>
    </w:p>
  </w:endnote>
  <w:endnote w:type="continuationSeparator" w:id="0">
    <w:p w14:paraId="7C59B98E" w14:textId="77777777" w:rsidR="005A6485" w:rsidRDefault="005A6485" w:rsidP="00CC70E3">
      <w:r>
        <w:continuationSeparator/>
      </w:r>
    </w:p>
  </w:endnote>
  <w:endnote w:type="continuationNotice" w:id="1">
    <w:p w14:paraId="72D732A5" w14:textId="77777777" w:rsidR="003C74CE" w:rsidRDefault="003C7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E66D" w14:textId="77777777" w:rsidR="00C0782D" w:rsidRDefault="00C0782D" w:rsidP="00F95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0F3CB5DF" w14:textId="77777777" w:rsidR="00C0782D" w:rsidRDefault="00C0782D" w:rsidP="00F95DC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894C" w14:textId="51C53E29" w:rsidR="00C0782D" w:rsidRPr="00251A4C" w:rsidRDefault="00C0782D" w:rsidP="005B7824">
    <w:pPr>
      <w:pStyle w:val="Footer"/>
      <w:framePr w:wrap="around" w:vAnchor="text" w:hAnchor="margin" w:xAlign="right" w:y="1"/>
      <w:jc w:val="right"/>
      <w:rPr>
        <w:sz w:val="24"/>
        <w:szCs w:val="24"/>
      </w:rPr>
    </w:pPr>
    <w:r w:rsidRPr="00251A4C">
      <w:rPr>
        <w:sz w:val="24"/>
        <w:szCs w:val="24"/>
      </w:rPr>
      <w:t xml:space="preserve">GRF 116.5 -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2</w:t>
    </w:r>
    <w:r w:rsidRPr="00251A4C">
      <w:rPr>
        <w:rStyle w:val="PageNumber"/>
        <w:sz w:val="24"/>
        <w:szCs w:val="24"/>
      </w:rPr>
      <w:fldChar w:fldCharType="end"/>
    </w:r>
  </w:p>
  <w:p w14:paraId="4B051362" w14:textId="77777777" w:rsidR="00C0782D" w:rsidRPr="00F65307" w:rsidRDefault="00C0782D" w:rsidP="005B7824">
    <w:pPr>
      <w:pStyle w:val="Footer"/>
      <w:rPr>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B4FB" w14:textId="77777777" w:rsidR="00C0782D" w:rsidRPr="00251A4C" w:rsidRDefault="00C0782D" w:rsidP="00C0782D">
    <w:pPr>
      <w:pStyle w:val="Footer"/>
      <w:jc w:val="right"/>
      <w:rPr>
        <w:sz w:val="24"/>
        <w:szCs w:val="24"/>
      </w:rPr>
    </w:pPr>
    <w:r w:rsidRPr="00251A4C">
      <w:rPr>
        <w:sz w:val="24"/>
        <w:szCs w:val="24"/>
      </w:rPr>
      <w:t xml:space="preserve">GRF 116.1 Instructions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4</w:t>
    </w:r>
    <w:r w:rsidRPr="00251A4C">
      <w:rPr>
        <w:rStyle w:val="PageNumber"/>
        <w:sz w:val="24"/>
        <w:szCs w:val="24"/>
      </w:rPr>
      <w:fldChar w:fldCharType="end"/>
    </w:r>
  </w:p>
  <w:p w14:paraId="463CBE53" w14:textId="77777777" w:rsidR="00C0782D" w:rsidRPr="00FE05FD" w:rsidRDefault="00C0782D" w:rsidP="00C0782D">
    <w:pPr>
      <w:pStyle w:val="Footer"/>
      <w:rPr>
        <w:szCs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5258" w14:textId="77777777" w:rsidR="00C0782D" w:rsidRPr="00251A4C" w:rsidRDefault="00C0782D" w:rsidP="00C0782D">
    <w:pPr>
      <w:pStyle w:val="Footer"/>
      <w:jc w:val="right"/>
      <w:rPr>
        <w:sz w:val="24"/>
        <w:szCs w:val="24"/>
      </w:rPr>
    </w:pPr>
    <w:r w:rsidRPr="00251A4C">
      <w:rPr>
        <w:sz w:val="24"/>
        <w:szCs w:val="24"/>
      </w:rPr>
      <w:t xml:space="preserve">GRF 116.2 Instructions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4</w:t>
    </w:r>
    <w:r w:rsidRPr="00251A4C">
      <w:rPr>
        <w:rStyle w:val="PageNumber"/>
        <w:sz w:val="24"/>
        <w:szCs w:val="24"/>
      </w:rPr>
      <w:fldChar w:fldCharType="end"/>
    </w:r>
  </w:p>
  <w:p w14:paraId="27A3E844" w14:textId="77777777" w:rsidR="00C0782D" w:rsidRPr="00C0782D" w:rsidRDefault="00C0782D" w:rsidP="00C0782D">
    <w:pPr>
      <w:pStyle w:val="Footer"/>
      <w:rPr>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9DFF" w14:textId="16EE97EB" w:rsidR="00C0782D" w:rsidRPr="001411BD" w:rsidRDefault="00C0782D" w:rsidP="00251A4C">
    <w:pPr>
      <w:pStyle w:val="Footer"/>
      <w:jc w:val="right"/>
      <w:rPr>
        <w:sz w:val="24"/>
        <w:szCs w:val="24"/>
      </w:rPr>
    </w:pPr>
    <w:r w:rsidRPr="00251A4C">
      <w:rPr>
        <w:sz w:val="24"/>
        <w:szCs w:val="24"/>
      </w:rPr>
      <w:t xml:space="preserve">GRF 116.3 Instructions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1</w:t>
    </w:r>
    <w:r w:rsidRPr="00251A4C">
      <w:rPr>
        <w:rStyle w:val="PageNumber"/>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691A" w14:textId="77777777" w:rsidR="00C0782D" w:rsidRPr="00251A4C" w:rsidRDefault="00C0782D" w:rsidP="00C0782D">
    <w:pPr>
      <w:pStyle w:val="Footer"/>
      <w:jc w:val="right"/>
      <w:rPr>
        <w:sz w:val="24"/>
        <w:szCs w:val="24"/>
      </w:rPr>
    </w:pPr>
    <w:r w:rsidRPr="00251A4C">
      <w:rPr>
        <w:sz w:val="24"/>
        <w:szCs w:val="24"/>
      </w:rPr>
      <w:t xml:space="preserve">GRF 116.4 Instructions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3</w:t>
    </w:r>
    <w:r w:rsidRPr="00251A4C">
      <w:rPr>
        <w:rStyle w:val="PageNumber"/>
        <w:sz w:val="24"/>
        <w:szCs w:val="24"/>
      </w:rPr>
      <w:fldChar w:fldCharType="end"/>
    </w:r>
  </w:p>
  <w:p w14:paraId="6696D1A0" w14:textId="77777777" w:rsidR="00C0782D" w:rsidRPr="003C6BD0" w:rsidRDefault="00C0782D" w:rsidP="00C0782D">
    <w:pPr>
      <w:pStyle w:val="Footer"/>
      <w:rPr>
        <w:szCs w:val="2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B06A" w14:textId="77777777" w:rsidR="00C0782D" w:rsidRPr="00251A4C" w:rsidRDefault="00C0782D" w:rsidP="00C0782D">
    <w:pPr>
      <w:pStyle w:val="Footer"/>
      <w:jc w:val="right"/>
      <w:rPr>
        <w:sz w:val="24"/>
        <w:szCs w:val="24"/>
      </w:rPr>
    </w:pPr>
    <w:r w:rsidRPr="00251A4C">
      <w:rPr>
        <w:sz w:val="24"/>
        <w:szCs w:val="24"/>
      </w:rPr>
      <w:t xml:space="preserve">GRF 116.5 Instructions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3</w:t>
    </w:r>
    <w:r w:rsidRPr="00251A4C">
      <w:rPr>
        <w:rStyle w:val="PageNumber"/>
        <w:sz w:val="24"/>
        <w:szCs w:val="24"/>
      </w:rPr>
      <w:fldChar w:fldCharType="end"/>
    </w:r>
  </w:p>
  <w:p w14:paraId="1869B68A" w14:textId="77777777" w:rsidR="00C0782D" w:rsidRPr="003C6BD0" w:rsidRDefault="00C0782D" w:rsidP="00C0782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32DB" w14:textId="77777777" w:rsidR="00C0782D" w:rsidRPr="009C73B4" w:rsidRDefault="00C0782D" w:rsidP="009C73B4">
    <w:pPr>
      <w:pStyle w:val="Footer"/>
      <w:tabs>
        <w:tab w:val="right" w:pos="8931"/>
      </w:tabs>
      <w:ind w:right="-51"/>
      <w:jc w:val="right"/>
      <w:rPr>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B896" w14:textId="77777777" w:rsidR="00C0782D" w:rsidRPr="00820FD9" w:rsidRDefault="00C0782D" w:rsidP="005B7824">
    <w:pPr>
      <w:pStyle w:val="Footer"/>
      <w:framePr w:wrap="around" w:vAnchor="text" w:hAnchor="margin" w:xAlign="right" w:y="1"/>
      <w:jc w:val="right"/>
      <w:rPr>
        <w:sz w:val="24"/>
        <w:szCs w:val="24"/>
      </w:rPr>
    </w:pPr>
    <w:r w:rsidRPr="00820FD9">
      <w:rPr>
        <w:sz w:val="24"/>
        <w:szCs w:val="24"/>
      </w:rPr>
      <w:t xml:space="preserve">GRS 116.1 - </w:t>
    </w:r>
    <w:r w:rsidRPr="00820FD9">
      <w:rPr>
        <w:rStyle w:val="PageNumber"/>
        <w:sz w:val="24"/>
        <w:szCs w:val="24"/>
      </w:rPr>
      <w:fldChar w:fldCharType="begin"/>
    </w:r>
    <w:r w:rsidRPr="00820FD9">
      <w:rPr>
        <w:rStyle w:val="PageNumber"/>
        <w:sz w:val="24"/>
        <w:szCs w:val="24"/>
      </w:rPr>
      <w:instrText xml:space="preserve"> PAGE </w:instrText>
    </w:r>
    <w:r w:rsidRPr="00820FD9">
      <w:rPr>
        <w:rStyle w:val="PageNumber"/>
        <w:sz w:val="24"/>
        <w:szCs w:val="24"/>
      </w:rPr>
      <w:fldChar w:fldCharType="separate"/>
    </w:r>
    <w:r w:rsidR="00977E09" w:rsidRPr="00820FD9">
      <w:rPr>
        <w:rStyle w:val="PageNumber"/>
        <w:noProof/>
        <w:sz w:val="24"/>
        <w:szCs w:val="24"/>
      </w:rPr>
      <w:t>5</w:t>
    </w:r>
    <w:r w:rsidRPr="00820FD9">
      <w:rPr>
        <w:rStyle w:val="PageNumber"/>
        <w:sz w:val="24"/>
        <w:szCs w:val="24"/>
      </w:rPr>
      <w:fldChar w:fldCharType="end"/>
    </w:r>
  </w:p>
  <w:p w14:paraId="63320E5C" w14:textId="77777777" w:rsidR="00C0782D" w:rsidRPr="00820FD9" w:rsidRDefault="00C0782D" w:rsidP="005B7824">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E11F" w14:textId="77777777" w:rsidR="00C0782D" w:rsidRPr="00C6793D" w:rsidRDefault="00C0782D" w:rsidP="00E339E7">
    <w:pPr>
      <w:pStyle w:val="Footer"/>
      <w:framePr w:wrap="around" w:vAnchor="text" w:hAnchor="margin" w:xAlign="right" w:y="1"/>
      <w:jc w:val="right"/>
      <w:rPr>
        <w:sz w:val="24"/>
        <w:szCs w:val="24"/>
      </w:rPr>
    </w:pPr>
    <w:r w:rsidRPr="00C6793D">
      <w:rPr>
        <w:sz w:val="24"/>
        <w:szCs w:val="24"/>
      </w:rPr>
      <w:t xml:space="preserve">GRS 116.1 - </w:t>
    </w:r>
    <w:r w:rsidRPr="00C6793D">
      <w:rPr>
        <w:rStyle w:val="PageNumber"/>
        <w:sz w:val="24"/>
        <w:szCs w:val="24"/>
      </w:rPr>
      <w:fldChar w:fldCharType="begin"/>
    </w:r>
    <w:r w:rsidRPr="00C6793D">
      <w:rPr>
        <w:rStyle w:val="PageNumber"/>
        <w:sz w:val="24"/>
        <w:szCs w:val="24"/>
      </w:rPr>
      <w:instrText xml:space="preserve"> PAGE </w:instrText>
    </w:r>
    <w:r w:rsidRPr="00C6793D">
      <w:rPr>
        <w:rStyle w:val="PageNumber"/>
        <w:sz w:val="24"/>
        <w:szCs w:val="24"/>
      </w:rPr>
      <w:fldChar w:fldCharType="separate"/>
    </w:r>
    <w:r w:rsidR="00977E09" w:rsidRPr="00C6793D">
      <w:rPr>
        <w:rStyle w:val="PageNumber"/>
        <w:noProof/>
        <w:sz w:val="24"/>
        <w:szCs w:val="24"/>
      </w:rPr>
      <w:t>1</w:t>
    </w:r>
    <w:r w:rsidRPr="00C6793D">
      <w:rPr>
        <w:rStyle w:val="PageNumber"/>
        <w:sz w:val="24"/>
        <w:szCs w:val="24"/>
      </w:rPr>
      <w:fldChar w:fldCharType="end"/>
    </w:r>
  </w:p>
  <w:p w14:paraId="137B2EC4" w14:textId="77777777" w:rsidR="00C0782D" w:rsidRPr="00540965" w:rsidRDefault="00C0782D" w:rsidP="005B7824">
    <w:pPr>
      <w:pStyle w:val="Footer"/>
      <w:jc w:val="right"/>
      <w:rPr>
        <w:b/>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F61E" w14:textId="60238704" w:rsidR="00C0782D" w:rsidRPr="00251A4C" w:rsidRDefault="00C0782D" w:rsidP="005B7824">
    <w:pPr>
      <w:pStyle w:val="Footer"/>
      <w:framePr w:wrap="around" w:vAnchor="text" w:hAnchor="margin" w:xAlign="right" w:y="1"/>
      <w:jc w:val="right"/>
      <w:rPr>
        <w:sz w:val="24"/>
        <w:szCs w:val="24"/>
      </w:rPr>
    </w:pPr>
    <w:r w:rsidRPr="00251A4C">
      <w:rPr>
        <w:sz w:val="24"/>
        <w:szCs w:val="24"/>
      </w:rPr>
      <w:t xml:space="preserve">GRF 116.1 -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2</w:t>
    </w:r>
    <w:r w:rsidRPr="00251A4C">
      <w:rPr>
        <w:rStyle w:val="PageNumber"/>
        <w:sz w:val="24"/>
        <w:szCs w:val="24"/>
      </w:rPr>
      <w:fldChar w:fldCharType="end"/>
    </w:r>
  </w:p>
  <w:p w14:paraId="716D95C4" w14:textId="77777777" w:rsidR="00C0782D" w:rsidRPr="00BA4F57" w:rsidRDefault="00C0782D" w:rsidP="005B7824">
    <w:pPr>
      <w:pStyle w:val="Foo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12CE" w14:textId="77777777" w:rsidR="00C0782D" w:rsidRPr="00540965" w:rsidRDefault="00C0782D" w:rsidP="005B7824">
    <w:pPr>
      <w:pStyle w:val="Footer"/>
      <w:jc w:val="right"/>
      <w:rPr>
        <w:b/>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B91" w14:textId="4DFF912C" w:rsidR="00C0782D" w:rsidRPr="00251A4C" w:rsidRDefault="00C0782D" w:rsidP="005B7824">
    <w:pPr>
      <w:pStyle w:val="Footer"/>
      <w:framePr w:wrap="around" w:vAnchor="text" w:hAnchor="margin" w:xAlign="right" w:y="1"/>
      <w:jc w:val="right"/>
      <w:rPr>
        <w:sz w:val="24"/>
        <w:szCs w:val="24"/>
      </w:rPr>
    </w:pPr>
    <w:r w:rsidRPr="00251A4C">
      <w:rPr>
        <w:sz w:val="24"/>
        <w:szCs w:val="24"/>
      </w:rPr>
      <w:t xml:space="preserve">GRF 116.2 -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2</w:t>
    </w:r>
    <w:r w:rsidRPr="00251A4C">
      <w:rPr>
        <w:rStyle w:val="PageNumber"/>
        <w:sz w:val="24"/>
        <w:szCs w:val="24"/>
      </w:rPr>
      <w:fldChar w:fldCharType="end"/>
    </w:r>
  </w:p>
  <w:p w14:paraId="31678756" w14:textId="77777777" w:rsidR="00C0782D" w:rsidRPr="00F554E7" w:rsidRDefault="00C0782D" w:rsidP="005B7824">
    <w:pPr>
      <w:pStyle w:val="Footer"/>
      <w:rPr>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5BF0" w14:textId="60713453" w:rsidR="00C0782D" w:rsidRPr="00251A4C" w:rsidRDefault="00C0782D" w:rsidP="005B7824">
    <w:pPr>
      <w:pStyle w:val="Footer"/>
      <w:framePr w:wrap="around" w:vAnchor="text" w:hAnchor="margin" w:xAlign="right" w:y="1"/>
      <w:jc w:val="right"/>
      <w:rPr>
        <w:sz w:val="24"/>
        <w:szCs w:val="24"/>
      </w:rPr>
    </w:pPr>
    <w:r w:rsidRPr="00251A4C">
      <w:rPr>
        <w:sz w:val="24"/>
        <w:szCs w:val="24"/>
      </w:rPr>
      <w:t xml:space="preserve">GRF 116.3 -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1</w:t>
    </w:r>
    <w:r w:rsidRPr="00251A4C">
      <w:rPr>
        <w:rStyle w:val="PageNumber"/>
        <w:sz w:val="24"/>
        <w:szCs w:val="24"/>
      </w:rPr>
      <w:fldChar w:fldCharType="end"/>
    </w:r>
  </w:p>
  <w:p w14:paraId="69F1E784" w14:textId="77777777" w:rsidR="00C0782D" w:rsidRPr="0062692E" w:rsidRDefault="00C0782D" w:rsidP="005B7824">
    <w:pPr>
      <w:pStyle w:val="Footer"/>
      <w:rPr>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FA6F" w14:textId="2FBF39BF" w:rsidR="00C0782D" w:rsidRPr="00251A4C" w:rsidRDefault="00C0782D" w:rsidP="005B7824">
    <w:pPr>
      <w:pStyle w:val="Footer"/>
      <w:framePr w:wrap="around" w:vAnchor="text" w:hAnchor="margin" w:xAlign="right" w:y="1"/>
      <w:jc w:val="right"/>
      <w:rPr>
        <w:sz w:val="24"/>
        <w:szCs w:val="24"/>
      </w:rPr>
    </w:pPr>
    <w:r w:rsidRPr="00251A4C">
      <w:rPr>
        <w:sz w:val="24"/>
        <w:szCs w:val="24"/>
      </w:rPr>
      <w:t xml:space="preserve">GRF 116.4 - </w:t>
    </w:r>
    <w:r w:rsidRPr="00251A4C">
      <w:rPr>
        <w:rStyle w:val="PageNumber"/>
        <w:sz w:val="24"/>
        <w:szCs w:val="24"/>
      </w:rPr>
      <w:fldChar w:fldCharType="begin"/>
    </w:r>
    <w:r w:rsidRPr="00251A4C">
      <w:rPr>
        <w:rStyle w:val="PageNumber"/>
        <w:sz w:val="24"/>
        <w:szCs w:val="24"/>
      </w:rPr>
      <w:instrText xml:space="preserve"> PAGE </w:instrText>
    </w:r>
    <w:r w:rsidRPr="00251A4C">
      <w:rPr>
        <w:rStyle w:val="PageNumber"/>
        <w:sz w:val="24"/>
        <w:szCs w:val="24"/>
      </w:rPr>
      <w:fldChar w:fldCharType="separate"/>
    </w:r>
    <w:r w:rsidR="00977E09" w:rsidRPr="00251A4C">
      <w:rPr>
        <w:rStyle w:val="PageNumber"/>
        <w:noProof/>
        <w:sz w:val="24"/>
        <w:szCs w:val="24"/>
      </w:rPr>
      <w:t>2</w:t>
    </w:r>
    <w:r w:rsidRPr="00251A4C">
      <w:rPr>
        <w:rStyle w:val="PageNumber"/>
        <w:sz w:val="24"/>
        <w:szCs w:val="24"/>
      </w:rPr>
      <w:fldChar w:fldCharType="end"/>
    </w:r>
  </w:p>
  <w:p w14:paraId="22806804" w14:textId="77777777" w:rsidR="00C0782D" w:rsidRPr="00A64523" w:rsidRDefault="00C0782D" w:rsidP="005B7824">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547D6" w14:textId="77777777" w:rsidR="005A6485" w:rsidRDefault="005A6485" w:rsidP="00CC70E3">
      <w:r>
        <w:separator/>
      </w:r>
    </w:p>
  </w:footnote>
  <w:footnote w:type="continuationSeparator" w:id="0">
    <w:p w14:paraId="70F427B9" w14:textId="77777777" w:rsidR="005A6485" w:rsidRDefault="005A6485" w:rsidP="00CC70E3">
      <w:r>
        <w:continuationSeparator/>
      </w:r>
    </w:p>
  </w:footnote>
  <w:footnote w:type="continuationNotice" w:id="1">
    <w:p w14:paraId="0BA96B24" w14:textId="77777777" w:rsidR="003C74CE" w:rsidRDefault="003C7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2696" w14:textId="77777777" w:rsidR="00C0782D" w:rsidRPr="00F063F2" w:rsidRDefault="00C0782D" w:rsidP="00F946C0">
    <w:pPr>
      <w:pStyle w:val="Header"/>
      <w:tabs>
        <w:tab w:val="clear" w:pos="8640"/>
        <w:tab w:val="right" w:pos="8364"/>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0EDE" w14:textId="7923E2A9" w:rsidR="00C0782D" w:rsidRPr="000F0FEC" w:rsidRDefault="00C0782D" w:rsidP="00820FD9">
    <w:pPr>
      <w:pStyle w:val="Header"/>
      <w:tabs>
        <w:tab w:val="clear" w:pos="8640"/>
        <w:tab w:val="right" w:pos="8364"/>
      </w:tabs>
      <w:jc w:val="right"/>
      <w:rPr>
        <w:sz w:val="24"/>
        <w:szCs w:val="24"/>
      </w:rPr>
    </w:pPr>
    <w:r>
      <w:rPr>
        <w:sz w:val="24"/>
        <w:szCs w:val="24"/>
      </w:rPr>
      <w:tab/>
    </w:r>
    <w:r>
      <w:rPr>
        <w:sz w:val="24"/>
        <w:szCs w:val="24"/>
      </w:rPr>
      <w:tab/>
    </w:r>
    <w:r w:rsidR="00820FD9">
      <w:rPr>
        <w:sz w:val="24"/>
        <w:szCs w:val="24"/>
      </w:rPr>
      <w:t>April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A859" w14:textId="70BB6521" w:rsidR="00C0782D" w:rsidRPr="000F0FEC" w:rsidRDefault="00C0782D" w:rsidP="00635D39">
    <w:pPr>
      <w:pStyle w:val="Header"/>
      <w:tabs>
        <w:tab w:val="clear" w:pos="8640"/>
        <w:tab w:val="right" w:pos="8364"/>
      </w:tabs>
      <w:jc w:val="right"/>
      <w:rPr>
        <w:sz w:val="24"/>
        <w:szCs w:val="24"/>
      </w:rPr>
    </w:pPr>
    <w:r>
      <w:tab/>
    </w:r>
    <w:r>
      <w:rPr>
        <w:sz w:val="24"/>
        <w:szCs w:val="24"/>
      </w:rPr>
      <w:tab/>
    </w:r>
    <w:r w:rsidR="00820FD9">
      <w:rPr>
        <w:sz w:val="24"/>
        <w:szCs w:val="24"/>
      </w:rPr>
      <w:t>April 2025</w:t>
    </w:r>
  </w:p>
  <w:p w14:paraId="579C3027" w14:textId="77777777" w:rsidR="00C0782D" w:rsidRPr="00D74779" w:rsidRDefault="00C0782D" w:rsidP="005B7824">
    <w:pPr>
      <w:pStyle w:val="Header"/>
      <w:tabs>
        <w:tab w:val="clear" w:pos="8640"/>
        <w:tab w:val="right" w:pos="8364"/>
      </w:tabs>
      <w:jc w:val="both"/>
      <w:rPr>
        <w:sz w:val="24"/>
        <w:szCs w:val="24"/>
      </w:rPr>
    </w:pPr>
    <w:r>
      <w:rPr>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4EC0" w14:textId="4DD53556" w:rsidR="00C0782D" w:rsidRPr="000F0FEC" w:rsidRDefault="00C0782D" w:rsidP="00251A4C">
    <w:pPr>
      <w:pStyle w:val="Header"/>
      <w:tabs>
        <w:tab w:val="clear" w:pos="8640"/>
        <w:tab w:val="right" w:pos="8364"/>
      </w:tabs>
      <w:jc w:val="right"/>
      <w:rPr>
        <w:sz w:val="24"/>
        <w:szCs w:val="24"/>
      </w:rPr>
    </w:pPr>
    <w:r>
      <w:rPr>
        <w:sz w:val="24"/>
        <w:szCs w:val="24"/>
      </w:rPr>
      <w:tab/>
    </w:r>
    <w:r>
      <w:rPr>
        <w:sz w:val="24"/>
        <w:szCs w:val="24"/>
      </w:rPr>
      <w:tab/>
    </w:r>
    <w:r w:rsidR="00BF6D64">
      <w:rPr>
        <w:sz w:val="24"/>
        <w:szCs w:val="24"/>
      </w:rPr>
      <w:t>April 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9BEA" w14:textId="77777777" w:rsidR="00C0782D" w:rsidRPr="00D74779" w:rsidRDefault="00C0782D" w:rsidP="005B7824">
    <w:pPr>
      <w:pStyle w:val="Header"/>
      <w:tabs>
        <w:tab w:val="clear" w:pos="8640"/>
        <w:tab w:val="right" w:pos="8364"/>
      </w:tabs>
      <w:jc w:val="both"/>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6" w15:restartNumberingAfterBreak="0">
    <w:nsid w:val="0FDB6CCA"/>
    <w:multiLevelType w:val="multilevel"/>
    <w:tmpl w:val="47B433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A3FA4"/>
    <w:multiLevelType w:val="hybridMultilevel"/>
    <w:tmpl w:val="54F4AB18"/>
    <w:lvl w:ilvl="0" w:tplc="5750FC36">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00301E"/>
    <w:multiLevelType w:val="hybridMultilevel"/>
    <w:tmpl w:val="339E9D18"/>
    <w:lvl w:ilvl="0" w:tplc="FBEADE5E">
      <w:start w:val="1"/>
      <w:numFmt w:val="bullet"/>
      <w:lvlText w:val=""/>
      <w:lvlJc w:val="left"/>
      <w:pPr>
        <w:ind w:left="1791" w:hanging="360"/>
      </w:pPr>
      <w:rPr>
        <w:rFonts w:ascii="Symbol" w:hAnsi="Symbol" w:hint="default"/>
      </w:rPr>
    </w:lvl>
    <w:lvl w:ilvl="1" w:tplc="57FA718A">
      <w:start w:val="1"/>
      <w:numFmt w:val="bullet"/>
      <w:lvlText w:val="o"/>
      <w:lvlJc w:val="left"/>
      <w:pPr>
        <w:ind w:left="2511" w:hanging="360"/>
      </w:pPr>
      <w:rPr>
        <w:rFonts w:ascii="Courier New" w:hAnsi="Courier New" w:cs="Courier New" w:hint="default"/>
      </w:rPr>
    </w:lvl>
    <w:lvl w:ilvl="2" w:tplc="3D541DD2">
      <w:start w:val="1"/>
      <w:numFmt w:val="bullet"/>
      <w:lvlText w:val=""/>
      <w:lvlJc w:val="left"/>
      <w:pPr>
        <w:ind w:left="3231" w:hanging="360"/>
      </w:pPr>
      <w:rPr>
        <w:rFonts w:ascii="Symbol" w:hAnsi="Symbol" w:hint="default"/>
      </w:rPr>
    </w:lvl>
    <w:lvl w:ilvl="3" w:tplc="420EA17C" w:tentative="1">
      <w:start w:val="1"/>
      <w:numFmt w:val="bullet"/>
      <w:lvlText w:val=""/>
      <w:lvlJc w:val="left"/>
      <w:pPr>
        <w:ind w:left="3951" w:hanging="360"/>
      </w:pPr>
      <w:rPr>
        <w:rFonts w:ascii="Symbol" w:hAnsi="Symbol" w:hint="default"/>
      </w:rPr>
    </w:lvl>
    <w:lvl w:ilvl="4" w:tplc="963C0AAC" w:tentative="1">
      <w:start w:val="1"/>
      <w:numFmt w:val="bullet"/>
      <w:lvlText w:val="o"/>
      <w:lvlJc w:val="left"/>
      <w:pPr>
        <w:ind w:left="4671" w:hanging="360"/>
      </w:pPr>
      <w:rPr>
        <w:rFonts w:ascii="Courier New" w:hAnsi="Courier New" w:cs="Courier New" w:hint="default"/>
      </w:rPr>
    </w:lvl>
    <w:lvl w:ilvl="5" w:tplc="BE9E68A6" w:tentative="1">
      <w:start w:val="1"/>
      <w:numFmt w:val="bullet"/>
      <w:lvlText w:val=""/>
      <w:lvlJc w:val="left"/>
      <w:pPr>
        <w:ind w:left="5391" w:hanging="360"/>
      </w:pPr>
      <w:rPr>
        <w:rFonts w:ascii="Wingdings" w:hAnsi="Wingdings" w:hint="default"/>
      </w:rPr>
    </w:lvl>
    <w:lvl w:ilvl="6" w:tplc="2EB64410" w:tentative="1">
      <w:start w:val="1"/>
      <w:numFmt w:val="bullet"/>
      <w:lvlText w:val=""/>
      <w:lvlJc w:val="left"/>
      <w:pPr>
        <w:ind w:left="6111" w:hanging="360"/>
      </w:pPr>
      <w:rPr>
        <w:rFonts w:ascii="Symbol" w:hAnsi="Symbol" w:hint="default"/>
      </w:rPr>
    </w:lvl>
    <w:lvl w:ilvl="7" w:tplc="69460806" w:tentative="1">
      <w:start w:val="1"/>
      <w:numFmt w:val="bullet"/>
      <w:lvlText w:val="o"/>
      <w:lvlJc w:val="left"/>
      <w:pPr>
        <w:ind w:left="6831" w:hanging="360"/>
      </w:pPr>
      <w:rPr>
        <w:rFonts w:ascii="Courier New" w:hAnsi="Courier New" w:cs="Courier New" w:hint="default"/>
      </w:rPr>
    </w:lvl>
    <w:lvl w:ilvl="8" w:tplc="1E445C5C" w:tentative="1">
      <w:start w:val="1"/>
      <w:numFmt w:val="bullet"/>
      <w:lvlText w:val=""/>
      <w:lvlJc w:val="left"/>
      <w:pPr>
        <w:ind w:left="7551" w:hanging="360"/>
      </w:pPr>
      <w:rPr>
        <w:rFonts w:ascii="Wingdings" w:hAnsi="Wingdings" w:hint="default"/>
      </w:rPr>
    </w:lvl>
  </w:abstractNum>
  <w:abstractNum w:abstractNumId="12" w15:restartNumberingAfterBreak="0">
    <w:nsid w:val="282836E5"/>
    <w:multiLevelType w:val="hybridMultilevel"/>
    <w:tmpl w:val="45265830"/>
    <w:lvl w:ilvl="0" w:tplc="95844E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C46EE"/>
    <w:multiLevelType w:val="hybridMultilevel"/>
    <w:tmpl w:val="B2364094"/>
    <w:lvl w:ilvl="0" w:tplc="FEF0E120">
      <w:start w:val="1"/>
      <w:numFmt w:val="decimal"/>
      <w:lvlText w:val="(%1)"/>
      <w:lvlJc w:val="left"/>
      <w:pPr>
        <w:ind w:left="720" w:hanging="360"/>
      </w:pPr>
      <w:rPr>
        <w:rFonts w:hint="default"/>
        <w:b/>
      </w:rPr>
    </w:lvl>
    <w:lvl w:ilvl="1" w:tplc="148A338E">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512BEF"/>
    <w:multiLevelType w:val="hybridMultilevel"/>
    <w:tmpl w:val="B2364094"/>
    <w:lvl w:ilvl="0" w:tplc="FFFFFFFF">
      <w:start w:val="1"/>
      <w:numFmt w:val="decimal"/>
      <w:lvlText w:val="(%1)"/>
      <w:lvlJc w:val="left"/>
      <w:pPr>
        <w:ind w:left="720" w:hanging="360"/>
      </w:pPr>
      <w:rPr>
        <w:rFonts w:hint="default"/>
        <w:b/>
      </w:rPr>
    </w:lvl>
    <w:lvl w:ilvl="1" w:tplc="FFFFFFFF">
      <w:start w:val="1"/>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3EF44FB3"/>
    <w:multiLevelType w:val="hybridMultilevel"/>
    <w:tmpl w:val="54F4AB18"/>
    <w:lvl w:ilvl="0" w:tplc="5750FC36">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D040B6"/>
    <w:multiLevelType w:val="hybridMultilevel"/>
    <w:tmpl w:val="45265830"/>
    <w:lvl w:ilvl="0" w:tplc="95844E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49B3BD4"/>
    <w:multiLevelType w:val="multilevel"/>
    <w:tmpl w:val="0D060F7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A50A23"/>
    <w:multiLevelType w:val="hybridMultilevel"/>
    <w:tmpl w:val="019E798C"/>
    <w:lvl w:ilvl="0" w:tplc="96D879EA">
      <w:start w:val="1"/>
      <w:numFmt w:val="bullet"/>
      <w:lvlText w:val=""/>
      <w:lvlJc w:val="left"/>
      <w:pPr>
        <w:ind w:left="720" w:hanging="360"/>
      </w:pPr>
      <w:rPr>
        <w:rFonts w:ascii="Symbol" w:hAnsi="Symbol" w:hint="default"/>
      </w:rPr>
    </w:lvl>
    <w:lvl w:ilvl="1" w:tplc="7A00CB92" w:tentative="1">
      <w:start w:val="1"/>
      <w:numFmt w:val="bullet"/>
      <w:lvlText w:val="o"/>
      <w:lvlJc w:val="left"/>
      <w:pPr>
        <w:ind w:left="1440" w:hanging="360"/>
      </w:pPr>
      <w:rPr>
        <w:rFonts w:ascii="Courier New" w:hAnsi="Courier New" w:cs="Courier New" w:hint="default"/>
      </w:rPr>
    </w:lvl>
    <w:lvl w:ilvl="2" w:tplc="23A2846E" w:tentative="1">
      <w:start w:val="1"/>
      <w:numFmt w:val="bullet"/>
      <w:lvlText w:val=""/>
      <w:lvlJc w:val="left"/>
      <w:pPr>
        <w:ind w:left="2160" w:hanging="360"/>
      </w:pPr>
      <w:rPr>
        <w:rFonts w:ascii="Wingdings" w:hAnsi="Wingdings" w:hint="default"/>
      </w:rPr>
    </w:lvl>
    <w:lvl w:ilvl="3" w:tplc="D84C8EC0" w:tentative="1">
      <w:start w:val="1"/>
      <w:numFmt w:val="bullet"/>
      <w:lvlText w:val=""/>
      <w:lvlJc w:val="left"/>
      <w:pPr>
        <w:ind w:left="2880" w:hanging="360"/>
      </w:pPr>
      <w:rPr>
        <w:rFonts w:ascii="Symbol" w:hAnsi="Symbol" w:hint="default"/>
      </w:rPr>
    </w:lvl>
    <w:lvl w:ilvl="4" w:tplc="FD425112" w:tentative="1">
      <w:start w:val="1"/>
      <w:numFmt w:val="bullet"/>
      <w:lvlText w:val="o"/>
      <w:lvlJc w:val="left"/>
      <w:pPr>
        <w:ind w:left="3600" w:hanging="360"/>
      </w:pPr>
      <w:rPr>
        <w:rFonts w:ascii="Courier New" w:hAnsi="Courier New" w:cs="Courier New" w:hint="default"/>
      </w:rPr>
    </w:lvl>
    <w:lvl w:ilvl="5" w:tplc="7264C148" w:tentative="1">
      <w:start w:val="1"/>
      <w:numFmt w:val="bullet"/>
      <w:lvlText w:val=""/>
      <w:lvlJc w:val="left"/>
      <w:pPr>
        <w:ind w:left="4320" w:hanging="360"/>
      </w:pPr>
      <w:rPr>
        <w:rFonts w:ascii="Wingdings" w:hAnsi="Wingdings" w:hint="default"/>
      </w:rPr>
    </w:lvl>
    <w:lvl w:ilvl="6" w:tplc="73421D2C" w:tentative="1">
      <w:start w:val="1"/>
      <w:numFmt w:val="bullet"/>
      <w:lvlText w:val=""/>
      <w:lvlJc w:val="left"/>
      <w:pPr>
        <w:ind w:left="5040" w:hanging="360"/>
      </w:pPr>
      <w:rPr>
        <w:rFonts w:ascii="Symbol" w:hAnsi="Symbol" w:hint="default"/>
      </w:rPr>
    </w:lvl>
    <w:lvl w:ilvl="7" w:tplc="6A9C7444" w:tentative="1">
      <w:start w:val="1"/>
      <w:numFmt w:val="bullet"/>
      <w:lvlText w:val="o"/>
      <w:lvlJc w:val="left"/>
      <w:pPr>
        <w:ind w:left="5760" w:hanging="360"/>
      </w:pPr>
      <w:rPr>
        <w:rFonts w:ascii="Courier New" w:hAnsi="Courier New" w:cs="Courier New" w:hint="default"/>
      </w:rPr>
    </w:lvl>
    <w:lvl w:ilvl="8" w:tplc="C7965AAC" w:tentative="1">
      <w:start w:val="1"/>
      <w:numFmt w:val="bullet"/>
      <w:lvlText w:val=""/>
      <w:lvlJc w:val="left"/>
      <w:pPr>
        <w:ind w:left="6480" w:hanging="360"/>
      </w:pPr>
      <w:rPr>
        <w:rFonts w:ascii="Wingdings" w:hAnsi="Wingdings" w:hint="default"/>
      </w:rPr>
    </w:lvl>
  </w:abstractNum>
  <w:abstractNum w:abstractNumId="29" w15:restartNumberingAfterBreak="0">
    <w:nsid w:val="4A960E56"/>
    <w:multiLevelType w:val="multilevel"/>
    <w:tmpl w:val="47B433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9A34F9"/>
    <w:multiLevelType w:val="hybridMultilevel"/>
    <w:tmpl w:val="D2662288"/>
    <w:lvl w:ilvl="0" w:tplc="FA063F58">
      <w:start w:val="1"/>
      <w:numFmt w:val="decimal"/>
      <w:lvlText w:val="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6F70B9"/>
    <w:multiLevelType w:val="hybridMultilevel"/>
    <w:tmpl w:val="64E2B92C"/>
    <w:lvl w:ilvl="0" w:tplc="95844E3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2C5456"/>
    <w:multiLevelType w:val="hybridMultilevel"/>
    <w:tmpl w:val="A914D286"/>
    <w:lvl w:ilvl="0" w:tplc="1B803DC4">
      <w:start w:val="1"/>
      <w:numFmt w:val="decimal"/>
      <w:lvlText w:val="(%1)"/>
      <w:lvlJc w:val="left"/>
      <w:pPr>
        <w:ind w:left="720" w:hanging="360"/>
      </w:pPr>
      <w:rPr>
        <w:rFonts w:hint="default"/>
      </w:rPr>
    </w:lvl>
    <w:lvl w:ilvl="1" w:tplc="148A338E">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CD4B49"/>
    <w:multiLevelType w:val="hybridMultilevel"/>
    <w:tmpl w:val="C824C416"/>
    <w:lvl w:ilvl="0" w:tplc="7D1E73D6">
      <w:start w:val="4"/>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6"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7"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BE6BEE"/>
    <w:multiLevelType w:val="hybridMultilevel"/>
    <w:tmpl w:val="A914D286"/>
    <w:lvl w:ilvl="0" w:tplc="1B803DC4">
      <w:start w:val="1"/>
      <w:numFmt w:val="decimal"/>
      <w:lvlText w:val="(%1)"/>
      <w:lvlJc w:val="left"/>
      <w:pPr>
        <w:ind w:left="720" w:hanging="360"/>
      </w:pPr>
      <w:rPr>
        <w:rFonts w:hint="default"/>
      </w:rPr>
    </w:lvl>
    <w:lvl w:ilvl="1" w:tplc="148A338E">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41" w15:restartNumberingAfterBreak="0">
    <w:nsid w:val="6D495554"/>
    <w:multiLevelType w:val="hybridMultilevel"/>
    <w:tmpl w:val="64E2B92C"/>
    <w:lvl w:ilvl="0" w:tplc="95844E3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4A14F2"/>
    <w:multiLevelType w:val="multilevel"/>
    <w:tmpl w:val="8CECD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6"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492715043">
    <w:abstractNumId w:val="25"/>
  </w:num>
  <w:num w:numId="2" w16cid:durableId="475875722">
    <w:abstractNumId w:val="36"/>
  </w:num>
  <w:num w:numId="3" w16cid:durableId="1937861476">
    <w:abstractNumId w:val="45"/>
  </w:num>
  <w:num w:numId="4" w16cid:durableId="622153240">
    <w:abstractNumId w:val="2"/>
  </w:num>
  <w:num w:numId="5" w16cid:durableId="861941544">
    <w:abstractNumId w:val="0"/>
  </w:num>
  <w:num w:numId="6" w16cid:durableId="1399014251">
    <w:abstractNumId w:val="42"/>
  </w:num>
  <w:num w:numId="7" w16cid:durableId="717703492">
    <w:abstractNumId w:val="28"/>
  </w:num>
  <w:num w:numId="8" w16cid:durableId="1774977870">
    <w:abstractNumId w:val="8"/>
  </w:num>
  <w:num w:numId="9" w16cid:durableId="1760590266">
    <w:abstractNumId w:val="16"/>
  </w:num>
  <w:num w:numId="10" w16cid:durableId="740058454">
    <w:abstractNumId w:val="34"/>
  </w:num>
  <w:num w:numId="11" w16cid:durableId="1797798161">
    <w:abstractNumId w:val="47"/>
  </w:num>
  <w:num w:numId="12" w16cid:durableId="177501749">
    <w:abstractNumId w:val="22"/>
  </w:num>
  <w:num w:numId="13" w16cid:durableId="562642076">
    <w:abstractNumId w:val="27"/>
  </w:num>
  <w:num w:numId="14" w16cid:durableId="1988432977">
    <w:abstractNumId w:val="11"/>
  </w:num>
  <w:num w:numId="15" w16cid:durableId="711882551">
    <w:abstractNumId w:val="5"/>
  </w:num>
  <w:num w:numId="16" w16cid:durableId="1155802560">
    <w:abstractNumId w:val="15"/>
  </w:num>
  <w:num w:numId="17" w16cid:durableId="2105881908">
    <w:abstractNumId w:val="21"/>
  </w:num>
  <w:num w:numId="18" w16cid:durableId="1065956576">
    <w:abstractNumId w:val="3"/>
  </w:num>
  <w:num w:numId="19" w16cid:durableId="680547973">
    <w:abstractNumId w:val="13"/>
  </w:num>
  <w:num w:numId="20" w16cid:durableId="1863979834">
    <w:abstractNumId w:val="40"/>
  </w:num>
  <w:num w:numId="21" w16cid:durableId="1128670491">
    <w:abstractNumId w:val="19"/>
  </w:num>
  <w:num w:numId="22" w16cid:durableId="1178689793">
    <w:abstractNumId w:val="39"/>
  </w:num>
  <w:num w:numId="23" w16cid:durableId="958876926">
    <w:abstractNumId w:val="9"/>
  </w:num>
  <w:num w:numId="24" w16cid:durableId="1625693067">
    <w:abstractNumId w:val="18"/>
  </w:num>
  <w:num w:numId="25" w16cid:durableId="1647589289">
    <w:abstractNumId w:val="4"/>
  </w:num>
  <w:num w:numId="26" w16cid:durableId="407191193">
    <w:abstractNumId w:val="10"/>
  </w:num>
  <w:num w:numId="27" w16cid:durableId="847524504">
    <w:abstractNumId w:val="20"/>
  </w:num>
  <w:num w:numId="28" w16cid:durableId="481700288">
    <w:abstractNumId w:val="46"/>
  </w:num>
  <w:num w:numId="29" w16cid:durableId="1726173110">
    <w:abstractNumId w:val="1"/>
  </w:num>
  <w:num w:numId="30" w16cid:durableId="913667238">
    <w:abstractNumId w:val="37"/>
  </w:num>
  <w:num w:numId="31" w16cid:durableId="1347975261">
    <w:abstractNumId w:val="43"/>
  </w:num>
  <w:num w:numId="32" w16cid:durableId="1283074080">
    <w:abstractNumId w:val="14"/>
  </w:num>
  <w:num w:numId="33" w16cid:durableId="542595709">
    <w:abstractNumId w:val="7"/>
  </w:num>
  <w:num w:numId="34" w16cid:durableId="1075781089">
    <w:abstractNumId w:val="33"/>
  </w:num>
  <w:num w:numId="35" w16cid:durableId="1829713836">
    <w:abstractNumId w:val="41"/>
  </w:num>
  <w:num w:numId="36" w16cid:durableId="1903443466">
    <w:abstractNumId w:val="24"/>
  </w:num>
  <w:num w:numId="37" w16cid:durableId="1079402978">
    <w:abstractNumId w:val="32"/>
  </w:num>
  <w:num w:numId="38" w16cid:durableId="1726758997">
    <w:abstractNumId w:val="23"/>
  </w:num>
  <w:num w:numId="39" w16cid:durableId="866219882">
    <w:abstractNumId w:val="31"/>
  </w:num>
  <w:num w:numId="40" w16cid:durableId="2043556156">
    <w:abstractNumId w:val="12"/>
  </w:num>
  <w:num w:numId="41" w16cid:durableId="2080859850">
    <w:abstractNumId w:val="38"/>
  </w:num>
  <w:num w:numId="42" w16cid:durableId="579221929">
    <w:abstractNumId w:val="26"/>
  </w:num>
  <w:num w:numId="43" w16cid:durableId="1436943194">
    <w:abstractNumId w:val="30"/>
  </w:num>
  <w:num w:numId="44" w16cid:durableId="717433875">
    <w:abstractNumId w:val="35"/>
  </w:num>
  <w:num w:numId="45" w16cid:durableId="700937265">
    <w:abstractNumId w:val="29"/>
  </w:num>
  <w:num w:numId="46" w16cid:durableId="1059136815">
    <w:abstractNumId w:val="6"/>
  </w:num>
  <w:num w:numId="47" w16cid:durableId="534923349">
    <w:abstractNumId w:val="44"/>
  </w:num>
  <w:num w:numId="48" w16cid:durableId="42719068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40AE"/>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66"/>
    <w:rsid w:val="000433CE"/>
    <w:rsid w:val="0004398D"/>
    <w:rsid w:val="000456CF"/>
    <w:rsid w:val="000469AC"/>
    <w:rsid w:val="00046E57"/>
    <w:rsid w:val="00047B3C"/>
    <w:rsid w:val="00047D67"/>
    <w:rsid w:val="00050A33"/>
    <w:rsid w:val="0005129A"/>
    <w:rsid w:val="00052C25"/>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3C5D"/>
    <w:rsid w:val="000647CC"/>
    <w:rsid w:val="00064818"/>
    <w:rsid w:val="000649A5"/>
    <w:rsid w:val="0006601F"/>
    <w:rsid w:val="00066480"/>
    <w:rsid w:val="000664C7"/>
    <w:rsid w:val="000669D9"/>
    <w:rsid w:val="000675F6"/>
    <w:rsid w:val="00070938"/>
    <w:rsid w:val="0007181D"/>
    <w:rsid w:val="00072B28"/>
    <w:rsid w:val="000737B7"/>
    <w:rsid w:val="00073D2B"/>
    <w:rsid w:val="0007450A"/>
    <w:rsid w:val="000762D3"/>
    <w:rsid w:val="000768A6"/>
    <w:rsid w:val="00077487"/>
    <w:rsid w:val="00077600"/>
    <w:rsid w:val="00082470"/>
    <w:rsid w:val="000826AA"/>
    <w:rsid w:val="00083E52"/>
    <w:rsid w:val="000840D5"/>
    <w:rsid w:val="00084AB0"/>
    <w:rsid w:val="00084D4C"/>
    <w:rsid w:val="000854EA"/>
    <w:rsid w:val="00086338"/>
    <w:rsid w:val="00086628"/>
    <w:rsid w:val="000877CB"/>
    <w:rsid w:val="00090843"/>
    <w:rsid w:val="000909AC"/>
    <w:rsid w:val="00090A6F"/>
    <w:rsid w:val="00090EDC"/>
    <w:rsid w:val="000918AD"/>
    <w:rsid w:val="00093237"/>
    <w:rsid w:val="0009423B"/>
    <w:rsid w:val="0009457D"/>
    <w:rsid w:val="00094812"/>
    <w:rsid w:val="00096D1B"/>
    <w:rsid w:val="000970FC"/>
    <w:rsid w:val="00097479"/>
    <w:rsid w:val="0009753A"/>
    <w:rsid w:val="000976E6"/>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BD2"/>
    <w:rsid w:val="000B2F2A"/>
    <w:rsid w:val="000B3FEA"/>
    <w:rsid w:val="000B4772"/>
    <w:rsid w:val="000B5EB3"/>
    <w:rsid w:val="000B766C"/>
    <w:rsid w:val="000B792E"/>
    <w:rsid w:val="000C071B"/>
    <w:rsid w:val="000C118D"/>
    <w:rsid w:val="000C1F66"/>
    <w:rsid w:val="000C2143"/>
    <w:rsid w:val="000C2C96"/>
    <w:rsid w:val="000C3324"/>
    <w:rsid w:val="000C3809"/>
    <w:rsid w:val="000C4351"/>
    <w:rsid w:val="000C4C7B"/>
    <w:rsid w:val="000C5908"/>
    <w:rsid w:val="000C67B9"/>
    <w:rsid w:val="000C6C0E"/>
    <w:rsid w:val="000C6DA4"/>
    <w:rsid w:val="000D07EE"/>
    <w:rsid w:val="000D28B0"/>
    <w:rsid w:val="000D3A13"/>
    <w:rsid w:val="000D413C"/>
    <w:rsid w:val="000D59C6"/>
    <w:rsid w:val="000D6BF5"/>
    <w:rsid w:val="000D6FA3"/>
    <w:rsid w:val="000D71B1"/>
    <w:rsid w:val="000E02F0"/>
    <w:rsid w:val="000E0EA0"/>
    <w:rsid w:val="000E3629"/>
    <w:rsid w:val="000E3EC0"/>
    <w:rsid w:val="000E4943"/>
    <w:rsid w:val="000E6ADE"/>
    <w:rsid w:val="000E74CE"/>
    <w:rsid w:val="000E75DA"/>
    <w:rsid w:val="000E7836"/>
    <w:rsid w:val="000F03CD"/>
    <w:rsid w:val="000F1C00"/>
    <w:rsid w:val="000F2621"/>
    <w:rsid w:val="000F2761"/>
    <w:rsid w:val="000F2808"/>
    <w:rsid w:val="000F3118"/>
    <w:rsid w:val="000F3CF8"/>
    <w:rsid w:val="000F3FBC"/>
    <w:rsid w:val="000F42B2"/>
    <w:rsid w:val="000F4442"/>
    <w:rsid w:val="000F52F6"/>
    <w:rsid w:val="000F567D"/>
    <w:rsid w:val="000F65C6"/>
    <w:rsid w:val="000F6BBC"/>
    <w:rsid w:val="001016FD"/>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36E9"/>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1BD"/>
    <w:rsid w:val="0014174B"/>
    <w:rsid w:val="00141B90"/>
    <w:rsid w:val="00143147"/>
    <w:rsid w:val="0014399D"/>
    <w:rsid w:val="00143D70"/>
    <w:rsid w:val="0014472D"/>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059C"/>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E33"/>
    <w:rsid w:val="001C0326"/>
    <w:rsid w:val="001C048C"/>
    <w:rsid w:val="001C1509"/>
    <w:rsid w:val="001C1B98"/>
    <w:rsid w:val="001C20DB"/>
    <w:rsid w:val="001C27FB"/>
    <w:rsid w:val="001C3191"/>
    <w:rsid w:val="001C3A25"/>
    <w:rsid w:val="001C489C"/>
    <w:rsid w:val="001C6960"/>
    <w:rsid w:val="001C6988"/>
    <w:rsid w:val="001C7489"/>
    <w:rsid w:val="001C7ED5"/>
    <w:rsid w:val="001D0F20"/>
    <w:rsid w:val="001D18BA"/>
    <w:rsid w:val="001D2207"/>
    <w:rsid w:val="001D2A68"/>
    <w:rsid w:val="001D4797"/>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064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A8B"/>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1A26"/>
    <w:rsid w:val="0023380B"/>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51F"/>
    <w:rsid w:val="002449EA"/>
    <w:rsid w:val="002457E3"/>
    <w:rsid w:val="00245AFD"/>
    <w:rsid w:val="00246129"/>
    <w:rsid w:val="0024667E"/>
    <w:rsid w:val="00246CDE"/>
    <w:rsid w:val="00246DAB"/>
    <w:rsid w:val="00247C4D"/>
    <w:rsid w:val="00250ED1"/>
    <w:rsid w:val="00250EE7"/>
    <w:rsid w:val="00251431"/>
    <w:rsid w:val="00251867"/>
    <w:rsid w:val="00251A4C"/>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7EE"/>
    <w:rsid w:val="00283BAF"/>
    <w:rsid w:val="00283E4B"/>
    <w:rsid w:val="00284611"/>
    <w:rsid w:val="002848EC"/>
    <w:rsid w:val="00284CFE"/>
    <w:rsid w:val="00285F2B"/>
    <w:rsid w:val="002868A3"/>
    <w:rsid w:val="00287E20"/>
    <w:rsid w:val="00291C33"/>
    <w:rsid w:val="00293181"/>
    <w:rsid w:val="00293648"/>
    <w:rsid w:val="00294BAC"/>
    <w:rsid w:val="0029563C"/>
    <w:rsid w:val="002956F1"/>
    <w:rsid w:val="00296326"/>
    <w:rsid w:val="002965F5"/>
    <w:rsid w:val="0029671C"/>
    <w:rsid w:val="00296895"/>
    <w:rsid w:val="002975C9"/>
    <w:rsid w:val="0029768C"/>
    <w:rsid w:val="00297D30"/>
    <w:rsid w:val="002A1199"/>
    <w:rsid w:val="002A1884"/>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55D"/>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2DA8"/>
    <w:rsid w:val="002D3058"/>
    <w:rsid w:val="002D3198"/>
    <w:rsid w:val="002D375B"/>
    <w:rsid w:val="002D4094"/>
    <w:rsid w:val="002D49C0"/>
    <w:rsid w:val="002D5472"/>
    <w:rsid w:val="002D5AE1"/>
    <w:rsid w:val="002D61D4"/>
    <w:rsid w:val="002D7016"/>
    <w:rsid w:val="002D7B30"/>
    <w:rsid w:val="002E0E17"/>
    <w:rsid w:val="002E0E23"/>
    <w:rsid w:val="002E1366"/>
    <w:rsid w:val="002E1B4A"/>
    <w:rsid w:val="002E2077"/>
    <w:rsid w:val="002E54E2"/>
    <w:rsid w:val="002E56A2"/>
    <w:rsid w:val="002E5968"/>
    <w:rsid w:val="002E6B9D"/>
    <w:rsid w:val="002E7517"/>
    <w:rsid w:val="002E7E85"/>
    <w:rsid w:val="002F04D9"/>
    <w:rsid w:val="002F1766"/>
    <w:rsid w:val="002F1CC9"/>
    <w:rsid w:val="002F2DFB"/>
    <w:rsid w:val="002F53FF"/>
    <w:rsid w:val="002F5C89"/>
    <w:rsid w:val="002F6E20"/>
    <w:rsid w:val="00300D7F"/>
    <w:rsid w:val="003020B3"/>
    <w:rsid w:val="003027A8"/>
    <w:rsid w:val="00303209"/>
    <w:rsid w:val="00303309"/>
    <w:rsid w:val="00306179"/>
    <w:rsid w:val="00306961"/>
    <w:rsid w:val="00312A68"/>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5C4"/>
    <w:rsid w:val="00324900"/>
    <w:rsid w:val="00325CC4"/>
    <w:rsid w:val="00326A17"/>
    <w:rsid w:val="00326AAB"/>
    <w:rsid w:val="003308E1"/>
    <w:rsid w:val="003321C5"/>
    <w:rsid w:val="003326D8"/>
    <w:rsid w:val="0033278E"/>
    <w:rsid w:val="003327AB"/>
    <w:rsid w:val="0033325D"/>
    <w:rsid w:val="00333A90"/>
    <w:rsid w:val="00333CB2"/>
    <w:rsid w:val="0033577E"/>
    <w:rsid w:val="003358CF"/>
    <w:rsid w:val="0033709A"/>
    <w:rsid w:val="003376DA"/>
    <w:rsid w:val="00337C53"/>
    <w:rsid w:val="00337FB3"/>
    <w:rsid w:val="003403F0"/>
    <w:rsid w:val="00342439"/>
    <w:rsid w:val="00342569"/>
    <w:rsid w:val="00342D1D"/>
    <w:rsid w:val="00344522"/>
    <w:rsid w:val="00344583"/>
    <w:rsid w:val="00344BEF"/>
    <w:rsid w:val="003460F5"/>
    <w:rsid w:val="00346C39"/>
    <w:rsid w:val="00352414"/>
    <w:rsid w:val="00352600"/>
    <w:rsid w:val="003534D5"/>
    <w:rsid w:val="00353F90"/>
    <w:rsid w:val="00354036"/>
    <w:rsid w:val="003545F5"/>
    <w:rsid w:val="0035568C"/>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0D1F"/>
    <w:rsid w:val="00371751"/>
    <w:rsid w:val="003722FE"/>
    <w:rsid w:val="00372BB2"/>
    <w:rsid w:val="00372C88"/>
    <w:rsid w:val="00372FB3"/>
    <w:rsid w:val="00373195"/>
    <w:rsid w:val="00373264"/>
    <w:rsid w:val="0037358E"/>
    <w:rsid w:val="003741AD"/>
    <w:rsid w:val="00374A58"/>
    <w:rsid w:val="00374D63"/>
    <w:rsid w:val="003757C4"/>
    <w:rsid w:val="00377DA2"/>
    <w:rsid w:val="00377DFE"/>
    <w:rsid w:val="003805A3"/>
    <w:rsid w:val="003809C3"/>
    <w:rsid w:val="00380F31"/>
    <w:rsid w:val="00381373"/>
    <w:rsid w:val="0038156E"/>
    <w:rsid w:val="00381859"/>
    <w:rsid w:val="00381E94"/>
    <w:rsid w:val="0038230D"/>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42B1"/>
    <w:rsid w:val="003C5238"/>
    <w:rsid w:val="003C6103"/>
    <w:rsid w:val="003C696F"/>
    <w:rsid w:val="003C74CE"/>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9CA"/>
    <w:rsid w:val="003F7BA4"/>
    <w:rsid w:val="003F7DE9"/>
    <w:rsid w:val="0040056A"/>
    <w:rsid w:val="00400D44"/>
    <w:rsid w:val="004021CC"/>
    <w:rsid w:val="00404028"/>
    <w:rsid w:val="0040488A"/>
    <w:rsid w:val="004050F5"/>
    <w:rsid w:val="00405EC1"/>
    <w:rsid w:val="0040687A"/>
    <w:rsid w:val="004072CD"/>
    <w:rsid w:val="00407628"/>
    <w:rsid w:val="00407651"/>
    <w:rsid w:val="00410FE4"/>
    <w:rsid w:val="004166DB"/>
    <w:rsid w:val="00416957"/>
    <w:rsid w:val="00417A75"/>
    <w:rsid w:val="0042018E"/>
    <w:rsid w:val="004209B5"/>
    <w:rsid w:val="00422A6D"/>
    <w:rsid w:val="00422E52"/>
    <w:rsid w:val="00422FBB"/>
    <w:rsid w:val="0042346C"/>
    <w:rsid w:val="0042371C"/>
    <w:rsid w:val="004239E4"/>
    <w:rsid w:val="00423E35"/>
    <w:rsid w:val="00424DD4"/>
    <w:rsid w:val="00425364"/>
    <w:rsid w:val="00425BB8"/>
    <w:rsid w:val="0042675F"/>
    <w:rsid w:val="00427DAA"/>
    <w:rsid w:val="00430242"/>
    <w:rsid w:val="0043111C"/>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9A"/>
    <w:rsid w:val="004444BC"/>
    <w:rsid w:val="0045008E"/>
    <w:rsid w:val="00450234"/>
    <w:rsid w:val="00450700"/>
    <w:rsid w:val="00450B0E"/>
    <w:rsid w:val="00450E17"/>
    <w:rsid w:val="00451E99"/>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38E"/>
    <w:rsid w:val="0047785A"/>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4D5B"/>
    <w:rsid w:val="0049525C"/>
    <w:rsid w:val="004960A9"/>
    <w:rsid w:val="0049787E"/>
    <w:rsid w:val="004A0234"/>
    <w:rsid w:val="004A0644"/>
    <w:rsid w:val="004A11E4"/>
    <w:rsid w:val="004A1317"/>
    <w:rsid w:val="004A18C4"/>
    <w:rsid w:val="004A1BE4"/>
    <w:rsid w:val="004A1E73"/>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48D"/>
    <w:rsid w:val="004D066E"/>
    <w:rsid w:val="004D0E9C"/>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3B5A"/>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34EC"/>
    <w:rsid w:val="00503698"/>
    <w:rsid w:val="00503AEB"/>
    <w:rsid w:val="005043F2"/>
    <w:rsid w:val="00504911"/>
    <w:rsid w:val="0050654B"/>
    <w:rsid w:val="00510416"/>
    <w:rsid w:val="00510567"/>
    <w:rsid w:val="00510A65"/>
    <w:rsid w:val="005110DE"/>
    <w:rsid w:val="0051128D"/>
    <w:rsid w:val="005117DC"/>
    <w:rsid w:val="005126A6"/>
    <w:rsid w:val="0051277B"/>
    <w:rsid w:val="00512DC0"/>
    <w:rsid w:val="0051320E"/>
    <w:rsid w:val="00513413"/>
    <w:rsid w:val="00515118"/>
    <w:rsid w:val="0051715A"/>
    <w:rsid w:val="005174F5"/>
    <w:rsid w:val="005176C2"/>
    <w:rsid w:val="00517DCF"/>
    <w:rsid w:val="005217D3"/>
    <w:rsid w:val="00521B06"/>
    <w:rsid w:val="00522F64"/>
    <w:rsid w:val="00523BC3"/>
    <w:rsid w:val="00523C1A"/>
    <w:rsid w:val="0052411F"/>
    <w:rsid w:val="00524D74"/>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1F0F"/>
    <w:rsid w:val="0054203D"/>
    <w:rsid w:val="0054226A"/>
    <w:rsid w:val="005435B1"/>
    <w:rsid w:val="00543986"/>
    <w:rsid w:val="0054471E"/>
    <w:rsid w:val="00544DD9"/>
    <w:rsid w:val="00545017"/>
    <w:rsid w:val="0054532A"/>
    <w:rsid w:val="00545949"/>
    <w:rsid w:val="00546A35"/>
    <w:rsid w:val="00547023"/>
    <w:rsid w:val="00550114"/>
    <w:rsid w:val="00551628"/>
    <w:rsid w:val="005520B1"/>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870D0"/>
    <w:rsid w:val="0059042A"/>
    <w:rsid w:val="005907AD"/>
    <w:rsid w:val="0059177F"/>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15DB"/>
    <w:rsid w:val="005A2E03"/>
    <w:rsid w:val="005A35B0"/>
    <w:rsid w:val="005A46C9"/>
    <w:rsid w:val="005A4996"/>
    <w:rsid w:val="005A5B78"/>
    <w:rsid w:val="005A61F4"/>
    <w:rsid w:val="005A6485"/>
    <w:rsid w:val="005A7019"/>
    <w:rsid w:val="005B0481"/>
    <w:rsid w:val="005B194D"/>
    <w:rsid w:val="005B1E21"/>
    <w:rsid w:val="005B216A"/>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08E9"/>
    <w:rsid w:val="005C106A"/>
    <w:rsid w:val="005C1104"/>
    <w:rsid w:val="005C2C7B"/>
    <w:rsid w:val="005C308A"/>
    <w:rsid w:val="005C30CF"/>
    <w:rsid w:val="005C4249"/>
    <w:rsid w:val="005C426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A4A"/>
    <w:rsid w:val="005D7DE3"/>
    <w:rsid w:val="005E03B6"/>
    <w:rsid w:val="005E181E"/>
    <w:rsid w:val="005E20B6"/>
    <w:rsid w:val="005E29EB"/>
    <w:rsid w:val="005E2D8A"/>
    <w:rsid w:val="005E42FC"/>
    <w:rsid w:val="005E6BA0"/>
    <w:rsid w:val="005E6BFE"/>
    <w:rsid w:val="005E6C3D"/>
    <w:rsid w:val="005E799D"/>
    <w:rsid w:val="005F11DE"/>
    <w:rsid w:val="005F218A"/>
    <w:rsid w:val="005F26E6"/>
    <w:rsid w:val="005F5598"/>
    <w:rsid w:val="005F77DB"/>
    <w:rsid w:val="005F7A1D"/>
    <w:rsid w:val="00601AD6"/>
    <w:rsid w:val="00601D2B"/>
    <w:rsid w:val="006034AF"/>
    <w:rsid w:val="0060461D"/>
    <w:rsid w:val="006049BB"/>
    <w:rsid w:val="00604A69"/>
    <w:rsid w:val="006050A3"/>
    <w:rsid w:val="00606087"/>
    <w:rsid w:val="0060624F"/>
    <w:rsid w:val="006063C3"/>
    <w:rsid w:val="00606DBB"/>
    <w:rsid w:val="006070DD"/>
    <w:rsid w:val="006109E0"/>
    <w:rsid w:val="00610E73"/>
    <w:rsid w:val="00610FDB"/>
    <w:rsid w:val="00611DE4"/>
    <w:rsid w:val="00611FB9"/>
    <w:rsid w:val="0061296C"/>
    <w:rsid w:val="00614D51"/>
    <w:rsid w:val="00615317"/>
    <w:rsid w:val="00615BB8"/>
    <w:rsid w:val="006173F2"/>
    <w:rsid w:val="006173F3"/>
    <w:rsid w:val="00617A32"/>
    <w:rsid w:val="00617F98"/>
    <w:rsid w:val="00620686"/>
    <w:rsid w:val="00622001"/>
    <w:rsid w:val="0062216D"/>
    <w:rsid w:val="00622C13"/>
    <w:rsid w:val="006242CF"/>
    <w:rsid w:val="00624A50"/>
    <w:rsid w:val="00624E33"/>
    <w:rsid w:val="00625570"/>
    <w:rsid w:val="006257B8"/>
    <w:rsid w:val="00625A2E"/>
    <w:rsid w:val="00625AC6"/>
    <w:rsid w:val="00625D87"/>
    <w:rsid w:val="00625FD2"/>
    <w:rsid w:val="006266DE"/>
    <w:rsid w:val="0062692E"/>
    <w:rsid w:val="006301BF"/>
    <w:rsid w:val="006320FF"/>
    <w:rsid w:val="00633840"/>
    <w:rsid w:val="00634EC0"/>
    <w:rsid w:val="00635D39"/>
    <w:rsid w:val="00635F73"/>
    <w:rsid w:val="006370F1"/>
    <w:rsid w:val="006376D4"/>
    <w:rsid w:val="006377B9"/>
    <w:rsid w:val="006377D3"/>
    <w:rsid w:val="00640692"/>
    <w:rsid w:val="00640758"/>
    <w:rsid w:val="00640AD2"/>
    <w:rsid w:val="006417A1"/>
    <w:rsid w:val="006436E8"/>
    <w:rsid w:val="00643A29"/>
    <w:rsid w:val="006446FC"/>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4A8"/>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C08"/>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25A1"/>
    <w:rsid w:val="006E2E7F"/>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2C2"/>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1895"/>
    <w:rsid w:val="007527DD"/>
    <w:rsid w:val="00753F55"/>
    <w:rsid w:val="007557FF"/>
    <w:rsid w:val="00755B95"/>
    <w:rsid w:val="00755D66"/>
    <w:rsid w:val="00756B26"/>
    <w:rsid w:val="00756D33"/>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0A7"/>
    <w:rsid w:val="007724EA"/>
    <w:rsid w:val="007735FB"/>
    <w:rsid w:val="007736BE"/>
    <w:rsid w:val="007739D7"/>
    <w:rsid w:val="0077473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6EB6"/>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3931"/>
    <w:rsid w:val="007B4260"/>
    <w:rsid w:val="007B465B"/>
    <w:rsid w:val="007B4F1F"/>
    <w:rsid w:val="007B4F52"/>
    <w:rsid w:val="007B5069"/>
    <w:rsid w:val="007B5217"/>
    <w:rsid w:val="007B66F1"/>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9FC"/>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BED"/>
    <w:rsid w:val="007E6F09"/>
    <w:rsid w:val="007E6F2B"/>
    <w:rsid w:val="007E71A3"/>
    <w:rsid w:val="007F0326"/>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0FD9"/>
    <w:rsid w:val="0082476A"/>
    <w:rsid w:val="00824D58"/>
    <w:rsid w:val="00825E4F"/>
    <w:rsid w:val="00826F62"/>
    <w:rsid w:val="00827C53"/>
    <w:rsid w:val="00830038"/>
    <w:rsid w:val="008306C9"/>
    <w:rsid w:val="00831115"/>
    <w:rsid w:val="00831478"/>
    <w:rsid w:val="008317C2"/>
    <w:rsid w:val="00833140"/>
    <w:rsid w:val="0083355C"/>
    <w:rsid w:val="00833846"/>
    <w:rsid w:val="008347C5"/>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DC4"/>
    <w:rsid w:val="00871F24"/>
    <w:rsid w:val="0087296B"/>
    <w:rsid w:val="0087370F"/>
    <w:rsid w:val="0087393E"/>
    <w:rsid w:val="00873BB8"/>
    <w:rsid w:val="008741D2"/>
    <w:rsid w:val="00874C25"/>
    <w:rsid w:val="00874D04"/>
    <w:rsid w:val="008756B7"/>
    <w:rsid w:val="00875E13"/>
    <w:rsid w:val="00876AB5"/>
    <w:rsid w:val="008770B3"/>
    <w:rsid w:val="0087776E"/>
    <w:rsid w:val="008800AB"/>
    <w:rsid w:val="00880D68"/>
    <w:rsid w:val="008817F4"/>
    <w:rsid w:val="00881CA7"/>
    <w:rsid w:val="00881D23"/>
    <w:rsid w:val="00881DE9"/>
    <w:rsid w:val="008829B2"/>
    <w:rsid w:val="00884016"/>
    <w:rsid w:val="008848C6"/>
    <w:rsid w:val="00885F70"/>
    <w:rsid w:val="008901D8"/>
    <w:rsid w:val="0089220E"/>
    <w:rsid w:val="008928B0"/>
    <w:rsid w:val="00893EDF"/>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24F"/>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4D1E"/>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1F15"/>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60B"/>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A74"/>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6E10"/>
    <w:rsid w:val="00967A76"/>
    <w:rsid w:val="00967EC0"/>
    <w:rsid w:val="00970782"/>
    <w:rsid w:val="009718F5"/>
    <w:rsid w:val="00972272"/>
    <w:rsid w:val="00972F4C"/>
    <w:rsid w:val="009741C5"/>
    <w:rsid w:val="00974C4D"/>
    <w:rsid w:val="00976837"/>
    <w:rsid w:val="009773C2"/>
    <w:rsid w:val="00977A7D"/>
    <w:rsid w:val="00977E09"/>
    <w:rsid w:val="00977EB0"/>
    <w:rsid w:val="00980F6B"/>
    <w:rsid w:val="00983EC0"/>
    <w:rsid w:val="00983F9C"/>
    <w:rsid w:val="0098498E"/>
    <w:rsid w:val="00984BFC"/>
    <w:rsid w:val="00987BF3"/>
    <w:rsid w:val="00990478"/>
    <w:rsid w:val="00992221"/>
    <w:rsid w:val="0099379B"/>
    <w:rsid w:val="00995BD5"/>
    <w:rsid w:val="0099641A"/>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398"/>
    <w:rsid w:val="009C377F"/>
    <w:rsid w:val="009C3EBE"/>
    <w:rsid w:val="009C407C"/>
    <w:rsid w:val="009C4F0F"/>
    <w:rsid w:val="009C5436"/>
    <w:rsid w:val="009C662F"/>
    <w:rsid w:val="009C6632"/>
    <w:rsid w:val="009C7079"/>
    <w:rsid w:val="009C729B"/>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702A"/>
    <w:rsid w:val="009E79A0"/>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63AF"/>
    <w:rsid w:val="00A070D4"/>
    <w:rsid w:val="00A07A0C"/>
    <w:rsid w:val="00A07AF7"/>
    <w:rsid w:val="00A07B37"/>
    <w:rsid w:val="00A07CAE"/>
    <w:rsid w:val="00A105BF"/>
    <w:rsid w:val="00A107AE"/>
    <w:rsid w:val="00A10D8A"/>
    <w:rsid w:val="00A11B0C"/>
    <w:rsid w:val="00A11FAA"/>
    <w:rsid w:val="00A12310"/>
    <w:rsid w:val="00A125D6"/>
    <w:rsid w:val="00A12A24"/>
    <w:rsid w:val="00A15246"/>
    <w:rsid w:val="00A1524B"/>
    <w:rsid w:val="00A15441"/>
    <w:rsid w:val="00A15632"/>
    <w:rsid w:val="00A16882"/>
    <w:rsid w:val="00A17B5E"/>
    <w:rsid w:val="00A22262"/>
    <w:rsid w:val="00A222A6"/>
    <w:rsid w:val="00A22619"/>
    <w:rsid w:val="00A22791"/>
    <w:rsid w:val="00A22942"/>
    <w:rsid w:val="00A22C04"/>
    <w:rsid w:val="00A22EA3"/>
    <w:rsid w:val="00A25A5A"/>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58"/>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319"/>
    <w:rsid w:val="00A47AF8"/>
    <w:rsid w:val="00A507EF"/>
    <w:rsid w:val="00A50DA9"/>
    <w:rsid w:val="00A51A88"/>
    <w:rsid w:val="00A51BFC"/>
    <w:rsid w:val="00A51CF0"/>
    <w:rsid w:val="00A522D5"/>
    <w:rsid w:val="00A5373C"/>
    <w:rsid w:val="00A54083"/>
    <w:rsid w:val="00A54F53"/>
    <w:rsid w:val="00A551CE"/>
    <w:rsid w:val="00A56232"/>
    <w:rsid w:val="00A56DDE"/>
    <w:rsid w:val="00A600E2"/>
    <w:rsid w:val="00A62653"/>
    <w:rsid w:val="00A64209"/>
    <w:rsid w:val="00A64523"/>
    <w:rsid w:val="00A65E1C"/>
    <w:rsid w:val="00A6739F"/>
    <w:rsid w:val="00A6769C"/>
    <w:rsid w:val="00A67B50"/>
    <w:rsid w:val="00A67EA8"/>
    <w:rsid w:val="00A706FE"/>
    <w:rsid w:val="00A7084B"/>
    <w:rsid w:val="00A70A65"/>
    <w:rsid w:val="00A70B7C"/>
    <w:rsid w:val="00A70DFE"/>
    <w:rsid w:val="00A70F9F"/>
    <w:rsid w:val="00A7163B"/>
    <w:rsid w:val="00A71A33"/>
    <w:rsid w:val="00A7233E"/>
    <w:rsid w:val="00A725A0"/>
    <w:rsid w:val="00A732E0"/>
    <w:rsid w:val="00A74903"/>
    <w:rsid w:val="00A74D2B"/>
    <w:rsid w:val="00A74E1B"/>
    <w:rsid w:val="00A74EE6"/>
    <w:rsid w:val="00A75AF8"/>
    <w:rsid w:val="00A76EDC"/>
    <w:rsid w:val="00A7702A"/>
    <w:rsid w:val="00A77705"/>
    <w:rsid w:val="00A77ED2"/>
    <w:rsid w:val="00A77FAE"/>
    <w:rsid w:val="00A80A8F"/>
    <w:rsid w:val="00A8140E"/>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15"/>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789"/>
    <w:rsid w:val="00AA5928"/>
    <w:rsid w:val="00AA5E40"/>
    <w:rsid w:val="00AA5F1A"/>
    <w:rsid w:val="00AB0876"/>
    <w:rsid w:val="00AB11F8"/>
    <w:rsid w:val="00AB1EC4"/>
    <w:rsid w:val="00AB40F4"/>
    <w:rsid w:val="00AB42A3"/>
    <w:rsid w:val="00AB4EA9"/>
    <w:rsid w:val="00AB4F69"/>
    <w:rsid w:val="00AB5E1B"/>
    <w:rsid w:val="00AB6E57"/>
    <w:rsid w:val="00AB7105"/>
    <w:rsid w:val="00AB753B"/>
    <w:rsid w:val="00AB7576"/>
    <w:rsid w:val="00AB79CE"/>
    <w:rsid w:val="00AB7E26"/>
    <w:rsid w:val="00AC04F2"/>
    <w:rsid w:val="00AC0B36"/>
    <w:rsid w:val="00AC0C8A"/>
    <w:rsid w:val="00AC20C5"/>
    <w:rsid w:val="00AC2325"/>
    <w:rsid w:val="00AC251E"/>
    <w:rsid w:val="00AC3EF4"/>
    <w:rsid w:val="00AC41F5"/>
    <w:rsid w:val="00AC5467"/>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26C"/>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495"/>
    <w:rsid w:val="00B26996"/>
    <w:rsid w:val="00B3070F"/>
    <w:rsid w:val="00B30880"/>
    <w:rsid w:val="00B30B82"/>
    <w:rsid w:val="00B30EDD"/>
    <w:rsid w:val="00B31A0F"/>
    <w:rsid w:val="00B31B51"/>
    <w:rsid w:val="00B3371C"/>
    <w:rsid w:val="00B351D3"/>
    <w:rsid w:val="00B354E7"/>
    <w:rsid w:val="00B358B8"/>
    <w:rsid w:val="00B35A7C"/>
    <w:rsid w:val="00B3676B"/>
    <w:rsid w:val="00B40340"/>
    <w:rsid w:val="00B410C2"/>
    <w:rsid w:val="00B42AC8"/>
    <w:rsid w:val="00B42F9E"/>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1EB"/>
    <w:rsid w:val="00B55D10"/>
    <w:rsid w:val="00B56FBD"/>
    <w:rsid w:val="00B574F0"/>
    <w:rsid w:val="00B57530"/>
    <w:rsid w:val="00B57854"/>
    <w:rsid w:val="00B57911"/>
    <w:rsid w:val="00B6003D"/>
    <w:rsid w:val="00B601EF"/>
    <w:rsid w:val="00B60E94"/>
    <w:rsid w:val="00B617E8"/>
    <w:rsid w:val="00B62468"/>
    <w:rsid w:val="00B62AF8"/>
    <w:rsid w:val="00B62ED3"/>
    <w:rsid w:val="00B64350"/>
    <w:rsid w:val="00B64371"/>
    <w:rsid w:val="00B65032"/>
    <w:rsid w:val="00B66324"/>
    <w:rsid w:val="00B668AB"/>
    <w:rsid w:val="00B66AE2"/>
    <w:rsid w:val="00B6709D"/>
    <w:rsid w:val="00B67419"/>
    <w:rsid w:val="00B7040A"/>
    <w:rsid w:val="00B71415"/>
    <w:rsid w:val="00B71844"/>
    <w:rsid w:val="00B721D2"/>
    <w:rsid w:val="00B7307B"/>
    <w:rsid w:val="00B737CE"/>
    <w:rsid w:val="00B749B9"/>
    <w:rsid w:val="00B754FE"/>
    <w:rsid w:val="00B75C9D"/>
    <w:rsid w:val="00B75F33"/>
    <w:rsid w:val="00B772A4"/>
    <w:rsid w:val="00B80789"/>
    <w:rsid w:val="00B80A45"/>
    <w:rsid w:val="00B80CC1"/>
    <w:rsid w:val="00B826D0"/>
    <w:rsid w:val="00B82737"/>
    <w:rsid w:val="00B827A8"/>
    <w:rsid w:val="00B84410"/>
    <w:rsid w:val="00B84449"/>
    <w:rsid w:val="00B857B8"/>
    <w:rsid w:val="00B85B75"/>
    <w:rsid w:val="00B85EA9"/>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694"/>
    <w:rsid w:val="00BA177E"/>
    <w:rsid w:val="00BA1A30"/>
    <w:rsid w:val="00BA1AF4"/>
    <w:rsid w:val="00BA4399"/>
    <w:rsid w:val="00BA48CF"/>
    <w:rsid w:val="00BA4F57"/>
    <w:rsid w:val="00BA5E45"/>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2E"/>
    <w:rsid w:val="00BC5394"/>
    <w:rsid w:val="00BC65D7"/>
    <w:rsid w:val="00BC6A31"/>
    <w:rsid w:val="00BC7382"/>
    <w:rsid w:val="00BD039A"/>
    <w:rsid w:val="00BD08ED"/>
    <w:rsid w:val="00BD0BEC"/>
    <w:rsid w:val="00BD0D85"/>
    <w:rsid w:val="00BD10D4"/>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E748F"/>
    <w:rsid w:val="00BF0888"/>
    <w:rsid w:val="00BF0CF8"/>
    <w:rsid w:val="00BF11F6"/>
    <w:rsid w:val="00BF1EC4"/>
    <w:rsid w:val="00BF3076"/>
    <w:rsid w:val="00BF3DDA"/>
    <w:rsid w:val="00BF4FEE"/>
    <w:rsid w:val="00BF685D"/>
    <w:rsid w:val="00BF6A24"/>
    <w:rsid w:val="00BF6D64"/>
    <w:rsid w:val="00BF6E49"/>
    <w:rsid w:val="00BF74F3"/>
    <w:rsid w:val="00C004F0"/>
    <w:rsid w:val="00C00CE2"/>
    <w:rsid w:val="00C010A7"/>
    <w:rsid w:val="00C015C9"/>
    <w:rsid w:val="00C015CC"/>
    <w:rsid w:val="00C019E1"/>
    <w:rsid w:val="00C0286B"/>
    <w:rsid w:val="00C03A2E"/>
    <w:rsid w:val="00C03AD3"/>
    <w:rsid w:val="00C03F87"/>
    <w:rsid w:val="00C04155"/>
    <w:rsid w:val="00C04C36"/>
    <w:rsid w:val="00C04EB8"/>
    <w:rsid w:val="00C05478"/>
    <w:rsid w:val="00C05AC4"/>
    <w:rsid w:val="00C05C4E"/>
    <w:rsid w:val="00C06496"/>
    <w:rsid w:val="00C064AC"/>
    <w:rsid w:val="00C0782D"/>
    <w:rsid w:val="00C10812"/>
    <w:rsid w:val="00C1111D"/>
    <w:rsid w:val="00C111A1"/>
    <w:rsid w:val="00C11988"/>
    <w:rsid w:val="00C11B70"/>
    <w:rsid w:val="00C11D6E"/>
    <w:rsid w:val="00C1233C"/>
    <w:rsid w:val="00C13751"/>
    <w:rsid w:val="00C139B2"/>
    <w:rsid w:val="00C14365"/>
    <w:rsid w:val="00C16B17"/>
    <w:rsid w:val="00C175EE"/>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50F1"/>
    <w:rsid w:val="00C45559"/>
    <w:rsid w:val="00C46086"/>
    <w:rsid w:val="00C46D3B"/>
    <w:rsid w:val="00C47107"/>
    <w:rsid w:val="00C47B1E"/>
    <w:rsid w:val="00C5097F"/>
    <w:rsid w:val="00C50CAA"/>
    <w:rsid w:val="00C515EF"/>
    <w:rsid w:val="00C516FB"/>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93D"/>
    <w:rsid w:val="00C67E42"/>
    <w:rsid w:val="00C70C2E"/>
    <w:rsid w:val="00C71B71"/>
    <w:rsid w:val="00C72408"/>
    <w:rsid w:val="00C737EF"/>
    <w:rsid w:val="00C73A10"/>
    <w:rsid w:val="00C750AD"/>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503"/>
    <w:rsid w:val="00CB7BD5"/>
    <w:rsid w:val="00CB7FE4"/>
    <w:rsid w:val="00CC0301"/>
    <w:rsid w:val="00CC059A"/>
    <w:rsid w:val="00CC0877"/>
    <w:rsid w:val="00CC0DE8"/>
    <w:rsid w:val="00CC176D"/>
    <w:rsid w:val="00CC3DCB"/>
    <w:rsid w:val="00CC4DD7"/>
    <w:rsid w:val="00CC5BCD"/>
    <w:rsid w:val="00CC6469"/>
    <w:rsid w:val="00CC70E3"/>
    <w:rsid w:val="00CC7D82"/>
    <w:rsid w:val="00CC7E49"/>
    <w:rsid w:val="00CD0332"/>
    <w:rsid w:val="00CD04BD"/>
    <w:rsid w:val="00CD132F"/>
    <w:rsid w:val="00CD1A38"/>
    <w:rsid w:val="00CD1BBA"/>
    <w:rsid w:val="00CD20FE"/>
    <w:rsid w:val="00CD3363"/>
    <w:rsid w:val="00CD3650"/>
    <w:rsid w:val="00CD4BFF"/>
    <w:rsid w:val="00CD5204"/>
    <w:rsid w:val="00CD59F9"/>
    <w:rsid w:val="00CD5A7A"/>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0774C"/>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443"/>
    <w:rsid w:val="00D35661"/>
    <w:rsid w:val="00D35DE8"/>
    <w:rsid w:val="00D35E19"/>
    <w:rsid w:val="00D35EBF"/>
    <w:rsid w:val="00D366F6"/>
    <w:rsid w:val="00D36F90"/>
    <w:rsid w:val="00D375E6"/>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0EFE"/>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C60"/>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671B"/>
    <w:rsid w:val="00D77268"/>
    <w:rsid w:val="00D8002E"/>
    <w:rsid w:val="00D808F6"/>
    <w:rsid w:val="00D8091A"/>
    <w:rsid w:val="00D81EBD"/>
    <w:rsid w:val="00D821B0"/>
    <w:rsid w:val="00D836D1"/>
    <w:rsid w:val="00D85347"/>
    <w:rsid w:val="00D8579B"/>
    <w:rsid w:val="00D868A2"/>
    <w:rsid w:val="00D868B9"/>
    <w:rsid w:val="00D869C8"/>
    <w:rsid w:val="00D92229"/>
    <w:rsid w:val="00D9223B"/>
    <w:rsid w:val="00D938DE"/>
    <w:rsid w:val="00D93AAB"/>
    <w:rsid w:val="00D94F34"/>
    <w:rsid w:val="00D950FC"/>
    <w:rsid w:val="00D955F1"/>
    <w:rsid w:val="00D9662E"/>
    <w:rsid w:val="00D9691B"/>
    <w:rsid w:val="00D9700F"/>
    <w:rsid w:val="00D97DC1"/>
    <w:rsid w:val="00DA1518"/>
    <w:rsid w:val="00DA1666"/>
    <w:rsid w:val="00DA18D6"/>
    <w:rsid w:val="00DA3181"/>
    <w:rsid w:val="00DA3356"/>
    <w:rsid w:val="00DA3A2B"/>
    <w:rsid w:val="00DA3F3D"/>
    <w:rsid w:val="00DA3FEE"/>
    <w:rsid w:val="00DA43A3"/>
    <w:rsid w:val="00DA5359"/>
    <w:rsid w:val="00DA58A3"/>
    <w:rsid w:val="00DA5BAB"/>
    <w:rsid w:val="00DA5DFE"/>
    <w:rsid w:val="00DA6980"/>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265"/>
    <w:rsid w:val="00DD7AFF"/>
    <w:rsid w:val="00DE0895"/>
    <w:rsid w:val="00DE2F70"/>
    <w:rsid w:val="00DE3397"/>
    <w:rsid w:val="00DE347D"/>
    <w:rsid w:val="00DE4794"/>
    <w:rsid w:val="00DE4FBA"/>
    <w:rsid w:val="00DE54E2"/>
    <w:rsid w:val="00DE5AB8"/>
    <w:rsid w:val="00DE6079"/>
    <w:rsid w:val="00DE64D4"/>
    <w:rsid w:val="00DE6752"/>
    <w:rsid w:val="00DE6AC6"/>
    <w:rsid w:val="00DE6E44"/>
    <w:rsid w:val="00DE73B2"/>
    <w:rsid w:val="00DE7F76"/>
    <w:rsid w:val="00DF07CD"/>
    <w:rsid w:val="00DF0ED3"/>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59B3"/>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472"/>
    <w:rsid w:val="00E17703"/>
    <w:rsid w:val="00E21907"/>
    <w:rsid w:val="00E23719"/>
    <w:rsid w:val="00E23B07"/>
    <w:rsid w:val="00E23EF3"/>
    <w:rsid w:val="00E24478"/>
    <w:rsid w:val="00E24A4A"/>
    <w:rsid w:val="00E24EEA"/>
    <w:rsid w:val="00E25413"/>
    <w:rsid w:val="00E25675"/>
    <w:rsid w:val="00E27BF1"/>
    <w:rsid w:val="00E30E14"/>
    <w:rsid w:val="00E30FB4"/>
    <w:rsid w:val="00E31159"/>
    <w:rsid w:val="00E314BD"/>
    <w:rsid w:val="00E317B1"/>
    <w:rsid w:val="00E3289E"/>
    <w:rsid w:val="00E339E7"/>
    <w:rsid w:val="00E33B1C"/>
    <w:rsid w:val="00E349E1"/>
    <w:rsid w:val="00E35019"/>
    <w:rsid w:val="00E356BE"/>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07D8"/>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38AE"/>
    <w:rsid w:val="00E7539E"/>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3F8E"/>
    <w:rsid w:val="00E95EF8"/>
    <w:rsid w:val="00E97510"/>
    <w:rsid w:val="00EA01B1"/>
    <w:rsid w:val="00EA0620"/>
    <w:rsid w:val="00EA0D1C"/>
    <w:rsid w:val="00EA1DA4"/>
    <w:rsid w:val="00EA1DBF"/>
    <w:rsid w:val="00EA24E9"/>
    <w:rsid w:val="00EA2957"/>
    <w:rsid w:val="00EA3382"/>
    <w:rsid w:val="00EA3393"/>
    <w:rsid w:val="00EA6BA6"/>
    <w:rsid w:val="00EA736F"/>
    <w:rsid w:val="00EA76E0"/>
    <w:rsid w:val="00EB00C0"/>
    <w:rsid w:val="00EB0296"/>
    <w:rsid w:val="00EB1C09"/>
    <w:rsid w:val="00EB24CA"/>
    <w:rsid w:val="00EB2F01"/>
    <w:rsid w:val="00EB44FE"/>
    <w:rsid w:val="00EB4845"/>
    <w:rsid w:val="00EB531E"/>
    <w:rsid w:val="00EB5BFE"/>
    <w:rsid w:val="00EB5C15"/>
    <w:rsid w:val="00EB607B"/>
    <w:rsid w:val="00EB6610"/>
    <w:rsid w:val="00EB6924"/>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233"/>
    <w:rsid w:val="00ED2745"/>
    <w:rsid w:val="00ED3822"/>
    <w:rsid w:val="00ED492A"/>
    <w:rsid w:val="00ED5697"/>
    <w:rsid w:val="00ED5F43"/>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0D7D"/>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42AF"/>
    <w:rsid w:val="00F2571B"/>
    <w:rsid w:val="00F27B00"/>
    <w:rsid w:val="00F308ED"/>
    <w:rsid w:val="00F30E71"/>
    <w:rsid w:val="00F31556"/>
    <w:rsid w:val="00F31BE9"/>
    <w:rsid w:val="00F3219A"/>
    <w:rsid w:val="00F34056"/>
    <w:rsid w:val="00F35403"/>
    <w:rsid w:val="00F36110"/>
    <w:rsid w:val="00F36512"/>
    <w:rsid w:val="00F377B8"/>
    <w:rsid w:val="00F40CBC"/>
    <w:rsid w:val="00F415E6"/>
    <w:rsid w:val="00F422A5"/>
    <w:rsid w:val="00F42853"/>
    <w:rsid w:val="00F42F14"/>
    <w:rsid w:val="00F4381E"/>
    <w:rsid w:val="00F44BC1"/>
    <w:rsid w:val="00F45D1F"/>
    <w:rsid w:val="00F51D99"/>
    <w:rsid w:val="00F51FE2"/>
    <w:rsid w:val="00F549E8"/>
    <w:rsid w:val="00F54BE2"/>
    <w:rsid w:val="00F55038"/>
    <w:rsid w:val="00F55144"/>
    <w:rsid w:val="00F55416"/>
    <w:rsid w:val="00F554E7"/>
    <w:rsid w:val="00F55D10"/>
    <w:rsid w:val="00F56665"/>
    <w:rsid w:val="00F56B40"/>
    <w:rsid w:val="00F57407"/>
    <w:rsid w:val="00F57DC8"/>
    <w:rsid w:val="00F60690"/>
    <w:rsid w:val="00F6136C"/>
    <w:rsid w:val="00F62024"/>
    <w:rsid w:val="00F6292F"/>
    <w:rsid w:val="00F638D7"/>
    <w:rsid w:val="00F64BA6"/>
    <w:rsid w:val="00F6510A"/>
    <w:rsid w:val="00F65307"/>
    <w:rsid w:val="00F65452"/>
    <w:rsid w:val="00F65D90"/>
    <w:rsid w:val="00F6620D"/>
    <w:rsid w:val="00F66953"/>
    <w:rsid w:val="00F66C10"/>
    <w:rsid w:val="00F67C87"/>
    <w:rsid w:val="00F7083C"/>
    <w:rsid w:val="00F718ED"/>
    <w:rsid w:val="00F71F1F"/>
    <w:rsid w:val="00F7327F"/>
    <w:rsid w:val="00F73861"/>
    <w:rsid w:val="00F73922"/>
    <w:rsid w:val="00F7424A"/>
    <w:rsid w:val="00F74D5C"/>
    <w:rsid w:val="00F750C3"/>
    <w:rsid w:val="00F7697A"/>
    <w:rsid w:val="00F811B3"/>
    <w:rsid w:val="00F81404"/>
    <w:rsid w:val="00F81D2E"/>
    <w:rsid w:val="00F82ADB"/>
    <w:rsid w:val="00F82E3E"/>
    <w:rsid w:val="00F83161"/>
    <w:rsid w:val="00F83474"/>
    <w:rsid w:val="00F849C5"/>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3CD6"/>
    <w:rsid w:val="00FA405D"/>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05FD"/>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4B42"/>
    <w:rsid w:val="00FF5571"/>
    <w:rsid w:val="00FF62B7"/>
    <w:rsid w:val="00FF6321"/>
    <w:rsid w:val="00FF71A0"/>
    <w:rsid w:val="0EFB4CCB"/>
    <w:rsid w:val="4883DEA7"/>
    <w:rsid w:val="48F3DA5F"/>
    <w:rsid w:val="51658813"/>
    <w:rsid w:val="5D3CBF28"/>
    <w:rsid w:val="5F3D1420"/>
    <w:rsid w:val="7991A6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8369"/>
    <o:shapelayout v:ext="edit">
      <o:idmap v:ext="edit" data="1"/>
    </o:shapelayout>
  </w:shapeDefaults>
  <w:decimalSymbol w:val="."/>
  <w:listSeparator w:val=","/>
  <w14:docId w14:val="28043C8B"/>
  <w15:chartTrackingRefBased/>
  <w15:docId w15:val="{0BAA02A6-750C-43B2-8FA1-944219C3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7C3C92"/>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7C3C92"/>
    <w:rPr>
      <w:rFonts w:ascii="Arial" w:hAnsi="Arial"/>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numbering" w:customStyle="1" w:styleId="D2Aformnumbering">
    <w:name w:val="D2A form numbering"/>
    <w:uiPriority w:val="99"/>
    <w:rsid w:val="00F554E7"/>
    <w:pPr>
      <w:numPr>
        <w:numId w:val="44"/>
      </w:numPr>
    </w:pPr>
  </w:style>
  <w:style w:type="numbering" w:customStyle="1" w:styleId="D2Aformnumbering1">
    <w:name w:val="D2A form numbering1"/>
    <w:uiPriority w:val="99"/>
    <w:rsid w:val="00A6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304242659">
      <w:bodyDiv w:val="1"/>
      <w:marLeft w:val="0"/>
      <w:marRight w:val="0"/>
      <w:marTop w:val="0"/>
      <w:marBottom w:val="0"/>
      <w:divBdr>
        <w:top w:val="none" w:sz="0" w:space="0" w:color="auto"/>
        <w:left w:val="none" w:sz="0" w:space="0" w:color="auto"/>
        <w:bottom w:val="none" w:sz="0" w:space="0" w:color="auto"/>
        <w:right w:val="none" w:sz="0" w:space="0" w:color="auto"/>
      </w:divBdr>
      <w:divsChild>
        <w:div w:id="2068913934">
          <w:marLeft w:val="0"/>
          <w:marRight w:val="0"/>
          <w:marTop w:val="0"/>
          <w:marBottom w:val="0"/>
          <w:divBdr>
            <w:top w:val="none" w:sz="0" w:space="0" w:color="auto"/>
            <w:left w:val="none" w:sz="0" w:space="0" w:color="auto"/>
            <w:bottom w:val="none" w:sz="0" w:space="0" w:color="auto"/>
            <w:right w:val="none" w:sz="0" w:space="0" w:color="auto"/>
          </w:divBdr>
        </w:div>
        <w:div w:id="1620644020">
          <w:marLeft w:val="0"/>
          <w:marRight w:val="0"/>
          <w:marTop w:val="0"/>
          <w:marBottom w:val="0"/>
          <w:divBdr>
            <w:top w:val="none" w:sz="0" w:space="0" w:color="auto"/>
            <w:left w:val="none" w:sz="0" w:space="0" w:color="auto"/>
            <w:bottom w:val="none" w:sz="0" w:space="0" w:color="auto"/>
            <w:right w:val="none" w:sz="0" w:space="0" w:color="auto"/>
          </w:divBdr>
        </w:div>
      </w:divsChild>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800679655">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Value>
    </TaxCatchAll>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38012-59C5-4105-A2DD-B3656130B86A}">
  <ds:schemaRefs>
    <ds:schemaRef ds:uri="http://schemas.microsoft.com/sharepoint/v3/contenttype/forms"/>
  </ds:schemaRefs>
</ds:datastoreItem>
</file>

<file path=customXml/itemProps2.xml><?xml version="1.0" encoding="utf-8"?>
<ds:datastoreItem xmlns:ds="http://schemas.openxmlformats.org/officeDocument/2006/customXml" ds:itemID="{734C7DFA-7734-4D71-8373-C518DAEFC247}"/>
</file>

<file path=customXml/itemProps3.xml><?xml version="1.0" encoding="utf-8"?>
<ds:datastoreItem xmlns:ds="http://schemas.openxmlformats.org/officeDocument/2006/customXml" ds:itemID="{F829AE66-73C4-4E7E-943B-9C0FB3227580}">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19950b9c-69ba-4c9a-93bc-55ff189ad0aa"/>
    <ds:schemaRef ds:uri="95c2d1d2-c827-46ba-beaf-02b545c4f6c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821105-5EA8-4FB1-A4DE-45CA8421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6378</Words>
  <Characters>31968</Characters>
  <Application>Microsoft Office Word</Application>
  <DocSecurity>0</DocSecurity>
  <Lines>1969</Lines>
  <Paragraphs>757</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APRA</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Tiffany Say</dc:creator>
  <cp:keywords>[SEC=OFFICIAL]</cp:keywords>
  <cp:lastModifiedBy>Toni Michalis</cp:lastModifiedBy>
  <cp:revision>3</cp:revision>
  <cp:lastPrinted>2025-03-06T06:38:00Z</cp:lastPrinted>
  <dcterms:created xsi:type="dcterms:W3CDTF">2025-03-06T09:41:00Z</dcterms:created>
  <dcterms:modified xsi:type="dcterms:W3CDTF">2025-03-06T09:41:00Z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_Qualifier">
    <vt:lpwstr/>
  </property>
  <property fmtid="{D5CDD505-2E9C-101B-9397-08002B2CF9AE}" pid="8" name="MSIP_Label_c0129afb-6481-4f92-bc9f-5a4a6346364d_Method">
    <vt:lpwstr>Privileged</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2024-10-17T01:49:33Z</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ContentBits">
    <vt:lpwstr>0</vt:lpwstr>
  </property>
  <property fmtid="{D5CDD505-2E9C-101B-9397-08002B2CF9AE}" pid="15" name="MSIP_Label_c0129afb-6481-4f92-bc9f-5a4a6346364d_Enabled">
    <vt:lpwstr>true</vt:lpwstr>
  </property>
  <property fmtid="{D5CDD505-2E9C-101B-9397-08002B2CF9AE}" pid="16" name="MSIP_Label_c0129afb-6481-4f92-bc9f-5a4a6346364d_SetDate">
    <vt:lpwstr>2024-10-17T01:49:33Z</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E1EBF43DF20F4E75990A67B5EF2B06D3</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ContentTypeId">
    <vt:lpwstr>0x01010080D163DB4DEE504FAB457909715FEC45</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Originator_Hash_SHA1">
    <vt:lpwstr>C3AD57350F36D8E1BD75F8F67CB06D435C9C43CA</vt:lpwstr>
  </property>
  <property fmtid="{D5CDD505-2E9C-101B-9397-08002B2CF9AE}" pid="32" name="PM_OriginatorUserAccountName_SHA256">
    <vt:lpwstr>6E3018F28A186D2E5FF5207C041E7A82E907C3008E071057026A53705873B72E</vt:lpwstr>
  </property>
  <property fmtid="{D5CDD505-2E9C-101B-9397-08002B2CF9AE}" pid="33" name="PMHMAC">
    <vt:lpwstr>v=2022.1;a=SHA256;h=5BFBA706003C2D1CD5D49CA857F4A6E8258FA043161AC17781C4230E080751DB</vt:lpwstr>
  </property>
  <property fmtid="{D5CDD505-2E9C-101B-9397-08002B2CF9AE}" pid="34" name="PM_Hash_Salt_Prev">
    <vt:lpwstr>ED30F2C755A6927AF46BE44087D16370</vt:lpwstr>
  </property>
  <property fmtid="{D5CDD505-2E9C-101B-9397-08002B2CF9AE}" pid="35" name="MSIP_Label_c0129afb-6481-4f92-bc9f-5a4a6346364d_ActionId">
    <vt:lpwstr>787c39000c7c460e8b99263c7dee778a</vt:lpwstr>
  </property>
  <property fmtid="{D5CDD505-2E9C-101B-9397-08002B2CF9AE}" pid="36" name="PM_Hash_Salt">
    <vt:lpwstr>AD783F31FD615DE631EFAAF9E829C72C</vt:lpwstr>
  </property>
  <property fmtid="{D5CDD505-2E9C-101B-9397-08002B2CF9AE}" pid="37" name="PM_Hash_SHA1">
    <vt:lpwstr>2BF7AAC020F3DCA5B67018DF3B3FD8296DEC7994</vt:lpwstr>
  </property>
  <property fmtid="{D5CDD505-2E9C-101B-9397-08002B2CF9AE}" pid="38" name="APRAStatus">
    <vt:lpwstr>1;#Draft|0e1556d2-3fe8-443a-ada7-3620563b46b3</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EntityAdviceSupport">
    <vt:lpwstr/>
  </property>
  <property fmtid="{D5CDD505-2E9C-101B-9397-08002B2CF9AE}" pid="43" name="APRAIndustry">
    <vt:lpwstr/>
  </property>
</Properties>
</file>