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FF984" w14:textId="77777777" w:rsidR="00310171" w:rsidRPr="00310171" w:rsidRDefault="00310171" w:rsidP="00310171">
      <w:pPr>
        <w:keepNext/>
        <w:spacing w:after="240" w:line="276" w:lineRule="auto"/>
        <w:jc w:val="center"/>
        <w:outlineLvl w:val="0"/>
        <w:rPr>
          <w:rFonts w:ascii="Times New Roman" w:eastAsia="Calibri" w:hAnsi="Times New Roman" w:cs="Arial"/>
          <w:b/>
          <w:caps/>
          <w:sz w:val="24"/>
          <w:u w:val="single"/>
          <w:lang w:eastAsia="en-AU"/>
        </w:rPr>
      </w:pPr>
      <w:bookmarkStart w:id="0" w:name="_Int_sWsn5F51"/>
      <w:r w:rsidRPr="00310171">
        <w:rPr>
          <w:rFonts w:ascii="Times New Roman" w:eastAsia="Calibri" w:hAnsi="Times New Roman" w:cs="Arial"/>
          <w:b/>
          <w:caps/>
          <w:sz w:val="24"/>
          <w:u w:val="single"/>
          <w:lang w:eastAsia="en-AU"/>
        </w:rPr>
        <w:t>EXPLANATORY STATEMENT</w:t>
      </w:r>
      <w:bookmarkEnd w:id="0"/>
    </w:p>
    <w:p w14:paraId="41D42421" w14:textId="77777777" w:rsidR="00310171" w:rsidRPr="00310171" w:rsidRDefault="00310171" w:rsidP="00310171">
      <w:pPr>
        <w:numPr>
          <w:ilvl w:val="1"/>
          <w:numId w:val="0"/>
        </w:numPr>
        <w:spacing w:after="240" w:line="240" w:lineRule="auto"/>
        <w:jc w:val="center"/>
        <w:rPr>
          <w:rFonts w:ascii="Times New Roman" w:eastAsia="Times New Roman" w:hAnsi="Times New Roman" w:cs="Times New Roman"/>
          <w:sz w:val="24"/>
          <w:szCs w:val="28"/>
          <w:u w:val="single"/>
          <w:lang w:eastAsia="en-AU"/>
        </w:rPr>
      </w:pPr>
      <w:r w:rsidRPr="00310171">
        <w:rPr>
          <w:rFonts w:ascii="Times New Roman" w:eastAsia="Times New Roman" w:hAnsi="Times New Roman" w:cs="Times New Roman"/>
          <w:sz w:val="24"/>
          <w:szCs w:val="28"/>
          <w:u w:val="single"/>
          <w:lang w:eastAsia="en-AU"/>
        </w:rPr>
        <w:t>Issued by authority of the Minister for Climate Change and Energy</w:t>
      </w:r>
    </w:p>
    <w:p w14:paraId="027AE467" w14:textId="77777777" w:rsidR="00310171" w:rsidRPr="00310171" w:rsidRDefault="00310171" w:rsidP="00310171">
      <w:pPr>
        <w:spacing w:after="240" w:line="240" w:lineRule="auto"/>
        <w:jc w:val="center"/>
        <w:outlineLvl w:val="2"/>
        <w:rPr>
          <w:rFonts w:ascii="Times New Roman" w:eastAsia="Times New Roman" w:hAnsi="Times New Roman" w:cs="Times New Roman"/>
          <w:i/>
          <w:sz w:val="24"/>
          <w:lang w:eastAsia="en-AU"/>
        </w:rPr>
      </w:pPr>
      <w:r w:rsidRPr="00310171">
        <w:rPr>
          <w:rFonts w:ascii="Times New Roman" w:eastAsia="Times New Roman" w:hAnsi="Times New Roman" w:cs="Times New Roman"/>
          <w:i/>
          <w:sz w:val="24"/>
          <w:lang w:eastAsia="en-AU"/>
        </w:rPr>
        <w:t>Australian Renewable Energy Agency Act 2011</w:t>
      </w:r>
    </w:p>
    <w:p w14:paraId="3F98F1CD" w14:textId="77777777" w:rsidR="00310171" w:rsidRPr="00310171" w:rsidRDefault="00310171" w:rsidP="00310171">
      <w:pPr>
        <w:spacing w:after="240" w:line="240" w:lineRule="auto"/>
        <w:jc w:val="center"/>
        <w:outlineLvl w:val="2"/>
        <w:rPr>
          <w:rFonts w:ascii="Times New Roman" w:eastAsia="Times New Roman" w:hAnsi="Times New Roman" w:cs="Times New Roman"/>
          <w:i/>
          <w:sz w:val="24"/>
          <w:lang w:eastAsia="en-AU"/>
        </w:rPr>
      </w:pPr>
      <w:r w:rsidRPr="00310171">
        <w:rPr>
          <w:rFonts w:ascii="Times New Roman" w:eastAsia="Times New Roman" w:hAnsi="Times New Roman" w:cs="Times New Roman"/>
          <w:i/>
          <w:sz w:val="24"/>
          <w:lang w:eastAsia="en-AU"/>
        </w:rPr>
        <w:t xml:space="preserve">Australian Renewable Energy Agency </w:t>
      </w:r>
      <w:r w:rsidRPr="00310171">
        <w:rPr>
          <w:rFonts w:ascii="Times New Roman" w:eastAsia="Calibri" w:hAnsi="Times New Roman" w:cs="Times New Roman"/>
          <w:i/>
          <w:sz w:val="24"/>
          <w:lang w:eastAsia="en-AU"/>
        </w:rPr>
        <w:t>Regulations 2025</w:t>
      </w:r>
    </w:p>
    <w:p w14:paraId="42EEB171" w14:textId="6D332715" w:rsidR="00310171" w:rsidRPr="00BC68DF" w:rsidRDefault="002573BE" w:rsidP="002573BE">
      <w:pPr>
        <w:tabs>
          <w:tab w:val="left" w:pos="1701"/>
          <w:tab w:val="right" w:pos="9072"/>
        </w:tabs>
        <w:spacing w:after="0" w:line="240" w:lineRule="auto"/>
        <w:rPr>
          <w:rFonts w:ascii="Times New Roman" w:hAnsi="Times New Roman" w:cs="Times New Roman"/>
          <w:b/>
          <w:sz w:val="24"/>
          <w:szCs w:val="24"/>
        </w:rPr>
      </w:pPr>
      <w:r w:rsidRPr="00E63411">
        <w:rPr>
          <w:rFonts w:ascii="Times New Roman" w:hAnsi="Times New Roman" w:cs="Times New Roman"/>
          <w:b/>
          <w:sz w:val="24"/>
          <w:szCs w:val="24"/>
        </w:rPr>
        <w:t>Authority</w:t>
      </w:r>
    </w:p>
    <w:p w14:paraId="54205D20" w14:textId="1DF25735" w:rsidR="0082531F" w:rsidRDefault="0059713A" w:rsidP="0059713A">
      <w:pPr>
        <w:tabs>
          <w:tab w:val="right" w:pos="9072"/>
        </w:tabs>
        <w:spacing w:after="0" w:line="240" w:lineRule="auto"/>
        <w:rPr>
          <w:rFonts w:ascii="Times New Roman" w:hAnsi="Times New Roman" w:cs="Times New Roman"/>
          <w:sz w:val="24"/>
          <w:szCs w:val="24"/>
        </w:rPr>
      </w:pPr>
      <w:r w:rsidRPr="0059713A">
        <w:rPr>
          <w:rFonts w:ascii="Times New Roman" w:hAnsi="Times New Roman" w:cs="Times New Roman"/>
          <w:sz w:val="24"/>
          <w:szCs w:val="24"/>
        </w:rPr>
        <w:t xml:space="preserve">The </w:t>
      </w:r>
      <w:r w:rsidRPr="00E91216">
        <w:rPr>
          <w:rFonts w:ascii="Times New Roman" w:hAnsi="Times New Roman" w:cs="Times New Roman"/>
          <w:i/>
          <w:iCs/>
          <w:sz w:val="24"/>
          <w:szCs w:val="24"/>
        </w:rPr>
        <w:t>Australian Renewable Energy Agency Act 2011</w:t>
      </w:r>
      <w:r w:rsidRPr="0059713A">
        <w:rPr>
          <w:rFonts w:ascii="Times New Roman" w:hAnsi="Times New Roman" w:cs="Times New Roman"/>
          <w:sz w:val="24"/>
          <w:szCs w:val="24"/>
        </w:rPr>
        <w:t xml:space="preserve"> (</w:t>
      </w:r>
      <w:r w:rsidR="00C91563">
        <w:rPr>
          <w:rFonts w:ascii="Times New Roman" w:hAnsi="Times New Roman" w:cs="Times New Roman"/>
          <w:sz w:val="24"/>
          <w:szCs w:val="24"/>
        </w:rPr>
        <w:t>the Act</w:t>
      </w:r>
      <w:r w:rsidRPr="0059713A">
        <w:rPr>
          <w:rFonts w:ascii="Times New Roman" w:hAnsi="Times New Roman" w:cs="Times New Roman"/>
          <w:sz w:val="24"/>
          <w:szCs w:val="24"/>
        </w:rPr>
        <w:t>) established the Australian Renewable Energy Agency</w:t>
      </w:r>
      <w:r w:rsidR="00903A47">
        <w:rPr>
          <w:rFonts w:ascii="Times New Roman" w:hAnsi="Times New Roman" w:cs="Times New Roman"/>
          <w:sz w:val="24"/>
          <w:szCs w:val="24"/>
        </w:rPr>
        <w:t xml:space="preserve"> (ARENA)</w:t>
      </w:r>
      <w:r w:rsidRPr="0059713A">
        <w:rPr>
          <w:rFonts w:ascii="Times New Roman" w:hAnsi="Times New Roman" w:cs="Times New Roman"/>
          <w:sz w:val="24"/>
          <w:szCs w:val="24"/>
        </w:rPr>
        <w:t xml:space="preserve"> as an independent statutory authority to, among other things, provide financial assistance for</w:t>
      </w:r>
      <w:r w:rsidR="0082531F">
        <w:rPr>
          <w:rFonts w:ascii="Times New Roman" w:hAnsi="Times New Roman" w:cs="Times New Roman"/>
          <w:sz w:val="24"/>
          <w:szCs w:val="24"/>
        </w:rPr>
        <w:t>:</w:t>
      </w:r>
    </w:p>
    <w:p w14:paraId="375CF0B9" w14:textId="7740A781" w:rsidR="006F3267" w:rsidRDefault="0059713A" w:rsidP="0082531F">
      <w:pPr>
        <w:pStyle w:val="ListParagraph"/>
        <w:numPr>
          <w:ilvl w:val="0"/>
          <w:numId w:val="27"/>
        </w:numPr>
        <w:tabs>
          <w:tab w:val="right" w:pos="9072"/>
        </w:tabs>
        <w:spacing w:after="0" w:line="240" w:lineRule="auto"/>
        <w:rPr>
          <w:rFonts w:ascii="Times New Roman" w:hAnsi="Times New Roman" w:cs="Times New Roman"/>
          <w:sz w:val="24"/>
          <w:szCs w:val="24"/>
        </w:rPr>
      </w:pPr>
      <w:r w:rsidRPr="00545A3C">
        <w:rPr>
          <w:rFonts w:ascii="Times New Roman" w:hAnsi="Times New Roman" w:cs="Times New Roman"/>
          <w:sz w:val="24"/>
          <w:szCs w:val="24"/>
        </w:rPr>
        <w:t>research into renewable energy, electrification and energy efficiency technologies.</w:t>
      </w:r>
    </w:p>
    <w:p w14:paraId="407D7781" w14:textId="77777777" w:rsidR="005E15B0" w:rsidRDefault="005E15B0" w:rsidP="005E15B0">
      <w:pPr>
        <w:pStyle w:val="ListParagraph"/>
        <w:numPr>
          <w:ilvl w:val="0"/>
          <w:numId w:val="27"/>
        </w:numPr>
        <w:spacing w:after="0" w:line="240" w:lineRule="auto"/>
        <w:ind w:right="91"/>
        <w:rPr>
          <w:rFonts w:ascii="Times New Roman" w:eastAsia="Times New Roman" w:hAnsi="Times New Roman" w:cs="Times New Roman"/>
          <w:sz w:val="24"/>
          <w:lang w:eastAsia="en-AU"/>
        </w:rPr>
      </w:pPr>
      <w:r w:rsidRPr="00221DD7">
        <w:rPr>
          <w:rFonts w:ascii="Times New Roman" w:eastAsia="Times New Roman" w:hAnsi="Times New Roman" w:cs="Times New Roman"/>
          <w:sz w:val="24"/>
          <w:lang w:eastAsia="en-AU"/>
        </w:rPr>
        <w:t>the development, manufacture, demonstration, commercialisation or deployment of renewable energy technologies, electrification technologies and energy efficiency technologies; or</w:t>
      </w:r>
    </w:p>
    <w:p w14:paraId="1E33E9C0" w14:textId="613B0309" w:rsidR="0059713A" w:rsidRPr="006E1E51" w:rsidRDefault="00AD3B0D" w:rsidP="006E1E51">
      <w:pPr>
        <w:pStyle w:val="ListParagraph"/>
        <w:numPr>
          <w:ilvl w:val="0"/>
          <w:numId w:val="27"/>
        </w:numPr>
        <w:spacing w:after="0" w:line="240" w:lineRule="auto"/>
        <w:ind w:right="91"/>
        <w:rPr>
          <w:rFonts w:ascii="Times New Roman" w:eastAsia="Times New Roman" w:hAnsi="Times New Roman" w:cs="Times New Roman"/>
          <w:sz w:val="24"/>
          <w:lang w:eastAsia="en-AU"/>
        </w:rPr>
      </w:pPr>
      <w:r w:rsidRPr="00221DD7">
        <w:rPr>
          <w:rFonts w:ascii="Times New Roman" w:eastAsia="Times New Roman" w:hAnsi="Times New Roman" w:cs="Times New Roman"/>
          <w:sz w:val="24"/>
          <w:lang w:eastAsia="en-AU"/>
        </w:rPr>
        <w:t>the storage and sharing of information and knowledge about renewable energy technologies, electrification technologies and energy efficiency technologies</w:t>
      </w:r>
      <w:r>
        <w:rPr>
          <w:rFonts w:ascii="Times New Roman" w:eastAsia="Times New Roman" w:hAnsi="Times New Roman" w:cs="Times New Roman"/>
          <w:sz w:val="24"/>
          <w:lang w:eastAsia="en-AU"/>
        </w:rPr>
        <w:t>.</w:t>
      </w:r>
      <w:r w:rsidR="0059713A" w:rsidRPr="00545A3C">
        <w:rPr>
          <w:rFonts w:ascii="Times New Roman" w:hAnsi="Times New Roman" w:cs="Times New Roman"/>
          <w:sz w:val="24"/>
          <w:szCs w:val="24"/>
        </w:rPr>
        <w:t xml:space="preserve"> </w:t>
      </w:r>
    </w:p>
    <w:p w14:paraId="489B359A" w14:textId="77777777" w:rsidR="0059713A" w:rsidRPr="0059713A" w:rsidRDefault="0059713A" w:rsidP="0059713A">
      <w:pPr>
        <w:tabs>
          <w:tab w:val="right" w:pos="9072"/>
        </w:tabs>
        <w:spacing w:after="0" w:line="240" w:lineRule="auto"/>
        <w:rPr>
          <w:rFonts w:ascii="Times New Roman" w:hAnsi="Times New Roman" w:cs="Times New Roman"/>
          <w:sz w:val="24"/>
          <w:szCs w:val="24"/>
        </w:rPr>
      </w:pPr>
    </w:p>
    <w:p w14:paraId="27D635F5" w14:textId="70699018" w:rsidR="002573BE" w:rsidRDefault="0059713A" w:rsidP="0059713A">
      <w:pPr>
        <w:tabs>
          <w:tab w:val="right" w:pos="9072"/>
        </w:tabs>
        <w:spacing w:after="0" w:line="240" w:lineRule="auto"/>
        <w:rPr>
          <w:rFonts w:ascii="Times New Roman" w:hAnsi="Times New Roman" w:cs="Times New Roman"/>
          <w:sz w:val="24"/>
          <w:szCs w:val="24"/>
        </w:rPr>
      </w:pPr>
      <w:r w:rsidRPr="0059713A">
        <w:rPr>
          <w:rFonts w:ascii="Times New Roman" w:hAnsi="Times New Roman" w:cs="Times New Roman"/>
          <w:sz w:val="24"/>
          <w:szCs w:val="24"/>
        </w:rPr>
        <w:t xml:space="preserve">Section 74 of </w:t>
      </w:r>
      <w:r w:rsidR="00C91563">
        <w:rPr>
          <w:rFonts w:ascii="Times New Roman" w:hAnsi="Times New Roman" w:cs="Times New Roman"/>
          <w:sz w:val="24"/>
          <w:szCs w:val="24"/>
        </w:rPr>
        <w:t>the Act</w:t>
      </w:r>
      <w:r w:rsidRPr="0059713A">
        <w:rPr>
          <w:rFonts w:ascii="Times New Roman" w:hAnsi="Times New Roman" w:cs="Times New Roman"/>
          <w:sz w:val="24"/>
          <w:szCs w:val="24"/>
        </w:rPr>
        <w:t xml:space="preserve"> provides that the Governor-General may make regulations prescribing matters required or permitted by the Act to be prescribed, or necessary or convenient to be prescribed for carrying out or giving effect to the Act.</w:t>
      </w:r>
    </w:p>
    <w:p w14:paraId="6FC431BE" w14:textId="77777777" w:rsidR="00B35757" w:rsidRDefault="00B35757" w:rsidP="002573BE">
      <w:pPr>
        <w:tabs>
          <w:tab w:val="right" w:pos="9072"/>
        </w:tabs>
        <w:spacing w:after="0" w:line="240" w:lineRule="auto"/>
        <w:rPr>
          <w:rFonts w:ascii="Times New Roman" w:hAnsi="Times New Roman" w:cs="Times New Roman"/>
          <w:sz w:val="24"/>
          <w:szCs w:val="24"/>
        </w:rPr>
      </w:pPr>
    </w:p>
    <w:p w14:paraId="48D57682" w14:textId="20D8567C" w:rsidR="00B35757" w:rsidRPr="00B35757" w:rsidRDefault="00B35757" w:rsidP="002573BE">
      <w:pPr>
        <w:tabs>
          <w:tab w:val="right" w:pos="9072"/>
        </w:tabs>
        <w:spacing w:after="0" w:line="240" w:lineRule="auto"/>
        <w:rPr>
          <w:rFonts w:ascii="Times New Roman" w:hAnsi="Times New Roman" w:cs="Times New Roman"/>
          <w:b/>
          <w:bCs/>
          <w:sz w:val="24"/>
          <w:szCs w:val="24"/>
        </w:rPr>
      </w:pPr>
      <w:r w:rsidRPr="00B35757">
        <w:rPr>
          <w:rFonts w:ascii="Times New Roman" w:hAnsi="Times New Roman" w:cs="Times New Roman"/>
          <w:b/>
          <w:bCs/>
          <w:sz w:val="24"/>
          <w:szCs w:val="24"/>
        </w:rPr>
        <w:t>Purpose</w:t>
      </w:r>
    </w:p>
    <w:p w14:paraId="5DFC6627" w14:textId="4674A31B" w:rsidR="00662277" w:rsidRPr="00662277" w:rsidRDefault="00662277" w:rsidP="00662277">
      <w:pPr>
        <w:tabs>
          <w:tab w:val="right" w:pos="9072"/>
        </w:tabs>
        <w:spacing w:after="0" w:line="240" w:lineRule="auto"/>
        <w:rPr>
          <w:rFonts w:ascii="Times New Roman" w:hAnsi="Times New Roman" w:cs="Times New Roman"/>
          <w:sz w:val="24"/>
          <w:szCs w:val="24"/>
        </w:rPr>
      </w:pPr>
      <w:r w:rsidRPr="00662277">
        <w:rPr>
          <w:rFonts w:ascii="Times New Roman" w:hAnsi="Times New Roman" w:cs="Times New Roman"/>
          <w:sz w:val="24"/>
          <w:szCs w:val="24"/>
        </w:rPr>
        <w:t>The Regulations</w:t>
      </w:r>
      <w:r>
        <w:rPr>
          <w:rFonts w:ascii="Times New Roman" w:hAnsi="Times New Roman" w:cs="Times New Roman"/>
          <w:sz w:val="24"/>
          <w:szCs w:val="24"/>
        </w:rPr>
        <w:t xml:space="preserve"> are</w:t>
      </w:r>
      <w:r w:rsidRPr="00662277">
        <w:rPr>
          <w:rFonts w:ascii="Times New Roman" w:hAnsi="Times New Roman" w:cs="Times New Roman"/>
          <w:sz w:val="24"/>
          <w:szCs w:val="24"/>
        </w:rPr>
        <w:t xml:space="preserve"> made under section 74 of the Act</w:t>
      </w:r>
      <w:r>
        <w:rPr>
          <w:rFonts w:ascii="Times New Roman" w:hAnsi="Times New Roman" w:cs="Times New Roman"/>
          <w:sz w:val="24"/>
          <w:szCs w:val="24"/>
        </w:rPr>
        <w:t xml:space="preserve"> and </w:t>
      </w:r>
      <w:r w:rsidRPr="00662277">
        <w:rPr>
          <w:rFonts w:ascii="Times New Roman" w:hAnsi="Times New Roman" w:cs="Times New Roman"/>
          <w:sz w:val="24"/>
          <w:szCs w:val="24"/>
        </w:rPr>
        <w:t xml:space="preserve">expand ARENA’s legislated functions for the purposes of paragraph 8(f) of the Act to enable it to work with the Clean Energy Finance Corporation (the CEFC) on the Clean Energy Innovation Fund. </w:t>
      </w:r>
    </w:p>
    <w:p w14:paraId="36E7DAAF" w14:textId="77777777" w:rsidR="00662277" w:rsidRPr="00662277" w:rsidRDefault="00662277" w:rsidP="00662277">
      <w:pPr>
        <w:tabs>
          <w:tab w:val="right" w:pos="9072"/>
        </w:tabs>
        <w:spacing w:after="0" w:line="240" w:lineRule="auto"/>
        <w:rPr>
          <w:rFonts w:ascii="Times New Roman" w:hAnsi="Times New Roman" w:cs="Times New Roman"/>
          <w:sz w:val="24"/>
          <w:szCs w:val="24"/>
        </w:rPr>
      </w:pPr>
    </w:p>
    <w:p w14:paraId="460BCE67" w14:textId="49F17866" w:rsidR="00B35757" w:rsidRDefault="00662277" w:rsidP="00662277">
      <w:pPr>
        <w:tabs>
          <w:tab w:val="right" w:pos="9072"/>
        </w:tabs>
        <w:spacing w:after="0" w:line="240" w:lineRule="auto"/>
        <w:rPr>
          <w:rFonts w:ascii="Times New Roman" w:hAnsi="Times New Roman" w:cs="Times New Roman"/>
          <w:sz w:val="24"/>
          <w:szCs w:val="24"/>
        </w:rPr>
      </w:pPr>
      <w:r w:rsidRPr="00662277">
        <w:rPr>
          <w:rFonts w:ascii="Times New Roman" w:hAnsi="Times New Roman" w:cs="Times New Roman"/>
          <w:sz w:val="24"/>
          <w:szCs w:val="24"/>
        </w:rPr>
        <w:t>Additionally, the Regulations prescribe (in accordance with section 64 of the Act) amounts up to which the Commonwealth will make payments to ARENA for each financial year. Funds prescribed for financial years 202</w:t>
      </w:r>
      <w:r w:rsidR="0033517D">
        <w:rPr>
          <w:rFonts w:ascii="Times New Roman" w:hAnsi="Times New Roman" w:cs="Times New Roman"/>
          <w:sz w:val="24"/>
          <w:szCs w:val="24"/>
        </w:rPr>
        <w:t>6</w:t>
      </w:r>
      <w:r w:rsidRPr="00662277">
        <w:rPr>
          <w:rFonts w:ascii="Times New Roman" w:hAnsi="Times New Roman" w:cs="Times New Roman"/>
          <w:sz w:val="24"/>
          <w:szCs w:val="24"/>
        </w:rPr>
        <w:t>-202</w:t>
      </w:r>
      <w:r w:rsidR="0033517D">
        <w:rPr>
          <w:rFonts w:ascii="Times New Roman" w:hAnsi="Times New Roman" w:cs="Times New Roman"/>
          <w:sz w:val="24"/>
          <w:szCs w:val="24"/>
        </w:rPr>
        <w:t>7</w:t>
      </w:r>
      <w:r w:rsidRPr="00662277">
        <w:rPr>
          <w:rFonts w:ascii="Times New Roman" w:hAnsi="Times New Roman" w:cs="Times New Roman"/>
          <w:sz w:val="24"/>
          <w:szCs w:val="24"/>
        </w:rPr>
        <w:t xml:space="preserve"> to 2036-2037 </w:t>
      </w:r>
      <w:r w:rsidR="009B3038">
        <w:rPr>
          <w:rFonts w:ascii="Times New Roman" w:hAnsi="Times New Roman" w:cs="Times New Roman"/>
          <w:sz w:val="24"/>
          <w:szCs w:val="24"/>
        </w:rPr>
        <w:t>are</w:t>
      </w:r>
      <w:r w:rsidRPr="00662277">
        <w:rPr>
          <w:rFonts w:ascii="Times New Roman" w:hAnsi="Times New Roman" w:cs="Times New Roman"/>
          <w:sz w:val="24"/>
          <w:szCs w:val="24"/>
        </w:rPr>
        <w:t xml:space="preserve"> amounts additional to those already prescribed in the Act; and funds for </w:t>
      </w:r>
      <w:r w:rsidR="001C5857">
        <w:rPr>
          <w:rFonts w:ascii="Times New Roman" w:hAnsi="Times New Roman" w:cs="Times New Roman"/>
          <w:sz w:val="24"/>
          <w:szCs w:val="24"/>
        </w:rPr>
        <w:t xml:space="preserve">the </w:t>
      </w:r>
      <w:r w:rsidRPr="00662277">
        <w:rPr>
          <w:rFonts w:ascii="Times New Roman" w:hAnsi="Times New Roman" w:cs="Times New Roman"/>
          <w:sz w:val="24"/>
          <w:szCs w:val="24"/>
        </w:rPr>
        <w:t xml:space="preserve">2037-2038 </w:t>
      </w:r>
      <w:r w:rsidR="001C5857" w:rsidRPr="00662277">
        <w:rPr>
          <w:rFonts w:ascii="Times New Roman" w:hAnsi="Times New Roman" w:cs="Times New Roman"/>
          <w:sz w:val="24"/>
          <w:szCs w:val="24"/>
        </w:rPr>
        <w:t>financial year</w:t>
      </w:r>
      <w:r w:rsidR="001C5857">
        <w:rPr>
          <w:rFonts w:ascii="Times New Roman" w:hAnsi="Times New Roman" w:cs="Times New Roman"/>
          <w:sz w:val="24"/>
          <w:szCs w:val="24"/>
        </w:rPr>
        <w:t xml:space="preserve"> is </w:t>
      </w:r>
      <w:r w:rsidRPr="00662277">
        <w:rPr>
          <w:rFonts w:ascii="Times New Roman" w:hAnsi="Times New Roman" w:cs="Times New Roman"/>
          <w:sz w:val="24"/>
          <w:szCs w:val="24"/>
        </w:rPr>
        <w:t>the full amount available to ARENA</w:t>
      </w:r>
      <w:r w:rsidR="009B3038">
        <w:rPr>
          <w:rFonts w:ascii="Times New Roman" w:hAnsi="Times New Roman" w:cs="Times New Roman"/>
          <w:sz w:val="24"/>
          <w:szCs w:val="24"/>
        </w:rPr>
        <w:t xml:space="preserve"> for th</w:t>
      </w:r>
      <w:r w:rsidR="001C5857">
        <w:rPr>
          <w:rFonts w:ascii="Times New Roman" w:hAnsi="Times New Roman" w:cs="Times New Roman"/>
          <w:sz w:val="24"/>
          <w:szCs w:val="24"/>
        </w:rPr>
        <w:t>at year</w:t>
      </w:r>
      <w:r w:rsidRPr="00662277">
        <w:rPr>
          <w:rFonts w:ascii="Times New Roman" w:hAnsi="Times New Roman" w:cs="Times New Roman"/>
          <w:sz w:val="24"/>
          <w:szCs w:val="24"/>
        </w:rPr>
        <w:t>.</w:t>
      </w:r>
    </w:p>
    <w:p w14:paraId="0FD2F58C" w14:textId="77777777" w:rsidR="00B35757" w:rsidRDefault="00B35757" w:rsidP="002573BE">
      <w:pPr>
        <w:tabs>
          <w:tab w:val="right" w:pos="9072"/>
        </w:tabs>
        <w:spacing w:after="0" w:line="240" w:lineRule="auto"/>
        <w:rPr>
          <w:rFonts w:ascii="Times New Roman" w:hAnsi="Times New Roman" w:cs="Times New Roman"/>
          <w:sz w:val="24"/>
          <w:szCs w:val="24"/>
        </w:rPr>
      </w:pPr>
    </w:p>
    <w:p w14:paraId="6F08ECC1" w14:textId="214460CE" w:rsidR="00B35757" w:rsidRPr="00B35757" w:rsidRDefault="00B35757" w:rsidP="002573BE">
      <w:pPr>
        <w:tabs>
          <w:tab w:val="right" w:pos="9072"/>
        </w:tabs>
        <w:spacing w:after="0" w:line="240" w:lineRule="auto"/>
        <w:rPr>
          <w:rFonts w:ascii="Times New Roman" w:hAnsi="Times New Roman" w:cs="Times New Roman"/>
          <w:b/>
          <w:bCs/>
          <w:sz w:val="24"/>
          <w:szCs w:val="24"/>
        </w:rPr>
      </w:pPr>
      <w:r w:rsidRPr="00B35757">
        <w:rPr>
          <w:rFonts w:ascii="Times New Roman" w:hAnsi="Times New Roman" w:cs="Times New Roman"/>
          <w:b/>
          <w:bCs/>
          <w:sz w:val="24"/>
          <w:szCs w:val="24"/>
        </w:rPr>
        <w:t xml:space="preserve">Context / </w:t>
      </w:r>
      <w:r w:rsidR="00424F35">
        <w:rPr>
          <w:rFonts w:ascii="Times New Roman" w:hAnsi="Times New Roman" w:cs="Times New Roman"/>
          <w:b/>
          <w:bCs/>
          <w:sz w:val="24"/>
          <w:szCs w:val="24"/>
        </w:rPr>
        <w:t>b</w:t>
      </w:r>
      <w:r w:rsidRPr="00B35757">
        <w:rPr>
          <w:rFonts w:ascii="Times New Roman" w:hAnsi="Times New Roman" w:cs="Times New Roman"/>
          <w:b/>
          <w:bCs/>
          <w:sz w:val="24"/>
          <w:szCs w:val="24"/>
        </w:rPr>
        <w:t xml:space="preserve">ackground </w:t>
      </w:r>
    </w:p>
    <w:p w14:paraId="24B143AE" w14:textId="7381EA69" w:rsidR="00715D48" w:rsidRDefault="003D7947" w:rsidP="003D7947">
      <w:pPr>
        <w:spacing w:after="0" w:line="240" w:lineRule="auto"/>
        <w:ind w:right="91"/>
        <w:rPr>
          <w:rFonts w:ascii="Times New Roman" w:eastAsia="Aptos" w:hAnsi="Times New Roman" w:cs="Times New Roman"/>
          <w:sz w:val="24"/>
          <w:szCs w:val="24"/>
        </w:rPr>
      </w:pPr>
      <w:r w:rsidRPr="003D7947">
        <w:rPr>
          <w:rFonts w:ascii="Times New Roman" w:eastAsia="Times New Roman" w:hAnsi="Times New Roman" w:cs="Times New Roman"/>
          <w:sz w:val="24"/>
          <w:lang w:eastAsia="en-AU"/>
        </w:rPr>
        <w:t>The Act</w:t>
      </w:r>
      <w:r w:rsidRPr="003D7947">
        <w:rPr>
          <w:rFonts w:ascii="Times New Roman" w:eastAsia="Aptos" w:hAnsi="Times New Roman" w:cs="Times New Roman"/>
          <w:sz w:val="24"/>
          <w:szCs w:val="24"/>
        </w:rPr>
        <w:t xml:space="preserve"> has </w:t>
      </w:r>
      <w:r w:rsidR="0027794D">
        <w:rPr>
          <w:rFonts w:ascii="Times New Roman" w:eastAsia="Aptos" w:hAnsi="Times New Roman" w:cs="Times New Roman"/>
          <w:sz w:val="24"/>
          <w:szCs w:val="24"/>
        </w:rPr>
        <w:t>four</w:t>
      </w:r>
      <w:r w:rsidRPr="003D7947">
        <w:rPr>
          <w:rFonts w:ascii="Times New Roman" w:eastAsia="Aptos" w:hAnsi="Times New Roman" w:cs="Times New Roman"/>
          <w:sz w:val="24"/>
          <w:szCs w:val="24"/>
        </w:rPr>
        <w:t xml:space="preserve"> objectives of</w:t>
      </w:r>
      <w:r w:rsidR="00715D48">
        <w:rPr>
          <w:rFonts w:ascii="Times New Roman" w:eastAsia="Aptos" w:hAnsi="Times New Roman" w:cs="Times New Roman"/>
          <w:sz w:val="24"/>
          <w:szCs w:val="24"/>
        </w:rPr>
        <w:t>:</w:t>
      </w:r>
    </w:p>
    <w:p w14:paraId="1FD3FA9F" w14:textId="41333073" w:rsidR="004A61CC" w:rsidRDefault="003D7947" w:rsidP="00501B5F">
      <w:pPr>
        <w:pStyle w:val="ListParagraph"/>
        <w:numPr>
          <w:ilvl w:val="0"/>
          <w:numId w:val="29"/>
        </w:numPr>
        <w:spacing w:after="0" w:line="240" w:lineRule="auto"/>
        <w:ind w:right="91"/>
        <w:rPr>
          <w:rFonts w:ascii="Times New Roman" w:eastAsia="Aptos" w:hAnsi="Times New Roman" w:cs="Times New Roman"/>
          <w:sz w:val="24"/>
          <w:szCs w:val="24"/>
        </w:rPr>
      </w:pPr>
      <w:r w:rsidRPr="00545A3C">
        <w:rPr>
          <w:rFonts w:ascii="Times New Roman" w:eastAsia="Aptos" w:hAnsi="Times New Roman" w:cs="Times New Roman"/>
          <w:sz w:val="24"/>
          <w:szCs w:val="24"/>
        </w:rPr>
        <w:t>improving the competitiveness of renewable energy technologies</w:t>
      </w:r>
      <w:r w:rsidR="004A61CC">
        <w:rPr>
          <w:rFonts w:ascii="Times New Roman" w:eastAsia="Aptos" w:hAnsi="Times New Roman" w:cs="Times New Roman"/>
          <w:sz w:val="24"/>
          <w:szCs w:val="24"/>
        </w:rPr>
        <w:t>;</w:t>
      </w:r>
      <w:r w:rsidRPr="00545A3C">
        <w:rPr>
          <w:rFonts w:ascii="Times New Roman" w:eastAsia="Aptos" w:hAnsi="Times New Roman" w:cs="Times New Roman"/>
          <w:sz w:val="24"/>
          <w:szCs w:val="24"/>
        </w:rPr>
        <w:t xml:space="preserve"> and </w:t>
      </w:r>
    </w:p>
    <w:p w14:paraId="707AAB2E" w14:textId="77777777" w:rsidR="004A61CC" w:rsidRDefault="003D7947" w:rsidP="00501B5F">
      <w:pPr>
        <w:pStyle w:val="ListParagraph"/>
        <w:numPr>
          <w:ilvl w:val="0"/>
          <w:numId w:val="29"/>
        </w:numPr>
        <w:spacing w:after="0" w:line="240" w:lineRule="auto"/>
        <w:ind w:right="91"/>
        <w:rPr>
          <w:rFonts w:ascii="Times New Roman" w:eastAsia="Aptos" w:hAnsi="Times New Roman" w:cs="Times New Roman"/>
          <w:sz w:val="24"/>
          <w:szCs w:val="24"/>
        </w:rPr>
      </w:pPr>
      <w:r w:rsidRPr="00545A3C">
        <w:rPr>
          <w:rFonts w:ascii="Times New Roman" w:eastAsia="Aptos" w:hAnsi="Times New Roman" w:cs="Times New Roman"/>
          <w:sz w:val="24"/>
          <w:szCs w:val="24"/>
        </w:rPr>
        <w:t>increasing the supply of renewable energy in Australia</w:t>
      </w:r>
      <w:r w:rsidR="004A61CC">
        <w:rPr>
          <w:rFonts w:ascii="Times New Roman" w:eastAsia="Aptos" w:hAnsi="Times New Roman" w:cs="Times New Roman"/>
          <w:sz w:val="24"/>
          <w:szCs w:val="24"/>
        </w:rPr>
        <w:t>; and</w:t>
      </w:r>
    </w:p>
    <w:p w14:paraId="44CDD694" w14:textId="77777777" w:rsidR="00842654" w:rsidRDefault="00842654" w:rsidP="00842654">
      <w:pPr>
        <w:pStyle w:val="ListParagraph"/>
        <w:numPr>
          <w:ilvl w:val="0"/>
          <w:numId w:val="29"/>
        </w:numPr>
        <w:spacing w:after="0" w:line="240" w:lineRule="auto"/>
        <w:ind w:right="91"/>
        <w:rPr>
          <w:rFonts w:ascii="Times New Roman" w:hAnsi="Times New Roman" w:cs="Times New Roman"/>
          <w:sz w:val="24"/>
          <w:szCs w:val="24"/>
        </w:rPr>
      </w:pPr>
      <w:r w:rsidRPr="0081787C">
        <w:rPr>
          <w:rFonts w:ascii="Times New Roman" w:hAnsi="Times New Roman" w:cs="Times New Roman"/>
          <w:sz w:val="24"/>
          <w:szCs w:val="24"/>
        </w:rPr>
        <w:t>facilitat</w:t>
      </w:r>
      <w:r>
        <w:rPr>
          <w:rFonts w:ascii="Times New Roman" w:hAnsi="Times New Roman" w:cs="Times New Roman"/>
          <w:sz w:val="24"/>
          <w:szCs w:val="24"/>
        </w:rPr>
        <w:t>ing</w:t>
      </w:r>
      <w:r w:rsidRPr="0081787C">
        <w:rPr>
          <w:rFonts w:ascii="Times New Roman" w:hAnsi="Times New Roman" w:cs="Times New Roman"/>
          <w:sz w:val="24"/>
          <w:szCs w:val="24"/>
        </w:rPr>
        <w:t xml:space="preserve"> the achievement of Australia’s greenhouse gas emissions reduction targets; and</w:t>
      </w:r>
    </w:p>
    <w:p w14:paraId="6B672797" w14:textId="437FD457" w:rsidR="0023757F" w:rsidRDefault="00842654" w:rsidP="00842654">
      <w:pPr>
        <w:pStyle w:val="ListParagraph"/>
        <w:numPr>
          <w:ilvl w:val="0"/>
          <w:numId w:val="29"/>
        </w:numPr>
        <w:spacing w:after="0" w:line="240" w:lineRule="auto"/>
        <w:ind w:right="91"/>
        <w:rPr>
          <w:rFonts w:ascii="Times New Roman" w:eastAsia="Aptos" w:hAnsi="Times New Roman" w:cs="Times New Roman"/>
          <w:sz w:val="24"/>
          <w:szCs w:val="24"/>
        </w:rPr>
      </w:pPr>
      <w:r w:rsidRPr="0081787C">
        <w:rPr>
          <w:rFonts w:ascii="Times New Roman" w:hAnsi="Times New Roman" w:cs="Times New Roman"/>
          <w:sz w:val="24"/>
          <w:szCs w:val="24"/>
        </w:rPr>
        <w:t>contribut</w:t>
      </w:r>
      <w:r>
        <w:rPr>
          <w:rFonts w:ascii="Times New Roman" w:hAnsi="Times New Roman" w:cs="Times New Roman"/>
          <w:sz w:val="24"/>
          <w:szCs w:val="24"/>
        </w:rPr>
        <w:t>ing</w:t>
      </w:r>
      <w:r w:rsidRPr="0081787C">
        <w:rPr>
          <w:rFonts w:ascii="Times New Roman" w:hAnsi="Times New Roman" w:cs="Times New Roman"/>
          <w:sz w:val="24"/>
          <w:szCs w:val="24"/>
        </w:rPr>
        <w:t xml:space="preserve"> to the reduction of global greenhouse gas emissions in accordance with the Paris Agreement</w:t>
      </w:r>
      <w:r w:rsidR="003D7947" w:rsidRPr="00096720">
        <w:rPr>
          <w:rFonts w:ascii="Times New Roman" w:eastAsia="Aptos" w:hAnsi="Times New Roman" w:cs="Times New Roman"/>
          <w:sz w:val="24"/>
          <w:szCs w:val="24"/>
        </w:rPr>
        <w:t>.</w:t>
      </w:r>
    </w:p>
    <w:p w14:paraId="2523C93C" w14:textId="77777777" w:rsidR="0023757F" w:rsidRDefault="0023757F" w:rsidP="0023757F">
      <w:pPr>
        <w:spacing w:after="0" w:line="240" w:lineRule="auto"/>
        <w:ind w:right="91"/>
        <w:rPr>
          <w:rFonts w:ascii="Times New Roman" w:eastAsia="Aptos" w:hAnsi="Times New Roman" w:cs="Times New Roman"/>
          <w:sz w:val="24"/>
          <w:szCs w:val="24"/>
        </w:rPr>
      </w:pPr>
    </w:p>
    <w:p w14:paraId="7B845FDD" w14:textId="6920A9ED" w:rsidR="003D7947" w:rsidRPr="00545A3C" w:rsidRDefault="003D7947" w:rsidP="003D7947">
      <w:pPr>
        <w:spacing w:after="0" w:line="240" w:lineRule="auto"/>
        <w:ind w:right="91"/>
        <w:rPr>
          <w:rFonts w:ascii="Times New Roman" w:eastAsia="Aptos" w:hAnsi="Times New Roman" w:cs="Times New Roman"/>
          <w:sz w:val="24"/>
          <w:szCs w:val="24"/>
        </w:rPr>
      </w:pPr>
      <w:r w:rsidRPr="00545A3C">
        <w:rPr>
          <w:rFonts w:ascii="Times New Roman" w:eastAsia="Aptos" w:hAnsi="Times New Roman" w:cs="Times New Roman"/>
          <w:sz w:val="24"/>
          <w:szCs w:val="24"/>
        </w:rPr>
        <w:t xml:space="preserve">The Act, which also provides for specific funding arrangements between the Commonwealth and ARENA, </w:t>
      </w:r>
      <w:r w:rsidRPr="00545A3C">
        <w:rPr>
          <w:rFonts w:ascii="Times New Roman" w:eastAsia="Times New Roman" w:hAnsi="Times New Roman" w:cs="Times New Roman"/>
          <w:sz w:val="24"/>
          <w:lang w:eastAsia="en-AU"/>
        </w:rPr>
        <w:t xml:space="preserve">was recently amended by the </w:t>
      </w:r>
      <w:r w:rsidRPr="00545A3C">
        <w:rPr>
          <w:rFonts w:ascii="Times New Roman" w:eastAsia="Aptos" w:hAnsi="Times New Roman" w:cs="Times New Roman"/>
          <w:i/>
          <w:sz w:val="24"/>
          <w:szCs w:val="24"/>
        </w:rPr>
        <w:t>Future Made in Australia (Omnibus Amendments No. 1) Act 2024</w:t>
      </w:r>
      <w:r w:rsidR="002561D0" w:rsidRPr="00545A3C">
        <w:rPr>
          <w:rFonts w:ascii="Times New Roman" w:eastAsia="Aptos" w:hAnsi="Times New Roman" w:cs="Times New Roman"/>
          <w:sz w:val="24"/>
          <w:szCs w:val="24"/>
        </w:rPr>
        <w:t xml:space="preserve"> (FMA Omnibus Act)</w:t>
      </w:r>
      <w:r w:rsidRPr="00545A3C">
        <w:rPr>
          <w:rFonts w:ascii="Times New Roman" w:eastAsia="Aptos" w:hAnsi="Times New Roman" w:cs="Times New Roman"/>
          <w:sz w:val="24"/>
          <w:szCs w:val="24"/>
        </w:rPr>
        <w:t xml:space="preserve">. Schedule 2 to the </w:t>
      </w:r>
      <w:r w:rsidR="00262784" w:rsidRPr="00545A3C">
        <w:rPr>
          <w:rFonts w:ascii="Times New Roman" w:eastAsia="Aptos" w:hAnsi="Times New Roman" w:cs="Times New Roman"/>
          <w:sz w:val="24"/>
          <w:szCs w:val="24"/>
        </w:rPr>
        <w:t>FMA Omnibus Act</w:t>
      </w:r>
      <w:r w:rsidRPr="00545A3C">
        <w:rPr>
          <w:rFonts w:ascii="Times New Roman" w:eastAsia="Aptos" w:hAnsi="Times New Roman" w:cs="Times New Roman"/>
          <w:sz w:val="24"/>
          <w:szCs w:val="24"/>
        </w:rPr>
        <w:t xml:space="preserve"> made certain amendments to the Act, which included repealing and substituting section 64. This enabled the Governor-General to make regulations that prescribe amounts that increase the maximum </w:t>
      </w:r>
      <w:proofErr w:type="gramStart"/>
      <w:r w:rsidRPr="00545A3C">
        <w:rPr>
          <w:rFonts w:ascii="Times New Roman" w:eastAsia="Aptos" w:hAnsi="Times New Roman" w:cs="Times New Roman"/>
          <w:sz w:val="24"/>
          <w:szCs w:val="24"/>
        </w:rPr>
        <w:t>amount</w:t>
      </w:r>
      <w:proofErr w:type="gramEnd"/>
      <w:r w:rsidRPr="00545A3C">
        <w:rPr>
          <w:rFonts w:ascii="Times New Roman" w:eastAsia="Aptos" w:hAnsi="Times New Roman" w:cs="Times New Roman"/>
          <w:sz w:val="24"/>
          <w:szCs w:val="24"/>
        </w:rPr>
        <w:t xml:space="preserve"> of payments the Commonwealth may provide to ARENA in a given financial year. </w:t>
      </w:r>
    </w:p>
    <w:p w14:paraId="35AB92D3" w14:textId="77777777" w:rsidR="00654140" w:rsidRPr="00654140" w:rsidRDefault="00654140" w:rsidP="00654140">
      <w:pPr>
        <w:spacing w:after="0" w:line="240" w:lineRule="auto"/>
        <w:ind w:right="91"/>
        <w:rPr>
          <w:rFonts w:ascii="Times New Roman" w:eastAsia="Aptos" w:hAnsi="Times New Roman" w:cs="Times New Roman"/>
          <w:sz w:val="24"/>
          <w:szCs w:val="24"/>
        </w:rPr>
      </w:pPr>
    </w:p>
    <w:p w14:paraId="7356EF06" w14:textId="77777777" w:rsidR="008F03BE" w:rsidRDefault="008F03BE" w:rsidP="00654140">
      <w:pPr>
        <w:spacing w:after="0" w:line="240" w:lineRule="auto"/>
        <w:ind w:right="91"/>
        <w:rPr>
          <w:rFonts w:ascii="Times New Roman" w:eastAsia="Times New Roman" w:hAnsi="Times New Roman" w:cs="Times New Roman"/>
          <w:sz w:val="24"/>
          <w:lang w:eastAsia="en-AU"/>
        </w:rPr>
      </w:pPr>
    </w:p>
    <w:p w14:paraId="1036CDCA" w14:textId="1015FCF4" w:rsidR="008F03BE" w:rsidRDefault="00AD50B8" w:rsidP="00654140">
      <w:pPr>
        <w:spacing w:after="0" w:line="240" w:lineRule="auto"/>
        <w:ind w:right="91"/>
        <w:rPr>
          <w:rFonts w:ascii="Times New Roman" w:eastAsia="Times New Roman" w:hAnsi="Times New Roman" w:cs="Times New Roman"/>
          <w:sz w:val="24"/>
          <w:lang w:eastAsia="en-AU"/>
        </w:rPr>
      </w:pPr>
      <w:r w:rsidRPr="00AD50B8">
        <w:rPr>
          <w:rFonts w:ascii="Times New Roman" w:eastAsia="Times New Roman" w:hAnsi="Times New Roman" w:cs="Times New Roman"/>
          <w:sz w:val="24"/>
          <w:lang w:eastAsia="en-AU"/>
        </w:rPr>
        <w:lastRenderedPageBreak/>
        <w:t>The objective of prescribing additional statutory funds to ARENA is to provide investment certainty for the Government’s commitments and deliver on the net zero transformation. It will also give increased certainty to industry and investors that ARENA is sufficiently funded over the coming years to deliver the Hydrogen Headstart program.</w:t>
      </w:r>
    </w:p>
    <w:p w14:paraId="4D10B9DF" w14:textId="77777777" w:rsidR="00AD50B8" w:rsidRDefault="00AD50B8" w:rsidP="00654140">
      <w:pPr>
        <w:spacing w:after="0" w:line="240" w:lineRule="auto"/>
        <w:ind w:right="91"/>
        <w:rPr>
          <w:rFonts w:ascii="Times New Roman" w:eastAsia="Times New Roman" w:hAnsi="Times New Roman" w:cs="Times New Roman"/>
          <w:sz w:val="24"/>
          <w:lang w:eastAsia="en-AU"/>
        </w:rPr>
      </w:pPr>
    </w:p>
    <w:p w14:paraId="36B9A69C" w14:textId="398DADB1" w:rsidR="00E02CB8" w:rsidRDefault="00E02CB8" w:rsidP="00654140">
      <w:pPr>
        <w:spacing w:after="0" w:line="240" w:lineRule="auto"/>
        <w:ind w:right="91"/>
        <w:rPr>
          <w:rFonts w:ascii="Times New Roman" w:eastAsia="Times New Roman" w:hAnsi="Times New Roman" w:cs="Times New Roman"/>
          <w:sz w:val="24"/>
          <w:lang w:eastAsia="en-AU"/>
        </w:rPr>
      </w:pPr>
      <w:r w:rsidRPr="00E02CB8">
        <w:rPr>
          <w:rFonts w:ascii="Times New Roman" w:eastAsia="Times New Roman" w:hAnsi="Times New Roman" w:cs="Times New Roman"/>
          <w:sz w:val="24"/>
          <w:lang w:eastAsia="en-AU"/>
        </w:rPr>
        <w:t>Section 64 of the Act provides that the Commonwealth will make payments to ARENA, up to the amount specified in the table, for each financial year specified. The money specified in the table in section 64 does not limit the total amount of money ARENA may be able to access in a financial year. Rather, under subsection 67(1), ‘ARENA’s money’ consists of both moneys paid to ARENA under section 65 of the Act (up to the limits prescribed for each financial year in section 64), and any other money received by ARENA. This could include money which is appropriated for ARENA in subsequent annual Federal Budget processes, and which is not included in the funding amounts prescribed in the table in section 64.</w:t>
      </w:r>
    </w:p>
    <w:p w14:paraId="35AA8421" w14:textId="77777777" w:rsidR="00E02CB8" w:rsidRDefault="00E02CB8" w:rsidP="00654140">
      <w:pPr>
        <w:spacing w:after="0" w:line="240" w:lineRule="auto"/>
        <w:ind w:right="91"/>
        <w:rPr>
          <w:rFonts w:ascii="Times New Roman" w:eastAsia="Times New Roman" w:hAnsi="Times New Roman" w:cs="Times New Roman"/>
          <w:sz w:val="24"/>
          <w:lang w:eastAsia="en-AU"/>
        </w:rPr>
      </w:pPr>
    </w:p>
    <w:p w14:paraId="122C742F" w14:textId="0FC09479" w:rsidR="00654140" w:rsidRPr="00654140" w:rsidRDefault="00654140" w:rsidP="00654140">
      <w:pPr>
        <w:spacing w:after="0" w:line="240" w:lineRule="auto"/>
        <w:ind w:right="91"/>
        <w:rPr>
          <w:rFonts w:ascii="Times New Roman" w:eastAsia="Times New Roman" w:hAnsi="Times New Roman" w:cs="Times New Roman"/>
          <w:sz w:val="24"/>
          <w:lang w:eastAsia="en-AU"/>
        </w:rPr>
      </w:pPr>
      <w:r w:rsidRPr="00654140">
        <w:rPr>
          <w:rFonts w:ascii="Times New Roman" w:eastAsia="Times New Roman" w:hAnsi="Times New Roman" w:cs="Times New Roman"/>
          <w:sz w:val="24"/>
          <w:lang w:eastAsia="en-AU"/>
        </w:rPr>
        <w:t xml:space="preserve">Subsection 64(1) </w:t>
      </w:r>
      <w:r w:rsidR="00581D61">
        <w:rPr>
          <w:rFonts w:ascii="Times New Roman" w:eastAsia="Times New Roman" w:hAnsi="Times New Roman" w:cs="Times New Roman"/>
          <w:sz w:val="24"/>
          <w:lang w:eastAsia="en-AU"/>
        </w:rPr>
        <w:t xml:space="preserve">of the Act </w:t>
      </w:r>
      <w:r w:rsidRPr="00654140">
        <w:rPr>
          <w:rFonts w:ascii="Times New Roman" w:eastAsia="Times New Roman" w:hAnsi="Times New Roman" w:cs="Times New Roman"/>
          <w:sz w:val="24"/>
          <w:lang w:eastAsia="en-AU"/>
        </w:rPr>
        <w:t>provides a table of maximum payments of the legislated funding that the Commonwealth can make to ARENA for the 2024-</w:t>
      </w:r>
      <w:r w:rsidR="008250E1">
        <w:rPr>
          <w:rFonts w:ascii="Times New Roman" w:eastAsia="Times New Roman" w:hAnsi="Times New Roman" w:cs="Times New Roman"/>
          <w:sz w:val="24"/>
          <w:lang w:eastAsia="en-AU"/>
        </w:rPr>
        <w:t>20</w:t>
      </w:r>
      <w:r w:rsidRPr="00654140">
        <w:rPr>
          <w:rFonts w:ascii="Times New Roman" w:eastAsia="Times New Roman" w:hAnsi="Times New Roman" w:cs="Times New Roman"/>
          <w:sz w:val="24"/>
          <w:lang w:eastAsia="en-AU"/>
        </w:rPr>
        <w:t>25 to 2038-</w:t>
      </w:r>
      <w:r w:rsidR="008250E1">
        <w:rPr>
          <w:rFonts w:ascii="Times New Roman" w:eastAsia="Times New Roman" w:hAnsi="Times New Roman" w:cs="Times New Roman"/>
          <w:sz w:val="24"/>
          <w:lang w:eastAsia="en-AU"/>
        </w:rPr>
        <w:t>20</w:t>
      </w:r>
      <w:r w:rsidRPr="00654140">
        <w:rPr>
          <w:rFonts w:ascii="Times New Roman" w:eastAsia="Times New Roman" w:hAnsi="Times New Roman" w:cs="Times New Roman"/>
          <w:sz w:val="24"/>
          <w:lang w:eastAsia="en-AU"/>
        </w:rPr>
        <w:t xml:space="preserve">39 financial years, apportioning different amounts for each financial year. Items 1, 14 and 15 of the table under subsection 64(1) provide for </w:t>
      </w:r>
      <w:r w:rsidR="00336141">
        <w:rPr>
          <w:rFonts w:ascii="Times New Roman" w:eastAsia="Times New Roman" w:hAnsi="Times New Roman" w:cs="Times New Roman"/>
          <w:sz w:val="24"/>
          <w:lang w:eastAsia="en-AU"/>
        </w:rPr>
        <w:t xml:space="preserve">a </w:t>
      </w:r>
      <w:r w:rsidRPr="00654140">
        <w:rPr>
          <w:rFonts w:ascii="Times New Roman" w:eastAsia="Times New Roman" w:hAnsi="Times New Roman" w:cs="Times New Roman"/>
          <w:sz w:val="24"/>
          <w:lang w:eastAsia="en-AU"/>
        </w:rPr>
        <w:t>regulation to prescribe an amount for the maximum payments of the legislated funding that the Commonwealth may make to ARENA for the 2024-</w:t>
      </w:r>
      <w:r w:rsidR="000336B0">
        <w:rPr>
          <w:rFonts w:ascii="Times New Roman" w:eastAsia="Times New Roman" w:hAnsi="Times New Roman" w:cs="Times New Roman"/>
          <w:sz w:val="24"/>
          <w:lang w:eastAsia="en-AU"/>
        </w:rPr>
        <w:t>20</w:t>
      </w:r>
      <w:r w:rsidRPr="00654140">
        <w:rPr>
          <w:rFonts w:ascii="Times New Roman" w:eastAsia="Times New Roman" w:hAnsi="Times New Roman" w:cs="Times New Roman"/>
          <w:sz w:val="24"/>
          <w:lang w:eastAsia="en-AU"/>
        </w:rPr>
        <w:t>25, 2037-</w:t>
      </w:r>
      <w:r w:rsidR="000336B0">
        <w:rPr>
          <w:rFonts w:ascii="Times New Roman" w:eastAsia="Times New Roman" w:hAnsi="Times New Roman" w:cs="Times New Roman"/>
          <w:sz w:val="24"/>
          <w:lang w:eastAsia="en-AU"/>
        </w:rPr>
        <w:t>20</w:t>
      </w:r>
      <w:r w:rsidRPr="00654140">
        <w:rPr>
          <w:rFonts w:ascii="Times New Roman" w:eastAsia="Times New Roman" w:hAnsi="Times New Roman" w:cs="Times New Roman"/>
          <w:sz w:val="24"/>
          <w:lang w:eastAsia="en-AU"/>
        </w:rPr>
        <w:t>38 and 2038-</w:t>
      </w:r>
      <w:r w:rsidR="000336B0">
        <w:rPr>
          <w:rFonts w:ascii="Times New Roman" w:eastAsia="Times New Roman" w:hAnsi="Times New Roman" w:cs="Times New Roman"/>
          <w:sz w:val="24"/>
          <w:lang w:eastAsia="en-AU"/>
        </w:rPr>
        <w:t>20</w:t>
      </w:r>
      <w:r w:rsidRPr="00654140">
        <w:rPr>
          <w:rFonts w:ascii="Times New Roman" w:eastAsia="Times New Roman" w:hAnsi="Times New Roman" w:cs="Times New Roman"/>
          <w:sz w:val="24"/>
          <w:lang w:eastAsia="en-AU"/>
        </w:rPr>
        <w:t>39 financial years.</w:t>
      </w:r>
    </w:p>
    <w:p w14:paraId="4E71E625" w14:textId="77777777" w:rsidR="00654140" w:rsidRPr="00654140" w:rsidRDefault="00654140" w:rsidP="00654140">
      <w:pPr>
        <w:spacing w:after="0" w:line="240" w:lineRule="auto"/>
        <w:ind w:right="91"/>
        <w:rPr>
          <w:rFonts w:ascii="Times New Roman" w:eastAsia="Times New Roman" w:hAnsi="Times New Roman" w:cs="Times New Roman"/>
          <w:sz w:val="24"/>
          <w:lang w:eastAsia="en-AU"/>
        </w:rPr>
      </w:pPr>
    </w:p>
    <w:p w14:paraId="029706B1" w14:textId="6EA45933" w:rsidR="00654140" w:rsidRPr="00654140" w:rsidRDefault="00654140" w:rsidP="00654140">
      <w:pPr>
        <w:spacing w:after="0" w:line="240" w:lineRule="auto"/>
        <w:ind w:right="91"/>
        <w:rPr>
          <w:rFonts w:ascii="Times New Roman" w:eastAsia="Times New Roman" w:hAnsi="Times New Roman" w:cs="Times New Roman"/>
          <w:sz w:val="24"/>
          <w:lang w:eastAsia="en-AU"/>
        </w:rPr>
      </w:pPr>
      <w:r w:rsidRPr="00654140">
        <w:rPr>
          <w:rFonts w:ascii="Times New Roman" w:eastAsia="Times New Roman" w:hAnsi="Times New Roman" w:cs="Times New Roman"/>
          <w:sz w:val="24"/>
          <w:lang w:eastAsia="en-AU"/>
        </w:rPr>
        <w:t>Subsection 64(2) of the Act provides the amount specified in the table in subsection 64(1) for each of the financial years (that is, financial years 2025-</w:t>
      </w:r>
      <w:r w:rsidR="000336B0">
        <w:rPr>
          <w:rFonts w:ascii="Times New Roman" w:eastAsia="Times New Roman" w:hAnsi="Times New Roman" w:cs="Times New Roman"/>
          <w:sz w:val="24"/>
          <w:lang w:eastAsia="en-AU"/>
        </w:rPr>
        <w:t>20</w:t>
      </w:r>
      <w:r w:rsidRPr="00654140">
        <w:rPr>
          <w:rFonts w:ascii="Times New Roman" w:eastAsia="Times New Roman" w:hAnsi="Times New Roman" w:cs="Times New Roman"/>
          <w:sz w:val="24"/>
          <w:lang w:eastAsia="en-AU"/>
        </w:rPr>
        <w:t>26 to 2036-</w:t>
      </w:r>
      <w:r w:rsidR="000336B0">
        <w:rPr>
          <w:rFonts w:ascii="Times New Roman" w:eastAsia="Times New Roman" w:hAnsi="Times New Roman" w:cs="Times New Roman"/>
          <w:sz w:val="24"/>
          <w:lang w:eastAsia="en-AU"/>
        </w:rPr>
        <w:t>20</w:t>
      </w:r>
      <w:r w:rsidRPr="00654140">
        <w:rPr>
          <w:rFonts w:ascii="Times New Roman" w:eastAsia="Times New Roman" w:hAnsi="Times New Roman" w:cs="Times New Roman"/>
          <w:sz w:val="24"/>
          <w:lang w:eastAsia="en-AU"/>
        </w:rPr>
        <w:t>37) may be increased by an additional amount prescribed for that year by a regulation made for those purposes.</w:t>
      </w:r>
    </w:p>
    <w:p w14:paraId="76E86154" w14:textId="77777777" w:rsidR="00654140" w:rsidRPr="00654140" w:rsidRDefault="00654140" w:rsidP="00654140">
      <w:pPr>
        <w:spacing w:after="0" w:line="240" w:lineRule="auto"/>
        <w:ind w:right="91"/>
        <w:rPr>
          <w:rFonts w:ascii="Times New Roman" w:eastAsia="Times New Roman" w:hAnsi="Times New Roman" w:cs="Times New Roman"/>
          <w:sz w:val="24"/>
          <w:lang w:eastAsia="en-AU"/>
        </w:rPr>
      </w:pPr>
    </w:p>
    <w:p w14:paraId="0BBD779B" w14:textId="2864E90B" w:rsidR="00654140" w:rsidRDefault="00654140" w:rsidP="00654140">
      <w:pPr>
        <w:tabs>
          <w:tab w:val="left" w:pos="6521"/>
        </w:tabs>
        <w:spacing w:after="0" w:line="240" w:lineRule="auto"/>
        <w:ind w:right="91"/>
        <w:rPr>
          <w:rFonts w:ascii="Times New Roman" w:eastAsia="Times New Roman" w:hAnsi="Times New Roman" w:cs="Times New Roman"/>
          <w:sz w:val="24"/>
          <w:lang w:eastAsia="en-AU"/>
        </w:rPr>
      </w:pPr>
      <w:r w:rsidRPr="00654140">
        <w:rPr>
          <w:rFonts w:ascii="Times New Roman" w:eastAsia="Times New Roman" w:hAnsi="Times New Roman" w:cs="Times New Roman"/>
          <w:sz w:val="24"/>
          <w:lang w:eastAsia="en-AU"/>
        </w:rPr>
        <w:t xml:space="preserve">Subsection 64(3) limits the amounts that may be prescribed by regulation to a total amount of $3,980,000,000. This cap on the ability to increase ARENA’s funding by regulation provides an important control, ensuring that </w:t>
      </w:r>
      <w:r w:rsidR="009D4674">
        <w:rPr>
          <w:rFonts w:ascii="Times New Roman" w:eastAsia="Times New Roman" w:hAnsi="Times New Roman" w:cs="Times New Roman"/>
          <w:sz w:val="24"/>
          <w:lang w:eastAsia="en-AU"/>
        </w:rPr>
        <w:t>a</w:t>
      </w:r>
      <w:r w:rsidRPr="00654140">
        <w:rPr>
          <w:rFonts w:ascii="Times New Roman" w:eastAsia="Times New Roman" w:hAnsi="Times New Roman" w:cs="Times New Roman"/>
          <w:sz w:val="24"/>
          <w:lang w:eastAsia="en-AU"/>
        </w:rPr>
        <w:t xml:space="preserve"> regulation cannot increase ARENA’s funding by an unlimited amount.</w:t>
      </w:r>
    </w:p>
    <w:p w14:paraId="08507BDF" w14:textId="77777777" w:rsidR="002A34D5" w:rsidRDefault="002A34D5" w:rsidP="00654140">
      <w:pPr>
        <w:tabs>
          <w:tab w:val="left" w:pos="6521"/>
        </w:tabs>
        <w:spacing w:after="0" w:line="240" w:lineRule="auto"/>
        <w:ind w:right="91"/>
        <w:rPr>
          <w:rFonts w:ascii="Times New Roman" w:eastAsia="Times New Roman" w:hAnsi="Times New Roman" w:cs="Times New Roman"/>
          <w:sz w:val="24"/>
          <w:lang w:eastAsia="en-AU"/>
        </w:rPr>
      </w:pPr>
    </w:p>
    <w:p w14:paraId="0A7F2425" w14:textId="0D586EAA" w:rsidR="002A34D5" w:rsidRDefault="0087446B" w:rsidP="00654140">
      <w:pPr>
        <w:tabs>
          <w:tab w:val="left" w:pos="6521"/>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Regulations prescribe: </w:t>
      </w:r>
    </w:p>
    <w:p w14:paraId="0A5D7AC8" w14:textId="7DC81CD9" w:rsidR="007D4B30" w:rsidRPr="00E63039" w:rsidRDefault="007D4B30" w:rsidP="00E63039">
      <w:pPr>
        <w:pStyle w:val="ListParagraph"/>
        <w:numPr>
          <w:ilvl w:val="0"/>
          <w:numId w:val="26"/>
        </w:numPr>
        <w:tabs>
          <w:tab w:val="left" w:pos="6521"/>
        </w:tabs>
        <w:spacing w:after="0" w:line="240"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f</w:t>
      </w:r>
      <w:r w:rsidR="0087446B">
        <w:rPr>
          <w:rFonts w:ascii="Times New Roman" w:eastAsia="Times New Roman" w:hAnsi="Times New Roman" w:cs="Times New Roman"/>
          <w:sz w:val="24"/>
          <w:lang w:eastAsia="en-AU"/>
        </w:rPr>
        <w:t xml:space="preserve">or the </w:t>
      </w:r>
      <w:r w:rsidRPr="007D4B30">
        <w:rPr>
          <w:rFonts w:ascii="Times New Roman" w:eastAsia="Times New Roman" w:hAnsi="Times New Roman" w:cs="Times New Roman"/>
          <w:sz w:val="24"/>
          <w:lang w:eastAsia="en-AU"/>
        </w:rPr>
        <w:t>purposes of subsection 64(1), the amount up to which the Commonwealth will make payments to ARENA for the 2037-</w:t>
      </w:r>
      <w:r>
        <w:rPr>
          <w:rFonts w:ascii="Times New Roman" w:eastAsia="Times New Roman" w:hAnsi="Times New Roman" w:cs="Times New Roman"/>
          <w:sz w:val="24"/>
          <w:lang w:eastAsia="en-AU"/>
        </w:rPr>
        <w:t>20</w:t>
      </w:r>
      <w:r w:rsidRPr="007D4B30">
        <w:rPr>
          <w:rFonts w:ascii="Times New Roman" w:eastAsia="Times New Roman" w:hAnsi="Times New Roman" w:cs="Times New Roman"/>
          <w:sz w:val="24"/>
          <w:lang w:eastAsia="en-AU"/>
        </w:rPr>
        <w:t xml:space="preserve">38 </w:t>
      </w:r>
      <w:r w:rsidR="00C74EDE">
        <w:rPr>
          <w:rFonts w:ascii="Times New Roman" w:eastAsia="Times New Roman" w:hAnsi="Times New Roman" w:cs="Times New Roman"/>
          <w:sz w:val="24"/>
          <w:lang w:eastAsia="en-AU"/>
        </w:rPr>
        <w:t>financial year is $50,000</w:t>
      </w:r>
      <w:r w:rsidR="00E63039">
        <w:rPr>
          <w:rFonts w:ascii="Times New Roman" w:eastAsia="Times New Roman" w:hAnsi="Times New Roman" w:cs="Times New Roman"/>
          <w:sz w:val="24"/>
          <w:lang w:eastAsia="en-AU"/>
        </w:rPr>
        <w:t>,000</w:t>
      </w:r>
    </w:p>
    <w:p w14:paraId="3F3BFCA2" w14:textId="3BDDA7B3" w:rsidR="007D4B30" w:rsidRPr="007D4B30" w:rsidRDefault="007D4B30" w:rsidP="007D4B30">
      <w:pPr>
        <w:pStyle w:val="ListParagraph"/>
        <w:numPr>
          <w:ilvl w:val="0"/>
          <w:numId w:val="26"/>
        </w:numPr>
        <w:tabs>
          <w:tab w:val="left" w:pos="6521"/>
        </w:tabs>
        <w:spacing w:after="0" w:line="240" w:lineRule="auto"/>
        <w:ind w:right="91"/>
        <w:rPr>
          <w:rFonts w:ascii="Times New Roman" w:eastAsia="Times New Roman" w:hAnsi="Times New Roman" w:cs="Times New Roman"/>
          <w:sz w:val="24"/>
          <w:lang w:eastAsia="en-AU"/>
        </w:rPr>
      </w:pPr>
      <w:r w:rsidRPr="007D4B30">
        <w:rPr>
          <w:rFonts w:ascii="Times New Roman" w:eastAsia="Times New Roman" w:hAnsi="Times New Roman" w:cs="Times New Roman"/>
          <w:sz w:val="24"/>
          <w:lang w:eastAsia="en-AU"/>
        </w:rPr>
        <w:t xml:space="preserve">for the purposes of subsection 64(2), the additional amount that increases the amount up to which the Commonwealth will make payments to ARENA for each financial year between </w:t>
      </w:r>
      <w:r w:rsidR="001D68C7" w:rsidRPr="001D68C7">
        <w:rPr>
          <w:rFonts w:ascii="Times New Roman" w:eastAsia="Times New Roman" w:hAnsi="Times New Roman" w:cs="Times New Roman"/>
          <w:sz w:val="24"/>
          <w:lang w:eastAsia="en-AU"/>
        </w:rPr>
        <w:t>2026-</w:t>
      </w:r>
      <w:r w:rsidRPr="007D4B30">
        <w:rPr>
          <w:rFonts w:ascii="Times New Roman" w:eastAsia="Times New Roman" w:hAnsi="Times New Roman" w:cs="Times New Roman"/>
          <w:sz w:val="24"/>
          <w:lang w:eastAsia="en-AU"/>
        </w:rPr>
        <w:t>202</w:t>
      </w:r>
      <w:r w:rsidR="008D6889">
        <w:rPr>
          <w:rFonts w:ascii="Times New Roman" w:eastAsia="Times New Roman" w:hAnsi="Times New Roman" w:cs="Times New Roman"/>
          <w:sz w:val="24"/>
          <w:lang w:eastAsia="en-AU"/>
        </w:rPr>
        <w:t>7</w:t>
      </w:r>
      <w:r w:rsidRPr="007D4B30">
        <w:rPr>
          <w:rFonts w:ascii="Times New Roman" w:eastAsia="Times New Roman" w:hAnsi="Times New Roman" w:cs="Times New Roman"/>
          <w:sz w:val="24"/>
          <w:lang w:eastAsia="en-AU"/>
        </w:rPr>
        <w:t xml:space="preserve"> to 2036-</w:t>
      </w:r>
      <w:r w:rsidR="002F4037">
        <w:rPr>
          <w:rFonts w:ascii="Times New Roman" w:eastAsia="Times New Roman" w:hAnsi="Times New Roman" w:cs="Times New Roman"/>
          <w:sz w:val="24"/>
          <w:lang w:eastAsia="en-AU"/>
        </w:rPr>
        <w:t>20</w:t>
      </w:r>
      <w:r w:rsidRPr="007D4B30">
        <w:rPr>
          <w:rFonts w:ascii="Times New Roman" w:eastAsia="Times New Roman" w:hAnsi="Times New Roman" w:cs="Times New Roman"/>
          <w:sz w:val="24"/>
          <w:lang w:eastAsia="en-AU"/>
        </w:rPr>
        <w:t>37</w:t>
      </w:r>
      <w:r w:rsidR="002F4037">
        <w:rPr>
          <w:rFonts w:ascii="Times New Roman" w:eastAsia="Times New Roman" w:hAnsi="Times New Roman" w:cs="Times New Roman"/>
          <w:sz w:val="24"/>
          <w:lang w:eastAsia="en-AU"/>
        </w:rPr>
        <w:t>, as set out in the table below.</w:t>
      </w:r>
    </w:p>
    <w:p w14:paraId="60C40157" w14:textId="7B57B29B" w:rsidR="0087446B" w:rsidRDefault="0087446B" w:rsidP="002F4037">
      <w:pPr>
        <w:tabs>
          <w:tab w:val="left" w:pos="6521"/>
        </w:tabs>
        <w:spacing w:after="0" w:line="240" w:lineRule="auto"/>
        <w:ind w:right="91"/>
        <w:rPr>
          <w:rFonts w:ascii="Times New Roman" w:eastAsia="Times New Roman" w:hAnsi="Times New Roman" w:cs="Times New Roman"/>
          <w:sz w:val="24"/>
          <w:lang w:eastAsia="en-AU"/>
        </w:rPr>
      </w:pPr>
    </w:p>
    <w:tbl>
      <w:tblPr>
        <w:tblW w:w="0" w:type="auto"/>
        <w:jc w:val="center"/>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1975"/>
        <w:gridCol w:w="5623"/>
      </w:tblGrid>
      <w:tr w:rsidR="00961815" w:rsidRPr="00961815" w14:paraId="1C95E789" w14:textId="77777777" w:rsidTr="00E33744">
        <w:trPr>
          <w:tblHeader/>
          <w:jc w:val="center"/>
        </w:trPr>
        <w:tc>
          <w:tcPr>
            <w:tcW w:w="1975" w:type="dxa"/>
            <w:tcBorders>
              <w:top w:val="single" w:sz="6" w:space="0" w:color="auto"/>
              <w:bottom w:val="single" w:sz="12" w:space="0" w:color="auto"/>
            </w:tcBorders>
            <w:shd w:val="clear" w:color="auto" w:fill="auto"/>
          </w:tcPr>
          <w:p w14:paraId="45A175FA" w14:textId="77777777" w:rsidR="00961815" w:rsidRPr="00961815" w:rsidRDefault="00961815" w:rsidP="00961815">
            <w:pPr>
              <w:spacing w:after="0" w:line="276" w:lineRule="auto"/>
              <w:ind w:right="91"/>
              <w:rPr>
                <w:rFonts w:ascii="Times New Roman" w:eastAsia="Times New Roman" w:hAnsi="Times New Roman" w:cs="Times New Roman"/>
                <w:b/>
                <w:lang w:eastAsia="en-AU"/>
              </w:rPr>
            </w:pPr>
            <w:r w:rsidRPr="00961815">
              <w:rPr>
                <w:rFonts w:ascii="Times New Roman" w:eastAsia="Times New Roman" w:hAnsi="Times New Roman" w:cs="Times New Roman"/>
                <w:b/>
                <w:lang w:eastAsia="en-AU"/>
              </w:rPr>
              <w:t>Financial Year</w:t>
            </w:r>
          </w:p>
        </w:tc>
        <w:tc>
          <w:tcPr>
            <w:tcW w:w="5623" w:type="dxa"/>
            <w:tcBorders>
              <w:top w:val="single" w:sz="6" w:space="0" w:color="auto"/>
              <w:bottom w:val="single" w:sz="12" w:space="0" w:color="auto"/>
            </w:tcBorders>
            <w:shd w:val="clear" w:color="auto" w:fill="auto"/>
          </w:tcPr>
          <w:p w14:paraId="5E37C538" w14:textId="77777777" w:rsidR="00961815" w:rsidRPr="00961815" w:rsidRDefault="00961815" w:rsidP="00961815">
            <w:pPr>
              <w:spacing w:after="0" w:line="276" w:lineRule="auto"/>
              <w:ind w:right="91"/>
              <w:rPr>
                <w:rFonts w:ascii="Times New Roman" w:eastAsia="Times New Roman" w:hAnsi="Times New Roman" w:cs="Times New Roman"/>
                <w:b/>
                <w:lang w:eastAsia="en-AU"/>
              </w:rPr>
            </w:pPr>
            <w:r w:rsidRPr="00961815">
              <w:rPr>
                <w:rFonts w:ascii="Times New Roman" w:eastAsia="Times New Roman" w:hAnsi="Times New Roman" w:cs="Times New Roman"/>
                <w:b/>
                <w:lang w:eastAsia="en-AU"/>
              </w:rPr>
              <w:t>Additional amounts</w:t>
            </w:r>
          </w:p>
        </w:tc>
      </w:tr>
      <w:tr w:rsidR="00961815" w:rsidRPr="00961815" w14:paraId="1695D16C" w14:textId="77777777" w:rsidTr="00E33744">
        <w:trPr>
          <w:jc w:val="center"/>
        </w:trPr>
        <w:tc>
          <w:tcPr>
            <w:tcW w:w="1975" w:type="dxa"/>
            <w:shd w:val="clear" w:color="auto" w:fill="auto"/>
          </w:tcPr>
          <w:p w14:paraId="3DE045B7"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Times New Roman" w:hAnsi="Times New Roman" w:cs="Times New Roman"/>
                <w:lang w:eastAsia="en-AU"/>
              </w:rPr>
              <w:t>2026-2027</w:t>
            </w:r>
          </w:p>
        </w:tc>
        <w:tc>
          <w:tcPr>
            <w:tcW w:w="5623" w:type="dxa"/>
            <w:shd w:val="clear" w:color="auto" w:fill="auto"/>
          </w:tcPr>
          <w:p w14:paraId="5FDF5A3D" w14:textId="77777777" w:rsidR="00961815" w:rsidRPr="00961815" w:rsidRDefault="00961815" w:rsidP="00961815">
            <w:pPr>
              <w:spacing w:after="0" w:line="276" w:lineRule="auto"/>
              <w:ind w:right="91"/>
              <w:rPr>
                <w:rFonts w:ascii="Times New Roman" w:eastAsia="Aptos" w:hAnsi="Times New Roman" w:cs="Times New Roman"/>
                <w:color w:val="262626"/>
              </w:rPr>
            </w:pPr>
            <w:r w:rsidRPr="00961815">
              <w:rPr>
                <w:rFonts w:ascii="Times New Roman" w:eastAsia="Aptos" w:hAnsi="Times New Roman" w:cs="Times New Roman"/>
                <w:color w:val="262626"/>
              </w:rPr>
              <w:t>$100,000,000</w:t>
            </w:r>
          </w:p>
        </w:tc>
      </w:tr>
      <w:tr w:rsidR="00961815" w:rsidRPr="00961815" w14:paraId="078D660A" w14:textId="77777777" w:rsidTr="00E33744">
        <w:trPr>
          <w:jc w:val="center"/>
        </w:trPr>
        <w:tc>
          <w:tcPr>
            <w:tcW w:w="1975" w:type="dxa"/>
            <w:shd w:val="clear" w:color="auto" w:fill="auto"/>
          </w:tcPr>
          <w:p w14:paraId="0C8FC7FF"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Times New Roman" w:hAnsi="Times New Roman" w:cs="Times New Roman"/>
                <w:lang w:eastAsia="en-AU"/>
              </w:rPr>
              <w:t>2027-2028</w:t>
            </w:r>
          </w:p>
        </w:tc>
        <w:tc>
          <w:tcPr>
            <w:tcW w:w="5623" w:type="dxa"/>
            <w:shd w:val="clear" w:color="auto" w:fill="auto"/>
          </w:tcPr>
          <w:p w14:paraId="02F8381D"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Aptos" w:hAnsi="Times New Roman" w:cs="Times New Roman"/>
                <w:color w:val="262626"/>
              </w:rPr>
              <w:t>$150,000,000</w:t>
            </w:r>
          </w:p>
        </w:tc>
      </w:tr>
      <w:tr w:rsidR="00961815" w:rsidRPr="00961815" w14:paraId="610A196B" w14:textId="77777777" w:rsidTr="00E33744">
        <w:trPr>
          <w:jc w:val="center"/>
        </w:trPr>
        <w:tc>
          <w:tcPr>
            <w:tcW w:w="1975" w:type="dxa"/>
            <w:shd w:val="clear" w:color="auto" w:fill="auto"/>
          </w:tcPr>
          <w:p w14:paraId="56903545"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Times New Roman" w:hAnsi="Times New Roman" w:cs="Times New Roman"/>
                <w:lang w:eastAsia="en-AU"/>
              </w:rPr>
              <w:t>2028-2029</w:t>
            </w:r>
          </w:p>
        </w:tc>
        <w:tc>
          <w:tcPr>
            <w:tcW w:w="5623" w:type="dxa"/>
            <w:shd w:val="clear" w:color="auto" w:fill="auto"/>
          </w:tcPr>
          <w:p w14:paraId="75588C45"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Aptos" w:hAnsi="Times New Roman" w:cs="Times New Roman"/>
                <w:color w:val="262626"/>
              </w:rPr>
              <w:t>$190,000,000</w:t>
            </w:r>
          </w:p>
        </w:tc>
      </w:tr>
      <w:tr w:rsidR="00961815" w:rsidRPr="00961815" w14:paraId="1C01E1C7" w14:textId="77777777" w:rsidTr="00E33744">
        <w:trPr>
          <w:jc w:val="center"/>
        </w:trPr>
        <w:tc>
          <w:tcPr>
            <w:tcW w:w="1975" w:type="dxa"/>
            <w:shd w:val="clear" w:color="auto" w:fill="auto"/>
          </w:tcPr>
          <w:p w14:paraId="5B7DFC81"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Times New Roman" w:hAnsi="Times New Roman" w:cs="Times New Roman"/>
                <w:lang w:eastAsia="en-AU"/>
              </w:rPr>
              <w:t>2029-2030</w:t>
            </w:r>
          </w:p>
        </w:tc>
        <w:tc>
          <w:tcPr>
            <w:tcW w:w="5623" w:type="dxa"/>
            <w:shd w:val="clear" w:color="auto" w:fill="auto"/>
          </w:tcPr>
          <w:p w14:paraId="0B4CCA84"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Aptos" w:hAnsi="Times New Roman" w:cs="Times New Roman"/>
                <w:color w:val="262626"/>
              </w:rPr>
              <w:t>$200,000,000</w:t>
            </w:r>
          </w:p>
        </w:tc>
      </w:tr>
      <w:tr w:rsidR="00961815" w:rsidRPr="00961815" w14:paraId="4028AA82" w14:textId="77777777" w:rsidTr="00E33744">
        <w:trPr>
          <w:jc w:val="center"/>
        </w:trPr>
        <w:tc>
          <w:tcPr>
            <w:tcW w:w="1975" w:type="dxa"/>
            <w:shd w:val="clear" w:color="auto" w:fill="auto"/>
          </w:tcPr>
          <w:p w14:paraId="0F3F4F23"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Times New Roman" w:hAnsi="Times New Roman" w:cs="Times New Roman"/>
                <w:lang w:eastAsia="en-AU"/>
              </w:rPr>
              <w:t>2030-2031</w:t>
            </w:r>
          </w:p>
        </w:tc>
        <w:tc>
          <w:tcPr>
            <w:tcW w:w="5623" w:type="dxa"/>
            <w:shd w:val="clear" w:color="auto" w:fill="auto"/>
          </w:tcPr>
          <w:p w14:paraId="0ACB9BE7"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Aptos" w:hAnsi="Times New Roman" w:cs="Times New Roman"/>
                <w:color w:val="262626"/>
              </w:rPr>
              <w:t>$200,000,000</w:t>
            </w:r>
          </w:p>
        </w:tc>
      </w:tr>
      <w:tr w:rsidR="00961815" w:rsidRPr="00961815" w14:paraId="00C490F3" w14:textId="77777777" w:rsidTr="00E33744">
        <w:trPr>
          <w:jc w:val="center"/>
        </w:trPr>
        <w:tc>
          <w:tcPr>
            <w:tcW w:w="1975" w:type="dxa"/>
            <w:shd w:val="clear" w:color="auto" w:fill="auto"/>
          </w:tcPr>
          <w:p w14:paraId="732222E7"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Times New Roman" w:hAnsi="Times New Roman" w:cs="Times New Roman"/>
                <w:lang w:eastAsia="en-AU"/>
              </w:rPr>
              <w:t>2031-2032</w:t>
            </w:r>
          </w:p>
        </w:tc>
        <w:tc>
          <w:tcPr>
            <w:tcW w:w="5623" w:type="dxa"/>
            <w:shd w:val="clear" w:color="auto" w:fill="auto"/>
          </w:tcPr>
          <w:p w14:paraId="7FA1E469"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Aptos" w:hAnsi="Times New Roman" w:cs="Times New Roman"/>
                <w:color w:val="262626"/>
              </w:rPr>
              <w:t>$200,000,000</w:t>
            </w:r>
          </w:p>
        </w:tc>
      </w:tr>
      <w:tr w:rsidR="00961815" w:rsidRPr="00961815" w14:paraId="18CD8C5B" w14:textId="77777777" w:rsidTr="00E33744">
        <w:trPr>
          <w:jc w:val="center"/>
        </w:trPr>
        <w:tc>
          <w:tcPr>
            <w:tcW w:w="1975" w:type="dxa"/>
            <w:shd w:val="clear" w:color="auto" w:fill="auto"/>
          </w:tcPr>
          <w:p w14:paraId="0FF9770C"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Times New Roman" w:hAnsi="Times New Roman" w:cs="Times New Roman"/>
                <w:lang w:eastAsia="en-AU"/>
              </w:rPr>
              <w:t>2032-2033</w:t>
            </w:r>
          </w:p>
        </w:tc>
        <w:tc>
          <w:tcPr>
            <w:tcW w:w="5623" w:type="dxa"/>
            <w:shd w:val="clear" w:color="auto" w:fill="auto"/>
          </w:tcPr>
          <w:p w14:paraId="7058C6BF"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Aptos" w:hAnsi="Times New Roman" w:cs="Times New Roman"/>
                <w:color w:val="262626"/>
              </w:rPr>
              <w:t>$200,000,000</w:t>
            </w:r>
          </w:p>
        </w:tc>
      </w:tr>
      <w:tr w:rsidR="00961815" w:rsidRPr="00961815" w14:paraId="5F426B0A" w14:textId="77777777" w:rsidTr="00E33744">
        <w:trPr>
          <w:jc w:val="center"/>
        </w:trPr>
        <w:tc>
          <w:tcPr>
            <w:tcW w:w="1975" w:type="dxa"/>
            <w:shd w:val="clear" w:color="auto" w:fill="auto"/>
          </w:tcPr>
          <w:p w14:paraId="208E3DC7"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Times New Roman" w:hAnsi="Times New Roman" w:cs="Times New Roman"/>
                <w:lang w:eastAsia="en-AU"/>
              </w:rPr>
              <w:t>2033-2034</w:t>
            </w:r>
          </w:p>
        </w:tc>
        <w:tc>
          <w:tcPr>
            <w:tcW w:w="5623" w:type="dxa"/>
            <w:shd w:val="clear" w:color="auto" w:fill="auto"/>
          </w:tcPr>
          <w:p w14:paraId="0BE4B00C"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Aptos" w:hAnsi="Times New Roman" w:cs="Times New Roman"/>
                <w:color w:val="262626"/>
              </w:rPr>
              <w:t>$200,000,000</w:t>
            </w:r>
          </w:p>
        </w:tc>
      </w:tr>
      <w:tr w:rsidR="00961815" w:rsidRPr="00961815" w14:paraId="7C268DCD" w14:textId="77777777" w:rsidTr="00E33744">
        <w:trPr>
          <w:jc w:val="center"/>
        </w:trPr>
        <w:tc>
          <w:tcPr>
            <w:tcW w:w="1975" w:type="dxa"/>
            <w:tcBorders>
              <w:bottom w:val="single" w:sz="2" w:space="0" w:color="auto"/>
            </w:tcBorders>
            <w:shd w:val="clear" w:color="auto" w:fill="auto"/>
          </w:tcPr>
          <w:p w14:paraId="12113EB2"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Times New Roman" w:hAnsi="Times New Roman" w:cs="Times New Roman"/>
                <w:lang w:eastAsia="en-AU"/>
              </w:rPr>
              <w:t>2034-2035</w:t>
            </w:r>
          </w:p>
        </w:tc>
        <w:tc>
          <w:tcPr>
            <w:tcW w:w="5623" w:type="dxa"/>
            <w:tcBorders>
              <w:bottom w:val="single" w:sz="2" w:space="0" w:color="auto"/>
            </w:tcBorders>
            <w:shd w:val="clear" w:color="auto" w:fill="auto"/>
          </w:tcPr>
          <w:p w14:paraId="3A9EE0E5"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Aptos" w:hAnsi="Times New Roman" w:cs="Times New Roman"/>
                <w:color w:val="262626"/>
              </w:rPr>
              <w:t>$200,000,000</w:t>
            </w:r>
          </w:p>
        </w:tc>
      </w:tr>
      <w:tr w:rsidR="00961815" w:rsidRPr="00961815" w14:paraId="512EAA34" w14:textId="77777777" w:rsidTr="00E33744">
        <w:trPr>
          <w:jc w:val="center"/>
        </w:trPr>
        <w:tc>
          <w:tcPr>
            <w:tcW w:w="1975" w:type="dxa"/>
            <w:tcBorders>
              <w:top w:val="single" w:sz="2" w:space="0" w:color="auto"/>
              <w:bottom w:val="single" w:sz="2" w:space="0" w:color="auto"/>
            </w:tcBorders>
            <w:shd w:val="clear" w:color="auto" w:fill="auto"/>
          </w:tcPr>
          <w:p w14:paraId="6E1ADECA"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Times New Roman" w:hAnsi="Times New Roman" w:cs="Times New Roman"/>
                <w:lang w:eastAsia="en-AU"/>
              </w:rPr>
              <w:t>2035-2036</w:t>
            </w:r>
          </w:p>
        </w:tc>
        <w:tc>
          <w:tcPr>
            <w:tcW w:w="5623" w:type="dxa"/>
            <w:tcBorders>
              <w:top w:val="single" w:sz="2" w:space="0" w:color="auto"/>
              <w:bottom w:val="single" w:sz="2" w:space="0" w:color="auto"/>
            </w:tcBorders>
            <w:shd w:val="clear" w:color="auto" w:fill="auto"/>
          </w:tcPr>
          <w:p w14:paraId="17E1EC30"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Aptos" w:hAnsi="Times New Roman" w:cs="Times New Roman"/>
                <w:color w:val="262626"/>
              </w:rPr>
              <w:t>$190,000,000</w:t>
            </w:r>
          </w:p>
        </w:tc>
      </w:tr>
      <w:tr w:rsidR="00961815" w:rsidRPr="00961815" w14:paraId="0BA20951" w14:textId="77777777" w:rsidTr="00E33744">
        <w:trPr>
          <w:jc w:val="center"/>
        </w:trPr>
        <w:tc>
          <w:tcPr>
            <w:tcW w:w="1975" w:type="dxa"/>
            <w:tcBorders>
              <w:top w:val="single" w:sz="2" w:space="0" w:color="auto"/>
              <w:bottom w:val="single" w:sz="12" w:space="0" w:color="auto"/>
            </w:tcBorders>
            <w:shd w:val="clear" w:color="auto" w:fill="auto"/>
          </w:tcPr>
          <w:p w14:paraId="064472A6"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Times New Roman" w:hAnsi="Times New Roman" w:cs="Times New Roman"/>
                <w:lang w:eastAsia="en-AU"/>
              </w:rPr>
              <w:lastRenderedPageBreak/>
              <w:t>2036-2037</w:t>
            </w:r>
          </w:p>
        </w:tc>
        <w:tc>
          <w:tcPr>
            <w:tcW w:w="5623" w:type="dxa"/>
            <w:tcBorders>
              <w:top w:val="single" w:sz="2" w:space="0" w:color="auto"/>
              <w:bottom w:val="single" w:sz="12" w:space="0" w:color="auto"/>
            </w:tcBorders>
            <w:shd w:val="clear" w:color="auto" w:fill="auto"/>
          </w:tcPr>
          <w:p w14:paraId="0AEEF10C" w14:textId="77777777" w:rsidR="00961815" w:rsidRPr="00961815" w:rsidRDefault="00961815" w:rsidP="00961815">
            <w:pPr>
              <w:spacing w:after="0" w:line="276" w:lineRule="auto"/>
              <w:ind w:right="91"/>
              <w:rPr>
                <w:rFonts w:ascii="Times New Roman" w:eastAsia="Times New Roman" w:hAnsi="Times New Roman" w:cs="Times New Roman"/>
                <w:lang w:eastAsia="en-AU"/>
              </w:rPr>
            </w:pPr>
            <w:r w:rsidRPr="00961815">
              <w:rPr>
                <w:rFonts w:ascii="Times New Roman" w:eastAsia="Aptos" w:hAnsi="Times New Roman" w:cs="Times New Roman"/>
                <w:color w:val="262626"/>
              </w:rPr>
              <w:t>$100,000,000</w:t>
            </w:r>
          </w:p>
        </w:tc>
      </w:tr>
    </w:tbl>
    <w:p w14:paraId="051E7A90" w14:textId="77777777" w:rsidR="005030AC" w:rsidRDefault="005030AC" w:rsidP="00654140">
      <w:pPr>
        <w:tabs>
          <w:tab w:val="left" w:pos="6521"/>
        </w:tabs>
        <w:spacing w:after="0" w:line="240" w:lineRule="auto"/>
        <w:ind w:right="91"/>
        <w:rPr>
          <w:rFonts w:ascii="Times New Roman" w:eastAsia="Times New Roman" w:hAnsi="Times New Roman" w:cs="Times New Roman"/>
          <w:sz w:val="24"/>
          <w:lang w:eastAsia="en-AU"/>
        </w:rPr>
      </w:pPr>
    </w:p>
    <w:p w14:paraId="3BC74AEB" w14:textId="1C38BA99" w:rsidR="00654140" w:rsidRDefault="00912647" w:rsidP="00654140">
      <w:pPr>
        <w:tabs>
          <w:tab w:val="left" w:pos="6521"/>
        </w:tabs>
        <w:spacing w:after="0" w:line="240" w:lineRule="auto"/>
        <w:ind w:right="91"/>
        <w:rPr>
          <w:rFonts w:ascii="Times New Roman" w:eastAsia="Times New Roman" w:hAnsi="Times New Roman" w:cs="Times New Roman"/>
          <w:sz w:val="24"/>
          <w:lang w:eastAsia="en-AU"/>
        </w:rPr>
      </w:pPr>
      <w:r w:rsidRPr="00912647">
        <w:rPr>
          <w:rFonts w:ascii="Times New Roman" w:eastAsia="Times New Roman" w:hAnsi="Times New Roman" w:cs="Times New Roman"/>
          <w:sz w:val="24"/>
          <w:lang w:eastAsia="en-AU"/>
        </w:rPr>
        <w:t xml:space="preserve">The Department of Climate Change, Energy, the Environment and Water (DCCEEW) consulted with internal portfolio areas and externally with the Department of Finance and the Office of Impact Analysis (OIA25-08903), who advised an impact analysis </w:t>
      </w:r>
      <w:r w:rsidR="00651BBC">
        <w:rPr>
          <w:rFonts w:ascii="Times New Roman" w:eastAsia="Times New Roman" w:hAnsi="Times New Roman" w:cs="Times New Roman"/>
          <w:sz w:val="24"/>
          <w:lang w:eastAsia="en-AU"/>
        </w:rPr>
        <w:t>was</w:t>
      </w:r>
      <w:r w:rsidRPr="00912647">
        <w:rPr>
          <w:rFonts w:ascii="Times New Roman" w:eastAsia="Times New Roman" w:hAnsi="Times New Roman" w:cs="Times New Roman"/>
          <w:sz w:val="24"/>
          <w:lang w:eastAsia="en-AU"/>
        </w:rPr>
        <w:t xml:space="preserve"> not required for the Regulations.</w:t>
      </w:r>
      <w:r w:rsidR="00DA0523">
        <w:rPr>
          <w:rFonts w:ascii="Times New Roman" w:eastAsia="Times New Roman" w:hAnsi="Times New Roman" w:cs="Times New Roman"/>
          <w:sz w:val="24"/>
          <w:lang w:eastAsia="en-AU"/>
        </w:rPr>
        <w:t xml:space="preserve"> The Government also consulted with peak industry groups on the regulations. </w:t>
      </w:r>
    </w:p>
    <w:p w14:paraId="31AAAFA9" w14:textId="77777777" w:rsidR="00912647" w:rsidRPr="00654140" w:rsidRDefault="00912647" w:rsidP="00654140">
      <w:pPr>
        <w:tabs>
          <w:tab w:val="left" w:pos="6521"/>
        </w:tabs>
        <w:spacing w:after="0" w:line="240" w:lineRule="auto"/>
        <w:ind w:right="91"/>
        <w:rPr>
          <w:rFonts w:ascii="Times New Roman" w:eastAsia="Times New Roman" w:hAnsi="Times New Roman" w:cs="Times New Roman"/>
          <w:sz w:val="24"/>
          <w:lang w:eastAsia="en-AU"/>
        </w:rPr>
      </w:pPr>
    </w:p>
    <w:p w14:paraId="6791EB6A" w14:textId="396DDA62" w:rsidR="00654140" w:rsidRPr="00654140" w:rsidRDefault="00654140" w:rsidP="00654140">
      <w:pPr>
        <w:tabs>
          <w:tab w:val="left" w:pos="6521"/>
        </w:tabs>
        <w:spacing w:after="0" w:line="240" w:lineRule="auto"/>
        <w:ind w:right="91"/>
        <w:rPr>
          <w:rFonts w:ascii="Times New Roman" w:eastAsia="Times New Roman" w:hAnsi="Times New Roman" w:cs="Times New Roman"/>
          <w:sz w:val="24"/>
          <w:lang w:eastAsia="en-AU"/>
        </w:rPr>
      </w:pPr>
      <w:r w:rsidRPr="00654140">
        <w:rPr>
          <w:rFonts w:ascii="Times New Roman" w:eastAsia="Times New Roman" w:hAnsi="Times New Roman" w:cs="Times New Roman"/>
          <w:sz w:val="24"/>
          <w:lang w:eastAsia="en-AU"/>
        </w:rPr>
        <w:t xml:space="preserve">The Regulations </w:t>
      </w:r>
      <w:r w:rsidR="001C5F75">
        <w:rPr>
          <w:rFonts w:ascii="Times New Roman" w:eastAsia="Times New Roman" w:hAnsi="Times New Roman" w:cs="Times New Roman"/>
          <w:sz w:val="24"/>
          <w:lang w:eastAsia="en-AU"/>
        </w:rPr>
        <w:t>are</w:t>
      </w:r>
      <w:r w:rsidRPr="00654140">
        <w:rPr>
          <w:rFonts w:ascii="Times New Roman" w:eastAsia="Times New Roman" w:hAnsi="Times New Roman" w:cs="Times New Roman"/>
          <w:sz w:val="24"/>
          <w:lang w:eastAsia="en-AU"/>
        </w:rPr>
        <w:t xml:space="preserve"> a legislative instrument for the purposes of the </w:t>
      </w:r>
      <w:r w:rsidRPr="00654140">
        <w:rPr>
          <w:rFonts w:ascii="Times New Roman" w:eastAsia="Times New Roman" w:hAnsi="Times New Roman" w:cs="Times New Roman"/>
          <w:i/>
          <w:sz w:val="24"/>
          <w:lang w:eastAsia="en-AU"/>
        </w:rPr>
        <w:t>Legislation Act 2003</w:t>
      </w:r>
      <w:r w:rsidRPr="00654140">
        <w:rPr>
          <w:rFonts w:ascii="Times New Roman" w:eastAsia="Times New Roman" w:hAnsi="Times New Roman" w:cs="Times New Roman"/>
          <w:sz w:val="24"/>
          <w:lang w:eastAsia="en-AU"/>
        </w:rPr>
        <w:t>.</w:t>
      </w:r>
    </w:p>
    <w:p w14:paraId="64013DBD" w14:textId="77777777" w:rsidR="00654140" w:rsidRPr="00654140" w:rsidRDefault="00654140" w:rsidP="00654140">
      <w:pPr>
        <w:tabs>
          <w:tab w:val="left" w:pos="6521"/>
        </w:tabs>
        <w:spacing w:after="0" w:line="240" w:lineRule="auto"/>
        <w:ind w:right="91"/>
        <w:rPr>
          <w:rFonts w:ascii="Times New Roman" w:eastAsia="Times New Roman" w:hAnsi="Times New Roman" w:cs="Times New Roman"/>
          <w:sz w:val="24"/>
          <w:lang w:eastAsia="en-AU"/>
        </w:rPr>
      </w:pPr>
    </w:p>
    <w:p w14:paraId="1EAA5BA5" w14:textId="37D80132" w:rsidR="00654140" w:rsidRPr="00654140" w:rsidRDefault="00654140" w:rsidP="00654140">
      <w:pPr>
        <w:tabs>
          <w:tab w:val="left" w:pos="6521"/>
        </w:tabs>
        <w:spacing w:after="0" w:line="240" w:lineRule="auto"/>
        <w:ind w:right="91"/>
        <w:rPr>
          <w:rFonts w:ascii="Times New Roman" w:eastAsia="Times New Roman" w:hAnsi="Times New Roman" w:cs="Times New Roman"/>
          <w:sz w:val="24"/>
          <w:lang w:eastAsia="en-AU"/>
        </w:rPr>
      </w:pPr>
      <w:r w:rsidRPr="00654140">
        <w:rPr>
          <w:rFonts w:ascii="Times New Roman" w:eastAsia="Times New Roman" w:hAnsi="Times New Roman" w:cs="Times New Roman"/>
          <w:sz w:val="24"/>
          <w:lang w:eastAsia="en-AU"/>
        </w:rPr>
        <w:t xml:space="preserve">The Regulations commence </w:t>
      </w:r>
      <w:r w:rsidR="00ED5347" w:rsidRPr="00ED5347">
        <w:rPr>
          <w:rFonts w:ascii="Times New Roman" w:eastAsia="Times New Roman" w:hAnsi="Times New Roman" w:cs="Times New Roman"/>
          <w:sz w:val="24"/>
          <w:lang w:eastAsia="en-AU"/>
        </w:rPr>
        <w:t>on the day after the instrument is registered</w:t>
      </w:r>
      <w:r w:rsidRPr="00654140">
        <w:rPr>
          <w:rFonts w:ascii="Times New Roman" w:eastAsia="Times New Roman" w:hAnsi="Times New Roman" w:cs="Times New Roman"/>
          <w:sz w:val="24"/>
          <w:lang w:eastAsia="en-AU"/>
        </w:rPr>
        <w:t>.</w:t>
      </w:r>
    </w:p>
    <w:p w14:paraId="088A9692" w14:textId="77777777" w:rsidR="00654140" w:rsidRPr="00654140" w:rsidRDefault="00654140" w:rsidP="00654140">
      <w:pPr>
        <w:tabs>
          <w:tab w:val="left" w:pos="6521"/>
        </w:tabs>
        <w:spacing w:after="0" w:line="240" w:lineRule="auto"/>
        <w:ind w:right="91"/>
        <w:rPr>
          <w:rFonts w:ascii="Times New Roman" w:eastAsia="Times New Roman" w:hAnsi="Times New Roman" w:cs="Times New Roman"/>
          <w:sz w:val="24"/>
          <w:lang w:eastAsia="en-AU"/>
        </w:rPr>
      </w:pPr>
    </w:p>
    <w:p w14:paraId="47BF1968" w14:textId="77777777" w:rsidR="00654140" w:rsidRPr="00654140" w:rsidRDefault="00654140" w:rsidP="00654140">
      <w:pPr>
        <w:tabs>
          <w:tab w:val="left" w:pos="6521"/>
        </w:tabs>
        <w:spacing w:after="0" w:line="240" w:lineRule="auto"/>
        <w:ind w:right="91"/>
        <w:rPr>
          <w:rFonts w:ascii="Times New Roman" w:eastAsia="Times New Roman" w:hAnsi="Times New Roman" w:cs="Times New Roman"/>
          <w:sz w:val="24"/>
          <w:lang w:eastAsia="en-AU"/>
        </w:rPr>
      </w:pPr>
      <w:r w:rsidRPr="00654140">
        <w:rPr>
          <w:rFonts w:ascii="Times New Roman" w:eastAsia="Times New Roman" w:hAnsi="Times New Roman" w:cs="Times New Roman"/>
          <w:sz w:val="24"/>
          <w:lang w:eastAsia="en-AU"/>
        </w:rPr>
        <w:t xml:space="preserve">Details of the Regulations are outlined in </w:t>
      </w:r>
      <w:r w:rsidRPr="00654140">
        <w:rPr>
          <w:rFonts w:ascii="Times New Roman" w:eastAsia="Times New Roman" w:hAnsi="Times New Roman" w:cs="Times New Roman"/>
          <w:sz w:val="24"/>
          <w:u w:val="single"/>
          <w:lang w:eastAsia="en-AU"/>
        </w:rPr>
        <w:t>Attachment A</w:t>
      </w:r>
      <w:r w:rsidRPr="00654140">
        <w:rPr>
          <w:rFonts w:ascii="Times New Roman" w:eastAsia="Times New Roman" w:hAnsi="Times New Roman" w:cs="Times New Roman"/>
          <w:sz w:val="24"/>
          <w:lang w:eastAsia="en-AU"/>
        </w:rPr>
        <w:t>.</w:t>
      </w:r>
    </w:p>
    <w:p w14:paraId="093E97BB" w14:textId="77777777" w:rsidR="00654140" w:rsidRPr="00654140" w:rsidRDefault="00654140" w:rsidP="00654140">
      <w:pPr>
        <w:tabs>
          <w:tab w:val="left" w:pos="6521"/>
        </w:tabs>
        <w:spacing w:after="0" w:line="240" w:lineRule="auto"/>
        <w:ind w:right="91"/>
        <w:rPr>
          <w:rFonts w:ascii="Times New Roman" w:eastAsia="Times New Roman" w:hAnsi="Times New Roman" w:cs="Times New Roman"/>
          <w:sz w:val="24"/>
          <w:lang w:eastAsia="en-AU"/>
        </w:rPr>
      </w:pPr>
    </w:p>
    <w:p w14:paraId="348FE3DA" w14:textId="2733A379" w:rsidR="00ED5347" w:rsidRPr="00014AEC" w:rsidRDefault="0001734C" w:rsidP="00014AEC">
      <w:pPr>
        <w:tabs>
          <w:tab w:val="left" w:pos="6521"/>
        </w:tabs>
        <w:spacing w:after="0" w:line="240" w:lineRule="auto"/>
        <w:ind w:right="91"/>
        <w:rPr>
          <w:rFonts w:ascii="Times New Roman" w:eastAsia="Times New Roman" w:hAnsi="Times New Roman" w:cs="Times New Roman"/>
          <w:sz w:val="24"/>
          <w:lang w:eastAsia="en-AU"/>
        </w:rPr>
      </w:pPr>
      <w:r w:rsidRPr="0001734C">
        <w:rPr>
          <w:rFonts w:ascii="Times New Roman" w:eastAsia="Times New Roman" w:hAnsi="Times New Roman" w:cs="Times New Roman"/>
          <w:sz w:val="24"/>
          <w:lang w:eastAsia="en-AU"/>
        </w:rPr>
        <w:t xml:space="preserve">The Regulations are compatible with the human rights and freedoms recognised or declared under section 3 of the </w:t>
      </w:r>
      <w:r w:rsidRPr="0001734C">
        <w:rPr>
          <w:rFonts w:ascii="Times New Roman" w:eastAsia="Times New Roman" w:hAnsi="Times New Roman" w:cs="Times New Roman"/>
          <w:i/>
          <w:iCs/>
          <w:sz w:val="24"/>
          <w:lang w:eastAsia="en-AU"/>
        </w:rPr>
        <w:t>Human Rights (Parliamentary Scrutiny) Act 2011</w:t>
      </w:r>
      <w:r w:rsidRPr="0001734C">
        <w:rPr>
          <w:rFonts w:ascii="Times New Roman" w:eastAsia="Times New Roman" w:hAnsi="Times New Roman" w:cs="Times New Roman"/>
          <w:sz w:val="24"/>
          <w:lang w:eastAsia="en-AU"/>
        </w:rPr>
        <w:t>. A full statement of compatibility is set out in Attachment B.</w:t>
      </w:r>
      <w:r w:rsidR="00ED5347">
        <w:rPr>
          <w:rFonts w:ascii="Times New Roman" w:hAnsi="Times New Roman" w:cs="Times New Roman"/>
          <w:sz w:val="24"/>
          <w:szCs w:val="24"/>
        </w:rPr>
        <w:br w:type="page"/>
      </w:r>
    </w:p>
    <w:p w14:paraId="5474A301" w14:textId="51FAF3C0" w:rsidR="002573BE" w:rsidRPr="00580562" w:rsidRDefault="31FA7C5F" w:rsidP="63156A87">
      <w:pPr>
        <w:pStyle w:val="Normal-em"/>
        <w:spacing w:after="0" w:line="240" w:lineRule="auto"/>
        <w:jc w:val="right"/>
        <w:rPr>
          <w:b/>
          <w:bCs/>
          <w:caps/>
          <w:color w:val="auto"/>
          <w:u w:val="single"/>
        </w:rPr>
      </w:pPr>
      <w:r w:rsidRPr="00580562">
        <w:rPr>
          <w:b/>
          <w:bCs/>
          <w:caps/>
          <w:color w:val="auto"/>
          <w:u w:val="single"/>
        </w:rPr>
        <w:lastRenderedPageBreak/>
        <w:t>Attachment</w:t>
      </w:r>
      <w:r w:rsidR="3FA359FC" w:rsidRPr="00580562">
        <w:rPr>
          <w:b/>
          <w:bCs/>
          <w:caps/>
          <w:color w:val="auto"/>
          <w:u w:val="single"/>
        </w:rPr>
        <w:t xml:space="preserve"> A</w:t>
      </w:r>
    </w:p>
    <w:p w14:paraId="199E4CB6" w14:textId="77777777" w:rsidR="002573BE" w:rsidRPr="00580562" w:rsidRDefault="002573BE" w:rsidP="002573BE">
      <w:pPr>
        <w:pStyle w:val="Normal-em"/>
        <w:spacing w:after="0" w:line="240" w:lineRule="auto"/>
        <w:rPr>
          <w:color w:val="auto"/>
          <w:szCs w:val="24"/>
        </w:rPr>
      </w:pPr>
    </w:p>
    <w:p w14:paraId="68F19272" w14:textId="4F47CE6E" w:rsidR="002573BE" w:rsidRPr="00580562" w:rsidRDefault="002573BE" w:rsidP="002573BE">
      <w:pPr>
        <w:pStyle w:val="Normal-em"/>
        <w:spacing w:after="0" w:line="240" w:lineRule="auto"/>
        <w:rPr>
          <w:b/>
          <w:i/>
          <w:color w:val="auto"/>
          <w:szCs w:val="24"/>
          <w:u w:val="single"/>
        </w:rPr>
      </w:pPr>
      <w:r w:rsidRPr="00580562">
        <w:rPr>
          <w:b/>
          <w:iCs/>
          <w:color w:val="auto"/>
          <w:szCs w:val="24"/>
          <w:u w:val="single"/>
        </w:rPr>
        <w:t xml:space="preserve">Details of the </w:t>
      </w:r>
      <w:r w:rsidR="00867085" w:rsidRPr="00580562">
        <w:rPr>
          <w:b/>
          <w:i/>
          <w:iCs/>
          <w:color w:val="auto"/>
          <w:u w:val="single"/>
          <w:lang w:eastAsia="en-AU"/>
        </w:rPr>
        <w:t>Australian Renewable Energy Agency</w:t>
      </w:r>
      <w:r w:rsidR="002947A5">
        <w:rPr>
          <w:b/>
          <w:i/>
          <w:iCs/>
          <w:color w:val="auto"/>
          <w:u w:val="single"/>
          <w:lang w:eastAsia="en-AU"/>
        </w:rPr>
        <w:t xml:space="preserve"> </w:t>
      </w:r>
      <w:r w:rsidR="00867085" w:rsidRPr="00580562">
        <w:rPr>
          <w:b/>
          <w:i/>
          <w:iCs/>
          <w:color w:val="auto"/>
          <w:u w:val="single"/>
          <w:lang w:eastAsia="en-AU"/>
        </w:rPr>
        <w:t>Regulations 2025</w:t>
      </w:r>
    </w:p>
    <w:p w14:paraId="168BFF53" w14:textId="77777777" w:rsidR="002573BE" w:rsidRDefault="002573BE" w:rsidP="002573BE">
      <w:pPr>
        <w:pStyle w:val="Normal-em"/>
        <w:spacing w:after="0" w:line="240" w:lineRule="auto"/>
        <w:rPr>
          <w:color w:val="auto"/>
          <w:szCs w:val="24"/>
        </w:rPr>
      </w:pPr>
    </w:p>
    <w:p w14:paraId="1ADF6D9A" w14:textId="77777777" w:rsidR="007864FE" w:rsidRPr="007864FE" w:rsidRDefault="007864FE" w:rsidP="007864FE">
      <w:pPr>
        <w:spacing w:after="0" w:line="240" w:lineRule="auto"/>
        <w:ind w:right="91"/>
        <w:rPr>
          <w:rFonts w:ascii="Times New Roman" w:eastAsia="Times New Roman" w:hAnsi="Times New Roman" w:cs="Times New Roman"/>
          <w:sz w:val="24"/>
          <w:u w:val="single"/>
          <w:lang w:eastAsia="en-AU"/>
        </w:rPr>
      </w:pPr>
      <w:r w:rsidRPr="007864FE">
        <w:rPr>
          <w:rFonts w:ascii="Times New Roman" w:eastAsia="Times New Roman" w:hAnsi="Times New Roman" w:cs="Times New Roman"/>
          <w:sz w:val="24"/>
          <w:u w:val="single"/>
          <w:lang w:eastAsia="en-AU"/>
        </w:rPr>
        <w:t>Part 1—Preliminary</w:t>
      </w:r>
    </w:p>
    <w:p w14:paraId="087C68BE" w14:textId="77777777" w:rsidR="007864FE" w:rsidRPr="007864FE" w:rsidRDefault="007864FE" w:rsidP="007864FE">
      <w:pPr>
        <w:spacing w:after="0" w:line="240" w:lineRule="auto"/>
        <w:ind w:right="91"/>
        <w:rPr>
          <w:rFonts w:ascii="Times New Roman" w:eastAsia="Times New Roman" w:hAnsi="Times New Roman" w:cs="Times New Roman"/>
          <w:sz w:val="24"/>
          <w:lang w:eastAsia="en-AU"/>
        </w:rPr>
      </w:pPr>
    </w:p>
    <w:p w14:paraId="27CAF28E" w14:textId="6C6B58FE" w:rsidR="007864FE" w:rsidRPr="007864FE" w:rsidRDefault="007864FE" w:rsidP="007864FE">
      <w:pPr>
        <w:spacing w:after="0" w:line="276"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u w:val="single"/>
          <w:lang w:eastAsia="en-AU"/>
        </w:rPr>
        <w:t>Regulation</w:t>
      </w:r>
      <w:r w:rsidRPr="007864FE">
        <w:rPr>
          <w:rFonts w:ascii="Times New Roman" w:eastAsia="Times New Roman" w:hAnsi="Times New Roman" w:cs="Times New Roman"/>
          <w:sz w:val="24"/>
          <w:u w:val="single"/>
          <w:lang w:eastAsia="en-AU"/>
        </w:rPr>
        <w:t xml:space="preserve"> 1 - Name</w:t>
      </w:r>
    </w:p>
    <w:p w14:paraId="2FC7E789"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230A4438" w14:textId="6B72ED30" w:rsidR="007864FE" w:rsidRPr="007864FE" w:rsidRDefault="00661075" w:rsidP="007864FE">
      <w:pPr>
        <w:spacing w:after="0" w:line="276"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Regulation 1</w:t>
      </w:r>
      <w:r w:rsidR="007864FE" w:rsidRPr="007864FE">
        <w:rPr>
          <w:rFonts w:ascii="Times New Roman" w:eastAsia="Times New Roman" w:hAnsi="Times New Roman" w:cs="Times New Roman"/>
          <w:sz w:val="24"/>
          <w:lang w:eastAsia="en-AU"/>
        </w:rPr>
        <w:t xml:space="preserve"> provide</w:t>
      </w:r>
      <w:r w:rsidR="009062B9">
        <w:rPr>
          <w:rFonts w:ascii="Times New Roman" w:eastAsia="Times New Roman" w:hAnsi="Times New Roman" w:cs="Times New Roman"/>
          <w:sz w:val="24"/>
          <w:lang w:eastAsia="en-AU"/>
        </w:rPr>
        <w:t>s</w:t>
      </w:r>
      <w:r w:rsidR="007864FE" w:rsidRPr="007864FE">
        <w:rPr>
          <w:rFonts w:ascii="Times New Roman" w:eastAsia="Times New Roman" w:hAnsi="Times New Roman" w:cs="Times New Roman"/>
          <w:sz w:val="24"/>
          <w:lang w:eastAsia="en-AU"/>
        </w:rPr>
        <w:t xml:space="preserve"> that the title of the Regulations is the </w:t>
      </w:r>
      <w:r w:rsidR="007864FE" w:rsidRPr="007864FE">
        <w:rPr>
          <w:rFonts w:ascii="Times New Roman" w:eastAsia="Times New Roman" w:hAnsi="Times New Roman" w:cs="Times New Roman"/>
          <w:i/>
          <w:iCs/>
          <w:sz w:val="24"/>
          <w:lang w:eastAsia="en-AU"/>
        </w:rPr>
        <w:t xml:space="preserve">Australian Renewable Energy Agency Regulations 2025 </w:t>
      </w:r>
      <w:r w:rsidR="007864FE" w:rsidRPr="007864FE">
        <w:rPr>
          <w:rFonts w:ascii="Times New Roman" w:eastAsia="Times New Roman" w:hAnsi="Times New Roman" w:cs="Times New Roman"/>
          <w:sz w:val="24"/>
          <w:lang w:eastAsia="en-AU"/>
        </w:rPr>
        <w:t>(</w:t>
      </w:r>
      <w:r w:rsidR="0039695F">
        <w:rPr>
          <w:rFonts w:ascii="Times New Roman" w:eastAsia="Times New Roman" w:hAnsi="Times New Roman" w:cs="Times New Roman"/>
          <w:sz w:val="24"/>
          <w:lang w:eastAsia="en-AU"/>
        </w:rPr>
        <w:t xml:space="preserve">the </w:t>
      </w:r>
      <w:r w:rsidR="007864FE" w:rsidRPr="007864FE">
        <w:rPr>
          <w:rFonts w:ascii="Times New Roman" w:eastAsia="Times New Roman" w:hAnsi="Times New Roman" w:cs="Times New Roman"/>
          <w:sz w:val="24"/>
          <w:lang w:eastAsia="en-AU"/>
        </w:rPr>
        <w:t>Regulations).</w:t>
      </w:r>
    </w:p>
    <w:p w14:paraId="5BE7DCD4"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690F8B9A" w14:textId="51CB80D3" w:rsidR="007864FE" w:rsidRPr="007864FE" w:rsidRDefault="007864FE" w:rsidP="007864FE">
      <w:pPr>
        <w:spacing w:after="0" w:line="276" w:lineRule="auto"/>
        <w:ind w:right="91"/>
        <w:rPr>
          <w:rFonts w:ascii="Times New Roman" w:eastAsia="Times New Roman" w:hAnsi="Times New Roman" w:cs="Times New Roman"/>
          <w:sz w:val="24"/>
          <w:u w:val="single"/>
          <w:lang w:eastAsia="en-AU"/>
        </w:rPr>
      </w:pPr>
      <w:r w:rsidRPr="007864FE">
        <w:rPr>
          <w:rFonts w:ascii="Times New Roman" w:eastAsia="Times New Roman" w:hAnsi="Times New Roman" w:cs="Times New Roman"/>
          <w:sz w:val="24"/>
          <w:u w:val="single"/>
          <w:lang w:eastAsia="en-AU"/>
        </w:rPr>
        <w:t>Regulation 2 - Commencement</w:t>
      </w:r>
    </w:p>
    <w:p w14:paraId="146B83F1"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7BB164BA" w14:textId="4C7004A1" w:rsidR="007864FE" w:rsidRPr="007864FE" w:rsidRDefault="00661075" w:rsidP="007864FE">
      <w:pPr>
        <w:spacing w:after="0" w:line="276"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Regulation 2</w:t>
      </w:r>
      <w:r w:rsidR="007864FE" w:rsidRPr="007864FE">
        <w:rPr>
          <w:rFonts w:ascii="Times New Roman" w:eastAsia="Times New Roman" w:hAnsi="Times New Roman" w:cs="Times New Roman"/>
          <w:sz w:val="24"/>
          <w:lang w:eastAsia="en-AU"/>
        </w:rPr>
        <w:t xml:space="preserve"> </w:t>
      </w:r>
      <w:r w:rsidR="006E3A7C" w:rsidRPr="006E3A7C">
        <w:rPr>
          <w:rFonts w:ascii="Times New Roman" w:eastAsia="Times New Roman" w:hAnsi="Times New Roman" w:cs="Times New Roman"/>
          <w:sz w:val="24"/>
          <w:lang w:eastAsia="en-AU"/>
        </w:rPr>
        <w:t xml:space="preserve">provides that </w:t>
      </w:r>
      <w:r w:rsidR="007864FE" w:rsidRPr="007864FE">
        <w:rPr>
          <w:rFonts w:ascii="Times New Roman" w:eastAsia="Times New Roman" w:hAnsi="Times New Roman" w:cs="Times New Roman"/>
          <w:sz w:val="24"/>
          <w:lang w:eastAsia="en-AU"/>
        </w:rPr>
        <w:t>the Regulations commence on the day after the instrument is registered.</w:t>
      </w:r>
    </w:p>
    <w:p w14:paraId="5F722BE7"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3A0B3255" w14:textId="053F0790" w:rsidR="007864FE" w:rsidRPr="007864FE" w:rsidRDefault="007864FE" w:rsidP="007864FE">
      <w:pPr>
        <w:spacing w:after="0" w:line="276" w:lineRule="auto"/>
        <w:ind w:right="91"/>
        <w:rPr>
          <w:rFonts w:ascii="Times New Roman" w:eastAsia="Times New Roman" w:hAnsi="Times New Roman" w:cs="Times New Roman"/>
          <w:sz w:val="24"/>
          <w:lang w:eastAsia="en-AU"/>
        </w:rPr>
      </w:pPr>
      <w:r w:rsidRPr="007864FE">
        <w:rPr>
          <w:rFonts w:ascii="Times New Roman" w:eastAsia="Times New Roman" w:hAnsi="Times New Roman" w:cs="Times New Roman"/>
          <w:sz w:val="24"/>
          <w:u w:val="single"/>
          <w:lang w:eastAsia="en-AU"/>
        </w:rPr>
        <w:t>Regulation 3 - Authority</w:t>
      </w:r>
    </w:p>
    <w:p w14:paraId="5A96B28E"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624CDCF5" w14:textId="5B1B610E" w:rsidR="007864FE" w:rsidRPr="007864FE" w:rsidRDefault="0039695F" w:rsidP="007864FE">
      <w:pPr>
        <w:spacing w:after="0" w:line="276"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Regulation 3</w:t>
      </w:r>
      <w:r w:rsidR="007864FE" w:rsidRPr="007864FE">
        <w:rPr>
          <w:rFonts w:ascii="Times New Roman" w:eastAsia="Times New Roman" w:hAnsi="Times New Roman" w:cs="Times New Roman"/>
          <w:sz w:val="24"/>
          <w:lang w:eastAsia="en-AU"/>
        </w:rPr>
        <w:t xml:space="preserve"> provide</w:t>
      </w:r>
      <w:r>
        <w:rPr>
          <w:rFonts w:ascii="Times New Roman" w:eastAsia="Times New Roman" w:hAnsi="Times New Roman" w:cs="Times New Roman"/>
          <w:sz w:val="24"/>
          <w:lang w:eastAsia="en-AU"/>
        </w:rPr>
        <w:t>s</w:t>
      </w:r>
      <w:r w:rsidR="007864FE" w:rsidRPr="007864FE">
        <w:rPr>
          <w:rFonts w:ascii="Times New Roman" w:eastAsia="Times New Roman" w:hAnsi="Times New Roman" w:cs="Times New Roman"/>
          <w:sz w:val="24"/>
          <w:lang w:eastAsia="en-AU"/>
        </w:rPr>
        <w:t xml:space="preserve"> that the Regulations are made under the </w:t>
      </w:r>
      <w:r w:rsidR="007864FE" w:rsidRPr="007864FE">
        <w:rPr>
          <w:rFonts w:ascii="Times New Roman" w:eastAsia="Aptos" w:hAnsi="Times New Roman" w:cs="Times New Roman"/>
          <w:i/>
          <w:snapToGrid w:val="0"/>
          <w:sz w:val="24"/>
          <w:szCs w:val="24"/>
        </w:rPr>
        <w:t>Australian Renewable Energy Agency Act 2011</w:t>
      </w:r>
      <w:r w:rsidR="007864FE" w:rsidRPr="007864FE">
        <w:rPr>
          <w:rFonts w:ascii="Times New Roman" w:eastAsia="Aptos" w:hAnsi="Times New Roman" w:cs="Times New Roman"/>
          <w:iCs/>
          <w:snapToGrid w:val="0"/>
          <w:sz w:val="24"/>
          <w:szCs w:val="24"/>
        </w:rPr>
        <w:t xml:space="preserve"> (</w:t>
      </w:r>
      <w:r>
        <w:rPr>
          <w:rFonts w:ascii="Times New Roman" w:eastAsia="Aptos" w:hAnsi="Times New Roman" w:cs="Times New Roman"/>
          <w:iCs/>
          <w:snapToGrid w:val="0"/>
          <w:sz w:val="24"/>
          <w:szCs w:val="24"/>
        </w:rPr>
        <w:t xml:space="preserve">the </w:t>
      </w:r>
      <w:r w:rsidR="007864FE" w:rsidRPr="007864FE">
        <w:rPr>
          <w:rFonts w:ascii="Times New Roman" w:eastAsia="Aptos" w:hAnsi="Times New Roman" w:cs="Times New Roman"/>
          <w:iCs/>
          <w:snapToGrid w:val="0"/>
          <w:sz w:val="24"/>
          <w:szCs w:val="24"/>
        </w:rPr>
        <w:t>Act)</w:t>
      </w:r>
      <w:r w:rsidR="007864FE" w:rsidRPr="007864FE">
        <w:rPr>
          <w:rFonts w:ascii="Times New Roman" w:eastAsia="Times New Roman" w:hAnsi="Times New Roman" w:cs="Times New Roman"/>
          <w:sz w:val="24"/>
          <w:lang w:eastAsia="en-AU"/>
        </w:rPr>
        <w:t>.</w:t>
      </w:r>
    </w:p>
    <w:p w14:paraId="39C58802"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69FF88DE" w14:textId="42B473DF" w:rsidR="007864FE" w:rsidRPr="007864FE" w:rsidRDefault="007864FE" w:rsidP="007864FE">
      <w:pPr>
        <w:spacing w:after="0" w:line="276" w:lineRule="auto"/>
        <w:ind w:right="91"/>
        <w:rPr>
          <w:rFonts w:ascii="Times New Roman" w:eastAsia="Times New Roman" w:hAnsi="Times New Roman" w:cs="Times New Roman"/>
          <w:sz w:val="24"/>
          <w:u w:val="single"/>
          <w:lang w:eastAsia="en-AU"/>
        </w:rPr>
      </w:pPr>
      <w:r w:rsidRPr="007864FE">
        <w:rPr>
          <w:rFonts w:ascii="Times New Roman" w:eastAsia="Times New Roman" w:hAnsi="Times New Roman" w:cs="Times New Roman"/>
          <w:sz w:val="24"/>
          <w:u w:val="single"/>
          <w:lang w:eastAsia="en-AU"/>
        </w:rPr>
        <w:t>Regulation 4 - Schedules</w:t>
      </w:r>
    </w:p>
    <w:p w14:paraId="0B32AC2E"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32041A08" w14:textId="3BB3B5D9" w:rsidR="007864FE" w:rsidRPr="007864FE" w:rsidRDefault="0001725C" w:rsidP="007864FE">
      <w:pPr>
        <w:spacing w:after="0" w:line="276"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Regulation 4</w:t>
      </w:r>
      <w:r w:rsidR="007864FE" w:rsidRPr="007864FE">
        <w:rPr>
          <w:rFonts w:ascii="Times New Roman" w:eastAsia="Times New Roman" w:hAnsi="Times New Roman" w:cs="Times New Roman"/>
          <w:sz w:val="24"/>
          <w:lang w:eastAsia="en-AU"/>
        </w:rPr>
        <w:t xml:space="preserve"> provide</w:t>
      </w:r>
      <w:r>
        <w:rPr>
          <w:rFonts w:ascii="Times New Roman" w:eastAsia="Times New Roman" w:hAnsi="Times New Roman" w:cs="Times New Roman"/>
          <w:sz w:val="24"/>
          <w:lang w:eastAsia="en-AU"/>
        </w:rPr>
        <w:t>s</w:t>
      </w:r>
      <w:r w:rsidR="007864FE" w:rsidRPr="007864FE">
        <w:rPr>
          <w:rFonts w:ascii="Times New Roman" w:eastAsia="Times New Roman" w:hAnsi="Times New Roman" w:cs="Times New Roman"/>
          <w:sz w:val="24"/>
          <w:lang w:eastAsia="en-AU"/>
        </w:rPr>
        <w:t xml:space="preserve"> that each instrument that is specified in a Schedule to this instrument is amended or repealed as set out in the applicable items in the Schedule concerned, and any other item in a Schedule to this instrument </w:t>
      </w:r>
      <w:r w:rsidR="00E578DA">
        <w:rPr>
          <w:rFonts w:ascii="Times New Roman" w:eastAsia="Times New Roman" w:hAnsi="Times New Roman" w:cs="Times New Roman"/>
          <w:sz w:val="24"/>
          <w:lang w:eastAsia="en-AU"/>
        </w:rPr>
        <w:t>have</w:t>
      </w:r>
      <w:r w:rsidR="007864FE" w:rsidRPr="007864FE">
        <w:rPr>
          <w:rFonts w:ascii="Times New Roman" w:eastAsia="Times New Roman" w:hAnsi="Times New Roman" w:cs="Times New Roman"/>
          <w:sz w:val="24"/>
          <w:lang w:eastAsia="en-AU"/>
        </w:rPr>
        <w:t xml:space="preserve"> effect according to its terms.</w:t>
      </w:r>
    </w:p>
    <w:p w14:paraId="62677D05"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37341A09" w14:textId="04EDF977" w:rsidR="007864FE" w:rsidRPr="007864FE" w:rsidRDefault="007864FE" w:rsidP="007864FE">
      <w:pPr>
        <w:spacing w:after="0" w:line="276" w:lineRule="auto"/>
        <w:ind w:right="91"/>
        <w:rPr>
          <w:rFonts w:ascii="Times New Roman" w:eastAsia="Times New Roman" w:hAnsi="Times New Roman" w:cs="Times New Roman"/>
          <w:sz w:val="24"/>
          <w:u w:val="single"/>
          <w:lang w:eastAsia="en-AU"/>
        </w:rPr>
      </w:pPr>
      <w:r w:rsidRPr="007864FE">
        <w:rPr>
          <w:rFonts w:ascii="Times New Roman" w:eastAsia="Times New Roman" w:hAnsi="Times New Roman" w:cs="Times New Roman"/>
          <w:sz w:val="24"/>
          <w:u w:val="single"/>
          <w:lang w:eastAsia="en-AU"/>
        </w:rPr>
        <w:t>Regulation 5 - Definitions</w:t>
      </w:r>
    </w:p>
    <w:p w14:paraId="64D7905A"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3CC9B8AB" w14:textId="5009CBCB" w:rsidR="007864FE" w:rsidRPr="007864FE" w:rsidRDefault="00EA0A1F" w:rsidP="007864FE">
      <w:pPr>
        <w:spacing w:after="0" w:line="276"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Regulation 5 provides </w:t>
      </w:r>
      <w:r w:rsidR="007864FE" w:rsidRPr="007864FE">
        <w:rPr>
          <w:rFonts w:ascii="Times New Roman" w:eastAsia="Times New Roman" w:hAnsi="Times New Roman" w:cs="Times New Roman"/>
          <w:sz w:val="24"/>
          <w:lang w:eastAsia="en-AU"/>
        </w:rPr>
        <w:t xml:space="preserve">a note which </w:t>
      </w:r>
      <w:r>
        <w:rPr>
          <w:rFonts w:ascii="Times New Roman" w:eastAsia="Times New Roman" w:hAnsi="Times New Roman" w:cs="Times New Roman"/>
          <w:sz w:val="24"/>
          <w:lang w:eastAsia="en-AU"/>
        </w:rPr>
        <w:t>states</w:t>
      </w:r>
      <w:r w:rsidR="007864FE" w:rsidRPr="007864FE">
        <w:rPr>
          <w:rFonts w:ascii="Times New Roman" w:eastAsia="Times New Roman" w:hAnsi="Times New Roman" w:cs="Times New Roman"/>
          <w:sz w:val="24"/>
          <w:lang w:eastAsia="en-AU"/>
        </w:rPr>
        <w:t xml:space="preserve"> </w:t>
      </w:r>
      <w:r>
        <w:rPr>
          <w:rFonts w:ascii="Times New Roman" w:eastAsia="Times New Roman" w:hAnsi="Times New Roman" w:cs="Times New Roman"/>
          <w:sz w:val="24"/>
          <w:lang w:eastAsia="en-AU"/>
        </w:rPr>
        <w:t xml:space="preserve">that </w:t>
      </w:r>
      <w:proofErr w:type="gramStart"/>
      <w:r w:rsidR="007864FE" w:rsidRPr="007864FE">
        <w:rPr>
          <w:rFonts w:ascii="Times New Roman" w:eastAsia="Times New Roman" w:hAnsi="Times New Roman" w:cs="Times New Roman"/>
          <w:sz w:val="24"/>
          <w:lang w:eastAsia="en-AU"/>
        </w:rPr>
        <w:t>a number of</w:t>
      </w:r>
      <w:proofErr w:type="gramEnd"/>
      <w:r w:rsidR="007864FE" w:rsidRPr="007864FE">
        <w:rPr>
          <w:rFonts w:ascii="Times New Roman" w:eastAsia="Times New Roman" w:hAnsi="Times New Roman" w:cs="Times New Roman"/>
          <w:sz w:val="24"/>
          <w:lang w:eastAsia="en-AU"/>
        </w:rPr>
        <w:t xml:space="preserve"> expressions used in the Instrument (including, ‘ARENA’, ‘Climate Change Convention’, and ‘financial assistance’) are defined in the Act.</w:t>
      </w:r>
    </w:p>
    <w:p w14:paraId="21BE4826"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1BE28CFC" w14:textId="066AA5F0" w:rsidR="007864FE" w:rsidRPr="007864FE" w:rsidRDefault="004C1A30" w:rsidP="007864FE">
      <w:pPr>
        <w:spacing w:after="0" w:line="276"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Regulation 5 also provides</w:t>
      </w:r>
      <w:r w:rsidR="007864FE" w:rsidRPr="007864FE">
        <w:rPr>
          <w:rFonts w:ascii="Times New Roman" w:eastAsia="Times New Roman" w:hAnsi="Times New Roman" w:cs="Times New Roman"/>
          <w:sz w:val="24"/>
          <w:lang w:eastAsia="en-AU"/>
        </w:rPr>
        <w:t xml:space="preserve"> a definition for the terms ‘Act’, Clean Energy Innovation Fund’, and ‘clean energy </w:t>
      </w:r>
      <w:proofErr w:type="gramStart"/>
      <w:r w:rsidR="007864FE" w:rsidRPr="007864FE">
        <w:rPr>
          <w:rFonts w:ascii="Times New Roman" w:eastAsia="Times New Roman" w:hAnsi="Times New Roman" w:cs="Times New Roman"/>
          <w:sz w:val="24"/>
          <w:lang w:eastAsia="en-AU"/>
        </w:rPr>
        <w:t>technologies’</w:t>
      </w:r>
      <w:proofErr w:type="gramEnd"/>
      <w:r w:rsidR="007864FE" w:rsidRPr="007864FE">
        <w:rPr>
          <w:rFonts w:ascii="Times New Roman" w:eastAsia="Times New Roman" w:hAnsi="Times New Roman" w:cs="Times New Roman"/>
          <w:sz w:val="24"/>
          <w:lang w:eastAsia="en-AU"/>
        </w:rPr>
        <w:t>.</w:t>
      </w:r>
    </w:p>
    <w:p w14:paraId="5D475558" w14:textId="77777777" w:rsidR="007864FE" w:rsidRPr="007864FE" w:rsidRDefault="007864FE" w:rsidP="007864FE">
      <w:pPr>
        <w:spacing w:after="0" w:line="276" w:lineRule="auto"/>
        <w:ind w:right="91"/>
        <w:rPr>
          <w:rFonts w:ascii="Times New Roman" w:eastAsia="Times New Roman" w:hAnsi="Times New Roman" w:cs="Times New Roman"/>
          <w:b/>
          <w:bCs/>
          <w:sz w:val="24"/>
          <w:lang w:eastAsia="en-AU"/>
        </w:rPr>
      </w:pPr>
    </w:p>
    <w:p w14:paraId="14A1FAD8" w14:textId="77777777" w:rsidR="007864FE" w:rsidRPr="007864FE" w:rsidRDefault="007864FE" w:rsidP="007864FE">
      <w:pPr>
        <w:spacing w:after="0" w:line="276" w:lineRule="auto"/>
        <w:ind w:right="91"/>
        <w:rPr>
          <w:rFonts w:ascii="Times New Roman" w:eastAsia="Times New Roman" w:hAnsi="Times New Roman" w:cs="Times New Roman"/>
          <w:sz w:val="24"/>
          <w:u w:val="single"/>
          <w:lang w:eastAsia="en-AU"/>
        </w:rPr>
      </w:pPr>
      <w:r w:rsidRPr="007864FE">
        <w:rPr>
          <w:rFonts w:ascii="Times New Roman" w:eastAsia="Times New Roman" w:hAnsi="Times New Roman" w:cs="Times New Roman"/>
          <w:sz w:val="24"/>
          <w:u w:val="single"/>
          <w:lang w:eastAsia="en-AU"/>
        </w:rPr>
        <w:t>Part 2—Australian Renewable Energy Agency</w:t>
      </w:r>
    </w:p>
    <w:p w14:paraId="2520FD33"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7D9E4100" w14:textId="1AFA8B26" w:rsidR="007864FE" w:rsidRPr="007864FE" w:rsidRDefault="007864FE" w:rsidP="007864FE">
      <w:pPr>
        <w:spacing w:after="0" w:line="276" w:lineRule="auto"/>
        <w:ind w:right="91"/>
        <w:rPr>
          <w:rFonts w:ascii="Times New Roman" w:eastAsia="Times New Roman" w:hAnsi="Times New Roman" w:cs="Times New Roman"/>
          <w:sz w:val="24"/>
          <w:u w:val="single"/>
          <w:lang w:eastAsia="en-AU"/>
        </w:rPr>
      </w:pPr>
      <w:r w:rsidRPr="007864FE">
        <w:rPr>
          <w:rFonts w:ascii="Times New Roman" w:eastAsia="Times New Roman" w:hAnsi="Times New Roman" w:cs="Times New Roman"/>
          <w:sz w:val="24"/>
          <w:u w:val="single"/>
          <w:lang w:eastAsia="en-AU"/>
        </w:rPr>
        <w:t>Regulation 6 - ARENA's prescribed functions—Clean Energy Innovation Fund</w:t>
      </w:r>
    </w:p>
    <w:p w14:paraId="0CE6085D"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6FDB9B4B" w14:textId="3F4AAB62" w:rsidR="007864FE" w:rsidRPr="007864FE" w:rsidRDefault="007864FE" w:rsidP="007864FE">
      <w:pPr>
        <w:spacing w:after="0" w:line="276" w:lineRule="auto"/>
        <w:ind w:right="91"/>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Paragraph 6(a) permit</w:t>
      </w:r>
      <w:r w:rsidR="006D3BB9">
        <w:rPr>
          <w:rFonts w:ascii="Times New Roman" w:eastAsia="Times New Roman" w:hAnsi="Times New Roman" w:cs="Times New Roman"/>
          <w:sz w:val="24"/>
          <w:lang w:eastAsia="en-AU"/>
        </w:rPr>
        <w:t>s</w:t>
      </w:r>
      <w:r w:rsidRPr="007864FE">
        <w:rPr>
          <w:rFonts w:ascii="Times New Roman" w:eastAsia="Times New Roman" w:hAnsi="Times New Roman" w:cs="Times New Roman"/>
          <w:sz w:val="24"/>
          <w:lang w:eastAsia="en-AU"/>
        </w:rPr>
        <w:t xml:space="preserve"> ARENA to assist the Clean Energy Finance Corporation in the governance, management and administration of the Clean Energy Innovation Fund. This function relate</w:t>
      </w:r>
      <w:r w:rsidR="006D3BB9">
        <w:rPr>
          <w:rFonts w:ascii="Times New Roman" w:eastAsia="Times New Roman" w:hAnsi="Times New Roman" w:cs="Times New Roman"/>
          <w:sz w:val="24"/>
          <w:lang w:eastAsia="en-AU"/>
        </w:rPr>
        <w:t>s</w:t>
      </w:r>
      <w:r w:rsidRPr="007864FE">
        <w:rPr>
          <w:rFonts w:ascii="Times New Roman" w:eastAsia="Times New Roman" w:hAnsi="Times New Roman" w:cs="Times New Roman"/>
          <w:sz w:val="24"/>
          <w:lang w:eastAsia="en-AU"/>
        </w:rPr>
        <w:t xml:space="preserve"> to clean energy technologies (as defined in the Regulations) (i.e. energy efficiency, low-emission and renewable energy technologies).</w:t>
      </w:r>
    </w:p>
    <w:p w14:paraId="56E17F56"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23DEE015" w14:textId="3DA6DB31" w:rsidR="007864FE" w:rsidRPr="007864FE" w:rsidRDefault="007864FE" w:rsidP="007864FE">
      <w:pPr>
        <w:spacing w:after="0" w:line="276" w:lineRule="auto"/>
        <w:ind w:right="91"/>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lastRenderedPageBreak/>
        <w:t xml:space="preserve">The aim of this paragraph </w:t>
      </w:r>
      <w:r w:rsidR="00A233A5">
        <w:rPr>
          <w:rFonts w:ascii="Times New Roman" w:eastAsia="Times New Roman" w:hAnsi="Times New Roman" w:cs="Times New Roman"/>
          <w:sz w:val="24"/>
          <w:lang w:eastAsia="en-AU"/>
        </w:rPr>
        <w:t>is</w:t>
      </w:r>
      <w:r w:rsidRPr="007864FE">
        <w:rPr>
          <w:rFonts w:ascii="Times New Roman" w:eastAsia="Times New Roman" w:hAnsi="Times New Roman" w:cs="Times New Roman"/>
          <w:sz w:val="24"/>
          <w:lang w:eastAsia="en-AU"/>
        </w:rPr>
        <w:t xml:space="preserve"> to provide a broad basis for ARENA to be involved in all aspects of the Clean Energy Innovation Fund. This include</w:t>
      </w:r>
      <w:r w:rsidR="00A233A5">
        <w:rPr>
          <w:rFonts w:ascii="Times New Roman" w:eastAsia="Times New Roman" w:hAnsi="Times New Roman" w:cs="Times New Roman"/>
          <w:sz w:val="24"/>
          <w:lang w:eastAsia="en-AU"/>
        </w:rPr>
        <w:t>s</w:t>
      </w:r>
      <w:r w:rsidRPr="007864FE">
        <w:rPr>
          <w:rFonts w:ascii="Times New Roman" w:eastAsia="Times New Roman" w:hAnsi="Times New Roman" w:cs="Times New Roman"/>
          <w:sz w:val="24"/>
          <w:lang w:eastAsia="en-AU"/>
        </w:rPr>
        <w:t xml:space="preserve"> assisting with the development and implementation of, and the </w:t>
      </w:r>
      <w:proofErr w:type="spellStart"/>
      <w:r w:rsidRPr="007864FE">
        <w:rPr>
          <w:rFonts w:ascii="Times New Roman" w:eastAsia="Times New Roman" w:hAnsi="Times New Roman" w:cs="Times New Roman"/>
          <w:sz w:val="24"/>
          <w:lang w:eastAsia="en-AU"/>
        </w:rPr>
        <w:t>strategising</w:t>
      </w:r>
      <w:proofErr w:type="spellEnd"/>
      <w:r w:rsidRPr="007864FE">
        <w:rPr>
          <w:rFonts w:ascii="Times New Roman" w:eastAsia="Times New Roman" w:hAnsi="Times New Roman" w:cs="Times New Roman"/>
          <w:sz w:val="24"/>
          <w:lang w:eastAsia="en-AU"/>
        </w:rPr>
        <w:t xml:space="preserve"> associated with, the Clean Energy Innovation Fund. A memorandum of understanding has been developed between ARENA and the Clean Energy Finance Corporation in relation to this role. ARENA, through paragraph 8(h) of the Act, also has the power to do anything incidental to, or conducive to the performance of, its legislated functions – which also include the function under Regulation 6.</w:t>
      </w:r>
    </w:p>
    <w:p w14:paraId="3847574D"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23ECFE5D" w14:textId="0BFF5DFA" w:rsidR="007864FE" w:rsidRPr="007864FE" w:rsidRDefault="007864FE" w:rsidP="007864FE">
      <w:pPr>
        <w:spacing w:after="0" w:line="276" w:lineRule="auto"/>
        <w:ind w:right="91"/>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Paragraph 6(b) expan</w:t>
      </w:r>
      <w:r w:rsidR="00A233A5">
        <w:rPr>
          <w:rFonts w:ascii="Times New Roman" w:eastAsia="Times New Roman" w:hAnsi="Times New Roman" w:cs="Times New Roman"/>
          <w:sz w:val="24"/>
          <w:lang w:eastAsia="en-AU"/>
        </w:rPr>
        <w:t>ds</w:t>
      </w:r>
      <w:r w:rsidRPr="007864FE">
        <w:rPr>
          <w:rFonts w:ascii="Times New Roman" w:eastAsia="Times New Roman" w:hAnsi="Times New Roman" w:cs="Times New Roman"/>
          <w:sz w:val="24"/>
          <w:lang w:eastAsia="en-AU"/>
        </w:rPr>
        <w:t xml:space="preserve"> on paragraph 6(a) to make it clear that ARENA’s expanded legislated function </w:t>
      </w:r>
      <w:r w:rsidR="00A233A5">
        <w:rPr>
          <w:rFonts w:ascii="Times New Roman" w:eastAsia="Times New Roman" w:hAnsi="Times New Roman" w:cs="Times New Roman"/>
          <w:sz w:val="24"/>
          <w:lang w:eastAsia="en-AU"/>
        </w:rPr>
        <w:t>is</w:t>
      </w:r>
      <w:r w:rsidRPr="007864FE">
        <w:rPr>
          <w:rFonts w:ascii="Times New Roman" w:eastAsia="Times New Roman" w:hAnsi="Times New Roman" w:cs="Times New Roman"/>
          <w:sz w:val="24"/>
          <w:lang w:eastAsia="en-AU"/>
        </w:rPr>
        <w:t xml:space="preserve"> to:</w:t>
      </w:r>
    </w:p>
    <w:p w14:paraId="55E70402"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1A91B2D8" w14:textId="77777777" w:rsidR="007864FE" w:rsidRPr="007864FE" w:rsidRDefault="007864FE" w:rsidP="007864FE">
      <w:pPr>
        <w:numPr>
          <w:ilvl w:val="0"/>
          <w:numId w:val="23"/>
        </w:numPr>
        <w:spacing w:after="0" w:line="276" w:lineRule="auto"/>
        <w:ind w:right="91"/>
        <w:contextualSpacing/>
        <w:rPr>
          <w:rFonts w:ascii="Times New Roman" w:eastAsia="Times New Roman" w:hAnsi="Times New Roman" w:cs="Times New Roman"/>
          <w:sz w:val="24"/>
          <w:lang w:eastAsia="en-AU"/>
        </w:rPr>
      </w:pPr>
      <w:proofErr w:type="gramStart"/>
      <w:r w:rsidRPr="007864FE">
        <w:rPr>
          <w:rFonts w:ascii="Times New Roman" w:eastAsia="Times New Roman" w:hAnsi="Times New Roman" w:cs="Times New Roman"/>
          <w:sz w:val="24"/>
          <w:lang w:eastAsia="en-AU"/>
        </w:rPr>
        <w:t>provide assistance to</w:t>
      </w:r>
      <w:proofErr w:type="gramEnd"/>
      <w:r w:rsidRPr="007864FE">
        <w:rPr>
          <w:rFonts w:ascii="Times New Roman" w:eastAsia="Times New Roman" w:hAnsi="Times New Roman" w:cs="Times New Roman"/>
          <w:sz w:val="24"/>
          <w:lang w:eastAsia="en-AU"/>
        </w:rPr>
        <w:t xml:space="preserve"> persons developing project proposals for financing from the Clean Energy Innovation Fund; and </w:t>
      </w:r>
    </w:p>
    <w:p w14:paraId="6286D472" w14:textId="77777777" w:rsidR="007864FE" w:rsidRPr="007864FE" w:rsidRDefault="007864FE" w:rsidP="007864FE">
      <w:pPr>
        <w:numPr>
          <w:ilvl w:val="0"/>
          <w:numId w:val="23"/>
        </w:numPr>
        <w:spacing w:after="0" w:line="276" w:lineRule="auto"/>
        <w:ind w:right="91"/>
        <w:contextualSpacing/>
        <w:rPr>
          <w:rFonts w:ascii="Times New Roman" w:eastAsia="Times New Roman" w:hAnsi="Times New Roman" w:cs="Times New Roman"/>
          <w:sz w:val="24"/>
          <w:lang w:eastAsia="en-AU"/>
        </w:rPr>
      </w:pPr>
      <w:proofErr w:type="gramStart"/>
      <w:r w:rsidRPr="007864FE">
        <w:rPr>
          <w:rFonts w:ascii="Times New Roman" w:eastAsia="Times New Roman" w:hAnsi="Times New Roman" w:cs="Times New Roman"/>
          <w:sz w:val="24"/>
          <w:lang w:eastAsia="en-AU"/>
        </w:rPr>
        <w:t>provide assistance to</w:t>
      </w:r>
      <w:proofErr w:type="gramEnd"/>
      <w:r w:rsidRPr="007864FE">
        <w:rPr>
          <w:rFonts w:ascii="Times New Roman" w:eastAsia="Times New Roman" w:hAnsi="Times New Roman" w:cs="Times New Roman"/>
          <w:sz w:val="24"/>
          <w:lang w:eastAsia="en-AU"/>
        </w:rPr>
        <w:t xml:space="preserve"> the Clean Energy Finance Corporation in relation to Clean Energy Innovation Fund project proposals. </w:t>
      </w:r>
    </w:p>
    <w:p w14:paraId="6990FA4B"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79DF0A20" w14:textId="68C2E7B5" w:rsidR="007864FE" w:rsidRPr="007864FE" w:rsidRDefault="007864FE" w:rsidP="007864FE">
      <w:pPr>
        <w:spacing w:after="0" w:line="276" w:lineRule="auto"/>
        <w:ind w:right="91"/>
        <w:rPr>
          <w:rFonts w:ascii="Times New Roman" w:eastAsia="Times New Roman" w:hAnsi="Times New Roman" w:cs="Times New Roman"/>
          <w:sz w:val="24"/>
          <w:u w:val="single"/>
          <w:lang w:eastAsia="en-AU"/>
        </w:rPr>
      </w:pPr>
      <w:r w:rsidRPr="007864FE">
        <w:rPr>
          <w:rFonts w:ascii="Times New Roman" w:eastAsia="Times New Roman" w:hAnsi="Times New Roman" w:cs="Times New Roman"/>
          <w:sz w:val="24"/>
          <w:u w:val="single"/>
          <w:lang w:eastAsia="en-AU"/>
        </w:rPr>
        <w:t>Regulation 7 - Amounts available for payment to ARENA</w:t>
      </w:r>
    </w:p>
    <w:p w14:paraId="7C9469A1"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64A53701" w14:textId="52ED7EB4" w:rsidR="007864FE" w:rsidRPr="007864FE" w:rsidRDefault="003A592D" w:rsidP="007864FE">
      <w:pPr>
        <w:spacing w:after="0" w:line="276"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Subsection</w:t>
      </w:r>
      <w:r w:rsidR="007864FE" w:rsidRPr="007864FE">
        <w:rPr>
          <w:rFonts w:ascii="Times New Roman" w:eastAsia="Times New Roman" w:hAnsi="Times New Roman" w:cs="Times New Roman"/>
          <w:sz w:val="24"/>
          <w:lang w:eastAsia="en-AU"/>
        </w:rPr>
        <w:t xml:space="preserve"> 7(1) prescribe</w:t>
      </w:r>
      <w:r w:rsidR="00EC5434">
        <w:rPr>
          <w:rFonts w:ascii="Times New Roman" w:eastAsia="Times New Roman" w:hAnsi="Times New Roman" w:cs="Times New Roman"/>
          <w:sz w:val="24"/>
          <w:lang w:eastAsia="en-AU"/>
        </w:rPr>
        <w:t>s</w:t>
      </w:r>
      <w:r w:rsidR="007864FE" w:rsidRPr="007864FE">
        <w:rPr>
          <w:rFonts w:ascii="Times New Roman" w:eastAsia="Times New Roman" w:hAnsi="Times New Roman" w:cs="Times New Roman"/>
          <w:sz w:val="24"/>
          <w:lang w:eastAsia="en-AU"/>
        </w:rPr>
        <w:t>, for the purposes of item 14</w:t>
      </w:r>
      <w:r w:rsidR="00834A86">
        <w:rPr>
          <w:rFonts w:ascii="Times New Roman" w:eastAsia="Times New Roman" w:hAnsi="Times New Roman" w:cs="Times New Roman"/>
          <w:sz w:val="24"/>
          <w:lang w:eastAsia="en-AU"/>
        </w:rPr>
        <w:t xml:space="preserve"> </w:t>
      </w:r>
      <w:r w:rsidR="007864FE" w:rsidRPr="007864FE">
        <w:rPr>
          <w:rFonts w:ascii="Times New Roman" w:eastAsia="Times New Roman" w:hAnsi="Times New Roman" w:cs="Times New Roman"/>
          <w:sz w:val="24"/>
          <w:lang w:eastAsia="en-AU"/>
        </w:rPr>
        <w:t xml:space="preserve">of the table in subsection 64(1) of the Act, </w:t>
      </w:r>
      <w:r w:rsidR="003D0635" w:rsidRPr="003D0635">
        <w:rPr>
          <w:rFonts w:ascii="Times New Roman" w:eastAsia="Times New Roman" w:hAnsi="Times New Roman" w:cs="Times New Roman"/>
          <w:sz w:val="24"/>
          <w:lang w:eastAsia="en-AU"/>
        </w:rPr>
        <w:t>that the Commonwealth will (subject to the Regulations) make a maximum amount of $50,000,000 available to ARENA for the 2037-2038 financial year</w:t>
      </w:r>
      <w:r w:rsidR="007864FE" w:rsidRPr="007864FE">
        <w:rPr>
          <w:rFonts w:ascii="Times New Roman" w:eastAsia="Times New Roman" w:hAnsi="Times New Roman" w:cs="Times New Roman"/>
          <w:sz w:val="24"/>
          <w:lang w:eastAsia="en-AU"/>
        </w:rPr>
        <w:t>. Th</w:t>
      </w:r>
      <w:r w:rsidR="00685195">
        <w:rPr>
          <w:rFonts w:ascii="Times New Roman" w:eastAsia="Times New Roman" w:hAnsi="Times New Roman" w:cs="Times New Roman"/>
          <w:sz w:val="24"/>
          <w:lang w:eastAsia="en-AU"/>
        </w:rPr>
        <w:t>is</w:t>
      </w:r>
      <w:r w:rsidR="007864FE" w:rsidRPr="007864FE">
        <w:rPr>
          <w:rFonts w:ascii="Times New Roman" w:eastAsia="Times New Roman" w:hAnsi="Times New Roman" w:cs="Times New Roman"/>
          <w:sz w:val="24"/>
          <w:lang w:eastAsia="en-AU"/>
        </w:rPr>
        <w:t xml:space="preserve"> subsection h</w:t>
      </w:r>
      <w:r w:rsidR="00685195">
        <w:rPr>
          <w:rFonts w:ascii="Times New Roman" w:eastAsia="Times New Roman" w:hAnsi="Times New Roman" w:cs="Times New Roman"/>
          <w:sz w:val="24"/>
          <w:lang w:eastAsia="en-AU"/>
        </w:rPr>
        <w:t>as</w:t>
      </w:r>
      <w:r w:rsidR="007864FE" w:rsidRPr="007864FE">
        <w:rPr>
          <w:rFonts w:ascii="Times New Roman" w:eastAsia="Times New Roman" w:hAnsi="Times New Roman" w:cs="Times New Roman"/>
          <w:sz w:val="24"/>
          <w:lang w:eastAsia="en-AU"/>
        </w:rPr>
        <w:t xml:space="preserve"> the effect of setting a limit on the amounts of payments that the Commonwealth </w:t>
      </w:r>
      <w:r w:rsidR="00D679F6">
        <w:rPr>
          <w:rFonts w:ascii="Times New Roman" w:eastAsia="Times New Roman" w:hAnsi="Times New Roman" w:cs="Times New Roman"/>
          <w:sz w:val="24"/>
          <w:lang w:eastAsia="en-AU"/>
        </w:rPr>
        <w:t>can</w:t>
      </w:r>
      <w:r w:rsidR="007864FE" w:rsidRPr="007864FE">
        <w:rPr>
          <w:rFonts w:ascii="Times New Roman" w:eastAsia="Times New Roman" w:hAnsi="Times New Roman" w:cs="Times New Roman"/>
          <w:sz w:val="24"/>
          <w:lang w:eastAsia="en-AU"/>
        </w:rPr>
        <w:t xml:space="preserve"> make to ARENA for those financial years under section 64 of the Act.</w:t>
      </w:r>
    </w:p>
    <w:p w14:paraId="313C0266"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160ECB2B" w14:textId="6537ADD4" w:rsidR="007864FE" w:rsidRPr="007864FE" w:rsidRDefault="00FE2124" w:rsidP="007864FE">
      <w:pPr>
        <w:spacing w:after="0" w:line="276" w:lineRule="auto"/>
        <w:ind w:right="91"/>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Subsection</w:t>
      </w:r>
      <w:r w:rsidR="007864FE" w:rsidRPr="007864FE">
        <w:rPr>
          <w:rFonts w:ascii="Times New Roman" w:eastAsia="Times New Roman" w:hAnsi="Times New Roman" w:cs="Times New Roman"/>
          <w:sz w:val="24"/>
          <w:lang w:eastAsia="en-AU"/>
        </w:rPr>
        <w:t xml:space="preserve"> 7(</w:t>
      </w:r>
      <w:r>
        <w:rPr>
          <w:rFonts w:ascii="Times New Roman" w:eastAsia="Times New Roman" w:hAnsi="Times New Roman" w:cs="Times New Roman"/>
          <w:sz w:val="24"/>
          <w:lang w:eastAsia="en-AU"/>
        </w:rPr>
        <w:t>2</w:t>
      </w:r>
      <w:r w:rsidR="007864FE" w:rsidRPr="007864FE">
        <w:rPr>
          <w:rFonts w:ascii="Times New Roman" w:eastAsia="Times New Roman" w:hAnsi="Times New Roman" w:cs="Times New Roman"/>
          <w:sz w:val="24"/>
          <w:lang w:eastAsia="en-AU"/>
        </w:rPr>
        <w:t>) prescribe</w:t>
      </w:r>
      <w:r w:rsidR="00D679F6">
        <w:rPr>
          <w:rFonts w:ascii="Times New Roman" w:eastAsia="Times New Roman" w:hAnsi="Times New Roman" w:cs="Times New Roman"/>
          <w:sz w:val="24"/>
          <w:lang w:eastAsia="en-AU"/>
        </w:rPr>
        <w:t>s</w:t>
      </w:r>
      <w:r w:rsidR="007864FE" w:rsidRPr="007864FE">
        <w:rPr>
          <w:rFonts w:ascii="Times New Roman" w:eastAsia="Times New Roman" w:hAnsi="Times New Roman" w:cs="Times New Roman"/>
          <w:sz w:val="24"/>
          <w:lang w:eastAsia="en-AU"/>
        </w:rPr>
        <w:t>, for the purposes of subsection 64(2) of the Act, additional amounts up to which the Commonwealth will make payments to ARENA for each financial year from 202</w:t>
      </w:r>
      <w:r w:rsidR="00A5364B">
        <w:rPr>
          <w:rFonts w:ascii="Times New Roman" w:eastAsia="Times New Roman" w:hAnsi="Times New Roman" w:cs="Times New Roman"/>
          <w:sz w:val="24"/>
          <w:lang w:eastAsia="en-AU"/>
        </w:rPr>
        <w:t>6</w:t>
      </w:r>
      <w:r w:rsidR="007864FE" w:rsidRPr="007864FE">
        <w:rPr>
          <w:rFonts w:ascii="Times New Roman" w:eastAsia="Times New Roman" w:hAnsi="Times New Roman" w:cs="Times New Roman"/>
          <w:sz w:val="24"/>
          <w:lang w:eastAsia="en-AU"/>
        </w:rPr>
        <w:t>-202</w:t>
      </w:r>
      <w:r w:rsidR="00A5364B">
        <w:rPr>
          <w:rFonts w:ascii="Times New Roman" w:eastAsia="Times New Roman" w:hAnsi="Times New Roman" w:cs="Times New Roman"/>
          <w:sz w:val="24"/>
          <w:lang w:eastAsia="en-AU"/>
        </w:rPr>
        <w:t>7</w:t>
      </w:r>
      <w:r w:rsidR="007864FE" w:rsidRPr="007864FE">
        <w:rPr>
          <w:rFonts w:ascii="Times New Roman" w:eastAsia="Times New Roman" w:hAnsi="Times New Roman" w:cs="Times New Roman"/>
          <w:sz w:val="24"/>
          <w:lang w:eastAsia="en-AU"/>
        </w:rPr>
        <w:t xml:space="preserve"> to 2036-2037. This </w:t>
      </w:r>
      <w:r w:rsidR="00D679F6">
        <w:rPr>
          <w:rFonts w:ascii="Times New Roman" w:eastAsia="Times New Roman" w:hAnsi="Times New Roman" w:cs="Times New Roman"/>
          <w:sz w:val="24"/>
          <w:lang w:eastAsia="en-AU"/>
        </w:rPr>
        <w:t>has</w:t>
      </w:r>
      <w:r w:rsidR="007864FE" w:rsidRPr="007864FE">
        <w:rPr>
          <w:rFonts w:ascii="Times New Roman" w:eastAsia="Times New Roman" w:hAnsi="Times New Roman" w:cs="Times New Roman"/>
          <w:sz w:val="24"/>
          <w:lang w:eastAsia="en-AU"/>
        </w:rPr>
        <w:t xml:space="preserve"> the effect of increasing the limit (as set out in the table under subsection 64(1) of the Act) on the amounts of payments the Commonwealth may make to ARENA in the respective financial year under section 64 of the Act. The additional amounts in the Regulations </w:t>
      </w:r>
      <w:r w:rsidR="001517A6">
        <w:rPr>
          <w:rFonts w:ascii="Times New Roman" w:eastAsia="Times New Roman" w:hAnsi="Times New Roman" w:cs="Times New Roman"/>
          <w:sz w:val="24"/>
          <w:lang w:eastAsia="en-AU"/>
        </w:rPr>
        <w:t xml:space="preserve">are </w:t>
      </w:r>
      <w:r w:rsidR="007864FE" w:rsidRPr="007864FE">
        <w:rPr>
          <w:rFonts w:ascii="Times New Roman" w:eastAsia="Times New Roman" w:hAnsi="Times New Roman" w:cs="Times New Roman"/>
          <w:sz w:val="24"/>
          <w:lang w:eastAsia="en-AU"/>
        </w:rPr>
        <w:t xml:space="preserve">associated with the allocation of funding for the purposes of the Hydrogen Headstart program. As the amounts to be paid to ARENA for that program were not settled at the time section 64 of the Act commenced, the Regulations include this </w:t>
      </w:r>
      <w:r w:rsidR="00DA0523">
        <w:rPr>
          <w:rFonts w:ascii="Times New Roman" w:eastAsia="Times New Roman" w:hAnsi="Times New Roman" w:cs="Times New Roman"/>
          <w:sz w:val="24"/>
          <w:lang w:eastAsia="en-AU"/>
        </w:rPr>
        <w:t xml:space="preserve">initial </w:t>
      </w:r>
      <w:r w:rsidR="007864FE" w:rsidRPr="007864FE">
        <w:rPr>
          <w:rFonts w:ascii="Times New Roman" w:eastAsia="Times New Roman" w:hAnsi="Times New Roman" w:cs="Times New Roman"/>
          <w:sz w:val="24"/>
          <w:lang w:eastAsia="en-AU"/>
        </w:rPr>
        <w:t>provision of additional amounts of payments to ARENA for the Hydrogen Headstart Program. This program aims to support large-scale renewable hydrogen projects through competitive hydrogen production contracts.</w:t>
      </w:r>
      <w:r w:rsidR="00DA0523">
        <w:rPr>
          <w:rFonts w:ascii="Times New Roman" w:eastAsia="Times New Roman" w:hAnsi="Times New Roman" w:cs="Times New Roman"/>
          <w:sz w:val="24"/>
          <w:lang w:eastAsia="en-AU"/>
        </w:rPr>
        <w:t xml:space="preserve"> Details of the program are available at: </w:t>
      </w:r>
      <w:r w:rsidR="00DA0523" w:rsidRPr="005F5D69">
        <w:rPr>
          <w:rFonts w:ascii="Times New Roman" w:eastAsia="Times New Roman" w:hAnsi="Times New Roman" w:cs="Times New Roman"/>
          <w:sz w:val="24"/>
          <w:lang w:eastAsia="en-AU"/>
        </w:rPr>
        <w:t>https://arena.gov.au/funding/hydrogen-headstart/</w:t>
      </w:r>
      <w:r w:rsidR="00DA0523">
        <w:rPr>
          <w:rFonts w:ascii="Times New Roman" w:eastAsia="Times New Roman" w:hAnsi="Times New Roman" w:cs="Times New Roman"/>
          <w:sz w:val="24"/>
          <w:lang w:eastAsia="en-AU"/>
        </w:rPr>
        <w:t xml:space="preserve"> and </w:t>
      </w:r>
      <w:r w:rsidR="00DA0523" w:rsidRPr="005F5D69">
        <w:rPr>
          <w:rFonts w:ascii="Times New Roman" w:eastAsia="Times New Roman" w:hAnsi="Times New Roman" w:cs="Times New Roman"/>
          <w:sz w:val="24"/>
          <w:lang w:eastAsia="en-AU"/>
        </w:rPr>
        <w:t>https://arena.gov.au/funding/hydrogen-headstart-round2/</w:t>
      </w:r>
      <w:r w:rsidR="00DA0523">
        <w:rPr>
          <w:rFonts w:ascii="Times New Roman" w:eastAsia="Times New Roman" w:hAnsi="Times New Roman" w:cs="Times New Roman"/>
          <w:sz w:val="24"/>
          <w:lang w:eastAsia="en-AU"/>
        </w:rPr>
        <w:t xml:space="preserve"> </w:t>
      </w:r>
      <w:r w:rsidR="00906200">
        <w:rPr>
          <w:rFonts w:ascii="Times New Roman" w:eastAsia="Times New Roman" w:hAnsi="Times New Roman" w:cs="Times New Roman"/>
          <w:sz w:val="24"/>
          <w:lang w:eastAsia="en-AU"/>
        </w:rPr>
        <w:t>with this initial provision related to the allocation for round 1</w:t>
      </w:r>
      <w:r w:rsidR="00DA0523">
        <w:rPr>
          <w:rFonts w:ascii="Times New Roman" w:eastAsia="Times New Roman" w:hAnsi="Times New Roman" w:cs="Times New Roman"/>
          <w:sz w:val="24"/>
          <w:lang w:eastAsia="en-AU"/>
        </w:rPr>
        <w:t>.</w:t>
      </w:r>
    </w:p>
    <w:p w14:paraId="5094DF27"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7A41AD49" w14:textId="4C85E562" w:rsidR="007864FE" w:rsidRPr="007864FE" w:rsidRDefault="007864FE" w:rsidP="007864FE">
      <w:pPr>
        <w:spacing w:after="0" w:line="276" w:lineRule="auto"/>
        <w:ind w:right="91"/>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 xml:space="preserve">For any payments to ARENA, consistent with the payment amount provided for by the Regulations, ARENA’s expenditure of the amount </w:t>
      </w:r>
      <w:r w:rsidR="0010355A">
        <w:rPr>
          <w:rFonts w:ascii="Times New Roman" w:eastAsia="Times New Roman" w:hAnsi="Times New Roman" w:cs="Times New Roman"/>
          <w:sz w:val="24"/>
          <w:lang w:eastAsia="en-AU"/>
        </w:rPr>
        <w:t>is</w:t>
      </w:r>
      <w:r w:rsidRPr="007864FE">
        <w:rPr>
          <w:rFonts w:ascii="Times New Roman" w:eastAsia="Times New Roman" w:hAnsi="Times New Roman" w:cs="Times New Roman"/>
          <w:sz w:val="24"/>
          <w:lang w:eastAsia="en-AU"/>
        </w:rPr>
        <w:t xml:space="preserve"> limited by statutory functions and the constitutional limits set out in section 14 of the Act. </w:t>
      </w:r>
    </w:p>
    <w:p w14:paraId="44A1CCB8"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0E378AC9" w14:textId="04F840FC" w:rsidR="007864FE" w:rsidRPr="007864FE" w:rsidRDefault="007864FE" w:rsidP="007864FE">
      <w:pPr>
        <w:spacing w:after="0" w:line="276" w:lineRule="auto"/>
        <w:ind w:right="91"/>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 xml:space="preserve">Subsection 14(2) of the Act sets out that the main constitutional basis of ARENA’s functions is the external affairs power (section 51 </w:t>
      </w:r>
      <w:r w:rsidR="001679FB">
        <w:rPr>
          <w:rFonts w:ascii="Times New Roman" w:eastAsia="Times New Roman" w:hAnsi="Times New Roman" w:cs="Times New Roman"/>
          <w:sz w:val="24"/>
          <w:lang w:eastAsia="en-AU"/>
        </w:rPr>
        <w:t>(</w:t>
      </w:r>
      <w:r w:rsidRPr="007864FE">
        <w:rPr>
          <w:rFonts w:ascii="Times New Roman" w:eastAsia="Times New Roman" w:hAnsi="Times New Roman" w:cs="Times New Roman"/>
          <w:sz w:val="24"/>
          <w:lang w:eastAsia="en-AU"/>
        </w:rPr>
        <w:t>xxix</w:t>
      </w:r>
      <w:r w:rsidR="001679FB">
        <w:rPr>
          <w:rFonts w:ascii="Times New Roman" w:eastAsia="Times New Roman" w:hAnsi="Times New Roman" w:cs="Times New Roman"/>
          <w:sz w:val="24"/>
          <w:lang w:eastAsia="en-AU"/>
        </w:rPr>
        <w:t>)</w:t>
      </w:r>
      <w:r w:rsidRPr="007864FE">
        <w:rPr>
          <w:rFonts w:ascii="Times New Roman" w:eastAsia="Times New Roman" w:hAnsi="Times New Roman" w:cs="Times New Roman"/>
          <w:sz w:val="24"/>
          <w:lang w:eastAsia="en-AU"/>
        </w:rPr>
        <w:t xml:space="preserve"> of the Constitution). Subsection 14(3) of the </w:t>
      </w:r>
      <w:r w:rsidRPr="007864FE">
        <w:rPr>
          <w:rFonts w:ascii="Times New Roman" w:eastAsia="Times New Roman" w:hAnsi="Times New Roman" w:cs="Times New Roman"/>
          <w:sz w:val="24"/>
          <w:lang w:eastAsia="en-AU"/>
        </w:rPr>
        <w:lastRenderedPageBreak/>
        <w:t>Act provides other constitutional bases for ARENA to perform its functions, including with respect to providing financial assistance for:</w:t>
      </w:r>
    </w:p>
    <w:p w14:paraId="03D3EFA1"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749CA636" w14:textId="77777777" w:rsidR="007864FE" w:rsidRPr="007864FE" w:rsidRDefault="007864FE" w:rsidP="007864FE">
      <w:pPr>
        <w:numPr>
          <w:ilvl w:val="0"/>
          <w:numId w:val="24"/>
        </w:numPr>
        <w:spacing w:after="0" w:line="276" w:lineRule="auto"/>
        <w:ind w:right="91"/>
        <w:contextualSpacing/>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research into renewable energy technologies, electrification technologies or energy efficiency technologies undertaken by constitutional corporations; or</w:t>
      </w:r>
    </w:p>
    <w:p w14:paraId="38A164B2" w14:textId="77777777" w:rsidR="007864FE" w:rsidRPr="007864FE" w:rsidRDefault="007864FE" w:rsidP="007864FE">
      <w:pPr>
        <w:numPr>
          <w:ilvl w:val="0"/>
          <w:numId w:val="24"/>
        </w:numPr>
        <w:spacing w:after="0" w:line="276" w:lineRule="auto"/>
        <w:ind w:right="91"/>
        <w:contextualSpacing/>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the development, manufacture, demonstration, commercialisation or deployment of renewable energy technologies, electrification technologies or energy efficiency technologies by constitutional corporations.</w:t>
      </w:r>
    </w:p>
    <w:p w14:paraId="22A0DCE7"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10475466"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Section 67(2) of the Act limits the application of ARENA’s moneys (which includes money paid under section 65 and any other money received by ARENA) to:</w:t>
      </w:r>
    </w:p>
    <w:p w14:paraId="1B7D95AA"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3BE34E9C" w14:textId="77777777" w:rsidR="007864FE" w:rsidRPr="007864FE" w:rsidRDefault="007864FE" w:rsidP="007864FE">
      <w:pPr>
        <w:numPr>
          <w:ilvl w:val="0"/>
          <w:numId w:val="25"/>
        </w:numPr>
        <w:spacing w:after="0" w:line="276" w:lineRule="auto"/>
        <w:ind w:right="91"/>
        <w:contextualSpacing/>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in providing financial assistance in accordance with the Act; and</w:t>
      </w:r>
    </w:p>
    <w:p w14:paraId="1A4B84D3" w14:textId="77777777" w:rsidR="007864FE" w:rsidRPr="007864FE" w:rsidRDefault="007864FE" w:rsidP="007864FE">
      <w:pPr>
        <w:numPr>
          <w:ilvl w:val="0"/>
          <w:numId w:val="25"/>
        </w:numPr>
        <w:spacing w:after="0" w:line="276" w:lineRule="auto"/>
        <w:ind w:right="91"/>
        <w:contextualSpacing/>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in payment of remuneration and allowances payable under the Act; and</w:t>
      </w:r>
    </w:p>
    <w:p w14:paraId="5E33576F" w14:textId="77777777" w:rsidR="007864FE" w:rsidRPr="007864FE" w:rsidRDefault="007864FE" w:rsidP="007864FE">
      <w:pPr>
        <w:numPr>
          <w:ilvl w:val="0"/>
          <w:numId w:val="25"/>
        </w:numPr>
        <w:spacing w:after="0" w:line="276" w:lineRule="auto"/>
        <w:ind w:right="91"/>
        <w:contextualSpacing/>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in payment or discharge of any other expenses, charges, obligations and liabilities incurred or undertaken by ARENA in the performance of its functions and the exercise of its powers.</w:t>
      </w:r>
    </w:p>
    <w:p w14:paraId="72AE33C8"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20058688"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 xml:space="preserve">ARENA’s expenditure is guided by the General Funding Strategy developed by the Board under section 19 of the Act having regard to the most recent statement of expectations for ARENA issued by the Minister and Finance Minister jointly, approval by the Minister under section 20 of the Act (subject to disallowance) and published on ARENA’s website under section 23 of the Act. </w:t>
      </w:r>
    </w:p>
    <w:p w14:paraId="0F06C116"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112A2CE1" w14:textId="77777777" w:rsidR="007864FE" w:rsidRDefault="007864FE" w:rsidP="007864FE">
      <w:pPr>
        <w:spacing w:after="0" w:line="276" w:lineRule="auto"/>
        <w:ind w:right="91"/>
        <w:rPr>
          <w:rFonts w:ascii="Times New Roman" w:eastAsia="Times New Roman" w:hAnsi="Times New Roman" w:cs="Times New Roman"/>
          <w:sz w:val="24"/>
          <w:lang w:eastAsia="en-AU"/>
        </w:rPr>
      </w:pPr>
      <w:r w:rsidRPr="007864FE">
        <w:rPr>
          <w:rFonts w:ascii="Times New Roman" w:eastAsia="Times New Roman" w:hAnsi="Times New Roman" w:cs="Times New Roman"/>
          <w:sz w:val="24"/>
          <w:lang w:eastAsia="en-AU"/>
        </w:rPr>
        <w:t xml:space="preserve">The current Australian Renewable Energy Agency (General Funding Strategy) Approval 2024 sets out that the Australian Government has provided funding to target priority sectors including renewable hydrogen, green metals, low-carbon liquid fuels, processing and refining of critical minerals and clean energy manufacturing. This relates to the following targeted programs: the Future Made in Australia Innovation Fund, the Battery Breakthrough Initiative, the Solar </w:t>
      </w:r>
      <w:proofErr w:type="spellStart"/>
      <w:r w:rsidRPr="007864FE">
        <w:rPr>
          <w:rFonts w:ascii="Times New Roman" w:eastAsia="Times New Roman" w:hAnsi="Times New Roman" w:cs="Times New Roman"/>
          <w:sz w:val="24"/>
          <w:lang w:eastAsia="en-AU"/>
        </w:rPr>
        <w:t>Sunshot</w:t>
      </w:r>
      <w:proofErr w:type="spellEnd"/>
      <w:r w:rsidRPr="007864FE">
        <w:rPr>
          <w:rFonts w:ascii="Times New Roman" w:eastAsia="Times New Roman" w:hAnsi="Times New Roman" w:cs="Times New Roman"/>
          <w:sz w:val="24"/>
          <w:lang w:eastAsia="en-AU"/>
        </w:rPr>
        <w:t xml:space="preserve"> program, the Industrial Transformation Stream as part of the Powering the Regions Fund, Hydrogen Headstart, and First Nations Community Microgrids stream as part of the Regional Microgrids Program.</w:t>
      </w:r>
    </w:p>
    <w:p w14:paraId="5386E695" w14:textId="77777777" w:rsidR="000465A2" w:rsidRPr="000465A2" w:rsidRDefault="000465A2" w:rsidP="000465A2">
      <w:pPr>
        <w:spacing w:after="0" w:line="276" w:lineRule="auto"/>
        <w:ind w:right="91"/>
        <w:rPr>
          <w:rFonts w:ascii="Times New Roman" w:eastAsia="Times New Roman" w:hAnsi="Times New Roman" w:cs="Times New Roman"/>
          <w:sz w:val="24"/>
          <w:lang w:eastAsia="en-AU"/>
        </w:rPr>
      </w:pPr>
    </w:p>
    <w:p w14:paraId="3502DE92" w14:textId="51CC3284" w:rsidR="00F87D87" w:rsidRPr="00DD205E" w:rsidRDefault="000465A2" w:rsidP="00DD205E">
      <w:pPr>
        <w:spacing w:after="0" w:line="276" w:lineRule="auto"/>
        <w:ind w:right="91"/>
        <w:rPr>
          <w:rFonts w:ascii="Times New Roman" w:eastAsia="Times New Roman" w:hAnsi="Times New Roman" w:cs="Times New Roman"/>
          <w:sz w:val="24"/>
          <w:lang w:eastAsia="en-AU"/>
        </w:rPr>
      </w:pPr>
      <w:r w:rsidRPr="000465A2">
        <w:rPr>
          <w:rFonts w:ascii="Times New Roman" w:eastAsia="Times New Roman" w:hAnsi="Times New Roman" w:cs="Times New Roman"/>
          <w:sz w:val="24"/>
          <w:lang w:eastAsia="en-AU"/>
        </w:rPr>
        <w:t>As a corporate Commonwealth entity, ARENA is accountable for its expenditure under the Public Governance, Performance and Accountability Act 2013, which (among other things) requires the accountable authority of the entity (in this case, the Board) to prepare and give an annual report on ARENA’s activities to the Minister, for presentation to the Parliament. Section 70 of the Act requires extra matters to be included in the annual report, including certain particulars for each person to whom financial assistance has been provided, or committed during the relevant period.</w:t>
      </w:r>
      <w:r w:rsidR="00F87D87" w:rsidRPr="005F5D69">
        <w:rPr>
          <w:rFonts w:ascii="Times New Roman" w:eastAsia="Times New Roman" w:hAnsi="Times New Roman" w:cs="Times New Roman"/>
          <w:sz w:val="24"/>
          <w:lang w:eastAsia="en-AU"/>
        </w:rPr>
        <w:br w:type="page"/>
      </w:r>
    </w:p>
    <w:p w14:paraId="1A087CF2" w14:textId="058070CE" w:rsidR="007864FE" w:rsidRPr="007864FE" w:rsidRDefault="007864FE" w:rsidP="007864FE">
      <w:pPr>
        <w:spacing w:after="0" w:line="276" w:lineRule="auto"/>
        <w:ind w:right="91"/>
        <w:rPr>
          <w:rFonts w:ascii="Times New Roman" w:eastAsia="Times New Roman" w:hAnsi="Times New Roman" w:cs="Times New Roman"/>
          <w:sz w:val="24"/>
          <w:u w:val="single"/>
          <w:lang w:eastAsia="en-AU"/>
        </w:rPr>
      </w:pPr>
      <w:r w:rsidRPr="007864FE">
        <w:rPr>
          <w:rFonts w:ascii="Times New Roman" w:eastAsia="Times New Roman" w:hAnsi="Times New Roman" w:cs="Times New Roman"/>
          <w:sz w:val="24"/>
          <w:u w:val="single"/>
          <w:lang w:eastAsia="en-AU"/>
        </w:rPr>
        <w:lastRenderedPageBreak/>
        <w:t>Schedule 1—</w:t>
      </w:r>
      <w:r w:rsidR="000B71FA">
        <w:rPr>
          <w:rFonts w:ascii="Times New Roman" w:eastAsia="Times New Roman" w:hAnsi="Times New Roman" w:cs="Times New Roman"/>
          <w:sz w:val="24"/>
          <w:u w:val="single"/>
          <w:lang w:eastAsia="en-AU"/>
        </w:rPr>
        <w:t>Repeals</w:t>
      </w:r>
    </w:p>
    <w:p w14:paraId="52AE1526" w14:textId="77777777" w:rsidR="007864FE" w:rsidRPr="007864FE" w:rsidRDefault="007864FE" w:rsidP="007864FE">
      <w:pPr>
        <w:spacing w:after="0" w:line="276" w:lineRule="auto"/>
        <w:ind w:right="91"/>
        <w:rPr>
          <w:rFonts w:ascii="Times New Roman" w:eastAsia="Times New Roman" w:hAnsi="Times New Roman" w:cs="Times New Roman"/>
          <w:sz w:val="24"/>
          <w:lang w:eastAsia="en-AU"/>
        </w:rPr>
      </w:pPr>
    </w:p>
    <w:p w14:paraId="7B6E2659" w14:textId="77777777" w:rsidR="007864FE" w:rsidRPr="007864FE" w:rsidRDefault="007864FE" w:rsidP="007864FE">
      <w:pPr>
        <w:spacing w:after="0" w:line="276" w:lineRule="auto"/>
        <w:ind w:right="91"/>
        <w:rPr>
          <w:rFonts w:ascii="Times New Roman" w:eastAsia="Times New Roman" w:hAnsi="Times New Roman" w:cs="Times New Roman"/>
          <w:b/>
          <w:bCs/>
          <w:i/>
          <w:iCs/>
          <w:sz w:val="24"/>
          <w:lang w:eastAsia="en-AU"/>
        </w:rPr>
      </w:pPr>
      <w:r w:rsidRPr="007864FE">
        <w:rPr>
          <w:rFonts w:ascii="Times New Roman" w:eastAsia="Times New Roman" w:hAnsi="Times New Roman" w:cs="Times New Roman"/>
          <w:b/>
          <w:bCs/>
          <w:i/>
          <w:iCs/>
          <w:sz w:val="24"/>
          <w:lang w:eastAsia="en-AU"/>
        </w:rPr>
        <w:t xml:space="preserve">Australian Renewable Energy Agency Regulation 2016 </w:t>
      </w:r>
    </w:p>
    <w:p w14:paraId="4BC2127A" w14:textId="77777777" w:rsidR="007864FE" w:rsidRPr="007864FE" w:rsidRDefault="007864FE" w:rsidP="007864FE">
      <w:pPr>
        <w:spacing w:after="0" w:line="276" w:lineRule="auto"/>
        <w:ind w:right="91"/>
        <w:rPr>
          <w:rFonts w:ascii="Times New Roman" w:eastAsia="Times New Roman" w:hAnsi="Times New Roman" w:cs="Times New Roman"/>
          <w:bCs/>
          <w:sz w:val="24"/>
          <w:lang w:eastAsia="en-AU"/>
        </w:rPr>
      </w:pPr>
    </w:p>
    <w:p w14:paraId="6F4BACC2" w14:textId="77777777" w:rsidR="007864FE" w:rsidRPr="007864FE" w:rsidRDefault="007864FE" w:rsidP="007864FE">
      <w:pPr>
        <w:spacing w:after="0" w:line="276" w:lineRule="auto"/>
        <w:ind w:right="91"/>
        <w:rPr>
          <w:rFonts w:ascii="Times New Roman" w:eastAsia="Times New Roman" w:hAnsi="Times New Roman" w:cs="Times New Roman"/>
          <w:b/>
          <w:sz w:val="24"/>
          <w:lang w:eastAsia="en-AU"/>
        </w:rPr>
      </w:pPr>
      <w:r w:rsidRPr="007864FE">
        <w:rPr>
          <w:rFonts w:ascii="Times New Roman" w:eastAsia="Times New Roman" w:hAnsi="Times New Roman" w:cs="Times New Roman"/>
          <w:b/>
          <w:sz w:val="24"/>
          <w:lang w:eastAsia="en-AU"/>
        </w:rPr>
        <w:t xml:space="preserve">Item 1 - The whole of the instrument. </w:t>
      </w:r>
    </w:p>
    <w:p w14:paraId="452F7188" w14:textId="77777777" w:rsidR="007864FE" w:rsidRPr="005F5D69" w:rsidRDefault="007864FE" w:rsidP="007864FE">
      <w:pPr>
        <w:spacing w:after="0" w:line="276" w:lineRule="auto"/>
        <w:ind w:right="91"/>
        <w:rPr>
          <w:rFonts w:ascii="Times New Roman" w:eastAsia="Times New Roman" w:hAnsi="Times New Roman" w:cs="Times New Roman"/>
          <w:bCs/>
          <w:sz w:val="24"/>
          <w:lang w:eastAsia="en-AU"/>
        </w:rPr>
      </w:pPr>
    </w:p>
    <w:p w14:paraId="2F5040E3" w14:textId="1BC6D531" w:rsidR="007D4A2B" w:rsidRPr="005F5D69" w:rsidRDefault="007864FE" w:rsidP="00F87D87">
      <w:pPr>
        <w:pStyle w:val="Normal-em"/>
        <w:spacing w:after="0" w:line="240" w:lineRule="auto"/>
        <w:rPr>
          <w:color w:val="auto"/>
          <w:szCs w:val="24"/>
        </w:rPr>
      </w:pPr>
      <w:r w:rsidRPr="007864FE">
        <w:rPr>
          <w:bCs/>
          <w:color w:val="auto"/>
          <w:lang w:eastAsia="en-AU"/>
        </w:rPr>
        <w:t xml:space="preserve">Item 1 </w:t>
      </w:r>
      <w:r w:rsidR="00F87D87">
        <w:rPr>
          <w:bCs/>
          <w:color w:val="auto"/>
          <w:lang w:eastAsia="en-AU"/>
        </w:rPr>
        <w:t>repeals</w:t>
      </w:r>
      <w:r w:rsidRPr="007864FE">
        <w:rPr>
          <w:bCs/>
          <w:color w:val="auto"/>
          <w:lang w:eastAsia="en-AU"/>
        </w:rPr>
        <w:t xml:space="preserve"> the entirety of the </w:t>
      </w:r>
      <w:r w:rsidRPr="007864FE">
        <w:rPr>
          <w:bCs/>
          <w:i/>
          <w:iCs/>
          <w:color w:val="auto"/>
          <w:lang w:eastAsia="en-AU"/>
        </w:rPr>
        <w:t>Australian Renewable Energy Agency Regulation 2016</w:t>
      </w:r>
      <w:r w:rsidRPr="007864FE">
        <w:rPr>
          <w:bCs/>
          <w:color w:val="auto"/>
          <w:lang w:eastAsia="en-AU"/>
        </w:rPr>
        <w:t>.</w:t>
      </w:r>
      <w:r w:rsidR="00DA0523">
        <w:rPr>
          <w:bCs/>
          <w:color w:val="auto"/>
          <w:lang w:eastAsia="en-AU"/>
        </w:rPr>
        <w:t xml:space="preserve"> This is possible as the power to make regulations in section 74 of the Act includes the power to repeal or vary regulations already in force.</w:t>
      </w:r>
      <w:r w:rsidRPr="005F5D69">
        <w:rPr>
          <w:color w:val="auto"/>
          <w:szCs w:val="24"/>
        </w:rPr>
        <w:br w:type="page"/>
      </w:r>
    </w:p>
    <w:p w14:paraId="2A315062" w14:textId="0ED51130" w:rsidR="2490220F" w:rsidRPr="00580562" w:rsidRDefault="2490220F" w:rsidP="63156A87">
      <w:pPr>
        <w:pStyle w:val="Normal-em"/>
        <w:spacing w:after="0" w:line="240" w:lineRule="auto"/>
        <w:jc w:val="right"/>
        <w:rPr>
          <w:b/>
          <w:bCs/>
          <w:color w:val="auto"/>
          <w:u w:val="single"/>
        </w:rPr>
      </w:pPr>
      <w:r w:rsidRPr="00580562">
        <w:rPr>
          <w:b/>
          <w:bCs/>
          <w:color w:val="auto"/>
          <w:u w:val="single"/>
        </w:rPr>
        <w:lastRenderedPageBreak/>
        <w:t>ATTACHMENT B</w:t>
      </w:r>
    </w:p>
    <w:p w14:paraId="3CBF4766" w14:textId="4A5039A8" w:rsidR="63156A87" w:rsidRPr="00580562" w:rsidRDefault="63156A87" w:rsidP="63156A87">
      <w:pPr>
        <w:pStyle w:val="Normal-em"/>
        <w:spacing w:after="0" w:line="240" w:lineRule="auto"/>
        <w:jc w:val="center"/>
        <w:rPr>
          <w:i/>
          <w:iCs/>
          <w:color w:val="auto"/>
        </w:rPr>
      </w:pPr>
    </w:p>
    <w:p w14:paraId="2BE7CE54" w14:textId="77777777" w:rsidR="002573BE" w:rsidRPr="00580562" w:rsidRDefault="002573BE" w:rsidP="002573BE">
      <w:pPr>
        <w:spacing w:after="0" w:line="240" w:lineRule="auto"/>
        <w:rPr>
          <w:rFonts w:ascii="Times New Roman" w:hAnsi="Times New Roman" w:cs="Times New Roman"/>
          <w:sz w:val="24"/>
          <w:szCs w:val="24"/>
        </w:rPr>
      </w:pPr>
    </w:p>
    <w:p w14:paraId="76E33D49" w14:textId="77777777" w:rsidR="002573BE" w:rsidRPr="00580562" w:rsidRDefault="002573BE" w:rsidP="002573BE">
      <w:pPr>
        <w:spacing w:after="0" w:line="240" w:lineRule="auto"/>
        <w:jc w:val="center"/>
        <w:rPr>
          <w:rFonts w:ascii="Times New Roman" w:hAnsi="Times New Roman" w:cs="Times New Roman"/>
          <w:b/>
          <w:sz w:val="24"/>
          <w:szCs w:val="24"/>
        </w:rPr>
      </w:pPr>
      <w:r w:rsidRPr="00580562">
        <w:rPr>
          <w:rFonts w:ascii="Times New Roman" w:hAnsi="Times New Roman" w:cs="Times New Roman"/>
          <w:b/>
          <w:sz w:val="24"/>
          <w:szCs w:val="24"/>
        </w:rPr>
        <w:t>Statement of Compatibility with Human Rights</w:t>
      </w:r>
    </w:p>
    <w:p w14:paraId="06B31262" w14:textId="77777777" w:rsidR="002573BE" w:rsidRPr="00580562" w:rsidRDefault="002573BE" w:rsidP="002573BE">
      <w:pPr>
        <w:spacing w:after="0" w:line="240" w:lineRule="auto"/>
        <w:jc w:val="center"/>
        <w:rPr>
          <w:rFonts w:ascii="Times New Roman" w:hAnsi="Times New Roman" w:cs="Times New Roman"/>
          <w:b/>
          <w:sz w:val="24"/>
          <w:szCs w:val="24"/>
        </w:rPr>
      </w:pPr>
    </w:p>
    <w:p w14:paraId="1ED4ECA1" w14:textId="77777777" w:rsidR="002573BE" w:rsidRPr="00580562" w:rsidRDefault="002573BE" w:rsidP="002573BE">
      <w:pPr>
        <w:spacing w:after="0" w:line="240" w:lineRule="auto"/>
        <w:jc w:val="center"/>
        <w:rPr>
          <w:rFonts w:ascii="Times New Roman" w:hAnsi="Times New Roman" w:cs="Times New Roman"/>
          <w:sz w:val="24"/>
          <w:szCs w:val="24"/>
        </w:rPr>
      </w:pPr>
      <w:r w:rsidRPr="00580562">
        <w:rPr>
          <w:rFonts w:ascii="Times New Roman" w:hAnsi="Times New Roman" w:cs="Times New Roman"/>
          <w:i/>
          <w:sz w:val="24"/>
          <w:szCs w:val="24"/>
        </w:rPr>
        <w:t>Prepared in accordance with Part 3 of the Human Rights (Parliamentary Scrutiny) Act 2011</w:t>
      </w:r>
    </w:p>
    <w:p w14:paraId="6986AAB6" w14:textId="77777777" w:rsidR="002573BE" w:rsidRPr="00580562" w:rsidRDefault="002573BE" w:rsidP="002573BE">
      <w:pPr>
        <w:spacing w:after="0" w:line="240" w:lineRule="auto"/>
        <w:jc w:val="center"/>
        <w:rPr>
          <w:rFonts w:ascii="Times New Roman" w:hAnsi="Times New Roman" w:cs="Times New Roman"/>
          <w:sz w:val="24"/>
          <w:szCs w:val="24"/>
        </w:rPr>
      </w:pPr>
    </w:p>
    <w:p w14:paraId="0028E8CA" w14:textId="77777777" w:rsidR="005312C4" w:rsidRPr="005312C4" w:rsidRDefault="005312C4" w:rsidP="005312C4">
      <w:pPr>
        <w:spacing w:after="0" w:line="240" w:lineRule="auto"/>
        <w:jc w:val="center"/>
        <w:rPr>
          <w:rFonts w:ascii="Times New Roman" w:eastAsia="Times New Roman" w:hAnsi="Times New Roman" w:cs="Times New Roman"/>
          <w:b/>
          <w:i/>
          <w:iCs/>
          <w:sz w:val="24"/>
          <w:lang w:eastAsia="en-AU"/>
        </w:rPr>
      </w:pPr>
      <w:r w:rsidRPr="005312C4">
        <w:rPr>
          <w:rFonts w:ascii="Times New Roman" w:eastAsia="Times New Roman" w:hAnsi="Times New Roman" w:cs="Times New Roman"/>
          <w:b/>
          <w:i/>
          <w:iCs/>
          <w:sz w:val="24"/>
          <w:lang w:eastAsia="en-AU"/>
        </w:rPr>
        <w:t>Australian Renewable Energy Agency Regulation 2025</w:t>
      </w:r>
    </w:p>
    <w:p w14:paraId="412C82D2" w14:textId="77777777" w:rsidR="00541221" w:rsidRDefault="00541221" w:rsidP="00541221">
      <w:pPr>
        <w:spacing w:after="0" w:line="240" w:lineRule="auto"/>
        <w:rPr>
          <w:rFonts w:ascii="Times New Roman" w:eastAsia="Times New Roman" w:hAnsi="Times New Roman" w:cs="Times New Roman"/>
          <w:sz w:val="24"/>
          <w:szCs w:val="24"/>
          <w:lang w:eastAsia="en-AU"/>
        </w:rPr>
      </w:pPr>
    </w:p>
    <w:p w14:paraId="25D024A6" w14:textId="0555A1CA" w:rsidR="00541221" w:rsidRPr="00541221" w:rsidRDefault="00541221" w:rsidP="00541221">
      <w:pPr>
        <w:spacing w:after="0" w:line="240" w:lineRule="auto"/>
        <w:rPr>
          <w:rFonts w:ascii="Times New Roman" w:eastAsia="Times New Roman" w:hAnsi="Times New Roman" w:cs="Times New Roman"/>
          <w:sz w:val="24"/>
          <w:szCs w:val="24"/>
          <w:lang w:eastAsia="en-AU"/>
        </w:rPr>
      </w:pPr>
      <w:r w:rsidRPr="00541221">
        <w:rPr>
          <w:rFonts w:ascii="Times New Roman" w:eastAsia="Times New Roman" w:hAnsi="Times New Roman" w:cs="Times New Roman"/>
          <w:sz w:val="24"/>
          <w:szCs w:val="24"/>
          <w:lang w:eastAsia="en-AU"/>
        </w:rPr>
        <w:t xml:space="preserve">This Legislative Instrument is compatible with the human rights and freedoms recognised or declared in the international instruments listed in section 3 of the </w:t>
      </w:r>
      <w:r w:rsidRPr="00541221">
        <w:rPr>
          <w:rFonts w:ascii="Times New Roman" w:eastAsia="Times New Roman" w:hAnsi="Times New Roman" w:cs="Times New Roman"/>
          <w:i/>
          <w:sz w:val="24"/>
          <w:szCs w:val="24"/>
          <w:lang w:eastAsia="en-AU"/>
        </w:rPr>
        <w:t>Human Rights (Parliamentary Scrutiny) Act 2011</w:t>
      </w:r>
      <w:r w:rsidRPr="00541221">
        <w:rPr>
          <w:rFonts w:ascii="Times New Roman" w:eastAsia="Times New Roman" w:hAnsi="Times New Roman" w:cs="Times New Roman"/>
          <w:sz w:val="24"/>
          <w:szCs w:val="24"/>
          <w:lang w:eastAsia="en-AU"/>
        </w:rPr>
        <w:t>.</w:t>
      </w:r>
    </w:p>
    <w:p w14:paraId="3D1ABCE9" w14:textId="77777777" w:rsidR="00541221" w:rsidRPr="00541221" w:rsidRDefault="00541221" w:rsidP="00541221">
      <w:pPr>
        <w:spacing w:after="0" w:line="240" w:lineRule="auto"/>
        <w:rPr>
          <w:rFonts w:ascii="Times New Roman" w:eastAsia="Times New Roman" w:hAnsi="Times New Roman" w:cs="Times New Roman"/>
          <w:sz w:val="24"/>
          <w:szCs w:val="24"/>
          <w:lang w:eastAsia="en-AU"/>
        </w:rPr>
      </w:pPr>
    </w:p>
    <w:p w14:paraId="45CE10DC" w14:textId="77777777" w:rsidR="00541221" w:rsidRPr="00541221" w:rsidRDefault="00541221" w:rsidP="00541221">
      <w:pPr>
        <w:keepNext/>
        <w:tabs>
          <w:tab w:val="left" w:pos="1987"/>
        </w:tabs>
        <w:spacing w:after="0" w:line="240" w:lineRule="auto"/>
        <w:outlineLvl w:val="3"/>
        <w:rPr>
          <w:rFonts w:ascii="Times New Roman" w:eastAsia="Times New Roman" w:hAnsi="Times New Roman" w:cs="Times New Roman"/>
          <w:b/>
          <w:kern w:val="28"/>
          <w:sz w:val="24"/>
          <w:szCs w:val="24"/>
          <w:lang w:eastAsia="en-AU"/>
        </w:rPr>
      </w:pPr>
      <w:r w:rsidRPr="00541221">
        <w:rPr>
          <w:rFonts w:ascii="Times New Roman" w:eastAsia="Times New Roman" w:hAnsi="Times New Roman" w:cs="Times New Roman"/>
          <w:b/>
          <w:kern w:val="28"/>
          <w:sz w:val="24"/>
          <w:szCs w:val="24"/>
          <w:lang w:eastAsia="en-AU"/>
        </w:rPr>
        <w:t>Overview of the Legislative Instrument</w:t>
      </w:r>
    </w:p>
    <w:p w14:paraId="0D699613" w14:textId="77777777" w:rsidR="00541221" w:rsidRPr="00541221" w:rsidRDefault="00541221" w:rsidP="00541221">
      <w:pPr>
        <w:spacing w:after="0" w:line="240" w:lineRule="auto"/>
        <w:rPr>
          <w:rFonts w:ascii="Times New Roman" w:eastAsia="Times New Roman" w:hAnsi="Times New Roman" w:cs="Times New Roman"/>
          <w:sz w:val="24"/>
          <w:szCs w:val="24"/>
          <w:lang w:eastAsia="en-AU"/>
        </w:rPr>
      </w:pPr>
    </w:p>
    <w:p w14:paraId="21DCE396" w14:textId="77777777" w:rsidR="00D03CDF" w:rsidRDefault="00541221" w:rsidP="00541221">
      <w:pPr>
        <w:spacing w:after="0" w:line="240" w:lineRule="auto"/>
        <w:rPr>
          <w:rFonts w:ascii="Times New Roman" w:eastAsia="Times New Roman" w:hAnsi="Times New Roman" w:cs="Times New Roman"/>
          <w:sz w:val="24"/>
          <w:lang w:eastAsia="en-AU"/>
        </w:rPr>
      </w:pPr>
      <w:r w:rsidRPr="00541221">
        <w:rPr>
          <w:rFonts w:ascii="Times New Roman" w:eastAsia="Times New Roman" w:hAnsi="Times New Roman" w:cs="Times New Roman"/>
          <w:sz w:val="24"/>
          <w:szCs w:val="24"/>
          <w:lang w:eastAsia="en-AU"/>
        </w:rPr>
        <w:t xml:space="preserve">The </w:t>
      </w:r>
      <w:r w:rsidRPr="00541221">
        <w:rPr>
          <w:rFonts w:ascii="Times New Roman" w:eastAsia="Times New Roman" w:hAnsi="Times New Roman" w:cs="Times New Roman"/>
          <w:i/>
          <w:iCs/>
          <w:sz w:val="24"/>
          <w:lang w:eastAsia="en-AU"/>
        </w:rPr>
        <w:t>Australian Renewable Energy Agency Regulation 2025</w:t>
      </w:r>
      <w:r w:rsidRPr="00541221">
        <w:rPr>
          <w:rFonts w:ascii="Times New Roman" w:eastAsia="Times New Roman" w:hAnsi="Times New Roman" w:cs="Times New Roman"/>
          <w:iCs/>
          <w:sz w:val="24"/>
          <w:lang w:eastAsia="en-AU"/>
        </w:rPr>
        <w:t xml:space="preserve"> </w:t>
      </w:r>
      <w:r w:rsidR="007E2E6B">
        <w:rPr>
          <w:rFonts w:ascii="Times New Roman" w:eastAsia="Times New Roman" w:hAnsi="Times New Roman" w:cs="Times New Roman"/>
          <w:iCs/>
          <w:sz w:val="24"/>
          <w:lang w:eastAsia="en-AU"/>
        </w:rPr>
        <w:t xml:space="preserve">(the Regulations) </w:t>
      </w:r>
      <w:r w:rsidRPr="00541221">
        <w:rPr>
          <w:rFonts w:ascii="Times New Roman" w:eastAsia="Times New Roman" w:hAnsi="Times New Roman" w:cs="Times New Roman"/>
          <w:sz w:val="24"/>
          <w:lang w:eastAsia="en-AU"/>
        </w:rPr>
        <w:t>expands the legislated functions of the Australian Renewable Energy Agency</w:t>
      </w:r>
      <w:r w:rsidR="00D03CDF">
        <w:rPr>
          <w:rFonts w:ascii="Times New Roman" w:eastAsia="Times New Roman" w:hAnsi="Times New Roman" w:cs="Times New Roman"/>
          <w:sz w:val="24"/>
          <w:lang w:eastAsia="en-AU"/>
        </w:rPr>
        <w:t xml:space="preserve"> (ARENA)</w:t>
      </w:r>
      <w:r w:rsidRPr="00541221">
        <w:rPr>
          <w:rFonts w:ascii="Times New Roman" w:eastAsia="Times New Roman" w:hAnsi="Times New Roman" w:cs="Times New Roman"/>
          <w:sz w:val="24"/>
          <w:lang w:eastAsia="en-AU"/>
        </w:rPr>
        <w:t xml:space="preserve"> to enable it to work with the Clean Energy Finance Corporation on administering the Clean Energy Innovation Fund.</w:t>
      </w:r>
      <w:r>
        <w:rPr>
          <w:rFonts w:ascii="Times New Roman" w:eastAsia="Times New Roman" w:hAnsi="Times New Roman" w:cs="Times New Roman"/>
          <w:sz w:val="24"/>
          <w:lang w:eastAsia="en-AU"/>
        </w:rPr>
        <w:t xml:space="preserve"> </w:t>
      </w:r>
    </w:p>
    <w:p w14:paraId="3858DC7F" w14:textId="77777777" w:rsidR="00D03CDF" w:rsidRDefault="00D03CDF" w:rsidP="00541221">
      <w:pPr>
        <w:spacing w:after="0" w:line="240" w:lineRule="auto"/>
        <w:rPr>
          <w:rFonts w:ascii="Times New Roman" w:eastAsia="Times New Roman" w:hAnsi="Times New Roman" w:cs="Times New Roman"/>
          <w:sz w:val="24"/>
          <w:lang w:eastAsia="en-AU"/>
        </w:rPr>
      </w:pPr>
    </w:p>
    <w:p w14:paraId="26AF1BB0" w14:textId="3213B022" w:rsidR="00541221" w:rsidRPr="00541221" w:rsidRDefault="00541221" w:rsidP="00541221">
      <w:pPr>
        <w:spacing w:after="0" w:line="240" w:lineRule="auto"/>
        <w:rPr>
          <w:rFonts w:ascii="Times New Roman" w:eastAsia="Times New Roman" w:hAnsi="Times New Roman" w:cs="Times New Roman"/>
          <w:sz w:val="24"/>
          <w:lang w:eastAsia="en-AU"/>
        </w:rPr>
      </w:pPr>
      <w:r>
        <w:rPr>
          <w:rFonts w:ascii="Times New Roman" w:eastAsia="Times New Roman" w:hAnsi="Times New Roman" w:cs="Times New Roman"/>
          <w:sz w:val="24"/>
          <w:lang w:eastAsia="en-AU"/>
        </w:rPr>
        <w:t xml:space="preserve">The </w:t>
      </w:r>
      <w:r w:rsidR="007E2E6B">
        <w:rPr>
          <w:rFonts w:ascii="Times New Roman" w:eastAsia="Times New Roman" w:hAnsi="Times New Roman" w:cs="Times New Roman"/>
          <w:sz w:val="24"/>
          <w:lang w:eastAsia="en-AU"/>
        </w:rPr>
        <w:t xml:space="preserve">Regulations also prescribe amounts up to which the Commonwealth may make payment to </w:t>
      </w:r>
      <w:r w:rsidR="00D03CDF">
        <w:rPr>
          <w:rFonts w:ascii="Times New Roman" w:eastAsia="Times New Roman" w:hAnsi="Times New Roman" w:cs="Times New Roman"/>
          <w:sz w:val="24"/>
          <w:lang w:eastAsia="en-AU"/>
        </w:rPr>
        <w:t xml:space="preserve">ARENA further to those set out in the table in section 64(1) of the </w:t>
      </w:r>
      <w:r w:rsidR="00D03CDF" w:rsidRPr="00D03CDF">
        <w:rPr>
          <w:rFonts w:ascii="Times New Roman" w:eastAsia="Times New Roman" w:hAnsi="Times New Roman" w:cs="Times New Roman"/>
          <w:i/>
          <w:iCs/>
          <w:sz w:val="24"/>
          <w:lang w:eastAsia="en-AU"/>
        </w:rPr>
        <w:t>Australian Renewable Energy Agency Act 2011</w:t>
      </w:r>
      <w:r w:rsidR="00D03CDF">
        <w:rPr>
          <w:rFonts w:ascii="Times New Roman" w:eastAsia="Times New Roman" w:hAnsi="Times New Roman" w:cs="Times New Roman"/>
          <w:sz w:val="24"/>
          <w:lang w:eastAsia="en-AU"/>
        </w:rPr>
        <w:t xml:space="preserve">. </w:t>
      </w:r>
    </w:p>
    <w:p w14:paraId="26C5FF0A" w14:textId="77777777" w:rsidR="00541221" w:rsidRPr="00541221" w:rsidRDefault="00541221" w:rsidP="00541221">
      <w:pPr>
        <w:spacing w:after="0" w:line="240" w:lineRule="auto"/>
        <w:rPr>
          <w:rFonts w:ascii="Times New Roman" w:eastAsia="Times New Roman" w:hAnsi="Times New Roman" w:cs="Times New Roman"/>
          <w:sz w:val="24"/>
          <w:szCs w:val="24"/>
          <w:lang w:eastAsia="en-AU"/>
        </w:rPr>
      </w:pPr>
    </w:p>
    <w:p w14:paraId="14D5DCC8" w14:textId="77777777" w:rsidR="00541221" w:rsidRPr="00541221" w:rsidRDefault="00541221" w:rsidP="00541221">
      <w:pPr>
        <w:keepNext/>
        <w:tabs>
          <w:tab w:val="left" w:pos="1987"/>
        </w:tabs>
        <w:spacing w:after="0" w:line="240" w:lineRule="auto"/>
        <w:outlineLvl w:val="3"/>
        <w:rPr>
          <w:rFonts w:ascii="Times New Roman" w:eastAsia="Times New Roman" w:hAnsi="Times New Roman" w:cs="Times New Roman"/>
          <w:b/>
          <w:kern w:val="28"/>
          <w:sz w:val="24"/>
          <w:szCs w:val="24"/>
          <w:lang w:eastAsia="en-AU"/>
        </w:rPr>
      </w:pPr>
      <w:r w:rsidRPr="00541221">
        <w:rPr>
          <w:rFonts w:ascii="Times New Roman" w:eastAsia="Times New Roman" w:hAnsi="Times New Roman" w:cs="Times New Roman"/>
          <w:b/>
          <w:kern w:val="28"/>
          <w:sz w:val="24"/>
          <w:szCs w:val="24"/>
          <w:lang w:eastAsia="en-AU"/>
        </w:rPr>
        <w:t>Human rights implication</w:t>
      </w:r>
    </w:p>
    <w:p w14:paraId="6B839655" w14:textId="77777777" w:rsidR="00541221" w:rsidRPr="00541221" w:rsidRDefault="00541221" w:rsidP="00541221">
      <w:pPr>
        <w:spacing w:after="0" w:line="240" w:lineRule="auto"/>
        <w:rPr>
          <w:rFonts w:ascii="Times New Roman" w:eastAsia="Times New Roman" w:hAnsi="Times New Roman" w:cs="Times New Roman"/>
          <w:sz w:val="24"/>
          <w:szCs w:val="24"/>
          <w:lang w:eastAsia="en-AU"/>
        </w:rPr>
      </w:pPr>
    </w:p>
    <w:p w14:paraId="322B2521" w14:textId="77777777" w:rsidR="00541221" w:rsidRPr="00541221" w:rsidRDefault="00541221" w:rsidP="00541221">
      <w:pPr>
        <w:spacing w:after="0" w:line="240" w:lineRule="auto"/>
        <w:rPr>
          <w:rFonts w:ascii="Times New Roman" w:eastAsia="Times New Roman" w:hAnsi="Times New Roman" w:cs="Times New Roman"/>
          <w:sz w:val="24"/>
          <w:szCs w:val="24"/>
          <w:lang w:eastAsia="en-AU"/>
        </w:rPr>
      </w:pPr>
      <w:r w:rsidRPr="00541221">
        <w:rPr>
          <w:rFonts w:ascii="Times New Roman" w:eastAsia="Times New Roman" w:hAnsi="Times New Roman" w:cs="Times New Roman"/>
          <w:sz w:val="24"/>
          <w:szCs w:val="24"/>
          <w:lang w:eastAsia="en-AU"/>
        </w:rPr>
        <w:t>This Legislative Instrument does not engage any of the applicable human rights or freedoms.</w:t>
      </w:r>
    </w:p>
    <w:p w14:paraId="3C3C2C58" w14:textId="77777777" w:rsidR="00541221" w:rsidRPr="00541221" w:rsidRDefault="00541221" w:rsidP="00541221">
      <w:pPr>
        <w:spacing w:after="0" w:line="240" w:lineRule="auto"/>
        <w:rPr>
          <w:rFonts w:ascii="Times New Roman" w:eastAsia="Times New Roman" w:hAnsi="Times New Roman" w:cs="Times New Roman"/>
          <w:sz w:val="24"/>
          <w:szCs w:val="24"/>
          <w:lang w:eastAsia="en-AU"/>
        </w:rPr>
      </w:pPr>
    </w:p>
    <w:p w14:paraId="6B7DFF23" w14:textId="77777777" w:rsidR="00541221" w:rsidRPr="00541221" w:rsidRDefault="00541221" w:rsidP="00541221">
      <w:pPr>
        <w:keepNext/>
        <w:tabs>
          <w:tab w:val="left" w:pos="1987"/>
        </w:tabs>
        <w:spacing w:after="0" w:line="240" w:lineRule="auto"/>
        <w:outlineLvl w:val="3"/>
        <w:rPr>
          <w:rFonts w:ascii="Times New Roman" w:eastAsia="Times New Roman" w:hAnsi="Times New Roman" w:cs="Times New Roman"/>
          <w:b/>
          <w:kern w:val="28"/>
          <w:sz w:val="24"/>
          <w:szCs w:val="24"/>
          <w:lang w:eastAsia="en-AU"/>
        </w:rPr>
      </w:pPr>
      <w:r w:rsidRPr="00541221">
        <w:rPr>
          <w:rFonts w:ascii="Times New Roman" w:eastAsia="Times New Roman" w:hAnsi="Times New Roman" w:cs="Times New Roman"/>
          <w:b/>
          <w:kern w:val="28"/>
          <w:sz w:val="24"/>
          <w:szCs w:val="24"/>
          <w:lang w:eastAsia="en-AU"/>
        </w:rPr>
        <w:t>Conclusion</w:t>
      </w:r>
    </w:p>
    <w:p w14:paraId="5BB1D361" w14:textId="77777777" w:rsidR="00541221" w:rsidRPr="00541221" w:rsidRDefault="00541221" w:rsidP="00541221">
      <w:pPr>
        <w:spacing w:after="0" w:line="240" w:lineRule="auto"/>
        <w:rPr>
          <w:rFonts w:ascii="Times New Roman" w:eastAsia="Times New Roman" w:hAnsi="Times New Roman" w:cs="Times New Roman"/>
          <w:sz w:val="24"/>
          <w:szCs w:val="24"/>
          <w:lang w:eastAsia="en-AU"/>
        </w:rPr>
      </w:pPr>
    </w:p>
    <w:p w14:paraId="50071F35" w14:textId="77777777" w:rsidR="00541221" w:rsidRPr="00541221" w:rsidRDefault="00541221" w:rsidP="00541221">
      <w:pPr>
        <w:spacing w:after="0" w:line="240" w:lineRule="auto"/>
        <w:rPr>
          <w:rFonts w:ascii="Times New Roman" w:eastAsia="Times New Roman" w:hAnsi="Times New Roman" w:cs="Times New Roman"/>
          <w:sz w:val="24"/>
          <w:szCs w:val="24"/>
          <w:lang w:eastAsia="en-AU"/>
        </w:rPr>
      </w:pPr>
      <w:r w:rsidRPr="00541221">
        <w:rPr>
          <w:rFonts w:ascii="Times New Roman" w:eastAsia="Times New Roman" w:hAnsi="Times New Roman" w:cs="Times New Roman"/>
          <w:sz w:val="24"/>
          <w:szCs w:val="24"/>
          <w:lang w:eastAsia="en-AU"/>
        </w:rPr>
        <w:t>This Legislative Instrument is compatible with human rights as it does not raise any human rights issues.</w:t>
      </w:r>
    </w:p>
    <w:p w14:paraId="3C450E78" w14:textId="77777777" w:rsidR="00541221" w:rsidRPr="00541221" w:rsidRDefault="00541221" w:rsidP="00541221">
      <w:pPr>
        <w:spacing w:after="0" w:line="240" w:lineRule="auto"/>
        <w:rPr>
          <w:rFonts w:ascii="Times New Roman" w:eastAsia="Times New Roman" w:hAnsi="Times New Roman" w:cs="Times New Roman"/>
          <w:sz w:val="24"/>
          <w:szCs w:val="24"/>
          <w:lang w:eastAsia="en-AU"/>
        </w:rPr>
      </w:pPr>
    </w:p>
    <w:p w14:paraId="4048DFBF" w14:textId="77777777" w:rsidR="00541221" w:rsidRPr="00541221" w:rsidRDefault="00541221" w:rsidP="00541221">
      <w:pPr>
        <w:spacing w:after="0" w:line="240" w:lineRule="auto"/>
        <w:rPr>
          <w:rFonts w:ascii="Times New Roman" w:eastAsia="Times New Roman" w:hAnsi="Times New Roman" w:cs="Times New Roman"/>
          <w:sz w:val="24"/>
          <w:szCs w:val="24"/>
          <w:lang w:eastAsia="en-AU"/>
        </w:rPr>
      </w:pPr>
    </w:p>
    <w:p w14:paraId="46BC672C" w14:textId="77777777" w:rsidR="00541221" w:rsidRPr="00541221" w:rsidRDefault="00541221" w:rsidP="00541221">
      <w:pPr>
        <w:spacing w:after="0" w:line="240" w:lineRule="auto"/>
        <w:jc w:val="center"/>
        <w:rPr>
          <w:rFonts w:ascii="Times New Roman" w:eastAsia="Times New Roman" w:hAnsi="Times New Roman" w:cs="Times New Roman"/>
          <w:b/>
          <w:sz w:val="24"/>
          <w:szCs w:val="24"/>
          <w:lang w:eastAsia="en-AU"/>
        </w:rPr>
      </w:pPr>
      <w:r w:rsidRPr="00541221">
        <w:rPr>
          <w:rFonts w:ascii="Times New Roman" w:eastAsia="Times New Roman" w:hAnsi="Times New Roman" w:cs="Times New Roman"/>
          <w:b/>
          <w:sz w:val="24"/>
          <w:szCs w:val="24"/>
          <w:lang w:eastAsia="en-AU"/>
        </w:rPr>
        <w:t>The Hon Chris Bowen MP</w:t>
      </w:r>
    </w:p>
    <w:p w14:paraId="659A97A3" w14:textId="1779D3F5" w:rsidR="002573BE" w:rsidRPr="00D03CDF" w:rsidRDefault="00541221" w:rsidP="00D03CDF">
      <w:pPr>
        <w:spacing w:after="0" w:line="240" w:lineRule="auto"/>
        <w:jc w:val="center"/>
        <w:rPr>
          <w:rFonts w:ascii="Times New Roman" w:eastAsia="Times New Roman" w:hAnsi="Times New Roman" w:cs="Times New Roman"/>
          <w:b/>
          <w:sz w:val="24"/>
          <w:szCs w:val="24"/>
          <w:lang w:eastAsia="en-AU"/>
        </w:rPr>
      </w:pPr>
      <w:r w:rsidRPr="00541221">
        <w:rPr>
          <w:rFonts w:ascii="Times New Roman" w:eastAsia="Times New Roman" w:hAnsi="Times New Roman" w:cs="Times New Roman"/>
          <w:b/>
          <w:sz w:val="24"/>
          <w:szCs w:val="24"/>
          <w:lang w:eastAsia="en-AU"/>
        </w:rPr>
        <w:t>Minister for Climate Change and Energy</w:t>
      </w:r>
    </w:p>
    <w:sectPr w:rsidR="002573BE" w:rsidRPr="00D03CDF" w:rsidSect="000B41DE">
      <w:headerReference w:type="even" r:id="rId11"/>
      <w:footerReference w:type="even" r:id="rId12"/>
      <w:footerReference w:type="default" r:id="rId13"/>
      <w:headerReference w:type="first" r:id="rId14"/>
      <w:footerReference w:type="first" r:id="rId15"/>
      <w:pgSz w:w="11907" w:h="16840" w:code="9"/>
      <w:pgMar w:top="1418" w:right="1418" w:bottom="1418" w:left="1418"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2E17D" w14:textId="77777777" w:rsidR="00E9792C" w:rsidRDefault="00E9792C" w:rsidP="00151C54">
      <w:r>
        <w:separator/>
      </w:r>
    </w:p>
  </w:endnote>
  <w:endnote w:type="continuationSeparator" w:id="0">
    <w:p w14:paraId="5A77AD6B" w14:textId="77777777" w:rsidR="00E9792C" w:rsidRDefault="00E9792C" w:rsidP="00151C54">
      <w:r>
        <w:continuationSeparator/>
      </w:r>
    </w:p>
  </w:endnote>
  <w:endnote w:type="continuationNotice" w:id="1">
    <w:p w14:paraId="360CCDD4" w14:textId="77777777" w:rsidR="00E9792C" w:rsidRDefault="00E97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66087" w14:textId="26D7A97D" w:rsidR="00697805" w:rsidRDefault="00355DF2">
    <w:pPr>
      <w:pStyle w:val="Footer"/>
    </w:pPr>
    <w:r>
      <w:rPr>
        <w:noProof/>
      </w:rPr>
      <mc:AlternateContent>
        <mc:Choice Requires="wps">
          <w:drawing>
            <wp:anchor distT="0" distB="0" distL="0" distR="0" simplePos="0" relativeHeight="251658243" behindDoc="0" locked="0" layoutInCell="1" allowOverlap="1" wp14:anchorId="3A8DE100" wp14:editId="5BE6442B">
              <wp:simplePos x="635" y="635"/>
              <wp:positionH relativeFrom="page">
                <wp:align>center</wp:align>
              </wp:positionH>
              <wp:positionV relativeFrom="page">
                <wp:align>bottom</wp:align>
              </wp:positionV>
              <wp:extent cx="551815" cy="394970"/>
              <wp:effectExtent l="0" t="0" r="635" b="0"/>
              <wp:wrapNone/>
              <wp:docPr id="96757267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51BF8A84" w14:textId="3C31D9AC" w:rsidR="00355DF2" w:rsidRPr="00355DF2" w:rsidRDefault="00355DF2" w:rsidP="00355DF2">
                          <w:pPr>
                            <w:spacing w:after="0"/>
                            <w:rPr>
                              <w:rFonts w:ascii="Calibri" w:eastAsia="Calibri" w:hAnsi="Calibri" w:cs="Calibri"/>
                              <w:noProof/>
                              <w:color w:val="FF0000"/>
                              <w:sz w:val="24"/>
                              <w:szCs w:val="24"/>
                            </w:rPr>
                          </w:pPr>
                          <w:r w:rsidRPr="00355DF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A8DE100" id="_x0000_t202" coordsize="21600,21600" o:spt="202" path="m,l,21600r21600,l21600,xe">
              <v:stroke joinstyle="miter"/>
              <v:path gradientshapeok="t" o:connecttype="rect"/>
            </v:shapetype>
            <v:shape id="Text Box 5" o:spid="_x0000_s1027" type="#_x0000_t202" alt="OFFICIAL" style="position:absolute;margin-left:0;margin-top:0;width:43.45pt;height:31.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" filled="f" stroked="f">
              <v:fill o:detectmouseclick="t"/>
              <v:textbox style="mso-fit-shape-to-text:t" inset="0,0,0,15pt">
                <w:txbxContent>
                  <w:p w14:paraId="51BF8A84" w14:textId="3C31D9AC" w:rsidR="00355DF2" w:rsidRPr="00355DF2" w:rsidRDefault="00355DF2" w:rsidP="00355DF2">
                    <w:pPr>
                      <w:spacing w:after="0"/>
                      <w:rPr>
                        <w:rFonts w:ascii="Calibri" w:eastAsia="Calibri" w:hAnsi="Calibri" w:cs="Calibri"/>
                        <w:noProof/>
                        <w:color w:val="FF0000"/>
                        <w:sz w:val="24"/>
                        <w:szCs w:val="24"/>
                      </w:rPr>
                    </w:pPr>
                    <w:r w:rsidRPr="00355DF2">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B30F" w14:textId="322B5D55" w:rsidR="009A2F1E" w:rsidRPr="000B41DE" w:rsidRDefault="00355DF2" w:rsidP="00986882">
    <w:pPr>
      <w:pStyle w:val="Footer"/>
      <w:spacing w:after="0"/>
      <w:jc w:val="center"/>
      <w:rPr>
        <w:rFonts w:ascii="Times New Roman" w:hAnsi="Times New Roman" w:cs="Times New Roman"/>
        <w:noProof/>
        <w:sz w:val="20"/>
        <w:szCs w:val="22"/>
      </w:rPr>
    </w:pPr>
    <w:sdt>
      <w:sdtPr>
        <w:rPr>
          <w:rFonts w:ascii="Times New Roman" w:hAnsi="Times New Roman" w:cs="Times New Roman"/>
          <w:sz w:val="20"/>
          <w:szCs w:val="22"/>
        </w:rPr>
        <w:id w:val="-220903536"/>
        <w:docPartObj>
          <w:docPartGallery w:val="Page Numbers (Bottom of Page)"/>
          <w:docPartUnique/>
        </w:docPartObj>
      </w:sdtPr>
      <w:sdtEndPr>
        <w:rPr>
          <w:noProof/>
        </w:rPr>
      </w:sdtEndPr>
      <w:sdtContent>
        <w:r w:rsidR="005B1022" w:rsidRPr="000B41DE">
          <w:rPr>
            <w:rFonts w:ascii="Times New Roman" w:hAnsi="Times New Roman" w:cs="Times New Roman"/>
            <w:sz w:val="20"/>
            <w:szCs w:val="22"/>
          </w:rPr>
          <w:fldChar w:fldCharType="begin"/>
        </w:r>
        <w:r w:rsidR="005B1022" w:rsidRPr="000B41DE">
          <w:rPr>
            <w:rFonts w:ascii="Times New Roman" w:hAnsi="Times New Roman" w:cs="Times New Roman"/>
            <w:sz w:val="20"/>
            <w:szCs w:val="22"/>
          </w:rPr>
          <w:instrText xml:space="preserve"> PAGE   \* MERGEFORMAT </w:instrText>
        </w:r>
        <w:r w:rsidR="005B1022" w:rsidRPr="000B41DE">
          <w:rPr>
            <w:rFonts w:ascii="Times New Roman" w:hAnsi="Times New Roman" w:cs="Times New Roman"/>
            <w:sz w:val="20"/>
            <w:szCs w:val="22"/>
          </w:rPr>
          <w:fldChar w:fldCharType="separate"/>
        </w:r>
        <w:r w:rsidR="005B1022" w:rsidRPr="000B41DE">
          <w:rPr>
            <w:rFonts w:ascii="Times New Roman" w:hAnsi="Times New Roman" w:cs="Times New Roman"/>
            <w:noProof/>
            <w:sz w:val="20"/>
            <w:szCs w:val="22"/>
          </w:rPr>
          <w:t>2</w:t>
        </w:r>
        <w:r w:rsidR="005B1022" w:rsidRPr="000B41DE">
          <w:rPr>
            <w:rFonts w:ascii="Times New Roman" w:hAnsi="Times New Roman" w:cs="Times New Roman"/>
            <w:noProof/>
            <w:sz w:val="20"/>
            <w:szCs w:val="22"/>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0583D" w14:textId="05BB69B6" w:rsidR="009A2F1E" w:rsidRPr="00273C11" w:rsidRDefault="00355DF2" w:rsidP="00273C11">
    <w:pPr>
      <w:pStyle w:val="Footer"/>
    </w:pPr>
    <w:r>
      <w:rPr>
        <w:noProof/>
      </w:rPr>
      <mc:AlternateContent>
        <mc:Choice Requires="wps">
          <w:drawing>
            <wp:anchor distT="0" distB="0" distL="0" distR="0" simplePos="0" relativeHeight="251658242" behindDoc="0" locked="0" layoutInCell="1" allowOverlap="1" wp14:anchorId="01D31B00" wp14:editId="7EB0CE47">
              <wp:simplePos x="635" y="635"/>
              <wp:positionH relativeFrom="page">
                <wp:align>center</wp:align>
              </wp:positionH>
              <wp:positionV relativeFrom="page">
                <wp:align>bottom</wp:align>
              </wp:positionV>
              <wp:extent cx="551815" cy="394970"/>
              <wp:effectExtent l="0" t="0" r="635" b="0"/>
              <wp:wrapNone/>
              <wp:docPr id="4312410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082CA1D8" w14:textId="33498761" w:rsidR="00355DF2" w:rsidRPr="00355DF2" w:rsidRDefault="00355DF2" w:rsidP="00355DF2">
                          <w:pPr>
                            <w:spacing w:after="0"/>
                            <w:rPr>
                              <w:rFonts w:ascii="Calibri" w:eastAsia="Calibri" w:hAnsi="Calibri" w:cs="Calibri"/>
                              <w:noProof/>
                              <w:color w:val="FF0000"/>
                              <w:sz w:val="24"/>
                              <w:szCs w:val="24"/>
                            </w:rPr>
                          </w:pPr>
                          <w:r w:rsidRPr="00355DF2">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D31B00" id="_x0000_t202" coordsize="21600,21600" o:spt="202" path="m,l,21600r21600,l21600,xe">
              <v:stroke joinstyle="miter"/>
              <v:path gradientshapeok="t" o:connecttype="rect"/>
            </v:shapetype>
            <v:shape id="Text Box 4" o:spid="_x0000_s1029" type="#_x0000_t202" alt="OFFICIAL" style="position:absolute;margin-left:0;margin-top:0;width:43.45pt;height:31.1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" filled="f" stroked="f">
              <v:fill o:detectmouseclick="t"/>
              <v:textbox style="mso-fit-shape-to-text:t" inset="0,0,0,15pt">
                <w:txbxContent>
                  <w:p w14:paraId="082CA1D8" w14:textId="33498761" w:rsidR="00355DF2" w:rsidRPr="00355DF2" w:rsidRDefault="00355DF2" w:rsidP="00355DF2">
                    <w:pPr>
                      <w:spacing w:after="0"/>
                      <w:rPr>
                        <w:rFonts w:ascii="Calibri" w:eastAsia="Calibri" w:hAnsi="Calibri" w:cs="Calibri"/>
                        <w:noProof/>
                        <w:color w:val="FF0000"/>
                        <w:sz w:val="24"/>
                        <w:szCs w:val="24"/>
                      </w:rPr>
                    </w:pPr>
                    <w:r w:rsidRPr="00355DF2">
                      <w:rPr>
                        <w:rFonts w:ascii="Calibri" w:eastAsia="Calibri" w:hAnsi="Calibri" w:cs="Calibri"/>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33E2E" w14:textId="77777777" w:rsidR="00E9792C" w:rsidRDefault="00E9792C" w:rsidP="00151C54">
      <w:r>
        <w:separator/>
      </w:r>
    </w:p>
  </w:footnote>
  <w:footnote w:type="continuationSeparator" w:id="0">
    <w:p w14:paraId="428831D1" w14:textId="77777777" w:rsidR="00E9792C" w:rsidRDefault="00E9792C" w:rsidP="00151C54">
      <w:r>
        <w:continuationSeparator/>
      </w:r>
    </w:p>
  </w:footnote>
  <w:footnote w:type="continuationNotice" w:id="1">
    <w:p w14:paraId="5DB6AB46" w14:textId="77777777" w:rsidR="00E9792C" w:rsidRDefault="00E979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41474" w14:textId="13674860" w:rsidR="00697805" w:rsidRDefault="00355DF2">
    <w:pPr>
      <w:pStyle w:val="Header"/>
    </w:pPr>
    <w:r>
      <w:rPr>
        <w:noProof/>
      </w:rPr>
      <mc:AlternateContent>
        <mc:Choice Requires="wps">
          <w:drawing>
            <wp:anchor distT="0" distB="0" distL="0" distR="0" simplePos="0" relativeHeight="251658241" behindDoc="0" locked="0" layoutInCell="1" allowOverlap="1" wp14:anchorId="7C505739" wp14:editId="5DA705B2">
              <wp:simplePos x="635" y="635"/>
              <wp:positionH relativeFrom="page">
                <wp:align>center</wp:align>
              </wp:positionH>
              <wp:positionV relativeFrom="page">
                <wp:align>top</wp:align>
              </wp:positionV>
              <wp:extent cx="551815" cy="394970"/>
              <wp:effectExtent l="0" t="0" r="635" b="5080"/>
              <wp:wrapNone/>
              <wp:docPr id="200413200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57A0866B" w14:textId="44518E9D" w:rsidR="00355DF2" w:rsidRPr="00355DF2" w:rsidRDefault="00355DF2" w:rsidP="00355DF2">
                          <w:pPr>
                            <w:spacing w:after="0"/>
                            <w:rPr>
                              <w:rFonts w:ascii="Calibri" w:eastAsia="Calibri" w:hAnsi="Calibri" w:cs="Calibri"/>
                              <w:noProof/>
                              <w:color w:val="FF0000"/>
                              <w:sz w:val="24"/>
                              <w:szCs w:val="24"/>
                            </w:rPr>
                          </w:pPr>
                          <w:r w:rsidRPr="00355DF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505739" id="_x0000_t202" coordsize="21600,21600" o:spt="202" path="m,l,21600r21600,l21600,xe">
              <v:stroke joinstyle="miter"/>
              <v:path gradientshapeok="t" o:connecttype="rect"/>
            </v:shapetype>
            <v:shape id="Text Box 2" o:spid="_x0000_s1026" type="#_x0000_t202" alt="OFFICIAL" style="position:absolute;margin-left:0;margin-top:0;width:43.45pt;height:31.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" filled="f" stroked="f">
              <v:fill o:detectmouseclick="t"/>
              <v:textbox style="mso-fit-shape-to-text:t" inset="0,15pt,0,0">
                <w:txbxContent>
                  <w:p w14:paraId="57A0866B" w14:textId="44518E9D" w:rsidR="00355DF2" w:rsidRPr="00355DF2" w:rsidRDefault="00355DF2" w:rsidP="00355DF2">
                    <w:pPr>
                      <w:spacing w:after="0"/>
                      <w:rPr>
                        <w:rFonts w:ascii="Calibri" w:eastAsia="Calibri" w:hAnsi="Calibri" w:cs="Calibri"/>
                        <w:noProof/>
                        <w:color w:val="FF0000"/>
                        <w:sz w:val="24"/>
                        <w:szCs w:val="24"/>
                      </w:rPr>
                    </w:pPr>
                    <w:r w:rsidRPr="00355DF2">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D5199" w14:textId="28FB4CAE" w:rsidR="004249EE" w:rsidRDefault="00355DF2">
    <w:pPr>
      <w:pStyle w:val="Header"/>
    </w:pPr>
    <w:r>
      <w:rPr>
        <w:noProof/>
      </w:rPr>
      <mc:AlternateContent>
        <mc:Choice Requires="wps">
          <w:drawing>
            <wp:anchor distT="0" distB="0" distL="0" distR="0" simplePos="0" relativeHeight="251658240" behindDoc="0" locked="0" layoutInCell="1" allowOverlap="1" wp14:anchorId="4BB96861" wp14:editId="7018417D">
              <wp:simplePos x="635" y="635"/>
              <wp:positionH relativeFrom="page">
                <wp:align>center</wp:align>
              </wp:positionH>
              <wp:positionV relativeFrom="page">
                <wp:align>top</wp:align>
              </wp:positionV>
              <wp:extent cx="551815" cy="394970"/>
              <wp:effectExtent l="0" t="0" r="635" b="5080"/>
              <wp:wrapNone/>
              <wp:docPr id="185172188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4970"/>
                      </a:xfrm>
                      <a:prstGeom prst="rect">
                        <a:avLst/>
                      </a:prstGeom>
                      <a:noFill/>
                      <a:ln>
                        <a:noFill/>
                      </a:ln>
                    </wps:spPr>
                    <wps:txbx>
                      <w:txbxContent>
                        <w:p w14:paraId="379D7873" w14:textId="2F22A06E" w:rsidR="00355DF2" w:rsidRPr="00355DF2" w:rsidRDefault="00355DF2" w:rsidP="00355DF2">
                          <w:pPr>
                            <w:spacing w:after="0"/>
                            <w:rPr>
                              <w:rFonts w:ascii="Calibri" w:eastAsia="Calibri" w:hAnsi="Calibri" w:cs="Calibri"/>
                              <w:noProof/>
                              <w:color w:val="FF0000"/>
                              <w:sz w:val="24"/>
                              <w:szCs w:val="24"/>
                            </w:rPr>
                          </w:pPr>
                          <w:r w:rsidRPr="00355DF2">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BB96861" id="_x0000_t202" coordsize="21600,21600" o:spt="202" path="m,l,21600r21600,l21600,xe">
              <v:stroke joinstyle="miter"/>
              <v:path gradientshapeok="t" o:connecttype="rect"/>
            </v:shapetype>
            <v:shape id="Text Box 1" o:spid="_x0000_s1028" type="#_x0000_t202" alt="OFFICIAL" style="position:absolute;margin-left:0;margin-top:0;width:43.45pt;height:31.1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" filled="f" stroked="f">
              <v:fill o:detectmouseclick="t"/>
              <v:textbox style="mso-fit-shape-to-text:t" inset="0,15pt,0,0">
                <w:txbxContent>
                  <w:p w14:paraId="379D7873" w14:textId="2F22A06E" w:rsidR="00355DF2" w:rsidRPr="00355DF2" w:rsidRDefault="00355DF2" w:rsidP="00355DF2">
                    <w:pPr>
                      <w:spacing w:after="0"/>
                      <w:rPr>
                        <w:rFonts w:ascii="Calibri" w:eastAsia="Calibri" w:hAnsi="Calibri" w:cs="Calibri"/>
                        <w:noProof/>
                        <w:color w:val="FF0000"/>
                        <w:sz w:val="24"/>
                        <w:szCs w:val="24"/>
                      </w:rPr>
                    </w:pPr>
                    <w:r w:rsidRPr="00355DF2">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E3F3A50"/>
    <w:multiLevelType w:val="hybridMultilevel"/>
    <w:tmpl w:val="B16C2D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1D95A5E"/>
    <w:multiLevelType w:val="hybridMultilevel"/>
    <w:tmpl w:val="11BE0E8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4053AF6"/>
    <w:multiLevelType w:val="hybridMultilevel"/>
    <w:tmpl w:val="53987826"/>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15:restartNumberingAfterBreak="0">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CE3ADC"/>
    <w:multiLevelType w:val="hybridMultilevel"/>
    <w:tmpl w:val="865CF846"/>
    <w:lvl w:ilvl="0" w:tplc="0C09001B">
      <w:start w:val="1"/>
      <w:numFmt w:val="low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9" w15:restartNumberingAfterBreak="0">
    <w:nsid w:val="1D8E7DEE"/>
    <w:multiLevelType w:val="hybridMultilevel"/>
    <w:tmpl w:val="2626DF5A"/>
    <w:lvl w:ilvl="0" w:tplc="D04A4FC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EB75F2B"/>
    <w:multiLevelType w:val="hybridMultilevel"/>
    <w:tmpl w:val="5FD0272A"/>
    <w:lvl w:ilvl="0" w:tplc="0C09001B">
      <w:start w:val="1"/>
      <w:numFmt w:val="lowerRoman"/>
      <w:lvlText w:val="%1."/>
      <w:lvlJc w:val="righ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1" w15:restartNumberingAfterBreak="0">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14" w15:restartNumberingAfterBreak="0">
    <w:nsid w:val="37952102"/>
    <w:multiLevelType w:val="hybridMultilevel"/>
    <w:tmpl w:val="DA5A66B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16" w15:restartNumberingAfterBreak="0">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3111519"/>
    <w:multiLevelType w:val="hybridMultilevel"/>
    <w:tmpl w:val="705AA91E"/>
    <w:lvl w:ilvl="0" w:tplc="0C090001">
      <w:start w:val="3"/>
      <w:numFmt w:val="bullet"/>
      <w:lvlText w:val=""/>
      <w:lvlJc w:val="left"/>
      <w:pPr>
        <w:ind w:left="720" w:hanging="360"/>
      </w:pPr>
      <w:rPr>
        <w:rFonts w:ascii="Symbol" w:eastAsia="Times New Roman" w:hAnsi="Symbol"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9" w15:restartNumberingAfterBreak="0">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6381148F"/>
    <w:multiLevelType w:val="hybridMultilevel"/>
    <w:tmpl w:val="904A0026"/>
    <w:lvl w:ilvl="0" w:tplc="37FE764A">
      <w:start w:val="1"/>
      <w:numFmt w:val="lowerLetter"/>
      <w:lvlText w:val="%1)"/>
      <w:lvlJc w:val="left"/>
      <w:pPr>
        <w:ind w:left="1353" w:hanging="360"/>
      </w:pPr>
    </w:lvl>
    <w:lvl w:ilvl="1" w:tplc="0C090019">
      <w:start w:val="1"/>
      <w:numFmt w:val="lowerLetter"/>
      <w:lvlText w:val="%2."/>
      <w:lvlJc w:val="left"/>
      <w:pPr>
        <w:ind w:left="2073" w:hanging="360"/>
      </w:pPr>
    </w:lvl>
    <w:lvl w:ilvl="2" w:tplc="0C09001B">
      <w:start w:val="1"/>
      <w:numFmt w:val="lowerRoman"/>
      <w:lvlText w:val="%3."/>
      <w:lvlJc w:val="right"/>
      <w:pPr>
        <w:ind w:left="2793" w:hanging="180"/>
      </w:pPr>
    </w:lvl>
    <w:lvl w:ilvl="3" w:tplc="0C09000F">
      <w:start w:val="1"/>
      <w:numFmt w:val="decimal"/>
      <w:lvlText w:val="%4."/>
      <w:lvlJc w:val="left"/>
      <w:pPr>
        <w:ind w:left="3513" w:hanging="360"/>
      </w:pPr>
    </w:lvl>
    <w:lvl w:ilvl="4" w:tplc="0C090019">
      <w:start w:val="1"/>
      <w:numFmt w:val="lowerLetter"/>
      <w:lvlText w:val="%5."/>
      <w:lvlJc w:val="left"/>
      <w:pPr>
        <w:ind w:left="4233" w:hanging="360"/>
      </w:pPr>
    </w:lvl>
    <w:lvl w:ilvl="5" w:tplc="0C09001B">
      <w:start w:val="1"/>
      <w:numFmt w:val="lowerRoman"/>
      <w:lvlText w:val="%6."/>
      <w:lvlJc w:val="right"/>
      <w:pPr>
        <w:ind w:left="4953" w:hanging="180"/>
      </w:pPr>
    </w:lvl>
    <w:lvl w:ilvl="6" w:tplc="0C09000F">
      <w:start w:val="1"/>
      <w:numFmt w:val="decimal"/>
      <w:lvlText w:val="%7."/>
      <w:lvlJc w:val="left"/>
      <w:pPr>
        <w:ind w:left="5673" w:hanging="360"/>
      </w:pPr>
    </w:lvl>
    <w:lvl w:ilvl="7" w:tplc="0C090019">
      <w:start w:val="1"/>
      <w:numFmt w:val="lowerLetter"/>
      <w:lvlText w:val="%8."/>
      <w:lvlJc w:val="left"/>
      <w:pPr>
        <w:ind w:left="6393" w:hanging="360"/>
      </w:pPr>
    </w:lvl>
    <w:lvl w:ilvl="8" w:tplc="0C09001B">
      <w:start w:val="1"/>
      <w:numFmt w:val="lowerRoman"/>
      <w:lvlText w:val="%9."/>
      <w:lvlJc w:val="right"/>
      <w:pPr>
        <w:ind w:left="7113" w:hanging="180"/>
      </w:pPr>
    </w:lvl>
  </w:abstractNum>
  <w:abstractNum w:abstractNumId="23" w15:restartNumberingAfterBreak="0">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E186DE5"/>
    <w:multiLevelType w:val="hybridMultilevel"/>
    <w:tmpl w:val="C2D60666"/>
    <w:lvl w:ilvl="0" w:tplc="CFD0E8FE">
      <w:start w:val="1"/>
      <w:numFmt w:val="lowerLetter"/>
      <w:lvlText w:val="(%1)"/>
      <w:lvlJc w:val="left"/>
      <w:pPr>
        <w:ind w:left="1080" w:hanging="720"/>
      </w:pPr>
      <w:rPr>
        <w:rFonts w:ascii="Times New Roman" w:eastAsia="Times New Roman" w:hAnsi="Times New Roman" w:cs="Times New Roman"/>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6F5441F5"/>
    <w:multiLevelType w:val="hybridMultilevel"/>
    <w:tmpl w:val="1032C6F2"/>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76DE6C41"/>
    <w:multiLevelType w:val="hybridMultilevel"/>
    <w:tmpl w:val="2626DF5A"/>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16cid:durableId="799225606">
    <w:abstractNumId w:val="13"/>
  </w:num>
  <w:num w:numId="2" w16cid:durableId="1627470143">
    <w:abstractNumId w:val="28"/>
  </w:num>
  <w:num w:numId="3" w16cid:durableId="761606056">
    <w:abstractNumId w:val="18"/>
  </w:num>
  <w:num w:numId="4" w16cid:durableId="189882612">
    <w:abstractNumId w:val="5"/>
  </w:num>
  <w:num w:numId="5" w16cid:durableId="1862355559">
    <w:abstractNumId w:val="1"/>
  </w:num>
  <w:num w:numId="6" w16cid:durableId="1047531947">
    <w:abstractNumId w:val="12"/>
  </w:num>
  <w:num w:numId="7" w16cid:durableId="276647780">
    <w:abstractNumId w:val="2"/>
  </w:num>
  <w:num w:numId="8" w16cid:durableId="1667056330">
    <w:abstractNumId w:val="7"/>
  </w:num>
  <w:num w:numId="9" w16cid:durableId="1112826541">
    <w:abstractNumId w:val="11"/>
  </w:num>
  <w:num w:numId="10" w16cid:durableId="728311839">
    <w:abstractNumId w:val="21"/>
  </w:num>
  <w:num w:numId="11" w16cid:durableId="2089419877">
    <w:abstractNumId w:val="23"/>
  </w:num>
  <w:num w:numId="12" w16cid:durableId="1340616887">
    <w:abstractNumId w:val="15"/>
  </w:num>
  <w:num w:numId="13" w16cid:durableId="540433661">
    <w:abstractNumId w:val="15"/>
    <w:lvlOverride w:ilvl="0">
      <w:startOverride w:val="1"/>
    </w:lvlOverride>
  </w:num>
  <w:num w:numId="14" w16cid:durableId="2033218283">
    <w:abstractNumId w:val="0"/>
  </w:num>
  <w:num w:numId="15" w16cid:durableId="1251156809">
    <w:abstractNumId w:val="20"/>
  </w:num>
  <w:num w:numId="16" w16cid:durableId="1215195378">
    <w:abstractNumId w:val="27"/>
  </w:num>
  <w:num w:numId="17" w16cid:durableId="530147635">
    <w:abstractNumId w:val="19"/>
  </w:num>
  <w:num w:numId="18" w16cid:durableId="1002782926">
    <w:abstractNumId w:val="16"/>
  </w:num>
  <w:num w:numId="19" w16cid:durableId="197475456">
    <w:abstractNumId w:val="6"/>
  </w:num>
  <w:num w:numId="20" w16cid:durableId="914558481">
    <w:abstractNumId w:val="4"/>
  </w:num>
  <w:num w:numId="21" w16cid:durableId="68055005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4228498">
    <w:abstractNumId w:val="3"/>
  </w:num>
  <w:num w:numId="23" w16cid:durableId="569122630">
    <w:abstractNumId w:val="9"/>
  </w:num>
  <w:num w:numId="24" w16cid:durableId="1492136127">
    <w:abstractNumId w:val="26"/>
  </w:num>
  <w:num w:numId="25" w16cid:durableId="912550855">
    <w:abstractNumId w:val="24"/>
  </w:num>
  <w:num w:numId="26" w16cid:durableId="1836262690">
    <w:abstractNumId w:val="17"/>
  </w:num>
  <w:num w:numId="27" w16cid:durableId="1509251238">
    <w:abstractNumId w:val="8"/>
  </w:num>
  <w:num w:numId="28" w16cid:durableId="666595660">
    <w:abstractNumId w:val="14"/>
  </w:num>
  <w:num w:numId="29" w16cid:durableId="359359055">
    <w:abstractNumId w:val="10"/>
  </w:num>
  <w:num w:numId="30" w16cid:durableId="163559811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AU" w:vendorID="64" w:dllVersion="0" w:nlCheck="1" w:checkStyle="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C14"/>
    <w:rsid w:val="0000044B"/>
    <w:rsid w:val="0000091E"/>
    <w:rsid w:val="00000DC7"/>
    <w:rsid w:val="000116D4"/>
    <w:rsid w:val="00014AEC"/>
    <w:rsid w:val="0001725C"/>
    <w:rsid w:val="0001734C"/>
    <w:rsid w:val="000222F6"/>
    <w:rsid w:val="000223C5"/>
    <w:rsid w:val="00023C4A"/>
    <w:rsid w:val="00030B8C"/>
    <w:rsid w:val="000336B0"/>
    <w:rsid w:val="000344E8"/>
    <w:rsid w:val="00035636"/>
    <w:rsid w:val="000357EE"/>
    <w:rsid w:val="00037A1C"/>
    <w:rsid w:val="00040A13"/>
    <w:rsid w:val="000416CF"/>
    <w:rsid w:val="00042843"/>
    <w:rsid w:val="000441C2"/>
    <w:rsid w:val="000465A2"/>
    <w:rsid w:val="000503B4"/>
    <w:rsid w:val="000503F4"/>
    <w:rsid w:val="00057F2B"/>
    <w:rsid w:val="000629B8"/>
    <w:rsid w:val="000645AB"/>
    <w:rsid w:val="000645CF"/>
    <w:rsid w:val="0006657A"/>
    <w:rsid w:val="000746E6"/>
    <w:rsid w:val="00081E1E"/>
    <w:rsid w:val="00086236"/>
    <w:rsid w:val="00092DFF"/>
    <w:rsid w:val="00092F2C"/>
    <w:rsid w:val="00093C5B"/>
    <w:rsid w:val="000941A6"/>
    <w:rsid w:val="00094F8D"/>
    <w:rsid w:val="000953D5"/>
    <w:rsid w:val="000962BA"/>
    <w:rsid w:val="00096720"/>
    <w:rsid w:val="00096F51"/>
    <w:rsid w:val="000976DB"/>
    <w:rsid w:val="000A52A2"/>
    <w:rsid w:val="000A65F6"/>
    <w:rsid w:val="000B129E"/>
    <w:rsid w:val="000B1945"/>
    <w:rsid w:val="000B3B08"/>
    <w:rsid w:val="000B41DE"/>
    <w:rsid w:val="000B4934"/>
    <w:rsid w:val="000B53D1"/>
    <w:rsid w:val="000B5778"/>
    <w:rsid w:val="000B71FA"/>
    <w:rsid w:val="000C3693"/>
    <w:rsid w:val="000C402D"/>
    <w:rsid w:val="000D07B5"/>
    <w:rsid w:val="000D1DA3"/>
    <w:rsid w:val="000D4327"/>
    <w:rsid w:val="000D78D6"/>
    <w:rsid w:val="000E4FC3"/>
    <w:rsid w:val="000E6E56"/>
    <w:rsid w:val="000F01B8"/>
    <w:rsid w:val="000F08F2"/>
    <w:rsid w:val="00102163"/>
    <w:rsid w:val="0010355A"/>
    <w:rsid w:val="0011226A"/>
    <w:rsid w:val="001125D9"/>
    <w:rsid w:val="00113C4E"/>
    <w:rsid w:val="0012062A"/>
    <w:rsid w:val="00124996"/>
    <w:rsid w:val="00127498"/>
    <w:rsid w:val="0012775E"/>
    <w:rsid w:val="0013278D"/>
    <w:rsid w:val="0013421E"/>
    <w:rsid w:val="00136171"/>
    <w:rsid w:val="001372D1"/>
    <w:rsid w:val="00137591"/>
    <w:rsid w:val="001401AF"/>
    <w:rsid w:val="00140E75"/>
    <w:rsid w:val="00141C43"/>
    <w:rsid w:val="00150FA0"/>
    <w:rsid w:val="001517A6"/>
    <w:rsid w:val="00151C54"/>
    <w:rsid w:val="00151E36"/>
    <w:rsid w:val="00153032"/>
    <w:rsid w:val="00155159"/>
    <w:rsid w:val="00161CE2"/>
    <w:rsid w:val="001620C2"/>
    <w:rsid w:val="001669D6"/>
    <w:rsid w:val="001679FB"/>
    <w:rsid w:val="00170BC2"/>
    <w:rsid w:val="00172234"/>
    <w:rsid w:val="00172AE3"/>
    <w:rsid w:val="001746B7"/>
    <w:rsid w:val="00175BD8"/>
    <w:rsid w:val="00180DEF"/>
    <w:rsid w:val="001813AC"/>
    <w:rsid w:val="0018228A"/>
    <w:rsid w:val="00183364"/>
    <w:rsid w:val="00184F75"/>
    <w:rsid w:val="00193F08"/>
    <w:rsid w:val="001950A0"/>
    <w:rsid w:val="001A590D"/>
    <w:rsid w:val="001A5CE3"/>
    <w:rsid w:val="001B260C"/>
    <w:rsid w:val="001C09FB"/>
    <w:rsid w:val="001C203B"/>
    <w:rsid w:val="001C5857"/>
    <w:rsid w:val="001C5F75"/>
    <w:rsid w:val="001D006D"/>
    <w:rsid w:val="001D5A05"/>
    <w:rsid w:val="001D68C7"/>
    <w:rsid w:val="001E1A14"/>
    <w:rsid w:val="001E3C58"/>
    <w:rsid w:val="001E6727"/>
    <w:rsid w:val="001E6AB9"/>
    <w:rsid w:val="001E71D4"/>
    <w:rsid w:val="001F35F6"/>
    <w:rsid w:val="001F47AF"/>
    <w:rsid w:val="001F5A48"/>
    <w:rsid w:val="00202E32"/>
    <w:rsid w:val="00203AAB"/>
    <w:rsid w:val="002140AA"/>
    <w:rsid w:val="002177F7"/>
    <w:rsid w:val="0022237A"/>
    <w:rsid w:val="00224D28"/>
    <w:rsid w:val="002250C0"/>
    <w:rsid w:val="00237244"/>
    <w:rsid w:val="0023757F"/>
    <w:rsid w:val="00240350"/>
    <w:rsid w:val="002411C6"/>
    <w:rsid w:val="002561D0"/>
    <w:rsid w:val="002573BE"/>
    <w:rsid w:val="00262784"/>
    <w:rsid w:val="00267074"/>
    <w:rsid w:val="002675B0"/>
    <w:rsid w:val="00271C2E"/>
    <w:rsid w:val="002737B5"/>
    <w:rsid w:val="00273C11"/>
    <w:rsid w:val="0027794D"/>
    <w:rsid w:val="00281C2B"/>
    <w:rsid w:val="00281DC3"/>
    <w:rsid w:val="00285495"/>
    <w:rsid w:val="002947A5"/>
    <w:rsid w:val="0029570F"/>
    <w:rsid w:val="0029727D"/>
    <w:rsid w:val="002976A9"/>
    <w:rsid w:val="002A34D5"/>
    <w:rsid w:val="002A500B"/>
    <w:rsid w:val="002A7B1F"/>
    <w:rsid w:val="002B054C"/>
    <w:rsid w:val="002B1DB3"/>
    <w:rsid w:val="002B2B54"/>
    <w:rsid w:val="002B47C9"/>
    <w:rsid w:val="002B7953"/>
    <w:rsid w:val="002C0C13"/>
    <w:rsid w:val="002C177A"/>
    <w:rsid w:val="002C4E0C"/>
    <w:rsid w:val="002D268D"/>
    <w:rsid w:val="002D2972"/>
    <w:rsid w:val="002D3028"/>
    <w:rsid w:val="002D3CE5"/>
    <w:rsid w:val="002D41BA"/>
    <w:rsid w:val="002D5EFA"/>
    <w:rsid w:val="002D6CC4"/>
    <w:rsid w:val="002F2F4C"/>
    <w:rsid w:val="002F4037"/>
    <w:rsid w:val="002F4F7C"/>
    <w:rsid w:val="00301437"/>
    <w:rsid w:val="003015AF"/>
    <w:rsid w:val="00302398"/>
    <w:rsid w:val="0030247E"/>
    <w:rsid w:val="003064B1"/>
    <w:rsid w:val="00310171"/>
    <w:rsid w:val="0031313C"/>
    <w:rsid w:val="003228F6"/>
    <w:rsid w:val="003263FD"/>
    <w:rsid w:val="003268BA"/>
    <w:rsid w:val="0033517D"/>
    <w:rsid w:val="00336141"/>
    <w:rsid w:val="003376BA"/>
    <w:rsid w:val="00345F9B"/>
    <w:rsid w:val="0034613E"/>
    <w:rsid w:val="0035189F"/>
    <w:rsid w:val="00355DF2"/>
    <w:rsid w:val="00356EB3"/>
    <w:rsid w:val="00364CB9"/>
    <w:rsid w:val="00365F4B"/>
    <w:rsid w:val="003667CB"/>
    <w:rsid w:val="00366BBD"/>
    <w:rsid w:val="003710C0"/>
    <w:rsid w:val="00372B6B"/>
    <w:rsid w:val="00376FCB"/>
    <w:rsid w:val="00383111"/>
    <w:rsid w:val="00384AD2"/>
    <w:rsid w:val="003869BF"/>
    <w:rsid w:val="00387B76"/>
    <w:rsid w:val="00390CCA"/>
    <w:rsid w:val="0039127F"/>
    <w:rsid w:val="00392606"/>
    <w:rsid w:val="003931D0"/>
    <w:rsid w:val="0039695F"/>
    <w:rsid w:val="00397458"/>
    <w:rsid w:val="003A2479"/>
    <w:rsid w:val="003A3A60"/>
    <w:rsid w:val="003A4E88"/>
    <w:rsid w:val="003A551B"/>
    <w:rsid w:val="003A592D"/>
    <w:rsid w:val="003C0BB9"/>
    <w:rsid w:val="003C5821"/>
    <w:rsid w:val="003C6797"/>
    <w:rsid w:val="003D0635"/>
    <w:rsid w:val="003D41D9"/>
    <w:rsid w:val="003D6D6F"/>
    <w:rsid w:val="003D7947"/>
    <w:rsid w:val="003E0906"/>
    <w:rsid w:val="003E5CA0"/>
    <w:rsid w:val="003F0A71"/>
    <w:rsid w:val="003F25B1"/>
    <w:rsid w:val="003F2B62"/>
    <w:rsid w:val="003F66F9"/>
    <w:rsid w:val="003F6742"/>
    <w:rsid w:val="00402F72"/>
    <w:rsid w:val="00403147"/>
    <w:rsid w:val="0040710F"/>
    <w:rsid w:val="004114B8"/>
    <w:rsid w:val="00413B61"/>
    <w:rsid w:val="00414951"/>
    <w:rsid w:val="00417598"/>
    <w:rsid w:val="00420469"/>
    <w:rsid w:val="004223EC"/>
    <w:rsid w:val="004249EE"/>
    <w:rsid w:val="00424F35"/>
    <w:rsid w:val="004317B7"/>
    <w:rsid w:val="00437CA5"/>
    <w:rsid w:val="004409FA"/>
    <w:rsid w:val="00442785"/>
    <w:rsid w:val="00443650"/>
    <w:rsid w:val="0044429F"/>
    <w:rsid w:val="004445A6"/>
    <w:rsid w:val="00450694"/>
    <w:rsid w:val="00451B5A"/>
    <w:rsid w:val="00452EDE"/>
    <w:rsid w:val="004565E0"/>
    <w:rsid w:val="004607C8"/>
    <w:rsid w:val="00461420"/>
    <w:rsid w:val="00465471"/>
    <w:rsid w:val="00470AE8"/>
    <w:rsid w:val="00472A41"/>
    <w:rsid w:val="004743D2"/>
    <w:rsid w:val="00483CF0"/>
    <w:rsid w:val="00485C1E"/>
    <w:rsid w:val="004A09B5"/>
    <w:rsid w:val="004A3A20"/>
    <w:rsid w:val="004A3FD7"/>
    <w:rsid w:val="004A61CC"/>
    <w:rsid w:val="004A69BA"/>
    <w:rsid w:val="004B00AA"/>
    <w:rsid w:val="004B0DD7"/>
    <w:rsid w:val="004B14D6"/>
    <w:rsid w:val="004B28CE"/>
    <w:rsid w:val="004C12B9"/>
    <w:rsid w:val="004C1A30"/>
    <w:rsid w:val="004C276E"/>
    <w:rsid w:val="004C334E"/>
    <w:rsid w:val="004C5892"/>
    <w:rsid w:val="004C7FEA"/>
    <w:rsid w:val="004D257B"/>
    <w:rsid w:val="004E5E21"/>
    <w:rsid w:val="004E6468"/>
    <w:rsid w:val="004F3F6E"/>
    <w:rsid w:val="004F6DA5"/>
    <w:rsid w:val="00501B5F"/>
    <w:rsid w:val="0050279C"/>
    <w:rsid w:val="005030AC"/>
    <w:rsid w:val="00515892"/>
    <w:rsid w:val="0052251A"/>
    <w:rsid w:val="00523E53"/>
    <w:rsid w:val="0052451B"/>
    <w:rsid w:val="00524522"/>
    <w:rsid w:val="0052452C"/>
    <w:rsid w:val="00524548"/>
    <w:rsid w:val="00526383"/>
    <w:rsid w:val="005302D2"/>
    <w:rsid w:val="005312C4"/>
    <w:rsid w:val="005344D9"/>
    <w:rsid w:val="00536ACA"/>
    <w:rsid w:val="00541221"/>
    <w:rsid w:val="00543544"/>
    <w:rsid w:val="00543F39"/>
    <w:rsid w:val="00545A3C"/>
    <w:rsid w:val="00547846"/>
    <w:rsid w:val="005505AB"/>
    <w:rsid w:val="00556164"/>
    <w:rsid w:val="0055741F"/>
    <w:rsid w:val="0056314E"/>
    <w:rsid w:val="005664BC"/>
    <w:rsid w:val="0057002E"/>
    <w:rsid w:val="00572C90"/>
    <w:rsid w:val="00580562"/>
    <w:rsid w:val="00581D61"/>
    <w:rsid w:val="00582E28"/>
    <w:rsid w:val="00586579"/>
    <w:rsid w:val="00587EB9"/>
    <w:rsid w:val="005902E8"/>
    <w:rsid w:val="00591BB0"/>
    <w:rsid w:val="00596B1E"/>
    <w:rsid w:val="0059713A"/>
    <w:rsid w:val="005A0AB8"/>
    <w:rsid w:val="005A2282"/>
    <w:rsid w:val="005B0205"/>
    <w:rsid w:val="005B1022"/>
    <w:rsid w:val="005B6B55"/>
    <w:rsid w:val="005B7015"/>
    <w:rsid w:val="005B759C"/>
    <w:rsid w:val="005C1AC3"/>
    <w:rsid w:val="005C6D46"/>
    <w:rsid w:val="005C7337"/>
    <w:rsid w:val="005C7FA6"/>
    <w:rsid w:val="005D0511"/>
    <w:rsid w:val="005D1ABF"/>
    <w:rsid w:val="005D406B"/>
    <w:rsid w:val="005D4711"/>
    <w:rsid w:val="005D4DE9"/>
    <w:rsid w:val="005D524E"/>
    <w:rsid w:val="005D53EF"/>
    <w:rsid w:val="005E0FC2"/>
    <w:rsid w:val="005E15B0"/>
    <w:rsid w:val="005E34F5"/>
    <w:rsid w:val="005E3D4B"/>
    <w:rsid w:val="005F1C78"/>
    <w:rsid w:val="005F5D69"/>
    <w:rsid w:val="005F60D6"/>
    <w:rsid w:val="005F66F2"/>
    <w:rsid w:val="00600BAA"/>
    <w:rsid w:val="006022C4"/>
    <w:rsid w:val="00604018"/>
    <w:rsid w:val="006045E8"/>
    <w:rsid w:val="00612145"/>
    <w:rsid w:val="00614A70"/>
    <w:rsid w:val="006168F9"/>
    <w:rsid w:val="00621758"/>
    <w:rsid w:val="00622A9D"/>
    <w:rsid w:val="006327D8"/>
    <w:rsid w:val="006327E2"/>
    <w:rsid w:val="00633472"/>
    <w:rsid w:val="006400BC"/>
    <w:rsid w:val="0064772B"/>
    <w:rsid w:val="00650566"/>
    <w:rsid w:val="00651BBC"/>
    <w:rsid w:val="00652426"/>
    <w:rsid w:val="00653C86"/>
    <w:rsid w:val="00654140"/>
    <w:rsid w:val="006553D3"/>
    <w:rsid w:val="006560FA"/>
    <w:rsid w:val="00656F21"/>
    <w:rsid w:val="00661075"/>
    <w:rsid w:val="00662277"/>
    <w:rsid w:val="00663CA2"/>
    <w:rsid w:val="00665170"/>
    <w:rsid w:val="0066564A"/>
    <w:rsid w:val="00670920"/>
    <w:rsid w:val="00680AA5"/>
    <w:rsid w:val="00681FEE"/>
    <w:rsid w:val="00685195"/>
    <w:rsid w:val="00687B4E"/>
    <w:rsid w:val="00690055"/>
    <w:rsid w:val="00696D1E"/>
    <w:rsid w:val="00697805"/>
    <w:rsid w:val="00697903"/>
    <w:rsid w:val="006A253A"/>
    <w:rsid w:val="006A320D"/>
    <w:rsid w:val="006B2CB5"/>
    <w:rsid w:val="006B4CDF"/>
    <w:rsid w:val="006C0A39"/>
    <w:rsid w:val="006C2F22"/>
    <w:rsid w:val="006D3BB9"/>
    <w:rsid w:val="006E1E51"/>
    <w:rsid w:val="006E3A7C"/>
    <w:rsid w:val="006E6178"/>
    <w:rsid w:val="006F3267"/>
    <w:rsid w:val="006F37EC"/>
    <w:rsid w:val="00700F91"/>
    <w:rsid w:val="00706046"/>
    <w:rsid w:val="007117D3"/>
    <w:rsid w:val="00715B8D"/>
    <w:rsid w:val="00715D48"/>
    <w:rsid w:val="00720AEC"/>
    <w:rsid w:val="00725DC1"/>
    <w:rsid w:val="00733579"/>
    <w:rsid w:val="00734BCB"/>
    <w:rsid w:val="00735536"/>
    <w:rsid w:val="00745BFD"/>
    <w:rsid w:val="007502B6"/>
    <w:rsid w:val="0076159B"/>
    <w:rsid w:val="00761961"/>
    <w:rsid w:val="00766638"/>
    <w:rsid w:val="00767639"/>
    <w:rsid w:val="00767D95"/>
    <w:rsid w:val="00777324"/>
    <w:rsid w:val="00783B98"/>
    <w:rsid w:val="00784976"/>
    <w:rsid w:val="007855DF"/>
    <w:rsid w:val="0078572A"/>
    <w:rsid w:val="007864FE"/>
    <w:rsid w:val="00791F83"/>
    <w:rsid w:val="0079349D"/>
    <w:rsid w:val="00794497"/>
    <w:rsid w:val="007944F5"/>
    <w:rsid w:val="00794F9C"/>
    <w:rsid w:val="007A2B34"/>
    <w:rsid w:val="007A3D20"/>
    <w:rsid w:val="007A78BC"/>
    <w:rsid w:val="007B052D"/>
    <w:rsid w:val="007B2BF1"/>
    <w:rsid w:val="007B3C0B"/>
    <w:rsid w:val="007B3C56"/>
    <w:rsid w:val="007B5602"/>
    <w:rsid w:val="007C0D4F"/>
    <w:rsid w:val="007C45D8"/>
    <w:rsid w:val="007C5D58"/>
    <w:rsid w:val="007D4A2B"/>
    <w:rsid w:val="007D4B30"/>
    <w:rsid w:val="007E2E6B"/>
    <w:rsid w:val="007E3EC4"/>
    <w:rsid w:val="007F1206"/>
    <w:rsid w:val="007F21BF"/>
    <w:rsid w:val="007F2D25"/>
    <w:rsid w:val="007F565C"/>
    <w:rsid w:val="007F6E0B"/>
    <w:rsid w:val="008053A1"/>
    <w:rsid w:val="00813B12"/>
    <w:rsid w:val="008224BE"/>
    <w:rsid w:val="008250E1"/>
    <w:rsid w:val="0082531F"/>
    <w:rsid w:val="0082572E"/>
    <w:rsid w:val="0082623C"/>
    <w:rsid w:val="008300B9"/>
    <w:rsid w:val="0083226F"/>
    <w:rsid w:val="00834A86"/>
    <w:rsid w:val="00841053"/>
    <w:rsid w:val="00842654"/>
    <w:rsid w:val="0084579F"/>
    <w:rsid w:val="00847EFC"/>
    <w:rsid w:val="0085100D"/>
    <w:rsid w:val="008515F7"/>
    <w:rsid w:val="00857C3B"/>
    <w:rsid w:val="00857D1A"/>
    <w:rsid w:val="00860E9E"/>
    <w:rsid w:val="00867085"/>
    <w:rsid w:val="00870516"/>
    <w:rsid w:val="0087446B"/>
    <w:rsid w:val="00877C5B"/>
    <w:rsid w:val="00881837"/>
    <w:rsid w:val="008820BE"/>
    <w:rsid w:val="00884592"/>
    <w:rsid w:val="0088533E"/>
    <w:rsid w:val="0088771F"/>
    <w:rsid w:val="00887C9A"/>
    <w:rsid w:val="0089094F"/>
    <w:rsid w:val="00894BBD"/>
    <w:rsid w:val="00896EBE"/>
    <w:rsid w:val="0089780D"/>
    <w:rsid w:val="008A2725"/>
    <w:rsid w:val="008A639E"/>
    <w:rsid w:val="008A7C2C"/>
    <w:rsid w:val="008B370D"/>
    <w:rsid w:val="008B5456"/>
    <w:rsid w:val="008B73F3"/>
    <w:rsid w:val="008C1C7B"/>
    <w:rsid w:val="008C3F1D"/>
    <w:rsid w:val="008C60D8"/>
    <w:rsid w:val="008C738C"/>
    <w:rsid w:val="008D29F0"/>
    <w:rsid w:val="008D4378"/>
    <w:rsid w:val="008D6889"/>
    <w:rsid w:val="008E3AFD"/>
    <w:rsid w:val="008F03BE"/>
    <w:rsid w:val="00903A47"/>
    <w:rsid w:val="00906200"/>
    <w:rsid w:val="009062B9"/>
    <w:rsid w:val="00910444"/>
    <w:rsid w:val="00912647"/>
    <w:rsid w:val="009152CA"/>
    <w:rsid w:val="00917733"/>
    <w:rsid w:val="00922920"/>
    <w:rsid w:val="00922C40"/>
    <w:rsid w:val="00923CE5"/>
    <w:rsid w:val="0092496B"/>
    <w:rsid w:val="00936066"/>
    <w:rsid w:val="009411F9"/>
    <w:rsid w:val="009453BC"/>
    <w:rsid w:val="00945FDF"/>
    <w:rsid w:val="009474D2"/>
    <w:rsid w:val="00957D66"/>
    <w:rsid w:val="00957FF6"/>
    <w:rsid w:val="00961815"/>
    <w:rsid w:val="00961FB9"/>
    <w:rsid w:val="009642DF"/>
    <w:rsid w:val="00970C93"/>
    <w:rsid w:val="0097160D"/>
    <w:rsid w:val="00973468"/>
    <w:rsid w:val="009756F7"/>
    <w:rsid w:val="00977AC4"/>
    <w:rsid w:val="00977B6F"/>
    <w:rsid w:val="00980D41"/>
    <w:rsid w:val="009848E4"/>
    <w:rsid w:val="00986882"/>
    <w:rsid w:val="009908D6"/>
    <w:rsid w:val="00992814"/>
    <w:rsid w:val="00995D93"/>
    <w:rsid w:val="009A05B7"/>
    <w:rsid w:val="009A109D"/>
    <w:rsid w:val="009A11A2"/>
    <w:rsid w:val="009A2F1E"/>
    <w:rsid w:val="009A38F6"/>
    <w:rsid w:val="009A3CE2"/>
    <w:rsid w:val="009A57CE"/>
    <w:rsid w:val="009B09E7"/>
    <w:rsid w:val="009B11AB"/>
    <w:rsid w:val="009B254A"/>
    <w:rsid w:val="009B3038"/>
    <w:rsid w:val="009B3B2B"/>
    <w:rsid w:val="009B3BDE"/>
    <w:rsid w:val="009B615F"/>
    <w:rsid w:val="009C2A38"/>
    <w:rsid w:val="009D42C2"/>
    <w:rsid w:val="009D4674"/>
    <w:rsid w:val="009E3327"/>
    <w:rsid w:val="009E57E2"/>
    <w:rsid w:val="009E61C5"/>
    <w:rsid w:val="009E782C"/>
    <w:rsid w:val="009F38BA"/>
    <w:rsid w:val="009F66E0"/>
    <w:rsid w:val="00A02BEF"/>
    <w:rsid w:val="00A2127C"/>
    <w:rsid w:val="00A233A5"/>
    <w:rsid w:val="00A25B08"/>
    <w:rsid w:val="00A269A6"/>
    <w:rsid w:val="00A26B41"/>
    <w:rsid w:val="00A27699"/>
    <w:rsid w:val="00A27763"/>
    <w:rsid w:val="00A31394"/>
    <w:rsid w:val="00A351C1"/>
    <w:rsid w:val="00A35726"/>
    <w:rsid w:val="00A37D7B"/>
    <w:rsid w:val="00A37FDF"/>
    <w:rsid w:val="00A411AF"/>
    <w:rsid w:val="00A426C7"/>
    <w:rsid w:val="00A45691"/>
    <w:rsid w:val="00A473E7"/>
    <w:rsid w:val="00A505DD"/>
    <w:rsid w:val="00A5364B"/>
    <w:rsid w:val="00A629BA"/>
    <w:rsid w:val="00A70902"/>
    <w:rsid w:val="00A73965"/>
    <w:rsid w:val="00A806A9"/>
    <w:rsid w:val="00A8323A"/>
    <w:rsid w:val="00A847A2"/>
    <w:rsid w:val="00A863F0"/>
    <w:rsid w:val="00A86540"/>
    <w:rsid w:val="00A865A9"/>
    <w:rsid w:val="00A92EDB"/>
    <w:rsid w:val="00A945CC"/>
    <w:rsid w:val="00AA4DED"/>
    <w:rsid w:val="00AB1A2F"/>
    <w:rsid w:val="00AC345C"/>
    <w:rsid w:val="00AC5A34"/>
    <w:rsid w:val="00AD3B0D"/>
    <w:rsid w:val="00AD4432"/>
    <w:rsid w:val="00AD4ED8"/>
    <w:rsid w:val="00AD50B8"/>
    <w:rsid w:val="00AE36CA"/>
    <w:rsid w:val="00AE55F5"/>
    <w:rsid w:val="00AF13B3"/>
    <w:rsid w:val="00AF1FAD"/>
    <w:rsid w:val="00AF3723"/>
    <w:rsid w:val="00AF567E"/>
    <w:rsid w:val="00AF5DD0"/>
    <w:rsid w:val="00B00458"/>
    <w:rsid w:val="00B02EAF"/>
    <w:rsid w:val="00B030B7"/>
    <w:rsid w:val="00B11766"/>
    <w:rsid w:val="00B11F6F"/>
    <w:rsid w:val="00B20EBE"/>
    <w:rsid w:val="00B23208"/>
    <w:rsid w:val="00B26C7F"/>
    <w:rsid w:val="00B26CFF"/>
    <w:rsid w:val="00B32288"/>
    <w:rsid w:val="00B35757"/>
    <w:rsid w:val="00B37AB7"/>
    <w:rsid w:val="00B40000"/>
    <w:rsid w:val="00B42479"/>
    <w:rsid w:val="00B452D1"/>
    <w:rsid w:val="00B46174"/>
    <w:rsid w:val="00B46EBF"/>
    <w:rsid w:val="00B57443"/>
    <w:rsid w:val="00B65C14"/>
    <w:rsid w:val="00B66DFF"/>
    <w:rsid w:val="00B713A8"/>
    <w:rsid w:val="00B73304"/>
    <w:rsid w:val="00B80A1E"/>
    <w:rsid w:val="00B826AB"/>
    <w:rsid w:val="00B83F76"/>
    <w:rsid w:val="00B8429D"/>
    <w:rsid w:val="00B86B79"/>
    <w:rsid w:val="00B87064"/>
    <w:rsid w:val="00B87880"/>
    <w:rsid w:val="00B92ECE"/>
    <w:rsid w:val="00B974B6"/>
    <w:rsid w:val="00BA075A"/>
    <w:rsid w:val="00BA0B39"/>
    <w:rsid w:val="00BA387E"/>
    <w:rsid w:val="00BA3AAB"/>
    <w:rsid w:val="00BA582E"/>
    <w:rsid w:val="00BA7E10"/>
    <w:rsid w:val="00BB0238"/>
    <w:rsid w:val="00BB24E0"/>
    <w:rsid w:val="00BB4AD3"/>
    <w:rsid w:val="00BB4CD3"/>
    <w:rsid w:val="00BB4E1C"/>
    <w:rsid w:val="00BB7041"/>
    <w:rsid w:val="00BC12A9"/>
    <w:rsid w:val="00BC1A79"/>
    <w:rsid w:val="00BC496C"/>
    <w:rsid w:val="00BC4CAE"/>
    <w:rsid w:val="00BC68DF"/>
    <w:rsid w:val="00BC6B2F"/>
    <w:rsid w:val="00BD0C37"/>
    <w:rsid w:val="00BD34E3"/>
    <w:rsid w:val="00BD3594"/>
    <w:rsid w:val="00BE6861"/>
    <w:rsid w:val="00BF0034"/>
    <w:rsid w:val="00BF42D6"/>
    <w:rsid w:val="00C03863"/>
    <w:rsid w:val="00C05EEE"/>
    <w:rsid w:val="00C06F49"/>
    <w:rsid w:val="00C127F2"/>
    <w:rsid w:val="00C128D8"/>
    <w:rsid w:val="00C13ECF"/>
    <w:rsid w:val="00C142FA"/>
    <w:rsid w:val="00C154F5"/>
    <w:rsid w:val="00C2136B"/>
    <w:rsid w:val="00C321C8"/>
    <w:rsid w:val="00C32367"/>
    <w:rsid w:val="00C324DE"/>
    <w:rsid w:val="00C3569C"/>
    <w:rsid w:val="00C36CC7"/>
    <w:rsid w:val="00C40279"/>
    <w:rsid w:val="00C4623B"/>
    <w:rsid w:val="00C463C2"/>
    <w:rsid w:val="00C50BE9"/>
    <w:rsid w:val="00C52CC5"/>
    <w:rsid w:val="00C55BA8"/>
    <w:rsid w:val="00C5728F"/>
    <w:rsid w:val="00C57334"/>
    <w:rsid w:val="00C7160C"/>
    <w:rsid w:val="00C742EF"/>
    <w:rsid w:val="00C745B5"/>
    <w:rsid w:val="00C74EDE"/>
    <w:rsid w:val="00C77A45"/>
    <w:rsid w:val="00C81402"/>
    <w:rsid w:val="00C91563"/>
    <w:rsid w:val="00C9474A"/>
    <w:rsid w:val="00CA36BC"/>
    <w:rsid w:val="00CA4F95"/>
    <w:rsid w:val="00CA6F6B"/>
    <w:rsid w:val="00CB09D5"/>
    <w:rsid w:val="00CB26E2"/>
    <w:rsid w:val="00CB5929"/>
    <w:rsid w:val="00CB5EC9"/>
    <w:rsid w:val="00CC2584"/>
    <w:rsid w:val="00CC3BED"/>
    <w:rsid w:val="00CD02B3"/>
    <w:rsid w:val="00CD0671"/>
    <w:rsid w:val="00CD4D43"/>
    <w:rsid w:val="00CD7150"/>
    <w:rsid w:val="00CE6475"/>
    <w:rsid w:val="00CE72E2"/>
    <w:rsid w:val="00CE73AE"/>
    <w:rsid w:val="00CF1E27"/>
    <w:rsid w:val="00CF2006"/>
    <w:rsid w:val="00CF4281"/>
    <w:rsid w:val="00CF5944"/>
    <w:rsid w:val="00CF6C91"/>
    <w:rsid w:val="00CF7161"/>
    <w:rsid w:val="00D03CDF"/>
    <w:rsid w:val="00D0550D"/>
    <w:rsid w:val="00D076DD"/>
    <w:rsid w:val="00D10D87"/>
    <w:rsid w:val="00D121A6"/>
    <w:rsid w:val="00D154C1"/>
    <w:rsid w:val="00D1721A"/>
    <w:rsid w:val="00D22655"/>
    <w:rsid w:val="00D22B61"/>
    <w:rsid w:val="00D25486"/>
    <w:rsid w:val="00D325B8"/>
    <w:rsid w:val="00D33E9E"/>
    <w:rsid w:val="00D341AB"/>
    <w:rsid w:val="00D43DAC"/>
    <w:rsid w:val="00D44B38"/>
    <w:rsid w:val="00D45E13"/>
    <w:rsid w:val="00D53D6B"/>
    <w:rsid w:val="00D557BA"/>
    <w:rsid w:val="00D6112F"/>
    <w:rsid w:val="00D61157"/>
    <w:rsid w:val="00D64587"/>
    <w:rsid w:val="00D6543A"/>
    <w:rsid w:val="00D67088"/>
    <w:rsid w:val="00D679F6"/>
    <w:rsid w:val="00D70F10"/>
    <w:rsid w:val="00D71339"/>
    <w:rsid w:val="00D737E0"/>
    <w:rsid w:val="00D74DDB"/>
    <w:rsid w:val="00D75F09"/>
    <w:rsid w:val="00D83B77"/>
    <w:rsid w:val="00D86E4C"/>
    <w:rsid w:val="00D87623"/>
    <w:rsid w:val="00D91292"/>
    <w:rsid w:val="00D924C6"/>
    <w:rsid w:val="00D93E42"/>
    <w:rsid w:val="00DA0523"/>
    <w:rsid w:val="00DA2671"/>
    <w:rsid w:val="00DA6802"/>
    <w:rsid w:val="00DA6E81"/>
    <w:rsid w:val="00DB49D3"/>
    <w:rsid w:val="00DC3AD0"/>
    <w:rsid w:val="00DC4B87"/>
    <w:rsid w:val="00DD205E"/>
    <w:rsid w:val="00DD2C31"/>
    <w:rsid w:val="00DD3B19"/>
    <w:rsid w:val="00DD580B"/>
    <w:rsid w:val="00DD7EDA"/>
    <w:rsid w:val="00DE057F"/>
    <w:rsid w:val="00DE265C"/>
    <w:rsid w:val="00DE2764"/>
    <w:rsid w:val="00DE6B9D"/>
    <w:rsid w:val="00DF022E"/>
    <w:rsid w:val="00DF3F6E"/>
    <w:rsid w:val="00E02CB8"/>
    <w:rsid w:val="00E14B41"/>
    <w:rsid w:val="00E153B2"/>
    <w:rsid w:val="00E17A7C"/>
    <w:rsid w:val="00E2224D"/>
    <w:rsid w:val="00E34976"/>
    <w:rsid w:val="00E375E6"/>
    <w:rsid w:val="00E45202"/>
    <w:rsid w:val="00E474B8"/>
    <w:rsid w:val="00E510A0"/>
    <w:rsid w:val="00E5411F"/>
    <w:rsid w:val="00E552D3"/>
    <w:rsid w:val="00E555F7"/>
    <w:rsid w:val="00E56B23"/>
    <w:rsid w:val="00E57668"/>
    <w:rsid w:val="00E578DA"/>
    <w:rsid w:val="00E57D7B"/>
    <w:rsid w:val="00E6035B"/>
    <w:rsid w:val="00E6274F"/>
    <w:rsid w:val="00E63039"/>
    <w:rsid w:val="00E63411"/>
    <w:rsid w:val="00E6653D"/>
    <w:rsid w:val="00E6681E"/>
    <w:rsid w:val="00E67123"/>
    <w:rsid w:val="00E70274"/>
    <w:rsid w:val="00E74895"/>
    <w:rsid w:val="00E76AB5"/>
    <w:rsid w:val="00E817D1"/>
    <w:rsid w:val="00E91216"/>
    <w:rsid w:val="00E922D3"/>
    <w:rsid w:val="00E9571B"/>
    <w:rsid w:val="00E9792C"/>
    <w:rsid w:val="00EA0A1F"/>
    <w:rsid w:val="00EA21B5"/>
    <w:rsid w:val="00EA7474"/>
    <w:rsid w:val="00EB702A"/>
    <w:rsid w:val="00EB7F8A"/>
    <w:rsid w:val="00EC34D7"/>
    <w:rsid w:val="00EC4AD6"/>
    <w:rsid w:val="00EC5434"/>
    <w:rsid w:val="00ED2BA4"/>
    <w:rsid w:val="00ED5347"/>
    <w:rsid w:val="00ED5BA3"/>
    <w:rsid w:val="00EE0A3F"/>
    <w:rsid w:val="00EF1DF1"/>
    <w:rsid w:val="00EF3262"/>
    <w:rsid w:val="00EF7FD4"/>
    <w:rsid w:val="00F03DEE"/>
    <w:rsid w:val="00F11BB3"/>
    <w:rsid w:val="00F12365"/>
    <w:rsid w:val="00F13303"/>
    <w:rsid w:val="00F152B9"/>
    <w:rsid w:val="00F15949"/>
    <w:rsid w:val="00F1668A"/>
    <w:rsid w:val="00F17548"/>
    <w:rsid w:val="00F209DA"/>
    <w:rsid w:val="00F21366"/>
    <w:rsid w:val="00F21943"/>
    <w:rsid w:val="00F22664"/>
    <w:rsid w:val="00F30984"/>
    <w:rsid w:val="00F31C23"/>
    <w:rsid w:val="00F33FD4"/>
    <w:rsid w:val="00F3484D"/>
    <w:rsid w:val="00F500E5"/>
    <w:rsid w:val="00F547FE"/>
    <w:rsid w:val="00F54C40"/>
    <w:rsid w:val="00F55E39"/>
    <w:rsid w:val="00F75097"/>
    <w:rsid w:val="00F872F0"/>
    <w:rsid w:val="00F87D87"/>
    <w:rsid w:val="00F91CA4"/>
    <w:rsid w:val="00F92615"/>
    <w:rsid w:val="00F95723"/>
    <w:rsid w:val="00F96624"/>
    <w:rsid w:val="00F97BBC"/>
    <w:rsid w:val="00FA196B"/>
    <w:rsid w:val="00FA1A7D"/>
    <w:rsid w:val="00FA26FF"/>
    <w:rsid w:val="00FA4F29"/>
    <w:rsid w:val="00FA54D3"/>
    <w:rsid w:val="00FA65D3"/>
    <w:rsid w:val="00FB19B8"/>
    <w:rsid w:val="00FB4B41"/>
    <w:rsid w:val="00FB5903"/>
    <w:rsid w:val="00FB5D15"/>
    <w:rsid w:val="00FC7389"/>
    <w:rsid w:val="00FD0F27"/>
    <w:rsid w:val="00FD3957"/>
    <w:rsid w:val="00FD41FB"/>
    <w:rsid w:val="00FE2124"/>
    <w:rsid w:val="00FE2BBD"/>
    <w:rsid w:val="00FE3AF0"/>
    <w:rsid w:val="00FE4D40"/>
    <w:rsid w:val="00FE73FE"/>
    <w:rsid w:val="00FE7798"/>
    <w:rsid w:val="00FF021A"/>
    <w:rsid w:val="00FF4411"/>
    <w:rsid w:val="09657EF3"/>
    <w:rsid w:val="0AF18392"/>
    <w:rsid w:val="0C79212F"/>
    <w:rsid w:val="0C884D9A"/>
    <w:rsid w:val="0D46A4BC"/>
    <w:rsid w:val="0ECB89CE"/>
    <w:rsid w:val="0F6FFF59"/>
    <w:rsid w:val="10A73996"/>
    <w:rsid w:val="1316FF26"/>
    <w:rsid w:val="14864A1C"/>
    <w:rsid w:val="17433FB7"/>
    <w:rsid w:val="17F4F748"/>
    <w:rsid w:val="188CDA95"/>
    <w:rsid w:val="19ADBDA4"/>
    <w:rsid w:val="1B14AAA0"/>
    <w:rsid w:val="1F40FF0E"/>
    <w:rsid w:val="2467F953"/>
    <w:rsid w:val="2490220F"/>
    <w:rsid w:val="27081851"/>
    <w:rsid w:val="2B921A95"/>
    <w:rsid w:val="2C30BFC4"/>
    <w:rsid w:val="31E6A9EA"/>
    <w:rsid w:val="31FA7C5F"/>
    <w:rsid w:val="34C2E7BE"/>
    <w:rsid w:val="3FA359FC"/>
    <w:rsid w:val="426857DB"/>
    <w:rsid w:val="4464C6EA"/>
    <w:rsid w:val="44C600BA"/>
    <w:rsid w:val="467ACD48"/>
    <w:rsid w:val="476FE0EC"/>
    <w:rsid w:val="481D0D7C"/>
    <w:rsid w:val="4898ADAF"/>
    <w:rsid w:val="49918A8A"/>
    <w:rsid w:val="4C940C0E"/>
    <w:rsid w:val="4EADDA47"/>
    <w:rsid w:val="4F22A9C3"/>
    <w:rsid w:val="4FFCB392"/>
    <w:rsid w:val="547B5B9F"/>
    <w:rsid w:val="560C335C"/>
    <w:rsid w:val="57A409E5"/>
    <w:rsid w:val="5B361249"/>
    <w:rsid w:val="5B94FB37"/>
    <w:rsid w:val="5CC0FEC9"/>
    <w:rsid w:val="5E4363D6"/>
    <w:rsid w:val="5F04CFB7"/>
    <w:rsid w:val="60D5188E"/>
    <w:rsid w:val="628A5DAA"/>
    <w:rsid w:val="63156A87"/>
    <w:rsid w:val="692A8807"/>
    <w:rsid w:val="6989ADFE"/>
    <w:rsid w:val="6F5B144A"/>
    <w:rsid w:val="70995B3B"/>
    <w:rsid w:val="71B31CEA"/>
    <w:rsid w:val="7BE5D9A5"/>
    <w:rsid w:val="7C0BD7FC"/>
    <w:rsid w:val="7CD4E8E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4486F3C"/>
  <w15:docId w15:val="{ED8FB2D6-3138-493B-B8F8-D2B830898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unhideWhenUsed/>
    <w:rsid w:val="00BB7041"/>
  </w:style>
  <w:style w:type="character" w:customStyle="1" w:styleId="CommentTextChar">
    <w:name w:val="Comment Text Char"/>
    <w:basedOn w:val="DefaultParagraphFont"/>
    <w:link w:val="CommentText"/>
    <w:uiPriority w:val="99"/>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 w:type="character" w:styleId="FollowedHyperlink">
    <w:name w:val="FollowedHyperlink"/>
    <w:basedOn w:val="DefaultParagraphFont"/>
    <w:uiPriority w:val="99"/>
    <w:semiHidden/>
    <w:unhideWhenUsed/>
    <w:rsid w:val="00E552D3"/>
    <w:rPr>
      <w:color w:val="800080" w:themeColor="followedHyperlink"/>
      <w:u w:val="single"/>
    </w:rPr>
  </w:style>
  <w:style w:type="character" w:styleId="Mention">
    <w:name w:val="Mention"/>
    <w:basedOn w:val="DefaultParagraphFont"/>
    <w:uiPriority w:val="99"/>
    <w:unhideWhenUsed/>
    <w:rsid w:val="000F01B8"/>
    <w:rPr>
      <w:color w:val="2B579A"/>
      <w:shd w:val="clear" w:color="auto" w:fill="E1DFDD"/>
    </w:rPr>
  </w:style>
  <w:style w:type="paragraph" w:customStyle="1" w:styleId="Tabletext">
    <w:name w:val="Tabletext"/>
    <w:aliases w:val="tt"/>
    <w:basedOn w:val="Normal"/>
    <w:rsid w:val="00E5411F"/>
    <w:pPr>
      <w:spacing w:before="60" w:after="0" w:line="240" w:lineRule="atLeast"/>
    </w:pPr>
    <w:rPr>
      <w:rFonts w:ascii="Times New Roman" w:eastAsia="Times New Roman" w:hAnsi="Times New Roman" w:cs="Times New Roman"/>
      <w:lang w:eastAsia="en-AU"/>
    </w:rPr>
  </w:style>
  <w:style w:type="paragraph" w:customStyle="1" w:styleId="TableHeading">
    <w:name w:val="TableHeading"/>
    <w:aliases w:val="th"/>
    <w:basedOn w:val="Normal"/>
    <w:next w:val="Tabletext"/>
    <w:rsid w:val="00E5411F"/>
    <w:pPr>
      <w:keepNext/>
      <w:spacing w:before="60" w:after="0" w:line="240" w:lineRule="atLeast"/>
    </w:pPr>
    <w:rPr>
      <w:rFonts w:ascii="Times New Roman" w:eastAsia="Times New Roman" w:hAnsi="Times New Roman" w:cs="Times New Roman"/>
      <w:b/>
      <w:lang w:eastAsia="en-AU"/>
    </w:rPr>
  </w:style>
  <w:style w:type="character" w:styleId="UnresolvedMention">
    <w:name w:val="Unresolved Mention"/>
    <w:basedOn w:val="DefaultParagraphFont"/>
    <w:uiPriority w:val="99"/>
    <w:semiHidden/>
    <w:unhideWhenUsed/>
    <w:rsid w:val="00DA05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6620DF36-EEEB-4D71-BE17-61D9383215CF" xsi:nil="true"/>
  </documentManagement>
</p:properti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3A56446FA7AA3B4B9259B77DE97DB3F9" ma:contentTypeVersion="9" ma:contentTypeDescription="PDMS Document Site Content Type" ma:contentTypeScope="" ma:versionID="bcde2d7b81802355819cae428e8e84e7">
  <xsd:schema xmlns:xsd="http://www.w3.org/2001/XMLSchema" xmlns:xs="http://www.w3.org/2001/XMLSchema" xmlns:p="http://schemas.microsoft.com/office/2006/metadata/properties" xmlns:ns2="6620DF36-EEEB-4D71-BE17-61D9383215CF" targetNamespace="http://schemas.microsoft.com/office/2006/metadata/properties" ma:root="true" ma:fieldsID="4cf92a8d6aeb05f49bc41486e4d90446" ns2:_="">
    <xsd:import namespace="6620DF36-EEEB-4D71-BE17-61D9383215CF"/>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0DF36-EEEB-4D71-BE17-61D9383215C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2C7981E-E37A-4EF6-8250-208BDBC22A49}">
  <ds:schemaRefs>
    <ds:schemaRef ds:uri="http://schemas.openxmlformats.org/officeDocument/2006/bibliography"/>
  </ds:schemaRefs>
</ds:datastoreItem>
</file>

<file path=customXml/itemProps2.xml><?xml version="1.0" encoding="utf-8"?>
<ds:datastoreItem xmlns:ds="http://schemas.openxmlformats.org/officeDocument/2006/customXml" ds:itemID="{CBF3C6CD-F2F1-4BBF-B187-772568859F02}">
  <ds:schemaRefs>
    <ds:schemaRef ds:uri="http://schemas.microsoft.com/sharepoint/v3/contenttype/forms"/>
  </ds:schemaRefs>
</ds:datastoreItem>
</file>

<file path=customXml/itemProps3.xml><?xml version="1.0" encoding="utf-8"?>
<ds:datastoreItem xmlns:ds="http://schemas.openxmlformats.org/officeDocument/2006/customXml" ds:itemID="{8D179D55-B929-4180-BA46-5E6DBCEF9CAD}">
  <ds:schemaRefs>
    <ds:schemaRef ds:uri="http://www.w3.org/XML/1998/namespace"/>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6620DF36-EEEB-4D71-BE17-61D9383215CF"/>
  </ds:schemaRefs>
</ds:datastoreItem>
</file>

<file path=customXml/itemProps4.xml><?xml version="1.0" encoding="utf-8"?>
<ds:datastoreItem xmlns:ds="http://schemas.openxmlformats.org/officeDocument/2006/customXml" ds:itemID="{A491A277-6ECF-44E0-9A2F-F4D9AFF342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0DF36-EEEB-4D71-BE17-61D9383215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2244</Words>
  <Characters>12796</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Alison CROWTHER</dc:creator>
  <cp:lastModifiedBy>Tim DICKSON</cp:lastModifiedBy>
  <cp:revision>3</cp:revision>
  <cp:lastPrinted>2020-02-17T02:53:00Z</cp:lastPrinted>
  <dcterms:created xsi:type="dcterms:W3CDTF">2025-03-06T04:33:00Z</dcterms:created>
  <dcterms:modified xsi:type="dcterms:W3CDTF">2025-03-07T00:10:00Z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0x010100266966F133664895A6EE3632470D45F5003A56446FA7AA3B4B9259B77DE97DB3F9</vt:lpwstr>
  </property>
  <property fmtid="{D5CDD505-2E9C-101B-9397-08002B2CF9AE}" pid="3" name="MediaServiceImageTags">
    <vt:lpwstr/>
  </property>
  <property fmtid="{D5CDD505-2E9C-101B-9397-08002B2CF9AE}" pid="4" name="ClassificationContentMarkingHeaderShapeIds">
    <vt:lpwstr>6e5f089a,7774a0a0,caea4ed</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19b43765,39abfcc5,3def55d</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ies>
</file>