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DAF4" w14:textId="77777777" w:rsidR="00E27943" w:rsidRPr="00625284" w:rsidRDefault="00E27943" w:rsidP="00E27943">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204FB8E1" w14:textId="77777777" w:rsidR="00E27943" w:rsidRPr="0008711B" w:rsidRDefault="00E27943" w:rsidP="00E27943">
      <w:pPr>
        <w:jc w:val="center"/>
        <w:rPr>
          <w:bCs/>
          <w:sz w:val="22"/>
          <w:szCs w:val="22"/>
        </w:rPr>
      </w:pPr>
    </w:p>
    <w:p w14:paraId="2D745B58" w14:textId="3AC61656" w:rsidR="00E27943" w:rsidRPr="00855E30" w:rsidRDefault="00E27943" w:rsidP="00E27943">
      <w:pPr>
        <w:jc w:val="center"/>
        <w:rPr>
          <w:rFonts w:ascii="Times New Roman" w:hAnsi="Times New Roman"/>
          <w:bCs/>
          <w:i/>
          <w:iCs/>
          <w:sz w:val="22"/>
          <w:szCs w:val="22"/>
        </w:rPr>
      </w:pPr>
      <w:r w:rsidRPr="00855E30">
        <w:rPr>
          <w:rFonts w:ascii="Times New Roman" w:hAnsi="Times New Roman"/>
          <w:bCs/>
          <w:i/>
          <w:iCs/>
          <w:sz w:val="22"/>
          <w:szCs w:val="22"/>
        </w:rPr>
        <w:t>Therapeutic Goods Act</w:t>
      </w:r>
      <w:r w:rsidR="0080742F">
        <w:rPr>
          <w:rFonts w:ascii="Times New Roman" w:hAnsi="Times New Roman"/>
          <w:bCs/>
          <w:i/>
          <w:iCs/>
          <w:sz w:val="22"/>
          <w:szCs w:val="22"/>
        </w:rPr>
        <w:t> </w:t>
      </w:r>
      <w:r w:rsidRPr="00855E30">
        <w:rPr>
          <w:rFonts w:ascii="Times New Roman" w:hAnsi="Times New Roman"/>
          <w:bCs/>
          <w:i/>
          <w:iCs/>
          <w:sz w:val="22"/>
          <w:szCs w:val="22"/>
        </w:rPr>
        <w:t>1989</w:t>
      </w:r>
    </w:p>
    <w:p w14:paraId="63E0FD02" w14:textId="77777777" w:rsidR="00E27943" w:rsidRPr="0008711B" w:rsidRDefault="00E27943" w:rsidP="00E27943">
      <w:pPr>
        <w:jc w:val="center"/>
        <w:rPr>
          <w:sz w:val="22"/>
          <w:szCs w:val="22"/>
        </w:rPr>
      </w:pPr>
    </w:p>
    <w:p w14:paraId="7B48D567" w14:textId="4908EDFB" w:rsidR="00BF3004" w:rsidRPr="000820DB" w:rsidRDefault="00542936" w:rsidP="00DB6069">
      <w:pPr>
        <w:jc w:val="center"/>
        <w:rPr>
          <w:i/>
          <w:sz w:val="22"/>
          <w:szCs w:val="22"/>
        </w:rPr>
      </w:pPr>
      <w:r w:rsidRPr="00542936">
        <w:rPr>
          <w:i/>
          <w:sz w:val="22"/>
          <w:szCs w:val="22"/>
        </w:rPr>
        <w:t>Therapeutic Goods (Medicines Watch List) Amendment Determination</w:t>
      </w:r>
      <w:r w:rsidR="0080742F">
        <w:rPr>
          <w:i/>
          <w:sz w:val="22"/>
          <w:szCs w:val="22"/>
        </w:rPr>
        <w:t> </w:t>
      </w:r>
      <w:r w:rsidRPr="00542936">
        <w:rPr>
          <w:i/>
          <w:sz w:val="22"/>
          <w:szCs w:val="22"/>
        </w:rPr>
        <w:t>2025</w:t>
      </w:r>
    </w:p>
    <w:p w14:paraId="2E4764F7" w14:textId="77777777" w:rsidR="00E27943" w:rsidRPr="0008711B" w:rsidRDefault="00E27943" w:rsidP="00E27943">
      <w:pPr>
        <w:jc w:val="center"/>
        <w:rPr>
          <w:bCs/>
          <w:sz w:val="22"/>
          <w:szCs w:val="22"/>
        </w:rPr>
      </w:pPr>
    </w:p>
    <w:p w14:paraId="03F9346C" w14:textId="12ACF39E" w:rsidR="00E27943" w:rsidRPr="00E46894" w:rsidRDefault="00E27943" w:rsidP="00E27943">
      <w:pPr>
        <w:autoSpaceDE w:val="0"/>
        <w:autoSpaceDN w:val="0"/>
        <w:adjustRightInd w:val="0"/>
        <w:contextualSpacing/>
        <w:rPr>
          <w:sz w:val="22"/>
          <w:szCs w:val="22"/>
        </w:rPr>
      </w:pPr>
      <w:bookmarkStart w:id="0" w:name="_Hlk147933680"/>
      <w:bookmarkStart w:id="1" w:name="_Hlk164676076"/>
      <w:r w:rsidRPr="00E46894">
        <w:rPr>
          <w:sz w:val="22"/>
          <w:szCs w:val="22"/>
        </w:rPr>
        <w:t xml:space="preserve">The </w:t>
      </w:r>
      <w:r w:rsidRPr="00E46894">
        <w:rPr>
          <w:i/>
          <w:sz w:val="22"/>
          <w:szCs w:val="22"/>
        </w:rPr>
        <w:t>Therapeutic Goods Act</w:t>
      </w:r>
      <w:r w:rsidR="00A10E8F">
        <w:rPr>
          <w:i/>
          <w:sz w:val="22"/>
          <w:szCs w:val="22"/>
        </w:rPr>
        <w:t> </w:t>
      </w:r>
      <w:r w:rsidRPr="00E46894">
        <w:rPr>
          <w:i/>
          <w:sz w:val="22"/>
          <w:szCs w:val="22"/>
        </w:rPr>
        <w:t>1989</w:t>
      </w:r>
      <w:r w:rsidRPr="00E46894">
        <w:rPr>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w:t>
      </w:r>
      <w:r>
        <w:rPr>
          <w:sz w:val="22"/>
          <w:szCs w:val="22"/>
        </w:rPr>
        <w:t>e (“the Department”).</w:t>
      </w:r>
    </w:p>
    <w:bookmarkEnd w:id="0"/>
    <w:p w14:paraId="0A5CBACD" w14:textId="77777777" w:rsidR="00E27943" w:rsidRDefault="00E27943" w:rsidP="00E27943">
      <w:pPr>
        <w:autoSpaceDE w:val="0"/>
        <w:autoSpaceDN w:val="0"/>
        <w:adjustRightInd w:val="0"/>
        <w:rPr>
          <w:rFonts w:ascii="Times New Roman" w:hAnsi="Times New Roman"/>
          <w:sz w:val="22"/>
          <w:szCs w:val="22"/>
        </w:rPr>
      </w:pPr>
    </w:p>
    <w:p w14:paraId="510AC69C" w14:textId="4334EDF8" w:rsidR="00257107" w:rsidRPr="00257107" w:rsidRDefault="007C3284" w:rsidP="00087769">
      <w:pPr>
        <w:autoSpaceDE w:val="0"/>
        <w:autoSpaceDN w:val="0"/>
        <w:adjustRightInd w:val="0"/>
        <w:rPr>
          <w:sz w:val="22"/>
          <w:szCs w:val="22"/>
        </w:rPr>
      </w:pPr>
      <w:bookmarkStart w:id="2" w:name="_Hlk190416488"/>
      <w:r>
        <w:rPr>
          <w:sz w:val="22"/>
          <w:szCs w:val="22"/>
        </w:rPr>
        <w:t>The Act provides a framework for the mandatory reporting of shortages or discontinuations of certain medicines that are reportable medicines. Under subsections</w:t>
      </w:r>
      <w:r w:rsidR="00CC031C">
        <w:rPr>
          <w:sz w:val="22"/>
          <w:szCs w:val="22"/>
        </w:rPr>
        <w:t> </w:t>
      </w:r>
      <w:r>
        <w:rPr>
          <w:sz w:val="22"/>
          <w:szCs w:val="22"/>
        </w:rPr>
        <w:t>30E</w:t>
      </w:r>
      <w:r w:rsidR="0008711B">
        <w:rPr>
          <w:sz w:val="22"/>
          <w:szCs w:val="22"/>
        </w:rPr>
        <w:t>F</w:t>
      </w:r>
      <w:r>
        <w:rPr>
          <w:sz w:val="22"/>
          <w:szCs w:val="22"/>
        </w:rPr>
        <w:t xml:space="preserve">(1) and 30EG(1), the timeframe for reporting a shortage or discontinuation of a reportable medicine that is of </w:t>
      </w:r>
      <w:r w:rsidRPr="00FB1BEC">
        <w:rPr>
          <w:i/>
          <w:iCs/>
          <w:sz w:val="22"/>
          <w:szCs w:val="22"/>
        </w:rPr>
        <w:t>critical impact</w:t>
      </w:r>
      <w:r>
        <w:rPr>
          <w:sz w:val="22"/>
          <w:szCs w:val="22"/>
        </w:rPr>
        <w:t xml:space="preserve"> is more immediate than for other reportable medicines. </w:t>
      </w:r>
      <w:r w:rsidR="004F63FD">
        <w:rPr>
          <w:rFonts w:ascii="Times New Roman" w:hAnsi="Times New Roman"/>
          <w:sz w:val="22"/>
          <w:szCs w:val="22"/>
        </w:rPr>
        <w:t>Subsection 30EF(2) of the Act provides that the shortage of a medicine in Australia at a particular time has a critical impact if, at the time, the medicine is included in an instrument under section 30EJ. Section 30EG(2) of the Act provides that the discontinuation of the supply of a medicine in Australia is likely to be of critical impact if, when the discontinuation decision is made, the medicine is included in an instrument under section 30EJ.</w:t>
      </w:r>
      <w:r w:rsidR="00257107">
        <w:rPr>
          <w:rFonts w:ascii="Times New Roman" w:hAnsi="Times New Roman"/>
          <w:sz w:val="22"/>
          <w:szCs w:val="22"/>
        </w:rPr>
        <w:t xml:space="preserve"> </w:t>
      </w:r>
    </w:p>
    <w:p w14:paraId="25E82E04" w14:textId="77777777" w:rsidR="00257107" w:rsidRDefault="00257107" w:rsidP="00087769">
      <w:pPr>
        <w:autoSpaceDE w:val="0"/>
        <w:autoSpaceDN w:val="0"/>
        <w:adjustRightInd w:val="0"/>
        <w:rPr>
          <w:rFonts w:ascii="Times New Roman" w:hAnsi="Times New Roman"/>
          <w:sz w:val="22"/>
          <w:szCs w:val="22"/>
        </w:rPr>
      </w:pPr>
    </w:p>
    <w:p w14:paraId="1BB3E8C8" w14:textId="2ACD8664" w:rsidR="00087769" w:rsidRDefault="007C3284" w:rsidP="00087769">
      <w:pPr>
        <w:autoSpaceDE w:val="0"/>
        <w:autoSpaceDN w:val="0"/>
        <w:adjustRightInd w:val="0"/>
        <w:rPr>
          <w:sz w:val="22"/>
          <w:szCs w:val="22"/>
        </w:rPr>
      </w:pPr>
      <w:r w:rsidRPr="00087769">
        <w:rPr>
          <w:sz w:val="22"/>
          <w:szCs w:val="22"/>
        </w:rPr>
        <w:t>S</w:t>
      </w:r>
      <w:r w:rsidR="0008711B">
        <w:rPr>
          <w:sz w:val="22"/>
          <w:szCs w:val="22"/>
        </w:rPr>
        <w:t>ubs</w:t>
      </w:r>
      <w:r w:rsidRPr="00087769">
        <w:rPr>
          <w:sz w:val="22"/>
          <w:szCs w:val="22"/>
        </w:rPr>
        <w:t>ection 30EJ(1) of the Act relevantly provides that the Minister may, by legislative instrument, determine medicines for the purposes of subsections</w:t>
      </w:r>
      <w:r w:rsidR="00CC031C">
        <w:rPr>
          <w:sz w:val="22"/>
          <w:szCs w:val="22"/>
        </w:rPr>
        <w:t> </w:t>
      </w:r>
      <w:r w:rsidRPr="00087769">
        <w:rPr>
          <w:sz w:val="22"/>
          <w:szCs w:val="22"/>
        </w:rPr>
        <w:t>30EF(2) and</w:t>
      </w:r>
      <w:r w:rsidR="00CC031C">
        <w:rPr>
          <w:sz w:val="22"/>
          <w:szCs w:val="22"/>
        </w:rPr>
        <w:t> </w:t>
      </w:r>
      <w:r w:rsidRPr="00087769">
        <w:rPr>
          <w:sz w:val="22"/>
          <w:szCs w:val="22"/>
        </w:rPr>
        <w:t>30EG(2) of the Act.</w:t>
      </w:r>
      <w:r>
        <w:rPr>
          <w:sz w:val="22"/>
          <w:szCs w:val="22"/>
        </w:rPr>
        <w:t xml:space="preserve"> The effect of a medicine being included in such an instrument is that the timeframes for reporting a shortage or discontinuation of the medicine are the timeframes that apply to a shortage or discontinuation of critical impact.</w:t>
      </w:r>
    </w:p>
    <w:p w14:paraId="7216FCA2" w14:textId="77777777" w:rsidR="00614575" w:rsidRPr="00087769" w:rsidRDefault="00614575" w:rsidP="00087769">
      <w:pPr>
        <w:autoSpaceDE w:val="0"/>
        <w:autoSpaceDN w:val="0"/>
        <w:adjustRightInd w:val="0"/>
        <w:rPr>
          <w:sz w:val="22"/>
          <w:szCs w:val="22"/>
        </w:rPr>
      </w:pPr>
    </w:p>
    <w:p w14:paraId="5FF5F5B4" w14:textId="58262490" w:rsidR="00087769" w:rsidRDefault="00087769" w:rsidP="00087769">
      <w:pPr>
        <w:autoSpaceDE w:val="0"/>
        <w:autoSpaceDN w:val="0"/>
        <w:adjustRightInd w:val="0"/>
        <w:rPr>
          <w:sz w:val="22"/>
          <w:szCs w:val="22"/>
        </w:rPr>
      </w:pPr>
      <w:r w:rsidRPr="00087769">
        <w:rPr>
          <w:sz w:val="22"/>
          <w:szCs w:val="22"/>
        </w:rPr>
        <w:t xml:space="preserve">The </w:t>
      </w:r>
      <w:r w:rsidRPr="00A10E8F">
        <w:rPr>
          <w:i/>
          <w:iCs/>
          <w:sz w:val="22"/>
          <w:szCs w:val="22"/>
        </w:rPr>
        <w:t>Therapeutic Goods (Medicines Watch List) Determination</w:t>
      </w:r>
      <w:r w:rsidR="00A10E8F">
        <w:rPr>
          <w:i/>
          <w:iCs/>
          <w:sz w:val="22"/>
          <w:szCs w:val="22"/>
        </w:rPr>
        <w:t> </w:t>
      </w:r>
      <w:r w:rsidRPr="00A10E8F">
        <w:rPr>
          <w:i/>
          <w:iCs/>
          <w:sz w:val="22"/>
          <w:szCs w:val="22"/>
        </w:rPr>
        <w:t>2018</w:t>
      </w:r>
      <w:r w:rsidRPr="00087769">
        <w:rPr>
          <w:sz w:val="22"/>
          <w:szCs w:val="22"/>
        </w:rPr>
        <w:t xml:space="preserve"> (</w:t>
      </w:r>
      <w:r w:rsidR="000963A9">
        <w:rPr>
          <w:sz w:val="22"/>
          <w:szCs w:val="22"/>
        </w:rPr>
        <w:t>“</w:t>
      </w:r>
      <w:r w:rsidRPr="00087769">
        <w:rPr>
          <w:sz w:val="22"/>
          <w:szCs w:val="22"/>
        </w:rPr>
        <w:t>the Principal Determination</w:t>
      </w:r>
      <w:r w:rsidR="000963A9">
        <w:rPr>
          <w:sz w:val="22"/>
          <w:szCs w:val="22"/>
        </w:rPr>
        <w:t>”</w:t>
      </w:r>
      <w:r w:rsidRPr="00087769">
        <w:rPr>
          <w:sz w:val="22"/>
          <w:szCs w:val="22"/>
        </w:rPr>
        <w:t>) is made under subsection 30</w:t>
      </w:r>
      <w:proofErr w:type="gramStart"/>
      <w:r w:rsidRPr="00087769">
        <w:rPr>
          <w:sz w:val="22"/>
          <w:szCs w:val="22"/>
        </w:rPr>
        <w:t>EJ(</w:t>
      </w:r>
      <w:proofErr w:type="gramEnd"/>
      <w:r w:rsidRPr="00087769">
        <w:rPr>
          <w:sz w:val="22"/>
          <w:szCs w:val="22"/>
        </w:rPr>
        <w:t>1) of the Act. The Principal Determination identif</w:t>
      </w:r>
      <w:r w:rsidR="00BF1FAA">
        <w:rPr>
          <w:sz w:val="22"/>
          <w:szCs w:val="22"/>
        </w:rPr>
        <w:t>ies</w:t>
      </w:r>
      <w:r w:rsidRPr="00087769">
        <w:rPr>
          <w:sz w:val="22"/>
          <w:szCs w:val="22"/>
        </w:rPr>
        <w:t xml:space="preserve"> reportable medicines for which a shortage</w:t>
      </w:r>
      <w:r w:rsidR="004F63FD">
        <w:rPr>
          <w:sz w:val="22"/>
          <w:szCs w:val="22"/>
        </w:rPr>
        <w:t xml:space="preserve"> would</w:t>
      </w:r>
      <w:r w:rsidR="00BF1FAA">
        <w:rPr>
          <w:sz w:val="22"/>
          <w:szCs w:val="22"/>
        </w:rPr>
        <w:t>,</w:t>
      </w:r>
      <w:r w:rsidRPr="00087769">
        <w:rPr>
          <w:sz w:val="22"/>
          <w:szCs w:val="22"/>
        </w:rPr>
        <w:t xml:space="preserve"> or a decision by the medicine’s sponsor to permanently discontinue its supply</w:t>
      </w:r>
      <w:r w:rsidR="004F63FD">
        <w:rPr>
          <w:sz w:val="22"/>
          <w:szCs w:val="22"/>
        </w:rPr>
        <w:t xml:space="preserve"> may</w:t>
      </w:r>
      <w:r w:rsidR="00BF1FAA">
        <w:rPr>
          <w:sz w:val="22"/>
          <w:szCs w:val="22"/>
        </w:rPr>
        <w:t>,</w:t>
      </w:r>
      <w:r w:rsidRPr="00087769">
        <w:rPr>
          <w:sz w:val="22"/>
          <w:szCs w:val="22"/>
        </w:rPr>
        <w:t xml:space="preserve"> be of critical impact for the purposes of the reporting requirements for medicines shortages and discontinuations in sections 30EF and 30EG of the Act.</w:t>
      </w:r>
    </w:p>
    <w:p w14:paraId="6C00C327" w14:textId="77777777" w:rsidR="00087769" w:rsidRPr="00087769" w:rsidRDefault="00087769" w:rsidP="00087769">
      <w:pPr>
        <w:autoSpaceDE w:val="0"/>
        <w:autoSpaceDN w:val="0"/>
        <w:adjustRightInd w:val="0"/>
        <w:rPr>
          <w:sz w:val="22"/>
          <w:szCs w:val="22"/>
        </w:rPr>
      </w:pPr>
    </w:p>
    <w:p w14:paraId="1A6127ED" w14:textId="1F8E39D5" w:rsidR="001055C7" w:rsidRPr="00940B4C" w:rsidRDefault="00087769" w:rsidP="00344177">
      <w:pPr>
        <w:autoSpaceDE w:val="0"/>
        <w:autoSpaceDN w:val="0"/>
        <w:adjustRightInd w:val="0"/>
        <w:rPr>
          <w:sz w:val="22"/>
          <w:szCs w:val="22"/>
        </w:rPr>
      </w:pPr>
      <w:r w:rsidRPr="001055C7">
        <w:rPr>
          <w:sz w:val="22"/>
          <w:szCs w:val="22"/>
        </w:rPr>
        <w:t>The</w:t>
      </w:r>
      <w:r w:rsidRPr="00087769">
        <w:rPr>
          <w:sz w:val="22"/>
          <w:szCs w:val="22"/>
        </w:rPr>
        <w:t xml:space="preserve"> </w:t>
      </w:r>
      <w:r w:rsidRPr="00A10E8F">
        <w:rPr>
          <w:i/>
          <w:iCs/>
          <w:sz w:val="22"/>
          <w:szCs w:val="22"/>
        </w:rPr>
        <w:t>Therapeutic Goods (Medicines Watch List) Amendment Determination</w:t>
      </w:r>
      <w:r w:rsidR="00A10E8F">
        <w:rPr>
          <w:i/>
          <w:iCs/>
          <w:sz w:val="22"/>
          <w:szCs w:val="22"/>
        </w:rPr>
        <w:t> </w:t>
      </w:r>
      <w:r w:rsidRPr="00A10E8F">
        <w:rPr>
          <w:i/>
          <w:iCs/>
          <w:sz w:val="22"/>
          <w:szCs w:val="22"/>
        </w:rPr>
        <w:t>2025</w:t>
      </w:r>
      <w:r w:rsidRPr="00087769">
        <w:rPr>
          <w:sz w:val="22"/>
          <w:szCs w:val="22"/>
        </w:rPr>
        <w:t xml:space="preserve"> (</w:t>
      </w:r>
      <w:r w:rsidR="000963A9">
        <w:rPr>
          <w:sz w:val="22"/>
          <w:szCs w:val="22"/>
        </w:rPr>
        <w:t>“</w:t>
      </w:r>
      <w:r w:rsidRPr="00087769">
        <w:rPr>
          <w:sz w:val="22"/>
          <w:szCs w:val="22"/>
        </w:rPr>
        <w:t>the Amendment Determination</w:t>
      </w:r>
      <w:r w:rsidR="000963A9">
        <w:rPr>
          <w:sz w:val="22"/>
          <w:szCs w:val="22"/>
        </w:rPr>
        <w:t>”</w:t>
      </w:r>
      <w:r w:rsidRPr="00087769">
        <w:rPr>
          <w:sz w:val="22"/>
          <w:szCs w:val="22"/>
        </w:rPr>
        <w:t>) amend</w:t>
      </w:r>
      <w:r w:rsidR="00BF1FAA">
        <w:rPr>
          <w:sz w:val="22"/>
          <w:szCs w:val="22"/>
        </w:rPr>
        <w:t xml:space="preserve">s </w:t>
      </w:r>
      <w:r w:rsidRPr="00087769">
        <w:rPr>
          <w:sz w:val="22"/>
          <w:szCs w:val="22"/>
        </w:rPr>
        <w:t xml:space="preserve">the Principal Determination to </w:t>
      </w:r>
      <w:r w:rsidR="00BF1FAA">
        <w:rPr>
          <w:sz w:val="22"/>
          <w:szCs w:val="22"/>
        </w:rPr>
        <w:t>refer to</w:t>
      </w:r>
      <w:r w:rsidRPr="00087769">
        <w:rPr>
          <w:sz w:val="22"/>
          <w:szCs w:val="22"/>
        </w:rPr>
        <w:t xml:space="preserve"> the National Immunisation Program Schedule</w:t>
      </w:r>
      <w:r w:rsidR="00BF1FAA">
        <w:rPr>
          <w:sz w:val="22"/>
          <w:szCs w:val="22"/>
        </w:rPr>
        <w:t xml:space="preserve"> (“the NIP Schedule”)</w:t>
      </w:r>
      <w:r w:rsidRPr="00087769">
        <w:rPr>
          <w:sz w:val="22"/>
          <w:szCs w:val="22"/>
        </w:rPr>
        <w:t xml:space="preserve"> </w:t>
      </w:r>
      <w:r w:rsidR="00BF1FAA">
        <w:rPr>
          <w:sz w:val="22"/>
          <w:szCs w:val="22"/>
        </w:rPr>
        <w:t>as</w:t>
      </w:r>
      <w:r w:rsidRPr="00087769">
        <w:rPr>
          <w:sz w:val="22"/>
          <w:szCs w:val="22"/>
        </w:rPr>
        <w:t xml:space="preserve"> in force or existing </w:t>
      </w:r>
      <w:r w:rsidR="0008711B">
        <w:rPr>
          <w:sz w:val="22"/>
          <w:szCs w:val="22"/>
        </w:rPr>
        <w:t>on</w:t>
      </w:r>
      <w:r w:rsidR="001055C7">
        <w:rPr>
          <w:sz w:val="22"/>
          <w:szCs w:val="22"/>
        </w:rPr>
        <w:t xml:space="preserve"> 1 March 2025.</w:t>
      </w:r>
      <w:r w:rsidR="00F96511">
        <w:rPr>
          <w:sz w:val="22"/>
          <w:szCs w:val="22"/>
        </w:rPr>
        <w:t xml:space="preserve"> This is intended to incorporate any vaccines that have been added to the NIP Schedule since 2018. </w:t>
      </w:r>
    </w:p>
    <w:bookmarkEnd w:id="2"/>
    <w:p w14:paraId="6300F775" w14:textId="77777777" w:rsidR="00E27943" w:rsidRDefault="00E27943" w:rsidP="00E27943">
      <w:pPr>
        <w:autoSpaceDE w:val="0"/>
        <w:autoSpaceDN w:val="0"/>
        <w:adjustRightInd w:val="0"/>
        <w:rPr>
          <w:rFonts w:ascii="Times New Roman" w:hAnsi="Times New Roman"/>
          <w:sz w:val="22"/>
          <w:szCs w:val="22"/>
        </w:rPr>
      </w:pPr>
    </w:p>
    <w:p w14:paraId="37223D90" w14:textId="77777777" w:rsidR="00E27943" w:rsidRDefault="00E27943" w:rsidP="00E27943">
      <w:pPr>
        <w:autoSpaceDE w:val="0"/>
        <w:autoSpaceDN w:val="0"/>
        <w:adjustRightInd w:val="0"/>
        <w:rPr>
          <w:rFonts w:ascii="Times New Roman" w:hAnsi="Times New Roman"/>
          <w:b/>
          <w:bCs/>
          <w:sz w:val="22"/>
          <w:szCs w:val="22"/>
        </w:rPr>
      </w:pPr>
      <w:r>
        <w:rPr>
          <w:rFonts w:ascii="Times New Roman" w:hAnsi="Times New Roman"/>
          <w:b/>
          <w:bCs/>
          <w:sz w:val="22"/>
          <w:szCs w:val="22"/>
        </w:rPr>
        <w:t>Background</w:t>
      </w:r>
    </w:p>
    <w:p w14:paraId="37A09308" w14:textId="77777777" w:rsidR="00E27943" w:rsidRDefault="00E27943" w:rsidP="00E27943">
      <w:pPr>
        <w:autoSpaceDE w:val="0"/>
        <w:autoSpaceDN w:val="0"/>
        <w:adjustRightInd w:val="0"/>
        <w:rPr>
          <w:rFonts w:ascii="Times New Roman" w:hAnsi="Times New Roman"/>
          <w:sz w:val="22"/>
          <w:szCs w:val="22"/>
        </w:rPr>
      </w:pPr>
    </w:p>
    <w:p w14:paraId="52324440" w14:textId="52391C51" w:rsidR="002E4AC4" w:rsidRDefault="007C3284" w:rsidP="00BF1FAA">
      <w:pPr>
        <w:autoSpaceDE w:val="0"/>
        <w:autoSpaceDN w:val="0"/>
        <w:adjustRightInd w:val="0"/>
        <w:rPr>
          <w:rFonts w:ascii="Times New Roman" w:hAnsi="Times New Roman"/>
          <w:sz w:val="22"/>
          <w:szCs w:val="22"/>
        </w:rPr>
      </w:pPr>
      <w:r>
        <w:rPr>
          <w:rFonts w:ascii="Times New Roman" w:hAnsi="Times New Roman"/>
          <w:sz w:val="22"/>
          <w:szCs w:val="22"/>
        </w:rPr>
        <w:t>T</w:t>
      </w:r>
      <w:r w:rsidR="00576B03">
        <w:rPr>
          <w:rFonts w:ascii="Times New Roman" w:hAnsi="Times New Roman"/>
          <w:sz w:val="22"/>
          <w:szCs w:val="22"/>
        </w:rPr>
        <w:t xml:space="preserve">he Act </w:t>
      </w:r>
      <w:r>
        <w:rPr>
          <w:rFonts w:ascii="Times New Roman" w:hAnsi="Times New Roman"/>
          <w:sz w:val="22"/>
          <w:szCs w:val="22"/>
        </w:rPr>
        <w:t xml:space="preserve">provides for </w:t>
      </w:r>
      <w:r w:rsidR="000F6D71">
        <w:rPr>
          <w:rFonts w:ascii="Times New Roman" w:hAnsi="Times New Roman"/>
          <w:sz w:val="22"/>
          <w:szCs w:val="22"/>
        </w:rPr>
        <w:t xml:space="preserve">mandatory reporting </w:t>
      </w:r>
      <w:r>
        <w:rPr>
          <w:rFonts w:ascii="Times New Roman" w:hAnsi="Times New Roman"/>
          <w:sz w:val="22"/>
          <w:szCs w:val="22"/>
        </w:rPr>
        <w:t>to the Secretary of a shortage or discontinuation of</w:t>
      </w:r>
      <w:r w:rsidR="000F6D71">
        <w:rPr>
          <w:rFonts w:ascii="Times New Roman" w:hAnsi="Times New Roman"/>
          <w:sz w:val="22"/>
          <w:szCs w:val="22"/>
        </w:rPr>
        <w:t xml:space="preserve"> reportable medicines</w:t>
      </w:r>
      <w:r w:rsidR="00921708">
        <w:rPr>
          <w:rFonts w:ascii="Times New Roman" w:hAnsi="Times New Roman"/>
          <w:sz w:val="22"/>
          <w:szCs w:val="22"/>
        </w:rPr>
        <w:t xml:space="preserve">. </w:t>
      </w:r>
      <w:r w:rsidR="002E4AC4">
        <w:rPr>
          <w:rFonts w:ascii="Times New Roman" w:hAnsi="Times New Roman"/>
          <w:sz w:val="22"/>
          <w:szCs w:val="22"/>
        </w:rPr>
        <w:t>Reportable</w:t>
      </w:r>
      <w:r w:rsidR="00921708" w:rsidRPr="00921708">
        <w:rPr>
          <w:rFonts w:ascii="Times New Roman" w:hAnsi="Times New Roman"/>
          <w:sz w:val="22"/>
          <w:szCs w:val="22"/>
        </w:rPr>
        <w:t xml:space="preserve"> medicines </w:t>
      </w:r>
      <w:r>
        <w:rPr>
          <w:rFonts w:ascii="Times New Roman" w:hAnsi="Times New Roman"/>
          <w:sz w:val="22"/>
          <w:szCs w:val="22"/>
        </w:rPr>
        <w:t>are defined in section</w:t>
      </w:r>
      <w:r w:rsidR="00CC031C">
        <w:rPr>
          <w:rFonts w:ascii="Times New Roman" w:hAnsi="Times New Roman"/>
          <w:sz w:val="22"/>
          <w:szCs w:val="22"/>
        </w:rPr>
        <w:t> </w:t>
      </w:r>
      <w:r>
        <w:rPr>
          <w:rFonts w:ascii="Times New Roman" w:hAnsi="Times New Roman"/>
          <w:sz w:val="22"/>
          <w:szCs w:val="22"/>
        </w:rPr>
        <w:t xml:space="preserve">30EH of the Act </w:t>
      </w:r>
      <w:r w:rsidR="00523DE2">
        <w:rPr>
          <w:rFonts w:ascii="Times New Roman" w:hAnsi="Times New Roman"/>
          <w:sz w:val="22"/>
          <w:szCs w:val="22"/>
        </w:rPr>
        <w:t xml:space="preserve">as registered </w:t>
      </w:r>
      <w:r w:rsidR="006B571B">
        <w:rPr>
          <w:rFonts w:ascii="Times New Roman" w:hAnsi="Times New Roman"/>
          <w:sz w:val="22"/>
          <w:szCs w:val="22"/>
        </w:rPr>
        <w:t>goods</w:t>
      </w:r>
      <w:r w:rsidR="00523DE2">
        <w:rPr>
          <w:rFonts w:ascii="Times New Roman" w:hAnsi="Times New Roman"/>
          <w:sz w:val="22"/>
          <w:szCs w:val="22"/>
        </w:rPr>
        <w:t xml:space="preserve"> </w:t>
      </w:r>
      <w:r w:rsidR="006B571B">
        <w:rPr>
          <w:rFonts w:ascii="Times New Roman" w:hAnsi="Times New Roman"/>
          <w:sz w:val="22"/>
          <w:szCs w:val="22"/>
        </w:rPr>
        <w:t xml:space="preserve">that contain one or more substances in Schedule 4 or 8 to the current Poisons Standard or are determined in an instrument. They are medicines that </w:t>
      </w:r>
      <w:r w:rsidR="00921708" w:rsidRPr="00921708">
        <w:rPr>
          <w:rFonts w:ascii="Times New Roman" w:hAnsi="Times New Roman"/>
          <w:sz w:val="22"/>
          <w:szCs w:val="22"/>
        </w:rPr>
        <w:t>are particularly important for the health of patients who need to take them</w:t>
      </w:r>
      <w:r w:rsidR="00F96511">
        <w:rPr>
          <w:rFonts w:ascii="Times New Roman" w:hAnsi="Times New Roman"/>
          <w:sz w:val="22"/>
          <w:szCs w:val="22"/>
        </w:rPr>
        <w:t xml:space="preserve"> so it is</w:t>
      </w:r>
      <w:r w:rsidR="00921708" w:rsidRPr="00921708">
        <w:rPr>
          <w:rFonts w:ascii="Times New Roman" w:hAnsi="Times New Roman"/>
          <w:sz w:val="22"/>
          <w:szCs w:val="22"/>
        </w:rPr>
        <w:t xml:space="preserve"> in the interests of public health for </w:t>
      </w:r>
      <w:r>
        <w:rPr>
          <w:rFonts w:ascii="Times New Roman" w:hAnsi="Times New Roman"/>
          <w:sz w:val="22"/>
          <w:szCs w:val="22"/>
        </w:rPr>
        <w:t>the mandatory reporting requirements to apply.</w:t>
      </w:r>
    </w:p>
    <w:p w14:paraId="10B011CF" w14:textId="77777777" w:rsidR="007C3284" w:rsidRDefault="007C3284" w:rsidP="00BF1FAA">
      <w:pPr>
        <w:autoSpaceDE w:val="0"/>
        <w:autoSpaceDN w:val="0"/>
        <w:adjustRightInd w:val="0"/>
        <w:rPr>
          <w:rFonts w:ascii="Times New Roman" w:hAnsi="Times New Roman"/>
          <w:sz w:val="22"/>
          <w:szCs w:val="22"/>
        </w:rPr>
      </w:pPr>
    </w:p>
    <w:p w14:paraId="621FCEE6" w14:textId="77777777" w:rsidR="006B571B" w:rsidRDefault="006B571B" w:rsidP="00BF1FAA">
      <w:pPr>
        <w:autoSpaceDE w:val="0"/>
        <w:autoSpaceDN w:val="0"/>
        <w:adjustRightInd w:val="0"/>
        <w:rPr>
          <w:rFonts w:ascii="Times New Roman" w:hAnsi="Times New Roman"/>
          <w:sz w:val="22"/>
          <w:szCs w:val="22"/>
        </w:rPr>
      </w:pPr>
      <w:r>
        <w:rPr>
          <w:rFonts w:ascii="Times New Roman" w:hAnsi="Times New Roman"/>
          <w:sz w:val="22"/>
          <w:szCs w:val="22"/>
        </w:rPr>
        <w:t>The mandatory requirements are set out in:</w:t>
      </w:r>
    </w:p>
    <w:p w14:paraId="5BD21E0C" w14:textId="382034B9" w:rsidR="006B571B" w:rsidRDefault="006B571B" w:rsidP="006B571B">
      <w:pPr>
        <w:pStyle w:val="ListParagraph"/>
        <w:numPr>
          <w:ilvl w:val="0"/>
          <w:numId w:val="6"/>
        </w:numPr>
        <w:autoSpaceDE w:val="0"/>
        <w:autoSpaceDN w:val="0"/>
        <w:adjustRightInd w:val="0"/>
        <w:rPr>
          <w:rFonts w:ascii="Times New Roman" w:hAnsi="Times New Roman"/>
          <w:sz w:val="22"/>
          <w:szCs w:val="22"/>
        </w:rPr>
      </w:pPr>
      <w:r>
        <w:rPr>
          <w:rFonts w:ascii="Times New Roman" w:hAnsi="Times New Roman"/>
          <w:sz w:val="22"/>
          <w:szCs w:val="22"/>
        </w:rPr>
        <w:t>s</w:t>
      </w:r>
      <w:r w:rsidR="007C3284" w:rsidRPr="00BC3D6A">
        <w:rPr>
          <w:rFonts w:ascii="Times New Roman" w:hAnsi="Times New Roman"/>
          <w:sz w:val="22"/>
          <w:szCs w:val="22"/>
        </w:rPr>
        <w:t>ection</w:t>
      </w:r>
      <w:r w:rsidR="00CC031C" w:rsidRPr="00BC3D6A">
        <w:rPr>
          <w:rFonts w:ascii="Times New Roman" w:hAnsi="Times New Roman"/>
          <w:sz w:val="22"/>
          <w:szCs w:val="22"/>
        </w:rPr>
        <w:t> </w:t>
      </w:r>
      <w:r w:rsidR="007C3284" w:rsidRPr="00BC3D6A">
        <w:rPr>
          <w:rFonts w:ascii="Times New Roman" w:hAnsi="Times New Roman"/>
          <w:sz w:val="22"/>
          <w:szCs w:val="22"/>
        </w:rPr>
        <w:t>30EF of the Act</w:t>
      </w:r>
      <w:r w:rsidR="00BC3D6A">
        <w:rPr>
          <w:rFonts w:ascii="Times New Roman" w:hAnsi="Times New Roman"/>
          <w:sz w:val="22"/>
          <w:szCs w:val="22"/>
        </w:rPr>
        <w:t>,</w:t>
      </w:r>
      <w:r w:rsidR="007C3284" w:rsidRPr="00BC3D6A">
        <w:rPr>
          <w:rFonts w:ascii="Times New Roman" w:hAnsi="Times New Roman"/>
          <w:sz w:val="22"/>
          <w:szCs w:val="22"/>
        </w:rPr>
        <w:t xml:space="preserve"> </w:t>
      </w:r>
      <w:r>
        <w:rPr>
          <w:rFonts w:ascii="Times New Roman" w:hAnsi="Times New Roman"/>
          <w:sz w:val="22"/>
          <w:szCs w:val="22"/>
        </w:rPr>
        <w:t xml:space="preserve">which </w:t>
      </w:r>
      <w:r w:rsidR="007C3284" w:rsidRPr="00BC3D6A">
        <w:rPr>
          <w:rFonts w:ascii="Times New Roman" w:hAnsi="Times New Roman"/>
          <w:sz w:val="22"/>
          <w:szCs w:val="22"/>
        </w:rPr>
        <w:t>requires notification to the Secretary of any shortage of a reportable medicine</w:t>
      </w:r>
      <w:r>
        <w:rPr>
          <w:rFonts w:ascii="Times New Roman" w:hAnsi="Times New Roman"/>
          <w:sz w:val="22"/>
          <w:szCs w:val="22"/>
        </w:rPr>
        <w:t xml:space="preserve">; </w:t>
      </w:r>
    </w:p>
    <w:p w14:paraId="04D02C4D" w14:textId="43F3EE26" w:rsidR="006B571B" w:rsidRDefault="007C3284" w:rsidP="006B571B">
      <w:pPr>
        <w:pStyle w:val="ListParagraph"/>
        <w:numPr>
          <w:ilvl w:val="0"/>
          <w:numId w:val="6"/>
        </w:numPr>
        <w:autoSpaceDE w:val="0"/>
        <w:autoSpaceDN w:val="0"/>
        <w:adjustRightInd w:val="0"/>
        <w:rPr>
          <w:rFonts w:ascii="Times New Roman" w:hAnsi="Times New Roman"/>
          <w:sz w:val="22"/>
          <w:szCs w:val="22"/>
        </w:rPr>
      </w:pPr>
      <w:r w:rsidRPr="00BC3D6A">
        <w:rPr>
          <w:rFonts w:ascii="Times New Roman" w:hAnsi="Times New Roman"/>
          <w:sz w:val="22"/>
          <w:szCs w:val="22"/>
        </w:rPr>
        <w:t>section</w:t>
      </w:r>
      <w:r w:rsidR="00CC031C" w:rsidRPr="00BC3D6A">
        <w:rPr>
          <w:rFonts w:ascii="Times New Roman" w:hAnsi="Times New Roman"/>
          <w:sz w:val="22"/>
          <w:szCs w:val="22"/>
        </w:rPr>
        <w:t> </w:t>
      </w:r>
      <w:r w:rsidRPr="00BC3D6A">
        <w:rPr>
          <w:rFonts w:ascii="Times New Roman" w:hAnsi="Times New Roman"/>
          <w:sz w:val="22"/>
          <w:szCs w:val="22"/>
        </w:rPr>
        <w:t xml:space="preserve">30EFA </w:t>
      </w:r>
      <w:r w:rsidR="006B571B">
        <w:rPr>
          <w:rFonts w:ascii="Times New Roman" w:hAnsi="Times New Roman"/>
          <w:sz w:val="22"/>
          <w:szCs w:val="22"/>
        </w:rPr>
        <w:t>of the Act</w:t>
      </w:r>
      <w:r w:rsidR="00BC3D6A">
        <w:rPr>
          <w:rFonts w:ascii="Times New Roman" w:hAnsi="Times New Roman"/>
          <w:sz w:val="22"/>
          <w:szCs w:val="22"/>
        </w:rPr>
        <w:t>,</w:t>
      </w:r>
      <w:r w:rsidR="006B571B">
        <w:rPr>
          <w:rFonts w:ascii="Times New Roman" w:hAnsi="Times New Roman"/>
          <w:sz w:val="22"/>
          <w:szCs w:val="22"/>
        </w:rPr>
        <w:t xml:space="preserve"> which </w:t>
      </w:r>
      <w:r w:rsidRPr="00BC3D6A">
        <w:rPr>
          <w:rFonts w:ascii="Times New Roman" w:hAnsi="Times New Roman"/>
          <w:sz w:val="22"/>
          <w:szCs w:val="22"/>
        </w:rPr>
        <w:t>requires notification to the Secretary of a change to the period of a shortage or resolution of a shortage</w:t>
      </w:r>
      <w:r w:rsidR="006B571B">
        <w:rPr>
          <w:rFonts w:ascii="Times New Roman" w:hAnsi="Times New Roman"/>
          <w:sz w:val="22"/>
          <w:szCs w:val="22"/>
        </w:rPr>
        <w:t>;</w:t>
      </w:r>
      <w:r w:rsidR="006B571B" w:rsidRPr="00BC3D6A">
        <w:rPr>
          <w:rFonts w:ascii="Times New Roman" w:hAnsi="Times New Roman"/>
          <w:sz w:val="22"/>
          <w:szCs w:val="22"/>
        </w:rPr>
        <w:t xml:space="preserve"> </w:t>
      </w:r>
      <w:r w:rsidRPr="00BC3D6A">
        <w:rPr>
          <w:rFonts w:ascii="Times New Roman" w:hAnsi="Times New Roman"/>
          <w:sz w:val="22"/>
          <w:szCs w:val="22"/>
        </w:rPr>
        <w:t xml:space="preserve">and </w:t>
      </w:r>
    </w:p>
    <w:p w14:paraId="3D3D4102" w14:textId="2FE1783B" w:rsidR="007C3284" w:rsidRPr="00BC3D6A" w:rsidRDefault="007C3284" w:rsidP="00BC3D6A">
      <w:pPr>
        <w:pStyle w:val="ListParagraph"/>
        <w:numPr>
          <w:ilvl w:val="0"/>
          <w:numId w:val="6"/>
        </w:numPr>
        <w:autoSpaceDE w:val="0"/>
        <w:autoSpaceDN w:val="0"/>
        <w:adjustRightInd w:val="0"/>
        <w:rPr>
          <w:rFonts w:ascii="Times New Roman" w:hAnsi="Times New Roman"/>
          <w:sz w:val="22"/>
          <w:szCs w:val="22"/>
        </w:rPr>
      </w:pPr>
      <w:r w:rsidRPr="00BC3D6A">
        <w:rPr>
          <w:rFonts w:ascii="Times New Roman" w:hAnsi="Times New Roman"/>
          <w:sz w:val="22"/>
          <w:szCs w:val="22"/>
        </w:rPr>
        <w:t xml:space="preserve">section 30EG </w:t>
      </w:r>
      <w:r w:rsidR="006B571B">
        <w:rPr>
          <w:rFonts w:ascii="Times New Roman" w:hAnsi="Times New Roman"/>
          <w:sz w:val="22"/>
          <w:szCs w:val="22"/>
        </w:rPr>
        <w:t>of the Act</w:t>
      </w:r>
      <w:r w:rsidR="00BC3D6A">
        <w:rPr>
          <w:rFonts w:ascii="Times New Roman" w:hAnsi="Times New Roman"/>
          <w:sz w:val="22"/>
          <w:szCs w:val="22"/>
        </w:rPr>
        <w:t>,</w:t>
      </w:r>
      <w:r w:rsidR="006B571B">
        <w:rPr>
          <w:rFonts w:ascii="Times New Roman" w:hAnsi="Times New Roman"/>
          <w:sz w:val="22"/>
          <w:szCs w:val="22"/>
        </w:rPr>
        <w:t xml:space="preserve"> which </w:t>
      </w:r>
      <w:r w:rsidRPr="00BC3D6A">
        <w:rPr>
          <w:rFonts w:ascii="Times New Roman" w:hAnsi="Times New Roman"/>
          <w:sz w:val="22"/>
          <w:szCs w:val="22"/>
        </w:rPr>
        <w:t>requires notification to the Secretary of a decision to discontinue the supply of a reportable medicine in Australia.</w:t>
      </w:r>
    </w:p>
    <w:p w14:paraId="18A7BBE7" w14:textId="77777777" w:rsidR="002E4AC4" w:rsidRDefault="002E4AC4" w:rsidP="002E4AC4">
      <w:pPr>
        <w:autoSpaceDE w:val="0"/>
        <w:autoSpaceDN w:val="0"/>
        <w:adjustRightInd w:val="0"/>
        <w:rPr>
          <w:rFonts w:ascii="Times New Roman" w:hAnsi="Times New Roman"/>
          <w:sz w:val="22"/>
          <w:szCs w:val="22"/>
        </w:rPr>
      </w:pPr>
    </w:p>
    <w:p w14:paraId="16266C36" w14:textId="03AC9243" w:rsidR="00E27943" w:rsidRDefault="00B1747A" w:rsidP="00E27943">
      <w:pPr>
        <w:autoSpaceDE w:val="0"/>
        <w:autoSpaceDN w:val="0"/>
        <w:adjustRightInd w:val="0"/>
        <w:rPr>
          <w:rFonts w:ascii="Times New Roman" w:hAnsi="Times New Roman"/>
          <w:sz w:val="22"/>
          <w:szCs w:val="22"/>
        </w:rPr>
      </w:pPr>
      <w:r w:rsidRPr="00B1747A">
        <w:rPr>
          <w:rFonts w:ascii="Times New Roman" w:hAnsi="Times New Roman"/>
          <w:sz w:val="22"/>
          <w:szCs w:val="22"/>
        </w:rPr>
        <w:t xml:space="preserve">The </w:t>
      </w:r>
      <w:r w:rsidR="006B571B" w:rsidRPr="00B1747A">
        <w:rPr>
          <w:rFonts w:ascii="Times New Roman" w:hAnsi="Times New Roman"/>
          <w:sz w:val="22"/>
          <w:szCs w:val="22"/>
        </w:rPr>
        <w:t>time</w:t>
      </w:r>
      <w:r w:rsidR="006B571B">
        <w:rPr>
          <w:rFonts w:ascii="Times New Roman" w:hAnsi="Times New Roman"/>
          <w:sz w:val="22"/>
          <w:szCs w:val="22"/>
        </w:rPr>
        <w:t xml:space="preserve"> period</w:t>
      </w:r>
      <w:r w:rsidR="006B571B" w:rsidRPr="00B1747A">
        <w:rPr>
          <w:rFonts w:ascii="Times New Roman" w:hAnsi="Times New Roman"/>
          <w:sz w:val="22"/>
          <w:szCs w:val="22"/>
        </w:rPr>
        <w:t xml:space="preserve"> </w:t>
      </w:r>
      <w:r w:rsidRPr="00B1747A">
        <w:rPr>
          <w:rFonts w:ascii="Times New Roman" w:hAnsi="Times New Roman"/>
          <w:sz w:val="22"/>
          <w:szCs w:val="22"/>
        </w:rPr>
        <w:t xml:space="preserve">within which sponsors </w:t>
      </w:r>
      <w:r w:rsidR="00BF1FAA">
        <w:rPr>
          <w:rFonts w:ascii="Times New Roman" w:hAnsi="Times New Roman"/>
          <w:sz w:val="22"/>
          <w:szCs w:val="22"/>
        </w:rPr>
        <w:t>are</w:t>
      </w:r>
      <w:r w:rsidRPr="00B1747A">
        <w:rPr>
          <w:rFonts w:ascii="Times New Roman" w:hAnsi="Times New Roman"/>
          <w:sz w:val="22"/>
          <w:szCs w:val="22"/>
        </w:rPr>
        <w:t xml:space="preserve"> required to report a shortage or discontinuation </w:t>
      </w:r>
      <w:r w:rsidR="007C3284">
        <w:rPr>
          <w:rFonts w:ascii="Times New Roman" w:hAnsi="Times New Roman"/>
          <w:sz w:val="22"/>
          <w:szCs w:val="22"/>
        </w:rPr>
        <w:t xml:space="preserve">(or change in the period of the shortage or resolution of a shortage) </w:t>
      </w:r>
      <w:r w:rsidR="00BF1FAA">
        <w:rPr>
          <w:rFonts w:ascii="Times New Roman" w:hAnsi="Times New Roman"/>
          <w:sz w:val="22"/>
          <w:szCs w:val="22"/>
        </w:rPr>
        <w:t xml:space="preserve">of reportable medicines </w:t>
      </w:r>
      <w:r w:rsidRPr="00B1747A">
        <w:rPr>
          <w:rFonts w:ascii="Times New Roman" w:hAnsi="Times New Roman"/>
          <w:sz w:val="22"/>
          <w:szCs w:val="22"/>
        </w:rPr>
        <w:t>depend</w:t>
      </w:r>
      <w:r w:rsidR="006B571B">
        <w:rPr>
          <w:rFonts w:ascii="Times New Roman" w:hAnsi="Times New Roman"/>
          <w:sz w:val="22"/>
          <w:szCs w:val="22"/>
        </w:rPr>
        <w:t>s</w:t>
      </w:r>
      <w:r w:rsidRPr="00B1747A">
        <w:rPr>
          <w:rFonts w:ascii="Times New Roman" w:hAnsi="Times New Roman"/>
          <w:sz w:val="22"/>
          <w:szCs w:val="22"/>
        </w:rPr>
        <w:t xml:space="preserve"> on whether the shortage or discontinuation is of ‘critical impact’. </w:t>
      </w:r>
      <w:r w:rsidR="007C3284">
        <w:rPr>
          <w:rFonts w:ascii="Times New Roman" w:hAnsi="Times New Roman"/>
          <w:sz w:val="22"/>
          <w:szCs w:val="22"/>
        </w:rPr>
        <w:t>Under s</w:t>
      </w:r>
      <w:r w:rsidR="006B571B">
        <w:rPr>
          <w:rFonts w:ascii="Times New Roman" w:hAnsi="Times New Roman"/>
          <w:sz w:val="22"/>
          <w:szCs w:val="22"/>
        </w:rPr>
        <w:t>ubs</w:t>
      </w:r>
      <w:r w:rsidR="007C3284">
        <w:rPr>
          <w:rFonts w:ascii="Times New Roman" w:hAnsi="Times New Roman"/>
          <w:sz w:val="22"/>
          <w:szCs w:val="22"/>
        </w:rPr>
        <w:t>ection</w:t>
      </w:r>
      <w:r w:rsidR="00B17585">
        <w:rPr>
          <w:rFonts w:ascii="Times New Roman" w:hAnsi="Times New Roman"/>
          <w:sz w:val="22"/>
          <w:szCs w:val="22"/>
        </w:rPr>
        <w:t> </w:t>
      </w:r>
      <w:r w:rsidR="006B571B">
        <w:rPr>
          <w:rFonts w:ascii="Times New Roman" w:hAnsi="Times New Roman"/>
          <w:sz w:val="22"/>
          <w:szCs w:val="22"/>
        </w:rPr>
        <w:t>30EF</w:t>
      </w:r>
      <w:r w:rsidR="007C3284">
        <w:rPr>
          <w:rFonts w:ascii="Times New Roman" w:hAnsi="Times New Roman"/>
          <w:sz w:val="22"/>
          <w:szCs w:val="22"/>
        </w:rPr>
        <w:t>(1)</w:t>
      </w:r>
      <w:r w:rsidR="00344177">
        <w:rPr>
          <w:rFonts w:ascii="Times New Roman" w:hAnsi="Times New Roman"/>
          <w:sz w:val="22"/>
          <w:szCs w:val="22"/>
        </w:rPr>
        <w:t xml:space="preserve"> of the Act</w:t>
      </w:r>
      <w:r w:rsidR="007C3284">
        <w:rPr>
          <w:rFonts w:ascii="Times New Roman" w:hAnsi="Times New Roman"/>
          <w:sz w:val="22"/>
          <w:szCs w:val="22"/>
        </w:rPr>
        <w:t>, s</w:t>
      </w:r>
      <w:r w:rsidRPr="00B1747A">
        <w:rPr>
          <w:rFonts w:ascii="Times New Roman" w:hAnsi="Times New Roman"/>
          <w:sz w:val="22"/>
          <w:szCs w:val="22"/>
        </w:rPr>
        <w:t xml:space="preserve">hortages of </w:t>
      </w:r>
      <w:r w:rsidR="00B17585">
        <w:rPr>
          <w:rFonts w:ascii="Times New Roman" w:hAnsi="Times New Roman"/>
          <w:sz w:val="22"/>
          <w:szCs w:val="22"/>
        </w:rPr>
        <w:t>“</w:t>
      </w:r>
      <w:r w:rsidRPr="00B1747A">
        <w:rPr>
          <w:rFonts w:ascii="Times New Roman" w:hAnsi="Times New Roman"/>
          <w:sz w:val="22"/>
          <w:szCs w:val="22"/>
        </w:rPr>
        <w:t>critical impact</w:t>
      </w:r>
      <w:r w:rsidR="00B17585">
        <w:rPr>
          <w:rFonts w:ascii="Times New Roman" w:hAnsi="Times New Roman"/>
          <w:sz w:val="22"/>
          <w:szCs w:val="22"/>
        </w:rPr>
        <w:t>”</w:t>
      </w:r>
      <w:r w:rsidRPr="00B1747A">
        <w:rPr>
          <w:rFonts w:ascii="Times New Roman" w:hAnsi="Times New Roman"/>
          <w:sz w:val="22"/>
          <w:szCs w:val="22"/>
        </w:rPr>
        <w:t xml:space="preserve"> must be reported to the Secretary, using the approved form, as soon as possible but no later than 2 working days after the sponsor knows, or ought to have reasonably known, of the shortage</w:t>
      </w:r>
      <w:r w:rsidR="004F63FD">
        <w:rPr>
          <w:rFonts w:ascii="Times New Roman" w:hAnsi="Times New Roman"/>
          <w:sz w:val="22"/>
          <w:szCs w:val="22"/>
        </w:rPr>
        <w:t xml:space="preserve">. </w:t>
      </w:r>
      <w:r w:rsidR="007C3284">
        <w:rPr>
          <w:rFonts w:ascii="Times New Roman" w:hAnsi="Times New Roman"/>
          <w:sz w:val="22"/>
          <w:szCs w:val="22"/>
        </w:rPr>
        <w:t>Under subsection 30EG(1)</w:t>
      </w:r>
      <w:r w:rsidR="00344177">
        <w:rPr>
          <w:rFonts w:ascii="Times New Roman" w:hAnsi="Times New Roman"/>
          <w:sz w:val="22"/>
          <w:szCs w:val="22"/>
        </w:rPr>
        <w:t xml:space="preserve"> of the Act</w:t>
      </w:r>
      <w:r w:rsidR="007C3284">
        <w:rPr>
          <w:rFonts w:ascii="Times New Roman" w:hAnsi="Times New Roman"/>
          <w:sz w:val="22"/>
          <w:szCs w:val="22"/>
        </w:rPr>
        <w:t>, d</w:t>
      </w:r>
      <w:r w:rsidRPr="00B1747A">
        <w:rPr>
          <w:rFonts w:ascii="Times New Roman" w:hAnsi="Times New Roman"/>
          <w:sz w:val="22"/>
          <w:szCs w:val="22"/>
        </w:rPr>
        <w:t xml:space="preserve">iscontinuations of ‘critical impact’ must be notified at least 12 months before the discontinuation would occur, or otherwise as soon as possible after the decision to discontinue </w:t>
      </w:r>
      <w:r w:rsidR="006B571B">
        <w:rPr>
          <w:rFonts w:ascii="Times New Roman" w:hAnsi="Times New Roman"/>
          <w:sz w:val="22"/>
          <w:szCs w:val="22"/>
        </w:rPr>
        <w:t>supply</w:t>
      </w:r>
      <w:r w:rsidRPr="00B1747A">
        <w:rPr>
          <w:rFonts w:ascii="Times New Roman" w:hAnsi="Times New Roman"/>
          <w:sz w:val="22"/>
          <w:szCs w:val="22"/>
        </w:rPr>
        <w:t xml:space="preserve"> is made</w:t>
      </w:r>
      <w:r w:rsidR="004F63FD">
        <w:rPr>
          <w:rFonts w:ascii="Times New Roman" w:hAnsi="Times New Roman"/>
          <w:sz w:val="22"/>
          <w:szCs w:val="22"/>
        </w:rPr>
        <w:t>.</w:t>
      </w:r>
    </w:p>
    <w:p w14:paraId="33086AC2" w14:textId="77777777" w:rsidR="007C3284" w:rsidRDefault="007C3284" w:rsidP="00E27943">
      <w:pPr>
        <w:autoSpaceDE w:val="0"/>
        <w:autoSpaceDN w:val="0"/>
        <w:adjustRightInd w:val="0"/>
        <w:rPr>
          <w:rFonts w:ascii="Times New Roman" w:hAnsi="Times New Roman"/>
          <w:sz w:val="22"/>
          <w:szCs w:val="22"/>
        </w:rPr>
      </w:pPr>
    </w:p>
    <w:p w14:paraId="2A5715D9" w14:textId="34365204" w:rsidR="007C3284" w:rsidRDefault="007C3284" w:rsidP="00E27943">
      <w:pPr>
        <w:autoSpaceDE w:val="0"/>
        <w:autoSpaceDN w:val="0"/>
        <w:adjustRightInd w:val="0"/>
        <w:rPr>
          <w:rFonts w:ascii="Times New Roman" w:hAnsi="Times New Roman"/>
          <w:sz w:val="22"/>
          <w:szCs w:val="22"/>
        </w:rPr>
      </w:pPr>
      <w:r>
        <w:rPr>
          <w:rFonts w:ascii="Times New Roman" w:hAnsi="Times New Roman"/>
          <w:sz w:val="22"/>
          <w:szCs w:val="22"/>
        </w:rPr>
        <w:t>Subsections 30E</w:t>
      </w:r>
      <w:r w:rsidR="001C4D38">
        <w:rPr>
          <w:rFonts w:ascii="Times New Roman" w:hAnsi="Times New Roman"/>
          <w:sz w:val="22"/>
          <w:szCs w:val="22"/>
        </w:rPr>
        <w:t>F</w:t>
      </w:r>
      <w:r>
        <w:rPr>
          <w:rFonts w:ascii="Times New Roman" w:hAnsi="Times New Roman"/>
          <w:sz w:val="22"/>
          <w:szCs w:val="22"/>
        </w:rPr>
        <w:t xml:space="preserve">(2) and 30EG(2) </w:t>
      </w:r>
      <w:r w:rsidR="00344177">
        <w:rPr>
          <w:rFonts w:ascii="Times New Roman" w:hAnsi="Times New Roman"/>
          <w:sz w:val="22"/>
          <w:szCs w:val="22"/>
        </w:rPr>
        <w:t xml:space="preserve">of the Act </w:t>
      </w:r>
      <w:r>
        <w:rPr>
          <w:rFonts w:ascii="Times New Roman" w:hAnsi="Times New Roman"/>
          <w:sz w:val="22"/>
          <w:szCs w:val="22"/>
        </w:rPr>
        <w:t xml:space="preserve">provide that a shortage or discontinuation, respectively, are of critical impact if the medicine that is the subject of the shortage or discontinuation is determined in an instrument made under section 30EJ. </w:t>
      </w:r>
    </w:p>
    <w:p w14:paraId="467067AC" w14:textId="77777777" w:rsidR="004F63FD" w:rsidRDefault="004F63FD" w:rsidP="00E27943">
      <w:pPr>
        <w:autoSpaceDE w:val="0"/>
        <w:autoSpaceDN w:val="0"/>
        <w:adjustRightInd w:val="0"/>
        <w:rPr>
          <w:rFonts w:ascii="Times New Roman" w:hAnsi="Times New Roman"/>
          <w:sz w:val="22"/>
          <w:szCs w:val="22"/>
        </w:rPr>
      </w:pPr>
    </w:p>
    <w:p w14:paraId="27FCD015" w14:textId="281A1272" w:rsidR="002233FC" w:rsidRDefault="004F63FD" w:rsidP="00E27943">
      <w:pPr>
        <w:autoSpaceDE w:val="0"/>
        <w:autoSpaceDN w:val="0"/>
        <w:adjustRightInd w:val="0"/>
        <w:rPr>
          <w:rFonts w:ascii="Times New Roman" w:hAnsi="Times New Roman"/>
          <w:sz w:val="22"/>
          <w:szCs w:val="22"/>
        </w:rPr>
      </w:pPr>
      <w:r>
        <w:rPr>
          <w:rFonts w:ascii="Times New Roman" w:hAnsi="Times New Roman"/>
          <w:sz w:val="22"/>
          <w:szCs w:val="22"/>
        </w:rPr>
        <w:t xml:space="preserve">The Principal Determination </w:t>
      </w:r>
      <w:r w:rsidR="002233FC">
        <w:rPr>
          <w:rFonts w:ascii="Times New Roman" w:hAnsi="Times New Roman"/>
          <w:sz w:val="22"/>
          <w:szCs w:val="22"/>
        </w:rPr>
        <w:t xml:space="preserve">is made under </w:t>
      </w:r>
      <w:r w:rsidR="006B571B">
        <w:rPr>
          <w:rFonts w:ascii="Times New Roman" w:hAnsi="Times New Roman"/>
          <w:sz w:val="22"/>
          <w:szCs w:val="22"/>
        </w:rPr>
        <w:t>sub</w:t>
      </w:r>
      <w:r w:rsidR="002233FC">
        <w:rPr>
          <w:rFonts w:ascii="Times New Roman" w:hAnsi="Times New Roman"/>
          <w:sz w:val="22"/>
          <w:szCs w:val="22"/>
        </w:rPr>
        <w:t>section 30EJ(1)</w:t>
      </w:r>
      <w:r w:rsidR="00344177">
        <w:rPr>
          <w:rFonts w:ascii="Times New Roman" w:hAnsi="Times New Roman"/>
          <w:sz w:val="22"/>
          <w:szCs w:val="22"/>
        </w:rPr>
        <w:t xml:space="preserve"> of the Act</w:t>
      </w:r>
      <w:r w:rsidR="002233FC">
        <w:rPr>
          <w:rFonts w:ascii="Times New Roman" w:hAnsi="Times New Roman"/>
          <w:sz w:val="22"/>
          <w:szCs w:val="22"/>
        </w:rPr>
        <w:t xml:space="preserve"> and list</w:t>
      </w:r>
      <w:r w:rsidR="00B17585">
        <w:rPr>
          <w:rFonts w:ascii="Times New Roman" w:hAnsi="Times New Roman"/>
          <w:sz w:val="22"/>
          <w:szCs w:val="22"/>
        </w:rPr>
        <w:t>s</w:t>
      </w:r>
      <w:r w:rsidR="002233FC">
        <w:rPr>
          <w:rFonts w:ascii="Times New Roman" w:hAnsi="Times New Roman"/>
          <w:sz w:val="22"/>
          <w:szCs w:val="22"/>
        </w:rPr>
        <w:t xml:space="preserve"> medicines, in Schedule 1 to the Principal Determination, in relation to which a shortage or discontinuation would be of critical impact. </w:t>
      </w:r>
    </w:p>
    <w:p w14:paraId="3E6FE870" w14:textId="77777777" w:rsidR="00810024" w:rsidRDefault="00810024" w:rsidP="00E27943">
      <w:pPr>
        <w:autoSpaceDE w:val="0"/>
        <w:autoSpaceDN w:val="0"/>
        <w:adjustRightInd w:val="0"/>
        <w:rPr>
          <w:rFonts w:ascii="Times New Roman" w:hAnsi="Times New Roman"/>
          <w:sz w:val="22"/>
          <w:szCs w:val="22"/>
        </w:rPr>
      </w:pPr>
    </w:p>
    <w:p w14:paraId="61922841" w14:textId="3EBE26CD" w:rsidR="00E27943" w:rsidRDefault="00E27943" w:rsidP="000C53A0">
      <w:pPr>
        <w:keepNext/>
        <w:autoSpaceDE w:val="0"/>
        <w:autoSpaceDN w:val="0"/>
        <w:adjustRightInd w:val="0"/>
        <w:rPr>
          <w:b/>
          <w:bCs/>
          <w:sz w:val="22"/>
          <w:szCs w:val="22"/>
        </w:rPr>
      </w:pPr>
      <w:bookmarkStart w:id="3" w:name="_Hlk101862842"/>
      <w:bookmarkStart w:id="4" w:name="_Hlk101947375"/>
      <w:r w:rsidRPr="00D4487A">
        <w:rPr>
          <w:b/>
          <w:bCs/>
          <w:sz w:val="22"/>
          <w:szCs w:val="22"/>
        </w:rPr>
        <w:t>Purpose</w:t>
      </w:r>
    </w:p>
    <w:p w14:paraId="3F1F328F" w14:textId="77777777" w:rsidR="00E27943" w:rsidRDefault="00E27943" w:rsidP="000C53A0">
      <w:pPr>
        <w:keepNext/>
        <w:autoSpaceDE w:val="0"/>
        <w:autoSpaceDN w:val="0"/>
        <w:adjustRightInd w:val="0"/>
        <w:rPr>
          <w:b/>
          <w:bCs/>
          <w:sz w:val="22"/>
          <w:szCs w:val="22"/>
        </w:rPr>
      </w:pPr>
    </w:p>
    <w:p w14:paraId="4526F8D4" w14:textId="73732396" w:rsidR="002233FC" w:rsidRDefault="009813D1" w:rsidP="002233FC">
      <w:pPr>
        <w:autoSpaceDE w:val="0"/>
        <w:autoSpaceDN w:val="0"/>
        <w:adjustRightInd w:val="0"/>
        <w:rPr>
          <w:rFonts w:ascii="Times New Roman" w:hAnsi="Times New Roman"/>
          <w:sz w:val="22"/>
          <w:szCs w:val="22"/>
        </w:rPr>
      </w:pPr>
      <w:r>
        <w:rPr>
          <w:rFonts w:ascii="Times New Roman" w:hAnsi="Times New Roman"/>
          <w:sz w:val="22"/>
          <w:szCs w:val="22"/>
        </w:rPr>
        <w:t>I</w:t>
      </w:r>
      <w:r w:rsidR="002233FC">
        <w:rPr>
          <w:rFonts w:ascii="Times New Roman" w:hAnsi="Times New Roman"/>
          <w:sz w:val="22"/>
          <w:szCs w:val="22"/>
        </w:rPr>
        <w:t>tem 5 of Schedule 1 to the Principal Determination provides that medicines that are a vaccine included in the NIP Schedule, as in force or existing at 1 July 2018, are determined for the purposes of subsections 30EF(2) and 30EG(2) of the Act</w:t>
      </w:r>
      <w:r>
        <w:rPr>
          <w:rFonts w:ascii="Times New Roman" w:hAnsi="Times New Roman"/>
          <w:sz w:val="22"/>
          <w:szCs w:val="22"/>
        </w:rPr>
        <w:t>. A</w:t>
      </w:r>
      <w:r w:rsidR="002233FC">
        <w:rPr>
          <w:rFonts w:ascii="Times New Roman" w:hAnsi="Times New Roman"/>
          <w:sz w:val="22"/>
          <w:szCs w:val="22"/>
        </w:rPr>
        <w:t xml:space="preserve"> shortage or discontinuation of such a vaccine would be of critical impact.</w:t>
      </w:r>
    </w:p>
    <w:p w14:paraId="1DEEE142" w14:textId="77777777" w:rsidR="002233FC" w:rsidRDefault="002233FC" w:rsidP="000C53A0">
      <w:pPr>
        <w:keepNext/>
        <w:autoSpaceDE w:val="0"/>
        <w:autoSpaceDN w:val="0"/>
        <w:adjustRightInd w:val="0"/>
        <w:rPr>
          <w:b/>
          <w:bCs/>
          <w:sz w:val="22"/>
          <w:szCs w:val="22"/>
        </w:rPr>
      </w:pPr>
    </w:p>
    <w:p w14:paraId="7279B916" w14:textId="4A27C572" w:rsidR="0089250F" w:rsidRDefault="00EE50F7" w:rsidP="00E27943">
      <w:pPr>
        <w:autoSpaceDE w:val="0"/>
        <w:autoSpaceDN w:val="0"/>
        <w:adjustRightInd w:val="0"/>
        <w:rPr>
          <w:sz w:val="22"/>
          <w:szCs w:val="22"/>
        </w:rPr>
      </w:pPr>
      <w:r>
        <w:rPr>
          <w:sz w:val="22"/>
          <w:szCs w:val="22"/>
        </w:rPr>
        <w:t>The Amendment Determination amends the Principal Determination to</w:t>
      </w:r>
      <w:r w:rsidR="004F63FD">
        <w:rPr>
          <w:sz w:val="22"/>
          <w:szCs w:val="22"/>
        </w:rPr>
        <w:t xml:space="preserve"> provide that medicines that are a vaccine included in the NIP Schedule, as in force or </w:t>
      </w:r>
      <w:r w:rsidR="004F63FD" w:rsidRPr="001055C7">
        <w:rPr>
          <w:sz w:val="22"/>
          <w:szCs w:val="22"/>
        </w:rPr>
        <w:t xml:space="preserve">existing at </w:t>
      </w:r>
      <w:r w:rsidR="001055C7" w:rsidRPr="001055C7">
        <w:rPr>
          <w:sz w:val="22"/>
          <w:szCs w:val="22"/>
        </w:rPr>
        <w:t>1 March 2025</w:t>
      </w:r>
      <w:r w:rsidR="004F63FD" w:rsidRPr="001055C7">
        <w:rPr>
          <w:sz w:val="22"/>
          <w:szCs w:val="22"/>
        </w:rPr>
        <w:t>, are</w:t>
      </w:r>
      <w:r w:rsidR="004F63FD">
        <w:rPr>
          <w:sz w:val="22"/>
          <w:szCs w:val="22"/>
        </w:rPr>
        <w:t xml:space="preserve"> determined for the purposes of subsection 30EF(2) and 30EG(2) of the Act. </w:t>
      </w:r>
      <w:r w:rsidR="007D19C0">
        <w:rPr>
          <w:sz w:val="22"/>
          <w:szCs w:val="22"/>
        </w:rPr>
        <w:t>This ensures</w:t>
      </w:r>
      <w:r w:rsidR="004F63FD">
        <w:rPr>
          <w:sz w:val="22"/>
          <w:szCs w:val="22"/>
        </w:rPr>
        <w:t xml:space="preserve"> that the most up to date version of the NIP Schedule is referred to in the Principal Determination</w:t>
      </w:r>
      <w:r w:rsidR="00344177">
        <w:rPr>
          <w:sz w:val="22"/>
          <w:szCs w:val="22"/>
        </w:rPr>
        <w:t xml:space="preserve">, </w:t>
      </w:r>
      <w:r w:rsidR="005A0CC8">
        <w:rPr>
          <w:sz w:val="22"/>
          <w:szCs w:val="22"/>
        </w:rPr>
        <w:t xml:space="preserve">with the </w:t>
      </w:r>
      <w:r w:rsidR="002233FC">
        <w:rPr>
          <w:sz w:val="22"/>
          <w:szCs w:val="22"/>
        </w:rPr>
        <w:t>effect</w:t>
      </w:r>
      <w:r w:rsidR="004F63FD">
        <w:rPr>
          <w:sz w:val="22"/>
          <w:szCs w:val="22"/>
        </w:rPr>
        <w:t xml:space="preserve"> that</w:t>
      </w:r>
      <w:r w:rsidR="007D19C0">
        <w:rPr>
          <w:sz w:val="22"/>
          <w:szCs w:val="22"/>
        </w:rPr>
        <w:t xml:space="preserve"> </w:t>
      </w:r>
      <w:r w:rsidR="002233FC">
        <w:rPr>
          <w:sz w:val="22"/>
          <w:szCs w:val="22"/>
        </w:rPr>
        <w:t xml:space="preserve">any new vaccines that have been added to the NIP Schedule </w:t>
      </w:r>
      <w:r w:rsidR="005A0CC8">
        <w:rPr>
          <w:sz w:val="22"/>
          <w:szCs w:val="22"/>
        </w:rPr>
        <w:t xml:space="preserve">since 1 July 2018 </w:t>
      </w:r>
      <w:r w:rsidR="002233FC">
        <w:rPr>
          <w:sz w:val="22"/>
          <w:szCs w:val="22"/>
        </w:rPr>
        <w:t xml:space="preserve">will need to be the subject of more timely shortages and discontinuation notifications. This will help </w:t>
      </w:r>
      <w:r w:rsidR="007D19C0">
        <w:rPr>
          <w:sz w:val="22"/>
          <w:szCs w:val="22"/>
        </w:rPr>
        <w:t xml:space="preserve">the TGA </w:t>
      </w:r>
      <w:r w:rsidR="002233FC">
        <w:rPr>
          <w:sz w:val="22"/>
          <w:szCs w:val="22"/>
        </w:rPr>
        <w:t xml:space="preserve">to </w:t>
      </w:r>
      <w:r w:rsidR="007D19C0">
        <w:rPr>
          <w:sz w:val="22"/>
          <w:szCs w:val="22"/>
        </w:rPr>
        <w:t xml:space="preserve">identify and respond to shortages or discontinuations of critical vaccines </w:t>
      </w:r>
      <w:r w:rsidR="00FC3400">
        <w:rPr>
          <w:sz w:val="22"/>
          <w:szCs w:val="22"/>
        </w:rPr>
        <w:t>that have been added to the NIP schedule</w:t>
      </w:r>
      <w:r w:rsidR="00045B4C">
        <w:rPr>
          <w:sz w:val="22"/>
          <w:szCs w:val="22"/>
        </w:rPr>
        <w:t xml:space="preserve"> </w:t>
      </w:r>
      <w:r w:rsidR="00FC3400">
        <w:rPr>
          <w:sz w:val="22"/>
          <w:szCs w:val="22"/>
        </w:rPr>
        <w:t>since 1 July</w:t>
      </w:r>
      <w:r w:rsidR="00216088">
        <w:rPr>
          <w:sz w:val="22"/>
          <w:szCs w:val="22"/>
        </w:rPr>
        <w:t> </w:t>
      </w:r>
      <w:r w:rsidR="00FC3400">
        <w:rPr>
          <w:sz w:val="22"/>
          <w:szCs w:val="22"/>
        </w:rPr>
        <w:t>2018.</w:t>
      </w:r>
    </w:p>
    <w:p w14:paraId="48E681C3" w14:textId="77777777" w:rsidR="009813D1" w:rsidRDefault="009813D1" w:rsidP="00E27943">
      <w:pPr>
        <w:autoSpaceDE w:val="0"/>
        <w:autoSpaceDN w:val="0"/>
        <w:adjustRightInd w:val="0"/>
        <w:rPr>
          <w:sz w:val="22"/>
          <w:szCs w:val="22"/>
        </w:rPr>
      </w:pPr>
    </w:p>
    <w:p w14:paraId="08CC9252" w14:textId="168F6628" w:rsidR="00E002EF" w:rsidRDefault="00DF4D8A" w:rsidP="006B571B">
      <w:pPr>
        <w:autoSpaceDE w:val="0"/>
        <w:autoSpaceDN w:val="0"/>
        <w:adjustRightInd w:val="0"/>
        <w:rPr>
          <w:rFonts w:ascii="Times New Roman" w:hAnsi="Times New Roman"/>
          <w:sz w:val="22"/>
          <w:szCs w:val="22"/>
        </w:rPr>
      </w:pPr>
      <w:r w:rsidRPr="00DF4D8A">
        <w:rPr>
          <w:sz w:val="22"/>
          <w:szCs w:val="22"/>
        </w:rPr>
        <w:t>The NIP Schedule details a list of vaccines recommended to be given a</w:t>
      </w:r>
      <w:r w:rsidR="009A38BB">
        <w:rPr>
          <w:sz w:val="22"/>
          <w:szCs w:val="22"/>
        </w:rPr>
        <w:t>t</w:t>
      </w:r>
      <w:r w:rsidRPr="00DF4D8A">
        <w:rPr>
          <w:sz w:val="22"/>
          <w:szCs w:val="22"/>
        </w:rPr>
        <w:t xml:space="preserve"> specific times throughout a person’s life, providing immunity against diseases which can cause serious ongoing health conditions, hospitalisation and potentially death. As </w:t>
      </w:r>
      <w:proofErr w:type="gramStart"/>
      <w:r w:rsidRPr="00DF4D8A">
        <w:rPr>
          <w:sz w:val="22"/>
          <w:szCs w:val="22"/>
        </w:rPr>
        <w:t>at</w:t>
      </w:r>
      <w:proofErr w:type="gramEnd"/>
      <w:r w:rsidRPr="00DF4D8A">
        <w:rPr>
          <w:sz w:val="22"/>
          <w:szCs w:val="22"/>
        </w:rPr>
        <w:t xml:space="preserve"> 1 March 2025, the NIP Schedule includes new vaccines for respiratory syncytial virus, meningococcal disease caused by serogroups A, B, C, W and Y, shingles</w:t>
      </w:r>
      <w:r>
        <w:rPr>
          <w:sz w:val="22"/>
          <w:szCs w:val="22"/>
        </w:rPr>
        <w:t>,</w:t>
      </w:r>
      <w:r w:rsidRPr="00DF4D8A">
        <w:rPr>
          <w:sz w:val="22"/>
          <w:szCs w:val="22"/>
        </w:rPr>
        <w:t xml:space="preserve"> diphtheria, tetanus, pertussis (whooping cough), hepatitis B, polio, Haemophilus influenzae type b (Hib), and seasonal influenza.</w:t>
      </w:r>
    </w:p>
    <w:p w14:paraId="248352C6" w14:textId="77777777" w:rsidR="005945CC" w:rsidRDefault="005945CC" w:rsidP="00E27943">
      <w:pPr>
        <w:autoSpaceDE w:val="0"/>
        <w:autoSpaceDN w:val="0"/>
        <w:adjustRightInd w:val="0"/>
        <w:rPr>
          <w:sz w:val="22"/>
          <w:szCs w:val="22"/>
        </w:rPr>
      </w:pPr>
    </w:p>
    <w:p w14:paraId="49D9672D" w14:textId="2558D05F" w:rsidR="006B5B57" w:rsidRPr="00344177" w:rsidRDefault="006B5B57" w:rsidP="00E27943">
      <w:pPr>
        <w:autoSpaceDE w:val="0"/>
        <w:autoSpaceDN w:val="0"/>
        <w:adjustRightInd w:val="0"/>
        <w:rPr>
          <w:b/>
          <w:bCs/>
          <w:sz w:val="22"/>
          <w:szCs w:val="22"/>
        </w:rPr>
      </w:pPr>
      <w:r w:rsidRPr="00344177">
        <w:rPr>
          <w:b/>
          <w:bCs/>
          <w:sz w:val="22"/>
          <w:szCs w:val="22"/>
        </w:rPr>
        <w:t xml:space="preserve">Statutory requirements </w:t>
      </w:r>
    </w:p>
    <w:p w14:paraId="5D95143B" w14:textId="77777777" w:rsidR="006B5B57" w:rsidRDefault="006B5B57" w:rsidP="00E27943">
      <w:pPr>
        <w:autoSpaceDE w:val="0"/>
        <w:autoSpaceDN w:val="0"/>
        <w:adjustRightInd w:val="0"/>
        <w:rPr>
          <w:sz w:val="22"/>
          <w:szCs w:val="22"/>
        </w:rPr>
      </w:pPr>
    </w:p>
    <w:p w14:paraId="245D3D27" w14:textId="63C4CA2F" w:rsidR="005A0CC8" w:rsidRDefault="006B5B57" w:rsidP="00E27943">
      <w:pPr>
        <w:autoSpaceDE w:val="0"/>
        <w:autoSpaceDN w:val="0"/>
        <w:adjustRightInd w:val="0"/>
        <w:rPr>
          <w:sz w:val="22"/>
          <w:szCs w:val="22"/>
        </w:rPr>
      </w:pPr>
      <w:r>
        <w:rPr>
          <w:sz w:val="22"/>
          <w:szCs w:val="22"/>
        </w:rPr>
        <w:t>Subsection</w:t>
      </w:r>
      <w:r w:rsidR="005A0CC8">
        <w:rPr>
          <w:sz w:val="22"/>
          <w:szCs w:val="22"/>
        </w:rPr>
        <w:t> </w:t>
      </w:r>
      <w:r>
        <w:rPr>
          <w:sz w:val="22"/>
          <w:szCs w:val="22"/>
        </w:rPr>
        <w:t xml:space="preserve">30EJ(2) </w:t>
      </w:r>
      <w:r w:rsidR="00344177">
        <w:rPr>
          <w:sz w:val="22"/>
          <w:szCs w:val="22"/>
        </w:rPr>
        <w:t xml:space="preserve">of the Act </w:t>
      </w:r>
      <w:r>
        <w:rPr>
          <w:sz w:val="22"/>
          <w:szCs w:val="22"/>
        </w:rPr>
        <w:t xml:space="preserve">provides that the Minister must not determine a medicine </w:t>
      </w:r>
      <w:r w:rsidR="009813D1">
        <w:rPr>
          <w:sz w:val="22"/>
          <w:szCs w:val="22"/>
        </w:rPr>
        <w:t xml:space="preserve">for the purposes of subsections 30EF(2) and 30EG(2) </w:t>
      </w:r>
      <w:r>
        <w:rPr>
          <w:sz w:val="22"/>
          <w:szCs w:val="22"/>
        </w:rPr>
        <w:t xml:space="preserve">unless the Minister is satisfied that any shortage of the medicine, or any permanent discontinuation of the supply of the medicine, in Australia has the potential to result in significant morbidity in patients in Australia or the death of one or more patients in Australia. </w:t>
      </w:r>
    </w:p>
    <w:p w14:paraId="700E5350" w14:textId="77777777" w:rsidR="006B5B57" w:rsidRDefault="006B5B57" w:rsidP="00E27943">
      <w:pPr>
        <w:autoSpaceDE w:val="0"/>
        <w:autoSpaceDN w:val="0"/>
        <w:adjustRightInd w:val="0"/>
        <w:rPr>
          <w:sz w:val="22"/>
          <w:szCs w:val="22"/>
        </w:rPr>
      </w:pPr>
    </w:p>
    <w:p w14:paraId="05E4264E" w14:textId="099FB2C9" w:rsidR="006B5B57" w:rsidRDefault="001F36E5" w:rsidP="00E27943">
      <w:pPr>
        <w:autoSpaceDE w:val="0"/>
        <w:autoSpaceDN w:val="0"/>
        <w:adjustRightInd w:val="0"/>
        <w:rPr>
          <w:sz w:val="22"/>
          <w:szCs w:val="22"/>
        </w:rPr>
      </w:pPr>
      <w:r>
        <w:rPr>
          <w:sz w:val="22"/>
          <w:szCs w:val="22"/>
        </w:rPr>
        <w:t xml:space="preserve">The new vaccines </w:t>
      </w:r>
      <w:r w:rsidR="006B5B57">
        <w:rPr>
          <w:sz w:val="22"/>
          <w:szCs w:val="22"/>
        </w:rPr>
        <w:t>included in the NIP Schedule</w:t>
      </w:r>
      <w:r>
        <w:rPr>
          <w:sz w:val="22"/>
          <w:szCs w:val="22"/>
        </w:rPr>
        <w:t xml:space="preserve"> since 1 July 2018</w:t>
      </w:r>
      <w:r w:rsidR="006B5B57">
        <w:rPr>
          <w:sz w:val="22"/>
          <w:szCs w:val="22"/>
        </w:rPr>
        <w:t xml:space="preserve"> are supplied in Australia free of charge to those with (or eligible to obtain) a Medicare card. The NIP aims to increase national immunisation coverage to help reduce diseases that can be prevented by vaccines. Such diseases could result in significant morbidity in, or the death of, patients in Australia. </w:t>
      </w:r>
      <w:r w:rsidR="00402F1C">
        <w:rPr>
          <w:sz w:val="22"/>
          <w:szCs w:val="22"/>
        </w:rPr>
        <w:t xml:space="preserve">Vaccines on the </w:t>
      </w:r>
      <w:r w:rsidR="00402F1C" w:rsidRPr="00402F1C">
        <w:rPr>
          <w:sz w:val="22"/>
          <w:szCs w:val="22"/>
        </w:rPr>
        <w:t xml:space="preserve">NIP Schedule </w:t>
      </w:r>
      <w:r w:rsidR="00402F1C">
        <w:rPr>
          <w:sz w:val="22"/>
          <w:szCs w:val="22"/>
        </w:rPr>
        <w:t>are intended to be</w:t>
      </w:r>
      <w:r w:rsidR="00402F1C" w:rsidRPr="00402F1C">
        <w:rPr>
          <w:sz w:val="22"/>
          <w:szCs w:val="22"/>
        </w:rPr>
        <w:t xml:space="preserve"> given at specific times throughout </w:t>
      </w:r>
      <w:r w:rsidR="00402F1C">
        <w:rPr>
          <w:sz w:val="22"/>
          <w:szCs w:val="22"/>
        </w:rPr>
        <w:t>a person’s</w:t>
      </w:r>
      <w:r w:rsidR="00402F1C" w:rsidRPr="00402F1C">
        <w:rPr>
          <w:sz w:val="22"/>
          <w:szCs w:val="22"/>
        </w:rPr>
        <w:t xml:space="preserve"> life</w:t>
      </w:r>
      <w:r w:rsidR="00402F1C">
        <w:rPr>
          <w:sz w:val="22"/>
          <w:szCs w:val="22"/>
        </w:rPr>
        <w:t xml:space="preserve">, </w:t>
      </w:r>
      <w:r w:rsidR="00DF4D8A">
        <w:rPr>
          <w:sz w:val="22"/>
          <w:szCs w:val="22"/>
        </w:rPr>
        <w:t>where delays in receiving the vaccine may affect a person’s optimal protection against serious disease</w:t>
      </w:r>
      <w:r w:rsidR="00402F1C" w:rsidRPr="00402F1C">
        <w:rPr>
          <w:sz w:val="22"/>
          <w:szCs w:val="22"/>
        </w:rPr>
        <w:t>. </w:t>
      </w:r>
      <w:r w:rsidR="00402F1C">
        <w:rPr>
          <w:sz w:val="22"/>
          <w:szCs w:val="22"/>
        </w:rPr>
        <w:t xml:space="preserve"> </w:t>
      </w:r>
    </w:p>
    <w:p w14:paraId="1831A4CA" w14:textId="75192DB1" w:rsidR="006B5B57" w:rsidRDefault="006B5B57" w:rsidP="00E27943">
      <w:pPr>
        <w:autoSpaceDE w:val="0"/>
        <w:autoSpaceDN w:val="0"/>
        <w:adjustRightInd w:val="0"/>
        <w:rPr>
          <w:sz w:val="22"/>
          <w:szCs w:val="22"/>
        </w:rPr>
      </w:pPr>
    </w:p>
    <w:p w14:paraId="1F51D001" w14:textId="38EF4132" w:rsidR="006B5B57" w:rsidRDefault="006B5B57" w:rsidP="00E27943">
      <w:pPr>
        <w:autoSpaceDE w:val="0"/>
        <w:autoSpaceDN w:val="0"/>
        <w:adjustRightInd w:val="0"/>
        <w:rPr>
          <w:sz w:val="22"/>
          <w:szCs w:val="22"/>
        </w:rPr>
      </w:pPr>
      <w:r>
        <w:rPr>
          <w:sz w:val="22"/>
          <w:szCs w:val="22"/>
        </w:rPr>
        <w:t>The rule-maker is therefore satisfied that any shortage of the new vaccines, or any permanent discontinuation of the supply of the new vaccines, in Australia has the potential to result in significant morbidity in patients in Australia or the death of one or more patients in Australia.</w:t>
      </w:r>
    </w:p>
    <w:p w14:paraId="22DDC714" w14:textId="77777777" w:rsidR="006B5B57" w:rsidRDefault="006B5B57" w:rsidP="00E27943">
      <w:pPr>
        <w:autoSpaceDE w:val="0"/>
        <w:autoSpaceDN w:val="0"/>
        <w:adjustRightInd w:val="0"/>
        <w:rPr>
          <w:sz w:val="22"/>
          <w:szCs w:val="22"/>
        </w:rPr>
      </w:pPr>
    </w:p>
    <w:p w14:paraId="721B6104" w14:textId="77777777" w:rsidR="00484464" w:rsidRPr="00484464" w:rsidRDefault="00484464" w:rsidP="00344177">
      <w:pPr>
        <w:keepNext/>
        <w:keepLines/>
        <w:autoSpaceDE w:val="0"/>
        <w:autoSpaceDN w:val="0"/>
        <w:adjustRightInd w:val="0"/>
        <w:rPr>
          <w:b/>
          <w:bCs/>
          <w:sz w:val="22"/>
          <w:szCs w:val="22"/>
        </w:rPr>
      </w:pPr>
      <w:r w:rsidRPr="00484464">
        <w:rPr>
          <w:b/>
          <w:bCs/>
          <w:sz w:val="22"/>
          <w:szCs w:val="22"/>
        </w:rPr>
        <w:t>Incorporation by reference</w:t>
      </w:r>
    </w:p>
    <w:p w14:paraId="1F65B996" w14:textId="77777777" w:rsidR="00484464" w:rsidRPr="00484464" w:rsidRDefault="00484464" w:rsidP="00344177">
      <w:pPr>
        <w:keepNext/>
        <w:keepLines/>
        <w:autoSpaceDE w:val="0"/>
        <w:autoSpaceDN w:val="0"/>
        <w:adjustRightInd w:val="0"/>
        <w:rPr>
          <w:b/>
          <w:bCs/>
          <w:sz w:val="22"/>
          <w:szCs w:val="22"/>
        </w:rPr>
      </w:pPr>
    </w:p>
    <w:p w14:paraId="1C8D6EF5" w14:textId="4CBAE806" w:rsidR="00484464" w:rsidRPr="00484464" w:rsidRDefault="00484464" w:rsidP="00344177">
      <w:pPr>
        <w:keepNext/>
        <w:keepLines/>
        <w:autoSpaceDE w:val="0"/>
        <w:autoSpaceDN w:val="0"/>
        <w:adjustRightInd w:val="0"/>
        <w:rPr>
          <w:sz w:val="22"/>
          <w:szCs w:val="22"/>
        </w:rPr>
      </w:pPr>
      <w:r w:rsidRPr="00484464">
        <w:rPr>
          <w:sz w:val="22"/>
          <w:szCs w:val="22"/>
        </w:rPr>
        <w:t xml:space="preserve">The </w:t>
      </w:r>
      <w:r w:rsidR="00071046">
        <w:rPr>
          <w:sz w:val="22"/>
          <w:szCs w:val="22"/>
        </w:rPr>
        <w:t>Principal</w:t>
      </w:r>
      <w:r w:rsidRPr="00484464">
        <w:rPr>
          <w:sz w:val="22"/>
          <w:szCs w:val="22"/>
        </w:rPr>
        <w:t xml:space="preserve"> </w:t>
      </w:r>
      <w:r>
        <w:rPr>
          <w:sz w:val="22"/>
          <w:szCs w:val="22"/>
        </w:rPr>
        <w:t>Determination</w:t>
      </w:r>
      <w:r w:rsidRPr="00484464">
        <w:rPr>
          <w:sz w:val="22"/>
          <w:szCs w:val="22"/>
        </w:rPr>
        <w:t xml:space="preserve"> incorporate</w:t>
      </w:r>
      <w:r>
        <w:rPr>
          <w:sz w:val="22"/>
          <w:szCs w:val="22"/>
        </w:rPr>
        <w:t>s</w:t>
      </w:r>
      <w:r w:rsidRPr="00484464">
        <w:rPr>
          <w:sz w:val="22"/>
          <w:szCs w:val="22"/>
        </w:rPr>
        <w:t xml:space="preserve"> by reference the document titled </w:t>
      </w:r>
      <w:r w:rsidR="007B57BF" w:rsidRPr="000C53A0">
        <w:rPr>
          <w:i/>
          <w:iCs/>
          <w:sz w:val="22"/>
          <w:szCs w:val="22"/>
        </w:rPr>
        <w:t>‘</w:t>
      </w:r>
      <w:r w:rsidR="00FE0DF7" w:rsidRPr="000C53A0">
        <w:rPr>
          <w:i/>
          <w:iCs/>
          <w:sz w:val="22"/>
          <w:szCs w:val="22"/>
        </w:rPr>
        <w:t xml:space="preserve">National Immunisation Program </w:t>
      </w:r>
      <w:r w:rsidR="007B57BF" w:rsidRPr="000C53A0">
        <w:rPr>
          <w:i/>
          <w:iCs/>
          <w:sz w:val="22"/>
          <w:szCs w:val="22"/>
        </w:rPr>
        <w:t>S</w:t>
      </w:r>
      <w:r w:rsidR="00FE0DF7" w:rsidRPr="000C53A0">
        <w:rPr>
          <w:i/>
          <w:iCs/>
          <w:sz w:val="22"/>
          <w:szCs w:val="22"/>
        </w:rPr>
        <w:t>chedule</w:t>
      </w:r>
      <w:r w:rsidR="007B57BF" w:rsidRPr="000C53A0">
        <w:rPr>
          <w:i/>
          <w:iCs/>
          <w:sz w:val="22"/>
          <w:szCs w:val="22"/>
        </w:rPr>
        <w:t>’</w:t>
      </w:r>
      <w:r w:rsidRPr="00484464">
        <w:rPr>
          <w:sz w:val="22"/>
          <w:szCs w:val="22"/>
        </w:rPr>
        <w:t xml:space="preserve">, which is published by the </w:t>
      </w:r>
      <w:r w:rsidR="00F13906">
        <w:rPr>
          <w:sz w:val="22"/>
          <w:szCs w:val="22"/>
        </w:rPr>
        <w:t>Department</w:t>
      </w:r>
      <w:r w:rsidRPr="00484464">
        <w:rPr>
          <w:sz w:val="22"/>
          <w:szCs w:val="22"/>
        </w:rPr>
        <w:t xml:space="preserve">. This document provides </w:t>
      </w:r>
      <w:r w:rsidR="00575F39">
        <w:rPr>
          <w:sz w:val="22"/>
          <w:szCs w:val="22"/>
        </w:rPr>
        <w:t xml:space="preserve">a list of recommended </w:t>
      </w:r>
      <w:r w:rsidR="00D25DA1">
        <w:rPr>
          <w:sz w:val="22"/>
          <w:szCs w:val="22"/>
        </w:rPr>
        <w:t>vaccines for patients at various stages of life</w:t>
      </w:r>
      <w:r w:rsidR="00071046">
        <w:rPr>
          <w:sz w:val="22"/>
          <w:szCs w:val="22"/>
        </w:rPr>
        <w:t>, and all vaccines included in the schedule are free.</w:t>
      </w:r>
    </w:p>
    <w:p w14:paraId="78E68112" w14:textId="77777777" w:rsidR="00484464" w:rsidRPr="00484464" w:rsidRDefault="00484464" w:rsidP="00484464">
      <w:pPr>
        <w:autoSpaceDE w:val="0"/>
        <w:autoSpaceDN w:val="0"/>
        <w:adjustRightInd w:val="0"/>
        <w:rPr>
          <w:sz w:val="22"/>
          <w:szCs w:val="22"/>
        </w:rPr>
      </w:pPr>
    </w:p>
    <w:p w14:paraId="7721F8C6" w14:textId="3C118403" w:rsidR="006A22FE" w:rsidRPr="000963A9" w:rsidRDefault="00484464" w:rsidP="00484464">
      <w:pPr>
        <w:autoSpaceDE w:val="0"/>
        <w:autoSpaceDN w:val="0"/>
        <w:adjustRightInd w:val="0"/>
        <w:rPr>
          <w:sz w:val="22"/>
          <w:szCs w:val="22"/>
        </w:rPr>
      </w:pPr>
      <w:r w:rsidRPr="00484464">
        <w:rPr>
          <w:sz w:val="22"/>
          <w:szCs w:val="22"/>
        </w:rPr>
        <w:t xml:space="preserve">The Amendment </w:t>
      </w:r>
      <w:r w:rsidR="003D651E">
        <w:rPr>
          <w:sz w:val="22"/>
          <w:szCs w:val="22"/>
        </w:rPr>
        <w:t>Determination</w:t>
      </w:r>
      <w:r w:rsidRPr="00484464">
        <w:rPr>
          <w:sz w:val="22"/>
          <w:szCs w:val="22"/>
        </w:rPr>
        <w:t xml:space="preserve"> incorporate</w:t>
      </w:r>
      <w:r w:rsidR="003D651E">
        <w:rPr>
          <w:sz w:val="22"/>
          <w:szCs w:val="22"/>
        </w:rPr>
        <w:t>s</w:t>
      </w:r>
      <w:r w:rsidRPr="00484464">
        <w:rPr>
          <w:sz w:val="22"/>
          <w:szCs w:val="22"/>
        </w:rPr>
        <w:t xml:space="preserve"> the </w:t>
      </w:r>
      <w:r w:rsidR="007B57BF">
        <w:rPr>
          <w:sz w:val="22"/>
          <w:szCs w:val="22"/>
        </w:rPr>
        <w:t>NIP S</w:t>
      </w:r>
      <w:r w:rsidR="003D651E">
        <w:rPr>
          <w:sz w:val="22"/>
          <w:szCs w:val="22"/>
        </w:rPr>
        <w:t>chedule</w:t>
      </w:r>
      <w:r w:rsidR="003D651E" w:rsidRPr="00484464">
        <w:rPr>
          <w:sz w:val="22"/>
          <w:szCs w:val="22"/>
        </w:rPr>
        <w:t xml:space="preserve"> </w:t>
      </w:r>
      <w:r w:rsidRPr="00484464">
        <w:rPr>
          <w:sz w:val="22"/>
          <w:szCs w:val="22"/>
        </w:rPr>
        <w:t>as in force or existing on</w:t>
      </w:r>
      <w:r w:rsidR="001055C7">
        <w:rPr>
          <w:sz w:val="22"/>
          <w:szCs w:val="22"/>
        </w:rPr>
        <w:t xml:space="preserve"> </w:t>
      </w:r>
      <w:r w:rsidR="001055C7" w:rsidRPr="001055C7">
        <w:t>1</w:t>
      </w:r>
      <w:r w:rsidR="001055C7">
        <w:t> </w:t>
      </w:r>
      <w:r w:rsidR="001055C7" w:rsidRPr="001055C7">
        <w:t>March</w:t>
      </w:r>
      <w:r w:rsidR="001055C7">
        <w:rPr>
          <w:sz w:val="22"/>
          <w:szCs w:val="22"/>
        </w:rPr>
        <w:t xml:space="preserve"> 2025, </w:t>
      </w:r>
      <w:r w:rsidRPr="00484464">
        <w:rPr>
          <w:sz w:val="22"/>
          <w:szCs w:val="22"/>
        </w:rPr>
        <w:t>in accordance with paragraph</w:t>
      </w:r>
      <w:r w:rsidR="00216088">
        <w:rPr>
          <w:sz w:val="22"/>
          <w:szCs w:val="22"/>
        </w:rPr>
        <w:t> </w:t>
      </w:r>
      <w:r w:rsidRPr="00484464">
        <w:rPr>
          <w:sz w:val="22"/>
          <w:szCs w:val="22"/>
        </w:rPr>
        <w:t xml:space="preserve">14(1)(b) of the </w:t>
      </w:r>
      <w:r w:rsidRPr="001055C7">
        <w:rPr>
          <w:i/>
          <w:iCs/>
          <w:sz w:val="22"/>
          <w:szCs w:val="22"/>
        </w:rPr>
        <w:t>Legislation Act</w:t>
      </w:r>
      <w:r w:rsidR="00216088" w:rsidRPr="001055C7">
        <w:rPr>
          <w:i/>
          <w:iCs/>
          <w:sz w:val="22"/>
          <w:szCs w:val="22"/>
        </w:rPr>
        <w:t> </w:t>
      </w:r>
      <w:r w:rsidRPr="001055C7">
        <w:rPr>
          <w:i/>
          <w:iCs/>
          <w:sz w:val="22"/>
          <w:szCs w:val="22"/>
        </w:rPr>
        <w:t>2003</w:t>
      </w:r>
      <w:r w:rsidRPr="00484464">
        <w:rPr>
          <w:sz w:val="22"/>
          <w:szCs w:val="22"/>
        </w:rPr>
        <w:t xml:space="preserve">, which permits a legislative instrument to incorporate a document (that is not an Act or </w:t>
      </w:r>
      <w:r w:rsidRPr="000963A9">
        <w:rPr>
          <w:sz w:val="22"/>
          <w:szCs w:val="22"/>
        </w:rPr>
        <w:t xml:space="preserve">legislative instrument) as it exists at, or before, the time the instrument commences. The </w:t>
      </w:r>
      <w:r w:rsidR="007B57BF" w:rsidRPr="000963A9">
        <w:rPr>
          <w:sz w:val="22"/>
          <w:szCs w:val="22"/>
        </w:rPr>
        <w:t>NIP Schedule</w:t>
      </w:r>
      <w:r w:rsidR="00F27A11" w:rsidRPr="000963A9">
        <w:rPr>
          <w:sz w:val="22"/>
          <w:szCs w:val="22"/>
        </w:rPr>
        <w:t xml:space="preserve"> </w:t>
      </w:r>
      <w:r w:rsidRPr="000963A9">
        <w:rPr>
          <w:sz w:val="22"/>
          <w:szCs w:val="22"/>
        </w:rPr>
        <w:t xml:space="preserve">is available for free from </w:t>
      </w:r>
      <w:r w:rsidR="00E002EF" w:rsidRPr="000963A9">
        <w:rPr>
          <w:sz w:val="22"/>
          <w:szCs w:val="22"/>
        </w:rPr>
        <w:t>the Department of Health and Aged Care</w:t>
      </w:r>
      <w:r w:rsidRPr="000963A9">
        <w:rPr>
          <w:sz w:val="22"/>
          <w:szCs w:val="22"/>
        </w:rPr>
        <w:t xml:space="preserve"> </w:t>
      </w:r>
      <w:r w:rsidR="009A38BB" w:rsidRPr="000963A9">
        <w:rPr>
          <w:sz w:val="22"/>
          <w:szCs w:val="22"/>
        </w:rPr>
        <w:t xml:space="preserve">website </w:t>
      </w:r>
      <w:r w:rsidRPr="000963A9">
        <w:rPr>
          <w:sz w:val="22"/>
          <w:szCs w:val="22"/>
        </w:rPr>
        <w:t>and may be accessed</w:t>
      </w:r>
      <w:r w:rsidR="00F27A11" w:rsidRPr="000963A9">
        <w:rPr>
          <w:sz w:val="22"/>
          <w:szCs w:val="22"/>
        </w:rPr>
        <w:t xml:space="preserve"> at </w:t>
      </w:r>
      <w:r w:rsidR="00E002EF" w:rsidRPr="000963A9">
        <w:rPr>
          <w:sz w:val="22"/>
          <w:szCs w:val="22"/>
        </w:rPr>
        <w:t>www.health.gov.au/resources/publications/national-immunisation-program-schedule</w:t>
      </w:r>
      <w:r w:rsidR="00344177" w:rsidRPr="000963A9">
        <w:rPr>
          <w:sz w:val="22"/>
          <w:szCs w:val="22"/>
        </w:rPr>
        <w:t>.</w:t>
      </w:r>
    </w:p>
    <w:p w14:paraId="29A52A32" w14:textId="77777777" w:rsidR="00E27943" w:rsidRPr="000963A9" w:rsidRDefault="00E27943" w:rsidP="00E27943">
      <w:pPr>
        <w:autoSpaceDE w:val="0"/>
        <w:autoSpaceDN w:val="0"/>
        <w:adjustRightInd w:val="0"/>
        <w:rPr>
          <w:b/>
          <w:bCs/>
          <w:color w:val="44546A" w:themeColor="text2"/>
          <w:sz w:val="22"/>
          <w:szCs w:val="22"/>
        </w:rPr>
      </w:pPr>
    </w:p>
    <w:bookmarkEnd w:id="1"/>
    <w:bookmarkEnd w:id="3"/>
    <w:bookmarkEnd w:id="4"/>
    <w:p w14:paraId="1D050850" w14:textId="6144315B" w:rsidR="001E1FFB" w:rsidRPr="0030489F" w:rsidRDefault="00E27943" w:rsidP="001D6726">
      <w:pPr>
        <w:keepNext/>
        <w:keepLines/>
        <w:rPr>
          <w:rFonts w:ascii="Times New Roman" w:hAnsi="Times New Roman"/>
          <w:b/>
          <w:sz w:val="22"/>
          <w:szCs w:val="22"/>
        </w:rPr>
      </w:pPr>
      <w:r w:rsidRPr="000963A9">
        <w:rPr>
          <w:rFonts w:ascii="Times New Roman" w:hAnsi="Times New Roman"/>
          <w:b/>
          <w:sz w:val="22"/>
          <w:szCs w:val="22"/>
        </w:rPr>
        <w:t>Consultation</w:t>
      </w:r>
    </w:p>
    <w:p w14:paraId="22E72DA7" w14:textId="77777777" w:rsidR="00EF420E" w:rsidRDefault="00EF420E" w:rsidP="00EF420E">
      <w:pPr>
        <w:rPr>
          <w:rFonts w:ascii="Times New Roman" w:hAnsi="Times New Roman"/>
          <w:sz w:val="22"/>
          <w:szCs w:val="22"/>
        </w:rPr>
      </w:pPr>
    </w:p>
    <w:p w14:paraId="5682391B" w14:textId="77777777" w:rsidR="000963A9" w:rsidRDefault="000963A9" w:rsidP="000963A9">
      <w:pPr>
        <w:rPr>
          <w:rFonts w:ascii="Times New Roman" w:hAnsi="Times New Roman"/>
          <w:sz w:val="22"/>
          <w:szCs w:val="22"/>
        </w:rPr>
      </w:pPr>
      <w:r w:rsidRPr="000963A9">
        <w:rPr>
          <w:rFonts w:ascii="Times New Roman" w:hAnsi="Times New Roman"/>
          <w:sz w:val="22"/>
          <w:szCs w:val="22"/>
        </w:rPr>
        <w:t xml:space="preserve">Between 23 February 2024 </w:t>
      </w:r>
      <w:r>
        <w:rPr>
          <w:rFonts w:ascii="Times New Roman" w:hAnsi="Times New Roman"/>
          <w:sz w:val="22"/>
          <w:szCs w:val="22"/>
        </w:rPr>
        <w:t>and</w:t>
      </w:r>
      <w:r w:rsidRPr="000963A9">
        <w:rPr>
          <w:rFonts w:ascii="Times New Roman" w:hAnsi="Times New Roman"/>
          <w:sz w:val="22"/>
          <w:szCs w:val="22"/>
        </w:rPr>
        <w:t xml:space="preserve"> 13 March 2024, the TGA publicly consulted about the broad challenges and barriers associated with medicine shortages and discontinuations. The TGA received 221 submissions that provided feedback on a range of experiences and views on medicine shortage impacts and improvement opportunities. To further identify opportunities for improvement, in June 2024 the TGA held targeted focus groups with peak organisations across the medicine supply chain to discuss priority areas for potential reform. The need to maintain currency of the medicine shortages regulatory framework, including the Principal Determination, was raised by peak health organisations during these discussions and in subsequent engagements. </w:t>
      </w:r>
    </w:p>
    <w:p w14:paraId="0EE8A29E" w14:textId="77777777" w:rsidR="000963A9" w:rsidRDefault="000963A9" w:rsidP="000963A9">
      <w:pPr>
        <w:rPr>
          <w:rFonts w:ascii="Times New Roman" w:hAnsi="Times New Roman"/>
          <w:sz w:val="22"/>
          <w:szCs w:val="22"/>
        </w:rPr>
      </w:pPr>
    </w:p>
    <w:p w14:paraId="03BE68D2" w14:textId="04DF8B1E" w:rsidR="000963A9" w:rsidRPr="000963A9" w:rsidRDefault="000963A9" w:rsidP="000963A9">
      <w:pPr>
        <w:rPr>
          <w:rFonts w:ascii="Times New Roman" w:hAnsi="Times New Roman"/>
          <w:sz w:val="22"/>
          <w:szCs w:val="22"/>
        </w:rPr>
      </w:pPr>
      <w:r w:rsidRPr="000963A9">
        <w:rPr>
          <w:rFonts w:ascii="Times New Roman" w:hAnsi="Times New Roman"/>
          <w:sz w:val="22"/>
          <w:szCs w:val="22"/>
        </w:rPr>
        <w:t>The amendment to capture the most up to date version of the NIP Schedule is a machinery change to maintain the Principal Determination’s currency and align with the Australian Government’s national immunisation policy and further specific consultation on this amendment was not conducted. The Office of Impact Analysis has been consulted and advised that detailed analysis is not required under the Australian Government’s Policy Impact Analysis Framework (OIA24-08740).</w:t>
      </w:r>
    </w:p>
    <w:p w14:paraId="168A24D6" w14:textId="77777777" w:rsidR="00E27943" w:rsidRDefault="00E27943" w:rsidP="00E27943">
      <w:pPr>
        <w:rPr>
          <w:rFonts w:ascii="Times New Roman" w:hAnsi="Times New Roman"/>
          <w:sz w:val="22"/>
          <w:szCs w:val="22"/>
        </w:rPr>
      </w:pPr>
    </w:p>
    <w:p w14:paraId="4CB3EDAC" w14:textId="77777777" w:rsidR="00E27943" w:rsidRPr="00E46894" w:rsidRDefault="00E27943" w:rsidP="00E27943">
      <w:pPr>
        <w:keepNext/>
        <w:autoSpaceDE w:val="0"/>
        <w:autoSpaceDN w:val="0"/>
        <w:adjustRightInd w:val="0"/>
        <w:contextualSpacing/>
        <w:rPr>
          <w:b/>
          <w:sz w:val="22"/>
          <w:szCs w:val="22"/>
        </w:rPr>
      </w:pPr>
      <w:r w:rsidRPr="00E46894">
        <w:rPr>
          <w:b/>
          <w:sz w:val="22"/>
          <w:szCs w:val="22"/>
        </w:rPr>
        <w:t>Other details</w:t>
      </w:r>
    </w:p>
    <w:p w14:paraId="2DB1C7B6" w14:textId="77777777" w:rsidR="00E27943" w:rsidRPr="00E46894" w:rsidRDefault="00E27943" w:rsidP="00E27943">
      <w:pPr>
        <w:keepNext/>
        <w:contextualSpacing/>
        <w:rPr>
          <w:sz w:val="22"/>
          <w:szCs w:val="22"/>
        </w:rPr>
      </w:pPr>
    </w:p>
    <w:p w14:paraId="18475DFF" w14:textId="0EE3D5C9" w:rsidR="00E27943" w:rsidRPr="00E46894" w:rsidRDefault="00E27943" w:rsidP="00E27943">
      <w:pPr>
        <w:keepNext/>
        <w:contextualSpacing/>
        <w:rPr>
          <w:sz w:val="22"/>
          <w:szCs w:val="22"/>
        </w:rPr>
      </w:pPr>
      <w:r w:rsidRPr="00E46894">
        <w:rPr>
          <w:sz w:val="22"/>
          <w:szCs w:val="22"/>
        </w:rPr>
        <w:t xml:space="preserve">Details of the Amendment </w:t>
      </w:r>
      <w:r w:rsidR="00292AEE">
        <w:rPr>
          <w:sz w:val="22"/>
          <w:szCs w:val="22"/>
        </w:rPr>
        <w:t>Determination</w:t>
      </w:r>
      <w:r w:rsidRPr="00E46894">
        <w:rPr>
          <w:sz w:val="22"/>
          <w:szCs w:val="22"/>
        </w:rPr>
        <w:t xml:space="preserve"> are set out in </w:t>
      </w:r>
      <w:r w:rsidRPr="00E46894">
        <w:rPr>
          <w:b/>
          <w:sz w:val="22"/>
          <w:szCs w:val="22"/>
        </w:rPr>
        <w:t>Attachment A</w:t>
      </w:r>
      <w:r w:rsidRPr="00E46894">
        <w:rPr>
          <w:sz w:val="22"/>
          <w:szCs w:val="22"/>
        </w:rPr>
        <w:t>.</w:t>
      </w:r>
    </w:p>
    <w:p w14:paraId="04EDC10E" w14:textId="77777777" w:rsidR="00E27943" w:rsidRPr="00CF219B" w:rsidRDefault="00E27943" w:rsidP="00E27943">
      <w:pPr>
        <w:rPr>
          <w:rFonts w:ascii="Times New Roman" w:hAnsi="Times New Roman"/>
          <w:sz w:val="22"/>
          <w:szCs w:val="22"/>
        </w:rPr>
      </w:pPr>
    </w:p>
    <w:p w14:paraId="3013D927" w14:textId="47B39378" w:rsidR="00E27943" w:rsidRPr="00CF219B" w:rsidRDefault="00E27943" w:rsidP="00E27943">
      <w:pPr>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sz w:val="22"/>
          <w:szCs w:val="22"/>
        </w:rPr>
        <w:t xml:space="preserve">Amendment </w:t>
      </w:r>
      <w:r w:rsidR="00292AEE">
        <w:rPr>
          <w:rFonts w:ascii="Times New Roman" w:hAnsi="Times New Roman"/>
          <w:sz w:val="22"/>
          <w:szCs w:val="22"/>
        </w:rPr>
        <w:t>Determination</w:t>
      </w:r>
      <w:r>
        <w:rPr>
          <w:rFonts w:ascii="Times New Roman" w:hAnsi="Times New Roman"/>
          <w:sz w:val="22"/>
          <w:szCs w:val="22"/>
        </w:rPr>
        <w:t xml:space="preserve"> is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r w:rsidRPr="00974FC2">
        <w:rPr>
          <w:rFonts w:ascii="Times New Roman" w:hAnsi="Times New Roman"/>
          <w:bCs/>
          <w:sz w:val="22"/>
          <w:szCs w:val="22"/>
        </w:rPr>
        <w:t>.</w:t>
      </w:r>
    </w:p>
    <w:p w14:paraId="047E8750" w14:textId="77777777" w:rsidR="00E27943" w:rsidRPr="00CF219B" w:rsidRDefault="00E27943" w:rsidP="00E27943">
      <w:pPr>
        <w:rPr>
          <w:rFonts w:ascii="Times New Roman" w:hAnsi="Times New Roman"/>
          <w:sz w:val="22"/>
          <w:szCs w:val="22"/>
        </w:rPr>
      </w:pPr>
    </w:p>
    <w:p w14:paraId="0519A8E3" w14:textId="616CF0D2" w:rsidR="00E27943" w:rsidRPr="00CF219B" w:rsidRDefault="00E27943" w:rsidP="00E27943">
      <w:pPr>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sz w:val="22"/>
          <w:szCs w:val="22"/>
        </w:rPr>
        <w:t xml:space="preserve">Amendment </w:t>
      </w:r>
      <w:r w:rsidR="00292AEE">
        <w:rPr>
          <w:rFonts w:ascii="Times New Roman" w:hAnsi="Times New Roman"/>
          <w:sz w:val="22"/>
          <w:szCs w:val="22"/>
        </w:rPr>
        <w:t>Determination</w:t>
      </w:r>
      <w:r>
        <w:rPr>
          <w:rFonts w:ascii="Times New Roman" w:hAnsi="Times New Roman"/>
          <w:sz w:val="22"/>
          <w:szCs w:val="22"/>
        </w:rPr>
        <w:t xml:space="preserve"> is a </w:t>
      </w:r>
      <w:r w:rsidRPr="00CF219B">
        <w:rPr>
          <w:rFonts w:ascii="Times New Roman" w:hAnsi="Times New Roman"/>
          <w:sz w:val="22"/>
          <w:szCs w:val="22"/>
        </w:rPr>
        <w:t xml:space="preserve">disallowable </w:t>
      </w:r>
      <w:r>
        <w:rPr>
          <w:rFonts w:ascii="Times New Roman" w:hAnsi="Times New Roman"/>
          <w:sz w:val="22"/>
          <w:szCs w:val="22"/>
        </w:rPr>
        <w:t xml:space="preserve">legislative instrument </w:t>
      </w:r>
      <w:r w:rsidRPr="00CF219B">
        <w:rPr>
          <w:rFonts w:ascii="Times New Roman" w:hAnsi="Times New Roman"/>
          <w:sz w:val="22"/>
          <w:szCs w:val="22"/>
        </w:rPr>
        <w:t xml:space="preserve">for the purposes of the </w:t>
      </w:r>
      <w:r w:rsidRPr="00CF219B">
        <w:rPr>
          <w:rFonts w:ascii="Times New Roman" w:hAnsi="Times New Roman"/>
          <w:i/>
          <w:sz w:val="22"/>
          <w:szCs w:val="22"/>
        </w:rPr>
        <w:t>Legislation Act</w:t>
      </w:r>
      <w:r>
        <w:rPr>
          <w:rFonts w:ascii="Times New Roman" w:hAnsi="Times New Roman"/>
          <w:i/>
          <w:sz w:val="22"/>
          <w:szCs w:val="22"/>
        </w:rPr>
        <w:t> </w:t>
      </w:r>
      <w:r w:rsidRPr="00CF219B">
        <w:rPr>
          <w:rFonts w:ascii="Times New Roman" w:hAnsi="Times New Roman"/>
          <w:i/>
          <w:sz w:val="22"/>
          <w:szCs w:val="22"/>
        </w:rPr>
        <w:t>2003</w:t>
      </w:r>
      <w:r>
        <w:rPr>
          <w:rFonts w:ascii="Times New Roman" w:hAnsi="Times New Roman"/>
          <w:iCs/>
          <w:sz w:val="22"/>
          <w:szCs w:val="22"/>
        </w:rPr>
        <w:t>,</w:t>
      </w:r>
      <w:r w:rsidRPr="00CF219B">
        <w:rPr>
          <w:rFonts w:ascii="Times New Roman" w:hAnsi="Times New Roman"/>
          <w:i/>
          <w:sz w:val="22"/>
          <w:szCs w:val="22"/>
        </w:rPr>
        <w:t xml:space="preserve"> </w:t>
      </w:r>
      <w:r w:rsidRPr="00CF219B">
        <w:rPr>
          <w:rFonts w:ascii="Times New Roman" w:hAnsi="Times New Roman"/>
          <w:sz w:val="22"/>
          <w:szCs w:val="22"/>
        </w:rPr>
        <w:t>and commence</w:t>
      </w:r>
      <w:r>
        <w:rPr>
          <w:rFonts w:ascii="Times New Roman" w:hAnsi="Times New Roman"/>
          <w:sz w:val="22"/>
          <w:szCs w:val="22"/>
        </w:rPr>
        <w:t>s</w:t>
      </w:r>
      <w:r w:rsidR="00D24626">
        <w:rPr>
          <w:rFonts w:ascii="Times New Roman" w:hAnsi="Times New Roman"/>
          <w:sz w:val="22"/>
          <w:szCs w:val="22"/>
        </w:rPr>
        <w:t xml:space="preserve"> the day after registration on the Federal Register of Legislation.</w:t>
      </w:r>
    </w:p>
    <w:p w14:paraId="4470AF02" w14:textId="77777777" w:rsidR="00E27943" w:rsidRPr="00CF219B" w:rsidRDefault="00E27943" w:rsidP="00E27943">
      <w:pPr>
        <w:rPr>
          <w:rFonts w:ascii="Times New Roman" w:hAnsi="Times New Roman"/>
          <w:sz w:val="22"/>
          <w:szCs w:val="22"/>
        </w:rPr>
      </w:pPr>
      <w:r w:rsidRPr="00CF219B">
        <w:rPr>
          <w:rFonts w:ascii="Times New Roman" w:hAnsi="Times New Roman"/>
          <w:b/>
          <w:bCs/>
          <w:sz w:val="22"/>
          <w:szCs w:val="22"/>
        </w:rPr>
        <w:br w:type="page"/>
      </w:r>
    </w:p>
    <w:p w14:paraId="31F6AF74" w14:textId="77777777" w:rsidR="00E27943" w:rsidRPr="00CF219B" w:rsidRDefault="00E27943" w:rsidP="00E27943">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5FB5B2CE" w14:textId="77777777" w:rsidR="00E27943" w:rsidRPr="00CF219B" w:rsidRDefault="00E27943" w:rsidP="00E27943">
      <w:pPr>
        <w:rPr>
          <w:rFonts w:ascii="Times New Roman" w:hAnsi="Times New Roman"/>
          <w:b/>
          <w:bCs/>
          <w:sz w:val="22"/>
          <w:szCs w:val="22"/>
        </w:rPr>
      </w:pPr>
    </w:p>
    <w:p w14:paraId="5899757B" w14:textId="5AF85156" w:rsidR="00E27943" w:rsidRPr="00D52BA5" w:rsidRDefault="00E27943" w:rsidP="00E27943">
      <w:pPr>
        <w:rPr>
          <w:b/>
          <w:bCs/>
          <w:i/>
          <w:sz w:val="22"/>
          <w:szCs w:val="22"/>
        </w:rPr>
      </w:pPr>
      <w:r w:rsidRPr="00D52BA5">
        <w:rPr>
          <w:rFonts w:ascii="Times New Roman" w:hAnsi="Times New Roman"/>
          <w:b/>
          <w:bCs/>
          <w:sz w:val="22"/>
          <w:szCs w:val="22"/>
        </w:rPr>
        <w:t xml:space="preserve">Details of the </w:t>
      </w:r>
      <w:r w:rsidR="001641C2" w:rsidRPr="001641C2">
        <w:rPr>
          <w:rFonts w:ascii="Times New Roman" w:hAnsi="Times New Roman"/>
          <w:b/>
          <w:bCs/>
          <w:i/>
          <w:iCs/>
          <w:sz w:val="22"/>
          <w:szCs w:val="22"/>
        </w:rPr>
        <w:t>Therapeutic Goods (Medicines Watch List) Amendment Determination</w:t>
      </w:r>
      <w:r w:rsidR="007B243D">
        <w:rPr>
          <w:rFonts w:ascii="Times New Roman" w:hAnsi="Times New Roman"/>
          <w:b/>
          <w:bCs/>
          <w:i/>
          <w:iCs/>
          <w:sz w:val="22"/>
          <w:szCs w:val="22"/>
        </w:rPr>
        <w:t> </w:t>
      </w:r>
      <w:r w:rsidR="001641C2" w:rsidRPr="001641C2">
        <w:rPr>
          <w:rFonts w:ascii="Times New Roman" w:hAnsi="Times New Roman"/>
          <w:b/>
          <w:bCs/>
          <w:i/>
          <w:iCs/>
          <w:sz w:val="22"/>
          <w:szCs w:val="22"/>
        </w:rPr>
        <w:t>2</w:t>
      </w:r>
      <w:r w:rsidR="00303F1A" w:rsidRPr="00303F1A">
        <w:rPr>
          <w:b/>
          <w:bCs/>
          <w:i/>
          <w:sz w:val="22"/>
          <w:szCs w:val="22"/>
        </w:rPr>
        <w:t>025</w:t>
      </w:r>
    </w:p>
    <w:p w14:paraId="123CD810" w14:textId="77777777" w:rsidR="00E27943" w:rsidRDefault="00E27943" w:rsidP="00E27943">
      <w:pPr>
        <w:rPr>
          <w:rFonts w:ascii="Times New Roman" w:hAnsi="Times New Roman"/>
          <w:b/>
          <w:bCs/>
          <w:i/>
          <w:sz w:val="22"/>
          <w:szCs w:val="22"/>
        </w:rPr>
      </w:pPr>
    </w:p>
    <w:p w14:paraId="43399243"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1 – Name</w:t>
      </w:r>
    </w:p>
    <w:p w14:paraId="12ACF3E0" w14:textId="77777777" w:rsidR="00E27943" w:rsidRPr="00CF219B" w:rsidRDefault="00E27943" w:rsidP="00E27943">
      <w:pPr>
        <w:rPr>
          <w:rFonts w:ascii="Times New Roman" w:hAnsi="Times New Roman"/>
          <w:b/>
          <w:bCs/>
          <w:sz w:val="22"/>
          <w:szCs w:val="22"/>
        </w:rPr>
      </w:pPr>
    </w:p>
    <w:p w14:paraId="1014A28F" w14:textId="78D40FEA" w:rsidR="00E27943" w:rsidRPr="00D52BA5" w:rsidRDefault="00E27943" w:rsidP="00E27943">
      <w:pPr>
        <w:rPr>
          <w:iCs/>
          <w:sz w:val="22"/>
          <w:szCs w:val="22"/>
        </w:rPr>
      </w:pPr>
      <w:r w:rsidRPr="008F04FE">
        <w:rPr>
          <w:rFonts w:ascii="Times New Roman" w:hAnsi="Times New Roman"/>
          <w:sz w:val="22"/>
          <w:szCs w:val="22"/>
        </w:rPr>
        <w:t xml:space="preserve">This section </w:t>
      </w:r>
      <w:r w:rsidRPr="008C09C6">
        <w:rPr>
          <w:rFonts w:ascii="Times New Roman" w:hAnsi="Times New Roman"/>
          <w:sz w:val="22"/>
          <w:szCs w:val="22"/>
        </w:rPr>
        <w:t xml:space="preserve">provides that the name of the instrument is the </w:t>
      </w:r>
      <w:r w:rsidR="00E95A15" w:rsidRPr="00E95A15">
        <w:rPr>
          <w:i/>
          <w:sz w:val="22"/>
          <w:szCs w:val="22"/>
        </w:rPr>
        <w:t>Therapeutic Goods (Medicines Watch List) Amendment Determination</w:t>
      </w:r>
      <w:r w:rsidR="007B243D">
        <w:rPr>
          <w:i/>
          <w:sz w:val="22"/>
          <w:szCs w:val="22"/>
        </w:rPr>
        <w:t> </w:t>
      </w:r>
      <w:r w:rsidR="00E95A15" w:rsidRPr="00E95A15">
        <w:rPr>
          <w:i/>
          <w:sz w:val="22"/>
          <w:szCs w:val="22"/>
        </w:rPr>
        <w:t>2025</w:t>
      </w:r>
      <w:r>
        <w:rPr>
          <w:i/>
          <w:sz w:val="22"/>
          <w:szCs w:val="22"/>
        </w:rPr>
        <w:t xml:space="preserve"> </w:t>
      </w:r>
      <w:r>
        <w:rPr>
          <w:iCs/>
          <w:sz w:val="22"/>
          <w:szCs w:val="22"/>
        </w:rPr>
        <w:t xml:space="preserve">(“the Amendment </w:t>
      </w:r>
      <w:r w:rsidR="00E95A15">
        <w:rPr>
          <w:iCs/>
          <w:sz w:val="22"/>
          <w:szCs w:val="22"/>
        </w:rPr>
        <w:t>Determination</w:t>
      </w:r>
      <w:r>
        <w:rPr>
          <w:iCs/>
          <w:sz w:val="22"/>
          <w:szCs w:val="22"/>
        </w:rPr>
        <w:t>”).</w:t>
      </w:r>
    </w:p>
    <w:p w14:paraId="02ACF4AF" w14:textId="77777777" w:rsidR="00E27943" w:rsidRPr="008F04FE" w:rsidRDefault="00E27943" w:rsidP="00E27943">
      <w:pPr>
        <w:rPr>
          <w:rFonts w:ascii="Times New Roman" w:hAnsi="Times New Roman"/>
          <w:bCs/>
          <w:sz w:val="22"/>
          <w:szCs w:val="22"/>
        </w:rPr>
      </w:pPr>
    </w:p>
    <w:p w14:paraId="4033A1E9"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2 – Commencement</w:t>
      </w:r>
    </w:p>
    <w:p w14:paraId="17D7344D" w14:textId="77777777" w:rsidR="00E27943" w:rsidRPr="00CF219B" w:rsidRDefault="00E27943" w:rsidP="00E27943">
      <w:pPr>
        <w:rPr>
          <w:rFonts w:ascii="Times New Roman" w:hAnsi="Times New Roman"/>
          <w:bCs/>
          <w:sz w:val="22"/>
          <w:szCs w:val="22"/>
        </w:rPr>
      </w:pPr>
    </w:p>
    <w:p w14:paraId="35FE317C" w14:textId="31F87083" w:rsidR="00E27943" w:rsidRPr="00CF219B" w:rsidRDefault="00E27943" w:rsidP="00E27943">
      <w:pPr>
        <w:rPr>
          <w:rFonts w:ascii="Times New Roman" w:hAnsi="Times New Roman"/>
          <w:bCs/>
          <w:sz w:val="22"/>
          <w:szCs w:val="22"/>
        </w:rPr>
      </w:pPr>
      <w:r w:rsidRPr="00CF219B">
        <w:rPr>
          <w:rFonts w:ascii="Times New Roman" w:hAnsi="Times New Roman"/>
          <w:bCs/>
          <w:sz w:val="22"/>
          <w:szCs w:val="22"/>
        </w:rPr>
        <w:t>This section provides that the</w:t>
      </w:r>
      <w:r>
        <w:rPr>
          <w:rFonts w:ascii="Times New Roman" w:hAnsi="Times New Roman"/>
          <w:bCs/>
          <w:sz w:val="22"/>
          <w:szCs w:val="22"/>
        </w:rPr>
        <w:t xml:space="preserve"> Amendment</w:t>
      </w:r>
      <w:r w:rsidRPr="00CF219B">
        <w:rPr>
          <w:rFonts w:ascii="Times New Roman" w:hAnsi="Times New Roman"/>
          <w:bCs/>
          <w:sz w:val="22"/>
          <w:szCs w:val="22"/>
        </w:rPr>
        <w:t xml:space="preserve"> </w:t>
      </w:r>
      <w:r w:rsidR="0093272F">
        <w:rPr>
          <w:rFonts w:ascii="Times New Roman" w:hAnsi="Times New Roman"/>
          <w:bCs/>
          <w:sz w:val="22"/>
          <w:szCs w:val="22"/>
        </w:rPr>
        <w:t>Determination</w:t>
      </w:r>
      <w:r>
        <w:rPr>
          <w:rFonts w:ascii="Times New Roman" w:hAnsi="Times New Roman"/>
          <w:bCs/>
          <w:sz w:val="22"/>
          <w:szCs w:val="22"/>
        </w:rPr>
        <w:t xml:space="preserve"> </w:t>
      </w:r>
      <w:r w:rsidRPr="00CF219B">
        <w:rPr>
          <w:rFonts w:ascii="Times New Roman" w:hAnsi="Times New Roman"/>
          <w:bCs/>
          <w:sz w:val="22"/>
          <w:szCs w:val="22"/>
        </w:rPr>
        <w:t>commence</w:t>
      </w:r>
      <w:r>
        <w:rPr>
          <w:rFonts w:ascii="Times New Roman" w:hAnsi="Times New Roman"/>
          <w:bCs/>
          <w:sz w:val="22"/>
          <w:szCs w:val="22"/>
        </w:rPr>
        <w:t>s on</w:t>
      </w:r>
      <w:r w:rsidR="00D24626">
        <w:rPr>
          <w:rFonts w:ascii="Times New Roman" w:hAnsi="Times New Roman"/>
          <w:bCs/>
          <w:sz w:val="22"/>
          <w:szCs w:val="22"/>
        </w:rPr>
        <w:t xml:space="preserve"> the day after it is registered on the Federal Register of Legislation.</w:t>
      </w:r>
    </w:p>
    <w:p w14:paraId="73BD2EC5" w14:textId="77777777" w:rsidR="00E27943" w:rsidRPr="00CF219B" w:rsidRDefault="00E27943" w:rsidP="00E27943">
      <w:pPr>
        <w:rPr>
          <w:rFonts w:ascii="Times New Roman" w:hAnsi="Times New Roman"/>
          <w:bCs/>
          <w:sz w:val="22"/>
          <w:szCs w:val="22"/>
        </w:rPr>
      </w:pPr>
    </w:p>
    <w:p w14:paraId="3BB83BC5" w14:textId="77777777" w:rsidR="00E27943" w:rsidRPr="00CF219B" w:rsidRDefault="00E27943" w:rsidP="00E27943">
      <w:pPr>
        <w:rPr>
          <w:rFonts w:ascii="Times New Roman" w:hAnsi="Times New Roman"/>
          <w:b/>
          <w:bCs/>
          <w:sz w:val="22"/>
          <w:szCs w:val="22"/>
        </w:rPr>
      </w:pPr>
      <w:r w:rsidRPr="00CF219B">
        <w:rPr>
          <w:rFonts w:ascii="Times New Roman" w:hAnsi="Times New Roman"/>
          <w:b/>
          <w:bCs/>
          <w:sz w:val="22"/>
          <w:szCs w:val="22"/>
        </w:rPr>
        <w:t>Section 3 – Authority</w:t>
      </w:r>
    </w:p>
    <w:p w14:paraId="25D9C651" w14:textId="77777777" w:rsidR="00E27943" w:rsidRPr="00CF219B" w:rsidRDefault="00E27943" w:rsidP="00E27943">
      <w:pPr>
        <w:rPr>
          <w:rFonts w:ascii="Times New Roman" w:hAnsi="Times New Roman"/>
          <w:b/>
          <w:bCs/>
          <w:sz w:val="22"/>
          <w:szCs w:val="22"/>
        </w:rPr>
      </w:pPr>
    </w:p>
    <w:p w14:paraId="0C7995F5" w14:textId="3D5490B2" w:rsidR="00DB6069" w:rsidRDefault="00E27943" w:rsidP="00E27943">
      <w:pPr>
        <w:rPr>
          <w:rFonts w:ascii="Times New Roman" w:hAnsi="Times New Roman"/>
          <w:bCs/>
          <w:sz w:val="22"/>
          <w:szCs w:val="22"/>
        </w:rPr>
      </w:pPr>
      <w:r w:rsidRPr="002B6C76">
        <w:rPr>
          <w:rFonts w:ascii="Times New Roman" w:hAnsi="Times New Roman"/>
          <w:bCs/>
          <w:sz w:val="22"/>
          <w:szCs w:val="22"/>
        </w:rPr>
        <w:t xml:space="preserve">This section provides that the legislative authority for making the Amendment </w:t>
      </w:r>
      <w:r w:rsidR="007B243D">
        <w:rPr>
          <w:rFonts w:ascii="Times New Roman" w:hAnsi="Times New Roman"/>
          <w:bCs/>
          <w:sz w:val="22"/>
          <w:szCs w:val="22"/>
        </w:rPr>
        <w:t>Determination</w:t>
      </w:r>
      <w:r w:rsidRPr="002B6C76">
        <w:rPr>
          <w:rFonts w:ascii="Times New Roman" w:hAnsi="Times New Roman"/>
          <w:bCs/>
          <w:sz w:val="22"/>
          <w:szCs w:val="22"/>
        </w:rPr>
        <w:t xml:space="preserve"> </w:t>
      </w:r>
      <w:r w:rsidR="007B243D">
        <w:rPr>
          <w:rFonts w:ascii="Times New Roman" w:hAnsi="Times New Roman"/>
          <w:bCs/>
          <w:sz w:val="22"/>
          <w:szCs w:val="22"/>
        </w:rPr>
        <w:t xml:space="preserve">is </w:t>
      </w:r>
      <w:r w:rsidR="007B243D" w:rsidRPr="007B243D">
        <w:rPr>
          <w:rFonts w:ascii="Times New Roman" w:hAnsi="Times New Roman"/>
          <w:bCs/>
          <w:sz w:val="22"/>
          <w:szCs w:val="22"/>
        </w:rPr>
        <w:t>subsection</w:t>
      </w:r>
      <w:r w:rsidR="007B243D">
        <w:rPr>
          <w:rFonts w:ascii="Times New Roman" w:hAnsi="Times New Roman"/>
          <w:bCs/>
          <w:sz w:val="22"/>
          <w:szCs w:val="22"/>
        </w:rPr>
        <w:t> </w:t>
      </w:r>
      <w:r w:rsidR="007B243D" w:rsidRPr="007B243D">
        <w:rPr>
          <w:rFonts w:ascii="Times New Roman" w:hAnsi="Times New Roman"/>
          <w:bCs/>
          <w:sz w:val="22"/>
          <w:szCs w:val="22"/>
        </w:rPr>
        <w:t xml:space="preserve">30EJ(1) of the </w:t>
      </w:r>
      <w:r w:rsidR="007B243D" w:rsidRPr="007B243D">
        <w:rPr>
          <w:rFonts w:ascii="Times New Roman" w:hAnsi="Times New Roman"/>
          <w:bCs/>
          <w:i/>
          <w:iCs/>
          <w:sz w:val="22"/>
          <w:szCs w:val="22"/>
        </w:rPr>
        <w:t>Therapeutic Goods Act</w:t>
      </w:r>
      <w:r w:rsidR="007B243D">
        <w:rPr>
          <w:rFonts w:ascii="Times New Roman" w:hAnsi="Times New Roman"/>
          <w:bCs/>
          <w:i/>
          <w:iCs/>
          <w:sz w:val="22"/>
          <w:szCs w:val="22"/>
        </w:rPr>
        <w:t> </w:t>
      </w:r>
      <w:r w:rsidR="007B243D" w:rsidRPr="007B243D">
        <w:rPr>
          <w:rFonts w:ascii="Times New Roman" w:hAnsi="Times New Roman"/>
          <w:bCs/>
          <w:i/>
          <w:iCs/>
          <w:sz w:val="22"/>
          <w:szCs w:val="22"/>
        </w:rPr>
        <w:t>1989</w:t>
      </w:r>
      <w:r w:rsidR="007B243D" w:rsidRPr="007B243D">
        <w:rPr>
          <w:rFonts w:ascii="Times New Roman" w:hAnsi="Times New Roman"/>
          <w:bCs/>
          <w:sz w:val="22"/>
          <w:szCs w:val="22"/>
        </w:rPr>
        <w:t>.</w:t>
      </w:r>
    </w:p>
    <w:p w14:paraId="2B7E6EC7" w14:textId="77777777" w:rsidR="0064039F" w:rsidRDefault="0064039F" w:rsidP="00E27943">
      <w:pPr>
        <w:rPr>
          <w:rFonts w:ascii="Times New Roman" w:hAnsi="Times New Roman"/>
          <w:bCs/>
          <w:sz w:val="22"/>
          <w:szCs w:val="22"/>
        </w:rPr>
      </w:pPr>
    </w:p>
    <w:p w14:paraId="3148C45C" w14:textId="3170FC4C" w:rsidR="0064039F" w:rsidRPr="00BC3D6A" w:rsidRDefault="0064039F" w:rsidP="00E27943">
      <w:pPr>
        <w:rPr>
          <w:bCs/>
          <w:iCs/>
          <w:sz w:val="22"/>
          <w:szCs w:val="22"/>
        </w:rPr>
      </w:pPr>
      <w:r>
        <w:rPr>
          <w:color w:val="000000"/>
          <w:sz w:val="22"/>
          <w:szCs w:val="22"/>
          <w:shd w:val="clear" w:color="auto" w:fill="FFFFFF"/>
        </w:rPr>
        <w:t>Subsection 33(3) of the </w:t>
      </w:r>
      <w:r>
        <w:rPr>
          <w:i/>
          <w:iCs/>
          <w:color w:val="000000"/>
          <w:sz w:val="22"/>
          <w:szCs w:val="22"/>
          <w:shd w:val="clear" w:color="auto" w:fill="FFFFFF"/>
        </w:rPr>
        <w:t>Acts Interpretation Act 1901</w:t>
      </w:r>
      <w:r>
        <w:rPr>
          <w:color w:val="000000"/>
          <w:sz w:val="22"/>
          <w:szCs w:val="22"/>
          <w:shd w:val="clear" w:color="auto" w:fill="FFFFFF"/>
        </w:rPr>
        <w:t>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Amendment Determination is made in accordance with that provision.</w:t>
      </w:r>
    </w:p>
    <w:p w14:paraId="41022AE7" w14:textId="77777777" w:rsidR="00DB6069" w:rsidRDefault="00DB6069" w:rsidP="00E27943">
      <w:pPr>
        <w:rPr>
          <w:rFonts w:ascii="Times New Roman" w:hAnsi="Times New Roman"/>
          <w:bCs/>
          <w:i/>
          <w:iCs/>
          <w:sz w:val="22"/>
          <w:szCs w:val="22"/>
        </w:rPr>
      </w:pPr>
    </w:p>
    <w:p w14:paraId="2E99CB6C" w14:textId="39F6FB28" w:rsidR="00E27943" w:rsidRPr="00CF219B" w:rsidRDefault="00E27943" w:rsidP="00E27943">
      <w:pPr>
        <w:rPr>
          <w:rFonts w:ascii="Times New Roman" w:hAnsi="Times New Roman"/>
          <w:b/>
          <w:bCs/>
          <w:sz w:val="22"/>
          <w:szCs w:val="22"/>
        </w:rPr>
      </w:pPr>
      <w:r>
        <w:rPr>
          <w:rFonts w:ascii="Times New Roman" w:hAnsi="Times New Roman"/>
          <w:b/>
          <w:bCs/>
          <w:sz w:val="22"/>
          <w:szCs w:val="22"/>
        </w:rPr>
        <w:t>Section 4 – Schedules</w:t>
      </w:r>
    </w:p>
    <w:p w14:paraId="5D1DB856" w14:textId="77777777" w:rsidR="00E27943" w:rsidRPr="00BE7572" w:rsidRDefault="00E27943" w:rsidP="00E27943">
      <w:pPr>
        <w:rPr>
          <w:rFonts w:ascii="Times New Roman" w:hAnsi="Times New Roman"/>
          <w:bCs/>
          <w:sz w:val="22"/>
          <w:szCs w:val="22"/>
        </w:rPr>
      </w:pPr>
    </w:p>
    <w:p w14:paraId="00D8BECF" w14:textId="4C656D7C" w:rsidR="006E2AB5" w:rsidRPr="00F02FAD" w:rsidRDefault="006E2AB5" w:rsidP="006E2AB5">
      <w:pPr>
        <w:rPr>
          <w:rFonts w:ascii="Times New Roman" w:hAnsi="Times New Roman"/>
          <w:bCs/>
          <w:sz w:val="22"/>
          <w:szCs w:val="22"/>
        </w:rPr>
      </w:pPr>
      <w:r>
        <w:rPr>
          <w:rFonts w:ascii="Times New Roman" w:hAnsi="Times New Roman"/>
          <w:sz w:val="22"/>
          <w:szCs w:val="22"/>
        </w:rPr>
        <w:t xml:space="preserve">This section </w:t>
      </w:r>
      <w:r w:rsidR="007960EE">
        <w:rPr>
          <w:rFonts w:ascii="Times New Roman" w:hAnsi="Times New Roman"/>
          <w:sz w:val="22"/>
          <w:szCs w:val="22"/>
        </w:rPr>
        <w:t>gives legal effect to the amendments in Schedule 1 to the Amendment Order.</w:t>
      </w:r>
    </w:p>
    <w:p w14:paraId="1E56CDC1" w14:textId="77777777" w:rsidR="00E27943" w:rsidRPr="00CF219B" w:rsidRDefault="00E27943" w:rsidP="00E27943">
      <w:pPr>
        <w:rPr>
          <w:rFonts w:ascii="Times New Roman" w:hAnsi="Times New Roman"/>
          <w:bCs/>
          <w:sz w:val="22"/>
          <w:szCs w:val="22"/>
        </w:rPr>
      </w:pPr>
    </w:p>
    <w:p w14:paraId="03203165" w14:textId="5860964D" w:rsidR="00E27943" w:rsidRPr="00CF219B" w:rsidRDefault="00E27943" w:rsidP="00E27943">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 – Amendments</w:t>
      </w:r>
    </w:p>
    <w:p w14:paraId="05139FB9" w14:textId="77777777" w:rsidR="00E27943" w:rsidRPr="00CF219B" w:rsidRDefault="00E27943" w:rsidP="00E27943">
      <w:pPr>
        <w:keepNext/>
        <w:rPr>
          <w:rFonts w:ascii="Times New Roman" w:hAnsi="Times New Roman"/>
          <w:b/>
          <w:bCs/>
          <w:sz w:val="22"/>
          <w:szCs w:val="22"/>
        </w:rPr>
      </w:pPr>
    </w:p>
    <w:p w14:paraId="5CE3403E" w14:textId="7A82DFAB" w:rsidR="00E27943" w:rsidRDefault="00E27943" w:rsidP="00E27943">
      <w:pPr>
        <w:rPr>
          <w:sz w:val="22"/>
          <w:szCs w:val="22"/>
        </w:rPr>
      </w:pPr>
      <w:r>
        <w:rPr>
          <w:sz w:val="22"/>
          <w:szCs w:val="22"/>
        </w:rPr>
        <w:t xml:space="preserve">This Schedule amends the </w:t>
      </w:r>
      <w:r w:rsidR="0035713D" w:rsidRPr="0035713D">
        <w:rPr>
          <w:i/>
          <w:iCs/>
          <w:sz w:val="22"/>
          <w:szCs w:val="22"/>
        </w:rPr>
        <w:t>Therapeutic Goods (Medicines Watch List) Determination</w:t>
      </w:r>
      <w:r w:rsidR="00216088">
        <w:rPr>
          <w:i/>
          <w:iCs/>
          <w:sz w:val="22"/>
          <w:szCs w:val="22"/>
        </w:rPr>
        <w:t> </w:t>
      </w:r>
      <w:r w:rsidR="0035713D" w:rsidRPr="0035713D">
        <w:rPr>
          <w:i/>
          <w:iCs/>
          <w:sz w:val="22"/>
          <w:szCs w:val="22"/>
        </w:rPr>
        <w:t>2018</w:t>
      </w:r>
      <w:r w:rsidR="0035713D">
        <w:rPr>
          <w:sz w:val="22"/>
          <w:szCs w:val="22"/>
        </w:rPr>
        <w:t xml:space="preserve"> (“the Principal Determination”)</w:t>
      </w:r>
      <w:r>
        <w:rPr>
          <w:sz w:val="22"/>
          <w:szCs w:val="22"/>
        </w:rPr>
        <w:t>.</w:t>
      </w:r>
    </w:p>
    <w:p w14:paraId="152478A9" w14:textId="77777777" w:rsidR="00E27943" w:rsidRPr="002F6591" w:rsidRDefault="00E27943" w:rsidP="00E27943">
      <w:pPr>
        <w:rPr>
          <w:sz w:val="22"/>
          <w:szCs w:val="22"/>
        </w:rPr>
      </w:pPr>
    </w:p>
    <w:p w14:paraId="3335B666" w14:textId="02682076" w:rsidR="00E27943" w:rsidRPr="00AA1E2C" w:rsidRDefault="00E27943" w:rsidP="00E27943">
      <w:pPr>
        <w:keepNext/>
        <w:contextualSpacing/>
        <w:rPr>
          <w:rFonts w:ascii="Times New Roman" w:hAnsi="Times New Roman"/>
          <w:b/>
          <w:bCs/>
          <w:sz w:val="22"/>
          <w:szCs w:val="22"/>
        </w:rPr>
      </w:pPr>
      <w:r w:rsidRPr="00AA1E2C">
        <w:rPr>
          <w:rFonts w:ascii="Times New Roman" w:hAnsi="Times New Roman"/>
          <w:b/>
          <w:bCs/>
          <w:sz w:val="22"/>
          <w:szCs w:val="22"/>
        </w:rPr>
        <w:t>Item 1</w:t>
      </w:r>
      <w:r>
        <w:rPr>
          <w:rFonts w:ascii="Times New Roman" w:hAnsi="Times New Roman"/>
          <w:b/>
          <w:bCs/>
          <w:sz w:val="22"/>
          <w:szCs w:val="22"/>
        </w:rPr>
        <w:t xml:space="preserve"> – </w:t>
      </w:r>
      <w:r w:rsidR="0035713D">
        <w:rPr>
          <w:rFonts w:ascii="Times New Roman" w:hAnsi="Times New Roman"/>
          <w:b/>
          <w:bCs/>
          <w:sz w:val="22"/>
          <w:szCs w:val="22"/>
        </w:rPr>
        <w:t>Schedule 1 (cell at table item 5, column 2)</w:t>
      </w:r>
    </w:p>
    <w:p w14:paraId="2EA33A14" w14:textId="77777777" w:rsidR="00E27943" w:rsidRDefault="00E27943" w:rsidP="00E27943">
      <w:pPr>
        <w:keepNext/>
        <w:contextualSpacing/>
        <w:rPr>
          <w:rFonts w:ascii="Times New Roman" w:hAnsi="Times New Roman"/>
          <w:sz w:val="22"/>
          <w:szCs w:val="22"/>
        </w:rPr>
      </w:pPr>
    </w:p>
    <w:p w14:paraId="7DD9BF72" w14:textId="6C393699" w:rsidR="00E27943" w:rsidRDefault="0035713D" w:rsidP="001055C7">
      <w:pPr>
        <w:keepNext/>
        <w:contextualSpacing/>
        <w:rPr>
          <w:rFonts w:ascii="Times New Roman" w:hAnsi="Times New Roman"/>
          <w:sz w:val="22"/>
          <w:szCs w:val="22"/>
        </w:rPr>
      </w:pPr>
      <w:r w:rsidRPr="0035713D">
        <w:rPr>
          <w:rFonts w:ascii="Times New Roman" w:hAnsi="Times New Roman"/>
          <w:sz w:val="22"/>
          <w:szCs w:val="22"/>
        </w:rPr>
        <w:t>T</w:t>
      </w:r>
      <w:r>
        <w:rPr>
          <w:rFonts w:ascii="Times New Roman" w:hAnsi="Times New Roman"/>
          <w:sz w:val="22"/>
          <w:szCs w:val="22"/>
        </w:rPr>
        <w:t xml:space="preserve">his </w:t>
      </w:r>
      <w:r w:rsidR="00D24626" w:rsidRPr="001A63BE">
        <w:rPr>
          <w:rFonts w:ascii="Times New Roman" w:hAnsi="Times New Roman"/>
          <w:sz w:val="22"/>
          <w:szCs w:val="22"/>
        </w:rPr>
        <w:t>i</w:t>
      </w:r>
      <w:r w:rsidRPr="001A63BE">
        <w:rPr>
          <w:rFonts w:ascii="Times New Roman" w:hAnsi="Times New Roman"/>
          <w:sz w:val="22"/>
          <w:szCs w:val="22"/>
        </w:rPr>
        <w:t>tem</w:t>
      </w:r>
      <w:r w:rsidRPr="0035713D">
        <w:rPr>
          <w:rFonts w:ascii="Times New Roman" w:hAnsi="Times New Roman"/>
          <w:sz w:val="22"/>
          <w:szCs w:val="22"/>
        </w:rPr>
        <w:t xml:space="preserve"> </w:t>
      </w:r>
      <w:r w:rsidR="00D24626">
        <w:rPr>
          <w:rFonts w:ascii="Times New Roman" w:hAnsi="Times New Roman"/>
          <w:sz w:val="22"/>
          <w:szCs w:val="22"/>
        </w:rPr>
        <w:t>amends</w:t>
      </w:r>
      <w:r w:rsidR="00D24626" w:rsidRPr="0035713D">
        <w:rPr>
          <w:rFonts w:ascii="Times New Roman" w:hAnsi="Times New Roman"/>
          <w:sz w:val="22"/>
          <w:szCs w:val="22"/>
        </w:rPr>
        <w:t xml:space="preserve"> </w:t>
      </w:r>
      <w:r w:rsidRPr="0035713D">
        <w:rPr>
          <w:rFonts w:ascii="Times New Roman" w:hAnsi="Times New Roman"/>
          <w:sz w:val="22"/>
          <w:szCs w:val="22"/>
        </w:rPr>
        <w:t xml:space="preserve">paragraph (a) </w:t>
      </w:r>
      <w:r w:rsidR="0064039F">
        <w:rPr>
          <w:rFonts w:ascii="Times New Roman" w:hAnsi="Times New Roman"/>
          <w:sz w:val="22"/>
          <w:szCs w:val="22"/>
        </w:rPr>
        <w:t xml:space="preserve">in column 2 </w:t>
      </w:r>
      <w:r w:rsidRPr="0035713D">
        <w:rPr>
          <w:rFonts w:ascii="Times New Roman" w:hAnsi="Times New Roman"/>
          <w:sz w:val="22"/>
          <w:szCs w:val="22"/>
        </w:rPr>
        <w:t xml:space="preserve">of </w:t>
      </w:r>
      <w:r w:rsidR="00D24626">
        <w:rPr>
          <w:rFonts w:ascii="Times New Roman" w:hAnsi="Times New Roman"/>
          <w:sz w:val="22"/>
          <w:szCs w:val="22"/>
        </w:rPr>
        <w:t>i</w:t>
      </w:r>
      <w:r w:rsidRPr="0035713D">
        <w:rPr>
          <w:rFonts w:ascii="Times New Roman" w:hAnsi="Times New Roman"/>
          <w:sz w:val="22"/>
          <w:szCs w:val="22"/>
        </w:rPr>
        <w:t>tem 5 of Schedule 1</w:t>
      </w:r>
      <w:r w:rsidR="00D24626">
        <w:rPr>
          <w:rFonts w:ascii="Times New Roman" w:hAnsi="Times New Roman"/>
          <w:sz w:val="22"/>
          <w:szCs w:val="22"/>
        </w:rPr>
        <w:t xml:space="preserve"> to the Principal Determination to refer to the </w:t>
      </w:r>
      <w:r w:rsidRPr="0035713D">
        <w:rPr>
          <w:rFonts w:ascii="Times New Roman" w:hAnsi="Times New Roman"/>
          <w:sz w:val="22"/>
          <w:szCs w:val="22"/>
        </w:rPr>
        <w:t>National Immunisation Program Schedule</w:t>
      </w:r>
      <w:r w:rsidR="00D24626">
        <w:rPr>
          <w:rFonts w:ascii="Times New Roman" w:hAnsi="Times New Roman"/>
          <w:sz w:val="22"/>
          <w:szCs w:val="22"/>
        </w:rPr>
        <w:t xml:space="preserve"> (“the NIP Schedule”)</w:t>
      </w:r>
      <w:r w:rsidRPr="0035713D">
        <w:rPr>
          <w:rFonts w:ascii="Times New Roman" w:hAnsi="Times New Roman"/>
          <w:sz w:val="22"/>
          <w:szCs w:val="22"/>
        </w:rPr>
        <w:t xml:space="preserve"> as in force or existing at </w:t>
      </w:r>
      <w:r w:rsidR="001055C7">
        <w:rPr>
          <w:rFonts w:ascii="Times New Roman" w:hAnsi="Times New Roman"/>
          <w:sz w:val="22"/>
          <w:szCs w:val="22"/>
        </w:rPr>
        <w:t>1 March 2025</w:t>
      </w:r>
      <w:r w:rsidRPr="0035713D">
        <w:rPr>
          <w:rFonts w:ascii="Times New Roman" w:hAnsi="Times New Roman"/>
          <w:sz w:val="22"/>
          <w:szCs w:val="22"/>
        </w:rPr>
        <w:t xml:space="preserve">. This </w:t>
      </w:r>
      <w:r w:rsidR="0064039F">
        <w:rPr>
          <w:rFonts w:ascii="Times New Roman" w:hAnsi="Times New Roman"/>
          <w:sz w:val="22"/>
          <w:szCs w:val="22"/>
        </w:rPr>
        <w:t xml:space="preserve">would </w:t>
      </w:r>
      <w:r w:rsidR="005945CC">
        <w:rPr>
          <w:rFonts w:ascii="Times New Roman" w:hAnsi="Times New Roman"/>
          <w:sz w:val="22"/>
          <w:szCs w:val="22"/>
        </w:rPr>
        <w:t xml:space="preserve">reference the most recent version of the NIP Schedule </w:t>
      </w:r>
      <w:r w:rsidRPr="0035713D">
        <w:rPr>
          <w:rFonts w:ascii="Times New Roman" w:hAnsi="Times New Roman"/>
          <w:sz w:val="22"/>
          <w:szCs w:val="22"/>
        </w:rPr>
        <w:t xml:space="preserve">ensures </w:t>
      </w:r>
      <w:r w:rsidR="005945CC">
        <w:rPr>
          <w:rFonts w:ascii="Times New Roman" w:hAnsi="Times New Roman"/>
          <w:sz w:val="22"/>
          <w:szCs w:val="22"/>
        </w:rPr>
        <w:t xml:space="preserve">that Schedule 1 to </w:t>
      </w:r>
      <w:r w:rsidRPr="0035713D">
        <w:rPr>
          <w:rFonts w:ascii="Times New Roman" w:hAnsi="Times New Roman"/>
          <w:sz w:val="22"/>
          <w:szCs w:val="22"/>
        </w:rPr>
        <w:t xml:space="preserve">the Principal Determination reflects the most current version of the NIP Schedule and </w:t>
      </w:r>
      <w:r w:rsidR="005945CC">
        <w:rPr>
          <w:rFonts w:ascii="Times New Roman" w:hAnsi="Times New Roman"/>
          <w:sz w:val="22"/>
          <w:szCs w:val="22"/>
        </w:rPr>
        <w:t>includes</w:t>
      </w:r>
      <w:r w:rsidRPr="0035713D">
        <w:rPr>
          <w:rFonts w:ascii="Times New Roman" w:hAnsi="Times New Roman"/>
          <w:sz w:val="22"/>
          <w:szCs w:val="22"/>
        </w:rPr>
        <w:t xml:space="preserve"> those vaccines that have been included in the NIP Schedule since 1</w:t>
      </w:r>
      <w:r w:rsidR="004F63FD">
        <w:rPr>
          <w:rFonts w:ascii="Times New Roman" w:hAnsi="Times New Roman"/>
          <w:sz w:val="22"/>
          <w:szCs w:val="22"/>
        </w:rPr>
        <w:t> </w:t>
      </w:r>
      <w:r w:rsidRPr="0035713D">
        <w:rPr>
          <w:rFonts w:ascii="Times New Roman" w:hAnsi="Times New Roman"/>
          <w:sz w:val="22"/>
          <w:szCs w:val="22"/>
        </w:rPr>
        <w:t>July</w:t>
      </w:r>
      <w:r w:rsidR="004F63FD">
        <w:rPr>
          <w:rFonts w:ascii="Times New Roman" w:hAnsi="Times New Roman"/>
          <w:sz w:val="22"/>
          <w:szCs w:val="22"/>
        </w:rPr>
        <w:t> </w:t>
      </w:r>
      <w:r w:rsidRPr="0035713D">
        <w:rPr>
          <w:rFonts w:ascii="Times New Roman" w:hAnsi="Times New Roman"/>
          <w:sz w:val="22"/>
          <w:szCs w:val="22"/>
        </w:rPr>
        <w:t>2018</w:t>
      </w:r>
      <w:r w:rsidR="00E27943">
        <w:rPr>
          <w:rFonts w:ascii="Times New Roman" w:hAnsi="Times New Roman"/>
          <w:sz w:val="22"/>
          <w:szCs w:val="22"/>
        </w:rPr>
        <w:t>.</w:t>
      </w:r>
    </w:p>
    <w:p w14:paraId="6506F897" w14:textId="77777777" w:rsidR="00E27943" w:rsidRDefault="00E27943">
      <w:pPr>
        <w:spacing w:after="160" w:line="259" w:lineRule="auto"/>
        <w:rPr>
          <w:rFonts w:ascii="Times New Roman" w:hAnsi="Times New Roman"/>
          <w:sz w:val="22"/>
          <w:szCs w:val="22"/>
        </w:rPr>
      </w:pPr>
      <w:r>
        <w:rPr>
          <w:rFonts w:ascii="Times New Roman" w:hAnsi="Times New Roman"/>
          <w:sz w:val="22"/>
          <w:szCs w:val="22"/>
        </w:rPr>
        <w:br w:type="page"/>
      </w:r>
    </w:p>
    <w:p w14:paraId="577BB682" w14:textId="77777777" w:rsidR="00E27943" w:rsidRPr="00855E30" w:rsidRDefault="00E27943" w:rsidP="00E27943">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lastRenderedPageBreak/>
        <w:t>Statement of Compatibility with Human Rights</w:t>
      </w:r>
    </w:p>
    <w:p w14:paraId="40158A85" w14:textId="77777777" w:rsidR="00E27943" w:rsidRPr="00855E30" w:rsidRDefault="00E27943" w:rsidP="00E27943">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156FDC5F" w14:textId="77777777" w:rsidR="00E27943" w:rsidRPr="00855E30" w:rsidRDefault="00E27943" w:rsidP="00E27943">
      <w:pPr>
        <w:spacing w:before="60"/>
        <w:jc w:val="center"/>
        <w:rPr>
          <w:rFonts w:ascii="Times New Roman" w:hAnsi="Times New Roman"/>
          <w:b/>
          <w:i/>
          <w:sz w:val="22"/>
          <w:szCs w:val="22"/>
        </w:rPr>
      </w:pPr>
    </w:p>
    <w:p w14:paraId="7F65E9FF" w14:textId="261E4B23" w:rsidR="00E27943" w:rsidRPr="00D52BA5" w:rsidRDefault="00495CDC" w:rsidP="00E27943">
      <w:pPr>
        <w:jc w:val="center"/>
        <w:rPr>
          <w:b/>
          <w:bCs/>
          <w:i/>
          <w:sz w:val="22"/>
          <w:szCs w:val="22"/>
        </w:rPr>
      </w:pPr>
      <w:r w:rsidRPr="00495CDC">
        <w:rPr>
          <w:b/>
          <w:bCs/>
          <w:i/>
          <w:sz w:val="22"/>
          <w:szCs w:val="22"/>
        </w:rPr>
        <w:t>Therapeutic Goods (Medicines Watch List) Amendment Determination 2025</w:t>
      </w:r>
    </w:p>
    <w:p w14:paraId="03CED267" w14:textId="77777777" w:rsidR="00E27943" w:rsidRDefault="00E27943" w:rsidP="00E27943">
      <w:pPr>
        <w:rPr>
          <w:rFonts w:ascii="Times New Roman" w:hAnsi="Times New Roman"/>
          <w:sz w:val="22"/>
          <w:szCs w:val="22"/>
        </w:rPr>
      </w:pPr>
    </w:p>
    <w:p w14:paraId="306A6926" w14:textId="4A5EFCCF" w:rsidR="00E27943" w:rsidRPr="00CF219B" w:rsidRDefault="00E27943" w:rsidP="00E27943">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w:t>
      </w:r>
      <w:r w:rsidR="004D319D">
        <w:rPr>
          <w:rFonts w:ascii="Times New Roman" w:hAnsi="Times New Roman"/>
          <w:i/>
          <w:sz w:val="22"/>
          <w:szCs w:val="22"/>
        </w:rPr>
        <w:t> </w:t>
      </w:r>
      <w:r w:rsidRPr="00CF219B">
        <w:rPr>
          <w:rFonts w:ascii="Times New Roman" w:hAnsi="Times New Roman"/>
          <w:i/>
          <w:sz w:val="22"/>
          <w:szCs w:val="22"/>
        </w:rPr>
        <w:t>2011</w:t>
      </w:r>
      <w:r w:rsidRPr="00CF219B">
        <w:rPr>
          <w:rFonts w:ascii="Times New Roman" w:hAnsi="Times New Roman"/>
          <w:sz w:val="22"/>
          <w:szCs w:val="22"/>
        </w:rPr>
        <w:t>.</w:t>
      </w:r>
    </w:p>
    <w:p w14:paraId="7D50A553" w14:textId="77777777" w:rsidR="00E27943" w:rsidRPr="00CF219B" w:rsidRDefault="00E27943" w:rsidP="00E27943">
      <w:pPr>
        <w:rPr>
          <w:rFonts w:ascii="Times New Roman" w:hAnsi="Times New Roman"/>
          <w:sz w:val="22"/>
          <w:szCs w:val="22"/>
        </w:rPr>
      </w:pPr>
    </w:p>
    <w:p w14:paraId="19E36F25" w14:textId="77777777" w:rsidR="00E27943" w:rsidRPr="00CF219B" w:rsidRDefault="00E27943" w:rsidP="00E27943">
      <w:pPr>
        <w:rPr>
          <w:rFonts w:ascii="Times New Roman" w:hAnsi="Times New Roman"/>
          <w:b/>
          <w:sz w:val="22"/>
          <w:szCs w:val="22"/>
        </w:rPr>
      </w:pPr>
      <w:r w:rsidRPr="00E27943">
        <w:rPr>
          <w:rFonts w:ascii="Times New Roman" w:hAnsi="Times New Roman"/>
          <w:b/>
          <w:sz w:val="22"/>
          <w:szCs w:val="22"/>
        </w:rPr>
        <w:t>Overview of legislative instrument</w:t>
      </w:r>
    </w:p>
    <w:p w14:paraId="29E066DB" w14:textId="77777777" w:rsidR="00E27943" w:rsidRDefault="00E27943" w:rsidP="00E27943">
      <w:pPr>
        <w:keepNext/>
        <w:contextualSpacing/>
        <w:rPr>
          <w:rFonts w:ascii="Times New Roman" w:hAnsi="Times New Roman"/>
          <w:sz w:val="22"/>
          <w:szCs w:val="22"/>
        </w:rPr>
      </w:pPr>
    </w:p>
    <w:p w14:paraId="5DFEE771" w14:textId="7BA9C0A2" w:rsidR="00BC3D6A" w:rsidRPr="000963A9" w:rsidRDefault="007960EE" w:rsidP="00BC3D6A">
      <w:pPr>
        <w:autoSpaceDE w:val="0"/>
        <w:autoSpaceDN w:val="0"/>
        <w:adjustRightInd w:val="0"/>
        <w:rPr>
          <w:sz w:val="22"/>
          <w:szCs w:val="22"/>
        </w:rPr>
      </w:pPr>
      <w:r>
        <w:rPr>
          <w:sz w:val="22"/>
          <w:szCs w:val="22"/>
        </w:rPr>
        <w:t xml:space="preserve">The </w:t>
      </w:r>
      <w:r>
        <w:rPr>
          <w:i/>
          <w:iCs/>
          <w:sz w:val="22"/>
          <w:szCs w:val="22"/>
        </w:rPr>
        <w:t xml:space="preserve">Therapeutic Goods Act 1989 </w:t>
      </w:r>
      <w:r>
        <w:rPr>
          <w:sz w:val="22"/>
          <w:szCs w:val="22"/>
        </w:rPr>
        <w:t xml:space="preserve">(“the Act”) provides a framework for the mandatory reporting of shortages or discontinuations of certain medicines that are reportable medicines. </w:t>
      </w:r>
      <w:r w:rsidR="00BC3D6A">
        <w:rPr>
          <w:sz w:val="22"/>
          <w:szCs w:val="22"/>
        </w:rPr>
        <w:t xml:space="preserve">Under subsections 30EF(1) and 30EG(1), the timeframe for reporting a shortage or discontinuation of a reportable medicine that is of </w:t>
      </w:r>
      <w:r w:rsidR="00BC3D6A" w:rsidRPr="00FB1BEC">
        <w:rPr>
          <w:i/>
          <w:iCs/>
          <w:sz w:val="22"/>
          <w:szCs w:val="22"/>
        </w:rPr>
        <w:t>critical impact</w:t>
      </w:r>
      <w:r w:rsidR="00BC3D6A">
        <w:rPr>
          <w:sz w:val="22"/>
          <w:szCs w:val="22"/>
        </w:rPr>
        <w:t xml:space="preserve"> is more immediate than for other reportable medicines. </w:t>
      </w:r>
      <w:r w:rsidR="00BC3D6A">
        <w:rPr>
          <w:rFonts w:ascii="Times New Roman" w:hAnsi="Times New Roman"/>
          <w:sz w:val="22"/>
          <w:szCs w:val="22"/>
        </w:rPr>
        <w:t>Subsection 30EF(2) of the Act provides that the shortage of a medicine in Australia at a particular time has a critical impact if, at the time, the medicine is included in an instrument under section 30EJ. Section 30</w:t>
      </w:r>
      <w:proofErr w:type="gramStart"/>
      <w:r w:rsidR="00BC3D6A">
        <w:rPr>
          <w:rFonts w:ascii="Times New Roman" w:hAnsi="Times New Roman"/>
          <w:sz w:val="22"/>
          <w:szCs w:val="22"/>
        </w:rPr>
        <w:t>EG(</w:t>
      </w:r>
      <w:proofErr w:type="gramEnd"/>
      <w:r w:rsidR="00BC3D6A">
        <w:rPr>
          <w:rFonts w:ascii="Times New Roman" w:hAnsi="Times New Roman"/>
          <w:sz w:val="22"/>
          <w:szCs w:val="22"/>
        </w:rPr>
        <w:t xml:space="preserve">2) of the Act provides that the discontinuation of the supply of a medicine in Australia is likely to be of critical impact if, when the discontinuation decision is made, the medicine is included in an instrument under section 30EJ. </w:t>
      </w:r>
    </w:p>
    <w:p w14:paraId="2BF26CF6" w14:textId="77777777" w:rsidR="000963A9" w:rsidRDefault="000963A9" w:rsidP="000963A9">
      <w:pPr>
        <w:autoSpaceDE w:val="0"/>
        <w:autoSpaceDN w:val="0"/>
        <w:adjustRightInd w:val="0"/>
        <w:rPr>
          <w:rFonts w:ascii="Times New Roman" w:hAnsi="Times New Roman"/>
          <w:sz w:val="22"/>
          <w:szCs w:val="22"/>
        </w:rPr>
      </w:pPr>
    </w:p>
    <w:p w14:paraId="0E4ADBC2" w14:textId="77777777" w:rsidR="000963A9" w:rsidRDefault="000963A9" w:rsidP="000963A9">
      <w:pPr>
        <w:autoSpaceDE w:val="0"/>
        <w:autoSpaceDN w:val="0"/>
        <w:adjustRightInd w:val="0"/>
        <w:rPr>
          <w:sz w:val="22"/>
          <w:szCs w:val="22"/>
        </w:rPr>
      </w:pPr>
      <w:r w:rsidRPr="00087769">
        <w:rPr>
          <w:sz w:val="22"/>
          <w:szCs w:val="22"/>
        </w:rPr>
        <w:t>S</w:t>
      </w:r>
      <w:r>
        <w:rPr>
          <w:sz w:val="22"/>
          <w:szCs w:val="22"/>
        </w:rPr>
        <w:t>ubs</w:t>
      </w:r>
      <w:r w:rsidRPr="00087769">
        <w:rPr>
          <w:sz w:val="22"/>
          <w:szCs w:val="22"/>
        </w:rPr>
        <w:t>ection 30</w:t>
      </w:r>
      <w:proofErr w:type="gramStart"/>
      <w:r w:rsidRPr="00087769">
        <w:rPr>
          <w:sz w:val="22"/>
          <w:szCs w:val="22"/>
        </w:rPr>
        <w:t>EJ(</w:t>
      </w:r>
      <w:proofErr w:type="gramEnd"/>
      <w:r w:rsidRPr="00087769">
        <w:rPr>
          <w:sz w:val="22"/>
          <w:szCs w:val="22"/>
        </w:rPr>
        <w:t>1) of the Act relevantly provides that the Minister may, by legislative instrument, determine medicines for the purposes of subsections</w:t>
      </w:r>
      <w:r>
        <w:rPr>
          <w:sz w:val="22"/>
          <w:szCs w:val="22"/>
        </w:rPr>
        <w:t> </w:t>
      </w:r>
      <w:r w:rsidRPr="00087769">
        <w:rPr>
          <w:sz w:val="22"/>
          <w:szCs w:val="22"/>
        </w:rPr>
        <w:t>30EF(2) and</w:t>
      </w:r>
      <w:r>
        <w:rPr>
          <w:sz w:val="22"/>
          <w:szCs w:val="22"/>
        </w:rPr>
        <w:t> </w:t>
      </w:r>
      <w:r w:rsidRPr="00087769">
        <w:rPr>
          <w:sz w:val="22"/>
          <w:szCs w:val="22"/>
        </w:rPr>
        <w:t>30EG(2) of the Act.</w:t>
      </w:r>
      <w:r>
        <w:rPr>
          <w:sz w:val="22"/>
          <w:szCs w:val="22"/>
        </w:rPr>
        <w:t xml:space="preserve"> The effect of a medicine being included in such an instrument is that the timeframes for reporting a shortage or discontinuation of the medicine are the timeframes that apply to a shortage or discontinuation of critical impact.</w:t>
      </w:r>
    </w:p>
    <w:p w14:paraId="68DD5267" w14:textId="77777777" w:rsidR="000963A9" w:rsidRPr="00087769" w:rsidRDefault="000963A9" w:rsidP="000963A9">
      <w:pPr>
        <w:autoSpaceDE w:val="0"/>
        <w:autoSpaceDN w:val="0"/>
        <w:adjustRightInd w:val="0"/>
        <w:rPr>
          <w:sz w:val="22"/>
          <w:szCs w:val="22"/>
        </w:rPr>
      </w:pPr>
    </w:p>
    <w:p w14:paraId="0DAF2AB7" w14:textId="091C9BDF" w:rsidR="000963A9" w:rsidRDefault="000963A9" w:rsidP="000963A9">
      <w:pPr>
        <w:autoSpaceDE w:val="0"/>
        <w:autoSpaceDN w:val="0"/>
        <w:adjustRightInd w:val="0"/>
        <w:rPr>
          <w:sz w:val="22"/>
          <w:szCs w:val="22"/>
        </w:rPr>
      </w:pPr>
      <w:r w:rsidRPr="00087769">
        <w:rPr>
          <w:sz w:val="22"/>
          <w:szCs w:val="22"/>
        </w:rPr>
        <w:t xml:space="preserve">The </w:t>
      </w:r>
      <w:r w:rsidRPr="00A10E8F">
        <w:rPr>
          <w:i/>
          <w:iCs/>
          <w:sz w:val="22"/>
          <w:szCs w:val="22"/>
        </w:rPr>
        <w:t>Therapeutic Goods (Medicines Watch List) Determination</w:t>
      </w:r>
      <w:r>
        <w:rPr>
          <w:i/>
          <w:iCs/>
          <w:sz w:val="22"/>
          <w:szCs w:val="22"/>
        </w:rPr>
        <w:t> </w:t>
      </w:r>
      <w:r w:rsidRPr="00A10E8F">
        <w:rPr>
          <w:i/>
          <w:iCs/>
          <w:sz w:val="22"/>
          <w:szCs w:val="22"/>
        </w:rPr>
        <w:t>2018</w:t>
      </w:r>
      <w:r w:rsidRPr="00087769">
        <w:rPr>
          <w:sz w:val="22"/>
          <w:szCs w:val="22"/>
        </w:rPr>
        <w:t xml:space="preserve"> (</w:t>
      </w:r>
      <w:r>
        <w:rPr>
          <w:sz w:val="22"/>
          <w:szCs w:val="22"/>
        </w:rPr>
        <w:t>“</w:t>
      </w:r>
      <w:r w:rsidRPr="00087769">
        <w:rPr>
          <w:sz w:val="22"/>
          <w:szCs w:val="22"/>
        </w:rPr>
        <w:t>the Principal Determination</w:t>
      </w:r>
      <w:r>
        <w:rPr>
          <w:sz w:val="22"/>
          <w:szCs w:val="22"/>
        </w:rPr>
        <w:t>”</w:t>
      </w:r>
      <w:r w:rsidRPr="00087769">
        <w:rPr>
          <w:sz w:val="22"/>
          <w:szCs w:val="22"/>
        </w:rPr>
        <w:t>) is made under subsection 30</w:t>
      </w:r>
      <w:proofErr w:type="gramStart"/>
      <w:r w:rsidRPr="00087769">
        <w:rPr>
          <w:sz w:val="22"/>
          <w:szCs w:val="22"/>
        </w:rPr>
        <w:t>EJ(</w:t>
      </w:r>
      <w:proofErr w:type="gramEnd"/>
      <w:r w:rsidRPr="00087769">
        <w:rPr>
          <w:sz w:val="22"/>
          <w:szCs w:val="22"/>
        </w:rPr>
        <w:t>1) of the Act. The Principal Determination identif</w:t>
      </w:r>
      <w:r>
        <w:rPr>
          <w:sz w:val="22"/>
          <w:szCs w:val="22"/>
        </w:rPr>
        <w:t>ies</w:t>
      </w:r>
      <w:r w:rsidRPr="00087769">
        <w:rPr>
          <w:sz w:val="22"/>
          <w:szCs w:val="22"/>
        </w:rPr>
        <w:t xml:space="preserve"> reportable medicines for which a shortage</w:t>
      </w:r>
      <w:r>
        <w:rPr>
          <w:sz w:val="22"/>
          <w:szCs w:val="22"/>
        </w:rPr>
        <w:t xml:space="preserve"> would,</w:t>
      </w:r>
      <w:r w:rsidRPr="00087769">
        <w:rPr>
          <w:sz w:val="22"/>
          <w:szCs w:val="22"/>
        </w:rPr>
        <w:t xml:space="preserve"> or a decision by the medicine’s sponsor to permanently discontinue its supply</w:t>
      </w:r>
      <w:r>
        <w:rPr>
          <w:sz w:val="22"/>
          <w:szCs w:val="22"/>
        </w:rPr>
        <w:t xml:space="preserve"> may,</w:t>
      </w:r>
      <w:r w:rsidRPr="00087769">
        <w:rPr>
          <w:sz w:val="22"/>
          <w:szCs w:val="22"/>
        </w:rPr>
        <w:t xml:space="preserve"> be of critical impact for the purposes of the reporting requirements for medicines shortages and discontinuations in sections 30EF and 30EG of the Act.</w:t>
      </w:r>
    </w:p>
    <w:p w14:paraId="1406542C" w14:textId="77777777" w:rsidR="000963A9" w:rsidRPr="00087769" w:rsidRDefault="000963A9" w:rsidP="000963A9">
      <w:pPr>
        <w:autoSpaceDE w:val="0"/>
        <w:autoSpaceDN w:val="0"/>
        <w:adjustRightInd w:val="0"/>
        <w:rPr>
          <w:sz w:val="22"/>
          <w:szCs w:val="22"/>
        </w:rPr>
      </w:pPr>
    </w:p>
    <w:p w14:paraId="51D7DD79" w14:textId="3AD49A4C" w:rsidR="000963A9" w:rsidRPr="00940B4C" w:rsidRDefault="000963A9" w:rsidP="000963A9">
      <w:pPr>
        <w:autoSpaceDE w:val="0"/>
        <w:autoSpaceDN w:val="0"/>
        <w:adjustRightInd w:val="0"/>
        <w:rPr>
          <w:sz w:val="22"/>
          <w:szCs w:val="22"/>
        </w:rPr>
      </w:pPr>
      <w:r w:rsidRPr="001055C7">
        <w:rPr>
          <w:sz w:val="22"/>
          <w:szCs w:val="22"/>
        </w:rPr>
        <w:t>The</w:t>
      </w:r>
      <w:r w:rsidRPr="00087769">
        <w:rPr>
          <w:sz w:val="22"/>
          <w:szCs w:val="22"/>
        </w:rPr>
        <w:t xml:space="preserve"> </w:t>
      </w:r>
      <w:r w:rsidRPr="00A10E8F">
        <w:rPr>
          <w:i/>
          <w:iCs/>
          <w:sz w:val="22"/>
          <w:szCs w:val="22"/>
        </w:rPr>
        <w:t>Therapeutic Goods (Medicines Watch List) Amendment Determination</w:t>
      </w:r>
      <w:r>
        <w:rPr>
          <w:i/>
          <w:iCs/>
          <w:sz w:val="22"/>
          <w:szCs w:val="22"/>
        </w:rPr>
        <w:t> </w:t>
      </w:r>
      <w:r w:rsidRPr="00A10E8F">
        <w:rPr>
          <w:i/>
          <w:iCs/>
          <w:sz w:val="22"/>
          <w:szCs w:val="22"/>
        </w:rPr>
        <w:t>2025</w:t>
      </w:r>
      <w:r w:rsidRPr="00087769">
        <w:rPr>
          <w:sz w:val="22"/>
          <w:szCs w:val="22"/>
        </w:rPr>
        <w:t xml:space="preserve"> (</w:t>
      </w:r>
      <w:r>
        <w:rPr>
          <w:sz w:val="22"/>
          <w:szCs w:val="22"/>
        </w:rPr>
        <w:t>“</w:t>
      </w:r>
      <w:r w:rsidRPr="00087769">
        <w:rPr>
          <w:sz w:val="22"/>
          <w:szCs w:val="22"/>
        </w:rPr>
        <w:t>the Amendment Determination</w:t>
      </w:r>
      <w:r>
        <w:rPr>
          <w:sz w:val="22"/>
          <w:szCs w:val="22"/>
        </w:rPr>
        <w:t>”</w:t>
      </w:r>
      <w:r w:rsidRPr="00087769">
        <w:rPr>
          <w:sz w:val="22"/>
          <w:szCs w:val="22"/>
        </w:rPr>
        <w:t>) amend</w:t>
      </w:r>
      <w:r>
        <w:rPr>
          <w:sz w:val="22"/>
          <w:szCs w:val="22"/>
        </w:rPr>
        <w:t xml:space="preserve">s </w:t>
      </w:r>
      <w:r w:rsidRPr="00087769">
        <w:rPr>
          <w:sz w:val="22"/>
          <w:szCs w:val="22"/>
        </w:rPr>
        <w:t xml:space="preserve">the Principal Determination to </w:t>
      </w:r>
      <w:r>
        <w:rPr>
          <w:sz w:val="22"/>
          <w:szCs w:val="22"/>
        </w:rPr>
        <w:t>refer to</w:t>
      </w:r>
      <w:r w:rsidRPr="00087769">
        <w:rPr>
          <w:sz w:val="22"/>
          <w:szCs w:val="22"/>
        </w:rPr>
        <w:t xml:space="preserve"> the National Immunisation Program Schedule</w:t>
      </w:r>
      <w:r>
        <w:rPr>
          <w:sz w:val="22"/>
          <w:szCs w:val="22"/>
        </w:rPr>
        <w:t xml:space="preserve"> (“the NIP Schedule”)</w:t>
      </w:r>
      <w:r w:rsidRPr="00087769">
        <w:rPr>
          <w:sz w:val="22"/>
          <w:szCs w:val="22"/>
        </w:rPr>
        <w:t xml:space="preserve"> </w:t>
      </w:r>
      <w:r>
        <w:rPr>
          <w:sz w:val="22"/>
          <w:szCs w:val="22"/>
        </w:rPr>
        <w:t>as</w:t>
      </w:r>
      <w:r w:rsidRPr="00087769">
        <w:rPr>
          <w:sz w:val="22"/>
          <w:szCs w:val="22"/>
        </w:rPr>
        <w:t xml:space="preserve"> in force or existing </w:t>
      </w:r>
      <w:r>
        <w:rPr>
          <w:sz w:val="22"/>
          <w:szCs w:val="22"/>
        </w:rPr>
        <w:t xml:space="preserve">on 1 March 2025. This is intended to incorporate any vaccines that have been added to the NIP Schedule since 2018. </w:t>
      </w:r>
    </w:p>
    <w:p w14:paraId="78B4C587" w14:textId="77777777" w:rsidR="00BC3D6A" w:rsidRDefault="00BC3D6A" w:rsidP="00E27943">
      <w:pPr>
        <w:autoSpaceDE w:val="0"/>
        <w:autoSpaceDN w:val="0"/>
        <w:adjustRightInd w:val="0"/>
        <w:rPr>
          <w:rFonts w:ascii="Times New Roman" w:hAnsi="Times New Roman"/>
          <w:i/>
          <w:iCs/>
          <w:sz w:val="22"/>
          <w:szCs w:val="22"/>
        </w:rPr>
      </w:pPr>
    </w:p>
    <w:p w14:paraId="1983151D" w14:textId="2CDB6B6B" w:rsidR="00E27943" w:rsidRPr="003C1A17" w:rsidRDefault="00E27943" w:rsidP="00E27943">
      <w:pPr>
        <w:autoSpaceDE w:val="0"/>
        <w:autoSpaceDN w:val="0"/>
        <w:adjustRightInd w:val="0"/>
        <w:rPr>
          <w:rFonts w:ascii="Times New Roman" w:hAnsi="Times New Roman"/>
          <w:i/>
          <w:iCs/>
          <w:sz w:val="22"/>
          <w:szCs w:val="22"/>
        </w:rPr>
      </w:pPr>
      <w:r w:rsidRPr="003C1A17">
        <w:rPr>
          <w:rFonts w:ascii="Times New Roman" w:hAnsi="Times New Roman"/>
          <w:i/>
          <w:iCs/>
          <w:sz w:val="22"/>
          <w:szCs w:val="22"/>
        </w:rPr>
        <w:t>Background</w:t>
      </w:r>
    </w:p>
    <w:p w14:paraId="629535A4" w14:textId="77777777" w:rsidR="00EF420E" w:rsidRDefault="00EF420E" w:rsidP="00E27943">
      <w:pPr>
        <w:autoSpaceDE w:val="0"/>
        <w:autoSpaceDN w:val="0"/>
        <w:adjustRightInd w:val="0"/>
        <w:rPr>
          <w:rFonts w:ascii="Times New Roman" w:hAnsi="Times New Roman"/>
          <w:b/>
          <w:bCs/>
          <w:sz w:val="22"/>
          <w:szCs w:val="22"/>
        </w:rPr>
      </w:pPr>
    </w:p>
    <w:p w14:paraId="51CB5F55" w14:textId="77777777" w:rsidR="000963A9" w:rsidRDefault="000963A9" w:rsidP="000963A9">
      <w:pPr>
        <w:autoSpaceDE w:val="0"/>
        <w:autoSpaceDN w:val="0"/>
        <w:adjustRightInd w:val="0"/>
        <w:rPr>
          <w:rFonts w:ascii="Times New Roman" w:hAnsi="Times New Roman"/>
          <w:sz w:val="22"/>
          <w:szCs w:val="22"/>
        </w:rPr>
      </w:pPr>
      <w:r>
        <w:rPr>
          <w:rFonts w:ascii="Times New Roman" w:hAnsi="Times New Roman"/>
          <w:sz w:val="22"/>
          <w:szCs w:val="22"/>
        </w:rPr>
        <w:t>The Act provides for mandatory reporting to the Secretary of a shortage or discontinuation of reportable medicines. Reportable</w:t>
      </w:r>
      <w:r w:rsidRPr="00921708">
        <w:rPr>
          <w:rFonts w:ascii="Times New Roman" w:hAnsi="Times New Roman"/>
          <w:sz w:val="22"/>
          <w:szCs w:val="22"/>
        </w:rPr>
        <w:t xml:space="preserve"> medicines </w:t>
      </w:r>
      <w:r>
        <w:rPr>
          <w:rFonts w:ascii="Times New Roman" w:hAnsi="Times New Roman"/>
          <w:sz w:val="22"/>
          <w:szCs w:val="22"/>
        </w:rPr>
        <w:t xml:space="preserve">are defined in section 30EH of the Act as registered goods that contain one or more substances in Schedule 4 or 8 to the current Poisons Standard or are determined in an instrument. They are medicines that </w:t>
      </w:r>
      <w:r w:rsidRPr="00921708">
        <w:rPr>
          <w:rFonts w:ascii="Times New Roman" w:hAnsi="Times New Roman"/>
          <w:sz w:val="22"/>
          <w:szCs w:val="22"/>
        </w:rPr>
        <w:t xml:space="preserve">are particularly important for the health of patients who need to take </w:t>
      </w:r>
      <w:proofErr w:type="gramStart"/>
      <w:r w:rsidRPr="00921708">
        <w:rPr>
          <w:rFonts w:ascii="Times New Roman" w:hAnsi="Times New Roman"/>
          <w:sz w:val="22"/>
          <w:szCs w:val="22"/>
        </w:rPr>
        <w:t>them</w:t>
      </w:r>
      <w:proofErr w:type="gramEnd"/>
      <w:r>
        <w:rPr>
          <w:rFonts w:ascii="Times New Roman" w:hAnsi="Times New Roman"/>
          <w:sz w:val="22"/>
          <w:szCs w:val="22"/>
        </w:rPr>
        <w:t xml:space="preserve"> so it is</w:t>
      </w:r>
      <w:r w:rsidRPr="00921708">
        <w:rPr>
          <w:rFonts w:ascii="Times New Roman" w:hAnsi="Times New Roman"/>
          <w:sz w:val="22"/>
          <w:szCs w:val="22"/>
        </w:rPr>
        <w:t xml:space="preserve"> in the interests of public health for </w:t>
      </w:r>
      <w:r>
        <w:rPr>
          <w:rFonts w:ascii="Times New Roman" w:hAnsi="Times New Roman"/>
          <w:sz w:val="22"/>
          <w:szCs w:val="22"/>
        </w:rPr>
        <w:t>the mandatory reporting requirements to apply.</w:t>
      </w:r>
    </w:p>
    <w:p w14:paraId="02151168" w14:textId="77777777" w:rsidR="000963A9" w:rsidRDefault="000963A9" w:rsidP="000963A9">
      <w:pPr>
        <w:autoSpaceDE w:val="0"/>
        <w:autoSpaceDN w:val="0"/>
        <w:adjustRightInd w:val="0"/>
        <w:rPr>
          <w:rFonts w:ascii="Times New Roman" w:hAnsi="Times New Roman"/>
          <w:sz w:val="22"/>
          <w:szCs w:val="22"/>
        </w:rPr>
      </w:pPr>
    </w:p>
    <w:p w14:paraId="7D4967DE" w14:textId="77777777" w:rsidR="000963A9" w:rsidRDefault="000963A9" w:rsidP="000963A9">
      <w:pPr>
        <w:autoSpaceDE w:val="0"/>
        <w:autoSpaceDN w:val="0"/>
        <w:adjustRightInd w:val="0"/>
        <w:rPr>
          <w:rFonts w:ascii="Times New Roman" w:hAnsi="Times New Roman"/>
          <w:sz w:val="22"/>
          <w:szCs w:val="22"/>
        </w:rPr>
      </w:pPr>
      <w:r>
        <w:rPr>
          <w:rFonts w:ascii="Times New Roman" w:hAnsi="Times New Roman"/>
          <w:sz w:val="22"/>
          <w:szCs w:val="22"/>
        </w:rPr>
        <w:t>The mandatory requirements are set out in:</w:t>
      </w:r>
    </w:p>
    <w:p w14:paraId="0422AC7C" w14:textId="77777777" w:rsidR="000963A9" w:rsidRDefault="000963A9" w:rsidP="000963A9">
      <w:pPr>
        <w:pStyle w:val="ListParagraph"/>
        <w:numPr>
          <w:ilvl w:val="0"/>
          <w:numId w:val="6"/>
        </w:numPr>
        <w:autoSpaceDE w:val="0"/>
        <w:autoSpaceDN w:val="0"/>
        <w:adjustRightInd w:val="0"/>
        <w:rPr>
          <w:rFonts w:ascii="Times New Roman" w:hAnsi="Times New Roman"/>
          <w:sz w:val="22"/>
          <w:szCs w:val="22"/>
        </w:rPr>
      </w:pPr>
      <w:r>
        <w:rPr>
          <w:rFonts w:ascii="Times New Roman" w:hAnsi="Times New Roman"/>
          <w:sz w:val="22"/>
          <w:szCs w:val="22"/>
        </w:rPr>
        <w:t>s</w:t>
      </w:r>
      <w:r w:rsidRPr="00BC3D6A">
        <w:rPr>
          <w:rFonts w:ascii="Times New Roman" w:hAnsi="Times New Roman"/>
          <w:sz w:val="22"/>
          <w:szCs w:val="22"/>
        </w:rPr>
        <w:t>ection 30EF of the Act</w:t>
      </w:r>
      <w:r>
        <w:rPr>
          <w:rFonts w:ascii="Times New Roman" w:hAnsi="Times New Roman"/>
          <w:sz w:val="22"/>
          <w:szCs w:val="22"/>
        </w:rPr>
        <w:t>,</w:t>
      </w:r>
      <w:r w:rsidRPr="00BC3D6A">
        <w:rPr>
          <w:rFonts w:ascii="Times New Roman" w:hAnsi="Times New Roman"/>
          <w:sz w:val="22"/>
          <w:szCs w:val="22"/>
        </w:rPr>
        <w:t xml:space="preserve"> </w:t>
      </w:r>
      <w:r>
        <w:rPr>
          <w:rFonts w:ascii="Times New Roman" w:hAnsi="Times New Roman"/>
          <w:sz w:val="22"/>
          <w:szCs w:val="22"/>
        </w:rPr>
        <w:t xml:space="preserve">which </w:t>
      </w:r>
      <w:r w:rsidRPr="00BC3D6A">
        <w:rPr>
          <w:rFonts w:ascii="Times New Roman" w:hAnsi="Times New Roman"/>
          <w:sz w:val="22"/>
          <w:szCs w:val="22"/>
        </w:rPr>
        <w:t xml:space="preserve">requires notification to the Secretary of any shortage of a reportable </w:t>
      </w:r>
      <w:proofErr w:type="gramStart"/>
      <w:r w:rsidRPr="00BC3D6A">
        <w:rPr>
          <w:rFonts w:ascii="Times New Roman" w:hAnsi="Times New Roman"/>
          <w:sz w:val="22"/>
          <w:szCs w:val="22"/>
        </w:rPr>
        <w:t>medicine</w:t>
      </w:r>
      <w:r>
        <w:rPr>
          <w:rFonts w:ascii="Times New Roman" w:hAnsi="Times New Roman"/>
          <w:sz w:val="22"/>
          <w:szCs w:val="22"/>
        </w:rPr>
        <w:t>;</w:t>
      </w:r>
      <w:proofErr w:type="gramEnd"/>
      <w:r>
        <w:rPr>
          <w:rFonts w:ascii="Times New Roman" w:hAnsi="Times New Roman"/>
          <w:sz w:val="22"/>
          <w:szCs w:val="22"/>
        </w:rPr>
        <w:t xml:space="preserve"> </w:t>
      </w:r>
    </w:p>
    <w:p w14:paraId="413FCCC4" w14:textId="77777777" w:rsidR="000963A9" w:rsidRDefault="000963A9" w:rsidP="000963A9">
      <w:pPr>
        <w:pStyle w:val="ListParagraph"/>
        <w:numPr>
          <w:ilvl w:val="0"/>
          <w:numId w:val="6"/>
        </w:numPr>
        <w:autoSpaceDE w:val="0"/>
        <w:autoSpaceDN w:val="0"/>
        <w:adjustRightInd w:val="0"/>
        <w:rPr>
          <w:rFonts w:ascii="Times New Roman" w:hAnsi="Times New Roman"/>
          <w:sz w:val="22"/>
          <w:szCs w:val="22"/>
        </w:rPr>
      </w:pPr>
      <w:r w:rsidRPr="00BC3D6A">
        <w:rPr>
          <w:rFonts w:ascii="Times New Roman" w:hAnsi="Times New Roman"/>
          <w:sz w:val="22"/>
          <w:szCs w:val="22"/>
        </w:rPr>
        <w:t xml:space="preserve">section 30EFA </w:t>
      </w:r>
      <w:r>
        <w:rPr>
          <w:rFonts w:ascii="Times New Roman" w:hAnsi="Times New Roman"/>
          <w:sz w:val="22"/>
          <w:szCs w:val="22"/>
        </w:rPr>
        <w:t xml:space="preserve">of the Act, which </w:t>
      </w:r>
      <w:r w:rsidRPr="00BC3D6A">
        <w:rPr>
          <w:rFonts w:ascii="Times New Roman" w:hAnsi="Times New Roman"/>
          <w:sz w:val="22"/>
          <w:szCs w:val="22"/>
        </w:rPr>
        <w:t>requires notification to the Secretary of a change to the period of a shortage or resolution of a shortage</w:t>
      </w:r>
      <w:r>
        <w:rPr>
          <w:rFonts w:ascii="Times New Roman" w:hAnsi="Times New Roman"/>
          <w:sz w:val="22"/>
          <w:szCs w:val="22"/>
        </w:rPr>
        <w:t>;</w:t>
      </w:r>
      <w:r w:rsidRPr="00BC3D6A">
        <w:rPr>
          <w:rFonts w:ascii="Times New Roman" w:hAnsi="Times New Roman"/>
          <w:sz w:val="22"/>
          <w:szCs w:val="22"/>
        </w:rPr>
        <w:t xml:space="preserve"> and </w:t>
      </w:r>
    </w:p>
    <w:p w14:paraId="479F4C20" w14:textId="77777777" w:rsidR="000963A9" w:rsidRPr="00BC3D6A" w:rsidRDefault="000963A9" w:rsidP="000963A9">
      <w:pPr>
        <w:pStyle w:val="ListParagraph"/>
        <w:numPr>
          <w:ilvl w:val="0"/>
          <w:numId w:val="6"/>
        </w:numPr>
        <w:autoSpaceDE w:val="0"/>
        <w:autoSpaceDN w:val="0"/>
        <w:adjustRightInd w:val="0"/>
        <w:rPr>
          <w:rFonts w:ascii="Times New Roman" w:hAnsi="Times New Roman"/>
          <w:sz w:val="22"/>
          <w:szCs w:val="22"/>
        </w:rPr>
      </w:pPr>
      <w:r w:rsidRPr="00BC3D6A">
        <w:rPr>
          <w:rFonts w:ascii="Times New Roman" w:hAnsi="Times New Roman"/>
          <w:sz w:val="22"/>
          <w:szCs w:val="22"/>
        </w:rPr>
        <w:lastRenderedPageBreak/>
        <w:t xml:space="preserve">section 30EG </w:t>
      </w:r>
      <w:r>
        <w:rPr>
          <w:rFonts w:ascii="Times New Roman" w:hAnsi="Times New Roman"/>
          <w:sz w:val="22"/>
          <w:szCs w:val="22"/>
        </w:rPr>
        <w:t xml:space="preserve">of the Act, which </w:t>
      </w:r>
      <w:r w:rsidRPr="00BC3D6A">
        <w:rPr>
          <w:rFonts w:ascii="Times New Roman" w:hAnsi="Times New Roman"/>
          <w:sz w:val="22"/>
          <w:szCs w:val="22"/>
        </w:rPr>
        <w:t>requires notification to the Secretary of a decision to discontinue the supply of a reportable medicine in Australia.</w:t>
      </w:r>
    </w:p>
    <w:p w14:paraId="4538480F" w14:textId="77777777" w:rsidR="000963A9" w:rsidRDefault="000963A9" w:rsidP="000963A9">
      <w:pPr>
        <w:autoSpaceDE w:val="0"/>
        <w:autoSpaceDN w:val="0"/>
        <w:adjustRightInd w:val="0"/>
        <w:rPr>
          <w:rFonts w:ascii="Times New Roman" w:hAnsi="Times New Roman"/>
          <w:sz w:val="22"/>
          <w:szCs w:val="22"/>
        </w:rPr>
      </w:pPr>
    </w:p>
    <w:p w14:paraId="1B313886" w14:textId="77777777" w:rsidR="000963A9" w:rsidRDefault="000963A9" w:rsidP="000963A9">
      <w:pPr>
        <w:autoSpaceDE w:val="0"/>
        <w:autoSpaceDN w:val="0"/>
        <w:adjustRightInd w:val="0"/>
        <w:rPr>
          <w:rFonts w:ascii="Times New Roman" w:hAnsi="Times New Roman"/>
          <w:sz w:val="22"/>
          <w:szCs w:val="22"/>
        </w:rPr>
      </w:pPr>
      <w:r w:rsidRPr="00B1747A">
        <w:rPr>
          <w:rFonts w:ascii="Times New Roman" w:hAnsi="Times New Roman"/>
          <w:sz w:val="22"/>
          <w:szCs w:val="22"/>
        </w:rPr>
        <w:t xml:space="preserve">The </w:t>
      </w:r>
      <w:proofErr w:type="gramStart"/>
      <w:r w:rsidRPr="00B1747A">
        <w:rPr>
          <w:rFonts w:ascii="Times New Roman" w:hAnsi="Times New Roman"/>
          <w:sz w:val="22"/>
          <w:szCs w:val="22"/>
        </w:rPr>
        <w:t>time</w:t>
      </w:r>
      <w:r>
        <w:rPr>
          <w:rFonts w:ascii="Times New Roman" w:hAnsi="Times New Roman"/>
          <w:sz w:val="22"/>
          <w:szCs w:val="22"/>
        </w:rPr>
        <w:t xml:space="preserve"> period</w:t>
      </w:r>
      <w:proofErr w:type="gramEnd"/>
      <w:r w:rsidRPr="00B1747A">
        <w:rPr>
          <w:rFonts w:ascii="Times New Roman" w:hAnsi="Times New Roman"/>
          <w:sz w:val="22"/>
          <w:szCs w:val="22"/>
        </w:rPr>
        <w:t xml:space="preserve"> within which sponsors </w:t>
      </w:r>
      <w:r>
        <w:rPr>
          <w:rFonts w:ascii="Times New Roman" w:hAnsi="Times New Roman"/>
          <w:sz w:val="22"/>
          <w:szCs w:val="22"/>
        </w:rPr>
        <w:t>are</w:t>
      </w:r>
      <w:r w:rsidRPr="00B1747A">
        <w:rPr>
          <w:rFonts w:ascii="Times New Roman" w:hAnsi="Times New Roman"/>
          <w:sz w:val="22"/>
          <w:szCs w:val="22"/>
        </w:rPr>
        <w:t xml:space="preserve"> required to report a shortage or discontinuation </w:t>
      </w:r>
      <w:r>
        <w:rPr>
          <w:rFonts w:ascii="Times New Roman" w:hAnsi="Times New Roman"/>
          <w:sz w:val="22"/>
          <w:szCs w:val="22"/>
        </w:rPr>
        <w:t xml:space="preserve">(or change in the period of the shortage or resolution of a shortage) of reportable medicines </w:t>
      </w:r>
      <w:r w:rsidRPr="00B1747A">
        <w:rPr>
          <w:rFonts w:ascii="Times New Roman" w:hAnsi="Times New Roman"/>
          <w:sz w:val="22"/>
          <w:szCs w:val="22"/>
        </w:rPr>
        <w:t>depend</w:t>
      </w:r>
      <w:r>
        <w:rPr>
          <w:rFonts w:ascii="Times New Roman" w:hAnsi="Times New Roman"/>
          <w:sz w:val="22"/>
          <w:szCs w:val="22"/>
        </w:rPr>
        <w:t>s</w:t>
      </w:r>
      <w:r w:rsidRPr="00B1747A">
        <w:rPr>
          <w:rFonts w:ascii="Times New Roman" w:hAnsi="Times New Roman"/>
          <w:sz w:val="22"/>
          <w:szCs w:val="22"/>
        </w:rPr>
        <w:t xml:space="preserve"> on whether the shortage or discontinuation is of ‘critical impact’. </w:t>
      </w:r>
      <w:r>
        <w:rPr>
          <w:rFonts w:ascii="Times New Roman" w:hAnsi="Times New Roman"/>
          <w:sz w:val="22"/>
          <w:szCs w:val="22"/>
        </w:rPr>
        <w:t>Under subsection 30</w:t>
      </w:r>
      <w:proofErr w:type="gramStart"/>
      <w:r>
        <w:rPr>
          <w:rFonts w:ascii="Times New Roman" w:hAnsi="Times New Roman"/>
          <w:sz w:val="22"/>
          <w:szCs w:val="22"/>
        </w:rPr>
        <w:t>EF(</w:t>
      </w:r>
      <w:proofErr w:type="gramEnd"/>
      <w:r>
        <w:rPr>
          <w:rFonts w:ascii="Times New Roman" w:hAnsi="Times New Roman"/>
          <w:sz w:val="22"/>
          <w:szCs w:val="22"/>
        </w:rPr>
        <w:t>1) of the Act, s</w:t>
      </w:r>
      <w:r w:rsidRPr="00B1747A">
        <w:rPr>
          <w:rFonts w:ascii="Times New Roman" w:hAnsi="Times New Roman"/>
          <w:sz w:val="22"/>
          <w:szCs w:val="22"/>
        </w:rPr>
        <w:t xml:space="preserve">hortages of </w:t>
      </w:r>
      <w:r>
        <w:rPr>
          <w:rFonts w:ascii="Times New Roman" w:hAnsi="Times New Roman"/>
          <w:sz w:val="22"/>
          <w:szCs w:val="22"/>
        </w:rPr>
        <w:t>“</w:t>
      </w:r>
      <w:r w:rsidRPr="00B1747A">
        <w:rPr>
          <w:rFonts w:ascii="Times New Roman" w:hAnsi="Times New Roman"/>
          <w:sz w:val="22"/>
          <w:szCs w:val="22"/>
        </w:rPr>
        <w:t>critical impact</w:t>
      </w:r>
      <w:r>
        <w:rPr>
          <w:rFonts w:ascii="Times New Roman" w:hAnsi="Times New Roman"/>
          <w:sz w:val="22"/>
          <w:szCs w:val="22"/>
        </w:rPr>
        <w:t>”</w:t>
      </w:r>
      <w:r w:rsidRPr="00B1747A">
        <w:rPr>
          <w:rFonts w:ascii="Times New Roman" w:hAnsi="Times New Roman"/>
          <w:sz w:val="22"/>
          <w:szCs w:val="22"/>
        </w:rPr>
        <w:t xml:space="preserve"> must be reported to the Secretary, using the approved form, as soon as possible but no later than 2 working days after the sponsor knows, or ought to have reasonably known, of the shortage</w:t>
      </w:r>
      <w:r>
        <w:rPr>
          <w:rFonts w:ascii="Times New Roman" w:hAnsi="Times New Roman"/>
          <w:sz w:val="22"/>
          <w:szCs w:val="22"/>
        </w:rPr>
        <w:t>. Under subsection 30</w:t>
      </w:r>
      <w:proofErr w:type="gramStart"/>
      <w:r>
        <w:rPr>
          <w:rFonts w:ascii="Times New Roman" w:hAnsi="Times New Roman"/>
          <w:sz w:val="22"/>
          <w:szCs w:val="22"/>
        </w:rPr>
        <w:t>EG(</w:t>
      </w:r>
      <w:proofErr w:type="gramEnd"/>
      <w:r>
        <w:rPr>
          <w:rFonts w:ascii="Times New Roman" w:hAnsi="Times New Roman"/>
          <w:sz w:val="22"/>
          <w:szCs w:val="22"/>
        </w:rPr>
        <w:t>1) of the Act, d</w:t>
      </w:r>
      <w:r w:rsidRPr="00B1747A">
        <w:rPr>
          <w:rFonts w:ascii="Times New Roman" w:hAnsi="Times New Roman"/>
          <w:sz w:val="22"/>
          <w:szCs w:val="22"/>
        </w:rPr>
        <w:t xml:space="preserve">iscontinuations of ‘critical impact’ must be notified at least 12 months before the discontinuation would occur, or otherwise as soon as possible after the decision to discontinue </w:t>
      </w:r>
      <w:r>
        <w:rPr>
          <w:rFonts w:ascii="Times New Roman" w:hAnsi="Times New Roman"/>
          <w:sz w:val="22"/>
          <w:szCs w:val="22"/>
        </w:rPr>
        <w:t>supply</w:t>
      </w:r>
      <w:r w:rsidRPr="00B1747A">
        <w:rPr>
          <w:rFonts w:ascii="Times New Roman" w:hAnsi="Times New Roman"/>
          <w:sz w:val="22"/>
          <w:szCs w:val="22"/>
        </w:rPr>
        <w:t xml:space="preserve"> is made</w:t>
      </w:r>
      <w:r>
        <w:rPr>
          <w:rFonts w:ascii="Times New Roman" w:hAnsi="Times New Roman"/>
          <w:sz w:val="22"/>
          <w:szCs w:val="22"/>
        </w:rPr>
        <w:t>.</w:t>
      </w:r>
    </w:p>
    <w:p w14:paraId="4A5234AF" w14:textId="77777777" w:rsidR="000963A9" w:rsidRDefault="000963A9" w:rsidP="000963A9">
      <w:pPr>
        <w:autoSpaceDE w:val="0"/>
        <w:autoSpaceDN w:val="0"/>
        <w:adjustRightInd w:val="0"/>
        <w:rPr>
          <w:rFonts w:ascii="Times New Roman" w:hAnsi="Times New Roman"/>
          <w:sz w:val="22"/>
          <w:szCs w:val="22"/>
        </w:rPr>
      </w:pPr>
    </w:p>
    <w:p w14:paraId="4EBC0CC4" w14:textId="77777777" w:rsidR="000963A9" w:rsidRDefault="000963A9" w:rsidP="000963A9">
      <w:pPr>
        <w:autoSpaceDE w:val="0"/>
        <w:autoSpaceDN w:val="0"/>
        <w:adjustRightInd w:val="0"/>
        <w:rPr>
          <w:rFonts w:ascii="Times New Roman" w:hAnsi="Times New Roman"/>
          <w:sz w:val="22"/>
          <w:szCs w:val="22"/>
        </w:rPr>
      </w:pPr>
      <w:r>
        <w:rPr>
          <w:rFonts w:ascii="Times New Roman" w:hAnsi="Times New Roman"/>
          <w:sz w:val="22"/>
          <w:szCs w:val="22"/>
        </w:rPr>
        <w:t>Subsections 30</w:t>
      </w:r>
      <w:proofErr w:type="gramStart"/>
      <w:r>
        <w:rPr>
          <w:rFonts w:ascii="Times New Roman" w:hAnsi="Times New Roman"/>
          <w:sz w:val="22"/>
          <w:szCs w:val="22"/>
        </w:rPr>
        <w:t>EF(</w:t>
      </w:r>
      <w:proofErr w:type="gramEnd"/>
      <w:r>
        <w:rPr>
          <w:rFonts w:ascii="Times New Roman" w:hAnsi="Times New Roman"/>
          <w:sz w:val="22"/>
          <w:szCs w:val="22"/>
        </w:rPr>
        <w:t xml:space="preserve">2) and 30EG(2) of the Act provide that a shortage or discontinuation, respectively, are of critical impact if the medicine that is the subject of the shortage or discontinuation is determined in an instrument made under section 30EJ. </w:t>
      </w:r>
    </w:p>
    <w:p w14:paraId="1F42AA53" w14:textId="77777777" w:rsidR="000963A9" w:rsidRDefault="000963A9" w:rsidP="000963A9">
      <w:pPr>
        <w:autoSpaceDE w:val="0"/>
        <w:autoSpaceDN w:val="0"/>
        <w:adjustRightInd w:val="0"/>
        <w:rPr>
          <w:rFonts w:ascii="Times New Roman" w:hAnsi="Times New Roman"/>
          <w:sz w:val="22"/>
          <w:szCs w:val="22"/>
        </w:rPr>
      </w:pPr>
    </w:p>
    <w:p w14:paraId="5B8CF3F0" w14:textId="77777777" w:rsidR="000963A9" w:rsidRDefault="000963A9" w:rsidP="000963A9">
      <w:pPr>
        <w:autoSpaceDE w:val="0"/>
        <w:autoSpaceDN w:val="0"/>
        <w:adjustRightInd w:val="0"/>
        <w:rPr>
          <w:rFonts w:ascii="Times New Roman" w:hAnsi="Times New Roman"/>
          <w:sz w:val="22"/>
          <w:szCs w:val="22"/>
        </w:rPr>
      </w:pPr>
      <w:r>
        <w:rPr>
          <w:rFonts w:ascii="Times New Roman" w:hAnsi="Times New Roman"/>
          <w:sz w:val="22"/>
          <w:szCs w:val="22"/>
        </w:rPr>
        <w:t>The Principal Determination is made under subsection 30</w:t>
      </w:r>
      <w:proofErr w:type="gramStart"/>
      <w:r>
        <w:rPr>
          <w:rFonts w:ascii="Times New Roman" w:hAnsi="Times New Roman"/>
          <w:sz w:val="22"/>
          <w:szCs w:val="22"/>
        </w:rPr>
        <w:t>EJ(</w:t>
      </w:r>
      <w:proofErr w:type="gramEnd"/>
      <w:r>
        <w:rPr>
          <w:rFonts w:ascii="Times New Roman" w:hAnsi="Times New Roman"/>
          <w:sz w:val="22"/>
          <w:szCs w:val="22"/>
        </w:rPr>
        <w:t xml:space="preserve">1) of the Act and lists medicines, in Schedule 1 to the Principal Determination, in relation to which a shortage or discontinuation would be of critical impact. </w:t>
      </w:r>
    </w:p>
    <w:p w14:paraId="11AC0E6A" w14:textId="77777777" w:rsidR="0022065B" w:rsidRPr="0022065B" w:rsidRDefault="0022065B" w:rsidP="0022065B">
      <w:pPr>
        <w:autoSpaceDE w:val="0"/>
        <w:autoSpaceDN w:val="0"/>
        <w:adjustRightInd w:val="0"/>
        <w:rPr>
          <w:rFonts w:ascii="Times New Roman" w:hAnsi="Times New Roman"/>
          <w:sz w:val="22"/>
          <w:szCs w:val="22"/>
        </w:rPr>
      </w:pPr>
    </w:p>
    <w:p w14:paraId="4F94AB14" w14:textId="77777777" w:rsidR="00E27943" w:rsidRPr="003C1A17" w:rsidRDefault="00E27943" w:rsidP="00E27943">
      <w:pPr>
        <w:autoSpaceDE w:val="0"/>
        <w:autoSpaceDN w:val="0"/>
        <w:adjustRightInd w:val="0"/>
        <w:rPr>
          <w:i/>
          <w:iCs/>
          <w:sz w:val="22"/>
          <w:szCs w:val="22"/>
        </w:rPr>
      </w:pPr>
      <w:r w:rsidRPr="003C1A17">
        <w:rPr>
          <w:i/>
          <w:iCs/>
          <w:sz w:val="22"/>
          <w:szCs w:val="22"/>
        </w:rPr>
        <w:t>Purpose</w:t>
      </w:r>
    </w:p>
    <w:p w14:paraId="1574049F" w14:textId="77777777" w:rsidR="00E27943" w:rsidRDefault="00E27943" w:rsidP="00E27943">
      <w:pPr>
        <w:autoSpaceDE w:val="0"/>
        <w:autoSpaceDN w:val="0"/>
        <w:adjustRightInd w:val="0"/>
        <w:rPr>
          <w:b/>
          <w:bCs/>
          <w:sz w:val="22"/>
          <w:szCs w:val="22"/>
        </w:rPr>
      </w:pPr>
    </w:p>
    <w:p w14:paraId="6ECF1D34" w14:textId="77777777" w:rsidR="000963A9" w:rsidRDefault="000963A9" w:rsidP="000963A9">
      <w:pPr>
        <w:autoSpaceDE w:val="0"/>
        <w:autoSpaceDN w:val="0"/>
        <w:adjustRightInd w:val="0"/>
        <w:rPr>
          <w:rFonts w:ascii="Times New Roman" w:hAnsi="Times New Roman"/>
          <w:sz w:val="22"/>
          <w:szCs w:val="22"/>
        </w:rPr>
      </w:pPr>
      <w:r>
        <w:rPr>
          <w:rFonts w:ascii="Times New Roman" w:hAnsi="Times New Roman"/>
          <w:sz w:val="22"/>
          <w:szCs w:val="22"/>
        </w:rPr>
        <w:t>Item 5 of Schedule 1 to the Principal Determination provides that medicines that are a vaccine included in the NIP Schedule, as in force or existing at 1 July 2018, are determined for the purposes of subsections 30</w:t>
      </w:r>
      <w:proofErr w:type="gramStart"/>
      <w:r>
        <w:rPr>
          <w:rFonts w:ascii="Times New Roman" w:hAnsi="Times New Roman"/>
          <w:sz w:val="22"/>
          <w:szCs w:val="22"/>
        </w:rPr>
        <w:t>EF(</w:t>
      </w:r>
      <w:proofErr w:type="gramEnd"/>
      <w:r>
        <w:rPr>
          <w:rFonts w:ascii="Times New Roman" w:hAnsi="Times New Roman"/>
          <w:sz w:val="22"/>
          <w:szCs w:val="22"/>
        </w:rPr>
        <w:t>2) and 30EG(2) of the Act. A shortage or discontinuation of such a vaccine would be of critical impact.</w:t>
      </w:r>
    </w:p>
    <w:p w14:paraId="1AA051C6" w14:textId="77777777" w:rsidR="000963A9" w:rsidRDefault="000963A9" w:rsidP="000963A9">
      <w:pPr>
        <w:keepNext/>
        <w:autoSpaceDE w:val="0"/>
        <w:autoSpaceDN w:val="0"/>
        <w:adjustRightInd w:val="0"/>
        <w:rPr>
          <w:b/>
          <w:bCs/>
          <w:sz w:val="22"/>
          <w:szCs w:val="22"/>
        </w:rPr>
      </w:pPr>
    </w:p>
    <w:p w14:paraId="136DD267" w14:textId="77777777" w:rsidR="000963A9" w:rsidRDefault="000963A9" w:rsidP="000963A9">
      <w:pPr>
        <w:autoSpaceDE w:val="0"/>
        <w:autoSpaceDN w:val="0"/>
        <w:adjustRightInd w:val="0"/>
        <w:rPr>
          <w:sz w:val="22"/>
          <w:szCs w:val="22"/>
        </w:rPr>
      </w:pPr>
      <w:r>
        <w:rPr>
          <w:sz w:val="22"/>
          <w:szCs w:val="22"/>
        </w:rPr>
        <w:t xml:space="preserve">The Amendment Determination amends the Principal Determination to provide that medicines that are a vaccine included in the NIP Schedule, as in force or </w:t>
      </w:r>
      <w:r w:rsidRPr="001055C7">
        <w:rPr>
          <w:sz w:val="22"/>
          <w:szCs w:val="22"/>
        </w:rPr>
        <w:t>existing at 1 March 2025, are</w:t>
      </w:r>
      <w:r>
        <w:rPr>
          <w:sz w:val="22"/>
          <w:szCs w:val="22"/>
        </w:rPr>
        <w:t xml:space="preserve"> determined for the purposes of subsection 30</w:t>
      </w:r>
      <w:proofErr w:type="gramStart"/>
      <w:r>
        <w:rPr>
          <w:sz w:val="22"/>
          <w:szCs w:val="22"/>
        </w:rPr>
        <w:t>EF(</w:t>
      </w:r>
      <w:proofErr w:type="gramEnd"/>
      <w:r>
        <w:rPr>
          <w:sz w:val="22"/>
          <w:szCs w:val="22"/>
        </w:rPr>
        <w:t>2) and 30EG(2) of the Act. This ensures that the most up to date version of the NIP Schedule is referred to in the Principal Determination, with the effect that any new vaccines that have been added to the NIP Schedule since 1 July 2018 will need to be the subject of more timely shortages and discontinuation notifications. This will help the TGA to identify and respond to shortages or discontinuations of critical vaccines that have been added to the NIP schedule since 1 July 2018.</w:t>
      </w:r>
    </w:p>
    <w:p w14:paraId="772D791B" w14:textId="77777777" w:rsidR="000963A9" w:rsidRDefault="000963A9" w:rsidP="000963A9">
      <w:pPr>
        <w:autoSpaceDE w:val="0"/>
        <w:autoSpaceDN w:val="0"/>
        <w:adjustRightInd w:val="0"/>
        <w:rPr>
          <w:sz w:val="22"/>
          <w:szCs w:val="22"/>
        </w:rPr>
      </w:pPr>
    </w:p>
    <w:p w14:paraId="268BE9C9" w14:textId="77777777" w:rsidR="000963A9" w:rsidRDefault="000963A9" w:rsidP="000963A9">
      <w:pPr>
        <w:autoSpaceDE w:val="0"/>
        <w:autoSpaceDN w:val="0"/>
        <w:adjustRightInd w:val="0"/>
        <w:rPr>
          <w:rFonts w:ascii="Times New Roman" w:hAnsi="Times New Roman"/>
          <w:sz w:val="22"/>
          <w:szCs w:val="22"/>
        </w:rPr>
      </w:pPr>
      <w:r w:rsidRPr="00DF4D8A">
        <w:rPr>
          <w:sz w:val="22"/>
          <w:szCs w:val="22"/>
        </w:rPr>
        <w:t>The NIP Schedule details a list of vaccines recommended to be given a</w:t>
      </w:r>
      <w:r>
        <w:rPr>
          <w:sz w:val="22"/>
          <w:szCs w:val="22"/>
        </w:rPr>
        <w:t>t</w:t>
      </w:r>
      <w:r w:rsidRPr="00DF4D8A">
        <w:rPr>
          <w:sz w:val="22"/>
          <w:szCs w:val="22"/>
        </w:rPr>
        <w:t xml:space="preserve"> specific times throughout a person’s life, providing immunity against diseases which can cause serious ongoing health conditions, hospitalisation and potentially death. As </w:t>
      </w:r>
      <w:proofErr w:type="gramStart"/>
      <w:r w:rsidRPr="00DF4D8A">
        <w:rPr>
          <w:sz w:val="22"/>
          <w:szCs w:val="22"/>
        </w:rPr>
        <w:t>at</w:t>
      </w:r>
      <w:proofErr w:type="gramEnd"/>
      <w:r w:rsidRPr="00DF4D8A">
        <w:rPr>
          <w:sz w:val="22"/>
          <w:szCs w:val="22"/>
        </w:rPr>
        <w:t xml:space="preserve"> 1 March 2025, the NIP Schedule includes new vaccines for respiratory syncytial virus, meningococcal disease caused by serogroups A, B, C, W and Y, shingles</w:t>
      </w:r>
      <w:r>
        <w:rPr>
          <w:sz w:val="22"/>
          <w:szCs w:val="22"/>
        </w:rPr>
        <w:t>,</w:t>
      </w:r>
      <w:r w:rsidRPr="00DF4D8A">
        <w:rPr>
          <w:sz w:val="22"/>
          <w:szCs w:val="22"/>
        </w:rPr>
        <w:t xml:space="preserve"> diphtheria, tetanus, pertussis (whooping cough), hepatitis B, polio, Haemophilus influenzae type b (Hib), and seasonal influenza.</w:t>
      </w:r>
    </w:p>
    <w:p w14:paraId="5830DA6A" w14:textId="4B72C5B8" w:rsidR="00F20EF9" w:rsidRDefault="00F20EF9" w:rsidP="003B12F0">
      <w:pPr>
        <w:autoSpaceDE w:val="0"/>
        <w:autoSpaceDN w:val="0"/>
        <w:adjustRightInd w:val="0"/>
        <w:rPr>
          <w:b/>
          <w:bCs/>
          <w:sz w:val="22"/>
          <w:szCs w:val="22"/>
        </w:rPr>
      </w:pPr>
    </w:p>
    <w:p w14:paraId="2655AF43" w14:textId="77777777" w:rsidR="00A27DB4" w:rsidRPr="00A27DB4" w:rsidRDefault="00A27DB4" w:rsidP="00A27DB4">
      <w:pPr>
        <w:autoSpaceDE w:val="0"/>
        <w:autoSpaceDN w:val="0"/>
        <w:adjustRightInd w:val="0"/>
        <w:rPr>
          <w:b/>
          <w:bCs/>
          <w:sz w:val="22"/>
          <w:szCs w:val="22"/>
        </w:rPr>
      </w:pPr>
      <w:r w:rsidRPr="00A27DB4">
        <w:rPr>
          <w:b/>
          <w:bCs/>
          <w:sz w:val="22"/>
          <w:szCs w:val="22"/>
        </w:rPr>
        <w:t>Human rights implications</w:t>
      </w:r>
    </w:p>
    <w:p w14:paraId="40315217" w14:textId="77777777" w:rsidR="00A27DB4" w:rsidRPr="00A27DB4" w:rsidRDefault="00A27DB4" w:rsidP="00A27DB4">
      <w:pPr>
        <w:autoSpaceDE w:val="0"/>
        <w:autoSpaceDN w:val="0"/>
        <w:adjustRightInd w:val="0"/>
        <w:rPr>
          <w:sz w:val="22"/>
          <w:szCs w:val="22"/>
        </w:rPr>
      </w:pPr>
    </w:p>
    <w:p w14:paraId="3F271166" w14:textId="5B9DEC57" w:rsidR="00A27DB4" w:rsidRPr="00A27DB4" w:rsidRDefault="00A27DB4" w:rsidP="00A27DB4">
      <w:pPr>
        <w:autoSpaceDE w:val="0"/>
        <w:autoSpaceDN w:val="0"/>
        <w:adjustRightInd w:val="0"/>
        <w:rPr>
          <w:sz w:val="22"/>
          <w:szCs w:val="22"/>
        </w:rPr>
      </w:pPr>
      <w:r w:rsidRPr="00A27DB4">
        <w:rPr>
          <w:sz w:val="22"/>
          <w:szCs w:val="22"/>
        </w:rPr>
        <w:t>The Amendment Determination promote</w:t>
      </w:r>
      <w:r w:rsidR="00D24626">
        <w:rPr>
          <w:sz w:val="22"/>
          <w:szCs w:val="22"/>
        </w:rPr>
        <w:t>s</w:t>
      </w:r>
      <w:r w:rsidRPr="00A27DB4">
        <w:rPr>
          <w:sz w:val="22"/>
          <w:szCs w:val="22"/>
        </w:rPr>
        <w:t xml:space="preserve"> the right to health in </w:t>
      </w:r>
      <w:r w:rsidR="00D24626">
        <w:rPr>
          <w:sz w:val="22"/>
          <w:szCs w:val="22"/>
        </w:rPr>
        <w:t>A</w:t>
      </w:r>
      <w:r w:rsidRPr="00A27DB4">
        <w:rPr>
          <w:sz w:val="22"/>
          <w:szCs w:val="22"/>
        </w:rPr>
        <w:t>rticle</w:t>
      </w:r>
      <w:r>
        <w:rPr>
          <w:sz w:val="22"/>
          <w:szCs w:val="22"/>
        </w:rPr>
        <w:t> </w:t>
      </w:r>
      <w:r w:rsidRPr="00A27DB4">
        <w:rPr>
          <w:sz w:val="22"/>
          <w:szCs w:val="22"/>
        </w:rPr>
        <w:t xml:space="preserve">12 of the </w:t>
      </w:r>
    </w:p>
    <w:p w14:paraId="58D3561D" w14:textId="2249E357" w:rsidR="00A27DB4" w:rsidRPr="00A27DB4" w:rsidRDefault="00A27DB4" w:rsidP="00A27DB4">
      <w:pPr>
        <w:autoSpaceDE w:val="0"/>
        <w:autoSpaceDN w:val="0"/>
        <w:adjustRightInd w:val="0"/>
        <w:rPr>
          <w:sz w:val="22"/>
          <w:szCs w:val="22"/>
        </w:rPr>
      </w:pPr>
      <w:r w:rsidRPr="00A27DB4">
        <w:rPr>
          <w:sz w:val="22"/>
          <w:szCs w:val="22"/>
        </w:rPr>
        <w:t>International Covenant on Economic, Social and Cultural Rights (</w:t>
      </w:r>
      <w:r w:rsidR="000963A9">
        <w:rPr>
          <w:sz w:val="22"/>
          <w:szCs w:val="22"/>
        </w:rPr>
        <w:t>“</w:t>
      </w:r>
      <w:r w:rsidRPr="00A27DB4">
        <w:rPr>
          <w:sz w:val="22"/>
          <w:szCs w:val="22"/>
        </w:rPr>
        <w:t>the ICESCR</w:t>
      </w:r>
      <w:r w:rsidR="000963A9">
        <w:rPr>
          <w:sz w:val="22"/>
          <w:szCs w:val="22"/>
        </w:rPr>
        <w:t>”</w:t>
      </w:r>
      <w:r w:rsidRPr="00A27DB4">
        <w:rPr>
          <w:sz w:val="22"/>
          <w:szCs w:val="22"/>
        </w:rPr>
        <w:t xml:space="preserve">). This </w:t>
      </w:r>
      <w:r w:rsidR="000963A9">
        <w:rPr>
          <w:sz w:val="22"/>
          <w:szCs w:val="22"/>
        </w:rPr>
        <w:t>r</w:t>
      </w:r>
      <w:r w:rsidRPr="00A27DB4">
        <w:rPr>
          <w:sz w:val="22"/>
          <w:szCs w:val="22"/>
        </w:rPr>
        <w:t xml:space="preserve">ight is </w:t>
      </w:r>
    </w:p>
    <w:p w14:paraId="3E9B6B21" w14:textId="77777777" w:rsidR="00A27DB4" w:rsidRPr="00A27DB4" w:rsidRDefault="00A27DB4" w:rsidP="00A27DB4">
      <w:pPr>
        <w:autoSpaceDE w:val="0"/>
        <w:autoSpaceDN w:val="0"/>
        <w:adjustRightInd w:val="0"/>
        <w:rPr>
          <w:sz w:val="22"/>
          <w:szCs w:val="22"/>
        </w:rPr>
      </w:pPr>
      <w:r w:rsidRPr="00A27DB4">
        <w:rPr>
          <w:sz w:val="22"/>
          <w:szCs w:val="22"/>
        </w:rPr>
        <w:t xml:space="preserve">understood as the right of everyone to enjoy the highest attainable standard of physical and </w:t>
      </w:r>
    </w:p>
    <w:p w14:paraId="6B69AD99" w14:textId="77777777" w:rsidR="00A27DB4" w:rsidRPr="00A27DB4" w:rsidRDefault="00A27DB4" w:rsidP="00A27DB4">
      <w:pPr>
        <w:autoSpaceDE w:val="0"/>
        <w:autoSpaceDN w:val="0"/>
        <w:adjustRightInd w:val="0"/>
        <w:rPr>
          <w:sz w:val="22"/>
          <w:szCs w:val="22"/>
        </w:rPr>
      </w:pPr>
      <w:r w:rsidRPr="00A27DB4">
        <w:rPr>
          <w:sz w:val="22"/>
          <w:szCs w:val="22"/>
        </w:rPr>
        <w:t xml:space="preserve">mental health, and includes an obligation to take reasonable measures within available </w:t>
      </w:r>
    </w:p>
    <w:p w14:paraId="5035B3E7" w14:textId="77777777" w:rsidR="00A27DB4" w:rsidRPr="00A27DB4" w:rsidRDefault="00A27DB4" w:rsidP="00A27DB4">
      <w:pPr>
        <w:autoSpaceDE w:val="0"/>
        <w:autoSpaceDN w:val="0"/>
        <w:adjustRightInd w:val="0"/>
        <w:rPr>
          <w:sz w:val="22"/>
          <w:szCs w:val="22"/>
        </w:rPr>
      </w:pPr>
      <w:r w:rsidRPr="00A27DB4">
        <w:rPr>
          <w:sz w:val="22"/>
          <w:szCs w:val="22"/>
        </w:rPr>
        <w:t xml:space="preserve">resources to progressively secure broader enjoyment of the right. </w:t>
      </w:r>
    </w:p>
    <w:p w14:paraId="37437F5B" w14:textId="77777777" w:rsidR="00A27DB4" w:rsidRPr="00A27DB4" w:rsidRDefault="00A27DB4" w:rsidP="00A27DB4">
      <w:pPr>
        <w:autoSpaceDE w:val="0"/>
        <w:autoSpaceDN w:val="0"/>
        <w:adjustRightInd w:val="0"/>
        <w:rPr>
          <w:sz w:val="22"/>
          <w:szCs w:val="22"/>
        </w:rPr>
      </w:pPr>
    </w:p>
    <w:p w14:paraId="3379A91D" w14:textId="7E6A392F" w:rsidR="00A27DB4" w:rsidRPr="00A27DB4" w:rsidRDefault="00A27DB4" w:rsidP="00A27DB4">
      <w:pPr>
        <w:autoSpaceDE w:val="0"/>
        <w:autoSpaceDN w:val="0"/>
        <w:adjustRightInd w:val="0"/>
        <w:rPr>
          <w:sz w:val="22"/>
          <w:szCs w:val="22"/>
        </w:rPr>
      </w:pPr>
      <w:r w:rsidRPr="00A27DB4">
        <w:rPr>
          <w:sz w:val="22"/>
          <w:szCs w:val="22"/>
        </w:rPr>
        <w:t xml:space="preserve">In </w:t>
      </w:r>
      <w:r w:rsidRPr="00C75C36">
        <w:rPr>
          <w:i/>
          <w:iCs/>
          <w:sz w:val="22"/>
          <w:szCs w:val="22"/>
        </w:rPr>
        <w:t>General Comment No. 14: The Right to the Highest Attainable Standard of Health (Art. 12)</w:t>
      </w:r>
      <w:r w:rsidR="00C75C36">
        <w:rPr>
          <w:sz w:val="22"/>
          <w:szCs w:val="22"/>
        </w:rPr>
        <w:t> </w:t>
      </w:r>
      <w:r w:rsidRPr="00A27DB4">
        <w:rPr>
          <w:sz w:val="22"/>
          <w:szCs w:val="22"/>
        </w:rPr>
        <w:t xml:space="preserve">(2000), the United Nations Committee on Economic, Social and Cultural Rights states that health is a </w:t>
      </w:r>
    </w:p>
    <w:p w14:paraId="5D599C51" w14:textId="77777777" w:rsidR="00A27DB4" w:rsidRPr="00A27DB4" w:rsidRDefault="00A27DB4" w:rsidP="00A27DB4">
      <w:pPr>
        <w:autoSpaceDE w:val="0"/>
        <w:autoSpaceDN w:val="0"/>
        <w:adjustRightInd w:val="0"/>
        <w:rPr>
          <w:sz w:val="22"/>
          <w:szCs w:val="22"/>
        </w:rPr>
      </w:pPr>
      <w:r w:rsidRPr="00A27DB4">
        <w:rPr>
          <w:sz w:val="22"/>
          <w:szCs w:val="22"/>
        </w:rPr>
        <w:lastRenderedPageBreak/>
        <w:t>‘fundamental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51CEC703" w14:textId="77777777" w:rsidR="00A27DB4" w:rsidRPr="00A27DB4" w:rsidRDefault="00A27DB4" w:rsidP="00A27DB4">
      <w:pPr>
        <w:autoSpaceDE w:val="0"/>
        <w:autoSpaceDN w:val="0"/>
        <w:adjustRightInd w:val="0"/>
        <w:rPr>
          <w:sz w:val="22"/>
          <w:szCs w:val="22"/>
        </w:rPr>
      </w:pPr>
    </w:p>
    <w:p w14:paraId="2355FB3B" w14:textId="518EC1B0" w:rsidR="005945CC" w:rsidRDefault="00A27DB4" w:rsidP="005945CC">
      <w:pPr>
        <w:autoSpaceDE w:val="0"/>
        <w:autoSpaceDN w:val="0"/>
        <w:adjustRightInd w:val="0"/>
        <w:rPr>
          <w:sz w:val="22"/>
          <w:szCs w:val="22"/>
        </w:rPr>
      </w:pPr>
      <w:r w:rsidRPr="00A27DB4">
        <w:rPr>
          <w:sz w:val="22"/>
          <w:szCs w:val="22"/>
        </w:rPr>
        <w:t xml:space="preserve">The Amendment Determination supports the right to health by requiring sponsors to notify the TGA of a shortage or discontinuation of </w:t>
      </w:r>
      <w:r w:rsidR="007039C7">
        <w:rPr>
          <w:sz w:val="22"/>
          <w:szCs w:val="22"/>
        </w:rPr>
        <w:t xml:space="preserve">all medicines currently included in the </w:t>
      </w:r>
      <w:r w:rsidR="00D24626">
        <w:rPr>
          <w:sz w:val="22"/>
          <w:szCs w:val="22"/>
        </w:rPr>
        <w:t>NIP S</w:t>
      </w:r>
      <w:r w:rsidR="007039C7">
        <w:rPr>
          <w:sz w:val="22"/>
          <w:szCs w:val="22"/>
        </w:rPr>
        <w:t>chedule</w:t>
      </w:r>
      <w:r w:rsidR="002E629B">
        <w:rPr>
          <w:sz w:val="22"/>
          <w:szCs w:val="22"/>
        </w:rPr>
        <w:t>, within a shorter timeframe that reflects the “critical impact” that such a shortage</w:t>
      </w:r>
      <w:r w:rsidR="004D319D">
        <w:rPr>
          <w:sz w:val="22"/>
          <w:szCs w:val="22"/>
        </w:rPr>
        <w:t xml:space="preserve"> </w:t>
      </w:r>
      <w:r w:rsidR="005945CC">
        <w:rPr>
          <w:sz w:val="22"/>
          <w:szCs w:val="22"/>
        </w:rPr>
        <w:t xml:space="preserve">or discontinuation </w:t>
      </w:r>
      <w:r w:rsidR="004D319D">
        <w:rPr>
          <w:sz w:val="22"/>
          <w:szCs w:val="22"/>
        </w:rPr>
        <w:t xml:space="preserve">would </w:t>
      </w:r>
      <w:r w:rsidR="005945CC">
        <w:rPr>
          <w:sz w:val="22"/>
          <w:szCs w:val="22"/>
        </w:rPr>
        <w:t>have.</w:t>
      </w:r>
      <w:r w:rsidR="007039C7">
        <w:rPr>
          <w:sz w:val="22"/>
          <w:szCs w:val="22"/>
        </w:rPr>
        <w:t xml:space="preserve"> </w:t>
      </w:r>
      <w:r w:rsidR="002E629B">
        <w:rPr>
          <w:sz w:val="22"/>
          <w:szCs w:val="22"/>
        </w:rPr>
        <w:t>Ensuring</w:t>
      </w:r>
      <w:r w:rsidR="00E01B36">
        <w:rPr>
          <w:sz w:val="22"/>
          <w:szCs w:val="22"/>
        </w:rPr>
        <w:t xml:space="preserve"> all medicines currently included in the </w:t>
      </w:r>
      <w:r w:rsidR="00D24626">
        <w:rPr>
          <w:sz w:val="22"/>
          <w:szCs w:val="22"/>
        </w:rPr>
        <w:t>NIP S</w:t>
      </w:r>
      <w:r w:rsidR="00E01B36">
        <w:rPr>
          <w:sz w:val="22"/>
          <w:szCs w:val="22"/>
        </w:rPr>
        <w:t>chedule</w:t>
      </w:r>
      <w:r w:rsidRPr="00A27DB4">
        <w:rPr>
          <w:sz w:val="22"/>
          <w:szCs w:val="22"/>
        </w:rPr>
        <w:t xml:space="preserve"> </w:t>
      </w:r>
      <w:r w:rsidR="00167E62">
        <w:rPr>
          <w:sz w:val="22"/>
          <w:szCs w:val="22"/>
        </w:rPr>
        <w:t xml:space="preserve">are </w:t>
      </w:r>
      <w:r w:rsidR="00D24626">
        <w:rPr>
          <w:sz w:val="22"/>
          <w:szCs w:val="22"/>
        </w:rPr>
        <w:t xml:space="preserve">prescribed </w:t>
      </w:r>
      <w:r w:rsidR="005945CC">
        <w:rPr>
          <w:sz w:val="22"/>
          <w:szCs w:val="22"/>
        </w:rPr>
        <w:t xml:space="preserve">in the Principal Determination </w:t>
      </w:r>
      <w:r w:rsidR="00D24626">
        <w:rPr>
          <w:sz w:val="22"/>
          <w:szCs w:val="22"/>
        </w:rPr>
        <w:t xml:space="preserve">for the purposes of the </w:t>
      </w:r>
      <w:r w:rsidR="005945CC">
        <w:rPr>
          <w:sz w:val="22"/>
          <w:szCs w:val="22"/>
        </w:rPr>
        <w:t>mandatory reporting requirements for shortages and discontinuations</w:t>
      </w:r>
      <w:r w:rsidR="00D24626">
        <w:rPr>
          <w:sz w:val="22"/>
          <w:szCs w:val="22"/>
        </w:rPr>
        <w:t xml:space="preserve"> </w:t>
      </w:r>
      <w:r w:rsidR="004217D4">
        <w:rPr>
          <w:sz w:val="22"/>
          <w:szCs w:val="22"/>
        </w:rPr>
        <w:t xml:space="preserve">supports </w:t>
      </w:r>
      <w:r w:rsidR="005945CC">
        <w:rPr>
          <w:sz w:val="22"/>
          <w:szCs w:val="22"/>
        </w:rPr>
        <w:t>will e</w:t>
      </w:r>
      <w:r w:rsidR="005945CC" w:rsidRPr="00101D92">
        <w:rPr>
          <w:sz w:val="22"/>
          <w:szCs w:val="22"/>
        </w:rPr>
        <w:t xml:space="preserve">nable patients and health practitioners to be better informed, and informed earlier, about shortages </w:t>
      </w:r>
      <w:r w:rsidR="004217D4">
        <w:rPr>
          <w:sz w:val="22"/>
          <w:szCs w:val="22"/>
        </w:rPr>
        <w:t xml:space="preserve">of vaccines in the NIP Schedule </w:t>
      </w:r>
      <w:r w:rsidR="005945CC" w:rsidRPr="00101D92">
        <w:rPr>
          <w:sz w:val="22"/>
          <w:szCs w:val="22"/>
        </w:rPr>
        <w:t>that affect them</w:t>
      </w:r>
      <w:r w:rsidR="005945CC">
        <w:rPr>
          <w:sz w:val="22"/>
          <w:szCs w:val="22"/>
        </w:rPr>
        <w:t xml:space="preserve">. It will also place the TGA, other stakeholders, health practitioners and patients in a better position </w:t>
      </w:r>
      <w:r w:rsidR="005945CC" w:rsidRPr="00101D92">
        <w:rPr>
          <w:sz w:val="22"/>
          <w:szCs w:val="22"/>
        </w:rPr>
        <w:t>to take steps to alleviate the impact of a shortage or discontinuation on patient health.</w:t>
      </w:r>
    </w:p>
    <w:p w14:paraId="44FCDDDC" w14:textId="77777777" w:rsidR="00A27DB4" w:rsidRPr="00A27DB4" w:rsidRDefault="00A27DB4" w:rsidP="00A27DB4">
      <w:pPr>
        <w:autoSpaceDE w:val="0"/>
        <w:autoSpaceDN w:val="0"/>
        <w:adjustRightInd w:val="0"/>
        <w:rPr>
          <w:sz w:val="22"/>
          <w:szCs w:val="22"/>
        </w:rPr>
      </w:pPr>
    </w:p>
    <w:p w14:paraId="33D80A6D" w14:textId="77777777" w:rsidR="00A27DB4" w:rsidRPr="009C4251" w:rsidRDefault="00A27DB4" w:rsidP="00A27DB4">
      <w:pPr>
        <w:autoSpaceDE w:val="0"/>
        <w:autoSpaceDN w:val="0"/>
        <w:adjustRightInd w:val="0"/>
        <w:rPr>
          <w:b/>
          <w:bCs/>
          <w:sz w:val="22"/>
          <w:szCs w:val="22"/>
        </w:rPr>
      </w:pPr>
      <w:r w:rsidRPr="009C4251">
        <w:rPr>
          <w:b/>
          <w:bCs/>
          <w:sz w:val="22"/>
          <w:szCs w:val="22"/>
        </w:rPr>
        <w:t>Conclusion</w:t>
      </w:r>
    </w:p>
    <w:p w14:paraId="0214D8B5" w14:textId="77777777" w:rsidR="00A27DB4" w:rsidRPr="00A27DB4" w:rsidRDefault="00A27DB4" w:rsidP="00A27DB4">
      <w:pPr>
        <w:autoSpaceDE w:val="0"/>
        <w:autoSpaceDN w:val="0"/>
        <w:adjustRightInd w:val="0"/>
        <w:rPr>
          <w:sz w:val="22"/>
          <w:szCs w:val="22"/>
        </w:rPr>
      </w:pPr>
    </w:p>
    <w:p w14:paraId="76A2CEB4" w14:textId="5DB92D92" w:rsidR="00A27DB4" w:rsidRPr="00A27DB4" w:rsidRDefault="00A27DB4" w:rsidP="00A27DB4">
      <w:pPr>
        <w:autoSpaceDE w:val="0"/>
        <w:autoSpaceDN w:val="0"/>
        <w:adjustRightInd w:val="0"/>
        <w:rPr>
          <w:sz w:val="22"/>
          <w:szCs w:val="22"/>
        </w:rPr>
      </w:pPr>
      <w:r w:rsidRPr="00A27DB4">
        <w:rPr>
          <w:sz w:val="22"/>
          <w:szCs w:val="22"/>
        </w:rPr>
        <w:t xml:space="preserve">The </w:t>
      </w:r>
      <w:r w:rsidR="00344177">
        <w:rPr>
          <w:sz w:val="22"/>
          <w:szCs w:val="22"/>
        </w:rPr>
        <w:t xml:space="preserve">Amendment </w:t>
      </w:r>
      <w:r w:rsidRPr="00A27DB4">
        <w:rPr>
          <w:sz w:val="22"/>
          <w:szCs w:val="22"/>
        </w:rPr>
        <w:t xml:space="preserve">Determination is compatible with human rights because it </w:t>
      </w:r>
      <w:r w:rsidR="00D24626">
        <w:rPr>
          <w:sz w:val="22"/>
          <w:szCs w:val="22"/>
        </w:rPr>
        <w:t>supports</w:t>
      </w:r>
      <w:r w:rsidR="00D24626" w:rsidRPr="00A27DB4">
        <w:rPr>
          <w:sz w:val="22"/>
          <w:szCs w:val="22"/>
        </w:rPr>
        <w:t xml:space="preserve"> </w:t>
      </w:r>
      <w:r w:rsidRPr="00A27DB4">
        <w:rPr>
          <w:sz w:val="22"/>
          <w:szCs w:val="22"/>
        </w:rPr>
        <w:t xml:space="preserve">the right to health in </w:t>
      </w:r>
      <w:r w:rsidR="00D24626">
        <w:rPr>
          <w:sz w:val="22"/>
          <w:szCs w:val="22"/>
        </w:rPr>
        <w:t>A</w:t>
      </w:r>
      <w:r w:rsidRPr="00A27DB4">
        <w:rPr>
          <w:sz w:val="22"/>
          <w:szCs w:val="22"/>
        </w:rPr>
        <w:t>rticle</w:t>
      </w:r>
      <w:r w:rsidR="004D319D">
        <w:rPr>
          <w:sz w:val="22"/>
          <w:szCs w:val="22"/>
        </w:rPr>
        <w:t> </w:t>
      </w:r>
      <w:r w:rsidRPr="00A27DB4">
        <w:rPr>
          <w:sz w:val="22"/>
          <w:szCs w:val="22"/>
        </w:rPr>
        <w:t>12 of the ICESCR as outlined above, and otherwise does not raise any human rights issues.</w:t>
      </w:r>
    </w:p>
    <w:sectPr w:rsidR="00A27DB4" w:rsidRPr="00A27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C6F4B"/>
    <w:multiLevelType w:val="hybridMultilevel"/>
    <w:tmpl w:val="9994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B132D6"/>
    <w:multiLevelType w:val="hybridMultilevel"/>
    <w:tmpl w:val="EA5A212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A86569"/>
    <w:multiLevelType w:val="hybridMultilevel"/>
    <w:tmpl w:val="5C3A6F60"/>
    <w:lvl w:ilvl="0" w:tplc="1B4C9ED0">
      <w:start w:val="1"/>
      <w:numFmt w:val="bullet"/>
      <w:lvlText w:val=""/>
      <w:lvlJc w:val="left"/>
      <w:pPr>
        <w:ind w:left="1440" w:hanging="360"/>
      </w:pPr>
      <w:rPr>
        <w:rFonts w:ascii="Symbol" w:hAnsi="Symbol"/>
      </w:rPr>
    </w:lvl>
    <w:lvl w:ilvl="1" w:tplc="FAD69BCE">
      <w:start w:val="1"/>
      <w:numFmt w:val="bullet"/>
      <w:lvlText w:val=""/>
      <w:lvlJc w:val="left"/>
      <w:pPr>
        <w:ind w:left="1440" w:hanging="360"/>
      </w:pPr>
      <w:rPr>
        <w:rFonts w:ascii="Symbol" w:hAnsi="Symbol"/>
      </w:rPr>
    </w:lvl>
    <w:lvl w:ilvl="2" w:tplc="A0ECF1E8">
      <w:start w:val="1"/>
      <w:numFmt w:val="bullet"/>
      <w:lvlText w:val=""/>
      <w:lvlJc w:val="left"/>
      <w:pPr>
        <w:ind w:left="1440" w:hanging="360"/>
      </w:pPr>
      <w:rPr>
        <w:rFonts w:ascii="Symbol" w:hAnsi="Symbol"/>
      </w:rPr>
    </w:lvl>
    <w:lvl w:ilvl="3" w:tplc="DB8AD7DE">
      <w:start w:val="1"/>
      <w:numFmt w:val="bullet"/>
      <w:lvlText w:val=""/>
      <w:lvlJc w:val="left"/>
      <w:pPr>
        <w:ind w:left="1440" w:hanging="360"/>
      </w:pPr>
      <w:rPr>
        <w:rFonts w:ascii="Symbol" w:hAnsi="Symbol"/>
      </w:rPr>
    </w:lvl>
    <w:lvl w:ilvl="4" w:tplc="16760358">
      <w:start w:val="1"/>
      <w:numFmt w:val="bullet"/>
      <w:lvlText w:val=""/>
      <w:lvlJc w:val="left"/>
      <w:pPr>
        <w:ind w:left="1440" w:hanging="360"/>
      </w:pPr>
      <w:rPr>
        <w:rFonts w:ascii="Symbol" w:hAnsi="Symbol"/>
      </w:rPr>
    </w:lvl>
    <w:lvl w:ilvl="5" w:tplc="BF325886">
      <w:start w:val="1"/>
      <w:numFmt w:val="bullet"/>
      <w:lvlText w:val=""/>
      <w:lvlJc w:val="left"/>
      <w:pPr>
        <w:ind w:left="1440" w:hanging="360"/>
      </w:pPr>
      <w:rPr>
        <w:rFonts w:ascii="Symbol" w:hAnsi="Symbol"/>
      </w:rPr>
    </w:lvl>
    <w:lvl w:ilvl="6" w:tplc="9E7C9C9E">
      <w:start w:val="1"/>
      <w:numFmt w:val="bullet"/>
      <w:lvlText w:val=""/>
      <w:lvlJc w:val="left"/>
      <w:pPr>
        <w:ind w:left="1440" w:hanging="360"/>
      </w:pPr>
      <w:rPr>
        <w:rFonts w:ascii="Symbol" w:hAnsi="Symbol"/>
      </w:rPr>
    </w:lvl>
    <w:lvl w:ilvl="7" w:tplc="C622AD02">
      <w:start w:val="1"/>
      <w:numFmt w:val="bullet"/>
      <w:lvlText w:val=""/>
      <w:lvlJc w:val="left"/>
      <w:pPr>
        <w:ind w:left="1440" w:hanging="360"/>
      </w:pPr>
      <w:rPr>
        <w:rFonts w:ascii="Symbol" w:hAnsi="Symbol"/>
      </w:rPr>
    </w:lvl>
    <w:lvl w:ilvl="8" w:tplc="B78CE642">
      <w:start w:val="1"/>
      <w:numFmt w:val="bullet"/>
      <w:lvlText w:val=""/>
      <w:lvlJc w:val="left"/>
      <w:pPr>
        <w:ind w:left="1440" w:hanging="360"/>
      </w:pPr>
      <w:rPr>
        <w:rFonts w:ascii="Symbol" w:hAnsi="Symbol"/>
      </w:rPr>
    </w:lvl>
  </w:abstractNum>
  <w:abstractNum w:abstractNumId="3" w15:restartNumberingAfterBreak="0">
    <w:nsid w:val="3A9B0AEF"/>
    <w:multiLevelType w:val="hybridMultilevel"/>
    <w:tmpl w:val="4AA8A2F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4B6990"/>
    <w:multiLevelType w:val="hybridMultilevel"/>
    <w:tmpl w:val="2D86E7D6"/>
    <w:lvl w:ilvl="0" w:tplc="A5089EF6">
      <w:start w:val="1"/>
      <w:numFmt w:val="bullet"/>
      <w:lvlText w:val=""/>
      <w:lvlJc w:val="left"/>
      <w:pPr>
        <w:ind w:left="720" w:hanging="360"/>
      </w:pPr>
      <w:rPr>
        <w:rFonts w:ascii="Symbol" w:hAnsi="Symbol"/>
      </w:rPr>
    </w:lvl>
    <w:lvl w:ilvl="1" w:tplc="EF94C294">
      <w:start w:val="1"/>
      <w:numFmt w:val="bullet"/>
      <w:lvlText w:val=""/>
      <w:lvlJc w:val="left"/>
      <w:pPr>
        <w:ind w:left="720" w:hanging="360"/>
      </w:pPr>
      <w:rPr>
        <w:rFonts w:ascii="Symbol" w:hAnsi="Symbol"/>
      </w:rPr>
    </w:lvl>
    <w:lvl w:ilvl="2" w:tplc="2A6A676A">
      <w:start w:val="1"/>
      <w:numFmt w:val="bullet"/>
      <w:lvlText w:val=""/>
      <w:lvlJc w:val="left"/>
      <w:pPr>
        <w:ind w:left="720" w:hanging="360"/>
      </w:pPr>
      <w:rPr>
        <w:rFonts w:ascii="Symbol" w:hAnsi="Symbol"/>
      </w:rPr>
    </w:lvl>
    <w:lvl w:ilvl="3" w:tplc="BEE25398">
      <w:start w:val="1"/>
      <w:numFmt w:val="bullet"/>
      <w:lvlText w:val=""/>
      <w:lvlJc w:val="left"/>
      <w:pPr>
        <w:ind w:left="720" w:hanging="360"/>
      </w:pPr>
      <w:rPr>
        <w:rFonts w:ascii="Symbol" w:hAnsi="Symbol"/>
      </w:rPr>
    </w:lvl>
    <w:lvl w:ilvl="4" w:tplc="59AA21B8">
      <w:start w:val="1"/>
      <w:numFmt w:val="bullet"/>
      <w:lvlText w:val=""/>
      <w:lvlJc w:val="left"/>
      <w:pPr>
        <w:ind w:left="720" w:hanging="360"/>
      </w:pPr>
      <w:rPr>
        <w:rFonts w:ascii="Symbol" w:hAnsi="Symbol"/>
      </w:rPr>
    </w:lvl>
    <w:lvl w:ilvl="5" w:tplc="1BAE5080">
      <w:start w:val="1"/>
      <w:numFmt w:val="bullet"/>
      <w:lvlText w:val=""/>
      <w:lvlJc w:val="left"/>
      <w:pPr>
        <w:ind w:left="720" w:hanging="360"/>
      </w:pPr>
      <w:rPr>
        <w:rFonts w:ascii="Symbol" w:hAnsi="Symbol"/>
      </w:rPr>
    </w:lvl>
    <w:lvl w:ilvl="6" w:tplc="D680A344">
      <w:start w:val="1"/>
      <w:numFmt w:val="bullet"/>
      <w:lvlText w:val=""/>
      <w:lvlJc w:val="left"/>
      <w:pPr>
        <w:ind w:left="720" w:hanging="360"/>
      </w:pPr>
      <w:rPr>
        <w:rFonts w:ascii="Symbol" w:hAnsi="Symbol"/>
      </w:rPr>
    </w:lvl>
    <w:lvl w:ilvl="7" w:tplc="EC229538">
      <w:start w:val="1"/>
      <w:numFmt w:val="bullet"/>
      <w:lvlText w:val=""/>
      <w:lvlJc w:val="left"/>
      <w:pPr>
        <w:ind w:left="720" w:hanging="360"/>
      </w:pPr>
      <w:rPr>
        <w:rFonts w:ascii="Symbol" w:hAnsi="Symbol"/>
      </w:rPr>
    </w:lvl>
    <w:lvl w:ilvl="8" w:tplc="149ABC60">
      <w:start w:val="1"/>
      <w:numFmt w:val="bullet"/>
      <w:lvlText w:val=""/>
      <w:lvlJc w:val="left"/>
      <w:pPr>
        <w:ind w:left="720" w:hanging="360"/>
      </w:pPr>
      <w:rPr>
        <w:rFonts w:ascii="Symbol" w:hAnsi="Symbol"/>
      </w:rPr>
    </w:lvl>
  </w:abstractNum>
  <w:abstractNum w:abstractNumId="5" w15:restartNumberingAfterBreak="0">
    <w:nsid w:val="59997889"/>
    <w:multiLevelType w:val="hybridMultilevel"/>
    <w:tmpl w:val="E9668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C45272"/>
    <w:multiLevelType w:val="hybridMultilevel"/>
    <w:tmpl w:val="72C45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394489">
    <w:abstractNumId w:val="1"/>
  </w:num>
  <w:num w:numId="2" w16cid:durableId="1910073414">
    <w:abstractNumId w:val="0"/>
  </w:num>
  <w:num w:numId="3" w16cid:durableId="906841568">
    <w:abstractNumId w:val="5"/>
  </w:num>
  <w:num w:numId="4" w16cid:durableId="463542654">
    <w:abstractNumId w:val="2"/>
  </w:num>
  <w:num w:numId="5" w16cid:durableId="746415289">
    <w:abstractNumId w:val="4"/>
  </w:num>
  <w:num w:numId="6" w16cid:durableId="1449545747">
    <w:abstractNumId w:val="3"/>
  </w:num>
  <w:num w:numId="7" w16cid:durableId="175309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43"/>
    <w:rsid w:val="00021B78"/>
    <w:rsid w:val="00026049"/>
    <w:rsid w:val="00032604"/>
    <w:rsid w:val="00037C70"/>
    <w:rsid w:val="00045B4C"/>
    <w:rsid w:val="00054399"/>
    <w:rsid w:val="000638B8"/>
    <w:rsid w:val="00063926"/>
    <w:rsid w:val="00071046"/>
    <w:rsid w:val="0008711B"/>
    <w:rsid w:val="00087769"/>
    <w:rsid w:val="000963A9"/>
    <w:rsid w:val="00096D56"/>
    <w:rsid w:val="000A5A40"/>
    <w:rsid w:val="000C53A0"/>
    <w:rsid w:val="000E4A83"/>
    <w:rsid w:val="000E704A"/>
    <w:rsid w:val="000F2661"/>
    <w:rsid w:val="000F2ECB"/>
    <w:rsid w:val="000F3446"/>
    <w:rsid w:val="000F6D71"/>
    <w:rsid w:val="001055C7"/>
    <w:rsid w:val="0012701F"/>
    <w:rsid w:val="00136990"/>
    <w:rsid w:val="001641C2"/>
    <w:rsid w:val="00167E62"/>
    <w:rsid w:val="0017317A"/>
    <w:rsid w:val="00177663"/>
    <w:rsid w:val="00194F8D"/>
    <w:rsid w:val="00195F71"/>
    <w:rsid w:val="00197E5B"/>
    <w:rsid w:val="001A315F"/>
    <w:rsid w:val="001A350E"/>
    <w:rsid w:val="001A63BE"/>
    <w:rsid w:val="001C4D38"/>
    <w:rsid w:val="001C65EF"/>
    <w:rsid w:val="001D6726"/>
    <w:rsid w:val="001E0161"/>
    <w:rsid w:val="001E1FFB"/>
    <w:rsid w:val="001E2F23"/>
    <w:rsid w:val="001F0A3B"/>
    <w:rsid w:val="001F16A5"/>
    <w:rsid w:val="001F36E5"/>
    <w:rsid w:val="00207D5A"/>
    <w:rsid w:val="00211860"/>
    <w:rsid w:val="00213E11"/>
    <w:rsid w:val="00216088"/>
    <w:rsid w:val="0022065B"/>
    <w:rsid w:val="002233FC"/>
    <w:rsid w:val="00225F37"/>
    <w:rsid w:val="00245FFD"/>
    <w:rsid w:val="00257107"/>
    <w:rsid w:val="002629ED"/>
    <w:rsid w:val="00270ABC"/>
    <w:rsid w:val="00280050"/>
    <w:rsid w:val="00292AEE"/>
    <w:rsid w:val="00292EA8"/>
    <w:rsid w:val="002974D9"/>
    <w:rsid w:val="002A43CA"/>
    <w:rsid w:val="002C71DC"/>
    <w:rsid w:val="002D0112"/>
    <w:rsid w:val="002E4AC4"/>
    <w:rsid w:val="002E629B"/>
    <w:rsid w:val="002F4B8F"/>
    <w:rsid w:val="00303F1A"/>
    <w:rsid w:val="0030489F"/>
    <w:rsid w:val="003164A5"/>
    <w:rsid w:val="00316FB0"/>
    <w:rsid w:val="00332452"/>
    <w:rsid w:val="00333DFF"/>
    <w:rsid w:val="00335EC7"/>
    <w:rsid w:val="00344177"/>
    <w:rsid w:val="00344C45"/>
    <w:rsid w:val="00347DEF"/>
    <w:rsid w:val="0035713D"/>
    <w:rsid w:val="003633AD"/>
    <w:rsid w:val="0039490F"/>
    <w:rsid w:val="003A2256"/>
    <w:rsid w:val="003B12F0"/>
    <w:rsid w:val="003B472C"/>
    <w:rsid w:val="003C1A17"/>
    <w:rsid w:val="003C6B86"/>
    <w:rsid w:val="003D651E"/>
    <w:rsid w:val="003D6847"/>
    <w:rsid w:val="003E5518"/>
    <w:rsid w:val="003F3B8A"/>
    <w:rsid w:val="00402F1C"/>
    <w:rsid w:val="00403E1F"/>
    <w:rsid w:val="0040545E"/>
    <w:rsid w:val="004217D4"/>
    <w:rsid w:val="00441F42"/>
    <w:rsid w:val="00442AC8"/>
    <w:rsid w:val="00443695"/>
    <w:rsid w:val="00483D3E"/>
    <w:rsid w:val="00484464"/>
    <w:rsid w:val="00484E96"/>
    <w:rsid w:val="00487430"/>
    <w:rsid w:val="00495CDC"/>
    <w:rsid w:val="004B2A43"/>
    <w:rsid w:val="004C1E31"/>
    <w:rsid w:val="004D319D"/>
    <w:rsid w:val="004E1D42"/>
    <w:rsid w:val="004E3B91"/>
    <w:rsid w:val="004E7609"/>
    <w:rsid w:val="004F2723"/>
    <w:rsid w:val="004F2DAA"/>
    <w:rsid w:val="004F57A5"/>
    <w:rsid w:val="004F63FD"/>
    <w:rsid w:val="00502BC5"/>
    <w:rsid w:val="00507ECA"/>
    <w:rsid w:val="00523DE2"/>
    <w:rsid w:val="00526B9E"/>
    <w:rsid w:val="00535368"/>
    <w:rsid w:val="00542936"/>
    <w:rsid w:val="005652B3"/>
    <w:rsid w:val="00575F39"/>
    <w:rsid w:val="00576B03"/>
    <w:rsid w:val="005828FD"/>
    <w:rsid w:val="005945CC"/>
    <w:rsid w:val="00594E9E"/>
    <w:rsid w:val="005A0CC8"/>
    <w:rsid w:val="005A5200"/>
    <w:rsid w:val="005B58F1"/>
    <w:rsid w:val="005C5A96"/>
    <w:rsid w:val="005C6724"/>
    <w:rsid w:val="005D7D1F"/>
    <w:rsid w:val="005F100B"/>
    <w:rsid w:val="00600769"/>
    <w:rsid w:val="00602210"/>
    <w:rsid w:val="0060681B"/>
    <w:rsid w:val="00614575"/>
    <w:rsid w:val="006173FC"/>
    <w:rsid w:val="00620A28"/>
    <w:rsid w:val="006267B4"/>
    <w:rsid w:val="00630F7C"/>
    <w:rsid w:val="006321B2"/>
    <w:rsid w:val="00633307"/>
    <w:rsid w:val="0064039F"/>
    <w:rsid w:val="00652BA1"/>
    <w:rsid w:val="00657650"/>
    <w:rsid w:val="0066031B"/>
    <w:rsid w:val="00664B53"/>
    <w:rsid w:val="0067229F"/>
    <w:rsid w:val="00683C98"/>
    <w:rsid w:val="0068504D"/>
    <w:rsid w:val="00696089"/>
    <w:rsid w:val="00696D2F"/>
    <w:rsid w:val="006A22FE"/>
    <w:rsid w:val="006A4D43"/>
    <w:rsid w:val="006B571B"/>
    <w:rsid w:val="006B5B57"/>
    <w:rsid w:val="006C5300"/>
    <w:rsid w:val="006E0080"/>
    <w:rsid w:val="006E2AB5"/>
    <w:rsid w:val="006F0364"/>
    <w:rsid w:val="006F369F"/>
    <w:rsid w:val="007039C7"/>
    <w:rsid w:val="00703DF7"/>
    <w:rsid w:val="00711B01"/>
    <w:rsid w:val="007354B2"/>
    <w:rsid w:val="007354FE"/>
    <w:rsid w:val="0073659C"/>
    <w:rsid w:val="007457E6"/>
    <w:rsid w:val="00756D74"/>
    <w:rsid w:val="00757A4F"/>
    <w:rsid w:val="007675A8"/>
    <w:rsid w:val="00767D28"/>
    <w:rsid w:val="0079380E"/>
    <w:rsid w:val="007960EE"/>
    <w:rsid w:val="007B243D"/>
    <w:rsid w:val="007B57BF"/>
    <w:rsid w:val="007C3284"/>
    <w:rsid w:val="007C4624"/>
    <w:rsid w:val="007D19C0"/>
    <w:rsid w:val="007D26B4"/>
    <w:rsid w:val="007E26BE"/>
    <w:rsid w:val="0080742F"/>
    <w:rsid w:val="00810024"/>
    <w:rsid w:val="00814CA4"/>
    <w:rsid w:val="00815C6B"/>
    <w:rsid w:val="008171B0"/>
    <w:rsid w:val="0081766B"/>
    <w:rsid w:val="008228BF"/>
    <w:rsid w:val="00822BBE"/>
    <w:rsid w:val="0082416F"/>
    <w:rsid w:val="008322C2"/>
    <w:rsid w:val="00840897"/>
    <w:rsid w:val="00843F1A"/>
    <w:rsid w:val="0085172F"/>
    <w:rsid w:val="00861C99"/>
    <w:rsid w:val="00886459"/>
    <w:rsid w:val="0089250F"/>
    <w:rsid w:val="008A768C"/>
    <w:rsid w:val="008C4F00"/>
    <w:rsid w:val="008D7607"/>
    <w:rsid w:val="008F0D1B"/>
    <w:rsid w:val="00910E94"/>
    <w:rsid w:val="00916346"/>
    <w:rsid w:val="00921708"/>
    <w:rsid w:val="0092570B"/>
    <w:rsid w:val="0093272F"/>
    <w:rsid w:val="0096105F"/>
    <w:rsid w:val="00965C70"/>
    <w:rsid w:val="0098096E"/>
    <w:rsid w:val="009813D1"/>
    <w:rsid w:val="00982731"/>
    <w:rsid w:val="00986ACC"/>
    <w:rsid w:val="00991CE7"/>
    <w:rsid w:val="009A38BB"/>
    <w:rsid w:val="009A3CEB"/>
    <w:rsid w:val="009C16E5"/>
    <w:rsid w:val="009C4251"/>
    <w:rsid w:val="009D0D45"/>
    <w:rsid w:val="009D4935"/>
    <w:rsid w:val="009F096F"/>
    <w:rsid w:val="009F410A"/>
    <w:rsid w:val="00A0623C"/>
    <w:rsid w:val="00A06F1B"/>
    <w:rsid w:val="00A10E8F"/>
    <w:rsid w:val="00A13FAA"/>
    <w:rsid w:val="00A25779"/>
    <w:rsid w:val="00A27DB4"/>
    <w:rsid w:val="00A43E28"/>
    <w:rsid w:val="00A52921"/>
    <w:rsid w:val="00A53B4B"/>
    <w:rsid w:val="00A71524"/>
    <w:rsid w:val="00A87032"/>
    <w:rsid w:val="00A90060"/>
    <w:rsid w:val="00AB358E"/>
    <w:rsid w:val="00AC3590"/>
    <w:rsid w:val="00AC6375"/>
    <w:rsid w:val="00AF1B30"/>
    <w:rsid w:val="00B034A9"/>
    <w:rsid w:val="00B13574"/>
    <w:rsid w:val="00B1747A"/>
    <w:rsid w:val="00B17585"/>
    <w:rsid w:val="00B47AB0"/>
    <w:rsid w:val="00B54B4E"/>
    <w:rsid w:val="00B63411"/>
    <w:rsid w:val="00B75C1E"/>
    <w:rsid w:val="00B766E6"/>
    <w:rsid w:val="00B90357"/>
    <w:rsid w:val="00B90920"/>
    <w:rsid w:val="00BC3D6A"/>
    <w:rsid w:val="00BD4869"/>
    <w:rsid w:val="00BD6216"/>
    <w:rsid w:val="00BD7CD5"/>
    <w:rsid w:val="00BE0919"/>
    <w:rsid w:val="00BE2BBC"/>
    <w:rsid w:val="00BF1FAA"/>
    <w:rsid w:val="00BF3004"/>
    <w:rsid w:val="00BF65CB"/>
    <w:rsid w:val="00C044B6"/>
    <w:rsid w:val="00C1366F"/>
    <w:rsid w:val="00C21810"/>
    <w:rsid w:val="00C37305"/>
    <w:rsid w:val="00C41426"/>
    <w:rsid w:val="00C56791"/>
    <w:rsid w:val="00C5772B"/>
    <w:rsid w:val="00C75C36"/>
    <w:rsid w:val="00C767DE"/>
    <w:rsid w:val="00C82E6E"/>
    <w:rsid w:val="00CA3BD2"/>
    <w:rsid w:val="00CB7B41"/>
    <w:rsid w:val="00CC031C"/>
    <w:rsid w:val="00CD1277"/>
    <w:rsid w:val="00CD3B33"/>
    <w:rsid w:val="00CD3B43"/>
    <w:rsid w:val="00CE4CAF"/>
    <w:rsid w:val="00CE66D8"/>
    <w:rsid w:val="00CF336C"/>
    <w:rsid w:val="00D145F6"/>
    <w:rsid w:val="00D24626"/>
    <w:rsid w:val="00D25DA1"/>
    <w:rsid w:val="00D2673C"/>
    <w:rsid w:val="00D35F3F"/>
    <w:rsid w:val="00D3635B"/>
    <w:rsid w:val="00D52B07"/>
    <w:rsid w:val="00D92442"/>
    <w:rsid w:val="00DB5759"/>
    <w:rsid w:val="00DB6069"/>
    <w:rsid w:val="00DB6FCF"/>
    <w:rsid w:val="00DC1271"/>
    <w:rsid w:val="00DE60AC"/>
    <w:rsid w:val="00DE7D7D"/>
    <w:rsid w:val="00DF4D8A"/>
    <w:rsid w:val="00DF79D5"/>
    <w:rsid w:val="00E002EF"/>
    <w:rsid w:val="00E00EE3"/>
    <w:rsid w:val="00E01B36"/>
    <w:rsid w:val="00E16EFF"/>
    <w:rsid w:val="00E25825"/>
    <w:rsid w:val="00E27943"/>
    <w:rsid w:val="00E33EEF"/>
    <w:rsid w:val="00E34262"/>
    <w:rsid w:val="00E37B2A"/>
    <w:rsid w:val="00E5244D"/>
    <w:rsid w:val="00E52C10"/>
    <w:rsid w:val="00E56D51"/>
    <w:rsid w:val="00E65DF7"/>
    <w:rsid w:val="00E73FA3"/>
    <w:rsid w:val="00E83A50"/>
    <w:rsid w:val="00E858CE"/>
    <w:rsid w:val="00E95A15"/>
    <w:rsid w:val="00E9734C"/>
    <w:rsid w:val="00EA285E"/>
    <w:rsid w:val="00EA2A95"/>
    <w:rsid w:val="00EC2207"/>
    <w:rsid w:val="00EC7F32"/>
    <w:rsid w:val="00ED3A9F"/>
    <w:rsid w:val="00ED6F12"/>
    <w:rsid w:val="00EE13A7"/>
    <w:rsid w:val="00EE50F7"/>
    <w:rsid w:val="00EF420E"/>
    <w:rsid w:val="00F00102"/>
    <w:rsid w:val="00F02FAD"/>
    <w:rsid w:val="00F13906"/>
    <w:rsid w:val="00F14D6C"/>
    <w:rsid w:val="00F20EF9"/>
    <w:rsid w:val="00F27A11"/>
    <w:rsid w:val="00F42BA7"/>
    <w:rsid w:val="00F4538B"/>
    <w:rsid w:val="00F678FC"/>
    <w:rsid w:val="00F8454D"/>
    <w:rsid w:val="00F96511"/>
    <w:rsid w:val="00FB1BEC"/>
    <w:rsid w:val="00FC01D4"/>
    <w:rsid w:val="00FC3400"/>
    <w:rsid w:val="00FD5012"/>
    <w:rsid w:val="00FE0253"/>
    <w:rsid w:val="00FE0DF7"/>
    <w:rsid w:val="00FF5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10E1"/>
  <w15:chartTrackingRefBased/>
  <w15:docId w15:val="{FEB9CD59-8602-4C66-A496-56FCFDE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B5"/>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uiPriority w:val="9"/>
    <w:qFormat/>
    <w:rsid w:val="00E279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279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2794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2794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794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279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79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79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79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279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2794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2794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2794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279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79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79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79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79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9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9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7943"/>
    <w:pPr>
      <w:spacing w:before="160"/>
      <w:jc w:val="center"/>
    </w:pPr>
    <w:rPr>
      <w:i/>
      <w:iCs/>
      <w:color w:val="404040" w:themeColor="text1" w:themeTint="BF"/>
    </w:rPr>
  </w:style>
  <w:style w:type="character" w:customStyle="1" w:styleId="QuoteChar">
    <w:name w:val="Quote Char"/>
    <w:basedOn w:val="DefaultParagraphFont"/>
    <w:link w:val="Quote"/>
    <w:uiPriority w:val="29"/>
    <w:rsid w:val="00E27943"/>
    <w:rPr>
      <w:i/>
      <w:iCs/>
      <w:color w:val="404040" w:themeColor="text1" w:themeTint="BF"/>
    </w:rPr>
  </w:style>
  <w:style w:type="paragraph" w:styleId="ListParagraph">
    <w:name w:val="List Paragraph"/>
    <w:basedOn w:val="Normal"/>
    <w:uiPriority w:val="34"/>
    <w:qFormat/>
    <w:rsid w:val="00E27943"/>
    <w:pPr>
      <w:ind w:left="720"/>
      <w:contextualSpacing/>
    </w:pPr>
  </w:style>
  <w:style w:type="character" w:styleId="IntenseEmphasis">
    <w:name w:val="Intense Emphasis"/>
    <w:basedOn w:val="DefaultParagraphFont"/>
    <w:uiPriority w:val="21"/>
    <w:qFormat/>
    <w:rsid w:val="00E27943"/>
    <w:rPr>
      <w:i/>
      <w:iCs/>
      <w:color w:val="2E74B5" w:themeColor="accent1" w:themeShade="BF"/>
    </w:rPr>
  </w:style>
  <w:style w:type="paragraph" w:styleId="IntenseQuote">
    <w:name w:val="Intense Quote"/>
    <w:basedOn w:val="Normal"/>
    <w:next w:val="Normal"/>
    <w:link w:val="IntenseQuoteChar"/>
    <w:uiPriority w:val="30"/>
    <w:qFormat/>
    <w:rsid w:val="00E279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27943"/>
    <w:rPr>
      <w:i/>
      <w:iCs/>
      <w:color w:val="2E74B5" w:themeColor="accent1" w:themeShade="BF"/>
    </w:rPr>
  </w:style>
  <w:style w:type="character" w:styleId="IntenseReference">
    <w:name w:val="Intense Reference"/>
    <w:basedOn w:val="DefaultParagraphFont"/>
    <w:uiPriority w:val="32"/>
    <w:qFormat/>
    <w:rsid w:val="00E27943"/>
    <w:rPr>
      <w:b/>
      <w:bCs/>
      <w:smallCaps/>
      <w:color w:val="2E74B5" w:themeColor="accent1" w:themeShade="BF"/>
      <w:spacing w:val="5"/>
    </w:rPr>
  </w:style>
  <w:style w:type="character" w:styleId="CommentReference">
    <w:name w:val="annotation reference"/>
    <w:basedOn w:val="DefaultParagraphFont"/>
    <w:uiPriority w:val="99"/>
    <w:semiHidden/>
    <w:unhideWhenUsed/>
    <w:rsid w:val="00E27943"/>
    <w:rPr>
      <w:sz w:val="16"/>
      <w:szCs w:val="16"/>
    </w:rPr>
  </w:style>
  <w:style w:type="paragraph" w:styleId="CommentText">
    <w:name w:val="annotation text"/>
    <w:basedOn w:val="Normal"/>
    <w:link w:val="CommentTextChar"/>
    <w:uiPriority w:val="99"/>
    <w:unhideWhenUsed/>
    <w:rsid w:val="00E27943"/>
    <w:rPr>
      <w:sz w:val="20"/>
    </w:rPr>
  </w:style>
  <w:style w:type="character" w:customStyle="1" w:styleId="CommentTextChar">
    <w:name w:val="Comment Text Char"/>
    <w:basedOn w:val="DefaultParagraphFont"/>
    <w:link w:val="CommentText"/>
    <w:uiPriority w:val="99"/>
    <w:rsid w:val="00E27943"/>
    <w:rPr>
      <w:rFonts w:ascii="Tms Rmn" w:eastAsia="Times New Roman" w:hAnsi="Tms Rmn"/>
      <w:sz w:val="20"/>
      <w:szCs w:val="20"/>
      <w:lang w:eastAsia="en-AU"/>
    </w:rPr>
  </w:style>
  <w:style w:type="paragraph" w:styleId="Revision">
    <w:name w:val="Revision"/>
    <w:hidden/>
    <w:uiPriority w:val="99"/>
    <w:semiHidden/>
    <w:rsid w:val="00DE60AC"/>
    <w:pPr>
      <w:spacing w:after="0" w:line="240" w:lineRule="auto"/>
    </w:pPr>
    <w:rPr>
      <w:rFonts w:ascii="Tms Rmn" w:eastAsia="Times New Roman" w:hAnsi="Tms Rmn"/>
      <w:szCs w:val="20"/>
      <w:lang w:eastAsia="en-AU"/>
    </w:rPr>
  </w:style>
  <w:style w:type="paragraph" w:styleId="CommentSubject">
    <w:name w:val="annotation subject"/>
    <w:basedOn w:val="CommentText"/>
    <w:next w:val="CommentText"/>
    <w:link w:val="CommentSubjectChar"/>
    <w:uiPriority w:val="99"/>
    <w:semiHidden/>
    <w:unhideWhenUsed/>
    <w:rsid w:val="007675A8"/>
    <w:rPr>
      <w:b/>
      <w:bCs/>
    </w:rPr>
  </w:style>
  <w:style w:type="character" w:customStyle="1" w:styleId="CommentSubjectChar">
    <w:name w:val="Comment Subject Char"/>
    <w:basedOn w:val="CommentTextChar"/>
    <w:link w:val="CommentSubject"/>
    <w:uiPriority w:val="99"/>
    <w:semiHidden/>
    <w:rsid w:val="007675A8"/>
    <w:rPr>
      <w:rFonts w:ascii="Tms Rmn" w:eastAsia="Times New Roman" w:hAnsi="Tms Rmn"/>
      <w:b/>
      <w:bCs/>
      <w:sz w:val="20"/>
      <w:szCs w:val="20"/>
      <w:lang w:eastAsia="en-AU"/>
    </w:rPr>
  </w:style>
  <w:style w:type="character" w:styleId="Hyperlink">
    <w:name w:val="Hyperlink"/>
    <w:basedOn w:val="DefaultParagraphFont"/>
    <w:uiPriority w:val="99"/>
    <w:unhideWhenUsed/>
    <w:rsid w:val="00FF5B1F"/>
    <w:rPr>
      <w:color w:val="0563C1" w:themeColor="hyperlink"/>
      <w:u w:val="single"/>
    </w:rPr>
  </w:style>
  <w:style w:type="character" w:styleId="UnresolvedMention">
    <w:name w:val="Unresolved Mention"/>
    <w:basedOn w:val="DefaultParagraphFont"/>
    <w:uiPriority w:val="99"/>
    <w:semiHidden/>
    <w:unhideWhenUsed/>
    <w:rsid w:val="00FF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448">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
    <w:div w:id="588855080">
      <w:bodyDiv w:val="1"/>
      <w:marLeft w:val="0"/>
      <w:marRight w:val="0"/>
      <w:marTop w:val="0"/>
      <w:marBottom w:val="0"/>
      <w:divBdr>
        <w:top w:val="none" w:sz="0" w:space="0" w:color="auto"/>
        <w:left w:val="none" w:sz="0" w:space="0" w:color="auto"/>
        <w:bottom w:val="none" w:sz="0" w:space="0" w:color="auto"/>
        <w:right w:val="none" w:sz="0" w:space="0" w:color="auto"/>
      </w:divBdr>
    </w:div>
    <w:div w:id="6987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dc:creator>
  <cp:keywords/>
  <dc:description/>
  <cp:lastModifiedBy>SMITH, Laura</cp:lastModifiedBy>
  <cp:revision>2</cp:revision>
  <dcterms:created xsi:type="dcterms:W3CDTF">2025-03-05T03:09:00Z</dcterms:created>
  <dcterms:modified xsi:type="dcterms:W3CDTF">2025-03-05T03:09:00Z</dcterms:modified>
</cp:coreProperties>
</file>