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225C" w14:textId="77777777" w:rsidR="009F1310" w:rsidRPr="00C567B2" w:rsidRDefault="009F1310" w:rsidP="00C567B2">
      <w:pPr>
        <w:pStyle w:val="Title"/>
        <w:spacing w:after="240"/>
        <w:contextualSpacing w:val="0"/>
        <w:jc w:val="center"/>
        <w:rPr>
          <w:rFonts w:ascii="Times New Roman" w:hAnsi="Times New Roman" w:cs="Times New Roman"/>
          <w:b/>
          <w:bCs/>
          <w:spacing w:val="0"/>
          <w:sz w:val="26"/>
          <w:szCs w:val="26"/>
        </w:rPr>
      </w:pPr>
      <w:r w:rsidRPr="00C567B2">
        <w:rPr>
          <w:rFonts w:ascii="Times New Roman" w:hAnsi="Times New Roman" w:cs="Times New Roman"/>
          <w:b/>
          <w:bCs/>
          <w:spacing w:val="0"/>
          <w:sz w:val="26"/>
          <w:szCs w:val="26"/>
        </w:rPr>
        <w:t>EXPLANATORY STATEMENT</w:t>
      </w:r>
    </w:p>
    <w:p w14:paraId="55DEBB96" w14:textId="176A06FB" w:rsidR="009F1310" w:rsidRPr="00C567B2" w:rsidRDefault="009F1310" w:rsidP="00C567B2">
      <w:pPr>
        <w:pStyle w:val="Title"/>
        <w:spacing w:after="240"/>
        <w:contextualSpacing w:val="0"/>
        <w:jc w:val="center"/>
        <w:rPr>
          <w:rFonts w:ascii="Times New Roman" w:hAnsi="Times New Roman" w:cs="Times New Roman"/>
          <w:b/>
          <w:bCs/>
          <w:iCs/>
          <w:spacing w:val="0"/>
          <w:sz w:val="26"/>
          <w:szCs w:val="26"/>
        </w:rPr>
      </w:pPr>
      <w:bookmarkStart w:id="0" w:name="_Hlk171332413"/>
      <w:r w:rsidRPr="00C567B2">
        <w:rPr>
          <w:rFonts w:ascii="Times New Roman" w:hAnsi="Times New Roman" w:cs="Times New Roman"/>
          <w:b/>
          <w:bCs/>
          <w:iCs/>
          <w:spacing w:val="0"/>
          <w:sz w:val="26"/>
          <w:szCs w:val="26"/>
        </w:rPr>
        <w:t xml:space="preserve">Guide to Determining Impairment and Compensation </w:t>
      </w:r>
      <w:r w:rsidR="002E1DEB" w:rsidRPr="00C567B2">
        <w:rPr>
          <w:rFonts w:ascii="Times New Roman" w:hAnsi="Times New Roman" w:cs="Times New Roman"/>
          <w:b/>
          <w:bCs/>
          <w:iCs/>
          <w:spacing w:val="0"/>
          <w:sz w:val="26"/>
          <w:szCs w:val="26"/>
        </w:rPr>
        <w:t xml:space="preserve">Amendment </w:t>
      </w:r>
      <w:r w:rsidR="00377480">
        <w:rPr>
          <w:rFonts w:ascii="Times New Roman" w:hAnsi="Times New Roman" w:cs="Times New Roman"/>
          <w:b/>
          <w:bCs/>
          <w:iCs/>
          <w:spacing w:val="0"/>
          <w:sz w:val="26"/>
          <w:szCs w:val="26"/>
        </w:rPr>
        <w:t>Instrument </w:t>
      </w:r>
      <w:r w:rsidR="002E1DEB" w:rsidRPr="00C567B2">
        <w:rPr>
          <w:rFonts w:ascii="Times New Roman" w:hAnsi="Times New Roman" w:cs="Times New Roman"/>
          <w:b/>
          <w:bCs/>
          <w:iCs/>
          <w:spacing w:val="0"/>
          <w:sz w:val="26"/>
          <w:szCs w:val="26"/>
        </w:rPr>
        <w:t>202</w:t>
      </w:r>
      <w:bookmarkEnd w:id="0"/>
      <w:r w:rsidR="00EF082D">
        <w:rPr>
          <w:rFonts w:ascii="Times New Roman" w:hAnsi="Times New Roman" w:cs="Times New Roman"/>
          <w:b/>
          <w:bCs/>
          <w:iCs/>
          <w:spacing w:val="0"/>
          <w:sz w:val="26"/>
          <w:szCs w:val="26"/>
        </w:rPr>
        <w:t>5</w:t>
      </w:r>
    </w:p>
    <w:p w14:paraId="182E5058" w14:textId="77777777" w:rsidR="009F1310" w:rsidRPr="00C567B2" w:rsidRDefault="009F1310" w:rsidP="00A8219C">
      <w:pPr>
        <w:pStyle w:val="Default"/>
        <w:keepNext/>
        <w:spacing w:after="240"/>
        <w:rPr>
          <w:b/>
          <w:bCs/>
        </w:rPr>
      </w:pPr>
      <w:r w:rsidRPr="00C567B2">
        <w:rPr>
          <w:b/>
          <w:bCs/>
        </w:rPr>
        <w:t>EMPOWERING PROVISIONS</w:t>
      </w:r>
    </w:p>
    <w:p w14:paraId="43CD01AE" w14:textId="1A8C547D" w:rsidR="009F1310" w:rsidRPr="00C567B2" w:rsidRDefault="009F1310" w:rsidP="00C567B2">
      <w:pPr>
        <w:pStyle w:val="LDBodytext"/>
        <w:numPr>
          <w:ilvl w:val="0"/>
          <w:numId w:val="1"/>
        </w:numPr>
        <w:spacing w:before="0" w:after="240"/>
        <w:ind w:hanging="644"/>
      </w:pPr>
      <w:r w:rsidRPr="00C567B2">
        <w:t xml:space="preserve">The Military, Rehabilitation and Compensation Commission (the </w:t>
      </w:r>
      <w:r w:rsidRPr="00C567B2">
        <w:rPr>
          <w:b/>
          <w:bCs/>
          <w:i/>
          <w:iCs/>
        </w:rPr>
        <w:t>Commission</w:t>
      </w:r>
      <w:r w:rsidRPr="00C567B2">
        <w:t>)</w:t>
      </w:r>
      <w:r w:rsidR="00377480">
        <w:t xml:space="preserve"> made this instrument </w:t>
      </w:r>
      <w:r w:rsidRPr="00C567B2">
        <w:t xml:space="preserve">under </w:t>
      </w:r>
      <w:r w:rsidR="00377480">
        <w:t>sub</w:t>
      </w:r>
      <w:r w:rsidRPr="00C567B2">
        <w:t>section</w:t>
      </w:r>
      <w:r w:rsidR="00377480">
        <w:t> </w:t>
      </w:r>
      <w:r w:rsidRPr="00C567B2">
        <w:t>67</w:t>
      </w:r>
      <w:r w:rsidR="00377480">
        <w:t>(3)</w:t>
      </w:r>
      <w:r w:rsidRPr="00C567B2">
        <w:t xml:space="preserve"> of the </w:t>
      </w:r>
      <w:r w:rsidRPr="00C567B2">
        <w:rPr>
          <w:i/>
        </w:rPr>
        <w:t>Military, Rehabilitation and Compensation Act 2004</w:t>
      </w:r>
      <w:r w:rsidRPr="00C567B2">
        <w:t xml:space="preserve"> (the </w:t>
      </w:r>
      <w:r w:rsidRPr="00C567B2">
        <w:rPr>
          <w:rStyle w:val="LDBoldItal"/>
          <w:rFonts w:eastAsiaTheme="majorEastAsia"/>
        </w:rPr>
        <w:t>Act</w:t>
      </w:r>
      <w:r w:rsidRPr="00C567B2">
        <w:t>)</w:t>
      </w:r>
      <w:r w:rsidRPr="00C567B2">
        <w:rPr>
          <w:i/>
        </w:rPr>
        <w:t>.</w:t>
      </w:r>
    </w:p>
    <w:p w14:paraId="15CB729C" w14:textId="77777777" w:rsidR="009F1310" w:rsidRPr="00C567B2" w:rsidRDefault="009F1310" w:rsidP="00A8219C">
      <w:pPr>
        <w:pStyle w:val="Default"/>
        <w:keepNext/>
        <w:spacing w:after="240"/>
        <w:rPr>
          <w:b/>
          <w:bCs/>
        </w:rPr>
      </w:pPr>
      <w:r w:rsidRPr="00C567B2">
        <w:rPr>
          <w:b/>
          <w:bCs/>
        </w:rPr>
        <w:t>PURPOSE</w:t>
      </w:r>
    </w:p>
    <w:p w14:paraId="38F8935A" w14:textId="4E7F2417" w:rsidR="009F1310" w:rsidRPr="00C567B2" w:rsidRDefault="009F1310" w:rsidP="00C567B2">
      <w:pPr>
        <w:pStyle w:val="LDBodytext"/>
        <w:numPr>
          <w:ilvl w:val="0"/>
          <w:numId w:val="1"/>
        </w:numPr>
        <w:spacing w:before="0" w:after="240"/>
        <w:ind w:hanging="644"/>
        <w:rPr>
          <w:bCs/>
        </w:rPr>
      </w:pPr>
      <w:r w:rsidRPr="00C567B2">
        <w:rPr>
          <w:bCs/>
        </w:rPr>
        <w:t xml:space="preserve">The </w:t>
      </w:r>
      <w:r w:rsidRPr="00C567B2">
        <w:t>attached</w:t>
      </w:r>
      <w:r w:rsidRPr="00C567B2">
        <w:rPr>
          <w:bCs/>
        </w:rPr>
        <w:t xml:space="preserve"> instrument </w:t>
      </w:r>
      <w:r w:rsidR="001C4007" w:rsidRPr="00C567B2">
        <w:rPr>
          <w:bCs/>
        </w:rPr>
        <w:t>amends</w:t>
      </w:r>
      <w:r w:rsidRPr="00C567B2">
        <w:rPr>
          <w:bCs/>
        </w:rPr>
        <w:t xml:space="preserve"> the </w:t>
      </w:r>
      <w:r w:rsidRPr="00C567B2">
        <w:rPr>
          <w:bCs/>
          <w:i/>
          <w:iCs/>
        </w:rPr>
        <w:t xml:space="preserve">Guide to Determining Impairment and Compensation 2016 </w:t>
      </w:r>
      <w:r w:rsidRPr="00C567B2">
        <w:rPr>
          <w:bCs/>
        </w:rPr>
        <w:t>(</w:t>
      </w:r>
      <w:r w:rsidRPr="008C0A17">
        <w:rPr>
          <w:b/>
        </w:rPr>
        <w:t>GARP M</w:t>
      </w:r>
      <w:r w:rsidRPr="00C567B2">
        <w:rPr>
          <w:bCs/>
        </w:rPr>
        <w:t>).</w:t>
      </w:r>
    </w:p>
    <w:p w14:paraId="3339C4E1" w14:textId="7E986BCE" w:rsidR="009F1310" w:rsidRPr="00C567B2" w:rsidRDefault="009F1310" w:rsidP="00C567B2">
      <w:pPr>
        <w:pStyle w:val="LDBodytext"/>
        <w:numPr>
          <w:ilvl w:val="0"/>
          <w:numId w:val="1"/>
        </w:numPr>
        <w:spacing w:before="0" w:after="240"/>
        <w:ind w:hanging="644"/>
      </w:pPr>
      <w:r w:rsidRPr="00C567B2">
        <w:t xml:space="preserve">GARP M </w:t>
      </w:r>
      <w:r w:rsidR="001F30AE" w:rsidRPr="00C567B2">
        <w:t>is</w:t>
      </w:r>
      <w:r w:rsidRPr="00C567B2">
        <w:t xml:space="preserve"> the guide for assessing the degree of medical impairment and lifestyle ratings when determining the permanent impairment compensation payable to a person under Part 2 of Chapter 4 of the Act. </w:t>
      </w:r>
    </w:p>
    <w:p w14:paraId="27B787E6" w14:textId="77777777" w:rsidR="001E3402" w:rsidRPr="00C567B2" w:rsidRDefault="001E3402" w:rsidP="00C567B2">
      <w:pPr>
        <w:pStyle w:val="LDBodytext"/>
        <w:numPr>
          <w:ilvl w:val="0"/>
          <w:numId w:val="1"/>
        </w:numPr>
        <w:spacing w:before="0" w:after="240"/>
        <w:ind w:hanging="644"/>
      </w:pPr>
      <w:r w:rsidRPr="00C567B2">
        <w:t>Chapters 1 to 21 of GARP M deal with the assessment of the degree of medical impairment in relation to service-caused conditions.</w:t>
      </w:r>
    </w:p>
    <w:p w14:paraId="46E5483D" w14:textId="15306296" w:rsidR="001E3402" w:rsidRPr="00C567B2" w:rsidRDefault="001E3402" w:rsidP="00C567B2">
      <w:pPr>
        <w:pStyle w:val="LDBodytext"/>
        <w:numPr>
          <w:ilvl w:val="0"/>
          <w:numId w:val="1"/>
        </w:numPr>
        <w:spacing w:before="0" w:after="240"/>
        <w:ind w:hanging="644"/>
      </w:pPr>
      <w:r w:rsidRPr="00C567B2">
        <w:t>Chapter 22 deals with the assessment of the lifestyle effects in relation to service</w:t>
      </w:r>
      <w:r w:rsidR="00377480">
        <w:noBreakHyphen/>
      </w:r>
      <w:r w:rsidRPr="00C567B2">
        <w:t>caused conditions.</w:t>
      </w:r>
    </w:p>
    <w:p w14:paraId="6B7B9EBD" w14:textId="115D8BF7" w:rsidR="001E3402" w:rsidRPr="00C567B2" w:rsidRDefault="001E3402" w:rsidP="00C567B2">
      <w:pPr>
        <w:pStyle w:val="LDBodytext"/>
        <w:numPr>
          <w:ilvl w:val="0"/>
          <w:numId w:val="1"/>
        </w:numPr>
        <w:spacing w:before="0" w:after="240"/>
        <w:ind w:hanging="644"/>
      </w:pPr>
      <w:r w:rsidRPr="00C567B2">
        <w:t>Chapter 23 provides the methodology for converting medical impairment and lifestyle effects to compensation factors, which are then multiplied by the maximum weekly amount under the Act to find the total amount of permanent impairment compensation payable to a veteran. A different methodology applies depending on whether conditions relate to warlike/non-warlike or peacetime service, or a combination.</w:t>
      </w:r>
    </w:p>
    <w:p w14:paraId="0085A589" w14:textId="6E04DF37" w:rsidR="001E3402" w:rsidRPr="00C567B2" w:rsidRDefault="001E3402" w:rsidP="00C567B2">
      <w:pPr>
        <w:pStyle w:val="LDBodytext"/>
        <w:numPr>
          <w:ilvl w:val="0"/>
          <w:numId w:val="1"/>
        </w:numPr>
        <w:spacing w:before="0" w:after="240"/>
        <w:ind w:hanging="644"/>
      </w:pPr>
      <w:r w:rsidRPr="00C567B2">
        <w:t>Chapter 24 provides that a veteran’s determined weekly amount may be converted partially or wholly to a one-off lump sum, using instructions provided by the Australian Government Actuary.</w:t>
      </w:r>
    </w:p>
    <w:p w14:paraId="222C2966" w14:textId="350B1C4F" w:rsidR="001E3402" w:rsidRPr="00C567B2" w:rsidRDefault="001E3402" w:rsidP="00C567B2">
      <w:pPr>
        <w:pStyle w:val="LDBodytext"/>
        <w:numPr>
          <w:ilvl w:val="0"/>
          <w:numId w:val="1"/>
        </w:numPr>
        <w:spacing w:before="0" w:after="240"/>
        <w:ind w:hanging="644"/>
        <w:rPr>
          <w:b/>
        </w:rPr>
      </w:pPr>
      <w:r w:rsidRPr="00C567B2">
        <w:t xml:space="preserve">Chapter 25 provides the formula for assessing and determining transitional permanent impairment claims for veterans with service injuries or diseases under the Act, </w:t>
      </w:r>
      <w:r w:rsidR="00946CCC" w:rsidRPr="00C567B2">
        <w:t>and</w:t>
      </w:r>
      <w:r w:rsidRPr="00C567B2">
        <w:t xml:space="preserve"> injuries or diseases under </w:t>
      </w:r>
      <w:r w:rsidR="00A9107F" w:rsidRPr="00C567B2">
        <w:rPr>
          <w:bCs/>
        </w:rPr>
        <w:t xml:space="preserve">the </w:t>
      </w:r>
      <w:r w:rsidR="00A9107F" w:rsidRPr="00C567B2">
        <w:rPr>
          <w:bCs/>
          <w:i/>
          <w:iCs/>
        </w:rPr>
        <w:t xml:space="preserve">Veterans’ Entitlements Act 1986 </w:t>
      </w:r>
      <w:r w:rsidR="00A9107F" w:rsidRPr="00C567B2">
        <w:rPr>
          <w:bCs/>
        </w:rPr>
        <w:t>(</w:t>
      </w:r>
      <w:r w:rsidR="00A9107F" w:rsidRPr="00ED0784">
        <w:rPr>
          <w:b/>
          <w:i/>
          <w:iCs/>
        </w:rPr>
        <w:t>VEA</w:t>
      </w:r>
      <w:r w:rsidR="00A9107F" w:rsidRPr="00C567B2">
        <w:rPr>
          <w:bCs/>
        </w:rPr>
        <w:t xml:space="preserve">) or the </w:t>
      </w:r>
      <w:r w:rsidR="00A9107F" w:rsidRPr="00C567B2">
        <w:rPr>
          <w:bCs/>
          <w:i/>
          <w:iCs/>
        </w:rPr>
        <w:t>Safety, Rehabilitation and Compensation (Defence-related Claims) Act 1986</w:t>
      </w:r>
      <w:r w:rsidR="00A9107F" w:rsidRPr="00C567B2">
        <w:rPr>
          <w:bCs/>
        </w:rPr>
        <w:t xml:space="preserve"> (</w:t>
      </w:r>
      <w:r w:rsidR="00A9107F" w:rsidRPr="00ED0784">
        <w:rPr>
          <w:b/>
          <w:i/>
          <w:iCs/>
        </w:rPr>
        <w:t>DRCA</w:t>
      </w:r>
      <w:r w:rsidR="00A9107F" w:rsidRPr="00C567B2">
        <w:rPr>
          <w:bCs/>
        </w:rPr>
        <w:t>)</w:t>
      </w:r>
      <w:r w:rsidRPr="00C567B2">
        <w:t>.</w:t>
      </w:r>
    </w:p>
    <w:p w14:paraId="4A42B5C4" w14:textId="5B0BA6E4" w:rsidR="009F1310" w:rsidRPr="00C567B2" w:rsidRDefault="009F1310" w:rsidP="00C567B2">
      <w:pPr>
        <w:pStyle w:val="LDBodytext"/>
        <w:numPr>
          <w:ilvl w:val="0"/>
          <w:numId w:val="1"/>
        </w:numPr>
        <w:spacing w:before="0" w:after="240"/>
        <w:ind w:hanging="644"/>
        <w:rPr>
          <w:bCs/>
        </w:rPr>
      </w:pPr>
      <w:r w:rsidRPr="00C567B2">
        <w:rPr>
          <w:bCs/>
        </w:rPr>
        <w:t xml:space="preserve">The Department of </w:t>
      </w:r>
      <w:r w:rsidRPr="00C567B2">
        <w:t>Veterans’</w:t>
      </w:r>
      <w:r w:rsidRPr="00C567B2">
        <w:rPr>
          <w:bCs/>
        </w:rPr>
        <w:t xml:space="preserve"> Affairs (</w:t>
      </w:r>
      <w:r w:rsidRPr="00ED0784">
        <w:rPr>
          <w:b/>
          <w:i/>
          <w:iCs/>
        </w:rPr>
        <w:t>DVA</w:t>
      </w:r>
      <w:r w:rsidRPr="00C567B2">
        <w:rPr>
          <w:bCs/>
        </w:rPr>
        <w:t xml:space="preserve">) has undertaken a review of GARP M to </w:t>
      </w:r>
      <w:r w:rsidR="00A9107F" w:rsidRPr="00C567B2">
        <w:rPr>
          <w:bCs/>
        </w:rPr>
        <w:t>clarify</w:t>
      </w:r>
      <w:r w:rsidRPr="00C567B2">
        <w:rPr>
          <w:bCs/>
        </w:rPr>
        <w:t xml:space="preserve"> the formulas in Chapter 23 and Chapter 25.</w:t>
      </w:r>
    </w:p>
    <w:p w14:paraId="7C440BB9" w14:textId="5B5FAE3E" w:rsidR="009F1310" w:rsidRPr="00C567B2" w:rsidRDefault="009F1310" w:rsidP="00C567B2">
      <w:pPr>
        <w:pStyle w:val="LDBodytext"/>
        <w:numPr>
          <w:ilvl w:val="0"/>
          <w:numId w:val="1"/>
        </w:numPr>
        <w:spacing w:before="0" w:after="240"/>
        <w:ind w:hanging="644"/>
      </w:pPr>
      <w:r w:rsidRPr="00C567B2">
        <w:t xml:space="preserve">The Chapter 23 Combined Ratings formula </w:t>
      </w:r>
      <w:r w:rsidR="00E37072" w:rsidRPr="00C567B2">
        <w:t>is</w:t>
      </w:r>
      <w:r w:rsidRPr="00C567B2">
        <w:t xml:space="preserve"> </w:t>
      </w:r>
      <w:r w:rsidR="00A9107F" w:rsidRPr="00C567B2">
        <w:t>unclear</w:t>
      </w:r>
      <w:r w:rsidRPr="00C567B2">
        <w:t xml:space="preserve"> in prescribing a methodology when </w:t>
      </w:r>
      <w:r w:rsidR="001F5FD9">
        <w:t xml:space="preserve">two </w:t>
      </w:r>
      <w:r w:rsidRPr="00C567B2">
        <w:t xml:space="preserve">or more conditions give rise to impairment ratings at A or B. </w:t>
      </w:r>
      <w:r w:rsidR="00BE14E1" w:rsidRPr="00C567B2">
        <w:t>In these circumstances, DVA arithmetically adds impairment ratings at A and B.</w:t>
      </w:r>
    </w:p>
    <w:p w14:paraId="5982AB25" w14:textId="7C8E886E" w:rsidR="009F1310" w:rsidRPr="00C567B2" w:rsidRDefault="009F1310" w:rsidP="00C567B2">
      <w:pPr>
        <w:pStyle w:val="LDBodytext"/>
        <w:numPr>
          <w:ilvl w:val="0"/>
          <w:numId w:val="1"/>
        </w:numPr>
        <w:spacing w:before="0" w:after="240"/>
        <w:ind w:hanging="644"/>
      </w:pPr>
      <w:r w:rsidRPr="00C567B2">
        <w:t xml:space="preserve">The Chapter 23 and 25 formulas </w:t>
      </w:r>
      <w:r w:rsidR="00E37072" w:rsidRPr="00C567B2">
        <w:t>are</w:t>
      </w:r>
      <w:r w:rsidRPr="00C567B2">
        <w:t xml:space="preserve"> </w:t>
      </w:r>
      <w:r w:rsidR="00A9107F" w:rsidRPr="00C567B2">
        <w:t xml:space="preserve">unclear </w:t>
      </w:r>
      <w:r w:rsidRPr="00C567B2">
        <w:t xml:space="preserve">in prescribing the type of service to be applied in transitional scenarios for veterans with service-related conditions under the Act </w:t>
      </w:r>
      <w:r w:rsidR="00A9107F" w:rsidRPr="00C567B2">
        <w:t>and</w:t>
      </w:r>
      <w:r w:rsidRPr="00C567B2">
        <w:t xml:space="preserve"> </w:t>
      </w:r>
      <w:r w:rsidR="00A9107F" w:rsidRPr="00C567B2">
        <w:t>conditions under the VEA or the DRCA</w:t>
      </w:r>
      <w:r w:rsidR="0090466A">
        <w:t xml:space="preserve"> or both the VEA and the DRCA</w:t>
      </w:r>
      <w:r w:rsidRPr="00C567B2">
        <w:t>.</w:t>
      </w:r>
      <w:r w:rsidR="0090466A">
        <w:t xml:space="preserve"> </w:t>
      </w:r>
      <w:r w:rsidR="00BE14E1" w:rsidRPr="00C567B2">
        <w:t>In these circumstances, DVA treats</w:t>
      </w:r>
      <w:r w:rsidRPr="00C567B2">
        <w:t xml:space="preserve"> VEA conditions as warlike/non-warlike, DRCA </w:t>
      </w:r>
      <w:r w:rsidRPr="00C567B2">
        <w:lastRenderedPageBreak/>
        <w:t>conditions as peacetime, and the same condition under the VEA and DRCA as warlike/non-warlike for this purpose.</w:t>
      </w:r>
    </w:p>
    <w:p w14:paraId="04EC9CDC" w14:textId="2A223B3F" w:rsidR="009F1310" w:rsidRPr="00C567B2" w:rsidRDefault="009F1310" w:rsidP="00C567B2">
      <w:pPr>
        <w:pStyle w:val="LDBodytext"/>
        <w:numPr>
          <w:ilvl w:val="0"/>
          <w:numId w:val="1"/>
        </w:numPr>
        <w:spacing w:before="0" w:after="240"/>
        <w:ind w:hanging="644"/>
        <w:rPr>
          <w:bCs/>
        </w:rPr>
      </w:pPr>
      <w:r w:rsidRPr="00C567B2">
        <w:t>The purpose of the attached</w:t>
      </w:r>
      <w:r w:rsidRPr="00C567B2">
        <w:rPr>
          <w:bCs/>
        </w:rPr>
        <w:t xml:space="preserve"> instrument is to </w:t>
      </w:r>
      <w:r w:rsidR="00A8219C">
        <w:rPr>
          <w:bCs/>
        </w:rPr>
        <w:t xml:space="preserve">ensure </w:t>
      </w:r>
      <w:r w:rsidR="00A8219C" w:rsidRPr="00C567B2">
        <w:rPr>
          <w:bCs/>
        </w:rPr>
        <w:t>the formulas in Chapter 23 and Chapter 25</w:t>
      </w:r>
      <w:r w:rsidR="00A8219C">
        <w:rPr>
          <w:bCs/>
        </w:rPr>
        <w:t xml:space="preserve"> operate as intended</w:t>
      </w:r>
      <w:r w:rsidR="00BE14E1" w:rsidRPr="00C567B2">
        <w:rPr>
          <w:bCs/>
        </w:rPr>
        <w:t xml:space="preserve"> in relation to </w:t>
      </w:r>
      <w:r w:rsidR="0090466A">
        <w:rPr>
          <w:bCs/>
        </w:rPr>
        <w:t>their application</w:t>
      </w:r>
      <w:r w:rsidRPr="00C567B2">
        <w:rPr>
          <w:bCs/>
        </w:rPr>
        <w:t xml:space="preserve">. </w:t>
      </w:r>
      <w:r w:rsidR="00E121E0" w:rsidRPr="00C567B2">
        <w:rPr>
          <w:bCs/>
        </w:rPr>
        <w:t>The instrument</w:t>
      </w:r>
      <w:r w:rsidRPr="00C567B2">
        <w:rPr>
          <w:bCs/>
        </w:rPr>
        <w:t xml:space="preserve"> also fix</w:t>
      </w:r>
      <w:r w:rsidR="00E121E0" w:rsidRPr="00C567B2">
        <w:rPr>
          <w:bCs/>
        </w:rPr>
        <w:t>es</w:t>
      </w:r>
      <w:r w:rsidRPr="00C567B2">
        <w:rPr>
          <w:bCs/>
        </w:rPr>
        <w:t xml:space="preserve"> errors and remove</w:t>
      </w:r>
      <w:r w:rsidR="00E121E0" w:rsidRPr="00C567B2">
        <w:rPr>
          <w:bCs/>
        </w:rPr>
        <w:t>s</w:t>
      </w:r>
      <w:r w:rsidRPr="00C567B2">
        <w:rPr>
          <w:bCs/>
        </w:rPr>
        <w:t xml:space="preserve"> superfluous </w:t>
      </w:r>
      <w:r w:rsidR="00FA260A" w:rsidRPr="00C567B2">
        <w:rPr>
          <w:bCs/>
        </w:rPr>
        <w:t>references</w:t>
      </w:r>
      <w:r w:rsidR="00EA3A01" w:rsidRPr="00C567B2">
        <w:rPr>
          <w:bCs/>
        </w:rPr>
        <w:t xml:space="preserve"> in those chapters</w:t>
      </w:r>
      <w:r w:rsidR="00E121E0" w:rsidRPr="00C567B2">
        <w:rPr>
          <w:bCs/>
        </w:rPr>
        <w:t xml:space="preserve">. It does </w:t>
      </w:r>
      <w:r w:rsidRPr="00C567B2">
        <w:rPr>
          <w:bCs/>
        </w:rPr>
        <w:t xml:space="preserve">not amend any other </w:t>
      </w:r>
      <w:r w:rsidR="00E37072" w:rsidRPr="00C567B2">
        <w:rPr>
          <w:bCs/>
        </w:rPr>
        <w:t xml:space="preserve">chapter </w:t>
      </w:r>
      <w:r w:rsidRPr="00C567B2">
        <w:rPr>
          <w:bCs/>
        </w:rPr>
        <w:t xml:space="preserve">of </w:t>
      </w:r>
      <w:r w:rsidR="00E121E0" w:rsidRPr="00C567B2">
        <w:rPr>
          <w:bCs/>
        </w:rPr>
        <w:t>GARP M</w:t>
      </w:r>
      <w:r w:rsidRPr="00C567B2">
        <w:rPr>
          <w:bCs/>
        </w:rPr>
        <w:t>.</w:t>
      </w:r>
    </w:p>
    <w:p w14:paraId="62DBA7C4" w14:textId="77777777" w:rsidR="009F1310" w:rsidRPr="00C567B2" w:rsidRDefault="009F1310" w:rsidP="00A8219C">
      <w:pPr>
        <w:pStyle w:val="Default"/>
        <w:keepNext/>
        <w:spacing w:after="240"/>
        <w:rPr>
          <w:b/>
          <w:bCs/>
        </w:rPr>
      </w:pPr>
      <w:r w:rsidRPr="00C567B2">
        <w:rPr>
          <w:b/>
          <w:bCs/>
        </w:rPr>
        <w:t>CONSULTATION</w:t>
      </w:r>
    </w:p>
    <w:p w14:paraId="1FBFEE63" w14:textId="408D2B87" w:rsidR="009F1310" w:rsidRPr="00C567B2" w:rsidRDefault="009F1310" w:rsidP="00C567B2">
      <w:pPr>
        <w:pStyle w:val="LDBodytext"/>
        <w:numPr>
          <w:ilvl w:val="0"/>
          <w:numId w:val="1"/>
        </w:numPr>
        <w:spacing w:before="0" w:after="240"/>
        <w:ind w:hanging="644"/>
      </w:pPr>
      <w:r w:rsidRPr="00C567B2">
        <w:t>DVA regularly consults with members of the ex-service community via the Multi-Act Working Group</w:t>
      </w:r>
      <w:r w:rsidR="001F5FD9">
        <w:t xml:space="preserve">, </w:t>
      </w:r>
      <w:r w:rsidRPr="00C567B2">
        <w:t>which consists of representatives of the Ex-Service Organisations Round Table</w:t>
      </w:r>
      <w:r w:rsidR="001F5FD9">
        <w:t xml:space="preserve">. </w:t>
      </w:r>
      <w:r w:rsidRPr="00C567B2">
        <w:t>Members have long expressed concern over the inadequacies of the Chapter 23 and Chapter 25 formulas and DVA has committed to rectifying this issue as soon as possible.</w:t>
      </w:r>
    </w:p>
    <w:p w14:paraId="212910D3" w14:textId="0FFCEAD9" w:rsidR="009F1310" w:rsidRPr="00C567B2" w:rsidRDefault="009F1310" w:rsidP="00C567B2">
      <w:pPr>
        <w:pStyle w:val="LDBodytext"/>
        <w:numPr>
          <w:ilvl w:val="0"/>
          <w:numId w:val="1"/>
        </w:numPr>
        <w:spacing w:before="0" w:after="240"/>
        <w:ind w:hanging="644"/>
      </w:pPr>
      <w:r w:rsidRPr="00C567B2">
        <w:t xml:space="preserve">No additional consultation was necessary, as the amendments to </w:t>
      </w:r>
      <w:r w:rsidR="00A8219C">
        <w:t>GARP M</w:t>
      </w:r>
      <w:r w:rsidRPr="00C567B2">
        <w:t xml:space="preserve"> simply </w:t>
      </w:r>
      <w:r w:rsidR="00A8219C">
        <w:t xml:space="preserve">clarify the </w:t>
      </w:r>
      <w:r w:rsidR="00D44C69" w:rsidRPr="00C567B2">
        <w:t>application of the Chapter 23 and Chapter 25 formulas.</w:t>
      </w:r>
    </w:p>
    <w:p w14:paraId="5DBA803B" w14:textId="77777777" w:rsidR="009F1310" w:rsidRPr="00C567B2" w:rsidRDefault="009F1310" w:rsidP="00A8219C">
      <w:pPr>
        <w:pStyle w:val="Default"/>
        <w:keepNext/>
        <w:spacing w:after="240"/>
        <w:rPr>
          <w:b/>
          <w:bCs/>
        </w:rPr>
      </w:pPr>
      <w:r w:rsidRPr="00C567B2">
        <w:rPr>
          <w:b/>
          <w:bCs/>
        </w:rPr>
        <w:t>COMMENCEMENT</w:t>
      </w:r>
    </w:p>
    <w:p w14:paraId="56D62FD9" w14:textId="77777777" w:rsidR="009F1310" w:rsidRPr="00C567B2" w:rsidRDefault="009F1310" w:rsidP="00C567B2">
      <w:pPr>
        <w:pStyle w:val="LDBodytext"/>
        <w:numPr>
          <w:ilvl w:val="0"/>
          <w:numId w:val="1"/>
        </w:numPr>
        <w:spacing w:before="0" w:after="240"/>
        <w:ind w:hanging="644"/>
      </w:pPr>
      <w:r w:rsidRPr="00C567B2">
        <w:t>The instrument commences on the day after it is registered on the Federal Register of Legislation.</w:t>
      </w:r>
    </w:p>
    <w:p w14:paraId="18620EEA" w14:textId="77777777" w:rsidR="009F1310" w:rsidRPr="00C567B2" w:rsidRDefault="009F1310" w:rsidP="00A8219C">
      <w:pPr>
        <w:pStyle w:val="Default"/>
        <w:keepNext/>
        <w:spacing w:after="240"/>
        <w:rPr>
          <w:b/>
          <w:bCs/>
        </w:rPr>
      </w:pPr>
      <w:r w:rsidRPr="00C567B2">
        <w:rPr>
          <w:b/>
          <w:bCs/>
        </w:rPr>
        <w:t>RETROSPECTIVITY</w:t>
      </w:r>
    </w:p>
    <w:p w14:paraId="04E2EE45" w14:textId="3F9F1017" w:rsidR="006B697F" w:rsidRDefault="009F1310" w:rsidP="00C567B2">
      <w:pPr>
        <w:pStyle w:val="LDBodytext"/>
        <w:numPr>
          <w:ilvl w:val="0"/>
          <w:numId w:val="1"/>
        </w:numPr>
        <w:spacing w:before="0" w:after="240"/>
        <w:ind w:hanging="644"/>
      </w:pPr>
      <w:r w:rsidRPr="00C567B2">
        <w:t>No.</w:t>
      </w:r>
    </w:p>
    <w:p w14:paraId="543917D9" w14:textId="77777777" w:rsidR="006B697F" w:rsidRDefault="006B697F">
      <w:pPr>
        <w:rPr>
          <w:rFonts w:ascii="Times New Roman" w:eastAsia="Times New Roman" w:hAnsi="Times New Roman" w:cs="Times New Roman"/>
          <w:sz w:val="24"/>
          <w:szCs w:val="24"/>
        </w:rPr>
      </w:pPr>
      <w:r>
        <w:br w:type="page"/>
      </w:r>
    </w:p>
    <w:p w14:paraId="4E60D75E" w14:textId="112CBC91" w:rsidR="009F1310" w:rsidRDefault="006B697F" w:rsidP="006B697F">
      <w:pPr>
        <w:pStyle w:val="Default"/>
        <w:keepNext/>
        <w:spacing w:after="240"/>
        <w:jc w:val="center"/>
      </w:pPr>
      <w:r>
        <w:rPr>
          <w:b/>
          <w:bCs/>
        </w:rPr>
        <w:lastRenderedPageBreak/>
        <w:t>Statement of Compatibility with Human Rights</w:t>
      </w:r>
    </w:p>
    <w:p w14:paraId="3C3FEF8E" w14:textId="5CE8C974" w:rsidR="006B697F" w:rsidRDefault="001F5FD9" w:rsidP="006B697F">
      <w:pPr>
        <w:pStyle w:val="Default"/>
        <w:keepNext/>
        <w:spacing w:after="240"/>
        <w:jc w:val="center"/>
        <w:rPr>
          <w:i/>
          <w:iCs/>
        </w:rPr>
      </w:pPr>
      <w:r>
        <w:rPr>
          <w:i/>
          <w:iCs/>
          <w:sz w:val="22"/>
          <w:szCs w:val="22"/>
        </w:rPr>
        <w:t>P</w:t>
      </w:r>
      <w:r w:rsidR="006B697F" w:rsidRPr="00CD5C7A">
        <w:rPr>
          <w:i/>
          <w:iCs/>
          <w:sz w:val="22"/>
          <w:szCs w:val="22"/>
        </w:rPr>
        <w:t>repared in accordance with Part 3 of the Human Rights (Parliamentary Scrutiny) Act 2011</w:t>
      </w:r>
    </w:p>
    <w:p w14:paraId="1522A18E" w14:textId="1760B09C" w:rsidR="006B697F" w:rsidRDefault="006B697F" w:rsidP="006B697F">
      <w:pPr>
        <w:pStyle w:val="Default"/>
        <w:keepNext/>
        <w:spacing w:after="240"/>
        <w:jc w:val="center"/>
      </w:pPr>
      <w:r>
        <w:rPr>
          <w:b/>
          <w:bCs/>
        </w:rPr>
        <w:t>Guide to Determining Impairment and Compensation Amendment Instrument 202</w:t>
      </w:r>
      <w:r w:rsidR="00EF082D">
        <w:rPr>
          <w:b/>
          <w:bCs/>
        </w:rPr>
        <w:t>5</w:t>
      </w:r>
    </w:p>
    <w:p w14:paraId="124EA2E8" w14:textId="23387881" w:rsidR="006B697F" w:rsidRPr="00CD5C7A" w:rsidRDefault="006B697F" w:rsidP="00CD5C7A">
      <w:pPr>
        <w:pStyle w:val="Default"/>
        <w:keepNext/>
        <w:spacing w:after="240"/>
        <w:jc w:val="center"/>
      </w:pPr>
      <w:r>
        <w:t xml:space="preserve">This Disallowable Legislative Instrument is compatible with the human rights and freedoms recognised or declared in the international instruments listed in section 3 of the </w:t>
      </w:r>
      <w:r>
        <w:rPr>
          <w:i/>
          <w:iCs/>
        </w:rPr>
        <w:t>Human Rights (Parliamentary Scrutiny) Act 2011</w:t>
      </w:r>
      <w:r>
        <w:t>.</w:t>
      </w:r>
    </w:p>
    <w:p w14:paraId="6F9A0B5D" w14:textId="00F81F74" w:rsidR="006B697F" w:rsidRPr="00CD5C7A" w:rsidRDefault="006B697F" w:rsidP="006B697F">
      <w:pPr>
        <w:pStyle w:val="LDBodytext"/>
        <w:spacing w:before="0" w:after="240"/>
        <w:rPr>
          <w:b/>
          <w:bCs/>
        </w:rPr>
      </w:pPr>
      <w:r>
        <w:rPr>
          <w:b/>
          <w:bCs/>
        </w:rPr>
        <w:t>Overview of the Disallowable Legislative Instrument</w:t>
      </w:r>
    </w:p>
    <w:p w14:paraId="6FC75B03" w14:textId="40314335" w:rsidR="006B697F" w:rsidRPr="00CD5C7A" w:rsidRDefault="006B697F" w:rsidP="006B697F">
      <w:pPr>
        <w:pStyle w:val="LDBodytext"/>
        <w:spacing w:before="0" w:after="240"/>
        <w:rPr>
          <w:b/>
          <w:bCs/>
        </w:rPr>
      </w:pPr>
      <w:r>
        <w:rPr>
          <w:b/>
          <w:bCs/>
        </w:rPr>
        <w:t>Human rights implications</w:t>
      </w:r>
    </w:p>
    <w:p w14:paraId="323FCC6A" w14:textId="1DAEE9A6" w:rsidR="00724ACD" w:rsidRDefault="009F1310" w:rsidP="006B697F">
      <w:pPr>
        <w:pStyle w:val="LDBodytext"/>
        <w:spacing w:before="0" w:after="240"/>
      </w:pPr>
      <w:r w:rsidRPr="00C567B2">
        <w:t>Th</w:t>
      </w:r>
      <w:r w:rsidR="006B697F">
        <w:t>is Disallowable Legislative I</w:t>
      </w:r>
      <w:r w:rsidRPr="00C567B2">
        <w:t xml:space="preserve">nstrument </w:t>
      </w:r>
      <w:r w:rsidR="006B697F">
        <w:t>engages and promotes the right</w:t>
      </w:r>
      <w:r w:rsidR="001D4A1D">
        <w:t xml:space="preserve"> to equality before the law</w:t>
      </w:r>
      <w:r w:rsidR="006B697F">
        <w:t xml:space="preserve"> because it clarifies the application of certain formulas to work out the compensation to which a veteran</w:t>
      </w:r>
      <w:r w:rsidR="001D4A1D">
        <w:t xml:space="preserve"> is entitled</w:t>
      </w:r>
      <w:r w:rsidR="006B697F">
        <w:t>. It ensures that the formulas are applied in a consistent manner for all veterans who are entitled to the compensation, regardless of their personal, educational and social backgrounds.</w:t>
      </w:r>
    </w:p>
    <w:p w14:paraId="427E4E79" w14:textId="7444DE75" w:rsidR="006B697F" w:rsidRDefault="00724ACD" w:rsidP="006B697F">
      <w:pPr>
        <w:pStyle w:val="LDBodytext"/>
        <w:spacing w:before="0" w:after="240"/>
      </w:pPr>
      <w:r>
        <w:t>Further, clarity in the application of the formulas would reduce the adverse impact on a veteran’s mental health because the likelihood of the veteran having to dispute the amount of compensation received would be reduced. It also helps the veteran in financial planning as the amount of compensation received can be worked out more accurately.</w:t>
      </w:r>
    </w:p>
    <w:p w14:paraId="1792DEF2" w14:textId="66EE7310" w:rsidR="001D4A1D" w:rsidRPr="00CD5C7A" w:rsidRDefault="001D4A1D" w:rsidP="00CD5C7A">
      <w:pPr>
        <w:pStyle w:val="LDBodytext"/>
        <w:spacing w:before="0" w:after="240"/>
      </w:pPr>
      <w:r>
        <w:t xml:space="preserve">The right to equality before the law is contained in Article 26 of the </w:t>
      </w:r>
      <w:r>
        <w:rPr>
          <w:i/>
          <w:iCs/>
        </w:rPr>
        <w:t>International Covenant on Civil and Political Rights</w:t>
      </w:r>
      <w:r>
        <w:t>.</w:t>
      </w:r>
    </w:p>
    <w:p w14:paraId="66CEAB58" w14:textId="3E61DCDC" w:rsidR="009F1310" w:rsidRPr="00CD5C7A" w:rsidRDefault="009F1310" w:rsidP="00CD5C7A">
      <w:pPr>
        <w:pStyle w:val="LDBodytext"/>
        <w:spacing w:before="0" w:after="240"/>
      </w:pPr>
      <w:r w:rsidRPr="00CD5C7A">
        <w:t>Although the instrument contains formulas for calculating a person’s impairment for compensation purposes and to that extent relates to a person with disabilities, the nexus is technical and has no bearing on the provision of services for people with disabilities</w:t>
      </w:r>
      <w:r w:rsidR="00A8219C" w:rsidRPr="00CD5C7A">
        <w:t>.</w:t>
      </w:r>
      <w:r w:rsidR="005133AC" w:rsidRPr="00CD5C7A">
        <w:t xml:space="preserve"> Accordingly</w:t>
      </w:r>
      <w:r w:rsidR="0090466A" w:rsidRPr="00CD5C7A">
        <w:t>,</w:t>
      </w:r>
      <w:r w:rsidR="005133AC" w:rsidRPr="00CD5C7A">
        <w:t xml:space="preserve"> the right to full and effective participation in society, on an equal basis with others, by people with a disability, contained in the Convention on the Rights of Persons with Disabilities, is not </w:t>
      </w:r>
      <w:r w:rsidR="0090466A" w:rsidRPr="00CD5C7A">
        <w:t>engaged here</w:t>
      </w:r>
      <w:r w:rsidR="005133AC" w:rsidRPr="00CD5C7A">
        <w:t>.</w:t>
      </w:r>
    </w:p>
    <w:p w14:paraId="4178F2BC" w14:textId="7C067646" w:rsidR="006B697F" w:rsidRPr="006B697F" w:rsidRDefault="006B697F" w:rsidP="006B697F">
      <w:pPr>
        <w:pStyle w:val="LDBodytext"/>
        <w:spacing w:before="0" w:after="240"/>
      </w:pPr>
      <w:r>
        <w:rPr>
          <w:b/>
          <w:bCs/>
        </w:rPr>
        <w:t>Conclusion</w:t>
      </w:r>
    </w:p>
    <w:p w14:paraId="06F4F5CF" w14:textId="1EEAF1CE" w:rsidR="00A8219C" w:rsidRDefault="006B697F" w:rsidP="00CD5C7A">
      <w:pPr>
        <w:pStyle w:val="LDBodytext"/>
        <w:spacing w:before="0" w:after="240"/>
      </w:pPr>
      <w:r>
        <w:t>This Disallowable Legislative Instrument</w:t>
      </w:r>
      <w:r w:rsidR="009F1310" w:rsidRPr="00C567B2">
        <w:t xml:space="preserve"> is compatible with human rights as it does not </w:t>
      </w:r>
      <w:r>
        <w:t xml:space="preserve">limit </w:t>
      </w:r>
      <w:r w:rsidR="009F1310" w:rsidRPr="00C567B2">
        <w:t>any human rights.</w:t>
      </w:r>
    </w:p>
    <w:p w14:paraId="203C581A" w14:textId="4750EF31" w:rsidR="009F1310" w:rsidRPr="00C567B2" w:rsidRDefault="009F1310"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Military Rehabilitation and Compensation Commission</w:t>
      </w:r>
      <w:r w:rsidR="00A8219C">
        <w:rPr>
          <w:rFonts w:ascii="Times New Roman" w:hAnsi="Times New Roman" w:cs="Times New Roman"/>
          <w:sz w:val="24"/>
          <w:szCs w:val="24"/>
        </w:rPr>
        <w:br/>
      </w:r>
      <w:r w:rsidRPr="00C567B2">
        <w:rPr>
          <w:rFonts w:ascii="Times New Roman" w:hAnsi="Times New Roman" w:cs="Times New Roman"/>
          <w:sz w:val="24"/>
          <w:szCs w:val="24"/>
        </w:rPr>
        <w:t>Rule-Maker</w:t>
      </w:r>
    </w:p>
    <w:p w14:paraId="6E9E772F" w14:textId="77777777" w:rsidR="009F1310" w:rsidRPr="00C567B2" w:rsidRDefault="009F1310" w:rsidP="00A8219C">
      <w:pPr>
        <w:pStyle w:val="Default"/>
        <w:keepNext/>
        <w:spacing w:after="240"/>
        <w:rPr>
          <w:b/>
          <w:bCs/>
        </w:rPr>
      </w:pPr>
      <w:r w:rsidRPr="00C567B2">
        <w:rPr>
          <w:b/>
          <w:bCs/>
        </w:rPr>
        <w:t>FURTHER EXPLANATION OF NEW PROVISIONS</w:t>
      </w:r>
    </w:p>
    <w:p w14:paraId="1FCB3721" w14:textId="0FC64C94" w:rsidR="009F1310" w:rsidRPr="00C567B2" w:rsidRDefault="009F1310" w:rsidP="00C567B2">
      <w:pPr>
        <w:pStyle w:val="LDBodytext"/>
        <w:spacing w:before="0" w:after="240"/>
      </w:pPr>
      <w:r w:rsidRPr="00C567B2">
        <w:t xml:space="preserve">See </w:t>
      </w:r>
      <w:r w:rsidRPr="00C567B2">
        <w:rPr>
          <w:u w:val="single"/>
        </w:rPr>
        <w:t>Attachment A</w:t>
      </w:r>
      <w:r w:rsidRPr="00C567B2">
        <w:t>.</w:t>
      </w:r>
    </w:p>
    <w:p w14:paraId="520EB764" w14:textId="77777777" w:rsidR="009F1310" w:rsidRPr="00C567B2" w:rsidRDefault="009F1310" w:rsidP="00C567B2">
      <w:pPr>
        <w:pStyle w:val="LDBodytext"/>
        <w:spacing w:before="0" w:after="240"/>
        <w:sectPr w:rsidR="009F1310" w:rsidRPr="00C567B2" w:rsidSect="009F1310">
          <w:footerReference w:type="default" r:id="rId7"/>
          <w:pgSz w:w="11906" w:h="16838"/>
          <w:pgMar w:top="1440" w:right="1440" w:bottom="1440" w:left="1440" w:header="708" w:footer="708" w:gutter="0"/>
          <w:cols w:space="720"/>
        </w:sectPr>
      </w:pPr>
    </w:p>
    <w:p w14:paraId="199E5F55" w14:textId="77777777" w:rsidR="009F1310" w:rsidRPr="00C567B2" w:rsidRDefault="009F1310" w:rsidP="00C567B2">
      <w:pPr>
        <w:pStyle w:val="Title"/>
        <w:spacing w:after="240"/>
        <w:contextualSpacing w:val="0"/>
        <w:jc w:val="right"/>
        <w:rPr>
          <w:rFonts w:ascii="Times New Roman" w:hAnsi="Times New Roman" w:cs="Times New Roman"/>
          <w:b/>
          <w:bCs/>
          <w:spacing w:val="0"/>
          <w:sz w:val="24"/>
          <w:szCs w:val="24"/>
        </w:rPr>
      </w:pPr>
      <w:r w:rsidRPr="00C567B2">
        <w:rPr>
          <w:rFonts w:ascii="Times New Roman" w:hAnsi="Times New Roman" w:cs="Times New Roman"/>
          <w:b/>
          <w:bCs/>
          <w:spacing w:val="0"/>
          <w:sz w:val="24"/>
          <w:szCs w:val="24"/>
        </w:rPr>
        <w:lastRenderedPageBreak/>
        <w:t>Attachment A</w:t>
      </w:r>
    </w:p>
    <w:p w14:paraId="252033F9" w14:textId="580FCAB7" w:rsidR="009F1310" w:rsidRPr="00C567B2" w:rsidRDefault="009F1310" w:rsidP="00C567B2">
      <w:pPr>
        <w:pStyle w:val="Title"/>
        <w:spacing w:after="240"/>
        <w:contextualSpacing w:val="0"/>
        <w:rPr>
          <w:rFonts w:ascii="Times New Roman" w:hAnsi="Times New Roman" w:cs="Times New Roman"/>
          <w:b/>
          <w:bCs/>
          <w:spacing w:val="0"/>
          <w:sz w:val="24"/>
          <w:szCs w:val="24"/>
        </w:rPr>
      </w:pPr>
      <w:r w:rsidRPr="00C567B2">
        <w:rPr>
          <w:rFonts w:ascii="Times New Roman" w:hAnsi="Times New Roman" w:cs="Times New Roman"/>
          <w:b/>
          <w:bCs/>
          <w:spacing w:val="0"/>
          <w:sz w:val="24"/>
          <w:szCs w:val="24"/>
        </w:rPr>
        <w:t xml:space="preserve">Schedule </w:t>
      </w:r>
      <w:r w:rsidR="0096576B" w:rsidRPr="00C567B2">
        <w:rPr>
          <w:rFonts w:ascii="Times New Roman" w:hAnsi="Times New Roman" w:cs="Times New Roman"/>
          <w:b/>
          <w:bCs/>
          <w:spacing w:val="0"/>
          <w:sz w:val="24"/>
          <w:szCs w:val="24"/>
        </w:rPr>
        <w:t>1—</w:t>
      </w:r>
      <w:r w:rsidRPr="00C567B2">
        <w:rPr>
          <w:rFonts w:ascii="Times New Roman" w:hAnsi="Times New Roman" w:cs="Times New Roman"/>
          <w:b/>
          <w:bCs/>
          <w:spacing w:val="0"/>
          <w:sz w:val="24"/>
          <w:szCs w:val="24"/>
        </w:rPr>
        <w:t>Amendments</w:t>
      </w:r>
    </w:p>
    <w:p w14:paraId="2B15567C" w14:textId="7047CD02" w:rsidR="0096576B" w:rsidRPr="00C567B2" w:rsidRDefault="0096576B" w:rsidP="00C567B2">
      <w:pPr>
        <w:keepNext/>
        <w:tabs>
          <w:tab w:val="left" w:pos="851"/>
        </w:tabs>
        <w:spacing w:after="240" w:line="240" w:lineRule="auto"/>
        <w:rPr>
          <w:rFonts w:ascii="Times New Roman" w:hAnsi="Times New Roman" w:cs="Times New Roman"/>
          <w:b/>
          <w:bCs/>
          <w:sz w:val="24"/>
          <w:szCs w:val="24"/>
        </w:rPr>
      </w:pPr>
      <w:r w:rsidRPr="00C567B2">
        <w:rPr>
          <w:rFonts w:ascii="Times New Roman" w:hAnsi="Times New Roman" w:cs="Times New Roman"/>
          <w:b/>
          <w:bCs/>
          <w:sz w:val="24"/>
          <w:szCs w:val="24"/>
        </w:rPr>
        <w:t>Item 1</w:t>
      </w:r>
      <w:r w:rsidRPr="00C567B2">
        <w:rPr>
          <w:rFonts w:ascii="Times New Roman" w:hAnsi="Times New Roman" w:cs="Times New Roman"/>
          <w:b/>
          <w:bCs/>
          <w:sz w:val="24"/>
          <w:szCs w:val="24"/>
        </w:rPr>
        <w:tab/>
        <w:t>Chapter 23, section entitled ‘Determining the factor for compensation payment’</w:t>
      </w:r>
    </w:p>
    <w:p w14:paraId="762D3F78" w14:textId="70E0A060" w:rsidR="0096576B" w:rsidRPr="00C567B2" w:rsidRDefault="003257B2"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 xml:space="preserve">This item replaces the section. </w:t>
      </w:r>
      <w:r w:rsidR="00A8219C">
        <w:rPr>
          <w:rFonts w:ascii="Times New Roman" w:hAnsi="Times New Roman" w:cs="Times New Roman"/>
          <w:sz w:val="24"/>
          <w:szCs w:val="24"/>
        </w:rPr>
        <w:t xml:space="preserve">The changes are as follows.  </w:t>
      </w:r>
    </w:p>
    <w:p w14:paraId="7FD72E96" w14:textId="77777777" w:rsidR="003257B2" w:rsidRPr="00C567B2" w:rsidRDefault="003257B2" w:rsidP="00C567B2">
      <w:pPr>
        <w:spacing w:after="120" w:line="240" w:lineRule="auto"/>
        <w:rPr>
          <w:rFonts w:ascii="Times New Roman" w:hAnsi="Times New Roman" w:cs="Times New Roman"/>
          <w:sz w:val="24"/>
          <w:szCs w:val="24"/>
        </w:rPr>
      </w:pPr>
      <w:r w:rsidRPr="00C567B2">
        <w:rPr>
          <w:rFonts w:ascii="Times New Roman" w:hAnsi="Times New Roman" w:cs="Times New Roman"/>
          <w:sz w:val="24"/>
          <w:szCs w:val="24"/>
        </w:rPr>
        <w:t>In the first paragraph of the section:</w:t>
      </w:r>
    </w:p>
    <w:p w14:paraId="5E37D19E" w14:textId="0F5F1A7A" w:rsidR="0096576B" w:rsidRPr="00C567B2" w:rsidRDefault="007049AA"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t</w:t>
      </w:r>
      <w:r w:rsidR="0096576B" w:rsidRPr="00C567B2">
        <w:rPr>
          <w:rFonts w:ascii="Times New Roman" w:hAnsi="Times New Roman" w:cs="Times New Roman"/>
          <w:sz w:val="24"/>
          <w:szCs w:val="24"/>
        </w:rPr>
        <w:t>he reference to lump sum is replaced with weekly payment, to clarify that compensation is determined by multiplying the compensation factor by the maximum weekly amount payable under the Act</w:t>
      </w:r>
      <w:r w:rsidRPr="00C567B2">
        <w:rPr>
          <w:rFonts w:ascii="Times New Roman" w:hAnsi="Times New Roman" w:cs="Times New Roman"/>
          <w:sz w:val="24"/>
          <w:szCs w:val="24"/>
        </w:rPr>
        <w:t>; and</w:t>
      </w:r>
    </w:p>
    <w:p w14:paraId="1E7189D2" w14:textId="7D26A581" w:rsidR="0096576B" w:rsidRPr="00C567B2" w:rsidRDefault="007049AA" w:rsidP="00C567B2">
      <w:pPr>
        <w:pStyle w:val="ListParagraph"/>
        <w:numPr>
          <w:ilvl w:val="0"/>
          <w:numId w:val="3"/>
        </w:numPr>
        <w:spacing w:after="240" w:line="240" w:lineRule="auto"/>
        <w:ind w:left="714" w:hanging="357"/>
        <w:contextualSpacing w:val="0"/>
        <w:rPr>
          <w:rFonts w:ascii="Times New Roman" w:hAnsi="Times New Roman" w:cs="Times New Roman"/>
          <w:sz w:val="24"/>
          <w:szCs w:val="24"/>
        </w:rPr>
      </w:pPr>
      <w:r w:rsidRPr="00C567B2">
        <w:rPr>
          <w:rFonts w:ascii="Times New Roman" w:hAnsi="Times New Roman" w:cs="Times New Roman"/>
          <w:sz w:val="24"/>
          <w:szCs w:val="24"/>
        </w:rPr>
        <w:t>r</w:t>
      </w:r>
      <w:r w:rsidR="0096576B" w:rsidRPr="00C567B2">
        <w:rPr>
          <w:rFonts w:ascii="Times New Roman" w:hAnsi="Times New Roman" w:cs="Times New Roman"/>
          <w:sz w:val="24"/>
          <w:szCs w:val="24"/>
        </w:rPr>
        <w:t>eferences to provisions defining the maximum weekly amounts and indexation are added</w:t>
      </w:r>
      <w:r w:rsidRPr="00C567B2">
        <w:rPr>
          <w:rFonts w:ascii="Times New Roman" w:hAnsi="Times New Roman" w:cs="Times New Roman"/>
          <w:sz w:val="24"/>
          <w:szCs w:val="24"/>
        </w:rPr>
        <w:t xml:space="preserve"> (c</w:t>
      </w:r>
      <w:r w:rsidR="0096576B" w:rsidRPr="00C567B2">
        <w:rPr>
          <w:rFonts w:ascii="Times New Roman" w:hAnsi="Times New Roman" w:cs="Times New Roman"/>
          <w:sz w:val="24"/>
          <w:szCs w:val="24"/>
        </w:rPr>
        <w:t>urrent payment rates may be access</w:t>
      </w:r>
      <w:r w:rsidR="00ED7334" w:rsidRPr="00C567B2">
        <w:rPr>
          <w:rFonts w:ascii="Times New Roman" w:hAnsi="Times New Roman" w:cs="Times New Roman"/>
          <w:sz w:val="24"/>
          <w:szCs w:val="24"/>
        </w:rPr>
        <w:t>ed</w:t>
      </w:r>
      <w:r w:rsidR="0096576B" w:rsidRPr="00C567B2">
        <w:rPr>
          <w:rFonts w:ascii="Times New Roman" w:hAnsi="Times New Roman" w:cs="Times New Roman"/>
          <w:sz w:val="24"/>
          <w:szCs w:val="24"/>
        </w:rPr>
        <w:t xml:space="preserve"> on the DVA website at </w:t>
      </w:r>
      <w:r w:rsidR="00A803A2" w:rsidRPr="008C0A17">
        <w:t>www.dva.gov.au</w:t>
      </w:r>
      <w:r w:rsidRPr="00C567B2">
        <w:rPr>
          <w:rFonts w:ascii="Times New Roman" w:hAnsi="Times New Roman" w:cs="Times New Roman"/>
          <w:sz w:val="24"/>
          <w:szCs w:val="24"/>
        </w:rPr>
        <w:t>)</w:t>
      </w:r>
      <w:r w:rsidR="0096576B" w:rsidRPr="00C567B2">
        <w:rPr>
          <w:rFonts w:ascii="Times New Roman" w:hAnsi="Times New Roman" w:cs="Times New Roman"/>
          <w:sz w:val="24"/>
          <w:szCs w:val="24"/>
        </w:rPr>
        <w:t>.</w:t>
      </w:r>
    </w:p>
    <w:p w14:paraId="2264EACB" w14:textId="1DCAEC55" w:rsidR="007049AA" w:rsidRPr="00C567B2" w:rsidRDefault="007049AA"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 xml:space="preserve">The </w:t>
      </w:r>
      <w:r w:rsidR="00F46A1E">
        <w:rPr>
          <w:rFonts w:ascii="Times New Roman" w:hAnsi="Times New Roman" w:cs="Times New Roman"/>
          <w:sz w:val="24"/>
          <w:szCs w:val="24"/>
        </w:rPr>
        <w:t>last</w:t>
      </w:r>
      <w:r w:rsidRPr="00C567B2">
        <w:rPr>
          <w:rFonts w:ascii="Times New Roman" w:hAnsi="Times New Roman" w:cs="Times New Roman"/>
          <w:sz w:val="24"/>
          <w:szCs w:val="24"/>
        </w:rPr>
        <w:t xml:space="preserve"> paragraph is changed to refer to the different types of service.</w:t>
      </w:r>
    </w:p>
    <w:p w14:paraId="04C0F497" w14:textId="28B08A72" w:rsidR="0096576B" w:rsidRPr="00C567B2" w:rsidRDefault="0096576B" w:rsidP="00C567B2">
      <w:pPr>
        <w:keepNext/>
        <w:tabs>
          <w:tab w:val="left" w:pos="851"/>
        </w:tabs>
        <w:spacing w:after="240" w:line="240" w:lineRule="auto"/>
        <w:rPr>
          <w:rFonts w:ascii="Times New Roman" w:hAnsi="Times New Roman" w:cs="Times New Roman"/>
          <w:b/>
          <w:bCs/>
          <w:sz w:val="24"/>
          <w:szCs w:val="24"/>
        </w:rPr>
      </w:pPr>
      <w:r w:rsidRPr="00C567B2">
        <w:rPr>
          <w:rFonts w:ascii="Times New Roman" w:hAnsi="Times New Roman" w:cs="Times New Roman"/>
          <w:b/>
          <w:bCs/>
          <w:sz w:val="24"/>
          <w:szCs w:val="24"/>
        </w:rPr>
        <w:t>Item 2</w:t>
      </w:r>
      <w:r w:rsidRPr="00C567B2">
        <w:rPr>
          <w:rFonts w:ascii="Times New Roman" w:hAnsi="Times New Roman" w:cs="Times New Roman"/>
          <w:b/>
          <w:bCs/>
          <w:sz w:val="24"/>
          <w:szCs w:val="24"/>
        </w:rPr>
        <w:tab/>
        <w:t>Chapter 23, section entitled ‘Combined ratings’</w:t>
      </w:r>
    </w:p>
    <w:p w14:paraId="464E6B82" w14:textId="0CD94A7B" w:rsidR="007049AA" w:rsidRPr="00C567B2" w:rsidRDefault="007049AA" w:rsidP="005133AC">
      <w:pPr>
        <w:spacing w:after="120" w:line="240" w:lineRule="auto"/>
        <w:rPr>
          <w:rFonts w:ascii="Times New Roman" w:hAnsi="Times New Roman" w:cs="Times New Roman"/>
          <w:sz w:val="24"/>
          <w:szCs w:val="24"/>
        </w:rPr>
      </w:pPr>
      <w:r w:rsidRPr="00C567B2">
        <w:rPr>
          <w:rFonts w:ascii="Times New Roman" w:hAnsi="Times New Roman" w:cs="Times New Roman"/>
          <w:sz w:val="24"/>
          <w:szCs w:val="24"/>
        </w:rPr>
        <w:t>This item replaces the section. The changes are:</w:t>
      </w:r>
    </w:p>
    <w:p w14:paraId="7973FA47" w14:textId="17A39F4D" w:rsidR="0096576B" w:rsidRPr="00C567B2" w:rsidRDefault="007049AA"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m</w:t>
      </w:r>
      <w:r w:rsidR="0096576B" w:rsidRPr="00C567B2">
        <w:rPr>
          <w:rFonts w:ascii="Times New Roman" w:hAnsi="Times New Roman" w:cs="Times New Roman"/>
          <w:sz w:val="24"/>
          <w:szCs w:val="24"/>
        </w:rPr>
        <w:t>inor changes to style and layout for readability</w:t>
      </w:r>
      <w:r w:rsidRPr="00C567B2">
        <w:rPr>
          <w:rFonts w:ascii="Times New Roman" w:hAnsi="Times New Roman" w:cs="Times New Roman"/>
          <w:sz w:val="24"/>
          <w:szCs w:val="24"/>
        </w:rPr>
        <w:t>;</w:t>
      </w:r>
    </w:p>
    <w:p w14:paraId="71556330" w14:textId="08569325" w:rsidR="0096576B" w:rsidRPr="00C567B2" w:rsidRDefault="007049AA"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n</w:t>
      </w:r>
      <w:r w:rsidR="0096576B" w:rsidRPr="00C567B2">
        <w:rPr>
          <w:rFonts w:ascii="Times New Roman" w:hAnsi="Times New Roman" w:cs="Times New Roman"/>
          <w:sz w:val="24"/>
          <w:szCs w:val="24"/>
        </w:rPr>
        <w:t>ew content to clarify that where two or more conditions contribute to ‘A’ or ‘B’ in the formula, the ratings are arithmetically added</w:t>
      </w:r>
      <w:r w:rsidRPr="00C567B2">
        <w:rPr>
          <w:rFonts w:ascii="Times New Roman" w:hAnsi="Times New Roman" w:cs="Times New Roman"/>
          <w:sz w:val="24"/>
          <w:szCs w:val="24"/>
        </w:rPr>
        <w:t>;</w:t>
      </w:r>
    </w:p>
    <w:p w14:paraId="73CB09C4" w14:textId="37AAAAE7" w:rsidR="0096576B" w:rsidRPr="00C567B2" w:rsidRDefault="001F5FD9" w:rsidP="00C567B2">
      <w:pPr>
        <w:pStyle w:val="ListParagraph"/>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e</w:t>
      </w:r>
      <w:r w:rsidR="0096576B" w:rsidRPr="00C567B2">
        <w:rPr>
          <w:rFonts w:ascii="Times New Roman" w:hAnsi="Times New Roman" w:cs="Times New Roman"/>
          <w:sz w:val="24"/>
          <w:szCs w:val="24"/>
        </w:rPr>
        <w:t>xample 1 is updated to reflect contemporary payment rates</w:t>
      </w:r>
      <w:r w:rsidR="007049AA" w:rsidRPr="00C567B2">
        <w:rPr>
          <w:rFonts w:ascii="Times New Roman" w:hAnsi="Times New Roman" w:cs="Times New Roman"/>
          <w:sz w:val="24"/>
          <w:szCs w:val="24"/>
        </w:rPr>
        <w:t>; and</w:t>
      </w:r>
    </w:p>
    <w:p w14:paraId="4F42A29B" w14:textId="113D5D08" w:rsidR="0096576B" w:rsidRPr="00C567B2" w:rsidRDefault="0096576B" w:rsidP="00C567B2">
      <w:pPr>
        <w:pStyle w:val="ListParagraph"/>
        <w:numPr>
          <w:ilvl w:val="0"/>
          <w:numId w:val="3"/>
        </w:numPr>
        <w:spacing w:after="240" w:line="240" w:lineRule="auto"/>
        <w:ind w:left="714" w:hanging="357"/>
        <w:contextualSpacing w:val="0"/>
        <w:rPr>
          <w:rFonts w:ascii="Times New Roman" w:hAnsi="Times New Roman" w:cs="Times New Roman"/>
          <w:sz w:val="24"/>
          <w:szCs w:val="24"/>
        </w:rPr>
      </w:pPr>
      <w:r w:rsidRPr="00C567B2">
        <w:rPr>
          <w:rFonts w:ascii="Times New Roman" w:hAnsi="Times New Roman" w:cs="Times New Roman"/>
          <w:sz w:val="24"/>
          <w:szCs w:val="24"/>
        </w:rPr>
        <w:t xml:space="preserve">new </w:t>
      </w:r>
      <w:r w:rsidR="001F5FD9">
        <w:rPr>
          <w:rFonts w:ascii="Times New Roman" w:hAnsi="Times New Roman" w:cs="Times New Roman"/>
          <w:sz w:val="24"/>
          <w:szCs w:val="24"/>
        </w:rPr>
        <w:t>e</w:t>
      </w:r>
      <w:r w:rsidRPr="00C567B2">
        <w:rPr>
          <w:rFonts w:ascii="Times New Roman" w:hAnsi="Times New Roman" w:cs="Times New Roman"/>
          <w:sz w:val="24"/>
          <w:szCs w:val="24"/>
        </w:rPr>
        <w:t>xample 2 is added for ease of understanding and formula application.</w:t>
      </w:r>
    </w:p>
    <w:p w14:paraId="4A64FEA2" w14:textId="259799B0" w:rsidR="0096576B" w:rsidRPr="00C567B2" w:rsidRDefault="0096576B" w:rsidP="00C567B2">
      <w:pPr>
        <w:keepNext/>
        <w:tabs>
          <w:tab w:val="left" w:pos="851"/>
        </w:tabs>
        <w:spacing w:after="240" w:line="240" w:lineRule="auto"/>
        <w:rPr>
          <w:rFonts w:ascii="Times New Roman" w:hAnsi="Times New Roman" w:cs="Times New Roman"/>
          <w:b/>
          <w:bCs/>
          <w:sz w:val="24"/>
          <w:szCs w:val="24"/>
        </w:rPr>
      </w:pPr>
      <w:r w:rsidRPr="00C567B2">
        <w:rPr>
          <w:rFonts w:ascii="Times New Roman" w:hAnsi="Times New Roman" w:cs="Times New Roman"/>
          <w:b/>
          <w:bCs/>
          <w:sz w:val="24"/>
          <w:szCs w:val="24"/>
        </w:rPr>
        <w:t>Item 3</w:t>
      </w:r>
      <w:r w:rsidR="00C567B2" w:rsidRPr="00C567B2">
        <w:rPr>
          <w:rFonts w:ascii="Times New Roman" w:hAnsi="Times New Roman" w:cs="Times New Roman"/>
          <w:b/>
          <w:bCs/>
          <w:sz w:val="24"/>
          <w:szCs w:val="24"/>
        </w:rPr>
        <w:tab/>
      </w:r>
      <w:r w:rsidRPr="00C567B2">
        <w:rPr>
          <w:rFonts w:ascii="Times New Roman" w:hAnsi="Times New Roman" w:cs="Times New Roman"/>
          <w:b/>
          <w:bCs/>
          <w:sz w:val="24"/>
          <w:szCs w:val="24"/>
        </w:rPr>
        <w:t>Chapter 25</w:t>
      </w:r>
    </w:p>
    <w:p w14:paraId="3FBB2657" w14:textId="4B8ED75F" w:rsidR="0096576B" w:rsidRPr="00C567B2" w:rsidRDefault="007049AA"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 xml:space="preserve">This item replaces Chapter 25. </w:t>
      </w:r>
      <w:r w:rsidR="000F4D6C" w:rsidRPr="00C567B2">
        <w:rPr>
          <w:rFonts w:ascii="Times New Roman" w:hAnsi="Times New Roman" w:cs="Times New Roman"/>
          <w:sz w:val="24"/>
          <w:szCs w:val="24"/>
        </w:rPr>
        <w:t>The changes from the current chapter are as follows.</w:t>
      </w:r>
    </w:p>
    <w:p w14:paraId="54ECB95F" w14:textId="724D1E8B" w:rsidR="0096576B" w:rsidRPr="00A8219C" w:rsidRDefault="002E092C" w:rsidP="00C567B2">
      <w:pPr>
        <w:keepNext/>
        <w:tabs>
          <w:tab w:val="left" w:pos="851"/>
        </w:tabs>
        <w:spacing w:after="240" w:line="240" w:lineRule="auto"/>
        <w:rPr>
          <w:rFonts w:ascii="Times New Roman" w:hAnsi="Times New Roman" w:cs="Times New Roman"/>
          <w:i/>
          <w:iCs/>
          <w:sz w:val="24"/>
          <w:szCs w:val="24"/>
        </w:rPr>
      </w:pPr>
      <w:r w:rsidRPr="00A8219C">
        <w:rPr>
          <w:rFonts w:ascii="Times New Roman" w:hAnsi="Times New Roman" w:cs="Times New Roman"/>
          <w:i/>
          <w:iCs/>
          <w:sz w:val="24"/>
          <w:szCs w:val="24"/>
        </w:rPr>
        <w:t>Chapter 25, n</w:t>
      </w:r>
      <w:r w:rsidR="00B44458" w:rsidRPr="00A8219C">
        <w:rPr>
          <w:rFonts w:ascii="Times New Roman" w:hAnsi="Times New Roman" w:cs="Times New Roman"/>
          <w:i/>
          <w:iCs/>
          <w:sz w:val="24"/>
          <w:szCs w:val="24"/>
        </w:rPr>
        <w:t>ew s</w:t>
      </w:r>
      <w:r w:rsidR="000F4D6C" w:rsidRPr="00A8219C">
        <w:rPr>
          <w:rFonts w:ascii="Times New Roman" w:hAnsi="Times New Roman" w:cs="Times New Roman"/>
          <w:i/>
          <w:iCs/>
          <w:sz w:val="24"/>
          <w:szCs w:val="24"/>
        </w:rPr>
        <w:t>ection ‘</w:t>
      </w:r>
      <w:r w:rsidR="0096576B" w:rsidRPr="00A8219C">
        <w:rPr>
          <w:rFonts w:ascii="Times New Roman" w:hAnsi="Times New Roman" w:cs="Times New Roman"/>
          <w:i/>
          <w:iCs/>
          <w:sz w:val="24"/>
          <w:szCs w:val="24"/>
        </w:rPr>
        <w:t>Introduction</w:t>
      </w:r>
      <w:r w:rsidR="000F4D6C" w:rsidRPr="00A8219C">
        <w:rPr>
          <w:rFonts w:ascii="Times New Roman" w:hAnsi="Times New Roman" w:cs="Times New Roman"/>
          <w:i/>
          <w:iCs/>
          <w:sz w:val="24"/>
          <w:szCs w:val="24"/>
        </w:rPr>
        <w:t>’</w:t>
      </w:r>
    </w:p>
    <w:p w14:paraId="0598CDFE" w14:textId="27EC5454" w:rsidR="0096576B" w:rsidRPr="00C567B2" w:rsidRDefault="000F4D6C"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Th</w:t>
      </w:r>
      <w:r w:rsidR="00B44458" w:rsidRPr="00C567B2">
        <w:rPr>
          <w:rFonts w:ascii="Times New Roman" w:hAnsi="Times New Roman" w:cs="Times New Roman"/>
          <w:sz w:val="24"/>
          <w:szCs w:val="24"/>
        </w:rPr>
        <w:t xml:space="preserve">e section heading </w:t>
      </w:r>
      <w:r w:rsidRPr="00C567B2">
        <w:rPr>
          <w:rFonts w:ascii="Times New Roman" w:hAnsi="Times New Roman" w:cs="Times New Roman"/>
          <w:sz w:val="24"/>
          <w:szCs w:val="24"/>
        </w:rPr>
        <w:t>is new</w:t>
      </w:r>
      <w:r w:rsidR="00B44458" w:rsidRPr="00C567B2">
        <w:rPr>
          <w:rFonts w:ascii="Times New Roman" w:hAnsi="Times New Roman" w:cs="Times New Roman"/>
          <w:sz w:val="24"/>
          <w:szCs w:val="24"/>
        </w:rPr>
        <w:t>, and the description of the scope of Chapter 25 is clarified.</w:t>
      </w:r>
    </w:p>
    <w:p w14:paraId="1F895D07" w14:textId="191C6B4D" w:rsidR="0096576B" w:rsidRPr="00A8219C" w:rsidRDefault="002E092C" w:rsidP="00C567B2">
      <w:pPr>
        <w:keepNext/>
        <w:tabs>
          <w:tab w:val="left" w:pos="851"/>
        </w:tabs>
        <w:spacing w:after="240" w:line="240" w:lineRule="auto"/>
        <w:rPr>
          <w:rFonts w:ascii="Times New Roman" w:hAnsi="Times New Roman" w:cs="Times New Roman"/>
          <w:i/>
          <w:iCs/>
          <w:sz w:val="24"/>
          <w:szCs w:val="24"/>
        </w:rPr>
      </w:pPr>
      <w:r w:rsidRPr="00A8219C">
        <w:rPr>
          <w:rFonts w:ascii="Times New Roman" w:hAnsi="Times New Roman" w:cs="Times New Roman"/>
          <w:i/>
          <w:iCs/>
          <w:sz w:val="24"/>
          <w:szCs w:val="24"/>
        </w:rPr>
        <w:t xml:space="preserve">Chapter 25, </w:t>
      </w:r>
      <w:r w:rsidR="00F36E80" w:rsidRPr="00A8219C">
        <w:rPr>
          <w:rFonts w:ascii="Times New Roman" w:hAnsi="Times New Roman" w:cs="Times New Roman"/>
          <w:i/>
          <w:iCs/>
          <w:sz w:val="24"/>
          <w:szCs w:val="24"/>
        </w:rPr>
        <w:t>s</w:t>
      </w:r>
      <w:r w:rsidR="00B44458" w:rsidRPr="00A8219C">
        <w:rPr>
          <w:rFonts w:ascii="Times New Roman" w:hAnsi="Times New Roman" w:cs="Times New Roman"/>
          <w:i/>
          <w:iCs/>
          <w:sz w:val="24"/>
          <w:szCs w:val="24"/>
        </w:rPr>
        <w:t>ection ‘</w:t>
      </w:r>
      <w:r w:rsidR="00B44458" w:rsidRPr="00A8219C" w:rsidDel="0096576B">
        <w:rPr>
          <w:rFonts w:ascii="Times New Roman" w:hAnsi="Times New Roman" w:cs="Times New Roman"/>
          <w:i/>
          <w:iCs/>
          <w:sz w:val="24"/>
          <w:szCs w:val="24"/>
        </w:rPr>
        <w:t xml:space="preserve"> </w:t>
      </w:r>
      <w:r w:rsidR="0096576B" w:rsidRPr="00A8219C">
        <w:rPr>
          <w:rFonts w:ascii="Times New Roman" w:hAnsi="Times New Roman" w:cs="Times New Roman"/>
          <w:i/>
          <w:iCs/>
          <w:sz w:val="24"/>
          <w:szCs w:val="24"/>
        </w:rPr>
        <w:t>Definitions</w:t>
      </w:r>
      <w:r w:rsidR="00B44458" w:rsidRPr="00A8219C">
        <w:rPr>
          <w:rFonts w:ascii="Times New Roman" w:hAnsi="Times New Roman" w:cs="Times New Roman"/>
          <w:i/>
          <w:iCs/>
          <w:sz w:val="24"/>
          <w:szCs w:val="24"/>
        </w:rPr>
        <w:t>’</w:t>
      </w:r>
    </w:p>
    <w:p w14:paraId="78D65A60" w14:textId="77777777" w:rsidR="00B44458" w:rsidRPr="00C567B2" w:rsidRDefault="00B44458" w:rsidP="00C567B2">
      <w:pPr>
        <w:spacing w:after="120" w:line="240" w:lineRule="auto"/>
        <w:rPr>
          <w:rFonts w:ascii="Times New Roman" w:hAnsi="Times New Roman" w:cs="Times New Roman"/>
          <w:sz w:val="24"/>
          <w:szCs w:val="24"/>
        </w:rPr>
      </w:pPr>
      <w:r w:rsidRPr="00C567B2">
        <w:rPr>
          <w:rFonts w:ascii="Times New Roman" w:hAnsi="Times New Roman" w:cs="Times New Roman"/>
          <w:sz w:val="24"/>
          <w:szCs w:val="24"/>
        </w:rPr>
        <w:t>The changes are as follows:</w:t>
      </w:r>
    </w:p>
    <w:p w14:paraId="73C296A7" w14:textId="4FDDC4B1"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r</w:t>
      </w:r>
      <w:r w:rsidR="0096576B" w:rsidRPr="00C567B2">
        <w:rPr>
          <w:rFonts w:ascii="Times New Roman" w:hAnsi="Times New Roman" w:cs="Times New Roman"/>
          <w:sz w:val="24"/>
          <w:szCs w:val="24"/>
        </w:rPr>
        <w:t>eferences to SRCA are replaced with DRCA</w:t>
      </w:r>
      <w:r w:rsidRPr="00C567B2">
        <w:rPr>
          <w:rFonts w:ascii="Times New Roman" w:hAnsi="Times New Roman" w:cs="Times New Roman"/>
          <w:sz w:val="24"/>
          <w:szCs w:val="24"/>
        </w:rPr>
        <w:t>;</w:t>
      </w:r>
    </w:p>
    <w:p w14:paraId="0B1A7EF4" w14:textId="7AC3A2A3"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s</w:t>
      </w:r>
      <w:r w:rsidR="0096576B" w:rsidRPr="00C567B2">
        <w:rPr>
          <w:rFonts w:ascii="Times New Roman" w:hAnsi="Times New Roman" w:cs="Times New Roman"/>
          <w:sz w:val="24"/>
          <w:szCs w:val="24"/>
        </w:rPr>
        <w:t xml:space="preserve">pelling errors and references to incorrect acronyms </w:t>
      </w:r>
      <w:r w:rsidRPr="00C567B2">
        <w:rPr>
          <w:rFonts w:ascii="Times New Roman" w:hAnsi="Times New Roman" w:cs="Times New Roman"/>
          <w:sz w:val="24"/>
          <w:szCs w:val="24"/>
        </w:rPr>
        <w:t xml:space="preserve">are </w:t>
      </w:r>
      <w:r w:rsidR="0096576B" w:rsidRPr="00C567B2">
        <w:rPr>
          <w:rFonts w:ascii="Times New Roman" w:hAnsi="Times New Roman" w:cs="Times New Roman"/>
          <w:sz w:val="24"/>
          <w:szCs w:val="24"/>
        </w:rPr>
        <w:t>corrected</w:t>
      </w:r>
      <w:r w:rsidRPr="00C567B2">
        <w:rPr>
          <w:rFonts w:ascii="Times New Roman" w:hAnsi="Times New Roman" w:cs="Times New Roman"/>
          <w:sz w:val="24"/>
          <w:szCs w:val="24"/>
        </w:rPr>
        <w:t>;</w:t>
      </w:r>
    </w:p>
    <w:p w14:paraId="12851AE7" w14:textId="63C20982"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i</w:t>
      </w:r>
      <w:r w:rsidR="0096576B" w:rsidRPr="00C567B2">
        <w:rPr>
          <w:rFonts w:ascii="Times New Roman" w:hAnsi="Times New Roman" w:cs="Times New Roman"/>
          <w:sz w:val="24"/>
          <w:szCs w:val="24"/>
        </w:rPr>
        <w:t xml:space="preserve">nsertion of ‘accepted’ before ‘condition’ in the definition of </w:t>
      </w:r>
      <w:r w:rsidR="0096576B" w:rsidRPr="00A8219C">
        <w:rPr>
          <w:rFonts w:ascii="Times New Roman" w:hAnsi="Times New Roman" w:cs="Times New Roman"/>
          <w:b/>
          <w:bCs/>
          <w:i/>
          <w:iCs/>
          <w:sz w:val="24"/>
          <w:szCs w:val="24"/>
        </w:rPr>
        <w:t>MRCA compensation payment</w:t>
      </w:r>
      <w:r w:rsidR="00A8219C">
        <w:rPr>
          <w:rFonts w:ascii="Times New Roman" w:hAnsi="Times New Roman" w:cs="Times New Roman"/>
          <w:sz w:val="24"/>
          <w:szCs w:val="24"/>
        </w:rPr>
        <w:t>,</w:t>
      </w:r>
      <w:r w:rsidR="0096576B" w:rsidRPr="00C567B2">
        <w:rPr>
          <w:rFonts w:ascii="Times New Roman" w:hAnsi="Times New Roman" w:cs="Times New Roman"/>
          <w:sz w:val="24"/>
          <w:szCs w:val="24"/>
        </w:rPr>
        <w:t xml:space="preserve"> for clarification</w:t>
      </w:r>
      <w:r w:rsidRPr="00C567B2">
        <w:rPr>
          <w:rFonts w:ascii="Times New Roman" w:hAnsi="Times New Roman" w:cs="Times New Roman"/>
          <w:sz w:val="24"/>
          <w:szCs w:val="24"/>
        </w:rPr>
        <w:t>;</w:t>
      </w:r>
    </w:p>
    <w:p w14:paraId="1765D59B" w14:textId="306BE9A4"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r</w:t>
      </w:r>
      <w:r w:rsidR="0096576B" w:rsidRPr="00C567B2">
        <w:rPr>
          <w:rFonts w:ascii="Times New Roman" w:hAnsi="Times New Roman" w:cs="Times New Roman"/>
          <w:sz w:val="24"/>
          <w:szCs w:val="24"/>
        </w:rPr>
        <w:t xml:space="preserve">eferences to pension </w:t>
      </w:r>
      <w:r w:rsidRPr="00C567B2">
        <w:rPr>
          <w:rFonts w:ascii="Times New Roman" w:hAnsi="Times New Roman" w:cs="Times New Roman"/>
          <w:sz w:val="24"/>
          <w:szCs w:val="24"/>
        </w:rPr>
        <w:t xml:space="preserve">in the definition of </w:t>
      </w:r>
      <w:r w:rsidRPr="00A8219C">
        <w:rPr>
          <w:rFonts w:ascii="Times New Roman" w:hAnsi="Times New Roman" w:cs="Times New Roman"/>
          <w:b/>
          <w:bCs/>
          <w:i/>
          <w:iCs/>
          <w:sz w:val="24"/>
          <w:szCs w:val="24"/>
        </w:rPr>
        <w:t>VEA accepted condition</w:t>
      </w:r>
      <w:r w:rsidRPr="00C567B2">
        <w:rPr>
          <w:rFonts w:ascii="Times New Roman" w:hAnsi="Times New Roman" w:cs="Times New Roman"/>
          <w:sz w:val="24"/>
          <w:szCs w:val="24"/>
        </w:rPr>
        <w:t xml:space="preserve"> </w:t>
      </w:r>
      <w:r w:rsidR="0096576B" w:rsidRPr="00C567B2">
        <w:rPr>
          <w:rFonts w:ascii="Times New Roman" w:hAnsi="Times New Roman" w:cs="Times New Roman"/>
          <w:sz w:val="24"/>
          <w:szCs w:val="24"/>
        </w:rPr>
        <w:t xml:space="preserve">are made more precise, to acknowledge the amendments made by the </w:t>
      </w:r>
      <w:r w:rsidR="0096576B" w:rsidRPr="00C567B2">
        <w:rPr>
          <w:rFonts w:ascii="Times New Roman" w:hAnsi="Times New Roman" w:cs="Times New Roman"/>
          <w:i/>
          <w:iCs/>
          <w:sz w:val="24"/>
          <w:szCs w:val="24"/>
        </w:rPr>
        <w:t>Veterans’ Affairs Legislation Amendment (Exempting Disability Payments from Income Testing and Other Measures) Act 2021</w:t>
      </w:r>
      <w:r w:rsidR="0096576B" w:rsidRPr="00C567B2">
        <w:rPr>
          <w:rFonts w:ascii="Times New Roman" w:hAnsi="Times New Roman" w:cs="Times New Roman"/>
          <w:sz w:val="24"/>
          <w:szCs w:val="24"/>
        </w:rPr>
        <w:t xml:space="preserve">. The references cover pensions for veterans (not pensions for </w:t>
      </w:r>
      <w:r w:rsidR="0096576B" w:rsidRPr="00C567B2">
        <w:rPr>
          <w:rFonts w:ascii="Times New Roman" w:hAnsi="Times New Roman" w:cs="Times New Roman"/>
          <w:sz w:val="24"/>
          <w:szCs w:val="24"/>
        </w:rPr>
        <w:lastRenderedPageBreak/>
        <w:t xml:space="preserve">their dependants) that are </w:t>
      </w:r>
      <w:r w:rsidR="002E092C">
        <w:rPr>
          <w:rFonts w:ascii="Times New Roman" w:hAnsi="Times New Roman" w:cs="Times New Roman"/>
          <w:sz w:val="24"/>
          <w:szCs w:val="24"/>
        </w:rPr>
        <w:t xml:space="preserve">commonly </w:t>
      </w:r>
      <w:r w:rsidR="0096576B" w:rsidRPr="00C567B2">
        <w:rPr>
          <w:rFonts w:ascii="Times New Roman" w:hAnsi="Times New Roman" w:cs="Times New Roman"/>
          <w:sz w:val="24"/>
          <w:szCs w:val="24"/>
        </w:rPr>
        <w:t>known as Disability Compensation Paymen</w:t>
      </w:r>
      <w:r w:rsidRPr="00C567B2">
        <w:rPr>
          <w:rFonts w:ascii="Times New Roman" w:hAnsi="Times New Roman" w:cs="Times New Roman"/>
          <w:sz w:val="24"/>
          <w:szCs w:val="24"/>
        </w:rPr>
        <w:t>t; and</w:t>
      </w:r>
    </w:p>
    <w:p w14:paraId="38C04BF0" w14:textId="2B6B7248" w:rsidR="0096576B" w:rsidRPr="00C567B2" w:rsidRDefault="00B44458" w:rsidP="00C567B2">
      <w:pPr>
        <w:pStyle w:val="ListParagraph"/>
        <w:numPr>
          <w:ilvl w:val="0"/>
          <w:numId w:val="3"/>
        </w:numPr>
        <w:spacing w:after="240" w:line="240" w:lineRule="auto"/>
        <w:ind w:left="714" w:hanging="357"/>
        <w:contextualSpacing w:val="0"/>
        <w:rPr>
          <w:rFonts w:ascii="Times New Roman" w:hAnsi="Times New Roman" w:cs="Times New Roman"/>
          <w:sz w:val="24"/>
          <w:szCs w:val="24"/>
        </w:rPr>
      </w:pPr>
      <w:r w:rsidRPr="00C567B2">
        <w:rPr>
          <w:rFonts w:ascii="Times New Roman" w:hAnsi="Times New Roman" w:cs="Times New Roman"/>
          <w:sz w:val="24"/>
          <w:szCs w:val="24"/>
        </w:rPr>
        <w:t>r</w:t>
      </w:r>
      <w:r w:rsidR="0096576B" w:rsidRPr="00C567B2">
        <w:rPr>
          <w:rFonts w:ascii="Times New Roman" w:hAnsi="Times New Roman" w:cs="Times New Roman"/>
          <w:sz w:val="24"/>
          <w:szCs w:val="24"/>
        </w:rPr>
        <w:t>emoval of obsolete note refer</w:t>
      </w:r>
      <w:r w:rsidRPr="00C567B2">
        <w:rPr>
          <w:rFonts w:ascii="Times New Roman" w:hAnsi="Times New Roman" w:cs="Times New Roman"/>
          <w:sz w:val="24"/>
          <w:szCs w:val="24"/>
        </w:rPr>
        <w:t>ring</w:t>
      </w:r>
      <w:r w:rsidR="0096576B" w:rsidRPr="00C567B2">
        <w:rPr>
          <w:rFonts w:ascii="Times New Roman" w:hAnsi="Times New Roman" w:cs="Times New Roman"/>
          <w:sz w:val="24"/>
          <w:szCs w:val="24"/>
        </w:rPr>
        <w:t xml:space="preserve"> to s</w:t>
      </w:r>
      <w:r w:rsidRPr="00C567B2">
        <w:rPr>
          <w:rFonts w:ascii="Times New Roman" w:hAnsi="Times New Roman" w:cs="Times New Roman"/>
          <w:sz w:val="24"/>
          <w:szCs w:val="24"/>
        </w:rPr>
        <w:t>ection </w:t>
      </w:r>
      <w:r w:rsidR="0096576B" w:rsidRPr="00C567B2">
        <w:rPr>
          <w:rFonts w:ascii="Times New Roman" w:hAnsi="Times New Roman" w:cs="Times New Roman"/>
          <w:sz w:val="24"/>
          <w:szCs w:val="24"/>
        </w:rPr>
        <w:t>147 of the SRCA</w:t>
      </w:r>
      <w:r w:rsidRPr="00C567B2">
        <w:rPr>
          <w:rFonts w:ascii="Times New Roman" w:hAnsi="Times New Roman" w:cs="Times New Roman"/>
          <w:sz w:val="24"/>
          <w:szCs w:val="24"/>
        </w:rPr>
        <w:t>.</w:t>
      </w:r>
    </w:p>
    <w:p w14:paraId="782CDC1C" w14:textId="2DBF25DD" w:rsidR="00B44458" w:rsidRPr="00A8219C" w:rsidRDefault="00F36E80" w:rsidP="00C567B2">
      <w:pPr>
        <w:keepNext/>
        <w:tabs>
          <w:tab w:val="left" w:pos="851"/>
        </w:tabs>
        <w:spacing w:after="240" w:line="240" w:lineRule="auto"/>
        <w:rPr>
          <w:rFonts w:ascii="Times New Roman" w:hAnsi="Times New Roman" w:cs="Times New Roman"/>
          <w:i/>
          <w:iCs/>
          <w:sz w:val="24"/>
          <w:szCs w:val="24"/>
        </w:rPr>
      </w:pPr>
      <w:r w:rsidRPr="00A8219C">
        <w:rPr>
          <w:rFonts w:ascii="Times New Roman" w:hAnsi="Times New Roman" w:cs="Times New Roman"/>
          <w:i/>
          <w:iCs/>
          <w:sz w:val="24"/>
          <w:szCs w:val="24"/>
        </w:rPr>
        <w:t>Chapter 25, n</w:t>
      </w:r>
      <w:r w:rsidR="00B44458" w:rsidRPr="00A8219C">
        <w:rPr>
          <w:rFonts w:ascii="Times New Roman" w:hAnsi="Times New Roman" w:cs="Times New Roman"/>
          <w:i/>
          <w:iCs/>
          <w:sz w:val="24"/>
          <w:szCs w:val="24"/>
        </w:rPr>
        <w:t>ew section ‘</w:t>
      </w:r>
      <w:r w:rsidR="0096576B" w:rsidRPr="00A8219C">
        <w:rPr>
          <w:rFonts w:ascii="Times New Roman" w:hAnsi="Times New Roman" w:cs="Times New Roman"/>
          <w:i/>
          <w:iCs/>
          <w:sz w:val="24"/>
          <w:szCs w:val="24"/>
        </w:rPr>
        <w:t>Assessing total MRCA PI compensation</w:t>
      </w:r>
      <w:r w:rsidR="00B44458" w:rsidRPr="00A8219C">
        <w:rPr>
          <w:rFonts w:ascii="Times New Roman" w:hAnsi="Times New Roman" w:cs="Times New Roman"/>
          <w:i/>
          <w:iCs/>
          <w:sz w:val="24"/>
          <w:szCs w:val="24"/>
        </w:rPr>
        <w:t>’</w:t>
      </w:r>
    </w:p>
    <w:p w14:paraId="1399D4B5" w14:textId="31D87730" w:rsidR="00B44458" w:rsidRPr="00C567B2" w:rsidRDefault="00B44458"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 xml:space="preserve">Insertion of a provision that </w:t>
      </w:r>
      <w:r w:rsidRPr="00A8219C">
        <w:rPr>
          <w:rFonts w:ascii="Times New Roman" w:hAnsi="Times New Roman" w:cs="Times New Roman"/>
          <w:b/>
          <w:bCs/>
          <w:i/>
          <w:iCs/>
          <w:sz w:val="24"/>
          <w:szCs w:val="24"/>
        </w:rPr>
        <w:t>DRCA accepted conditions</w:t>
      </w:r>
      <w:r w:rsidRPr="00C567B2">
        <w:rPr>
          <w:rFonts w:ascii="Times New Roman" w:hAnsi="Times New Roman" w:cs="Times New Roman"/>
          <w:sz w:val="24"/>
          <w:szCs w:val="24"/>
        </w:rPr>
        <w:t xml:space="preserve"> are treated as peacetime conditions.</w:t>
      </w:r>
    </w:p>
    <w:p w14:paraId="0F81D1FD" w14:textId="36EF0B3A" w:rsidR="00B44458" w:rsidRPr="00C567B2" w:rsidRDefault="00B44458"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 xml:space="preserve">Insertion of a provision that </w:t>
      </w:r>
      <w:r w:rsidRPr="00A8219C">
        <w:rPr>
          <w:rFonts w:ascii="Times New Roman" w:hAnsi="Times New Roman" w:cs="Times New Roman"/>
          <w:b/>
          <w:bCs/>
          <w:i/>
          <w:iCs/>
          <w:sz w:val="24"/>
          <w:szCs w:val="24"/>
        </w:rPr>
        <w:t>VEA accepted conditions</w:t>
      </w:r>
      <w:r w:rsidRPr="00C567B2">
        <w:rPr>
          <w:rFonts w:ascii="Times New Roman" w:hAnsi="Times New Roman" w:cs="Times New Roman"/>
          <w:sz w:val="24"/>
          <w:szCs w:val="24"/>
        </w:rPr>
        <w:t xml:space="preserve"> are treated as warlike or non-warlike conditions.</w:t>
      </w:r>
    </w:p>
    <w:p w14:paraId="5F768CF3" w14:textId="0B8E70F6" w:rsidR="00B44458" w:rsidRPr="00C567B2" w:rsidRDefault="00B44458" w:rsidP="00C567B2">
      <w:pPr>
        <w:spacing w:after="240" w:line="240" w:lineRule="auto"/>
        <w:rPr>
          <w:rFonts w:ascii="Times New Roman" w:hAnsi="Times New Roman" w:cs="Times New Roman"/>
          <w:sz w:val="24"/>
          <w:szCs w:val="24"/>
        </w:rPr>
      </w:pPr>
      <w:r w:rsidRPr="00C567B2">
        <w:rPr>
          <w:rFonts w:ascii="Times New Roman" w:hAnsi="Times New Roman" w:cs="Times New Roman"/>
          <w:sz w:val="24"/>
          <w:szCs w:val="24"/>
        </w:rPr>
        <w:t>Insertion of a provision that the same conditions accepted under the VEA and DRCA are treated as warlike or non-warlike conditions.</w:t>
      </w:r>
    </w:p>
    <w:p w14:paraId="6EC787C5" w14:textId="75D1BAA7" w:rsidR="0096576B" w:rsidRPr="00A8219C" w:rsidRDefault="00F36E80" w:rsidP="00C567B2">
      <w:pPr>
        <w:keepNext/>
        <w:tabs>
          <w:tab w:val="left" w:pos="851"/>
        </w:tabs>
        <w:spacing w:after="240" w:line="240" w:lineRule="auto"/>
        <w:rPr>
          <w:rFonts w:ascii="Times New Roman" w:hAnsi="Times New Roman" w:cs="Times New Roman"/>
          <w:i/>
          <w:iCs/>
          <w:sz w:val="24"/>
          <w:szCs w:val="24"/>
        </w:rPr>
      </w:pPr>
      <w:r w:rsidRPr="00A8219C">
        <w:rPr>
          <w:rFonts w:ascii="Times New Roman" w:hAnsi="Times New Roman" w:cs="Times New Roman"/>
          <w:i/>
          <w:iCs/>
          <w:sz w:val="24"/>
          <w:szCs w:val="24"/>
        </w:rPr>
        <w:t>Chapter 25, S</w:t>
      </w:r>
      <w:r w:rsidR="0096576B" w:rsidRPr="00A8219C">
        <w:rPr>
          <w:rFonts w:ascii="Times New Roman" w:hAnsi="Times New Roman" w:cs="Times New Roman"/>
          <w:i/>
          <w:iCs/>
          <w:sz w:val="24"/>
          <w:szCs w:val="24"/>
        </w:rPr>
        <w:t xml:space="preserve">teps </w:t>
      </w:r>
      <w:r w:rsidR="00B44458" w:rsidRPr="00A8219C">
        <w:rPr>
          <w:rFonts w:ascii="Times New Roman" w:hAnsi="Times New Roman" w:cs="Times New Roman"/>
          <w:i/>
          <w:iCs/>
          <w:sz w:val="24"/>
          <w:szCs w:val="24"/>
        </w:rPr>
        <w:t>(</w:t>
      </w:r>
      <w:r w:rsidR="0096576B" w:rsidRPr="00A8219C">
        <w:rPr>
          <w:rFonts w:ascii="Times New Roman" w:hAnsi="Times New Roman" w:cs="Times New Roman"/>
          <w:i/>
          <w:iCs/>
          <w:sz w:val="24"/>
          <w:szCs w:val="24"/>
        </w:rPr>
        <w:t>1</w:t>
      </w:r>
      <w:r w:rsidR="00B44458" w:rsidRPr="00A8219C">
        <w:rPr>
          <w:rFonts w:ascii="Times New Roman" w:hAnsi="Times New Roman" w:cs="Times New Roman"/>
          <w:i/>
          <w:iCs/>
          <w:sz w:val="24"/>
          <w:szCs w:val="24"/>
        </w:rPr>
        <w:t>)</w:t>
      </w:r>
      <w:r w:rsidR="0096576B" w:rsidRPr="00A8219C">
        <w:rPr>
          <w:rFonts w:ascii="Times New Roman" w:hAnsi="Times New Roman" w:cs="Times New Roman"/>
          <w:i/>
          <w:iCs/>
          <w:sz w:val="24"/>
          <w:szCs w:val="24"/>
        </w:rPr>
        <w:t xml:space="preserve"> – </w:t>
      </w:r>
      <w:r w:rsidR="00B44458" w:rsidRPr="00A8219C">
        <w:rPr>
          <w:rFonts w:ascii="Times New Roman" w:hAnsi="Times New Roman" w:cs="Times New Roman"/>
          <w:i/>
          <w:iCs/>
          <w:sz w:val="24"/>
          <w:szCs w:val="24"/>
        </w:rPr>
        <w:t>(</w:t>
      </w:r>
      <w:r w:rsidR="0096576B" w:rsidRPr="00A8219C">
        <w:rPr>
          <w:rFonts w:ascii="Times New Roman" w:hAnsi="Times New Roman" w:cs="Times New Roman"/>
          <w:i/>
          <w:iCs/>
          <w:sz w:val="24"/>
          <w:szCs w:val="24"/>
        </w:rPr>
        <w:t>7</w:t>
      </w:r>
      <w:r w:rsidR="00B44458" w:rsidRPr="00A8219C">
        <w:rPr>
          <w:rFonts w:ascii="Times New Roman" w:hAnsi="Times New Roman" w:cs="Times New Roman"/>
          <w:i/>
          <w:iCs/>
          <w:sz w:val="24"/>
          <w:szCs w:val="24"/>
        </w:rPr>
        <w:t>)</w:t>
      </w:r>
    </w:p>
    <w:p w14:paraId="52937E29" w14:textId="174CCE8A" w:rsidR="00B44458" w:rsidRPr="00C567B2" w:rsidRDefault="00B44458" w:rsidP="00C567B2">
      <w:pPr>
        <w:spacing w:after="120" w:line="240" w:lineRule="auto"/>
        <w:rPr>
          <w:rFonts w:ascii="Times New Roman" w:hAnsi="Times New Roman" w:cs="Times New Roman"/>
          <w:sz w:val="24"/>
          <w:szCs w:val="24"/>
        </w:rPr>
      </w:pPr>
      <w:r w:rsidRPr="00C567B2">
        <w:rPr>
          <w:rFonts w:ascii="Times New Roman" w:hAnsi="Times New Roman" w:cs="Times New Roman"/>
          <w:sz w:val="24"/>
          <w:szCs w:val="24"/>
        </w:rPr>
        <w:t>The changes to the method statement are:</w:t>
      </w:r>
    </w:p>
    <w:p w14:paraId="0875AC45" w14:textId="1C6E41E2" w:rsidR="002306B8" w:rsidRDefault="002306B8" w:rsidP="00C567B2">
      <w:pPr>
        <w:pStyle w:val="ListParagraph"/>
        <w:numPr>
          <w:ilvl w:val="0"/>
          <w:numId w:val="3"/>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additional wording at Step (2) to confirm the current policy for ease of understanding and application; </w:t>
      </w:r>
    </w:p>
    <w:p w14:paraId="77B092A4" w14:textId="56E41E92"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m</w:t>
      </w:r>
      <w:r w:rsidR="0096576B" w:rsidRPr="00C567B2">
        <w:rPr>
          <w:rFonts w:ascii="Times New Roman" w:hAnsi="Times New Roman" w:cs="Times New Roman"/>
          <w:sz w:val="24"/>
          <w:szCs w:val="24"/>
        </w:rPr>
        <w:t xml:space="preserve">inor change to wording of Step </w:t>
      </w:r>
      <w:r w:rsidRPr="00C567B2">
        <w:rPr>
          <w:rFonts w:ascii="Times New Roman" w:hAnsi="Times New Roman" w:cs="Times New Roman"/>
          <w:sz w:val="24"/>
          <w:szCs w:val="24"/>
        </w:rPr>
        <w:t>(</w:t>
      </w:r>
      <w:r w:rsidR="0096576B" w:rsidRPr="00C567B2">
        <w:rPr>
          <w:rFonts w:ascii="Times New Roman" w:hAnsi="Times New Roman" w:cs="Times New Roman"/>
          <w:sz w:val="24"/>
          <w:szCs w:val="24"/>
        </w:rPr>
        <w:t>6</w:t>
      </w:r>
      <w:r w:rsidRPr="00C567B2">
        <w:rPr>
          <w:rFonts w:ascii="Times New Roman" w:hAnsi="Times New Roman" w:cs="Times New Roman"/>
          <w:sz w:val="24"/>
          <w:szCs w:val="24"/>
        </w:rPr>
        <w:t>)</w:t>
      </w:r>
      <w:r w:rsidR="0096576B" w:rsidRPr="00C567B2">
        <w:rPr>
          <w:rFonts w:ascii="Times New Roman" w:hAnsi="Times New Roman" w:cs="Times New Roman"/>
          <w:sz w:val="24"/>
          <w:szCs w:val="24"/>
        </w:rPr>
        <w:t xml:space="preserve"> for ease of understanding and application</w:t>
      </w:r>
      <w:r w:rsidRPr="00C567B2">
        <w:rPr>
          <w:rFonts w:ascii="Times New Roman" w:hAnsi="Times New Roman" w:cs="Times New Roman"/>
          <w:sz w:val="24"/>
          <w:szCs w:val="24"/>
        </w:rPr>
        <w:t>;</w:t>
      </w:r>
    </w:p>
    <w:p w14:paraId="4BF68401" w14:textId="2BA26ABA"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m</w:t>
      </w:r>
      <w:r w:rsidR="0096576B" w:rsidRPr="00C567B2">
        <w:rPr>
          <w:rFonts w:ascii="Times New Roman" w:hAnsi="Times New Roman" w:cs="Times New Roman"/>
          <w:sz w:val="24"/>
          <w:szCs w:val="24"/>
        </w:rPr>
        <w:t xml:space="preserve">inor change to wording and layout of Step </w:t>
      </w:r>
      <w:r w:rsidRPr="00C567B2">
        <w:rPr>
          <w:rFonts w:ascii="Times New Roman" w:hAnsi="Times New Roman" w:cs="Times New Roman"/>
          <w:sz w:val="24"/>
          <w:szCs w:val="24"/>
        </w:rPr>
        <w:t>(</w:t>
      </w:r>
      <w:r w:rsidR="0096576B" w:rsidRPr="00C567B2">
        <w:rPr>
          <w:rFonts w:ascii="Times New Roman" w:hAnsi="Times New Roman" w:cs="Times New Roman"/>
          <w:sz w:val="24"/>
          <w:szCs w:val="24"/>
        </w:rPr>
        <w:t>7</w:t>
      </w:r>
      <w:r w:rsidRPr="00C567B2">
        <w:rPr>
          <w:rFonts w:ascii="Times New Roman" w:hAnsi="Times New Roman" w:cs="Times New Roman"/>
          <w:sz w:val="24"/>
          <w:szCs w:val="24"/>
        </w:rPr>
        <w:t>)</w:t>
      </w:r>
      <w:r w:rsidR="0096576B" w:rsidRPr="00C567B2">
        <w:rPr>
          <w:rFonts w:ascii="Times New Roman" w:hAnsi="Times New Roman" w:cs="Times New Roman"/>
          <w:sz w:val="24"/>
          <w:szCs w:val="24"/>
        </w:rPr>
        <w:t xml:space="preserve"> for ease of understanding and application</w:t>
      </w:r>
      <w:r w:rsidRPr="00C567B2">
        <w:rPr>
          <w:rFonts w:ascii="Times New Roman" w:hAnsi="Times New Roman" w:cs="Times New Roman"/>
          <w:sz w:val="24"/>
          <w:szCs w:val="24"/>
        </w:rPr>
        <w:t>; and</w:t>
      </w:r>
    </w:p>
    <w:p w14:paraId="4B32FFE4" w14:textId="1E0F79DC" w:rsidR="0096576B" w:rsidRPr="00C567B2" w:rsidRDefault="00B44458" w:rsidP="00C567B2">
      <w:pPr>
        <w:pStyle w:val="ListParagraph"/>
        <w:numPr>
          <w:ilvl w:val="0"/>
          <w:numId w:val="3"/>
        </w:numPr>
        <w:spacing w:after="240" w:line="240" w:lineRule="auto"/>
        <w:ind w:left="714" w:hanging="357"/>
        <w:contextualSpacing w:val="0"/>
        <w:rPr>
          <w:rFonts w:ascii="Times New Roman" w:hAnsi="Times New Roman" w:cs="Times New Roman"/>
          <w:sz w:val="24"/>
          <w:szCs w:val="24"/>
        </w:rPr>
      </w:pPr>
      <w:r w:rsidRPr="00C567B2">
        <w:rPr>
          <w:rFonts w:ascii="Times New Roman" w:hAnsi="Times New Roman" w:cs="Times New Roman"/>
          <w:sz w:val="24"/>
          <w:szCs w:val="24"/>
        </w:rPr>
        <w:t>d</w:t>
      </w:r>
      <w:r w:rsidR="0096576B" w:rsidRPr="00C567B2">
        <w:rPr>
          <w:rFonts w:ascii="Times New Roman" w:hAnsi="Times New Roman" w:cs="Times New Roman"/>
          <w:sz w:val="24"/>
          <w:szCs w:val="24"/>
        </w:rPr>
        <w:t xml:space="preserve">efinition of MRCA PI Max is added </w:t>
      </w:r>
      <w:r w:rsidR="002E092C">
        <w:rPr>
          <w:rFonts w:ascii="Times New Roman" w:hAnsi="Times New Roman" w:cs="Times New Roman"/>
          <w:sz w:val="24"/>
          <w:szCs w:val="24"/>
        </w:rPr>
        <w:t>which</w:t>
      </w:r>
      <w:r w:rsidR="0096576B" w:rsidRPr="00C567B2">
        <w:rPr>
          <w:rFonts w:ascii="Times New Roman" w:hAnsi="Times New Roman" w:cs="Times New Roman"/>
          <w:sz w:val="24"/>
          <w:szCs w:val="24"/>
        </w:rPr>
        <w:t xml:space="preserve"> references the maximum weekly payment of MRCA permanent impairment.</w:t>
      </w:r>
    </w:p>
    <w:p w14:paraId="7E8FAC62" w14:textId="0825D092" w:rsidR="0096576B" w:rsidRPr="00A8219C" w:rsidRDefault="00F36E80" w:rsidP="00C567B2">
      <w:pPr>
        <w:keepNext/>
        <w:tabs>
          <w:tab w:val="left" w:pos="851"/>
        </w:tabs>
        <w:spacing w:after="240" w:line="240" w:lineRule="auto"/>
        <w:rPr>
          <w:rFonts w:ascii="Times New Roman" w:hAnsi="Times New Roman" w:cs="Times New Roman"/>
          <w:i/>
          <w:iCs/>
          <w:sz w:val="24"/>
          <w:szCs w:val="24"/>
        </w:rPr>
      </w:pPr>
      <w:r w:rsidRPr="00A8219C">
        <w:rPr>
          <w:rFonts w:ascii="Times New Roman" w:hAnsi="Times New Roman" w:cs="Times New Roman"/>
          <w:i/>
          <w:iCs/>
          <w:sz w:val="24"/>
          <w:szCs w:val="24"/>
        </w:rPr>
        <w:t xml:space="preserve">Chapter 25, </w:t>
      </w:r>
      <w:r w:rsidR="0096576B" w:rsidRPr="00A8219C">
        <w:rPr>
          <w:rFonts w:ascii="Times New Roman" w:hAnsi="Times New Roman" w:cs="Times New Roman"/>
          <w:i/>
          <w:iCs/>
          <w:sz w:val="24"/>
          <w:szCs w:val="24"/>
        </w:rPr>
        <w:t>‘Conversion of DRCA lump sums’</w:t>
      </w:r>
      <w:r w:rsidRPr="00A8219C">
        <w:rPr>
          <w:rFonts w:ascii="Times New Roman" w:hAnsi="Times New Roman" w:cs="Times New Roman"/>
          <w:i/>
          <w:iCs/>
          <w:sz w:val="24"/>
          <w:szCs w:val="24"/>
        </w:rPr>
        <w:t xml:space="preserve"> section</w:t>
      </w:r>
    </w:p>
    <w:p w14:paraId="08C19940" w14:textId="75F183B0" w:rsidR="00B44458" w:rsidRPr="00C567B2" w:rsidRDefault="00B44458" w:rsidP="00C567B2">
      <w:pPr>
        <w:spacing w:after="120" w:line="240" w:lineRule="auto"/>
        <w:rPr>
          <w:rFonts w:ascii="Times New Roman" w:hAnsi="Times New Roman" w:cs="Times New Roman"/>
          <w:sz w:val="24"/>
          <w:szCs w:val="24"/>
        </w:rPr>
      </w:pPr>
      <w:r w:rsidRPr="00C567B2">
        <w:rPr>
          <w:rFonts w:ascii="Times New Roman" w:hAnsi="Times New Roman" w:cs="Times New Roman"/>
          <w:sz w:val="24"/>
          <w:szCs w:val="24"/>
        </w:rPr>
        <w:t>The changes to this section are:</w:t>
      </w:r>
    </w:p>
    <w:p w14:paraId="68D534A5" w14:textId="58210014"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r</w:t>
      </w:r>
      <w:r w:rsidR="0096576B" w:rsidRPr="00C567B2">
        <w:rPr>
          <w:rFonts w:ascii="Times New Roman" w:hAnsi="Times New Roman" w:cs="Times New Roman"/>
          <w:sz w:val="24"/>
          <w:szCs w:val="24"/>
        </w:rPr>
        <w:t>eferences to SRCA are replaced with DRCA</w:t>
      </w:r>
      <w:r w:rsidRPr="00C567B2">
        <w:rPr>
          <w:rFonts w:ascii="Times New Roman" w:hAnsi="Times New Roman" w:cs="Times New Roman"/>
          <w:sz w:val="24"/>
          <w:szCs w:val="24"/>
        </w:rPr>
        <w:t>;</w:t>
      </w:r>
    </w:p>
    <w:p w14:paraId="56518052" w14:textId="5ACEF404" w:rsidR="0096576B" w:rsidRPr="00C567B2" w:rsidRDefault="00B44458" w:rsidP="00C567B2">
      <w:pPr>
        <w:pStyle w:val="ListParagraph"/>
        <w:numPr>
          <w:ilvl w:val="0"/>
          <w:numId w:val="3"/>
        </w:numPr>
        <w:spacing w:after="120" w:line="240" w:lineRule="auto"/>
        <w:contextualSpacing w:val="0"/>
        <w:rPr>
          <w:rFonts w:ascii="Times New Roman" w:hAnsi="Times New Roman" w:cs="Times New Roman"/>
          <w:sz w:val="24"/>
          <w:szCs w:val="24"/>
        </w:rPr>
      </w:pPr>
      <w:r w:rsidRPr="00C567B2">
        <w:rPr>
          <w:rFonts w:ascii="Times New Roman" w:hAnsi="Times New Roman" w:cs="Times New Roman"/>
          <w:sz w:val="24"/>
          <w:szCs w:val="24"/>
        </w:rPr>
        <w:t>m</w:t>
      </w:r>
      <w:r w:rsidR="0096576B" w:rsidRPr="00C567B2">
        <w:rPr>
          <w:rFonts w:ascii="Times New Roman" w:hAnsi="Times New Roman" w:cs="Times New Roman"/>
          <w:sz w:val="24"/>
          <w:szCs w:val="24"/>
        </w:rPr>
        <w:t>inor changes to style and layout for readability</w:t>
      </w:r>
      <w:r w:rsidRPr="00C567B2">
        <w:rPr>
          <w:rFonts w:ascii="Times New Roman" w:hAnsi="Times New Roman" w:cs="Times New Roman"/>
          <w:sz w:val="24"/>
          <w:szCs w:val="24"/>
        </w:rPr>
        <w:t>; and</w:t>
      </w:r>
    </w:p>
    <w:p w14:paraId="73DA8F47" w14:textId="561CE170" w:rsidR="00317C17" w:rsidRPr="00C567B2" w:rsidRDefault="00B44458" w:rsidP="00C567B2">
      <w:pPr>
        <w:pStyle w:val="ListParagraph"/>
        <w:numPr>
          <w:ilvl w:val="0"/>
          <w:numId w:val="3"/>
        </w:numPr>
        <w:spacing w:after="240" w:line="240" w:lineRule="auto"/>
        <w:ind w:left="714" w:hanging="357"/>
        <w:contextualSpacing w:val="0"/>
        <w:rPr>
          <w:rFonts w:ascii="Times New Roman" w:hAnsi="Times New Roman" w:cs="Times New Roman"/>
          <w:sz w:val="24"/>
          <w:szCs w:val="24"/>
        </w:rPr>
      </w:pPr>
      <w:r w:rsidRPr="00C567B2">
        <w:rPr>
          <w:rFonts w:ascii="Times New Roman" w:hAnsi="Times New Roman" w:cs="Times New Roman"/>
          <w:sz w:val="24"/>
          <w:szCs w:val="24"/>
        </w:rPr>
        <w:t>i</w:t>
      </w:r>
      <w:r w:rsidR="0096576B" w:rsidRPr="00C567B2">
        <w:rPr>
          <w:rFonts w:ascii="Times New Roman" w:hAnsi="Times New Roman" w:cs="Times New Roman"/>
          <w:sz w:val="24"/>
          <w:szCs w:val="24"/>
        </w:rPr>
        <w:t xml:space="preserve">nformation is added to direct the user to the formula in the </w:t>
      </w:r>
      <w:r w:rsidR="0096576B" w:rsidRPr="000122C2">
        <w:rPr>
          <w:rFonts w:ascii="Times New Roman" w:hAnsi="Times New Roman" w:cs="Times New Roman"/>
          <w:i/>
          <w:iCs/>
          <w:sz w:val="24"/>
          <w:szCs w:val="24"/>
        </w:rPr>
        <w:t>Military Rehabilitation and Compensation (Consequential and Transitional Provisions) Regulations 2020</w:t>
      </w:r>
      <w:r w:rsidRPr="00C567B2">
        <w:rPr>
          <w:rFonts w:ascii="Times New Roman" w:hAnsi="Times New Roman" w:cs="Times New Roman"/>
          <w:sz w:val="24"/>
          <w:szCs w:val="24"/>
        </w:rPr>
        <w:t xml:space="preserve">, and to clarify that the method statement is merely a summary of the way that formula </w:t>
      </w:r>
      <w:r w:rsidR="000122C2">
        <w:rPr>
          <w:rFonts w:ascii="Times New Roman" w:hAnsi="Times New Roman" w:cs="Times New Roman"/>
          <w:sz w:val="24"/>
          <w:szCs w:val="24"/>
        </w:rPr>
        <w:t>applies</w:t>
      </w:r>
      <w:r w:rsidR="0096576B" w:rsidRPr="00C567B2">
        <w:rPr>
          <w:rFonts w:ascii="Times New Roman" w:hAnsi="Times New Roman" w:cs="Times New Roman"/>
          <w:sz w:val="24"/>
          <w:szCs w:val="24"/>
        </w:rPr>
        <w:t>.</w:t>
      </w:r>
    </w:p>
    <w:sectPr w:rsidR="00317C17" w:rsidRPr="00C567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B20AB" w14:textId="77777777" w:rsidR="0010130E" w:rsidRDefault="0010130E" w:rsidP="00A56037">
      <w:pPr>
        <w:spacing w:after="0" w:line="240" w:lineRule="auto"/>
      </w:pPr>
      <w:r>
        <w:separator/>
      </w:r>
    </w:p>
  </w:endnote>
  <w:endnote w:type="continuationSeparator" w:id="0">
    <w:p w14:paraId="1B532EAA" w14:textId="77777777" w:rsidR="0010130E" w:rsidRDefault="0010130E" w:rsidP="00A5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634825"/>
      <w:docPartObj>
        <w:docPartGallery w:val="Page Numbers (Bottom of Page)"/>
        <w:docPartUnique/>
      </w:docPartObj>
    </w:sdtPr>
    <w:sdtEndPr>
      <w:rPr>
        <w:noProof/>
      </w:rPr>
    </w:sdtEndPr>
    <w:sdtContent>
      <w:p w14:paraId="113936F1" w14:textId="6A00564A" w:rsidR="00A56037" w:rsidRDefault="00A560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0735F" w14:textId="77777777" w:rsidR="00A56037" w:rsidRDefault="00A56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F1E4F" w14:textId="77777777" w:rsidR="0010130E" w:rsidRDefault="0010130E" w:rsidP="00A56037">
      <w:pPr>
        <w:spacing w:after="0" w:line="240" w:lineRule="auto"/>
      </w:pPr>
      <w:r>
        <w:separator/>
      </w:r>
    </w:p>
  </w:footnote>
  <w:footnote w:type="continuationSeparator" w:id="0">
    <w:p w14:paraId="52DDCE0B" w14:textId="77777777" w:rsidR="0010130E" w:rsidRDefault="0010130E" w:rsidP="00A560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2D3941"/>
    <w:multiLevelType w:val="hybridMultilevel"/>
    <w:tmpl w:val="DE32CDC4"/>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CB719C8"/>
    <w:multiLevelType w:val="hybridMultilevel"/>
    <w:tmpl w:val="A55AF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207E89"/>
    <w:multiLevelType w:val="hybridMultilevel"/>
    <w:tmpl w:val="7264C534"/>
    <w:lvl w:ilvl="0" w:tplc="CF4645C6">
      <w:start w:val="1"/>
      <w:numFmt w:val="decimal"/>
      <w:lvlText w:val="%1."/>
      <w:lvlJc w:val="left"/>
      <w:pPr>
        <w:ind w:left="644" w:hanging="360"/>
      </w:pPr>
      <w:rPr>
        <w:rFonts w:ascii="Times New Roman" w:hAnsi="Times New Roman" w:cs="Times New Roman" w:hint="default"/>
        <w:b w:val="0"/>
      </w:rPr>
    </w:lvl>
    <w:lvl w:ilvl="1" w:tplc="597A2D44">
      <w:start w:val="1"/>
      <w:numFmt w:val="lowerLetter"/>
      <w:lvlText w:val="%2."/>
      <w:lvlJc w:val="left"/>
      <w:pPr>
        <w:ind w:left="1440" w:hanging="360"/>
      </w:pPr>
      <w:rPr>
        <w:b w:val="0"/>
        <w:bCs/>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18594135">
    <w:abstractNumId w:val="2"/>
  </w:num>
  <w:num w:numId="2" w16cid:durableId="957640944">
    <w:abstractNumId w:val="0"/>
  </w:num>
  <w:num w:numId="3" w16cid:durableId="106897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10"/>
    <w:rsid w:val="000122C2"/>
    <w:rsid w:val="000546DF"/>
    <w:rsid w:val="000B6C37"/>
    <w:rsid w:val="000C5F6E"/>
    <w:rsid w:val="000F4D6C"/>
    <w:rsid w:val="0010130E"/>
    <w:rsid w:val="001079C1"/>
    <w:rsid w:val="00144464"/>
    <w:rsid w:val="001511CA"/>
    <w:rsid w:val="001812C3"/>
    <w:rsid w:val="001B5D43"/>
    <w:rsid w:val="001C4007"/>
    <w:rsid w:val="001D4A1D"/>
    <w:rsid w:val="001E3402"/>
    <w:rsid w:val="001F30AE"/>
    <w:rsid w:val="001F5FD9"/>
    <w:rsid w:val="00203EF5"/>
    <w:rsid w:val="00220C70"/>
    <w:rsid w:val="002306B8"/>
    <w:rsid w:val="002378C1"/>
    <w:rsid w:val="002E092C"/>
    <w:rsid w:val="002E1DEB"/>
    <w:rsid w:val="00317C17"/>
    <w:rsid w:val="003253DF"/>
    <w:rsid w:val="003257B2"/>
    <w:rsid w:val="00377480"/>
    <w:rsid w:val="00390E4B"/>
    <w:rsid w:val="00392F13"/>
    <w:rsid w:val="0039513E"/>
    <w:rsid w:val="003A2A7D"/>
    <w:rsid w:val="003C3CE8"/>
    <w:rsid w:val="005133AC"/>
    <w:rsid w:val="0058055D"/>
    <w:rsid w:val="005A074A"/>
    <w:rsid w:val="005C1A2F"/>
    <w:rsid w:val="00604D94"/>
    <w:rsid w:val="00641AB1"/>
    <w:rsid w:val="00677CF9"/>
    <w:rsid w:val="006B697F"/>
    <w:rsid w:val="006E6F89"/>
    <w:rsid w:val="00703586"/>
    <w:rsid w:val="007049AA"/>
    <w:rsid w:val="00724ACD"/>
    <w:rsid w:val="00775749"/>
    <w:rsid w:val="007A1601"/>
    <w:rsid w:val="007C3616"/>
    <w:rsid w:val="007E7647"/>
    <w:rsid w:val="00877119"/>
    <w:rsid w:val="008B0EBA"/>
    <w:rsid w:val="008C0A17"/>
    <w:rsid w:val="00902829"/>
    <w:rsid w:val="0090466A"/>
    <w:rsid w:val="00946CCC"/>
    <w:rsid w:val="0096576B"/>
    <w:rsid w:val="009F1310"/>
    <w:rsid w:val="00A56037"/>
    <w:rsid w:val="00A62285"/>
    <w:rsid w:val="00A661DF"/>
    <w:rsid w:val="00A803A2"/>
    <w:rsid w:val="00A8219C"/>
    <w:rsid w:val="00A9107F"/>
    <w:rsid w:val="00A92EC2"/>
    <w:rsid w:val="00AB7E98"/>
    <w:rsid w:val="00B44458"/>
    <w:rsid w:val="00BD3BDD"/>
    <w:rsid w:val="00BE14E1"/>
    <w:rsid w:val="00C21430"/>
    <w:rsid w:val="00C567B2"/>
    <w:rsid w:val="00CD4CF2"/>
    <w:rsid w:val="00CD5C7A"/>
    <w:rsid w:val="00CE656A"/>
    <w:rsid w:val="00D42A57"/>
    <w:rsid w:val="00D44C69"/>
    <w:rsid w:val="00D50976"/>
    <w:rsid w:val="00D53EB5"/>
    <w:rsid w:val="00DA6C19"/>
    <w:rsid w:val="00E121E0"/>
    <w:rsid w:val="00E22FA1"/>
    <w:rsid w:val="00E37072"/>
    <w:rsid w:val="00EA3A01"/>
    <w:rsid w:val="00EB1CA7"/>
    <w:rsid w:val="00ED0784"/>
    <w:rsid w:val="00ED7334"/>
    <w:rsid w:val="00EF082D"/>
    <w:rsid w:val="00F36E80"/>
    <w:rsid w:val="00F4098C"/>
    <w:rsid w:val="00F46A1E"/>
    <w:rsid w:val="00F9016B"/>
    <w:rsid w:val="00FA260A"/>
    <w:rsid w:val="00FA463C"/>
    <w:rsid w:val="00FC5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D44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10"/>
    <w:rPr>
      <w:kern w:val="0"/>
      <w14:ligatures w14:val="none"/>
    </w:rPr>
  </w:style>
  <w:style w:type="paragraph" w:styleId="Heading1">
    <w:name w:val="heading 1"/>
    <w:basedOn w:val="Normal"/>
    <w:next w:val="Normal"/>
    <w:link w:val="Heading1Char"/>
    <w:uiPriority w:val="9"/>
    <w:qFormat/>
    <w:rsid w:val="009F131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F131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F131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F131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F131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F1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31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F131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F131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F131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F131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F1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310"/>
    <w:rPr>
      <w:rFonts w:eastAsiaTheme="majorEastAsia" w:cstheme="majorBidi"/>
      <w:color w:val="272727" w:themeColor="text1" w:themeTint="D8"/>
    </w:rPr>
  </w:style>
  <w:style w:type="paragraph" w:styleId="Title">
    <w:name w:val="Title"/>
    <w:basedOn w:val="Normal"/>
    <w:next w:val="Normal"/>
    <w:link w:val="TitleChar"/>
    <w:qFormat/>
    <w:rsid w:val="009F1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1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310"/>
    <w:pPr>
      <w:spacing w:before="160"/>
      <w:jc w:val="center"/>
    </w:pPr>
    <w:rPr>
      <w:i/>
      <w:iCs/>
      <w:color w:val="404040" w:themeColor="text1" w:themeTint="BF"/>
    </w:rPr>
  </w:style>
  <w:style w:type="character" w:customStyle="1" w:styleId="QuoteChar">
    <w:name w:val="Quote Char"/>
    <w:basedOn w:val="DefaultParagraphFont"/>
    <w:link w:val="Quote"/>
    <w:uiPriority w:val="29"/>
    <w:rsid w:val="009F1310"/>
    <w:rPr>
      <w:i/>
      <w:iCs/>
      <w:color w:val="404040" w:themeColor="text1" w:themeTint="BF"/>
    </w:rPr>
  </w:style>
  <w:style w:type="paragraph" w:styleId="ListParagraph">
    <w:name w:val="List Paragraph"/>
    <w:basedOn w:val="Normal"/>
    <w:uiPriority w:val="34"/>
    <w:qFormat/>
    <w:rsid w:val="009F1310"/>
    <w:pPr>
      <w:ind w:left="720"/>
      <w:contextualSpacing/>
    </w:pPr>
  </w:style>
  <w:style w:type="character" w:styleId="IntenseEmphasis">
    <w:name w:val="Intense Emphasis"/>
    <w:basedOn w:val="DefaultParagraphFont"/>
    <w:uiPriority w:val="21"/>
    <w:qFormat/>
    <w:rsid w:val="009F1310"/>
    <w:rPr>
      <w:i/>
      <w:iCs/>
      <w:color w:val="2E74B5" w:themeColor="accent1" w:themeShade="BF"/>
    </w:rPr>
  </w:style>
  <w:style w:type="paragraph" w:styleId="IntenseQuote">
    <w:name w:val="Intense Quote"/>
    <w:basedOn w:val="Normal"/>
    <w:next w:val="Normal"/>
    <w:link w:val="IntenseQuoteChar"/>
    <w:uiPriority w:val="30"/>
    <w:qFormat/>
    <w:rsid w:val="009F131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F1310"/>
    <w:rPr>
      <w:i/>
      <w:iCs/>
      <w:color w:val="2E74B5" w:themeColor="accent1" w:themeShade="BF"/>
    </w:rPr>
  </w:style>
  <w:style w:type="character" w:styleId="IntenseReference">
    <w:name w:val="Intense Reference"/>
    <w:basedOn w:val="DefaultParagraphFont"/>
    <w:uiPriority w:val="32"/>
    <w:qFormat/>
    <w:rsid w:val="009F1310"/>
    <w:rPr>
      <w:b/>
      <w:bCs/>
      <w:smallCaps/>
      <w:color w:val="2E74B5" w:themeColor="accent1" w:themeShade="BF"/>
      <w:spacing w:val="5"/>
    </w:rPr>
  </w:style>
  <w:style w:type="paragraph" w:customStyle="1" w:styleId="LDBodytext">
    <w:name w:val="LDBody text"/>
    <w:link w:val="LDBodytextChar"/>
    <w:rsid w:val="009F1310"/>
    <w:pPr>
      <w:spacing w:before="120" w:after="0" w:line="240" w:lineRule="auto"/>
    </w:pPr>
    <w:rPr>
      <w:rFonts w:ascii="Times New Roman" w:eastAsia="Times New Roman" w:hAnsi="Times New Roman" w:cs="Times New Roman"/>
      <w:kern w:val="0"/>
      <w:sz w:val="24"/>
      <w:szCs w:val="24"/>
      <w14:ligatures w14:val="none"/>
    </w:rPr>
  </w:style>
  <w:style w:type="character" w:customStyle="1" w:styleId="LDBodytextChar">
    <w:name w:val="LDBody text Char"/>
    <w:link w:val="LDBodytext"/>
    <w:rsid w:val="009F1310"/>
    <w:rPr>
      <w:rFonts w:ascii="Times New Roman" w:eastAsia="Times New Roman" w:hAnsi="Times New Roman" w:cs="Times New Roman"/>
      <w:kern w:val="0"/>
      <w:sz w:val="24"/>
      <w:szCs w:val="24"/>
      <w14:ligatures w14:val="none"/>
    </w:rPr>
  </w:style>
  <w:style w:type="character" w:customStyle="1" w:styleId="LDBoldItal">
    <w:name w:val="LDBoldItal"/>
    <w:uiPriority w:val="1"/>
    <w:qFormat/>
    <w:rsid w:val="009F1310"/>
    <w:rPr>
      <w:b/>
      <w:i/>
    </w:rPr>
  </w:style>
  <w:style w:type="paragraph" w:customStyle="1" w:styleId="Default">
    <w:name w:val="Default"/>
    <w:rsid w:val="009F1310"/>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AU"/>
      <w14:ligatures w14:val="none"/>
    </w:rPr>
  </w:style>
  <w:style w:type="table" w:styleId="TableGrid">
    <w:name w:val="Table Grid"/>
    <w:basedOn w:val="TableNormal"/>
    <w:uiPriority w:val="39"/>
    <w:rsid w:val="009F13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007"/>
    <w:pPr>
      <w:spacing w:after="0" w:line="240" w:lineRule="auto"/>
    </w:pPr>
    <w:rPr>
      <w:kern w:val="0"/>
      <w14:ligatures w14:val="none"/>
    </w:rPr>
  </w:style>
  <w:style w:type="character" w:styleId="Hyperlink">
    <w:name w:val="Hyperlink"/>
    <w:basedOn w:val="DefaultParagraphFont"/>
    <w:uiPriority w:val="99"/>
    <w:unhideWhenUsed/>
    <w:rsid w:val="00ED7334"/>
    <w:rPr>
      <w:color w:val="0563C1" w:themeColor="hyperlink"/>
      <w:u w:val="single"/>
    </w:rPr>
  </w:style>
  <w:style w:type="character" w:styleId="UnresolvedMention">
    <w:name w:val="Unresolved Mention"/>
    <w:basedOn w:val="DefaultParagraphFont"/>
    <w:uiPriority w:val="99"/>
    <w:semiHidden/>
    <w:unhideWhenUsed/>
    <w:rsid w:val="00ED7334"/>
    <w:rPr>
      <w:color w:val="605E5C"/>
      <w:shd w:val="clear" w:color="auto" w:fill="E1DFDD"/>
    </w:rPr>
  </w:style>
  <w:style w:type="character" w:styleId="CommentReference">
    <w:name w:val="annotation reference"/>
    <w:basedOn w:val="DefaultParagraphFont"/>
    <w:uiPriority w:val="99"/>
    <w:semiHidden/>
    <w:unhideWhenUsed/>
    <w:rsid w:val="0090466A"/>
    <w:rPr>
      <w:sz w:val="16"/>
      <w:szCs w:val="16"/>
    </w:rPr>
  </w:style>
  <w:style w:type="paragraph" w:styleId="CommentText">
    <w:name w:val="annotation text"/>
    <w:basedOn w:val="Normal"/>
    <w:link w:val="CommentTextChar"/>
    <w:uiPriority w:val="99"/>
    <w:unhideWhenUsed/>
    <w:rsid w:val="0090466A"/>
    <w:pPr>
      <w:spacing w:line="240" w:lineRule="auto"/>
    </w:pPr>
    <w:rPr>
      <w:sz w:val="20"/>
      <w:szCs w:val="20"/>
    </w:rPr>
  </w:style>
  <w:style w:type="character" w:customStyle="1" w:styleId="CommentTextChar">
    <w:name w:val="Comment Text Char"/>
    <w:basedOn w:val="DefaultParagraphFont"/>
    <w:link w:val="CommentText"/>
    <w:uiPriority w:val="99"/>
    <w:rsid w:val="009046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466A"/>
    <w:rPr>
      <w:b/>
      <w:bCs/>
    </w:rPr>
  </w:style>
  <w:style w:type="character" w:customStyle="1" w:styleId="CommentSubjectChar">
    <w:name w:val="Comment Subject Char"/>
    <w:basedOn w:val="CommentTextChar"/>
    <w:link w:val="CommentSubject"/>
    <w:uiPriority w:val="99"/>
    <w:semiHidden/>
    <w:rsid w:val="0090466A"/>
    <w:rPr>
      <w:b/>
      <w:bCs/>
      <w:kern w:val="0"/>
      <w:sz w:val="20"/>
      <w:szCs w:val="20"/>
      <w14:ligatures w14:val="none"/>
    </w:rPr>
  </w:style>
  <w:style w:type="paragraph" w:styleId="Header">
    <w:name w:val="header"/>
    <w:basedOn w:val="Normal"/>
    <w:link w:val="HeaderChar"/>
    <w:uiPriority w:val="99"/>
    <w:unhideWhenUsed/>
    <w:rsid w:val="00A56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037"/>
    <w:rPr>
      <w:kern w:val="0"/>
      <w14:ligatures w14:val="none"/>
    </w:rPr>
  </w:style>
  <w:style w:type="paragraph" w:styleId="Footer">
    <w:name w:val="footer"/>
    <w:basedOn w:val="Normal"/>
    <w:link w:val="FooterChar"/>
    <w:uiPriority w:val="99"/>
    <w:unhideWhenUsed/>
    <w:rsid w:val="00A5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0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2025-02-28T01:11:00Z</dcterms:created>
  <dcterms:modified xsi:type="dcterms:W3CDTF">2025-02-28T01:11:00Z</dcterms:modified>
</cp:coreProperties>
</file>