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9B95" w14:textId="77777777" w:rsidR="006405C7" w:rsidRPr="007E3E8C" w:rsidRDefault="006405C7" w:rsidP="006405C7">
      <w:pPr>
        <w:jc w:val="center"/>
        <w:rPr>
          <w:b/>
          <w:u w:val="single"/>
        </w:rPr>
      </w:pPr>
      <w:r w:rsidRPr="007E3E8C">
        <w:rPr>
          <w:b/>
          <w:u w:val="single"/>
        </w:rPr>
        <w:t>EXPLANATORY STATEMENT</w:t>
      </w:r>
    </w:p>
    <w:p w14:paraId="03E682F7" w14:textId="77777777" w:rsidR="006405C7" w:rsidRPr="007E3E8C" w:rsidRDefault="006405C7" w:rsidP="006405C7">
      <w:pPr>
        <w:autoSpaceDE w:val="0"/>
        <w:autoSpaceDN w:val="0"/>
        <w:adjustRightInd w:val="0"/>
        <w:spacing w:before="120" w:after="80"/>
        <w:jc w:val="center"/>
        <w:rPr>
          <w:bCs/>
        </w:rPr>
      </w:pPr>
    </w:p>
    <w:p w14:paraId="3D3AFD6C" w14:textId="77777777" w:rsidR="006405C7" w:rsidRPr="007E3E8C" w:rsidRDefault="006405C7" w:rsidP="00E573A9">
      <w:pPr>
        <w:jc w:val="center"/>
        <w:rPr>
          <w:u w:val="single"/>
        </w:rPr>
      </w:pPr>
      <w:r w:rsidRPr="007E3E8C">
        <w:rPr>
          <w:u w:val="single"/>
        </w:rPr>
        <w:t>Issued by the authority of th</w:t>
      </w:r>
      <w:r w:rsidRPr="001A23EE">
        <w:rPr>
          <w:u w:val="single"/>
        </w:rPr>
        <w:t xml:space="preserve">e </w:t>
      </w:r>
      <w:r w:rsidRPr="001A23EE">
        <w:rPr>
          <w:szCs w:val="22"/>
          <w:u w:val="single"/>
        </w:rPr>
        <w:t>Assistant Minister for Climate Change and Energy</w:t>
      </w:r>
    </w:p>
    <w:p w14:paraId="1B18DAD9" w14:textId="77777777" w:rsidR="006405C7" w:rsidRPr="007E3E8C" w:rsidRDefault="006405C7" w:rsidP="008D4BB4">
      <w:pPr>
        <w:autoSpaceDE w:val="0"/>
        <w:autoSpaceDN w:val="0"/>
        <w:adjustRightInd w:val="0"/>
        <w:jc w:val="center"/>
        <w:rPr>
          <w:bCs/>
        </w:rPr>
      </w:pPr>
    </w:p>
    <w:p w14:paraId="23907CAB" w14:textId="77777777" w:rsidR="006405C7" w:rsidRPr="007E3E8C" w:rsidRDefault="006405C7" w:rsidP="008D4BB4">
      <w:pPr>
        <w:autoSpaceDE w:val="0"/>
        <w:autoSpaceDN w:val="0"/>
        <w:adjustRightInd w:val="0"/>
        <w:jc w:val="center"/>
        <w:rPr>
          <w:bCs/>
          <w:i/>
        </w:rPr>
      </w:pPr>
      <w:r w:rsidRPr="007E3E8C">
        <w:rPr>
          <w:bCs/>
          <w:i/>
        </w:rPr>
        <w:t>Greenhouse and Energy Minimum Standards Act 2012</w:t>
      </w:r>
    </w:p>
    <w:p w14:paraId="790B6AAF" w14:textId="77777777" w:rsidR="006405C7" w:rsidRPr="007E3E8C" w:rsidRDefault="006405C7" w:rsidP="008D4BB4">
      <w:pPr>
        <w:autoSpaceDE w:val="0"/>
        <w:autoSpaceDN w:val="0"/>
        <w:adjustRightInd w:val="0"/>
        <w:jc w:val="center"/>
        <w:rPr>
          <w:bCs/>
        </w:rPr>
      </w:pPr>
    </w:p>
    <w:p w14:paraId="4608AF1D" w14:textId="3A7F063F" w:rsidR="006405C7" w:rsidRDefault="006405C7" w:rsidP="00E573A9">
      <w:pPr>
        <w:autoSpaceDE w:val="0"/>
        <w:autoSpaceDN w:val="0"/>
        <w:adjustRightInd w:val="0"/>
        <w:jc w:val="center"/>
        <w:rPr>
          <w:bCs/>
          <w:i/>
        </w:rPr>
      </w:pPr>
      <w:r w:rsidRPr="007E3E8C">
        <w:rPr>
          <w:bCs/>
          <w:i/>
        </w:rPr>
        <w:t>Greenhouse and Energy Minimum Standards (</w:t>
      </w:r>
      <w:r>
        <w:rPr>
          <w:bCs/>
          <w:i/>
        </w:rPr>
        <w:t xml:space="preserve">Commercial </w:t>
      </w:r>
      <w:proofErr w:type="gramStart"/>
      <w:r>
        <w:rPr>
          <w:bCs/>
          <w:i/>
        </w:rPr>
        <w:t>Ice</w:t>
      </w:r>
      <w:r w:rsidR="000D7AA8">
        <w:rPr>
          <w:bCs/>
          <w:i/>
        </w:rPr>
        <w:t>-</w:t>
      </w:r>
      <w:r w:rsidR="00FE0985">
        <w:rPr>
          <w:bCs/>
          <w:i/>
        </w:rPr>
        <w:t>m</w:t>
      </w:r>
      <w:r>
        <w:rPr>
          <w:bCs/>
          <w:i/>
        </w:rPr>
        <w:t>akers</w:t>
      </w:r>
      <w:proofErr w:type="gramEnd"/>
      <w:r w:rsidRPr="007E3E8C">
        <w:rPr>
          <w:bCs/>
          <w:i/>
        </w:rPr>
        <w:t>) Determination 202</w:t>
      </w:r>
      <w:r w:rsidR="00F31145">
        <w:rPr>
          <w:bCs/>
          <w:i/>
        </w:rPr>
        <w:t>5</w:t>
      </w:r>
    </w:p>
    <w:p w14:paraId="50603732" w14:textId="77777777" w:rsidR="00E573A9" w:rsidRPr="007E3E8C" w:rsidRDefault="00E573A9" w:rsidP="008D4BB4">
      <w:pPr>
        <w:autoSpaceDE w:val="0"/>
        <w:autoSpaceDN w:val="0"/>
        <w:adjustRightInd w:val="0"/>
        <w:jc w:val="center"/>
        <w:rPr>
          <w:bCs/>
          <w:i/>
        </w:rPr>
      </w:pPr>
    </w:p>
    <w:p w14:paraId="5632C8F8" w14:textId="77777777" w:rsidR="006405C7" w:rsidRPr="007E3E8C" w:rsidRDefault="006405C7" w:rsidP="00C47181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OLE_LINK23"/>
      <w:r w:rsidRPr="007E3E8C">
        <w:rPr>
          <w:rFonts w:ascii="Times New Roman" w:hAnsi="Times New Roman" w:cs="Times New Roman"/>
          <w:sz w:val="24"/>
          <w:szCs w:val="24"/>
        </w:rPr>
        <w:t>Purpose and Operation</w:t>
      </w:r>
    </w:p>
    <w:p w14:paraId="2D1D0330" w14:textId="77777777" w:rsidR="00B36EAE" w:rsidRDefault="00B36EAE" w:rsidP="00B36EAE"/>
    <w:p w14:paraId="6FF1EF18" w14:textId="53C2AAB2" w:rsidR="001E034E" w:rsidRDefault="006405C7" w:rsidP="008D4BB4">
      <w:r>
        <w:t xml:space="preserve">The </w:t>
      </w:r>
      <w:r w:rsidRPr="2E3B5B51">
        <w:rPr>
          <w:i/>
          <w:iCs/>
        </w:rPr>
        <w:t xml:space="preserve">Greenhouse and Energy Minimum Standards (Commercial </w:t>
      </w:r>
      <w:proofErr w:type="gramStart"/>
      <w:r w:rsidRPr="2E3B5B51">
        <w:rPr>
          <w:i/>
          <w:iCs/>
        </w:rPr>
        <w:t>Ice</w:t>
      </w:r>
      <w:r w:rsidR="000D7AA8">
        <w:rPr>
          <w:i/>
          <w:iCs/>
        </w:rPr>
        <w:t>-</w:t>
      </w:r>
      <w:r w:rsidR="00FE0985">
        <w:rPr>
          <w:i/>
          <w:iCs/>
        </w:rPr>
        <w:t>m</w:t>
      </w:r>
      <w:r w:rsidRPr="2E3B5B51">
        <w:rPr>
          <w:i/>
          <w:iCs/>
        </w:rPr>
        <w:t>akers</w:t>
      </w:r>
      <w:proofErr w:type="gramEnd"/>
      <w:r w:rsidRPr="2E3B5B51">
        <w:rPr>
          <w:i/>
          <w:iCs/>
        </w:rPr>
        <w:t>) Determination 202</w:t>
      </w:r>
      <w:r w:rsidR="00F31145">
        <w:rPr>
          <w:i/>
          <w:iCs/>
        </w:rPr>
        <w:t>5</w:t>
      </w:r>
      <w:r>
        <w:t xml:space="preserve"> (the </w:t>
      </w:r>
      <w:r w:rsidR="00126ACC">
        <w:t>d</w:t>
      </w:r>
      <w:r>
        <w:t xml:space="preserve">etermination) </w:t>
      </w:r>
      <w:r w:rsidR="001E034E">
        <w:t>establishes for commercial ice-makers:</w:t>
      </w:r>
    </w:p>
    <w:p w14:paraId="2D878709" w14:textId="152668BA" w:rsidR="001E034E" w:rsidRDefault="00E63560" w:rsidP="008D4BB4">
      <w:pPr>
        <w:pStyle w:val="ListParagraph"/>
        <w:numPr>
          <w:ilvl w:val="0"/>
          <w:numId w:val="10"/>
        </w:numPr>
      </w:pPr>
      <w:r>
        <w:t>GEMS level requirement</w:t>
      </w:r>
      <w:r w:rsidR="009150FB">
        <w:t>s</w:t>
      </w:r>
      <w:r>
        <w:t xml:space="preserve"> in the form of</w:t>
      </w:r>
      <w:r w:rsidR="00B816B7">
        <w:t xml:space="preserve"> tested</w:t>
      </w:r>
      <w:r>
        <w:t xml:space="preserve"> </w:t>
      </w:r>
      <w:r w:rsidR="00240F5E">
        <w:t xml:space="preserve">energy consumption rate </w:t>
      </w:r>
      <w:proofErr w:type="gramStart"/>
      <w:r w:rsidR="006405C7">
        <w:t>requirements</w:t>
      </w:r>
      <w:r w:rsidR="00A61091">
        <w:t>;</w:t>
      </w:r>
      <w:proofErr w:type="gramEnd"/>
    </w:p>
    <w:p w14:paraId="4E445592" w14:textId="1AB296B1" w:rsidR="00E63560" w:rsidRDefault="00E63560" w:rsidP="008D4BB4">
      <w:pPr>
        <w:pStyle w:val="ListParagraph"/>
        <w:numPr>
          <w:ilvl w:val="0"/>
          <w:numId w:val="10"/>
        </w:numPr>
      </w:pPr>
      <w:r>
        <w:t xml:space="preserve">GEMS labelling requirements in the form of </w:t>
      </w:r>
      <w:r w:rsidR="00DE7F0B">
        <w:t xml:space="preserve">a </w:t>
      </w:r>
      <w:r w:rsidR="005F7270">
        <w:t xml:space="preserve">registration number display </w:t>
      </w:r>
      <w:proofErr w:type="gramStart"/>
      <w:r w:rsidR="005F7270">
        <w:t>requirement</w:t>
      </w:r>
      <w:r w:rsidR="00A61091">
        <w:t>;</w:t>
      </w:r>
      <w:proofErr w:type="gramEnd"/>
    </w:p>
    <w:p w14:paraId="38B6CED1" w14:textId="7D4B816A" w:rsidR="002A33FA" w:rsidRDefault="00B77A22" w:rsidP="008D4BB4">
      <w:pPr>
        <w:pStyle w:val="ListParagraph"/>
        <w:numPr>
          <w:ilvl w:val="0"/>
          <w:numId w:val="10"/>
        </w:numPr>
      </w:pPr>
      <w:r>
        <w:t>o</w:t>
      </w:r>
      <w:r w:rsidR="00E63560">
        <w:t xml:space="preserve">ther </w:t>
      </w:r>
      <w:r>
        <w:t xml:space="preserve">product efficiency and performance </w:t>
      </w:r>
      <w:r w:rsidR="009150FB">
        <w:t>r</w:t>
      </w:r>
      <w:r w:rsidR="00E63560">
        <w:t>equirements</w:t>
      </w:r>
      <w:r w:rsidR="00A61091">
        <w:t>; and</w:t>
      </w:r>
    </w:p>
    <w:p w14:paraId="1EE5C75D" w14:textId="6CB9A8AB" w:rsidR="00E63560" w:rsidRDefault="0038179E" w:rsidP="00B36EAE">
      <w:pPr>
        <w:pStyle w:val="ListParagraph"/>
        <w:numPr>
          <w:ilvl w:val="0"/>
          <w:numId w:val="10"/>
        </w:numPr>
      </w:pPr>
      <w:r>
        <w:t xml:space="preserve">product classes and </w:t>
      </w:r>
      <w:r w:rsidR="006405C7">
        <w:t>associated requirements for conducting tests.</w:t>
      </w:r>
    </w:p>
    <w:p w14:paraId="2A1F3DB8" w14:textId="77777777" w:rsidR="00B36EAE" w:rsidRDefault="00B36EAE" w:rsidP="00C47181"/>
    <w:p w14:paraId="4CEBA62A" w14:textId="79D2D29F" w:rsidR="00E63560" w:rsidRDefault="007F0D04" w:rsidP="00B36EAE">
      <w:r>
        <w:t xml:space="preserve">Each commercial ice-maker model supplied or offered for supply must meet the requirements of the determination. </w:t>
      </w:r>
      <w:r w:rsidR="0009218C">
        <w:t xml:space="preserve">Commercial </w:t>
      </w:r>
      <w:proofErr w:type="gramStart"/>
      <w:r w:rsidR="0009218C">
        <w:t>ice-makers</w:t>
      </w:r>
      <w:proofErr w:type="gramEnd"/>
      <w:r w:rsidR="00117033">
        <w:t xml:space="preserve"> </w:t>
      </w:r>
      <w:r w:rsidR="00AF40E0">
        <w:t xml:space="preserve">are defined in the </w:t>
      </w:r>
      <w:r w:rsidR="00126ACC">
        <w:t>d</w:t>
      </w:r>
      <w:r w:rsidR="00AF40E0">
        <w:t>etermination as automatic ice-maker</w:t>
      </w:r>
      <w:r w:rsidR="00BA5E90">
        <w:t>s</w:t>
      </w:r>
      <w:r w:rsidR="00AF40E0">
        <w:t xml:space="preserve"> that ha</w:t>
      </w:r>
      <w:r w:rsidR="00BA5E90">
        <w:t>ve</w:t>
      </w:r>
      <w:r w:rsidR="00AF40E0">
        <w:t xml:space="preserve"> a </w:t>
      </w:r>
      <w:r w:rsidR="00AC7840">
        <w:t>tested</w:t>
      </w:r>
      <w:r w:rsidR="00E63560">
        <w:t xml:space="preserve"> </w:t>
      </w:r>
      <w:r w:rsidR="002742C3">
        <w:t xml:space="preserve">ice production </w:t>
      </w:r>
      <w:r w:rsidR="00AF40E0">
        <w:t>capacity of up to and including 1000 kg in 24 hours when tested at a rating point of 32 degrees Celsius (ambient), 21 degrees Celsius (inlet potable water</w:t>
      </w:r>
      <w:r w:rsidR="000F57B9">
        <w:t>)</w:t>
      </w:r>
      <w:r w:rsidR="00AF40E0">
        <w:t xml:space="preserve"> </w:t>
      </w:r>
      <w:r w:rsidR="00DC54E1">
        <w:t>with ele</w:t>
      </w:r>
      <w:r w:rsidR="0000459A">
        <w:t xml:space="preserve">ctricity supplied at 230V and 50 Hz </w:t>
      </w:r>
      <w:r w:rsidR="00AF40E0">
        <w:t>and ha</w:t>
      </w:r>
      <w:r w:rsidR="00BA5E90">
        <w:t>ve</w:t>
      </w:r>
      <w:r w:rsidR="00AF40E0">
        <w:t xml:space="preserve"> </w:t>
      </w:r>
      <w:r w:rsidR="0000459A">
        <w:t xml:space="preserve">provision for both </w:t>
      </w:r>
      <w:r w:rsidR="00AF40E0">
        <w:t xml:space="preserve">water supply and </w:t>
      </w:r>
      <w:r w:rsidR="00124787">
        <w:t>drainage connections.</w:t>
      </w:r>
      <w:r w:rsidR="00EC1B29">
        <w:t xml:space="preserve"> </w:t>
      </w:r>
    </w:p>
    <w:p w14:paraId="60CA34FF" w14:textId="77777777" w:rsidR="00B36EAE" w:rsidRDefault="00B36EAE" w:rsidP="008D4BB4"/>
    <w:p w14:paraId="7554BF56" w14:textId="63951E0B" w:rsidR="006405C7" w:rsidRDefault="00CC38D3" w:rsidP="00B36EAE">
      <w:r w:rsidRPr="001176DF">
        <w:t xml:space="preserve">Domestic </w:t>
      </w:r>
      <w:proofErr w:type="gramStart"/>
      <w:r w:rsidRPr="001176DF">
        <w:t>i</w:t>
      </w:r>
      <w:r w:rsidR="00BD3D6B" w:rsidRPr="001176DF">
        <w:t>ce</w:t>
      </w:r>
      <w:r w:rsidR="00B9450C">
        <w:t>-</w:t>
      </w:r>
      <w:r w:rsidR="00BD3D6B" w:rsidRPr="001176DF">
        <w:t>makers</w:t>
      </w:r>
      <w:proofErr w:type="gramEnd"/>
      <w:r w:rsidR="00D93AC6" w:rsidRPr="001176DF">
        <w:t xml:space="preserve"> </w:t>
      </w:r>
      <w:r w:rsidR="00231141" w:rsidRPr="001176DF">
        <w:t xml:space="preserve">are </w:t>
      </w:r>
      <w:r w:rsidR="00672DF2" w:rsidRPr="001176DF">
        <w:t xml:space="preserve">not covered by the determination, and are defined as </w:t>
      </w:r>
      <w:r w:rsidR="00D84D58" w:rsidRPr="001176DF">
        <w:t xml:space="preserve">automatic ice-makers that </w:t>
      </w:r>
      <w:r w:rsidR="008266FD" w:rsidRPr="002B4153">
        <w:t>are integrated into a household refrigerating appliance or are designed to be manually filled and drained and do not otherwise have water supply and drainage connections.</w:t>
      </w:r>
    </w:p>
    <w:p w14:paraId="290BB32E" w14:textId="77777777" w:rsidR="00B36EAE" w:rsidRDefault="00B36EAE" w:rsidP="008D4BB4"/>
    <w:p w14:paraId="5E147F2D" w14:textId="2BB4A898" w:rsidR="006405C7" w:rsidRDefault="00B9450C" w:rsidP="00B36EAE">
      <w:r>
        <w:t xml:space="preserve">Energy consumption rate requirements </w:t>
      </w:r>
      <w:r w:rsidR="004D6BE2">
        <w:t xml:space="preserve">require the tested energy consumption rate to </w:t>
      </w:r>
      <w:r w:rsidR="004D6BE2" w:rsidRPr="00D0652A">
        <w:rPr>
          <w:color w:val="000000"/>
        </w:rPr>
        <w:t>be less than or equal to the maximum energy consumption rate</w:t>
      </w:r>
      <w:r w:rsidR="00E07423">
        <w:rPr>
          <w:color w:val="000000"/>
        </w:rPr>
        <w:t xml:space="preserve">, which is calculated with reference to </w:t>
      </w:r>
      <w:r w:rsidR="002742C3">
        <w:t>the product</w:t>
      </w:r>
      <w:r w:rsidR="0010074C">
        <w:t xml:space="preserve"> class</w:t>
      </w:r>
      <w:r w:rsidR="002742C3">
        <w:t xml:space="preserve"> and </w:t>
      </w:r>
      <w:r w:rsidR="0010074C">
        <w:t>capacity</w:t>
      </w:r>
      <w:r w:rsidR="002742C3">
        <w:t xml:space="preserve">. </w:t>
      </w:r>
    </w:p>
    <w:p w14:paraId="2A27815A" w14:textId="77777777" w:rsidR="00B36EAE" w:rsidRDefault="00B36EAE" w:rsidP="008D4BB4"/>
    <w:p w14:paraId="535FC6BA" w14:textId="7C2AF9C6" w:rsidR="006405C7" w:rsidRDefault="006405C7" w:rsidP="00B36EAE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7E3E8C">
        <w:rPr>
          <w:rFonts w:ascii="Times New Roman" w:hAnsi="Times New Roman" w:cs="Times New Roman"/>
          <w:sz w:val="24"/>
          <w:szCs w:val="24"/>
        </w:rPr>
        <w:t>Background</w:t>
      </w:r>
    </w:p>
    <w:p w14:paraId="7279E5D9" w14:textId="77777777" w:rsidR="00B36EAE" w:rsidRPr="00B36EAE" w:rsidRDefault="00B36EAE" w:rsidP="00C47181"/>
    <w:p w14:paraId="50D44044" w14:textId="77777777" w:rsidR="0055267F" w:rsidRDefault="006405C7" w:rsidP="00B36EAE">
      <w:pPr>
        <w:rPr>
          <w:noProof/>
        </w:rPr>
      </w:pPr>
      <w:bookmarkStart w:id="1" w:name="OLE_LINK34"/>
      <w:r w:rsidRPr="007E3E8C">
        <w:rPr>
          <w:noProof/>
        </w:rPr>
        <w:t xml:space="preserve">The </w:t>
      </w:r>
      <w:r w:rsidRPr="007E3E8C">
        <w:rPr>
          <w:i/>
          <w:noProof/>
        </w:rPr>
        <w:t>Greenhouse and Energy Minimum Standards Act 2012</w:t>
      </w:r>
      <w:r w:rsidRPr="007E3E8C">
        <w:rPr>
          <w:noProof/>
        </w:rPr>
        <w:t xml:space="preserve"> (the Act) </w:t>
      </w:r>
      <w:r w:rsidR="00E4003E" w:rsidRPr="007E3E8C">
        <w:rPr>
          <w:noProof/>
        </w:rPr>
        <w:t>establishe</w:t>
      </w:r>
      <w:r w:rsidR="00E4003E">
        <w:rPr>
          <w:noProof/>
        </w:rPr>
        <w:t>s</w:t>
      </w:r>
      <w:r w:rsidR="00E4003E" w:rsidRPr="007E3E8C">
        <w:rPr>
          <w:noProof/>
        </w:rPr>
        <w:t xml:space="preserve"> </w:t>
      </w:r>
      <w:r w:rsidRPr="007E3E8C">
        <w:rPr>
          <w:noProof/>
        </w:rPr>
        <w:t xml:space="preserve">a national framework for regulating the energy efficiency of products supplied or used within Australia, replacing individual state and territory legislative frameworks. </w:t>
      </w:r>
    </w:p>
    <w:p w14:paraId="34A17F09" w14:textId="77777777" w:rsidR="00B36EAE" w:rsidRDefault="00B36EAE" w:rsidP="008D4BB4">
      <w:pPr>
        <w:rPr>
          <w:noProof/>
        </w:rPr>
      </w:pPr>
    </w:p>
    <w:p w14:paraId="1C579E32" w14:textId="1C930FDD" w:rsidR="006405C7" w:rsidRDefault="006405C7" w:rsidP="00B36EAE">
      <w:pPr>
        <w:rPr>
          <w:noProof/>
        </w:rPr>
      </w:pPr>
      <w:r w:rsidRPr="007E3E8C">
        <w:rPr>
          <w:noProof/>
        </w:rPr>
        <w:t xml:space="preserve">The Act implemented the </w:t>
      </w:r>
      <w:r>
        <w:rPr>
          <w:noProof/>
        </w:rPr>
        <w:t xml:space="preserve">former </w:t>
      </w:r>
      <w:r w:rsidRPr="007E3E8C">
        <w:rPr>
          <w:noProof/>
        </w:rPr>
        <w:t xml:space="preserve">Council of Australian Governments’ (COAG) commitment to establish national legislation to </w:t>
      </w:r>
      <w:r w:rsidRPr="007E3E8C">
        <w:t>regulate</w:t>
      </w:r>
      <w:r w:rsidRPr="007E3E8C">
        <w:rPr>
          <w:noProof/>
        </w:rPr>
        <w:t xml:space="preserve"> energy efficiency and labelling standards for appliances and other products.</w:t>
      </w:r>
    </w:p>
    <w:p w14:paraId="68252DD3" w14:textId="77777777" w:rsidR="00B36EAE" w:rsidRPr="007E3E8C" w:rsidRDefault="00B36EAE" w:rsidP="008D4BB4">
      <w:pPr>
        <w:rPr>
          <w:noProof/>
        </w:rPr>
      </w:pPr>
    </w:p>
    <w:p w14:paraId="685CA8B9" w14:textId="069D65D0" w:rsidR="006405C7" w:rsidRDefault="006405C7" w:rsidP="00B36EAE">
      <w:pPr>
        <w:rPr>
          <w:noProof/>
        </w:rPr>
      </w:pPr>
      <w:r w:rsidRPr="007E3E8C">
        <w:rPr>
          <w:noProof/>
        </w:rPr>
        <w:t xml:space="preserve">The Act permits the Australian Government to set mandatory minimum efficiency requirements to </w:t>
      </w:r>
      <w:r w:rsidR="00D90356">
        <w:rPr>
          <w:noProof/>
        </w:rPr>
        <w:t>improve</w:t>
      </w:r>
      <w:r w:rsidR="00D90356" w:rsidRPr="007E3E8C">
        <w:rPr>
          <w:noProof/>
        </w:rPr>
        <w:t xml:space="preserve"> </w:t>
      </w:r>
      <w:r w:rsidR="00615203">
        <w:rPr>
          <w:noProof/>
        </w:rPr>
        <w:t xml:space="preserve">the </w:t>
      </w:r>
      <w:r w:rsidRPr="007E3E8C">
        <w:rPr>
          <w:noProof/>
        </w:rPr>
        <w:t xml:space="preserve">energy efficiency </w:t>
      </w:r>
      <w:r w:rsidR="00D90356">
        <w:rPr>
          <w:noProof/>
        </w:rPr>
        <w:t>of</w:t>
      </w:r>
      <w:r w:rsidR="00D90356" w:rsidRPr="007E3E8C">
        <w:rPr>
          <w:noProof/>
        </w:rPr>
        <w:t xml:space="preserve"> </w:t>
      </w:r>
      <w:r w:rsidRPr="007E3E8C">
        <w:rPr>
          <w:noProof/>
        </w:rPr>
        <w:t xml:space="preserve">regulated products. The Act also allows the Australian Government to set nationally-consistent labelling requirements, </w:t>
      </w:r>
      <w:r w:rsidRPr="007E3E8C">
        <w:rPr>
          <w:noProof/>
        </w:rPr>
        <w:lastRenderedPageBreak/>
        <w:t>to increase Australian consumers’ awareness of options to improve energy efficiency and reduce energy consumption, costs, and greenhouse gas emissions.</w:t>
      </w:r>
    </w:p>
    <w:p w14:paraId="6825E995" w14:textId="77777777" w:rsidR="00B36EAE" w:rsidRPr="007E3E8C" w:rsidRDefault="00B36EAE" w:rsidP="008D4BB4">
      <w:pPr>
        <w:rPr>
          <w:noProof/>
        </w:rPr>
      </w:pPr>
    </w:p>
    <w:p w14:paraId="45C1A2C3" w14:textId="04FDAECA" w:rsidR="006405C7" w:rsidRDefault="00615203" w:rsidP="00B36EAE">
      <w:pPr>
        <w:rPr>
          <w:noProof/>
        </w:rPr>
      </w:pPr>
      <w:r w:rsidRPr="007E3E8C">
        <w:rPr>
          <w:noProof/>
        </w:rPr>
        <w:t xml:space="preserve">The </w:t>
      </w:r>
      <w:r w:rsidR="006405C7" w:rsidRPr="007E3E8C">
        <w:rPr>
          <w:noProof/>
        </w:rPr>
        <w:t>minimum allowable energy efficiency of product</w:t>
      </w:r>
      <w:r>
        <w:rPr>
          <w:noProof/>
        </w:rPr>
        <w:t xml:space="preserve">s is </w:t>
      </w:r>
      <w:r w:rsidR="006405C7" w:rsidRPr="007E3E8C">
        <w:rPr>
          <w:noProof/>
        </w:rPr>
        <w:t xml:space="preserve">referred in the </w:t>
      </w:r>
      <w:r w:rsidR="007239A9">
        <w:rPr>
          <w:noProof/>
        </w:rPr>
        <w:t>determination</w:t>
      </w:r>
      <w:r w:rsidR="006405C7" w:rsidRPr="007E3E8C">
        <w:rPr>
          <w:noProof/>
        </w:rPr>
        <w:t xml:space="preserve"> as greenhouse and energy minimum standards (GEMS) level requirements</w:t>
      </w:r>
      <w:r w:rsidR="00A138C6">
        <w:rPr>
          <w:noProof/>
        </w:rPr>
        <w:t>.</w:t>
      </w:r>
    </w:p>
    <w:p w14:paraId="3BE1EE37" w14:textId="77777777" w:rsidR="00B36EAE" w:rsidRDefault="00B36EAE" w:rsidP="008D4BB4"/>
    <w:p w14:paraId="603026EE" w14:textId="77777777" w:rsidR="00BD048C" w:rsidRDefault="006405C7" w:rsidP="00B36EAE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  <w:r>
        <w:rPr>
          <w:noProof/>
        </w:rPr>
        <w:t xml:space="preserve">Other regulatory requirements possible under the Act include requirements relating to energy labelling, product performance, and the impact of the product on the environment or the health of human beings. </w:t>
      </w:r>
      <w:r w:rsidR="00615203">
        <w:rPr>
          <w:noProof/>
        </w:rPr>
        <w:t xml:space="preserve">Apart from </w:t>
      </w:r>
      <w:r w:rsidR="00892C30">
        <w:rPr>
          <w:noProof/>
        </w:rPr>
        <w:t>GEMS level requirements</w:t>
      </w:r>
      <w:r w:rsidR="00615203">
        <w:rPr>
          <w:noProof/>
        </w:rPr>
        <w:t xml:space="preserve">, this </w:t>
      </w:r>
      <w:r w:rsidR="007239A9">
        <w:rPr>
          <w:noProof/>
        </w:rPr>
        <w:t>determination</w:t>
      </w:r>
      <w:r w:rsidR="00615203">
        <w:rPr>
          <w:noProof/>
        </w:rPr>
        <w:t xml:space="preserve"> also covers energy </w:t>
      </w:r>
      <w:r>
        <w:rPr>
          <w:noProof/>
        </w:rPr>
        <w:t xml:space="preserve">labelling requirements </w:t>
      </w:r>
      <w:r w:rsidR="00615203">
        <w:rPr>
          <w:noProof/>
        </w:rPr>
        <w:t xml:space="preserve">(not necessarily affixed to the products) and voluntary </w:t>
      </w:r>
      <w:r w:rsidR="00ED1A96">
        <w:rPr>
          <w:noProof/>
        </w:rPr>
        <w:t xml:space="preserve">declaration </w:t>
      </w:r>
      <w:r w:rsidR="00615203">
        <w:rPr>
          <w:noProof/>
        </w:rPr>
        <w:t>of the model’s water consumption.</w:t>
      </w:r>
    </w:p>
    <w:p w14:paraId="43973811" w14:textId="77777777" w:rsidR="00BD048C" w:rsidRDefault="00BD048C" w:rsidP="00BD048C"/>
    <w:p w14:paraId="308DFFB6" w14:textId="105BA167" w:rsidR="006405C7" w:rsidRDefault="00BD048C" w:rsidP="008D4BB4">
      <w:pPr>
        <w:rPr>
          <w:noProof/>
        </w:rPr>
      </w:pPr>
      <w:r>
        <w:t xml:space="preserve">It is intended that the requirements </w:t>
      </w:r>
      <w:r w:rsidR="00A97B33">
        <w:t xml:space="preserve">in the determination </w:t>
      </w:r>
      <w:r>
        <w:t xml:space="preserve">are the first stage in a two-stage process to enable the market to transition to more efficient commercial </w:t>
      </w:r>
      <w:proofErr w:type="gramStart"/>
      <w:r>
        <w:t>ice-makers</w:t>
      </w:r>
      <w:proofErr w:type="gramEnd"/>
      <w:r>
        <w:t xml:space="preserve">, while ensuring the availability of products. In </w:t>
      </w:r>
      <w:r w:rsidR="00456EFE">
        <w:t xml:space="preserve">the second </w:t>
      </w:r>
      <w:r>
        <w:t xml:space="preserve">stage, it is intended to increase </w:t>
      </w:r>
      <w:r w:rsidRPr="00C77060">
        <w:t xml:space="preserve">the requirements to </w:t>
      </w:r>
      <w:r w:rsidRPr="001176DF">
        <w:t>match the levels mandated in the United States</w:t>
      </w:r>
      <w:r w:rsidRPr="00C77060">
        <w:t>.</w:t>
      </w:r>
    </w:p>
    <w:p w14:paraId="0A81DB42" w14:textId="77777777" w:rsidR="00B36EAE" w:rsidRDefault="00B36EAE" w:rsidP="008D4BB4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</w:p>
    <w:p w14:paraId="22AEE7B9" w14:textId="0FD23A53" w:rsidR="006405C7" w:rsidRDefault="00B37713" w:rsidP="00B36EAE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Legislative </w:t>
      </w:r>
      <w:r w:rsidR="006405C7" w:rsidRPr="007E3E8C">
        <w:rPr>
          <w:rFonts w:ascii="Times New Roman" w:hAnsi="Times New Roman" w:cs="Times New Roman"/>
          <w:sz w:val="24"/>
          <w:szCs w:val="24"/>
        </w:rPr>
        <w:t>Authority</w:t>
      </w:r>
    </w:p>
    <w:p w14:paraId="1219CAC0" w14:textId="77777777" w:rsidR="00B36EAE" w:rsidRPr="00B36EAE" w:rsidRDefault="00B36EAE" w:rsidP="00C47181"/>
    <w:p w14:paraId="2E7583D9" w14:textId="428FC905" w:rsidR="004D0B28" w:rsidRDefault="00C23473" w:rsidP="006827AB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  <w:r>
        <w:rPr>
          <w:noProof/>
        </w:rPr>
        <w:t>S</w:t>
      </w:r>
      <w:r w:rsidR="006405C7" w:rsidRPr="007E3E8C">
        <w:rPr>
          <w:noProof/>
        </w:rPr>
        <w:t>ection 23 of the Act</w:t>
      </w:r>
      <w:r>
        <w:rPr>
          <w:noProof/>
        </w:rPr>
        <w:t xml:space="preserve"> provides that</w:t>
      </w:r>
      <w:r w:rsidR="006405C7" w:rsidRPr="007E3E8C">
        <w:rPr>
          <w:noProof/>
        </w:rPr>
        <w:t xml:space="preserve"> the Minister may, by legislative instrument, make a determination (a GEMS determination) that specifies one or more classes of products </w:t>
      </w:r>
      <w:r w:rsidR="003A5DC4">
        <w:rPr>
          <w:noProof/>
        </w:rPr>
        <w:t xml:space="preserve">that it covers, </w:t>
      </w:r>
      <w:r w:rsidR="006405C7" w:rsidRPr="007E3E8C">
        <w:rPr>
          <w:noProof/>
        </w:rPr>
        <w:t xml:space="preserve">if the products in those classes use energy or affect the amount of energy used by other products. </w:t>
      </w:r>
    </w:p>
    <w:p w14:paraId="21666831" w14:textId="77777777" w:rsidR="00B36EAE" w:rsidRDefault="00B36EAE" w:rsidP="008D4BB4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</w:p>
    <w:p w14:paraId="397A1BAE" w14:textId="6546833A" w:rsidR="00B36EAE" w:rsidRDefault="006405C7" w:rsidP="008D4BB4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  <w:r w:rsidRPr="007E3E8C">
        <w:rPr>
          <w:noProof/>
        </w:rPr>
        <w:t>A GEMS determination is the vehicle by which energy efficiency requirements (GEMS level requirements), energy labelling requirements (GEMS labelling requirements), and other requirements for a product class are established.</w:t>
      </w:r>
    </w:p>
    <w:p w14:paraId="4842298D" w14:textId="77777777" w:rsidR="00B36EAE" w:rsidRPr="007E3E8C" w:rsidRDefault="00B36EAE" w:rsidP="008D4BB4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</w:p>
    <w:p w14:paraId="76F92C78" w14:textId="05E0F8D3" w:rsidR="006405C7" w:rsidRPr="007E3E8C" w:rsidRDefault="006405C7" w:rsidP="008D4BB4">
      <w:pPr>
        <w:pStyle w:val="ACMANumberedList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noProof/>
        </w:rPr>
      </w:pPr>
      <w:r>
        <w:t>Under section 25 of the Act, the GEMS level requirements specified in a GEMS determination may be:</w:t>
      </w:r>
    </w:p>
    <w:p w14:paraId="502BDC39" w14:textId="4C3A5857" w:rsidR="006405C7" w:rsidRPr="007E3E8C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>requirements relating to one or more of the following:</w:t>
      </w:r>
    </w:p>
    <w:p w14:paraId="3DAC4E73" w14:textId="1AC23CCB" w:rsidR="006405C7" w:rsidRPr="007E3E8C" w:rsidRDefault="006405C7" w:rsidP="008D4BB4">
      <w:pPr>
        <w:numPr>
          <w:ilvl w:val="1"/>
          <w:numId w:val="2"/>
        </w:numPr>
        <w:autoSpaceDE w:val="0"/>
        <w:autoSpaceDN w:val="0"/>
        <w:adjustRightInd w:val="0"/>
        <w:ind w:left="993" w:hanging="425"/>
      </w:pPr>
      <w:r w:rsidRPr="007E3E8C">
        <w:t xml:space="preserve">the amount of energy used </w:t>
      </w:r>
      <w:r>
        <w:t>by</w:t>
      </w:r>
      <w:r w:rsidRPr="007E3E8C">
        <w:t xml:space="preserve"> operating products in the relevant product </w:t>
      </w:r>
      <w:proofErr w:type="gramStart"/>
      <w:r w:rsidRPr="007E3E8C">
        <w:t>classes;</w:t>
      </w:r>
      <w:proofErr w:type="gramEnd"/>
    </w:p>
    <w:p w14:paraId="164A6028" w14:textId="0DC7B424" w:rsidR="006405C7" w:rsidRPr="007E3E8C" w:rsidRDefault="006405C7" w:rsidP="008D4BB4">
      <w:pPr>
        <w:numPr>
          <w:ilvl w:val="1"/>
          <w:numId w:val="2"/>
        </w:numPr>
        <w:autoSpaceDE w:val="0"/>
        <w:autoSpaceDN w:val="0"/>
        <w:adjustRightInd w:val="0"/>
        <w:ind w:left="993" w:hanging="425"/>
      </w:pPr>
      <w:r w:rsidRPr="007E3E8C">
        <w:t xml:space="preserve">the amount of greenhouse gases resulting from operating products in the relevant product </w:t>
      </w:r>
      <w:proofErr w:type="gramStart"/>
      <w:r w:rsidRPr="007E3E8C">
        <w:t>class;</w:t>
      </w:r>
      <w:proofErr w:type="gramEnd"/>
    </w:p>
    <w:p w14:paraId="3E5791DC" w14:textId="2DCCE712" w:rsidR="006405C7" w:rsidRPr="007E3E8C" w:rsidRDefault="006405C7" w:rsidP="008D4BB4">
      <w:pPr>
        <w:numPr>
          <w:ilvl w:val="1"/>
          <w:numId w:val="2"/>
        </w:numPr>
        <w:autoSpaceDE w:val="0"/>
        <w:autoSpaceDN w:val="0"/>
        <w:adjustRightInd w:val="0"/>
        <w:ind w:left="993" w:hanging="425"/>
      </w:pPr>
      <w:r w:rsidRPr="007E3E8C">
        <w:t>the effect of those products on the amount of energy used by operating other products; and</w:t>
      </w:r>
    </w:p>
    <w:p w14:paraId="408368A8" w14:textId="5BE80719" w:rsidR="006405C7" w:rsidRDefault="006405C7" w:rsidP="006827AB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for conducting tests </w:t>
      </w:r>
      <w:r w:rsidR="00D45C14">
        <w:t>of</w:t>
      </w:r>
      <w:r w:rsidRPr="007E3E8C">
        <w:t xml:space="preserve"> products in the relevant product class </w:t>
      </w:r>
      <w:r w:rsidR="00D45C14" w:rsidRPr="007E3E8C">
        <w:t>to</w:t>
      </w:r>
      <w:r w:rsidRPr="007E3E8C">
        <w:t xml:space="preserve"> determine whether the products meet the requirements</w:t>
      </w:r>
      <w:r>
        <w:t xml:space="preserve"> specified above</w:t>
      </w:r>
      <w:r w:rsidRPr="007E3E8C">
        <w:t>.</w:t>
      </w:r>
    </w:p>
    <w:p w14:paraId="6853E18B" w14:textId="77777777" w:rsidR="006827AB" w:rsidRPr="007E3E8C" w:rsidRDefault="006827AB" w:rsidP="008D4BB4">
      <w:pPr>
        <w:autoSpaceDE w:val="0"/>
        <w:autoSpaceDN w:val="0"/>
        <w:adjustRightInd w:val="0"/>
        <w:ind w:left="567" w:right="-57"/>
      </w:pPr>
    </w:p>
    <w:p w14:paraId="0C52D6AB" w14:textId="15A72BD7" w:rsidR="006405C7" w:rsidRPr="007E3E8C" w:rsidRDefault="006405C7" w:rsidP="008D4BB4">
      <w:pPr>
        <w:autoSpaceDE w:val="0"/>
        <w:autoSpaceDN w:val="0"/>
        <w:adjustRightInd w:val="0"/>
      </w:pPr>
      <w:r w:rsidRPr="007E3E8C">
        <w:t>Under section 26 of the Act, the GEMS labelling requirements for a product class specified in a GEMS determination may be:</w:t>
      </w:r>
    </w:p>
    <w:p w14:paraId="6102053B" w14:textId="283626B2" w:rsidR="006405C7" w:rsidRPr="007E3E8C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relating to the information that must be communicated in connection with supplying or offering to supply products in the relevant product </w:t>
      </w:r>
      <w:proofErr w:type="gramStart"/>
      <w:r w:rsidRPr="007E3E8C">
        <w:t>class;</w:t>
      </w:r>
      <w:proofErr w:type="gramEnd"/>
    </w:p>
    <w:p w14:paraId="258FA198" w14:textId="24BF94FF" w:rsidR="006405C7" w:rsidRPr="007E3E8C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relating to the </w:t>
      </w:r>
      <w:r w:rsidR="00784BCA" w:rsidRPr="007E3E8C">
        <w:t>way</w:t>
      </w:r>
      <w:r w:rsidRPr="007E3E8C">
        <w:t xml:space="preserve"> that information must be communicated; and</w:t>
      </w:r>
    </w:p>
    <w:p w14:paraId="1237130C" w14:textId="0AE6EB1C" w:rsidR="006405C7" w:rsidRDefault="006405C7" w:rsidP="006827AB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for conducting tests </w:t>
      </w:r>
      <w:r w:rsidR="00784BCA">
        <w:t>of</w:t>
      </w:r>
      <w:r w:rsidRPr="007E3E8C">
        <w:t xml:space="preserve"> products in the relevant product class </w:t>
      </w:r>
      <w:proofErr w:type="gramStart"/>
      <w:r w:rsidRPr="007E3E8C">
        <w:t>in order to</w:t>
      </w:r>
      <w:proofErr w:type="gramEnd"/>
      <w:r w:rsidRPr="007E3E8C">
        <w:t xml:space="preserve"> </w:t>
      </w:r>
      <w:r>
        <w:t>rate them against the criteria specified in the information that must be communicated</w:t>
      </w:r>
      <w:r w:rsidRPr="007E3E8C">
        <w:t>.</w:t>
      </w:r>
    </w:p>
    <w:p w14:paraId="01672977" w14:textId="77777777" w:rsidR="006827AB" w:rsidRPr="007E3E8C" w:rsidRDefault="006827AB" w:rsidP="008D4BB4">
      <w:pPr>
        <w:autoSpaceDE w:val="0"/>
        <w:autoSpaceDN w:val="0"/>
        <w:adjustRightInd w:val="0"/>
        <w:ind w:left="567" w:right="-57"/>
      </w:pPr>
    </w:p>
    <w:p w14:paraId="65E26A21" w14:textId="53A6D3DF" w:rsidR="006405C7" w:rsidRPr="007E3E8C" w:rsidRDefault="006405C7" w:rsidP="008D4BB4">
      <w:pPr>
        <w:autoSpaceDE w:val="0"/>
        <w:autoSpaceDN w:val="0"/>
        <w:adjustRightInd w:val="0"/>
      </w:pPr>
      <w:r w:rsidRPr="007E3E8C">
        <w:lastRenderedPageBreak/>
        <w:t>Under section 27 of the Act, other requirements that may be specified in a GEMS determination are:</w:t>
      </w:r>
    </w:p>
    <w:p w14:paraId="3A0E6BB9" w14:textId="1D8C1F3B" w:rsidR="006405C7" w:rsidRPr="007E3E8C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for products in the relevant product class to meet a specified level (the high efficiency level) at a particular </w:t>
      </w:r>
      <w:proofErr w:type="gramStart"/>
      <w:r w:rsidRPr="007E3E8C">
        <w:t>time;</w:t>
      </w:r>
      <w:proofErr w:type="gramEnd"/>
    </w:p>
    <w:p w14:paraId="56477C16" w14:textId="6FE40195" w:rsidR="006405C7" w:rsidRPr="007E3E8C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relating to the performance of products in the relevant product </w:t>
      </w:r>
      <w:proofErr w:type="gramStart"/>
      <w:r w:rsidRPr="007E3E8C">
        <w:t>class;</w:t>
      </w:r>
      <w:proofErr w:type="gramEnd"/>
    </w:p>
    <w:p w14:paraId="0F7036B4" w14:textId="23459A56" w:rsidR="006405C7" w:rsidRPr="007E3E8C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relating to the impact of products in that product class on the environment or on the health of human </w:t>
      </w:r>
      <w:proofErr w:type="gramStart"/>
      <w:r w:rsidRPr="007E3E8C">
        <w:t>beings;</w:t>
      </w:r>
      <w:proofErr w:type="gramEnd"/>
    </w:p>
    <w:p w14:paraId="5EEF61A5" w14:textId="26A001FD" w:rsidR="006405C7" w:rsidRDefault="006405C7" w:rsidP="008D4BB4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>requirements of a kind specified in the regulations</w:t>
      </w:r>
      <w:r>
        <w:t>; and</w:t>
      </w:r>
    </w:p>
    <w:p w14:paraId="2081D102" w14:textId="7794A9C8" w:rsidR="006405C7" w:rsidRDefault="006405C7" w:rsidP="006827AB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7E3E8C">
        <w:t xml:space="preserve">requirements for conducting tests in relation to products in the relevant product class </w:t>
      </w:r>
      <w:proofErr w:type="gramStart"/>
      <w:r w:rsidRPr="007E3E8C">
        <w:t>in order to</w:t>
      </w:r>
      <w:proofErr w:type="gramEnd"/>
      <w:r w:rsidRPr="007E3E8C">
        <w:t xml:space="preserve"> determine whether the products mee</w:t>
      </w:r>
      <w:r>
        <w:t>t the requirements specified above</w:t>
      </w:r>
      <w:r w:rsidRPr="007E3E8C">
        <w:t>.</w:t>
      </w:r>
    </w:p>
    <w:p w14:paraId="0CB33716" w14:textId="77777777" w:rsidR="006827AB" w:rsidRPr="007E3E8C" w:rsidRDefault="006827AB" w:rsidP="008D4BB4">
      <w:pPr>
        <w:autoSpaceDE w:val="0"/>
        <w:autoSpaceDN w:val="0"/>
        <w:adjustRightInd w:val="0"/>
        <w:ind w:left="567" w:right="-57"/>
      </w:pPr>
    </w:p>
    <w:p w14:paraId="2F3BF9F1" w14:textId="5F41D7C8" w:rsidR="006405C7" w:rsidRDefault="006405C7" w:rsidP="006827AB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Incorporated material</w:t>
      </w:r>
    </w:p>
    <w:p w14:paraId="5EF10C3D" w14:textId="77777777" w:rsidR="00B36EAE" w:rsidRPr="00B36EAE" w:rsidRDefault="00B36EAE" w:rsidP="00C47181"/>
    <w:p w14:paraId="4692ACB0" w14:textId="431577D5" w:rsidR="00C46D6C" w:rsidRDefault="006405C7" w:rsidP="004F7A88">
      <w:pPr>
        <w:autoSpaceDE w:val="0"/>
        <w:autoSpaceDN w:val="0"/>
        <w:adjustRightInd w:val="0"/>
        <w:ind w:right="-57"/>
      </w:pPr>
      <w:r w:rsidRPr="0057138D">
        <w:t xml:space="preserve">The </w:t>
      </w:r>
      <w:r w:rsidR="007239A9">
        <w:t>determination</w:t>
      </w:r>
      <w:r w:rsidRPr="0057138D">
        <w:t xml:space="preserve"> </w:t>
      </w:r>
      <w:r w:rsidR="00C44281">
        <w:t xml:space="preserve">incorporates by </w:t>
      </w:r>
      <w:r w:rsidRPr="0057138D">
        <w:t xml:space="preserve">reference </w:t>
      </w:r>
      <w:r w:rsidR="009F4953">
        <w:t>the following test and performance standards</w:t>
      </w:r>
      <w:r w:rsidR="00646CF3">
        <w:t xml:space="preserve">, as in force on the day the determination </w:t>
      </w:r>
      <w:r w:rsidR="009F6D66">
        <w:t>commenced</w:t>
      </w:r>
      <w:r w:rsidR="00C46D6C">
        <w:t>:</w:t>
      </w:r>
    </w:p>
    <w:p w14:paraId="4E64AFAD" w14:textId="618D06A3" w:rsidR="00C46D6C" w:rsidRDefault="009F4953" w:rsidP="004F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-57"/>
      </w:pPr>
      <w:r>
        <w:t>A</w:t>
      </w:r>
      <w:r w:rsidR="005544F6">
        <w:t>ustralia</w:t>
      </w:r>
      <w:r>
        <w:t>/N</w:t>
      </w:r>
      <w:r w:rsidR="005544F6">
        <w:t>ew Zealand Standard</w:t>
      </w:r>
      <w:r>
        <w:t xml:space="preserve"> </w:t>
      </w:r>
      <w:r w:rsidR="005544F6">
        <w:t xml:space="preserve">(AS/NZS) </w:t>
      </w:r>
      <w:r>
        <w:t>4865.1:</w:t>
      </w:r>
      <w:proofErr w:type="gramStart"/>
      <w:r>
        <w:t>2008</w:t>
      </w:r>
      <w:r w:rsidR="005544F6">
        <w:t>;</w:t>
      </w:r>
      <w:proofErr w:type="gramEnd"/>
    </w:p>
    <w:p w14:paraId="14D47013" w14:textId="086A8754" w:rsidR="00C46D6C" w:rsidRDefault="004E59C1" w:rsidP="004F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-57"/>
      </w:pPr>
      <w:r w:rsidRPr="002164B7">
        <w:t>International Standards Organization (ISO)</w:t>
      </w:r>
      <w:r w:rsidR="002E6EC0">
        <w:t xml:space="preserve"> 6369:</w:t>
      </w:r>
      <w:proofErr w:type="gramStart"/>
      <w:r w:rsidR="002E6EC0">
        <w:t>2023;</w:t>
      </w:r>
      <w:proofErr w:type="gramEnd"/>
    </w:p>
    <w:p w14:paraId="6E2C54E9" w14:textId="495C0A3B" w:rsidR="00C46D6C" w:rsidRDefault="00961FDE" w:rsidP="004F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-57"/>
      </w:pPr>
      <w:r>
        <w:t>A</w:t>
      </w:r>
      <w:r w:rsidR="002A2F7E">
        <w:t>merican National Standards Institute (ANSI)/</w:t>
      </w:r>
      <w:r w:rsidR="004E59C1" w:rsidRPr="002164B7">
        <w:t>American Society of Heating, Refrigeration and Air-Conditioning Engineers (ASHRAE)</w:t>
      </w:r>
      <w:r w:rsidR="00657DD3">
        <w:t xml:space="preserve"> </w:t>
      </w:r>
      <w:r w:rsidR="00711845">
        <w:t xml:space="preserve">Standard 29-2009 and </w:t>
      </w:r>
      <w:r w:rsidR="002A2F7E">
        <w:t>ANSI/</w:t>
      </w:r>
      <w:r w:rsidR="00711845">
        <w:t>ASHRAE Standard 29-2015 (collectively, the ASHRAE Standards);</w:t>
      </w:r>
      <w:r w:rsidR="005544F6">
        <w:t xml:space="preserve"> and</w:t>
      </w:r>
    </w:p>
    <w:p w14:paraId="052E32B6" w14:textId="1FD8988C" w:rsidR="00B36EAE" w:rsidRDefault="00F2165B" w:rsidP="00BC313D">
      <w:pPr>
        <w:pStyle w:val="ListParagraph"/>
        <w:autoSpaceDE w:val="0"/>
        <w:autoSpaceDN w:val="0"/>
        <w:adjustRightInd w:val="0"/>
        <w:ind w:left="714" w:right="-57"/>
      </w:pPr>
      <w:r w:rsidRPr="002164B7">
        <w:t>Air</w:t>
      </w:r>
      <w:r w:rsidR="00413715">
        <w:t>-</w:t>
      </w:r>
      <w:r w:rsidRPr="002164B7">
        <w:t>Conditioning, Heating and Refrigerati</w:t>
      </w:r>
      <w:r w:rsidR="00413715">
        <w:t>on</w:t>
      </w:r>
      <w:r w:rsidRPr="002164B7">
        <w:t xml:space="preserve"> Institute (AHRI)</w:t>
      </w:r>
      <w:r w:rsidR="002E6EC0">
        <w:t xml:space="preserve"> </w:t>
      </w:r>
      <w:r w:rsidR="00657DD3">
        <w:t>Standard 810-2016 and AHRI Standard 810-2023 (collectively, the AHRI Standards).</w:t>
      </w:r>
      <w:r w:rsidR="006405C7">
        <w:t xml:space="preserve"> </w:t>
      </w:r>
    </w:p>
    <w:p w14:paraId="7B935338" w14:textId="77777777" w:rsidR="00872831" w:rsidRDefault="00872831" w:rsidP="00BC313D">
      <w:pPr>
        <w:pStyle w:val="ListParagraph"/>
        <w:autoSpaceDE w:val="0"/>
        <w:autoSpaceDN w:val="0"/>
        <w:adjustRightInd w:val="0"/>
        <w:ind w:left="714" w:right="-57"/>
      </w:pPr>
    </w:p>
    <w:p w14:paraId="674A7837" w14:textId="77777777" w:rsidR="004B2376" w:rsidRPr="007B1D68" w:rsidRDefault="004B2376" w:rsidP="004B2376">
      <w:pPr>
        <w:autoSpaceDE w:val="0"/>
        <w:autoSpaceDN w:val="0"/>
        <w:adjustRightInd w:val="0"/>
        <w:ind w:right="-57"/>
      </w:pPr>
      <w:r>
        <w:t>These standards are incorporated in accordance with subparagraph 14(1)(b)(</w:t>
      </w:r>
      <w:proofErr w:type="spellStart"/>
      <w:r>
        <w:t>i</w:t>
      </w:r>
      <w:proofErr w:type="spellEnd"/>
      <w:r>
        <w:t xml:space="preserve">) of the </w:t>
      </w:r>
      <w:r>
        <w:rPr>
          <w:i/>
          <w:iCs/>
        </w:rPr>
        <w:t xml:space="preserve">Legislation Act 2003 </w:t>
      </w:r>
      <w:r>
        <w:t>(Legislation Act).</w:t>
      </w:r>
    </w:p>
    <w:p w14:paraId="289885CC" w14:textId="77777777" w:rsidR="004B2376" w:rsidRDefault="004B2376" w:rsidP="00B36EAE">
      <w:pPr>
        <w:autoSpaceDE w:val="0"/>
        <w:autoSpaceDN w:val="0"/>
        <w:adjustRightInd w:val="0"/>
        <w:ind w:right="-57"/>
      </w:pPr>
    </w:p>
    <w:p w14:paraId="5FF11F43" w14:textId="1B2B5C5F" w:rsidR="00D2721C" w:rsidRDefault="006405C7" w:rsidP="00B36EAE">
      <w:pPr>
        <w:autoSpaceDE w:val="0"/>
        <w:autoSpaceDN w:val="0"/>
        <w:adjustRightInd w:val="0"/>
        <w:ind w:right="-57"/>
      </w:pPr>
      <w:r>
        <w:t xml:space="preserve">Commercial users who have ascertained that they are likely to be covered by the </w:t>
      </w:r>
      <w:r w:rsidR="007239A9">
        <w:t>determination</w:t>
      </w:r>
      <w:r>
        <w:t xml:space="preserve"> (which is possible from reading the </w:t>
      </w:r>
      <w:r w:rsidR="007239A9">
        <w:t>determination</w:t>
      </w:r>
      <w:r>
        <w:t xml:space="preserve"> in isolation) would be expected to purchase </w:t>
      </w:r>
      <w:r w:rsidR="00D2721C">
        <w:t>the</w:t>
      </w:r>
      <w:r w:rsidR="00C07F82">
        <w:t>se</w:t>
      </w:r>
      <w:r w:rsidR="00D2721C">
        <w:t xml:space="preserve"> </w:t>
      </w:r>
      <w:r w:rsidR="00C07F82">
        <w:t>s</w:t>
      </w:r>
      <w:r w:rsidR="005C230D">
        <w:t xml:space="preserve">tandards </w:t>
      </w:r>
      <w:r w:rsidR="00D2721C">
        <w:t>to comply with the determination.</w:t>
      </w:r>
      <w:r w:rsidR="005C230D">
        <w:t xml:space="preserve"> </w:t>
      </w:r>
    </w:p>
    <w:p w14:paraId="390A2F25" w14:textId="77777777" w:rsidR="00B36EAE" w:rsidRDefault="00B36EAE" w:rsidP="00BC313D">
      <w:pPr>
        <w:autoSpaceDE w:val="0"/>
        <w:autoSpaceDN w:val="0"/>
        <w:adjustRightInd w:val="0"/>
        <w:ind w:right="-57"/>
      </w:pPr>
    </w:p>
    <w:p w14:paraId="61EEB9E4" w14:textId="24034329" w:rsidR="0062731E" w:rsidRDefault="0062731E" w:rsidP="00B36EAE">
      <w:pPr>
        <w:autoSpaceDE w:val="0"/>
        <w:autoSpaceDN w:val="0"/>
        <w:adjustRightInd w:val="0"/>
        <w:ind w:right="-57"/>
        <w:rPr>
          <w:color w:val="000000"/>
          <w:shd w:val="clear" w:color="auto" w:fill="FFFFFF"/>
        </w:rPr>
      </w:pPr>
      <w:r>
        <w:t xml:space="preserve">AS/NZS 4865.1:2008 </w:t>
      </w:r>
      <w:r w:rsidR="006405C7" w:rsidRPr="0057138D">
        <w:rPr>
          <w:color w:val="000000"/>
          <w:shd w:val="clear" w:color="auto" w:fill="FFFFFF"/>
        </w:rPr>
        <w:t xml:space="preserve">can be purchased from Standards Australia Ltd, SAI Global and </w:t>
      </w:r>
      <w:proofErr w:type="spellStart"/>
      <w:r w:rsidR="006405C7" w:rsidRPr="0057138D">
        <w:rPr>
          <w:color w:val="000000"/>
          <w:shd w:val="clear" w:color="auto" w:fill="FFFFFF"/>
        </w:rPr>
        <w:t>Techstreet</w:t>
      </w:r>
      <w:proofErr w:type="spellEnd"/>
      <w:r w:rsidR="006405C7" w:rsidRPr="002164B7">
        <w:rPr>
          <w:color w:val="000000"/>
          <w:shd w:val="clear" w:color="auto" w:fill="FFFFFF"/>
        </w:rPr>
        <w:t>.</w:t>
      </w:r>
    </w:p>
    <w:p w14:paraId="5BA38624" w14:textId="77777777" w:rsidR="00B36EAE" w:rsidRDefault="00B36EAE" w:rsidP="00BC313D">
      <w:pPr>
        <w:autoSpaceDE w:val="0"/>
        <w:autoSpaceDN w:val="0"/>
        <w:adjustRightInd w:val="0"/>
        <w:ind w:right="-57"/>
        <w:rPr>
          <w:color w:val="000000"/>
          <w:shd w:val="clear" w:color="auto" w:fill="FFFFFF"/>
        </w:rPr>
      </w:pPr>
    </w:p>
    <w:p w14:paraId="22989F2C" w14:textId="5328D7EB" w:rsidR="00B435CA" w:rsidRDefault="00B435CA" w:rsidP="00BC313D">
      <w:pPr>
        <w:autoSpaceDE w:val="0"/>
        <w:autoSpaceDN w:val="0"/>
        <w:adjustRightInd w:val="0"/>
        <w:ind w:right="-57"/>
      </w:pPr>
      <w:r>
        <w:t>Non-commercial users can access AS/NZS 4865.1:2008 on a limited, no-fee basis through Standards Australia’s on-line Reader Room facility. The Reader Room provides non-commercial access to Australian Standards for personal, domestic or household use</w:t>
      </w:r>
      <w:r w:rsidR="003548EA">
        <w:t xml:space="preserve"> and </w:t>
      </w:r>
      <w:r w:rsidR="0003426E">
        <w:t xml:space="preserve">is freely accessible </w:t>
      </w:r>
      <w:r w:rsidR="003548EA">
        <w:t xml:space="preserve">at </w:t>
      </w:r>
      <w:r w:rsidR="0013396E" w:rsidRPr="0013396E">
        <w:t>https://readerroom.standards.org.au/</w:t>
      </w:r>
      <w:r>
        <w:t>.</w:t>
      </w:r>
    </w:p>
    <w:p w14:paraId="391AA878" w14:textId="77777777" w:rsidR="00B31203" w:rsidRDefault="00B31203" w:rsidP="00BC313D">
      <w:pPr>
        <w:autoSpaceDE w:val="0"/>
        <w:autoSpaceDN w:val="0"/>
        <w:adjustRightInd w:val="0"/>
        <w:ind w:right="-57"/>
        <w:rPr>
          <w:color w:val="000000" w:themeColor="text1"/>
        </w:rPr>
      </w:pPr>
    </w:p>
    <w:p w14:paraId="39600205" w14:textId="77777777" w:rsidR="00E83D3A" w:rsidRPr="007147B3" w:rsidRDefault="00E83D3A" w:rsidP="00E83D3A">
      <w:pPr>
        <w:autoSpaceDE w:val="0"/>
        <w:autoSpaceDN w:val="0"/>
        <w:adjustRightInd w:val="0"/>
        <w:ind w:right="-57"/>
      </w:pPr>
      <w:r w:rsidRPr="007147B3">
        <w:t xml:space="preserve">Other interested parties may be able to access </w:t>
      </w:r>
      <w:r>
        <w:t xml:space="preserve">the </w:t>
      </w:r>
      <w:r w:rsidRPr="007147B3">
        <w:t>Australian</w:t>
      </w:r>
      <w:r>
        <w:t>/New Zealand</w:t>
      </w:r>
      <w:r w:rsidRPr="007147B3">
        <w:t xml:space="preserve"> standards without cost through the National Library of Australia, including by interlibrary loans.</w:t>
      </w:r>
    </w:p>
    <w:p w14:paraId="333A4139" w14:textId="77777777" w:rsidR="00E83D3A" w:rsidRDefault="00E83D3A" w:rsidP="00E83D3A">
      <w:pPr>
        <w:autoSpaceDE w:val="0"/>
        <w:autoSpaceDN w:val="0"/>
        <w:adjustRightInd w:val="0"/>
        <w:ind w:right="-57"/>
      </w:pPr>
      <w:r>
        <w:t>Standards Australia Ltd is working on improving access to Australian/New Zealand Standards, and t</w:t>
      </w:r>
      <w:r w:rsidRPr="007147B3">
        <w:t>he Skills National Cabinet Reform Committee is working to ensure greater access to standards</w:t>
      </w:r>
      <w:r>
        <w:t xml:space="preserve"> generally.</w:t>
      </w:r>
    </w:p>
    <w:p w14:paraId="2C35E126" w14:textId="77777777" w:rsidR="00E83D3A" w:rsidRDefault="00E83D3A" w:rsidP="00BC313D">
      <w:pPr>
        <w:autoSpaceDE w:val="0"/>
        <w:autoSpaceDN w:val="0"/>
        <w:adjustRightInd w:val="0"/>
        <w:ind w:right="-57"/>
        <w:rPr>
          <w:color w:val="000000" w:themeColor="text1"/>
        </w:rPr>
      </w:pPr>
    </w:p>
    <w:p w14:paraId="0AC4EBEB" w14:textId="1696FAA7" w:rsidR="00D2721C" w:rsidRDefault="00F2165B" w:rsidP="00BC313D">
      <w:pPr>
        <w:autoSpaceDE w:val="0"/>
        <w:autoSpaceDN w:val="0"/>
        <w:adjustRightInd w:val="0"/>
        <w:ind w:right="-57"/>
        <w:rPr>
          <w:color w:val="000000" w:themeColor="text1"/>
        </w:rPr>
      </w:pPr>
      <w:r w:rsidRPr="002164B7">
        <w:rPr>
          <w:color w:val="000000" w:themeColor="text1"/>
        </w:rPr>
        <w:t>ISO 6369</w:t>
      </w:r>
      <w:r w:rsidR="00D2721C">
        <w:rPr>
          <w:color w:val="000000" w:themeColor="text1"/>
        </w:rPr>
        <w:t>:2023</w:t>
      </w:r>
      <w:r w:rsidRPr="002164B7">
        <w:rPr>
          <w:color w:val="000000" w:themeColor="text1"/>
        </w:rPr>
        <w:t xml:space="preserve"> can be purchased from Standards Australia.</w:t>
      </w:r>
      <w:r w:rsidR="00D2721C">
        <w:rPr>
          <w:color w:val="000000" w:themeColor="text1"/>
        </w:rPr>
        <w:t xml:space="preserve"> It cannot be accessed for free.</w:t>
      </w:r>
    </w:p>
    <w:p w14:paraId="2E76B828" w14:textId="439AD71B" w:rsidR="00D2721C" w:rsidRDefault="00F2165B" w:rsidP="00BC313D">
      <w:pPr>
        <w:autoSpaceDE w:val="0"/>
        <w:autoSpaceDN w:val="0"/>
        <w:adjustRightInd w:val="0"/>
        <w:ind w:right="-57"/>
        <w:rPr>
          <w:color w:val="000000" w:themeColor="text1"/>
        </w:rPr>
      </w:pPr>
      <w:r w:rsidRPr="002164B7">
        <w:rPr>
          <w:color w:val="000000" w:themeColor="text1"/>
        </w:rPr>
        <w:lastRenderedPageBreak/>
        <w:t xml:space="preserve"> </w:t>
      </w:r>
      <w:r w:rsidRPr="002164B7">
        <w:rPr>
          <w:color w:val="000000" w:themeColor="text1"/>
        </w:rPr>
        <w:br/>
      </w:r>
      <w:r w:rsidR="00D2721C">
        <w:rPr>
          <w:color w:val="000000" w:themeColor="text1"/>
        </w:rPr>
        <w:t>The ASHRAE Standards</w:t>
      </w:r>
      <w:r w:rsidRPr="002164B7">
        <w:rPr>
          <w:color w:val="000000" w:themeColor="text1"/>
        </w:rPr>
        <w:t xml:space="preserve"> can be purchased from the American National Standards Institute.</w:t>
      </w:r>
      <w:r w:rsidR="00D2721C">
        <w:rPr>
          <w:color w:val="000000" w:themeColor="text1"/>
        </w:rPr>
        <w:t xml:space="preserve"> They cannot be accessed for free.</w:t>
      </w:r>
    </w:p>
    <w:p w14:paraId="29488819" w14:textId="27EE0E9A" w:rsidR="00B36EAE" w:rsidRDefault="00B36EAE" w:rsidP="00BC313D">
      <w:pPr>
        <w:autoSpaceDE w:val="0"/>
        <w:autoSpaceDN w:val="0"/>
        <w:adjustRightInd w:val="0"/>
        <w:ind w:right="-57"/>
        <w:rPr>
          <w:color w:val="000000" w:themeColor="text1"/>
        </w:rPr>
      </w:pPr>
    </w:p>
    <w:p w14:paraId="6A4D3E66" w14:textId="7B243A12" w:rsidR="00C07F82" w:rsidRDefault="00C07F82" w:rsidP="00C07F82">
      <w:pPr>
        <w:autoSpaceDE w:val="0"/>
        <w:autoSpaceDN w:val="0"/>
        <w:adjustRightInd w:val="0"/>
        <w:ind w:right="-57"/>
      </w:pPr>
      <w:r>
        <w:t>The AHRI Standards can be purchased from AHRI.</w:t>
      </w:r>
      <w:r w:rsidR="0034679F">
        <w:t xml:space="preserve"> They cannot be accessed for free.</w:t>
      </w:r>
    </w:p>
    <w:p w14:paraId="6EBFAE52" w14:textId="77777777" w:rsidR="00C07F82" w:rsidRPr="002164B7" w:rsidRDefault="00C07F82" w:rsidP="00BC313D">
      <w:pPr>
        <w:autoSpaceDE w:val="0"/>
        <w:autoSpaceDN w:val="0"/>
        <w:adjustRightInd w:val="0"/>
        <w:ind w:right="-57"/>
        <w:rPr>
          <w:color w:val="000000" w:themeColor="text1"/>
        </w:rPr>
      </w:pPr>
    </w:p>
    <w:p w14:paraId="53FFE6E1" w14:textId="77777777" w:rsidR="006405C7" w:rsidRDefault="006405C7" w:rsidP="00B36EAE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7E3E8C">
        <w:rPr>
          <w:rFonts w:ascii="Times New Roman" w:hAnsi="Times New Roman" w:cs="Times New Roman"/>
          <w:sz w:val="24"/>
          <w:szCs w:val="24"/>
        </w:rPr>
        <w:t>Consultation</w:t>
      </w:r>
    </w:p>
    <w:p w14:paraId="0AF38F0A" w14:textId="77777777" w:rsidR="00B36EAE" w:rsidRPr="00B36EAE" w:rsidRDefault="00B36EAE" w:rsidP="00C47181"/>
    <w:p w14:paraId="1B492C3E" w14:textId="1F6FC4AB" w:rsidR="006405C7" w:rsidRDefault="006405C7" w:rsidP="00B36EAE">
      <w:pPr>
        <w:autoSpaceDE w:val="0"/>
        <w:autoSpaceDN w:val="0"/>
        <w:adjustRightInd w:val="0"/>
      </w:pPr>
      <w:r w:rsidRPr="007E3E8C">
        <w:t xml:space="preserve">The </w:t>
      </w:r>
      <w:r w:rsidR="00DE07A7">
        <w:t>Equipment Energy Efficiency</w:t>
      </w:r>
      <w:r w:rsidR="00E32B5D">
        <w:t xml:space="preserve"> Program</w:t>
      </w:r>
      <w:r w:rsidRPr="007E3E8C">
        <w:t xml:space="preserve"> has worked with industry on the new requirements for </w:t>
      </w:r>
      <w:r w:rsidR="00CC7280">
        <w:t xml:space="preserve">commercial </w:t>
      </w:r>
      <w:proofErr w:type="gramStart"/>
      <w:r w:rsidR="00CC7280">
        <w:t>ice</w:t>
      </w:r>
      <w:r w:rsidR="00B9450C">
        <w:t>-</w:t>
      </w:r>
      <w:r w:rsidR="00CC7280">
        <w:t>makers</w:t>
      </w:r>
      <w:proofErr w:type="gramEnd"/>
      <w:r w:rsidRPr="007E3E8C">
        <w:t xml:space="preserve"> since 20</w:t>
      </w:r>
      <w:r w:rsidR="00F045E5">
        <w:t>21</w:t>
      </w:r>
      <w:r w:rsidRPr="007E3E8C">
        <w:t>. In 20</w:t>
      </w:r>
      <w:r w:rsidR="001F49FC">
        <w:t>2</w:t>
      </w:r>
      <w:r w:rsidR="001F17B6">
        <w:t>1</w:t>
      </w:r>
      <w:r w:rsidRPr="007E3E8C">
        <w:t xml:space="preserve">, </w:t>
      </w:r>
      <w:r w:rsidR="00024B62">
        <w:t>extensive market research was conducted</w:t>
      </w:r>
      <w:r w:rsidR="00024B62" w:rsidRPr="0057138D">
        <w:t xml:space="preserve">, </w:t>
      </w:r>
      <w:r w:rsidR="00F2165B" w:rsidRPr="002164B7">
        <w:t xml:space="preserve">including </w:t>
      </w:r>
      <w:r w:rsidR="009F33F9" w:rsidRPr="002164B7">
        <w:t xml:space="preserve">a survey </w:t>
      </w:r>
      <w:r w:rsidR="001B1206" w:rsidRPr="002164B7">
        <w:t>of commercial ice</w:t>
      </w:r>
      <w:r w:rsidR="00B9450C">
        <w:t>-</w:t>
      </w:r>
      <w:r w:rsidR="001B1206" w:rsidRPr="002164B7">
        <w:t xml:space="preserve">maker industry stakeholders </w:t>
      </w:r>
      <w:r w:rsidR="00F2165B" w:rsidRPr="002164B7">
        <w:t>in Australia and New Zealand</w:t>
      </w:r>
      <w:r w:rsidR="00590173" w:rsidRPr="002164B7">
        <w:t xml:space="preserve">. A </w:t>
      </w:r>
      <w:r w:rsidR="00F2165B" w:rsidRPr="002164B7">
        <w:t xml:space="preserve">Consultation Regulation Impact Statement </w:t>
      </w:r>
      <w:r w:rsidR="00DD5279">
        <w:t xml:space="preserve">(RIS) </w:t>
      </w:r>
      <w:r w:rsidR="00F2165B" w:rsidRPr="002164B7">
        <w:t xml:space="preserve">was </w:t>
      </w:r>
      <w:proofErr w:type="gramStart"/>
      <w:r w:rsidR="00F2165B" w:rsidRPr="002164B7">
        <w:t>published</w:t>
      </w:r>
      <w:proofErr w:type="gramEnd"/>
      <w:r w:rsidR="00F2165B" w:rsidRPr="002164B7">
        <w:t xml:space="preserve"> and a </w:t>
      </w:r>
      <w:r w:rsidR="00590173" w:rsidRPr="002164B7">
        <w:t xml:space="preserve">public consultation </w:t>
      </w:r>
      <w:r w:rsidR="00F2165B" w:rsidRPr="002164B7">
        <w:t xml:space="preserve">session </w:t>
      </w:r>
      <w:r w:rsidR="00590173" w:rsidRPr="002164B7">
        <w:t>was held in 2023</w:t>
      </w:r>
      <w:r w:rsidR="00F2165B" w:rsidRPr="002164B7">
        <w:t>. Subsequently</w:t>
      </w:r>
      <w:r w:rsidR="00CF1175">
        <w:t>,</w:t>
      </w:r>
      <w:r w:rsidR="00F2165B" w:rsidRPr="0057138D">
        <w:t xml:space="preserve"> </w:t>
      </w:r>
      <w:r w:rsidR="004B2C69" w:rsidRPr="0057138D">
        <w:t xml:space="preserve">a Decision </w:t>
      </w:r>
      <w:r w:rsidR="00DD5279">
        <w:t xml:space="preserve">RIS </w:t>
      </w:r>
      <w:r w:rsidR="00A62753" w:rsidRPr="0057138D">
        <w:t>was prepared</w:t>
      </w:r>
      <w:r w:rsidR="00CF1175">
        <w:t xml:space="preserve">. That statement </w:t>
      </w:r>
      <w:proofErr w:type="gramStart"/>
      <w:r w:rsidR="00EA7808" w:rsidRPr="0057138D">
        <w:t>takes into account</w:t>
      </w:r>
      <w:proofErr w:type="gramEnd"/>
      <w:r w:rsidR="00EA7808" w:rsidRPr="0057138D">
        <w:t xml:space="preserve"> </w:t>
      </w:r>
      <w:r w:rsidR="00EF0D2A" w:rsidRPr="0057138D">
        <w:t>issues raised by industry</w:t>
      </w:r>
      <w:r w:rsidR="00EF0D2A">
        <w:t xml:space="preserve"> stakeholders during the consultation.</w:t>
      </w:r>
    </w:p>
    <w:p w14:paraId="58E484CC" w14:textId="77777777" w:rsidR="00B36EAE" w:rsidRPr="007E3E8C" w:rsidRDefault="00B36EAE" w:rsidP="00BC313D">
      <w:pPr>
        <w:autoSpaceDE w:val="0"/>
        <w:autoSpaceDN w:val="0"/>
        <w:adjustRightInd w:val="0"/>
      </w:pPr>
    </w:p>
    <w:p w14:paraId="23A36BC3" w14:textId="77777777" w:rsidR="006405C7" w:rsidRDefault="006405C7" w:rsidP="00B36EAE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7E3E8C">
        <w:rPr>
          <w:rFonts w:ascii="Times New Roman" w:hAnsi="Times New Roman" w:cs="Times New Roman"/>
          <w:sz w:val="24"/>
          <w:szCs w:val="24"/>
        </w:rPr>
        <w:t>Regulatory Impact</w:t>
      </w:r>
    </w:p>
    <w:p w14:paraId="64C211C0" w14:textId="77777777" w:rsidR="00B36EAE" w:rsidRPr="00B36EAE" w:rsidRDefault="00B36EAE" w:rsidP="00C47181"/>
    <w:p w14:paraId="4F69CFF6" w14:textId="550FF06E" w:rsidR="006405C7" w:rsidRDefault="00FA108D" w:rsidP="00B36EAE">
      <w:pPr>
        <w:autoSpaceDE w:val="0"/>
        <w:autoSpaceDN w:val="0"/>
        <w:adjustRightInd w:val="0"/>
      </w:pPr>
      <w:r>
        <w:t xml:space="preserve">A </w:t>
      </w:r>
      <w:r w:rsidR="001B5EE3">
        <w:t>C</w:t>
      </w:r>
      <w:r>
        <w:t xml:space="preserve">onsultation RIS and a </w:t>
      </w:r>
      <w:r w:rsidR="005A290F">
        <w:t>D</w:t>
      </w:r>
      <w:r>
        <w:t>ecision RIS</w:t>
      </w:r>
      <w:r w:rsidR="00A61D18">
        <w:t xml:space="preserve"> were prepared. </w:t>
      </w:r>
      <w:r w:rsidR="003253CE">
        <w:t xml:space="preserve">The consultation RIS was </w:t>
      </w:r>
      <w:r w:rsidR="007B6265">
        <w:t>found</w:t>
      </w:r>
      <w:r w:rsidR="003253CE">
        <w:t xml:space="preserve"> to be compliant by t</w:t>
      </w:r>
      <w:r w:rsidR="00A61D18">
        <w:t>he Office of Impact Analysis</w:t>
      </w:r>
      <w:r w:rsidR="003253CE">
        <w:t>.</w:t>
      </w:r>
      <w:r w:rsidR="00FC35FF">
        <w:t xml:space="preserve"> </w:t>
      </w:r>
      <w:r w:rsidR="00646D6B">
        <w:t xml:space="preserve"> </w:t>
      </w:r>
    </w:p>
    <w:p w14:paraId="20A5EE58" w14:textId="77777777" w:rsidR="00B36EAE" w:rsidRDefault="00B36EAE" w:rsidP="00F1566A">
      <w:pPr>
        <w:autoSpaceDE w:val="0"/>
        <w:autoSpaceDN w:val="0"/>
        <w:adjustRightInd w:val="0"/>
      </w:pPr>
    </w:p>
    <w:p w14:paraId="321444F5" w14:textId="10F56030" w:rsidR="00A25F9A" w:rsidRDefault="00A25F9A" w:rsidP="00B36EAE">
      <w:pPr>
        <w:autoSpaceDE w:val="0"/>
        <w:autoSpaceDN w:val="0"/>
        <w:adjustRightInd w:val="0"/>
        <w:rPr>
          <w:b/>
          <w:bCs/>
        </w:rPr>
      </w:pPr>
      <w:r w:rsidRPr="00F1566A">
        <w:rPr>
          <w:b/>
          <w:bCs/>
        </w:rPr>
        <w:t>Details</w:t>
      </w:r>
    </w:p>
    <w:p w14:paraId="2B724140" w14:textId="77777777" w:rsidR="00B36EAE" w:rsidRPr="00F1566A" w:rsidRDefault="00B36EAE" w:rsidP="00F1566A">
      <w:pPr>
        <w:autoSpaceDE w:val="0"/>
        <w:autoSpaceDN w:val="0"/>
        <w:adjustRightInd w:val="0"/>
        <w:rPr>
          <w:b/>
          <w:bCs/>
        </w:rPr>
      </w:pPr>
    </w:p>
    <w:p w14:paraId="05D9211B" w14:textId="43FCA66B" w:rsidR="00A25F9A" w:rsidRDefault="00A25F9A" w:rsidP="00B36EAE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  <w:r>
        <w:rPr>
          <w:noProof/>
        </w:rPr>
        <w:t>The determination is a legislative instrument for the purposes of the Legislation Act.</w:t>
      </w:r>
    </w:p>
    <w:p w14:paraId="6215246F" w14:textId="42AA1EE9" w:rsidR="00B36EAE" w:rsidRPr="007E3E8C" w:rsidRDefault="00B36EAE" w:rsidP="00F1566A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</w:p>
    <w:p w14:paraId="49C52891" w14:textId="4889F626" w:rsidR="00A25F9A" w:rsidRDefault="00A25F9A" w:rsidP="00B36EAE">
      <w:pPr>
        <w:rPr>
          <w:noProof/>
        </w:rPr>
      </w:pPr>
      <w:r w:rsidRPr="0005685F">
        <w:rPr>
          <w:noProof/>
        </w:rPr>
        <w:t xml:space="preserve">Further details </w:t>
      </w:r>
      <w:r>
        <w:rPr>
          <w:noProof/>
        </w:rPr>
        <w:t xml:space="preserve">on the Determination </w:t>
      </w:r>
      <w:r w:rsidRPr="0005685F">
        <w:rPr>
          <w:noProof/>
        </w:rPr>
        <w:t xml:space="preserve">are provided at </w:t>
      </w:r>
      <w:r w:rsidRPr="00177131">
        <w:rPr>
          <w:b/>
          <w:bCs/>
          <w:noProof/>
        </w:rPr>
        <w:t>Attachment A</w:t>
      </w:r>
      <w:r w:rsidRPr="0005685F">
        <w:rPr>
          <w:noProof/>
        </w:rPr>
        <w:t>.</w:t>
      </w:r>
    </w:p>
    <w:p w14:paraId="108D3341" w14:textId="77777777" w:rsidR="00B36EAE" w:rsidRDefault="00B36EAE"/>
    <w:p w14:paraId="25EA542B" w14:textId="7FC53295" w:rsidR="006739E3" w:rsidRPr="00F1566A" w:rsidRDefault="006739E3">
      <w:pPr>
        <w:rPr>
          <w:b/>
          <w:bCs/>
        </w:rPr>
      </w:pPr>
      <w:r w:rsidRPr="00F1566A">
        <w:rPr>
          <w:b/>
          <w:bCs/>
        </w:rPr>
        <w:t>Exemption from sunsetting and disallowance</w:t>
      </w:r>
    </w:p>
    <w:p w14:paraId="372ABEDF" w14:textId="77777777" w:rsidR="006739E3" w:rsidRDefault="006739E3"/>
    <w:p w14:paraId="13CE913A" w14:textId="77777777" w:rsidR="008B47EF" w:rsidRDefault="006739E3" w:rsidP="006739E3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  <w:r w:rsidRPr="0005685F">
        <w:rPr>
          <w:noProof/>
        </w:rPr>
        <w:t>Subsections 44(1) and 54(1) of the Legislation Act provide that instruments are not subject to disallowance and sunsetting where the enabling legislation</w:t>
      </w:r>
      <w:r w:rsidR="008B47EF">
        <w:rPr>
          <w:noProof/>
        </w:rPr>
        <w:t>:</w:t>
      </w:r>
    </w:p>
    <w:p w14:paraId="310B3D44" w14:textId="77777777" w:rsidR="008B47EF" w:rsidRDefault="008B47EF" w:rsidP="006739E3">
      <w:pPr>
        <w:pStyle w:val="ACMANumberedList"/>
        <w:numPr>
          <w:ilvl w:val="0"/>
          <w:numId w:val="0"/>
        </w:numPr>
        <w:spacing w:before="0" w:after="0"/>
        <w:rPr>
          <w:noProof/>
        </w:rPr>
      </w:pPr>
    </w:p>
    <w:p w14:paraId="260B3AE3" w14:textId="3541C9EE" w:rsidR="006739E3" w:rsidRDefault="006739E3" w:rsidP="008B47EF">
      <w:pPr>
        <w:pStyle w:val="ACMANumberedList"/>
        <w:numPr>
          <w:ilvl w:val="0"/>
          <w:numId w:val="13"/>
        </w:numPr>
        <w:spacing w:before="0" w:after="0"/>
        <w:rPr>
          <w:noProof/>
        </w:rPr>
      </w:pPr>
      <w:r w:rsidRPr="0005685F">
        <w:rPr>
          <w:noProof/>
        </w:rPr>
        <w:t>facilitates the establishment or operation of an intergovernmental body or scheme involving the Commonwealth and one or more States</w:t>
      </w:r>
      <w:r w:rsidR="008B47EF">
        <w:rPr>
          <w:noProof/>
        </w:rPr>
        <w:t xml:space="preserve"> or Territories; and</w:t>
      </w:r>
    </w:p>
    <w:p w14:paraId="17DEE43E" w14:textId="06B5544B" w:rsidR="006739E3" w:rsidRDefault="008B47EF" w:rsidP="00C47181">
      <w:pPr>
        <w:pStyle w:val="ACMANumberedList"/>
        <w:numPr>
          <w:ilvl w:val="0"/>
          <w:numId w:val="13"/>
        </w:numPr>
        <w:spacing w:before="0" w:after="0"/>
        <w:rPr>
          <w:noProof/>
        </w:rPr>
      </w:pPr>
      <w:r>
        <w:rPr>
          <w:noProof/>
        </w:rPr>
        <w:t>authorises the instrument to be made by the body or for the purposes of the body or scheme.</w:t>
      </w:r>
    </w:p>
    <w:p w14:paraId="111CB4D0" w14:textId="32E30215" w:rsidR="002C43E9" w:rsidRDefault="006739E3" w:rsidP="00D21BCC">
      <w:pPr>
        <w:pStyle w:val="ACMANumberedList"/>
        <w:numPr>
          <w:ilvl w:val="0"/>
          <w:numId w:val="0"/>
        </w:numPr>
        <w:spacing w:before="100" w:beforeAutospacing="1" w:after="100" w:afterAutospacing="1"/>
        <w:rPr>
          <w:noProof/>
        </w:rPr>
      </w:pPr>
      <w:r w:rsidRPr="0005685F">
        <w:rPr>
          <w:noProof/>
        </w:rPr>
        <w:t xml:space="preserve">The Act underpins and facilitates the operation of an intergovernmental scheme for product energy efficiency, giving effect to the Inter-governmental Agreement for the GEMS Legislative Scheme. </w:t>
      </w:r>
      <w:r w:rsidR="008B47EF">
        <w:rPr>
          <w:noProof/>
        </w:rPr>
        <w:t xml:space="preserve">The Act also expressly provides for the participation of multiple governments. </w:t>
      </w:r>
      <w:r w:rsidR="001B2306" w:rsidRPr="0CA04C7E">
        <w:rPr>
          <w:noProof/>
        </w:rPr>
        <w:t xml:space="preserve">Given this, and the fact that the Act authorises the </w:t>
      </w:r>
      <w:r w:rsidR="001B2306">
        <w:rPr>
          <w:noProof/>
        </w:rPr>
        <w:t>determination</w:t>
      </w:r>
      <w:r w:rsidR="001B2306" w:rsidRPr="0CA04C7E">
        <w:rPr>
          <w:noProof/>
        </w:rPr>
        <w:t xml:space="preserve"> to be made under subsection </w:t>
      </w:r>
      <w:r w:rsidR="001B2306">
        <w:rPr>
          <w:noProof/>
        </w:rPr>
        <w:t>23</w:t>
      </w:r>
      <w:r w:rsidR="001B2306" w:rsidRPr="0CA04C7E">
        <w:rPr>
          <w:noProof/>
        </w:rPr>
        <w:t xml:space="preserve">(1), the </w:t>
      </w:r>
      <w:r w:rsidR="001B2306">
        <w:rPr>
          <w:noProof/>
        </w:rPr>
        <w:t>determination</w:t>
      </w:r>
      <w:r w:rsidR="001B2306" w:rsidRPr="0CA04C7E">
        <w:rPr>
          <w:noProof/>
        </w:rPr>
        <w:t xml:space="preserve"> is not subject to disallowance or sunsetting under the Legislation Act. Further details are provided at </w:t>
      </w:r>
      <w:r w:rsidR="001B2306" w:rsidRPr="00D21BCC">
        <w:rPr>
          <w:b/>
          <w:bCs/>
          <w:noProof/>
        </w:rPr>
        <w:t>Attachment B</w:t>
      </w:r>
      <w:r w:rsidR="001B2306" w:rsidRPr="0CA04C7E">
        <w:rPr>
          <w:noProof/>
        </w:rPr>
        <w:t>.</w:t>
      </w:r>
    </w:p>
    <w:p w14:paraId="467CA1B1" w14:textId="77777777" w:rsidR="006405C7" w:rsidRDefault="006405C7" w:rsidP="00B813E9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Statement of Compatibility with Human Rights</w:t>
      </w:r>
    </w:p>
    <w:p w14:paraId="5580B4BB" w14:textId="77777777" w:rsidR="00B36EAE" w:rsidRPr="00B36EAE" w:rsidRDefault="00B36EAE" w:rsidP="00B813E9">
      <w:pPr>
        <w:keepNext/>
      </w:pPr>
    </w:p>
    <w:p w14:paraId="3653E8C1" w14:textId="576D1C9B" w:rsidR="006405C7" w:rsidRDefault="006405C7" w:rsidP="00B813E9">
      <w:pPr>
        <w:keepNext/>
      </w:pPr>
      <w:r w:rsidRPr="00093B1C">
        <w:rPr>
          <w:rFonts w:eastAsia="Calibri"/>
          <w:lang w:eastAsia="en-US"/>
        </w:rPr>
        <w:t>In accordance with subsection 15</w:t>
      </w:r>
      <w:proofErr w:type="gramStart"/>
      <w:r w:rsidRPr="00093B1C">
        <w:rPr>
          <w:rFonts w:eastAsia="Calibri"/>
          <w:lang w:eastAsia="en-US"/>
        </w:rPr>
        <w:t>J(</w:t>
      </w:r>
      <w:proofErr w:type="gramEnd"/>
      <w:r w:rsidRPr="00093B1C">
        <w:rPr>
          <w:rFonts w:eastAsia="Calibri"/>
          <w:lang w:eastAsia="en-US"/>
        </w:rPr>
        <w:t xml:space="preserve">2) of the Legislation Act, as the </w:t>
      </w:r>
      <w:r w:rsidR="007239A9">
        <w:rPr>
          <w:rFonts w:eastAsia="Calibri"/>
          <w:lang w:eastAsia="en-US"/>
        </w:rPr>
        <w:t>determination</w:t>
      </w:r>
      <w:r w:rsidRPr="00093B1C">
        <w:rPr>
          <w:rFonts w:eastAsia="Calibri"/>
          <w:lang w:eastAsia="en-US"/>
        </w:rPr>
        <w:t xml:space="preserve"> is not a disallowable instrument, a statement of compatibility prepared under subsection 9(1) of the </w:t>
      </w:r>
      <w:r w:rsidRPr="00094798">
        <w:rPr>
          <w:rFonts w:eastAsia="Calibri"/>
          <w:i/>
          <w:lang w:eastAsia="en-US"/>
        </w:rPr>
        <w:t>Human Rights (Parliamentary Scrutiny) Act 2011</w:t>
      </w:r>
      <w:r w:rsidRPr="00093B1C">
        <w:rPr>
          <w:rFonts w:eastAsia="Calibri"/>
          <w:lang w:eastAsia="en-US"/>
        </w:rPr>
        <w:t xml:space="preserve"> is not required.</w:t>
      </w:r>
    </w:p>
    <w:p w14:paraId="5E6EDF31" w14:textId="77777777" w:rsidR="006405C7" w:rsidRPr="007E3E8C" w:rsidRDefault="006405C7" w:rsidP="006405C7">
      <w:pPr>
        <w:pStyle w:val="ACMANumberedList"/>
        <w:numPr>
          <w:ilvl w:val="0"/>
          <w:numId w:val="0"/>
        </w:numPr>
        <w:rPr>
          <w:noProof/>
        </w:rPr>
      </w:pPr>
    </w:p>
    <w:bookmarkEnd w:id="0"/>
    <w:bookmarkEnd w:id="1"/>
    <w:p w14:paraId="5E753CBB" w14:textId="77777777" w:rsidR="006405C7" w:rsidRPr="007E3E8C" w:rsidRDefault="006405C7" w:rsidP="006405C7">
      <w:pPr>
        <w:autoSpaceDE w:val="0"/>
        <w:autoSpaceDN w:val="0"/>
        <w:adjustRightInd w:val="0"/>
        <w:spacing w:before="120" w:after="80"/>
        <w:jc w:val="right"/>
        <w:sectPr w:rsidR="006405C7" w:rsidRPr="007E3E8C" w:rsidSect="00701D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 w:code="9"/>
          <w:pgMar w:top="1440" w:right="1800" w:bottom="1440" w:left="1800" w:header="720" w:footer="720" w:gutter="0"/>
          <w:cols w:space="720"/>
          <w:noEndnote/>
          <w:titlePg/>
          <w:docGrid w:linePitch="326"/>
        </w:sectPr>
      </w:pPr>
    </w:p>
    <w:p w14:paraId="52A7BB48" w14:textId="32DAEDF2" w:rsidR="006405C7" w:rsidRPr="004A1620" w:rsidRDefault="009D3752" w:rsidP="002322B2">
      <w:pPr>
        <w:autoSpaceDE w:val="0"/>
        <w:autoSpaceDN w:val="0"/>
        <w:adjustRightInd w:val="0"/>
        <w:jc w:val="right"/>
        <w:rPr>
          <w:b/>
        </w:rPr>
      </w:pPr>
      <w:r w:rsidRPr="009D3752">
        <w:rPr>
          <w:b/>
        </w:rPr>
        <w:lastRenderedPageBreak/>
        <w:t>ATTACHMENT A</w:t>
      </w:r>
    </w:p>
    <w:p w14:paraId="2557E863" w14:textId="77777777" w:rsidR="002322B2" w:rsidRPr="004C1466" w:rsidRDefault="002322B2" w:rsidP="002322B2">
      <w:pPr>
        <w:autoSpaceDE w:val="0"/>
        <w:autoSpaceDN w:val="0"/>
        <w:adjustRightInd w:val="0"/>
        <w:rPr>
          <w:b/>
        </w:rPr>
      </w:pPr>
    </w:p>
    <w:p w14:paraId="07C8A1D6" w14:textId="29E415B8" w:rsidR="006405C7" w:rsidRDefault="006405C7" w:rsidP="002322B2">
      <w:pPr>
        <w:autoSpaceDE w:val="0"/>
        <w:autoSpaceDN w:val="0"/>
        <w:adjustRightInd w:val="0"/>
        <w:rPr>
          <w:b/>
          <w:u w:val="single"/>
        </w:rPr>
      </w:pPr>
      <w:r w:rsidRPr="0086427C">
        <w:rPr>
          <w:b/>
          <w:u w:val="single"/>
        </w:rPr>
        <w:t>Details of the</w:t>
      </w:r>
      <w:r w:rsidRPr="00D21BCC">
        <w:rPr>
          <w:b/>
          <w:u w:val="single"/>
        </w:rPr>
        <w:t xml:space="preserve"> </w:t>
      </w:r>
      <w:r w:rsidR="00675878" w:rsidRPr="004A1620">
        <w:rPr>
          <w:b/>
          <w:i/>
          <w:iCs/>
          <w:u w:val="single"/>
        </w:rPr>
        <w:t xml:space="preserve">Greenhouse and Energy Minimum Standards (Commercial </w:t>
      </w:r>
      <w:proofErr w:type="gramStart"/>
      <w:r w:rsidR="00675878" w:rsidRPr="004A1620">
        <w:rPr>
          <w:b/>
          <w:i/>
          <w:iCs/>
          <w:u w:val="single"/>
        </w:rPr>
        <w:t>Ice-makers</w:t>
      </w:r>
      <w:proofErr w:type="gramEnd"/>
      <w:r w:rsidR="00675878" w:rsidRPr="004A1620">
        <w:rPr>
          <w:b/>
          <w:i/>
          <w:iCs/>
          <w:u w:val="single"/>
        </w:rPr>
        <w:t>) Determination 2025</w:t>
      </w:r>
    </w:p>
    <w:p w14:paraId="08392E60" w14:textId="77777777" w:rsidR="002322B2" w:rsidRPr="004C1466" w:rsidRDefault="002322B2" w:rsidP="00D21BCC">
      <w:pPr>
        <w:autoSpaceDE w:val="0"/>
        <w:autoSpaceDN w:val="0"/>
        <w:adjustRightInd w:val="0"/>
        <w:rPr>
          <w:b/>
        </w:rPr>
      </w:pPr>
    </w:p>
    <w:p w14:paraId="5680237C" w14:textId="14CE24D6" w:rsidR="00CC432D" w:rsidRPr="00D21BCC" w:rsidRDefault="00CC432D" w:rsidP="00D21BCC">
      <w:pPr>
        <w:autoSpaceDE w:val="0"/>
        <w:autoSpaceDN w:val="0"/>
        <w:adjustRightInd w:val="0"/>
        <w:rPr>
          <w:b/>
          <w:bCs/>
        </w:rPr>
      </w:pPr>
      <w:bookmarkStart w:id="2" w:name="OLE_LINK1"/>
      <w:bookmarkStart w:id="3" w:name="OLE_LINK2"/>
      <w:r w:rsidRPr="00D21BCC">
        <w:rPr>
          <w:b/>
          <w:bCs/>
        </w:rPr>
        <w:t>Part 1 – Preliminary</w:t>
      </w:r>
    </w:p>
    <w:p w14:paraId="106344A2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36F538B4" w14:textId="55935651" w:rsidR="006405C7" w:rsidRPr="00D21BCC" w:rsidRDefault="006405C7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Section 1 – Name</w:t>
      </w:r>
    </w:p>
    <w:p w14:paraId="788D2070" w14:textId="08B9B27A" w:rsidR="006405C7" w:rsidRPr="00983291" w:rsidRDefault="006405C7" w:rsidP="002322B2">
      <w:r w:rsidRPr="00983291">
        <w:t>This section</w:t>
      </w:r>
      <w:r w:rsidR="009E36D4" w:rsidRPr="00983291">
        <w:t xml:space="preserve"> provides that the name of the determination is the </w:t>
      </w:r>
      <w:r w:rsidR="009E36D4" w:rsidRPr="00983291">
        <w:rPr>
          <w:bCs/>
          <w:i/>
        </w:rPr>
        <w:t xml:space="preserve">Greenhouse and Energy Minimum Standards (Commercial </w:t>
      </w:r>
      <w:proofErr w:type="gramStart"/>
      <w:r w:rsidR="009E36D4" w:rsidRPr="00983291">
        <w:rPr>
          <w:bCs/>
          <w:i/>
        </w:rPr>
        <w:t>Ice-</w:t>
      </w:r>
      <w:r w:rsidR="00E4450C">
        <w:rPr>
          <w:bCs/>
          <w:i/>
        </w:rPr>
        <w:t>m</w:t>
      </w:r>
      <w:r w:rsidR="009E36D4" w:rsidRPr="00983291">
        <w:rPr>
          <w:bCs/>
          <w:i/>
        </w:rPr>
        <w:t>akers</w:t>
      </w:r>
      <w:proofErr w:type="gramEnd"/>
      <w:r w:rsidR="009E36D4" w:rsidRPr="00983291">
        <w:rPr>
          <w:bCs/>
          <w:i/>
        </w:rPr>
        <w:t xml:space="preserve">) Determination 2025 </w:t>
      </w:r>
      <w:r w:rsidR="009E36D4" w:rsidRPr="00983291">
        <w:rPr>
          <w:bCs/>
          <w:iCs/>
        </w:rPr>
        <w:t>(the determination)</w:t>
      </w:r>
      <w:r w:rsidR="009E36D4" w:rsidRPr="00983291">
        <w:rPr>
          <w:bCs/>
          <w:i/>
        </w:rPr>
        <w:t>.</w:t>
      </w:r>
    </w:p>
    <w:p w14:paraId="59225ABA" w14:textId="77777777" w:rsidR="006405C7" w:rsidRPr="00983291" w:rsidRDefault="006405C7" w:rsidP="002322B2"/>
    <w:p w14:paraId="15FF7D18" w14:textId="77777777" w:rsidR="006405C7" w:rsidRPr="00D21BCC" w:rsidRDefault="006405C7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Section 2 – Commencement</w:t>
      </w:r>
    </w:p>
    <w:p w14:paraId="056ECE4D" w14:textId="79F3543A" w:rsidR="006405C7" w:rsidRPr="00983291" w:rsidRDefault="006405C7" w:rsidP="00D21BCC">
      <w:r w:rsidRPr="00983291">
        <w:t xml:space="preserve">This section provides that the </w:t>
      </w:r>
      <w:r w:rsidR="007239A9" w:rsidRPr="00983291">
        <w:t>determination</w:t>
      </w:r>
      <w:r w:rsidRPr="00983291">
        <w:t xml:space="preserve"> commences </w:t>
      </w:r>
      <w:r w:rsidR="004A57AA">
        <w:t>on the day specified in column 2 of the table</w:t>
      </w:r>
      <w:bookmarkStart w:id="4" w:name="_Hlk158719329"/>
      <w:r w:rsidR="00801916" w:rsidRPr="00983291">
        <w:t>.</w:t>
      </w:r>
      <w:bookmarkEnd w:id="4"/>
    </w:p>
    <w:p w14:paraId="06ED0584" w14:textId="77777777" w:rsidR="006405C7" w:rsidRPr="00983291" w:rsidRDefault="006405C7" w:rsidP="002322B2"/>
    <w:p w14:paraId="4DF94C81" w14:textId="77777777" w:rsidR="006405C7" w:rsidRPr="00D21BCC" w:rsidRDefault="006405C7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Section 3 – Authority</w:t>
      </w:r>
    </w:p>
    <w:p w14:paraId="6FF8C980" w14:textId="6266190D" w:rsidR="006405C7" w:rsidRPr="00983291" w:rsidRDefault="006405C7" w:rsidP="002322B2">
      <w:r w:rsidRPr="00983291">
        <w:t xml:space="preserve">This section </w:t>
      </w:r>
      <w:r w:rsidR="009E36D4" w:rsidRPr="00983291">
        <w:t xml:space="preserve">provides that the determination is made under section 23 of the </w:t>
      </w:r>
      <w:r w:rsidR="009E36D4" w:rsidRPr="00983291">
        <w:rPr>
          <w:bCs/>
          <w:i/>
        </w:rPr>
        <w:t xml:space="preserve">Greenhouse and Energy Minimum Standards Act 2012 </w:t>
      </w:r>
      <w:r w:rsidR="009E36D4" w:rsidRPr="00983291">
        <w:rPr>
          <w:bCs/>
          <w:iCs/>
        </w:rPr>
        <w:t>(the Act).</w:t>
      </w:r>
    </w:p>
    <w:p w14:paraId="36572F22" w14:textId="77777777" w:rsidR="006405C7" w:rsidRPr="00983291" w:rsidRDefault="006405C7" w:rsidP="002322B2"/>
    <w:p w14:paraId="7979432B" w14:textId="4EC77942" w:rsidR="006405C7" w:rsidRPr="00983291" w:rsidRDefault="006405C7" w:rsidP="00D21BCC">
      <w:pPr>
        <w:autoSpaceDE w:val="0"/>
        <w:autoSpaceDN w:val="0"/>
        <w:adjustRightInd w:val="0"/>
      </w:pPr>
      <w:r w:rsidRPr="00D21BCC">
        <w:rPr>
          <w:b/>
          <w:bCs/>
        </w:rPr>
        <w:t xml:space="preserve">Section </w:t>
      </w:r>
      <w:r w:rsidR="00A872C4" w:rsidRPr="00D21BCC">
        <w:rPr>
          <w:b/>
          <w:bCs/>
        </w:rPr>
        <w:t>4</w:t>
      </w:r>
      <w:r w:rsidRPr="00D21BCC">
        <w:rPr>
          <w:b/>
          <w:bCs/>
        </w:rPr>
        <w:t xml:space="preserve"> – Definitions</w:t>
      </w:r>
    </w:p>
    <w:p w14:paraId="3C12C0CE" w14:textId="382B7646" w:rsidR="006405C7" w:rsidRPr="00983291" w:rsidRDefault="006405C7" w:rsidP="002322B2">
      <w:r w:rsidRPr="00983291">
        <w:t xml:space="preserve">This section sets out definitions for key terms used in the </w:t>
      </w:r>
      <w:r w:rsidR="007239A9" w:rsidRPr="00983291">
        <w:t>determination</w:t>
      </w:r>
      <w:r w:rsidRPr="00983291">
        <w:t>. The definitions include:</w:t>
      </w:r>
    </w:p>
    <w:p w14:paraId="367B862A" w14:textId="46FE4C9D" w:rsidR="006405C7" w:rsidRPr="00983291" w:rsidRDefault="006405C7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>definitions relating to the standards</w:t>
      </w:r>
      <w:r w:rsidR="00413FFD" w:rsidRPr="00983291">
        <w:t xml:space="preserve"> </w:t>
      </w:r>
      <w:r w:rsidRPr="00983291">
        <w:t xml:space="preserve">by which the requirements of the </w:t>
      </w:r>
      <w:r w:rsidR="007239A9" w:rsidRPr="00983291">
        <w:t>determination</w:t>
      </w:r>
      <w:r w:rsidRPr="00983291">
        <w:t xml:space="preserve"> are specified. The applicable version of each standard referenced in the </w:t>
      </w:r>
      <w:r w:rsidR="007239A9" w:rsidRPr="00983291">
        <w:t>determination</w:t>
      </w:r>
      <w:r w:rsidRPr="00983291">
        <w:t xml:space="preserve"> is the version that existed on the day th</w:t>
      </w:r>
      <w:r w:rsidR="005A6F99" w:rsidRPr="00983291">
        <w:t xml:space="preserve">is instrument is </w:t>
      </w:r>
      <w:proofErr w:type="gramStart"/>
      <w:r w:rsidR="005A6F99" w:rsidRPr="00983291">
        <w:t>made</w:t>
      </w:r>
      <w:r w:rsidRPr="00983291">
        <w:t>;</w:t>
      </w:r>
      <w:proofErr w:type="gramEnd"/>
    </w:p>
    <w:p w14:paraId="49D6AD64" w14:textId="3162D7CE" w:rsidR="001F1E5B" w:rsidRPr="00983291" w:rsidRDefault="001F1E5B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 xml:space="preserve">a definition of AHRI </w:t>
      </w:r>
      <w:proofErr w:type="gramStart"/>
      <w:r w:rsidR="002E1D82" w:rsidRPr="00983291">
        <w:t>810</w:t>
      </w:r>
      <w:r w:rsidR="008F6417" w:rsidRPr="00983291">
        <w:t>-</w:t>
      </w:r>
      <w:r w:rsidR="002E1D82" w:rsidRPr="00983291">
        <w:t>2016;</w:t>
      </w:r>
      <w:proofErr w:type="gramEnd"/>
    </w:p>
    <w:p w14:paraId="4BC1E4B5" w14:textId="49854369" w:rsidR="002E1D82" w:rsidRPr="00983291" w:rsidRDefault="002E1D82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 xml:space="preserve">a definition of AHRI </w:t>
      </w:r>
      <w:proofErr w:type="gramStart"/>
      <w:r w:rsidRPr="00983291">
        <w:t>810</w:t>
      </w:r>
      <w:r w:rsidR="008F6417" w:rsidRPr="00983291">
        <w:t>-</w:t>
      </w:r>
      <w:r w:rsidRPr="00983291">
        <w:t>2023;</w:t>
      </w:r>
      <w:proofErr w:type="gramEnd"/>
    </w:p>
    <w:p w14:paraId="396B3696" w14:textId="5075CF2C" w:rsidR="002E1D82" w:rsidRPr="00983291" w:rsidRDefault="002E1D82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 xml:space="preserve">a definition of ANSI/ASHRAE </w:t>
      </w:r>
      <w:proofErr w:type="gramStart"/>
      <w:r w:rsidRPr="00983291">
        <w:t>29-2009;</w:t>
      </w:r>
      <w:proofErr w:type="gramEnd"/>
    </w:p>
    <w:p w14:paraId="4CA5C3F3" w14:textId="181A6702" w:rsidR="002E1D82" w:rsidRPr="00983291" w:rsidRDefault="002E1D82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 xml:space="preserve">a definition of ANSI/ASHRAE </w:t>
      </w:r>
      <w:proofErr w:type="gramStart"/>
      <w:r w:rsidRPr="00983291">
        <w:t>29-2015;</w:t>
      </w:r>
      <w:proofErr w:type="gramEnd"/>
    </w:p>
    <w:p w14:paraId="002CA972" w14:textId="5BB2B7DB" w:rsidR="002E1D82" w:rsidRPr="00983291" w:rsidRDefault="002E1D82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>a defi</w:t>
      </w:r>
      <w:r w:rsidR="00FF3D7B" w:rsidRPr="00983291">
        <w:t>nition of AS/NZS 4865.1:</w:t>
      </w:r>
      <w:proofErr w:type="gramStart"/>
      <w:r w:rsidR="00FF3D7B" w:rsidRPr="00983291">
        <w:t>2008;</w:t>
      </w:r>
      <w:proofErr w:type="gramEnd"/>
    </w:p>
    <w:p w14:paraId="3BD6BF3E" w14:textId="14FA999E" w:rsidR="006405C7" w:rsidRPr="00983291" w:rsidRDefault="006405C7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 xml:space="preserve">a definition of </w:t>
      </w:r>
      <w:r w:rsidR="00F11D3F" w:rsidRPr="00983291">
        <w:t>ISO 6369:</w:t>
      </w:r>
      <w:proofErr w:type="gramStart"/>
      <w:r w:rsidR="00F11D3F" w:rsidRPr="00983291">
        <w:t>2023</w:t>
      </w:r>
      <w:r w:rsidRPr="00983291">
        <w:t>;</w:t>
      </w:r>
      <w:proofErr w:type="gramEnd"/>
    </w:p>
    <w:p w14:paraId="38737A07" w14:textId="4301FE86" w:rsidR="006405C7" w:rsidRPr="00983291" w:rsidRDefault="006405C7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>a definition of ‘</w:t>
      </w:r>
      <w:r w:rsidR="000B5EE7" w:rsidRPr="00983291">
        <w:t xml:space="preserve">automatic </w:t>
      </w:r>
      <w:proofErr w:type="gramStart"/>
      <w:r w:rsidR="000B5EE7" w:rsidRPr="00983291">
        <w:t>ice-maker</w:t>
      </w:r>
      <w:proofErr w:type="gramEnd"/>
      <w:r w:rsidRPr="00983291">
        <w:t xml:space="preserve">’, which is given the same meaning as in Australian/New Zealand standard AS/NZS </w:t>
      </w:r>
      <w:r w:rsidR="007862C1" w:rsidRPr="00983291">
        <w:t>4865</w:t>
      </w:r>
      <w:r w:rsidR="004F4C89" w:rsidRPr="00983291">
        <w:t>.1:2008</w:t>
      </w:r>
      <w:r w:rsidRPr="00983291">
        <w:t>;</w:t>
      </w:r>
    </w:p>
    <w:p w14:paraId="411D237A" w14:textId="075D1F57" w:rsidR="006405C7" w:rsidRPr="00983291" w:rsidRDefault="006405C7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  <w:rPr>
          <w:i/>
        </w:rPr>
      </w:pPr>
      <w:r w:rsidRPr="00983291">
        <w:t>a definition of ‘</w:t>
      </w:r>
      <w:r w:rsidR="000B5EE7" w:rsidRPr="00983291">
        <w:t xml:space="preserve">commercial </w:t>
      </w:r>
      <w:proofErr w:type="gramStart"/>
      <w:r w:rsidR="000B5EE7" w:rsidRPr="00983291">
        <w:t>ice-maker</w:t>
      </w:r>
      <w:proofErr w:type="gramEnd"/>
      <w:r w:rsidRPr="00983291">
        <w:t xml:space="preserve">’, which </w:t>
      </w:r>
      <w:r w:rsidR="004F4C89" w:rsidRPr="00983291">
        <w:t xml:space="preserve">is </w:t>
      </w:r>
      <w:r w:rsidR="008F6417" w:rsidRPr="00983291">
        <w:t xml:space="preserve">defined in the </w:t>
      </w:r>
      <w:r w:rsidR="007239A9" w:rsidRPr="00983291">
        <w:t>determination</w:t>
      </w:r>
      <w:r w:rsidR="008F6417" w:rsidRPr="00983291">
        <w:t xml:space="preserve"> as an automatic ice</w:t>
      </w:r>
      <w:r w:rsidR="00B9450C" w:rsidRPr="00983291">
        <w:t>-</w:t>
      </w:r>
      <w:r w:rsidR="008F6417" w:rsidRPr="00983291">
        <w:t>maker with the capacity to produce up to 1,000 kg/24hr under standard te</w:t>
      </w:r>
      <w:r w:rsidR="006C3029" w:rsidRPr="00983291">
        <w:t>s</w:t>
      </w:r>
      <w:r w:rsidR="008F6417" w:rsidRPr="00983291">
        <w:t>t conditions</w:t>
      </w:r>
      <w:r w:rsidR="0079057C" w:rsidRPr="00983291">
        <w:t>;</w:t>
      </w:r>
    </w:p>
    <w:p w14:paraId="15E6DD5C" w14:textId="61EDEF58" w:rsidR="006405C7" w:rsidRPr="00983291" w:rsidRDefault="006405C7" w:rsidP="00D21BCC">
      <w:pPr>
        <w:numPr>
          <w:ilvl w:val="0"/>
          <w:numId w:val="2"/>
        </w:numPr>
        <w:autoSpaceDE w:val="0"/>
        <w:autoSpaceDN w:val="0"/>
        <w:adjustRightInd w:val="0"/>
        <w:ind w:left="567" w:right="-57" w:hanging="425"/>
      </w:pPr>
      <w:r w:rsidRPr="00983291">
        <w:t>a definition of ‘</w:t>
      </w:r>
      <w:r w:rsidR="000B5EE7" w:rsidRPr="00983291">
        <w:t xml:space="preserve">domestic </w:t>
      </w:r>
      <w:proofErr w:type="gramStart"/>
      <w:r w:rsidR="000B5EE7" w:rsidRPr="00983291">
        <w:t>ice-maker</w:t>
      </w:r>
      <w:proofErr w:type="gramEnd"/>
      <w:r w:rsidRPr="00983291">
        <w:t>’ which i</w:t>
      </w:r>
      <w:r w:rsidR="00136812" w:rsidRPr="00983291">
        <w:t>ncludes</w:t>
      </w:r>
      <w:r w:rsidRPr="00983291">
        <w:t xml:space="preserve"> the same meaning as in </w:t>
      </w:r>
      <w:r w:rsidR="000A1DC8" w:rsidRPr="00983291">
        <w:t xml:space="preserve">the </w:t>
      </w:r>
      <w:r w:rsidR="00C22505" w:rsidRPr="00983291">
        <w:t xml:space="preserve">Greenhouse and Energy Minimum Standards (Household Refrigerating Appliances) </w:t>
      </w:r>
      <w:r w:rsidR="007239A9" w:rsidRPr="00983291">
        <w:t>Determination</w:t>
      </w:r>
      <w:r w:rsidR="00B710DC" w:rsidRPr="00983291">
        <w:t xml:space="preserve"> 2019</w:t>
      </w:r>
      <w:r w:rsidR="00D37E1E" w:rsidRPr="00983291">
        <w:t>.</w:t>
      </w:r>
    </w:p>
    <w:p w14:paraId="66E2C621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731F69E9" w14:textId="372378EC" w:rsidR="00896393" w:rsidRPr="00D21BCC" w:rsidRDefault="006405C7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</w:t>
      </w:r>
      <w:r w:rsidR="00F07314" w:rsidRPr="00D21BCC">
        <w:rPr>
          <w:b/>
          <w:bCs/>
        </w:rPr>
        <w:t>5</w:t>
      </w:r>
      <w:r w:rsidRPr="00D21BCC">
        <w:rPr>
          <w:b/>
          <w:bCs/>
        </w:rPr>
        <w:t xml:space="preserve"> – </w:t>
      </w:r>
      <w:r w:rsidR="00896393" w:rsidRPr="00D21BCC">
        <w:rPr>
          <w:b/>
          <w:bCs/>
        </w:rPr>
        <w:t>Interpretation</w:t>
      </w:r>
    </w:p>
    <w:p w14:paraId="037A09D7" w14:textId="40DFC3D5" w:rsidR="00896393" w:rsidRPr="00D21BCC" w:rsidRDefault="00152E6F" w:rsidP="00D21BCC">
      <w:pPr>
        <w:autoSpaceDE w:val="0"/>
        <w:autoSpaceDN w:val="0"/>
        <w:adjustRightInd w:val="0"/>
      </w:pPr>
      <w:r w:rsidRPr="00983291">
        <w:t xml:space="preserve">This section provides guidance for interpreting certain aspects of the </w:t>
      </w:r>
      <w:r w:rsidR="007239A9" w:rsidRPr="00983291">
        <w:t>determination</w:t>
      </w:r>
      <w:r w:rsidRPr="00D21BCC">
        <w:t>.</w:t>
      </w:r>
    </w:p>
    <w:p w14:paraId="3B77C595" w14:textId="77777777" w:rsidR="002322B2" w:rsidRPr="004C1466" w:rsidRDefault="002322B2" w:rsidP="002322B2">
      <w:pPr>
        <w:keepNext/>
        <w:autoSpaceDE w:val="0"/>
        <w:autoSpaceDN w:val="0"/>
        <w:adjustRightInd w:val="0"/>
      </w:pPr>
    </w:p>
    <w:p w14:paraId="78776534" w14:textId="464AB7BE" w:rsidR="003F4E02" w:rsidRPr="00983291" w:rsidRDefault="003976E3" w:rsidP="00D21BCC">
      <w:pPr>
        <w:keepNext/>
        <w:autoSpaceDE w:val="0"/>
        <w:autoSpaceDN w:val="0"/>
        <w:adjustRightInd w:val="0"/>
        <w:rPr>
          <w:u w:val="single"/>
        </w:rPr>
      </w:pPr>
      <w:r w:rsidRPr="00983291">
        <w:rPr>
          <w:u w:val="single"/>
        </w:rPr>
        <w:t xml:space="preserve">Subsection </w:t>
      </w:r>
      <w:r w:rsidR="00F07314" w:rsidRPr="00983291">
        <w:rPr>
          <w:u w:val="single"/>
        </w:rPr>
        <w:t>5</w:t>
      </w:r>
      <w:r w:rsidRPr="00983291">
        <w:rPr>
          <w:u w:val="single"/>
        </w:rPr>
        <w:t>(1)</w:t>
      </w:r>
    </w:p>
    <w:p w14:paraId="40848406" w14:textId="4A9012B6" w:rsidR="003976E3" w:rsidRPr="00983291" w:rsidRDefault="003976E3" w:rsidP="00D21BCC">
      <w:pPr>
        <w:autoSpaceDE w:val="0"/>
        <w:autoSpaceDN w:val="0"/>
        <w:adjustRightInd w:val="0"/>
      </w:pPr>
      <w:r w:rsidRPr="00983291">
        <w:t xml:space="preserve">This subsection sets out the order in which priority should be taken in the interpretation of relevant provisions if there are any inconsistencies between the Act, the </w:t>
      </w:r>
      <w:r w:rsidR="007239A9" w:rsidRPr="00983291">
        <w:t>determination</w:t>
      </w:r>
      <w:r w:rsidRPr="00983291">
        <w:t xml:space="preserve"> and the standards referenced in section </w:t>
      </w:r>
      <w:r w:rsidR="00690C92" w:rsidRPr="00983291">
        <w:t>4</w:t>
      </w:r>
      <w:r w:rsidR="00E3720F" w:rsidRPr="00983291">
        <w:t xml:space="preserve">. Subsection </w:t>
      </w:r>
      <w:r w:rsidR="0048158A" w:rsidRPr="00983291">
        <w:t>5</w:t>
      </w:r>
      <w:r w:rsidR="00E3720F" w:rsidRPr="00983291">
        <w:t xml:space="preserve">(1) provides </w:t>
      </w:r>
      <w:r w:rsidR="00E3720F" w:rsidRPr="00983291">
        <w:lastRenderedPageBreak/>
        <w:t>that if there is an inconsistency between definitions</w:t>
      </w:r>
      <w:r w:rsidR="00793DA7" w:rsidRPr="00983291">
        <w:t xml:space="preserve"> of terms and phrases</w:t>
      </w:r>
      <w:r w:rsidR="00E3720F" w:rsidRPr="00983291">
        <w:t xml:space="preserve"> in the Act, the </w:t>
      </w:r>
      <w:r w:rsidR="007239A9" w:rsidRPr="00983291">
        <w:t>determination</w:t>
      </w:r>
      <w:r w:rsidR="002C7140" w:rsidRPr="00983291">
        <w:t>, AS/NZS 4865.1:2008</w:t>
      </w:r>
      <w:r w:rsidR="0058769F" w:rsidRPr="00983291">
        <w:t xml:space="preserve"> and a standard referred to in the </w:t>
      </w:r>
      <w:r w:rsidR="007239A9" w:rsidRPr="00983291">
        <w:t>determination</w:t>
      </w:r>
      <w:r w:rsidR="0058769F" w:rsidRPr="00983291">
        <w:t xml:space="preserve">, the Act or the </w:t>
      </w:r>
      <w:r w:rsidR="007239A9" w:rsidRPr="00983291">
        <w:t>determination</w:t>
      </w:r>
      <w:r w:rsidR="0058769F" w:rsidRPr="00983291">
        <w:t xml:space="preserve"> (as the case may be) will prevail over </w:t>
      </w:r>
      <w:r w:rsidR="0062759C" w:rsidRPr="00983291">
        <w:t xml:space="preserve">AS/NZS 4865.1:2008, which in turn will prevail over </w:t>
      </w:r>
      <w:r w:rsidR="0058769F" w:rsidRPr="00983291">
        <w:t xml:space="preserve">the </w:t>
      </w:r>
      <w:r w:rsidR="0062759C" w:rsidRPr="00983291">
        <w:t xml:space="preserve">other </w:t>
      </w:r>
      <w:r w:rsidR="00DD57BF" w:rsidRPr="00983291">
        <w:t xml:space="preserve">relevant </w:t>
      </w:r>
      <w:r w:rsidR="0058769F" w:rsidRPr="00983291">
        <w:t>standard</w:t>
      </w:r>
      <w:r w:rsidR="0062759C" w:rsidRPr="00983291">
        <w:t>s</w:t>
      </w:r>
      <w:r w:rsidR="0058769F" w:rsidRPr="00983291">
        <w:t>.</w:t>
      </w:r>
    </w:p>
    <w:p w14:paraId="621AFC5E" w14:textId="77777777" w:rsidR="002322B2" w:rsidRPr="004C1466" w:rsidRDefault="002322B2" w:rsidP="002322B2">
      <w:pPr>
        <w:keepNext/>
        <w:autoSpaceDE w:val="0"/>
        <w:autoSpaceDN w:val="0"/>
        <w:adjustRightInd w:val="0"/>
      </w:pPr>
    </w:p>
    <w:p w14:paraId="2C2C38E7" w14:textId="40CF0C63" w:rsidR="009930BC" w:rsidRPr="00983291" w:rsidRDefault="00FF188C" w:rsidP="00D21BCC">
      <w:pPr>
        <w:keepNext/>
        <w:autoSpaceDE w:val="0"/>
        <w:autoSpaceDN w:val="0"/>
        <w:adjustRightInd w:val="0"/>
        <w:rPr>
          <w:u w:val="single"/>
        </w:rPr>
      </w:pPr>
      <w:r w:rsidRPr="00983291">
        <w:rPr>
          <w:u w:val="single"/>
        </w:rPr>
        <w:t xml:space="preserve">Subsection </w:t>
      </w:r>
      <w:r w:rsidR="0061794F" w:rsidRPr="00983291">
        <w:rPr>
          <w:u w:val="single"/>
        </w:rPr>
        <w:t>5</w:t>
      </w:r>
      <w:r w:rsidRPr="00983291">
        <w:rPr>
          <w:u w:val="single"/>
        </w:rPr>
        <w:t>(</w:t>
      </w:r>
      <w:r w:rsidR="00A052FE" w:rsidRPr="00983291">
        <w:rPr>
          <w:u w:val="single"/>
        </w:rPr>
        <w:t>2</w:t>
      </w:r>
      <w:r w:rsidRPr="00983291">
        <w:rPr>
          <w:u w:val="single"/>
        </w:rPr>
        <w:t>)</w:t>
      </w:r>
    </w:p>
    <w:p w14:paraId="0B7E4873" w14:textId="366D6FB2" w:rsidR="00FF188C" w:rsidRPr="00983291" w:rsidRDefault="00FF188C" w:rsidP="00D21BCC">
      <w:pPr>
        <w:autoSpaceDE w:val="0"/>
        <w:autoSpaceDN w:val="0"/>
        <w:adjustRightInd w:val="0"/>
      </w:pPr>
      <w:r w:rsidRPr="00983291">
        <w:t xml:space="preserve">The purpose of this subsection is to make clear that </w:t>
      </w:r>
      <w:r w:rsidR="00F07C52" w:rsidRPr="00983291">
        <w:t xml:space="preserve">the applicable version of any standard referenced in the </w:t>
      </w:r>
      <w:r w:rsidR="007239A9" w:rsidRPr="00983291">
        <w:t>determination</w:t>
      </w:r>
      <w:r w:rsidR="00F07C52" w:rsidRPr="00983291">
        <w:t xml:space="preserve">, or other relevant document that is referred to in a standard, is the version that is </w:t>
      </w:r>
      <w:r w:rsidR="00AF415F" w:rsidRPr="00983291">
        <w:t xml:space="preserve">in force or </w:t>
      </w:r>
      <w:r w:rsidR="00CF1417" w:rsidRPr="00983291">
        <w:t>that exists</w:t>
      </w:r>
      <w:r w:rsidR="00F07C52" w:rsidRPr="00983291">
        <w:t xml:space="preserve"> on the day the </w:t>
      </w:r>
      <w:r w:rsidR="007239A9" w:rsidRPr="00983291">
        <w:t>determination</w:t>
      </w:r>
      <w:r w:rsidR="00F07C52" w:rsidRPr="00983291">
        <w:t xml:space="preserve"> was </w:t>
      </w:r>
      <w:r w:rsidR="002E302B" w:rsidRPr="00983291">
        <w:t>made</w:t>
      </w:r>
      <w:r w:rsidR="00F07C52" w:rsidRPr="00983291">
        <w:t>.</w:t>
      </w:r>
    </w:p>
    <w:p w14:paraId="4193CA7C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544079C4" w14:textId="1AD391F9" w:rsidR="00EC1EB5" w:rsidRPr="00D21BCC" w:rsidRDefault="00EC1EB5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Section 6 – Families of models</w:t>
      </w:r>
    </w:p>
    <w:p w14:paraId="488C36E2" w14:textId="3669A319" w:rsidR="00EC1EB5" w:rsidRPr="00983291" w:rsidRDefault="00EC1EB5" w:rsidP="002322B2">
      <w:r w:rsidRPr="00983291">
        <w:t xml:space="preserve">Section 28 of the Act provides that a GEMS determination must specify, for each product class covered by the </w:t>
      </w:r>
      <w:r w:rsidR="007239A9" w:rsidRPr="00983291">
        <w:t>determination</w:t>
      </w:r>
      <w:r w:rsidRPr="00983291">
        <w:t>, the circumstances in which two or more models in that product class are in the same family of models.</w:t>
      </w:r>
      <w:r w:rsidR="00DB046C" w:rsidRPr="00983291">
        <w:t xml:space="preserve"> </w:t>
      </w:r>
      <w:r w:rsidR="00E8648D" w:rsidRPr="00983291">
        <w:t>The</w:t>
      </w:r>
      <w:r w:rsidR="0062759C" w:rsidRPr="00983291">
        <w:t xml:space="preserve"> conditions spe</w:t>
      </w:r>
      <w:r w:rsidR="00DB046C" w:rsidRPr="00983291">
        <w:t>ci</w:t>
      </w:r>
      <w:r w:rsidR="002164B7" w:rsidRPr="00983291">
        <w:t>f</w:t>
      </w:r>
      <w:r w:rsidR="0062759C" w:rsidRPr="00983291">
        <w:t xml:space="preserve">ied here are that for </w:t>
      </w:r>
      <w:r w:rsidR="0080326A" w:rsidRPr="00983291">
        <w:t xml:space="preserve">models </w:t>
      </w:r>
      <w:r w:rsidR="0062759C" w:rsidRPr="00983291">
        <w:t xml:space="preserve">to be in the same family they must have </w:t>
      </w:r>
      <w:r w:rsidR="0080326A" w:rsidRPr="00983291">
        <w:t>the same tested capacity, tested energy consumption rate, product class and rely on a single test report</w:t>
      </w:r>
      <w:r w:rsidR="00A71D4C" w:rsidRPr="00983291">
        <w:t>.</w:t>
      </w:r>
    </w:p>
    <w:p w14:paraId="2CBF9221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621BD8E5" w14:textId="43F86ECD" w:rsidR="0050578E" w:rsidRPr="00D21BCC" w:rsidRDefault="00FF0F9D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7 – </w:t>
      </w:r>
      <w:r w:rsidR="00332C4B" w:rsidRPr="00D21BCC">
        <w:rPr>
          <w:b/>
          <w:bCs/>
        </w:rPr>
        <w:t>Product categories</w:t>
      </w:r>
    </w:p>
    <w:p w14:paraId="3978A67A" w14:textId="5BF2A5C1" w:rsidR="00332C4B" w:rsidRPr="00983291" w:rsidRDefault="00332C4B" w:rsidP="00D21BCC">
      <w:pPr>
        <w:autoSpaceDE w:val="0"/>
        <w:autoSpaceDN w:val="0"/>
        <w:adjustRightInd w:val="0"/>
      </w:pPr>
      <w:r w:rsidRPr="00983291">
        <w:t xml:space="preserve">This section specifies that, for </w:t>
      </w:r>
      <w:r w:rsidR="004F3649">
        <w:t xml:space="preserve">the purposes of </w:t>
      </w:r>
      <w:r w:rsidRPr="00983291">
        <w:t xml:space="preserve">section 29 of the Act, products covered by this </w:t>
      </w:r>
      <w:r w:rsidR="007239A9" w:rsidRPr="00983291">
        <w:t>determination</w:t>
      </w:r>
      <w:r w:rsidRPr="00983291">
        <w:t xml:space="preserve"> are category A products. </w:t>
      </w:r>
      <w:r w:rsidR="00055C8D" w:rsidRPr="00983291">
        <w:t xml:space="preserve">Category A products have a lower impact on energy use </w:t>
      </w:r>
      <w:r w:rsidR="00EC5BAA" w:rsidRPr="00983291">
        <w:t xml:space="preserve">or greenhouse gas production than category B </w:t>
      </w:r>
      <w:proofErr w:type="gramStart"/>
      <w:r w:rsidR="00EC5BAA" w:rsidRPr="00983291">
        <w:t>products, and</w:t>
      </w:r>
      <w:proofErr w:type="gramEnd"/>
      <w:r w:rsidR="00EC5BAA" w:rsidRPr="00983291">
        <w:t xml:space="preserve"> </w:t>
      </w:r>
      <w:r w:rsidR="0058560E" w:rsidRPr="00983291">
        <w:t>have a lower penalty level.</w:t>
      </w:r>
    </w:p>
    <w:p w14:paraId="098A62EE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6A4B361D" w14:textId="3CB73E55" w:rsidR="00CC432D" w:rsidRPr="00D21BCC" w:rsidRDefault="00CC432D" w:rsidP="004A1620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Part 2</w:t>
      </w:r>
      <w:r w:rsidR="00E12243" w:rsidRPr="00D21BCC">
        <w:rPr>
          <w:b/>
          <w:bCs/>
        </w:rPr>
        <w:t xml:space="preserve"> </w:t>
      </w:r>
      <w:r w:rsidRPr="00D21BCC">
        <w:rPr>
          <w:b/>
          <w:bCs/>
        </w:rPr>
        <w:t xml:space="preserve">- Products covered by </w:t>
      </w:r>
      <w:r w:rsidR="002E5451">
        <w:rPr>
          <w:b/>
          <w:bCs/>
        </w:rPr>
        <w:t>this instrument</w:t>
      </w:r>
    </w:p>
    <w:p w14:paraId="34E19B7A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75244D51" w14:textId="63C9FE05" w:rsidR="00EC1EB5" w:rsidRPr="00D21BCC" w:rsidRDefault="0050578E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8 - </w:t>
      </w:r>
      <w:r w:rsidR="00FF0F9D" w:rsidRPr="00D21BCC">
        <w:rPr>
          <w:b/>
          <w:bCs/>
        </w:rPr>
        <w:t xml:space="preserve">Purpose of </w:t>
      </w:r>
      <w:r w:rsidR="00F26362">
        <w:rPr>
          <w:b/>
          <w:bCs/>
        </w:rPr>
        <w:t xml:space="preserve">this </w:t>
      </w:r>
      <w:r w:rsidR="00FF0F9D" w:rsidRPr="00D21BCC">
        <w:rPr>
          <w:b/>
          <w:bCs/>
        </w:rPr>
        <w:t>Part</w:t>
      </w:r>
    </w:p>
    <w:p w14:paraId="63F54AB9" w14:textId="79CE8319" w:rsidR="00EC1EB5" w:rsidRPr="00983291" w:rsidRDefault="005D41BB" w:rsidP="00D21BCC">
      <w:pPr>
        <w:autoSpaceDE w:val="0"/>
        <w:autoSpaceDN w:val="0"/>
        <w:adjustRightInd w:val="0"/>
      </w:pPr>
      <w:r w:rsidRPr="00983291">
        <w:t xml:space="preserve">This section sets out the </w:t>
      </w:r>
      <w:r w:rsidR="000F452F" w:rsidRPr="00983291">
        <w:t xml:space="preserve">purpose of Part 2 – Products covered by </w:t>
      </w:r>
      <w:r w:rsidR="007239A9" w:rsidRPr="00983291">
        <w:t>determination</w:t>
      </w:r>
      <w:r w:rsidR="000F452F" w:rsidRPr="00983291">
        <w:t>.</w:t>
      </w:r>
    </w:p>
    <w:p w14:paraId="04D322D7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18703255" w14:textId="396EB925" w:rsidR="000F452F" w:rsidRPr="00D21BCC" w:rsidRDefault="000F452F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</w:t>
      </w:r>
      <w:r w:rsidR="007418DE" w:rsidRPr="00D21BCC">
        <w:rPr>
          <w:b/>
          <w:bCs/>
        </w:rPr>
        <w:t>9</w:t>
      </w:r>
      <w:r w:rsidRPr="00D21BCC">
        <w:rPr>
          <w:b/>
          <w:bCs/>
        </w:rPr>
        <w:t xml:space="preserve"> – Classes of products that are covered by this </w:t>
      </w:r>
      <w:r w:rsidR="00F26362">
        <w:rPr>
          <w:b/>
          <w:bCs/>
        </w:rPr>
        <w:t>instrument</w:t>
      </w:r>
    </w:p>
    <w:p w14:paraId="56FB2E94" w14:textId="5DD0C9A4" w:rsidR="00015F6F" w:rsidRPr="00983291" w:rsidRDefault="00015F6F" w:rsidP="00D21BCC">
      <w:pPr>
        <w:autoSpaceDE w:val="0"/>
        <w:autoSpaceDN w:val="0"/>
        <w:adjustRightInd w:val="0"/>
      </w:pPr>
      <w:r w:rsidRPr="00983291">
        <w:t xml:space="preserve">This section </w:t>
      </w:r>
      <w:r w:rsidR="00EE319C" w:rsidRPr="00983291">
        <w:t xml:space="preserve">sets out the scope of the </w:t>
      </w:r>
      <w:r w:rsidR="007239A9" w:rsidRPr="00983291">
        <w:t>determination</w:t>
      </w:r>
      <w:r w:rsidR="00EE319C" w:rsidRPr="00983291">
        <w:t>.</w:t>
      </w:r>
      <w:r w:rsidR="009867B4" w:rsidRPr="00983291">
        <w:t xml:space="preserve"> </w:t>
      </w:r>
      <w:r w:rsidR="006A19FA" w:rsidRPr="00983291">
        <w:t xml:space="preserve">The </w:t>
      </w:r>
      <w:r w:rsidR="007239A9" w:rsidRPr="00983291">
        <w:t>determination</w:t>
      </w:r>
      <w:r w:rsidR="006A19FA" w:rsidRPr="00983291">
        <w:t xml:space="preserve"> covers 12 product classes</w:t>
      </w:r>
      <w:r w:rsidR="0024554B" w:rsidRPr="00983291">
        <w:t xml:space="preserve"> </w:t>
      </w:r>
      <w:r w:rsidR="00BA6D7D" w:rsidRPr="00983291">
        <w:t>grouped according to configuration, cooling mode</w:t>
      </w:r>
      <w:r w:rsidR="006E0C8B" w:rsidRPr="00983291">
        <w:t xml:space="preserve"> and </w:t>
      </w:r>
      <w:r w:rsidR="0062759C" w:rsidRPr="00983291">
        <w:t xml:space="preserve">ice </w:t>
      </w:r>
      <w:r w:rsidR="001B0068" w:rsidRPr="00983291">
        <w:t>product</w:t>
      </w:r>
      <w:r w:rsidR="0062759C" w:rsidRPr="00983291">
        <w:t>ion</w:t>
      </w:r>
      <w:r w:rsidR="001B0068" w:rsidRPr="00983291">
        <w:t xml:space="preserve"> mode.</w:t>
      </w:r>
      <w:r w:rsidR="00AA4D3F" w:rsidRPr="00983291">
        <w:t xml:space="preserve"> </w:t>
      </w:r>
    </w:p>
    <w:p w14:paraId="29C2055B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68C884FF" w14:textId="239E7B3C" w:rsidR="00812B8C" w:rsidRPr="00D21BCC" w:rsidRDefault="000F452F" w:rsidP="004A1620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</w:t>
      </w:r>
      <w:r w:rsidR="007418DE" w:rsidRPr="00D21BCC">
        <w:rPr>
          <w:b/>
          <w:bCs/>
        </w:rPr>
        <w:t>10</w:t>
      </w:r>
      <w:r w:rsidRPr="00D21BCC">
        <w:rPr>
          <w:b/>
          <w:bCs/>
        </w:rPr>
        <w:t xml:space="preserve"> </w:t>
      </w:r>
      <w:r w:rsidR="00812B8C" w:rsidRPr="00D21BCC">
        <w:rPr>
          <w:b/>
          <w:bCs/>
        </w:rPr>
        <w:t>–</w:t>
      </w:r>
      <w:r w:rsidRPr="00D21BCC">
        <w:rPr>
          <w:b/>
          <w:bCs/>
        </w:rPr>
        <w:t xml:space="preserve"> </w:t>
      </w:r>
      <w:r w:rsidR="00812B8C" w:rsidRPr="00D21BCC">
        <w:rPr>
          <w:b/>
          <w:bCs/>
        </w:rPr>
        <w:t xml:space="preserve">Classes of products that are not covered by this </w:t>
      </w:r>
      <w:r w:rsidR="00F26362">
        <w:rPr>
          <w:b/>
          <w:bCs/>
        </w:rPr>
        <w:t>instrument</w:t>
      </w:r>
    </w:p>
    <w:p w14:paraId="086D7B31" w14:textId="5B9900C1" w:rsidR="00CC432D" w:rsidRPr="00983291" w:rsidRDefault="006168E4" w:rsidP="002322B2">
      <w:r w:rsidRPr="00983291">
        <w:t xml:space="preserve">This section sets out what classes of products are not covered by the </w:t>
      </w:r>
      <w:r w:rsidR="007239A9" w:rsidRPr="00983291">
        <w:t>determination</w:t>
      </w:r>
      <w:r w:rsidRPr="00983291">
        <w:t xml:space="preserve">. </w:t>
      </w:r>
      <w:r w:rsidR="003E3C06" w:rsidRPr="00983291">
        <w:t xml:space="preserve">These are domestic </w:t>
      </w:r>
      <w:proofErr w:type="gramStart"/>
      <w:r w:rsidR="003E3C06" w:rsidRPr="00983291">
        <w:t>ice-makers</w:t>
      </w:r>
      <w:proofErr w:type="gramEnd"/>
      <w:r w:rsidR="0062759C" w:rsidRPr="00983291">
        <w:t xml:space="preserve"> </w:t>
      </w:r>
      <w:r w:rsidR="0045551E" w:rsidRPr="00983291">
        <w:t>(as defined in section 4)</w:t>
      </w:r>
      <w:r w:rsidR="00BB0FCB" w:rsidRPr="00983291">
        <w:t>.</w:t>
      </w:r>
    </w:p>
    <w:p w14:paraId="5162D44A" w14:textId="77777777" w:rsidR="002322B2" w:rsidRDefault="002322B2" w:rsidP="002322B2">
      <w:pPr>
        <w:keepNext/>
        <w:rPr>
          <w:b/>
          <w:bCs/>
        </w:rPr>
      </w:pPr>
    </w:p>
    <w:p w14:paraId="57FA48D7" w14:textId="14A3222D" w:rsidR="00CC432D" w:rsidRPr="00D21BCC" w:rsidRDefault="00CC432D" w:rsidP="004A1620">
      <w:pPr>
        <w:keepNext/>
        <w:rPr>
          <w:b/>
          <w:bCs/>
        </w:rPr>
      </w:pPr>
      <w:r w:rsidRPr="00D21BCC">
        <w:rPr>
          <w:b/>
          <w:bCs/>
        </w:rPr>
        <w:t>Part 3 – GEMS level requirements</w:t>
      </w:r>
    </w:p>
    <w:p w14:paraId="1B915F11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0724599C" w14:textId="7CED385C" w:rsidR="0027322A" w:rsidRPr="00D21BCC" w:rsidRDefault="006405C7" w:rsidP="00D21BCC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</w:t>
      </w:r>
      <w:r w:rsidR="00C761A8" w:rsidRPr="00D21BCC">
        <w:rPr>
          <w:b/>
          <w:bCs/>
        </w:rPr>
        <w:t>1</w:t>
      </w:r>
      <w:r w:rsidR="00615F69" w:rsidRPr="00D21BCC">
        <w:rPr>
          <w:b/>
          <w:bCs/>
        </w:rPr>
        <w:t>1</w:t>
      </w:r>
      <w:r w:rsidR="00670E9C" w:rsidRPr="00D21BCC">
        <w:rPr>
          <w:b/>
          <w:bCs/>
        </w:rPr>
        <w:t xml:space="preserve"> – Purpose of </w:t>
      </w:r>
      <w:r w:rsidR="00F26362">
        <w:rPr>
          <w:b/>
          <w:bCs/>
        </w:rPr>
        <w:t xml:space="preserve">this </w:t>
      </w:r>
      <w:r w:rsidR="00670E9C" w:rsidRPr="00D21BCC">
        <w:rPr>
          <w:b/>
          <w:bCs/>
        </w:rPr>
        <w:t>Part</w:t>
      </w:r>
    </w:p>
    <w:p w14:paraId="5F0FB1F0" w14:textId="70A819A5" w:rsidR="0027322A" w:rsidRPr="00983291" w:rsidRDefault="0027322A" w:rsidP="00D21BCC">
      <w:pPr>
        <w:autoSpaceDE w:val="0"/>
        <w:autoSpaceDN w:val="0"/>
        <w:adjustRightInd w:val="0"/>
      </w:pPr>
      <w:r w:rsidRPr="00983291">
        <w:t xml:space="preserve">This section sets out the </w:t>
      </w:r>
      <w:r w:rsidR="3A50055C" w:rsidRPr="00983291">
        <w:t xml:space="preserve">GEMS level requirements </w:t>
      </w:r>
      <w:r w:rsidRPr="00983291">
        <w:t>of Part 3 – GEMS level requirements</w:t>
      </w:r>
      <w:r w:rsidR="005012E2" w:rsidRPr="00983291">
        <w:t>.</w:t>
      </w:r>
    </w:p>
    <w:p w14:paraId="4707B0EB" w14:textId="77777777" w:rsidR="002322B2" w:rsidRDefault="002322B2" w:rsidP="002322B2">
      <w:pPr>
        <w:autoSpaceDE w:val="0"/>
        <w:autoSpaceDN w:val="0"/>
        <w:adjustRightInd w:val="0"/>
        <w:rPr>
          <w:b/>
          <w:bCs/>
        </w:rPr>
      </w:pPr>
    </w:p>
    <w:p w14:paraId="1D5E7065" w14:textId="6D7545E7" w:rsidR="006405C7" w:rsidRPr="00D21BCC" w:rsidRDefault="0027322A" w:rsidP="004A1620">
      <w:pPr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Section 1</w:t>
      </w:r>
      <w:r w:rsidR="00670E9C" w:rsidRPr="00D21BCC">
        <w:rPr>
          <w:b/>
          <w:bCs/>
        </w:rPr>
        <w:t>2</w:t>
      </w:r>
      <w:r w:rsidR="006405C7" w:rsidRPr="00D21BCC">
        <w:rPr>
          <w:b/>
          <w:bCs/>
        </w:rPr>
        <w:t xml:space="preserve"> – GEMS level requirements</w:t>
      </w:r>
    </w:p>
    <w:p w14:paraId="37928422" w14:textId="4CD73452" w:rsidR="006405C7" w:rsidRPr="00983291" w:rsidRDefault="006405C7" w:rsidP="00D21BCC">
      <w:r w:rsidRPr="00983291">
        <w:t xml:space="preserve">This subsection specifies GEMS level requirements for energy use for </w:t>
      </w:r>
      <w:r w:rsidR="00127867" w:rsidRPr="00983291">
        <w:t>products</w:t>
      </w:r>
      <w:r w:rsidRPr="00983291">
        <w:t xml:space="preserve"> covered by the </w:t>
      </w:r>
      <w:r w:rsidR="007239A9" w:rsidRPr="00983291">
        <w:t>determination</w:t>
      </w:r>
      <w:r w:rsidR="00121D50" w:rsidRPr="00983291">
        <w:t xml:space="preserve"> as a maximum energy consumption rate</w:t>
      </w:r>
      <w:r w:rsidRPr="00983291">
        <w:t xml:space="preserve">. </w:t>
      </w:r>
    </w:p>
    <w:p w14:paraId="60484447" w14:textId="77777777" w:rsidR="002322B2" w:rsidRDefault="002322B2" w:rsidP="002322B2">
      <w:pPr>
        <w:rPr>
          <w:b/>
          <w:bCs/>
          <w:iCs/>
        </w:rPr>
      </w:pPr>
    </w:p>
    <w:p w14:paraId="4A36B2D2" w14:textId="37BCC7C3" w:rsidR="00FA6FBF" w:rsidRPr="00D21BCC" w:rsidRDefault="00FA6FBF" w:rsidP="00D21BCC">
      <w:pPr>
        <w:rPr>
          <w:b/>
          <w:bCs/>
          <w:iCs/>
        </w:rPr>
      </w:pPr>
      <w:r w:rsidRPr="00D21BCC">
        <w:rPr>
          <w:b/>
          <w:bCs/>
          <w:iCs/>
        </w:rPr>
        <w:t>Section 1</w:t>
      </w:r>
      <w:r w:rsidR="007956DC" w:rsidRPr="00D21BCC">
        <w:rPr>
          <w:b/>
          <w:bCs/>
          <w:iCs/>
        </w:rPr>
        <w:t>3</w:t>
      </w:r>
      <w:r w:rsidRPr="00D21BCC">
        <w:rPr>
          <w:b/>
          <w:bCs/>
          <w:iCs/>
        </w:rPr>
        <w:t xml:space="preserve"> – Calculation of </w:t>
      </w:r>
      <w:r w:rsidR="004063DE" w:rsidRPr="00D21BCC">
        <w:rPr>
          <w:b/>
          <w:bCs/>
          <w:iCs/>
        </w:rPr>
        <w:t>maximum energy consumption rate</w:t>
      </w:r>
    </w:p>
    <w:p w14:paraId="6791D294" w14:textId="0DA2D817" w:rsidR="00FA6FBF" w:rsidRPr="00983291" w:rsidRDefault="000A33FE" w:rsidP="00D21BCC">
      <w:pPr>
        <w:rPr>
          <w:iCs/>
        </w:rPr>
      </w:pPr>
      <w:r w:rsidRPr="00983291">
        <w:rPr>
          <w:iCs/>
        </w:rPr>
        <w:lastRenderedPageBreak/>
        <w:t xml:space="preserve">This section specifies the </w:t>
      </w:r>
      <w:r w:rsidR="00632F7B" w:rsidRPr="00983291">
        <w:rPr>
          <w:iCs/>
        </w:rPr>
        <w:t xml:space="preserve">general </w:t>
      </w:r>
      <w:r w:rsidRPr="00983291">
        <w:rPr>
          <w:iCs/>
        </w:rPr>
        <w:t xml:space="preserve">formula </w:t>
      </w:r>
      <w:r w:rsidR="00632F7B" w:rsidRPr="00983291">
        <w:rPr>
          <w:iCs/>
        </w:rPr>
        <w:t xml:space="preserve">to be </w:t>
      </w:r>
      <w:r w:rsidRPr="00983291">
        <w:rPr>
          <w:iCs/>
        </w:rPr>
        <w:t xml:space="preserve">used to calculate the </w:t>
      </w:r>
      <w:r w:rsidR="004063DE" w:rsidRPr="00983291">
        <w:rPr>
          <w:iCs/>
        </w:rPr>
        <w:t>maximum energy consumption rate</w:t>
      </w:r>
      <w:r w:rsidRPr="00983291">
        <w:rPr>
          <w:iCs/>
        </w:rPr>
        <w:t xml:space="preserve"> </w:t>
      </w:r>
      <w:r w:rsidR="00CB1094" w:rsidRPr="00983291">
        <w:rPr>
          <w:iCs/>
        </w:rPr>
        <w:t xml:space="preserve">for the defined classes </w:t>
      </w:r>
      <w:r w:rsidRPr="00983291">
        <w:rPr>
          <w:iCs/>
        </w:rPr>
        <w:t xml:space="preserve">of commercial </w:t>
      </w:r>
      <w:proofErr w:type="gramStart"/>
      <w:r w:rsidRPr="00983291">
        <w:rPr>
          <w:iCs/>
        </w:rPr>
        <w:t>ice-maker</w:t>
      </w:r>
      <w:r w:rsidR="00024ABA" w:rsidRPr="00983291">
        <w:rPr>
          <w:iCs/>
        </w:rPr>
        <w:t>s</w:t>
      </w:r>
      <w:proofErr w:type="gramEnd"/>
      <w:r w:rsidRPr="00983291">
        <w:rPr>
          <w:iCs/>
        </w:rPr>
        <w:t>.</w:t>
      </w:r>
      <w:r w:rsidR="00C2561B" w:rsidRPr="00983291">
        <w:rPr>
          <w:iCs/>
        </w:rPr>
        <w:t xml:space="preserve"> </w:t>
      </w:r>
      <w:r w:rsidR="00411462" w:rsidRPr="00983291">
        <w:rPr>
          <w:iCs/>
        </w:rPr>
        <w:t>T</w:t>
      </w:r>
      <w:r w:rsidR="00AA33E5" w:rsidRPr="00983291">
        <w:rPr>
          <w:iCs/>
        </w:rPr>
        <w:t xml:space="preserve">he values </w:t>
      </w:r>
      <w:r w:rsidR="00024ABA" w:rsidRPr="00983291">
        <w:rPr>
          <w:iCs/>
        </w:rPr>
        <w:t xml:space="preserve">to be </w:t>
      </w:r>
      <w:r w:rsidR="00AA33E5" w:rsidRPr="00983291">
        <w:rPr>
          <w:iCs/>
        </w:rPr>
        <w:t>used in the calculations for each product class are listed in Schedule 2.</w:t>
      </w:r>
    </w:p>
    <w:p w14:paraId="04462A6F" w14:textId="77777777" w:rsidR="002322B2" w:rsidRDefault="002322B2" w:rsidP="002322B2">
      <w:pPr>
        <w:rPr>
          <w:b/>
          <w:bCs/>
          <w:iCs/>
        </w:rPr>
      </w:pPr>
    </w:p>
    <w:p w14:paraId="0AE3E7FE" w14:textId="676AB8F3" w:rsidR="006405C7" w:rsidRPr="00D21BCC" w:rsidRDefault="000A33FE" w:rsidP="00D21BCC">
      <w:pPr>
        <w:rPr>
          <w:b/>
          <w:bCs/>
          <w:iCs/>
        </w:rPr>
      </w:pPr>
      <w:r w:rsidRPr="00D21BCC">
        <w:rPr>
          <w:b/>
          <w:bCs/>
          <w:iCs/>
        </w:rPr>
        <w:t>Section 1</w:t>
      </w:r>
      <w:r w:rsidR="006B4EE9" w:rsidRPr="00D21BCC">
        <w:rPr>
          <w:b/>
          <w:bCs/>
          <w:iCs/>
        </w:rPr>
        <w:t>4</w:t>
      </w:r>
      <w:r w:rsidRPr="00D21BCC">
        <w:rPr>
          <w:b/>
          <w:bCs/>
          <w:iCs/>
        </w:rPr>
        <w:t xml:space="preserve"> </w:t>
      </w:r>
      <w:r w:rsidR="006B4EE9" w:rsidRPr="00D21BCC">
        <w:rPr>
          <w:b/>
          <w:bCs/>
          <w:iCs/>
        </w:rPr>
        <w:t>–</w:t>
      </w:r>
      <w:r w:rsidRPr="00D21BCC">
        <w:rPr>
          <w:b/>
          <w:bCs/>
          <w:iCs/>
        </w:rPr>
        <w:t xml:space="preserve"> </w:t>
      </w:r>
      <w:r w:rsidR="006B4EE9" w:rsidRPr="00D21BCC">
        <w:rPr>
          <w:b/>
          <w:bCs/>
          <w:iCs/>
        </w:rPr>
        <w:t xml:space="preserve">Testing requirements - </w:t>
      </w:r>
      <w:r w:rsidR="00B84D29" w:rsidRPr="00D21BCC">
        <w:rPr>
          <w:b/>
          <w:bCs/>
          <w:iCs/>
        </w:rPr>
        <w:t>general</w:t>
      </w:r>
    </w:p>
    <w:p w14:paraId="1344F070" w14:textId="7B4308C2" w:rsidR="000A33FE" w:rsidRPr="00983291" w:rsidRDefault="00AB0405" w:rsidP="00D21BCC">
      <w:pPr>
        <w:rPr>
          <w:iCs/>
        </w:rPr>
      </w:pPr>
      <w:r w:rsidRPr="00983291">
        <w:rPr>
          <w:iCs/>
        </w:rPr>
        <w:t>This section requires all testing to be conducted in accordance with an approved test standard.</w:t>
      </w:r>
    </w:p>
    <w:p w14:paraId="29210750" w14:textId="77777777" w:rsidR="002322B2" w:rsidRDefault="002322B2" w:rsidP="002322B2">
      <w:pPr>
        <w:rPr>
          <w:b/>
          <w:bCs/>
          <w:iCs/>
        </w:rPr>
      </w:pPr>
    </w:p>
    <w:p w14:paraId="4C3021A0" w14:textId="617D9098" w:rsidR="00B264CC" w:rsidRPr="00D21BCC" w:rsidRDefault="00B264CC" w:rsidP="00D21BCC">
      <w:pPr>
        <w:rPr>
          <w:b/>
          <w:bCs/>
          <w:iCs/>
        </w:rPr>
      </w:pPr>
      <w:r w:rsidRPr="00D21BCC">
        <w:rPr>
          <w:b/>
          <w:bCs/>
          <w:iCs/>
        </w:rPr>
        <w:t>Section 1</w:t>
      </w:r>
      <w:r w:rsidR="00B84D29" w:rsidRPr="00D21BCC">
        <w:rPr>
          <w:b/>
          <w:bCs/>
          <w:iCs/>
        </w:rPr>
        <w:t>5</w:t>
      </w:r>
      <w:r w:rsidRPr="00D21BCC">
        <w:rPr>
          <w:b/>
          <w:bCs/>
          <w:iCs/>
        </w:rPr>
        <w:t xml:space="preserve"> – Approved test standards</w:t>
      </w:r>
    </w:p>
    <w:p w14:paraId="25F787FB" w14:textId="1706885A" w:rsidR="00B264CC" w:rsidRPr="00983291" w:rsidRDefault="00B264CC" w:rsidP="00D21BCC">
      <w:pPr>
        <w:rPr>
          <w:iCs/>
        </w:rPr>
      </w:pPr>
      <w:r w:rsidRPr="00983291">
        <w:rPr>
          <w:iCs/>
        </w:rPr>
        <w:t xml:space="preserve">This section lists the approved test </w:t>
      </w:r>
      <w:r w:rsidR="1A29CC2C" w:rsidRPr="00983291">
        <w:t>standard</w:t>
      </w:r>
      <w:r w:rsidR="6A7053D5" w:rsidRPr="00983291">
        <w:t>s</w:t>
      </w:r>
      <w:r w:rsidR="00FB55BA" w:rsidRPr="00983291">
        <w:rPr>
          <w:iCs/>
        </w:rPr>
        <w:t>.</w:t>
      </w:r>
    </w:p>
    <w:p w14:paraId="20DC7096" w14:textId="77777777" w:rsidR="002322B2" w:rsidRDefault="002322B2" w:rsidP="002322B2">
      <w:pPr>
        <w:keepNext/>
        <w:autoSpaceDE w:val="0"/>
        <w:autoSpaceDN w:val="0"/>
        <w:adjustRightInd w:val="0"/>
        <w:rPr>
          <w:b/>
          <w:bCs/>
        </w:rPr>
      </w:pPr>
    </w:p>
    <w:p w14:paraId="24B4D5B9" w14:textId="60F1371E" w:rsidR="007371A5" w:rsidRPr="00D21BCC" w:rsidRDefault="006405C7" w:rsidP="00D21BCC">
      <w:pPr>
        <w:keepNext/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</w:t>
      </w:r>
      <w:r w:rsidR="00F61C2A" w:rsidRPr="00D21BCC">
        <w:rPr>
          <w:b/>
          <w:bCs/>
        </w:rPr>
        <w:t>1</w:t>
      </w:r>
      <w:r w:rsidR="00D953B7" w:rsidRPr="00D21BCC">
        <w:rPr>
          <w:b/>
          <w:bCs/>
        </w:rPr>
        <w:t>6</w:t>
      </w:r>
      <w:r w:rsidRPr="00D21BCC">
        <w:rPr>
          <w:b/>
          <w:bCs/>
        </w:rPr>
        <w:t xml:space="preserve"> – </w:t>
      </w:r>
      <w:r w:rsidR="00D953B7" w:rsidRPr="00D21BCC">
        <w:rPr>
          <w:b/>
          <w:bCs/>
        </w:rPr>
        <w:t>Specified modifications for testing for products with automatic dispenser</w:t>
      </w:r>
    </w:p>
    <w:p w14:paraId="27C94829" w14:textId="3B48B44F" w:rsidR="007371A5" w:rsidRPr="00983291" w:rsidRDefault="00837E98" w:rsidP="00D21BCC">
      <w:pPr>
        <w:keepNext/>
        <w:autoSpaceDE w:val="0"/>
        <w:autoSpaceDN w:val="0"/>
        <w:adjustRightInd w:val="0"/>
      </w:pPr>
      <w:r w:rsidRPr="00983291">
        <w:t xml:space="preserve">This section </w:t>
      </w:r>
      <w:r w:rsidR="00686714" w:rsidRPr="00983291">
        <w:t xml:space="preserve">lists </w:t>
      </w:r>
      <w:r w:rsidR="00B46B0C" w:rsidRPr="00983291">
        <w:t xml:space="preserve">specific procedures to be incorporated </w:t>
      </w:r>
      <w:r w:rsidR="00EB0DD1" w:rsidRPr="00983291">
        <w:t xml:space="preserve">in the test procedure </w:t>
      </w:r>
      <w:r w:rsidR="00B46B0C" w:rsidRPr="00983291">
        <w:t>when testing products with automatic dispensers.</w:t>
      </w:r>
    </w:p>
    <w:p w14:paraId="6A67642E" w14:textId="77777777" w:rsidR="002322B2" w:rsidRDefault="002322B2" w:rsidP="002322B2">
      <w:pPr>
        <w:keepNext/>
        <w:autoSpaceDE w:val="0"/>
        <w:autoSpaceDN w:val="0"/>
        <w:adjustRightInd w:val="0"/>
        <w:rPr>
          <w:b/>
          <w:bCs/>
        </w:rPr>
      </w:pPr>
    </w:p>
    <w:p w14:paraId="03583B02" w14:textId="621C153B" w:rsidR="00CC432D" w:rsidRPr="00D21BCC" w:rsidRDefault="00CC432D" w:rsidP="004A1620">
      <w:pPr>
        <w:keepNext/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>Part 4 – GEMS labelling requirements</w:t>
      </w:r>
    </w:p>
    <w:p w14:paraId="4E460E60" w14:textId="77777777" w:rsidR="002322B2" w:rsidRDefault="002322B2" w:rsidP="002322B2">
      <w:pPr>
        <w:keepNext/>
        <w:autoSpaceDE w:val="0"/>
        <w:autoSpaceDN w:val="0"/>
        <w:adjustRightInd w:val="0"/>
        <w:rPr>
          <w:b/>
          <w:bCs/>
        </w:rPr>
      </w:pPr>
    </w:p>
    <w:p w14:paraId="6E01876C" w14:textId="3631C202" w:rsidR="006405C7" w:rsidRPr="00D21BCC" w:rsidRDefault="007371A5" w:rsidP="00D21BCC">
      <w:pPr>
        <w:keepNext/>
        <w:autoSpaceDE w:val="0"/>
        <w:autoSpaceDN w:val="0"/>
        <w:adjustRightInd w:val="0"/>
        <w:rPr>
          <w:b/>
          <w:bCs/>
        </w:rPr>
      </w:pPr>
      <w:r w:rsidRPr="00D21BCC">
        <w:rPr>
          <w:b/>
          <w:bCs/>
        </w:rPr>
        <w:t xml:space="preserve">Section 17 – Purpose of </w:t>
      </w:r>
      <w:r w:rsidR="00F26362">
        <w:rPr>
          <w:b/>
          <w:bCs/>
        </w:rPr>
        <w:t xml:space="preserve">this </w:t>
      </w:r>
      <w:r w:rsidRPr="00D21BCC">
        <w:rPr>
          <w:b/>
          <w:bCs/>
        </w:rPr>
        <w:t>Part</w:t>
      </w:r>
    </w:p>
    <w:p w14:paraId="7F485232" w14:textId="2C0F3288" w:rsidR="006405C7" w:rsidRPr="00983291" w:rsidRDefault="005D6039" w:rsidP="00D21BCC">
      <w:r w:rsidRPr="00983291">
        <w:t xml:space="preserve">For the </w:t>
      </w:r>
      <w:r w:rsidR="00401E39" w:rsidRPr="00983291">
        <w:t xml:space="preserve">purposes of paragraph 24(1)(b) of the Act, </w:t>
      </w:r>
      <w:r w:rsidR="0004344A" w:rsidRPr="00983291">
        <w:t xml:space="preserve">this Part </w:t>
      </w:r>
      <w:r w:rsidR="00401E39" w:rsidRPr="00983291">
        <w:t>specifie</w:t>
      </w:r>
      <w:r w:rsidR="002B263A" w:rsidRPr="00983291">
        <w:t>s</w:t>
      </w:r>
      <w:r w:rsidR="00401E39" w:rsidRPr="00983291">
        <w:t xml:space="preserve"> GEMS labelling requirements in accordance with section 26 of the Act for </w:t>
      </w:r>
      <w:r w:rsidR="004872F6" w:rsidRPr="00983291">
        <w:t xml:space="preserve">the product classes covered by the </w:t>
      </w:r>
      <w:r w:rsidR="007239A9" w:rsidRPr="00983291">
        <w:t>determination</w:t>
      </w:r>
      <w:r w:rsidR="004872F6" w:rsidRPr="00983291">
        <w:t>.</w:t>
      </w:r>
    </w:p>
    <w:p w14:paraId="1765D2A0" w14:textId="77777777" w:rsidR="002322B2" w:rsidRDefault="002322B2" w:rsidP="002322B2">
      <w:pPr>
        <w:rPr>
          <w:b/>
          <w:bCs/>
        </w:rPr>
      </w:pPr>
    </w:p>
    <w:p w14:paraId="578A3322" w14:textId="5D5F9131" w:rsidR="006405C7" w:rsidRPr="00D21BCC" w:rsidRDefault="008C7C4F" w:rsidP="00D21BCC">
      <w:pPr>
        <w:rPr>
          <w:b/>
          <w:bCs/>
        </w:rPr>
      </w:pPr>
      <w:r w:rsidRPr="00D21BCC">
        <w:rPr>
          <w:b/>
          <w:bCs/>
        </w:rPr>
        <w:t>Section 1</w:t>
      </w:r>
      <w:r w:rsidR="000E32AE" w:rsidRPr="00D21BCC">
        <w:rPr>
          <w:b/>
          <w:bCs/>
        </w:rPr>
        <w:t>8</w:t>
      </w:r>
      <w:r w:rsidRPr="00D21BCC">
        <w:rPr>
          <w:b/>
          <w:bCs/>
        </w:rPr>
        <w:t xml:space="preserve"> </w:t>
      </w:r>
      <w:r w:rsidR="00A50257">
        <w:rPr>
          <w:b/>
          <w:bCs/>
        </w:rPr>
        <w:t xml:space="preserve">– </w:t>
      </w:r>
      <w:r w:rsidRPr="00D21BCC">
        <w:rPr>
          <w:b/>
          <w:bCs/>
        </w:rPr>
        <w:t>GEMS registration number</w:t>
      </w:r>
    </w:p>
    <w:p w14:paraId="4D07A003" w14:textId="58A91AA3" w:rsidR="00137AC4" w:rsidRPr="00D21BCC" w:rsidRDefault="00137AC4" w:rsidP="002322B2">
      <w:r w:rsidRPr="00983291">
        <w:t xml:space="preserve">This subsection requires that the GEMS registration number for a product covered by the </w:t>
      </w:r>
      <w:r w:rsidR="007239A9" w:rsidRPr="00983291">
        <w:t>determination</w:t>
      </w:r>
      <w:r w:rsidRPr="00983291">
        <w:t xml:space="preserve"> be written and displayed when </w:t>
      </w:r>
      <w:r w:rsidR="00416CD0" w:rsidRPr="00983291">
        <w:t>the product is advertised or</w:t>
      </w:r>
      <w:r w:rsidRPr="00983291">
        <w:t xml:space="preserve"> offered for supply.</w:t>
      </w:r>
    </w:p>
    <w:p w14:paraId="67712E73" w14:textId="77777777" w:rsidR="002322B2" w:rsidRDefault="002322B2" w:rsidP="002322B2"/>
    <w:p w14:paraId="38927758" w14:textId="7CE139BE" w:rsidR="00137AC4" w:rsidRPr="00983291" w:rsidRDefault="00137AC4" w:rsidP="002322B2">
      <w:r w:rsidRPr="00983291">
        <w:t>This requirement is to allow:</w:t>
      </w:r>
    </w:p>
    <w:p w14:paraId="65F94628" w14:textId="00531613" w:rsidR="00137AC4" w:rsidRPr="00983291" w:rsidRDefault="002B263A" w:rsidP="002322B2">
      <w:pPr>
        <w:pStyle w:val="ListParagraph"/>
        <w:numPr>
          <w:ilvl w:val="0"/>
          <w:numId w:val="7"/>
        </w:numPr>
        <w:contextualSpacing w:val="0"/>
      </w:pPr>
      <w:r w:rsidRPr="00983291">
        <w:t>c</w:t>
      </w:r>
      <w:r w:rsidR="00137AC4" w:rsidRPr="00983291">
        <w:t xml:space="preserve">onsumers to check and verify </w:t>
      </w:r>
      <w:r w:rsidR="00416CD0" w:rsidRPr="00983291">
        <w:t xml:space="preserve">that </w:t>
      </w:r>
      <w:r w:rsidR="00137AC4" w:rsidRPr="00983291">
        <w:t xml:space="preserve">the product is registered for Australia and can confirm and compare against other products on the GEMS </w:t>
      </w:r>
      <w:proofErr w:type="gramStart"/>
      <w:r w:rsidR="00137AC4" w:rsidRPr="00983291">
        <w:t>Register</w:t>
      </w:r>
      <w:r w:rsidRPr="00983291">
        <w:t>;</w:t>
      </w:r>
      <w:proofErr w:type="gramEnd"/>
    </w:p>
    <w:p w14:paraId="2705488C" w14:textId="19418FBB" w:rsidR="00137AC4" w:rsidRPr="00983291" w:rsidRDefault="002B263A" w:rsidP="002322B2">
      <w:pPr>
        <w:pStyle w:val="ListParagraph"/>
        <w:numPr>
          <w:ilvl w:val="0"/>
          <w:numId w:val="7"/>
        </w:numPr>
        <w:contextualSpacing w:val="0"/>
      </w:pPr>
      <w:r w:rsidRPr="00983291">
        <w:t>s</w:t>
      </w:r>
      <w:r w:rsidR="00137AC4" w:rsidRPr="00983291">
        <w:t xml:space="preserve">uppliers wishing to offer this product for supply </w:t>
      </w:r>
      <w:r w:rsidR="00EB0DD1" w:rsidRPr="00983291">
        <w:t xml:space="preserve">to </w:t>
      </w:r>
      <w:r w:rsidR="00416CD0" w:rsidRPr="00983291">
        <w:t xml:space="preserve">meet </w:t>
      </w:r>
      <w:r w:rsidR="00137AC4" w:rsidRPr="00983291">
        <w:t xml:space="preserve">their obligations by receiving the registration number from the registrant to ensure they </w:t>
      </w:r>
      <w:proofErr w:type="gramStart"/>
      <w:r w:rsidR="00137AC4" w:rsidRPr="00983291">
        <w:t>comply</w:t>
      </w:r>
      <w:r w:rsidRPr="00983291">
        <w:t>;</w:t>
      </w:r>
      <w:proofErr w:type="gramEnd"/>
    </w:p>
    <w:p w14:paraId="10BCD870" w14:textId="0291D478" w:rsidR="00137AC4" w:rsidRPr="00983291" w:rsidRDefault="002B263A" w:rsidP="002322B2">
      <w:pPr>
        <w:pStyle w:val="ListParagraph"/>
        <w:numPr>
          <w:ilvl w:val="0"/>
          <w:numId w:val="7"/>
        </w:numPr>
        <w:contextualSpacing w:val="0"/>
      </w:pPr>
      <w:r w:rsidRPr="00983291">
        <w:t>c</w:t>
      </w:r>
      <w:r w:rsidR="00137AC4" w:rsidRPr="00983291">
        <w:t xml:space="preserve">ompliance officers </w:t>
      </w:r>
      <w:r w:rsidR="00EB0DD1" w:rsidRPr="00983291">
        <w:t xml:space="preserve">to </w:t>
      </w:r>
      <w:r w:rsidR="00AE5E17" w:rsidRPr="00983291">
        <w:t>efficiently check the registration stat</w:t>
      </w:r>
      <w:r w:rsidR="00137AC4" w:rsidRPr="00983291">
        <w:t xml:space="preserve">us of </w:t>
      </w:r>
      <w:r w:rsidR="003E310A" w:rsidRPr="00983291">
        <w:t>a</w:t>
      </w:r>
      <w:r w:rsidR="00137AC4" w:rsidRPr="00983291">
        <w:t xml:space="preserve"> product to ensure</w:t>
      </w:r>
      <w:r w:rsidR="003E310A" w:rsidRPr="00983291">
        <w:t xml:space="preserve"> that</w:t>
      </w:r>
      <w:r w:rsidR="00137AC4" w:rsidRPr="00983291">
        <w:t xml:space="preserve"> it is correctly registered</w:t>
      </w:r>
      <w:r w:rsidRPr="00983291">
        <w:t>;</w:t>
      </w:r>
      <w:r w:rsidR="00137AC4" w:rsidRPr="00983291">
        <w:t xml:space="preserve"> and</w:t>
      </w:r>
    </w:p>
    <w:p w14:paraId="37C7EF4B" w14:textId="0DB7989F" w:rsidR="00137AC4" w:rsidRPr="00983291" w:rsidRDefault="002B263A" w:rsidP="002322B2">
      <w:pPr>
        <w:pStyle w:val="ListParagraph"/>
        <w:numPr>
          <w:ilvl w:val="0"/>
          <w:numId w:val="7"/>
        </w:numPr>
        <w:contextualSpacing w:val="0"/>
      </w:pPr>
      <w:r w:rsidRPr="00983291">
        <w:t>c</w:t>
      </w:r>
      <w:r w:rsidR="00137AC4" w:rsidRPr="00983291">
        <w:t xml:space="preserve">ompliance officers undertaking check testing procedures </w:t>
      </w:r>
      <w:r w:rsidR="00EB0DD1" w:rsidRPr="00983291">
        <w:t xml:space="preserve">to </w:t>
      </w:r>
      <w:r w:rsidR="00137AC4" w:rsidRPr="00983291">
        <w:t>ensure they have the correct registration for a product selected for check testing when purchasing the product required.</w:t>
      </w:r>
    </w:p>
    <w:p w14:paraId="583A9818" w14:textId="77777777" w:rsidR="004D2AAD" w:rsidRPr="00983291" w:rsidRDefault="004D2AAD" w:rsidP="002322B2"/>
    <w:p w14:paraId="0C33E957" w14:textId="5766CA67" w:rsidR="00137AC4" w:rsidRPr="00983291" w:rsidRDefault="00137AC4" w:rsidP="002322B2">
      <w:pPr>
        <w:rPr>
          <w:rFonts w:eastAsiaTheme="minorHAnsi"/>
        </w:rPr>
      </w:pPr>
      <w:r w:rsidRPr="00983291">
        <w:t xml:space="preserve">The GEMS Registration number is to be present </w:t>
      </w:r>
      <w:r w:rsidR="00FA61B0" w:rsidRPr="00983291">
        <w:t xml:space="preserve">with any </w:t>
      </w:r>
      <w:r w:rsidRPr="00983291">
        <w:t>offer to supply</w:t>
      </w:r>
      <w:r w:rsidR="0067373D" w:rsidRPr="00983291">
        <w:t xml:space="preserve"> by</w:t>
      </w:r>
      <w:r w:rsidRPr="00983291">
        <w:t>:</w:t>
      </w:r>
    </w:p>
    <w:p w14:paraId="3E8B60F5" w14:textId="0196929A" w:rsidR="00137AC4" w:rsidRPr="00983291" w:rsidRDefault="0067373D" w:rsidP="002322B2">
      <w:pPr>
        <w:pStyle w:val="ListParagraph"/>
        <w:numPr>
          <w:ilvl w:val="0"/>
          <w:numId w:val="8"/>
        </w:numPr>
        <w:contextualSpacing w:val="0"/>
      </w:pPr>
      <w:r w:rsidRPr="00983291">
        <w:t>making it clearly visible in advertisements</w:t>
      </w:r>
      <w:r w:rsidR="00C72868" w:rsidRPr="00983291">
        <w:t xml:space="preserve">, whether in print, in store or </w:t>
      </w:r>
      <w:proofErr w:type="gramStart"/>
      <w:r w:rsidR="00C72868" w:rsidRPr="00983291">
        <w:t>online;</w:t>
      </w:r>
      <w:proofErr w:type="gramEnd"/>
    </w:p>
    <w:p w14:paraId="0413733F" w14:textId="052F4569" w:rsidR="00137AC4" w:rsidRPr="00983291" w:rsidRDefault="00C72868" w:rsidP="002322B2">
      <w:pPr>
        <w:pStyle w:val="ListParagraph"/>
        <w:numPr>
          <w:ilvl w:val="0"/>
          <w:numId w:val="8"/>
        </w:numPr>
        <w:contextualSpacing w:val="0"/>
      </w:pPr>
      <w:r w:rsidRPr="00983291">
        <w:t>making</w:t>
      </w:r>
      <w:r w:rsidR="00F61BD7" w:rsidRPr="00983291">
        <w:t xml:space="preserve"> </w:t>
      </w:r>
      <w:r w:rsidRPr="00983291">
        <w:t>it clearly visibl</w:t>
      </w:r>
      <w:r w:rsidR="00F61BD7" w:rsidRPr="00983291">
        <w:t>e in any display for sale; and</w:t>
      </w:r>
    </w:p>
    <w:p w14:paraId="7938DC00" w14:textId="0D8BD400" w:rsidR="00137AC4" w:rsidRPr="00983291" w:rsidRDefault="00F61BD7" w:rsidP="002322B2">
      <w:pPr>
        <w:pStyle w:val="ListParagraph"/>
        <w:numPr>
          <w:ilvl w:val="0"/>
          <w:numId w:val="8"/>
        </w:numPr>
        <w:contextualSpacing w:val="0"/>
      </w:pPr>
      <w:r w:rsidRPr="00983291">
        <w:t xml:space="preserve">affixing a label with the </w:t>
      </w:r>
      <w:r w:rsidR="00FA61B0" w:rsidRPr="00983291">
        <w:t xml:space="preserve">GEMS </w:t>
      </w:r>
      <w:r w:rsidR="00137AC4" w:rsidRPr="00983291">
        <w:t>registration number</w:t>
      </w:r>
      <w:r w:rsidR="00B25B3F" w:rsidRPr="00983291">
        <w:t xml:space="preserve"> to the product (or making it otherwise clearly visible on inspection of the product).</w:t>
      </w:r>
    </w:p>
    <w:p w14:paraId="6F6D2CC8" w14:textId="77777777" w:rsidR="0025608C" w:rsidRPr="00D21BCC" w:rsidRDefault="0025608C" w:rsidP="002322B2">
      <w:pPr>
        <w:shd w:val="clear" w:color="auto" w:fill="FFFFFF"/>
        <w:ind w:right="91"/>
        <w:rPr>
          <w:b/>
          <w:color w:val="000000"/>
        </w:rPr>
      </w:pPr>
      <w:bookmarkStart w:id="5" w:name="_Hlk117071905"/>
      <w:bookmarkEnd w:id="2"/>
      <w:bookmarkEnd w:id="3"/>
    </w:p>
    <w:p w14:paraId="3ACF19DA" w14:textId="1CFB4AB1" w:rsidR="00424F2A" w:rsidRPr="00D21BCC" w:rsidRDefault="00424F2A" w:rsidP="002322B2">
      <w:pPr>
        <w:shd w:val="clear" w:color="auto" w:fill="FFFFFF"/>
        <w:ind w:right="91"/>
        <w:rPr>
          <w:b/>
          <w:color w:val="000000"/>
        </w:rPr>
      </w:pPr>
      <w:r w:rsidRPr="00D21BCC">
        <w:rPr>
          <w:b/>
          <w:color w:val="000000"/>
        </w:rPr>
        <w:t xml:space="preserve">Part 5 – Other </w:t>
      </w:r>
      <w:r w:rsidR="00CC432D" w:rsidRPr="00D21BCC">
        <w:rPr>
          <w:b/>
          <w:color w:val="000000"/>
        </w:rPr>
        <w:t xml:space="preserve">GEMS </w:t>
      </w:r>
      <w:r w:rsidR="00E00668" w:rsidRPr="00D21BCC">
        <w:rPr>
          <w:b/>
          <w:color w:val="000000"/>
        </w:rPr>
        <w:t>r</w:t>
      </w:r>
      <w:r w:rsidRPr="00D21BCC">
        <w:rPr>
          <w:b/>
          <w:color w:val="000000"/>
        </w:rPr>
        <w:t>equirements</w:t>
      </w:r>
    </w:p>
    <w:p w14:paraId="14A93265" w14:textId="77777777" w:rsidR="006A1145" w:rsidRPr="00D21BCC" w:rsidRDefault="006A1145" w:rsidP="002322B2">
      <w:pPr>
        <w:shd w:val="clear" w:color="auto" w:fill="FFFFFF"/>
        <w:ind w:right="91"/>
        <w:rPr>
          <w:b/>
          <w:color w:val="000000"/>
        </w:rPr>
      </w:pPr>
    </w:p>
    <w:p w14:paraId="058465EA" w14:textId="5837616D" w:rsidR="006A1145" w:rsidRPr="00D21BCC" w:rsidRDefault="00B17F2E" w:rsidP="002322B2">
      <w:pPr>
        <w:shd w:val="clear" w:color="auto" w:fill="FFFFFF"/>
        <w:ind w:right="91"/>
        <w:rPr>
          <w:b/>
          <w:color w:val="000000"/>
        </w:rPr>
      </w:pPr>
      <w:r w:rsidRPr="00D21BCC">
        <w:rPr>
          <w:b/>
          <w:color w:val="000000"/>
        </w:rPr>
        <w:t>Section 19 – Other GEMS requirements</w:t>
      </w:r>
    </w:p>
    <w:p w14:paraId="3B7A4856" w14:textId="77777777" w:rsidR="00424F2A" w:rsidRPr="00D21BCC" w:rsidRDefault="00424F2A" w:rsidP="002322B2">
      <w:pPr>
        <w:shd w:val="clear" w:color="auto" w:fill="FFFFFF"/>
        <w:ind w:right="91"/>
        <w:rPr>
          <w:b/>
          <w:color w:val="000000"/>
        </w:rPr>
      </w:pPr>
    </w:p>
    <w:p w14:paraId="367FB327" w14:textId="092397E6" w:rsidR="00424F2A" w:rsidRPr="00983291" w:rsidRDefault="00F6560A" w:rsidP="002322B2">
      <w:pPr>
        <w:shd w:val="clear" w:color="auto" w:fill="FFFFFF"/>
        <w:ind w:right="91"/>
        <w:rPr>
          <w:bCs/>
          <w:color w:val="000000"/>
        </w:rPr>
      </w:pPr>
      <w:r w:rsidRPr="00983291">
        <w:rPr>
          <w:bCs/>
          <w:color w:val="000000"/>
        </w:rPr>
        <w:lastRenderedPageBreak/>
        <w:t xml:space="preserve">This section </w:t>
      </w:r>
      <w:r w:rsidR="00FA61B0" w:rsidRPr="00983291">
        <w:rPr>
          <w:bCs/>
          <w:color w:val="000000"/>
        </w:rPr>
        <w:t xml:space="preserve">specifies the relationship between declared and tested values for </w:t>
      </w:r>
      <w:r w:rsidR="0067631C" w:rsidRPr="00983291">
        <w:rPr>
          <w:bCs/>
          <w:color w:val="000000"/>
        </w:rPr>
        <w:t xml:space="preserve">energy consumption rate, </w:t>
      </w:r>
      <w:r w:rsidRPr="00983291">
        <w:rPr>
          <w:bCs/>
          <w:color w:val="000000"/>
        </w:rPr>
        <w:t>capacity</w:t>
      </w:r>
      <w:r w:rsidR="0067631C" w:rsidRPr="00983291">
        <w:rPr>
          <w:bCs/>
          <w:color w:val="000000"/>
        </w:rPr>
        <w:t xml:space="preserve">, potable water </w:t>
      </w:r>
      <w:r w:rsidR="00FA61B0" w:rsidRPr="00983291">
        <w:rPr>
          <w:bCs/>
          <w:color w:val="000000"/>
        </w:rPr>
        <w:t xml:space="preserve">use rate </w:t>
      </w:r>
      <w:r w:rsidR="0067631C" w:rsidRPr="00983291">
        <w:rPr>
          <w:bCs/>
          <w:color w:val="000000"/>
        </w:rPr>
        <w:t xml:space="preserve">and condenser water </w:t>
      </w:r>
      <w:r w:rsidR="00FA61B0" w:rsidRPr="00983291">
        <w:rPr>
          <w:bCs/>
          <w:color w:val="000000"/>
        </w:rPr>
        <w:t xml:space="preserve">user rate. </w:t>
      </w:r>
    </w:p>
    <w:p w14:paraId="4534B08C" w14:textId="77777777" w:rsidR="008F0FAD" w:rsidRPr="00D21BCC" w:rsidRDefault="008F0FAD" w:rsidP="002322B2">
      <w:pPr>
        <w:shd w:val="clear" w:color="auto" w:fill="FFFFFF"/>
        <w:ind w:right="91"/>
        <w:rPr>
          <w:bCs/>
          <w:color w:val="000000"/>
        </w:rPr>
      </w:pPr>
    </w:p>
    <w:p w14:paraId="635A421E" w14:textId="3894AD74" w:rsidR="006405C7" w:rsidRPr="00D21BCC" w:rsidRDefault="006405C7" w:rsidP="002322B2">
      <w:pPr>
        <w:shd w:val="clear" w:color="auto" w:fill="FFFFFF"/>
        <w:ind w:right="91"/>
        <w:rPr>
          <w:b/>
          <w:color w:val="000000"/>
        </w:rPr>
      </w:pPr>
      <w:r w:rsidRPr="00D21BCC">
        <w:rPr>
          <w:b/>
          <w:color w:val="000000"/>
        </w:rPr>
        <w:t xml:space="preserve">Schedule 1 – </w:t>
      </w:r>
      <w:r w:rsidR="00D9381C" w:rsidRPr="00D21BCC">
        <w:rPr>
          <w:b/>
          <w:color w:val="000000"/>
        </w:rPr>
        <w:t>Product classes</w:t>
      </w:r>
    </w:p>
    <w:p w14:paraId="68BE9011" w14:textId="35A7AF9D" w:rsidR="006405C7" w:rsidRPr="00983291" w:rsidRDefault="006405C7" w:rsidP="00D21BCC">
      <w:pPr>
        <w:shd w:val="clear" w:color="auto" w:fill="FFFFFF" w:themeFill="background1"/>
        <w:ind w:right="91"/>
        <w:rPr>
          <w:color w:val="000000"/>
        </w:rPr>
      </w:pPr>
      <w:r w:rsidRPr="00983291">
        <w:rPr>
          <w:color w:val="000000" w:themeColor="text1"/>
        </w:rPr>
        <w:t xml:space="preserve">This Schedule </w:t>
      </w:r>
      <w:r w:rsidR="0077264A" w:rsidRPr="00983291">
        <w:rPr>
          <w:color w:val="000000" w:themeColor="text1"/>
        </w:rPr>
        <w:t xml:space="preserve">defines </w:t>
      </w:r>
      <w:r w:rsidR="003B64BB" w:rsidRPr="00983291">
        <w:rPr>
          <w:color w:val="000000" w:themeColor="text1"/>
        </w:rPr>
        <w:t xml:space="preserve">and lists </w:t>
      </w:r>
      <w:r w:rsidR="0077264A" w:rsidRPr="00983291">
        <w:rPr>
          <w:color w:val="000000" w:themeColor="text1"/>
        </w:rPr>
        <w:t xml:space="preserve">product classes as commercial </w:t>
      </w:r>
      <w:proofErr w:type="gramStart"/>
      <w:r w:rsidR="0077264A" w:rsidRPr="00983291">
        <w:rPr>
          <w:color w:val="000000" w:themeColor="text1"/>
        </w:rPr>
        <w:t>ice-makers</w:t>
      </w:r>
      <w:proofErr w:type="gramEnd"/>
      <w:r w:rsidR="0077264A" w:rsidRPr="00983291">
        <w:rPr>
          <w:color w:val="000000" w:themeColor="text1"/>
        </w:rPr>
        <w:t xml:space="preserve"> of a specific configuration, </w:t>
      </w:r>
      <w:r w:rsidR="003E310A" w:rsidRPr="00983291">
        <w:rPr>
          <w:color w:val="000000" w:themeColor="text1"/>
        </w:rPr>
        <w:t>cooling mode</w:t>
      </w:r>
      <w:r w:rsidR="0077264A" w:rsidRPr="00983291">
        <w:rPr>
          <w:color w:val="000000" w:themeColor="text1"/>
        </w:rPr>
        <w:t xml:space="preserve"> and </w:t>
      </w:r>
      <w:r w:rsidR="00FA61B0" w:rsidRPr="00983291">
        <w:rPr>
          <w:color w:val="000000" w:themeColor="text1"/>
        </w:rPr>
        <w:t xml:space="preserve">production </w:t>
      </w:r>
      <w:r w:rsidR="0077264A" w:rsidRPr="00983291">
        <w:rPr>
          <w:color w:val="000000" w:themeColor="text1"/>
        </w:rPr>
        <w:t xml:space="preserve">mode. </w:t>
      </w:r>
      <w:r w:rsidR="00F014E1" w:rsidRPr="00983291">
        <w:rPr>
          <w:color w:val="000000" w:themeColor="text1"/>
        </w:rPr>
        <w:t>The different configurations</w:t>
      </w:r>
      <w:r w:rsidR="006C2F6F" w:rsidRPr="00983291">
        <w:rPr>
          <w:color w:val="000000" w:themeColor="text1"/>
        </w:rPr>
        <w:t xml:space="preserve">, production mode and cooling mode </w:t>
      </w:r>
      <w:r w:rsidR="00F014E1" w:rsidRPr="00983291">
        <w:rPr>
          <w:color w:val="000000" w:themeColor="text1"/>
        </w:rPr>
        <w:t>are defined</w:t>
      </w:r>
      <w:r w:rsidR="006C2F6F" w:rsidRPr="00983291">
        <w:rPr>
          <w:color w:val="000000" w:themeColor="text1"/>
        </w:rPr>
        <w:t>.</w:t>
      </w:r>
    </w:p>
    <w:p w14:paraId="16F72CB7" w14:textId="77777777" w:rsidR="002322B2" w:rsidRDefault="002322B2" w:rsidP="002322B2">
      <w:pPr>
        <w:shd w:val="clear" w:color="auto" w:fill="FFFFFF"/>
        <w:ind w:right="91"/>
        <w:rPr>
          <w:b/>
          <w:bCs/>
          <w:color w:val="000000"/>
        </w:rPr>
      </w:pPr>
    </w:p>
    <w:p w14:paraId="23530799" w14:textId="18DAA4F6" w:rsidR="003B64BB" w:rsidRPr="00D21BCC" w:rsidRDefault="003B64BB" w:rsidP="002322B2">
      <w:pPr>
        <w:shd w:val="clear" w:color="auto" w:fill="FFFFFF"/>
        <w:ind w:right="91"/>
        <w:rPr>
          <w:b/>
          <w:bCs/>
          <w:color w:val="000000"/>
        </w:rPr>
      </w:pPr>
      <w:r w:rsidRPr="00D21BCC">
        <w:rPr>
          <w:b/>
          <w:bCs/>
          <w:color w:val="000000"/>
        </w:rPr>
        <w:t xml:space="preserve">Schedule 2 – </w:t>
      </w:r>
      <w:r w:rsidR="00023DE0" w:rsidRPr="00D21BCC">
        <w:rPr>
          <w:b/>
          <w:bCs/>
          <w:color w:val="000000"/>
        </w:rPr>
        <w:t>GEMS</w:t>
      </w:r>
      <w:r w:rsidRPr="00D21BCC">
        <w:rPr>
          <w:b/>
          <w:bCs/>
          <w:color w:val="000000"/>
        </w:rPr>
        <w:t xml:space="preserve"> level calculations</w:t>
      </w:r>
    </w:p>
    <w:p w14:paraId="7472C3D3" w14:textId="73EAB573" w:rsidR="003B64BB" w:rsidRPr="00983291" w:rsidRDefault="00EF4DF8" w:rsidP="00D21BCC">
      <w:pPr>
        <w:shd w:val="clear" w:color="auto" w:fill="FFFFFF" w:themeFill="background1"/>
        <w:ind w:right="91"/>
        <w:rPr>
          <w:color w:val="000000"/>
        </w:rPr>
      </w:pPr>
      <w:r w:rsidRPr="00983291">
        <w:rPr>
          <w:color w:val="000000" w:themeColor="text1"/>
        </w:rPr>
        <w:t xml:space="preserve">This Schedule lists the constant and variable values </w:t>
      </w:r>
      <w:r w:rsidR="006C7C0A" w:rsidRPr="00983291">
        <w:rPr>
          <w:color w:val="000000" w:themeColor="text1"/>
        </w:rPr>
        <w:t xml:space="preserve">to be used in the formula that determines the maximum energy consumption rate </w:t>
      </w:r>
      <w:r w:rsidRPr="00983291">
        <w:rPr>
          <w:color w:val="000000" w:themeColor="text1"/>
        </w:rPr>
        <w:t xml:space="preserve">for each numbered product class. </w:t>
      </w:r>
    </w:p>
    <w:bookmarkEnd w:id="5"/>
    <w:p w14:paraId="1B9DD0BE" w14:textId="77777777" w:rsidR="006405C7" w:rsidRPr="00983291" w:rsidRDefault="006405C7" w:rsidP="00123A9C">
      <w:pPr>
        <w:spacing w:before="240" w:after="240"/>
      </w:pPr>
    </w:p>
    <w:p w14:paraId="105DC27F" w14:textId="77777777" w:rsidR="006405C7" w:rsidRPr="004C1466" w:rsidRDefault="006405C7" w:rsidP="00123A9C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bCs/>
        </w:rPr>
        <w:sectPr w:rsidR="006405C7" w:rsidRPr="004C1466" w:rsidSect="00701DE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40" w:right="1800" w:bottom="1440" w:left="1800" w:header="720" w:footer="720" w:gutter="0"/>
          <w:cols w:space="720"/>
          <w:noEndnote/>
          <w:docGrid w:linePitch="326"/>
        </w:sectPr>
      </w:pPr>
    </w:p>
    <w:p w14:paraId="77FB41D3" w14:textId="705BD8F7" w:rsidR="006405C7" w:rsidRPr="004A1620" w:rsidRDefault="009D3752" w:rsidP="008A614F">
      <w:pPr>
        <w:jc w:val="right"/>
        <w:rPr>
          <w:b/>
        </w:rPr>
      </w:pPr>
      <w:bookmarkStart w:id="6" w:name="_Hlk132715478"/>
      <w:r w:rsidRPr="009D3752">
        <w:rPr>
          <w:b/>
        </w:rPr>
        <w:lastRenderedPageBreak/>
        <w:t>ATTACHMENT B</w:t>
      </w:r>
    </w:p>
    <w:p w14:paraId="28C7127B" w14:textId="77777777" w:rsidR="008A614F" w:rsidRPr="004C1466" w:rsidRDefault="008A614F" w:rsidP="00D21BCC">
      <w:pPr>
        <w:jc w:val="right"/>
        <w:rPr>
          <w:b/>
        </w:rPr>
      </w:pPr>
    </w:p>
    <w:p w14:paraId="7D1924A0" w14:textId="77777777" w:rsidR="006405C7" w:rsidRDefault="006405C7" w:rsidP="008A614F">
      <w:pPr>
        <w:rPr>
          <w:b/>
          <w:i/>
          <w:u w:val="single"/>
        </w:rPr>
      </w:pPr>
      <w:r>
        <w:rPr>
          <w:b/>
          <w:u w:val="single"/>
        </w:rPr>
        <w:t xml:space="preserve">Details of the exemptions from disallowance and sunsetting in the </w:t>
      </w:r>
      <w:r>
        <w:rPr>
          <w:b/>
          <w:i/>
          <w:u w:val="single"/>
        </w:rPr>
        <w:t>Legislation Act 2003</w:t>
      </w:r>
    </w:p>
    <w:p w14:paraId="4235E202" w14:textId="77777777" w:rsidR="008A614F" w:rsidRDefault="008A614F" w:rsidP="00D21BCC"/>
    <w:p w14:paraId="489EFA65" w14:textId="77777777" w:rsidR="006405C7" w:rsidRDefault="006405C7" w:rsidP="008A614F">
      <w:pPr>
        <w:rPr>
          <w:b/>
          <w:i/>
        </w:rPr>
      </w:pPr>
      <w:r>
        <w:rPr>
          <w:b/>
          <w:i/>
        </w:rPr>
        <w:t>Source of exemptions</w:t>
      </w:r>
    </w:p>
    <w:p w14:paraId="63858004" w14:textId="77777777" w:rsidR="008A614F" w:rsidRDefault="008A614F" w:rsidP="00D21BCC">
      <w:pPr>
        <w:rPr>
          <w:b/>
          <w:i/>
        </w:rPr>
      </w:pPr>
    </w:p>
    <w:p w14:paraId="15F8E0AA" w14:textId="77777777" w:rsidR="006405C7" w:rsidRDefault="006405C7" w:rsidP="008A614F">
      <w:r>
        <w:t xml:space="preserve">Legislative instruments made under the </w:t>
      </w:r>
      <w:r>
        <w:rPr>
          <w:i/>
        </w:rPr>
        <w:t>Greenhouse and Energy Minimum Standards Act 2012</w:t>
      </w:r>
      <w:r>
        <w:t xml:space="preserve"> (the GEMS Act) (excluding regulations) are exempt from disallowance under subsection 44(1) of the </w:t>
      </w:r>
      <w:r>
        <w:rPr>
          <w:i/>
        </w:rPr>
        <w:t>Legislation Act 2003</w:t>
      </w:r>
      <w:r>
        <w:t xml:space="preserve"> (the Legislation Act), and from sunsetting under subsection 54(1) of the Legislation Act.</w:t>
      </w:r>
    </w:p>
    <w:p w14:paraId="67EB5616" w14:textId="77777777" w:rsidR="008A614F" w:rsidRDefault="008A614F" w:rsidP="00D21BCC"/>
    <w:p w14:paraId="07CFA9C9" w14:textId="77777777" w:rsidR="006405C7" w:rsidRDefault="006405C7" w:rsidP="008A614F">
      <w:r>
        <w:t xml:space="preserve">Subsections 44(1) and 54(1) of the Legislation Act relevantly provide that instruments are not subject to disallowance and sunsetting where the enabling legislation (not being the </w:t>
      </w:r>
      <w:r>
        <w:rPr>
          <w:i/>
        </w:rPr>
        <w:t>Corporations Act 2001</w:t>
      </w:r>
      <w:r>
        <w:t xml:space="preserve">) facilitates the establishment or operation of an intergovernmental scheme involving the Commonwealth and one or more States and </w:t>
      </w:r>
      <w:proofErr w:type="gramStart"/>
      <w:r>
        <w:t>Territories, and</w:t>
      </w:r>
      <w:proofErr w:type="gramEnd"/>
      <w:r>
        <w:t xml:space="preserve"> authorises the instrument to be made for the purposes of that scheme.</w:t>
      </w:r>
    </w:p>
    <w:p w14:paraId="4C720794" w14:textId="77777777" w:rsidR="008A614F" w:rsidRDefault="008A614F" w:rsidP="00D21BCC"/>
    <w:p w14:paraId="4E2A6686" w14:textId="682147A2" w:rsidR="008A614F" w:rsidRDefault="006405C7" w:rsidP="008A614F">
      <w:r>
        <w:t xml:space="preserve">The GEMS Act creates a national framework for product energy efficiency in Australia (the GEMS Scheme) and underpins the Equipment Energy Efficiency (E3) Program. The E3 program is an initiative of the Australian, state, </w:t>
      </w:r>
      <w:r w:rsidR="00CF6852">
        <w:t>self-governing</w:t>
      </w:r>
      <w:r>
        <w:t xml:space="preserve"> territory, and New Zealand Governments. </w:t>
      </w:r>
    </w:p>
    <w:p w14:paraId="2AE23DFB" w14:textId="77777777" w:rsidR="008A614F" w:rsidRDefault="008A614F" w:rsidP="00DF0146"/>
    <w:p w14:paraId="44B13732" w14:textId="41350A8B" w:rsidR="006405C7" w:rsidRDefault="006405C7" w:rsidP="00D21BCC">
      <w:r>
        <w:t xml:space="preserve">The GEMS Scheme is an intergovernmental scheme, given that: </w:t>
      </w:r>
    </w:p>
    <w:p w14:paraId="4F7B2EA5" w14:textId="77777777" w:rsidR="00DF0146" w:rsidRDefault="00DF0146" w:rsidP="00D21BCC">
      <w:pPr>
        <w:numPr>
          <w:ilvl w:val="0"/>
          <w:numId w:val="4"/>
        </w:numPr>
        <w:autoSpaceDE w:val="0"/>
        <w:autoSpaceDN w:val="0"/>
        <w:adjustRightInd w:val="0"/>
      </w:pPr>
      <w:r w:rsidRPr="78693A64">
        <w:t xml:space="preserve">it was enacted and is operated to implement the Inter-Governmental </w:t>
      </w:r>
      <w:proofErr w:type="gramStart"/>
      <w:r w:rsidRPr="78693A64">
        <w:t>Agreement;</w:t>
      </w:r>
      <w:proofErr w:type="gramEnd"/>
    </w:p>
    <w:p w14:paraId="43B95159" w14:textId="77777777" w:rsidR="00DF0146" w:rsidRDefault="00DF0146" w:rsidP="00D21BCC">
      <w:pPr>
        <w:numPr>
          <w:ilvl w:val="0"/>
          <w:numId w:val="4"/>
        </w:numPr>
        <w:autoSpaceDE w:val="0"/>
        <w:autoSpaceDN w:val="0"/>
        <w:adjustRightInd w:val="0"/>
      </w:pPr>
      <w:r w:rsidRPr="78693A64">
        <w:t xml:space="preserve">its activities are jointly funded by the Commonwealth and States and Territories under the Inter-Governmental Agreement; and </w:t>
      </w:r>
    </w:p>
    <w:p w14:paraId="3772A244" w14:textId="77777777" w:rsidR="00DF0146" w:rsidRPr="0048126C" w:rsidRDefault="00DF0146" w:rsidP="00D21BCC">
      <w:pPr>
        <w:numPr>
          <w:ilvl w:val="0"/>
          <w:numId w:val="4"/>
        </w:numPr>
        <w:autoSpaceDE w:val="0"/>
        <w:autoSpaceDN w:val="0"/>
        <w:adjustRightInd w:val="0"/>
      </w:pPr>
      <w:r w:rsidRPr="0048126C">
        <w:t xml:space="preserve">key legislative instruments under the GEMS Scheme require consent from participating jurisdictions before they can be made or revoked (see sections 33 and 35 of the Act). </w:t>
      </w:r>
    </w:p>
    <w:p w14:paraId="7EB91B9F" w14:textId="43DC7E2D" w:rsidR="008A614F" w:rsidRDefault="008A614F" w:rsidP="00D21BCC">
      <w:pPr>
        <w:autoSpaceDE w:val="0"/>
        <w:autoSpaceDN w:val="0"/>
        <w:adjustRightInd w:val="0"/>
      </w:pPr>
    </w:p>
    <w:p w14:paraId="7F3358E7" w14:textId="77777777" w:rsidR="006405C7" w:rsidRDefault="006405C7" w:rsidP="00DF0146">
      <w:r>
        <w:t>Legislative instruments made under the GEMS Act are made for the purposes of this intergovernmental scheme. Therefore, such legislative instruments are exempt from sunsetting and disallowance.</w:t>
      </w:r>
    </w:p>
    <w:p w14:paraId="4D353058" w14:textId="77777777" w:rsidR="008A614F" w:rsidRDefault="008A614F" w:rsidP="00D21BCC"/>
    <w:p w14:paraId="6FE68DF3" w14:textId="77777777" w:rsidR="006405C7" w:rsidRDefault="006405C7" w:rsidP="008A614F">
      <w:pPr>
        <w:rPr>
          <w:b/>
          <w:i/>
        </w:rPr>
      </w:pPr>
      <w:r w:rsidRPr="00AF2117">
        <w:rPr>
          <w:b/>
          <w:i/>
        </w:rPr>
        <w:t>Justification for exemptions</w:t>
      </w:r>
    </w:p>
    <w:p w14:paraId="78F20CAF" w14:textId="77777777" w:rsidR="008A614F" w:rsidRPr="00AF2117" w:rsidRDefault="008A614F" w:rsidP="00D21BCC">
      <w:pPr>
        <w:rPr>
          <w:b/>
          <w:i/>
        </w:rPr>
      </w:pPr>
    </w:p>
    <w:p w14:paraId="7AE0A32D" w14:textId="23CDD150" w:rsidR="006405C7" w:rsidRDefault="006405C7" w:rsidP="00D21BCC">
      <w:r>
        <w:t xml:space="preserve">Through the E3 program, the Australian Government works with states and </w:t>
      </w:r>
      <w:proofErr w:type="spellStart"/>
      <w:proofErr w:type="gramStart"/>
      <w:r w:rsidR="683FE59F">
        <w:t>self</w:t>
      </w:r>
      <w:r w:rsidR="001E4E67">
        <w:t> </w:t>
      </w:r>
      <w:r w:rsidR="683FE59F">
        <w:t>governing</w:t>
      </w:r>
      <w:proofErr w:type="spellEnd"/>
      <w:proofErr w:type="gramEnd"/>
      <w:r>
        <w:t xml:space="preserve"> territories and the New Zealand Government:</w:t>
      </w:r>
    </w:p>
    <w:p w14:paraId="16E0F7F3" w14:textId="21954905" w:rsidR="006405C7" w:rsidRDefault="006405C7" w:rsidP="00D21BCC">
      <w:pPr>
        <w:numPr>
          <w:ilvl w:val="0"/>
          <w:numId w:val="4"/>
        </w:numPr>
        <w:autoSpaceDE w:val="0"/>
        <w:autoSpaceDN w:val="0"/>
        <w:adjustRightInd w:val="0"/>
      </w:pPr>
      <w:r w:rsidRPr="00AF2117">
        <w:t xml:space="preserve">to identify appliances and other products which are appropriate for </w:t>
      </w:r>
      <w:proofErr w:type="gramStart"/>
      <w:r w:rsidRPr="00AF2117">
        <w:t>regulation</w:t>
      </w:r>
      <w:r w:rsidR="00255C57">
        <w:t>;</w:t>
      </w:r>
      <w:proofErr w:type="gramEnd"/>
    </w:p>
    <w:p w14:paraId="4F94EFD5" w14:textId="42AB6E3A" w:rsidR="006405C7" w:rsidRDefault="006405C7" w:rsidP="00D21BCC">
      <w:pPr>
        <w:numPr>
          <w:ilvl w:val="0"/>
          <w:numId w:val="4"/>
        </w:numPr>
        <w:autoSpaceDE w:val="0"/>
        <w:autoSpaceDN w:val="0"/>
        <w:adjustRightInd w:val="0"/>
      </w:pPr>
      <w:r w:rsidRPr="00AF2117">
        <w:t>to consult with industry stakeholders and agree requirements based on technical and product-specific considerations</w:t>
      </w:r>
      <w:r w:rsidR="00255C57">
        <w:t>;</w:t>
      </w:r>
      <w:r w:rsidRPr="00AF2117">
        <w:t xml:space="preserve"> and </w:t>
      </w:r>
    </w:p>
    <w:p w14:paraId="1FC18DF4" w14:textId="77777777" w:rsidR="006405C7" w:rsidRDefault="006405C7" w:rsidP="008A614F">
      <w:pPr>
        <w:numPr>
          <w:ilvl w:val="0"/>
          <w:numId w:val="4"/>
        </w:numPr>
        <w:autoSpaceDE w:val="0"/>
        <w:autoSpaceDN w:val="0"/>
        <w:adjustRightInd w:val="0"/>
      </w:pPr>
      <w:r w:rsidRPr="00AF2117">
        <w:t>to set mandatory minimum energy efficiency requirements for these products, as well as consistent labelling and other requirements.</w:t>
      </w:r>
    </w:p>
    <w:p w14:paraId="4A7F52A4" w14:textId="77777777" w:rsidR="008A614F" w:rsidRPr="00AF2117" w:rsidRDefault="008A614F" w:rsidP="00D21BCC">
      <w:pPr>
        <w:autoSpaceDE w:val="0"/>
        <w:autoSpaceDN w:val="0"/>
        <w:adjustRightInd w:val="0"/>
        <w:ind w:left="720"/>
      </w:pPr>
    </w:p>
    <w:p w14:paraId="5F6F9FBB" w14:textId="77777777" w:rsidR="006405C7" w:rsidRDefault="006405C7" w:rsidP="008A614F">
      <w:r w:rsidRPr="00AF2117">
        <w:t xml:space="preserve">In this context, the exemptions from disallowance and sunsetting </w:t>
      </w:r>
      <w:r>
        <w:t>have the effect</w:t>
      </w:r>
      <w:r w:rsidRPr="00AF2117">
        <w:t xml:space="preserve"> that</w:t>
      </w:r>
      <w:r>
        <w:t>,</w:t>
      </w:r>
      <w:r w:rsidRPr="00AF2117">
        <w:t xml:space="preserve"> where the intergovernmental scheme has agreed to introduce specific regulatory requirements (including with participating jurisdictions’ consent to the key requirements of GEMS determinations), the Commonwealth Parliament cannot then </w:t>
      </w:r>
      <w:r w:rsidRPr="00AF2117">
        <w:lastRenderedPageBreak/>
        <w:t xml:space="preserve">override that agreement. The exemptions therefore promote confidence in the E3 program and encourage ongoing, cooperative participation from jurisdictions. </w:t>
      </w:r>
    </w:p>
    <w:p w14:paraId="3EFBE109" w14:textId="77777777" w:rsidR="008A614F" w:rsidRPr="00AF2117" w:rsidRDefault="008A614F" w:rsidP="00D21BCC"/>
    <w:p w14:paraId="584FBDD2" w14:textId="45B0706D" w:rsidR="006405C7" w:rsidRDefault="006405C7" w:rsidP="00D21BCC">
      <w:r w:rsidRPr="00AF2117">
        <w:t>As well as implementing an intergovernmental scheme</w:t>
      </w:r>
      <w:r>
        <w:t xml:space="preserve">, these exemptions are justified on the </w:t>
      </w:r>
      <w:r w:rsidR="006A24D2">
        <w:t xml:space="preserve">basis </w:t>
      </w:r>
      <w:r>
        <w:t>that:</w:t>
      </w:r>
    </w:p>
    <w:p w14:paraId="063208EB" w14:textId="77777777" w:rsidR="006405C7" w:rsidRDefault="006405C7" w:rsidP="00D21BCC">
      <w:pPr>
        <w:numPr>
          <w:ilvl w:val="0"/>
          <w:numId w:val="4"/>
        </w:numPr>
        <w:autoSpaceDE w:val="0"/>
        <w:autoSpaceDN w:val="0"/>
        <w:adjustRightInd w:val="0"/>
      </w:pPr>
      <w:r w:rsidRPr="00AF2117">
        <w:t>instruments made under the GEMS Act</w:t>
      </w:r>
      <w:r>
        <w:t>:</w:t>
      </w:r>
      <w:r w:rsidRPr="00AF2117">
        <w:t xml:space="preserve"> </w:t>
      </w:r>
    </w:p>
    <w:p w14:paraId="488CDADD" w14:textId="1CD5D8C5" w:rsidR="006405C7" w:rsidRDefault="006405C7" w:rsidP="00D21BCC">
      <w:pPr>
        <w:numPr>
          <w:ilvl w:val="1"/>
          <w:numId w:val="4"/>
        </w:numPr>
        <w:autoSpaceDE w:val="0"/>
        <w:autoSpaceDN w:val="0"/>
        <w:adjustRightInd w:val="0"/>
      </w:pPr>
      <w:r w:rsidRPr="00AF2117">
        <w:t>are based on technical and scientific evidence about products’ energy use and appropriate test standards</w:t>
      </w:r>
      <w:r w:rsidR="006A24D2">
        <w:t>;</w:t>
      </w:r>
      <w:r w:rsidRPr="00AF2117">
        <w:t xml:space="preserve"> </w:t>
      </w:r>
      <w:r>
        <w:t>and</w:t>
      </w:r>
    </w:p>
    <w:p w14:paraId="5EB532AA" w14:textId="52E9C8DE" w:rsidR="006405C7" w:rsidRDefault="006405C7" w:rsidP="00D21BCC">
      <w:pPr>
        <w:numPr>
          <w:ilvl w:val="1"/>
          <w:numId w:val="4"/>
        </w:numPr>
        <w:autoSpaceDE w:val="0"/>
        <w:autoSpaceDN w:val="0"/>
        <w:adjustRightInd w:val="0"/>
      </w:pPr>
      <w:r w:rsidRPr="00AF2117">
        <w:t>affect commercial certainty where manufacturers and importers need to adapt to new regulatory requirements</w:t>
      </w:r>
      <w:r w:rsidR="006A24D2">
        <w:t>;</w:t>
      </w:r>
      <w:r w:rsidRPr="00AF2117">
        <w:t xml:space="preserve"> and </w:t>
      </w:r>
    </w:p>
    <w:p w14:paraId="6865908D" w14:textId="0FEAE95F" w:rsidR="006405C7" w:rsidRDefault="006A24D2" w:rsidP="008A614F">
      <w:pPr>
        <w:numPr>
          <w:ilvl w:val="0"/>
          <w:numId w:val="4"/>
        </w:numPr>
        <w:autoSpaceDE w:val="0"/>
        <w:autoSpaceDN w:val="0"/>
        <w:adjustRightInd w:val="0"/>
      </w:pPr>
      <w:r>
        <w:t>an</w:t>
      </w:r>
      <w:r w:rsidRPr="00AF2117">
        <w:t xml:space="preserve"> </w:t>
      </w:r>
      <w:r w:rsidR="006405C7" w:rsidRPr="00AF2117">
        <w:t>object of the GEMS Act i</w:t>
      </w:r>
      <w:r>
        <w:t>s</w:t>
      </w:r>
      <w:r w:rsidR="006405C7" w:rsidRPr="00AF2117">
        <w:t xml:space="preserve"> to give effect to certain obligations that Australia has under </w:t>
      </w:r>
      <w:proofErr w:type="gramStart"/>
      <w:r w:rsidR="006405C7" w:rsidRPr="00AF2117">
        <w:t>particular international</w:t>
      </w:r>
      <w:proofErr w:type="gramEnd"/>
      <w:r w:rsidR="006405C7" w:rsidRPr="00AF2117">
        <w:t xml:space="preserve"> conventions. </w:t>
      </w:r>
    </w:p>
    <w:p w14:paraId="6B4A25FC" w14:textId="77777777" w:rsidR="008A614F" w:rsidRDefault="008A614F" w:rsidP="00D21BCC">
      <w:pPr>
        <w:autoSpaceDE w:val="0"/>
        <w:autoSpaceDN w:val="0"/>
        <w:adjustRightInd w:val="0"/>
        <w:ind w:left="720"/>
      </w:pPr>
    </w:p>
    <w:p w14:paraId="32E1A8B2" w14:textId="5971BAAF" w:rsidR="001E4E67" w:rsidRDefault="006405C7" w:rsidP="00D21BCC">
      <w:r>
        <w:t xml:space="preserve">In view of their detailed scientific and technical content, GEMS determinations and associated legislative instruments are confined in the matters that they deal </w:t>
      </w:r>
      <w:proofErr w:type="gramStart"/>
      <w:r>
        <w:t>with, and</w:t>
      </w:r>
      <w:proofErr w:type="gramEnd"/>
      <w:r>
        <w:t xml:space="preserve"> so do not deal with broad matters of policy or with politically contentious issues. </w:t>
      </w:r>
      <w:r w:rsidRPr="00AF2117">
        <w:t xml:space="preserve">The exemptions ensure that the Commonwealth Parliament cannot override the consideration given to these matters through </w:t>
      </w:r>
      <w:r>
        <w:t xml:space="preserve">expert and </w:t>
      </w:r>
      <w:r w:rsidRPr="00AF2117">
        <w:t>stakeholder consultation</w:t>
      </w:r>
      <w:r>
        <w:t>,</w:t>
      </w:r>
      <w:r w:rsidRPr="00AF2117">
        <w:t xml:space="preserve"> and the collaborative E3 program.</w:t>
      </w:r>
      <w:bookmarkEnd w:id="6"/>
    </w:p>
    <w:sectPr w:rsidR="001E4E67" w:rsidSect="00701DEB">
      <w:pgSz w:w="11907" w:h="16839" w:code="9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9A0B" w14:textId="77777777" w:rsidR="00740426" w:rsidRDefault="00740426">
      <w:r>
        <w:separator/>
      </w:r>
    </w:p>
  </w:endnote>
  <w:endnote w:type="continuationSeparator" w:id="0">
    <w:p w14:paraId="34A7EE59" w14:textId="77777777" w:rsidR="00740426" w:rsidRDefault="00740426">
      <w:r>
        <w:continuationSeparator/>
      </w:r>
    </w:p>
  </w:endnote>
  <w:endnote w:type="continuationNotice" w:id="1">
    <w:p w14:paraId="3713A806" w14:textId="77777777" w:rsidR="00740426" w:rsidRDefault="00740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ECBF" w14:textId="7226933B" w:rsidR="0068397F" w:rsidRDefault="00123A9C" w:rsidP="00E106A4">
    <w:pPr>
      <w:pStyle w:val="Footer"/>
      <w:framePr w:wrap="around" w:vAnchor="text" w:hAnchor="margin" w:xAlign="right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EB26BC" wp14:editId="288025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5986033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5DC40" w14:textId="3E0F67CE" w:rsidR="00123A9C" w:rsidRPr="00123A9C" w:rsidRDefault="00123A9C" w:rsidP="00123A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23A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B26B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7F5DC40" w14:textId="3E0F67CE" w:rsidR="00123A9C" w:rsidRPr="00123A9C" w:rsidRDefault="00123A9C" w:rsidP="00123A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23A9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6358">
      <w:rPr>
        <w:rStyle w:val="PageNumber"/>
      </w:rPr>
      <w:fldChar w:fldCharType="begin"/>
    </w:r>
    <w:r w:rsidR="00916358">
      <w:rPr>
        <w:rStyle w:val="PageNumber"/>
      </w:rPr>
      <w:instrText xml:space="preserve">PAGE  </w:instrText>
    </w:r>
    <w:r w:rsidR="00916358">
      <w:rPr>
        <w:rStyle w:val="PageNumber"/>
      </w:rPr>
      <w:fldChar w:fldCharType="end"/>
    </w:r>
  </w:p>
  <w:p w14:paraId="57BD3B5E" w14:textId="77777777" w:rsidR="0068397F" w:rsidRDefault="0068397F" w:rsidP="00E106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1473" w14:textId="5D860FA1" w:rsidR="0068397F" w:rsidRPr="004A1620" w:rsidRDefault="00916358">
    <w:pPr>
      <w:pStyle w:val="Footer"/>
      <w:jc w:val="center"/>
      <w:rPr>
        <w:b/>
        <w:sz w:val="22"/>
        <w:szCs w:val="22"/>
      </w:rPr>
    </w:pPr>
    <w:r w:rsidRPr="004A1620">
      <w:rPr>
        <w:b/>
        <w:sz w:val="22"/>
        <w:szCs w:val="22"/>
      </w:rPr>
      <w:fldChar w:fldCharType="begin"/>
    </w:r>
    <w:r w:rsidRPr="004A1620">
      <w:rPr>
        <w:b/>
        <w:sz w:val="22"/>
        <w:szCs w:val="22"/>
      </w:rPr>
      <w:instrText xml:space="preserve"> PAGE   \* MERGEFORMAT </w:instrText>
    </w:r>
    <w:r w:rsidRPr="004A1620">
      <w:rPr>
        <w:b/>
        <w:sz w:val="22"/>
        <w:szCs w:val="22"/>
      </w:rPr>
      <w:fldChar w:fldCharType="separate"/>
    </w:r>
    <w:r w:rsidRPr="004A1620">
      <w:rPr>
        <w:b/>
        <w:noProof/>
        <w:sz w:val="22"/>
        <w:szCs w:val="22"/>
      </w:rPr>
      <w:t>2</w:t>
    </w:r>
    <w:r w:rsidRPr="004A1620">
      <w:rPr>
        <w:b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D7DE" w14:textId="5AEB8B8A" w:rsidR="00123A9C" w:rsidRDefault="00123A9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9550720" wp14:editId="2D84A1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9506485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86F2" w14:textId="4571BDAB" w:rsidR="00123A9C" w:rsidRPr="00123A9C" w:rsidRDefault="00123A9C" w:rsidP="00123A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23A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5072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41C86F2" w14:textId="4571BDAB" w:rsidR="00123A9C" w:rsidRPr="00123A9C" w:rsidRDefault="00123A9C" w:rsidP="00123A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23A9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15F4" w14:textId="732B7399" w:rsidR="0068397F" w:rsidRPr="00D21BCC" w:rsidRDefault="00916358">
    <w:pPr>
      <w:pStyle w:val="Footer"/>
      <w:jc w:val="center"/>
      <w:rPr>
        <w:b/>
        <w:sz w:val="22"/>
        <w:szCs w:val="22"/>
      </w:rPr>
    </w:pPr>
    <w:r w:rsidRPr="004A1620">
      <w:rPr>
        <w:b/>
        <w:sz w:val="22"/>
        <w:szCs w:val="22"/>
      </w:rPr>
      <w:fldChar w:fldCharType="begin"/>
    </w:r>
    <w:r w:rsidRPr="004A1620">
      <w:rPr>
        <w:b/>
        <w:sz w:val="22"/>
        <w:szCs w:val="22"/>
      </w:rPr>
      <w:instrText xml:space="preserve"> PAGE   \* MERGEFORMAT </w:instrText>
    </w:r>
    <w:r w:rsidRPr="004A1620">
      <w:rPr>
        <w:b/>
        <w:sz w:val="22"/>
        <w:szCs w:val="22"/>
      </w:rPr>
      <w:fldChar w:fldCharType="separate"/>
    </w:r>
    <w:r w:rsidRPr="004A1620">
      <w:rPr>
        <w:b/>
        <w:noProof/>
        <w:sz w:val="22"/>
        <w:szCs w:val="22"/>
      </w:rPr>
      <w:t>5</w:t>
    </w:r>
    <w:r w:rsidRPr="004A1620">
      <w:rPr>
        <w:b/>
        <w:noProof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3793" w14:textId="0CD66093" w:rsidR="00123A9C" w:rsidRDefault="00123A9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43909E" wp14:editId="609662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3776891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B1E38" w14:textId="2A6305EA" w:rsidR="00123A9C" w:rsidRPr="00123A9C" w:rsidRDefault="00123A9C" w:rsidP="00123A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23A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3909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B1B1E38" w14:textId="2A6305EA" w:rsidR="00123A9C" w:rsidRPr="00123A9C" w:rsidRDefault="00123A9C" w:rsidP="00123A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23A9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CD37" w14:textId="77777777" w:rsidR="00740426" w:rsidRDefault="00740426">
      <w:r>
        <w:separator/>
      </w:r>
    </w:p>
  </w:footnote>
  <w:footnote w:type="continuationSeparator" w:id="0">
    <w:p w14:paraId="38E28F8F" w14:textId="77777777" w:rsidR="00740426" w:rsidRDefault="00740426">
      <w:r>
        <w:continuationSeparator/>
      </w:r>
    </w:p>
  </w:footnote>
  <w:footnote w:type="continuationNotice" w:id="1">
    <w:p w14:paraId="2B33CDD7" w14:textId="77777777" w:rsidR="00740426" w:rsidRDefault="00740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B9AC" w14:textId="7B9F52CF" w:rsidR="0068397F" w:rsidRDefault="00123A9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67D52" wp14:editId="520012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450044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1ADEB" w14:textId="4259F5C0" w:rsidR="00123A9C" w:rsidRPr="00123A9C" w:rsidRDefault="00123A9C" w:rsidP="00123A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23A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67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461ADEB" w14:textId="4259F5C0" w:rsidR="00123A9C" w:rsidRPr="00123A9C" w:rsidRDefault="00123A9C" w:rsidP="00123A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23A9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DADE" w14:textId="2A38CB22" w:rsidR="0068397F" w:rsidRPr="00DD5685" w:rsidRDefault="0068397F" w:rsidP="00E106A4">
    <w:pPr>
      <w:pStyle w:val="Heading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4208" w14:textId="10FAABD9" w:rsidR="0068397F" w:rsidRDefault="0068397F" w:rsidP="00394DF6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40FA" w14:textId="20BF9BB9" w:rsidR="0068397F" w:rsidRDefault="00123A9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616F01" wp14:editId="355C3E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242881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A12A1" w14:textId="0979896D" w:rsidR="00123A9C" w:rsidRPr="00123A9C" w:rsidRDefault="00123A9C" w:rsidP="00123A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23A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16F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C0A12A1" w14:textId="0979896D" w:rsidR="00123A9C" w:rsidRPr="00123A9C" w:rsidRDefault="00123A9C" w:rsidP="00123A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23A9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BED3" w14:textId="71C5B8D5" w:rsidR="0068397F" w:rsidRDefault="0068397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FC87" w14:textId="5FD59B9C" w:rsidR="0068397F" w:rsidRDefault="00123A9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1A3E62" wp14:editId="6A5715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99741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8929A" w14:textId="62ACDDC8" w:rsidR="00123A9C" w:rsidRPr="00123A9C" w:rsidRDefault="00123A9C" w:rsidP="00123A9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23A9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A3E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DC8929A" w14:textId="62ACDDC8" w:rsidR="00123A9C" w:rsidRPr="00123A9C" w:rsidRDefault="00123A9C" w:rsidP="00123A9C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23A9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183"/>
    <w:multiLevelType w:val="hybridMultilevel"/>
    <w:tmpl w:val="83BA202E"/>
    <w:lvl w:ilvl="0" w:tplc="098EE918">
      <w:start w:val="1"/>
      <w:numFmt w:val="lowerLetter"/>
      <w:lvlText w:val="(%1)"/>
      <w:lvlJc w:val="left"/>
      <w:pPr>
        <w:ind w:left="2160" w:hanging="360"/>
      </w:pPr>
      <w:rPr>
        <w:rFonts w:ascii="Times New Roman" w:eastAsiaTheme="minorHAnsi" w:hAnsi="Times New Roman" w:cstheme="minorBidi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35291A"/>
    <w:multiLevelType w:val="hybridMultilevel"/>
    <w:tmpl w:val="C07001CE"/>
    <w:lvl w:ilvl="0" w:tplc="BF187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5690"/>
    <w:multiLevelType w:val="hybridMultilevel"/>
    <w:tmpl w:val="31525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17BA"/>
    <w:multiLevelType w:val="hybridMultilevel"/>
    <w:tmpl w:val="D3C6FB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3854"/>
    <w:multiLevelType w:val="hybridMultilevel"/>
    <w:tmpl w:val="AF421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077E5"/>
    <w:multiLevelType w:val="hybridMultilevel"/>
    <w:tmpl w:val="96E8D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D1A3F"/>
    <w:multiLevelType w:val="hybridMultilevel"/>
    <w:tmpl w:val="0DE8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354B9"/>
    <w:multiLevelType w:val="hybridMultilevel"/>
    <w:tmpl w:val="F35A7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0139D"/>
    <w:multiLevelType w:val="hybridMultilevel"/>
    <w:tmpl w:val="2724D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E58B4"/>
    <w:multiLevelType w:val="hybridMultilevel"/>
    <w:tmpl w:val="7BDC0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C013A"/>
    <w:multiLevelType w:val="hybridMultilevel"/>
    <w:tmpl w:val="7C926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66C"/>
    <w:multiLevelType w:val="hybridMultilevel"/>
    <w:tmpl w:val="61546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94355">
    <w:abstractNumId w:val="6"/>
  </w:num>
  <w:num w:numId="2" w16cid:durableId="743339836">
    <w:abstractNumId w:val="11"/>
  </w:num>
  <w:num w:numId="3" w16cid:durableId="1698386049">
    <w:abstractNumId w:val="5"/>
  </w:num>
  <w:num w:numId="4" w16cid:durableId="22750530">
    <w:abstractNumId w:val="7"/>
  </w:num>
  <w:num w:numId="5" w16cid:durableId="877084123">
    <w:abstractNumId w:val="10"/>
  </w:num>
  <w:num w:numId="6" w16cid:durableId="7290499">
    <w:abstractNumId w:val="0"/>
  </w:num>
  <w:num w:numId="7" w16cid:durableId="550000633">
    <w:abstractNumId w:val="8"/>
  </w:num>
  <w:num w:numId="8" w16cid:durableId="1686638967">
    <w:abstractNumId w:val="12"/>
  </w:num>
  <w:num w:numId="9" w16cid:durableId="831023018">
    <w:abstractNumId w:val="2"/>
  </w:num>
  <w:num w:numId="10" w16cid:durableId="729228330">
    <w:abstractNumId w:val="3"/>
  </w:num>
  <w:num w:numId="11" w16cid:durableId="1062750644">
    <w:abstractNumId w:val="4"/>
  </w:num>
  <w:num w:numId="12" w16cid:durableId="942415585">
    <w:abstractNumId w:val="9"/>
  </w:num>
  <w:num w:numId="13" w16cid:durableId="74109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C7"/>
    <w:rsid w:val="0000048A"/>
    <w:rsid w:val="0000459A"/>
    <w:rsid w:val="00013DB2"/>
    <w:rsid w:val="00014712"/>
    <w:rsid w:val="00015F6F"/>
    <w:rsid w:val="00023DE0"/>
    <w:rsid w:val="000244E4"/>
    <w:rsid w:val="00024ABA"/>
    <w:rsid w:val="00024B62"/>
    <w:rsid w:val="00032FF9"/>
    <w:rsid w:val="0003426E"/>
    <w:rsid w:val="000354E2"/>
    <w:rsid w:val="00040713"/>
    <w:rsid w:val="000409AE"/>
    <w:rsid w:val="000423C0"/>
    <w:rsid w:val="00042523"/>
    <w:rsid w:val="0004344A"/>
    <w:rsid w:val="00046405"/>
    <w:rsid w:val="00046467"/>
    <w:rsid w:val="00055C8D"/>
    <w:rsid w:val="000629FD"/>
    <w:rsid w:val="000647C0"/>
    <w:rsid w:val="0006675B"/>
    <w:rsid w:val="000736C4"/>
    <w:rsid w:val="00074401"/>
    <w:rsid w:val="000859EF"/>
    <w:rsid w:val="0009218C"/>
    <w:rsid w:val="00094031"/>
    <w:rsid w:val="000A1DC8"/>
    <w:rsid w:val="000A33FE"/>
    <w:rsid w:val="000A392E"/>
    <w:rsid w:val="000A3D68"/>
    <w:rsid w:val="000B17CA"/>
    <w:rsid w:val="000B5EE7"/>
    <w:rsid w:val="000B7F13"/>
    <w:rsid w:val="000C1C4F"/>
    <w:rsid w:val="000C3407"/>
    <w:rsid w:val="000C49D6"/>
    <w:rsid w:val="000D295C"/>
    <w:rsid w:val="000D7AA8"/>
    <w:rsid w:val="000E0EF7"/>
    <w:rsid w:val="000E32AE"/>
    <w:rsid w:val="000E6F46"/>
    <w:rsid w:val="000E72EE"/>
    <w:rsid w:val="000F452F"/>
    <w:rsid w:val="000F57B9"/>
    <w:rsid w:val="000F58A4"/>
    <w:rsid w:val="0010074C"/>
    <w:rsid w:val="00106D5E"/>
    <w:rsid w:val="001137D2"/>
    <w:rsid w:val="001160A8"/>
    <w:rsid w:val="00117033"/>
    <w:rsid w:val="001176DF"/>
    <w:rsid w:val="00117C24"/>
    <w:rsid w:val="00121D50"/>
    <w:rsid w:val="00122C91"/>
    <w:rsid w:val="00123A9C"/>
    <w:rsid w:val="00124787"/>
    <w:rsid w:val="0012583B"/>
    <w:rsid w:val="00126ACC"/>
    <w:rsid w:val="00127867"/>
    <w:rsid w:val="0013396E"/>
    <w:rsid w:val="00136812"/>
    <w:rsid w:val="00137AC4"/>
    <w:rsid w:val="00137C1D"/>
    <w:rsid w:val="001407CC"/>
    <w:rsid w:val="00145AF0"/>
    <w:rsid w:val="00147668"/>
    <w:rsid w:val="00151F97"/>
    <w:rsid w:val="00152E6F"/>
    <w:rsid w:val="001533C6"/>
    <w:rsid w:val="00157E36"/>
    <w:rsid w:val="00163682"/>
    <w:rsid w:val="001719A0"/>
    <w:rsid w:val="001762EA"/>
    <w:rsid w:val="001775C7"/>
    <w:rsid w:val="0019055E"/>
    <w:rsid w:val="00190EDD"/>
    <w:rsid w:val="001916BA"/>
    <w:rsid w:val="001A210D"/>
    <w:rsid w:val="001B0068"/>
    <w:rsid w:val="001B1206"/>
    <w:rsid w:val="001B2306"/>
    <w:rsid w:val="001B5EE3"/>
    <w:rsid w:val="001B7CFE"/>
    <w:rsid w:val="001C359E"/>
    <w:rsid w:val="001D055D"/>
    <w:rsid w:val="001D17B2"/>
    <w:rsid w:val="001D231E"/>
    <w:rsid w:val="001D4665"/>
    <w:rsid w:val="001E034E"/>
    <w:rsid w:val="001E167F"/>
    <w:rsid w:val="001E241C"/>
    <w:rsid w:val="001E4E67"/>
    <w:rsid w:val="001E5499"/>
    <w:rsid w:val="001E5987"/>
    <w:rsid w:val="001F17B6"/>
    <w:rsid w:val="001F1E5B"/>
    <w:rsid w:val="001F49FC"/>
    <w:rsid w:val="00201D9A"/>
    <w:rsid w:val="0021357C"/>
    <w:rsid w:val="00213E5A"/>
    <w:rsid w:val="0021561F"/>
    <w:rsid w:val="002164B7"/>
    <w:rsid w:val="00221FC4"/>
    <w:rsid w:val="00225556"/>
    <w:rsid w:val="00230590"/>
    <w:rsid w:val="00231141"/>
    <w:rsid w:val="002322B2"/>
    <w:rsid w:val="002360ED"/>
    <w:rsid w:val="00240F5E"/>
    <w:rsid w:val="00242325"/>
    <w:rsid w:val="00244A47"/>
    <w:rsid w:val="0024554B"/>
    <w:rsid w:val="00251781"/>
    <w:rsid w:val="00254EB0"/>
    <w:rsid w:val="00255C57"/>
    <w:rsid w:val="0025608C"/>
    <w:rsid w:val="00256B78"/>
    <w:rsid w:val="00257657"/>
    <w:rsid w:val="00260C03"/>
    <w:rsid w:val="00262151"/>
    <w:rsid w:val="0026236F"/>
    <w:rsid w:val="00264521"/>
    <w:rsid w:val="00265BC4"/>
    <w:rsid w:val="0026635F"/>
    <w:rsid w:val="0027322A"/>
    <w:rsid w:val="002742C3"/>
    <w:rsid w:val="0027489B"/>
    <w:rsid w:val="00277F89"/>
    <w:rsid w:val="00284320"/>
    <w:rsid w:val="00285903"/>
    <w:rsid w:val="002862F6"/>
    <w:rsid w:val="002920A6"/>
    <w:rsid w:val="002A044C"/>
    <w:rsid w:val="002A2F7E"/>
    <w:rsid w:val="002A33FA"/>
    <w:rsid w:val="002A3E11"/>
    <w:rsid w:val="002A43B7"/>
    <w:rsid w:val="002A4B8A"/>
    <w:rsid w:val="002A5F7F"/>
    <w:rsid w:val="002A6CF0"/>
    <w:rsid w:val="002A7C1F"/>
    <w:rsid w:val="002B263A"/>
    <w:rsid w:val="002B4153"/>
    <w:rsid w:val="002B5BF9"/>
    <w:rsid w:val="002B6A0F"/>
    <w:rsid w:val="002B7A0D"/>
    <w:rsid w:val="002C1405"/>
    <w:rsid w:val="002C43E9"/>
    <w:rsid w:val="002C7140"/>
    <w:rsid w:val="002C7825"/>
    <w:rsid w:val="002C7E4F"/>
    <w:rsid w:val="002D5964"/>
    <w:rsid w:val="002D5E22"/>
    <w:rsid w:val="002E1D82"/>
    <w:rsid w:val="002E302B"/>
    <w:rsid w:val="002E5451"/>
    <w:rsid w:val="002E6EC0"/>
    <w:rsid w:val="002F3ECD"/>
    <w:rsid w:val="002F5FA8"/>
    <w:rsid w:val="0030092A"/>
    <w:rsid w:val="00304565"/>
    <w:rsid w:val="00305C78"/>
    <w:rsid w:val="00312615"/>
    <w:rsid w:val="003141E0"/>
    <w:rsid w:val="003145B9"/>
    <w:rsid w:val="00320627"/>
    <w:rsid w:val="00322934"/>
    <w:rsid w:val="00323E89"/>
    <w:rsid w:val="003244ED"/>
    <w:rsid w:val="003253CE"/>
    <w:rsid w:val="003301A6"/>
    <w:rsid w:val="00330E2B"/>
    <w:rsid w:val="00332C4B"/>
    <w:rsid w:val="00333CF5"/>
    <w:rsid w:val="003348B0"/>
    <w:rsid w:val="00336914"/>
    <w:rsid w:val="00337850"/>
    <w:rsid w:val="0034315E"/>
    <w:rsid w:val="0034323D"/>
    <w:rsid w:val="0034679F"/>
    <w:rsid w:val="003469E3"/>
    <w:rsid w:val="00352F03"/>
    <w:rsid w:val="003548EA"/>
    <w:rsid w:val="00364EED"/>
    <w:rsid w:val="00371F76"/>
    <w:rsid w:val="00373A44"/>
    <w:rsid w:val="00375465"/>
    <w:rsid w:val="00376686"/>
    <w:rsid w:val="0038077D"/>
    <w:rsid w:val="0038179E"/>
    <w:rsid w:val="003870EE"/>
    <w:rsid w:val="0038771D"/>
    <w:rsid w:val="003902F6"/>
    <w:rsid w:val="00391626"/>
    <w:rsid w:val="00391691"/>
    <w:rsid w:val="003916A6"/>
    <w:rsid w:val="00394DF6"/>
    <w:rsid w:val="0039572D"/>
    <w:rsid w:val="00397084"/>
    <w:rsid w:val="003976E3"/>
    <w:rsid w:val="003A5DC4"/>
    <w:rsid w:val="003A6FDD"/>
    <w:rsid w:val="003A7233"/>
    <w:rsid w:val="003B0675"/>
    <w:rsid w:val="003B64BB"/>
    <w:rsid w:val="003B764D"/>
    <w:rsid w:val="003B7CB6"/>
    <w:rsid w:val="003C143C"/>
    <w:rsid w:val="003C3B15"/>
    <w:rsid w:val="003D24FC"/>
    <w:rsid w:val="003D2885"/>
    <w:rsid w:val="003D2EE0"/>
    <w:rsid w:val="003D4F31"/>
    <w:rsid w:val="003D64FD"/>
    <w:rsid w:val="003E310A"/>
    <w:rsid w:val="003E3623"/>
    <w:rsid w:val="003E3C06"/>
    <w:rsid w:val="003F1082"/>
    <w:rsid w:val="003F1A96"/>
    <w:rsid w:val="003F4E02"/>
    <w:rsid w:val="003F5701"/>
    <w:rsid w:val="003F6872"/>
    <w:rsid w:val="00401E39"/>
    <w:rsid w:val="004063DE"/>
    <w:rsid w:val="00411462"/>
    <w:rsid w:val="00413715"/>
    <w:rsid w:val="00413FFD"/>
    <w:rsid w:val="00416CD0"/>
    <w:rsid w:val="004210A5"/>
    <w:rsid w:val="004237F2"/>
    <w:rsid w:val="00424F2A"/>
    <w:rsid w:val="00425ABA"/>
    <w:rsid w:val="00426244"/>
    <w:rsid w:val="0043025B"/>
    <w:rsid w:val="004331C5"/>
    <w:rsid w:val="00434C35"/>
    <w:rsid w:val="00445F47"/>
    <w:rsid w:val="0044640B"/>
    <w:rsid w:val="0045283D"/>
    <w:rsid w:val="00452C03"/>
    <w:rsid w:val="00453E30"/>
    <w:rsid w:val="0045551E"/>
    <w:rsid w:val="00456EFE"/>
    <w:rsid w:val="004573CF"/>
    <w:rsid w:val="004606E6"/>
    <w:rsid w:val="004619F1"/>
    <w:rsid w:val="00462B2D"/>
    <w:rsid w:val="004722DD"/>
    <w:rsid w:val="0047484D"/>
    <w:rsid w:val="00474B0E"/>
    <w:rsid w:val="00474D62"/>
    <w:rsid w:val="0048158A"/>
    <w:rsid w:val="00486193"/>
    <w:rsid w:val="004872F6"/>
    <w:rsid w:val="00491F72"/>
    <w:rsid w:val="004935EC"/>
    <w:rsid w:val="004948DD"/>
    <w:rsid w:val="004A1620"/>
    <w:rsid w:val="004A2A36"/>
    <w:rsid w:val="004A4BCE"/>
    <w:rsid w:val="004A57AA"/>
    <w:rsid w:val="004A61A7"/>
    <w:rsid w:val="004A6E1D"/>
    <w:rsid w:val="004B2376"/>
    <w:rsid w:val="004B2C69"/>
    <w:rsid w:val="004B2CBF"/>
    <w:rsid w:val="004B6C13"/>
    <w:rsid w:val="004C1466"/>
    <w:rsid w:val="004C2E69"/>
    <w:rsid w:val="004C3E1A"/>
    <w:rsid w:val="004D07D7"/>
    <w:rsid w:val="004D0B28"/>
    <w:rsid w:val="004D0B8E"/>
    <w:rsid w:val="004D2AAD"/>
    <w:rsid w:val="004D6BE2"/>
    <w:rsid w:val="004E232C"/>
    <w:rsid w:val="004E3F2D"/>
    <w:rsid w:val="004E59C1"/>
    <w:rsid w:val="004F3649"/>
    <w:rsid w:val="004F4C89"/>
    <w:rsid w:val="004F68C5"/>
    <w:rsid w:val="004F7A88"/>
    <w:rsid w:val="005006AE"/>
    <w:rsid w:val="005012E2"/>
    <w:rsid w:val="00503AD1"/>
    <w:rsid w:val="0050578E"/>
    <w:rsid w:val="005147CA"/>
    <w:rsid w:val="00517060"/>
    <w:rsid w:val="00520924"/>
    <w:rsid w:val="0052110B"/>
    <w:rsid w:val="005312A3"/>
    <w:rsid w:val="0053149A"/>
    <w:rsid w:val="005322A6"/>
    <w:rsid w:val="0054096D"/>
    <w:rsid w:val="00545303"/>
    <w:rsid w:val="0054591B"/>
    <w:rsid w:val="0055267F"/>
    <w:rsid w:val="00552A0E"/>
    <w:rsid w:val="005544F6"/>
    <w:rsid w:val="005615DA"/>
    <w:rsid w:val="005623C5"/>
    <w:rsid w:val="00562FB6"/>
    <w:rsid w:val="005677AC"/>
    <w:rsid w:val="0057138D"/>
    <w:rsid w:val="00573703"/>
    <w:rsid w:val="00574F39"/>
    <w:rsid w:val="005765BF"/>
    <w:rsid w:val="00580383"/>
    <w:rsid w:val="0058080C"/>
    <w:rsid w:val="005825BC"/>
    <w:rsid w:val="00584972"/>
    <w:rsid w:val="0058560E"/>
    <w:rsid w:val="00585D14"/>
    <w:rsid w:val="00586A7C"/>
    <w:rsid w:val="0058747C"/>
    <w:rsid w:val="0058769F"/>
    <w:rsid w:val="00590173"/>
    <w:rsid w:val="00591BDC"/>
    <w:rsid w:val="005927FF"/>
    <w:rsid w:val="005A13FC"/>
    <w:rsid w:val="005A290F"/>
    <w:rsid w:val="005A6F99"/>
    <w:rsid w:val="005A771F"/>
    <w:rsid w:val="005B4D51"/>
    <w:rsid w:val="005B6F26"/>
    <w:rsid w:val="005B714C"/>
    <w:rsid w:val="005B7C53"/>
    <w:rsid w:val="005C230D"/>
    <w:rsid w:val="005C2637"/>
    <w:rsid w:val="005C32F9"/>
    <w:rsid w:val="005C4071"/>
    <w:rsid w:val="005D2653"/>
    <w:rsid w:val="005D29CD"/>
    <w:rsid w:val="005D41BB"/>
    <w:rsid w:val="005D6039"/>
    <w:rsid w:val="005D68CE"/>
    <w:rsid w:val="005D6F89"/>
    <w:rsid w:val="005E0252"/>
    <w:rsid w:val="005E154E"/>
    <w:rsid w:val="005E15D1"/>
    <w:rsid w:val="005E5674"/>
    <w:rsid w:val="005E7B6C"/>
    <w:rsid w:val="005F6008"/>
    <w:rsid w:val="005F7270"/>
    <w:rsid w:val="0060072E"/>
    <w:rsid w:val="00603A1C"/>
    <w:rsid w:val="00615203"/>
    <w:rsid w:val="00615F69"/>
    <w:rsid w:val="006168E4"/>
    <w:rsid w:val="0061794F"/>
    <w:rsid w:val="00621FCC"/>
    <w:rsid w:val="00622FA8"/>
    <w:rsid w:val="00623E94"/>
    <w:rsid w:val="00627150"/>
    <w:rsid w:val="0062731E"/>
    <w:rsid w:val="00627483"/>
    <w:rsid w:val="0062759C"/>
    <w:rsid w:val="0063186C"/>
    <w:rsid w:val="00632F7B"/>
    <w:rsid w:val="00633FAC"/>
    <w:rsid w:val="00634249"/>
    <w:rsid w:val="006374B3"/>
    <w:rsid w:val="00640402"/>
    <w:rsid w:val="006405C7"/>
    <w:rsid w:val="00642A20"/>
    <w:rsid w:val="00642EB9"/>
    <w:rsid w:val="006456E1"/>
    <w:rsid w:val="00646CF3"/>
    <w:rsid w:val="00646D6B"/>
    <w:rsid w:val="00646DC6"/>
    <w:rsid w:val="00646E93"/>
    <w:rsid w:val="006508B4"/>
    <w:rsid w:val="00652397"/>
    <w:rsid w:val="00657DD3"/>
    <w:rsid w:val="0066276F"/>
    <w:rsid w:val="00670E9C"/>
    <w:rsid w:val="00672DF2"/>
    <w:rsid w:val="0067373D"/>
    <w:rsid w:val="006739E3"/>
    <w:rsid w:val="00675878"/>
    <w:rsid w:val="0067631C"/>
    <w:rsid w:val="006827AB"/>
    <w:rsid w:val="0068397F"/>
    <w:rsid w:val="00684461"/>
    <w:rsid w:val="00686714"/>
    <w:rsid w:val="00687321"/>
    <w:rsid w:val="00687649"/>
    <w:rsid w:val="00690C92"/>
    <w:rsid w:val="00696D26"/>
    <w:rsid w:val="00697C47"/>
    <w:rsid w:val="006A1145"/>
    <w:rsid w:val="006A19FA"/>
    <w:rsid w:val="006A245C"/>
    <w:rsid w:val="006A24D2"/>
    <w:rsid w:val="006A5AA9"/>
    <w:rsid w:val="006B35A3"/>
    <w:rsid w:val="006B4EE9"/>
    <w:rsid w:val="006B749D"/>
    <w:rsid w:val="006B7CA8"/>
    <w:rsid w:val="006C0A6A"/>
    <w:rsid w:val="006C296A"/>
    <w:rsid w:val="006C2F6F"/>
    <w:rsid w:val="006C3029"/>
    <w:rsid w:val="006C50C0"/>
    <w:rsid w:val="006C514E"/>
    <w:rsid w:val="006C7C0A"/>
    <w:rsid w:val="006D3A96"/>
    <w:rsid w:val="006D4D51"/>
    <w:rsid w:val="006D5370"/>
    <w:rsid w:val="006E094C"/>
    <w:rsid w:val="006E0C8B"/>
    <w:rsid w:val="006E40B4"/>
    <w:rsid w:val="006E4A00"/>
    <w:rsid w:val="006F435C"/>
    <w:rsid w:val="006F4D51"/>
    <w:rsid w:val="006F6605"/>
    <w:rsid w:val="00701DEB"/>
    <w:rsid w:val="00703794"/>
    <w:rsid w:val="007051FA"/>
    <w:rsid w:val="0070671B"/>
    <w:rsid w:val="007067E2"/>
    <w:rsid w:val="00707842"/>
    <w:rsid w:val="00710737"/>
    <w:rsid w:val="00711845"/>
    <w:rsid w:val="00712318"/>
    <w:rsid w:val="0071314B"/>
    <w:rsid w:val="00717B2F"/>
    <w:rsid w:val="007202C3"/>
    <w:rsid w:val="00721E4A"/>
    <w:rsid w:val="0072220B"/>
    <w:rsid w:val="007239A9"/>
    <w:rsid w:val="007253DF"/>
    <w:rsid w:val="00737167"/>
    <w:rsid w:val="007371A5"/>
    <w:rsid w:val="00740426"/>
    <w:rsid w:val="007418DE"/>
    <w:rsid w:val="0074271A"/>
    <w:rsid w:val="00745CC9"/>
    <w:rsid w:val="00747B04"/>
    <w:rsid w:val="00750A86"/>
    <w:rsid w:val="0075326E"/>
    <w:rsid w:val="007552F4"/>
    <w:rsid w:val="00756BBC"/>
    <w:rsid w:val="00762F5D"/>
    <w:rsid w:val="00771B18"/>
    <w:rsid w:val="0077264A"/>
    <w:rsid w:val="00780680"/>
    <w:rsid w:val="00784BCA"/>
    <w:rsid w:val="007862C1"/>
    <w:rsid w:val="00787926"/>
    <w:rsid w:val="0079057C"/>
    <w:rsid w:val="00792366"/>
    <w:rsid w:val="00793DA7"/>
    <w:rsid w:val="007941AA"/>
    <w:rsid w:val="007956DC"/>
    <w:rsid w:val="00796489"/>
    <w:rsid w:val="007A2379"/>
    <w:rsid w:val="007A4E38"/>
    <w:rsid w:val="007A6E03"/>
    <w:rsid w:val="007A7E04"/>
    <w:rsid w:val="007B591E"/>
    <w:rsid w:val="007B6265"/>
    <w:rsid w:val="007C5A4B"/>
    <w:rsid w:val="007D1D03"/>
    <w:rsid w:val="007D4598"/>
    <w:rsid w:val="007D71D6"/>
    <w:rsid w:val="007E7721"/>
    <w:rsid w:val="007F0D04"/>
    <w:rsid w:val="007F10D3"/>
    <w:rsid w:val="007F3046"/>
    <w:rsid w:val="007F3CF8"/>
    <w:rsid w:val="007F46E8"/>
    <w:rsid w:val="008000F1"/>
    <w:rsid w:val="0080042C"/>
    <w:rsid w:val="00801916"/>
    <w:rsid w:val="0080326A"/>
    <w:rsid w:val="0080446F"/>
    <w:rsid w:val="00812B8C"/>
    <w:rsid w:val="0081327F"/>
    <w:rsid w:val="00820D72"/>
    <w:rsid w:val="00822899"/>
    <w:rsid w:val="00824C99"/>
    <w:rsid w:val="008266FD"/>
    <w:rsid w:val="00831FD5"/>
    <w:rsid w:val="00837E98"/>
    <w:rsid w:val="00843134"/>
    <w:rsid w:val="008434CC"/>
    <w:rsid w:val="008451D0"/>
    <w:rsid w:val="008477D6"/>
    <w:rsid w:val="00852EA8"/>
    <w:rsid w:val="00857AE5"/>
    <w:rsid w:val="00861C5E"/>
    <w:rsid w:val="0086427C"/>
    <w:rsid w:val="00867078"/>
    <w:rsid w:val="00872831"/>
    <w:rsid w:val="00874242"/>
    <w:rsid w:val="008820F0"/>
    <w:rsid w:val="008829BB"/>
    <w:rsid w:val="00882C42"/>
    <w:rsid w:val="00892C30"/>
    <w:rsid w:val="00895D82"/>
    <w:rsid w:val="00895E86"/>
    <w:rsid w:val="00896393"/>
    <w:rsid w:val="008A365D"/>
    <w:rsid w:val="008A614F"/>
    <w:rsid w:val="008A7011"/>
    <w:rsid w:val="008A73E7"/>
    <w:rsid w:val="008B2A16"/>
    <w:rsid w:val="008B47EF"/>
    <w:rsid w:val="008B6E5A"/>
    <w:rsid w:val="008B7E70"/>
    <w:rsid w:val="008C5314"/>
    <w:rsid w:val="008C7C4F"/>
    <w:rsid w:val="008D0858"/>
    <w:rsid w:val="008D303F"/>
    <w:rsid w:val="008D40B2"/>
    <w:rsid w:val="008D4BB4"/>
    <w:rsid w:val="008D6348"/>
    <w:rsid w:val="008D6823"/>
    <w:rsid w:val="008E3F9F"/>
    <w:rsid w:val="008F0FAD"/>
    <w:rsid w:val="008F578F"/>
    <w:rsid w:val="008F6417"/>
    <w:rsid w:val="008F788C"/>
    <w:rsid w:val="009009A6"/>
    <w:rsid w:val="0091144D"/>
    <w:rsid w:val="009150FB"/>
    <w:rsid w:val="00916358"/>
    <w:rsid w:val="00920D73"/>
    <w:rsid w:val="0092175D"/>
    <w:rsid w:val="00926952"/>
    <w:rsid w:val="00930204"/>
    <w:rsid w:val="00931AAD"/>
    <w:rsid w:val="00931ECD"/>
    <w:rsid w:val="009332F4"/>
    <w:rsid w:val="00940017"/>
    <w:rsid w:val="009405FD"/>
    <w:rsid w:val="00941E83"/>
    <w:rsid w:val="00943859"/>
    <w:rsid w:val="00944AE6"/>
    <w:rsid w:val="00952FE7"/>
    <w:rsid w:val="00956D4B"/>
    <w:rsid w:val="00961FDE"/>
    <w:rsid w:val="009663B6"/>
    <w:rsid w:val="009731BD"/>
    <w:rsid w:val="00975EE4"/>
    <w:rsid w:val="009800AB"/>
    <w:rsid w:val="00980BF0"/>
    <w:rsid w:val="00983291"/>
    <w:rsid w:val="009867B4"/>
    <w:rsid w:val="00990C7D"/>
    <w:rsid w:val="009930BC"/>
    <w:rsid w:val="009A2405"/>
    <w:rsid w:val="009A5802"/>
    <w:rsid w:val="009B41BD"/>
    <w:rsid w:val="009C1390"/>
    <w:rsid w:val="009C2168"/>
    <w:rsid w:val="009C2334"/>
    <w:rsid w:val="009C401F"/>
    <w:rsid w:val="009D2266"/>
    <w:rsid w:val="009D3752"/>
    <w:rsid w:val="009E36D4"/>
    <w:rsid w:val="009E5F89"/>
    <w:rsid w:val="009E67DB"/>
    <w:rsid w:val="009F1C06"/>
    <w:rsid w:val="009F33F9"/>
    <w:rsid w:val="009F4953"/>
    <w:rsid w:val="009F6D66"/>
    <w:rsid w:val="00A018F6"/>
    <w:rsid w:val="00A02514"/>
    <w:rsid w:val="00A052FE"/>
    <w:rsid w:val="00A110EE"/>
    <w:rsid w:val="00A138C6"/>
    <w:rsid w:val="00A176C5"/>
    <w:rsid w:val="00A24C39"/>
    <w:rsid w:val="00A25097"/>
    <w:rsid w:val="00A25F9A"/>
    <w:rsid w:val="00A332D5"/>
    <w:rsid w:val="00A40385"/>
    <w:rsid w:val="00A40699"/>
    <w:rsid w:val="00A40D2D"/>
    <w:rsid w:val="00A42AB5"/>
    <w:rsid w:val="00A43562"/>
    <w:rsid w:val="00A45230"/>
    <w:rsid w:val="00A46834"/>
    <w:rsid w:val="00A4696E"/>
    <w:rsid w:val="00A501B7"/>
    <w:rsid w:val="00A50257"/>
    <w:rsid w:val="00A51341"/>
    <w:rsid w:val="00A539D4"/>
    <w:rsid w:val="00A5556E"/>
    <w:rsid w:val="00A61091"/>
    <w:rsid w:val="00A61D18"/>
    <w:rsid w:val="00A6273D"/>
    <w:rsid w:val="00A62753"/>
    <w:rsid w:val="00A701E4"/>
    <w:rsid w:val="00A71818"/>
    <w:rsid w:val="00A71D4C"/>
    <w:rsid w:val="00A74803"/>
    <w:rsid w:val="00A74FD8"/>
    <w:rsid w:val="00A82675"/>
    <w:rsid w:val="00A831CE"/>
    <w:rsid w:val="00A83E48"/>
    <w:rsid w:val="00A8451F"/>
    <w:rsid w:val="00A861FF"/>
    <w:rsid w:val="00A86269"/>
    <w:rsid w:val="00A872C4"/>
    <w:rsid w:val="00A91CAC"/>
    <w:rsid w:val="00A9750B"/>
    <w:rsid w:val="00A97B33"/>
    <w:rsid w:val="00AA0D0B"/>
    <w:rsid w:val="00AA2FA0"/>
    <w:rsid w:val="00AA33E5"/>
    <w:rsid w:val="00AA4D3F"/>
    <w:rsid w:val="00AA5434"/>
    <w:rsid w:val="00AB0405"/>
    <w:rsid w:val="00AC3683"/>
    <w:rsid w:val="00AC7840"/>
    <w:rsid w:val="00AD0F22"/>
    <w:rsid w:val="00AD31F3"/>
    <w:rsid w:val="00AE1C92"/>
    <w:rsid w:val="00AE2337"/>
    <w:rsid w:val="00AE2D72"/>
    <w:rsid w:val="00AE5E17"/>
    <w:rsid w:val="00AF40E0"/>
    <w:rsid w:val="00AF415F"/>
    <w:rsid w:val="00AF4470"/>
    <w:rsid w:val="00AF4822"/>
    <w:rsid w:val="00B03DD1"/>
    <w:rsid w:val="00B10842"/>
    <w:rsid w:val="00B15F40"/>
    <w:rsid w:val="00B167AD"/>
    <w:rsid w:val="00B17CF0"/>
    <w:rsid w:val="00B17EC5"/>
    <w:rsid w:val="00B17F2E"/>
    <w:rsid w:val="00B20FE0"/>
    <w:rsid w:val="00B25B3F"/>
    <w:rsid w:val="00B264CC"/>
    <w:rsid w:val="00B266C2"/>
    <w:rsid w:val="00B30CE8"/>
    <w:rsid w:val="00B31203"/>
    <w:rsid w:val="00B32275"/>
    <w:rsid w:val="00B3503A"/>
    <w:rsid w:val="00B3596B"/>
    <w:rsid w:val="00B36394"/>
    <w:rsid w:val="00B3693B"/>
    <w:rsid w:val="00B36EAE"/>
    <w:rsid w:val="00B37713"/>
    <w:rsid w:val="00B435CA"/>
    <w:rsid w:val="00B43A57"/>
    <w:rsid w:val="00B4534F"/>
    <w:rsid w:val="00B46B0C"/>
    <w:rsid w:val="00B5047C"/>
    <w:rsid w:val="00B51DFD"/>
    <w:rsid w:val="00B531CF"/>
    <w:rsid w:val="00B53EE4"/>
    <w:rsid w:val="00B57994"/>
    <w:rsid w:val="00B64B5C"/>
    <w:rsid w:val="00B710DC"/>
    <w:rsid w:val="00B77244"/>
    <w:rsid w:val="00B77A22"/>
    <w:rsid w:val="00B81108"/>
    <w:rsid w:val="00B813E9"/>
    <w:rsid w:val="00B816B7"/>
    <w:rsid w:val="00B84D29"/>
    <w:rsid w:val="00B85ACB"/>
    <w:rsid w:val="00B93CEE"/>
    <w:rsid w:val="00B9450C"/>
    <w:rsid w:val="00BA2A94"/>
    <w:rsid w:val="00BA46A7"/>
    <w:rsid w:val="00BA5E90"/>
    <w:rsid w:val="00BA6D7D"/>
    <w:rsid w:val="00BB0FCB"/>
    <w:rsid w:val="00BB1637"/>
    <w:rsid w:val="00BB327A"/>
    <w:rsid w:val="00BB6E6C"/>
    <w:rsid w:val="00BC313D"/>
    <w:rsid w:val="00BC399B"/>
    <w:rsid w:val="00BC6502"/>
    <w:rsid w:val="00BD048C"/>
    <w:rsid w:val="00BD3D6B"/>
    <w:rsid w:val="00BD69A5"/>
    <w:rsid w:val="00BD793A"/>
    <w:rsid w:val="00BF37F4"/>
    <w:rsid w:val="00C0497E"/>
    <w:rsid w:val="00C07F82"/>
    <w:rsid w:val="00C15F18"/>
    <w:rsid w:val="00C22505"/>
    <w:rsid w:val="00C23473"/>
    <w:rsid w:val="00C2561B"/>
    <w:rsid w:val="00C2574A"/>
    <w:rsid w:val="00C25AFD"/>
    <w:rsid w:val="00C30DFB"/>
    <w:rsid w:val="00C44281"/>
    <w:rsid w:val="00C46D6C"/>
    <w:rsid w:val="00C47181"/>
    <w:rsid w:val="00C553E3"/>
    <w:rsid w:val="00C65CEB"/>
    <w:rsid w:val="00C65D7F"/>
    <w:rsid w:val="00C6601E"/>
    <w:rsid w:val="00C66378"/>
    <w:rsid w:val="00C72868"/>
    <w:rsid w:val="00C74C00"/>
    <w:rsid w:val="00C761A8"/>
    <w:rsid w:val="00C77060"/>
    <w:rsid w:val="00C8309D"/>
    <w:rsid w:val="00C976AA"/>
    <w:rsid w:val="00CA540B"/>
    <w:rsid w:val="00CB1094"/>
    <w:rsid w:val="00CB4FEE"/>
    <w:rsid w:val="00CC092B"/>
    <w:rsid w:val="00CC21ED"/>
    <w:rsid w:val="00CC38D3"/>
    <w:rsid w:val="00CC432D"/>
    <w:rsid w:val="00CC54FA"/>
    <w:rsid w:val="00CC7280"/>
    <w:rsid w:val="00CD4C6F"/>
    <w:rsid w:val="00CE331A"/>
    <w:rsid w:val="00CE719E"/>
    <w:rsid w:val="00CF1175"/>
    <w:rsid w:val="00CF1417"/>
    <w:rsid w:val="00CF4E23"/>
    <w:rsid w:val="00CF5DB4"/>
    <w:rsid w:val="00CF6097"/>
    <w:rsid w:val="00CF6852"/>
    <w:rsid w:val="00CF7693"/>
    <w:rsid w:val="00D035C1"/>
    <w:rsid w:val="00D04157"/>
    <w:rsid w:val="00D1077C"/>
    <w:rsid w:val="00D1212C"/>
    <w:rsid w:val="00D12A11"/>
    <w:rsid w:val="00D1578E"/>
    <w:rsid w:val="00D2005D"/>
    <w:rsid w:val="00D20645"/>
    <w:rsid w:val="00D21BCC"/>
    <w:rsid w:val="00D248D8"/>
    <w:rsid w:val="00D24F43"/>
    <w:rsid w:val="00D2721C"/>
    <w:rsid w:val="00D335FA"/>
    <w:rsid w:val="00D37E1E"/>
    <w:rsid w:val="00D40DDD"/>
    <w:rsid w:val="00D42133"/>
    <w:rsid w:val="00D45C14"/>
    <w:rsid w:val="00D53719"/>
    <w:rsid w:val="00D54A94"/>
    <w:rsid w:val="00D66857"/>
    <w:rsid w:val="00D70CBA"/>
    <w:rsid w:val="00D719E9"/>
    <w:rsid w:val="00D7236E"/>
    <w:rsid w:val="00D744AB"/>
    <w:rsid w:val="00D81797"/>
    <w:rsid w:val="00D824C1"/>
    <w:rsid w:val="00D84D58"/>
    <w:rsid w:val="00D90356"/>
    <w:rsid w:val="00D9381C"/>
    <w:rsid w:val="00D93AC6"/>
    <w:rsid w:val="00D953B7"/>
    <w:rsid w:val="00DA2984"/>
    <w:rsid w:val="00DA2CC1"/>
    <w:rsid w:val="00DA5694"/>
    <w:rsid w:val="00DB046C"/>
    <w:rsid w:val="00DB5DBE"/>
    <w:rsid w:val="00DC0795"/>
    <w:rsid w:val="00DC4F50"/>
    <w:rsid w:val="00DC54E1"/>
    <w:rsid w:val="00DD43E2"/>
    <w:rsid w:val="00DD5279"/>
    <w:rsid w:val="00DD57BF"/>
    <w:rsid w:val="00DE07A7"/>
    <w:rsid w:val="00DE4864"/>
    <w:rsid w:val="00DE7F0B"/>
    <w:rsid w:val="00DF0146"/>
    <w:rsid w:val="00DF0307"/>
    <w:rsid w:val="00E00668"/>
    <w:rsid w:val="00E0093B"/>
    <w:rsid w:val="00E00EBB"/>
    <w:rsid w:val="00E019A5"/>
    <w:rsid w:val="00E028E1"/>
    <w:rsid w:val="00E05871"/>
    <w:rsid w:val="00E07423"/>
    <w:rsid w:val="00E079F4"/>
    <w:rsid w:val="00E106A4"/>
    <w:rsid w:val="00E116E8"/>
    <w:rsid w:val="00E12243"/>
    <w:rsid w:val="00E22D0F"/>
    <w:rsid w:val="00E23224"/>
    <w:rsid w:val="00E27DFC"/>
    <w:rsid w:val="00E315D6"/>
    <w:rsid w:val="00E32B5D"/>
    <w:rsid w:val="00E34A1B"/>
    <w:rsid w:val="00E36CC2"/>
    <w:rsid w:val="00E3720F"/>
    <w:rsid w:val="00E4003E"/>
    <w:rsid w:val="00E4450C"/>
    <w:rsid w:val="00E458B8"/>
    <w:rsid w:val="00E45A0F"/>
    <w:rsid w:val="00E51F92"/>
    <w:rsid w:val="00E529D3"/>
    <w:rsid w:val="00E54143"/>
    <w:rsid w:val="00E573A9"/>
    <w:rsid w:val="00E61D38"/>
    <w:rsid w:val="00E61E92"/>
    <w:rsid w:val="00E62AF5"/>
    <w:rsid w:val="00E63560"/>
    <w:rsid w:val="00E73448"/>
    <w:rsid w:val="00E74B4B"/>
    <w:rsid w:val="00E839F5"/>
    <w:rsid w:val="00E83D3A"/>
    <w:rsid w:val="00E84031"/>
    <w:rsid w:val="00E8648D"/>
    <w:rsid w:val="00E96290"/>
    <w:rsid w:val="00E96AF1"/>
    <w:rsid w:val="00EA2560"/>
    <w:rsid w:val="00EA377F"/>
    <w:rsid w:val="00EA5105"/>
    <w:rsid w:val="00EA5CF9"/>
    <w:rsid w:val="00EA7808"/>
    <w:rsid w:val="00EA7BC2"/>
    <w:rsid w:val="00EA7CE5"/>
    <w:rsid w:val="00EB0DD1"/>
    <w:rsid w:val="00EB2DBC"/>
    <w:rsid w:val="00EC1B29"/>
    <w:rsid w:val="00EC1EB5"/>
    <w:rsid w:val="00EC5BAA"/>
    <w:rsid w:val="00ED1A96"/>
    <w:rsid w:val="00ED2111"/>
    <w:rsid w:val="00ED61DF"/>
    <w:rsid w:val="00ED637A"/>
    <w:rsid w:val="00ED6E79"/>
    <w:rsid w:val="00EE319C"/>
    <w:rsid w:val="00EE610F"/>
    <w:rsid w:val="00EF0D2A"/>
    <w:rsid w:val="00EF139B"/>
    <w:rsid w:val="00EF14C0"/>
    <w:rsid w:val="00EF4DF8"/>
    <w:rsid w:val="00EF750C"/>
    <w:rsid w:val="00F0013C"/>
    <w:rsid w:val="00F014E1"/>
    <w:rsid w:val="00F02526"/>
    <w:rsid w:val="00F043F6"/>
    <w:rsid w:val="00F045E5"/>
    <w:rsid w:val="00F07314"/>
    <w:rsid w:val="00F07C52"/>
    <w:rsid w:val="00F10D61"/>
    <w:rsid w:val="00F11400"/>
    <w:rsid w:val="00F11491"/>
    <w:rsid w:val="00F11D3F"/>
    <w:rsid w:val="00F12322"/>
    <w:rsid w:val="00F1364C"/>
    <w:rsid w:val="00F1520A"/>
    <w:rsid w:val="00F1566A"/>
    <w:rsid w:val="00F20AB6"/>
    <w:rsid w:val="00F2165B"/>
    <w:rsid w:val="00F25524"/>
    <w:rsid w:val="00F26362"/>
    <w:rsid w:val="00F31145"/>
    <w:rsid w:val="00F34EA0"/>
    <w:rsid w:val="00F37F07"/>
    <w:rsid w:val="00F42E9E"/>
    <w:rsid w:val="00F441FC"/>
    <w:rsid w:val="00F45F7D"/>
    <w:rsid w:val="00F50F4D"/>
    <w:rsid w:val="00F51096"/>
    <w:rsid w:val="00F5597F"/>
    <w:rsid w:val="00F60C61"/>
    <w:rsid w:val="00F61BD4"/>
    <w:rsid w:val="00F61BD7"/>
    <w:rsid w:val="00F61C2A"/>
    <w:rsid w:val="00F6560A"/>
    <w:rsid w:val="00F67AEE"/>
    <w:rsid w:val="00F73429"/>
    <w:rsid w:val="00F74BCE"/>
    <w:rsid w:val="00F80972"/>
    <w:rsid w:val="00FA108D"/>
    <w:rsid w:val="00FA61B0"/>
    <w:rsid w:val="00FA6FBF"/>
    <w:rsid w:val="00FB099C"/>
    <w:rsid w:val="00FB55BA"/>
    <w:rsid w:val="00FC0541"/>
    <w:rsid w:val="00FC0901"/>
    <w:rsid w:val="00FC35FF"/>
    <w:rsid w:val="00FD0AA9"/>
    <w:rsid w:val="00FE0985"/>
    <w:rsid w:val="00FE351C"/>
    <w:rsid w:val="00FE5C63"/>
    <w:rsid w:val="00FF0F9D"/>
    <w:rsid w:val="00FF188C"/>
    <w:rsid w:val="00FF237F"/>
    <w:rsid w:val="00FF3A2F"/>
    <w:rsid w:val="00FF3D7B"/>
    <w:rsid w:val="00FF3F81"/>
    <w:rsid w:val="00FF6776"/>
    <w:rsid w:val="04523D40"/>
    <w:rsid w:val="0AE7B1B3"/>
    <w:rsid w:val="0AED6897"/>
    <w:rsid w:val="0B6AE0FB"/>
    <w:rsid w:val="0BA0F9F8"/>
    <w:rsid w:val="0D84A0F7"/>
    <w:rsid w:val="10AD8059"/>
    <w:rsid w:val="111164D0"/>
    <w:rsid w:val="125339BA"/>
    <w:rsid w:val="129167EE"/>
    <w:rsid w:val="151670E0"/>
    <w:rsid w:val="174BB0B4"/>
    <w:rsid w:val="18E78115"/>
    <w:rsid w:val="19B707F2"/>
    <w:rsid w:val="1A29CC2C"/>
    <w:rsid w:val="1B502CE2"/>
    <w:rsid w:val="1BD73690"/>
    <w:rsid w:val="1D55FAD1"/>
    <w:rsid w:val="1F159268"/>
    <w:rsid w:val="25C6041D"/>
    <w:rsid w:val="293A2263"/>
    <w:rsid w:val="29FF35C3"/>
    <w:rsid w:val="2A4B70F4"/>
    <w:rsid w:val="2B561CF5"/>
    <w:rsid w:val="2D6E255A"/>
    <w:rsid w:val="2D812C1A"/>
    <w:rsid w:val="2E3B5B51"/>
    <w:rsid w:val="2E932FD9"/>
    <w:rsid w:val="2F851D39"/>
    <w:rsid w:val="2FFE5B7D"/>
    <w:rsid w:val="3353931D"/>
    <w:rsid w:val="33C2E9BA"/>
    <w:rsid w:val="3A50055C"/>
    <w:rsid w:val="3BFBB1FF"/>
    <w:rsid w:val="3C5B2DF6"/>
    <w:rsid w:val="3D46901E"/>
    <w:rsid w:val="3F8FA0EB"/>
    <w:rsid w:val="42E5ED9C"/>
    <w:rsid w:val="44AB8C62"/>
    <w:rsid w:val="459B5B35"/>
    <w:rsid w:val="47C45A4C"/>
    <w:rsid w:val="48A599CE"/>
    <w:rsid w:val="4962267F"/>
    <w:rsid w:val="49C20AA5"/>
    <w:rsid w:val="52065BC8"/>
    <w:rsid w:val="54656DC1"/>
    <w:rsid w:val="551C0B05"/>
    <w:rsid w:val="55401A7B"/>
    <w:rsid w:val="5594499E"/>
    <w:rsid w:val="5E6931D9"/>
    <w:rsid w:val="5FEBCDB6"/>
    <w:rsid w:val="61C67D95"/>
    <w:rsid w:val="630844D4"/>
    <w:rsid w:val="66EE8E5C"/>
    <w:rsid w:val="66F68D05"/>
    <w:rsid w:val="683FE59F"/>
    <w:rsid w:val="685A882E"/>
    <w:rsid w:val="690AF9E3"/>
    <w:rsid w:val="690B29F8"/>
    <w:rsid w:val="69E72598"/>
    <w:rsid w:val="6A7053D5"/>
    <w:rsid w:val="6C2A643B"/>
    <w:rsid w:val="6D14D3F4"/>
    <w:rsid w:val="6EA4A0A9"/>
    <w:rsid w:val="71BEB4C5"/>
    <w:rsid w:val="72BAEC67"/>
    <w:rsid w:val="73836F43"/>
    <w:rsid w:val="740FD38A"/>
    <w:rsid w:val="776A91C4"/>
    <w:rsid w:val="791F775A"/>
    <w:rsid w:val="79902530"/>
    <w:rsid w:val="7BA74762"/>
    <w:rsid w:val="7DC2780F"/>
    <w:rsid w:val="7EA593C3"/>
    <w:rsid w:val="7EB6F2FC"/>
    <w:rsid w:val="7F35D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B5E1"/>
  <w15:chartTrackingRefBased/>
  <w15:docId w15:val="{27EBE47E-DB94-432B-8F92-A5E4C99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405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405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5C7"/>
    <w:rPr>
      <w:rFonts w:ascii="Arial" w:eastAsia="Times New Roman" w:hAnsi="Arial" w:cs="Arial"/>
      <w:b/>
      <w:bCs/>
      <w:kern w:val="32"/>
      <w:sz w:val="32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rsid w:val="006405C7"/>
    <w:rPr>
      <w:rFonts w:ascii="Arial" w:eastAsia="Times New Roman" w:hAnsi="Arial" w:cs="Arial"/>
      <w:b/>
      <w:bCs/>
      <w:kern w:val="0"/>
      <w:sz w:val="26"/>
      <w:szCs w:val="26"/>
      <w:lang w:eastAsia="en-AU"/>
      <w14:ligatures w14:val="none"/>
    </w:rPr>
  </w:style>
  <w:style w:type="character" w:styleId="CommentReference">
    <w:name w:val="annotation reference"/>
    <w:uiPriority w:val="99"/>
    <w:semiHidden/>
    <w:rsid w:val="00640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0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5C7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rsid w:val="006405C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405C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6405C7"/>
  </w:style>
  <w:style w:type="paragraph" w:styleId="Header">
    <w:name w:val="header"/>
    <w:basedOn w:val="Normal"/>
    <w:link w:val="HeaderChar"/>
    <w:rsid w:val="006405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05C7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ACMANumberedList">
    <w:name w:val="ACMA Numbered List"/>
    <w:rsid w:val="006405C7"/>
    <w:pPr>
      <w:numPr>
        <w:numId w:val="1"/>
      </w:numPr>
      <w:tabs>
        <w:tab w:val="clear" w:pos="720"/>
      </w:tabs>
      <w:spacing w:before="20" w:after="2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405C7"/>
    <w:pPr>
      <w:ind w:left="720"/>
      <w:contextualSpacing/>
    </w:pPr>
  </w:style>
  <w:style w:type="paragraph" w:customStyle="1" w:styleId="NormalBefore6pt">
    <w:name w:val="Normal + Before:  6 pt"/>
    <w:aliases w:val="After:  4 pt"/>
    <w:basedOn w:val="Heading3"/>
    <w:rsid w:val="006405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96B"/>
    <w:rPr>
      <w:rFonts w:ascii="Times New Roman" w:eastAsia="Times New Roman" w:hAnsi="Times New Roman" w:cs="Times New Roman"/>
      <w:b/>
      <w:bCs/>
      <w:kern w:val="0"/>
      <w:sz w:val="2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916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efinition">
    <w:name w:val="Definition"/>
    <w:aliases w:val="dd"/>
    <w:basedOn w:val="Normal"/>
    <w:rsid w:val="00AF40E0"/>
    <w:pPr>
      <w:spacing w:before="180"/>
      <w:ind w:left="1134"/>
    </w:pPr>
    <w:rPr>
      <w:sz w:val="22"/>
      <w:szCs w:val="20"/>
    </w:rPr>
  </w:style>
  <w:style w:type="character" w:styleId="Mention">
    <w:name w:val="Mention"/>
    <w:basedOn w:val="DefaultParagraphFont"/>
    <w:uiPriority w:val="99"/>
    <w:unhideWhenUsed/>
    <w:rsid w:val="00AF40E0"/>
    <w:rPr>
      <w:color w:val="2B579A"/>
      <w:shd w:val="clear" w:color="auto" w:fill="E6E6E6"/>
    </w:rPr>
  </w:style>
  <w:style w:type="paragraph" w:customStyle="1" w:styleId="notetext">
    <w:name w:val="note(text)"/>
    <w:aliases w:val="n,n_Main"/>
    <w:basedOn w:val="Normal"/>
    <w:link w:val="notetextChar"/>
    <w:qFormat/>
    <w:rsid w:val="00787926"/>
    <w:pPr>
      <w:spacing w:before="122" w:line="198" w:lineRule="exact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787926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D3"/>
    <w:rPr>
      <w:rFonts w:ascii="Segoe UI" w:eastAsia="Times New Roman" w:hAnsi="Segoe UI" w:cs="Segoe UI"/>
      <w:kern w:val="0"/>
      <w:sz w:val="18"/>
      <w:szCs w:val="18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22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1D082A34ADE445A8FC5AC030FAB751" ma:contentTypeVersion="" ma:contentTypeDescription="PDMS Document Site Content Type" ma:contentTypeScope="" ma:versionID="20c20d0b38ad51fd564d06755cf6070e">
  <xsd:schema xmlns:xsd="http://www.w3.org/2001/XMLSchema" xmlns:xs="http://www.w3.org/2001/XMLSchema" xmlns:p="http://schemas.microsoft.com/office/2006/metadata/properties" xmlns:ns2="59C42208-4893-4DAB-81A7-F64DF891705C" targetNamespace="http://schemas.microsoft.com/office/2006/metadata/properties" ma:root="true" ma:fieldsID="b29abd76407699fe70309e0d9b82cf65" ns2:_="">
    <xsd:import namespace="59C42208-4893-4DAB-81A7-F64DF89170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2208-4893-4DAB-81A7-F64DF89170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9C42208-4893-4DAB-81A7-F64DF891705C" xsi:nil="true"/>
  </documentManagement>
</p:properties>
</file>

<file path=customXml/itemProps1.xml><?xml version="1.0" encoding="utf-8"?>
<ds:datastoreItem xmlns:ds="http://schemas.openxmlformats.org/officeDocument/2006/customXml" ds:itemID="{B2B48680-1A79-4A80-B7F8-38209BA1B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091B8-5384-4CC1-8876-E1316D4D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2208-4893-4DAB-81A7-F64DF891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D3CF3-C660-4D02-B3BF-9D53A20E5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AA97A-092A-4935-9B0F-ACB302CEAD66}">
  <ds:schemaRefs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a95247a4-6a6b-40fb-87b6-0fb2f012c536"/>
    <ds:schemaRef ds:uri="http://schemas.microsoft.com/office/infopath/2007/PartnerControls"/>
    <ds:schemaRef ds:uri="http://purl.org/dc/terms/"/>
    <ds:schemaRef ds:uri="d81c2681-db7b-4a56-9abd-a3238a78f6b2"/>
    <ds:schemaRef ds:uri="d869c146-c82e-4435-92e4-da91542262fd"/>
    <ds:schemaRef ds:uri="b98728ac-f998-415c-abee-6b046fb1441e"/>
    <ds:schemaRef ds:uri="http://www.w3.org/XML/1998/namespace"/>
    <ds:schemaRef ds:uri="59C42208-4893-4DAB-81A7-F64DF891705C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3122</Words>
  <Characters>17800</Characters>
  <Application>Microsoft Office Word</Application>
  <DocSecurity>0</DocSecurity>
  <Lines>148</Lines>
  <Paragraphs>41</Paragraphs>
  <ScaleCrop>false</ScaleCrop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Coutman, Melody</dc:creator>
  <cp:keywords/>
  <dc:description/>
  <cp:lastModifiedBy>Tim DICKSON</cp:lastModifiedBy>
  <cp:revision>3</cp:revision>
  <dcterms:created xsi:type="dcterms:W3CDTF">2025-02-27T00:19:00Z</dcterms:created>
  <dcterms:modified xsi:type="dcterms:W3CDTF">2025-02-27T22:50:00Z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0x010100266966F133664895A6EE3632470D45F5000D1D082A34ADE445A8FC5AC030FAB751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2ffbac32,2c67ddd3,5ca63528,261f500,78a82fc1,6b4e8db3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1b09b716,4522106e,431c9f5b,37e537d4,4d311f12,3fd8dd01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</Properties>
</file>