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F448B" w14:textId="143DEA48" w:rsidR="00715914" w:rsidRPr="00623DD6" w:rsidRDefault="008963DD" w:rsidP="00365E41">
      <w:pPr>
        <w:pStyle w:val="LDBodytext"/>
        <w:rPr>
          <w:sz w:val="28"/>
        </w:rPr>
      </w:pPr>
      <w:r w:rsidRPr="00623DD6">
        <w:rPr>
          <w:noProof/>
          <w:lang w:eastAsia="en-AU"/>
        </w:rPr>
        <w:drawing>
          <wp:inline distT="0" distB="0" distL="0" distR="0" wp14:anchorId="08873EEB" wp14:editId="391C51BC">
            <wp:extent cx="1503328" cy="1105200"/>
            <wp:effectExtent l="0" t="0" r="1905" b="0"/>
            <wp:docPr id="1" name="Picture 1" descr="Coat of Arms of the Commonwealth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at of Arms of the Commonwealth of Australia"/>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74B366A7" w14:textId="05694582" w:rsidR="009228CB" w:rsidRPr="004D40CE" w:rsidRDefault="00731088" w:rsidP="009E3D4E">
      <w:pPr>
        <w:pStyle w:val="LDDescription"/>
      </w:pPr>
      <w:bookmarkStart w:id="0" w:name="Title"/>
      <w:r w:rsidRPr="004D40CE">
        <w:rPr>
          <w:rFonts w:ascii="Times New Roman" w:hAnsi="Times New Roman"/>
          <w:sz w:val="40"/>
          <w:szCs w:val="20"/>
          <w:lang w:eastAsia="en-AU"/>
        </w:rPr>
        <w:t>Veterans’ Entitlements</w:t>
      </w:r>
      <w:r w:rsidR="00A1644C" w:rsidRPr="004D40CE">
        <w:rPr>
          <w:rFonts w:ascii="Times New Roman" w:hAnsi="Times New Roman"/>
          <w:sz w:val="40"/>
          <w:szCs w:val="20"/>
          <w:lang w:eastAsia="en-AU"/>
        </w:rPr>
        <w:t xml:space="preserve"> (</w:t>
      </w:r>
      <w:r w:rsidR="002C706B" w:rsidRPr="004D40CE">
        <w:rPr>
          <w:rFonts w:ascii="Times New Roman" w:hAnsi="Times New Roman"/>
          <w:sz w:val="40"/>
          <w:szCs w:val="20"/>
          <w:lang w:eastAsia="en-AU"/>
        </w:rPr>
        <w:t>Primary Production Concession</w:t>
      </w:r>
      <w:r w:rsidR="00DB2140" w:rsidRPr="004D40CE">
        <w:rPr>
          <w:rFonts w:ascii="Times New Roman" w:hAnsi="Times New Roman"/>
          <w:sz w:val="40"/>
          <w:szCs w:val="20"/>
          <w:lang w:eastAsia="en-AU"/>
        </w:rPr>
        <w:t xml:space="preserve">) </w:t>
      </w:r>
      <w:r w:rsidR="00D50AF2" w:rsidRPr="004D40CE">
        <w:rPr>
          <w:rFonts w:ascii="Times New Roman" w:hAnsi="Times New Roman"/>
          <w:sz w:val="40"/>
          <w:szCs w:val="20"/>
          <w:lang w:eastAsia="en-AU"/>
        </w:rPr>
        <w:t>Principles</w:t>
      </w:r>
      <w:r w:rsidR="00CB025B" w:rsidRPr="004D40CE">
        <w:rPr>
          <w:rFonts w:ascii="Times New Roman" w:hAnsi="Times New Roman"/>
          <w:sz w:val="40"/>
          <w:szCs w:val="20"/>
          <w:lang w:eastAsia="en-AU"/>
        </w:rPr>
        <w:t> </w:t>
      </w:r>
      <w:r w:rsidR="00DB2140" w:rsidRPr="004D40CE">
        <w:rPr>
          <w:rFonts w:ascii="Times New Roman" w:hAnsi="Times New Roman"/>
          <w:sz w:val="40"/>
          <w:szCs w:val="20"/>
          <w:lang w:eastAsia="en-AU"/>
        </w:rPr>
        <w:t>202</w:t>
      </w:r>
      <w:bookmarkEnd w:id="0"/>
      <w:r w:rsidR="001D41E2" w:rsidRPr="004D40CE">
        <w:rPr>
          <w:rFonts w:ascii="Times New Roman" w:hAnsi="Times New Roman"/>
          <w:sz w:val="40"/>
          <w:szCs w:val="20"/>
          <w:lang w:eastAsia="en-AU"/>
        </w:rPr>
        <w:t>5</w:t>
      </w:r>
    </w:p>
    <w:p w14:paraId="2175F999" w14:textId="1558527C" w:rsidR="00554826" w:rsidRPr="004D40CE" w:rsidRDefault="00734873" w:rsidP="00365E41">
      <w:pPr>
        <w:pStyle w:val="LDBodytext"/>
        <w:rPr>
          <w:sz w:val="22"/>
          <w:szCs w:val="20"/>
        </w:rPr>
      </w:pPr>
      <w:r w:rsidRPr="004D40CE">
        <w:rPr>
          <w:sz w:val="22"/>
          <w:szCs w:val="20"/>
        </w:rPr>
        <w:t xml:space="preserve">The </w:t>
      </w:r>
      <w:r w:rsidR="00731088" w:rsidRPr="004D40CE">
        <w:rPr>
          <w:sz w:val="22"/>
          <w:szCs w:val="20"/>
        </w:rPr>
        <w:t>Repatriation</w:t>
      </w:r>
      <w:r w:rsidRPr="004D40CE">
        <w:rPr>
          <w:sz w:val="22"/>
          <w:szCs w:val="20"/>
        </w:rPr>
        <w:t xml:space="preserve"> Commission</w:t>
      </w:r>
      <w:r w:rsidR="00554826" w:rsidRPr="004D40CE">
        <w:rPr>
          <w:sz w:val="22"/>
          <w:szCs w:val="20"/>
        </w:rPr>
        <w:t xml:space="preserve"> </w:t>
      </w:r>
      <w:r w:rsidR="00E95FC7" w:rsidRPr="004D40CE">
        <w:rPr>
          <w:sz w:val="22"/>
          <w:szCs w:val="20"/>
        </w:rPr>
        <w:t>makes</w:t>
      </w:r>
      <w:r w:rsidR="00554826" w:rsidRPr="004D40CE">
        <w:rPr>
          <w:sz w:val="22"/>
          <w:szCs w:val="20"/>
        </w:rPr>
        <w:t xml:space="preserve"> th</w:t>
      </w:r>
      <w:r w:rsidR="004E69F1" w:rsidRPr="004D40CE">
        <w:rPr>
          <w:sz w:val="22"/>
          <w:szCs w:val="20"/>
        </w:rPr>
        <w:t>e following</w:t>
      </w:r>
      <w:r w:rsidR="00B73647" w:rsidRPr="004D40CE">
        <w:rPr>
          <w:sz w:val="22"/>
          <w:szCs w:val="20"/>
        </w:rPr>
        <w:t xml:space="preserve"> instrument</w:t>
      </w:r>
      <w:r w:rsidR="002505B4" w:rsidRPr="004D40CE">
        <w:rPr>
          <w:sz w:val="22"/>
          <w:szCs w:val="20"/>
        </w:rPr>
        <w:t>.</w:t>
      </w:r>
    </w:p>
    <w:p w14:paraId="0212969D" w14:textId="51B6244F" w:rsidR="00BB7D35" w:rsidRPr="004D40CE" w:rsidRDefault="00554826" w:rsidP="00503DBC">
      <w:pPr>
        <w:pStyle w:val="LDDate"/>
        <w:tabs>
          <w:tab w:val="right" w:pos="3402"/>
        </w:tabs>
        <w:rPr>
          <w:sz w:val="22"/>
          <w:szCs w:val="22"/>
        </w:rPr>
      </w:pPr>
      <w:r w:rsidRPr="004D40CE">
        <w:rPr>
          <w:sz w:val="22"/>
          <w:szCs w:val="22"/>
        </w:rPr>
        <w:t>Dated</w:t>
      </w:r>
      <w:r w:rsidR="00BE7375" w:rsidRPr="004D40CE">
        <w:rPr>
          <w:sz w:val="22"/>
          <w:szCs w:val="22"/>
        </w:rPr>
        <w:tab/>
      </w:r>
      <w:r w:rsidR="00503DBC">
        <w:rPr>
          <w:sz w:val="22"/>
          <w:szCs w:val="22"/>
        </w:rPr>
        <w:t xml:space="preserve">19 February </w:t>
      </w:r>
      <w:r w:rsidR="00734873" w:rsidRPr="004D40CE">
        <w:rPr>
          <w:sz w:val="22"/>
          <w:szCs w:val="22"/>
        </w:rPr>
        <w:t>202</w:t>
      </w:r>
      <w:r w:rsidR="001D41E2" w:rsidRPr="004D40CE">
        <w:rPr>
          <w:sz w:val="22"/>
          <w:szCs w:val="22"/>
        </w:rPr>
        <w:t>5</w:t>
      </w:r>
    </w:p>
    <w:p w14:paraId="432548AF" w14:textId="7B04630B" w:rsidR="00BB7D35" w:rsidRPr="004D40CE" w:rsidRDefault="00BB7D35" w:rsidP="00BB7D35">
      <w:pPr>
        <w:keepNext/>
        <w:tabs>
          <w:tab w:val="left" w:pos="3402"/>
        </w:tabs>
        <w:spacing w:before="600" w:line="300" w:lineRule="atLeast"/>
        <w:ind w:right="397"/>
        <w:rPr>
          <w:szCs w:val="22"/>
        </w:rPr>
      </w:pPr>
      <w:r w:rsidRPr="004D40CE">
        <w:rPr>
          <w:szCs w:val="22"/>
        </w:rPr>
        <w:t>The Seal of the</w:t>
      </w:r>
    </w:p>
    <w:p w14:paraId="08623AF8" w14:textId="4DA002B0" w:rsidR="00BB7D35" w:rsidRPr="004D40CE" w:rsidRDefault="00731088" w:rsidP="00BB7D35">
      <w:pPr>
        <w:keepNext/>
        <w:tabs>
          <w:tab w:val="left" w:pos="3402"/>
        </w:tabs>
        <w:spacing w:line="300" w:lineRule="atLeast"/>
        <w:ind w:right="397"/>
        <w:rPr>
          <w:szCs w:val="22"/>
        </w:rPr>
      </w:pPr>
      <w:r w:rsidRPr="004D40CE">
        <w:rPr>
          <w:szCs w:val="22"/>
        </w:rPr>
        <w:t>Repatriation</w:t>
      </w:r>
      <w:r w:rsidR="00BB7D35" w:rsidRPr="004D40CE">
        <w:rPr>
          <w:szCs w:val="22"/>
        </w:rPr>
        <w:t xml:space="preserve"> Commission</w:t>
      </w:r>
    </w:p>
    <w:p w14:paraId="3B7CE3F5" w14:textId="142DAFC6" w:rsidR="00BB7D35" w:rsidRPr="004D40CE" w:rsidRDefault="00BB7D35" w:rsidP="00BB7D35">
      <w:pPr>
        <w:keepNext/>
        <w:tabs>
          <w:tab w:val="left" w:pos="3402"/>
        </w:tabs>
        <w:spacing w:line="300" w:lineRule="atLeast"/>
        <w:ind w:right="397"/>
        <w:rPr>
          <w:szCs w:val="22"/>
        </w:rPr>
      </w:pPr>
      <w:r w:rsidRPr="004D40CE">
        <w:rPr>
          <w:szCs w:val="22"/>
        </w:rPr>
        <w:t>was affixed to this instrument</w:t>
      </w:r>
    </w:p>
    <w:p w14:paraId="58652468" w14:textId="43187818" w:rsidR="00CB025B" w:rsidRPr="004D40CE" w:rsidRDefault="00BB7D35" w:rsidP="00A30B7F">
      <w:pPr>
        <w:keepNext/>
        <w:tabs>
          <w:tab w:val="left" w:pos="3402"/>
        </w:tabs>
        <w:spacing w:line="300" w:lineRule="atLeast"/>
        <w:ind w:right="397"/>
        <w:rPr>
          <w:szCs w:val="22"/>
        </w:rPr>
      </w:pPr>
      <w:r w:rsidRPr="004D40CE">
        <w:rPr>
          <w:szCs w:val="22"/>
        </w:rPr>
        <w:t>in the presence of:</w:t>
      </w:r>
    </w:p>
    <w:tbl>
      <w:tblPr>
        <w:tblW w:w="5000" w:type="pct"/>
        <w:shd w:val="clear" w:color="auto" w:fill="FFFFFF"/>
        <w:tblCellMar>
          <w:left w:w="0" w:type="dxa"/>
          <w:right w:w="0" w:type="dxa"/>
        </w:tblCellMar>
        <w:tblLook w:val="04A0" w:firstRow="1" w:lastRow="0" w:firstColumn="1" w:lastColumn="0" w:noHBand="0" w:noVBand="1"/>
      </w:tblPr>
      <w:tblGrid>
        <w:gridCol w:w="4210"/>
        <w:gridCol w:w="4295"/>
      </w:tblGrid>
      <w:tr w:rsidR="00F1388D" w:rsidRPr="004D40CE" w14:paraId="7FDE49FF" w14:textId="77777777" w:rsidTr="00731088">
        <w:tc>
          <w:tcPr>
            <w:tcW w:w="2475" w:type="pct"/>
            <w:shd w:val="clear" w:color="auto" w:fill="FFFFFF"/>
            <w:tcMar>
              <w:top w:w="0" w:type="dxa"/>
              <w:left w:w="108" w:type="dxa"/>
              <w:bottom w:w="0" w:type="dxa"/>
              <w:right w:w="108" w:type="dxa"/>
            </w:tcMar>
            <w:hideMark/>
          </w:tcPr>
          <w:p w14:paraId="7234E589" w14:textId="77777777" w:rsidR="00F1388D" w:rsidRPr="004D40CE" w:rsidRDefault="00F1388D" w:rsidP="008C5301">
            <w:pPr>
              <w:spacing w:before="1080" w:line="300" w:lineRule="atLeast"/>
              <w:jc w:val="center"/>
              <w:rPr>
                <w:rFonts w:eastAsia="Times New Roman" w:cs="Times New Roman"/>
                <w:color w:val="000000"/>
                <w:szCs w:val="22"/>
                <w:lang w:eastAsia="en-AU"/>
              </w:rPr>
            </w:pPr>
            <w:r w:rsidRPr="004D40CE">
              <w:rPr>
                <w:rFonts w:eastAsia="Times New Roman" w:cs="Times New Roman"/>
                <w:color w:val="000000"/>
                <w:szCs w:val="22"/>
                <w:lang w:eastAsia="en-AU"/>
              </w:rPr>
              <w:t>Alison Frame</w:t>
            </w:r>
          </w:p>
        </w:tc>
        <w:tc>
          <w:tcPr>
            <w:tcW w:w="2525" w:type="pct"/>
            <w:shd w:val="clear" w:color="auto" w:fill="FFFFFF"/>
            <w:tcMar>
              <w:top w:w="0" w:type="dxa"/>
              <w:left w:w="108" w:type="dxa"/>
              <w:bottom w:w="0" w:type="dxa"/>
              <w:right w:w="108" w:type="dxa"/>
            </w:tcMar>
            <w:hideMark/>
          </w:tcPr>
          <w:p w14:paraId="72569D52" w14:textId="52E223CE" w:rsidR="00F1388D" w:rsidRPr="004D40CE" w:rsidRDefault="00F1388D" w:rsidP="008C5301">
            <w:pPr>
              <w:spacing w:before="1080" w:line="300" w:lineRule="atLeast"/>
              <w:jc w:val="center"/>
              <w:rPr>
                <w:rFonts w:eastAsia="Times New Roman" w:cs="Times New Roman"/>
                <w:color w:val="000000"/>
                <w:szCs w:val="22"/>
                <w:lang w:eastAsia="en-AU"/>
              </w:rPr>
            </w:pPr>
            <w:r w:rsidRPr="004D40CE">
              <w:rPr>
                <w:rFonts w:eastAsia="Times New Roman" w:cs="Times New Roman"/>
                <w:color w:val="000000"/>
                <w:szCs w:val="22"/>
                <w:lang w:eastAsia="en-AU"/>
              </w:rPr>
              <w:t>Mark Brewer</w:t>
            </w:r>
          </w:p>
        </w:tc>
      </w:tr>
      <w:tr w:rsidR="00F1388D" w:rsidRPr="004D40CE" w14:paraId="3838FBFE" w14:textId="77777777" w:rsidTr="00731088">
        <w:tc>
          <w:tcPr>
            <w:tcW w:w="2475" w:type="pct"/>
            <w:shd w:val="clear" w:color="auto" w:fill="FFFFFF"/>
            <w:tcMar>
              <w:top w:w="0" w:type="dxa"/>
              <w:left w:w="108" w:type="dxa"/>
              <w:bottom w:w="0" w:type="dxa"/>
              <w:right w:w="108" w:type="dxa"/>
            </w:tcMar>
            <w:hideMark/>
          </w:tcPr>
          <w:p w14:paraId="0DC9BB8B" w14:textId="77777777" w:rsidR="00F1388D" w:rsidRPr="004D40CE" w:rsidRDefault="00F1388D" w:rsidP="008C5301">
            <w:pPr>
              <w:spacing w:line="300" w:lineRule="atLeast"/>
              <w:ind w:right="-2"/>
              <w:jc w:val="center"/>
              <w:rPr>
                <w:rFonts w:eastAsia="Times New Roman" w:cs="Times New Roman"/>
                <w:color w:val="000000"/>
                <w:szCs w:val="22"/>
                <w:lang w:eastAsia="en-AU"/>
              </w:rPr>
            </w:pPr>
          </w:p>
        </w:tc>
        <w:tc>
          <w:tcPr>
            <w:tcW w:w="2525" w:type="pct"/>
            <w:shd w:val="clear" w:color="auto" w:fill="FFFFFF"/>
            <w:tcMar>
              <w:top w:w="0" w:type="dxa"/>
              <w:left w:w="108" w:type="dxa"/>
              <w:bottom w:w="0" w:type="dxa"/>
              <w:right w:w="108" w:type="dxa"/>
            </w:tcMar>
            <w:hideMark/>
          </w:tcPr>
          <w:p w14:paraId="0F2C795F" w14:textId="77777777" w:rsidR="00F1388D" w:rsidRPr="004D40CE" w:rsidRDefault="00F1388D" w:rsidP="008C5301">
            <w:pPr>
              <w:spacing w:line="300" w:lineRule="atLeast"/>
              <w:ind w:right="-2"/>
              <w:jc w:val="center"/>
              <w:rPr>
                <w:rFonts w:eastAsia="Times New Roman" w:cs="Times New Roman"/>
                <w:color w:val="000000"/>
                <w:szCs w:val="22"/>
                <w:lang w:eastAsia="en-AU"/>
              </w:rPr>
            </w:pPr>
            <w:r w:rsidRPr="004D40CE">
              <w:t>AM CSC and Bar</w:t>
            </w:r>
          </w:p>
        </w:tc>
      </w:tr>
      <w:tr w:rsidR="00F1388D" w:rsidRPr="004D40CE" w14:paraId="65C9FBA7" w14:textId="77777777" w:rsidTr="00731088">
        <w:tc>
          <w:tcPr>
            <w:tcW w:w="2475" w:type="pct"/>
            <w:shd w:val="clear" w:color="auto" w:fill="FFFFFF"/>
            <w:tcMar>
              <w:top w:w="0" w:type="dxa"/>
              <w:left w:w="108" w:type="dxa"/>
              <w:bottom w:w="0" w:type="dxa"/>
              <w:right w:w="108" w:type="dxa"/>
            </w:tcMar>
            <w:hideMark/>
          </w:tcPr>
          <w:p w14:paraId="7D2807E0" w14:textId="77777777" w:rsidR="00F1388D" w:rsidRPr="004D40CE" w:rsidRDefault="00F1388D" w:rsidP="008C5301">
            <w:pPr>
              <w:spacing w:line="300" w:lineRule="atLeast"/>
              <w:ind w:right="-2"/>
              <w:jc w:val="center"/>
              <w:rPr>
                <w:rFonts w:eastAsia="Times New Roman" w:cs="Times New Roman"/>
                <w:color w:val="000000"/>
                <w:szCs w:val="22"/>
                <w:lang w:eastAsia="en-AU"/>
              </w:rPr>
            </w:pPr>
            <w:r w:rsidRPr="004D40CE">
              <w:rPr>
                <w:rFonts w:eastAsia="Times New Roman" w:cs="Times New Roman"/>
                <w:color w:val="000000"/>
                <w:szCs w:val="22"/>
                <w:lang w:eastAsia="en-AU"/>
              </w:rPr>
              <w:t>President</w:t>
            </w:r>
          </w:p>
          <w:p w14:paraId="03C31CF5" w14:textId="75D2048B" w:rsidR="00F1388D" w:rsidRPr="004D40CE" w:rsidRDefault="00F1388D" w:rsidP="008C5301">
            <w:pPr>
              <w:spacing w:line="300" w:lineRule="atLeast"/>
              <w:ind w:right="-2"/>
              <w:jc w:val="center"/>
              <w:rPr>
                <w:rFonts w:eastAsia="Times New Roman" w:cs="Times New Roman"/>
                <w:color w:val="000000"/>
                <w:szCs w:val="22"/>
                <w:lang w:eastAsia="en-AU"/>
              </w:rPr>
            </w:pPr>
          </w:p>
        </w:tc>
        <w:tc>
          <w:tcPr>
            <w:tcW w:w="2525" w:type="pct"/>
            <w:shd w:val="clear" w:color="auto" w:fill="FFFFFF"/>
            <w:tcMar>
              <w:top w:w="0" w:type="dxa"/>
              <w:left w:w="108" w:type="dxa"/>
              <w:bottom w:w="0" w:type="dxa"/>
              <w:right w:w="108" w:type="dxa"/>
            </w:tcMar>
            <w:hideMark/>
          </w:tcPr>
          <w:p w14:paraId="6F3A8ACA" w14:textId="21E45B70" w:rsidR="00F1388D" w:rsidRPr="004D40CE" w:rsidRDefault="00F1388D" w:rsidP="008C5301">
            <w:pPr>
              <w:spacing w:line="300" w:lineRule="atLeast"/>
              <w:ind w:right="-2"/>
              <w:jc w:val="center"/>
              <w:rPr>
                <w:rFonts w:eastAsia="Times New Roman" w:cs="Times New Roman"/>
                <w:color w:val="000000"/>
                <w:szCs w:val="22"/>
                <w:lang w:eastAsia="en-AU"/>
              </w:rPr>
            </w:pPr>
            <w:r w:rsidRPr="004D40CE">
              <w:rPr>
                <w:rFonts w:eastAsia="Times New Roman" w:cs="Times New Roman"/>
                <w:color w:val="000000"/>
                <w:szCs w:val="22"/>
                <w:lang w:eastAsia="en-AU"/>
              </w:rPr>
              <w:t>Deputy President</w:t>
            </w:r>
          </w:p>
          <w:p w14:paraId="33EB5288" w14:textId="15054508" w:rsidR="00F1388D" w:rsidRPr="004D40CE" w:rsidRDefault="00F1388D" w:rsidP="008C5301">
            <w:pPr>
              <w:spacing w:line="300" w:lineRule="atLeast"/>
              <w:ind w:right="-2"/>
              <w:jc w:val="center"/>
              <w:rPr>
                <w:rFonts w:eastAsia="Times New Roman" w:cs="Times New Roman"/>
                <w:color w:val="000000"/>
                <w:szCs w:val="22"/>
                <w:lang w:eastAsia="en-AU"/>
              </w:rPr>
            </w:pPr>
          </w:p>
        </w:tc>
      </w:tr>
      <w:tr w:rsidR="00F1388D" w:rsidRPr="004D40CE" w14:paraId="47FD73E0" w14:textId="77777777" w:rsidTr="00731088">
        <w:tc>
          <w:tcPr>
            <w:tcW w:w="2475" w:type="pct"/>
            <w:shd w:val="clear" w:color="auto" w:fill="FFFFFF"/>
            <w:tcMar>
              <w:top w:w="0" w:type="dxa"/>
              <w:left w:w="108" w:type="dxa"/>
              <w:bottom w:w="0" w:type="dxa"/>
              <w:right w:w="108" w:type="dxa"/>
            </w:tcMar>
            <w:hideMark/>
          </w:tcPr>
          <w:p w14:paraId="10C8241E" w14:textId="77777777" w:rsidR="00F1388D" w:rsidRPr="004D40CE" w:rsidRDefault="00F1388D" w:rsidP="008C5301">
            <w:pPr>
              <w:spacing w:before="1080" w:line="300" w:lineRule="atLeast"/>
              <w:jc w:val="center"/>
              <w:rPr>
                <w:rFonts w:eastAsia="Times New Roman" w:cs="Times New Roman"/>
                <w:color w:val="000000"/>
                <w:szCs w:val="22"/>
                <w:lang w:eastAsia="en-AU"/>
              </w:rPr>
            </w:pPr>
            <w:r w:rsidRPr="004D40CE">
              <w:t>Gwen Cherne</w:t>
            </w:r>
          </w:p>
        </w:tc>
        <w:tc>
          <w:tcPr>
            <w:tcW w:w="2525" w:type="pct"/>
            <w:shd w:val="clear" w:color="auto" w:fill="FFFFFF"/>
            <w:tcMar>
              <w:top w:w="0" w:type="dxa"/>
              <w:left w:w="108" w:type="dxa"/>
              <w:bottom w:w="0" w:type="dxa"/>
              <w:right w:w="108" w:type="dxa"/>
            </w:tcMar>
            <w:hideMark/>
          </w:tcPr>
          <w:p w14:paraId="691E3C55" w14:textId="77777777" w:rsidR="00F1388D" w:rsidRPr="004D40CE" w:rsidRDefault="00F1388D" w:rsidP="008C5301">
            <w:pPr>
              <w:spacing w:before="1080" w:line="300" w:lineRule="atLeast"/>
              <w:jc w:val="center"/>
              <w:rPr>
                <w:rFonts w:eastAsia="Times New Roman" w:cs="Times New Roman"/>
                <w:color w:val="000000"/>
                <w:szCs w:val="22"/>
                <w:lang w:eastAsia="en-AU"/>
              </w:rPr>
            </w:pPr>
            <w:r w:rsidRPr="004D40CE">
              <w:rPr>
                <w:rFonts w:eastAsia="Times New Roman" w:cs="Times New Roman"/>
                <w:color w:val="000000"/>
                <w:szCs w:val="22"/>
                <w:lang w:eastAsia="en-AU"/>
              </w:rPr>
              <w:t>Kahlil Fegan</w:t>
            </w:r>
          </w:p>
        </w:tc>
      </w:tr>
      <w:tr w:rsidR="00F1388D" w:rsidRPr="004D40CE" w14:paraId="242BA7A1" w14:textId="77777777" w:rsidTr="00731088">
        <w:tc>
          <w:tcPr>
            <w:tcW w:w="2475" w:type="pct"/>
            <w:shd w:val="clear" w:color="auto" w:fill="FFFFFF"/>
            <w:tcMar>
              <w:top w:w="0" w:type="dxa"/>
              <w:left w:w="108" w:type="dxa"/>
              <w:bottom w:w="0" w:type="dxa"/>
              <w:right w:w="108" w:type="dxa"/>
            </w:tcMar>
            <w:hideMark/>
          </w:tcPr>
          <w:p w14:paraId="615340E6" w14:textId="77777777" w:rsidR="00F1388D" w:rsidRPr="004D40CE" w:rsidRDefault="00F1388D" w:rsidP="008C5301">
            <w:pPr>
              <w:spacing w:line="300" w:lineRule="atLeast"/>
              <w:jc w:val="center"/>
              <w:rPr>
                <w:rFonts w:eastAsia="Times New Roman" w:cs="Times New Roman"/>
                <w:color w:val="000000"/>
                <w:szCs w:val="22"/>
                <w:lang w:eastAsia="en-AU"/>
              </w:rPr>
            </w:pPr>
          </w:p>
        </w:tc>
        <w:tc>
          <w:tcPr>
            <w:tcW w:w="2525" w:type="pct"/>
            <w:shd w:val="clear" w:color="auto" w:fill="FFFFFF"/>
            <w:tcMar>
              <w:top w:w="0" w:type="dxa"/>
              <w:left w:w="108" w:type="dxa"/>
              <w:bottom w:w="0" w:type="dxa"/>
              <w:right w:w="108" w:type="dxa"/>
            </w:tcMar>
            <w:hideMark/>
          </w:tcPr>
          <w:p w14:paraId="51EDA04E" w14:textId="5094AC35" w:rsidR="00F1388D" w:rsidRPr="004D40CE" w:rsidRDefault="00F1388D" w:rsidP="008C5301">
            <w:pPr>
              <w:spacing w:line="300" w:lineRule="atLeast"/>
              <w:ind w:right="-2"/>
              <w:jc w:val="center"/>
              <w:rPr>
                <w:rFonts w:eastAsia="Times New Roman" w:cs="Times New Roman"/>
                <w:color w:val="000000"/>
                <w:szCs w:val="22"/>
                <w:lang w:eastAsia="en-AU"/>
              </w:rPr>
            </w:pPr>
            <w:r w:rsidRPr="004D40CE">
              <w:rPr>
                <w:rFonts w:eastAsia="Times New Roman" w:cs="Times New Roman"/>
                <w:color w:val="000000"/>
                <w:szCs w:val="22"/>
                <w:lang w:eastAsia="en-AU"/>
              </w:rPr>
              <w:t>DSC AM</w:t>
            </w:r>
          </w:p>
        </w:tc>
      </w:tr>
      <w:tr w:rsidR="00F1388D" w:rsidRPr="004D40CE" w14:paraId="6C35BDE3" w14:textId="77777777" w:rsidTr="00731088">
        <w:tc>
          <w:tcPr>
            <w:tcW w:w="2475" w:type="pct"/>
            <w:shd w:val="clear" w:color="auto" w:fill="FFFFFF"/>
            <w:tcMar>
              <w:top w:w="0" w:type="dxa"/>
              <w:left w:w="108" w:type="dxa"/>
              <w:bottom w:w="0" w:type="dxa"/>
              <w:right w:w="108" w:type="dxa"/>
            </w:tcMar>
            <w:hideMark/>
          </w:tcPr>
          <w:p w14:paraId="39CA966B" w14:textId="22413F28" w:rsidR="00F1388D" w:rsidRPr="004D40CE" w:rsidRDefault="00731088" w:rsidP="008C5301">
            <w:pPr>
              <w:spacing w:line="300" w:lineRule="atLeast"/>
              <w:jc w:val="center"/>
              <w:rPr>
                <w:rFonts w:eastAsia="Times New Roman" w:cs="Times New Roman"/>
                <w:color w:val="000000"/>
                <w:szCs w:val="22"/>
                <w:lang w:eastAsia="en-AU"/>
              </w:rPr>
            </w:pPr>
            <w:r w:rsidRPr="004D40CE">
              <w:rPr>
                <w:rFonts w:eastAsia="Times New Roman" w:cs="Times New Roman"/>
                <w:color w:val="000000"/>
                <w:szCs w:val="22"/>
                <w:lang w:eastAsia="en-AU"/>
              </w:rPr>
              <w:t>Commissioner</w:t>
            </w:r>
          </w:p>
        </w:tc>
        <w:tc>
          <w:tcPr>
            <w:tcW w:w="2525" w:type="pct"/>
            <w:shd w:val="clear" w:color="auto" w:fill="FFFFFF"/>
            <w:tcMar>
              <w:top w:w="0" w:type="dxa"/>
              <w:left w:w="108" w:type="dxa"/>
              <w:bottom w:w="0" w:type="dxa"/>
              <w:right w:w="108" w:type="dxa"/>
            </w:tcMar>
            <w:hideMark/>
          </w:tcPr>
          <w:p w14:paraId="2BF952ED" w14:textId="6FE4033C" w:rsidR="00F1388D" w:rsidRPr="004D40CE" w:rsidRDefault="00731088" w:rsidP="008C5301">
            <w:pPr>
              <w:spacing w:line="300" w:lineRule="atLeast"/>
              <w:ind w:right="-2"/>
              <w:jc w:val="center"/>
              <w:rPr>
                <w:rFonts w:eastAsia="Times New Roman" w:cs="Times New Roman"/>
                <w:color w:val="000000"/>
                <w:szCs w:val="22"/>
                <w:lang w:eastAsia="en-AU"/>
              </w:rPr>
            </w:pPr>
            <w:r w:rsidRPr="004D40CE">
              <w:rPr>
                <w:rFonts w:eastAsia="Times New Roman" w:cs="Times New Roman"/>
                <w:color w:val="000000"/>
                <w:szCs w:val="22"/>
                <w:lang w:eastAsia="en-AU"/>
              </w:rPr>
              <w:t>Commissioner</w:t>
            </w:r>
          </w:p>
          <w:p w14:paraId="16EF0F96" w14:textId="77777777" w:rsidR="00F1388D" w:rsidRPr="004D40CE" w:rsidRDefault="00F1388D" w:rsidP="008C5301">
            <w:pPr>
              <w:spacing w:line="300" w:lineRule="atLeast"/>
              <w:ind w:right="-2"/>
              <w:rPr>
                <w:rFonts w:eastAsia="Times New Roman" w:cs="Times New Roman"/>
                <w:color w:val="000000"/>
                <w:szCs w:val="22"/>
                <w:lang w:eastAsia="en-AU"/>
              </w:rPr>
            </w:pPr>
          </w:p>
        </w:tc>
      </w:tr>
    </w:tbl>
    <w:p w14:paraId="235B3C0B" w14:textId="77777777" w:rsidR="00554826" w:rsidRPr="004D40CE" w:rsidRDefault="00554826" w:rsidP="00365E41">
      <w:pPr>
        <w:pStyle w:val="LDBodytext"/>
      </w:pPr>
    </w:p>
    <w:p w14:paraId="7E1B27A4" w14:textId="77777777" w:rsidR="007A656F" w:rsidRPr="004D40CE" w:rsidRDefault="007A656F" w:rsidP="006F1A00">
      <w:pPr>
        <w:pStyle w:val="LDBodytext"/>
        <w:sectPr w:rsidR="007A656F" w:rsidRPr="004D40CE" w:rsidSect="00861378">
          <w:headerReference w:type="even" r:id="rId9"/>
          <w:footerReference w:type="even" r:id="rId10"/>
          <w:footerReference w:type="default" r:id="rId11"/>
          <w:pgSz w:w="11907" w:h="16839" w:code="9"/>
          <w:pgMar w:top="1361" w:right="1701" w:bottom="1361" w:left="1701" w:header="720" w:footer="720" w:gutter="0"/>
          <w:cols w:space="708"/>
          <w:docGrid w:linePitch="360"/>
        </w:sectPr>
      </w:pPr>
      <w:bookmarkStart w:id="1" w:name="_Toc23422564"/>
      <w:bookmarkStart w:id="2" w:name="_Toc454512513"/>
      <w:bookmarkStart w:id="3" w:name="_Toc454512517"/>
    </w:p>
    <w:p w14:paraId="2A70E443" w14:textId="77777777" w:rsidR="00E21CB9" w:rsidRPr="004D40CE" w:rsidRDefault="00E21CB9" w:rsidP="00E21CB9">
      <w:pPr>
        <w:pStyle w:val="HP"/>
        <w:rPr>
          <w:color w:val="000000"/>
        </w:rPr>
      </w:pPr>
      <w:bookmarkStart w:id="4" w:name="_Toc532888690"/>
      <w:bookmarkStart w:id="5" w:name="_Toc31201286"/>
      <w:bookmarkStart w:id="6" w:name="_Toc149573446"/>
      <w:bookmarkEnd w:id="1"/>
      <w:r w:rsidRPr="004D40CE">
        <w:rPr>
          <w:rStyle w:val="CharPartNo"/>
          <w:color w:val="000000"/>
        </w:rPr>
        <w:lastRenderedPageBreak/>
        <w:t>Part 1</w:t>
      </w:r>
      <w:r w:rsidRPr="004D40CE">
        <w:rPr>
          <w:color w:val="000000"/>
        </w:rPr>
        <w:tab/>
      </w:r>
      <w:r w:rsidRPr="004D40CE">
        <w:rPr>
          <w:rStyle w:val="CharPartText"/>
          <w:color w:val="000000"/>
        </w:rPr>
        <w:t>Preliminary</w:t>
      </w:r>
      <w:bookmarkEnd w:id="4"/>
    </w:p>
    <w:p w14:paraId="72CCC0E0" w14:textId="14A4A1F9" w:rsidR="003B3646" w:rsidRPr="004D40CE" w:rsidRDefault="00F4733F" w:rsidP="000B14AD">
      <w:pPr>
        <w:pStyle w:val="LDSecHead"/>
        <w:rPr>
          <w:rFonts w:ascii="Times New Roman" w:hAnsi="Times New Roman" w:cs="Times New Roman"/>
          <w:sz w:val="24"/>
          <w:szCs w:val="24"/>
        </w:rPr>
      </w:pPr>
      <w:r w:rsidRPr="004D40CE">
        <w:rPr>
          <w:rFonts w:ascii="Times New Roman" w:hAnsi="Times New Roman" w:cs="Times New Roman"/>
          <w:sz w:val="24"/>
          <w:szCs w:val="24"/>
        </w:rPr>
        <w:t>1</w:t>
      </w:r>
      <w:r w:rsidR="0076690F" w:rsidRPr="004D40CE">
        <w:rPr>
          <w:rFonts w:ascii="Times New Roman" w:hAnsi="Times New Roman" w:cs="Times New Roman"/>
          <w:sz w:val="24"/>
          <w:szCs w:val="24"/>
        </w:rPr>
        <w:t xml:space="preserve">  </w:t>
      </w:r>
      <w:r w:rsidR="003B3646" w:rsidRPr="004D40CE">
        <w:rPr>
          <w:rFonts w:ascii="Times New Roman" w:hAnsi="Times New Roman" w:cs="Times New Roman"/>
          <w:sz w:val="24"/>
          <w:szCs w:val="24"/>
        </w:rPr>
        <w:t>Name</w:t>
      </w:r>
      <w:bookmarkEnd w:id="2"/>
      <w:bookmarkEnd w:id="5"/>
      <w:bookmarkEnd w:id="6"/>
    </w:p>
    <w:p w14:paraId="34104CC8" w14:textId="38810FA1" w:rsidR="00B4644E" w:rsidRPr="004D40CE" w:rsidRDefault="003B3646" w:rsidP="0076690F">
      <w:pPr>
        <w:pStyle w:val="LDSec1"/>
        <w:tabs>
          <w:tab w:val="clear" w:pos="454"/>
          <w:tab w:val="clear" w:pos="737"/>
          <w:tab w:val="left" w:pos="1134"/>
          <w:tab w:val="right" w:pos="1418"/>
        </w:tabs>
        <w:ind w:left="1418" w:firstLine="0"/>
      </w:pPr>
      <w:r w:rsidRPr="004D40CE">
        <w:rPr>
          <w:sz w:val="22"/>
          <w:szCs w:val="22"/>
        </w:rPr>
        <w:t>This instrument is the</w:t>
      </w:r>
      <w:r w:rsidR="000B14AD" w:rsidRPr="004D40CE">
        <w:rPr>
          <w:sz w:val="22"/>
          <w:szCs w:val="22"/>
        </w:rPr>
        <w:t xml:space="preserve"> </w:t>
      </w:r>
      <w:r w:rsidR="000B14AD" w:rsidRPr="004D40CE">
        <w:rPr>
          <w:i/>
          <w:sz w:val="22"/>
          <w:szCs w:val="22"/>
        </w:rPr>
        <w:fldChar w:fldCharType="begin"/>
      </w:r>
      <w:r w:rsidR="000B14AD" w:rsidRPr="004D40CE">
        <w:rPr>
          <w:i/>
          <w:sz w:val="22"/>
          <w:szCs w:val="22"/>
        </w:rPr>
        <w:instrText xml:space="preserve"> REF Title \h  \* MERGEFORMAT </w:instrText>
      </w:r>
      <w:r w:rsidR="000B14AD" w:rsidRPr="004D40CE">
        <w:rPr>
          <w:i/>
          <w:sz w:val="22"/>
          <w:szCs w:val="22"/>
        </w:rPr>
      </w:r>
      <w:r w:rsidR="000B14AD" w:rsidRPr="004D40CE">
        <w:rPr>
          <w:i/>
          <w:sz w:val="22"/>
          <w:szCs w:val="22"/>
        </w:rPr>
        <w:fldChar w:fldCharType="separate"/>
      </w:r>
      <w:r w:rsidR="008A57B8" w:rsidRPr="004D40CE">
        <w:rPr>
          <w:i/>
          <w:sz w:val="22"/>
          <w:szCs w:val="22"/>
        </w:rPr>
        <w:t>Veterans’ Entitlements (Primary Production Concession) Principles 202</w:t>
      </w:r>
      <w:r w:rsidR="000B14AD" w:rsidRPr="004D40CE">
        <w:rPr>
          <w:i/>
          <w:sz w:val="22"/>
          <w:szCs w:val="22"/>
        </w:rPr>
        <w:fldChar w:fldCharType="end"/>
      </w:r>
      <w:r w:rsidR="001D41E2" w:rsidRPr="004D40CE">
        <w:rPr>
          <w:i/>
          <w:sz w:val="22"/>
          <w:szCs w:val="22"/>
        </w:rPr>
        <w:t>5</w:t>
      </w:r>
      <w:r w:rsidR="000B14AD" w:rsidRPr="004D40CE">
        <w:rPr>
          <w:sz w:val="22"/>
          <w:szCs w:val="22"/>
        </w:rPr>
        <w:t>.</w:t>
      </w:r>
    </w:p>
    <w:p w14:paraId="705E74C9" w14:textId="37BC2CA8" w:rsidR="003B3646" w:rsidRPr="004D40CE" w:rsidRDefault="00F4733F" w:rsidP="000B14AD">
      <w:pPr>
        <w:pStyle w:val="LDSecHead"/>
        <w:rPr>
          <w:rFonts w:ascii="Times New Roman" w:hAnsi="Times New Roman" w:cs="Times New Roman"/>
          <w:sz w:val="24"/>
          <w:szCs w:val="24"/>
        </w:rPr>
      </w:pPr>
      <w:bookmarkStart w:id="7" w:name="_Toc454512514"/>
      <w:bookmarkStart w:id="8" w:name="_Toc31201287"/>
      <w:bookmarkStart w:id="9" w:name="_Toc149573447"/>
      <w:r w:rsidRPr="004D40CE">
        <w:rPr>
          <w:rFonts w:ascii="Times New Roman" w:hAnsi="Times New Roman" w:cs="Times New Roman"/>
          <w:sz w:val="24"/>
          <w:szCs w:val="24"/>
        </w:rPr>
        <w:t>2</w:t>
      </w:r>
      <w:r w:rsidR="0076690F" w:rsidRPr="004D40CE">
        <w:rPr>
          <w:rFonts w:ascii="Times New Roman" w:hAnsi="Times New Roman" w:cs="Times New Roman"/>
          <w:sz w:val="24"/>
          <w:szCs w:val="24"/>
        </w:rPr>
        <w:t xml:space="preserve">  </w:t>
      </w:r>
      <w:r w:rsidR="003B3646" w:rsidRPr="004D40CE">
        <w:rPr>
          <w:rFonts w:ascii="Times New Roman" w:hAnsi="Times New Roman" w:cs="Times New Roman"/>
          <w:sz w:val="24"/>
          <w:szCs w:val="24"/>
        </w:rPr>
        <w:t>Commencement</w:t>
      </w:r>
      <w:bookmarkEnd w:id="7"/>
      <w:bookmarkEnd w:id="8"/>
      <w:bookmarkEnd w:id="9"/>
    </w:p>
    <w:p w14:paraId="7CD35375" w14:textId="77777777" w:rsidR="00D50AF2" w:rsidRPr="004D40CE" w:rsidRDefault="003B3646" w:rsidP="0076690F">
      <w:pPr>
        <w:pStyle w:val="LDSec1"/>
        <w:tabs>
          <w:tab w:val="clear" w:pos="454"/>
          <w:tab w:val="clear" w:pos="737"/>
          <w:tab w:val="left" w:pos="1134"/>
          <w:tab w:val="right" w:pos="1418"/>
        </w:tabs>
        <w:ind w:left="1418" w:firstLine="0"/>
        <w:rPr>
          <w:sz w:val="22"/>
          <w:szCs w:val="22"/>
        </w:rPr>
      </w:pPr>
      <w:bookmarkStart w:id="10" w:name="_Toc454512515"/>
      <w:r w:rsidRPr="004D40CE">
        <w:rPr>
          <w:sz w:val="22"/>
          <w:szCs w:val="22"/>
        </w:rPr>
        <w:t xml:space="preserve">This instrument commences </w:t>
      </w:r>
      <w:r w:rsidR="00BD08C0" w:rsidRPr="004D40CE">
        <w:rPr>
          <w:sz w:val="22"/>
          <w:szCs w:val="22"/>
        </w:rPr>
        <w:t xml:space="preserve">on </w:t>
      </w:r>
      <w:r w:rsidR="00DB2140" w:rsidRPr="004D40CE">
        <w:rPr>
          <w:sz w:val="22"/>
          <w:szCs w:val="22"/>
        </w:rPr>
        <w:t>the</w:t>
      </w:r>
      <w:r w:rsidR="00D50AF2" w:rsidRPr="004D40CE">
        <w:rPr>
          <w:sz w:val="22"/>
          <w:szCs w:val="22"/>
        </w:rPr>
        <w:t xml:space="preserve"> later of:</w:t>
      </w:r>
    </w:p>
    <w:p w14:paraId="72B344F1" w14:textId="327C8A3F" w:rsidR="003B3646" w:rsidRPr="004D40CE" w:rsidRDefault="00D50AF2" w:rsidP="00D50AF2">
      <w:pPr>
        <w:pStyle w:val="LDSec1"/>
        <w:tabs>
          <w:tab w:val="clear" w:pos="454"/>
          <w:tab w:val="clear" w:pos="737"/>
          <w:tab w:val="left" w:pos="1985"/>
        </w:tabs>
        <w:ind w:left="1418" w:firstLine="142"/>
        <w:rPr>
          <w:sz w:val="22"/>
          <w:szCs w:val="22"/>
        </w:rPr>
      </w:pPr>
      <w:r w:rsidRPr="004D40CE">
        <w:rPr>
          <w:sz w:val="22"/>
          <w:szCs w:val="22"/>
        </w:rPr>
        <w:t>(a)</w:t>
      </w:r>
      <w:r w:rsidRPr="004D40CE">
        <w:rPr>
          <w:sz w:val="22"/>
          <w:szCs w:val="22"/>
        </w:rPr>
        <w:tab/>
        <w:t xml:space="preserve">the </w:t>
      </w:r>
      <w:r w:rsidR="00DB2140" w:rsidRPr="004D40CE">
        <w:rPr>
          <w:sz w:val="22"/>
          <w:szCs w:val="22"/>
        </w:rPr>
        <w:t>day after</w:t>
      </w:r>
      <w:r w:rsidR="00D802D1" w:rsidRPr="004D40CE">
        <w:rPr>
          <w:sz w:val="22"/>
          <w:szCs w:val="22"/>
        </w:rPr>
        <w:t xml:space="preserve"> the day it is</w:t>
      </w:r>
      <w:r w:rsidR="00DB2140" w:rsidRPr="004D40CE">
        <w:rPr>
          <w:sz w:val="22"/>
          <w:szCs w:val="22"/>
        </w:rPr>
        <w:t xml:space="preserve"> regist</w:t>
      </w:r>
      <w:r w:rsidR="00D802D1" w:rsidRPr="004D40CE">
        <w:rPr>
          <w:sz w:val="22"/>
          <w:szCs w:val="22"/>
        </w:rPr>
        <w:t>ered</w:t>
      </w:r>
      <w:r w:rsidRPr="004D40CE">
        <w:rPr>
          <w:sz w:val="22"/>
          <w:szCs w:val="22"/>
        </w:rPr>
        <w:t>; or</w:t>
      </w:r>
    </w:p>
    <w:p w14:paraId="1215F5A1" w14:textId="32785120" w:rsidR="00D50AF2" w:rsidRPr="004D40CE" w:rsidRDefault="00D50AF2" w:rsidP="00D50AF2">
      <w:pPr>
        <w:pStyle w:val="LDSec1"/>
        <w:tabs>
          <w:tab w:val="clear" w:pos="454"/>
          <w:tab w:val="clear" w:pos="737"/>
          <w:tab w:val="left" w:pos="1985"/>
        </w:tabs>
        <w:ind w:left="1985" w:hanging="425"/>
        <w:rPr>
          <w:iCs/>
          <w:sz w:val="22"/>
          <w:szCs w:val="22"/>
        </w:rPr>
      </w:pPr>
      <w:r w:rsidRPr="004D40CE">
        <w:rPr>
          <w:sz w:val="22"/>
          <w:szCs w:val="22"/>
        </w:rPr>
        <w:t>(b)</w:t>
      </w:r>
      <w:r w:rsidRPr="004D40CE">
        <w:rPr>
          <w:sz w:val="22"/>
          <w:szCs w:val="22"/>
        </w:rPr>
        <w:tab/>
        <w:t xml:space="preserve">the day after the day the </w:t>
      </w:r>
      <w:bookmarkStart w:id="11" w:name="_Hlk180012998"/>
      <w:r w:rsidRPr="004D40CE">
        <w:rPr>
          <w:i/>
          <w:iCs/>
          <w:sz w:val="22"/>
          <w:szCs w:val="22"/>
        </w:rPr>
        <w:t>V</w:t>
      </w:r>
      <w:r w:rsidRPr="004D40CE">
        <w:rPr>
          <w:i/>
          <w:sz w:val="22"/>
          <w:szCs w:val="22"/>
        </w:rPr>
        <w:t>eterans’ Entitlements (Attributable Stakeholders and Attribution Percentages) Principles 202</w:t>
      </w:r>
      <w:r w:rsidR="006F3A08" w:rsidRPr="004D40CE">
        <w:rPr>
          <w:i/>
          <w:sz w:val="22"/>
          <w:szCs w:val="22"/>
        </w:rPr>
        <w:t>5</w:t>
      </w:r>
      <w:r w:rsidR="009647FF" w:rsidRPr="004D40CE">
        <w:rPr>
          <w:iCs/>
          <w:sz w:val="22"/>
          <w:szCs w:val="22"/>
        </w:rPr>
        <w:t xml:space="preserve"> </w:t>
      </w:r>
      <w:r w:rsidRPr="004D40CE">
        <w:rPr>
          <w:iCs/>
          <w:sz w:val="22"/>
          <w:szCs w:val="22"/>
        </w:rPr>
        <w:t>commences</w:t>
      </w:r>
      <w:bookmarkEnd w:id="11"/>
      <w:r w:rsidRPr="004D40CE">
        <w:rPr>
          <w:iCs/>
          <w:sz w:val="22"/>
          <w:szCs w:val="22"/>
        </w:rPr>
        <w:t>.</w:t>
      </w:r>
    </w:p>
    <w:p w14:paraId="0C330034" w14:textId="77777777" w:rsidR="004E69F1" w:rsidRPr="004D40CE" w:rsidRDefault="004E69F1" w:rsidP="004E69F1">
      <w:pPr>
        <w:pStyle w:val="LDSec1"/>
        <w:tabs>
          <w:tab w:val="left" w:pos="1134"/>
          <w:tab w:val="right" w:pos="1418"/>
        </w:tabs>
        <w:ind w:left="1418" w:hanging="1418"/>
        <w:rPr>
          <w:b/>
        </w:rPr>
      </w:pPr>
      <w:r w:rsidRPr="004D40CE">
        <w:rPr>
          <w:b/>
        </w:rPr>
        <w:t>3  Authority</w:t>
      </w:r>
    </w:p>
    <w:p w14:paraId="1B9B876F" w14:textId="4CE71E84" w:rsidR="004E69F1" w:rsidRPr="004D40CE" w:rsidRDefault="004E69F1" w:rsidP="00DB1CC2">
      <w:pPr>
        <w:pStyle w:val="LDSec1"/>
        <w:tabs>
          <w:tab w:val="left" w:pos="1134"/>
          <w:tab w:val="right" w:pos="1418"/>
        </w:tabs>
        <w:ind w:left="1418" w:firstLine="0"/>
        <w:rPr>
          <w:sz w:val="22"/>
          <w:szCs w:val="22"/>
        </w:rPr>
      </w:pPr>
      <w:r w:rsidRPr="004D40CE">
        <w:rPr>
          <w:sz w:val="22"/>
          <w:szCs w:val="22"/>
        </w:rPr>
        <w:t xml:space="preserve">This instrument is made under </w:t>
      </w:r>
      <w:r w:rsidR="0019670B" w:rsidRPr="004D40CE">
        <w:rPr>
          <w:sz w:val="22"/>
          <w:szCs w:val="22"/>
        </w:rPr>
        <w:t xml:space="preserve">the </w:t>
      </w:r>
      <w:r w:rsidR="004D40CE" w:rsidRPr="004D40CE">
        <w:rPr>
          <w:i/>
        </w:rPr>
        <w:t>Veterans’ Entitlements Act 1986</w:t>
      </w:r>
      <w:r w:rsidR="0019670B" w:rsidRPr="004D40CE">
        <w:rPr>
          <w:sz w:val="22"/>
          <w:szCs w:val="22"/>
        </w:rPr>
        <w:t xml:space="preserve">, </w:t>
      </w:r>
      <w:r w:rsidR="00A05FF7" w:rsidRPr="004D40CE">
        <w:rPr>
          <w:sz w:val="22"/>
          <w:szCs w:val="22"/>
        </w:rPr>
        <w:t>paragraphs 52ZZZQ</w:t>
      </w:r>
      <w:r w:rsidR="00DB1CC2" w:rsidRPr="004D40CE">
        <w:rPr>
          <w:sz w:val="22"/>
          <w:szCs w:val="22"/>
        </w:rPr>
        <w:t>(j), (k), (l) and (m)</w:t>
      </w:r>
      <w:r w:rsidR="00E95FC7" w:rsidRPr="004D40CE">
        <w:rPr>
          <w:sz w:val="22"/>
          <w:szCs w:val="22"/>
        </w:rPr>
        <w:t>.</w:t>
      </w:r>
    </w:p>
    <w:p w14:paraId="12F69370" w14:textId="5BA83D2C" w:rsidR="00E95FC7" w:rsidRPr="004D40CE" w:rsidRDefault="00E95FC7" w:rsidP="00DB1CC2">
      <w:pPr>
        <w:pStyle w:val="LDSec1"/>
        <w:tabs>
          <w:tab w:val="left" w:pos="1134"/>
          <w:tab w:val="right" w:pos="1418"/>
        </w:tabs>
        <w:ind w:left="1418" w:hanging="1418"/>
        <w:rPr>
          <w:b/>
        </w:rPr>
      </w:pPr>
      <w:bookmarkStart w:id="12" w:name="_Toc454781205"/>
      <w:r w:rsidRPr="004D40CE">
        <w:rPr>
          <w:b/>
        </w:rPr>
        <w:t xml:space="preserve">3A  </w:t>
      </w:r>
      <w:bookmarkEnd w:id="12"/>
      <w:r w:rsidRPr="004D40CE">
        <w:rPr>
          <w:b/>
        </w:rPr>
        <w:t>Repeals</w:t>
      </w:r>
    </w:p>
    <w:p w14:paraId="26B899F2" w14:textId="25FDC709" w:rsidR="00E95FC7" w:rsidRPr="004D40CE" w:rsidRDefault="00E95FC7" w:rsidP="00E95FC7">
      <w:pPr>
        <w:pStyle w:val="subsection"/>
        <w:tabs>
          <w:tab w:val="clear" w:pos="1021"/>
          <w:tab w:val="right" w:pos="1276"/>
        </w:tabs>
        <w:ind w:left="1418" w:firstLine="0"/>
      </w:pPr>
      <w:r w:rsidRPr="004D40CE">
        <w:t xml:space="preserve">Schedule 7 to the </w:t>
      </w:r>
      <w:r w:rsidRPr="004D40CE">
        <w:rPr>
          <w:i/>
          <w:iCs/>
        </w:rPr>
        <w:t>Veterans’ Affairs (Legislative Instrument Re-making Exercise) Instrument 2014</w:t>
      </w:r>
      <w:r w:rsidRPr="004D40CE">
        <w:t xml:space="preserve"> is repealed.</w:t>
      </w:r>
    </w:p>
    <w:p w14:paraId="5560655A" w14:textId="77777777" w:rsidR="004E69F1" w:rsidRPr="004D40CE" w:rsidRDefault="004E69F1" w:rsidP="00DB1CC2">
      <w:pPr>
        <w:pStyle w:val="LDSec1"/>
        <w:tabs>
          <w:tab w:val="left" w:pos="1134"/>
          <w:tab w:val="right" w:pos="1418"/>
        </w:tabs>
        <w:ind w:left="1418" w:hanging="1418"/>
        <w:rPr>
          <w:b/>
        </w:rPr>
      </w:pPr>
      <w:bookmarkStart w:id="13" w:name="_Toc454512516"/>
      <w:r w:rsidRPr="004D40CE">
        <w:rPr>
          <w:b/>
        </w:rPr>
        <w:t>4  Definitions</w:t>
      </w:r>
      <w:bookmarkEnd w:id="13"/>
    </w:p>
    <w:p w14:paraId="6E1D1325" w14:textId="0AB9470A" w:rsidR="004E69F1" w:rsidRPr="004D40CE" w:rsidRDefault="004E69F1" w:rsidP="004E69F1">
      <w:pPr>
        <w:pStyle w:val="notetext"/>
      </w:pPr>
      <w:r w:rsidRPr="004D40CE">
        <w:t>Note:</w:t>
      </w:r>
      <w:r w:rsidRPr="004D40CE">
        <w:tab/>
        <w:t xml:space="preserve">A number of expressions used in this instrument are defined in </w:t>
      </w:r>
      <w:r w:rsidR="00615363" w:rsidRPr="004D40CE">
        <w:t>section 5Q or 52ZO</w:t>
      </w:r>
      <w:r w:rsidRPr="004D40CE">
        <w:t xml:space="preserve"> of the Act, including the following:</w:t>
      </w:r>
    </w:p>
    <w:p w14:paraId="6C747065" w14:textId="1B4053BC" w:rsidR="004E69F1" w:rsidRPr="004D40CE" w:rsidRDefault="004E69F1" w:rsidP="004E69F1">
      <w:pPr>
        <w:pStyle w:val="notepara"/>
      </w:pPr>
      <w:r w:rsidRPr="004D40CE">
        <w:t>(a)</w:t>
      </w:r>
      <w:r w:rsidRPr="004D40CE">
        <w:tab/>
      </w:r>
      <w:r w:rsidR="001939DF" w:rsidRPr="004D40CE">
        <w:t>Commission</w:t>
      </w:r>
      <w:r w:rsidRPr="004D40CE">
        <w:t>;</w:t>
      </w:r>
    </w:p>
    <w:p w14:paraId="553134EB" w14:textId="77777777" w:rsidR="00615363" w:rsidRPr="004D40CE" w:rsidRDefault="004E69F1" w:rsidP="004E69F1">
      <w:pPr>
        <w:pStyle w:val="notepara"/>
      </w:pPr>
      <w:r w:rsidRPr="004D40CE">
        <w:t>(b)</w:t>
      </w:r>
      <w:r w:rsidRPr="004D40CE">
        <w:tab/>
      </w:r>
      <w:r w:rsidR="00615363" w:rsidRPr="004D40CE">
        <w:t>concessional primary production trust;</w:t>
      </w:r>
    </w:p>
    <w:p w14:paraId="139A386E" w14:textId="1BAD029F" w:rsidR="00615363" w:rsidRPr="004D40CE" w:rsidRDefault="00615363" w:rsidP="004E69F1">
      <w:pPr>
        <w:pStyle w:val="notepara"/>
      </w:pPr>
      <w:r w:rsidRPr="004D40CE">
        <w:t>(c)</w:t>
      </w:r>
      <w:r w:rsidRPr="004D40CE">
        <w:tab/>
        <w:t>control;</w:t>
      </w:r>
    </w:p>
    <w:p w14:paraId="59767AD7" w14:textId="30BFD184" w:rsidR="00615363" w:rsidRPr="004D40CE" w:rsidRDefault="00615363" w:rsidP="004E69F1">
      <w:pPr>
        <w:pStyle w:val="notepara"/>
      </w:pPr>
      <w:r w:rsidRPr="004D40CE">
        <w:t>(d)</w:t>
      </w:r>
      <w:r w:rsidRPr="004D40CE">
        <w:tab/>
        <w:t>controlled private company;</w:t>
      </w:r>
    </w:p>
    <w:p w14:paraId="4A08B991" w14:textId="597E96C0" w:rsidR="004E69F1" w:rsidRPr="004D40CE" w:rsidRDefault="00615363" w:rsidP="004E69F1">
      <w:pPr>
        <w:pStyle w:val="notepara"/>
      </w:pPr>
      <w:r w:rsidRPr="004D40CE">
        <w:t>(e)</w:t>
      </w:r>
      <w:r w:rsidRPr="004D40CE">
        <w:tab/>
        <w:t>controlled private trust</w:t>
      </w:r>
      <w:r w:rsidR="007F7D0D" w:rsidRPr="004D40CE">
        <w:t>;</w:t>
      </w:r>
    </w:p>
    <w:p w14:paraId="533959A8" w14:textId="44FF3063" w:rsidR="00C916D8" w:rsidRPr="004D40CE" w:rsidRDefault="007F7D0D" w:rsidP="004E69F1">
      <w:pPr>
        <w:pStyle w:val="notepara"/>
      </w:pPr>
      <w:r w:rsidRPr="004D40CE">
        <w:t>(f)</w:t>
      </w:r>
      <w:r w:rsidRPr="004D40CE">
        <w:tab/>
      </w:r>
      <w:r w:rsidR="00C916D8" w:rsidRPr="004D40CE">
        <w:t>spouse;</w:t>
      </w:r>
    </w:p>
    <w:p w14:paraId="4C7EFEB0" w14:textId="1D7AB2D9" w:rsidR="007F7D0D" w:rsidRPr="004D40CE" w:rsidRDefault="00C916D8" w:rsidP="004E69F1">
      <w:pPr>
        <w:pStyle w:val="notepara"/>
      </w:pPr>
      <w:r w:rsidRPr="004D40CE">
        <w:t>(g)</w:t>
      </w:r>
      <w:r w:rsidRPr="004D40CE">
        <w:tab/>
      </w:r>
      <w:r w:rsidR="007F7D0D" w:rsidRPr="004D40CE">
        <w:t>tax year.</w:t>
      </w:r>
    </w:p>
    <w:p w14:paraId="4BC3D8A6" w14:textId="5D39D0A1" w:rsidR="004E69F1" w:rsidRPr="004D40CE" w:rsidRDefault="004E69F1" w:rsidP="004E69F1">
      <w:pPr>
        <w:pStyle w:val="subsection"/>
      </w:pPr>
      <w:r w:rsidRPr="004D40CE">
        <w:tab/>
      </w:r>
      <w:r w:rsidRPr="004D40CE">
        <w:tab/>
        <w:t>In this instrument:</w:t>
      </w:r>
    </w:p>
    <w:p w14:paraId="335B4481" w14:textId="2FDBF13D" w:rsidR="004E69F1" w:rsidRPr="004D40CE" w:rsidRDefault="004E69F1" w:rsidP="004E69F1">
      <w:pPr>
        <w:pStyle w:val="Definition"/>
      </w:pPr>
      <w:r w:rsidRPr="004D40CE">
        <w:rPr>
          <w:b/>
          <w:i/>
        </w:rPr>
        <w:t>Act</w:t>
      </w:r>
      <w:r w:rsidRPr="004D40CE">
        <w:t xml:space="preserve"> means the </w:t>
      </w:r>
      <w:r w:rsidR="00E445C0" w:rsidRPr="004D40CE">
        <w:rPr>
          <w:i/>
        </w:rPr>
        <w:t>Veterans’ Entitlements</w:t>
      </w:r>
      <w:r w:rsidRPr="004D40CE">
        <w:rPr>
          <w:i/>
        </w:rPr>
        <w:t xml:space="preserve"> Act </w:t>
      </w:r>
      <w:r w:rsidR="00E445C0" w:rsidRPr="004D40CE">
        <w:rPr>
          <w:i/>
        </w:rPr>
        <w:t>1986</w:t>
      </w:r>
      <w:r w:rsidRPr="004D40CE">
        <w:t>.</w:t>
      </w:r>
    </w:p>
    <w:p w14:paraId="7E64405F" w14:textId="77777777" w:rsidR="00620CCF" w:rsidRPr="004D40CE" w:rsidRDefault="00620CCF">
      <w:pPr>
        <w:spacing w:line="240" w:lineRule="auto"/>
        <w:rPr>
          <w:rFonts w:eastAsia="Times New Roman" w:cs="Times New Roman"/>
          <w:lang w:eastAsia="en-AU"/>
        </w:rPr>
      </w:pPr>
      <w:r w:rsidRPr="004D40CE">
        <w:br w:type="page"/>
      </w:r>
    </w:p>
    <w:p w14:paraId="22BF9AA6" w14:textId="7FDA5CCD" w:rsidR="00620CCF" w:rsidRPr="004D40CE" w:rsidRDefault="00620CCF" w:rsidP="00620CCF">
      <w:pPr>
        <w:pStyle w:val="HP"/>
        <w:rPr>
          <w:color w:val="000000"/>
        </w:rPr>
      </w:pPr>
      <w:bookmarkStart w:id="14" w:name="_Toc532888695"/>
      <w:r w:rsidRPr="004D40CE">
        <w:rPr>
          <w:rStyle w:val="CharPartNo"/>
          <w:color w:val="000000"/>
        </w:rPr>
        <w:lastRenderedPageBreak/>
        <w:t>Part 2</w:t>
      </w:r>
      <w:r w:rsidRPr="004D40CE">
        <w:rPr>
          <w:color w:val="000000"/>
        </w:rPr>
        <w:tab/>
      </w:r>
      <w:r w:rsidRPr="004D40CE">
        <w:rPr>
          <w:rStyle w:val="CharPartText"/>
          <w:color w:val="000000"/>
        </w:rPr>
        <w:t>Determin</w:t>
      </w:r>
      <w:r w:rsidR="001B586F" w:rsidRPr="004D40CE">
        <w:rPr>
          <w:rStyle w:val="CharPartText"/>
          <w:color w:val="000000"/>
        </w:rPr>
        <w:t>ing</w:t>
      </w:r>
      <w:r w:rsidRPr="004D40CE">
        <w:rPr>
          <w:rStyle w:val="CharPartText"/>
          <w:color w:val="000000"/>
        </w:rPr>
        <w:t xml:space="preserve"> application</w:t>
      </w:r>
      <w:r w:rsidR="005C18EC" w:rsidRPr="004D40CE">
        <w:rPr>
          <w:rStyle w:val="CharPartText"/>
          <w:color w:val="000000"/>
        </w:rPr>
        <w:t xml:space="preserve"> of </w:t>
      </w:r>
      <w:r w:rsidR="001B586F" w:rsidRPr="004D40CE">
        <w:rPr>
          <w:rStyle w:val="CharPartText"/>
          <w:color w:val="000000"/>
        </w:rPr>
        <w:t xml:space="preserve">Act, </w:t>
      </w:r>
      <w:r w:rsidRPr="004D40CE">
        <w:rPr>
          <w:rStyle w:val="CharPartText"/>
          <w:color w:val="000000"/>
        </w:rPr>
        <w:t>paragraph</w:t>
      </w:r>
      <w:r w:rsidR="001B586F" w:rsidRPr="004D40CE">
        <w:rPr>
          <w:rStyle w:val="CharPartText"/>
          <w:color w:val="000000"/>
        </w:rPr>
        <w:t> </w:t>
      </w:r>
      <w:r w:rsidRPr="004D40CE">
        <w:rPr>
          <w:rStyle w:val="CharPartText"/>
          <w:color w:val="000000"/>
        </w:rPr>
        <w:t>52ZZZF(1)(f)</w:t>
      </w:r>
      <w:bookmarkEnd w:id="14"/>
    </w:p>
    <w:bookmarkEnd w:id="10"/>
    <w:p w14:paraId="3EC53409" w14:textId="27D32402" w:rsidR="004E69F1" w:rsidRPr="004D40CE" w:rsidRDefault="00620CCF" w:rsidP="004E69F1">
      <w:pPr>
        <w:keepNext/>
        <w:keepLines/>
        <w:spacing w:before="280" w:line="240" w:lineRule="auto"/>
        <w:ind w:left="1134" w:hanging="1134"/>
        <w:outlineLvl w:val="4"/>
        <w:rPr>
          <w:rFonts w:eastAsia="Times New Roman" w:cs="Times New Roman"/>
          <w:b/>
          <w:kern w:val="28"/>
          <w:sz w:val="24"/>
          <w:lang w:eastAsia="en-AU"/>
        </w:rPr>
      </w:pPr>
      <w:r w:rsidRPr="004D40CE">
        <w:rPr>
          <w:rFonts w:eastAsia="Times New Roman" w:cs="Times New Roman"/>
          <w:b/>
          <w:kern w:val="28"/>
          <w:sz w:val="24"/>
          <w:lang w:eastAsia="en-AU"/>
        </w:rPr>
        <w:t>5</w:t>
      </w:r>
      <w:r w:rsidR="004E69F1" w:rsidRPr="004D40CE">
        <w:rPr>
          <w:rFonts w:eastAsia="Times New Roman" w:cs="Times New Roman"/>
          <w:b/>
          <w:kern w:val="28"/>
          <w:sz w:val="24"/>
          <w:lang w:eastAsia="en-AU"/>
        </w:rPr>
        <w:t xml:space="preserve">  </w:t>
      </w:r>
      <w:r w:rsidRPr="004D40CE">
        <w:rPr>
          <w:rFonts w:eastAsia="Times New Roman" w:cs="Times New Roman"/>
          <w:b/>
          <w:kern w:val="28"/>
          <w:sz w:val="24"/>
          <w:lang w:eastAsia="en-AU"/>
        </w:rPr>
        <w:t>Purpose—pt 2</w:t>
      </w:r>
    </w:p>
    <w:p w14:paraId="7BDCA1E0" w14:textId="74CC18BE" w:rsidR="004E69F1" w:rsidRPr="004D40CE" w:rsidRDefault="004E69F1" w:rsidP="001B586F">
      <w:pPr>
        <w:tabs>
          <w:tab w:val="right" w:pos="1021"/>
        </w:tabs>
        <w:spacing w:before="180" w:line="240" w:lineRule="auto"/>
        <w:ind w:left="1134" w:hanging="1134"/>
        <w:rPr>
          <w:rFonts w:eastAsia="Times New Roman" w:cs="Times New Roman"/>
          <w:lang w:eastAsia="en-AU"/>
        </w:rPr>
      </w:pPr>
      <w:r w:rsidRPr="004D40CE">
        <w:rPr>
          <w:rFonts w:eastAsia="Times New Roman" w:cs="Times New Roman"/>
          <w:lang w:eastAsia="en-AU"/>
        </w:rPr>
        <w:tab/>
      </w:r>
      <w:r w:rsidR="001B586F" w:rsidRPr="004D40CE">
        <w:rPr>
          <w:rFonts w:eastAsia="Times New Roman" w:cs="Times New Roman"/>
          <w:lang w:eastAsia="en-AU"/>
        </w:rPr>
        <w:tab/>
      </w:r>
      <w:r w:rsidR="001B586F" w:rsidRPr="004D40CE">
        <w:rPr>
          <w:color w:val="000000"/>
        </w:rPr>
        <w:t xml:space="preserve">This Part sets out decision-making principles with which the Commission must comply in making a determination under </w:t>
      </w:r>
      <w:r w:rsidR="0019670B" w:rsidRPr="004D40CE">
        <w:rPr>
          <w:color w:val="000000"/>
        </w:rPr>
        <w:t xml:space="preserve">the Act, </w:t>
      </w:r>
      <w:r w:rsidR="001B586F" w:rsidRPr="004D40CE">
        <w:rPr>
          <w:color w:val="000000"/>
        </w:rPr>
        <w:t>paragraph 52ZZZF(1)(f) that that paragraph applies to an individual and a trust that is a controlled private trust in relation to the individual.</w:t>
      </w:r>
    </w:p>
    <w:p w14:paraId="4DDE64BE" w14:textId="5C4BA2F5" w:rsidR="00620CCF" w:rsidRPr="004D40CE" w:rsidRDefault="0097243B" w:rsidP="00620CCF">
      <w:pPr>
        <w:keepNext/>
        <w:keepLines/>
        <w:spacing w:before="280" w:line="240" w:lineRule="auto"/>
        <w:ind w:left="1134" w:hanging="1134"/>
        <w:outlineLvl w:val="4"/>
        <w:rPr>
          <w:rFonts w:eastAsia="Times New Roman" w:cs="Times New Roman"/>
          <w:b/>
          <w:kern w:val="28"/>
          <w:sz w:val="24"/>
          <w:lang w:eastAsia="en-AU"/>
        </w:rPr>
      </w:pPr>
      <w:r w:rsidRPr="004D40CE">
        <w:rPr>
          <w:rFonts w:eastAsia="Times New Roman" w:cs="Times New Roman"/>
          <w:b/>
          <w:kern w:val="28"/>
          <w:sz w:val="24"/>
          <w:lang w:eastAsia="en-AU"/>
        </w:rPr>
        <w:t>6</w:t>
      </w:r>
      <w:r w:rsidR="00620CCF" w:rsidRPr="004D40CE">
        <w:rPr>
          <w:rFonts w:eastAsia="Times New Roman" w:cs="Times New Roman"/>
          <w:b/>
          <w:kern w:val="28"/>
          <w:sz w:val="24"/>
          <w:lang w:eastAsia="en-AU"/>
        </w:rPr>
        <w:t xml:space="preserve">  </w:t>
      </w:r>
      <w:r w:rsidRPr="004D40CE">
        <w:rPr>
          <w:rFonts w:eastAsia="Times New Roman" w:cs="Times New Roman"/>
          <w:b/>
          <w:kern w:val="28"/>
          <w:sz w:val="24"/>
          <w:lang w:eastAsia="en-AU"/>
        </w:rPr>
        <w:t>Long-term connection with primary production</w:t>
      </w:r>
    </w:p>
    <w:p w14:paraId="67CBADE7" w14:textId="12B4880A" w:rsidR="00620CCF" w:rsidRPr="004D40CE" w:rsidRDefault="00620CCF" w:rsidP="00620CCF">
      <w:pPr>
        <w:tabs>
          <w:tab w:val="right" w:pos="1021"/>
        </w:tabs>
        <w:spacing w:before="180" w:line="240" w:lineRule="auto"/>
        <w:ind w:left="1134" w:hanging="1134"/>
        <w:rPr>
          <w:rFonts w:eastAsia="Times New Roman" w:cs="Times New Roman"/>
          <w:lang w:eastAsia="en-AU"/>
        </w:rPr>
      </w:pPr>
      <w:r w:rsidRPr="004D40CE">
        <w:rPr>
          <w:rFonts w:eastAsia="Times New Roman" w:cs="Times New Roman"/>
          <w:lang w:eastAsia="en-AU"/>
        </w:rPr>
        <w:tab/>
        <w:t>(1)</w:t>
      </w:r>
      <w:r w:rsidRPr="004D40CE">
        <w:rPr>
          <w:rFonts w:eastAsia="Times New Roman" w:cs="Times New Roman"/>
          <w:lang w:eastAsia="en-AU"/>
        </w:rPr>
        <w:tab/>
      </w:r>
      <w:r w:rsidR="0097243B" w:rsidRPr="004D40CE">
        <w:rPr>
          <w:color w:val="000000"/>
        </w:rPr>
        <w:t>The Commission must consider whether the individual has had a long-term connection with primary production, in relation to which, for some reason, there has been an interruption in the period of 3 years immediately before the test time, with the result that, at that time, the requirements of the Act, subparagraphs 52ZZZF(1)(e)(i), (ii) and (iii) are not able to be satisfied in relation to the individual.</w:t>
      </w:r>
    </w:p>
    <w:p w14:paraId="0BDB71CE" w14:textId="7608BF0E" w:rsidR="00620CCF" w:rsidRPr="004D40CE" w:rsidRDefault="00620CCF" w:rsidP="00620CCF">
      <w:pPr>
        <w:tabs>
          <w:tab w:val="right" w:pos="1021"/>
        </w:tabs>
        <w:spacing w:before="180" w:line="240" w:lineRule="auto"/>
        <w:ind w:left="1134" w:hanging="1134"/>
        <w:rPr>
          <w:rFonts w:eastAsia="Times New Roman" w:cs="Times New Roman"/>
          <w:lang w:eastAsia="en-AU"/>
        </w:rPr>
      </w:pPr>
      <w:r w:rsidRPr="004D40CE">
        <w:rPr>
          <w:rFonts w:eastAsia="Times New Roman" w:cs="Times New Roman"/>
          <w:lang w:eastAsia="en-AU"/>
        </w:rPr>
        <w:tab/>
        <w:t>(2)</w:t>
      </w:r>
      <w:r w:rsidRPr="004D40CE">
        <w:rPr>
          <w:rFonts w:eastAsia="Times New Roman" w:cs="Times New Roman"/>
          <w:lang w:eastAsia="en-AU"/>
        </w:rPr>
        <w:tab/>
      </w:r>
      <w:r w:rsidR="0097243B" w:rsidRPr="004D40CE">
        <w:rPr>
          <w:color w:val="000000"/>
        </w:rPr>
        <w:t xml:space="preserve">For subsection (1), an individual is taken to have had a long-term connection with primary production if, for a period of 20 years (whether the period is continuous or is made up of 2 or more periods </w:t>
      </w:r>
      <w:r w:rsidR="00AF349E" w:rsidRPr="004D40CE">
        <w:rPr>
          <w:color w:val="000000"/>
        </w:rPr>
        <w:t>totalling</w:t>
      </w:r>
      <w:r w:rsidR="0097243B" w:rsidRPr="004D40CE">
        <w:rPr>
          <w:color w:val="000000"/>
        </w:rPr>
        <w:t xml:space="preserve"> 20 years), the individual, or the individual’s spouse:</w:t>
      </w:r>
    </w:p>
    <w:p w14:paraId="7CA99B1D" w14:textId="7122CB10" w:rsidR="00620CCF" w:rsidRPr="004D40CE" w:rsidRDefault="00620CCF" w:rsidP="00620CCF">
      <w:pPr>
        <w:tabs>
          <w:tab w:val="right" w:pos="1531"/>
        </w:tabs>
        <w:spacing w:before="40" w:line="240" w:lineRule="auto"/>
        <w:ind w:left="1644" w:hanging="1644"/>
        <w:rPr>
          <w:rFonts w:eastAsia="Times New Roman" w:cs="Times New Roman"/>
          <w:lang w:eastAsia="en-AU"/>
        </w:rPr>
      </w:pPr>
      <w:r w:rsidRPr="004D40CE">
        <w:rPr>
          <w:rFonts w:eastAsia="Times New Roman" w:cs="Times New Roman"/>
          <w:lang w:eastAsia="en-AU"/>
        </w:rPr>
        <w:tab/>
        <w:t>(a)</w:t>
      </w:r>
      <w:r w:rsidRPr="004D40CE">
        <w:rPr>
          <w:rFonts w:eastAsia="Times New Roman" w:cs="Times New Roman"/>
          <w:lang w:eastAsia="en-AU"/>
        </w:rPr>
        <w:tab/>
      </w:r>
      <w:r w:rsidR="0097243B" w:rsidRPr="004D40CE">
        <w:rPr>
          <w:color w:val="000000"/>
        </w:rPr>
        <w:t xml:space="preserve">has been involved in the carrying on of </w:t>
      </w:r>
      <w:r w:rsidR="00AF349E" w:rsidRPr="004D40CE">
        <w:rPr>
          <w:color w:val="000000"/>
        </w:rPr>
        <w:t>1</w:t>
      </w:r>
      <w:r w:rsidR="0097243B" w:rsidRPr="004D40CE">
        <w:rPr>
          <w:color w:val="000000"/>
        </w:rPr>
        <w:t xml:space="preserve"> or more primary production enterprises; and</w:t>
      </w:r>
    </w:p>
    <w:p w14:paraId="11B098FB" w14:textId="6D7471D7" w:rsidR="00620CCF" w:rsidRPr="004D40CE" w:rsidRDefault="00620CCF" w:rsidP="00620CCF">
      <w:pPr>
        <w:tabs>
          <w:tab w:val="right" w:pos="1531"/>
        </w:tabs>
        <w:spacing w:before="40" w:line="240" w:lineRule="auto"/>
        <w:ind w:left="1644" w:hanging="1644"/>
        <w:rPr>
          <w:color w:val="000000"/>
        </w:rPr>
      </w:pPr>
      <w:r w:rsidRPr="004D40CE">
        <w:rPr>
          <w:rFonts w:eastAsia="Times New Roman" w:cs="Times New Roman"/>
          <w:lang w:eastAsia="en-AU"/>
        </w:rPr>
        <w:tab/>
        <w:t>(b)</w:t>
      </w:r>
      <w:r w:rsidRPr="004D40CE">
        <w:rPr>
          <w:rFonts w:eastAsia="Times New Roman" w:cs="Times New Roman"/>
          <w:lang w:eastAsia="en-AU"/>
        </w:rPr>
        <w:tab/>
      </w:r>
      <w:r w:rsidR="0097243B" w:rsidRPr="004D40CE">
        <w:rPr>
          <w:color w:val="000000"/>
        </w:rPr>
        <w:t xml:space="preserve">has contributed a significant part of </w:t>
      </w:r>
      <w:r w:rsidR="00720232" w:rsidRPr="004D40CE">
        <w:rPr>
          <w:color w:val="000000"/>
        </w:rPr>
        <w:t>his</w:t>
      </w:r>
      <w:r w:rsidR="00AF349E" w:rsidRPr="004D40CE">
        <w:rPr>
          <w:color w:val="000000"/>
        </w:rPr>
        <w:t xml:space="preserve"> or </w:t>
      </w:r>
      <w:r w:rsidR="00720232" w:rsidRPr="004D40CE">
        <w:rPr>
          <w:color w:val="000000"/>
        </w:rPr>
        <w:t>her</w:t>
      </w:r>
      <w:r w:rsidR="00DD00CE" w:rsidRPr="004D40CE">
        <w:rPr>
          <w:color w:val="000000"/>
        </w:rPr>
        <w:t xml:space="preserve"> </w:t>
      </w:r>
      <w:r w:rsidR="0097243B" w:rsidRPr="004D40CE">
        <w:rPr>
          <w:color w:val="000000"/>
        </w:rPr>
        <w:t>labour to the carrying on of those primary production enterprises; and</w:t>
      </w:r>
    </w:p>
    <w:p w14:paraId="53A087CB" w14:textId="1269FDF3" w:rsidR="0097243B" w:rsidRPr="004D40CE" w:rsidRDefault="0097243B" w:rsidP="00620CCF">
      <w:pPr>
        <w:tabs>
          <w:tab w:val="right" w:pos="1531"/>
        </w:tabs>
        <w:spacing w:before="40" w:line="240" w:lineRule="auto"/>
        <w:ind w:left="1644" w:hanging="1644"/>
        <w:rPr>
          <w:rFonts w:eastAsia="Times New Roman" w:cs="Times New Roman"/>
          <w:lang w:eastAsia="en-AU"/>
        </w:rPr>
      </w:pPr>
      <w:r w:rsidRPr="004D40CE">
        <w:rPr>
          <w:rFonts w:eastAsia="Times New Roman" w:cs="Times New Roman"/>
          <w:lang w:eastAsia="en-AU"/>
        </w:rPr>
        <w:tab/>
        <w:t>(c)</w:t>
      </w:r>
      <w:r w:rsidRPr="004D40CE">
        <w:rPr>
          <w:rFonts w:eastAsia="Times New Roman" w:cs="Times New Roman"/>
          <w:lang w:eastAsia="en-AU"/>
        </w:rPr>
        <w:tab/>
      </w:r>
      <w:r w:rsidRPr="004D40CE">
        <w:rPr>
          <w:color w:val="000000"/>
        </w:rPr>
        <w:t xml:space="preserve">has derived, either directly or indirectly, a significant part of </w:t>
      </w:r>
      <w:r w:rsidR="00720232" w:rsidRPr="004D40CE">
        <w:rPr>
          <w:color w:val="000000"/>
        </w:rPr>
        <w:t>his</w:t>
      </w:r>
      <w:r w:rsidR="00AF349E" w:rsidRPr="004D40CE">
        <w:rPr>
          <w:color w:val="000000"/>
        </w:rPr>
        <w:t xml:space="preserve"> or </w:t>
      </w:r>
      <w:r w:rsidR="00720232" w:rsidRPr="004D40CE">
        <w:rPr>
          <w:color w:val="000000"/>
        </w:rPr>
        <w:t>her</w:t>
      </w:r>
      <w:r w:rsidRPr="004D40CE">
        <w:rPr>
          <w:color w:val="000000"/>
        </w:rPr>
        <w:t xml:space="preserve"> income from those primary production enterprises.</w:t>
      </w:r>
    </w:p>
    <w:p w14:paraId="3EE988F6" w14:textId="7A181154" w:rsidR="00620CCF" w:rsidRPr="004D40CE" w:rsidRDefault="00620CCF" w:rsidP="00620CCF">
      <w:pPr>
        <w:tabs>
          <w:tab w:val="right" w:pos="1021"/>
        </w:tabs>
        <w:spacing w:before="180" w:line="240" w:lineRule="auto"/>
        <w:ind w:left="1134" w:hanging="1134"/>
        <w:rPr>
          <w:color w:val="000000"/>
        </w:rPr>
      </w:pPr>
      <w:r w:rsidRPr="004D40CE">
        <w:rPr>
          <w:rFonts w:eastAsia="Times New Roman" w:cs="Times New Roman"/>
          <w:lang w:eastAsia="en-AU"/>
        </w:rPr>
        <w:tab/>
        <w:t>(3)</w:t>
      </w:r>
      <w:r w:rsidRPr="004D40CE">
        <w:rPr>
          <w:rFonts w:eastAsia="Times New Roman" w:cs="Times New Roman"/>
          <w:lang w:eastAsia="en-AU"/>
        </w:rPr>
        <w:tab/>
      </w:r>
      <w:r w:rsidR="00DD00CE" w:rsidRPr="004D40CE">
        <w:rPr>
          <w:color w:val="000000"/>
        </w:rPr>
        <w:t xml:space="preserve">For the purposes of the application of subsection (2) to an individual at a particular time, a reference to the </w:t>
      </w:r>
      <w:r w:rsidR="00DD00CE" w:rsidRPr="004D40CE">
        <w:rPr>
          <w:b/>
          <w:i/>
          <w:color w:val="000000"/>
        </w:rPr>
        <w:t>individual’s spouse</w:t>
      </w:r>
      <w:r w:rsidR="00DD00CE" w:rsidRPr="004D40CE">
        <w:rPr>
          <w:color w:val="000000"/>
        </w:rPr>
        <w:t xml:space="preserve"> is a reference to a person who was the spouse of the individual at that time (whether or not the person is the spouse of the individual at the test time).</w:t>
      </w:r>
    </w:p>
    <w:p w14:paraId="57DBE863" w14:textId="614B8327" w:rsidR="00DD00CE" w:rsidRPr="004D40CE" w:rsidRDefault="00DD00CE" w:rsidP="00620CCF">
      <w:pPr>
        <w:tabs>
          <w:tab w:val="right" w:pos="1021"/>
        </w:tabs>
        <w:spacing w:before="180" w:line="240" w:lineRule="auto"/>
        <w:ind w:left="1134" w:hanging="1134"/>
        <w:rPr>
          <w:rFonts w:eastAsia="Times New Roman" w:cs="Times New Roman"/>
          <w:lang w:eastAsia="en-AU"/>
        </w:rPr>
      </w:pPr>
      <w:r w:rsidRPr="004D40CE">
        <w:rPr>
          <w:color w:val="000000"/>
        </w:rPr>
        <w:tab/>
        <w:t>(4)</w:t>
      </w:r>
      <w:r w:rsidRPr="004D40CE">
        <w:rPr>
          <w:color w:val="000000"/>
        </w:rPr>
        <w:tab/>
        <w:t>For paragraph (2)(c), an individual, or an individual’s spouse, is taken to have derived income indirectly from a primary production enterprise if the income was derived from a company, trust or business partnership that carried on the primary production enterprise.</w:t>
      </w:r>
    </w:p>
    <w:p w14:paraId="26033DF7" w14:textId="209B970E" w:rsidR="00620CCF" w:rsidRPr="004D40CE" w:rsidRDefault="0007329D" w:rsidP="00620CCF">
      <w:pPr>
        <w:keepNext/>
        <w:keepLines/>
        <w:spacing w:before="280" w:line="240" w:lineRule="auto"/>
        <w:ind w:left="1134" w:hanging="1134"/>
        <w:outlineLvl w:val="4"/>
        <w:rPr>
          <w:rFonts w:eastAsia="Times New Roman" w:cs="Times New Roman"/>
          <w:b/>
          <w:kern w:val="28"/>
          <w:sz w:val="24"/>
          <w:lang w:eastAsia="en-AU"/>
        </w:rPr>
      </w:pPr>
      <w:r w:rsidRPr="004D40CE">
        <w:rPr>
          <w:rFonts w:eastAsia="Times New Roman" w:cs="Times New Roman"/>
          <w:b/>
          <w:kern w:val="28"/>
          <w:sz w:val="24"/>
          <w:lang w:eastAsia="en-AU"/>
        </w:rPr>
        <w:t>7</w:t>
      </w:r>
      <w:r w:rsidR="00620CCF" w:rsidRPr="004D40CE">
        <w:rPr>
          <w:rFonts w:eastAsia="Times New Roman" w:cs="Times New Roman"/>
          <w:b/>
          <w:kern w:val="28"/>
          <w:sz w:val="24"/>
          <w:lang w:eastAsia="en-AU"/>
        </w:rPr>
        <w:t xml:space="preserve">  </w:t>
      </w:r>
      <w:r w:rsidRPr="004D40CE">
        <w:rPr>
          <w:rFonts w:eastAsia="Times New Roman" w:cs="Times New Roman"/>
          <w:b/>
          <w:kern w:val="28"/>
          <w:sz w:val="24"/>
          <w:lang w:eastAsia="en-AU"/>
        </w:rPr>
        <w:t>Net income of primary production enterprise</w:t>
      </w:r>
    </w:p>
    <w:p w14:paraId="656CE5E6" w14:textId="38E87036" w:rsidR="00620CCF" w:rsidRPr="004D40CE" w:rsidRDefault="00620CCF" w:rsidP="00620CCF">
      <w:pPr>
        <w:tabs>
          <w:tab w:val="right" w:pos="1021"/>
        </w:tabs>
        <w:spacing w:before="180" w:line="240" w:lineRule="auto"/>
        <w:ind w:left="1134" w:hanging="1134"/>
        <w:rPr>
          <w:color w:val="000000"/>
        </w:rPr>
      </w:pPr>
      <w:r w:rsidRPr="004D40CE">
        <w:rPr>
          <w:rFonts w:eastAsia="Times New Roman" w:cs="Times New Roman"/>
          <w:lang w:eastAsia="en-AU"/>
        </w:rPr>
        <w:tab/>
        <w:t>(1)</w:t>
      </w:r>
      <w:r w:rsidRPr="004D40CE">
        <w:rPr>
          <w:rFonts w:eastAsia="Times New Roman" w:cs="Times New Roman"/>
          <w:lang w:eastAsia="en-AU"/>
        </w:rPr>
        <w:tab/>
      </w:r>
      <w:r w:rsidR="0007329D" w:rsidRPr="004D40CE">
        <w:rPr>
          <w:color w:val="000000"/>
        </w:rPr>
        <w:t>This section applies in relation to the individual if, at any time during the period of 3 years that ended before the test time, the first primary production enterprise was being carried on by an entity, other than:</w:t>
      </w:r>
    </w:p>
    <w:p w14:paraId="74D07A86" w14:textId="05B577B4" w:rsidR="0007329D" w:rsidRPr="004D40CE" w:rsidRDefault="0007329D" w:rsidP="0007329D">
      <w:pPr>
        <w:tabs>
          <w:tab w:val="right" w:pos="1531"/>
        </w:tabs>
        <w:spacing w:before="40" w:line="240" w:lineRule="auto"/>
        <w:ind w:left="1644" w:hanging="1644"/>
        <w:rPr>
          <w:rFonts w:eastAsia="Times New Roman" w:cs="Times New Roman"/>
          <w:lang w:eastAsia="en-AU"/>
        </w:rPr>
      </w:pPr>
      <w:r w:rsidRPr="004D40CE">
        <w:rPr>
          <w:rFonts w:eastAsia="Times New Roman" w:cs="Times New Roman"/>
          <w:lang w:eastAsia="en-AU"/>
        </w:rPr>
        <w:tab/>
        <w:t>(a)</w:t>
      </w:r>
      <w:r w:rsidRPr="004D40CE">
        <w:rPr>
          <w:rFonts w:eastAsia="Times New Roman" w:cs="Times New Roman"/>
          <w:lang w:eastAsia="en-AU"/>
        </w:rPr>
        <w:tab/>
      </w:r>
      <w:r w:rsidRPr="004D40CE">
        <w:rPr>
          <w:color w:val="000000"/>
        </w:rPr>
        <w:t>the individual or the individual’s spouse; or</w:t>
      </w:r>
    </w:p>
    <w:p w14:paraId="7CF96801" w14:textId="214415AF" w:rsidR="0007329D" w:rsidRPr="004D40CE" w:rsidRDefault="0007329D" w:rsidP="0007329D">
      <w:pPr>
        <w:tabs>
          <w:tab w:val="right" w:pos="1531"/>
        </w:tabs>
        <w:spacing w:before="40" w:line="240" w:lineRule="auto"/>
        <w:ind w:left="1644" w:hanging="1644"/>
        <w:rPr>
          <w:rFonts w:eastAsia="Times New Roman" w:cs="Times New Roman"/>
          <w:lang w:eastAsia="en-AU"/>
        </w:rPr>
      </w:pPr>
      <w:r w:rsidRPr="004D40CE">
        <w:rPr>
          <w:rFonts w:eastAsia="Times New Roman" w:cs="Times New Roman"/>
          <w:lang w:eastAsia="en-AU"/>
        </w:rPr>
        <w:tab/>
        <w:t>(b)</w:t>
      </w:r>
      <w:r w:rsidRPr="004D40CE">
        <w:rPr>
          <w:rFonts w:eastAsia="Times New Roman" w:cs="Times New Roman"/>
          <w:lang w:eastAsia="en-AU"/>
        </w:rPr>
        <w:tab/>
      </w:r>
      <w:r w:rsidRPr="004D40CE">
        <w:rPr>
          <w:color w:val="000000"/>
        </w:rPr>
        <w:t>a company that was a controlled private company in relation to the individual or the individual’s spouse; or</w:t>
      </w:r>
    </w:p>
    <w:p w14:paraId="7CEC8B4C" w14:textId="4A993365" w:rsidR="0007329D" w:rsidRPr="004D40CE" w:rsidRDefault="0007329D" w:rsidP="0007329D">
      <w:pPr>
        <w:tabs>
          <w:tab w:val="right" w:pos="1531"/>
        </w:tabs>
        <w:spacing w:before="40" w:line="240" w:lineRule="auto"/>
        <w:ind w:left="1644" w:hanging="1644"/>
        <w:rPr>
          <w:rFonts w:eastAsia="Times New Roman" w:cs="Times New Roman"/>
          <w:lang w:eastAsia="en-AU"/>
        </w:rPr>
      </w:pPr>
      <w:r w:rsidRPr="004D40CE">
        <w:rPr>
          <w:rFonts w:eastAsia="Times New Roman" w:cs="Times New Roman"/>
          <w:lang w:eastAsia="en-AU"/>
        </w:rPr>
        <w:tab/>
        <w:t>(c)</w:t>
      </w:r>
      <w:r w:rsidRPr="004D40CE">
        <w:rPr>
          <w:rFonts w:eastAsia="Times New Roman" w:cs="Times New Roman"/>
          <w:lang w:eastAsia="en-AU"/>
        </w:rPr>
        <w:tab/>
        <w:t>a trust that was a controlled private trust in relation to the individual or the individual’s spouse; or</w:t>
      </w:r>
    </w:p>
    <w:p w14:paraId="6E59D25B" w14:textId="4FE0ECFD" w:rsidR="003778B6" w:rsidRPr="004D40CE" w:rsidRDefault="0007329D" w:rsidP="0007329D">
      <w:pPr>
        <w:tabs>
          <w:tab w:val="right" w:pos="1531"/>
        </w:tabs>
        <w:spacing w:before="40" w:line="240" w:lineRule="auto"/>
        <w:ind w:left="1644" w:hanging="1644"/>
        <w:rPr>
          <w:color w:val="000000"/>
        </w:rPr>
      </w:pPr>
      <w:r w:rsidRPr="004D40CE">
        <w:rPr>
          <w:rFonts w:eastAsia="Times New Roman" w:cs="Times New Roman"/>
          <w:lang w:eastAsia="en-AU"/>
        </w:rPr>
        <w:tab/>
        <w:t>(d)</w:t>
      </w:r>
      <w:r w:rsidRPr="004D40CE">
        <w:rPr>
          <w:rFonts w:eastAsia="Times New Roman" w:cs="Times New Roman"/>
          <w:lang w:eastAsia="en-AU"/>
        </w:rPr>
        <w:tab/>
      </w:r>
      <w:r w:rsidRPr="004D40CE">
        <w:rPr>
          <w:color w:val="000000"/>
        </w:rPr>
        <w:t>a business partnership of which the individual, or the individual’s spouse, was a partner.</w:t>
      </w:r>
    </w:p>
    <w:p w14:paraId="02F09376" w14:textId="77777777" w:rsidR="003778B6" w:rsidRPr="004D40CE" w:rsidRDefault="003778B6">
      <w:pPr>
        <w:spacing w:line="240" w:lineRule="auto"/>
        <w:rPr>
          <w:color w:val="000000"/>
        </w:rPr>
      </w:pPr>
      <w:r w:rsidRPr="004D40CE">
        <w:rPr>
          <w:color w:val="000000"/>
        </w:rPr>
        <w:br w:type="page"/>
      </w:r>
    </w:p>
    <w:p w14:paraId="1DBC9919" w14:textId="59D4A443" w:rsidR="00620CCF" w:rsidRPr="004D40CE" w:rsidRDefault="00620CCF" w:rsidP="00620CCF">
      <w:pPr>
        <w:tabs>
          <w:tab w:val="right" w:pos="1021"/>
        </w:tabs>
        <w:spacing w:before="180" w:line="240" w:lineRule="auto"/>
        <w:ind w:left="1134" w:hanging="1134"/>
        <w:rPr>
          <w:rFonts w:eastAsia="Times New Roman" w:cs="Times New Roman"/>
          <w:lang w:eastAsia="en-AU"/>
        </w:rPr>
      </w:pPr>
      <w:r w:rsidRPr="004D40CE">
        <w:rPr>
          <w:rFonts w:eastAsia="Times New Roman" w:cs="Times New Roman"/>
          <w:lang w:eastAsia="en-AU"/>
        </w:rPr>
        <w:lastRenderedPageBreak/>
        <w:tab/>
        <w:t>(2)</w:t>
      </w:r>
      <w:r w:rsidRPr="004D40CE">
        <w:rPr>
          <w:rFonts w:eastAsia="Times New Roman" w:cs="Times New Roman"/>
          <w:lang w:eastAsia="en-AU"/>
        </w:rPr>
        <w:tab/>
      </w:r>
      <w:r w:rsidR="0007329D" w:rsidRPr="004D40CE">
        <w:rPr>
          <w:rFonts w:eastAsia="Times New Roman" w:cs="Times New Roman"/>
          <w:lang w:eastAsia="en-AU"/>
        </w:rPr>
        <w:t>The Commission must consider:</w:t>
      </w:r>
    </w:p>
    <w:p w14:paraId="674A272D" w14:textId="67C1AD9E" w:rsidR="00620CCF" w:rsidRPr="004D40CE" w:rsidRDefault="00620CCF" w:rsidP="00620CCF">
      <w:pPr>
        <w:tabs>
          <w:tab w:val="right" w:pos="1531"/>
        </w:tabs>
        <w:spacing w:before="40" w:line="240" w:lineRule="auto"/>
        <w:ind w:left="1644" w:hanging="1644"/>
        <w:rPr>
          <w:color w:val="000000"/>
          <w:szCs w:val="22"/>
        </w:rPr>
      </w:pPr>
      <w:r w:rsidRPr="004D40CE">
        <w:rPr>
          <w:rFonts w:eastAsia="Times New Roman" w:cs="Times New Roman"/>
          <w:lang w:eastAsia="en-AU"/>
        </w:rPr>
        <w:tab/>
      </w:r>
      <w:r w:rsidRPr="004D40CE">
        <w:rPr>
          <w:rFonts w:eastAsia="Times New Roman" w:cs="Times New Roman"/>
          <w:szCs w:val="22"/>
          <w:lang w:eastAsia="en-AU"/>
        </w:rPr>
        <w:t>(a)</w:t>
      </w:r>
      <w:r w:rsidRPr="004D40CE">
        <w:rPr>
          <w:rFonts w:eastAsia="Times New Roman" w:cs="Times New Roman"/>
          <w:szCs w:val="22"/>
          <w:lang w:eastAsia="en-AU"/>
        </w:rPr>
        <w:tab/>
      </w:r>
      <w:r w:rsidR="0007329D" w:rsidRPr="004D40CE">
        <w:rPr>
          <w:color w:val="000000"/>
          <w:szCs w:val="22"/>
        </w:rPr>
        <w:t>the amount that is the average of the following amounts in relation to the first primary production enterprise:</w:t>
      </w:r>
    </w:p>
    <w:p w14:paraId="55C25B8E" w14:textId="53C5C4B3" w:rsidR="0007329D" w:rsidRPr="004D40CE" w:rsidRDefault="0007329D" w:rsidP="0007329D">
      <w:pPr>
        <w:tabs>
          <w:tab w:val="right" w:pos="1985"/>
        </w:tabs>
        <w:spacing w:before="40" w:line="240" w:lineRule="auto"/>
        <w:ind w:left="2098" w:hanging="2098"/>
        <w:rPr>
          <w:rFonts w:eastAsia="Times New Roman" w:cs="Times New Roman"/>
          <w:szCs w:val="22"/>
          <w:lang w:eastAsia="en-AU"/>
        </w:rPr>
      </w:pPr>
      <w:r w:rsidRPr="004D40CE">
        <w:rPr>
          <w:rFonts w:eastAsia="Times New Roman" w:cs="Times New Roman"/>
          <w:szCs w:val="22"/>
          <w:lang w:eastAsia="en-AU"/>
        </w:rPr>
        <w:tab/>
        <w:t>(i)</w:t>
      </w:r>
      <w:r w:rsidRPr="004D40CE">
        <w:rPr>
          <w:rFonts w:eastAsia="Times New Roman" w:cs="Times New Roman"/>
          <w:szCs w:val="22"/>
          <w:lang w:eastAsia="en-AU"/>
        </w:rPr>
        <w:tab/>
      </w:r>
      <w:r w:rsidRPr="004D40CE">
        <w:rPr>
          <w:color w:val="000000"/>
          <w:szCs w:val="22"/>
        </w:rPr>
        <w:t>the net income (if any) of the enterprise for the last tax year that ended before the test time;</w:t>
      </w:r>
    </w:p>
    <w:p w14:paraId="1C3F2AF5" w14:textId="3833F297" w:rsidR="0007329D" w:rsidRPr="004D40CE" w:rsidRDefault="0007329D" w:rsidP="0007329D">
      <w:pPr>
        <w:tabs>
          <w:tab w:val="right" w:pos="1985"/>
        </w:tabs>
        <w:spacing w:before="40" w:line="240" w:lineRule="auto"/>
        <w:ind w:left="2098" w:hanging="2098"/>
        <w:rPr>
          <w:rFonts w:eastAsia="Times New Roman" w:cs="Times New Roman"/>
          <w:szCs w:val="22"/>
          <w:lang w:eastAsia="en-AU"/>
        </w:rPr>
      </w:pPr>
      <w:r w:rsidRPr="004D40CE">
        <w:rPr>
          <w:rFonts w:eastAsia="Times New Roman" w:cs="Times New Roman"/>
          <w:szCs w:val="22"/>
          <w:lang w:eastAsia="en-AU"/>
        </w:rPr>
        <w:tab/>
        <w:t>(ii)</w:t>
      </w:r>
      <w:r w:rsidRPr="004D40CE">
        <w:rPr>
          <w:rFonts w:eastAsia="Times New Roman" w:cs="Times New Roman"/>
          <w:szCs w:val="22"/>
          <w:lang w:eastAsia="en-AU"/>
        </w:rPr>
        <w:tab/>
      </w:r>
      <w:r w:rsidRPr="004D40CE">
        <w:rPr>
          <w:color w:val="000000"/>
          <w:szCs w:val="22"/>
        </w:rPr>
        <w:t>the net income (if any) of the enterprise for the tax year that preceded the tax year mentioned in subparagraph (i);</w:t>
      </w:r>
    </w:p>
    <w:p w14:paraId="0A0F38EA" w14:textId="5CD1C00C" w:rsidR="0007329D" w:rsidRPr="004D40CE" w:rsidRDefault="0007329D" w:rsidP="0007329D">
      <w:pPr>
        <w:tabs>
          <w:tab w:val="right" w:pos="1985"/>
        </w:tabs>
        <w:spacing w:before="40" w:line="240" w:lineRule="auto"/>
        <w:ind w:left="2098" w:hanging="2098"/>
        <w:rPr>
          <w:rFonts w:eastAsia="Times New Roman" w:cs="Times New Roman"/>
          <w:szCs w:val="22"/>
          <w:lang w:eastAsia="en-AU"/>
        </w:rPr>
      </w:pPr>
      <w:r w:rsidRPr="004D40CE">
        <w:rPr>
          <w:rFonts w:eastAsia="Times New Roman" w:cs="Times New Roman"/>
          <w:szCs w:val="22"/>
          <w:lang w:eastAsia="en-AU"/>
        </w:rPr>
        <w:tab/>
        <w:t>(iii)</w:t>
      </w:r>
      <w:r w:rsidRPr="004D40CE">
        <w:rPr>
          <w:rFonts w:eastAsia="Times New Roman" w:cs="Times New Roman"/>
          <w:szCs w:val="22"/>
          <w:lang w:eastAsia="en-AU"/>
        </w:rPr>
        <w:tab/>
      </w:r>
      <w:r w:rsidRPr="004D40CE">
        <w:rPr>
          <w:color w:val="000000"/>
          <w:szCs w:val="22"/>
        </w:rPr>
        <w:t>the net income (if any) of the enterprise for the tax year that preceded the tax year mentioned in subparagraph (ii); and</w:t>
      </w:r>
    </w:p>
    <w:p w14:paraId="22CDD40C" w14:textId="4A2F28CA" w:rsidR="00620CCF" w:rsidRPr="004D40CE" w:rsidRDefault="00620CCF" w:rsidP="00620CCF">
      <w:pPr>
        <w:tabs>
          <w:tab w:val="right" w:pos="1531"/>
        </w:tabs>
        <w:spacing w:before="40" w:line="240" w:lineRule="auto"/>
        <w:ind w:left="1644" w:hanging="1644"/>
        <w:rPr>
          <w:rFonts w:eastAsia="Times New Roman" w:cs="Times New Roman"/>
          <w:szCs w:val="22"/>
          <w:lang w:eastAsia="en-AU"/>
        </w:rPr>
      </w:pPr>
      <w:r w:rsidRPr="004D40CE">
        <w:rPr>
          <w:rFonts w:eastAsia="Times New Roman" w:cs="Times New Roman"/>
          <w:szCs w:val="22"/>
          <w:lang w:eastAsia="en-AU"/>
        </w:rPr>
        <w:tab/>
        <w:t>(b)</w:t>
      </w:r>
      <w:r w:rsidRPr="004D40CE">
        <w:rPr>
          <w:rFonts w:eastAsia="Times New Roman" w:cs="Times New Roman"/>
          <w:szCs w:val="22"/>
          <w:lang w:eastAsia="en-AU"/>
        </w:rPr>
        <w:tab/>
      </w:r>
      <w:r w:rsidR="0007329D" w:rsidRPr="004D40CE">
        <w:rPr>
          <w:color w:val="000000"/>
          <w:szCs w:val="22"/>
        </w:rPr>
        <w:t>any reductions or adjustments that might have been made to the amounts mentioned in subparagraphs (a) (i), (ii) and (iii) if the entity that had carried on the first primary production enterprise in the tax years mentioned in those subparagraphs had been:</w:t>
      </w:r>
    </w:p>
    <w:p w14:paraId="68CC391F" w14:textId="7DB84B8D" w:rsidR="0007329D" w:rsidRPr="004D40CE" w:rsidRDefault="0007329D" w:rsidP="0007329D">
      <w:pPr>
        <w:tabs>
          <w:tab w:val="right" w:pos="1985"/>
        </w:tabs>
        <w:spacing w:before="40" w:line="240" w:lineRule="auto"/>
        <w:ind w:left="2098" w:hanging="2098"/>
        <w:rPr>
          <w:rFonts w:eastAsia="Times New Roman" w:cs="Times New Roman"/>
          <w:lang w:eastAsia="en-AU"/>
        </w:rPr>
      </w:pPr>
      <w:r w:rsidRPr="004D40CE">
        <w:rPr>
          <w:rFonts w:eastAsia="Times New Roman" w:cs="Times New Roman"/>
          <w:szCs w:val="22"/>
          <w:lang w:eastAsia="en-AU"/>
        </w:rPr>
        <w:tab/>
        <w:t>(i)</w:t>
      </w:r>
      <w:r w:rsidRPr="004D40CE">
        <w:rPr>
          <w:rFonts w:eastAsia="Times New Roman" w:cs="Times New Roman"/>
          <w:szCs w:val="22"/>
          <w:lang w:eastAsia="en-AU"/>
        </w:rPr>
        <w:tab/>
      </w:r>
      <w:r w:rsidRPr="004D40CE">
        <w:rPr>
          <w:color w:val="000000"/>
          <w:szCs w:val="22"/>
        </w:rPr>
        <w:t>the individual or the individual’s spouse; or</w:t>
      </w:r>
    </w:p>
    <w:p w14:paraId="2D6B9C01" w14:textId="223752A4" w:rsidR="0007329D" w:rsidRPr="004D40CE" w:rsidRDefault="0007329D" w:rsidP="0007329D">
      <w:pPr>
        <w:tabs>
          <w:tab w:val="right" w:pos="1985"/>
        </w:tabs>
        <w:spacing w:before="40" w:line="240" w:lineRule="auto"/>
        <w:ind w:left="2098" w:hanging="2098"/>
        <w:rPr>
          <w:rFonts w:eastAsia="Times New Roman" w:cs="Times New Roman"/>
          <w:lang w:eastAsia="en-AU"/>
        </w:rPr>
      </w:pPr>
      <w:r w:rsidRPr="004D40CE">
        <w:rPr>
          <w:rFonts w:eastAsia="Times New Roman" w:cs="Times New Roman"/>
          <w:lang w:eastAsia="en-AU"/>
        </w:rPr>
        <w:tab/>
        <w:t>(ii)</w:t>
      </w:r>
      <w:r w:rsidRPr="004D40CE">
        <w:rPr>
          <w:rFonts w:eastAsia="Times New Roman" w:cs="Times New Roman"/>
          <w:lang w:eastAsia="en-AU"/>
        </w:rPr>
        <w:tab/>
        <w:t>a company that was a controlled private company in relation to the individual or the individual’s spouse; or</w:t>
      </w:r>
    </w:p>
    <w:p w14:paraId="7264CA29" w14:textId="28A93EE7" w:rsidR="0007329D" w:rsidRPr="004D40CE" w:rsidRDefault="0007329D" w:rsidP="0007329D">
      <w:pPr>
        <w:tabs>
          <w:tab w:val="right" w:pos="1985"/>
        </w:tabs>
        <w:spacing w:before="40" w:line="240" w:lineRule="auto"/>
        <w:ind w:left="2098" w:hanging="2098"/>
        <w:rPr>
          <w:rFonts w:eastAsia="Times New Roman" w:cs="Times New Roman"/>
          <w:lang w:eastAsia="en-AU"/>
        </w:rPr>
      </w:pPr>
      <w:r w:rsidRPr="004D40CE">
        <w:rPr>
          <w:rFonts w:eastAsia="Times New Roman" w:cs="Times New Roman"/>
          <w:lang w:eastAsia="en-AU"/>
        </w:rPr>
        <w:tab/>
        <w:t>(iii)</w:t>
      </w:r>
      <w:r w:rsidRPr="004D40CE">
        <w:rPr>
          <w:rFonts w:eastAsia="Times New Roman" w:cs="Times New Roman"/>
          <w:lang w:eastAsia="en-AU"/>
        </w:rPr>
        <w:tab/>
        <w:t>a trust that was a controlled private trust in relation to the individual or the individual’s spouse; or</w:t>
      </w:r>
    </w:p>
    <w:p w14:paraId="34A948D3" w14:textId="6C981C06" w:rsidR="0007329D" w:rsidRPr="004D40CE" w:rsidRDefault="0007329D" w:rsidP="00260B33">
      <w:pPr>
        <w:tabs>
          <w:tab w:val="right" w:pos="1985"/>
        </w:tabs>
        <w:spacing w:before="40" w:line="240" w:lineRule="auto"/>
        <w:ind w:left="2098" w:hanging="2098"/>
        <w:rPr>
          <w:rFonts w:eastAsia="Times New Roman" w:cs="Times New Roman"/>
          <w:lang w:eastAsia="en-AU"/>
        </w:rPr>
      </w:pPr>
      <w:r w:rsidRPr="004D40CE">
        <w:rPr>
          <w:rFonts w:eastAsia="Times New Roman" w:cs="Times New Roman"/>
          <w:lang w:eastAsia="en-AU"/>
        </w:rPr>
        <w:tab/>
        <w:t>(iv)</w:t>
      </w:r>
      <w:r w:rsidRPr="004D40CE">
        <w:rPr>
          <w:rFonts w:eastAsia="Times New Roman" w:cs="Times New Roman"/>
          <w:lang w:eastAsia="en-AU"/>
        </w:rPr>
        <w:tab/>
        <w:t>a business partnership of which the individual, or the individual’s spouse, was a partner.</w:t>
      </w:r>
    </w:p>
    <w:p w14:paraId="4D4C9D03" w14:textId="424F05A3" w:rsidR="00620CCF" w:rsidRPr="004D40CE" w:rsidRDefault="00620CCF" w:rsidP="00620CCF">
      <w:pPr>
        <w:tabs>
          <w:tab w:val="right" w:pos="1021"/>
        </w:tabs>
        <w:spacing w:before="180" w:line="240" w:lineRule="auto"/>
        <w:ind w:left="1134" w:hanging="1134"/>
        <w:rPr>
          <w:rFonts w:eastAsia="Times New Roman" w:cs="Times New Roman"/>
          <w:lang w:eastAsia="en-AU"/>
        </w:rPr>
      </w:pPr>
      <w:r w:rsidRPr="004D40CE">
        <w:rPr>
          <w:rFonts w:eastAsia="Times New Roman" w:cs="Times New Roman"/>
          <w:lang w:eastAsia="en-AU"/>
        </w:rPr>
        <w:tab/>
        <w:t>(3)</w:t>
      </w:r>
      <w:r w:rsidRPr="004D40CE">
        <w:rPr>
          <w:rFonts w:eastAsia="Times New Roman" w:cs="Times New Roman"/>
          <w:lang w:eastAsia="en-AU"/>
        </w:rPr>
        <w:tab/>
        <w:t>In this section:</w:t>
      </w:r>
    </w:p>
    <w:p w14:paraId="30766A7D" w14:textId="4AF406C8" w:rsidR="00260B33" w:rsidRPr="004D40CE" w:rsidRDefault="00260B33" w:rsidP="00260B33">
      <w:pPr>
        <w:pStyle w:val="definition0"/>
        <w:ind w:left="1134"/>
        <w:rPr>
          <w:color w:val="000000"/>
          <w:sz w:val="22"/>
          <w:szCs w:val="22"/>
        </w:rPr>
      </w:pPr>
      <w:r w:rsidRPr="004D40CE">
        <w:rPr>
          <w:b/>
          <w:i/>
          <w:color w:val="000000"/>
          <w:sz w:val="22"/>
          <w:szCs w:val="22"/>
        </w:rPr>
        <w:t>first primary production enterprise</w:t>
      </w:r>
      <w:r w:rsidR="00907987" w:rsidRPr="004D40CE">
        <w:rPr>
          <w:color w:val="000000"/>
          <w:sz w:val="22"/>
          <w:szCs w:val="22"/>
        </w:rPr>
        <w:t xml:space="preserve">—see </w:t>
      </w:r>
      <w:r w:rsidRPr="004D40CE">
        <w:rPr>
          <w:color w:val="000000"/>
          <w:sz w:val="22"/>
          <w:szCs w:val="22"/>
        </w:rPr>
        <w:t>the Act, paragraph 52ZZZF(1)(b).</w:t>
      </w:r>
    </w:p>
    <w:p w14:paraId="49E0069D" w14:textId="77777777" w:rsidR="00260B33" w:rsidRPr="004D40CE" w:rsidRDefault="00260B33" w:rsidP="00260B33">
      <w:pPr>
        <w:pStyle w:val="definition0"/>
        <w:ind w:left="1134"/>
        <w:rPr>
          <w:color w:val="000000"/>
          <w:sz w:val="22"/>
          <w:szCs w:val="22"/>
        </w:rPr>
      </w:pPr>
      <w:r w:rsidRPr="004D40CE">
        <w:rPr>
          <w:b/>
          <w:i/>
          <w:color w:val="000000"/>
          <w:sz w:val="22"/>
          <w:szCs w:val="22"/>
        </w:rPr>
        <w:t>tax year</w:t>
      </w:r>
      <w:r w:rsidRPr="004D40CE">
        <w:rPr>
          <w:color w:val="000000"/>
          <w:sz w:val="22"/>
          <w:szCs w:val="22"/>
        </w:rPr>
        <w:t>, in relation to a primary production enterprise, means a tax year of the entity that carried on the enterprise.</w:t>
      </w:r>
    </w:p>
    <w:p w14:paraId="326AA0A2" w14:textId="1CA3441A" w:rsidR="00B30A31" w:rsidRPr="004D40CE" w:rsidRDefault="00260B33" w:rsidP="00260B33">
      <w:pPr>
        <w:pStyle w:val="definition0"/>
        <w:ind w:left="1134"/>
        <w:rPr>
          <w:color w:val="000000"/>
          <w:sz w:val="22"/>
          <w:szCs w:val="22"/>
        </w:rPr>
      </w:pPr>
      <w:r w:rsidRPr="004D40CE">
        <w:rPr>
          <w:b/>
          <w:i/>
          <w:color w:val="000000"/>
          <w:sz w:val="22"/>
          <w:szCs w:val="22"/>
        </w:rPr>
        <w:t>test time</w:t>
      </w:r>
      <w:r w:rsidRPr="004D40CE">
        <w:rPr>
          <w:color w:val="000000"/>
          <w:sz w:val="22"/>
          <w:szCs w:val="22"/>
        </w:rPr>
        <w:t xml:space="preserve"> means the test time in relation to the individual mentioned in the Act, subsection 52ZZZF(1).</w:t>
      </w:r>
    </w:p>
    <w:p w14:paraId="3E784893" w14:textId="77777777" w:rsidR="00B30A31" w:rsidRPr="004D40CE" w:rsidRDefault="00B30A31">
      <w:pPr>
        <w:spacing w:line="240" w:lineRule="auto"/>
        <w:rPr>
          <w:rFonts w:eastAsia="Times New Roman" w:cs="Times New Roman"/>
          <w:color w:val="000000"/>
          <w:szCs w:val="22"/>
          <w:lang w:eastAsia="en-AU"/>
        </w:rPr>
      </w:pPr>
      <w:r w:rsidRPr="004D40CE">
        <w:rPr>
          <w:color w:val="000000"/>
          <w:szCs w:val="22"/>
        </w:rPr>
        <w:br w:type="page"/>
      </w:r>
    </w:p>
    <w:p w14:paraId="27FAC256" w14:textId="0116E8AC" w:rsidR="00B30A31" w:rsidRPr="004D40CE" w:rsidRDefault="00B30A31" w:rsidP="00B30A31">
      <w:pPr>
        <w:pStyle w:val="HP"/>
        <w:spacing w:after="240"/>
        <w:rPr>
          <w:color w:val="000000"/>
        </w:rPr>
      </w:pPr>
      <w:bookmarkStart w:id="15" w:name="_Toc532888699"/>
      <w:r w:rsidRPr="004D40CE">
        <w:rPr>
          <w:rStyle w:val="CharPartNo"/>
          <w:color w:val="000000"/>
        </w:rPr>
        <w:lastRenderedPageBreak/>
        <w:t>Part 3</w:t>
      </w:r>
      <w:r w:rsidRPr="004D40CE">
        <w:rPr>
          <w:color w:val="000000"/>
        </w:rPr>
        <w:tab/>
      </w:r>
      <w:r w:rsidRPr="004D40CE">
        <w:rPr>
          <w:rStyle w:val="CharPartText"/>
          <w:color w:val="000000"/>
        </w:rPr>
        <w:t>Determin</w:t>
      </w:r>
      <w:r w:rsidR="005C18EC" w:rsidRPr="004D40CE">
        <w:rPr>
          <w:rStyle w:val="CharPartText"/>
          <w:color w:val="000000"/>
        </w:rPr>
        <w:t>ing</w:t>
      </w:r>
      <w:r w:rsidRPr="004D40CE">
        <w:rPr>
          <w:rStyle w:val="CharPartText"/>
          <w:color w:val="000000"/>
        </w:rPr>
        <w:t xml:space="preserve"> reduction of value of specified asset</w:t>
      </w:r>
      <w:bookmarkEnd w:id="15"/>
      <w:r w:rsidR="005C18EC" w:rsidRPr="004D40CE">
        <w:rPr>
          <w:rStyle w:val="CharPartText"/>
          <w:color w:val="000000"/>
        </w:rPr>
        <w:t>—Act, subsection 52ZZZH(2)</w:t>
      </w:r>
    </w:p>
    <w:p w14:paraId="0AC7127A" w14:textId="77777777" w:rsidR="00830F26" w:rsidRPr="004D40CE" w:rsidRDefault="00830F26" w:rsidP="00830F26">
      <w:pPr>
        <w:tabs>
          <w:tab w:val="right" w:pos="1531"/>
        </w:tabs>
        <w:spacing w:before="40" w:line="240" w:lineRule="auto"/>
        <w:ind w:left="1644" w:hanging="1644"/>
        <w:rPr>
          <w:rFonts w:eastAsia="Times New Roman" w:cs="Times New Roman"/>
          <w:b/>
          <w:kern w:val="28"/>
          <w:sz w:val="24"/>
          <w:lang w:eastAsia="en-AU"/>
        </w:rPr>
      </w:pPr>
      <w:r w:rsidRPr="004D40CE">
        <w:rPr>
          <w:rFonts w:eastAsia="Times New Roman" w:cs="Times New Roman"/>
          <w:b/>
          <w:kern w:val="28"/>
          <w:sz w:val="24"/>
          <w:lang w:eastAsia="en-AU"/>
        </w:rPr>
        <w:t>8</w:t>
      </w:r>
      <w:r w:rsidR="00620CCF" w:rsidRPr="004D40CE">
        <w:rPr>
          <w:rFonts w:eastAsia="Times New Roman" w:cs="Times New Roman"/>
          <w:b/>
          <w:kern w:val="28"/>
          <w:sz w:val="24"/>
          <w:lang w:eastAsia="en-AU"/>
        </w:rPr>
        <w:t xml:space="preserve">  Purpose—pt </w:t>
      </w:r>
      <w:r w:rsidRPr="004D40CE">
        <w:rPr>
          <w:rFonts w:eastAsia="Times New Roman" w:cs="Times New Roman"/>
          <w:b/>
          <w:kern w:val="28"/>
          <w:sz w:val="24"/>
          <w:lang w:eastAsia="en-AU"/>
        </w:rPr>
        <w:t>3</w:t>
      </w:r>
    </w:p>
    <w:p w14:paraId="53B9DA14" w14:textId="29E19C82" w:rsidR="00620CCF" w:rsidRPr="004D40CE" w:rsidRDefault="00830F26" w:rsidP="00C9630D">
      <w:pPr>
        <w:tabs>
          <w:tab w:val="right" w:pos="1531"/>
        </w:tabs>
        <w:spacing w:before="40" w:after="240" w:line="240" w:lineRule="auto"/>
        <w:ind w:left="993" w:hanging="993"/>
        <w:rPr>
          <w:color w:val="000000"/>
        </w:rPr>
      </w:pPr>
      <w:r w:rsidRPr="004D40CE">
        <w:rPr>
          <w:rFonts w:eastAsia="Times New Roman" w:cs="Times New Roman"/>
          <w:b/>
          <w:kern w:val="28"/>
          <w:sz w:val="24"/>
          <w:lang w:eastAsia="en-AU"/>
        </w:rPr>
        <w:tab/>
      </w:r>
      <w:r w:rsidRPr="004D40CE">
        <w:rPr>
          <w:rFonts w:eastAsia="Times New Roman" w:cs="Times New Roman"/>
          <w:b/>
          <w:kern w:val="28"/>
          <w:sz w:val="24"/>
          <w:lang w:eastAsia="en-AU"/>
        </w:rPr>
        <w:tab/>
      </w:r>
      <w:r w:rsidRPr="004D40CE">
        <w:rPr>
          <w:color w:val="000000"/>
        </w:rPr>
        <w:t>This Part sets out decision-making principles with which the Commission must comply in making a determination under</w:t>
      </w:r>
      <w:r w:rsidR="0019670B" w:rsidRPr="004D40CE">
        <w:rPr>
          <w:color w:val="000000"/>
        </w:rPr>
        <w:t xml:space="preserve"> the Act,</w:t>
      </w:r>
      <w:r w:rsidRPr="004D40CE">
        <w:rPr>
          <w:color w:val="000000"/>
        </w:rPr>
        <w:t xml:space="preserve"> subsection 52ZZZH(2) that the value of a specified asset owned by a company or a trust is to be reduced by the whole or a specified part of a specified liability.</w:t>
      </w:r>
    </w:p>
    <w:p w14:paraId="519832C0" w14:textId="068DC8ED" w:rsidR="00C9630D" w:rsidRPr="004D40CE" w:rsidRDefault="00C9630D" w:rsidP="00C9630D">
      <w:pPr>
        <w:tabs>
          <w:tab w:val="right" w:pos="1531"/>
        </w:tabs>
        <w:spacing w:before="40" w:line="240" w:lineRule="auto"/>
        <w:ind w:left="1644" w:hanging="1644"/>
        <w:rPr>
          <w:rFonts w:eastAsia="Times New Roman" w:cs="Times New Roman"/>
          <w:b/>
          <w:kern w:val="28"/>
          <w:sz w:val="28"/>
          <w:szCs w:val="22"/>
          <w:lang w:eastAsia="en-AU"/>
        </w:rPr>
      </w:pPr>
      <w:r w:rsidRPr="004D40CE">
        <w:rPr>
          <w:rFonts w:eastAsia="Times New Roman" w:cs="Times New Roman"/>
          <w:b/>
          <w:kern w:val="28"/>
          <w:sz w:val="24"/>
          <w:lang w:eastAsia="en-AU"/>
        </w:rPr>
        <w:t>9</w:t>
      </w:r>
      <w:r w:rsidRPr="004D40CE">
        <w:rPr>
          <w:rFonts w:eastAsia="Times New Roman" w:cs="Times New Roman"/>
          <w:b/>
          <w:kern w:val="28"/>
          <w:sz w:val="28"/>
          <w:szCs w:val="22"/>
          <w:lang w:eastAsia="en-AU"/>
        </w:rPr>
        <w:t xml:space="preserve">  </w:t>
      </w:r>
      <w:r w:rsidRPr="004D40CE">
        <w:rPr>
          <w:b/>
          <w:color w:val="000000"/>
          <w:sz w:val="24"/>
          <w:szCs w:val="22"/>
        </w:rPr>
        <w:t>Liability arising from genuine arms-length transaction</w:t>
      </w:r>
    </w:p>
    <w:p w14:paraId="62B01DE1" w14:textId="71B85203" w:rsidR="00620CCF" w:rsidRPr="004D40CE" w:rsidRDefault="00620CCF" w:rsidP="00C9630D">
      <w:pPr>
        <w:tabs>
          <w:tab w:val="right" w:pos="1021"/>
        </w:tabs>
        <w:spacing w:before="180" w:line="240" w:lineRule="auto"/>
        <w:ind w:left="1134" w:hanging="1134"/>
        <w:rPr>
          <w:rFonts w:eastAsia="Times New Roman" w:cs="Times New Roman"/>
          <w:lang w:eastAsia="en-AU"/>
        </w:rPr>
      </w:pPr>
      <w:r w:rsidRPr="004D40CE">
        <w:rPr>
          <w:rFonts w:eastAsia="Times New Roman" w:cs="Times New Roman"/>
          <w:lang w:eastAsia="en-AU"/>
        </w:rPr>
        <w:tab/>
        <w:t>(</w:t>
      </w:r>
      <w:r w:rsidR="00C9630D" w:rsidRPr="004D40CE">
        <w:rPr>
          <w:rFonts w:eastAsia="Times New Roman" w:cs="Times New Roman"/>
          <w:lang w:eastAsia="en-AU"/>
        </w:rPr>
        <w:t>1</w:t>
      </w:r>
      <w:r w:rsidRPr="004D40CE">
        <w:rPr>
          <w:rFonts w:eastAsia="Times New Roman" w:cs="Times New Roman"/>
          <w:lang w:eastAsia="en-AU"/>
        </w:rPr>
        <w:t>)</w:t>
      </w:r>
      <w:r w:rsidRPr="004D40CE">
        <w:rPr>
          <w:rFonts w:eastAsia="Times New Roman" w:cs="Times New Roman"/>
          <w:lang w:eastAsia="en-AU"/>
        </w:rPr>
        <w:tab/>
      </w:r>
      <w:r w:rsidR="00C9630D" w:rsidRPr="004D40CE">
        <w:rPr>
          <w:color w:val="000000"/>
        </w:rPr>
        <w:t>The Commission must consider whether the specified liability arose from a genuine arm’s length transaction between the company or trust that owns the specified asset and another entity.</w:t>
      </w:r>
    </w:p>
    <w:p w14:paraId="19773E3F" w14:textId="3692421E" w:rsidR="00620CCF" w:rsidRPr="004D40CE" w:rsidRDefault="00620CCF" w:rsidP="00620CCF">
      <w:pPr>
        <w:tabs>
          <w:tab w:val="right" w:pos="1021"/>
        </w:tabs>
        <w:spacing w:before="180" w:line="240" w:lineRule="auto"/>
        <w:ind w:left="1134" w:hanging="1134"/>
        <w:rPr>
          <w:rFonts w:eastAsia="Times New Roman" w:cs="Times New Roman"/>
          <w:lang w:eastAsia="en-AU"/>
        </w:rPr>
      </w:pPr>
      <w:r w:rsidRPr="004D40CE">
        <w:rPr>
          <w:rFonts w:eastAsia="Times New Roman" w:cs="Times New Roman"/>
          <w:lang w:eastAsia="en-AU"/>
        </w:rPr>
        <w:tab/>
        <w:t>(</w:t>
      </w:r>
      <w:r w:rsidR="00C9630D" w:rsidRPr="004D40CE">
        <w:rPr>
          <w:rFonts w:eastAsia="Times New Roman" w:cs="Times New Roman"/>
          <w:lang w:eastAsia="en-AU"/>
        </w:rPr>
        <w:t>2</w:t>
      </w:r>
      <w:r w:rsidRPr="004D40CE">
        <w:rPr>
          <w:rFonts w:eastAsia="Times New Roman" w:cs="Times New Roman"/>
          <w:lang w:eastAsia="en-AU"/>
        </w:rPr>
        <w:t>)</w:t>
      </w:r>
      <w:r w:rsidRPr="004D40CE">
        <w:rPr>
          <w:rFonts w:eastAsia="Times New Roman" w:cs="Times New Roman"/>
          <w:lang w:eastAsia="en-AU"/>
        </w:rPr>
        <w:tab/>
      </w:r>
      <w:r w:rsidR="00C9630D" w:rsidRPr="004D40CE">
        <w:rPr>
          <w:color w:val="000000"/>
        </w:rPr>
        <w:t>A transaction is taken to be a genuine arm’s length transaction for the purposes of subsection (1) if the transaction:</w:t>
      </w:r>
    </w:p>
    <w:p w14:paraId="5C258102" w14:textId="2163AA36" w:rsidR="00620CCF" w:rsidRPr="004D40CE" w:rsidRDefault="00620CCF" w:rsidP="00C9630D">
      <w:pPr>
        <w:tabs>
          <w:tab w:val="right" w:pos="1531"/>
        </w:tabs>
        <w:spacing w:before="40" w:line="240" w:lineRule="auto"/>
        <w:ind w:left="1644" w:hanging="1644"/>
        <w:rPr>
          <w:rFonts w:eastAsia="Times New Roman" w:cs="Times New Roman"/>
          <w:lang w:eastAsia="en-AU"/>
        </w:rPr>
      </w:pPr>
      <w:r w:rsidRPr="004D40CE">
        <w:rPr>
          <w:rFonts w:eastAsia="Times New Roman" w:cs="Times New Roman"/>
          <w:lang w:eastAsia="en-AU"/>
        </w:rPr>
        <w:tab/>
        <w:t>(a)</w:t>
      </w:r>
      <w:r w:rsidRPr="004D40CE">
        <w:rPr>
          <w:rFonts w:eastAsia="Times New Roman" w:cs="Times New Roman"/>
          <w:lang w:eastAsia="en-AU"/>
        </w:rPr>
        <w:tab/>
      </w:r>
      <w:r w:rsidR="00C9630D" w:rsidRPr="004D40CE">
        <w:rPr>
          <w:color w:val="000000"/>
        </w:rPr>
        <w:t>relates to an arrangement that relates to the specific business activities of the company or trust; and</w:t>
      </w:r>
    </w:p>
    <w:p w14:paraId="25D3012B" w14:textId="349C3B86" w:rsidR="00620CCF" w:rsidRPr="004D40CE" w:rsidRDefault="00620CCF" w:rsidP="00620CCF">
      <w:pPr>
        <w:tabs>
          <w:tab w:val="right" w:pos="1531"/>
        </w:tabs>
        <w:spacing w:before="40" w:line="240" w:lineRule="auto"/>
        <w:ind w:left="1644" w:hanging="1644"/>
        <w:rPr>
          <w:color w:val="000000"/>
        </w:rPr>
      </w:pPr>
      <w:r w:rsidRPr="004D40CE">
        <w:rPr>
          <w:rFonts w:eastAsia="Times New Roman" w:cs="Times New Roman"/>
          <w:lang w:eastAsia="en-AU"/>
        </w:rPr>
        <w:tab/>
        <w:t>(b)</w:t>
      </w:r>
      <w:r w:rsidRPr="004D40CE">
        <w:rPr>
          <w:rFonts w:eastAsia="Times New Roman" w:cs="Times New Roman"/>
          <w:lang w:eastAsia="en-AU"/>
        </w:rPr>
        <w:tab/>
      </w:r>
      <w:r w:rsidR="00C9630D" w:rsidRPr="004D40CE">
        <w:rPr>
          <w:color w:val="000000"/>
        </w:rPr>
        <w:t>is not with, or does not relate to an arrangement with, a person who is a minor; and</w:t>
      </w:r>
    </w:p>
    <w:p w14:paraId="716C9F59" w14:textId="66C6EDF5" w:rsidR="00C9630D" w:rsidRPr="004D40CE" w:rsidRDefault="00C9630D" w:rsidP="00620CCF">
      <w:pPr>
        <w:tabs>
          <w:tab w:val="right" w:pos="1531"/>
        </w:tabs>
        <w:spacing w:before="40" w:line="240" w:lineRule="auto"/>
        <w:ind w:left="1644" w:hanging="1644"/>
        <w:rPr>
          <w:color w:val="000000"/>
        </w:rPr>
      </w:pPr>
      <w:r w:rsidRPr="004D40CE">
        <w:rPr>
          <w:rFonts w:eastAsia="Times New Roman" w:cs="Times New Roman"/>
          <w:lang w:eastAsia="en-AU"/>
        </w:rPr>
        <w:tab/>
        <w:t>(c)</w:t>
      </w:r>
      <w:r w:rsidRPr="004D40CE">
        <w:rPr>
          <w:rFonts w:eastAsia="Times New Roman" w:cs="Times New Roman"/>
          <w:lang w:eastAsia="en-AU"/>
        </w:rPr>
        <w:tab/>
      </w:r>
      <w:r w:rsidRPr="004D40CE">
        <w:rPr>
          <w:color w:val="000000"/>
        </w:rPr>
        <w:t>is made under a written agreement that is signed by each party to the agreement and witnessed by an independent person.</w:t>
      </w:r>
    </w:p>
    <w:p w14:paraId="2CE1990A" w14:textId="78A3B0CF" w:rsidR="00C9630D" w:rsidRPr="004D40CE" w:rsidRDefault="00C9630D" w:rsidP="00C9630D">
      <w:pPr>
        <w:tabs>
          <w:tab w:val="right" w:pos="993"/>
        </w:tabs>
        <w:spacing w:before="40" w:line="240" w:lineRule="auto"/>
        <w:ind w:left="1134" w:hanging="1134"/>
        <w:rPr>
          <w:rFonts w:eastAsia="Times New Roman" w:cs="Times New Roman"/>
          <w:lang w:eastAsia="en-AU"/>
        </w:rPr>
      </w:pPr>
      <w:r w:rsidRPr="004D40CE">
        <w:rPr>
          <w:rFonts w:eastAsia="Times New Roman" w:cs="Times New Roman"/>
          <w:lang w:eastAsia="en-AU"/>
        </w:rPr>
        <w:tab/>
        <w:t>(3)</w:t>
      </w:r>
      <w:r w:rsidRPr="004D40CE">
        <w:rPr>
          <w:rFonts w:eastAsia="Times New Roman" w:cs="Times New Roman"/>
          <w:lang w:eastAsia="en-AU"/>
        </w:rPr>
        <w:tab/>
      </w:r>
      <w:r w:rsidRPr="004D40CE">
        <w:rPr>
          <w:color w:val="000000"/>
        </w:rPr>
        <w:t>Provided the requirements in subsection (2) are met in relation to a transaction, the transaction may be a transaction between the company or trust that owns the specified asset and an individual who is the sole attributable stakeholder of the company or trust.</w:t>
      </w:r>
    </w:p>
    <w:p w14:paraId="27929534" w14:textId="43E94348" w:rsidR="00C9630D" w:rsidRPr="004D40CE" w:rsidRDefault="00C9630D" w:rsidP="00C9630D">
      <w:pPr>
        <w:tabs>
          <w:tab w:val="right" w:pos="1021"/>
        </w:tabs>
        <w:spacing w:before="180" w:line="240" w:lineRule="auto"/>
        <w:ind w:left="1134" w:hanging="1134"/>
        <w:rPr>
          <w:rFonts w:eastAsia="Times New Roman" w:cs="Times New Roman"/>
          <w:lang w:eastAsia="en-AU"/>
        </w:rPr>
      </w:pPr>
      <w:r w:rsidRPr="004D40CE">
        <w:rPr>
          <w:rFonts w:eastAsia="Times New Roman" w:cs="Times New Roman"/>
          <w:lang w:eastAsia="en-AU"/>
        </w:rPr>
        <w:tab/>
        <w:t>(4)</w:t>
      </w:r>
      <w:r w:rsidRPr="004D40CE">
        <w:rPr>
          <w:rFonts w:eastAsia="Times New Roman" w:cs="Times New Roman"/>
          <w:lang w:eastAsia="en-AU"/>
        </w:rPr>
        <w:tab/>
        <w:t>In this subsection:</w:t>
      </w:r>
    </w:p>
    <w:p w14:paraId="065B88E3" w14:textId="4F8DB8F6" w:rsidR="00C9630D" w:rsidRPr="004D40CE" w:rsidRDefault="00C9630D" w:rsidP="00FB6E6B">
      <w:pPr>
        <w:pStyle w:val="definition0"/>
        <w:ind w:left="1134"/>
        <w:rPr>
          <w:color w:val="000000"/>
          <w:sz w:val="22"/>
          <w:szCs w:val="22"/>
        </w:rPr>
      </w:pPr>
      <w:r w:rsidRPr="004D40CE">
        <w:rPr>
          <w:b/>
          <w:i/>
          <w:color w:val="000000"/>
          <w:sz w:val="22"/>
          <w:szCs w:val="22"/>
        </w:rPr>
        <w:t>minor</w:t>
      </w:r>
      <w:r w:rsidR="00FB6E6B" w:rsidRPr="004D40CE">
        <w:rPr>
          <w:color w:val="000000"/>
          <w:sz w:val="22"/>
          <w:szCs w:val="22"/>
        </w:rPr>
        <w:t>:</w:t>
      </w:r>
    </w:p>
    <w:p w14:paraId="7130D034" w14:textId="77777777" w:rsidR="000C1687" w:rsidRPr="004D40CE" w:rsidRDefault="00FB6E6B" w:rsidP="00FB6E6B">
      <w:pPr>
        <w:pStyle w:val="definition0"/>
        <w:tabs>
          <w:tab w:val="left" w:pos="1560"/>
        </w:tabs>
        <w:ind w:left="1134"/>
        <w:rPr>
          <w:color w:val="000000"/>
          <w:sz w:val="22"/>
          <w:szCs w:val="22"/>
        </w:rPr>
      </w:pPr>
      <w:r w:rsidRPr="004D40CE">
        <w:rPr>
          <w:bCs/>
          <w:iCs/>
          <w:color w:val="000000"/>
          <w:sz w:val="22"/>
          <w:szCs w:val="22"/>
        </w:rPr>
        <w:t>(a)</w:t>
      </w:r>
      <w:r w:rsidRPr="004D40CE">
        <w:rPr>
          <w:bCs/>
          <w:iCs/>
          <w:color w:val="000000"/>
          <w:sz w:val="22"/>
          <w:szCs w:val="22"/>
        </w:rPr>
        <w:tab/>
        <w:t xml:space="preserve">means </w:t>
      </w:r>
      <w:r w:rsidRPr="004D40CE">
        <w:rPr>
          <w:color w:val="000000"/>
          <w:sz w:val="22"/>
          <w:szCs w:val="22"/>
        </w:rPr>
        <w:t xml:space="preserve">a person who has not turned 18; </w:t>
      </w:r>
      <w:r w:rsidR="000C1687" w:rsidRPr="004D40CE">
        <w:rPr>
          <w:color w:val="000000"/>
          <w:sz w:val="22"/>
          <w:szCs w:val="22"/>
        </w:rPr>
        <w:t>and</w:t>
      </w:r>
    </w:p>
    <w:p w14:paraId="555746F3" w14:textId="220D6895" w:rsidR="00FB6E6B" w:rsidRPr="004D40CE" w:rsidRDefault="000C1687" w:rsidP="00FB6E6B">
      <w:pPr>
        <w:pStyle w:val="definition0"/>
        <w:tabs>
          <w:tab w:val="left" w:pos="1560"/>
        </w:tabs>
        <w:ind w:left="1134"/>
        <w:rPr>
          <w:color w:val="000000"/>
          <w:sz w:val="22"/>
          <w:szCs w:val="22"/>
        </w:rPr>
      </w:pPr>
      <w:r w:rsidRPr="004D40CE">
        <w:rPr>
          <w:color w:val="000000"/>
          <w:sz w:val="22"/>
          <w:szCs w:val="22"/>
        </w:rPr>
        <w:t>(b)</w:t>
      </w:r>
      <w:r w:rsidRPr="004D40CE">
        <w:rPr>
          <w:color w:val="000000"/>
          <w:sz w:val="22"/>
          <w:szCs w:val="22"/>
        </w:rPr>
        <w:tab/>
        <w:t xml:space="preserve">includes a student; </w:t>
      </w:r>
      <w:r w:rsidR="00FB6E6B" w:rsidRPr="004D40CE">
        <w:rPr>
          <w:color w:val="000000"/>
          <w:sz w:val="22"/>
          <w:szCs w:val="22"/>
        </w:rPr>
        <w:t>but</w:t>
      </w:r>
    </w:p>
    <w:p w14:paraId="3B2F1FEA" w14:textId="67219D5B" w:rsidR="00FB6E6B" w:rsidRPr="004D40CE" w:rsidRDefault="00FB6E6B" w:rsidP="00866F84">
      <w:pPr>
        <w:pStyle w:val="definition0"/>
        <w:tabs>
          <w:tab w:val="left" w:pos="1560"/>
        </w:tabs>
        <w:ind w:left="1134"/>
        <w:rPr>
          <w:bCs/>
          <w:iCs/>
          <w:color w:val="000000"/>
          <w:sz w:val="22"/>
          <w:szCs w:val="22"/>
        </w:rPr>
      </w:pPr>
      <w:r w:rsidRPr="004D40CE">
        <w:rPr>
          <w:color w:val="000000"/>
          <w:sz w:val="22"/>
          <w:szCs w:val="22"/>
        </w:rPr>
        <w:t>(</w:t>
      </w:r>
      <w:r w:rsidR="000C1687" w:rsidRPr="004D40CE">
        <w:rPr>
          <w:color w:val="000000"/>
          <w:sz w:val="22"/>
          <w:szCs w:val="22"/>
        </w:rPr>
        <w:t>c</w:t>
      </w:r>
      <w:r w:rsidRPr="004D40CE">
        <w:rPr>
          <w:color w:val="000000"/>
          <w:sz w:val="22"/>
          <w:szCs w:val="22"/>
        </w:rPr>
        <w:t>)</w:t>
      </w:r>
      <w:r w:rsidRPr="004D40CE">
        <w:rPr>
          <w:color w:val="000000"/>
          <w:sz w:val="22"/>
          <w:szCs w:val="22"/>
        </w:rPr>
        <w:tab/>
        <w:t>does not include a person who:</w:t>
      </w:r>
    </w:p>
    <w:p w14:paraId="009F1980" w14:textId="03417183" w:rsidR="00C9630D" w:rsidRPr="004D40CE" w:rsidRDefault="00C9630D" w:rsidP="000C1687">
      <w:pPr>
        <w:pStyle w:val="P1"/>
        <w:tabs>
          <w:tab w:val="clear" w:pos="1191"/>
          <w:tab w:val="left" w:pos="2127"/>
        </w:tabs>
        <w:ind w:left="1134" w:firstLine="142"/>
        <w:rPr>
          <w:color w:val="000000"/>
          <w:sz w:val="22"/>
          <w:szCs w:val="18"/>
        </w:rPr>
      </w:pPr>
      <w:r w:rsidRPr="004D40CE">
        <w:rPr>
          <w:color w:val="000000"/>
          <w:sz w:val="22"/>
          <w:szCs w:val="18"/>
        </w:rPr>
        <w:tab/>
        <w:t>(</w:t>
      </w:r>
      <w:r w:rsidR="00FB6E6B" w:rsidRPr="004D40CE">
        <w:rPr>
          <w:color w:val="000000"/>
          <w:sz w:val="22"/>
          <w:szCs w:val="18"/>
        </w:rPr>
        <w:t>i</w:t>
      </w:r>
      <w:r w:rsidRPr="004D40CE">
        <w:rPr>
          <w:color w:val="000000"/>
          <w:sz w:val="22"/>
          <w:szCs w:val="18"/>
        </w:rPr>
        <w:t>)</w:t>
      </w:r>
      <w:r w:rsidRPr="004D40CE">
        <w:rPr>
          <w:color w:val="000000"/>
          <w:sz w:val="22"/>
          <w:szCs w:val="18"/>
        </w:rPr>
        <w:tab/>
        <w:t>has turned 16; and</w:t>
      </w:r>
    </w:p>
    <w:p w14:paraId="72A1FD58" w14:textId="6A106CB8" w:rsidR="00C9630D" w:rsidRPr="004D40CE" w:rsidRDefault="00C9630D" w:rsidP="00A66861">
      <w:pPr>
        <w:pStyle w:val="P1"/>
        <w:tabs>
          <w:tab w:val="clear" w:pos="1191"/>
          <w:tab w:val="right" w:pos="1418"/>
        </w:tabs>
        <w:ind w:left="2127" w:hanging="709"/>
        <w:rPr>
          <w:color w:val="000000"/>
          <w:sz w:val="22"/>
          <w:szCs w:val="18"/>
        </w:rPr>
      </w:pPr>
      <w:r w:rsidRPr="004D40CE">
        <w:rPr>
          <w:color w:val="000000"/>
          <w:sz w:val="22"/>
          <w:szCs w:val="18"/>
        </w:rPr>
        <w:tab/>
        <w:t>(</w:t>
      </w:r>
      <w:r w:rsidR="00FB6E6B" w:rsidRPr="004D40CE">
        <w:rPr>
          <w:color w:val="000000"/>
          <w:sz w:val="22"/>
          <w:szCs w:val="18"/>
        </w:rPr>
        <w:t>ii</w:t>
      </w:r>
      <w:r w:rsidRPr="004D40CE">
        <w:rPr>
          <w:color w:val="000000"/>
          <w:sz w:val="22"/>
          <w:szCs w:val="18"/>
        </w:rPr>
        <w:t>)</w:t>
      </w:r>
      <w:r w:rsidRPr="004D40CE">
        <w:rPr>
          <w:color w:val="000000"/>
          <w:sz w:val="22"/>
          <w:szCs w:val="18"/>
        </w:rPr>
        <w:tab/>
        <w:t>is engaged on a full-time basis in an occupation, including an office, employment, trade, business, profession, vocation or calling.</w:t>
      </w:r>
    </w:p>
    <w:p w14:paraId="4B80FB80" w14:textId="400C1683" w:rsidR="001C103C" w:rsidRPr="004D40CE" w:rsidRDefault="00C9630D" w:rsidP="00FB6E6B">
      <w:pPr>
        <w:pStyle w:val="definition0"/>
        <w:ind w:left="1134"/>
        <w:rPr>
          <w:color w:val="000000"/>
          <w:sz w:val="22"/>
          <w:szCs w:val="22"/>
        </w:rPr>
      </w:pPr>
      <w:r w:rsidRPr="004D40CE">
        <w:rPr>
          <w:b/>
          <w:i/>
          <w:color w:val="000000"/>
          <w:sz w:val="22"/>
          <w:szCs w:val="22"/>
        </w:rPr>
        <w:t>student</w:t>
      </w:r>
      <w:r w:rsidRPr="004D40CE">
        <w:rPr>
          <w:color w:val="000000"/>
          <w:sz w:val="22"/>
          <w:szCs w:val="22"/>
        </w:rPr>
        <w:t xml:space="preserve"> means a person who has turned 16, but has not turned 18, who is enrolled in a full-time course of study at a school, college, university or similar educational institution.</w:t>
      </w:r>
    </w:p>
    <w:p w14:paraId="2AC8760F" w14:textId="77777777" w:rsidR="001C103C" w:rsidRPr="004D40CE" w:rsidRDefault="001C103C">
      <w:pPr>
        <w:spacing w:line="240" w:lineRule="auto"/>
        <w:rPr>
          <w:rFonts w:eastAsia="Times New Roman" w:cs="Times New Roman"/>
          <w:color w:val="000000"/>
          <w:szCs w:val="22"/>
          <w:lang w:eastAsia="en-AU"/>
        </w:rPr>
      </w:pPr>
      <w:r w:rsidRPr="004D40CE">
        <w:rPr>
          <w:color w:val="000000"/>
          <w:szCs w:val="22"/>
        </w:rPr>
        <w:br w:type="page"/>
      </w:r>
    </w:p>
    <w:p w14:paraId="4154D7E6" w14:textId="193CDC04" w:rsidR="001C103C" w:rsidRPr="004D40CE" w:rsidRDefault="001C103C" w:rsidP="001C103C">
      <w:pPr>
        <w:pStyle w:val="HP"/>
        <w:rPr>
          <w:color w:val="000000"/>
        </w:rPr>
      </w:pPr>
      <w:bookmarkStart w:id="16" w:name="_Toc532888702"/>
      <w:r w:rsidRPr="004D40CE">
        <w:rPr>
          <w:rStyle w:val="CharPartNo"/>
          <w:color w:val="000000"/>
        </w:rPr>
        <w:lastRenderedPageBreak/>
        <w:t>Part 4</w:t>
      </w:r>
      <w:r w:rsidRPr="004D40CE">
        <w:rPr>
          <w:color w:val="000000"/>
        </w:rPr>
        <w:tab/>
      </w:r>
      <w:r w:rsidRPr="004D40CE">
        <w:rPr>
          <w:rStyle w:val="CharPartText"/>
          <w:color w:val="000000"/>
        </w:rPr>
        <w:t>Determin</w:t>
      </w:r>
      <w:r w:rsidR="000A4DE0" w:rsidRPr="004D40CE">
        <w:rPr>
          <w:rStyle w:val="CharPartText"/>
          <w:color w:val="000000"/>
        </w:rPr>
        <w:t>ing certain</w:t>
      </w:r>
      <w:r w:rsidRPr="004D40CE">
        <w:rPr>
          <w:rStyle w:val="CharPartText"/>
          <w:color w:val="000000"/>
        </w:rPr>
        <w:t xml:space="preserve"> asset is not controlled by individual</w:t>
      </w:r>
      <w:bookmarkEnd w:id="16"/>
      <w:r w:rsidR="000A4DE0" w:rsidRPr="004D40CE">
        <w:rPr>
          <w:rStyle w:val="CharPartText"/>
          <w:color w:val="000000"/>
        </w:rPr>
        <w:t>—Act, subsection 52ZZZJ(2)</w:t>
      </w:r>
    </w:p>
    <w:p w14:paraId="410E8EF2" w14:textId="197BDF34" w:rsidR="00620CCF" w:rsidRPr="004D40CE" w:rsidRDefault="00837820" w:rsidP="00620CCF">
      <w:pPr>
        <w:keepNext/>
        <w:keepLines/>
        <w:spacing w:before="280" w:line="240" w:lineRule="auto"/>
        <w:ind w:left="1134" w:hanging="1134"/>
        <w:outlineLvl w:val="4"/>
        <w:rPr>
          <w:rFonts w:eastAsia="Times New Roman" w:cs="Times New Roman"/>
          <w:b/>
          <w:kern w:val="28"/>
          <w:sz w:val="24"/>
          <w:lang w:eastAsia="en-AU"/>
        </w:rPr>
      </w:pPr>
      <w:r w:rsidRPr="004D40CE">
        <w:rPr>
          <w:rFonts w:eastAsia="Times New Roman" w:cs="Times New Roman"/>
          <w:b/>
          <w:kern w:val="28"/>
          <w:sz w:val="24"/>
          <w:lang w:eastAsia="en-AU"/>
        </w:rPr>
        <w:t>10</w:t>
      </w:r>
      <w:r w:rsidR="00620CCF" w:rsidRPr="004D40CE">
        <w:rPr>
          <w:rFonts w:eastAsia="Times New Roman" w:cs="Times New Roman"/>
          <w:b/>
          <w:kern w:val="28"/>
          <w:sz w:val="24"/>
          <w:lang w:eastAsia="en-AU"/>
        </w:rPr>
        <w:t xml:space="preserve">  Purpose—pt </w:t>
      </w:r>
      <w:r w:rsidR="00D14841" w:rsidRPr="004D40CE">
        <w:rPr>
          <w:rFonts w:eastAsia="Times New Roman" w:cs="Times New Roman"/>
          <w:b/>
          <w:kern w:val="28"/>
          <w:sz w:val="24"/>
          <w:lang w:eastAsia="en-AU"/>
        </w:rPr>
        <w:t>4</w:t>
      </w:r>
    </w:p>
    <w:p w14:paraId="4978D094" w14:textId="3741813D" w:rsidR="006E2771" w:rsidRPr="004D40CE" w:rsidRDefault="00D14841" w:rsidP="00620CCF">
      <w:pPr>
        <w:tabs>
          <w:tab w:val="right" w:pos="1021"/>
        </w:tabs>
        <w:spacing w:before="180" w:line="240" w:lineRule="auto"/>
        <w:ind w:left="1134" w:hanging="1134"/>
        <w:rPr>
          <w:color w:val="000000"/>
        </w:rPr>
      </w:pPr>
      <w:r w:rsidRPr="004D40CE">
        <w:tab/>
      </w:r>
      <w:r w:rsidRPr="004D40CE">
        <w:tab/>
      </w:r>
      <w:r w:rsidRPr="004D40CE">
        <w:rPr>
          <w:color w:val="000000"/>
        </w:rPr>
        <w:t>This Part sets out decision-making principles with which the Commission must comply in making a determination under the Act, subsection 52ZZZJ(2) that, for the purposes of the Act, part IIIB, division 11A, subdivision K</w:t>
      </w:r>
      <w:r w:rsidR="00E374A9" w:rsidRPr="004D40CE">
        <w:rPr>
          <w:color w:val="000000"/>
        </w:rPr>
        <w:t xml:space="preserve"> (Concessional primary production trusts)</w:t>
      </w:r>
      <w:r w:rsidRPr="004D40CE">
        <w:rPr>
          <w:color w:val="000000"/>
        </w:rPr>
        <w:t xml:space="preserve">, an asset is </w:t>
      </w:r>
      <w:r w:rsidR="006E2771" w:rsidRPr="004D40CE">
        <w:rPr>
          <w:color w:val="000000"/>
        </w:rPr>
        <w:t xml:space="preserve">taken not to be controlled by an individual if </w:t>
      </w:r>
      <w:r w:rsidR="0050114E" w:rsidRPr="004D40CE">
        <w:rPr>
          <w:color w:val="000000"/>
        </w:rPr>
        <w:t>the asset</w:t>
      </w:r>
      <w:r w:rsidR="006E2771" w:rsidRPr="004D40CE">
        <w:rPr>
          <w:color w:val="000000"/>
        </w:rPr>
        <w:t xml:space="preserve"> is </w:t>
      </w:r>
      <w:r w:rsidRPr="004D40CE">
        <w:rPr>
          <w:color w:val="000000"/>
        </w:rPr>
        <w:t>owned</w:t>
      </w:r>
      <w:r w:rsidR="006E2771" w:rsidRPr="004D40CE">
        <w:rPr>
          <w:color w:val="000000"/>
        </w:rPr>
        <w:t xml:space="preserve"> by:</w:t>
      </w:r>
    </w:p>
    <w:p w14:paraId="3B6D4801" w14:textId="6C0000B8" w:rsidR="006E2771" w:rsidRPr="004D40CE" w:rsidRDefault="006E2771" w:rsidP="006E2771">
      <w:pPr>
        <w:spacing w:before="180" w:line="240" w:lineRule="auto"/>
        <w:ind w:left="1701" w:hanging="425"/>
        <w:rPr>
          <w:color w:val="000000"/>
        </w:rPr>
      </w:pPr>
      <w:r w:rsidRPr="004D40CE">
        <w:rPr>
          <w:color w:val="000000"/>
        </w:rPr>
        <w:t>(a)</w:t>
      </w:r>
      <w:r w:rsidRPr="004D40CE">
        <w:rPr>
          <w:color w:val="000000"/>
        </w:rPr>
        <w:tab/>
      </w:r>
      <w:r w:rsidR="00D14841" w:rsidRPr="004D40CE">
        <w:rPr>
          <w:color w:val="000000"/>
        </w:rPr>
        <w:t xml:space="preserve">a company that is a controlled private company in relation to </w:t>
      </w:r>
      <w:r w:rsidR="000E045A" w:rsidRPr="004D40CE">
        <w:rPr>
          <w:color w:val="000000"/>
        </w:rPr>
        <w:t>the</w:t>
      </w:r>
      <w:r w:rsidR="00D14841" w:rsidRPr="004D40CE">
        <w:rPr>
          <w:color w:val="000000"/>
        </w:rPr>
        <w:t xml:space="preserve"> individual</w:t>
      </w:r>
      <w:r w:rsidRPr="004D40CE">
        <w:rPr>
          <w:color w:val="000000"/>
        </w:rPr>
        <w:t xml:space="preserve">; </w:t>
      </w:r>
      <w:r w:rsidR="00D14841" w:rsidRPr="004D40CE">
        <w:rPr>
          <w:color w:val="000000"/>
        </w:rPr>
        <w:t>or</w:t>
      </w:r>
    </w:p>
    <w:p w14:paraId="187C68E9" w14:textId="2668C63E" w:rsidR="00D14841" w:rsidRPr="004D40CE" w:rsidRDefault="006E2771" w:rsidP="006E2771">
      <w:pPr>
        <w:tabs>
          <w:tab w:val="right" w:pos="1843"/>
        </w:tabs>
        <w:spacing w:before="180" w:line="240" w:lineRule="auto"/>
        <w:ind w:left="1701" w:hanging="425"/>
        <w:rPr>
          <w:color w:val="000000"/>
        </w:rPr>
      </w:pPr>
      <w:r w:rsidRPr="004D40CE">
        <w:rPr>
          <w:color w:val="000000"/>
        </w:rPr>
        <w:t>(b)</w:t>
      </w:r>
      <w:r w:rsidRPr="004D40CE">
        <w:rPr>
          <w:color w:val="000000"/>
        </w:rPr>
        <w:tab/>
      </w:r>
      <w:r w:rsidR="00D14841" w:rsidRPr="004D40CE">
        <w:rPr>
          <w:color w:val="000000"/>
        </w:rPr>
        <w:t xml:space="preserve">a trust that is a controlled private trust in relation to </w:t>
      </w:r>
      <w:r w:rsidR="000E045A" w:rsidRPr="004D40CE">
        <w:rPr>
          <w:color w:val="000000"/>
        </w:rPr>
        <w:t>the</w:t>
      </w:r>
      <w:r w:rsidR="00D14841" w:rsidRPr="004D40CE">
        <w:rPr>
          <w:color w:val="000000"/>
        </w:rPr>
        <w:t xml:space="preserve"> individual</w:t>
      </w:r>
      <w:r w:rsidR="000E045A" w:rsidRPr="004D40CE">
        <w:rPr>
          <w:color w:val="000000"/>
        </w:rPr>
        <w:t>.</w:t>
      </w:r>
    </w:p>
    <w:p w14:paraId="32AF0D92" w14:textId="672BA1F9" w:rsidR="00D14841" w:rsidRPr="004D40CE" w:rsidRDefault="000E045A" w:rsidP="00D14841">
      <w:pPr>
        <w:keepNext/>
        <w:keepLines/>
        <w:spacing w:before="280" w:line="240" w:lineRule="auto"/>
        <w:ind w:left="1134" w:hanging="1134"/>
        <w:outlineLvl w:val="4"/>
        <w:rPr>
          <w:rFonts w:eastAsia="Times New Roman" w:cs="Times New Roman"/>
          <w:b/>
          <w:kern w:val="28"/>
          <w:sz w:val="24"/>
          <w:lang w:eastAsia="en-AU"/>
        </w:rPr>
      </w:pPr>
      <w:r w:rsidRPr="004D40CE">
        <w:rPr>
          <w:rFonts w:eastAsia="Times New Roman" w:cs="Times New Roman"/>
          <w:b/>
          <w:kern w:val="28"/>
          <w:sz w:val="24"/>
          <w:lang w:eastAsia="en-AU"/>
        </w:rPr>
        <w:t>11</w:t>
      </w:r>
      <w:r w:rsidR="00D14841" w:rsidRPr="004D40CE">
        <w:rPr>
          <w:rFonts w:eastAsia="Times New Roman" w:cs="Times New Roman"/>
          <w:b/>
          <w:kern w:val="28"/>
          <w:sz w:val="24"/>
          <w:lang w:eastAsia="en-AU"/>
        </w:rPr>
        <w:t xml:space="preserve">  </w:t>
      </w:r>
      <w:r w:rsidRPr="004D40CE">
        <w:rPr>
          <w:rFonts w:eastAsia="Times New Roman" w:cs="Times New Roman"/>
          <w:b/>
          <w:kern w:val="28"/>
          <w:sz w:val="24"/>
          <w:lang w:eastAsia="en-AU"/>
        </w:rPr>
        <w:t>Is the individual attributable stakeholder?</w:t>
      </w:r>
    </w:p>
    <w:p w14:paraId="0D163D9B" w14:textId="77777777" w:rsidR="000E045A" w:rsidRPr="004D40CE" w:rsidRDefault="00D14841" w:rsidP="00D14841">
      <w:pPr>
        <w:tabs>
          <w:tab w:val="right" w:pos="1021"/>
        </w:tabs>
        <w:spacing w:before="180" w:line="240" w:lineRule="auto"/>
        <w:ind w:left="1134" w:hanging="1134"/>
        <w:rPr>
          <w:color w:val="000000"/>
        </w:rPr>
      </w:pPr>
      <w:r w:rsidRPr="004D40CE">
        <w:rPr>
          <w:rFonts w:eastAsia="Times New Roman" w:cs="Times New Roman"/>
          <w:lang w:eastAsia="en-AU"/>
        </w:rPr>
        <w:tab/>
        <w:t>(1)</w:t>
      </w:r>
      <w:r w:rsidRPr="004D40CE">
        <w:rPr>
          <w:rFonts w:eastAsia="Times New Roman" w:cs="Times New Roman"/>
          <w:lang w:eastAsia="en-AU"/>
        </w:rPr>
        <w:tab/>
      </w:r>
      <w:r w:rsidR="000E045A" w:rsidRPr="004D40CE">
        <w:rPr>
          <w:color w:val="000000"/>
        </w:rPr>
        <w:t>The Commission must consider whether it is likely that the individual would be considered to be an attributable stakeholder of the company or trust that owns the asset.</w:t>
      </w:r>
    </w:p>
    <w:p w14:paraId="390E284E" w14:textId="77777777" w:rsidR="000E045A" w:rsidRPr="004D40CE" w:rsidRDefault="00D14841" w:rsidP="000E045A">
      <w:pPr>
        <w:tabs>
          <w:tab w:val="right" w:pos="1021"/>
        </w:tabs>
        <w:spacing w:before="180" w:line="240" w:lineRule="auto"/>
        <w:ind w:left="1134" w:hanging="1134"/>
        <w:rPr>
          <w:color w:val="000000"/>
        </w:rPr>
      </w:pPr>
      <w:r w:rsidRPr="004D40CE">
        <w:rPr>
          <w:rFonts w:eastAsia="Times New Roman" w:cs="Times New Roman"/>
          <w:lang w:eastAsia="en-AU"/>
        </w:rPr>
        <w:tab/>
        <w:t>(2)</w:t>
      </w:r>
      <w:r w:rsidRPr="004D40CE">
        <w:rPr>
          <w:rFonts w:eastAsia="Times New Roman" w:cs="Times New Roman"/>
          <w:lang w:eastAsia="en-AU"/>
        </w:rPr>
        <w:tab/>
      </w:r>
      <w:r w:rsidR="000E045A" w:rsidRPr="004D40CE">
        <w:rPr>
          <w:color w:val="000000"/>
        </w:rPr>
        <w:t>If the asset is owned by a trust that is a concessional primary production trust in relation to the individual, the Commission must consider whether it is likely that, but for the fact that the trust is a concessional primary production trust in relation to the individual, the individual would be considered to be an attributable stakeholder of the trust.</w:t>
      </w:r>
    </w:p>
    <w:p w14:paraId="289E059F" w14:textId="734FC521" w:rsidR="00DA140B" w:rsidRPr="004D40CE" w:rsidRDefault="00D14841" w:rsidP="000E045A">
      <w:pPr>
        <w:tabs>
          <w:tab w:val="right" w:pos="1021"/>
        </w:tabs>
        <w:spacing w:before="180" w:line="240" w:lineRule="auto"/>
        <w:ind w:left="1134" w:hanging="1134"/>
        <w:rPr>
          <w:color w:val="000000"/>
        </w:rPr>
      </w:pPr>
      <w:r w:rsidRPr="004D40CE">
        <w:rPr>
          <w:rFonts w:eastAsia="Times New Roman" w:cs="Times New Roman"/>
          <w:lang w:eastAsia="en-AU"/>
        </w:rPr>
        <w:tab/>
        <w:t>(3)</w:t>
      </w:r>
      <w:r w:rsidRPr="004D40CE">
        <w:rPr>
          <w:rFonts w:eastAsia="Times New Roman" w:cs="Times New Roman"/>
          <w:lang w:eastAsia="en-AU"/>
        </w:rPr>
        <w:tab/>
      </w:r>
      <w:r w:rsidR="000E045A" w:rsidRPr="004D40CE">
        <w:rPr>
          <w:color w:val="000000"/>
        </w:rPr>
        <w:t>In considering the matters mentioned in subsections (1) and (2), the Commission must have regard to the decision-making principles set out in</w:t>
      </w:r>
      <w:r w:rsidR="00D54CC3" w:rsidRPr="004D40CE">
        <w:rPr>
          <w:color w:val="000000"/>
        </w:rPr>
        <w:t xml:space="preserve"> the</w:t>
      </w:r>
      <w:r w:rsidR="000E045A" w:rsidRPr="004D40CE">
        <w:rPr>
          <w:color w:val="000000"/>
        </w:rPr>
        <w:t xml:space="preserve"> </w:t>
      </w:r>
      <w:r w:rsidR="00337FDE" w:rsidRPr="004D40CE">
        <w:rPr>
          <w:i/>
          <w:iCs/>
          <w:color w:val="000000"/>
        </w:rPr>
        <w:t>Veterans’ Entitlements (Attributable Stakeholders and Attribution Percentages) Principles 202</w:t>
      </w:r>
      <w:r w:rsidR="006F3A08" w:rsidRPr="004D40CE">
        <w:rPr>
          <w:i/>
          <w:iCs/>
          <w:color w:val="000000"/>
        </w:rPr>
        <w:t>5</w:t>
      </w:r>
      <w:r w:rsidR="00337FDE" w:rsidRPr="004D40CE">
        <w:rPr>
          <w:color w:val="000000"/>
        </w:rPr>
        <w:t>, part 2 (Determination that individual is not attributable stakeholder)</w:t>
      </w:r>
      <w:r w:rsidR="000E045A" w:rsidRPr="004D40CE">
        <w:rPr>
          <w:color w:val="000000"/>
        </w:rPr>
        <w:t>.</w:t>
      </w:r>
    </w:p>
    <w:p w14:paraId="2DFC45C2" w14:textId="77777777" w:rsidR="00DA140B" w:rsidRPr="004D40CE" w:rsidRDefault="00DA140B">
      <w:pPr>
        <w:spacing w:line="240" w:lineRule="auto"/>
        <w:rPr>
          <w:color w:val="000000"/>
        </w:rPr>
      </w:pPr>
      <w:r w:rsidRPr="004D40CE">
        <w:rPr>
          <w:color w:val="000000"/>
        </w:rPr>
        <w:br w:type="page"/>
      </w:r>
    </w:p>
    <w:p w14:paraId="01F07CEF" w14:textId="69C98CC3" w:rsidR="00DA140B" w:rsidRPr="004D40CE" w:rsidRDefault="00DA140B" w:rsidP="00DA140B">
      <w:pPr>
        <w:pStyle w:val="HP"/>
        <w:rPr>
          <w:color w:val="000000"/>
        </w:rPr>
      </w:pPr>
      <w:bookmarkStart w:id="17" w:name="_Toc532888705"/>
      <w:r w:rsidRPr="004D40CE">
        <w:rPr>
          <w:rStyle w:val="CharPartNo"/>
          <w:color w:val="000000"/>
        </w:rPr>
        <w:lastRenderedPageBreak/>
        <w:t>Part 5</w:t>
      </w:r>
      <w:r w:rsidRPr="004D40CE">
        <w:rPr>
          <w:color w:val="000000"/>
        </w:rPr>
        <w:tab/>
      </w:r>
      <w:r w:rsidRPr="004D40CE">
        <w:rPr>
          <w:rStyle w:val="CharPartText"/>
          <w:color w:val="000000"/>
        </w:rPr>
        <w:t>Determin</w:t>
      </w:r>
      <w:r w:rsidR="00113948" w:rsidRPr="004D40CE">
        <w:rPr>
          <w:rStyle w:val="CharPartText"/>
          <w:color w:val="000000"/>
        </w:rPr>
        <w:t>ing</w:t>
      </w:r>
      <w:r w:rsidRPr="004D40CE">
        <w:rPr>
          <w:rStyle w:val="CharPartText"/>
          <w:color w:val="000000"/>
        </w:rPr>
        <w:t xml:space="preserve"> adjusted net value of asset controlled by individual</w:t>
      </w:r>
      <w:bookmarkEnd w:id="17"/>
      <w:r w:rsidR="00113948" w:rsidRPr="004D40CE">
        <w:rPr>
          <w:rStyle w:val="CharPartText"/>
          <w:color w:val="000000"/>
        </w:rPr>
        <w:t>—Act, subparagraphs 52ZZZK(2)(a)(ii) and</w:t>
      </w:r>
      <w:r w:rsidR="001D5FAF" w:rsidRPr="004D40CE">
        <w:rPr>
          <w:rStyle w:val="CharPartText"/>
          <w:color w:val="000000"/>
        </w:rPr>
        <w:t> </w:t>
      </w:r>
      <w:r w:rsidR="00113948" w:rsidRPr="004D40CE">
        <w:rPr>
          <w:rStyle w:val="CharPartText"/>
          <w:color w:val="000000"/>
        </w:rPr>
        <w:t>(b)(ii)</w:t>
      </w:r>
    </w:p>
    <w:p w14:paraId="11FF2F73" w14:textId="13BBA5C7" w:rsidR="00620CCF" w:rsidRPr="004D40CE" w:rsidRDefault="00DA140B" w:rsidP="00620CCF">
      <w:pPr>
        <w:keepNext/>
        <w:keepLines/>
        <w:spacing w:before="280" w:line="240" w:lineRule="auto"/>
        <w:ind w:left="1134" w:hanging="1134"/>
        <w:outlineLvl w:val="4"/>
        <w:rPr>
          <w:rFonts w:eastAsia="Times New Roman" w:cs="Times New Roman"/>
          <w:b/>
          <w:kern w:val="28"/>
          <w:sz w:val="24"/>
          <w:lang w:eastAsia="en-AU"/>
        </w:rPr>
      </w:pPr>
      <w:r w:rsidRPr="004D40CE">
        <w:rPr>
          <w:rFonts w:eastAsia="Times New Roman" w:cs="Times New Roman"/>
          <w:b/>
          <w:kern w:val="28"/>
          <w:sz w:val="24"/>
          <w:lang w:eastAsia="en-AU"/>
        </w:rPr>
        <w:t>12</w:t>
      </w:r>
      <w:r w:rsidR="00620CCF" w:rsidRPr="004D40CE">
        <w:rPr>
          <w:rFonts w:eastAsia="Times New Roman" w:cs="Times New Roman"/>
          <w:b/>
          <w:kern w:val="28"/>
          <w:sz w:val="24"/>
          <w:lang w:eastAsia="en-AU"/>
        </w:rPr>
        <w:t xml:space="preserve">  Purpose—pt </w:t>
      </w:r>
      <w:r w:rsidRPr="004D40CE">
        <w:rPr>
          <w:rFonts w:eastAsia="Times New Roman" w:cs="Times New Roman"/>
          <w:b/>
          <w:kern w:val="28"/>
          <w:sz w:val="24"/>
          <w:lang w:eastAsia="en-AU"/>
        </w:rPr>
        <w:t>5</w:t>
      </w:r>
    </w:p>
    <w:p w14:paraId="68CAB4D9" w14:textId="6B730FCC" w:rsidR="00DA140B" w:rsidRPr="004D40CE" w:rsidRDefault="00620CCF" w:rsidP="00DA140B">
      <w:pPr>
        <w:tabs>
          <w:tab w:val="right" w:pos="1021"/>
        </w:tabs>
        <w:spacing w:before="180" w:line="240" w:lineRule="auto"/>
        <w:ind w:left="1134" w:hanging="1134"/>
      </w:pPr>
      <w:r w:rsidRPr="004D40CE">
        <w:rPr>
          <w:rFonts w:eastAsia="Times New Roman" w:cs="Times New Roman"/>
          <w:lang w:eastAsia="en-AU"/>
        </w:rPr>
        <w:tab/>
      </w:r>
      <w:r w:rsidR="00DA140B" w:rsidRPr="004D40CE">
        <w:rPr>
          <w:rFonts w:eastAsia="Times New Roman" w:cs="Times New Roman"/>
          <w:lang w:eastAsia="en-AU"/>
        </w:rPr>
        <w:tab/>
      </w:r>
      <w:r w:rsidR="00113948" w:rsidRPr="004D40CE">
        <w:rPr>
          <w:color w:val="000000"/>
        </w:rPr>
        <w:t>This Part sets out decision-making principles with which the Commission must comply in making a determination under the Act, subparagraph 52ZZZK(2)(a)(ii) or (b)(ii) that a specified percentage, lower than 100%, is the adjusted net value of an asset controlled by an individual.</w:t>
      </w:r>
    </w:p>
    <w:p w14:paraId="6A7C6313" w14:textId="40C7DB30" w:rsidR="00620CCF" w:rsidRPr="004D40CE" w:rsidRDefault="00113948" w:rsidP="00DA140B">
      <w:pPr>
        <w:tabs>
          <w:tab w:val="right" w:pos="1021"/>
        </w:tabs>
        <w:spacing w:before="180" w:line="240" w:lineRule="auto"/>
        <w:ind w:left="1134" w:hanging="1134"/>
        <w:rPr>
          <w:rFonts w:eastAsia="Times New Roman" w:cs="Times New Roman"/>
          <w:b/>
          <w:kern w:val="28"/>
          <w:sz w:val="24"/>
          <w:lang w:eastAsia="en-AU"/>
        </w:rPr>
      </w:pPr>
      <w:r w:rsidRPr="004D40CE">
        <w:rPr>
          <w:rFonts w:eastAsia="Times New Roman" w:cs="Times New Roman"/>
          <w:b/>
          <w:kern w:val="28"/>
          <w:sz w:val="24"/>
          <w:lang w:eastAsia="en-AU"/>
        </w:rPr>
        <w:t>13</w:t>
      </w:r>
      <w:r w:rsidR="00620CCF" w:rsidRPr="004D40CE">
        <w:rPr>
          <w:rFonts w:eastAsia="Times New Roman" w:cs="Times New Roman"/>
          <w:b/>
          <w:kern w:val="28"/>
          <w:sz w:val="24"/>
          <w:lang w:eastAsia="en-AU"/>
        </w:rPr>
        <w:t xml:space="preserve">  </w:t>
      </w:r>
      <w:r w:rsidRPr="004D40CE">
        <w:rPr>
          <w:rFonts w:eastAsia="Times New Roman" w:cs="Times New Roman"/>
          <w:b/>
          <w:kern w:val="28"/>
          <w:sz w:val="24"/>
          <w:lang w:eastAsia="en-AU"/>
        </w:rPr>
        <w:t>Is the individual an attributable stakeholder?</w:t>
      </w:r>
    </w:p>
    <w:p w14:paraId="286DD6C9" w14:textId="77777777" w:rsidR="00237FB1" w:rsidRPr="004D40CE" w:rsidRDefault="00620CCF" w:rsidP="00620CCF">
      <w:pPr>
        <w:tabs>
          <w:tab w:val="right" w:pos="1021"/>
        </w:tabs>
        <w:spacing w:before="180" w:line="240" w:lineRule="auto"/>
        <w:ind w:left="1134" w:hanging="1134"/>
        <w:rPr>
          <w:color w:val="000000"/>
        </w:rPr>
      </w:pPr>
      <w:r w:rsidRPr="004D40CE">
        <w:rPr>
          <w:rFonts w:eastAsia="Times New Roman" w:cs="Times New Roman"/>
          <w:lang w:eastAsia="en-AU"/>
        </w:rPr>
        <w:tab/>
        <w:t>(1)</w:t>
      </w:r>
      <w:r w:rsidRPr="004D40CE">
        <w:rPr>
          <w:rFonts w:eastAsia="Times New Roman" w:cs="Times New Roman"/>
          <w:lang w:eastAsia="en-AU"/>
        </w:rPr>
        <w:tab/>
      </w:r>
      <w:r w:rsidR="00237FB1" w:rsidRPr="004D40CE">
        <w:rPr>
          <w:color w:val="000000"/>
        </w:rPr>
        <w:t>The Commission must consider whether it is likely that the individual would be considered to be an attributable stakeholder of the company or trust that owns the asset.</w:t>
      </w:r>
    </w:p>
    <w:p w14:paraId="7E6C8487" w14:textId="77777777" w:rsidR="000C78A5" w:rsidRPr="004D40CE" w:rsidRDefault="00620CCF" w:rsidP="000C78A5">
      <w:pPr>
        <w:tabs>
          <w:tab w:val="right" w:pos="1021"/>
        </w:tabs>
        <w:spacing w:before="180" w:line="240" w:lineRule="auto"/>
        <w:ind w:left="1134" w:hanging="1134"/>
        <w:rPr>
          <w:color w:val="000000"/>
        </w:rPr>
      </w:pPr>
      <w:r w:rsidRPr="004D40CE">
        <w:rPr>
          <w:rFonts w:eastAsia="Times New Roman" w:cs="Times New Roman"/>
          <w:lang w:eastAsia="en-AU"/>
        </w:rPr>
        <w:tab/>
        <w:t>(2)</w:t>
      </w:r>
      <w:r w:rsidRPr="004D40CE">
        <w:rPr>
          <w:rFonts w:eastAsia="Times New Roman" w:cs="Times New Roman"/>
          <w:lang w:eastAsia="en-AU"/>
        </w:rPr>
        <w:tab/>
      </w:r>
      <w:r w:rsidR="000C78A5" w:rsidRPr="004D40CE">
        <w:rPr>
          <w:color w:val="000000"/>
        </w:rPr>
        <w:t>If the asset is owned by a trust that is a concessional primary production trust in relation to the individual, the Commission must consider whether it is likely that, but for the fact that the trust is a concessional primary production trust in relation to the individual, the individual would be considered to be an attributable stakeholder of the trust.</w:t>
      </w:r>
    </w:p>
    <w:p w14:paraId="6DF418DD" w14:textId="77777777" w:rsidR="000C78A5" w:rsidRPr="004D40CE" w:rsidRDefault="00620CCF" w:rsidP="000C78A5">
      <w:pPr>
        <w:tabs>
          <w:tab w:val="right" w:pos="1021"/>
        </w:tabs>
        <w:spacing w:before="180" w:line="240" w:lineRule="auto"/>
        <w:ind w:left="1134" w:hanging="1134"/>
        <w:rPr>
          <w:color w:val="000000"/>
        </w:rPr>
      </w:pPr>
      <w:r w:rsidRPr="004D40CE">
        <w:rPr>
          <w:rFonts w:eastAsia="Times New Roman" w:cs="Times New Roman"/>
          <w:lang w:eastAsia="en-AU"/>
        </w:rPr>
        <w:tab/>
        <w:t>(3)</w:t>
      </w:r>
      <w:r w:rsidRPr="004D40CE">
        <w:rPr>
          <w:rFonts w:eastAsia="Times New Roman" w:cs="Times New Roman"/>
          <w:lang w:eastAsia="en-AU"/>
        </w:rPr>
        <w:tab/>
      </w:r>
      <w:r w:rsidR="000C78A5" w:rsidRPr="004D40CE">
        <w:rPr>
          <w:color w:val="000000"/>
        </w:rPr>
        <w:t>If the Commission considers that it is likely that the individual would be considered to be an attributable stakeholder of the company or trust that owns the asset, the Commission must consider the percentage that would be likely to be the individual’s asset attribution percentage in relation to the company or trust.</w:t>
      </w:r>
    </w:p>
    <w:p w14:paraId="45267192" w14:textId="26B71A4F" w:rsidR="000C78A5" w:rsidRPr="004D40CE" w:rsidRDefault="000C78A5" w:rsidP="000C78A5">
      <w:pPr>
        <w:tabs>
          <w:tab w:val="right" w:pos="1021"/>
        </w:tabs>
        <w:spacing w:before="180" w:line="240" w:lineRule="auto"/>
        <w:ind w:left="1134" w:hanging="1134"/>
        <w:rPr>
          <w:color w:val="000000"/>
        </w:rPr>
      </w:pPr>
      <w:r w:rsidRPr="004D40CE">
        <w:rPr>
          <w:rFonts w:eastAsia="Times New Roman" w:cs="Times New Roman"/>
          <w:lang w:eastAsia="en-AU"/>
        </w:rPr>
        <w:tab/>
        <w:t>(4)</w:t>
      </w:r>
      <w:r w:rsidRPr="004D40CE">
        <w:rPr>
          <w:rFonts w:eastAsia="Times New Roman" w:cs="Times New Roman"/>
          <w:lang w:eastAsia="en-AU"/>
        </w:rPr>
        <w:tab/>
      </w:r>
      <w:r w:rsidRPr="004D40CE">
        <w:rPr>
          <w:color w:val="000000"/>
        </w:rPr>
        <w:t>In considering the matters mentioned in subsections (1) and (2), the Commission must have regard to the decision-making principles set out in</w:t>
      </w:r>
      <w:r w:rsidR="00462883" w:rsidRPr="004D40CE">
        <w:rPr>
          <w:color w:val="000000"/>
        </w:rPr>
        <w:t xml:space="preserve"> the</w:t>
      </w:r>
      <w:r w:rsidRPr="004D40CE">
        <w:rPr>
          <w:color w:val="000000"/>
        </w:rPr>
        <w:t xml:space="preserve"> </w:t>
      </w:r>
      <w:r w:rsidRPr="004D40CE">
        <w:rPr>
          <w:i/>
          <w:iCs/>
          <w:color w:val="000000"/>
        </w:rPr>
        <w:t>Veterans’ Entitlements (Attributable Stakeholders and Attribution Percentages) Principles 202</w:t>
      </w:r>
      <w:r w:rsidR="0015743C" w:rsidRPr="004D40CE">
        <w:rPr>
          <w:i/>
          <w:iCs/>
          <w:color w:val="000000"/>
        </w:rPr>
        <w:t>5</w:t>
      </w:r>
      <w:r w:rsidRPr="004D40CE">
        <w:rPr>
          <w:color w:val="000000"/>
        </w:rPr>
        <w:t>, part 2 (Determination that individual is not attributable stakeholder).</w:t>
      </w:r>
    </w:p>
    <w:p w14:paraId="0792B297" w14:textId="15C7A0FA" w:rsidR="005445FF" w:rsidRPr="004D40CE" w:rsidRDefault="000C78A5" w:rsidP="000C78A5">
      <w:pPr>
        <w:tabs>
          <w:tab w:val="right" w:pos="1021"/>
        </w:tabs>
        <w:spacing w:before="180" w:line="240" w:lineRule="auto"/>
        <w:ind w:left="1134" w:hanging="1134"/>
        <w:rPr>
          <w:color w:val="000000"/>
        </w:rPr>
      </w:pPr>
      <w:r w:rsidRPr="004D40CE">
        <w:rPr>
          <w:rFonts w:eastAsia="Times New Roman" w:cs="Times New Roman"/>
          <w:lang w:eastAsia="en-AU"/>
        </w:rPr>
        <w:tab/>
        <w:t>(5)</w:t>
      </w:r>
      <w:r w:rsidRPr="004D40CE">
        <w:rPr>
          <w:rFonts w:eastAsia="Times New Roman" w:cs="Times New Roman"/>
          <w:lang w:eastAsia="en-AU"/>
        </w:rPr>
        <w:tab/>
      </w:r>
      <w:r w:rsidRPr="004D40CE">
        <w:rPr>
          <w:color w:val="000000"/>
        </w:rPr>
        <w:t xml:space="preserve">In considering the matter mentioned in subsection (3), the Commission must have regard to the decision-making principles set out in the </w:t>
      </w:r>
      <w:r w:rsidRPr="004D40CE">
        <w:rPr>
          <w:i/>
          <w:iCs/>
          <w:color w:val="000000"/>
        </w:rPr>
        <w:t>Veterans’ Entitlements (Attributable Stakeholders and Attribution Percentages) Principles 202</w:t>
      </w:r>
      <w:r w:rsidR="0015743C" w:rsidRPr="004D40CE">
        <w:rPr>
          <w:i/>
          <w:iCs/>
          <w:color w:val="000000"/>
        </w:rPr>
        <w:t>5</w:t>
      </w:r>
      <w:r w:rsidRPr="004D40CE">
        <w:rPr>
          <w:color w:val="000000"/>
        </w:rPr>
        <w:t xml:space="preserve">, part 3 (Determination </w:t>
      </w:r>
      <w:r w:rsidR="00782131" w:rsidRPr="004D40CE">
        <w:rPr>
          <w:color w:val="000000"/>
        </w:rPr>
        <w:t>of asset attribution percentage</w:t>
      </w:r>
      <w:r w:rsidRPr="004D40CE">
        <w:rPr>
          <w:color w:val="000000"/>
        </w:rPr>
        <w:t>).</w:t>
      </w:r>
    </w:p>
    <w:p w14:paraId="03603E78" w14:textId="77777777" w:rsidR="005445FF" w:rsidRPr="004D40CE" w:rsidRDefault="005445FF">
      <w:pPr>
        <w:spacing w:line="240" w:lineRule="auto"/>
        <w:rPr>
          <w:color w:val="000000"/>
        </w:rPr>
      </w:pPr>
      <w:r w:rsidRPr="004D40CE">
        <w:rPr>
          <w:color w:val="000000"/>
        </w:rPr>
        <w:br w:type="page"/>
      </w:r>
    </w:p>
    <w:p w14:paraId="1E49227D" w14:textId="35B8F0D5" w:rsidR="005445FF" w:rsidRPr="004D40CE" w:rsidRDefault="005445FF" w:rsidP="005445FF">
      <w:pPr>
        <w:pStyle w:val="HP"/>
        <w:rPr>
          <w:color w:val="000000"/>
        </w:rPr>
      </w:pPr>
      <w:bookmarkStart w:id="18" w:name="_Toc532888708"/>
      <w:r w:rsidRPr="004D40CE">
        <w:rPr>
          <w:rStyle w:val="CharPartNo"/>
          <w:color w:val="000000"/>
        </w:rPr>
        <w:lastRenderedPageBreak/>
        <w:t>Part 6</w:t>
      </w:r>
      <w:r w:rsidRPr="004D40CE">
        <w:rPr>
          <w:color w:val="000000"/>
        </w:rPr>
        <w:tab/>
      </w:r>
      <w:r w:rsidRPr="004D40CE">
        <w:rPr>
          <w:rStyle w:val="CharPartText"/>
          <w:color w:val="000000"/>
        </w:rPr>
        <w:t>Determin</w:t>
      </w:r>
      <w:r w:rsidR="00462883" w:rsidRPr="004D40CE">
        <w:rPr>
          <w:rStyle w:val="CharPartText"/>
          <w:color w:val="000000"/>
        </w:rPr>
        <w:t>ing</w:t>
      </w:r>
      <w:r w:rsidRPr="004D40CE">
        <w:rPr>
          <w:rStyle w:val="CharPartText"/>
          <w:color w:val="000000"/>
        </w:rPr>
        <w:t xml:space="preserve"> percentage of net income of primary production enterprise</w:t>
      </w:r>
      <w:bookmarkEnd w:id="18"/>
      <w:r w:rsidR="00462883" w:rsidRPr="004D40CE">
        <w:rPr>
          <w:rStyle w:val="CharPartText"/>
          <w:color w:val="000000"/>
        </w:rPr>
        <w:t>—Act, subparagraphs 52ZZZL(1)(b)(ii) and (c)(ii)</w:t>
      </w:r>
    </w:p>
    <w:p w14:paraId="7EDC4357" w14:textId="10D82AA1" w:rsidR="00620CCF" w:rsidRPr="004D40CE" w:rsidRDefault="005445FF" w:rsidP="000C78A5">
      <w:pPr>
        <w:tabs>
          <w:tab w:val="right" w:pos="1021"/>
        </w:tabs>
        <w:spacing w:before="180" w:line="240" w:lineRule="auto"/>
        <w:ind w:left="1134" w:hanging="1134"/>
        <w:rPr>
          <w:rFonts w:eastAsia="Times New Roman" w:cs="Times New Roman"/>
          <w:b/>
          <w:kern w:val="28"/>
          <w:sz w:val="24"/>
          <w:lang w:eastAsia="en-AU"/>
        </w:rPr>
      </w:pPr>
      <w:r w:rsidRPr="004D40CE">
        <w:rPr>
          <w:rFonts w:eastAsia="Times New Roman" w:cs="Times New Roman"/>
          <w:b/>
          <w:kern w:val="28"/>
          <w:sz w:val="24"/>
          <w:lang w:eastAsia="en-AU"/>
        </w:rPr>
        <w:t>14</w:t>
      </w:r>
      <w:r w:rsidR="00620CCF" w:rsidRPr="004D40CE">
        <w:rPr>
          <w:rFonts w:eastAsia="Times New Roman" w:cs="Times New Roman"/>
          <w:b/>
          <w:kern w:val="28"/>
          <w:sz w:val="24"/>
          <w:lang w:eastAsia="en-AU"/>
        </w:rPr>
        <w:t xml:space="preserve">  Purpose—pt </w:t>
      </w:r>
      <w:r w:rsidRPr="004D40CE">
        <w:rPr>
          <w:rFonts w:eastAsia="Times New Roman" w:cs="Times New Roman"/>
          <w:b/>
          <w:kern w:val="28"/>
          <w:sz w:val="24"/>
          <w:lang w:eastAsia="en-AU"/>
        </w:rPr>
        <w:t>6</w:t>
      </w:r>
    </w:p>
    <w:p w14:paraId="080DE38D" w14:textId="06A21E60" w:rsidR="00620CCF" w:rsidRPr="004D40CE" w:rsidRDefault="00620CCF" w:rsidP="00620CCF">
      <w:pPr>
        <w:tabs>
          <w:tab w:val="right" w:pos="1021"/>
        </w:tabs>
        <w:spacing w:before="180" w:line="240" w:lineRule="auto"/>
        <w:ind w:left="1134" w:hanging="1134"/>
        <w:rPr>
          <w:rFonts w:eastAsia="Times New Roman" w:cs="Times New Roman"/>
          <w:lang w:eastAsia="en-AU"/>
        </w:rPr>
      </w:pPr>
      <w:r w:rsidRPr="004D40CE">
        <w:rPr>
          <w:rFonts w:eastAsia="Times New Roman" w:cs="Times New Roman"/>
          <w:lang w:eastAsia="en-AU"/>
        </w:rPr>
        <w:tab/>
      </w:r>
      <w:r w:rsidR="005445FF" w:rsidRPr="004D40CE">
        <w:rPr>
          <w:rFonts w:eastAsia="Times New Roman" w:cs="Times New Roman"/>
          <w:lang w:eastAsia="en-AU"/>
        </w:rPr>
        <w:tab/>
      </w:r>
      <w:r w:rsidR="005445FF" w:rsidRPr="004D40CE">
        <w:rPr>
          <w:color w:val="000000"/>
        </w:rPr>
        <w:t>This Part sets out decision-making principles with which the Commission must comply in making:</w:t>
      </w:r>
    </w:p>
    <w:p w14:paraId="17DF4DE0" w14:textId="4DDBBB50" w:rsidR="00620CCF" w:rsidRPr="004D40CE" w:rsidRDefault="00620CCF" w:rsidP="00620CCF">
      <w:pPr>
        <w:tabs>
          <w:tab w:val="right" w:pos="1531"/>
        </w:tabs>
        <w:spacing w:before="40" w:line="240" w:lineRule="auto"/>
        <w:ind w:left="1644" w:hanging="1644"/>
        <w:rPr>
          <w:rFonts w:eastAsia="Times New Roman" w:cs="Times New Roman"/>
          <w:lang w:eastAsia="en-AU"/>
        </w:rPr>
      </w:pPr>
      <w:r w:rsidRPr="004D40CE">
        <w:rPr>
          <w:rFonts w:eastAsia="Times New Roman" w:cs="Times New Roman"/>
          <w:lang w:eastAsia="en-AU"/>
        </w:rPr>
        <w:tab/>
        <w:t>(a)</w:t>
      </w:r>
      <w:r w:rsidRPr="004D40CE">
        <w:rPr>
          <w:rFonts w:eastAsia="Times New Roman" w:cs="Times New Roman"/>
          <w:lang w:eastAsia="en-AU"/>
        </w:rPr>
        <w:tab/>
      </w:r>
      <w:r w:rsidR="00462883" w:rsidRPr="004D40CE">
        <w:rPr>
          <w:color w:val="000000"/>
        </w:rPr>
        <w:t>a determination under the Act, subparagraph 52ZZZL(1)(b)(ii) that, for a particular tax year, a specified percentage, lower than 100%, of the net income of a primary production enterprise carried on by a company that was a controlled private company in relation to an individual throughout that tax year is to apply in relation to the individual and the enterprise for that tax year; or</w:t>
      </w:r>
    </w:p>
    <w:p w14:paraId="6CBB3FF2" w14:textId="608BF198" w:rsidR="00620CCF" w:rsidRPr="004D40CE" w:rsidRDefault="00620CCF" w:rsidP="00532E0F">
      <w:pPr>
        <w:tabs>
          <w:tab w:val="right" w:pos="1531"/>
        </w:tabs>
        <w:spacing w:before="40" w:line="240" w:lineRule="auto"/>
        <w:ind w:left="1644" w:hanging="1644"/>
        <w:rPr>
          <w:rFonts w:eastAsia="Times New Roman" w:cs="Times New Roman"/>
          <w:lang w:eastAsia="en-AU"/>
        </w:rPr>
      </w:pPr>
      <w:r w:rsidRPr="004D40CE">
        <w:rPr>
          <w:rFonts w:eastAsia="Times New Roman" w:cs="Times New Roman"/>
          <w:lang w:eastAsia="en-AU"/>
        </w:rPr>
        <w:tab/>
        <w:t>(b)</w:t>
      </w:r>
      <w:r w:rsidRPr="004D40CE">
        <w:rPr>
          <w:rFonts w:eastAsia="Times New Roman" w:cs="Times New Roman"/>
          <w:lang w:eastAsia="en-AU"/>
        </w:rPr>
        <w:tab/>
      </w:r>
      <w:r w:rsidR="00462883" w:rsidRPr="004D40CE">
        <w:rPr>
          <w:color w:val="000000"/>
        </w:rPr>
        <w:t>a determination under the Act, subparagraph 52ZZZL(1)(c)(ii) that, for a particular tax year, a specified percentage, lower than 100%, of the net income of a primary production enterprise carried on by a trust that was a controlled private trust in relation to an individual throughout that tax year is to apply in relation to the individual and the enterprise for that tax year.</w:t>
      </w:r>
    </w:p>
    <w:p w14:paraId="53193D2C" w14:textId="6279C658" w:rsidR="00620CCF" w:rsidRPr="004D40CE" w:rsidRDefault="00462883" w:rsidP="00620CCF">
      <w:pPr>
        <w:keepNext/>
        <w:keepLines/>
        <w:spacing w:before="280" w:line="240" w:lineRule="auto"/>
        <w:ind w:left="1134" w:hanging="1134"/>
        <w:outlineLvl w:val="4"/>
        <w:rPr>
          <w:rFonts w:eastAsia="Times New Roman" w:cs="Times New Roman"/>
          <w:b/>
          <w:kern w:val="28"/>
          <w:sz w:val="24"/>
          <w:lang w:eastAsia="en-AU"/>
        </w:rPr>
      </w:pPr>
      <w:r w:rsidRPr="004D40CE">
        <w:rPr>
          <w:rFonts w:eastAsia="Times New Roman" w:cs="Times New Roman"/>
          <w:b/>
          <w:kern w:val="28"/>
          <w:sz w:val="24"/>
          <w:lang w:eastAsia="en-AU"/>
        </w:rPr>
        <w:t>15</w:t>
      </w:r>
      <w:r w:rsidR="00620CCF" w:rsidRPr="004D40CE">
        <w:rPr>
          <w:rFonts w:eastAsia="Times New Roman" w:cs="Times New Roman"/>
          <w:b/>
          <w:kern w:val="28"/>
          <w:sz w:val="24"/>
          <w:lang w:eastAsia="en-AU"/>
        </w:rPr>
        <w:t xml:space="preserve">  </w:t>
      </w:r>
      <w:r w:rsidRPr="004D40CE">
        <w:rPr>
          <w:rFonts w:eastAsia="Times New Roman" w:cs="Times New Roman"/>
          <w:b/>
          <w:kern w:val="28"/>
          <w:sz w:val="24"/>
          <w:lang w:eastAsia="en-AU"/>
        </w:rPr>
        <w:t>Is the individual an attributable stakeholder?</w:t>
      </w:r>
    </w:p>
    <w:p w14:paraId="0A4CAF48" w14:textId="12700CD3" w:rsidR="00620CCF" w:rsidRPr="004D40CE" w:rsidRDefault="00620CCF" w:rsidP="00620CCF">
      <w:pPr>
        <w:tabs>
          <w:tab w:val="right" w:pos="1021"/>
        </w:tabs>
        <w:spacing w:before="180" w:line="240" w:lineRule="auto"/>
        <w:ind w:left="1134" w:hanging="1134"/>
        <w:rPr>
          <w:rFonts w:eastAsia="Times New Roman" w:cs="Times New Roman"/>
          <w:lang w:eastAsia="en-AU"/>
        </w:rPr>
      </w:pPr>
      <w:r w:rsidRPr="004D40CE">
        <w:rPr>
          <w:rFonts w:eastAsia="Times New Roman" w:cs="Times New Roman"/>
          <w:lang w:eastAsia="en-AU"/>
        </w:rPr>
        <w:tab/>
        <w:t>(1)</w:t>
      </w:r>
      <w:r w:rsidRPr="004D40CE">
        <w:rPr>
          <w:rFonts w:eastAsia="Times New Roman" w:cs="Times New Roman"/>
          <w:lang w:eastAsia="en-AU"/>
        </w:rPr>
        <w:tab/>
      </w:r>
      <w:r w:rsidR="00462883" w:rsidRPr="004D40CE">
        <w:rPr>
          <w:color w:val="000000"/>
        </w:rPr>
        <w:t>The Commission must consider whether it is likely that the individual would be considered to be an attributable stakeholder of the company or trust that carries on the primary production enterprise.</w:t>
      </w:r>
    </w:p>
    <w:p w14:paraId="4D4A59B8" w14:textId="77777777" w:rsidR="00462883" w:rsidRPr="004D40CE" w:rsidRDefault="00620CCF" w:rsidP="00462883">
      <w:pPr>
        <w:tabs>
          <w:tab w:val="right" w:pos="1021"/>
        </w:tabs>
        <w:spacing w:before="180" w:line="240" w:lineRule="auto"/>
        <w:ind w:left="1134" w:hanging="1134"/>
        <w:rPr>
          <w:color w:val="000000"/>
        </w:rPr>
      </w:pPr>
      <w:r w:rsidRPr="004D40CE">
        <w:rPr>
          <w:rFonts w:eastAsia="Times New Roman" w:cs="Times New Roman"/>
          <w:lang w:eastAsia="en-AU"/>
        </w:rPr>
        <w:tab/>
        <w:t>(2)</w:t>
      </w:r>
      <w:r w:rsidRPr="004D40CE">
        <w:rPr>
          <w:rFonts w:eastAsia="Times New Roman" w:cs="Times New Roman"/>
          <w:lang w:eastAsia="en-AU"/>
        </w:rPr>
        <w:tab/>
      </w:r>
      <w:r w:rsidR="00462883" w:rsidRPr="004D40CE">
        <w:rPr>
          <w:color w:val="000000"/>
        </w:rPr>
        <w:t>If the primary production enterprise is carried on by a trust that is a concessional primary production trust in relation to the individual, the Commission must consider whether it is likely that, but for the fact that the trust is a concessional primary production trust in relation to the individual, the individual would be considered to be an attributable stakeholder of the trust.</w:t>
      </w:r>
    </w:p>
    <w:p w14:paraId="7A4919DC" w14:textId="77777777" w:rsidR="00462883" w:rsidRPr="004D40CE" w:rsidRDefault="00620CCF" w:rsidP="00462883">
      <w:pPr>
        <w:tabs>
          <w:tab w:val="right" w:pos="1021"/>
        </w:tabs>
        <w:spacing w:before="180" w:line="240" w:lineRule="auto"/>
        <w:ind w:left="1134" w:hanging="1134"/>
        <w:rPr>
          <w:color w:val="000000"/>
        </w:rPr>
      </w:pPr>
      <w:r w:rsidRPr="004D40CE">
        <w:rPr>
          <w:rFonts w:eastAsia="Times New Roman" w:cs="Times New Roman"/>
          <w:lang w:eastAsia="en-AU"/>
        </w:rPr>
        <w:tab/>
        <w:t>(3)</w:t>
      </w:r>
      <w:r w:rsidRPr="004D40CE">
        <w:rPr>
          <w:rFonts w:eastAsia="Times New Roman" w:cs="Times New Roman"/>
          <w:lang w:eastAsia="en-AU"/>
        </w:rPr>
        <w:tab/>
      </w:r>
      <w:r w:rsidR="00462883" w:rsidRPr="004D40CE">
        <w:rPr>
          <w:color w:val="000000"/>
        </w:rPr>
        <w:t>If the Commission considers that it is likely that the individual would be considered to be an attributable stakeholder of the company or trust that carries on the primary production enterprise, the Commission must consider the percentage that would be likely to be the individual’s income attribution percentage in relation to the company or trust.</w:t>
      </w:r>
    </w:p>
    <w:p w14:paraId="6F855556" w14:textId="4A728B62" w:rsidR="00462883" w:rsidRPr="004D40CE" w:rsidRDefault="00C22234" w:rsidP="00462883">
      <w:pPr>
        <w:tabs>
          <w:tab w:val="right" w:pos="1021"/>
        </w:tabs>
        <w:spacing w:before="180" w:line="240" w:lineRule="auto"/>
        <w:ind w:left="1134" w:hanging="1134"/>
        <w:rPr>
          <w:color w:val="000000"/>
        </w:rPr>
      </w:pPr>
      <w:r w:rsidRPr="004D40CE">
        <w:rPr>
          <w:rFonts w:eastAsia="Times New Roman" w:cs="Times New Roman"/>
          <w:lang w:eastAsia="en-AU"/>
        </w:rPr>
        <w:tab/>
      </w:r>
      <w:r w:rsidR="00462883" w:rsidRPr="004D40CE">
        <w:rPr>
          <w:rFonts w:eastAsia="Times New Roman" w:cs="Times New Roman"/>
          <w:lang w:eastAsia="en-AU"/>
        </w:rPr>
        <w:t>(</w:t>
      </w:r>
      <w:r w:rsidRPr="004D40CE">
        <w:rPr>
          <w:rFonts w:eastAsia="Times New Roman" w:cs="Times New Roman"/>
          <w:lang w:eastAsia="en-AU"/>
        </w:rPr>
        <w:t>4</w:t>
      </w:r>
      <w:r w:rsidR="00462883" w:rsidRPr="004D40CE">
        <w:rPr>
          <w:rFonts w:eastAsia="Times New Roman" w:cs="Times New Roman"/>
          <w:lang w:eastAsia="en-AU"/>
        </w:rPr>
        <w:t>)</w:t>
      </w:r>
      <w:r w:rsidR="00462883" w:rsidRPr="004D40CE">
        <w:rPr>
          <w:rFonts w:eastAsia="Times New Roman" w:cs="Times New Roman"/>
          <w:lang w:eastAsia="en-AU"/>
        </w:rPr>
        <w:tab/>
      </w:r>
      <w:r w:rsidR="00462883" w:rsidRPr="004D40CE">
        <w:rPr>
          <w:color w:val="000000"/>
        </w:rPr>
        <w:t xml:space="preserve">In considering the matters mentioned in subsections (1) and (2), the Commission must have regard to the decision-making principles set out in the </w:t>
      </w:r>
      <w:r w:rsidR="00462883" w:rsidRPr="004D40CE">
        <w:rPr>
          <w:i/>
          <w:iCs/>
          <w:color w:val="000000"/>
        </w:rPr>
        <w:t>Veterans’ Entitlements (Attributable Stakeholders and Attribution Percentages) Principles 202</w:t>
      </w:r>
      <w:r w:rsidR="0015743C" w:rsidRPr="004D40CE">
        <w:rPr>
          <w:i/>
          <w:iCs/>
          <w:color w:val="000000"/>
        </w:rPr>
        <w:t>5</w:t>
      </w:r>
      <w:r w:rsidR="00462883" w:rsidRPr="004D40CE">
        <w:rPr>
          <w:color w:val="000000"/>
        </w:rPr>
        <w:t>, part 2 (Determination that individual is not attributable stakeholder).</w:t>
      </w:r>
    </w:p>
    <w:p w14:paraId="63BC6793" w14:textId="449DE1BD" w:rsidR="00620CCF" w:rsidRPr="005925EF" w:rsidRDefault="00C22234" w:rsidP="00532E0F">
      <w:pPr>
        <w:tabs>
          <w:tab w:val="right" w:pos="1021"/>
        </w:tabs>
        <w:spacing w:before="180" w:line="240" w:lineRule="auto"/>
        <w:ind w:left="1134" w:hanging="1134"/>
        <w:rPr>
          <w:color w:val="000000"/>
        </w:rPr>
      </w:pPr>
      <w:r w:rsidRPr="004D40CE">
        <w:rPr>
          <w:rFonts w:eastAsia="Times New Roman" w:cs="Times New Roman"/>
          <w:lang w:eastAsia="en-AU"/>
        </w:rPr>
        <w:tab/>
      </w:r>
      <w:r w:rsidR="00462883" w:rsidRPr="004D40CE">
        <w:rPr>
          <w:rFonts w:eastAsia="Times New Roman" w:cs="Times New Roman"/>
          <w:lang w:eastAsia="en-AU"/>
        </w:rPr>
        <w:t>(</w:t>
      </w:r>
      <w:r w:rsidRPr="004D40CE">
        <w:rPr>
          <w:rFonts w:eastAsia="Times New Roman" w:cs="Times New Roman"/>
          <w:lang w:eastAsia="en-AU"/>
        </w:rPr>
        <w:t>5</w:t>
      </w:r>
      <w:r w:rsidR="00462883" w:rsidRPr="004D40CE">
        <w:rPr>
          <w:rFonts w:eastAsia="Times New Roman" w:cs="Times New Roman"/>
          <w:lang w:eastAsia="en-AU"/>
        </w:rPr>
        <w:t>)</w:t>
      </w:r>
      <w:r w:rsidR="00462883" w:rsidRPr="004D40CE">
        <w:rPr>
          <w:rFonts w:eastAsia="Times New Roman" w:cs="Times New Roman"/>
          <w:lang w:eastAsia="en-AU"/>
        </w:rPr>
        <w:tab/>
      </w:r>
      <w:r w:rsidR="00462883" w:rsidRPr="004D40CE">
        <w:rPr>
          <w:color w:val="000000"/>
        </w:rPr>
        <w:t xml:space="preserve">In considering the matter mentioned in subsection (3), the Commission must have regard to the decision-making principles set out in the </w:t>
      </w:r>
      <w:r w:rsidR="00462883" w:rsidRPr="004D40CE">
        <w:rPr>
          <w:i/>
          <w:iCs/>
          <w:color w:val="000000"/>
        </w:rPr>
        <w:t>Veterans’ Entitlements (Attributable Stakeholders and Attribution Percentages) Principles 202</w:t>
      </w:r>
      <w:r w:rsidR="0015743C" w:rsidRPr="004D40CE">
        <w:rPr>
          <w:i/>
          <w:iCs/>
          <w:color w:val="000000"/>
        </w:rPr>
        <w:t>5</w:t>
      </w:r>
      <w:r w:rsidR="00462883" w:rsidRPr="004D40CE">
        <w:rPr>
          <w:color w:val="000000"/>
        </w:rPr>
        <w:t xml:space="preserve">, part 4 (Determination of </w:t>
      </w:r>
      <w:r w:rsidR="000867EF" w:rsidRPr="004D40CE">
        <w:rPr>
          <w:color w:val="000000"/>
        </w:rPr>
        <w:t>income</w:t>
      </w:r>
      <w:r w:rsidR="00462883" w:rsidRPr="004D40CE">
        <w:rPr>
          <w:color w:val="000000"/>
        </w:rPr>
        <w:t xml:space="preserve"> attribution percentage).</w:t>
      </w:r>
      <w:bookmarkEnd w:id="3"/>
    </w:p>
    <w:sectPr w:rsidR="00620CCF" w:rsidRPr="005925EF" w:rsidSect="00861378">
      <w:pgSz w:w="11907" w:h="16839" w:code="9"/>
      <w:pgMar w:top="1361" w:right="1701" w:bottom="1361"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E0858" w14:textId="77777777" w:rsidR="00814201" w:rsidRDefault="00814201" w:rsidP="00715914">
      <w:pPr>
        <w:spacing w:line="240" w:lineRule="auto"/>
      </w:pPr>
      <w:r>
        <w:separator/>
      </w:r>
    </w:p>
    <w:p w14:paraId="1552B62B" w14:textId="77777777" w:rsidR="00814201" w:rsidRDefault="00814201"/>
    <w:p w14:paraId="21234AD1" w14:textId="77777777" w:rsidR="00814201" w:rsidRDefault="00814201"/>
  </w:endnote>
  <w:endnote w:type="continuationSeparator" w:id="0">
    <w:p w14:paraId="4FC28764" w14:textId="77777777" w:rsidR="00814201" w:rsidRDefault="00814201" w:rsidP="00715914">
      <w:pPr>
        <w:spacing w:line="240" w:lineRule="auto"/>
      </w:pPr>
      <w:r>
        <w:continuationSeparator/>
      </w:r>
    </w:p>
    <w:p w14:paraId="74D0D626" w14:textId="77777777" w:rsidR="00814201" w:rsidRDefault="00814201"/>
    <w:p w14:paraId="0AB4734F" w14:textId="77777777" w:rsidR="00814201" w:rsidRDefault="008142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5BB75" w14:textId="77777777" w:rsidR="008C2EAC" w:rsidRPr="002B0EA5" w:rsidRDefault="008C2EAC"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
      <w:gridCol w:w="6273"/>
      <w:gridCol w:w="1611"/>
    </w:tblGrid>
    <w:tr w:rsidR="006504D5" w14:paraId="0A5CBB98" w14:textId="77777777" w:rsidTr="00A87A58">
      <w:tc>
        <w:tcPr>
          <w:tcW w:w="365" w:type="pct"/>
        </w:tcPr>
        <w:p w14:paraId="5E354308" w14:textId="77777777" w:rsidR="006504D5" w:rsidRDefault="006504D5" w:rsidP="006504D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707B2">
            <w:rPr>
              <w:i/>
              <w:noProof/>
              <w:sz w:val="18"/>
            </w:rPr>
            <w:t>2</w:t>
          </w:r>
          <w:r w:rsidRPr="00ED79B6">
            <w:rPr>
              <w:i/>
              <w:sz w:val="18"/>
            </w:rPr>
            <w:fldChar w:fldCharType="end"/>
          </w:r>
        </w:p>
      </w:tc>
      <w:tc>
        <w:tcPr>
          <w:tcW w:w="3688" w:type="pct"/>
        </w:tcPr>
        <w:p w14:paraId="3C596758" w14:textId="16009731" w:rsidR="006504D5" w:rsidRDefault="006504D5" w:rsidP="00FC3B35">
          <w:pPr>
            <w:spacing w:line="0" w:lineRule="atLeast"/>
            <w:jc w:val="center"/>
            <w:rPr>
              <w:sz w:val="18"/>
            </w:rPr>
          </w:pPr>
          <w:r w:rsidRPr="006504D5">
            <w:rPr>
              <w:i/>
              <w:sz w:val="18"/>
              <w:szCs w:val="18"/>
            </w:rPr>
            <w:fldChar w:fldCharType="begin"/>
          </w:r>
          <w:r w:rsidRPr="006504D5">
            <w:rPr>
              <w:i/>
              <w:sz w:val="18"/>
              <w:szCs w:val="18"/>
            </w:rPr>
            <w:instrText xml:space="preserve"> STYLEREF  ShortT </w:instrText>
          </w:r>
          <w:r w:rsidRPr="006504D5">
            <w:rPr>
              <w:i/>
              <w:sz w:val="18"/>
              <w:szCs w:val="18"/>
            </w:rPr>
            <w:fldChar w:fldCharType="separate"/>
          </w:r>
          <w:r w:rsidR="008A57B8">
            <w:rPr>
              <w:b/>
              <w:bCs/>
              <w:i/>
              <w:noProof/>
              <w:sz w:val="18"/>
              <w:szCs w:val="18"/>
              <w:lang w:val="en-US"/>
            </w:rPr>
            <w:t>Error! Use the Home tab to apply ShortT to the text that you want to appear here.</w:t>
          </w:r>
          <w:r w:rsidRPr="006504D5">
            <w:rPr>
              <w:i/>
              <w:sz w:val="18"/>
              <w:szCs w:val="18"/>
            </w:rPr>
            <w:fldChar w:fldCharType="end"/>
          </w:r>
        </w:p>
      </w:tc>
      <w:tc>
        <w:tcPr>
          <w:tcW w:w="947" w:type="pct"/>
        </w:tcPr>
        <w:p w14:paraId="4CDE61DA" w14:textId="77777777" w:rsidR="006504D5" w:rsidRDefault="006504D5" w:rsidP="006504D5">
          <w:pPr>
            <w:spacing w:line="0" w:lineRule="atLeast"/>
            <w:jc w:val="right"/>
            <w:rPr>
              <w:sz w:val="18"/>
            </w:rPr>
          </w:pPr>
        </w:p>
      </w:tc>
    </w:tr>
    <w:tr w:rsidR="006504D5" w14:paraId="59F8F858" w14:textId="77777777" w:rsidTr="00A87A58">
      <w:tc>
        <w:tcPr>
          <w:tcW w:w="5000" w:type="pct"/>
          <w:gridSpan w:val="3"/>
        </w:tcPr>
        <w:p w14:paraId="22957011" w14:textId="77777777" w:rsidR="006504D5" w:rsidRDefault="006504D5" w:rsidP="006504D5">
          <w:pPr>
            <w:jc w:val="right"/>
            <w:rPr>
              <w:sz w:val="18"/>
            </w:rPr>
          </w:pPr>
        </w:p>
      </w:tc>
    </w:tr>
  </w:tbl>
  <w:p w14:paraId="3F5C1C57" w14:textId="77777777" w:rsidR="008C2EAC" w:rsidRPr="00ED79B6" w:rsidRDefault="008C2EAC" w:rsidP="000A6C6A">
    <w:pPr>
      <w:rPr>
        <w:i/>
        <w:sz w:val="18"/>
      </w:rPr>
    </w:pPr>
  </w:p>
  <w:p w14:paraId="4BB7FD50" w14:textId="77777777" w:rsidR="00CD0A7C" w:rsidRDefault="00CD0A7C"/>
  <w:p w14:paraId="6C7DB961" w14:textId="77777777" w:rsidR="00CD0A7C" w:rsidRDefault="00CD0A7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12414" w14:textId="607CB1DE" w:rsidR="001C6494" w:rsidRPr="007C5FDD" w:rsidRDefault="00297A61" w:rsidP="00A30B7F">
    <w:pPr>
      <w:pStyle w:val="LDFooter"/>
    </w:pPr>
    <w:r w:rsidRPr="005515CF">
      <w:rPr>
        <w:rStyle w:val="LDItal"/>
      </w:rPr>
      <w:fldChar w:fldCharType="begin"/>
    </w:r>
    <w:r w:rsidRPr="005515CF">
      <w:rPr>
        <w:rStyle w:val="LDItal"/>
      </w:rPr>
      <w:instrText xml:space="preserve"> REF Title \h  \* MERGEFORMAT </w:instrText>
    </w:r>
    <w:r w:rsidRPr="005515CF">
      <w:rPr>
        <w:rStyle w:val="LDItal"/>
      </w:rPr>
    </w:r>
    <w:r w:rsidRPr="005515CF">
      <w:rPr>
        <w:rStyle w:val="LDItal"/>
      </w:rPr>
      <w:fldChar w:fldCharType="separate"/>
    </w:r>
    <w:r w:rsidR="006F3A08" w:rsidRPr="006F3A08">
      <w:rPr>
        <w:rStyle w:val="LDItal"/>
      </w:rPr>
      <w:t>Veterans’ Entitlements (Primary Production Concession) Principles 202</w:t>
    </w:r>
    <w:r w:rsidRPr="005515CF">
      <w:rPr>
        <w:rStyle w:val="LDItal"/>
      </w:rPr>
      <w:fldChar w:fldCharType="end"/>
    </w:r>
    <w:r w:rsidR="006F3A08">
      <w:rPr>
        <w:rStyle w:val="LDItal"/>
      </w:rPr>
      <w:t>5</w:t>
    </w:r>
    <w:r w:rsidR="00A30B7F">
      <w:t xml:space="preserve">   </w:t>
    </w:r>
    <w:r w:rsidR="002534AD">
      <w:t xml:space="preserve">  </w:t>
    </w:r>
    <w:r w:rsidR="00A30B7F">
      <w:t xml:space="preserve"> </w:t>
    </w:r>
    <w:r w:rsidR="00CE469E">
      <w:t xml:space="preserve">   </w:t>
    </w:r>
    <w:r w:rsidR="002534AD">
      <w:tab/>
    </w:r>
    <w:r w:rsidR="002534AD">
      <w:tab/>
    </w:r>
    <w:r w:rsidR="002534AD">
      <w:tab/>
    </w:r>
    <w:r w:rsidR="00A30B7F">
      <w:tab/>
    </w:r>
    <w:r w:rsidR="00494305">
      <w:fldChar w:fldCharType="begin"/>
    </w:r>
    <w:r w:rsidR="00494305">
      <w:instrText xml:space="preserve"> PAGE  \* Arabic  \* MERGEFORMAT </w:instrText>
    </w:r>
    <w:r w:rsidR="00494305">
      <w:fldChar w:fldCharType="separate"/>
    </w:r>
    <w:r w:rsidR="00EF7408">
      <w:rPr>
        <w:noProof/>
      </w:rPr>
      <w:t>2</w:t>
    </w:r>
    <w:r w:rsidR="0049430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5B2BA" w14:textId="77777777" w:rsidR="00814201" w:rsidRDefault="00814201" w:rsidP="00715914">
      <w:pPr>
        <w:spacing w:line="240" w:lineRule="auto"/>
      </w:pPr>
      <w:r>
        <w:separator/>
      </w:r>
    </w:p>
    <w:p w14:paraId="27668248" w14:textId="77777777" w:rsidR="00814201" w:rsidRDefault="00814201"/>
    <w:p w14:paraId="22A0CF89" w14:textId="77777777" w:rsidR="00814201" w:rsidRDefault="00814201"/>
  </w:footnote>
  <w:footnote w:type="continuationSeparator" w:id="0">
    <w:p w14:paraId="43334831" w14:textId="77777777" w:rsidR="00814201" w:rsidRDefault="00814201" w:rsidP="00715914">
      <w:pPr>
        <w:spacing w:line="240" w:lineRule="auto"/>
      </w:pPr>
      <w:r>
        <w:continuationSeparator/>
      </w:r>
    </w:p>
    <w:p w14:paraId="21655273" w14:textId="77777777" w:rsidR="00814201" w:rsidRDefault="00814201"/>
    <w:p w14:paraId="4718C6AA" w14:textId="77777777" w:rsidR="00814201" w:rsidRDefault="008142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55F9C" w14:textId="77777777" w:rsidR="004E1307" w:rsidRDefault="004E1307" w:rsidP="00715914">
    <w:pPr>
      <w:rPr>
        <w:sz w:val="20"/>
      </w:rPr>
    </w:pPr>
  </w:p>
  <w:p w14:paraId="0CF1ECB8" w14:textId="77777777" w:rsidR="004E1307" w:rsidRDefault="004E1307" w:rsidP="00715914">
    <w:pPr>
      <w:rPr>
        <w:sz w:val="20"/>
      </w:rPr>
    </w:pPr>
  </w:p>
  <w:p w14:paraId="38130ADD" w14:textId="77777777" w:rsidR="004E1307" w:rsidRPr="007A1328" w:rsidRDefault="004E1307" w:rsidP="00715914">
    <w:pPr>
      <w:rPr>
        <w:sz w:val="20"/>
      </w:rPr>
    </w:pPr>
  </w:p>
  <w:p w14:paraId="4D9486B8" w14:textId="77777777" w:rsidR="004E1307" w:rsidRPr="007A1328" w:rsidRDefault="004E1307" w:rsidP="00715914">
    <w:pPr>
      <w:rPr>
        <w:b/>
        <w:sz w:val="24"/>
      </w:rPr>
    </w:pPr>
  </w:p>
  <w:p w14:paraId="560110CB" w14:textId="77777777" w:rsidR="004E1307" w:rsidRPr="007A1328" w:rsidRDefault="004E1307" w:rsidP="00D6537E">
    <w:pPr>
      <w:pBdr>
        <w:bottom w:val="single" w:sz="6" w:space="1" w:color="auto"/>
      </w:pBdr>
      <w:spacing w:after="120"/>
      <w:rPr>
        <w:sz w:val="24"/>
      </w:rPr>
    </w:pPr>
  </w:p>
  <w:p w14:paraId="01EE0E52" w14:textId="77777777" w:rsidR="00CD0A7C" w:rsidRDefault="00CD0A7C"/>
  <w:p w14:paraId="24A819B6" w14:textId="77777777" w:rsidR="00CD0A7C" w:rsidRDefault="00CD0A7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905A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8C63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D8A6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E40AE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316C4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52E8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2272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6EAAA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BD808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103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65769E"/>
    <w:multiLevelType w:val="hybridMultilevel"/>
    <w:tmpl w:val="11B00A36"/>
    <w:lvl w:ilvl="0" w:tplc="707CC408">
      <w:start w:val="1"/>
      <w:numFmt w:val="decimal"/>
      <w:lvlText w:val="(%1)"/>
      <w:lvlJc w:val="left"/>
      <w:pPr>
        <w:ind w:left="1137" w:hanging="570"/>
      </w:pPr>
      <w:rPr>
        <w:rFonts w:hint="default"/>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7B56B7"/>
    <w:multiLevelType w:val="hybridMultilevel"/>
    <w:tmpl w:val="5B565954"/>
    <w:lvl w:ilvl="0" w:tplc="5CA45F72">
      <w:start w:val="1"/>
      <w:numFmt w:val="lowerLetter"/>
      <w:lvlText w:val="(%1)"/>
      <w:lvlJc w:val="left"/>
      <w:pPr>
        <w:ind w:left="1494" w:hanging="360"/>
      </w:pPr>
      <w:rPr>
        <w:rFonts w:hint="default"/>
        <w:b w:val="0"/>
        <w:i w:val="0"/>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3" w15:restartNumberingAfterBreak="0">
    <w:nsid w:val="197D0B44"/>
    <w:multiLevelType w:val="hybridMultilevel"/>
    <w:tmpl w:val="E60A8F5E"/>
    <w:lvl w:ilvl="0" w:tplc="966ACA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E391BF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360" w:hanging="360"/>
      </w:pPr>
    </w:lvl>
    <w:lvl w:ilvl="5">
      <w:start w:val="1"/>
      <w:numFmt w:val="lowerRoman"/>
      <w:lvlText w:val="(%6)"/>
      <w:lvlJc w:val="left"/>
      <w:pPr>
        <w:ind w:left="927"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E571822"/>
    <w:multiLevelType w:val="hybridMultilevel"/>
    <w:tmpl w:val="48C63FCA"/>
    <w:lvl w:ilvl="0" w:tplc="F4BEE7C0">
      <w:start w:val="1"/>
      <w:numFmt w:val="lowerLetter"/>
      <w:lvlText w:val="(%1)"/>
      <w:lvlJc w:val="left"/>
      <w:pPr>
        <w:ind w:left="1778" w:hanging="36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7" w15:restartNumberingAfterBreak="0">
    <w:nsid w:val="23C91684"/>
    <w:multiLevelType w:val="hybridMultilevel"/>
    <w:tmpl w:val="BE5EAD6A"/>
    <w:lvl w:ilvl="0" w:tplc="43F47AE2">
      <w:start w:val="1"/>
      <w:numFmt w:val="decimal"/>
      <w:lvlText w:val="(%1)"/>
      <w:lvlJc w:val="left"/>
      <w:pPr>
        <w:ind w:left="1587" w:hanging="10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7745962"/>
    <w:multiLevelType w:val="hybridMultilevel"/>
    <w:tmpl w:val="DDD85E78"/>
    <w:lvl w:ilvl="0" w:tplc="735044F6">
      <w:start w:val="1"/>
      <w:numFmt w:val="lowerLetter"/>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19" w15:restartNumberingAfterBreak="0">
    <w:nsid w:val="31F00ECC"/>
    <w:multiLevelType w:val="hybridMultilevel"/>
    <w:tmpl w:val="14D0F1E0"/>
    <w:lvl w:ilvl="0" w:tplc="985692BE">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0"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1" w15:restartNumberingAfterBreak="0">
    <w:nsid w:val="44C92060"/>
    <w:multiLevelType w:val="hybridMultilevel"/>
    <w:tmpl w:val="8592D72C"/>
    <w:lvl w:ilvl="0" w:tplc="E640B1CC">
      <w:start w:val="1"/>
      <w:numFmt w:val="lowerRoman"/>
      <w:lvlText w:val="(%1)"/>
      <w:lvlJc w:val="left"/>
      <w:pPr>
        <w:ind w:left="1429" w:hanging="72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2" w15:restartNumberingAfterBreak="0">
    <w:nsid w:val="4BFE0682"/>
    <w:multiLevelType w:val="hybridMultilevel"/>
    <w:tmpl w:val="BEC64D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1783E28"/>
    <w:multiLevelType w:val="hybridMultilevel"/>
    <w:tmpl w:val="7DA8110A"/>
    <w:lvl w:ilvl="0" w:tplc="0C09001B">
      <w:start w:val="1"/>
      <w:numFmt w:val="lowerRoman"/>
      <w:lvlText w:val="%1."/>
      <w:lvlJc w:val="righ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4" w15:restartNumberingAfterBreak="0">
    <w:nsid w:val="51D47A80"/>
    <w:multiLevelType w:val="hybridMultilevel"/>
    <w:tmpl w:val="3190D15E"/>
    <w:lvl w:ilvl="0" w:tplc="473AFECA">
      <w:start w:val="1"/>
      <w:numFmt w:val="decimal"/>
      <w:lvlText w:val="(%1)"/>
      <w:lvlJc w:val="left"/>
      <w:pPr>
        <w:ind w:left="1140" w:hanging="39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25" w15:restartNumberingAfterBreak="0">
    <w:nsid w:val="5A315118"/>
    <w:multiLevelType w:val="hybridMultilevel"/>
    <w:tmpl w:val="977E2E3E"/>
    <w:lvl w:ilvl="0" w:tplc="5BE49AF8">
      <w:start w:val="1"/>
      <w:numFmt w:val="bullet"/>
      <w:pStyle w:val="LD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5E2A30DF"/>
    <w:multiLevelType w:val="hybridMultilevel"/>
    <w:tmpl w:val="889EB14C"/>
    <w:lvl w:ilvl="0" w:tplc="88D250E2">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7" w15:restartNumberingAfterBreak="0">
    <w:nsid w:val="68525973"/>
    <w:multiLevelType w:val="hybridMultilevel"/>
    <w:tmpl w:val="B0482A00"/>
    <w:lvl w:ilvl="0" w:tplc="0C09001B">
      <w:start w:val="1"/>
      <w:numFmt w:val="lowerRoman"/>
      <w:lvlText w:val="%1."/>
      <w:lvlJc w:val="right"/>
      <w:pPr>
        <w:ind w:left="2360" w:hanging="360"/>
      </w:pPr>
    </w:lvl>
    <w:lvl w:ilvl="1" w:tplc="0C090019" w:tentative="1">
      <w:start w:val="1"/>
      <w:numFmt w:val="lowerLetter"/>
      <w:lvlText w:val="%2."/>
      <w:lvlJc w:val="left"/>
      <w:pPr>
        <w:ind w:left="3080" w:hanging="360"/>
      </w:pPr>
    </w:lvl>
    <w:lvl w:ilvl="2" w:tplc="0C09001B" w:tentative="1">
      <w:start w:val="1"/>
      <w:numFmt w:val="lowerRoman"/>
      <w:lvlText w:val="%3."/>
      <w:lvlJc w:val="right"/>
      <w:pPr>
        <w:ind w:left="3800" w:hanging="180"/>
      </w:pPr>
    </w:lvl>
    <w:lvl w:ilvl="3" w:tplc="0C09000F" w:tentative="1">
      <w:start w:val="1"/>
      <w:numFmt w:val="decimal"/>
      <w:lvlText w:val="%4."/>
      <w:lvlJc w:val="left"/>
      <w:pPr>
        <w:ind w:left="4520" w:hanging="360"/>
      </w:pPr>
    </w:lvl>
    <w:lvl w:ilvl="4" w:tplc="0C090019" w:tentative="1">
      <w:start w:val="1"/>
      <w:numFmt w:val="lowerLetter"/>
      <w:lvlText w:val="%5."/>
      <w:lvlJc w:val="left"/>
      <w:pPr>
        <w:ind w:left="5240" w:hanging="360"/>
      </w:pPr>
    </w:lvl>
    <w:lvl w:ilvl="5" w:tplc="0C09001B" w:tentative="1">
      <w:start w:val="1"/>
      <w:numFmt w:val="lowerRoman"/>
      <w:lvlText w:val="%6."/>
      <w:lvlJc w:val="right"/>
      <w:pPr>
        <w:ind w:left="5960" w:hanging="180"/>
      </w:pPr>
    </w:lvl>
    <w:lvl w:ilvl="6" w:tplc="0C09000F" w:tentative="1">
      <w:start w:val="1"/>
      <w:numFmt w:val="decimal"/>
      <w:lvlText w:val="%7."/>
      <w:lvlJc w:val="left"/>
      <w:pPr>
        <w:ind w:left="6680" w:hanging="360"/>
      </w:pPr>
    </w:lvl>
    <w:lvl w:ilvl="7" w:tplc="0C090019" w:tentative="1">
      <w:start w:val="1"/>
      <w:numFmt w:val="lowerLetter"/>
      <w:lvlText w:val="%8."/>
      <w:lvlJc w:val="left"/>
      <w:pPr>
        <w:ind w:left="7400" w:hanging="360"/>
      </w:pPr>
    </w:lvl>
    <w:lvl w:ilvl="8" w:tplc="0C09001B" w:tentative="1">
      <w:start w:val="1"/>
      <w:numFmt w:val="lowerRoman"/>
      <w:lvlText w:val="%9."/>
      <w:lvlJc w:val="right"/>
      <w:pPr>
        <w:ind w:left="8120" w:hanging="180"/>
      </w:pPr>
    </w:lvl>
  </w:abstractNum>
  <w:abstractNum w:abstractNumId="28" w15:restartNumberingAfterBreak="0">
    <w:nsid w:val="7E3B6677"/>
    <w:multiLevelType w:val="hybridMultilevel"/>
    <w:tmpl w:val="FFD41C6C"/>
    <w:lvl w:ilvl="0" w:tplc="109476B8">
      <w:start w:val="1"/>
      <w:numFmt w:val="lowerLetter"/>
      <w:lvlText w:val="(%1)"/>
      <w:lvlJc w:val="left"/>
      <w:pPr>
        <w:ind w:left="1497" w:hanging="360"/>
      </w:pPr>
      <w:rPr>
        <w:rFonts w:hint="default"/>
      </w:rPr>
    </w:lvl>
    <w:lvl w:ilvl="1" w:tplc="0C090019" w:tentative="1">
      <w:start w:val="1"/>
      <w:numFmt w:val="lowerLetter"/>
      <w:lvlText w:val="%2."/>
      <w:lvlJc w:val="left"/>
      <w:pPr>
        <w:ind w:left="2217" w:hanging="360"/>
      </w:pPr>
    </w:lvl>
    <w:lvl w:ilvl="2" w:tplc="0C09001B" w:tentative="1">
      <w:start w:val="1"/>
      <w:numFmt w:val="lowerRoman"/>
      <w:lvlText w:val="%3."/>
      <w:lvlJc w:val="right"/>
      <w:pPr>
        <w:ind w:left="2937" w:hanging="180"/>
      </w:pPr>
    </w:lvl>
    <w:lvl w:ilvl="3" w:tplc="0C09000F" w:tentative="1">
      <w:start w:val="1"/>
      <w:numFmt w:val="decimal"/>
      <w:lvlText w:val="%4."/>
      <w:lvlJc w:val="left"/>
      <w:pPr>
        <w:ind w:left="3657" w:hanging="360"/>
      </w:pPr>
    </w:lvl>
    <w:lvl w:ilvl="4" w:tplc="0C090019" w:tentative="1">
      <w:start w:val="1"/>
      <w:numFmt w:val="lowerLetter"/>
      <w:lvlText w:val="%5."/>
      <w:lvlJc w:val="left"/>
      <w:pPr>
        <w:ind w:left="4377" w:hanging="360"/>
      </w:pPr>
    </w:lvl>
    <w:lvl w:ilvl="5" w:tplc="0C09001B" w:tentative="1">
      <w:start w:val="1"/>
      <w:numFmt w:val="lowerRoman"/>
      <w:lvlText w:val="%6."/>
      <w:lvlJc w:val="right"/>
      <w:pPr>
        <w:ind w:left="5097" w:hanging="180"/>
      </w:pPr>
    </w:lvl>
    <w:lvl w:ilvl="6" w:tplc="0C09000F" w:tentative="1">
      <w:start w:val="1"/>
      <w:numFmt w:val="decimal"/>
      <w:lvlText w:val="%7."/>
      <w:lvlJc w:val="left"/>
      <w:pPr>
        <w:ind w:left="5817" w:hanging="360"/>
      </w:pPr>
    </w:lvl>
    <w:lvl w:ilvl="7" w:tplc="0C090019" w:tentative="1">
      <w:start w:val="1"/>
      <w:numFmt w:val="lowerLetter"/>
      <w:lvlText w:val="%8."/>
      <w:lvlJc w:val="left"/>
      <w:pPr>
        <w:ind w:left="6537" w:hanging="360"/>
      </w:pPr>
    </w:lvl>
    <w:lvl w:ilvl="8" w:tplc="0C09001B" w:tentative="1">
      <w:start w:val="1"/>
      <w:numFmt w:val="lowerRoman"/>
      <w:lvlText w:val="%9."/>
      <w:lvlJc w:val="right"/>
      <w:pPr>
        <w:ind w:left="7257" w:hanging="180"/>
      </w:pPr>
    </w:lvl>
  </w:abstractNum>
  <w:num w:numId="1" w16cid:durableId="1622419707">
    <w:abstractNumId w:val="9"/>
  </w:num>
  <w:num w:numId="2" w16cid:durableId="733816088">
    <w:abstractNumId w:val="7"/>
  </w:num>
  <w:num w:numId="3" w16cid:durableId="394477634">
    <w:abstractNumId w:val="6"/>
  </w:num>
  <w:num w:numId="4" w16cid:durableId="479231368">
    <w:abstractNumId w:val="5"/>
  </w:num>
  <w:num w:numId="5" w16cid:durableId="2074768599">
    <w:abstractNumId w:val="4"/>
  </w:num>
  <w:num w:numId="6" w16cid:durableId="1040016491">
    <w:abstractNumId w:val="8"/>
  </w:num>
  <w:num w:numId="7" w16cid:durableId="1261141881">
    <w:abstractNumId w:val="3"/>
  </w:num>
  <w:num w:numId="8" w16cid:durableId="2074041458">
    <w:abstractNumId w:val="2"/>
  </w:num>
  <w:num w:numId="9" w16cid:durableId="1976060435">
    <w:abstractNumId w:val="1"/>
  </w:num>
  <w:num w:numId="10" w16cid:durableId="468672068">
    <w:abstractNumId w:val="0"/>
  </w:num>
  <w:num w:numId="11" w16cid:durableId="1508013442">
    <w:abstractNumId w:val="20"/>
  </w:num>
  <w:num w:numId="12" w16cid:durableId="396828526">
    <w:abstractNumId w:val="11"/>
  </w:num>
  <w:num w:numId="13" w16cid:durableId="1446778516">
    <w:abstractNumId w:val="14"/>
  </w:num>
  <w:num w:numId="14" w16cid:durableId="130447852">
    <w:abstractNumId w:val="17"/>
  </w:num>
  <w:num w:numId="15" w16cid:durableId="519011562">
    <w:abstractNumId w:val="13"/>
  </w:num>
  <w:num w:numId="16" w16cid:durableId="1585339323">
    <w:abstractNumId w:val="15"/>
  </w:num>
  <w:num w:numId="17" w16cid:durableId="2088719990">
    <w:abstractNumId w:val="21"/>
  </w:num>
  <w:num w:numId="18" w16cid:durableId="192812700">
    <w:abstractNumId w:val="24"/>
  </w:num>
  <w:num w:numId="19" w16cid:durableId="274406544">
    <w:abstractNumId w:val="10"/>
  </w:num>
  <w:num w:numId="20" w16cid:durableId="830801695">
    <w:abstractNumId w:val="28"/>
  </w:num>
  <w:num w:numId="21" w16cid:durableId="191964588">
    <w:abstractNumId w:val="19"/>
  </w:num>
  <w:num w:numId="22" w16cid:durableId="423918823">
    <w:abstractNumId w:val="23"/>
  </w:num>
  <w:num w:numId="23" w16cid:durableId="576600579">
    <w:abstractNumId w:val="26"/>
  </w:num>
  <w:num w:numId="24" w16cid:durableId="1427572950">
    <w:abstractNumId w:val="27"/>
  </w:num>
  <w:num w:numId="25" w16cid:durableId="1034579130">
    <w:abstractNumId w:val="12"/>
  </w:num>
  <w:num w:numId="26" w16cid:durableId="1468663950">
    <w:abstractNumId w:val="25"/>
  </w:num>
  <w:num w:numId="27" w16cid:durableId="1824928025">
    <w:abstractNumId w:val="22"/>
  </w:num>
  <w:num w:numId="28" w16cid:durableId="842940237">
    <w:abstractNumId w:val="18"/>
  </w:num>
  <w:num w:numId="29" w16cid:durableId="15002704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saveSubsetFont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trackedChange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398"/>
    <w:rsid w:val="00000F86"/>
    <w:rsid w:val="000014ED"/>
    <w:rsid w:val="00004174"/>
    <w:rsid w:val="00004470"/>
    <w:rsid w:val="0000660A"/>
    <w:rsid w:val="000102EE"/>
    <w:rsid w:val="000136AF"/>
    <w:rsid w:val="00014524"/>
    <w:rsid w:val="00024496"/>
    <w:rsid w:val="000258B1"/>
    <w:rsid w:val="000352C3"/>
    <w:rsid w:val="00040A89"/>
    <w:rsid w:val="000437C1"/>
    <w:rsid w:val="0004455A"/>
    <w:rsid w:val="0005365D"/>
    <w:rsid w:val="0005691F"/>
    <w:rsid w:val="000614BF"/>
    <w:rsid w:val="0006709C"/>
    <w:rsid w:val="000707DF"/>
    <w:rsid w:val="0007329D"/>
    <w:rsid w:val="00074376"/>
    <w:rsid w:val="0007722C"/>
    <w:rsid w:val="00083AD1"/>
    <w:rsid w:val="000867EF"/>
    <w:rsid w:val="000978F5"/>
    <w:rsid w:val="00097EA2"/>
    <w:rsid w:val="000A3E46"/>
    <w:rsid w:val="000A4DE0"/>
    <w:rsid w:val="000B14AD"/>
    <w:rsid w:val="000B15CD"/>
    <w:rsid w:val="000B35EB"/>
    <w:rsid w:val="000B3665"/>
    <w:rsid w:val="000B3719"/>
    <w:rsid w:val="000C1687"/>
    <w:rsid w:val="000C78A5"/>
    <w:rsid w:val="000D05EF"/>
    <w:rsid w:val="000D064B"/>
    <w:rsid w:val="000D081D"/>
    <w:rsid w:val="000E045A"/>
    <w:rsid w:val="000E0BC4"/>
    <w:rsid w:val="000E2261"/>
    <w:rsid w:val="000E7118"/>
    <w:rsid w:val="000E78B7"/>
    <w:rsid w:val="000F21C1"/>
    <w:rsid w:val="000F29C1"/>
    <w:rsid w:val="000F5B84"/>
    <w:rsid w:val="001031F5"/>
    <w:rsid w:val="0010745C"/>
    <w:rsid w:val="0011242F"/>
    <w:rsid w:val="00113948"/>
    <w:rsid w:val="0012180A"/>
    <w:rsid w:val="001244DA"/>
    <w:rsid w:val="00132CEB"/>
    <w:rsid w:val="001339B0"/>
    <w:rsid w:val="00134429"/>
    <w:rsid w:val="00142B62"/>
    <w:rsid w:val="001441B7"/>
    <w:rsid w:val="001446F7"/>
    <w:rsid w:val="00150195"/>
    <w:rsid w:val="001516CB"/>
    <w:rsid w:val="00152336"/>
    <w:rsid w:val="0015743C"/>
    <w:rsid w:val="00157B8B"/>
    <w:rsid w:val="00166C2F"/>
    <w:rsid w:val="001809D7"/>
    <w:rsid w:val="00182C05"/>
    <w:rsid w:val="00182EAC"/>
    <w:rsid w:val="00186B89"/>
    <w:rsid w:val="00191881"/>
    <w:rsid w:val="001939DF"/>
    <w:rsid w:val="001939E1"/>
    <w:rsid w:val="00194C3E"/>
    <w:rsid w:val="00195382"/>
    <w:rsid w:val="0019670B"/>
    <w:rsid w:val="001979C7"/>
    <w:rsid w:val="001B2CB6"/>
    <w:rsid w:val="001B558C"/>
    <w:rsid w:val="001B586F"/>
    <w:rsid w:val="001C103C"/>
    <w:rsid w:val="001C1715"/>
    <w:rsid w:val="001C61C5"/>
    <w:rsid w:val="001C6494"/>
    <w:rsid w:val="001C69C4"/>
    <w:rsid w:val="001D15B9"/>
    <w:rsid w:val="001D37EF"/>
    <w:rsid w:val="001D41E2"/>
    <w:rsid w:val="001D5FAF"/>
    <w:rsid w:val="001D681A"/>
    <w:rsid w:val="001D729F"/>
    <w:rsid w:val="001E3590"/>
    <w:rsid w:val="001E48E3"/>
    <w:rsid w:val="001E7407"/>
    <w:rsid w:val="001F5B44"/>
    <w:rsid w:val="001F5D5E"/>
    <w:rsid w:val="001F6219"/>
    <w:rsid w:val="001F6CD4"/>
    <w:rsid w:val="002027FE"/>
    <w:rsid w:val="002029EE"/>
    <w:rsid w:val="00206C4D"/>
    <w:rsid w:val="00215AF1"/>
    <w:rsid w:val="002200EA"/>
    <w:rsid w:val="002233EF"/>
    <w:rsid w:val="002321E8"/>
    <w:rsid w:val="00232984"/>
    <w:rsid w:val="00237C31"/>
    <w:rsid w:val="00237FB1"/>
    <w:rsid w:val="0024010F"/>
    <w:rsid w:val="00240749"/>
    <w:rsid w:val="00243018"/>
    <w:rsid w:val="002505B4"/>
    <w:rsid w:val="00250AE4"/>
    <w:rsid w:val="002534AD"/>
    <w:rsid w:val="002564A4"/>
    <w:rsid w:val="00260B33"/>
    <w:rsid w:val="00265EDC"/>
    <w:rsid w:val="0026736C"/>
    <w:rsid w:val="002707CD"/>
    <w:rsid w:val="0027325B"/>
    <w:rsid w:val="00281308"/>
    <w:rsid w:val="00281AEE"/>
    <w:rsid w:val="00284719"/>
    <w:rsid w:val="00290F69"/>
    <w:rsid w:val="00297A61"/>
    <w:rsid w:val="00297ECB"/>
    <w:rsid w:val="002A506E"/>
    <w:rsid w:val="002A7BCF"/>
    <w:rsid w:val="002C3FD1"/>
    <w:rsid w:val="002C706B"/>
    <w:rsid w:val="002D043A"/>
    <w:rsid w:val="002D266B"/>
    <w:rsid w:val="002D43A4"/>
    <w:rsid w:val="002D6224"/>
    <w:rsid w:val="002D67E8"/>
    <w:rsid w:val="002F5727"/>
    <w:rsid w:val="00304F8B"/>
    <w:rsid w:val="003218F9"/>
    <w:rsid w:val="00335BC6"/>
    <w:rsid w:val="00337FDE"/>
    <w:rsid w:val="003409D4"/>
    <w:rsid w:val="003415D3"/>
    <w:rsid w:val="00343D01"/>
    <w:rsid w:val="00344338"/>
    <w:rsid w:val="00344701"/>
    <w:rsid w:val="00352B0F"/>
    <w:rsid w:val="003551C7"/>
    <w:rsid w:val="00355410"/>
    <w:rsid w:val="003578BE"/>
    <w:rsid w:val="00360459"/>
    <w:rsid w:val="00365E41"/>
    <w:rsid w:val="003661D0"/>
    <w:rsid w:val="003778B6"/>
    <w:rsid w:val="0038049F"/>
    <w:rsid w:val="00385127"/>
    <w:rsid w:val="003A05CD"/>
    <w:rsid w:val="003A41E3"/>
    <w:rsid w:val="003B1BC9"/>
    <w:rsid w:val="003B3646"/>
    <w:rsid w:val="003B7101"/>
    <w:rsid w:val="003C12FE"/>
    <w:rsid w:val="003C6231"/>
    <w:rsid w:val="003C7F9F"/>
    <w:rsid w:val="003D0BFE"/>
    <w:rsid w:val="003D3084"/>
    <w:rsid w:val="003D34D7"/>
    <w:rsid w:val="003D4259"/>
    <w:rsid w:val="003D5700"/>
    <w:rsid w:val="003E183E"/>
    <w:rsid w:val="003E341B"/>
    <w:rsid w:val="003E4D00"/>
    <w:rsid w:val="003F28BC"/>
    <w:rsid w:val="004116CD"/>
    <w:rsid w:val="00417EB9"/>
    <w:rsid w:val="00424CA9"/>
    <w:rsid w:val="004276DF"/>
    <w:rsid w:val="00431E9B"/>
    <w:rsid w:val="00436AE6"/>
    <w:rsid w:val="004379E3"/>
    <w:rsid w:val="0044015E"/>
    <w:rsid w:val="0044291A"/>
    <w:rsid w:val="00447809"/>
    <w:rsid w:val="00457979"/>
    <w:rsid w:val="00462883"/>
    <w:rsid w:val="00466411"/>
    <w:rsid w:val="00467661"/>
    <w:rsid w:val="00472DBE"/>
    <w:rsid w:val="00474A19"/>
    <w:rsid w:val="00477830"/>
    <w:rsid w:val="00480BB0"/>
    <w:rsid w:val="00483157"/>
    <w:rsid w:val="00487764"/>
    <w:rsid w:val="00490D54"/>
    <w:rsid w:val="004932AD"/>
    <w:rsid w:val="00494305"/>
    <w:rsid w:val="004951EF"/>
    <w:rsid w:val="00496F97"/>
    <w:rsid w:val="004A23DC"/>
    <w:rsid w:val="004A78E0"/>
    <w:rsid w:val="004B6C48"/>
    <w:rsid w:val="004C3385"/>
    <w:rsid w:val="004C4E59"/>
    <w:rsid w:val="004C6809"/>
    <w:rsid w:val="004D40CE"/>
    <w:rsid w:val="004D4B19"/>
    <w:rsid w:val="004D6E62"/>
    <w:rsid w:val="004E063A"/>
    <w:rsid w:val="004E1307"/>
    <w:rsid w:val="004E498B"/>
    <w:rsid w:val="004E69F1"/>
    <w:rsid w:val="004E7BEC"/>
    <w:rsid w:val="004F3A8C"/>
    <w:rsid w:val="0050114E"/>
    <w:rsid w:val="00503DBC"/>
    <w:rsid w:val="00505D3D"/>
    <w:rsid w:val="00506AF6"/>
    <w:rsid w:val="0051232F"/>
    <w:rsid w:val="00512C1F"/>
    <w:rsid w:val="00516B8D"/>
    <w:rsid w:val="00525780"/>
    <w:rsid w:val="005303C8"/>
    <w:rsid w:val="00532E0F"/>
    <w:rsid w:val="0053707D"/>
    <w:rsid w:val="00537FBC"/>
    <w:rsid w:val="00541EBC"/>
    <w:rsid w:val="005445FF"/>
    <w:rsid w:val="005451B9"/>
    <w:rsid w:val="005515CF"/>
    <w:rsid w:val="00554826"/>
    <w:rsid w:val="00562877"/>
    <w:rsid w:val="005734D4"/>
    <w:rsid w:val="005756C1"/>
    <w:rsid w:val="00575FE9"/>
    <w:rsid w:val="005801D9"/>
    <w:rsid w:val="00580C9B"/>
    <w:rsid w:val="00584811"/>
    <w:rsid w:val="00584A97"/>
    <w:rsid w:val="00585784"/>
    <w:rsid w:val="0058793E"/>
    <w:rsid w:val="0059049F"/>
    <w:rsid w:val="00591E31"/>
    <w:rsid w:val="005925EF"/>
    <w:rsid w:val="0059331C"/>
    <w:rsid w:val="00593AA6"/>
    <w:rsid w:val="00594161"/>
    <w:rsid w:val="00594749"/>
    <w:rsid w:val="005A2ACC"/>
    <w:rsid w:val="005A65D5"/>
    <w:rsid w:val="005A66B4"/>
    <w:rsid w:val="005B4067"/>
    <w:rsid w:val="005B64D0"/>
    <w:rsid w:val="005C18EC"/>
    <w:rsid w:val="005C2C89"/>
    <w:rsid w:val="005C2D26"/>
    <w:rsid w:val="005C3F41"/>
    <w:rsid w:val="005C48B1"/>
    <w:rsid w:val="005D1D92"/>
    <w:rsid w:val="005D2D09"/>
    <w:rsid w:val="00600219"/>
    <w:rsid w:val="00602920"/>
    <w:rsid w:val="00604F2A"/>
    <w:rsid w:val="00605A5C"/>
    <w:rsid w:val="00607C3E"/>
    <w:rsid w:val="00615363"/>
    <w:rsid w:val="00620076"/>
    <w:rsid w:val="00620CCF"/>
    <w:rsid w:val="006224B1"/>
    <w:rsid w:val="00623DD6"/>
    <w:rsid w:val="0062438A"/>
    <w:rsid w:val="006273BE"/>
    <w:rsid w:val="00627E0A"/>
    <w:rsid w:val="006303E3"/>
    <w:rsid w:val="006503EF"/>
    <w:rsid w:val="006504D5"/>
    <w:rsid w:val="0065488B"/>
    <w:rsid w:val="0066489E"/>
    <w:rsid w:val="00666A75"/>
    <w:rsid w:val="006707B2"/>
    <w:rsid w:val="00670EA1"/>
    <w:rsid w:val="00677CC2"/>
    <w:rsid w:val="00681F8B"/>
    <w:rsid w:val="00684D78"/>
    <w:rsid w:val="0068744B"/>
    <w:rsid w:val="006905DE"/>
    <w:rsid w:val="0069207B"/>
    <w:rsid w:val="00692BFD"/>
    <w:rsid w:val="0069408C"/>
    <w:rsid w:val="00694E6D"/>
    <w:rsid w:val="00695A3E"/>
    <w:rsid w:val="006A154F"/>
    <w:rsid w:val="006A437B"/>
    <w:rsid w:val="006A7D6D"/>
    <w:rsid w:val="006B5789"/>
    <w:rsid w:val="006C30C5"/>
    <w:rsid w:val="006C507A"/>
    <w:rsid w:val="006C5CDD"/>
    <w:rsid w:val="006C7F8C"/>
    <w:rsid w:val="006D7D06"/>
    <w:rsid w:val="006E2771"/>
    <w:rsid w:val="006E2E1C"/>
    <w:rsid w:val="006E6246"/>
    <w:rsid w:val="006E69C2"/>
    <w:rsid w:val="006E6DCC"/>
    <w:rsid w:val="006E6E00"/>
    <w:rsid w:val="006F1A00"/>
    <w:rsid w:val="006F318F"/>
    <w:rsid w:val="006F3A08"/>
    <w:rsid w:val="006F4939"/>
    <w:rsid w:val="006F595B"/>
    <w:rsid w:val="006F7D48"/>
    <w:rsid w:val="0070017E"/>
    <w:rsid w:val="00700B2C"/>
    <w:rsid w:val="007014F9"/>
    <w:rsid w:val="007050A2"/>
    <w:rsid w:val="00713084"/>
    <w:rsid w:val="0071448F"/>
    <w:rsid w:val="00714F20"/>
    <w:rsid w:val="0071590F"/>
    <w:rsid w:val="00715914"/>
    <w:rsid w:val="00715D5E"/>
    <w:rsid w:val="00720232"/>
    <w:rsid w:val="0072147A"/>
    <w:rsid w:val="00723791"/>
    <w:rsid w:val="00730942"/>
    <w:rsid w:val="00731088"/>
    <w:rsid w:val="00731E00"/>
    <w:rsid w:val="00734873"/>
    <w:rsid w:val="007440B7"/>
    <w:rsid w:val="00745E80"/>
    <w:rsid w:val="007500C8"/>
    <w:rsid w:val="00756272"/>
    <w:rsid w:val="00762D38"/>
    <w:rsid w:val="0076690F"/>
    <w:rsid w:val="007715C9"/>
    <w:rsid w:val="00771613"/>
    <w:rsid w:val="00774EDD"/>
    <w:rsid w:val="007757EC"/>
    <w:rsid w:val="0078011C"/>
    <w:rsid w:val="00782131"/>
    <w:rsid w:val="00783E89"/>
    <w:rsid w:val="00793263"/>
    <w:rsid w:val="00793915"/>
    <w:rsid w:val="00795866"/>
    <w:rsid w:val="007A029F"/>
    <w:rsid w:val="007A3DC5"/>
    <w:rsid w:val="007A656F"/>
    <w:rsid w:val="007B13E2"/>
    <w:rsid w:val="007B3652"/>
    <w:rsid w:val="007B3795"/>
    <w:rsid w:val="007B66E6"/>
    <w:rsid w:val="007C0A0C"/>
    <w:rsid w:val="007C2253"/>
    <w:rsid w:val="007C343A"/>
    <w:rsid w:val="007C5FDD"/>
    <w:rsid w:val="007D1046"/>
    <w:rsid w:val="007D7671"/>
    <w:rsid w:val="007D7911"/>
    <w:rsid w:val="007E11B9"/>
    <w:rsid w:val="007E163D"/>
    <w:rsid w:val="007E39A2"/>
    <w:rsid w:val="007E667A"/>
    <w:rsid w:val="007F28C9"/>
    <w:rsid w:val="007F51B2"/>
    <w:rsid w:val="007F7D0D"/>
    <w:rsid w:val="0080349D"/>
    <w:rsid w:val="0080359A"/>
    <w:rsid w:val="008040DD"/>
    <w:rsid w:val="00807D62"/>
    <w:rsid w:val="008117E9"/>
    <w:rsid w:val="00814201"/>
    <w:rsid w:val="00824498"/>
    <w:rsid w:val="00825587"/>
    <w:rsid w:val="00826BD1"/>
    <w:rsid w:val="00830F26"/>
    <w:rsid w:val="00832267"/>
    <w:rsid w:val="00837820"/>
    <w:rsid w:val="0084208C"/>
    <w:rsid w:val="008451A5"/>
    <w:rsid w:val="00850046"/>
    <w:rsid w:val="00854D0B"/>
    <w:rsid w:val="00856A31"/>
    <w:rsid w:val="00860B4E"/>
    <w:rsid w:val="00861378"/>
    <w:rsid w:val="00866F84"/>
    <w:rsid w:val="00867B37"/>
    <w:rsid w:val="008754D0"/>
    <w:rsid w:val="00875D13"/>
    <w:rsid w:val="00881923"/>
    <w:rsid w:val="008855C9"/>
    <w:rsid w:val="00886456"/>
    <w:rsid w:val="0089029F"/>
    <w:rsid w:val="00896176"/>
    <w:rsid w:val="008963DD"/>
    <w:rsid w:val="008A12F5"/>
    <w:rsid w:val="008A46E1"/>
    <w:rsid w:val="008A4F43"/>
    <w:rsid w:val="008A57B8"/>
    <w:rsid w:val="008A75B6"/>
    <w:rsid w:val="008B16EF"/>
    <w:rsid w:val="008B2706"/>
    <w:rsid w:val="008B4BA0"/>
    <w:rsid w:val="008B74A9"/>
    <w:rsid w:val="008C25AE"/>
    <w:rsid w:val="008C2EAC"/>
    <w:rsid w:val="008C3379"/>
    <w:rsid w:val="008C5A19"/>
    <w:rsid w:val="008D0EE0"/>
    <w:rsid w:val="008E0027"/>
    <w:rsid w:val="008E31A1"/>
    <w:rsid w:val="008E6067"/>
    <w:rsid w:val="008F3675"/>
    <w:rsid w:val="008F38CE"/>
    <w:rsid w:val="008F54E7"/>
    <w:rsid w:val="00902E57"/>
    <w:rsid w:val="00903422"/>
    <w:rsid w:val="00905A44"/>
    <w:rsid w:val="00906CEE"/>
    <w:rsid w:val="00907987"/>
    <w:rsid w:val="00914E53"/>
    <w:rsid w:val="00916E8D"/>
    <w:rsid w:val="009171F0"/>
    <w:rsid w:val="009175EF"/>
    <w:rsid w:val="009228CB"/>
    <w:rsid w:val="00922BC7"/>
    <w:rsid w:val="00923013"/>
    <w:rsid w:val="009254C3"/>
    <w:rsid w:val="00932377"/>
    <w:rsid w:val="00941236"/>
    <w:rsid w:val="009420F1"/>
    <w:rsid w:val="00943FD5"/>
    <w:rsid w:val="009464C5"/>
    <w:rsid w:val="00947D5A"/>
    <w:rsid w:val="009532A5"/>
    <w:rsid w:val="009545BD"/>
    <w:rsid w:val="009647FF"/>
    <w:rsid w:val="00964CF0"/>
    <w:rsid w:val="009713DE"/>
    <w:rsid w:val="0097243B"/>
    <w:rsid w:val="00973DC6"/>
    <w:rsid w:val="00977806"/>
    <w:rsid w:val="00982242"/>
    <w:rsid w:val="00983D3D"/>
    <w:rsid w:val="0098532E"/>
    <w:rsid w:val="009868E9"/>
    <w:rsid w:val="009900A3"/>
    <w:rsid w:val="00994EB3"/>
    <w:rsid w:val="00995433"/>
    <w:rsid w:val="009A7C1F"/>
    <w:rsid w:val="009C215C"/>
    <w:rsid w:val="009C3413"/>
    <w:rsid w:val="009C4F3F"/>
    <w:rsid w:val="009D0C05"/>
    <w:rsid w:val="009E3D4E"/>
    <w:rsid w:val="009F13F4"/>
    <w:rsid w:val="009F49B2"/>
    <w:rsid w:val="009F69F1"/>
    <w:rsid w:val="009F7677"/>
    <w:rsid w:val="00A0441E"/>
    <w:rsid w:val="00A05FF7"/>
    <w:rsid w:val="00A06CA5"/>
    <w:rsid w:val="00A12128"/>
    <w:rsid w:val="00A127E7"/>
    <w:rsid w:val="00A1644C"/>
    <w:rsid w:val="00A21B5F"/>
    <w:rsid w:val="00A22C98"/>
    <w:rsid w:val="00A231E2"/>
    <w:rsid w:val="00A252F1"/>
    <w:rsid w:val="00A26792"/>
    <w:rsid w:val="00A30B7F"/>
    <w:rsid w:val="00A340B1"/>
    <w:rsid w:val="00A369E3"/>
    <w:rsid w:val="00A57600"/>
    <w:rsid w:val="00A64396"/>
    <w:rsid w:val="00A64912"/>
    <w:rsid w:val="00A66861"/>
    <w:rsid w:val="00A70A74"/>
    <w:rsid w:val="00A72548"/>
    <w:rsid w:val="00A75A0B"/>
    <w:rsid w:val="00A75FE9"/>
    <w:rsid w:val="00A800DE"/>
    <w:rsid w:val="00A8241B"/>
    <w:rsid w:val="00A94216"/>
    <w:rsid w:val="00A9543E"/>
    <w:rsid w:val="00A96C64"/>
    <w:rsid w:val="00AA12D3"/>
    <w:rsid w:val="00AA1503"/>
    <w:rsid w:val="00AA2CB1"/>
    <w:rsid w:val="00AA7A1C"/>
    <w:rsid w:val="00AB3104"/>
    <w:rsid w:val="00AC7B08"/>
    <w:rsid w:val="00AD53CC"/>
    <w:rsid w:val="00AD5641"/>
    <w:rsid w:val="00AD7A13"/>
    <w:rsid w:val="00AE6A5E"/>
    <w:rsid w:val="00AF06CF"/>
    <w:rsid w:val="00AF349E"/>
    <w:rsid w:val="00AF5835"/>
    <w:rsid w:val="00B02230"/>
    <w:rsid w:val="00B05E22"/>
    <w:rsid w:val="00B07CDB"/>
    <w:rsid w:val="00B14A2D"/>
    <w:rsid w:val="00B16A31"/>
    <w:rsid w:val="00B16C72"/>
    <w:rsid w:val="00B17DFD"/>
    <w:rsid w:val="00B21768"/>
    <w:rsid w:val="00B25306"/>
    <w:rsid w:val="00B27831"/>
    <w:rsid w:val="00B308FE"/>
    <w:rsid w:val="00B30A31"/>
    <w:rsid w:val="00B33709"/>
    <w:rsid w:val="00B33B3C"/>
    <w:rsid w:val="00B36392"/>
    <w:rsid w:val="00B418CB"/>
    <w:rsid w:val="00B4644E"/>
    <w:rsid w:val="00B47444"/>
    <w:rsid w:val="00B50ADC"/>
    <w:rsid w:val="00B528A6"/>
    <w:rsid w:val="00B566B1"/>
    <w:rsid w:val="00B601A4"/>
    <w:rsid w:val="00B62662"/>
    <w:rsid w:val="00B63834"/>
    <w:rsid w:val="00B661D6"/>
    <w:rsid w:val="00B714F2"/>
    <w:rsid w:val="00B73647"/>
    <w:rsid w:val="00B80199"/>
    <w:rsid w:val="00B83204"/>
    <w:rsid w:val="00B83334"/>
    <w:rsid w:val="00B856E7"/>
    <w:rsid w:val="00B869EF"/>
    <w:rsid w:val="00B97BDE"/>
    <w:rsid w:val="00BA220B"/>
    <w:rsid w:val="00BA3A57"/>
    <w:rsid w:val="00BA72C4"/>
    <w:rsid w:val="00BB1533"/>
    <w:rsid w:val="00BB29D5"/>
    <w:rsid w:val="00BB4E1A"/>
    <w:rsid w:val="00BB6030"/>
    <w:rsid w:val="00BB7D35"/>
    <w:rsid w:val="00BC015E"/>
    <w:rsid w:val="00BC76AC"/>
    <w:rsid w:val="00BD08C0"/>
    <w:rsid w:val="00BD0ECB"/>
    <w:rsid w:val="00BD255E"/>
    <w:rsid w:val="00BD3902"/>
    <w:rsid w:val="00BD79F2"/>
    <w:rsid w:val="00BE2155"/>
    <w:rsid w:val="00BE719A"/>
    <w:rsid w:val="00BE720A"/>
    <w:rsid w:val="00BE7375"/>
    <w:rsid w:val="00BF0D73"/>
    <w:rsid w:val="00BF18F5"/>
    <w:rsid w:val="00BF2465"/>
    <w:rsid w:val="00BF71C9"/>
    <w:rsid w:val="00C06FBA"/>
    <w:rsid w:val="00C16619"/>
    <w:rsid w:val="00C22234"/>
    <w:rsid w:val="00C25E7F"/>
    <w:rsid w:val="00C2746F"/>
    <w:rsid w:val="00C323D6"/>
    <w:rsid w:val="00C324A0"/>
    <w:rsid w:val="00C42BF8"/>
    <w:rsid w:val="00C50043"/>
    <w:rsid w:val="00C50BA6"/>
    <w:rsid w:val="00C562C7"/>
    <w:rsid w:val="00C73B6F"/>
    <w:rsid w:val="00C7573B"/>
    <w:rsid w:val="00C81E2F"/>
    <w:rsid w:val="00C916D8"/>
    <w:rsid w:val="00C9630D"/>
    <w:rsid w:val="00C96D4F"/>
    <w:rsid w:val="00C97A54"/>
    <w:rsid w:val="00CA5B23"/>
    <w:rsid w:val="00CB025B"/>
    <w:rsid w:val="00CB602E"/>
    <w:rsid w:val="00CB7E90"/>
    <w:rsid w:val="00CC6838"/>
    <w:rsid w:val="00CC77B2"/>
    <w:rsid w:val="00CD0428"/>
    <w:rsid w:val="00CD04FE"/>
    <w:rsid w:val="00CD0A7C"/>
    <w:rsid w:val="00CD3A74"/>
    <w:rsid w:val="00CD757E"/>
    <w:rsid w:val="00CE051D"/>
    <w:rsid w:val="00CE1335"/>
    <w:rsid w:val="00CE1CF1"/>
    <w:rsid w:val="00CE469E"/>
    <w:rsid w:val="00CE493D"/>
    <w:rsid w:val="00CF07FA"/>
    <w:rsid w:val="00CF0BB2"/>
    <w:rsid w:val="00CF0CFA"/>
    <w:rsid w:val="00CF0F5C"/>
    <w:rsid w:val="00CF0F68"/>
    <w:rsid w:val="00CF269A"/>
    <w:rsid w:val="00CF3EE8"/>
    <w:rsid w:val="00D01BE1"/>
    <w:rsid w:val="00D10205"/>
    <w:rsid w:val="00D1215A"/>
    <w:rsid w:val="00D13441"/>
    <w:rsid w:val="00D14841"/>
    <w:rsid w:val="00D150E7"/>
    <w:rsid w:val="00D32EA1"/>
    <w:rsid w:val="00D34AEA"/>
    <w:rsid w:val="00D41D6C"/>
    <w:rsid w:val="00D4538B"/>
    <w:rsid w:val="00D50AF2"/>
    <w:rsid w:val="00D52DC2"/>
    <w:rsid w:val="00D53BCC"/>
    <w:rsid w:val="00D54221"/>
    <w:rsid w:val="00D54C9E"/>
    <w:rsid w:val="00D54CC3"/>
    <w:rsid w:val="00D56422"/>
    <w:rsid w:val="00D607AC"/>
    <w:rsid w:val="00D6537E"/>
    <w:rsid w:val="00D70DFB"/>
    <w:rsid w:val="00D7331D"/>
    <w:rsid w:val="00D766DF"/>
    <w:rsid w:val="00D802D1"/>
    <w:rsid w:val="00D8206C"/>
    <w:rsid w:val="00D83CB2"/>
    <w:rsid w:val="00D90963"/>
    <w:rsid w:val="00D910DF"/>
    <w:rsid w:val="00D91F10"/>
    <w:rsid w:val="00D93DB7"/>
    <w:rsid w:val="00D979C7"/>
    <w:rsid w:val="00DA140B"/>
    <w:rsid w:val="00DA186E"/>
    <w:rsid w:val="00DA4116"/>
    <w:rsid w:val="00DA56DD"/>
    <w:rsid w:val="00DB1438"/>
    <w:rsid w:val="00DB1CC2"/>
    <w:rsid w:val="00DB2140"/>
    <w:rsid w:val="00DB251C"/>
    <w:rsid w:val="00DB2569"/>
    <w:rsid w:val="00DB2C9E"/>
    <w:rsid w:val="00DB4630"/>
    <w:rsid w:val="00DC4F88"/>
    <w:rsid w:val="00DC51B5"/>
    <w:rsid w:val="00DD00CE"/>
    <w:rsid w:val="00DD22E6"/>
    <w:rsid w:val="00DD2D35"/>
    <w:rsid w:val="00DD54CD"/>
    <w:rsid w:val="00DE08BC"/>
    <w:rsid w:val="00DE107C"/>
    <w:rsid w:val="00DF2388"/>
    <w:rsid w:val="00E05704"/>
    <w:rsid w:val="00E05CB5"/>
    <w:rsid w:val="00E06745"/>
    <w:rsid w:val="00E13901"/>
    <w:rsid w:val="00E14961"/>
    <w:rsid w:val="00E150DA"/>
    <w:rsid w:val="00E171A2"/>
    <w:rsid w:val="00E21CB9"/>
    <w:rsid w:val="00E226E5"/>
    <w:rsid w:val="00E23301"/>
    <w:rsid w:val="00E33196"/>
    <w:rsid w:val="00E338EF"/>
    <w:rsid w:val="00E374A9"/>
    <w:rsid w:val="00E37CFB"/>
    <w:rsid w:val="00E40C49"/>
    <w:rsid w:val="00E445C0"/>
    <w:rsid w:val="00E52986"/>
    <w:rsid w:val="00E544BB"/>
    <w:rsid w:val="00E5722B"/>
    <w:rsid w:val="00E6260D"/>
    <w:rsid w:val="00E72602"/>
    <w:rsid w:val="00E72A09"/>
    <w:rsid w:val="00E738FA"/>
    <w:rsid w:val="00E74DC7"/>
    <w:rsid w:val="00E8075A"/>
    <w:rsid w:val="00E85F33"/>
    <w:rsid w:val="00E91D70"/>
    <w:rsid w:val="00E940D8"/>
    <w:rsid w:val="00E94D5E"/>
    <w:rsid w:val="00E95FC7"/>
    <w:rsid w:val="00EA4D9D"/>
    <w:rsid w:val="00EA7100"/>
    <w:rsid w:val="00EA74EE"/>
    <w:rsid w:val="00EA7F9F"/>
    <w:rsid w:val="00EB1274"/>
    <w:rsid w:val="00EB6695"/>
    <w:rsid w:val="00ED2BB6"/>
    <w:rsid w:val="00ED2BFB"/>
    <w:rsid w:val="00ED34E1"/>
    <w:rsid w:val="00ED3B8D"/>
    <w:rsid w:val="00EE5E36"/>
    <w:rsid w:val="00EF2E3A"/>
    <w:rsid w:val="00EF7408"/>
    <w:rsid w:val="00F02C7C"/>
    <w:rsid w:val="00F072A7"/>
    <w:rsid w:val="00F078DC"/>
    <w:rsid w:val="00F1388D"/>
    <w:rsid w:val="00F16327"/>
    <w:rsid w:val="00F17CC6"/>
    <w:rsid w:val="00F27438"/>
    <w:rsid w:val="00F32BA8"/>
    <w:rsid w:val="00F32EE0"/>
    <w:rsid w:val="00F349F1"/>
    <w:rsid w:val="00F4120A"/>
    <w:rsid w:val="00F4350D"/>
    <w:rsid w:val="00F4733F"/>
    <w:rsid w:val="00F479C4"/>
    <w:rsid w:val="00F567F7"/>
    <w:rsid w:val="00F6696E"/>
    <w:rsid w:val="00F701D7"/>
    <w:rsid w:val="00F72DF8"/>
    <w:rsid w:val="00F733BD"/>
    <w:rsid w:val="00F73BD6"/>
    <w:rsid w:val="00F7570C"/>
    <w:rsid w:val="00F83989"/>
    <w:rsid w:val="00F85099"/>
    <w:rsid w:val="00F86FAC"/>
    <w:rsid w:val="00F875DC"/>
    <w:rsid w:val="00F87F6A"/>
    <w:rsid w:val="00F92CC7"/>
    <w:rsid w:val="00F9379C"/>
    <w:rsid w:val="00F9632C"/>
    <w:rsid w:val="00FA1E52"/>
    <w:rsid w:val="00FB5568"/>
    <w:rsid w:val="00FB5A08"/>
    <w:rsid w:val="00FB6E6B"/>
    <w:rsid w:val="00FC0830"/>
    <w:rsid w:val="00FC3B35"/>
    <w:rsid w:val="00FC6A80"/>
    <w:rsid w:val="00FD227E"/>
    <w:rsid w:val="00FD6D42"/>
    <w:rsid w:val="00FD7481"/>
    <w:rsid w:val="00FE42E5"/>
    <w:rsid w:val="00FE4688"/>
    <w:rsid w:val="00FF1398"/>
    <w:rsid w:val="00FF4351"/>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4A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910DF"/>
    <w:pPr>
      <w:spacing w:line="260" w:lineRule="atLeast"/>
    </w:pPr>
    <w:rPr>
      <w:sz w:val="22"/>
    </w:rPr>
  </w:style>
  <w:style w:type="paragraph" w:styleId="Heading1">
    <w:name w:val="heading 1"/>
    <w:basedOn w:val="Normal"/>
    <w:next w:val="Normal"/>
    <w:link w:val="Heading1Char"/>
    <w:uiPriority w:val="9"/>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Part heading"/>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LDHeader"/>
    <w:link w:val="HeaderChar"/>
    <w:unhideWhenUsed/>
    <w:rsid w:val="00A75A0B"/>
    <w:pPr>
      <w:keepNext/>
      <w:keepLines/>
      <w:tabs>
        <w:tab w:val="center" w:pos="4150"/>
        <w:tab w:val="right" w:pos="8307"/>
      </w:tabs>
      <w:spacing w:line="160" w:lineRule="exact"/>
    </w:pPr>
    <w:rPr>
      <w:rFonts w:eastAsia="Times New Roman" w:cs="Times New Roman"/>
      <w:sz w:val="16"/>
      <w:lang w:eastAsia="en-AU"/>
    </w:rPr>
  </w:style>
  <w:style w:type="character" w:customStyle="1" w:styleId="HeaderChar">
    <w:name w:val="Header Char"/>
    <w:aliases w:val="LDHeader Char"/>
    <w:basedOn w:val="DefaultParagraphFont"/>
    <w:link w:val="Header"/>
    <w:rsid w:val="00A75A0B"/>
    <w:rPr>
      <w:rFonts w:eastAsia="Times New Roman" w:cs="Times New Roman"/>
      <w:sz w:val="16"/>
      <w:lang w:eastAsia="en-AU"/>
    </w:rPr>
  </w:style>
  <w:style w:type="paragraph" w:customStyle="1" w:styleId="LDP3A">
    <w:name w:val="LDP3(A)"/>
    <w:rsid w:val="009713DE"/>
    <w:pPr>
      <w:tabs>
        <w:tab w:val="left" w:pos="1985"/>
      </w:tabs>
      <w:ind w:left="1985" w:hanging="425"/>
    </w:pPr>
    <w:rPr>
      <w:rFonts w:eastAsia="Times New Roman" w:cs="Times New Roman"/>
      <w:sz w:val="24"/>
      <w:szCs w:val="24"/>
    </w:rPr>
  </w:style>
  <w:style w:type="paragraph" w:customStyle="1" w:styleId="LDP4I">
    <w:name w:val="LDP4(I)"/>
    <w:basedOn w:val="LDP2i"/>
    <w:rsid w:val="009713DE"/>
    <w:pPr>
      <w:tabs>
        <w:tab w:val="clear" w:pos="1418"/>
        <w:tab w:val="clear" w:pos="1559"/>
        <w:tab w:val="right" w:pos="1985"/>
        <w:tab w:val="left" w:pos="2127"/>
      </w:tabs>
      <w:ind w:left="1985" w:hanging="709"/>
    </w:pPr>
  </w:style>
  <w:style w:type="paragraph" w:styleId="TOC1">
    <w:name w:val="toc 1"/>
    <w:next w:val="TOC2"/>
    <w:uiPriority w:val="39"/>
    <w:unhideWhenUsed/>
    <w:rsid w:val="006F1A00"/>
    <w:pPr>
      <w:keepNext/>
      <w:keepLines/>
      <w:tabs>
        <w:tab w:val="left" w:pos="1560"/>
        <w:tab w:val="right" w:pos="8278"/>
      </w:tabs>
      <w:spacing w:before="120"/>
      <w:ind w:left="1560" w:right="141" w:hanging="1560"/>
    </w:pPr>
    <w:rPr>
      <w:rFonts w:ascii="Arial" w:eastAsia="Times New Roman" w:hAnsi="Arial" w:cs="Times New Roman"/>
      <w:b/>
      <w:noProof/>
      <w:kern w:val="28"/>
      <w:sz w:val="26"/>
      <w:lang w:eastAsia="en-AU"/>
    </w:rPr>
  </w:style>
  <w:style w:type="paragraph" w:styleId="TOC2">
    <w:name w:val="toc 2"/>
    <w:next w:val="TOC3"/>
    <w:uiPriority w:val="39"/>
    <w:unhideWhenUsed/>
    <w:rsid w:val="006F1A00"/>
    <w:pPr>
      <w:tabs>
        <w:tab w:val="left" w:pos="1843"/>
        <w:tab w:val="right" w:pos="8278"/>
      </w:tabs>
      <w:spacing w:before="120"/>
      <w:ind w:left="1843" w:hanging="1843"/>
    </w:pPr>
    <w:rPr>
      <w:rFonts w:ascii="Arial" w:eastAsia="Times New Roman" w:hAnsi="Arial" w:cs="Times New Roman"/>
      <w:b/>
      <w:noProof/>
      <w:kern w:val="28"/>
      <w:sz w:val="24"/>
      <w:lang w:eastAsia="en-AU"/>
    </w:rPr>
  </w:style>
  <w:style w:type="paragraph" w:styleId="TOC3">
    <w:name w:val="toc 3"/>
    <w:next w:val="TOC4"/>
    <w:uiPriority w:val="39"/>
    <w:unhideWhenUsed/>
    <w:rsid w:val="006F1A00"/>
    <w:pPr>
      <w:tabs>
        <w:tab w:val="left" w:pos="1985"/>
        <w:tab w:val="right" w:pos="8278"/>
      </w:tabs>
      <w:spacing w:before="80"/>
      <w:ind w:left="1985" w:hanging="1985"/>
    </w:pPr>
    <w:rPr>
      <w:rFonts w:ascii="Arial" w:eastAsia="Times New Roman" w:hAnsi="Arial" w:cs="Times New Roman"/>
      <w:b/>
      <w:noProof/>
      <w:kern w:val="28"/>
      <w:sz w:val="22"/>
      <w:lang w:eastAsia="en-AU"/>
    </w:rPr>
  </w:style>
  <w:style w:type="paragraph" w:styleId="TOC4">
    <w:name w:val="toc 4"/>
    <w:uiPriority w:val="39"/>
    <w:unhideWhenUsed/>
    <w:rsid w:val="006F1A00"/>
    <w:pPr>
      <w:tabs>
        <w:tab w:val="left" w:pos="426"/>
        <w:tab w:val="right" w:pos="8278"/>
      </w:tabs>
      <w:spacing w:before="40"/>
      <w:ind w:left="425" w:hanging="425"/>
    </w:pPr>
    <w:rPr>
      <w:rFonts w:ascii="Arial" w:eastAsiaTheme="majorEastAsia" w:hAnsi="Arial" w:cs="Arial"/>
      <w:noProof/>
      <w:spacing w:val="-10"/>
      <w:kern w:val="28"/>
      <w:sz w:val="22"/>
      <w:szCs w:val="22"/>
    </w:rPr>
  </w:style>
  <w:style w:type="paragraph" w:styleId="TOC5">
    <w:name w:val="toc 5"/>
    <w:basedOn w:val="Normal"/>
    <w:next w:val="Normal"/>
    <w:uiPriority w:val="39"/>
    <w:unhideWhenUsed/>
    <w:rsid w:val="00B869EF"/>
    <w:pPr>
      <w:keepLines/>
      <w:tabs>
        <w:tab w:val="right" w:leader="dot" w:pos="8278"/>
      </w:tabs>
      <w:spacing w:before="40" w:line="240" w:lineRule="auto"/>
      <w:ind w:left="1985" w:right="567" w:hanging="567"/>
    </w:pPr>
    <w:rPr>
      <w:rFonts w:eastAsia="Times New Roman" w:cs="Times New Roman"/>
      <w:kern w:val="28"/>
      <w:sz w:val="18"/>
      <w:lang w:eastAsia="en-AU"/>
    </w:rPr>
  </w:style>
  <w:style w:type="paragraph" w:styleId="TOC6">
    <w:name w:val="toc 6"/>
    <w:basedOn w:val="Normal"/>
    <w:next w:val="Normal"/>
    <w:uiPriority w:val="39"/>
    <w:unhideWhenUsed/>
    <w:rsid w:val="00B869EF"/>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B869EF"/>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semiHidden/>
    <w:unhideWhenUsed/>
    <w:rsid w:val="00B869EF"/>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B869EF"/>
    <w:pPr>
      <w:keepLines/>
      <w:tabs>
        <w:tab w:val="right" w:pos="8278"/>
      </w:tabs>
      <w:spacing w:before="80" w:line="240" w:lineRule="auto"/>
      <w:ind w:left="851" w:right="567"/>
    </w:pPr>
    <w:rPr>
      <w:rFonts w:eastAsia="Times New Roman" w:cs="Times New Roman"/>
      <w:i/>
      <w:kern w:val="28"/>
      <w:sz w:val="20"/>
      <w:lang w:eastAsia="en-AU"/>
    </w:rPr>
  </w:style>
  <w:style w:type="character" w:styleId="LineNumber">
    <w:name w:val="line number"/>
    <w:basedOn w:val="DefaultParagraphFont"/>
    <w:uiPriority w:val="99"/>
    <w:semiHidden/>
    <w:unhideWhenUsed/>
    <w:rsid w:val="00B869EF"/>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PCBodyList">
    <w:name w:val="OPCBodyList"/>
    <w:uiPriority w:val="99"/>
    <w:rsid w:val="00CA5B23"/>
    <w:pPr>
      <w:numPr>
        <w:numId w:val="13"/>
      </w:numPr>
    </w:pPr>
  </w:style>
  <w:style w:type="character" w:customStyle="1" w:styleId="Heading6Char">
    <w:name w:val="Heading 6 Char"/>
    <w:aliases w:val="Part heading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styleId="EndnoteText">
    <w:name w:val="endnote text"/>
    <w:basedOn w:val="Normal"/>
    <w:link w:val="EndnoteTextChar"/>
    <w:uiPriority w:val="99"/>
    <w:semiHidden/>
    <w:unhideWhenUsed/>
    <w:rsid w:val="0062438A"/>
    <w:pPr>
      <w:spacing w:line="240" w:lineRule="auto"/>
    </w:pPr>
    <w:rPr>
      <w:sz w:val="20"/>
    </w:rPr>
  </w:style>
  <w:style w:type="character" w:customStyle="1" w:styleId="EndnoteTextChar">
    <w:name w:val="Endnote Text Char"/>
    <w:basedOn w:val="DefaultParagraphFont"/>
    <w:link w:val="EndnoteText"/>
    <w:uiPriority w:val="99"/>
    <w:semiHidden/>
    <w:rsid w:val="0062438A"/>
  </w:style>
  <w:style w:type="character" w:styleId="EndnoteReference">
    <w:name w:val="endnote reference"/>
    <w:basedOn w:val="DefaultParagraphFont"/>
    <w:uiPriority w:val="99"/>
    <w:semiHidden/>
    <w:unhideWhenUsed/>
    <w:rsid w:val="0062438A"/>
    <w:rPr>
      <w:vertAlign w:val="superscript"/>
    </w:rPr>
  </w:style>
  <w:style w:type="character" w:styleId="CommentReference">
    <w:name w:val="annotation reference"/>
    <w:basedOn w:val="DefaultParagraphFont"/>
    <w:uiPriority w:val="99"/>
    <w:semiHidden/>
    <w:unhideWhenUsed/>
    <w:rsid w:val="005801D9"/>
    <w:rPr>
      <w:sz w:val="16"/>
      <w:szCs w:val="16"/>
    </w:rPr>
  </w:style>
  <w:style w:type="paragraph" w:styleId="CommentText">
    <w:name w:val="annotation text"/>
    <w:basedOn w:val="Normal"/>
    <w:link w:val="CommentTextChar"/>
    <w:uiPriority w:val="99"/>
    <w:semiHidden/>
    <w:unhideWhenUsed/>
    <w:rsid w:val="005801D9"/>
    <w:pPr>
      <w:spacing w:line="240" w:lineRule="auto"/>
    </w:pPr>
    <w:rPr>
      <w:sz w:val="20"/>
    </w:rPr>
  </w:style>
  <w:style w:type="character" w:customStyle="1" w:styleId="CommentTextChar">
    <w:name w:val="Comment Text Char"/>
    <w:basedOn w:val="DefaultParagraphFont"/>
    <w:link w:val="CommentText"/>
    <w:uiPriority w:val="99"/>
    <w:semiHidden/>
    <w:rsid w:val="005801D9"/>
  </w:style>
  <w:style w:type="paragraph" w:styleId="CommentSubject">
    <w:name w:val="annotation subject"/>
    <w:basedOn w:val="CommentText"/>
    <w:next w:val="CommentText"/>
    <w:link w:val="CommentSubjectChar"/>
    <w:uiPriority w:val="99"/>
    <w:semiHidden/>
    <w:unhideWhenUsed/>
    <w:rsid w:val="005801D9"/>
    <w:rPr>
      <w:b/>
      <w:bCs/>
    </w:rPr>
  </w:style>
  <w:style w:type="character" w:customStyle="1" w:styleId="CommentSubjectChar">
    <w:name w:val="Comment Subject Char"/>
    <w:basedOn w:val="CommentTextChar"/>
    <w:link w:val="CommentSubject"/>
    <w:uiPriority w:val="99"/>
    <w:semiHidden/>
    <w:rsid w:val="005801D9"/>
    <w:rPr>
      <w:b/>
      <w:bCs/>
    </w:rPr>
  </w:style>
  <w:style w:type="paragraph" w:customStyle="1" w:styleId="LDDescription">
    <w:name w:val="LD Description"/>
    <w:rsid w:val="00D93DB7"/>
    <w:pPr>
      <w:pBdr>
        <w:bottom w:val="single" w:sz="4" w:space="3" w:color="auto"/>
      </w:pBdr>
      <w:spacing w:before="600" w:after="120"/>
    </w:pPr>
    <w:rPr>
      <w:rFonts w:ascii="Arial" w:eastAsia="Times New Roman" w:hAnsi="Arial" w:cs="Times New Roman"/>
      <w:b/>
      <w:sz w:val="24"/>
      <w:szCs w:val="24"/>
    </w:rPr>
  </w:style>
  <w:style w:type="paragraph" w:customStyle="1" w:styleId="LDBodytext">
    <w:name w:val="LDBody text"/>
    <w:link w:val="LDBodytextChar"/>
    <w:rsid w:val="00365E41"/>
    <w:pPr>
      <w:spacing w:before="120"/>
    </w:pPr>
    <w:rPr>
      <w:rFonts w:eastAsia="Times New Roman" w:cs="Times New Roman"/>
      <w:sz w:val="24"/>
      <w:szCs w:val="24"/>
    </w:rPr>
  </w:style>
  <w:style w:type="character" w:customStyle="1" w:styleId="LDBodytextChar">
    <w:name w:val="LDBody text Char"/>
    <w:link w:val="LDBodytext"/>
    <w:rsid w:val="00365E41"/>
    <w:rPr>
      <w:rFonts w:eastAsia="Times New Roman" w:cs="Times New Roman"/>
      <w:sz w:val="24"/>
      <w:szCs w:val="24"/>
    </w:rPr>
  </w:style>
  <w:style w:type="paragraph" w:customStyle="1" w:styleId="LDDate">
    <w:name w:val="LDDate"/>
    <w:next w:val="LDSign"/>
    <w:rsid w:val="000B14AD"/>
    <w:pPr>
      <w:tabs>
        <w:tab w:val="left" w:pos="3402"/>
      </w:tabs>
      <w:spacing w:before="240"/>
    </w:pPr>
    <w:rPr>
      <w:rFonts w:eastAsia="Times New Roman" w:cs="Times New Roman"/>
      <w:sz w:val="24"/>
      <w:szCs w:val="24"/>
    </w:rPr>
  </w:style>
  <w:style w:type="paragraph" w:customStyle="1" w:styleId="LDSign">
    <w:name w:val="LDSign"/>
    <w:qFormat/>
    <w:rsid w:val="000E7118"/>
    <w:pPr>
      <w:tabs>
        <w:tab w:val="left" w:pos="3402"/>
      </w:tabs>
      <w:spacing w:before="1440" w:line="300" w:lineRule="atLeast"/>
      <w:ind w:right="397"/>
    </w:pPr>
    <w:rPr>
      <w:rFonts w:ascii="Arial" w:eastAsia="Calibri" w:hAnsi="Arial" w:cs="Times New Roman"/>
      <w:b/>
      <w:sz w:val="24"/>
      <w:szCs w:val="22"/>
      <w:lang w:eastAsia="en-AU"/>
    </w:rPr>
  </w:style>
  <w:style w:type="paragraph" w:customStyle="1" w:styleId="LDSecHead">
    <w:name w:val="LDSecHead"/>
    <w:next w:val="LDSec1"/>
    <w:link w:val="LDSecHeadChar"/>
    <w:rsid w:val="000B14AD"/>
    <w:pPr>
      <w:keepNext/>
      <w:tabs>
        <w:tab w:val="left" w:pos="737"/>
      </w:tabs>
      <w:spacing w:before="180" w:after="60" w:line="259" w:lineRule="auto"/>
      <w:ind w:left="737" w:hanging="737"/>
      <w:outlineLvl w:val="3"/>
    </w:pPr>
    <w:rPr>
      <w:rFonts w:ascii="Arial" w:eastAsia="Calibri" w:hAnsi="Arial" w:cs="Arial"/>
      <w:b/>
      <w:sz w:val="22"/>
      <w:szCs w:val="22"/>
    </w:rPr>
  </w:style>
  <w:style w:type="character" w:customStyle="1" w:styleId="LDSecHeadChar">
    <w:name w:val="LDSecHead Char"/>
    <w:link w:val="LDSecHead"/>
    <w:locked/>
    <w:rsid w:val="000B14AD"/>
    <w:rPr>
      <w:rFonts w:ascii="Arial" w:eastAsia="Calibri" w:hAnsi="Arial" w:cs="Arial"/>
      <w:b/>
      <w:sz w:val="22"/>
      <w:szCs w:val="22"/>
    </w:rPr>
  </w:style>
  <w:style w:type="paragraph" w:customStyle="1" w:styleId="LDNote">
    <w:name w:val="LDNote"/>
    <w:link w:val="LDNoteChar"/>
    <w:rsid w:val="00D93DB7"/>
    <w:pPr>
      <w:tabs>
        <w:tab w:val="left" w:pos="993"/>
      </w:tabs>
      <w:spacing w:before="60" w:after="60"/>
      <w:ind w:left="993" w:hanging="851"/>
    </w:pPr>
    <w:rPr>
      <w:rFonts w:eastAsia="Times New Roman" w:cs="Times New Roman"/>
      <w:szCs w:val="24"/>
    </w:rPr>
  </w:style>
  <w:style w:type="character" w:customStyle="1" w:styleId="LDNoteChar">
    <w:name w:val="LDNote Char"/>
    <w:basedOn w:val="DefaultParagraphFont"/>
    <w:link w:val="LDNote"/>
    <w:rsid w:val="00D93DB7"/>
    <w:rPr>
      <w:rFonts w:eastAsia="Times New Roman" w:cs="Times New Roman"/>
      <w:szCs w:val="24"/>
    </w:rPr>
  </w:style>
  <w:style w:type="character" w:customStyle="1" w:styleId="LDItal">
    <w:name w:val="LDItal"/>
    <w:basedOn w:val="DefaultParagraphFont"/>
    <w:uiPriority w:val="1"/>
    <w:rsid w:val="000B14AD"/>
    <w:rPr>
      <w:i/>
    </w:rPr>
  </w:style>
  <w:style w:type="paragraph" w:customStyle="1" w:styleId="LDSec1">
    <w:name w:val="LDSec(1)"/>
    <w:link w:val="LDSec1Char"/>
    <w:rsid w:val="000B14AD"/>
    <w:pPr>
      <w:tabs>
        <w:tab w:val="right" w:pos="454"/>
        <w:tab w:val="left" w:pos="737"/>
      </w:tabs>
      <w:spacing w:before="60" w:after="60"/>
      <w:ind w:left="737" w:hanging="1021"/>
    </w:pPr>
    <w:rPr>
      <w:rFonts w:eastAsia="Times New Roman" w:cs="Times New Roman"/>
      <w:sz w:val="24"/>
      <w:szCs w:val="24"/>
    </w:rPr>
  </w:style>
  <w:style w:type="character" w:customStyle="1" w:styleId="LDSec1Char">
    <w:name w:val="LDSec(1) Char"/>
    <w:basedOn w:val="DefaultParagraphFont"/>
    <w:link w:val="LDSec1"/>
    <w:rsid w:val="000B14AD"/>
    <w:rPr>
      <w:rFonts w:eastAsia="Times New Roman" w:cs="Times New Roman"/>
      <w:sz w:val="24"/>
      <w:szCs w:val="24"/>
    </w:rPr>
  </w:style>
  <w:style w:type="character" w:customStyle="1" w:styleId="LDBoldItal">
    <w:name w:val="LDBoldItal"/>
    <w:uiPriority w:val="1"/>
    <w:qFormat/>
    <w:rsid w:val="000B14AD"/>
    <w:rPr>
      <w:b/>
      <w:i/>
    </w:rPr>
  </w:style>
  <w:style w:type="paragraph" w:customStyle="1" w:styleId="LDdefinition">
    <w:name w:val="LDdefinition"/>
    <w:link w:val="LDdefinitionChar"/>
    <w:rsid w:val="00D93DB7"/>
    <w:pPr>
      <w:keepNext/>
      <w:ind w:left="709"/>
    </w:pPr>
    <w:rPr>
      <w:rFonts w:eastAsia="Times New Roman" w:cs="Times New Roman"/>
      <w:sz w:val="24"/>
      <w:szCs w:val="24"/>
    </w:rPr>
  </w:style>
  <w:style w:type="character" w:customStyle="1" w:styleId="LDdefinitionChar">
    <w:name w:val="LDdefinition Char"/>
    <w:link w:val="LDdefinition"/>
    <w:locked/>
    <w:rsid w:val="00D93DB7"/>
    <w:rPr>
      <w:rFonts w:eastAsia="Times New Roman" w:cs="Times New Roman"/>
      <w:sz w:val="24"/>
      <w:szCs w:val="24"/>
    </w:rPr>
  </w:style>
  <w:style w:type="paragraph" w:customStyle="1" w:styleId="LDP1a">
    <w:name w:val="LDP1(a)"/>
    <w:link w:val="LDP1aChar"/>
    <w:rsid w:val="000B14AD"/>
    <w:pPr>
      <w:tabs>
        <w:tab w:val="left" w:pos="1191"/>
      </w:tabs>
      <w:spacing w:before="60" w:after="60"/>
      <w:ind w:left="1191" w:hanging="454"/>
    </w:pPr>
    <w:rPr>
      <w:rFonts w:eastAsia="Times New Roman" w:cs="Times New Roman"/>
      <w:sz w:val="24"/>
      <w:szCs w:val="24"/>
    </w:rPr>
  </w:style>
  <w:style w:type="character" w:customStyle="1" w:styleId="LDP1aChar">
    <w:name w:val="LDP1(a) Char"/>
    <w:link w:val="LDP1a"/>
    <w:locked/>
    <w:rsid w:val="000B14AD"/>
    <w:rPr>
      <w:rFonts w:eastAsia="Times New Roman" w:cs="Times New Roman"/>
      <w:sz w:val="24"/>
      <w:szCs w:val="24"/>
    </w:rPr>
  </w:style>
  <w:style w:type="paragraph" w:customStyle="1" w:styleId="LDP2i">
    <w:name w:val="LDP2(i)"/>
    <w:link w:val="LDP2iChar"/>
    <w:rsid w:val="00D93DB7"/>
    <w:pPr>
      <w:tabs>
        <w:tab w:val="right" w:pos="1418"/>
        <w:tab w:val="left" w:pos="1559"/>
      </w:tabs>
      <w:ind w:left="1588" w:hanging="1134"/>
    </w:pPr>
    <w:rPr>
      <w:rFonts w:eastAsia="Times New Roman" w:cs="Times New Roman"/>
      <w:sz w:val="24"/>
      <w:szCs w:val="24"/>
    </w:rPr>
  </w:style>
  <w:style w:type="character" w:customStyle="1" w:styleId="LDP2iChar">
    <w:name w:val="LDP2(i) Char"/>
    <w:link w:val="LDP2i"/>
    <w:locked/>
    <w:rsid w:val="00D93DB7"/>
    <w:rPr>
      <w:rFonts w:eastAsia="Times New Roman" w:cs="Times New Roman"/>
      <w:sz w:val="24"/>
      <w:szCs w:val="24"/>
    </w:rPr>
  </w:style>
  <w:style w:type="paragraph" w:customStyle="1" w:styleId="LDDraftOnly">
    <w:name w:val="LDDraftOnly"/>
    <w:next w:val="LDFooter"/>
    <w:rsid w:val="007C5FDD"/>
    <w:pPr>
      <w:pBdr>
        <w:top w:val="single" w:sz="4" w:space="1" w:color="auto"/>
      </w:pBdr>
      <w:jc w:val="center"/>
    </w:pPr>
    <w:rPr>
      <w:rFonts w:ascii="Arial" w:hAnsi="Arial" w:cs="Arial"/>
      <w:sz w:val="32"/>
      <w:szCs w:val="16"/>
    </w:rPr>
  </w:style>
  <w:style w:type="paragraph" w:customStyle="1" w:styleId="LDFooter">
    <w:name w:val="LDFooter"/>
    <w:rsid w:val="007C5FDD"/>
    <w:pPr>
      <w:pBdr>
        <w:top w:val="single" w:sz="4" w:space="1" w:color="auto"/>
      </w:pBdr>
    </w:pPr>
    <w:rPr>
      <w:sz w:val="18"/>
      <w:szCs w:val="16"/>
    </w:rPr>
  </w:style>
  <w:style w:type="character" w:customStyle="1" w:styleId="LDBold">
    <w:name w:val="LDBold"/>
    <w:basedOn w:val="DefaultParagraphFont"/>
    <w:uiPriority w:val="1"/>
    <w:rsid w:val="007E11B9"/>
    <w:rPr>
      <w:b/>
    </w:rPr>
  </w:style>
  <w:style w:type="paragraph" w:customStyle="1" w:styleId="LDTableheading">
    <w:name w:val="LDTableheading"/>
    <w:basedOn w:val="Normal"/>
    <w:rsid w:val="000D081D"/>
    <w:pPr>
      <w:keepNext/>
      <w:tabs>
        <w:tab w:val="right" w:pos="1134"/>
        <w:tab w:val="left" w:pos="1276"/>
        <w:tab w:val="right" w:pos="1843"/>
        <w:tab w:val="left" w:pos="1985"/>
        <w:tab w:val="right" w:pos="2552"/>
        <w:tab w:val="left" w:pos="2693"/>
      </w:tabs>
      <w:spacing w:before="120" w:after="60" w:line="240" w:lineRule="auto"/>
    </w:pPr>
    <w:rPr>
      <w:rFonts w:ascii="Arial" w:eastAsia="Times New Roman" w:hAnsi="Arial" w:cs="Times New Roman"/>
      <w:b/>
      <w:sz w:val="20"/>
    </w:rPr>
  </w:style>
  <w:style w:type="paragraph" w:customStyle="1" w:styleId="LDTabletext">
    <w:name w:val="LDTabletext"/>
    <w:basedOn w:val="Normal"/>
    <w:rsid w:val="000D081D"/>
    <w:pPr>
      <w:tabs>
        <w:tab w:val="right" w:pos="1134"/>
        <w:tab w:val="left" w:pos="1276"/>
        <w:tab w:val="right" w:pos="1843"/>
        <w:tab w:val="left" w:pos="1985"/>
        <w:tab w:val="right" w:pos="2552"/>
        <w:tab w:val="left" w:pos="2693"/>
      </w:tabs>
      <w:spacing w:before="60" w:after="60" w:line="240" w:lineRule="auto"/>
    </w:pPr>
    <w:rPr>
      <w:rFonts w:ascii="Arial" w:eastAsia="Times New Roman" w:hAnsi="Arial" w:cs="Arial"/>
      <w:sz w:val="20"/>
    </w:rPr>
  </w:style>
  <w:style w:type="paragraph" w:customStyle="1" w:styleId="LDPartHead">
    <w:name w:val="LDPartHead"/>
    <w:next w:val="LDSecHead"/>
    <w:rsid w:val="002707CD"/>
    <w:pPr>
      <w:keepNext/>
      <w:keepLines/>
      <w:tabs>
        <w:tab w:val="left" w:pos="1701"/>
      </w:tabs>
      <w:spacing w:before="180" w:after="60"/>
      <w:ind w:left="1701" w:hanging="1701"/>
      <w:outlineLvl w:val="0"/>
    </w:pPr>
    <w:rPr>
      <w:rFonts w:ascii="Arial" w:eastAsia="Times New Roman" w:hAnsi="Arial" w:cs="Times New Roman"/>
      <w:b/>
      <w:sz w:val="28"/>
      <w:szCs w:val="24"/>
    </w:rPr>
  </w:style>
  <w:style w:type="paragraph" w:customStyle="1" w:styleId="LDDivHead">
    <w:name w:val="LDDivHead"/>
    <w:next w:val="LDSecHead"/>
    <w:rsid w:val="002707CD"/>
    <w:pPr>
      <w:keepNext/>
      <w:keepLines/>
      <w:tabs>
        <w:tab w:val="left" w:pos="1701"/>
      </w:tabs>
      <w:spacing w:before="240" w:after="120"/>
      <w:ind w:left="1701" w:hanging="1701"/>
      <w:outlineLvl w:val="1"/>
    </w:pPr>
    <w:rPr>
      <w:rFonts w:ascii="Arial" w:eastAsia="Times New Roman" w:hAnsi="Arial" w:cs="Times New Roman"/>
      <w:b/>
      <w:sz w:val="26"/>
      <w:szCs w:val="24"/>
    </w:rPr>
  </w:style>
  <w:style w:type="paragraph" w:customStyle="1" w:styleId="LDSubdivHead">
    <w:name w:val="LDSubdivHead"/>
    <w:next w:val="LDSecHead"/>
    <w:qFormat/>
    <w:rsid w:val="002707CD"/>
    <w:pPr>
      <w:keepNext/>
      <w:spacing w:before="120"/>
      <w:ind w:left="2268" w:hanging="2268"/>
      <w:outlineLvl w:val="2"/>
    </w:pPr>
    <w:rPr>
      <w:rFonts w:ascii="Arial" w:eastAsia="Times New Roman" w:hAnsi="Arial" w:cs="Times New Roman"/>
      <w:b/>
      <w:sz w:val="24"/>
      <w:szCs w:val="24"/>
    </w:rPr>
  </w:style>
  <w:style w:type="paragraph" w:customStyle="1" w:styleId="LDTableP1a">
    <w:name w:val="LDTableP1(a)"/>
    <w:rsid w:val="00CD757E"/>
    <w:pPr>
      <w:tabs>
        <w:tab w:val="left" w:pos="318"/>
      </w:tabs>
      <w:ind w:left="317" w:hanging="317"/>
    </w:pPr>
    <w:rPr>
      <w:rFonts w:ascii="Arial" w:eastAsia="Times New Roman" w:hAnsi="Arial" w:cs="Arial"/>
    </w:rPr>
  </w:style>
  <w:style w:type="paragraph" w:customStyle="1" w:styleId="LDTableP2i">
    <w:name w:val="LDTableP2(i)"/>
    <w:basedOn w:val="LDP2i"/>
    <w:rsid w:val="0078011C"/>
    <w:pPr>
      <w:tabs>
        <w:tab w:val="clear" w:pos="1418"/>
        <w:tab w:val="clear" w:pos="1559"/>
        <w:tab w:val="right" w:pos="459"/>
        <w:tab w:val="left" w:pos="601"/>
      </w:tabs>
      <w:ind w:left="459" w:hanging="459"/>
    </w:pPr>
    <w:rPr>
      <w:rFonts w:ascii="Arial" w:hAnsi="Arial"/>
      <w:sz w:val="20"/>
    </w:rPr>
  </w:style>
  <w:style w:type="paragraph" w:customStyle="1" w:styleId="LDTableP3A">
    <w:name w:val="LDTableP3(A)"/>
    <w:rsid w:val="0078011C"/>
    <w:pPr>
      <w:tabs>
        <w:tab w:val="left" w:pos="743"/>
      </w:tabs>
      <w:ind w:left="743" w:hanging="317"/>
    </w:pPr>
    <w:rPr>
      <w:rFonts w:ascii="Arial" w:eastAsia="Times New Roman" w:hAnsi="Arial" w:cs="Times New Roman"/>
      <w:szCs w:val="24"/>
    </w:rPr>
  </w:style>
  <w:style w:type="character" w:styleId="Hyperlink">
    <w:name w:val="Hyperlink"/>
    <w:basedOn w:val="DefaultParagraphFont"/>
    <w:uiPriority w:val="99"/>
    <w:unhideWhenUsed/>
    <w:rsid w:val="007A656F"/>
    <w:rPr>
      <w:color w:val="0000FF" w:themeColor="hyperlink"/>
      <w:u w:val="single"/>
    </w:rPr>
  </w:style>
  <w:style w:type="paragraph" w:customStyle="1" w:styleId="LDSchedule">
    <w:name w:val="LDSchedule"/>
    <w:rsid w:val="00A252F1"/>
    <w:rPr>
      <w:rFonts w:ascii="Arial" w:eastAsia="Times New Roman" w:hAnsi="Arial" w:cs="Times New Roman"/>
      <w:b/>
      <w:sz w:val="28"/>
      <w:szCs w:val="24"/>
    </w:rPr>
  </w:style>
  <w:style w:type="paragraph" w:customStyle="1" w:styleId="LDSchedref">
    <w:name w:val="LDSchedref"/>
    <w:rsid w:val="00A252F1"/>
    <w:pPr>
      <w:ind w:left="2127"/>
    </w:pPr>
    <w:rPr>
      <w:rFonts w:eastAsia="Times New Roman" w:cs="Times New Roman"/>
    </w:rPr>
  </w:style>
  <w:style w:type="paragraph" w:customStyle="1" w:styleId="LDSchedClauseHead">
    <w:name w:val="LDSchedClauseHead"/>
    <w:basedOn w:val="LDSecHead"/>
    <w:rsid w:val="00692BFD"/>
  </w:style>
  <w:style w:type="paragraph" w:customStyle="1" w:styleId="LDSchedClause">
    <w:name w:val="LDSchedClause"/>
    <w:rsid w:val="0080359A"/>
    <w:pPr>
      <w:tabs>
        <w:tab w:val="right" w:pos="284"/>
        <w:tab w:val="left" w:pos="709"/>
      </w:tabs>
      <w:spacing w:before="120"/>
      <w:ind w:left="709" w:hanging="709"/>
    </w:pPr>
    <w:rPr>
      <w:rFonts w:eastAsia="Calibri" w:cs="Times New Roman"/>
      <w:sz w:val="24"/>
      <w:szCs w:val="24"/>
    </w:rPr>
  </w:style>
  <w:style w:type="paragraph" w:customStyle="1" w:styleId="LDSchedItem">
    <w:name w:val="LDSchedItem"/>
    <w:rsid w:val="008A12F5"/>
    <w:pPr>
      <w:tabs>
        <w:tab w:val="left" w:pos="426"/>
      </w:tabs>
      <w:ind w:left="426" w:hanging="426"/>
    </w:pPr>
    <w:rPr>
      <w:rFonts w:eastAsia="Calibri" w:cs="Times New Roman"/>
      <w:b/>
      <w:sz w:val="24"/>
      <w:szCs w:val="24"/>
    </w:rPr>
  </w:style>
  <w:style w:type="paragraph" w:customStyle="1" w:styleId="LDLine">
    <w:name w:val="LDLine"/>
    <w:rsid w:val="00C562C7"/>
    <w:pPr>
      <w:pBdr>
        <w:bottom w:val="single" w:sz="4" w:space="1" w:color="auto"/>
      </w:pBdr>
    </w:pPr>
    <w:rPr>
      <w:rFonts w:eastAsia="Times New Roman" w:cs="Times New Roman"/>
      <w:sz w:val="24"/>
      <w:szCs w:val="24"/>
    </w:rPr>
  </w:style>
  <w:style w:type="paragraph" w:customStyle="1" w:styleId="LDSubsecHead">
    <w:name w:val="LDSubsecHead"/>
    <w:next w:val="LDSec1"/>
    <w:rsid w:val="004D4B19"/>
    <w:pPr>
      <w:spacing w:before="120"/>
      <w:ind w:left="737"/>
    </w:pPr>
    <w:rPr>
      <w:rFonts w:ascii="Arial" w:eastAsia="Times New Roman" w:hAnsi="Arial" w:cs="Arial"/>
      <w:i/>
      <w:sz w:val="24"/>
      <w:szCs w:val="24"/>
    </w:rPr>
  </w:style>
  <w:style w:type="paragraph" w:customStyle="1" w:styleId="LDNoteP1a">
    <w:name w:val="LDNoteP1(a)"/>
    <w:basedOn w:val="LDNote"/>
    <w:rsid w:val="0080359A"/>
    <w:pPr>
      <w:tabs>
        <w:tab w:val="clear" w:pos="993"/>
        <w:tab w:val="left" w:pos="1276"/>
      </w:tabs>
      <w:ind w:left="1276" w:hanging="283"/>
    </w:pPr>
  </w:style>
  <w:style w:type="paragraph" w:customStyle="1" w:styleId="LDBodyP1a">
    <w:name w:val="LDBodyP1(a)"/>
    <w:rsid w:val="00365E41"/>
    <w:pPr>
      <w:tabs>
        <w:tab w:val="left" w:pos="709"/>
      </w:tabs>
      <w:spacing w:before="120"/>
      <w:ind w:left="709" w:hanging="567"/>
    </w:pPr>
    <w:rPr>
      <w:rFonts w:eastAsia="Times New Roman" w:cs="Times New Roman"/>
      <w:sz w:val="24"/>
      <w:szCs w:val="24"/>
    </w:rPr>
  </w:style>
  <w:style w:type="paragraph" w:customStyle="1" w:styleId="LDBullet">
    <w:name w:val="LDBullet"/>
    <w:basedOn w:val="LDNoteP1a"/>
    <w:rsid w:val="006C507A"/>
    <w:pPr>
      <w:numPr>
        <w:numId w:val="26"/>
      </w:numPr>
    </w:pPr>
  </w:style>
  <w:style w:type="paragraph" w:customStyle="1" w:styleId="LDTitle">
    <w:name w:val="LDTitle"/>
    <w:rsid w:val="009E3D4E"/>
    <w:pPr>
      <w:spacing w:before="480" w:after="480"/>
    </w:pPr>
    <w:rPr>
      <w:rFonts w:ascii="Arial" w:eastAsia="Times New Roman" w:hAnsi="Arial" w:cs="Times New Roman"/>
      <w:sz w:val="24"/>
      <w:szCs w:val="24"/>
    </w:rPr>
  </w:style>
  <w:style w:type="paragraph" w:customStyle="1" w:styleId="LDComment">
    <w:name w:val="LDComment"/>
    <w:basedOn w:val="LDBodytext"/>
    <w:rsid w:val="00922BC7"/>
    <w:pPr>
      <w:ind w:left="1276" w:hanging="1276"/>
    </w:pPr>
    <w:rPr>
      <w:b/>
      <w:i/>
    </w:rPr>
  </w:style>
  <w:style w:type="paragraph" w:customStyle="1" w:styleId="subsectiondrafting">
    <w:name w:val="subsection drafting"/>
    <w:basedOn w:val="Normal"/>
    <w:qFormat/>
    <w:rsid w:val="00532E0F"/>
    <w:pPr>
      <w:keepNext/>
      <w:keepLines/>
      <w:spacing w:before="280" w:line="240" w:lineRule="auto"/>
      <w:ind w:left="1854" w:hanging="1134"/>
      <w:outlineLvl w:val="4"/>
    </w:pPr>
    <w:rPr>
      <w:rFonts w:eastAsia="Times New Roman" w:cs="Times New Roman"/>
      <w:kern w:val="28"/>
      <w:lang w:eastAsia="en-AU"/>
    </w:rPr>
  </w:style>
  <w:style w:type="paragraph" w:customStyle="1" w:styleId="subsection">
    <w:name w:val="subsection"/>
    <w:aliases w:val="ss"/>
    <w:basedOn w:val="Normal"/>
    <w:link w:val="subsectionChar"/>
    <w:rsid w:val="00DB2140"/>
    <w:pPr>
      <w:tabs>
        <w:tab w:val="right" w:pos="1021"/>
      </w:tabs>
      <w:spacing w:before="180" w:line="240" w:lineRule="auto"/>
      <w:ind w:left="1134" w:hanging="1134"/>
    </w:pPr>
    <w:rPr>
      <w:rFonts w:eastAsia="Times New Roman" w:cs="Times New Roman"/>
      <w:lang w:eastAsia="en-AU"/>
    </w:rPr>
  </w:style>
  <w:style w:type="paragraph" w:customStyle="1" w:styleId="Definition">
    <w:name w:val="Definition"/>
    <w:aliases w:val="dd"/>
    <w:basedOn w:val="Normal"/>
    <w:rsid w:val="00DB2140"/>
    <w:pPr>
      <w:spacing w:before="180" w:line="240" w:lineRule="auto"/>
      <w:ind w:left="1134"/>
    </w:pPr>
    <w:rPr>
      <w:rFonts w:eastAsia="Times New Roman" w:cs="Times New Roman"/>
      <w:lang w:eastAsia="en-AU"/>
    </w:rPr>
  </w:style>
  <w:style w:type="character" w:customStyle="1" w:styleId="subsectionChar">
    <w:name w:val="subsection Char"/>
    <w:aliases w:val="ss Char"/>
    <w:basedOn w:val="DefaultParagraphFont"/>
    <w:link w:val="subsection"/>
    <w:locked/>
    <w:rsid w:val="00DB2140"/>
    <w:rPr>
      <w:rFonts w:eastAsia="Times New Roman" w:cs="Times New Roman"/>
      <w:sz w:val="22"/>
      <w:lang w:eastAsia="en-AU"/>
    </w:rPr>
  </w:style>
  <w:style w:type="paragraph" w:styleId="Footer">
    <w:name w:val="footer"/>
    <w:basedOn w:val="Normal"/>
    <w:link w:val="FooterChar"/>
    <w:unhideWhenUsed/>
    <w:rsid w:val="00A1644C"/>
    <w:pPr>
      <w:tabs>
        <w:tab w:val="center" w:pos="4513"/>
        <w:tab w:val="right" w:pos="9026"/>
      </w:tabs>
      <w:spacing w:line="240" w:lineRule="auto"/>
    </w:pPr>
  </w:style>
  <w:style w:type="character" w:customStyle="1" w:styleId="FooterChar">
    <w:name w:val="Footer Char"/>
    <w:basedOn w:val="DefaultParagraphFont"/>
    <w:link w:val="Footer"/>
    <w:rsid w:val="00A1644C"/>
    <w:rPr>
      <w:sz w:val="22"/>
    </w:rPr>
  </w:style>
  <w:style w:type="character" w:customStyle="1" w:styleId="notetextChar">
    <w:name w:val="note(text) Char"/>
    <w:aliases w:val="n Char"/>
    <w:basedOn w:val="DefaultParagraphFont"/>
    <w:link w:val="notetext"/>
    <w:locked/>
    <w:rsid w:val="004E69F1"/>
    <w:rPr>
      <w:rFonts w:eastAsia="Times New Roman" w:cs="Times New Roman"/>
      <w:sz w:val="18"/>
      <w:lang w:eastAsia="en-AU"/>
    </w:rPr>
  </w:style>
  <w:style w:type="paragraph" w:customStyle="1" w:styleId="notetext">
    <w:name w:val="note(text)"/>
    <w:aliases w:val="n"/>
    <w:basedOn w:val="Normal"/>
    <w:link w:val="notetextChar"/>
    <w:rsid w:val="004E69F1"/>
    <w:pPr>
      <w:spacing w:before="122" w:line="198" w:lineRule="exact"/>
      <w:ind w:left="1985" w:hanging="851"/>
    </w:pPr>
    <w:rPr>
      <w:rFonts w:eastAsia="Times New Roman" w:cs="Times New Roman"/>
      <w:sz w:val="18"/>
      <w:lang w:eastAsia="en-AU"/>
    </w:rPr>
  </w:style>
  <w:style w:type="paragraph" w:customStyle="1" w:styleId="notepara">
    <w:name w:val="note(para)"/>
    <w:aliases w:val="na"/>
    <w:basedOn w:val="Normal"/>
    <w:rsid w:val="004E69F1"/>
    <w:pPr>
      <w:spacing w:before="40" w:line="198" w:lineRule="exact"/>
      <w:ind w:left="2354" w:hanging="369"/>
    </w:pPr>
    <w:rPr>
      <w:rFonts w:eastAsia="Times New Roman" w:cs="Times New Roman"/>
      <w:sz w:val="18"/>
      <w:lang w:eastAsia="en-AU"/>
    </w:rPr>
  </w:style>
  <w:style w:type="character" w:customStyle="1" w:styleId="CharPartNo">
    <w:name w:val="CharPartNo"/>
    <w:rsid w:val="00E21CB9"/>
    <w:rPr>
      <w:rFonts w:ascii="Arial" w:hAnsi="Arial"/>
    </w:rPr>
  </w:style>
  <w:style w:type="character" w:customStyle="1" w:styleId="CharPartText">
    <w:name w:val="CharPartText"/>
    <w:rsid w:val="00E21CB9"/>
    <w:rPr>
      <w:rFonts w:ascii="Arial" w:hAnsi="Arial"/>
    </w:rPr>
  </w:style>
  <w:style w:type="paragraph" w:customStyle="1" w:styleId="HP">
    <w:name w:val="HP"/>
    <w:aliases w:val="Part Heading"/>
    <w:basedOn w:val="Normal"/>
    <w:next w:val="Normal"/>
    <w:rsid w:val="00E21CB9"/>
    <w:pPr>
      <w:keepNext/>
      <w:spacing w:before="360" w:line="240" w:lineRule="auto"/>
      <w:ind w:left="2410" w:hanging="2410"/>
    </w:pPr>
    <w:rPr>
      <w:rFonts w:ascii="Arial" w:eastAsia="Times New Roman" w:hAnsi="Arial" w:cs="Times New Roman"/>
      <w:b/>
      <w:sz w:val="32"/>
      <w:lang w:eastAsia="en-AU"/>
    </w:rPr>
  </w:style>
  <w:style w:type="paragraph" w:customStyle="1" w:styleId="P2">
    <w:name w:val="P2"/>
    <w:aliases w:val="(i)"/>
    <w:basedOn w:val="Normal"/>
    <w:rsid w:val="0007329D"/>
    <w:pPr>
      <w:tabs>
        <w:tab w:val="right" w:pos="1758"/>
        <w:tab w:val="left" w:pos="2155"/>
      </w:tabs>
      <w:spacing w:before="60" w:line="260" w:lineRule="exact"/>
      <w:ind w:left="1985" w:hanging="1985"/>
      <w:jc w:val="both"/>
    </w:pPr>
    <w:rPr>
      <w:rFonts w:eastAsia="Times New Roman" w:cs="Times New Roman"/>
      <w:sz w:val="24"/>
      <w:lang w:eastAsia="en-AU"/>
    </w:rPr>
  </w:style>
  <w:style w:type="paragraph" w:customStyle="1" w:styleId="definition0">
    <w:name w:val="definition"/>
    <w:basedOn w:val="Normal"/>
    <w:rsid w:val="00260B33"/>
    <w:pPr>
      <w:spacing w:before="80"/>
      <w:ind w:left="964"/>
      <w:jc w:val="both"/>
    </w:pPr>
    <w:rPr>
      <w:rFonts w:eastAsia="Times New Roman" w:cs="Times New Roman"/>
      <w:sz w:val="24"/>
      <w:szCs w:val="24"/>
      <w:lang w:eastAsia="en-AU"/>
    </w:rPr>
  </w:style>
  <w:style w:type="paragraph" w:customStyle="1" w:styleId="P1">
    <w:name w:val="P1"/>
    <w:aliases w:val="(a)"/>
    <w:basedOn w:val="Normal"/>
    <w:rsid w:val="00C9630D"/>
    <w:pPr>
      <w:tabs>
        <w:tab w:val="right" w:pos="1191"/>
        <w:tab w:val="left" w:pos="1644"/>
      </w:tabs>
      <w:spacing w:before="60" w:line="260" w:lineRule="exact"/>
      <w:ind w:left="1418" w:hanging="1418"/>
      <w:jc w:val="both"/>
    </w:pPr>
    <w:rPr>
      <w:rFonts w:eastAsia="Times New Roman" w:cs="Times New Roman"/>
      <w:sz w:val="24"/>
      <w:lang w:eastAsia="en-AU"/>
    </w:rPr>
  </w:style>
  <w:style w:type="paragraph" w:styleId="TOCHeading">
    <w:name w:val="TOC Heading"/>
    <w:basedOn w:val="Heading1"/>
    <w:next w:val="Normal"/>
    <w:uiPriority w:val="39"/>
    <w:unhideWhenUsed/>
    <w:qFormat/>
    <w:rsid w:val="0066489E"/>
    <w:pPr>
      <w:spacing w:before="240" w:line="259" w:lineRule="auto"/>
      <w:outlineLvl w:val="9"/>
    </w:pPr>
    <w:rPr>
      <w:b w:val="0"/>
      <w:bCs w:val="0"/>
      <w:sz w:val="32"/>
      <w:szCs w:val="32"/>
      <w:lang w:val="en-US"/>
    </w:rPr>
  </w:style>
  <w:style w:type="paragraph" w:styleId="NoSpacing">
    <w:name w:val="No Spacing"/>
    <w:aliases w:val="Section heading"/>
    <w:uiPriority w:val="1"/>
    <w:qFormat/>
    <w:rsid w:val="00532E0F"/>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83564">
      <w:bodyDiv w:val="1"/>
      <w:marLeft w:val="0"/>
      <w:marRight w:val="0"/>
      <w:marTop w:val="0"/>
      <w:marBottom w:val="0"/>
      <w:divBdr>
        <w:top w:val="none" w:sz="0" w:space="0" w:color="auto"/>
        <w:left w:val="none" w:sz="0" w:space="0" w:color="auto"/>
        <w:bottom w:val="none" w:sz="0" w:space="0" w:color="auto"/>
        <w:right w:val="none" w:sz="0" w:space="0" w:color="auto"/>
      </w:divBdr>
    </w:div>
    <w:div w:id="181284375">
      <w:bodyDiv w:val="1"/>
      <w:marLeft w:val="0"/>
      <w:marRight w:val="0"/>
      <w:marTop w:val="0"/>
      <w:marBottom w:val="0"/>
      <w:divBdr>
        <w:top w:val="none" w:sz="0" w:space="0" w:color="auto"/>
        <w:left w:val="none" w:sz="0" w:space="0" w:color="auto"/>
        <w:bottom w:val="none" w:sz="0" w:space="0" w:color="auto"/>
        <w:right w:val="none" w:sz="0" w:space="0" w:color="auto"/>
      </w:divBdr>
    </w:div>
    <w:div w:id="307441510">
      <w:bodyDiv w:val="1"/>
      <w:marLeft w:val="0"/>
      <w:marRight w:val="0"/>
      <w:marTop w:val="0"/>
      <w:marBottom w:val="0"/>
      <w:divBdr>
        <w:top w:val="none" w:sz="0" w:space="0" w:color="auto"/>
        <w:left w:val="none" w:sz="0" w:space="0" w:color="auto"/>
        <w:bottom w:val="none" w:sz="0" w:space="0" w:color="auto"/>
        <w:right w:val="none" w:sz="0" w:space="0" w:color="auto"/>
      </w:divBdr>
    </w:div>
    <w:div w:id="512884971">
      <w:bodyDiv w:val="1"/>
      <w:marLeft w:val="0"/>
      <w:marRight w:val="0"/>
      <w:marTop w:val="0"/>
      <w:marBottom w:val="0"/>
      <w:divBdr>
        <w:top w:val="none" w:sz="0" w:space="0" w:color="auto"/>
        <w:left w:val="none" w:sz="0" w:space="0" w:color="auto"/>
        <w:bottom w:val="none" w:sz="0" w:space="0" w:color="auto"/>
        <w:right w:val="none" w:sz="0" w:space="0" w:color="auto"/>
      </w:divBdr>
    </w:div>
    <w:div w:id="641807468">
      <w:bodyDiv w:val="1"/>
      <w:marLeft w:val="0"/>
      <w:marRight w:val="0"/>
      <w:marTop w:val="0"/>
      <w:marBottom w:val="0"/>
      <w:divBdr>
        <w:top w:val="none" w:sz="0" w:space="0" w:color="auto"/>
        <w:left w:val="none" w:sz="0" w:space="0" w:color="auto"/>
        <w:bottom w:val="none" w:sz="0" w:space="0" w:color="auto"/>
        <w:right w:val="none" w:sz="0" w:space="0" w:color="auto"/>
      </w:divBdr>
    </w:div>
    <w:div w:id="667291985">
      <w:bodyDiv w:val="1"/>
      <w:marLeft w:val="0"/>
      <w:marRight w:val="0"/>
      <w:marTop w:val="0"/>
      <w:marBottom w:val="0"/>
      <w:divBdr>
        <w:top w:val="none" w:sz="0" w:space="0" w:color="auto"/>
        <w:left w:val="none" w:sz="0" w:space="0" w:color="auto"/>
        <w:bottom w:val="none" w:sz="0" w:space="0" w:color="auto"/>
        <w:right w:val="none" w:sz="0" w:space="0" w:color="auto"/>
      </w:divBdr>
    </w:div>
    <w:div w:id="1259413075">
      <w:bodyDiv w:val="1"/>
      <w:marLeft w:val="0"/>
      <w:marRight w:val="0"/>
      <w:marTop w:val="0"/>
      <w:marBottom w:val="0"/>
      <w:divBdr>
        <w:top w:val="none" w:sz="0" w:space="0" w:color="auto"/>
        <w:left w:val="none" w:sz="0" w:space="0" w:color="auto"/>
        <w:bottom w:val="none" w:sz="0" w:space="0" w:color="auto"/>
        <w:right w:val="none" w:sz="0" w:space="0" w:color="auto"/>
      </w:divBdr>
    </w:div>
    <w:div w:id="1280456614">
      <w:bodyDiv w:val="1"/>
      <w:marLeft w:val="0"/>
      <w:marRight w:val="0"/>
      <w:marTop w:val="0"/>
      <w:marBottom w:val="0"/>
      <w:divBdr>
        <w:top w:val="none" w:sz="0" w:space="0" w:color="auto"/>
        <w:left w:val="none" w:sz="0" w:space="0" w:color="auto"/>
        <w:bottom w:val="none" w:sz="0" w:space="0" w:color="auto"/>
        <w:right w:val="none" w:sz="0" w:space="0" w:color="auto"/>
      </w:divBdr>
    </w:div>
    <w:div w:id="1437289287">
      <w:bodyDiv w:val="1"/>
      <w:marLeft w:val="0"/>
      <w:marRight w:val="0"/>
      <w:marTop w:val="0"/>
      <w:marBottom w:val="0"/>
      <w:divBdr>
        <w:top w:val="none" w:sz="0" w:space="0" w:color="auto"/>
        <w:left w:val="none" w:sz="0" w:space="0" w:color="auto"/>
        <w:bottom w:val="none" w:sz="0" w:space="0" w:color="auto"/>
        <w:right w:val="none" w:sz="0" w:space="0" w:color="auto"/>
      </w:divBdr>
    </w:div>
    <w:div w:id="1450466725">
      <w:bodyDiv w:val="1"/>
      <w:marLeft w:val="0"/>
      <w:marRight w:val="0"/>
      <w:marTop w:val="0"/>
      <w:marBottom w:val="0"/>
      <w:divBdr>
        <w:top w:val="none" w:sz="0" w:space="0" w:color="auto"/>
        <w:left w:val="none" w:sz="0" w:space="0" w:color="auto"/>
        <w:bottom w:val="none" w:sz="0" w:space="0" w:color="auto"/>
        <w:right w:val="none" w:sz="0" w:space="0" w:color="auto"/>
      </w:divBdr>
    </w:div>
    <w:div w:id="1456098255">
      <w:bodyDiv w:val="1"/>
      <w:marLeft w:val="0"/>
      <w:marRight w:val="0"/>
      <w:marTop w:val="0"/>
      <w:marBottom w:val="0"/>
      <w:divBdr>
        <w:top w:val="none" w:sz="0" w:space="0" w:color="auto"/>
        <w:left w:val="none" w:sz="0" w:space="0" w:color="auto"/>
        <w:bottom w:val="none" w:sz="0" w:space="0" w:color="auto"/>
        <w:right w:val="none" w:sz="0" w:space="0" w:color="auto"/>
      </w:divBdr>
    </w:div>
    <w:div w:id="1642223974">
      <w:bodyDiv w:val="1"/>
      <w:marLeft w:val="0"/>
      <w:marRight w:val="0"/>
      <w:marTop w:val="0"/>
      <w:marBottom w:val="0"/>
      <w:divBdr>
        <w:top w:val="none" w:sz="0" w:space="0" w:color="auto"/>
        <w:left w:val="none" w:sz="0" w:space="0" w:color="auto"/>
        <w:bottom w:val="none" w:sz="0" w:space="0" w:color="auto"/>
        <w:right w:val="none" w:sz="0" w:space="0" w:color="auto"/>
      </w:divBdr>
    </w:div>
    <w:div w:id="198542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9B92E-877F-44D2-9CA4-CC7F25D28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2004</Words>
  <Characters>11425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2025-02-27T02:47:00Z</dcterms:created>
  <dcterms:modified xsi:type="dcterms:W3CDTF">2025-02-27T02:47:00Z</dcterms:modified>
</cp:coreProperties>
</file>