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A816" w14:textId="77777777" w:rsidR="00434894" w:rsidRPr="00C07DD6" w:rsidRDefault="00434894" w:rsidP="0038353B">
      <w:pPr>
        <w:spacing w:line="240" w:lineRule="auto"/>
        <w:rPr>
          <w:sz w:val="26"/>
          <w:szCs w:val="18"/>
        </w:rPr>
      </w:pPr>
    </w:p>
    <w:p w14:paraId="39378EBD" w14:textId="57CF014C" w:rsidR="005E317F" w:rsidRPr="002C598D" w:rsidRDefault="005E317F" w:rsidP="0038353B">
      <w:pPr>
        <w:spacing w:line="240" w:lineRule="auto"/>
        <w:rPr>
          <w:sz w:val="28"/>
        </w:rPr>
      </w:pPr>
      <w:r w:rsidRPr="002C598D">
        <w:rPr>
          <w:noProof/>
          <w:lang w:eastAsia="en-AU"/>
        </w:rPr>
        <w:drawing>
          <wp:inline distT="0" distB="0" distL="0" distR="0" wp14:anchorId="5BF2B55C" wp14:editId="347BD33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B62DBD" w14:textId="77777777" w:rsidR="007A435D" w:rsidRPr="002C598D" w:rsidRDefault="007A435D" w:rsidP="0038353B">
      <w:pPr>
        <w:spacing w:line="240" w:lineRule="auto"/>
        <w:rPr>
          <w:sz w:val="19"/>
        </w:rPr>
      </w:pPr>
    </w:p>
    <w:p w14:paraId="644929DB" w14:textId="409D1257" w:rsidR="007A435D" w:rsidRPr="002C598D" w:rsidRDefault="0037668B" w:rsidP="0038353B">
      <w:pPr>
        <w:spacing w:before="240" w:line="240" w:lineRule="auto"/>
        <w:rPr>
          <w:rFonts w:ascii="Arial" w:hAnsi="Arial" w:cs="Arial"/>
          <w:b/>
          <w:sz w:val="28"/>
          <w:szCs w:val="28"/>
        </w:rPr>
      </w:pPr>
      <w:r w:rsidRPr="002C598D">
        <w:rPr>
          <w:rFonts w:ascii="Arial" w:hAnsi="Arial" w:cs="Arial"/>
          <w:b/>
          <w:sz w:val="28"/>
          <w:szCs w:val="28"/>
        </w:rPr>
        <w:t>PB 18</w:t>
      </w:r>
      <w:r w:rsidR="00462E24" w:rsidRPr="002C598D">
        <w:rPr>
          <w:rFonts w:ascii="Arial" w:hAnsi="Arial" w:cs="Arial"/>
          <w:b/>
          <w:sz w:val="28"/>
          <w:szCs w:val="28"/>
        </w:rPr>
        <w:t xml:space="preserve"> of 202</w:t>
      </w:r>
      <w:r w:rsidR="00D228EC" w:rsidRPr="002C598D">
        <w:rPr>
          <w:rFonts w:ascii="Arial" w:hAnsi="Arial" w:cs="Arial"/>
          <w:b/>
          <w:sz w:val="28"/>
          <w:szCs w:val="28"/>
        </w:rPr>
        <w:t>5</w:t>
      </w:r>
    </w:p>
    <w:p w14:paraId="1BB414BE" w14:textId="77777777" w:rsidR="007A435D" w:rsidRPr="002C598D" w:rsidRDefault="007A435D" w:rsidP="0038353B">
      <w:pPr>
        <w:spacing w:line="240" w:lineRule="auto"/>
        <w:rPr>
          <w:sz w:val="40"/>
          <w:szCs w:val="40"/>
        </w:rPr>
      </w:pPr>
    </w:p>
    <w:p w14:paraId="3177E3C9" w14:textId="20F3E26E" w:rsidR="00462E24" w:rsidRPr="002C598D" w:rsidRDefault="00462E24" w:rsidP="00E24FDA">
      <w:pPr>
        <w:spacing w:line="240" w:lineRule="auto"/>
        <w:rPr>
          <w:rFonts w:ascii="Arial" w:hAnsi="Arial" w:cs="Arial"/>
          <w:b/>
          <w:sz w:val="40"/>
          <w:szCs w:val="40"/>
        </w:rPr>
      </w:pPr>
      <w:r w:rsidRPr="002C598D">
        <w:rPr>
          <w:rFonts w:ascii="Arial" w:hAnsi="Arial" w:cs="Arial"/>
          <w:b/>
          <w:sz w:val="40"/>
          <w:szCs w:val="40"/>
        </w:rPr>
        <w:t xml:space="preserve">National Health (Efficient Funding of Chemotherapy) Special Arrangement Amendment </w:t>
      </w:r>
      <w:r w:rsidR="005008AD" w:rsidRPr="002C598D">
        <w:rPr>
          <w:rFonts w:ascii="Arial" w:hAnsi="Arial" w:cs="Arial"/>
          <w:b/>
          <w:sz w:val="40"/>
          <w:szCs w:val="40"/>
        </w:rPr>
        <w:t>(</w:t>
      </w:r>
      <w:r w:rsidR="00C80352" w:rsidRPr="002C598D">
        <w:rPr>
          <w:rFonts w:ascii="Arial" w:hAnsi="Arial" w:cs="Arial"/>
          <w:b/>
          <w:sz w:val="40"/>
          <w:szCs w:val="40"/>
        </w:rPr>
        <w:t>March</w:t>
      </w:r>
      <w:r w:rsidR="00306F2D" w:rsidRPr="002C598D">
        <w:rPr>
          <w:rFonts w:ascii="Arial" w:hAnsi="Arial" w:cs="Arial"/>
          <w:b/>
          <w:sz w:val="40"/>
          <w:szCs w:val="40"/>
        </w:rPr>
        <w:t xml:space="preserve"> </w:t>
      </w:r>
      <w:r w:rsidR="005008AD" w:rsidRPr="002C598D">
        <w:rPr>
          <w:rFonts w:ascii="Arial" w:hAnsi="Arial" w:cs="Arial"/>
          <w:b/>
          <w:sz w:val="40"/>
          <w:szCs w:val="40"/>
        </w:rPr>
        <w:t xml:space="preserve">Update) </w:t>
      </w:r>
      <w:r w:rsidRPr="002C598D">
        <w:rPr>
          <w:rFonts w:ascii="Arial" w:hAnsi="Arial" w:cs="Arial"/>
          <w:b/>
          <w:sz w:val="40"/>
          <w:szCs w:val="40"/>
        </w:rPr>
        <w:t>Instrument 202</w:t>
      </w:r>
      <w:r w:rsidR="00D228EC" w:rsidRPr="002C598D">
        <w:rPr>
          <w:rFonts w:ascii="Arial" w:hAnsi="Arial" w:cs="Arial"/>
          <w:b/>
          <w:sz w:val="40"/>
          <w:szCs w:val="40"/>
        </w:rPr>
        <w:t>5</w:t>
      </w:r>
    </w:p>
    <w:p w14:paraId="238D8D2E" w14:textId="77777777" w:rsidR="001A286A" w:rsidRPr="002C598D" w:rsidRDefault="001A286A" w:rsidP="0038353B">
      <w:pPr>
        <w:spacing w:line="240" w:lineRule="auto"/>
      </w:pPr>
    </w:p>
    <w:p w14:paraId="086DD131" w14:textId="77777777" w:rsidR="001A286A" w:rsidRPr="002C598D" w:rsidRDefault="001A286A" w:rsidP="0038353B">
      <w:pPr>
        <w:spacing w:line="240" w:lineRule="auto"/>
        <w:rPr>
          <w:rFonts w:ascii="Arial" w:hAnsi="Arial" w:cs="Arial"/>
          <w:i/>
          <w:sz w:val="28"/>
          <w:szCs w:val="28"/>
        </w:rPr>
      </w:pPr>
      <w:r w:rsidRPr="002C598D">
        <w:rPr>
          <w:rFonts w:ascii="Arial" w:hAnsi="Arial" w:cs="Arial"/>
          <w:i/>
          <w:sz w:val="28"/>
          <w:szCs w:val="28"/>
        </w:rPr>
        <w:t>National Health Act 1953</w:t>
      </w:r>
    </w:p>
    <w:p w14:paraId="30980CC1" w14:textId="78C3DBC7" w:rsidR="005E317F" w:rsidRPr="002C598D" w:rsidRDefault="005E317F" w:rsidP="0038353B">
      <w:pPr>
        <w:pStyle w:val="SignCoverPageStart"/>
        <w:spacing w:before="240" w:line="240" w:lineRule="auto"/>
        <w:ind w:right="91"/>
        <w:rPr>
          <w:szCs w:val="22"/>
        </w:rPr>
      </w:pPr>
    </w:p>
    <w:p w14:paraId="70D5E97C" w14:textId="0E09225C" w:rsidR="001A286A" w:rsidRPr="002C598D" w:rsidRDefault="001A286A" w:rsidP="0038353B">
      <w:pPr>
        <w:rPr>
          <w:b/>
          <w:bCs/>
          <w:szCs w:val="22"/>
        </w:rPr>
      </w:pPr>
      <w:r w:rsidRPr="002C598D">
        <w:rPr>
          <w:szCs w:val="22"/>
        </w:rPr>
        <w:t xml:space="preserve">I, </w:t>
      </w:r>
      <w:bookmarkStart w:id="0" w:name="_Hlk106345423"/>
      <w:r w:rsidR="00D228EC" w:rsidRPr="002C598D">
        <w:rPr>
          <w:szCs w:val="22"/>
        </w:rPr>
        <w:t>REBECCA RICHARDSON</w:t>
      </w:r>
      <w:r w:rsidR="007F4155" w:rsidRPr="002C598D">
        <w:rPr>
          <w:szCs w:val="22"/>
        </w:rPr>
        <w:t xml:space="preserve">, Assistant Secretary, </w:t>
      </w:r>
      <w:r w:rsidR="00AD67B8" w:rsidRPr="002C598D">
        <w:rPr>
          <w:szCs w:val="22"/>
        </w:rPr>
        <w:t>Pricing and PBS Policy Branch</w:t>
      </w:r>
      <w:bookmarkEnd w:id="0"/>
      <w:r w:rsidRPr="002C598D">
        <w:rPr>
          <w:szCs w:val="22"/>
        </w:rPr>
        <w:t xml:space="preserve">, Technology Assessment and Access Division, </w:t>
      </w:r>
      <w:r w:rsidR="00087B32" w:rsidRPr="002C598D">
        <w:rPr>
          <w:szCs w:val="22"/>
        </w:rPr>
        <w:t>Department of Health and Aged Care</w:t>
      </w:r>
      <w:r w:rsidRPr="002C598D">
        <w:rPr>
          <w:szCs w:val="22"/>
        </w:rPr>
        <w:t xml:space="preserve">, delegate of the Minister for Health and Aged Care, make this Instrument under subsection 100(2) of the </w:t>
      </w:r>
      <w:r w:rsidRPr="002C598D">
        <w:rPr>
          <w:i/>
          <w:szCs w:val="22"/>
        </w:rPr>
        <w:t>National Health Act 1953</w:t>
      </w:r>
      <w:r w:rsidRPr="002C598D">
        <w:rPr>
          <w:szCs w:val="22"/>
        </w:rPr>
        <w:t>.</w:t>
      </w:r>
    </w:p>
    <w:p w14:paraId="542E1E0E" w14:textId="6EF7D38E" w:rsidR="005E317F" w:rsidRPr="002C598D" w:rsidRDefault="001A286A" w:rsidP="0038353B">
      <w:pPr>
        <w:keepNext/>
        <w:spacing w:before="300" w:line="240" w:lineRule="auto"/>
        <w:ind w:right="397"/>
        <w:jc w:val="both"/>
        <w:rPr>
          <w:szCs w:val="22"/>
        </w:rPr>
      </w:pPr>
      <w:r w:rsidRPr="002C598D">
        <w:rPr>
          <w:szCs w:val="22"/>
        </w:rPr>
        <w:t>Date</w:t>
      </w:r>
      <w:r w:rsidR="00937A8B" w:rsidRPr="002C598D">
        <w:rPr>
          <w:szCs w:val="22"/>
        </w:rPr>
        <w:t>d</w:t>
      </w:r>
      <w:r w:rsidR="00D076E7" w:rsidRPr="002C598D">
        <w:rPr>
          <w:szCs w:val="22"/>
        </w:rPr>
        <w:tab/>
      </w:r>
      <w:r w:rsidR="00D076E7" w:rsidRPr="002C598D">
        <w:rPr>
          <w:szCs w:val="22"/>
        </w:rPr>
        <w:tab/>
      </w:r>
      <w:r w:rsidR="008512BB" w:rsidRPr="002C598D">
        <w:rPr>
          <w:szCs w:val="22"/>
        </w:rPr>
        <w:t xml:space="preserve">24 February </w:t>
      </w:r>
      <w:r w:rsidR="00D2147E" w:rsidRPr="002C598D">
        <w:t>202</w:t>
      </w:r>
      <w:r w:rsidR="00D228EC" w:rsidRPr="002C598D">
        <w:t>5</w:t>
      </w:r>
    </w:p>
    <w:p w14:paraId="1EF5D8A6" w14:textId="7D9D7C4B" w:rsidR="007F4155" w:rsidRPr="002C598D" w:rsidRDefault="00D228EC" w:rsidP="006F1A19">
      <w:pPr>
        <w:spacing w:before="3000" w:line="240" w:lineRule="auto"/>
        <w:rPr>
          <w:b/>
          <w:bCs/>
        </w:rPr>
      </w:pPr>
      <w:bookmarkStart w:id="1" w:name="_Hlk106345436"/>
      <w:r w:rsidRPr="002C598D">
        <w:rPr>
          <w:b/>
          <w:bCs/>
        </w:rPr>
        <w:t>REBECCA RICHARDSON</w:t>
      </w:r>
    </w:p>
    <w:p w14:paraId="6A226CF5" w14:textId="6A6FC79F" w:rsidR="00AD67B8" w:rsidRPr="002C598D" w:rsidRDefault="007F4155" w:rsidP="0038353B">
      <w:pPr>
        <w:spacing w:line="240" w:lineRule="auto"/>
      </w:pPr>
      <w:r w:rsidRPr="002C598D">
        <w:t>Assistant Secretary</w:t>
      </w:r>
    </w:p>
    <w:p w14:paraId="45BAE1D3" w14:textId="77777777" w:rsidR="00AD67B8" w:rsidRPr="002C598D" w:rsidRDefault="00AD67B8" w:rsidP="0038353B">
      <w:pPr>
        <w:spacing w:line="240" w:lineRule="auto"/>
      </w:pPr>
      <w:r w:rsidRPr="002C598D">
        <w:t>Pricing and PBS Policy Branch</w:t>
      </w:r>
      <w:bookmarkEnd w:id="1"/>
    </w:p>
    <w:p w14:paraId="3981EBD6" w14:textId="46A4B70A" w:rsidR="001A286A" w:rsidRPr="002C598D" w:rsidRDefault="00C1795C" w:rsidP="0038353B">
      <w:pPr>
        <w:spacing w:line="240" w:lineRule="auto"/>
      </w:pPr>
      <w:r w:rsidRPr="002C598D">
        <w:t>Technology Assessment and Access Division</w:t>
      </w:r>
    </w:p>
    <w:p w14:paraId="2FDCD724" w14:textId="54232FE7" w:rsidR="005E317F" w:rsidRPr="002C598D" w:rsidRDefault="005E317F" w:rsidP="0038353B">
      <w:pPr>
        <w:pStyle w:val="SignCoverPageEnd"/>
        <w:spacing w:line="240" w:lineRule="auto"/>
        <w:ind w:right="91"/>
        <w:rPr>
          <w:sz w:val="22"/>
        </w:rPr>
      </w:pPr>
    </w:p>
    <w:p w14:paraId="46363AD2" w14:textId="77777777" w:rsidR="00B20990" w:rsidRPr="002C598D" w:rsidRDefault="00B20990" w:rsidP="0038353B">
      <w:pPr>
        <w:spacing w:line="240" w:lineRule="auto"/>
      </w:pPr>
    </w:p>
    <w:p w14:paraId="297B73B7" w14:textId="77777777" w:rsidR="00B20990" w:rsidRPr="002C598D" w:rsidRDefault="00B20990" w:rsidP="0038353B">
      <w:pPr>
        <w:spacing w:line="240" w:lineRule="auto"/>
        <w:sectPr w:rsidR="00B20990" w:rsidRPr="002C598D" w:rsidSect="007D132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134" w:bottom="1134" w:left="1134" w:header="720" w:footer="709" w:gutter="0"/>
          <w:cols w:space="708"/>
          <w:docGrid w:linePitch="360"/>
        </w:sectPr>
      </w:pPr>
    </w:p>
    <w:p w14:paraId="0012FCC4" w14:textId="77777777" w:rsidR="00B20990" w:rsidRPr="002C598D" w:rsidRDefault="00B20990" w:rsidP="0038353B">
      <w:pPr>
        <w:spacing w:line="240" w:lineRule="auto"/>
        <w:outlineLvl w:val="0"/>
        <w:rPr>
          <w:sz w:val="36"/>
        </w:rPr>
      </w:pPr>
      <w:r w:rsidRPr="002C598D">
        <w:rPr>
          <w:sz w:val="36"/>
        </w:rPr>
        <w:lastRenderedPageBreak/>
        <w:t>Contents</w:t>
      </w:r>
    </w:p>
    <w:bookmarkStart w:id="2" w:name="BKCheck15B_2"/>
    <w:bookmarkEnd w:id="2"/>
    <w:p w14:paraId="7377910A" w14:textId="76264496" w:rsidR="005E317F" w:rsidRPr="002C598D" w:rsidRDefault="00B20990" w:rsidP="0038353B">
      <w:pPr>
        <w:pStyle w:val="TOC5"/>
        <w:rPr>
          <w:rFonts w:asciiTheme="minorHAnsi" w:eastAsiaTheme="minorEastAsia" w:hAnsiTheme="minorHAnsi" w:cstheme="minorBidi"/>
          <w:noProof/>
          <w:kern w:val="0"/>
          <w:sz w:val="22"/>
          <w:szCs w:val="22"/>
        </w:rPr>
      </w:pPr>
      <w:r w:rsidRPr="002C598D">
        <w:fldChar w:fldCharType="begin"/>
      </w:r>
      <w:r w:rsidRPr="002C598D">
        <w:instrText xml:space="preserve"> TOC \o "1-9" </w:instrText>
      </w:r>
      <w:r w:rsidRPr="002C598D">
        <w:fldChar w:fldCharType="separate"/>
      </w:r>
      <w:r w:rsidR="005E317F" w:rsidRPr="002C598D">
        <w:rPr>
          <w:noProof/>
        </w:rPr>
        <w:t>1</w:t>
      </w:r>
      <w:r w:rsidR="005E317F" w:rsidRPr="002C598D">
        <w:rPr>
          <w:noProof/>
        </w:rPr>
        <w:tab/>
        <w:t>Name</w:t>
      </w:r>
      <w:r w:rsidR="005E317F" w:rsidRPr="002C598D">
        <w:rPr>
          <w:noProof/>
          <w:sz w:val="20"/>
        </w:rPr>
        <w:tab/>
      </w:r>
      <w:r w:rsidR="005E317F" w:rsidRPr="002C598D">
        <w:rPr>
          <w:noProof/>
          <w:sz w:val="20"/>
        </w:rPr>
        <w:fldChar w:fldCharType="begin"/>
      </w:r>
      <w:r w:rsidR="005E317F" w:rsidRPr="002C598D">
        <w:rPr>
          <w:noProof/>
          <w:sz w:val="20"/>
        </w:rPr>
        <w:instrText xml:space="preserve"> PAGEREF _Toc478567687 \h </w:instrText>
      </w:r>
      <w:r w:rsidR="005E317F" w:rsidRPr="002C598D">
        <w:rPr>
          <w:noProof/>
          <w:sz w:val="20"/>
        </w:rPr>
      </w:r>
      <w:r w:rsidR="005E317F" w:rsidRPr="002C598D">
        <w:rPr>
          <w:noProof/>
          <w:sz w:val="20"/>
        </w:rPr>
        <w:fldChar w:fldCharType="separate"/>
      </w:r>
      <w:r w:rsidR="00C07DD6" w:rsidRPr="002C598D">
        <w:rPr>
          <w:noProof/>
          <w:sz w:val="20"/>
        </w:rPr>
        <w:t>1</w:t>
      </w:r>
      <w:r w:rsidR="005E317F" w:rsidRPr="002C598D">
        <w:rPr>
          <w:noProof/>
          <w:sz w:val="20"/>
        </w:rPr>
        <w:fldChar w:fldCharType="end"/>
      </w:r>
    </w:p>
    <w:p w14:paraId="4D04226C" w14:textId="7ADF1A69" w:rsidR="005E317F" w:rsidRPr="002C598D" w:rsidRDefault="005E317F" w:rsidP="0038353B">
      <w:pPr>
        <w:pStyle w:val="TOC5"/>
        <w:rPr>
          <w:rFonts w:asciiTheme="minorHAnsi" w:eastAsiaTheme="minorEastAsia" w:hAnsiTheme="minorHAnsi" w:cstheme="minorBidi"/>
          <w:noProof/>
          <w:kern w:val="0"/>
          <w:sz w:val="22"/>
          <w:szCs w:val="22"/>
        </w:rPr>
      </w:pPr>
      <w:r w:rsidRPr="002C598D">
        <w:rPr>
          <w:noProof/>
        </w:rPr>
        <w:t>2</w:t>
      </w:r>
      <w:r w:rsidRPr="002C598D">
        <w:rPr>
          <w:noProof/>
        </w:rPr>
        <w:tab/>
        <w:t>Commencement</w:t>
      </w:r>
      <w:r w:rsidRPr="002C598D">
        <w:rPr>
          <w:noProof/>
          <w:sz w:val="20"/>
        </w:rPr>
        <w:tab/>
      </w:r>
      <w:r w:rsidRPr="002C598D">
        <w:rPr>
          <w:noProof/>
          <w:sz w:val="20"/>
        </w:rPr>
        <w:fldChar w:fldCharType="begin"/>
      </w:r>
      <w:r w:rsidRPr="002C598D">
        <w:rPr>
          <w:noProof/>
          <w:sz w:val="20"/>
        </w:rPr>
        <w:instrText xml:space="preserve"> PAGEREF _Toc478567688 \h </w:instrText>
      </w:r>
      <w:r w:rsidRPr="002C598D">
        <w:rPr>
          <w:noProof/>
          <w:sz w:val="20"/>
        </w:rPr>
      </w:r>
      <w:r w:rsidRPr="002C598D">
        <w:rPr>
          <w:noProof/>
          <w:sz w:val="20"/>
        </w:rPr>
        <w:fldChar w:fldCharType="separate"/>
      </w:r>
      <w:r w:rsidR="00C07DD6" w:rsidRPr="002C598D">
        <w:rPr>
          <w:noProof/>
          <w:sz w:val="20"/>
        </w:rPr>
        <w:t>1</w:t>
      </w:r>
      <w:r w:rsidRPr="002C598D">
        <w:rPr>
          <w:noProof/>
          <w:sz w:val="20"/>
        </w:rPr>
        <w:fldChar w:fldCharType="end"/>
      </w:r>
    </w:p>
    <w:p w14:paraId="32A95F2E" w14:textId="4E067BB2" w:rsidR="005E317F" w:rsidRPr="002C598D" w:rsidRDefault="005E317F" w:rsidP="0038353B">
      <w:pPr>
        <w:pStyle w:val="TOC5"/>
        <w:rPr>
          <w:rFonts w:asciiTheme="minorHAnsi" w:eastAsiaTheme="minorEastAsia" w:hAnsiTheme="minorHAnsi" w:cstheme="minorBidi"/>
          <w:noProof/>
          <w:kern w:val="0"/>
          <w:sz w:val="22"/>
          <w:szCs w:val="22"/>
        </w:rPr>
      </w:pPr>
      <w:r w:rsidRPr="002C598D">
        <w:rPr>
          <w:noProof/>
        </w:rPr>
        <w:t>3</w:t>
      </w:r>
      <w:r w:rsidRPr="002C598D">
        <w:rPr>
          <w:noProof/>
        </w:rPr>
        <w:tab/>
        <w:t>Authority</w:t>
      </w:r>
      <w:r w:rsidRPr="002C598D">
        <w:rPr>
          <w:noProof/>
          <w:sz w:val="20"/>
        </w:rPr>
        <w:tab/>
      </w:r>
      <w:r w:rsidRPr="002C598D">
        <w:rPr>
          <w:noProof/>
          <w:sz w:val="20"/>
        </w:rPr>
        <w:fldChar w:fldCharType="begin"/>
      </w:r>
      <w:r w:rsidRPr="002C598D">
        <w:rPr>
          <w:noProof/>
          <w:sz w:val="20"/>
        </w:rPr>
        <w:instrText xml:space="preserve"> PAGEREF _Toc478567689 \h </w:instrText>
      </w:r>
      <w:r w:rsidRPr="002C598D">
        <w:rPr>
          <w:noProof/>
          <w:sz w:val="20"/>
        </w:rPr>
      </w:r>
      <w:r w:rsidRPr="002C598D">
        <w:rPr>
          <w:noProof/>
          <w:sz w:val="20"/>
        </w:rPr>
        <w:fldChar w:fldCharType="separate"/>
      </w:r>
      <w:r w:rsidR="00C07DD6" w:rsidRPr="002C598D">
        <w:rPr>
          <w:noProof/>
          <w:sz w:val="20"/>
        </w:rPr>
        <w:t>1</w:t>
      </w:r>
      <w:r w:rsidRPr="002C598D">
        <w:rPr>
          <w:noProof/>
          <w:sz w:val="20"/>
        </w:rPr>
        <w:fldChar w:fldCharType="end"/>
      </w:r>
    </w:p>
    <w:p w14:paraId="26B5284D" w14:textId="290E72F9" w:rsidR="005E317F" w:rsidRPr="002C598D" w:rsidRDefault="005E317F" w:rsidP="0038353B">
      <w:pPr>
        <w:pStyle w:val="TOC5"/>
        <w:rPr>
          <w:rFonts w:asciiTheme="minorHAnsi" w:eastAsiaTheme="minorEastAsia" w:hAnsiTheme="minorHAnsi" w:cstheme="minorBidi"/>
          <w:noProof/>
          <w:kern w:val="0"/>
          <w:sz w:val="22"/>
          <w:szCs w:val="22"/>
        </w:rPr>
      </w:pPr>
      <w:r w:rsidRPr="002C598D">
        <w:rPr>
          <w:noProof/>
        </w:rPr>
        <w:t>4</w:t>
      </w:r>
      <w:r w:rsidRPr="002C598D">
        <w:rPr>
          <w:noProof/>
        </w:rPr>
        <w:tab/>
        <w:t>Schedules</w:t>
      </w:r>
      <w:r w:rsidRPr="002C598D">
        <w:rPr>
          <w:noProof/>
          <w:sz w:val="20"/>
        </w:rPr>
        <w:tab/>
      </w:r>
      <w:r w:rsidRPr="002C598D">
        <w:rPr>
          <w:noProof/>
          <w:sz w:val="20"/>
        </w:rPr>
        <w:fldChar w:fldCharType="begin"/>
      </w:r>
      <w:r w:rsidRPr="002C598D">
        <w:rPr>
          <w:noProof/>
          <w:sz w:val="20"/>
        </w:rPr>
        <w:instrText xml:space="preserve"> PAGEREF _Toc478567690 \h </w:instrText>
      </w:r>
      <w:r w:rsidRPr="002C598D">
        <w:rPr>
          <w:noProof/>
          <w:sz w:val="20"/>
        </w:rPr>
      </w:r>
      <w:r w:rsidRPr="002C598D">
        <w:rPr>
          <w:noProof/>
          <w:sz w:val="20"/>
        </w:rPr>
        <w:fldChar w:fldCharType="separate"/>
      </w:r>
      <w:r w:rsidR="00C07DD6" w:rsidRPr="002C598D">
        <w:rPr>
          <w:noProof/>
          <w:sz w:val="20"/>
        </w:rPr>
        <w:t>1</w:t>
      </w:r>
      <w:r w:rsidRPr="002C598D">
        <w:rPr>
          <w:noProof/>
          <w:sz w:val="20"/>
        </w:rPr>
        <w:fldChar w:fldCharType="end"/>
      </w:r>
    </w:p>
    <w:p w14:paraId="0ED7DB7B" w14:textId="6287DF5C" w:rsidR="005E317F" w:rsidRPr="002C598D" w:rsidRDefault="005E317F" w:rsidP="0038353B">
      <w:pPr>
        <w:pStyle w:val="TOC6"/>
        <w:rPr>
          <w:rFonts w:asciiTheme="minorHAnsi" w:eastAsiaTheme="minorEastAsia" w:hAnsiTheme="minorHAnsi" w:cstheme="minorBidi"/>
          <w:b w:val="0"/>
          <w:noProof/>
          <w:kern w:val="0"/>
          <w:sz w:val="22"/>
          <w:szCs w:val="22"/>
        </w:rPr>
      </w:pPr>
      <w:r w:rsidRPr="002C598D">
        <w:rPr>
          <w:noProof/>
        </w:rPr>
        <w:t>Schedule 1—Amendments</w:t>
      </w:r>
      <w:r w:rsidRPr="002C598D">
        <w:rPr>
          <w:b w:val="0"/>
          <w:noProof/>
          <w:sz w:val="20"/>
        </w:rPr>
        <w:tab/>
      </w:r>
      <w:r w:rsidRPr="002C598D">
        <w:rPr>
          <w:b w:val="0"/>
          <w:noProof/>
          <w:sz w:val="20"/>
        </w:rPr>
        <w:fldChar w:fldCharType="begin"/>
      </w:r>
      <w:r w:rsidRPr="002C598D">
        <w:rPr>
          <w:b w:val="0"/>
          <w:noProof/>
          <w:sz w:val="20"/>
        </w:rPr>
        <w:instrText xml:space="preserve"> PAGEREF _Toc478567691 \h </w:instrText>
      </w:r>
      <w:r w:rsidRPr="002C598D">
        <w:rPr>
          <w:b w:val="0"/>
          <w:noProof/>
          <w:sz w:val="20"/>
        </w:rPr>
      </w:r>
      <w:r w:rsidRPr="002C598D">
        <w:rPr>
          <w:b w:val="0"/>
          <w:noProof/>
          <w:sz w:val="20"/>
        </w:rPr>
        <w:fldChar w:fldCharType="separate"/>
      </w:r>
      <w:r w:rsidR="00C07DD6" w:rsidRPr="002C598D">
        <w:rPr>
          <w:b w:val="0"/>
          <w:noProof/>
          <w:sz w:val="20"/>
        </w:rPr>
        <w:t>2</w:t>
      </w:r>
      <w:r w:rsidRPr="002C598D">
        <w:rPr>
          <w:b w:val="0"/>
          <w:noProof/>
          <w:sz w:val="20"/>
        </w:rPr>
        <w:fldChar w:fldCharType="end"/>
      </w:r>
    </w:p>
    <w:p w14:paraId="0A0BB86E" w14:textId="570AA1E8" w:rsidR="005E317F" w:rsidRPr="002C598D" w:rsidRDefault="001A286A" w:rsidP="0038353B">
      <w:pPr>
        <w:pStyle w:val="TOC9"/>
        <w:rPr>
          <w:rFonts w:asciiTheme="minorHAnsi" w:eastAsiaTheme="minorEastAsia" w:hAnsiTheme="minorHAnsi" w:cstheme="minorBidi"/>
          <w:i w:val="0"/>
          <w:noProof/>
          <w:kern w:val="0"/>
          <w:sz w:val="22"/>
          <w:szCs w:val="22"/>
        </w:rPr>
      </w:pPr>
      <w:r w:rsidRPr="002C598D">
        <w:t xml:space="preserve">National Health (Efficient Funding of Chemotherapy) Special Arrangement </w:t>
      </w:r>
      <w:r w:rsidR="00053793" w:rsidRPr="002C598D">
        <w:t>2024</w:t>
      </w:r>
      <w:r w:rsidRPr="002C598D">
        <w:br/>
        <w:t xml:space="preserve">(PB </w:t>
      </w:r>
      <w:r w:rsidR="00053793" w:rsidRPr="002C598D">
        <w:t>31</w:t>
      </w:r>
      <w:r w:rsidRPr="002C598D">
        <w:t xml:space="preserve"> of </w:t>
      </w:r>
      <w:r w:rsidR="00053793" w:rsidRPr="002C598D">
        <w:t>2024</w:t>
      </w:r>
      <w:r w:rsidRPr="002C598D">
        <w:t>)</w:t>
      </w:r>
      <w:r w:rsidR="005E317F" w:rsidRPr="002C598D">
        <w:rPr>
          <w:i w:val="0"/>
          <w:noProof/>
        </w:rPr>
        <w:tab/>
      </w:r>
      <w:r w:rsidR="00C904FE" w:rsidRPr="002C598D">
        <w:rPr>
          <w:i w:val="0"/>
          <w:noProof/>
        </w:rPr>
        <w:t>2</w:t>
      </w:r>
    </w:p>
    <w:p w14:paraId="5B851D38" w14:textId="6FD219C0" w:rsidR="005E317F" w:rsidRPr="002C598D" w:rsidRDefault="005E317F" w:rsidP="0038353B">
      <w:pPr>
        <w:pStyle w:val="TOC9"/>
        <w:ind w:left="0"/>
        <w:rPr>
          <w:rFonts w:asciiTheme="minorHAnsi" w:eastAsiaTheme="minorEastAsia" w:hAnsiTheme="minorHAnsi" w:cstheme="minorBidi"/>
          <w:i w:val="0"/>
          <w:noProof/>
          <w:kern w:val="0"/>
          <w:sz w:val="22"/>
          <w:szCs w:val="22"/>
        </w:rPr>
      </w:pPr>
    </w:p>
    <w:p w14:paraId="1CBECAB5" w14:textId="77777777" w:rsidR="00B20990" w:rsidRPr="002C598D" w:rsidRDefault="00B20990" w:rsidP="0038353B">
      <w:pPr>
        <w:spacing w:line="240" w:lineRule="auto"/>
      </w:pPr>
      <w:r w:rsidRPr="002C598D">
        <w:rPr>
          <w:rFonts w:cs="Times New Roman"/>
          <w:sz w:val="20"/>
        </w:rPr>
        <w:fldChar w:fldCharType="end"/>
      </w:r>
    </w:p>
    <w:p w14:paraId="5E7341AB" w14:textId="77777777" w:rsidR="00B20990" w:rsidRPr="002C598D" w:rsidRDefault="00B20990" w:rsidP="0038353B">
      <w:pPr>
        <w:spacing w:line="240" w:lineRule="auto"/>
      </w:pPr>
    </w:p>
    <w:p w14:paraId="2C1CCB12" w14:textId="77777777" w:rsidR="00E32692" w:rsidRPr="002C598D" w:rsidRDefault="00E32692" w:rsidP="0038353B">
      <w:pPr>
        <w:spacing w:line="240" w:lineRule="auto"/>
        <w:sectPr w:rsidR="00E32692" w:rsidRPr="002C598D" w:rsidSect="00630F1C">
          <w:headerReference w:type="even" r:id="rId15"/>
          <w:headerReference w:type="default" r:id="rId16"/>
          <w:footerReference w:type="default" r:id="rId17"/>
          <w:headerReference w:type="first" r:id="rId18"/>
          <w:footerReference w:type="first" r:id="rId19"/>
          <w:pgSz w:w="11907" w:h="16839"/>
          <w:pgMar w:top="1673" w:right="1797" w:bottom="1440" w:left="1797" w:header="720" w:footer="709" w:gutter="0"/>
          <w:pgNumType w:start="1"/>
          <w:cols w:space="708"/>
          <w:docGrid w:linePitch="360"/>
        </w:sectPr>
      </w:pPr>
    </w:p>
    <w:p w14:paraId="6C43910C" w14:textId="0DB9D02D" w:rsidR="005E317F" w:rsidRPr="002C598D" w:rsidRDefault="005E317F" w:rsidP="007D1325">
      <w:pPr>
        <w:pStyle w:val="ActHead5"/>
        <w:numPr>
          <w:ilvl w:val="0"/>
          <w:numId w:val="6"/>
        </w:numPr>
        <w:ind w:left="567" w:hanging="567"/>
      </w:pPr>
      <w:bookmarkStart w:id="3" w:name="_Toc478567687"/>
      <w:r w:rsidRPr="002C598D">
        <w:lastRenderedPageBreak/>
        <w:t>Name</w:t>
      </w:r>
      <w:bookmarkEnd w:id="3"/>
    </w:p>
    <w:p w14:paraId="77205F69" w14:textId="207EAC74" w:rsidR="005E317F" w:rsidRPr="002C598D" w:rsidRDefault="005E317F" w:rsidP="0038353B">
      <w:pPr>
        <w:pStyle w:val="subsection"/>
        <w:numPr>
          <w:ilvl w:val="0"/>
          <w:numId w:val="4"/>
        </w:numPr>
        <w:tabs>
          <w:tab w:val="clear" w:pos="1021"/>
        </w:tabs>
        <w:ind w:left="1134" w:hanging="567"/>
      </w:pPr>
      <w:r w:rsidRPr="002C598D">
        <w:t xml:space="preserve">This instrument is the </w:t>
      </w:r>
      <w:bookmarkStart w:id="4" w:name="BKCheck15B_3"/>
      <w:bookmarkStart w:id="5" w:name="_Hlk80090919"/>
      <w:bookmarkEnd w:id="4"/>
      <w:r w:rsidR="001A286A" w:rsidRPr="002C598D">
        <w:rPr>
          <w:i/>
        </w:rPr>
        <w:t xml:space="preserve">National Health (Efficient Funding of Chemotherapy) Special Arrangement Amendment </w:t>
      </w:r>
      <w:r w:rsidR="008B09C7" w:rsidRPr="002C598D">
        <w:rPr>
          <w:i/>
        </w:rPr>
        <w:t>(</w:t>
      </w:r>
      <w:r w:rsidR="003D3E55" w:rsidRPr="002C598D">
        <w:rPr>
          <w:i/>
        </w:rPr>
        <w:t>March</w:t>
      </w:r>
      <w:r w:rsidR="008B09C7" w:rsidRPr="002C598D">
        <w:rPr>
          <w:i/>
        </w:rPr>
        <w:t xml:space="preserve"> Update) </w:t>
      </w:r>
      <w:r w:rsidR="001A286A" w:rsidRPr="002C598D">
        <w:rPr>
          <w:i/>
        </w:rPr>
        <w:t>Instrument 202</w:t>
      </w:r>
      <w:bookmarkEnd w:id="5"/>
      <w:r w:rsidR="00D228EC" w:rsidRPr="002C598D">
        <w:rPr>
          <w:i/>
        </w:rPr>
        <w:t>5</w:t>
      </w:r>
      <w:r w:rsidR="00D4308D" w:rsidRPr="002C598D">
        <w:rPr>
          <w:i/>
        </w:rPr>
        <w:t>.</w:t>
      </w:r>
    </w:p>
    <w:p w14:paraId="0FF7C4A3" w14:textId="4FB27F4B" w:rsidR="001A286A" w:rsidRPr="002C598D" w:rsidRDefault="001A286A" w:rsidP="0038353B">
      <w:pPr>
        <w:pStyle w:val="subsection"/>
        <w:numPr>
          <w:ilvl w:val="0"/>
          <w:numId w:val="4"/>
        </w:numPr>
        <w:tabs>
          <w:tab w:val="clear" w:pos="1021"/>
        </w:tabs>
        <w:ind w:left="1134" w:hanging="567"/>
      </w:pPr>
      <w:r w:rsidRPr="002C598D">
        <w:t xml:space="preserve">This instrument may also be cited as </w:t>
      </w:r>
      <w:r w:rsidR="0037668B" w:rsidRPr="002C598D">
        <w:t>PB 18</w:t>
      </w:r>
      <w:r w:rsidR="002B139F" w:rsidRPr="002C598D">
        <w:t xml:space="preserve"> </w:t>
      </w:r>
      <w:r w:rsidRPr="002C598D">
        <w:t>of 202</w:t>
      </w:r>
      <w:r w:rsidR="00D228EC" w:rsidRPr="002C598D">
        <w:t>5</w:t>
      </w:r>
      <w:r w:rsidR="004E1E67" w:rsidRPr="002C598D">
        <w:t>.</w:t>
      </w:r>
    </w:p>
    <w:p w14:paraId="2FF92845" w14:textId="5AD34580" w:rsidR="005E317F" w:rsidRPr="002C598D" w:rsidRDefault="005E317F" w:rsidP="007D1325">
      <w:pPr>
        <w:pStyle w:val="ActHead5"/>
        <w:numPr>
          <w:ilvl w:val="0"/>
          <w:numId w:val="6"/>
        </w:numPr>
        <w:ind w:left="567" w:hanging="567"/>
      </w:pPr>
      <w:bookmarkStart w:id="6" w:name="_Toc478567688"/>
      <w:r w:rsidRPr="002C598D">
        <w:t>Commencement</w:t>
      </w:r>
      <w:bookmarkEnd w:id="6"/>
    </w:p>
    <w:p w14:paraId="048AB2EA" w14:textId="0E3E42E1" w:rsidR="00002BCC" w:rsidRPr="002C598D" w:rsidRDefault="00002BCC" w:rsidP="0038353B">
      <w:pPr>
        <w:pStyle w:val="subsection"/>
        <w:numPr>
          <w:ilvl w:val="0"/>
          <w:numId w:val="7"/>
        </w:numPr>
        <w:tabs>
          <w:tab w:val="clear" w:pos="1021"/>
          <w:tab w:val="right" w:pos="1134"/>
        </w:tabs>
      </w:pPr>
      <w:bookmarkStart w:id="7" w:name="_Toc478567689"/>
      <w:r w:rsidRPr="002C598D">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2C598D" w:rsidRDefault="00002BCC" w:rsidP="0038353B">
      <w:pPr>
        <w:pStyle w:val="Tabletext"/>
        <w:spacing w:line="240" w:lineRule="auto"/>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154"/>
        <w:gridCol w:w="3118"/>
        <w:gridCol w:w="2092"/>
      </w:tblGrid>
      <w:tr w:rsidR="00002BCC" w:rsidRPr="002C598D" w14:paraId="0CB707EA" w14:textId="77777777" w:rsidTr="00345CEF">
        <w:trPr>
          <w:tblHeader/>
        </w:trPr>
        <w:tc>
          <w:tcPr>
            <w:tcW w:w="8364" w:type="dxa"/>
            <w:gridSpan w:val="3"/>
            <w:tcBorders>
              <w:top w:val="single" w:sz="12" w:space="0" w:color="auto"/>
              <w:bottom w:val="single" w:sz="6" w:space="0" w:color="auto"/>
            </w:tcBorders>
            <w:shd w:val="clear" w:color="auto" w:fill="auto"/>
            <w:hideMark/>
          </w:tcPr>
          <w:p w14:paraId="5859EBC7" w14:textId="77777777" w:rsidR="00002BCC" w:rsidRPr="002C598D" w:rsidRDefault="00002BCC" w:rsidP="007D1325">
            <w:pPr>
              <w:pStyle w:val="TableHeading"/>
              <w:spacing w:line="240" w:lineRule="auto"/>
            </w:pPr>
            <w:r w:rsidRPr="002C598D">
              <w:t>Commencement information</w:t>
            </w:r>
          </w:p>
        </w:tc>
      </w:tr>
      <w:tr w:rsidR="00002BCC" w:rsidRPr="002C598D" w14:paraId="2F7AE697" w14:textId="77777777" w:rsidTr="00E4560E">
        <w:trPr>
          <w:tblHeader/>
        </w:trPr>
        <w:tc>
          <w:tcPr>
            <w:tcW w:w="3154" w:type="dxa"/>
            <w:tcBorders>
              <w:top w:val="single" w:sz="6" w:space="0" w:color="auto"/>
              <w:bottom w:val="single" w:sz="6" w:space="0" w:color="auto"/>
            </w:tcBorders>
            <w:shd w:val="clear" w:color="auto" w:fill="auto"/>
            <w:hideMark/>
          </w:tcPr>
          <w:p w14:paraId="64B74E95" w14:textId="77777777" w:rsidR="00002BCC" w:rsidRPr="002C598D" w:rsidRDefault="00002BCC" w:rsidP="007D1325">
            <w:pPr>
              <w:pStyle w:val="TableHeading"/>
              <w:spacing w:line="240" w:lineRule="auto"/>
            </w:pPr>
            <w:r w:rsidRPr="002C598D">
              <w:t>Column 1</w:t>
            </w:r>
          </w:p>
        </w:tc>
        <w:tc>
          <w:tcPr>
            <w:tcW w:w="3118" w:type="dxa"/>
            <w:tcBorders>
              <w:top w:val="single" w:sz="6" w:space="0" w:color="auto"/>
              <w:bottom w:val="single" w:sz="6" w:space="0" w:color="auto"/>
            </w:tcBorders>
            <w:shd w:val="clear" w:color="auto" w:fill="auto"/>
            <w:hideMark/>
          </w:tcPr>
          <w:p w14:paraId="674E9B45" w14:textId="77777777" w:rsidR="00002BCC" w:rsidRPr="002C598D" w:rsidRDefault="00002BCC" w:rsidP="007D1325">
            <w:pPr>
              <w:pStyle w:val="TableHeading"/>
              <w:spacing w:line="240" w:lineRule="auto"/>
            </w:pPr>
            <w:r w:rsidRPr="002C598D">
              <w:t>Column 2</w:t>
            </w:r>
          </w:p>
        </w:tc>
        <w:tc>
          <w:tcPr>
            <w:tcW w:w="2092" w:type="dxa"/>
            <w:tcBorders>
              <w:top w:val="single" w:sz="6" w:space="0" w:color="auto"/>
              <w:bottom w:val="single" w:sz="6" w:space="0" w:color="auto"/>
            </w:tcBorders>
            <w:shd w:val="clear" w:color="auto" w:fill="auto"/>
            <w:hideMark/>
          </w:tcPr>
          <w:p w14:paraId="4DA78A8B" w14:textId="77777777" w:rsidR="00002BCC" w:rsidRPr="002C598D" w:rsidRDefault="00002BCC" w:rsidP="007D1325">
            <w:pPr>
              <w:pStyle w:val="TableHeading"/>
              <w:spacing w:line="240" w:lineRule="auto"/>
            </w:pPr>
            <w:r w:rsidRPr="002C598D">
              <w:t>Column 3</w:t>
            </w:r>
          </w:p>
        </w:tc>
      </w:tr>
      <w:tr w:rsidR="00002BCC" w:rsidRPr="002C598D" w14:paraId="43C4DB80" w14:textId="77777777" w:rsidTr="00E4560E">
        <w:trPr>
          <w:tblHeader/>
        </w:trPr>
        <w:tc>
          <w:tcPr>
            <w:tcW w:w="3154" w:type="dxa"/>
            <w:tcBorders>
              <w:top w:val="single" w:sz="6" w:space="0" w:color="auto"/>
              <w:bottom w:val="single" w:sz="12" w:space="0" w:color="auto"/>
            </w:tcBorders>
            <w:shd w:val="clear" w:color="auto" w:fill="auto"/>
            <w:hideMark/>
          </w:tcPr>
          <w:p w14:paraId="18ECFE82" w14:textId="77777777" w:rsidR="00002BCC" w:rsidRPr="002C598D" w:rsidRDefault="00002BCC" w:rsidP="007D1325">
            <w:pPr>
              <w:pStyle w:val="TableHeading"/>
              <w:spacing w:line="240" w:lineRule="auto"/>
            </w:pPr>
            <w:r w:rsidRPr="002C598D">
              <w:t>Provisions</w:t>
            </w:r>
          </w:p>
        </w:tc>
        <w:tc>
          <w:tcPr>
            <w:tcW w:w="3118" w:type="dxa"/>
            <w:tcBorders>
              <w:top w:val="single" w:sz="6" w:space="0" w:color="auto"/>
              <w:bottom w:val="single" w:sz="12" w:space="0" w:color="auto"/>
            </w:tcBorders>
            <w:shd w:val="clear" w:color="auto" w:fill="auto"/>
            <w:hideMark/>
          </w:tcPr>
          <w:p w14:paraId="56EC77EC" w14:textId="77777777" w:rsidR="00002BCC" w:rsidRPr="002C598D" w:rsidRDefault="00002BCC" w:rsidP="007D1325">
            <w:pPr>
              <w:pStyle w:val="TableHeading"/>
              <w:spacing w:line="240" w:lineRule="auto"/>
            </w:pPr>
            <w:r w:rsidRPr="002C598D">
              <w:t>Commencement</w:t>
            </w:r>
          </w:p>
        </w:tc>
        <w:tc>
          <w:tcPr>
            <w:tcW w:w="2092" w:type="dxa"/>
            <w:tcBorders>
              <w:top w:val="single" w:sz="6" w:space="0" w:color="auto"/>
              <w:bottom w:val="single" w:sz="12" w:space="0" w:color="auto"/>
            </w:tcBorders>
            <w:shd w:val="clear" w:color="auto" w:fill="auto"/>
            <w:hideMark/>
          </w:tcPr>
          <w:p w14:paraId="48C18980" w14:textId="77777777" w:rsidR="00002BCC" w:rsidRPr="002C598D" w:rsidRDefault="00002BCC" w:rsidP="007D1325">
            <w:pPr>
              <w:pStyle w:val="TableHeading"/>
              <w:spacing w:line="240" w:lineRule="auto"/>
            </w:pPr>
            <w:r w:rsidRPr="002C598D">
              <w:t>Date/Details</w:t>
            </w:r>
          </w:p>
        </w:tc>
      </w:tr>
      <w:tr w:rsidR="00002BCC" w:rsidRPr="002C598D" w14:paraId="05C2B436" w14:textId="77777777" w:rsidTr="00E4560E">
        <w:tc>
          <w:tcPr>
            <w:tcW w:w="3154" w:type="dxa"/>
            <w:tcBorders>
              <w:top w:val="single" w:sz="12" w:space="0" w:color="auto"/>
              <w:bottom w:val="single" w:sz="12" w:space="0" w:color="auto"/>
            </w:tcBorders>
            <w:shd w:val="clear" w:color="auto" w:fill="auto"/>
            <w:hideMark/>
          </w:tcPr>
          <w:p w14:paraId="72259BD5" w14:textId="1F156F94" w:rsidR="00002BCC" w:rsidRPr="002C598D" w:rsidRDefault="00002BCC" w:rsidP="007D1325">
            <w:pPr>
              <w:pStyle w:val="Tabletext"/>
              <w:spacing w:line="240" w:lineRule="auto"/>
              <w:rPr>
                <w:i/>
              </w:rPr>
            </w:pPr>
            <w:r w:rsidRPr="002C598D">
              <w:t xml:space="preserve">1.  </w:t>
            </w:r>
            <w:r w:rsidR="001A286A" w:rsidRPr="002C598D">
              <w:rPr>
                <w:i/>
              </w:rPr>
              <w:t>The whole of this instrument</w:t>
            </w:r>
          </w:p>
        </w:tc>
        <w:tc>
          <w:tcPr>
            <w:tcW w:w="3118" w:type="dxa"/>
            <w:tcBorders>
              <w:top w:val="single" w:sz="12" w:space="0" w:color="auto"/>
              <w:bottom w:val="single" w:sz="12" w:space="0" w:color="auto"/>
            </w:tcBorders>
            <w:shd w:val="clear" w:color="auto" w:fill="auto"/>
            <w:hideMark/>
          </w:tcPr>
          <w:p w14:paraId="27D82E85" w14:textId="4E8CA059" w:rsidR="00002BCC" w:rsidRPr="002C598D" w:rsidRDefault="00981D9C" w:rsidP="007D1325">
            <w:pPr>
              <w:pStyle w:val="Tabletext"/>
              <w:spacing w:line="240" w:lineRule="auto"/>
              <w:rPr>
                <w:i/>
              </w:rPr>
            </w:pPr>
            <w:r w:rsidRPr="002C598D">
              <w:rPr>
                <w:i/>
              </w:rPr>
              <w:t xml:space="preserve">1 </w:t>
            </w:r>
            <w:r w:rsidR="003D3E55" w:rsidRPr="002C598D">
              <w:rPr>
                <w:i/>
              </w:rPr>
              <w:t>March</w:t>
            </w:r>
            <w:r w:rsidR="00306F2D" w:rsidRPr="002C598D">
              <w:rPr>
                <w:i/>
              </w:rPr>
              <w:t xml:space="preserve"> </w:t>
            </w:r>
            <w:r w:rsidR="005252B4" w:rsidRPr="002C598D">
              <w:rPr>
                <w:i/>
              </w:rPr>
              <w:t>202</w:t>
            </w:r>
            <w:r w:rsidR="00306F2D" w:rsidRPr="002C598D">
              <w:rPr>
                <w:i/>
              </w:rPr>
              <w:t>5</w:t>
            </w:r>
          </w:p>
        </w:tc>
        <w:tc>
          <w:tcPr>
            <w:tcW w:w="2092" w:type="dxa"/>
            <w:tcBorders>
              <w:top w:val="single" w:sz="12" w:space="0" w:color="auto"/>
              <w:bottom w:val="single" w:sz="12" w:space="0" w:color="auto"/>
            </w:tcBorders>
            <w:shd w:val="clear" w:color="auto" w:fill="auto"/>
          </w:tcPr>
          <w:p w14:paraId="2B7D6CC6" w14:textId="0605721E" w:rsidR="00002BCC" w:rsidRPr="002C598D" w:rsidRDefault="005252B4" w:rsidP="007D1325">
            <w:pPr>
              <w:pStyle w:val="Tabletext"/>
              <w:spacing w:line="240" w:lineRule="auto"/>
              <w:rPr>
                <w:i/>
              </w:rPr>
            </w:pPr>
            <w:r w:rsidRPr="002C598D">
              <w:rPr>
                <w:i/>
              </w:rPr>
              <w:t xml:space="preserve">1 </w:t>
            </w:r>
            <w:r w:rsidR="003D3E55" w:rsidRPr="002C598D">
              <w:rPr>
                <w:i/>
              </w:rPr>
              <w:t>March</w:t>
            </w:r>
            <w:r w:rsidR="00B30E1A" w:rsidRPr="002C598D">
              <w:rPr>
                <w:i/>
              </w:rPr>
              <w:t xml:space="preserve"> </w:t>
            </w:r>
            <w:r w:rsidRPr="002C598D">
              <w:rPr>
                <w:i/>
              </w:rPr>
              <w:t>202</w:t>
            </w:r>
            <w:r w:rsidR="00306F2D" w:rsidRPr="002C598D">
              <w:rPr>
                <w:i/>
              </w:rPr>
              <w:t>5</w:t>
            </w:r>
          </w:p>
        </w:tc>
      </w:tr>
    </w:tbl>
    <w:p w14:paraId="19882BA6" w14:textId="77777777" w:rsidR="00002BCC" w:rsidRPr="002C598D" w:rsidRDefault="00002BCC" w:rsidP="0038353B">
      <w:pPr>
        <w:pStyle w:val="notetext"/>
        <w:spacing w:line="240" w:lineRule="auto"/>
      </w:pPr>
      <w:r w:rsidRPr="002C598D">
        <w:rPr>
          <w:snapToGrid w:val="0"/>
          <w:lang w:eastAsia="en-US"/>
        </w:rPr>
        <w:t>Note:</w:t>
      </w:r>
      <w:r w:rsidRPr="002C598D">
        <w:rPr>
          <w:snapToGrid w:val="0"/>
          <w:lang w:eastAsia="en-US"/>
        </w:rPr>
        <w:tab/>
        <w:t>This table relates only to the provisions of this instrument</w:t>
      </w:r>
      <w:r w:rsidRPr="002C598D">
        <w:t xml:space="preserve"> </w:t>
      </w:r>
      <w:r w:rsidRPr="002C598D">
        <w:rPr>
          <w:snapToGrid w:val="0"/>
          <w:lang w:eastAsia="en-US"/>
        </w:rPr>
        <w:t>as originally made. It will not be amended to deal with any later amendments of this instrument.</w:t>
      </w:r>
    </w:p>
    <w:p w14:paraId="17FF4358" w14:textId="4EE83A17" w:rsidR="00002BCC" w:rsidRPr="002C598D" w:rsidRDefault="00002BCC" w:rsidP="0038353B">
      <w:pPr>
        <w:pStyle w:val="subsection"/>
        <w:numPr>
          <w:ilvl w:val="0"/>
          <w:numId w:val="7"/>
        </w:numPr>
        <w:tabs>
          <w:tab w:val="clear" w:pos="1021"/>
          <w:tab w:val="right" w:pos="1134"/>
        </w:tabs>
      </w:pPr>
      <w:r w:rsidRPr="002C598D">
        <w:tab/>
        <w:t>Any information in column 3 of the table is not part of this instrument. Information may be inserted in this column, or information in it may be edited, in any published version of this instrument.</w:t>
      </w:r>
    </w:p>
    <w:p w14:paraId="36C737BF" w14:textId="2747C0AD" w:rsidR="005E317F" w:rsidRPr="002C598D" w:rsidRDefault="005E317F" w:rsidP="007D1325">
      <w:pPr>
        <w:pStyle w:val="ActHead5"/>
        <w:numPr>
          <w:ilvl w:val="0"/>
          <w:numId w:val="6"/>
        </w:numPr>
        <w:ind w:left="567" w:hanging="567"/>
      </w:pPr>
      <w:r w:rsidRPr="002C598D">
        <w:t>Authority</w:t>
      </w:r>
      <w:bookmarkEnd w:id="7"/>
    </w:p>
    <w:p w14:paraId="255D8561" w14:textId="362CA725" w:rsidR="001A286A" w:rsidRPr="002C598D" w:rsidRDefault="005E317F" w:rsidP="0038353B">
      <w:pPr>
        <w:pStyle w:val="subsection"/>
        <w:widowControl w:val="0"/>
        <w:ind w:left="567" w:firstLine="0"/>
      </w:pPr>
      <w:r w:rsidRPr="002C598D">
        <w:t>This instrument is made</w:t>
      </w:r>
      <w:r w:rsidR="001A286A" w:rsidRPr="002C598D">
        <w:t xml:space="preserve"> </w:t>
      </w:r>
      <w:r w:rsidRPr="002C598D">
        <w:t>under</w:t>
      </w:r>
      <w:r w:rsidR="001A286A" w:rsidRPr="002C598D">
        <w:t xml:space="preserve"> subsection 100(2)</w:t>
      </w:r>
      <w:r w:rsidR="00464BBF" w:rsidRPr="002C598D">
        <w:t xml:space="preserve"> of the</w:t>
      </w:r>
      <w:r w:rsidR="001A286A" w:rsidRPr="002C598D">
        <w:t xml:space="preserve"> </w:t>
      </w:r>
      <w:r w:rsidR="001A286A" w:rsidRPr="002C598D">
        <w:rPr>
          <w:i/>
        </w:rPr>
        <w:t>National Health Act 1953</w:t>
      </w:r>
      <w:r w:rsidR="001A286A" w:rsidRPr="002C598D">
        <w:t>.</w:t>
      </w:r>
    </w:p>
    <w:p w14:paraId="418EB651" w14:textId="5B8531A2" w:rsidR="005E317F" w:rsidRPr="002C598D" w:rsidRDefault="005E317F" w:rsidP="007D1325">
      <w:pPr>
        <w:pStyle w:val="ActHead5"/>
        <w:numPr>
          <w:ilvl w:val="0"/>
          <w:numId w:val="6"/>
        </w:numPr>
        <w:ind w:left="567" w:hanging="567"/>
      </w:pPr>
      <w:bookmarkStart w:id="8" w:name="_Toc478567690"/>
      <w:r w:rsidRPr="002C598D">
        <w:t>Schedules</w:t>
      </w:r>
      <w:bookmarkEnd w:id="8"/>
    </w:p>
    <w:p w14:paraId="60AC440F" w14:textId="17024904" w:rsidR="000A4401" w:rsidRPr="002C598D" w:rsidRDefault="005E317F" w:rsidP="0038353B">
      <w:pPr>
        <w:pStyle w:val="subsection"/>
        <w:ind w:left="567" w:firstLine="0"/>
      </w:pPr>
      <w:r w:rsidRPr="002C598D">
        <w:t>Each instrument that is specified in a Schedule to this instrument is amended or repealed as set out in the applicable items in the Schedule concerned, and any other item in a Schedule to this instrument has effect according to its terms.</w:t>
      </w:r>
      <w:bookmarkStart w:id="9" w:name="_Toc478567691"/>
    </w:p>
    <w:p w14:paraId="00621A0C" w14:textId="1FFBD500" w:rsidR="00E32692" w:rsidRPr="002C598D" w:rsidRDefault="00E32692" w:rsidP="0038353B">
      <w:pPr>
        <w:spacing w:line="240" w:lineRule="auto"/>
        <w:rPr>
          <w:lang w:eastAsia="en-AU"/>
        </w:rPr>
      </w:pPr>
    </w:p>
    <w:p w14:paraId="1B271BE5" w14:textId="4665F130" w:rsidR="00E32692" w:rsidRPr="002C598D" w:rsidRDefault="00E32692" w:rsidP="0038353B">
      <w:pPr>
        <w:spacing w:line="240" w:lineRule="auto"/>
        <w:rPr>
          <w:lang w:eastAsia="en-AU"/>
        </w:rPr>
      </w:pPr>
    </w:p>
    <w:p w14:paraId="4FE2A5D7" w14:textId="4500F60F" w:rsidR="00E32692" w:rsidRPr="002C598D" w:rsidRDefault="00E32692" w:rsidP="0038353B">
      <w:pPr>
        <w:spacing w:line="240" w:lineRule="auto"/>
        <w:rPr>
          <w:lang w:eastAsia="en-AU"/>
        </w:rPr>
      </w:pPr>
    </w:p>
    <w:p w14:paraId="50EC65D4" w14:textId="180B61B1" w:rsidR="00E32692" w:rsidRPr="002C598D" w:rsidRDefault="00E32692" w:rsidP="0038353B">
      <w:pPr>
        <w:spacing w:line="240" w:lineRule="auto"/>
        <w:rPr>
          <w:rFonts w:eastAsia="Times New Roman" w:cs="Times New Roman"/>
          <w:lang w:eastAsia="en-AU"/>
        </w:rPr>
      </w:pPr>
    </w:p>
    <w:p w14:paraId="54BC1D3C" w14:textId="4ED88AAD" w:rsidR="00E32692" w:rsidRPr="002C598D" w:rsidRDefault="00E32692" w:rsidP="0038353B">
      <w:pPr>
        <w:spacing w:line="240" w:lineRule="auto"/>
        <w:rPr>
          <w:lang w:eastAsia="en-AU"/>
        </w:rPr>
        <w:sectPr w:rsidR="00E32692" w:rsidRPr="002C598D" w:rsidSect="007D1325">
          <w:footerReference w:type="default" r:id="rId20"/>
          <w:pgSz w:w="11907" w:h="16839"/>
          <w:pgMar w:top="1673" w:right="1797" w:bottom="1440" w:left="1797" w:header="720" w:footer="709" w:gutter="0"/>
          <w:pgNumType w:start="1"/>
          <w:cols w:space="708"/>
          <w:docGrid w:linePitch="360"/>
        </w:sectPr>
      </w:pPr>
    </w:p>
    <w:p w14:paraId="4A209A7C" w14:textId="31C19E09" w:rsidR="005E317F" w:rsidRPr="002C598D" w:rsidRDefault="005E317F" w:rsidP="0038353B">
      <w:pPr>
        <w:pStyle w:val="ActHead6"/>
        <w:pageBreakBefore/>
        <w:rPr>
          <w:rStyle w:val="CharAmSchText"/>
        </w:rPr>
      </w:pPr>
      <w:r w:rsidRPr="002C598D">
        <w:rPr>
          <w:rStyle w:val="CharAmSchNo"/>
        </w:rPr>
        <w:lastRenderedPageBreak/>
        <w:t>Schedule</w:t>
      </w:r>
      <w:r w:rsidR="001A286A" w:rsidRPr="002C598D">
        <w:rPr>
          <w:rStyle w:val="CharAmSchNo"/>
        </w:rPr>
        <w:t xml:space="preserve"> </w:t>
      </w:r>
      <w:r w:rsidRPr="002C598D">
        <w:rPr>
          <w:rStyle w:val="CharAmSchNo"/>
        </w:rPr>
        <w:t>1</w:t>
      </w:r>
      <w:r w:rsidRPr="002C598D">
        <w:t>—</w:t>
      </w:r>
      <w:r w:rsidRPr="002C598D">
        <w:rPr>
          <w:rStyle w:val="CharAmSchText"/>
        </w:rPr>
        <w:t>Amendments</w:t>
      </w:r>
      <w:bookmarkEnd w:id="9"/>
    </w:p>
    <w:p w14:paraId="6485455F" w14:textId="2AD01329" w:rsidR="005E5494" w:rsidRPr="002C598D" w:rsidRDefault="005E5494" w:rsidP="0038353B">
      <w:pPr>
        <w:pStyle w:val="ActHead7"/>
        <w:spacing w:before="120"/>
        <w:rPr>
          <w:i/>
          <w:iCs/>
        </w:rPr>
      </w:pPr>
      <w:r w:rsidRPr="002C598D">
        <w:rPr>
          <w:i/>
          <w:iCs/>
        </w:rPr>
        <w:t xml:space="preserve">National Health (Efficient Funding of Chemotherapy) Special Arrangement </w:t>
      </w:r>
      <w:r w:rsidR="00DB0543" w:rsidRPr="002C598D">
        <w:rPr>
          <w:i/>
          <w:iCs/>
        </w:rPr>
        <w:t>2024</w:t>
      </w:r>
      <w:r w:rsidRPr="002C598D">
        <w:rPr>
          <w:i/>
          <w:iCs/>
        </w:rPr>
        <w:t xml:space="preserve"> (PB </w:t>
      </w:r>
      <w:r w:rsidR="00DB0543" w:rsidRPr="002C598D">
        <w:rPr>
          <w:i/>
          <w:iCs/>
        </w:rPr>
        <w:t>31</w:t>
      </w:r>
      <w:r w:rsidRPr="002C598D">
        <w:rPr>
          <w:i/>
          <w:iCs/>
        </w:rPr>
        <w:t xml:space="preserve"> of </w:t>
      </w:r>
      <w:r w:rsidR="00DB0543" w:rsidRPr="002C598D">
        <w:rPr>
          <w:i/>
          <w:iCs/>
        </w:rPr>
        <w:t>2024</w:t>
      </w:r>
      <w:r w:rsidRPr="002C598D">
        <w:rPr>
          <w:i/>
          <w:iCs/>
        </w:rPr>
        <w:t>)</w:t>
      </w:r>
    </w:p>
    <w:p w14:paraId="383A5FFD" w14:textId="77777777" w:rsidR="009143F1" w:rsidRPr="002C598D" w:rsidRDefault="009143F1" w:rsidP="009143F1">
      <w:pPr>
        <w:pStyle w:val="ListParagraph"/>
        <w:numPr>
          <w:ilvl w:val="0"/>
          <w:numId w:val="5"/>
        </w:numPr>
        <w:spacing w:before="120" w:line="260" w:lineRule="exact"/>
        <w:ind w:left="794" w:hanging="794"/>
        <w:contextualSpacing w:val="0"/>
        <w:rPr>
          <w:rFonts w:ascii="Arial" w:hAnsi="Arial" w:cs="Arial"/>
          <w:b/>
          <w:bCs/>
          <w:sz w:val="20"/>
          <w:szCs w:val="20"/>
          <w:lang w:eastAsia="en-AU"/>
        </w:rPr>
      </w:pPr>
      <w:r w:rsidRPr="002C598D">
        <w:rPr>
          <w:rFonts w:ascii="Arial" w:hAnsi="Arial" w:cs="Arial"/>
          <w:b/>
          <w:bCs/>
          <w:sz w:val="20"/>
          <w:szCs w:val="20"/>
          <w:lang w:eastAsia="en-AU"/>
        </w:rPr>
        <w:t>Subsection 27(3)</w:t>
      </w:r>
    </w:p>
    <w:p w14:paraId="5FB5CF2F" w14:textId="3779C244" w:rsidR="009143F1" w:rsidRPr="002C598D" w:rsidRDefault="009143F1" w:rsidP="009143F1">
      <w:pPr>
        <w:tabs>
          <w:tab w:val="left" w:pos="2694"/>
        </w:tabs>
        <w:spacing w:before="120" w:line="260" w:lineRule="exact"/>
        <w:ind w:left="879" w:hanging="85"/>
        <w:rPr>
          <w:rFonts w:cs="Times New Roman"/>
          <w:szCs w:val="22"/>
          <w:lang w:eastAsia="en-AU"/>
        </w:rPr>
      </w:pPr>
      <w:r w:rsidRPr="002C598D">
        <w:rPr>
          <w:i/>
          <w:iCs/>
          <w:szCs w:val="22"/>
          <w:lang w:eastAsia="en-AU"/>
        </w:rPr>
        <w:t>omit:</w:t>
      </w:r>
      <w:r w:rsidRPr="002C598D">
        <w:rPr>
          <w:szCs w:val="22"/>
          <w:lang w:eastAsia="en-AU"/>
        </w:rPr>
        <w:t xml:space="preserve"> 99(3)(b)</w:t>
      </w:r>
      <w:r w:rsidRPr="002C598D">
        <w:rPr>
          <w:szCs w:val="22"/>
          <w:lang w:eastAsia="en-AU"/>
        </w:rPr>
        <w:tab/>
      </w:r>
      <w:r w:rsidRPr="002C598D">
        <w:rPr>
          <w:i/>
          <w:iCs/>
          <w:szCs w:val="22"/>
          <w:lang w:eastAsia="en-AU"/>
        </w:rPr>
        <w:t>substitute:</w:t>
      </w:r>
      <w:r w:rsidRPr="002C598D">
        <w:rPr>
          <w:szCs w:val="22"/>
          <w:lang w:eastAsia="en-AU"/>
        </w:rPr>
        <w:t xml:space="preserve"> 99AAAB(1)(b)</w:t>
      </w:r>
    </w:p>
    <w:p w14:paraId="58EE54D0" w14:textId="35A47913" w:rsidR="0042259E" w:rsidRPr="002C598D" w:rsidRDefault="0042259E" w:rsidP="009143F1">
      <w:pPr>
        <w:pStyle w:val="ListParagraph"/>
        <w:numPr>
          <w:ilvl w:val="0"/>
          <w:numId w:val="5"/>
        </w:numPr>
        <w:spacing w:before="120" w:line="260" w:lineRule="exact"/>
        <w:ind w:left="794" w:hanging="794"/>
        <w:contextualSpacing w:val="0"/>
        <w:rPr>
          <w:rFonts w:ascii="Arial" w:hAnsi="Arial" w:cs="Arial"/>
          <w:b/>
          <w:bCs/>
          <w:sz w:val="20"/>
          <w:szCs w:val="20"/>
          <w:lang w:eastAsia="en-AU"/>
        </w:rPr>
      </w:pPr>
      <w:r w:rsidRPr="002C598D">
        <w:rPr>
          <w:rFonts w:ascii="Arial" w:hAnsi="Arial" w:cs="Arial"/>
          <w:b/>
          <w:bCs/>
          <w:sz w:val="20"/>
          <w:szCs w:val="20"/>
          <w:lang w:eastAsia="en-AU"/>
        </w:rPr>
        <w:t>Schedule 1, Part 1, entry for Blinatumomab</w:t>
      </w:r>
    </w:p>
    <w:p w14:paraId="7DC9F4DD" w14:textId="2CEEEB7A" w:rsidR="0042259E" w:rsidRPr="002C598D" w:rsidRDefault="0042259E" w:rsidP="0042259E">
      <w:pPr>
        <w:pStyle w:val="ListParagraph"/>
        <w:numPr>
          <w:ilvl w:val="0"/>
          <w:numId w:val="33"/>
        </w:numPr>
        <w:spacing w:before="60" w:after="60" w:line="260" w:lineRule="exact"/>
        <w:ind w:left="794" w:firstLine="0"/>
        <w:contextualSpacing w:val="0"/>
        <w:rPr>
          <w:rFonts w:ascii="Arial" w:hAnsi="Arial" w:cs="Arial"/>
          <w:sz w:val="16"/>
          <w:szCs w:val="16"/>
        </w:rPr>
      </w:pPr>
      <w:r w:rsidRPr="002C598D">
        <w:rPr>
          <w:i/>
          <w:iCs/>
          <w:sz w:val="20"/>
          <w:lang w:eastAsia="en-AU"/>
        </w:rPr>
        <w:t xml:space="preserve">omit from the column headed “Circumstances”: </w:t>
      </w:r>
      <w:r w:rsidRPr="002C598D">
        <w:rPr>
          <w:rFonts w:ascii="Arial" w:hAnsi="Arial" w:cs="Arial"/>
          <w:b/>
          <w:bCs/>
          <w:sz w:val="20"/>
          <w:szCs w:val="20"/>
          <w:lang w:eastAsia="en-AU"/>
        </w:rPr>
        <w:t>C14587 C14588 C14631</w:t>
      </w:r>
    </w:p>
    <w:p w14:paraId="47C3C303" w14:textId="2013F8EF" w:rsidR="0042259E" w:rsidRPr="002C598D" w:rsidRDefault="0042259E" w:rsidP="0042259E">
      <w:pPr>
        <w:pStyle w:val="ListParagraph"/>
        <w:numPr>
          <w:ilvl w:val="0"/>
          <w:numId w:val="33"/>
        </w:numPr>
        <w:spacing w:before="60" w:after="60" w:line="260" w:lineRule="exact"/>
        <w:ind w:left="794" w:firstLine="0"/>
        <w:contextualSpacing w:val="0"/>
        <w:rPr>
          <w:rFonts w:ascii="Arial" w:hAnsi="Arial" w:cs="Arial"/>
          <w:sz w:val="16"/>
          <w:szCs w:val="16"/>
        </w:rPr>
      </w:pPr>
      <w:r w:rsidRPr="002C598D">
        <w:rPr>
          <w:i/>
          <w:iCs/>
          <w:sz w:val="20"/>
          <w:lang w:eastAsia="en-AU"/>
        </w:rPr>
        <w:t xml:space="preserve">insert in numerical order in the column headed “Circumstances”: </w:t>
      </w:r>
      <w:r w:rsidRPr="002C598D">
        <w:rPr>
          <w:rFonts w:ascii="Arial" w:hAnsi="Arial" w:cs="Arial"/>
          <w:b/>
          <w:bCs/>
          <w:sz w:val="20"/>
          <w:szCs w:val="20"/>
          <w:lang w:eastAsia="en-AU"/>
        </w:rPr>
        <w:t>C16292 C16308 C16334 C16341</w:t>
      </w:r>
    </w:p>
    <w:p w14:paraId="77F762FF" w14:textId="240EADCA" w:rsidR="00D228EC" w:rsidRPr="002C598D" w:rsidRDefault="00D228EC" w:rsidP="0042259E">
      <w:pPr>
        <w:pStyle w:val="ListParagraph"/>
        <w:numPr>
          <w:ilvl w:val="0"/>
          <w:numId w:val="5"/>
        </w:numPr>
        <w:spacing w:before="120" w:line="260" w:lineRule="exact"/>
        <w:ind w:left="794" w:hanging="794"/>
        <w:contextualSpacing w:val="0"/>
        <w:rPr>
          <w:rFonts w:ascii="Arial" w:hAnsi="Arial" w:cs="Arial"/>
          <w:b/>
          <w:bCs/>
          <w:sz w:val="20"/>
          <w:szCs w:val="20"/>
          <w:lang w:eastAsia="en-AU"/>
        </w:rPr>
      </w:pPr>
      <w:r w:rsidRPr="002C598D">
        <w:rPr>
          <w:rFonts w:ascii="Arial" w:hAnsi="Arial" w:cs="Arial"/>
          <w:b/>
          <w:bCs/>
          <w:sz w:val="20"/>
          <w:szCs w:val="20"/>
          <w:lang w:eastAsia="en-AU"/>
        </w:rPr>
        <w:t>Schedule</w:t>
      </w:r>
      <w:r w:rsidRPr="002C598D">
        <w:rPr>
          <w:rFonts w:ascii="Arial" w:hAnsi="Arial" w:cs="Arial"/>
          <w:b/>
          <w:bCs/>
          <w:sz w:val="20"/>
          <w:lang w:eastAsia="en-AU"/>
        </w:rPr>
        <w:t xml:space="preserve"> 1, Part 2, entry for </w:t>
      </w:r>
      <w:r w:rsidR="0042259E" w:rsidRPr="002C598D">
        <w:rPr>
          <w:rFonts w:ascii="Arial" w:eastAsia="Arial" w:hAnsi="Arial" w:cs="Arial"/>
          <w:b/>
          <w:bCs/>
          <w:sz w:val="20"/>
          <w:szCs w:val="28"/>
          <w:lang w:eastAsia="zh-CN"/>
        </w:rPr>
        <w:t>Blinatumomab</w:t>
      </w:r>
      <w:r w:rsidR="00E84810" w:rsidRPr="002C598D">
        <w:rPr>
          <w:rFonts w:ascii="Arial" w:hAnsi="Arial" w:cs="Arial"/>
          <w:b/>
          <w:bCs/>
          <w:i/>
          <w:iCs/>
          <w:sz w:val="20"/>
          <w:lang w:eastAsia="en-AU"/>
        </w:rPr>
        <w:t xml:space="preserve"> </w:t>
      </w:r>
      <w:r w:rsidRPr="002C598D">
        <w:rPr>
          <w:rFonts w:ascii="Arial" w:hAnsi="Arial" w:cs="Arial"/>
          <w:b/>
          <w:bCs/>
          <w:i/>
          <w:iCs/>
          <w:sz w:val="20"/>
          <w:lang w:eastAsia="en-AU"/>
        </w:rPr>
        <w:t>[Maximum Amount:</w:t>
      </w:r>
      <w:r w:rsidRPr="002C598D">
        <w:rPr>
          <w:i/>
          <w:iCs/>
        </w:rPr>
        <w:t xml:space="preserve"> </w:t>
      </w:r>
      <w:r w:rsidR="0042259E" w:rsidRPr="002C598D">
        <w:rPr>
          <w:rFonts w:ascii="Arial" w:hAnsi="Arial" w:cs="Arial"/>
          <w:b/>
          <w:bCs/>
          <w:i/>
          <w:iCs/>
          <w:sz w:val="20"/>
          <w:lang w:eastAsia="en-AU"/>
        </w:rPr>
        <w:t>651 mcg</w:t>
      </w:r>
      <w:r w:rsidRPr="002C598D">
        <w:rPr>
          <w:rFonts w:ascii="Arial" w:hAnsi="Arial" w:cs="Arial"/>
          <w:b/>
          <w:bCs/>
          <w:i/>
          <w:iCs/>
          <w:sz w:val="20"/>
          <w:lang w:eastAsia="en-AU"/>
        </w:rPr>
        <w:t xml:space="preserve">; Number of Repeats: </w:t>
      </w:r>
      <w:r w:rsidR="0042259E" w:rsidRPr="002C598D">
        <w:rPr>
          <w:rFonts w:ascii="Arial" w:hAnsi="Arial" w:cs="Arial"/>
          <w:b/>
          <w:bCs/>
          <w:i/>
          <w:iCs/>
          <w:sz w:val="20"/>
          <w:lang w:eastAsia="en-AU"/>
        </w:rPr>
        <w:t>0</w:t>
      </w:r>
      <w:r w:rsidRPr="002C598D">
        <w:rPr>
          <w:rFonts w:ascii="Arial" w:hAnsi="Arial" w:cs="Arial"/>
          <w:b/>
          <w:bCs/>
          <w:i/>
          <w:iCs/>
          <w:sz w:val="20"/>
          <w:lang w:eastAsia="en-AU"/>
        </w:rPr>
        <w:t>]</w:t>
      </w:r>
    </w:p>
    <w:p w14:paraId="7E70AF0D" w14:textId="2C7F0BE9" w:rsidR="00E84810" w:rsidRPr="002C598D" w:rsidRDefault="00E84810" w:rsidP="0042259E">
      <w:pPr>
        <w:tabs>
          <w:tab w:val="left" w:pos="5670"/>
        </w:tabs>
        <w:spacing w:before="60" w:after="60" w:line="260" w:lineRule="exact"/>
        <w:ind w:left="794"/>
        <w:rPr>
          <w:rFonts w:ascii="Arial" w:hAnsi="Arial" w:cs="Arial"/>
          <w:sz w:val="16"/>
          <w:szCs w:val="16"/>
        </w:rPr>
      </w:pPr>
      <w:r w:rsidRPr="002C598D">
        <w:rPr>
          <w:i/>
          <w:iCs/>
          <w:sz w:val="20"/>
          <w:lang w:eastAsia="en-AU"/>
        </w:rPr>
        <w:t>omit from the column headed “</w:t>
      </w:r>
      <w:r w:rsidR="007928F1" w:rsidRPr="002C598D">
        <w:rPr>
          <w:i/>
          <w:iCs/>
          <w:sz w:val="20"/>
          <w:lang w:eastAsia="en-AU"/>
        </w:rPr>
        <w:t>Purposes</w:t>
      </w:r>
      <w:r w:rsidRPr="002C598D">
        <w:rPr>
          <w:i/>
          <w:iCs/>
          <w:sz w:val="20"/>
          <w:lang w:eastAsia="en-AU"/>
        </w:rPr>
        <w:t xml:space="preserve">”: </w:t>
      </w:r>
      <w:r w:rsidR="0042259E" w:rsidRPr="002C598D">
        <w:rPr>
          <w:rFonts w:ascii="Arial" w:hAnsi="Arial" w:cs="Arial"/>
          <w:b/>
          <w:bCs/>
          <w:sz w:val="20"/>
          <w:lang w:eastAsia="en-AU"/>
        </w:rPr>
        <w:t>P14588</w:t>
      </w:r>
      <w:r w:rsidR="0042259E" w:rsidRPr="002C598D">
        <w:rPr>
          <w:rFonts w:ascii="Arial" w:hAnsi="Arial" w:cs="Arial"/>
          <w:b/>
          <w:bCs/>
          <w:sz w:val="20"/>
          <w:lang w:eastAsia="en-AU"/>
        </w:rPr>
        <w:tab/>
      </w:r>
      <w:r w:rsidR="0042259E" w:rsidRPr="002C598D">
        <w:rPr>
          <w:rFonts w:cs="Times New Roman"/>
          <w:i/>
          <w:iCs/>
          <w:sz w:val="20"/>
          <w:lang w:eastAsia="en-AU"/>
        </w:rPr>
        <w:t>substitute:</w:t>
      </w:r>
      <w:r w:rsidR="0042259E" w:rsidRPr="002C598D">
        <w:rPr>
          <w:rFonts w:ascii="Arial" w:hAnsi="Arial" w:cs="Arial"/>
          <w:sz w:val="16"/>
          <w:szCs w:val="16"/>
          <w:lang w:eastAsia="en-AU"/>
        </w:rPr>
        <w:t xml:space="preserve"> </w:t>
      </w:r>
      <w:r w:rsidR="0042259E" w:rsidRPr="002C598D">
        <w:rPr>
          <w:rFonts w:ascii="Arial" w:hAnsi="Arial" w:cs="Arial"/>
          <w:b/>
          <w:bCs/>
          <w:sz w:val="20"/>
          <w:lang w:eastAsia="en-AU"/>
        </w:rPr>
        <w:t>P16292</w:t>
      </w:r>
    </w:p>
    <w:p w14:paraId="75E5E58C" w14:textId="18476D24" w:rsidR="00E84810" w:rsidRPr="002C598D" w:rsidRDefault="00E84810" w:rsidP="0042259E">
      <w:pPr>
        <w:pStyle w:val="ListParagraph"/>
        <w:numPr>
          <w:ilvl w:val="0"/>
          <w:numId w:val="5"/>
        </w:numPr>
        <w:spacing w:before="120" w:line="260" w:lineRule="exact"/>
        <w:ind w:left="794" w:hanging="794"/>
        <w:contextualSpacing w:val="0"/>
        <w:rPr>
          <w:rFonts w:ascii="Arial" w:hAnsi="Arial" w:cs="Arial"/>
          <w:b/>
          <w:bCs/>
          <w:sz w:val="20"/>
          <w:szCs w:val="20"/>
          <w:lang w:eastAsia="en-AU"/>
        </w:rPr>
      </w:pPr>
      <w:r w:rsidRPr="002C598D">
        <w:rPr>
          <w:rFonts w:ascii="Arial" w:hAnsi="Arial" w:cs="Arial"/>
          <w:b/>
          <w:bCs/>
          <w:sz w:val="20"/>
          <w:lang w:eastAsia="en-AU"/>
        </w:rPr>
        <w:t xml:space="preserve">Schedule 1, Part 2, entry for </w:t>
      </w:r>
      <w:r w:rsidR="0042259E" w:rsidRPr="002C598D">
        <w:rPr>
          <w:rFonts w:ascii="Arial" w:eastAsia="Arial" w:hAnsi="Arial" w:cs="Arial"/>
          <w:b/>
          <w:bCs/>
          <w:sz w:val="20"/>
          <w:szCs w:val="28"/>
          <w:lang w:eastAsia="zh-CN"/>
        </w:rPr>
        <w:t>Blinatumomab</w:t>
      </w:r>
      <w:r w:rsidRPr="002C598D">
        <w:rPr>
          <w:rFonts w:ascii="Arial" w:hAnsi="Arial" w:cs="Arial"/>
          <w:b/>
          <w:bCs/>
          <w:i/>
          <w:iCs/>
          <w:sz w:val="20"/>
          <w:lang w:eastAsia="en-AU"/>
        </w:rPr>
        <w:t xml:space="preserve"> [Maximum Amount:</w:t>
      </w:r>
      <w:r w:rsidRPr="002C598D">
        <w:rPr>
          <w:i/>
          <w:iCs/>
        </w:rPr>
        <w:t xml:space="preserve"> </w:t>
      </w:r>
      <w:r w:rsidR="0042259E" w:rsidRPr="002C598D">
        <w:rPr>
          <w:rFonts w:ascii="Arial" w:hAnsi="Arial" w:cs="Arial"/>
          <w:b/>
          <w:bCs/>
          <w:i/>
          <w:iCs/>
          <w:sz w:val="20"/>
          <w:lang w:eastAsia="en-AU"/>
        </w:rPr>
        <w:t>784 mcg</w:t>
      </w:r>
      <w:r w:rsidRPr="002C598D">
        <w:rPr>
          <w:rFonts w:ascii="Arial" w:hAnsi="Arial" w:cs="Arial"/>
          <w:b/>
          <w:bCs/>
          <w:i/>
          <w:iCs/>
          <w:sz w:val="20"/>
          <w:lang w:eastAsia="en-AU"/>
        </w:rPr>
        <w:t xml:space="preserve">; Number of Repeats: </w:t>
      </w:r>
      <w:r w:rsidR="0042259E" w:rsidRPr="002C598D">
        <w:rPr>
          <w:rFonts w:ascii="Arial" w:hAnsi="Arial" w:cs="Arial"/>
          <w:b/>
          <w:bCs/>
          <w:i/>
          <w:iCs/>
          <w:sz w:val="20"/>
          <w:lang w:eastAsia="en-AU"/>
        </w:rPr>
        <w:t>1</w:t>
      </w:r>
      <w:r w:rsidRPr="002C598D">
        <w:rPr>
          <w:rFonts w:ascii="Arial" w:hAnsi="Arial" w:cs="Arial"/>
          <w:b/>
          <w:bCs/>
          <w:i/>
          <w:iCs/>
          <w:sz w:val="20"/>
          <w:lang w:eastAsia="en-AU"/>
        </w:rPr>
        <w:t>]</w:t>
      </w:r>
    </w:p>
    <w:p w14:paraId="793B7B76" w14:textId="25CD7F38" w:rsidR="0042259E" w:rsidRPr="002C598D" w:rsidRDefault="0042259E" w:rsidP="0042259E">
      <w:pPr>
        <w:tabs>
          <w:tab w:val="left" w:pos="6237"/>
        </w:tabs>
        <w:spacing w:before="60" w:after="60" w:line="260" w:lineRule="exact"/>
        <w:ind w:left="794"/>
        <w:rPr>
          <w:rFonts w:ascii="Arial" w:hAnsi="Arial" w:cs="Arial"/>
          <w:sz w:val="16"/>
          <w:szCs w:val="16"/>
        </w:rPr>
      </w:pPr>
      <w:r w:rsidRPr="002C598D">
        <w:rPr>
          <w:i/>
          <w:iCs/>
          <w:sz w:val="20"/>
          <w:lang w:eastAsia="en-AU"/>
        </w:rPr>
        <w:t xml:space="preserve">omit from the column headed “Purposes”: </w:t>
      </w:r>
      <w:r w:rsidRPr="002C598D">
        <w:rPr>
          <w:rFonts w:ascii="Arial" w:hAnsi="Arial" w:cs="Arial"/>
          <w:b/>
          <w:bCs/>
          <w:sz w:val="20"/>
          <w:lang w:eastAsia="en-AU"/>
        </w:rPr>
        <w:t>P14587 P14631</w:t>
      </w:r>
      <w:r w:rsidRPr="002C598D">
        <w:rPr>
          <w:rFonts w:ascii="Arial" w:hAnsi="Arial" w:cs="Arial"/>
          <w:b/>
          <w:bCs/>
          <w:sz w:val="20"/>
          <w:lang w:eastAsia="en-AU"/>
        </w:rPr>
        <w:tab/>
      </w:r>
      <w:r w:rsidRPr="002C598D">
        <w:rPr>
          <w:rFonts w:cs="Times New Roman"/>
          <w:i/>
          <w:iCs/>
          <w:sz w:val="20"/>
          <w:lang w:eastAsia="en-AU"/>
        </w:rPr>
        <w:t>substitute:</w:t>
      </w:r>
      <w:r w:rsidRPr="002C598D">
        <w:rPr>
          <w:rFonts w:ascii="Arial" w:hAnsi="Arial" w:cs="Arial"/>
          <w:sz w:val="16"/>
          <w:szCs w:val="16"/>
          <w:lang w:eastAsia="en-AU"/>
        </w:rPr>
        <w:t xml:space="preserve"> </w:t>
      </w:r>
      <w:r w:rsidRPr="002C598D">
        <w:rPr>
          <w:rFonts w:ascii="Arial" w:hAnsi="Arial" w:cs="Arial"/>
          <w:b/>
          <w:bCs/>
          <w:sz w:val="20"/>
          <w:lang w:eastAsia="en-AU"/>
        </w:rPr>
        <w:t>P16308 P16334 P16341</w:t>
      </w:r>
    </w:p>
    <w:p w14:paraId="11B2D442" w14:textId="6AC2F688" w:rsidR="0042259E" w:rsidRPr="002C598D" w:rsidRDefault="0042259E" w:rsidP="0042259E">
      <w:pPr>
        <w:pStyle w:val="ListParagraph"/>
        <w:numPr>
          <w:ilvl w:val="0"/>
          <w:numId w:val="5"/>
        </w:numPr>
        <w:spacing w:before="120" w:line="260" w:lineRule="exact"/>
        <w:ind w:left="794" w:hanging="794"/>
        <w:contextualSpacing w:val="0"/>
        <w:rPr>
          <w:rFonts w:ascii="Arial" w:hAnsi="Arial" w:cs="Arial"/>
          <w:b/>
          <w:bCs/>
          <w:sz w:val="20"/>
          <w:szCs w:val="20"/>
          <w:lang w:eastAsia="en-AU"/>
        </w:rPr>
      </w:pPr>
      <w:r w:rsidRPr="002C598D">
        <w:rPr>
          <w:rFonts w:ascii="Arial" w:hAnsi="Arial" w:cs="Arial"/>
          <w:b/>
          <w:bCs/>
          <w:sz w:val="20"/>
          <w:szCs w:val="20"/>
          <w:lang w:eastAsia="en-AU"/>
        </w:rPr>
        <w:t xml:space="preserve">Schedule 2, entry for Mycobacterium </w:t>
      </w:r>
      <w:proofErr w:type="spellStart"/>
      <w:r w:rsidRPr="002C598D">
        <w:rPr>
          <w:rFonts w:ascii="Arial" w:hAnsi="Arial" w:cs="Arial"/>
          <w:b/>
          <w:bCs/>
          <w:sz w:val="20"/>
          <w:szCs w:val="20"/>
          <w:lang w:eastAsia="en-AU"/>
        </w:rPr>
        <w:t>bovis</w:t>
      </w:r>
      <w:proofErr w:type="spellEnd"/>
      <w:r w:rsidRPr="002C598D">
        <w:rPr>
          <w:rFonts w:ascii="Arial" w:hAnsi="Arial" w:cs="Arial"/>
          <w:b/>
          <w:bCs/>
          <w:sz w:val="20"/>
          <w:szCs w:val="20"/>
          <w:lang w:eastAsia="en-AU"/>
        </w:rPr>
        <w:t xml:space="preserve"> (Bacillus Calmette and Guerin), Tice strain</w:t>
      </w:r>
    </w:p>
    <w:p w14:paraId="360FB2DF" w14:textId="77777777" w:rsidR="005A6883" w:rsidRPr="002C598D" w:rsidRDefault="0042259E" w:rsidP="0042259E">
      <w:pPr>
        <w:tabs>
          <w:tab w:val="left" w:pos="10490"/>
        </w:tabs>
        <w:spacing w:before="60" w:after="60" w:line="260" w:lineRule="exact"/>
        <w:ind w:left="794"/>
        <w:rPr>
          <w:rFonts w:ascii="Arial" w:hAnsi="Arial" w:cs="Arial"/>
          <w:b/>
          <w:bCs/>
          <w:sz w:val="20"/>
          <w:lang w:eastAsia="en-AU"/>
        </w:rPr>
      </w:pPr>
      <w:r w:rsidRPr="002C598D">
        <w:rPr>
          <w:rFonts w:cs="Times New Roman"/>
          <w:i/>
          <w:iCs/>
          <w:sz w:val="20"/>
          <w:lang w:eastAsia="en-AU"/>
        </w:rPr>
        <w:t xml:space="preserve">omit from the column headed “Form”: </w:t>
      </w:r>
      <w:r w:rsidRPr="002C598D">
        <w:rPr>
          <w:rFonts w:ascii="Arial" w:hAnsi="Arial" w:cs="Arial"/>
          <w:b/>
          <w:bCs/>
          <w:sz w:val="20"/>
          <w:lang w:eastAsia="en-AU"/>
        </w:rPr>
        <w:t>Vial containing powder for intravesical administration approximately 5 x 10</w:t>
      </w:r>
      <w:r w:rsidRPr="002C598D">
        <w:rPr>
          <w:rFonts w:ascii="Arial" w:hAnsi="Arial" w:cs="Arial"/>
          <w:b/>
          <w:bCs/>
          <w:sz w:val="20"/>
          <w:vertAlign w:val="superscript"/>
          <w:lang w:eastAsia="en-AU"/>
        </w:rPr>
        <w:t>8</w:t>
      </w:r>
      <w:r w:rsidRPr="002C598D">
        <w:rPr>
          <w:rFonts w:ascii="Arial" w:hAnsi="Arial" w:cs="Arial"/>
          <w:b/>
          <w:bCs/>
          <w:sz w:val="20"/>
          <w:lang w:eastAsia="en-AU"/>
        </w:rPr>
        <w:t xml:space="preserve"> CFU</w:t>
      </w:r>
    </w:p>
    <w:p w14:paraId="0FB434C6" w14:textId="557CF6AA" w:rsidR="0042259E" w:rsidRPr="002C598D" w:rsidRDefault="0042259E" w:rsidP="0042259E">
      <w:pPr>
        <w:tabs>
          <w:tab w:val="left" w:pos="10490"/>
        </w:tabs>
        <w:spacing w:before="60" w:after="60" w:line="260" w:lineRule="exact"/>
        <w:ind w:left="794"/>
        <w:rPr>
          <w:rFonts w:ascii="Arial" w:hAnsi="Arial" w:cs="Arial"/>
          <w:b/>
          <w:bCs/>
          <w:sz w:val="20"/>
          <w:lang w:eastAsia="en-AU"/>
        </w:rPr>
      </w:pPr>
      <w:r w:rsidRPr="002C598D">
        <w:rPr>
          <w:rFonts w:cs="Times New Roman"/>
          <w:i/>
          <w:iCs/>
          <w:sz w:val="20"/>
          <w:lang w:eastAsia="en-AU"/>
        </w:rPr>
        <w:t>substitute:</w:t>
      </w:r>
      <w:r w:rsidRPr="002C598D">
        <w:rPr>
          <w:rFonts w:ascii="Arial" w:hAnsi="Arial" w:cs="Arial"/>
          <w:sz w:val="16"/>
          <w:szCs w:val="16"/>
          <w:lang w:eastAsia="en-AU"/>
        </w:rPr>
        <w:t xml:space="preserve"> </w:t>
      </w:r>
      <w:r w:rsidRPr="002C598D">
        <w:rPr>
          <w:rFonts w:ascii="Arial" w:hAnsi="Arial" w:cs="Arial"/>
          <w:b/>
          <w:bCs/>
          <w:sz w:val="20"/>
          <w:lang w:eastAsia="en-AU"/>
        </w:rPr>
        <w:t>Vial containing powder for intravesical administration approximately 500 million CFU</w:t>
      </w:r>
    </w:p>
    <w:p w14:paraId="372BBCAB" w14:textId="105034FE" w:rsidR="00D228EC" w:rsidRPr="002C598D" w:rsidRDefault="00D228EC" w:rsidP="0065721F">
      <w:pPr>
        <w:pStyle w:val="ListParagraph"/>
        <w:numPr>
          <w:ilvl w:val="0"/>
          <w:numId w:val="5"/>
        </w:numPr>
        <w:spacing w:before="120" w:line="260" w:lineRule="exact"/>
        <w:ind w:left="794" w:hanging="794"/>
        <w:contextualSpacing w:val="0"/>
        <w:rPr>
          <w:rFonts w:ascii="Arial" w:hAnsi="Arial" w:cs="Arial"/>
          <w:b/>
          <w:bCs/>
          <w:sz w:val="20"/>
          <w:szCs w:val="20"/>
          <w:lang w:eastAsia="en-AU"/>
        </w:rPr>
      </w:pPr>
      <w:r w:rsidRPr="002C598D">
        <w:rPr>
          <w:rFonts w:ascii="Arial" w:hAnsi="Arial" w:cs="Arial"/>
          <w:b/>
          <w:bCs/>
          <w:sz w:val="20"/>
          <w:szCs w:val="20"/>
          <w:lang w:eastAsia="en-AU"/>
        </w:rPr>
        <w:t xml:space="preserve">Schedule 3, Part 1, </w:t>
      </w:r>
      <w:r w:rsidR="00E84810" w:rsidRPr="002C598D">
        <w:rPr>
          <w:rFonts w:ascii="Arial" w:hAnsi="Arial" w:cs="Arial"/>
          <w:b/>
          <w:bCs/>
          <w:sz w:val="20"/>
          <w:szCs w:val="20"/>
          <w:lang w:eastAsia="en-AU"/>
        </w:rPr>
        <w:t>omit</w:t>
      </w:r>
      <w:r w:rsidRPr="002C598D">
        <w:rPr>
          <w:rFonts w:ascii="Arial" w:hAnsi="Arial" w:cs="Arial"/>
          <w:b/>
          <w:bCs/>
          <w:sz w:val="20"/>
          <w:szCs w:val="20"/>
          <w:lang w:eastAsia="en-AU"/>
        </w:rPr>
        <w:t xml:space="preserve"> entry for Circumstances Code “C</w:t>
      </w:r>
      <w:r w:rsidR="0065721F" w:rsidRPr="002C598D">
        <w:rPr>
          <w:rFonts w:ascii="Arial" w:hAnsi="Arial" w:cs="Arial"/>
          <w:b/>
          <w:bCs/>
          <w:sz w:val="20"/>
          <w:szCs w:val="20"/>
          <w:lang w:eastAsia="en-AU"/>
        </w:rPr>
        <w:t>14587</w:t>
      </w:r>
      <w:r w:rsidRPr="002C598D">
        <w:rPr>
          <w:rFonts w:ascii="Arial" w:hAnsi="Arial" w:cs="Arial"/>
          <w:b/>
          <w:bCs/>
          <w:sz w:val="20"/>
          <w:szCs w:val="20"/>
          <w:lang w:eastAsia="en-AU"/>
        </w:rPr>
        <w:t>”</w:t>
      </w:r>
    </w:p>
    <w:p w14:paraId="0CC4D9DF" w14:textId="52080ABA" w:rsidR="00E84810" w:rsidRPr="002C598D" w:rsidRDefault="00E84810" w:rsidP="0065721F">
      <w:pPr>
        <w:pStyle w:val="ListParagraph"/>
        <w:numPr>
          <w:ilvl w:val="0"/>
          <w:numId w:val="5"/>
        </w:numPr>
        <w:spacing w:before="120" w:line="260" w:lineRule="exact"/>
        <w:ind w:left="794" w:hanging="794"/>
        <w:contextualSpacing w:val="0"/>
        <w:rPr>
          <w:rFonts w:ascii="Arial" w:hAnsi="Arial" w:cs="Arial"/>
          <w:b/>
          <w:bCs/>
          <w:sz w:val="20"/>
          <w:szCs w:val="20"/>
          <w:lang w:eastAsia="en-AU"/>
        </w:rPr>
      </w:pPr>
      <w:r w:rsidRPr="002C598D">
        <w:rPr>
          <w:rFonts w:ascii="Arial" w:hAnsi="Arial" w:cs="Arial"/>
          <w:b/>
          <w:bCs/>
          <w:sz w:val="20"/>
          <w:szCs w:val="20"/>
          <w:lang w:eastAsia="en-AU"/>
        </w:rPr>
        <w:t>Schedule 3, Part 1, omit entry for Circumstances Code “C</w:t>
      </w:r>
      <w:r w:rsidR="0065721F" w:rsidRPr="002C598D">
        <w:rPr>
          <w:rFonts w:ascii="Arial" w:hAnsi="Arial" w:cs="Arial"/>
          <w:b/>
          <w:bCs/>
          <w:sz w:val="20"/>
          <w:szCs w:val="20"/>
          <w:lang w:eastAsia="en-AU"/>
        </w:rPr>
        <w:t>14588</w:t>
      </w:r>
      <w:r w:rsidRPr="002C598D">
        <w:rPr>
          <w:rFonts w:ascii="Arial" w:hAnsi="Arial" w:cs="Arial"/>
          <w:b/>
          <w:bCs/>
          <w:sz w:val="20"/>
          <w:szCs w:val="20"/>
          <w:lang w:eastAsia="en-AU"/>
        </w:rPr>
        <w:t>”</w:t>
      </w:r>
    </w:p>
    <w:p w14:paraId="698680E5" w14:textId="0251E480" w:rsidR="0065721F" w:rsidRPr="002C598D" w:rsidRDefault="0065721F" w:rsidP="0065721F">
      <w:pPr>
        <w:pStyle w:val="ListParagraph"/>
        <w:numPr>
          <w:ilvl w:val="0"/>
          <w:numId w:val="5"/>
        </w:numPr>
        <w:spacing w:before="120" w:line="260" w:lineRule="exact"/>
        <w:ind w:left="794" w:hanging="794"/>
        <w:contextualSpacing w:val="0"/>
        <w:rPr>
          <w:rFonts w:ascii="Arial" w:hAnsi="Arial" w:cs="Arial"/>
          <w:b/>
          <w:bCs/>
          <w:sz w:val="20"/>
          <w:szCs w:val="20"/>
          <w:lang w:eastAsia="en-AU"/>
        </w:rPr>
      </w:pPr>
      <w:r w:rsidRPr="002C598D">
        <w:rPr>
          <w:rFonts w:ascii="Arial" w:hAnsi="Arial" w:cs="Arial"/>
          <w:b/>
          <w:bCs/>
          <w:sz w:val="20"/>
          <w:szCs w:val="20"/>
          <w:lang w:eastAsia="en-AU"/>
        </w:rPr>
        <w:t>Schedule 3, Part 1, omit entry for Circumstances Code “C14631”</w:t>
      </w:r>
    </w:p>
    <w:p w14:paraId="6612430D" w14:textId="3FC395B4" w:rsidR="00E84810" w:rsidRPr="002C598D" w:rsidRDefault="00E84810" w:rsidP="0065721F">
      <w:pPr>
        <w:pStyle w:val="ListParagraph"/>
        <w:numPr>
          <w:ilvl w:val="0"/>
          <w:numId w:val="5"/>
        </w:numPr>
        <w:spacing w:before="120" w:line="260" w:lineRule="exact"/>
        <w:ind w:left="794" w:hanging="794"/>
        <w:contextualSpacing w:val="0"/>
        <w:rPr>
          <w:rFonts w:ascii="Arial" w:hAnsi="Arial" w:cs="Arial"/>
          <w:b/>
          <w:bCs/>
          <w:sz w:val="20"/>
          <w:szCs w:val="20"/>
          <w:lang w:eastAsia="en-AU"/>
        </w:rPr>
      </w:pPr>
      <w:r w:rsidRPr="002C598D">
        <w:rPr>
          <w:rFonts w:ascii="Arial" w:hAnsi="Arial" w:cs="Arial"/>
          <w:b/>
          <w:bCs/>
          <w:sz w:val="20"/>
          <w:szCs w:val="20"/>
          <w:lang w:eastAsia="en-AU"/>
        </w:rPr>
        <w:t>Schedule 3, Part 1, after entry for Circumstances Code “C</w:t>
      </w:r>
      <w:r w:rsidR="0065721F" w:rsidRPr="002C598D">
        <w:rPr>
          <w:rFonts w:ascii="Arial" w:hAnsi="Arial" w:cs="Arial"/>
          <w:b/>
          <w:bCs/>
          <w:sz w:val="20"/>
          <w:szCs w:val="20"/>
          <w:lang w:eastAsia="en-AU"/>
        </w:rPr>
        <w:t>16280</w:t>
      </w:r>
      <w:r w:rsidRPr="002C598D">
        <w:rPr>
          <w:rFonts w:ascii="Arial" w:hAnsi="Arial" w:cs="Arial"/>
          <w:b/>
          <w:bCs/>
          <w:sz w:val="20"/>
          <w:szCs w:val="20"/>
          <w:lang w:eastAsia="en-AU"/>
        </w:rPr>
        <w:t>”</w:t>
      </w:r>
    </w:p>
    <w:p w14:paraId="65A323EF" w14:textId="77777777" w:rsidR="00E84810" w:rsidRPr="002C598D" w:rsidRDefault="00E84810" w:rsidP="0065721F">
      <w:pPr>
        <w:spacing w:before="60" w:after="60" w:line="260" w:lineRule="exact"/>
        <w:ind w:left="1361" w:hanging="567"/>
        <w:rPr>
          <w:rFonts w:cs="Times New Roman"/>
          <w:i/>
          <w:iCs/>
          <w:sz w:val="20"/>
        </w:rPr>
      </w:pPr>
      <w:r w:rsidRPr="002C598D">
        <w:rPr>
          <w:rFonts w:cs="Times New Roman"/>
          <w:i/>
          <w:iCs/>
          <w:sz w:val="20"/>
        </w:rPr>
        <w:t>insert:</w:t>
      </w:r>
    </w:p>
    <w:tbl>
      <w:tblPr>
        <w:tblW w:w="0" w:type="auto"/>
        <w:tblInd w:w="-33"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600" w:firstRow="0" w:lastRow="0" w:firstColumn="0" w:lastColumn="0" w:noHBand="1" w:noVBand="1"/>
      </w:tblPr>
      <w:tblGrid>
        <w:gridCol w:w="850"/>
        <w:gridCol w:w="850"/>
        <w:gridCol w:w="2128"/>
        <w:gridCol w:w="7088"/>
        <w:gridCol w:w="2041"/>
      </w:tblGrid>
      <w:tr w:rsidR="0065721F" w:rsidRPr="002C598D" w14:paraId="46DE4215" w14:textId="77777777" w:rsidTr="00035BDA">
        <w:tc>
          <w:tcPr>
            <w:tcW w:w="850" w:type="dxa"/>
            <w:tcBorders>
              <w:top w:val="single" w:sz="4" w:space="0" w:color="auto"/>
              <w:bottom w:val="single" w:sz="4" w:space="0" w:color="auto"/>
            </w:tcBorders>
            <w:shd w:val="clear" w:color="auto" w:fill="auto"/>
          </w:tcPr>
          <w:p w14:paraId="3EA67C57" w14:textId="348E61DC" w:rsidR="0065721F" w:rsidRPr="002C598D" w:rsidRDefault="0065721F" w:rsidP="0065721F">
            <w:pPr>
              <w:pStyle w:val="mps3-heading"/>
              <w:widowControl w:val="0"/>
              <w:rPr>
                <w:b w:val="0"/>
                <w:bCs/>
                <w:szCs w:val="16"/>
              </w:rPr>
            </w:pPr>
            <w:r w:rsidRPr="002C598D">
              <w:rPr>
                <w:b w:val="0"/>
                <w:bCs/>
                <w:szCs w:val="16"/>
              </w:rPr>
              <w:t>C16292</w:t>
            </w:r>
          </w:p>
        </w:tc>
        <w:tc>
          <w:tcPr>
            <w:tcW w:w="850" w:type="dxa"/>
            <w:tcBorders>
              <w:top w:val="single" w:sz="4" w:space="0" w:color="auto"/>
              <w:bottom w:val="single" w:sz="4" w:space="0" w:color="auto"/>
            </w:tcBorders>
            <w:shd w:val="clear" w:color="auto" w:fill="auto"/>
          </w:tcPr>
          <w:p w14:paraId="13FCDA65" w14:textId="554D0C83" w:rsidR="0065721F" w:rsidRPr="002C598D" w:rsidRDefault="0065721F" w:rsidP="0065721F">
            <w:pPr>
              <w:pStyle w:val="mps3-heading"/>
              <w:widowControl w:val="0"/>
              <w:rPr>
                <w:b w:val="0"/>
                <w:bCs/>
                <w:szCs w:val="16"/>
              </w:rPr>
            </w:pPr>
            <w:r w:rsidRPr="002C598D">
              <w:rPr>
                <w:b w:val="0"/>
                <w:bCs/>
                <w:szCs w:val="16"/>
              </w:rPr>
              <w:t>P16292</w:t>
            </w:r>
          </w:p>
        </w:tc>
        <w:tc>
          <w:tcPr>
            <w:tcW w:w="2128" w:type="dxa"/>
            <w:tcBorders>
              <w:top w:val="single" w:sz="4" w:space="0" w:color="auto"/>
              <w:bottom w:val="single" w:sz="4" w:space="0" w:color="auto"/>
            </w:tcBorders>
            <w:shd w:val="clear" w:color="auto" w:fill="auto"/>
          </w:tcPr>
          <w:p w14:paraId="6652FE6D" w14:textId="07E5E465" w:rsidR="0065721F" w:rsidRPr="002C598D" w:rsidRDefault="0065721F" w:rsidP="0065721F">
            <w:pPr>
              <w:pStyle w:val="mps3-heading"/>
              <w:widowControl w:val="0"/>
              <w:rPr>
                <w:b w:val="0"/>
                <w:bCs/>
                <w:szCs w:val="16"/>
              </w:rPr>
            </w:pPr>
            <w:r w:rsidRPr="002C598D">
              <w:rPr>
                <w:b w:val="0"/>
                <w:bCs/>
                <w:szCs w:val="16"/>
              </w:rPr>
              <w:t>Blinatumomab</w:t>
            </w:r>
          </w:p>
        </w:tc>
        <w:tc>
          <w:tcPr>
            <w:tcW w:w="7088" w:type="dxa"/>
            <w:tcBorders>
              <w:top w:val="single" w:sz="4" w:space="0" w:color="auto"/>
              <w:bottom w:val="single" w:sz="4" w:space="0" w:color="auto"/>
            </w:tcBorders>
            <w:shd w:val="clear" w:color="auto" w:fill="auto"/>
          </w:tcPr>
          <w:p w14:paraId="1977B243" w14:textId="77777777" w:rsidR="0065721F" w:rsidRPr="002C598D" w:rsidRDefault="0065721F" w:rsidP="0065721F">
            <w:pPr>
              <w:pStyle w:val="mps3-data"/>
              <w:widowControl w:val="0"/>
              <w:rPr>
                <w:szCs w:val="16"/>
              </w:rPr>
            </w:pPr>
            <w:r w:rsidRPr="002C598D">
              <w:rPr>
                <w:szCs w:val="16"/>
              </w:rPr>
              <w:t>Acute lymphoblastic leukaemia</w:t>
            </w:r>
          </w:p>
          <w:p w14:paraId="1FFE7754" w14:textId="77777777" w:rsidR="0065721F" w:rsidRPr="002C598D" w:rsidRDefault="0065721F" w:rsidP="0065721F">
            <w:pPr>
              <w:pStyle w:val="mps3-data"/>
              <w:widowControl w:val="0"/>
              <w:rPr>
                <w:szCs w:val="16"/>
              </w:rPr>
            </w:pPr>
            <w:r w:rsidRPr="002C598D">
              <w:rPr>
                <w:szCs w:val="16"/>
              </w:rPr>
              <w:t>Induction treatment</w:t>
            </w:r>
          </w:p>
          <w:p w14:paraId="003493D5" w14:textId="77777777" w:rsidR="0065721F" w:rsidRPr="002C598D" w:rsidRDefault="0065721F" w:rsidP="0065721F">
            <w:pPr>
              <w:pStyle w:val="mps3-data"/>
              <w:widowControl w:val="0"/>
              <w:rPr>
                <w:szCs w:val="16"/>
              </w:rPr>
            </w:pPr>
            <w:r w:rsidRPr="002C598D">
              <w:rPr>
                <w:szCs w:val="16"/>
              </w:rPr>
              <w:t>The condition must be relapsed or refractory B-precursor cell ALL, with an Eastern Cooperative Oncology Group (ECOG) performance status of 2 or less; AND</w:t>
            </w:r>
          </w:p>
          <w:p w14:paraId="7C17FC56" w14:textId="77777777" w:rsidR="0065721F" w:rsidRPr="002C598D" w:rsidRDefault="0065721F" w:rsidP="0065721F">
            <w:pPr>
              <w:pStyle w:val="mps3-data"/>
              <w:widowControl w:val="0"/>
              <w:rPr>
                <w:szCs w:val="16"/>
              </w:rPr>
            </w:pPr>
            <w:r w:rsidRPr="002C598D">
              <w:rPr>
                <w:szCs w:val="16"/>
              </w:rPr>
              <w:t>The condition must not be present in the central nervous system or testis; AND</w:t>
            </w:r>
          </w:p>
          <w:p w14:paraId="3F3864A8" w14:textId="77777777" w:rsidR="0065721F" w:rsidRPr="002C598D" w:rsidRDefault="0065721F" w:rsidP="0065721F">
            <w:pPr>
              <w:pStyle w:val="mps3-data"/>
              <w:widowControl w:val="0"/>
              <w:rPr>
                <w:szCs w:val="16"/>
              </w:rPr>
            </w:pPr>
            <w:r w:rsidRPr="002C598D">
              <w:rPr>
                <w:szCs w:val="16"/>
              </w:rPr>
              <w:lastRenderedPageBreak/>
              <w:t>Patient must have previously received a tyrosine kinase inhibitor (TKI) if the condition is Philadelphia chromosome positive; AND</w:t>
            </w:r>
          </w:p>
          <w:p w14:paraId="717A5B2B" w14:textId="77777777" w:rsidR="0065721F" w:rsidRPr="002C598D" w:rsidRDefault="0065721F" w:rsidP="0065721F">
            <w:pPr>
              <w:pStyle w:val="mps3-data"/>
              <w:widowControl w:val="0"/>
              <w:rPr>
                <w:szCs w:val="16"/>
              </w:rPr>
            </w:pPr>
            <w:r w:rsidRPr="002C598D">
              <w:rPr>
                <w:szCs w:val="16"/>
              </w:rPr>
              <w:t>Patient must have received intensive combination chemotherapy for initial treatment of ALL or for subsequent salvage therapy; AND</w:t>
            </w:r>
          </w:p>
          <w:p w14:paraId="7E086E2A" w14:textId="77777777" w:rsidR="0065721F" w:rsidRPr="002C598D" w:rsidRDefault="0065721F" w:rsidP="0065721F">
            <w:pPr>
              <w:pStyle w:val="mps3-data"/>
              <w:widowControl w:val="0"/>
              <w:rPr>
                <w:szCs w:val="16"/>
              </w:rPr>
            </w:pPr>
            <w:r w:rsidRPr="002C598D">
              <w:rPr>
                <w:szCs w:val="16"/>
              </w:rPr>
              <w:t>Patient must not have received more than 1 line of salvage therapy; AND</w:t>
            </w:r>
          </w:p>
          <w:p w14:paraId="247730AE" w14:textId="77777777" w:rsidR="0065721F" w:rsidRPr="002C598D" w:rsidRDefault="0065721F" w:rsidP="0065721F">
            <w:pPr>
              <w:pStyle w:val="mps3-data"/>
              <w:widowControl w:val="0"/>
              <w:rPr>
                <w:szCs w:val="16"/>
              </w:rPr>
            </w:pPr>
            <w:r w:rsidRPr="002C598D">
              <w:rPr>
                <w:szCs w:val="16"/>
              </w:rPr>
              <w:t>The condition must be one of the following: (</w:t>
            </w:r>
            <w:proofErr w:type="spellStart"/>
            <w:r w:rsidRPr="002C598D">
              <w:rPr>
                <w:szCs w:val="16"/>
              </w:rPr>
              <w:t>i</w:t>
            </w:r>
            <w:proofErr w:type="spellEnd"/>
            <w:r w:rsidRPr="002C598D">
              <w:rPr>
                <w:szCs w:val="16"/>
              </w:rPr>
              <w:t>) untreated with this drug for Precursor B-cell acute lymphoblastic leukaemia (Pre-B-cell ALL), (ii) treated with this drug for Pre-B-cell ALL, but the condition has not relapsed within 6 months of completing that course of treatment; AND</w:t>
            </w:r>
          </w:p>
          <w:p w14:paraId="0B933A96" w14:textId="77777777" w:rsidR="0065721F" w:rsidRPr="002C598D" w:rsidRDefault="0065721F" w:rsidP="0065721F">
            <w:pPr>
              <w:pStyle w:val="mps3-data"/>
              <w:widowControl w:val="0"/>
              <w:rPr>
                <w:szCs w:val="16"/>
              </w:rPr>
            </w:pPr>
            <w:r w:rsidRPr="002C598D">
              <w:rPr>
                <w:szCs w:val="16"/>
              </w:rPr>
              <w:t>The condition must have more than 5% blasts in bone marrow; AND</w:t>
            </w:r>
          </w:p>
          <w:p w14:paraId="2A3B48E3" w14:textId="77777777" w:rsidR="0065721F" w:rsidRPr="002C598D" w:rsidRDefault="0065721F" w:rsidP="0065721F">
            <w:pPr>
              <w:pStyle w:val="mps3-data"/>
              <w:widowControl w:val="0"/>
              <w:rPr>
                <w:szCs w:val="16"/>
              </w:rPr>
            </w:pPr>
            <w:r w:rsidRPr="002C598D">
              <w:rPr>
                <w:szCs w:val="16"/>
              </w:rPr>
              <w:t>The treatment must not be more than 2 treatment cycles under this restriction in a lifetime.</w:t>
            </w:r>
          </w:p>
          <w:p w14:paraId="3F67EF60" w14:textId="77777777" w:rsidR="0065721F" w:rsidRPr="002C598D" w:rsidRDefault="0065721F" w:rsidP="0065721F">
            <w:pPr>
              <w:pStyle w:val="mps3-data"/>
              <w:widowControl w:val="0"/>
              <w:rPr>
                <w:szCs w:val="16"/>
              </w:rPr>
            </w:pPr>
            <w:r w:rsidRPr="002C598D">
              <w:rPr>
                <w:szCs w:val="16"/>
              </w:rPr>
              <w:t>According to the TGA-approved Product Information, hospitalisation is recommended at minimum for the first 9 days of the first cycle and the first 2 days of the second cycle. For all subsequent cycle starts and re-initiation (e.g. if treatment is interrupted for 4 or more hours), supervision by a health care professional or hospitalisation is recommended.</w:t>
            </w:r>
          </w:p>
          <w:p w14:paraId="11571796" w14:textId="77777777" w:rsidR="0065721F" w:rsidRPr="002C598D" w:rsidRDefault="0065721F" w:rsidP="0065721F">
            <w:pPr>
              <w:pStyle w:val="mps3-data"/>
              <w:widowControl w:val="0"/>
              <w:rPr>
                <w:szCs w:val="16"/>
              </w:rPr>
            </w:pPr>
            <w:r w:rsidRPr="002C598D">
              <w:rPr>
                <w:szCs w:val="16"/>
              </w:rPr>
              <w:t>An amount of 651 microgram will be sufficient for a continuous infusion of blinatumomab over 28 days in cycle 1. An amount of 784 microgram, which may be obtained under Induction treatment - balance of supply restriction, will be sufficient for a continuous infusion of blinatumomab over 28 days in cycle 2.</w:t>
            </w:r>
          </w:p>
          <w:p w14:paraId="55308392" w14:textId="77777777" w:rsidR="0065721F" w:rsidRPr="002C598D" w:rsidRDefault="0065721F" w:rsidP="0065721F">
            <w:pPr>
              <w:pStyle w:val="mps3-data"/>
              <w:widowControl w:val="0"/>
              <w:rPr>
                <w:szCs w:val="16"/>
              </w:rPr>
            </w:pPr>
            <w:r w:rsidRPr="002C598D">
              <w:rPr>
                <w:szCs w:val="16"/>
              </w:rPr>
              <w:t>Blinatumomab is not PBS-subsidised if it is administered to an in-patient in a public hospital setting.</w:t>
            </w:r>
          </w:p>
          <w:p w14:paraId="41346D14" w14:textId="77777777" w:rsidR="0065721F" w:rsidRPr="002C598D" w:rsidRDefault="0065721F" w:rsidP="0065721F">
            <w:pPr>
              <w:pStyle w:val="mps3-data"/>
              <w:widowControl w:val="0"/>
              <w:rPr>
                <w:szCs w:val="16"/>
              </w:rPr>
            </w:pPr>
            <w:r w:rsidRPr="002C598D">
              <w:rPr>
                <w:szCs w:val="16"/>
              </w:rPr>
              <w:t>The authority application must be made in writing and must include:</w:t>
            </w:r>
          </w:p>
          <w:p w14:paraId="13496778" w14:textId="77777777" w:rsidR="0065721F" w:rsidRPr="002C598D" w:rsidRDefault="0065721F" w:rsidP="0065721F">
            <w:pPr>
              <w:pStyle w:val="mps3-data"/>
              <w:widowControl w:val="0"/>
              <w:rPr>
                <w:szCs w:val="16"/>
              </w:rPr>
            </w:pPr>
            <w:r w:rsidRPr="002C598D">
              <w:rPr>
                <w:szCs w:val="16"/>
              </w:rPr>
              <w:t>(1) details of the proposed prescription; and</w:t>
            </w:r>
          </w:p>
          <w:p w14:paraId="021319D9" w14:textId="77777777" w:rsidR="0065721F" w:rsidRPr="002C598D" w:rsidRDefault="0065721F" w:rsidP="0065721F">
            <w:pPr>
              <w:pStyle w:val="mps3-data"/>
              <w:widowControl w:val="0"/>
              <w:rPr>
                <w:szCs w:val="16"/>
              </w:rPr>
            </w:pPr>
            <w:r w:rsidRPr="002C598D">
              <w:rPr>
                <w:szCs w:val="16"/>
              </w:rPr>
              <w:t>(2) a completed Acute Lymphoblastic Leukaemia PBS Authority Application - Supporting Information Form; and</w:t>
            </w:r>
          </w:p>
          <w:p w14:paraId="31D3569A" w14:textId="77777777" w:rsidR="0065721F" w:rsidRPr="002C598D" w:rsidRDefault="0065721F" w:rsidP="0065721F">
            <w:pPr>
              <w:pStyle w:val="mps3-data"/>
              <w:widowControl w:val="0"/>
              <w:rPr>
                <w:szCs w:val="16"/>
              </w:rPr>
            </w:pPr>
            <w:r w:rsidRPr="002C598D">
              <w:rPr>
                <w:szCs w:val="16"/>
              </w:rPr>
              <w:t>(3) date of most recent chemotherapy, and if this was the initial chemotherapy regimen or salvage therapy, including what line of salvage; and</w:t>
            </w:r>
          </w:p>
          <w:p w14:paraId="13AE1157" w14:textId="77777777" w:rsidR="0065721F" w:rsidRPr="002C598D" w:rsidRDefault="0065721F" w:rsidP="0065721F">
            <w:pPr>
              <w:pStyle w:val="mps3-data"/>
              <w:widowControl w:val="0"/>
              <w:rPr>
                <w:szCs w:val="16"/>
              </w:rPr>
            </w:pPr>
            <w:r w:rsidRPr="002C598D">
              <w:rPr>
                <w:szCs w:val="16"/>
              </w:rPr>
              <w:t>(4) if applicable, the date of completion of blinatumomab treatment for Pre-B-cell ALL in CR and the date of the patient's subsequent relapse; and</w:t>
            </w:r>
          </w:p>
          <w:p w14:paraId="18F77C1C" w14:textId="17DBF459" w:rsidR="0065721F" w:rsidRPr="002C598D" w:rsidRDefault="0065721F" w:rsidP="0065721F">
            <w:pPr>
              <w:pStyle w:val="mps3-heading"/>
              <w:widowControl w:val="0"/>
              <w:rPr>
                <w:b w:val="0"/>
                <w:bCs/>
                <w:szCs w:val="16"/>
              </w:rPr>
            </w:pPr>
            <w:r w:rsidRPr="002C598D">
              <w:rPr>
                <w:b w:val="0"/>
                <w:bCs/>
                <w:szCs w:val="16"/>
              </w:rPr>
              <w:t>(5) the percentage blasts in bone marrow count that is no more than 4 weeks old at the time of application.</w:t>
            </w:r>
          </w:p>
        </w:tc>
        <w:tc>
          <w:tcPr>
            <w:tcW w:w="2041" w:type="dxa"/>
            <w:tcBorders>
              <w:top w:val="single" w:sz="4" w:space="0" w:color="auto"/>
              <w:bottom w:val="single" w:sz="4" w:space="0" w:color="auto"/>
            </w:tcBorders>
            <w:shd w:val="clear" w:color="auto" w:fill="auto"/>
          </w:tcPr>
          <w:p w14:paraId="6960EFD9" w14:textId="6C39C795" w:rsidR="0065721F" w:rsidRPr="002C598D" w:rsidRDefault="0065721F" w:rsidP="0065721F">
            <w:pPr>
              <w:pStyle w:val="mps3-heading"/>
              <w:widowControl w:val="0"/>
              <w:rPr>
                <w:b w:val="0"/>
                <w:bCs/>
                <w:szCs w:val="16"/>
              </w:rPr>
            </w:pPr>
            <w:r w:rsidRPr="002C598D">
              <w:rPr>
                <w:b w:val="0"/>
                <w:szCs w:val="16"/>
              </w:rPr>
              <w:lastRenderedPageBreak/>
              <w:t>Compliance with Written Authority Required procedures</w:t>
            </w:r>
          </w:p>
        </w:tc>
      </w:tr>
      <w:tr w:rsidR="0065721F" w:rsidRPr="002C598D" w14:paraId="48FE03DE" w14:textId="77777777" w:rsidTr="00035BDA">
        <w:tc>
          <w:tcPr>
            <w:tcW w:w="850" w:type="dxa"/>
            <w:tcBorders>
              <w:top w:val="single" w:sz="4" w:space="0" w:color="auto"/>
              <w:bottom w:val="single" w:sz="4" w:space="0" w:color="auto"/>
            </w:tcBorders>
            <w:shd w:val="clear" w:color="auto" w:fill="auto"/>
          </w:tcPr>
          <w:p w14:paraId="5799E8D5" w14:textId="7FAA8361" w:rsidR="0065721F" w:rsidRPr="002C598D" w:rsidRDefault="0065721F" w:rsidP="0065721F">
            <w:pPr>
              <w:pStyle w:val="mps3-heading"/>
              <w:widowControl w:val="0"/>
              <w:rPr>
                <w:b w:val="0"/>
                <w:bCs/>
                <w:szCs w:val="16"/>
              </w:rPr>
            </w:pPr>
            <w:r w:rsidRPr="002C598D">
              <w:rPr>
                <w:b w:val="0"/>
                <w:bCs/>
                <w:szCs w:val="16"/>
              </w:rPr>
              <w:t>C16308</w:t>
            </w:r>
          </w:p>
        </w:tc>
        <w:tc>
          <w:tcPr>
            <w:tcW w:w="850" w:type="dxa"/>
            <w:tcBorders>
              <w:top w:val="single" w:sz="4" w:space="0" w:color="auto"/>
              <w:bottom w:val="single" w:sz="4" w:space="0" w:color="auto"/>
            </w:tcBorders>
            <w:shd w:val="clear" w:color="auto" w:fill="auto"/>
          </w:tcPr>
          <w:p w14:paraId="46861EFA" w14:textId="4B7F21F0" w:rsidR="0065721F" w:rsidRPr="002C598D" w:rsidRDefault="0065721F" w:rsidP="0065721F">
            <w:pPr>
              <w:pStyle w:val="mps3-heading"/>
              <w:widowControl w:val="0"/>
              <w:rPr>
                <w:b w:val="0"/>
                <w:bCs/>
                <w:szCs w:val="16"/>
              </w:rPr>
            </w:pPr>
            <w:r w:rsidRPr="002C598D">
              <w:rPr>
                <w:b w:val="0"/>
                <w:bCs/>
                <w:szCs w:val="16"/>
              </w:rPr>
              <w:t>P16308</w:t>
            </w:r>
          </w:p>
        </w:tc>
        <w:tc>
          <w:tcPr>
            <w:tcW w:w="2128" w:type="dxa"/>
            <w:tcBorders>
              <w:top w:val="single" w:sz="4" w:space="0" w:color="auto"/>
              <w:bottom w:val="single" w:sz="4" w:space="0" w:color="auto"/>
            </w:tcBorders>
            <w:shd w:val="clear" w:color="auto" w:fill="auto"/>
          </w:tcPr>
          <w:p w14:paraId="225F305E" w14:textId="6745DE35" w:rsidR="0065721F" w:rsidRPr="002C598D" w:rsidRDefault="0065721F" w:rsidP="0065721F">
            <w:pPr>
              <w:pStyle w:val="mps3-heading"/>
              <w:widowControl w:val="0"/>
              <w:rPr>
                <w:b w:val="0"/>
                <w:bCs/>
                <w:szCs w:val="16"/>
              </w:rPr>
            </w:pPr>
            <w:r w:rsidRPr="002C598D">
              <w:rPr>
                <w:b w:val="0"/>
                <w:bCs/>
                <w:szCs w:val="16"/>
              </w:rPr>
              <w:t>Blinatumomab</w:t>
            </w:r>
          </w:p>
        </w:tc>
        <w:tc>
          <w:tcPr>
            <w:tcW w:w="7088" w:type="dxa"/>
            <w:tcBorders>
              <w:top w:val="single" w:sz="4" w:space="0" w:color="auto"/>
              <w:bottom w:val="single" w:sz="4" w:space="0" w:color="auto"/>
            </w:tcBorders>
            <w:shd w:val="clear" w:color="auto" w:fill="auto"/>
          </w:tcPr>
          <w:p w14:paraId="7E6A9847" w14:textId="77777777" w:rsidR="0065721F" w:rsidRPr="002C598D" w:rsidRDefault="0065721F" w:rsidP="0065721F">
            <w:pPr>
              <w:pStyle w:val="mps3-data"/>
              <w:widowControl w:val="0"/>
              <w:rPr>
                <w:szCs w:val="16"/>
              </w:rPr>
            </w:pPr>
            <w:r w:rsidRPr="002C598D">
              <w:rPr>
                <w:szCs w:val="16"/>
              </w:rPr>
              <w:t>Precursor B-cell acute lymphoblastic leukaemia (Pre-B-cell ALL)</w:t>
            </w:r>
          </w:p>
          <w:p w14:paraId="5A60D3C0" w14:textId="77777777" w:rsidR="0065721F" w:rsidRPr="002C598D" w:rsidRDefault="0065721F" w:rsidP="0065721F">
            <w:pPr>
              <w:pStyle w:val="mps3-data"/>
              <w:widowControl w:val="0"/>
              <w:rPr>
                <w:szCs w:val="16"/>
              </w:rPr>
            </w:pPr>
            <w:r w:rsidRPr="002C598D">
              <w:rPr>
                <w:szCs w:val="16"/>
              </w:rPr>
              <w:t>Continuing treatment of Pre-B-cell ALL in complete haematological remission (CR)</w:t>
            </w:r>
          </w:p>
          <w:p w14:paraId="4FA8659C" w14:textId="77777777" w:rsidR="0065721F" w:rsidRPr="002C598D" w:rsidRDefault="0065721F" w:rsidP="0065721F">
            <w:pPr>
              <w:pStyle w:val="mps3-data"/>
              <w:widowControl w:val="0"/>
              <w:rPr>
                <w:szCs w:val="16"/>
              </w:rPr>
            </w:pPr>
            <w:r w:rsidRPr="002C598D">
              <w:rPr>
                <w:szCs w:val="16"/>
              </w:rPr>
              <w:t>Must be treated by a physician experienced in the treatment of haematological malignancies.</w:t>
            </w:r>
          </w:p>
          <w:p w14:paraId="0A4EEAFD" w14:textId="77777777" w:rsidR="0065721F" w:rsidRPr="002C598D" w:rsidRDefault="0065721F" w:rsidP="0065721F">
            <w:pPr>
              <w:pStyle w:val="mps3-data"/>
              <w:widowControl w:val="0"/>
              <w:rPr>
                <w:szCs w:val="16"/>
              </w:rPr>
            </w:pPr>
            <w:r w:rsidRPr="002C598D">
              <w:rPr>
                <w:szCs w:val="16"/>
              </w:rPr>
              <w:t>Patient must have previously received PBS-subsidised treatment with this drug for this condition; AND</w:t>
            </w:r>
          </w:p>
          <w:p w14:paraId="1099B32C" w14:textId="77777777" w:rsidR="0065721F" w:rsidRPr="002C598D" w:rsidRDefault="0065721F" w:rsidP="0065721F">
            <w:pPr>
              <w:pStyle w:val="mps3-data"/>
              <w:widowControl w:val="0"/>
              <w:rPr>
                <w:szCs w:val="16"/>
              </w:rPr>
            </w:pPr>
            <w:r w:rsidRPr="002C598D">
              <w:rPr>
                <w:szCs w:val="16"/>
              </w:rPr>
              <w:t>Patient must have achieved a complete remission; AND</w:t>
            </w:r>
          </w:p>
          <w:p w14:paraId="737B487E" w14:textId="77777777" w:rsidR="0065721F" w:rsidRPr="002C598D" w:rsidRDefault="0065721F" w:rsidP="0065721F">
            <w:pPr>
              <w:pStyle w:val="mps3-data"/>
              <w:widowControl w:val="0"/>
              <w:rPr>
                <w:szCs w:val="16"/>
              </w:rPr>
            </w:pPr>
            <w:r w:rsidRPr="002C598D">
              <w:rPr>
                <w:szCs w:val="16"/>
              </w:rPr>
              <w:t>The condition must be negative for measurable residual disease (MRD) using the same method used to establish initial MRD status; AND</w:t>
            </w:r>
          </w:p>
          <w:p w14:paraId="5B98FBBD" w14:textId="77777777" w:rsidR="0065721F" w:rsidRPr="002C598D" w:rsidRDefault="0065721F" w:rsidP="0065721F">
            <w:pPr>
              <w:pStyle w:val="mps3-data"/>
              <w:widowControl w:val="0"/>
              <w:rPr>
                <w:szCs w:val="16"/>
              </w:rPr>
            </w:pPr>
            <w:r w:rsidRPr="002C598D">
              <w:rPr>
                <w:szCs w:val="16"/>
              </w:rPr>
              <w:lastRenderedPageBreak/>
              <w:t>Patient must not have developed disease progression while receiving treatment with this drug for this condition; AND</w:t>
            </w:r>
          </w:p>
          <w:p w14:paraId="16FE6624" w14:textId="77777777" w:rsidR="0065721F" w:rsidRPr="002C598D" w:rsidRDefault="0065721F" w:rsidP="0065721F">
            <w:pPr>
              <w:pStyle w:val="mps3-data"/>
              <w:widowControl w:val="0"/>
              <w:rPr>
                <w:szCs w:val="16"/>
              </w:rPr>
            </w:pPr>
            <w:r w:rsidRPr="002C598D">
              <w:rPr>
                <w:szCs w:val="16"/>
              </w:rPr>
              <w:t>The treatment must not be more than 2 treatment cycles under this restriction in a lifetime.</w:t>
            </w:r>
          </w:p>
          <w:p w14:paraId="38A13CCF" w14:textId="77777777" w:rsidR="0065721F" w:rsidRPr="002C598D" w:rsidRDefault="0065721F" w:rsidP="0065721F">
            <w:pPr>
              <w:pStyle w:val="mps3-data"/>
              <w:widowControl w:val="0"/>
              <w:rPr>
                <w:szCs w:val="16"/>
              </w:rPr>
            </w:pPr>
            <w:r w:rsidRPr="002C598D">
              <w:rPr>
                <w:szCs w:val="16"/>
              </w:rPr>
              <w:t>For all subsequent cycle starts and re-initiation (e.g. if treatment is interrupted for four or more hours), supervision by a health care professional or hospitalisation is recommended.</w:t>
            </w:r>
          </w:p>
          <w:p w14:paraId="1CA6A0DA" w14:textId="77777777" w:rsidR="0065721F" w:rsidRPr="002C598D" w:rsidRDefault="0065721F" w:rsidP="0065721F">
            <w:pPr>
              <w:pStyle w:val="mps3-data"/>
              <w:widowControl w:val="0"/>
              <w:rPr>
                <w:szCs w:val="16"/>
              </w:rPr>
            </w:pPr>
            <w:r w:rsidRPr="002C598D">
              <w:rPr>
                <w:szCs w:val="16"/>
              </w:rPr>
              <w:t>An amount of 784 microgram will be sufficient for a continuous infusion of blinatumomab over 28 days in each cycle.</w:t>
            </w:r>
          </w:p>
          <w:p w14:paraId="3F7581E5" w14:textId="77777777" w:rsidR="0065721F" w:rsidRPr="002C598D" w:rsidRDefault="0065721F" w:rsidP="0065721F">
            <w:pPr>
              <w:pStyle w:val="mps3-data"/>
              <w:widowControl w:val="0"/>
              <w:rPr>
                <w:szCs w:val="16"/>
              </w:rPr>
            </w:pPr>
            <w:r w:rsidRPr="002C598D">
              <w:rPr>
                <w:szCs w:val="16"/>
              </w:rPr>
              <w:t>Blinatumomab is not PBS-subsidised if it is administered to an in-patient in a public hospital setting.</w:t>
            </w:r>
          </w:p>
          <w:p w14:paraId="38CF4DEE" w14:textId="1A04F899" w:rsidR="0065721F" w:rsidRPr="002C598D" w:rsidRDefault="0065721F" w:rsidP="0065721F">
            <w:pPr>
              <w:pStyle w:val="mps3-heading"/>
              <w:widowControl w:val="0"/>
              <w:rPr>
                <w:b w:val="0"/>
                <w:bCs/>
                <w:szCs w:val="16"/>
              </w:rPr>
            </w:pPr>
            <w:r w:rsidRPr="002C598D">
              <w:rPr>
                <w:b w:val="0"/>
                <w:bCs/>
                <w:szCs w:val="16"/>
              </w:rPr>
              <w:t>Patients who fail to demonstrate a response to PBS-subsidised treatment with this agent at the time where an assessment is required must cease PBS-subsidised therapy with this agent.</w:t>
            </w:r>
          </w:p>
        </w:tc>
        <w:tc>
          <w:tcPr>
            <w:tcW w:w="2041" w:type="dxa"/>
            <w:tcBorders>
              <w:top w:val="single" w:sz="4" w:space="0" w:color="auto"/>
              <w:bottom w:val="single" w:sz="4" w:space="0" w:color="auto"/>
            </w:tcBorders>
            <w:shd w:val="clear" w:color="auto" w:fill="auto"/>
          </w:tcPr>
          <w:p w14:paraId="03ED7DC1" w14:textId="4BC1C738" w:rsidR="0065721F" w:rsidRPr="002C598D" w:rsidRDefault="0065721F" w:rsidP="0065721F">
            <w:pPr>
              <w:pStyle w:val="mps3-heading"/>
              <w:widowControl w:val="0"/>
              <w:rPr>
                <w:b w:val="0"/>
                <w:bCs/>
                <w:szCs w:val="16"/>
              </w:rPr>
            </w:pPr>
            <w:r w:rsidRPr="002C598D">
              <w:rPr>
                <w:b w:val="0"/>
                <w:szCs w:val="16"/>
              </w:rPr>
              <w:lastRenderedPageBreak/>
              <w:t>Compliance with Authority Required procedures</w:t>
            </w:r>
          </w:p>
        </w:tc>
      </w:tr>
      <w:tr w:rsidR="0065721F" w:rsidRPr="002C598D" w14:paraId="73591E22" w14:textId="77777777" w:rsidTr="00035BDA">
        <w:tc>
          <w:tcPr>
            <w:tcW w:w="850" w:type="dxa"/>
            <w:tcBorders>
              <w:top w:val="single" w:sz="4" w:space="0" w:color="auto"/>
              <w:bottom w:val="single" w:sz="4" w:space="0" w:color="auto"/>
            </w:tcBorders>
            <w:shd w:val="clear" w:color="auto" w:fill="auto"/>
          </w:tcPr>
          <w:p w14:paraId="1FEE04CF" w14:textId="64048DAD" w:rsidR="0065721F" w:rsidRPr="002C598D" w:rsidRDefault="0065721F" w:rsidP="0065721F">
            <w:pPr>
              <w:pStyle w:val="mps3-heading"/>
              <w:widowControl w:val="0"/>
              <w:rPr>
                <w:b w:val="0"/>
                <w:bCs/>
                <w:szCs w:val="16"/>
              </w:rPr>
            </w:pPr>
            <w:r w:rsidRPr="002C598D">
              <w:rPr>
                <w:b w:val="0"/>
                <w:bCs/>
                <w:szCs w:val="16"/>
              </w:rPr>
              <w:t>C16334</w:t>
            </w:r>
          </w:p>
        </w:tc>
        <w:tc>
          <w:tcPr>
            <w:tcW w:w="850" w:type="dxa"/>
            <w:tcBorders>
              <w:top w:val="single" w:sz="4" w:space="0" w:color="auto"/>
              <w:bottom w:val="single" w:sz="4" w:space="0" w:color="auto"/>
            </w:tcBorders>
            <w:shd w:val="clear" w:color="auto" w:fill="auto"/>
          </w:tcPr>
          <w:p w14:paraId="093B3200" w14:textId="1DBC19FD" w:rsidR="0065721F" w:rsidRPr="002C598D" w:rsidRDefault="0065721F" w:rsidP="0065721F">
            <w:pPr>
              <w:pStyle w:val="mps3-heading"/>
              <w:widowControl w:val="0"/>
              <w:rPr>
                <w:b w:val="0"/>
                <w:bCs/>
                <w:szCs w:val="16"/>
              </w:rPr>
            </w:pPr>
            <w:r w:rsidRPr="002C598D">
              <w:rPr>
                <w:b w:val="0"/>
                <w:bCs/>
                <w:szCs w:val="16"/>
              </w:rPr>
              <w:t>P16334</w:t>
            </w:r>
          </w:p>
        </w:tc>
        <w:tc>
          <w:tcPr>
            <w:tcW w:w="2128" w:type="dxa"/>
            <w:tcBorders>
              <w:top w:val="single" w:sz="4" w:space="0" w:color="auto"/>
              <w:bottom w:val="single" w:sz="4" w:space="0" w:color="auto"/>
            </w:tcBorders>
            <w:shd w:val="clear" w:color="auto" w:fill="auto"/>
          </w:tcPr>
          <w:p w14:paraId="3EF9D156" w14:textId="543DC737" w:rsidR="0065721F" w:rsidRPr="002C598D" w:rsidRDefault="0065721F" w:rsidP="0065721F">
            <w:pPr>
              <w:pStyle w:val="mps3-heading"/>
              <w:widowControl w:val="0"/>
              <w:rPr>
                <w:b w:val="0"/>
                <w:bCs/>
                <w:szCs w:val="16"/>
              </w:rPr>
            </w:pPr>
            <w:r w:rsidRPr="002C598D">
              <w:rPr>
                <w:b w:val="0"/>
                <w:bCs/>
                <w:szCs w:val="16"/>
              </w:rPr>
              <w:t>Blinatumomab</w:t>
            </w:r>
          </w:p>
        </w:tc>
        <w:tc>
          <w:tcPr>
            <w:tcW w:w="7088" w:type="dxa"/>
            <w:tcBorders>
              <w:top w:val="single" w:sz="4" w:space="0" w:color="auto"/>
              <w:bottom w:val="single" w:sz="4" w:space="0" w:color="auto"/>
            </w:tcBorders>
            <w:shd w:val="clear" w:color="auto" w:fill="auto"/>
          </w:tcPr>
          <w:p w14:paraId="61106DAF" w14:textId="77777777" w:rsidR="0065721F" w:rsidRPr="002C598D" w:rsidRDefault="0065721F" w:rsidP="0065721F">
            <w:pPr>
              <w:pStyle w:val="mps3-data"/>
              <w:widowControl w:val="0"/>
              <w:rPr>
                <w:szCs w:val="16"/>
              </w:rPr>
            </w:pPr>
            <w:r w:rsidRPr="002C598D">
              <w:rPr>
                <w:szCs w:val="16"/>
              </w:rPr>
              <w:t>Precursor B-cell acute lymphoblastic leukaemia (Pre-B-cell ALL)</w:t>
            </w:r>
          </w:p>
          <w:p w14:paraId="4E4CB135" w14:textId="77777777" w:rsidR="0065721F" w:rsidRPr="002C598D" w:rsidRDefault="0065721F" w:rsidP="0065721F">
            <w:pPr>
              <w:pStyle w:val="mps3-data"/>
              <w:widowControl w:val="0"/>
              <w:rPr>
                <w:szCs w:val="16"/>
              </w:rPr>
            </w:pPr>
            <w:r w:rsidRPr="002C598D">
              <w:rPr>
                <w:szCs w:val="16"/>
              </w:rPr>
              <w:t>Transitioning from non-PBS to PBS-subsidised supply - Grandfather arrangements for Pre-B-cell ALL in complete haematological remission (CR)</w:t>
            </w:r>
          </w:p>
          <w:p w14:paraId="6F3727E6" w14:textId="77777777" w:rsidR="0065721F" w:rsidRPr="002C598D" w:rsidRDefault="0065721F" w:rsidP="0065721F">
            <w:pPr>
              <w:pStyle w:val="mps3-data"/>
              <w:widowControl w:val="0"/>
              <w:rPr>
                <w:szCs w:val="16"/>
              </w:rPr>
            </w:pPr>
            <w:r w:rsidRPr="002C598D">
              <w:rPr>
                <w:szCs w:val="16"/>
              </w:rPr>
              <w:t>Must be treated by a physician experienced in the treatment of haematological malignancies.</w:t>
            </w:r>
          </w:p>
          <w:p w14:paraId="3202A71B" w14:textId="77777777" w:rsidR="0065721F" w:rsidRPr="002C598D" w:rsidRDefault="0065721F" w:rsidP="0065721F">
            <w:pPr>
              <w:pStyle w:val="mps3-data"/>
              <w:widowControl w:val="0"/>
              <w:rPr>
                <w:szCs w:val="16"/>
              </w:rPr>
            </w:pPr>
            <w:r w:rsidRPr="002C598D">
              <w:rPr>
                <w:szCs w:val="16"/>
              </w:rPr>
              <w:t>Patient must have commenced treatment with this medicine for this condition prior to 1 March 2025; AND</w:t>
            </w:r>
          </w:p>
          <w:p w14:paraId="2AD176B9" w14:textId="77777777" w:rsidR="0065721F" w:rsidRPr="002C598D" w:rsidRDefault="0065721F" w:rsidP="0065721F">
            <w:pPr>
              <w:pStyle w:val="mps3-data"/>
              <w:widowControl w:val="0"/>
              <w:rPr>
                <w:szCs w:val="16"/>
              </w:rPr>
            </w:pPr>
            <w:r w:rsidRPr="002C598D">
              <w:rPr>
                <w:szCs w:val="16"/>
              </w:rPr>
              <w:t>Patient must have had an Eastern Cooperative Oncology Group (ECOG) performance status of 0 or 1, at initiation of non-PBS-subsidised treatment with this drug; AND</w:t>
            </w:r>
          </w:p>
          <w:p w14:paraId="40C46EB9" w14:textId="77777777" w:rsidR="0065721F" w:rsidRPr="002C598D" w:rsidRDefault="0065721F" w:rsidP="0065721F">
            <w:pPr>
              <w:pStyle w:val="mps3-data"/>
              <w:widowControl w:val="0"/>
              <w:rPr>
                <w:szCs w:val="16"/>
              </w:rPr>
            </w:pPr>
            <w:r w:rsidRPr="002C598D">
              <w:rPr>
                <w:szCs w:val="16"/>
              </w:rPr>
              <w:t>The condition must not be present in the central nervous system or testis; AND</w:t>
            </w:r>
          </w:p>
          <w:p w14:paraId="4AD88F0A" w14:textId="77777777" w:rsidR="0065721F" w:rsidRPr="002C598D" w:rsidRDefault="0065721F" w:rsidP="0065721F">
            <w:pPr>
              <w:pStyle w:val="mps3-data"/>
              <w:widowControl w:val="0"/>
              <w:rPr>
                <w:szCs w:val="16"/>
              </w:rPr>
            </w:pPr>
            <w:r w:rsidRPr="002C598D">
              <w:rPr>
                <w:szCs w:val="16"/>
              </w:rPr>
              <w:t>Patient must have achieved complete remission following intensive combination chemotherapy for initial treatment of acute lymphoblastic leukaemia (ALL) at initiation of non-PBS-subsidised treatment with this drug; OR</w:t>
            </w:r>
          </w:p>
          <w:p w14:paraId="70F458AF" w14:textId="77777777" w:rsidR="0065721F" w:rsidRPr="002C598D" w:rsidRDefault="0065721F" w:rsidP="0065721F">
            <w:pPr>
              <w:pStyle w:val="mps3-data"/>
              <w:widowControl w:val="0"/>
              <w:rPr>
                <w:szCs w:val="16"/>
              </w:rPr>
            </w:pPr>
            <w:r w:rsidRPr="002C598D">
              <w:rPr>
                <w:szCs w:val="16"/>
              </w:rPr>
              <w:t>Patient must have had at initiation of non-PBS-subsidised treatment with this drug: (</w:t>
            </w:r>
            <w:proofErr w:type="spellStart"/>
            <w:r w:rsidRPr="002C598D">
              <w:rPr>
                <w:szCs w:val="16"/>
              </w:rPr>
              <w:t>i</w:t>
            </w:r>
            <w:proofErr w:type="spellEnd"/>
            <w:r w:rsidRPr="002C598D">
              <w:rPr>
                <w:szCs w:val="16"/>
              </w:rPr>
              <w:t>) achieved complete remission following intensive combination chemotherapy, (ii) measurable residual disease based on measurement in bone marrow, documented after the last course of systemic chemotherapy given as intensive combination chemotherapy treatment of ALL/as subsequent salvage therapy, whichever was the later, measured using flow cytometry/molecular methods; AND</w:t>
            </w:r>
          </w:p>
          <w:p w14:paraId="68FB1A8C" w14:textId="77777777" w:rsidR="0065721F" w:rsidRPr="002C598D" w:rsidRDefault="0065721F" w:rsidP="0065721F">
            <w:pPr>
              <w:pStyle w:val="mps3-data"/>
              <w:widowControl w:val="0"/>
              <w:rPr>
                <w:szCs w:val="16"/>
              </w:rPr>
            </w:pPr>
            <w:r w:rsidRPr="002C598D">
              <w:rPr>
                <w:szCs w:val="16"/>
              </w:rPr>
              <w:t>Patient must not have developed disease progression while receiving treatment with this drug for this condition; AND</w:t>
            </w:r>
          </w:p>
          <w:p w14:paraId="04365922" w14:textId="77777777" w:rsidR="0065721F" w:rsidRPr="002C598D" w:rsidRDefault="0065721F" w:rsidP="0065721F">
            <w:pPr>
              <w:pStyle w:val="mps3-data"/>
              <w:widowControl w:val="0"/>
              <w:rPr>
                <w:szCs w:val="16"/>
              </w:rPr>
            </w:pPr>
            <w:r w:rsidRPr="002C598D">
              <w:rPr>
                <w:szCs w:val="16"/>
              </w:rPr>
              <w:t>Patient must have received at least 1 treatment cycle of non-PBS therapy under this restriction; AND</w:t>
            </w:r>
          </w:p>
          <w:p w14:paraId="340632E3" w14:textId="77777777" w:rsidR="0065721F" w:rsidRPr="002C598D" w:rsidRDefault="0065721F" w:rsidP="0065721F">
            <w:pPr>
              <w:pStyle w:val="mps3-data"/>
              <w:widowControl w:val="0"/>
              <w:rPr>
                <w:szCs w:val="16"/>
              </w:rPr>
            </w:pPr>
            <w:r w:rsidRPr="002C598D">
              <w:rPr>
                <w:szCs w:val="16"/>
              </w:rPr>
              <w:t>The treatment must not be more than 4 treatment cycles of therapy (non-PBS and PBS) under this restriction in a lifetime.</w:t>
            </w:r>
          </w:p>
          <w:p w14:paraId="6CDAF784" w14:textId="77777777" w:rsidR="0065721F" w:rsidRPr="002C598D" w:rsidRDefault="0065721F" w:rsidP="0065721F">
            <w:pPr>
              <w:pStyle w:val="mps3-data"/>
              <w:widowControl w:val="0"/>
              <w:rPr>
                <w:szCs w:val="16"/>
              </w:rPr>
            </w:pPr>
            <w:r w:rsidRPr="002C598D">
              <w:rPr>
                <w:szCs w:val="16"/>
              </w:rPr>
              <w:t>According to the TGA-approved Product Information, hospitalisation is recommended at minimum for the first 3 days of the first cycle and the first 2 days of the second cycle.</w:t>
            </w:r>
          </w:p>
          <w:p w14:paraId="275686FB" w14:textId="77777777" w:rsidR="0065721F" w:rsidRPr="002C598D" w:rsidRDefault="0065721F" w:rsidP="0065721F">
            <w:pPr>
              <w:pStyle w:val="mps3-data"/>
              <w:widowControl w:val="0"/>
              <w:rPr>
                <w:szCs w:val="16"/>
              </w:rPr>
            </w:pPr>
            <w:r w:rsidRPr="002C598D">
              <w:rPr>
                <w:szCs w:val="16"/>
              </w:rPr>
              <w:t>For all subsequent cycle starts and re-initiation (e.g. if treatment is interrupted for four or more hours), supervision by a health care professional or hospitalisation is recommended.</w:t>
            </w:r>
          </w:p>
          <w:p w14:paraId="3D8500C2" w14:textId="77777777" w:rsidR="0065721F" w:rsidRPr="002C598D" w:rsidRDefault="0065721F" w:rsidP="0065721F">
            <w:pPr>
              <w:pStyle w:val="mps3-data"/>
              <w:widowControl w:val="0"/>
              <w:rPr>
                <w:szCs w:val="16"/>
              </w:rPr>
            </w:pPr>
            <w:r w:rsidRPr="002C598D">
              <w:rPr>
                <w:szCs w:val="16"/>
              </w:rPr>
              <w:t xml:space="preserve">An amount of 784 mcg will be sufficient for a continuous infusion of blinatumomab over 28 days in </w:t>
            </w:r>
            <w:r w:rsidRPr="002C598D">
              <w:rPr>
                <w:szCs w:val="16"/>
              </w:rPr>
              <w:lastRenderedPageBreak/>
              <w:t>each cycle.</w:t>
            </w:r>
          </w:p>
          <w:p w14:paraId="327AE772" w14:textId="77777777" w:rsidR="0065721F" w:rsidRPr="002C598D" w:rsidRDefault="0065721F" w:rsidP="0065721F">
            <w:pPr>
              <w:pStyle w:val="mps3-data"/>
              <w:widowControl w:val="0"/>
              <w:rPr>
                <w:szCs w:val="16"/>
              </w:rPr>
            </w:pPr>
            <w:r w:rsidRPr="002C598D">
              <w:rPr>
                <w:szCs w:val="16"/>
              </w:rPr>
              <w:t>Blinatumomab is not PBS-subsidised if it is administered to an in-patient in a public hospital setting.</w:t>
            </w:r>
          </w:p>
          <w:p w14:paraId="300DD981" w14:textId="77777777" w:rsidR="0065721F" w:rsidRPr="002C598D" w:rsidRDefault="0065721F" w:rsidP="0065721F">
            <w:pPr>
              <w:pStyle w:val="mps3-data"/>
              <w:widowControl w:val="0"/>
              <w:rPr>
                <w:szCs w:val="16"/>
              </w:rPr>
            </w:pPr>
            <w:r w:rsidRPr="002C598D">
              <w:rPr>
                <w:szCs w:val="16"/>
              </w:rPr>
              <w:t>The authority application must be made in writing and must include:</w:t>
            </w:r>
          </w:p>
          <w:p w14:paraId="1E5E0295" w14:textId="77777777" w:rsidR="0065721F" w:rsidRPr="002C598D" w:rsidRDefault="0065721F" w:rsidP="0065721F">
            <w:pPr>
              <w:pStyle w:val="mps3-data"/>
              <w:widowControl w:val="0"/>
              <w:rPr>
                <w:szCs w:val="16"/>
              </w:rPr>
            </w:pPr>
            <w:r w:rsidRPr="002C598D">
              <w:rPr>
                <w:szCs w:val="16"/>
              </w:rPr>
              <w:t>(1) details of the proposed prescription; and</w:t>
            </w:r>
          </w:p>
          <w:p w14:paraId="1795C401" w14:textId="77777777" w:rsidR="0065721F" w:rsidRPr="002C598D" w:rsidRDefault="0065721F" w:rsidP="0065721F">
            <w:pPr>
              <w:pStyle w:val="mps3-data"/>
              <w:widowControl w:val="0"/>
              <w:rPr>
                <w:szCs w:val="16"/>
              </w:rPr>
            </w:pPr>
            <w:r w:rsidRPr="002C598D">
              <w:rPr>
                <w:szCs w:val="16"/>
              </w:rPr>
              <w:t>(2) a completed Acute Lymphoblastic Leukaemia in complete haematological remission PBS Authority Application - Supporting Information Form; and</w:t>
            </w:r>
          </w:p>
          <w:p w14:paraId="678D24D7" w14:textId="77777777" w:rsidR="0065721F" w:rsidRPr="002C598D" w:rsidRDefault="0065721F" w:rsidP="0065721F">
            <w:pPr>
              <w:pStyle w:val="mps3-data"/>
              <w:widowControl w:val="0"/>
              <w:rPr>
                <w:szCs w:val="16"/>
              </w:rPr>
            </w:pPr>
            <w:r w:rsidRPr="002C598D">
              <w:rPr>
                <w:szCs w:val="16"/>
              </w:rPr>
              <w:t>(3) date of most recent chemotherapy, and if this was the initial chemotherapy regimen or salvage therapy; and</w:t>
            </w:r>
          </w:p>
          <w:p w14:paraId="2CCB3B13" w14:textId="77777777" w:rsidR="0065721F" w:rsidRPr="002C598D" w:rsidRDefault="0065721F" w:rsidP="0065721F">
            <w:pPr>
              <w:pStyle w:val="mps3-data"/>
              <w:widowControl w:val="0"/>
              <w:rPr>
                <w:szCs w:val="16"/>
              </w:rPr>
            </w:pPr>
            <w:r w:rsidRPr="002C598D">
              <w:rPr>
                <w:szCs w:val="16"/>
              </w:rPr>
              <w:t>(4) the percentage blasts in bone marrow count that is no more than 4 weeks old at the time of application.</w:t>
            </w:r>
          </w:p>
          <w:p w14:paraId="10E0B7F2" w14:textId="0BA6221F" w:rsidR="0065721F" w:rsidRPr="002C598D" w:rsidRDefault="0065721F" w:rsidP="0065721F">
            <w:pPr>
              <w:pStyle w:val="mps3-heading"/>
              <w:widowControl w:val="0"/>
              <w:rPr>
                <w:b w:val="0"/>
                <w:bCs/>
                <w:szCs w:val="16"/>
              </w:rPr>
            </w:pPr>
            <w:r w:rsidRPr="002C598D">
              <w:rPr>
                <w:b w:val="0"/>
                <w:bCs/>
                <w:szCs w:val="16"/>
              </w:rPr>
              <w:t>Patients who fail to demonstrate a response to PBS-subsidised treatment with this agent at the time where an assessment is required must cease PBS-subsidised therapy with this agent.</w:t>
            </w:r>
          </w:p>
        </w:tc>
        <w:tc>
          <w:tcPr>
            <w:tcW w:w="2041" w:type="dxa"/>
            <w:tcBorders>
              <w:top w:val="single" w:sz="4" w:space="0" w:color="auto"/>
              <w:bottom w:val="single" w:sz="4" w:space="0" w:color="auto"/>
            </w:tcBorders>
            <w:shd w:val="clear" w:color="auto" w:fill="auto"/>
          </w:tcPr>
          <w:p w14:paraId="17FD8161" w14:textId="7F77A70C" w:rsidR="0065721F" w:rsidRPr="002C598D" w:rsidRDefault="0065721F" w:rsidP="0065721F">
            <w:pPr>
              <w:pStyle w:val="mps3-heading"/>
              <w:widowControl w:val="0"/>
              <w:rPr>
                <w:b w:val="0"/>
                <w:bCs/>
                <w:szCs w:val="16"/>
              </w:rPr>
            </w:pPr>
            <w:r w:rsidRPr="002C598D">
              <w:rPr>
                <w:b w:val="0"/>
                <w:szCs w:val="16"/>
              </w:rPr>
              <w:lastRenderedPageBreak/>
              <w:t>Compliance with Written Authority Required procedures</w:t>
            </w:r>
          </w:p>
        </w:tc>
      </w:tr>
      <w:tr w:rsidR="0065721F" w:rsidRPr="0065721F" w14:paraId="0CD2F9FF" w14:textId="77777777" w:rsidTr="00035BDA">
        <w:tc>
          <w:tcPr>
            <w:tcW w:w="850" w:type="dxa"/>
            <w:tcBorders>
              <w:top w:val="single" w:sz="4" w:space="0" w:color="auto"/>
              <w:bottom w:val="single" w:sz="4" w:space="0" w:color="auto"/>
            </w:tcBorders>
            <w:shd w:val="clear" w:color="auto" w:fill="auto"/>
          </w:tcPr>
          <w:p w14:paraId="68E75B99" w14:textId="2C506282" w:rsidR="0065721F" w:rsidRPr="002C598D" w:rsidRDefault="0065721F" w:rsidP="0065721F">
            <w:pPr>
              <w:pStyle w:val="mps3-heading"/>
              <w:widowControl w:val="0"/>
              <w:rPr>
                <w:b w:val="0"/>
                <w:bCs/>
                <w:szCs w:val="16"/>
              </w:rPr>
            </w:pPr>
            <w:r w:rsidRPr="002C598D">
              <w:rPr>
                <w:b w:val="0"/>
                <w:bCs/>
                <w:szCs w:val="16"/>
              </w:rPr>
              <w:t>C16341</w:t>
            </w:r>
          </w:p>
        </w:tc>
        <w:tc>
          <w:tcPr>
            <w:tcW w:w="850" w:type="dxa"/>
            <w:tcBorders>
              <w:top w:val="single" w:sz="4" w:space="0" w:color="auto"/>
              <w:bottom w:val="single" w:sz="4" w:space="0" w:color="auto"/>
            </w:tcBorders>
            <w:shd w:val="clear" w:color="auto" w:fill="auto"/>
          </w:tcPr>
          <w:p w14:paraId="0EB1DFCA" w14:textId="22DFE57A" w:rsidR="0065721F" w:rsidRPr="002C598D" w:rsidRDefault="0065721F" w:rsidP="0065721F">
            <w:pPr>
              <w:pStyle w:val="mps3-heading"/>
              <w:widowControl w:val="0"/>
              <w:rPr>
                <w:b w:val="0"/>
                <w:bCs/>
                <w:szCs w:val="16"/>
              </w:rPr>
            </w:pPr>
            <w:r w:rsidRPr="002C598D">
              <w:rPr>
                <w:b w:val="0"/>
                <w:bCs/>
                <w:szCs w:val="16"/>
              </w:rPr>
              <w:t>P16341</w:t>
            </w:r>
          </w:p>
        </w:tc>
        <w:tc>
          <w:tcPr>
            <w:tcW w:w="2128" w:type="dxa"/>
            <w:tcBorders>
              <w:top w:val="single" w:sz="4" w:space="0" w:color="auto"/>
              <w:bottom w:val="single" w:sz="4" w:space="0" w:color="auto"/>
            </w:tcBorders>
            <w:shd w:val="clear" w:color="auto" w:fill="auto"/>
          </w:tcPr>
          <w:p w14:paraId="58E30EBD" w14:textId="02734168" w:rsidR="0065721F" w:rsidRPr="002C598D" w:rsidRDefault="0065721F" w:rsidP="0065721F">
            <w:pPr>
              <w:pStyle w:val="mps3-heading"/>
              <w:widowControl w:val="0"/>
              <w:rPr>
                <w:b w:val="0"/>
                <w:bCs/>
                <w:szCs w:val="16"/>
              </w:rPr>
            </w:pPr>
            <w:r w:rsidRPr="002C598D">
              <w:rPr>
                <w:b w:val="0"/>
                <w:bCs/>
                <w:szCs w:val="16"/>
              </w:rPr>
              <w:t>Blinatumomab</w:t>
            </w:r>
          </w:p>
        </w:tc>
        <w:tc>
          <w:tcPr>
            <w:tcW w:w="7088" w:type="dxa"/>
            <w:tcBorders>
              <w:top w:val="single" w:sz="4" w:space="0" w:color="auto"/>
              <w:bottom w:val="single" w:sz="4" w:space="0" w:color="auto"/>
            </w:tcBorders>
            <w:shd w:val="clear" w:color="auto" w:fill="auto"/>
          </w:tcPr>
          <w:p w14:paraId="1AA0DC38" w14:textId="77777777" w:rsidR="0065721F" w:rsidRPr="002C598D" w:rsidRDefault="0065721F" w:rsidP="0065721F">
            <w:pPr>
              <w:pStyle w:val="mps3-data"/>
              <w:widowControl w:val="0"/>
              <w:rPr>
                <w:szCs w:val="16"/>
              </w:rPr>
            </w:pPr>
            <w:r w:rsidRPr="002C598D">
              <w:rPr>
                <w:szCs w:val="16"/>
              </w:rPr>
              <w:t>Precursor B-cell acute lymphoblastic leukaemia (Pre-B-cell ALL)</w:t>
            </w:r>
          </w:p>
          <w:p w14:paraId="282D14FB" w14:textId="77777777" w:rsidR="0065721F" w:rsidRPr="002C598D" w:rsidRDefault="0065721F" w:rsidP="0065721F">
            <w:pPr>
              <w:pStyle w:val="mps3-data"/>
              <w:widowControl w:val="0"/>
              <w:rPr>
                <w:szCs w:val="16"/>
              </w:rPr>
            </w:pPr>
            <w:r w:rsidRPr="002C598D">
              <w:rPr>
                <w:szCs w:val="16"/>
              </w:rPr>
              <w:t>Initial treatment of Pre-B-cell ALL in complete haematological remission (CR)</w:t>
            </w:r>
          </w:p>
          <w:p w14:paraId="648ABA59" w14:textId="77777777" w:rsidR="0065721F" w:rsidRPr="002C598D" w:rsidRDefault="0065721F" w:rsidP="0065721F">
            <w:pPr>
              <w:pStyle w:val="mps3-data"/>
              <w:widowControl w:val="0"/>
              <w:rPr>
                <w:szCs w:val="16"/>
              </w:rPr>
            </w:pPr>
            <w:r w:rsidRPr="002C598D">
              <w:rPr>
                <w:szCs w:val="16"/>
              </w:rPr>
              <w:t>Must be treated by a physician experienced in the treatment of haematological malignancies.</w:t>
            </w:r>
          </w:p>
          <w:p w14:paraId="391BC804" w14:textId="77777777" w:rsidR="0065721F" w:rsidRPr="002C598D" w:rsidRDefault="0065721F" w:rsidP="0065721F">
            <w:pPr>
              <w:pStyle w:val="mps3-data"/>
              <w:widowControl w:val="0"/>
              <w:rPr>
                <w:szCs w:val="16"/>
              </w:rPr>
            </w:pPr>
            <w:r w:rsidRPr="002C598D">
              <w:rPr>
                <w:szCs w:val="16"/>
              </w:rPr>
              <w:t>Patient must have an Eastern Cooperative Oncology Group (ECOG) performance status of 0 or 1; AND</w:t>
            </w:r>
          </w:p>
          <w:p w14:paraId="79D51991" w14:textId="77777777" w:rsidR="0065721F" w:rsidRPr="002C598D" w:rsidRDefault="0065721F" w:rsidP="0065721F">
            <w:pPr>
              <w:pStyle w:val="mps3-data"/>
              <w:widowControl w:val="0"/>
              <w:rPr>
                <w:szCs w:val="16"/>
              </w:rPr>
            </w:pPr>
            <w:r w:rsidRPr="002C598D">
              <w:rPr>
                <w:szCs w:val="16"/>
              </w:rPr>
              <w:t>The condition must not be present in the central nervous system or testis; AND</w:t>
            </w:r>
          </w:p>
          <w:p w14:paraId="7F42C0E4" w14:textId="77777777" w:rsidR="0065721F" w:rsidRPr="002C598D" w:rsidRDefault="0065721F" w:rsidP="0065721F">
            <w:pPr>
              <w:pStyle w:val="mps3-data"/>
              <w:widowControl w:val="0"/>
              <w:rPr>
                <w:szCs w:val="16"/>
              </w:rPr>
            </w:pPr>
            <w:r w:rsidRPr="002C598D">
              <w:rPr>
                <w:szCs w:val="16"/>
              </w:rPr>
              <w:t>Patient must have achieved complete remission following intensive combination chemotherapy for initial treatment of acute lymphoblastic leukaemia (ALL); OR</w:t>
            </w:r>
          </w:p>
          <w:p w14:paraId="3EEED65A" w14:textId="77777777" w:rsidR="0065721F" w:rsidRPr="002C598D" w:rsidRDefault="0065721F" w:rsidP="0065721F">
            <w:pPr>
              <w:pStyle w:val="mps3-data"/>
              <w:widowControl w:val="0"/>
              <w:rPr>
                <w:szCs w:val="16"/>
              </w:rPr>
            </w:pPr>
            <w:r w:rsidRPr="002C598D">
              <w:rPr>
                <w:szCs w:val="16"/>
              </w:rPr>
              <w:t>Patient must have: (</w:t>
            </w:r>
            <w:proofErr w:type="spellStart"/>
            <w:r w:rsidRPr="002C598D">
              <w:rPr>
                <w:szCs w:val="16"/>
              </w:rPr>
              <w:t>i</w:t>
            </w:r>
            <w:proofErr w:type="spellEnd"/>
            <w:r w:rsidRPr="002C598D">
              <w:rPr>
                <w:szCs w:val="16"/>
              </w:rPr>
              <w:t>) achieved complete remission following intensive combination chemotherapy, (ii) measurable residual disease based on measurement in bone marrow, documented after the last course of systemic chemotherapy given as intensive combination chemotherapy treatment of ALL/as subsequent salvage therapy, whichever was the later, measured using flow cytometry/molecular methods; AND</w:t>
            </w:r>
          </w:p>
          <w:p w14:paraId="6BA20758" w14:textId="77777777" w:rsidR="0065721F" w:rsidRPr="002C598D" w:rsidRDefault="0065721F" w:rsidP="0065721F">
            <w:pPr>
              <w:pStyle w:val="mps3-data"/>
              <w:widowControl w:val="0"/>
              <w:rPr>
                <w:szCs w:val="16"/>
              </w:rPr>
            </w:pPr>
            <w:r w:rsidRPr="002C598D">
              <w:rPr>
                <w:szCs w:val="16"/>
              </w:rPr>
              <w:t>The treatment must not be more than 2 treatment cycles under this restriction in a lifetime.</w:t>
            </w:r>
          </w:p>
          <w:p w14:paraId="4200B434" w14:textId="77777777" w:rsidR="0065721F" w:rsidRPr="002C598D" w:rsidRDefault="0065721F" w:rsidP="0065721F">
            <w:pPr>
              <w:pStyle w:val="mps3-data"/>
              <w:widowControl w:val="0"/>
              <w:rPr>
                <w:szCs w:val="16"/>
              </w:rPr>
            </w:pPr>
            <w:r w:rsidRPr="002C598D">
              <w:rPr>
                <w:szCs w:val="16"/>
              </w:rPr>
              <w:t>According to the TGA-approved Product Information, hospitalisation is recommended at minimum for the first 3 days of the first cycle and the first 2 days of the second cycle.</w:t>
            </w:r>
          </w:p>
          <w:p w14:paraId="300E04D6" w14:textId="77777777" w:rsidR="0065721F" w:rsidRPr="002C598D" w:rsidRDefault="0065721F" w:rsidP="0065721F">
            <w:pPr>
              <w:pStyle w:val="mps3-data"/>
              <w:widowControl w:val="0"/>
              <w:rPr>
                <w:szCs w:val="16"/>
              </w:rPr>
            </w:pPr>
            <w:r w:rsidRPr="002C598D">
              <w:rPr>
                <w:szCs w:val="16"/>
              </w:rPr>
              <w:t>For all subsequent cycle starts and re-initiation (e.g. if treatment is interrupted for four or more hours), supervision by a health care professional or hospitalisation is recommended.</w:t>
            </w:r>
          </w:p>
          <w:p w14:paraId="24DC4655" w14:textId="77777777" w:rsidR="0065721F" w:rsidRPr="002C598D" w:rsidRDefault="0065721F" w:rsidP="0065721F">
            <w:pPr>
              <w:pStyle w:val="mps3-data"/>
              <w:widowControl w:val="0"/>
              <w:rPr>
                <w:szCs w:val="16"/>
              </w:rPr>
            </w:pPr>
            <w:r w:rsidRPr="002C598D">
              <w:rPr>
                <w:szCs w:val="16"/>
              </w:rPr>
              <w:t>An amount of 784 mcg will be sufficient for a continuous infusion of blinatumomab over 28 days in each cycle.</w:t>
            </w:r>
          </w:p>
          <w:p w14:paraId="3182F463" w14:textId="77777777" w:rsidR="0065721F" w:rsidRPr="002C598D" w:rsidRDefault="0065721F" w:rsidP="0065721F">
            <w:pPr>
              <w:pStyle w:val="mps3-data"/>
              <w:widowControl w:val="0"/>
              <w:rPr>
                <w:szCs w:val="16"/>
              </w:rPr>
            </w:pPr>
            <w:r w:rsidRPr="002C598D">
              <w:rPr>
                <w:szCs w:val="16"/>
              </w:rPr>
              <w:t>Blinatumomab is not PBS-subsidised if it is administered to an in-patient in a public hospital setting.</w:t>
            </w:r>
          </w:p>
          <w:p w14:paraId="07E634B6" w14:textId="77777777" w:rsidR="0065721F" w:rsidRPr="002C598D" w:rsidRDefault="0065721F" w:rsidP="0065721F">
            <w:pPr>
              <w:pStyle w:val="mps3-data"/>
              <w:widowControl w:val="0"/>
              <w:rPr>
                <w:szCs w:val="16"/>
              </w:rPr>
            </w:pPr>
            <w:r w:rsidRPr="002C598D">
              <w:rPr>
                <w:szCs w:val="16"/>
              </w:rPr>
              <w:t>The authority application must be made in writing and must include:</w:t>
            </w:r>
          </w:p>
          <w:p w14:paraId="2580ED2E" w14:textId="77777777" w:rsidR="0065721F" w:rsidRPr="002C598D" w:rsidRDefault="0065721F" w:rsidP="0065721F">
            <w:pPr>
              <w:pStyle w:val="mps3-data"/>
              <w:widowControl w:val="0"/>
              <w:rPr>
                <w:szCs w:val="16"/>
              </w:rPr>
            </w:pPr>
            <w:r w:rsidRPr="002C598D">
              <w:rPr>
                <w:szCs w:val="16"/>
              </w:rPr>
              <w:t>(1) details of the proposed prescription; and</w:t>
            </w:r>
          </w:p>
          <w:p w14:paraId="5E17C6FD" w14:textId="77777777" w:rsidR="0065721F" w:rsidRPr="002C598D" w:rsidRDefault="0065721F" w:rsidP="0065721F">
            <w:pPr>
              <w:pStyle w:val="mps3-data"/>
              <w:widowControl w:val="0"/>
              <w:rPr>
                <w:szCs w:val="16"/>
              </w:rPr>
            </w:pPr>
            <w:r w:rsidRPr="002C598D">
              <w:rPr>
                <w:szCs w:val="16"/>
              </w:rPr>
              <w:t xml:space="preserve">(2) a completed Acute Lymphoblastic Leukaemia in complete haematological remission PBS </w:t>
            </w:r>
            <w:r w:rsidRPr="002C598D">
              <w:rPr>
                <w:szCs w:val="16"/>
              </w:rPr>
              <w:lastRenderedPageBreak/>
              <w:t>Authority Application - Supporting Information Form; and</w:t>
            </w:r>
          </w:p>
          <w:p w14:paraId="5139CA7A" w14:textId="77777777" w:rsidR="0065721F" w:rsidRPr="002C598D" w:rsidRDefault="0065721F" w:rsidP="0065721F">
            <w:pPr>
              <w:pStyle w:val="mps3-data"/>
              <w:widowControl w:val="0"/>
              <w:rPr>
                <w:szCs w:val="16"/>
              </w:rPr>
            </w:pPr>
            <w:r w:rsidRPr="002C598D">
              <w:rPr>
                <w:szCs w:val="16"/>
              </w:rPr>
              <w:t>(3) date of most recent chemotherapy, and if this was the initial chemotherapy regimen or salvage therapy; and</w:t>
            </w:r>
          </w:p>
          <w:p w14:paraId="311979BF" w14:textId="77777777" w:rsidR="0065721F" w:rsidRPr="002C598D" w:rsidRDefault="0065721F" w:rsidP="0065721F">
            <w:pPr>
              <w:pStyle w:val="mps3-data"/>
              <w:widowControl w:val="0"/>
              <w:rPr>
                <w:szCs w:val="16"/>
              </w:rPr>
            </w:pPr>
            <w:r w:rsidRPr="002C598D">
              <w:rPr>
                <w:szCs w:val="16"/>
              </w:rPr>
              <w:t>(4) the percentage blasts in bone marrow count that is no more than 4 weeks old at the time of application.</w:t>
            </w:r>
          </w:p>
          <w:p w14:paraId="19B95802" w14:textId="39605C8B" w:rsidR="0065721F" w:rsidRPr="002C598D" w:rsidRDefault="0065721F" w:rsidP="0065721F">
            <w:pPr>
              <w:pStyle w:val="mps3-heading"/>
              <w:widowControl w:val="0"/>
              <w:rPr>
                <w:b w:val="0"/>
                <w:bCs/>
                <w:szCs w:val="16"/>
              </w:rPr>
            </w:pPr>
            <w:r w:rsidRPr="002C598D">
              <w:rPr>
                <w:b w:val="0"/>
                <w:bCs/>
                <w:szCs w:val="16"/>
              </w:rPr>
              <w:t>Patients who fail to demonstrate a response to PBS-subsidised treatment with this agent at the time where an assessment is required must cease PBS-subsidised therapy with this agent.</w:t>
            </w:r>
          </w:p>
        </w:tc>
        <w:tc>
          <w:tcPr>
            <w:tcW w:w="2041" w:type="dxa"/>
            <w:tcBorders>
              <w:top w:val="single" w:sz="4" w:space="0" w:color="auto"/>
              <w:bottom w:val="single" w:sz="4" w:space="0" w:color="auto"/>
            </w:tcBorders>
            <w:shd w:val="clear" w:color="auto" w:fill="auto"/>
          </w:tcPr>
          <w:p w14:paraId="7671F50D" w14:textId="40CB1743" w:rsidR="0065721F" w:rsidRPr="0065721F" w:rsidRDefault="0065721F" w:rsidP="0065721F">
            <w:pPr>
              <w:pStyle w:val="mps3-heading"/>
              <w:widowControl w:val="0"/>
              <w:rPr>
                <w:b w:val="0"/>
                <w:bCs/>
                <w:szCs w:val="16"/>
              </w:rPr>
            </w:pPr>
            <w:r w:rsidRPr="002C598D">
              <w:rPr>
                <w:b w:val="0"/>
                <w:szCs w:val="16"/>
              </w:rPr>
              <w:lastRenderedPageBreak/>
              <w:t>Compliance with Written Authority Required procedures</w:t>
            </w:r>
          </w:p>
        </w:tc>
      </w:tr>
    </w:tbl>
    <w:p w14:paraId="51FF5FAE" w14:textId="5CBF2A34" w:rsidR="00280E59" w:rsidRPr="008B63D5" w:rsidRDefault="00280E59" w:rsidP="003D1589">
      <w:pPr>
        <w:spacing w:before="60" w:after="60" w:line="260" w:lineRule="exact"/>
        <w:rPr>
          <w:rFonts w:cs="Times New Roman"/>
          <w:sz w:val="20"/>
        </w:rPr>
      </w:pPr>
    </w:p>
    <w:sectPr w:rsidR="00280E59" w:rsidRPr="008B63D5" w:rsidSect="00581BB9">
      <w:footerReference w:type="even" r:id="rId21"/>
      <w:footerReference w:type="default" r:id="rId22"/>
      <w:pgSz w:w="16839" w:h="11907" w:orient="landscape"/>
      <w:pgMar w:top="1701" w:right="1673" w:bottom="1134"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0ADC" w14:textId="77777777" w:rsidR="008B05F8" w:rsidRDefault="008B05F8" w:rsidP="0048364F">
      <w:pPr>
        <w:spacing w:line="240" w:lineRule="auto"/>
      </w:pPr>
      <w:r>
        <w:separator/>
      </w:r>
    </w:p>
  </w:endnote>
  <w:endnote w:type="continuationSeparator" w:id="0">
    <w:p w14:paraId="4AEFA600" w14:textId="77777777" w:rsidR="008B05F8" w:rsidRDefault="008B05F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6FE6" w14:textId="77777777" w:rsidR="00D158C0" w:rsidRPr="00E33C1C" w:rsidRDefault="00D158C0" w:rsidP="00EF607D">
    <w:pPr>
      <w:pBdr>
        <w:top w:val="single" w:sz="6" w:space="1" w:color="auto"/>
      </w:pBdr>
      <w:spacing w:before="120" w:line="0" w:lineRule="atLeast"/>
      <w:rPr>
        <w:sz w:val="16"/>
        <w:szCs w:val="16"/>
      </w:rPr>
    </w:pPr>
  </w:p>
  <w:p w14:paraId="07509E07" w14:textId="547AF567" w:rsidR="00D158C0" w:rsidRDefault="00D158C0" w:rsidP="00EF607D">
    <w:pPr>
      <w:rPr>
        <w:i/>
        <w:noProof/>
        <w:sz w:val="18"/>
      </w:rPr>
    </w:pPr>
    <w:r w:rsidRPr="008253D2">
      <w:rPr>
        <w:i/>
        <w:sz w:val="18"/>
      </w:rPr>
      <w:ptab w:relativeTo="margin" w:alignment="center" w:leader="none"/>
    </w:r>
    <w:r w:rsidRPr="00EF607D">
      <w:rPr>
        <w:i/>
        <w:sz w:val="16"/>
        <w:szCs w:val="14"/>
      </w:rPr>
      <w:t xml:space="preserve">National Health (Efficient Funding of Chemotherapy) Special Arrangement Amendment Instrument 2021 </w:t>
    </w:r>
    <w:r>
      <w:rPr>
        <w:i/>
        <w:sz w:val="16"/>
        <w:szCs w:val="14"/>
      </w:rPr>
      <w:t>(No. 9)</w:t>
    </w:r>
    <w:r w:rsidRPr="00EF607D">
      <w:rPr>
        <w:i/>
        <w:sz w:val="18"/>
      </w:rPr>
      <w:t xml:space="preserve"> </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3ACB335B" w14:textId="77777777" w:rsidR="00D158C0" w:rsidRDefault="00D158C0" w:rsidP="00EF607D">
    <w:pPr>
      <w:rPr>
        <w:i/>
        <w:noProof/>
        <w:sz w:val="18"/>
      </w:rPr>
    </w:pPr>
  </w:p>
  <w:p w14:paraId="207E0878" w14:textId="77777777" w:rsidR="00D158C0" w:rsidRPr="00EF607D" w:rsidRDefault="00D158C0" w:rsidP="00EF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9F39" w14:textId="0F6AC659" w:rsidR="00D158C0" w:rsidRDefault="00D158C0" w:rsidP="00E32692">
    <w:pPr>
      <w:rPr>
        <w:i/>
        <w:sz w:val="18"/>
      </w:rPr>
    </w:pPr>
  </w:p>
  <w:p w14:paraId="0E47EFB8" w14:textId="77777777" w:rsidR="00D158C0" w:rsidRPr="008253D2" w:rsidRDefault="00D158C0" w:rsidP="00E32692">
    <w:pPr>
      <w:rPr>
        <w: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7469" w14:textId="77777777" w:rsidR="00D158C0" w:rsidRDefault="00D158C0" w:rsidP="00426657">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158C0" w14:paraId="3765E653" w14:textId="77777777" w:rsidTr="00426657">
      <w:tc>
        <w:tcPr>
          <w:tcW w:w="5000" w:type="pct"/>
        </w:tcPr>
        <w:p w14:paraId="7199E151" w14:textId="77777777" w:rsidR="00D158C0" w:rsidRDefault="00D158C0" w:rsidP="00426657">
          <w:pPr>
            <w:rPr>
              <w:sz w:val="18"/>
            </w:rPr>
          </w:pPr>
        </w:p>
      </w:tc>
    </w:tr>
  </w:tbl>
  <w:p w14:paraId="5B41C868" w14:textId="77777777" w:rsidR="00D158C0" w:rsidRPr="00486382" w:rsidRDefault="00D158C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1B4C" w14:textId="77777777" w:rsidR="00D158C0" w:rsidRPr="00E33C1C" w:rsidRDefault="00D158C0" w:rsidP="00E32692">
    <w:pPr>
      <w:pBdr>
        <w:top w:val="single" w:sz="6" w:space="1" w:color="auto"/>
      </w:pBdr>
      <w:spacing w:before="120" w:line="0" w:lineRule="atLeast"/>
      <w:rPr>
        <w:sz w:val="16"/>
        <w:szCs w:val="16"/>
      </w:rPr>
    </w:pPr>
  </w:p>
  <w:p w14:paraId="5129D8E6" w14:textId="4B7F91B2" w:rsidR="00D158C0" w:rsidRDefault="00D158C0" w:rsidP="00E32692">
    <w:pPr>
      <w:rPr>
        <w:i/>
        <w:noProof/>
        <w:sz w:val="18"/>
      </w:rPr>
    </w:pPr>
    <w:r w:rsidRPr="00D60DE4">
      <w:rPr>
        <w:i/>
        <w:sz w:val="18"/>
      </w:rPr>
      <w:ptab w:relativeTo="margin" w:alignment="center" w:leader="none"/>
    </w:r>
    <w:r w:rsidRPr="00461B28">
      <w:rPr>
        <w:i/>
        <w:sz w:val="16"/>
        <w:szCs w:val="16"/>
      </w:rPr>
      <w:t xml:space="preserve">National Health (Efficient Funding of Chemotherapy) </w:t>
    </w:r>
    <w:r w:rsidRPr="000C2F0E">
      <w:rPr>
        <w:i/>
        <w:sz w:val="16"/>
        <w:szCs w:val="16"/>
      </w:rPr>
      <w:t>Special Arrangement Am</w:t>
    </w:r>
    <w:r w:rsidRPr="00F83361">
      <w:rPr>
        <w:i/>
        <w:sz w:val="16"/>
        <w:szCs w:val="16"/>
      </w:rPr>
      <w:t>en</w:t>
    </w:r>
    <w:r w:rsidRPr="003215D7">
      <w:rPr>
        <w:i/>
        <w:sz w:val="16"/>
        <w:szCs w:val="16"/>
      </w:rPr>
      <w:t xml:space="preserve">dment </w:t>
    </w:r>
    <w:r w:rsidR="00E96A97" w:rsidRPr="003215D7">
      <w:rPr>
        <w:i/>
        <w:sz w:val="16"/>
        <w:szCs w:val="16"/>
      </w:rPr>
      <w:t>(</w:t>
    </w:r>
    <w:r w:rsidR="00A357F2" w:rsidRPr="003215D7">
      <w:rPr>
        <w:i/>
        <w:sz w:val="16"/>
        <w:szCs w:val="16"/>
      </w:rPr>
      <w:t>March</w:t>
    </w:r>
    <w:r w:rsidR="00D076E7" w:rsidRPr="003215D7">
      <w:rPr>
        <w:i/>
        <w:sz w:val="16"/>
        <w:szCs w:val="16"/>
      </w:rPr>
      <w:t xml:space="preserve"> </w:t>
    </w:r>
    <w:r w:rsidR="00E96A97" w:rsidRPr="003215D7">
      <w:rPr>
        <w:i/>
        <w:sz w:val="16"/>
        <w:szCs w:val="16"/>
      </w:rPr>
      <w:t xml:space="preserve">Update) </w:t>
    </w:r>
    <w:r w:rsidRPr="003215D7">
      <w:rPr>
        <w:i/>
        <w:sz w:val="16"/>
        <w:szCs w:val="16"/>
      </w:rPr>
      <w:t>Instrument 202</w:t>
    </w:r>
    <w:r w:rsidR="00D228EC" w:rsidRPr="003215D7">
      <w:rPr>
        <w:i/>
        <w:sz w:val="16"/>
        <w:szCs w:val="16"/>
      </w:rPr>
      <w:t>5</w:t>
    </w:r>
    <w:r w:rsidRPr="00D023FF">
      <w:rPr>
        <w:i/>
        <w:sz w:val="18"/>
      </w:rPr>
      <w:ptab w:relativeTo="margin" w:alignment="right" w:leader="none"/>
    </w:r>
    <w:proofErr w:type="spellStart"/>
    <w:r w:rsidRPr="00D023FF">
      <w:rPr>
        <w:i/>
        <w:sz w:val="18"/>
      </w:rPr>
      <w:t>i</w:t>
    </w:r>
    <w:proofErr w:type="spellEnd"/>
  </w:p>
  <w:p w14:paraId="4D72C26D" w14:textId="77777777" w:rsidR="00D158C0" w:rsidRDefault="00D158C0" w:rsidP="00E32692">
    <w:pPr>
      <w:rPr>
        <w:i/>
        <w:noProof/>
        <w:sz w:val="18"/>
      </w:rPr>
    </w:pPr>
  </w:p>
  <w:p w14:paraId="4699A564" w14:textId="77777777" w:rsidR="00D158C0" w:rsidRPr="008253D2" w:rsidRDefault="00D158C0" w:rsidP="00E32692">
    <w:pPr>
      <w:rPr>
        <w:i/>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183F" w14:textId="40D5FF3A" w:rsidR="00D158C0" w:rsidRDefault="00D158C0" w:rsidP="00A136F5">
    <w:pPr>
      <w:pBdr>
        <w:top w:val="single" w:sz="6" w:space="1" w:color="auto"/>
      </w:pBdr>
      <w:spacing w:line="0" w:lineRule="atLeast"/>
      <w:rPr>
        <w:sz w:val="16"/>
        <w:szCs w:val="16"/>
      </w:rPr>
    </w:pPr>
  </w:p>
  <w:p w14:paraId="3012D85E" w14:textId="301DD9A3" w:rsidR="00D158C0" w:rsidRPr="00E33C1C" w:rsidRDefault="00D158C0" w:rsidP="00EF607D">
    <w:pPr>
      <w:pBdr>
        <w:top w:val="single" w:sz="6" w:space="1" w:color="auto"/>
      </w:pBdr>
      <w:spacing w:line="0" w:lineRule="atLeast"/>
      <w:rPr>
        <w:sz w:val="16"/>
        <w:szCs w:val="16"/>
      </w:rPr>
    </w:pPr>
    <w:r w:rsidRPr="008253D2">
      <w:rPr>
        <w:i/>
        <w:sz w:val="18"/>
      </w:rPr>
      <w:ptab w:relativeTo="margin" w:alignment="center" w:leader="none"/>
    </w:r>
    <w:r w:rsidRPr="00EF607D">
      <w:t xml:space="preserve"> </w:t>
    </w:r>
    <w:r w:rsidRPr="00EF607D">
      <w:rPr>
        <w:i/>
        <w:sz w:val="16"/>
        <w:szCs w:val="18"/>
      </w:rPr>
      <w:t xml:space="preserve">National Health (Efficient Funding of Chemotherapy) Special Arrangement Amendment Instrument 2021 </w:t>
    </w:r>
    <w:r>
      <w:rPr>
        <w:i/>
        <w:sz w:val="16"/>
        <w:szCs w:val="18"/>
      </w:rPr>
      <w:t>(No. 9)</w:t>
    </w:r>
    <w:r w:rsidRPr="00EF607D">
      <w:rPr>
        <w:i/>
        <w:sz w:val="16"/>
        <w:szCs w:val="18"/>
      </w:rPr>
      <w:ptab w:relativeTo="margin" w:alignment="right" w:leader="none"/>
    </w:r>
    <w:proofErr w:type="spellStart"/>
    <w:r w:rsidRPr="00EF607D">
      <w:rPr>
        <w:i/>
        <w:sz w:val="16"/>
        <w:szCs w:val="18"/>
      </w:rPr>
      <w:t>i</w:t>
    </w:r>
    <w:proofErr w:type="spellEnd"/>
  </w:p>
  <w:p w14:paraId="72CF36BE" w14:textId="4B5C569D" w:rsidR="00D158C0" w:rsidRDefault="00D158C0" w:rsidP="00A136F5">
    <w:pPr>
      <w:rPr>
        <w:i/>
        <w:sz w:val="18"/>
      </w:rPr>
    </w:pPr>
  </w:p>
  <w:p w14:paraId="30739223" w14:textId="77777777" w:rsidR="00D158C0" w:rsidRPr="00EF607D" w:rsidRDefault="00D158C0" w:rsidP="00A136F5">
    <w:pPr>
      <w:rPr>
        <w:i/>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441C" w14:textId="3223701E" w:rsidR="00D158C0" w:rsidRPr="00E33C1C" w:rsidRDefault="00D158C0" w:rsidP="00E32692">
    <w:pPr>
      <w:pBdr>
        <w:top w:val="single" w:sz="6" w:space="1" w:color="auto"/>
      </w:pBdr>
      <w:spacing w:before="120" w:line="0" w:lineRule="atLeast"/>
      <w:rPr>
        <w:sz w:val="16"/>
        <w:szCs w:val="16"/>
      </w:rPr>
    </w:pPr>
  </w:p>
  <w:p w14:paraId="3ABFDA16" w14:textId="00EC7FA9" w:rsidR="00D158C0" w:rsidRPr="00B323CC" w:rsidRDefault="00D158C0" w:rsidP="00E32692">
    <w:pPr>
      <w:rPr>
        <w:i/>
        <w:noProof/>
        <w:sz w:val="16"/>
        <w:szCs w:val="16"/>
      </w:rPr>
    </w:pPr>
    <w:r w:rsidRPr="00461B28">
      <w:rPr>
        <w:i/>
        <w:sz w:val="14"/>
        <w:szCs w:val="14"/>
      </w:rPr>
      <w:ptab w:relativeTo="margin" w:alignment="center" w:leader="none"/>
    </w:r>
    <w:r w:rsidRPr="00461B28">
      <w:rPr>
        <w:i/>
        <w:sz w:val="16"/>
        <w:szCs w:val="16"/>
      </w:rPr>
      <w:t>National Health (Efficient Funding of Chemotherapy) Special Arrangement A</w:t>
    </w:r>
    <w:r w:rsidRPr="00F83361">
      <w:rPr>
        <w:i/>
        <w:sz w:val="16"/>
        <w:szCs w:val="16"/>
      </w:rPr>
      <w:t>m</w:t>
    </w:r>
    <w:r w:rsidRPr="003215D7">
      <w:rPr>
        <w:i/>
        <w:sz w:val="16"/>
        <w:szCs w:val="16"/>
      </w:rPr>
      <w:t>endment</w:t>
    </w:r>
    <w:r w:rsidR="00DB0543" w:rsidRPr="003215D7">
      <w:rPr>
        <w:i/>
        <w:sz w:val="16"/>
        <w:szCs w:val="16"/>
      </w:rPr>
      <w:t xml:space="preserve"> (</w:t>
    </w:r>
    <w:r w:rsidR="00954115" w:rsidRPr="003215D7">
      <w:rPr>
        <w:i/>
        <w:sz w:val="16"/>
        <w:szCs w:val="16"/>
      </w:rPr>
      <w:t>March</w:t>
    </w:r>
    <w:r w:rsidR="00DA2666" w:rsidRPr="003215D7">
      <w:rPr>
        <w:i/>
        <w:sz w:val="16"/>
        <w:szCs w:val="16"/>
      </w:rPr>
      <w:t xml:space="preserve"> </w:t>
    </w:r>
    <w:r w:rsidR="00DB0543" w:rsidRPr="003215D7">
      <w:rPr>
        <w:i/>
        <w:sz w:val="16"/>
        <w:szCs w:val="16"/>
      </w:rPr>
      <w:t xml:space="preserve">Update) </w:t>
    </w:r>
    <w:r w:rsidRPr="003215D7">
      <w:rPr>
        <w:i/>
        <w:sz w:val="16"/>
        <w:szCs w:val="16"/>
      </w:rPr>
      <w:t>Instrument 202</w:t>
    </w:r>
    <w:r w:rsidR="00D228EC" w:rsidRPr="003215D7">
      <w:rPr>
        <w:i/>
        <w:sz w:val="16"/>
        <w:szCs w:val="16"/>
      </w:rPr>
      <w:t>5</w:t>
    </w:r>
    <w:r w:rsidR="00215A10" w:rsidRPr="003215D7">
      <w:rPr>
        <w:i/>
        <w:sz w:val="16"/>
        <w:szCs w:val="16"/>
      </w:rPr>
      <w:t xml:space="preserve">   </w:t>
    </w:r>
    <w:r w:rsidRPr="003215D7">
      <w:rPr>
        <w:i/>
        <w:sz w:val="18"/>
        <w:szCs w:val="18"/>
      </w:rPr>
      <w:fldChar w:fldCharType="begin"/>
    </w:r>
    <w:r w:rsidRPr="003215D7">
      <w:rPr>
        <w:i/>
        <w:sz w:val="18"/>
        <w:szCs w:val="18"/>
      </w:rPr>
      <w:instrText xml:space="preserve"> PAGE   \* MERGEFORMAT </w:instrText>
    </w:r>
    <w:r w:rsidRPr="003215D7">
      <w:rPr>
        <w:i/>
        <w:sz w:val="18"/>
        <w:szCs w:val="18"/>
      </w:rPr>
      <w:fldChar w:fldCharType="separate"/>
    </w:r>
    <w:r w:rsidRPr="003215D7">
      <w:rPr>
        <w:i/>
        <w:sz w:val="18"/>
        <w:szCs w:val="18"/>
      </w:rPr>
      <w:t>1</w:t>
    </w:r>
    <w:r w:rsidRPr="003215D7">
      <w:rPr>
        <w:i/>
        <w:noProof/>
        <w:sz w:val="18"/>
        <w:szCs w:val="18"/>
      </w:rPr>
      <w:fldChar w:fldCharType="end"/>
    </w:r>
  </w:p>
  <w:p w14:paraId="6D1E57C1" w14:textId="77777777" w:rsidR="00D158C0" w:rsidRDefault="00D158C0" w:rsidP="00E32692">
    <w:pPr>
      <w:rPr>
        <w:i/>
        <w:noProof/>
        <w:sz w:val="18"/>
      </w:rPr>
    </w:pPr>
  </w:p>
  <w:p w14:paraId="4019782E" w14:textId="77777777" w:rsidR="00D158C0" w:rsidRPr="008253D2" w:rsidRDefault="00D158C0" w:rsidP="00E32692">
    <w:pPr>
      <w:rPr>
        <w:i/>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83D6" w14:textId="77777777" w:rsidR="00D158C0" w:rsidRPr="00E33C1C" w:rsidRDefault="00D158C0" w:rsidP="009C5989">
    <w:pPr>
      <w:pBdr>
        <w:top w:val="single" w:sz="6" w:space="1" w:color="auto"/>
      </w:pBdr>
      <w:spacing w:before="120" w:line="0" w:lineRule="atLeast"/>
      <w:rPr>
        <w:sz w:val="16"/>
        <w:szCs w:val="16"/>
      </w:rPr>
    </w:pPr>
  </w:p>
  <w:tbl>
    <w:tblPr>
      <w:tblStyle w:val="TableGrid"/>
      <w:tblW w:w="13725" w:type="dxa"/>
      <w:tblLayout w:type="fixed"/>
      <w:tblLook w:val="04A0" w:firstRow="1" w:lastRow="0" w:firstColumn="1" w:lastColumn="0" w:noHBand="0" w:noVBand="1"/>
    </w:tblPr>
    <w:tblGrid>
      <w:gridCol w:w="1146"/>
      <w:gridCol w:w="11754"/>
      <w:gridCol w:w="825"/>
    </w:tblGrid>
    <w:tr w:rsidR="00D158C0" w14:paraId="4EAEA115" w14:textId="77777777" w:rsidTr="000A4401">
      <w:trPr>
        <w:trHeight w:val="34"/>
      </w:trPr>
      <w:tc>
        <w:tcPr>
          <w:tcW w:w="1146" w:type="dxa"/>
          <w:tcBorders>
            <w:top w:val="nil"/>
            <w:left w:val="nil"/>
            <w:bottom w:val="nil"/>
            <w:right w:val="nil"/>
          </w:tcBorders>
        </w:tcPr>
        <w:p w14:paraId="176076F8" w14:textId="77777777" w:rsidR="00D158C0" w:rsidRDefault="00D158C0" w:rsidP="00EE57E8">
          <w:pPr>
            <w:spacing w:line="0" w:lineRule="atLeast"/>
            <w:rPr>
              <w:sz w:val="18"/>
            </w:rPr>
          </w:pPr>
        </w:p>
      </w:tc>
      <w:tc>
        <w:tcPr>
          <w:tcW w:w="11754" w:type="dxa"/>
          <w:tcBorders>
            <w:top w:val="nil"/>
            <w:left w:val="nil"/>
            <w:bottom w:val="nil"/>
            <w:right w:val="nil"/>
          </w:tcBorders>
        </w:tcPr>
        <w:p w14:paraId="6AC0D3D8" w14:textId="4F923760" w:rsidR="00D158C0" w:rsidRDefault="00D158C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07DD6">
            <w:rPr>
              <w:b/>
              <w:bCs/>
              <w:i/>
              <w:noProof/>
              <w:sz w:val="18"/>
              <w:lang w:val="en-US"/>
            </w:rPr>
            <w:t>Error! No text of specified style in document.</w:t>
          </w:r>
          <w:r w:rsidRPr="00B20990">
            <w:rPr>
              <w:i/>
              <w:sz w:val="18"/>
            </w:rPr>
            <w:fldChar w:fldCharType="end"/>
          </w:r>
        </w:p>
      </w:tc>
      <w:tc>
        <w:tcPr>
          <w:tcW w:w="825" w:type="dxa"/>
          <w:tcBorders>
            <w:top w:val="nil"/>
            <w:left w:val="nil"/>
            <w:bottom w:val="nil"/>
            <w:right w:val="nil"/>
          </w:tcBorders>
        </w:tcPr>
        <w:p w14:paraId="028BF7D0" w14:textId="77777777" w:rsidR="00D158C0" w:rsidRDefault="00D158C0" w:rsidP="00EE57E8">
          <w:pPr>
            <w:spacing w:line="0" w:lineRule="atLeast"/>
            <w:jc w:val="right"/>
            <w:rPr>
              <w:sz w:val="18"/>
            </w:rPr>
          </w:pPr>
          <w:r>
            <w:rPr>
              <w:sz w:val="18"/>
            </w:rPr>
            <w:t>3</w:t>
          </w:r>
        </w:p>
      </w:tc>
    </w:tr>
    <w:tr w:rsidR="00D158C0" w14:paraId="21F5D974" w14:textId="77777777" w:rsidTr="000A4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3725" w:type="dxa"/>
          <w:gridSpan w:val="3"/>
        </w:tcPr>
        <w:p w14:paraId="1C667727" w14:textId="1B74BFF3" w:rsidR="00D158C0" w:rsidRDefault="00D158C0" w:rsidP="001A286A">
          <w:pPr>
            <w:rPr>
              <w:sz w:val="18"/>
            </w:rPr>
          </w:pPr>
          <w:r w:rsidRPr="00462D05">
            <w:rPr>
              <w:i/>
              <w:sz w:val="16"/>
              <w:szCs w:val="14"/>
            </w:rPr>
            <w:t xml:space="preserve">National Health (Efficient Funding of Chemotherapy) Special Arrangement Amendment Instrument 2021 </w:t>
          </w:r>
          <w:r>
            <w:rPr>
              <w:i/>
              <w:sz w:val="16"/>
              <w:szCs w:val="14"/>
            </w:rPr>
            <w:t>(No. 9)</w:t>
          </w:r>
        </w:p>
      </w:tc>
    </w:tr>
  </w:tbl>
  <w:p w14:paraId="6FA3F926" w14:textId="77777777" w:rsidR="00D158C0" w:rsidRPr="00ED79B6" w:rsidRDefault="00D158C0" w:rsidP="00A136F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CD6F" w14:textId="3F593F90" w:rsidR="00215A10" w:rsidRPr="00E33C1C" w:rsidRDefault="00215A10" w:rsidP="00E32692">
    <w:pPr>
      <w:pBdr>
        <w:top w:val="single" w:sz="6" w:space="1" w:color="auto"/>
      </w:pBdr>
      <w:spacing w:before="120" w:line="0" w:lineRule="atLeast"/>
      <w:rPr>
        <w:sz w:val="16"/>
        <w:szCs w:val="16"/>
      </w:rPr>
    </w:pPr>
  </w:p>
  <w:p w14:paraId="7AE9C7D4" w14:textId="6AA4846C" w:rsidR="00215A10" w:rsidRPr="00B323CC" w:rsidRDefault="00215A10" w:rsidP="00E32692">
    <w:pPr>
      <w:rPr>
        <w:i/>
        <w:noProof/>
        <w:sz w:val="16"/>
        <w:szCs w:val="16"/>
      </w:rPr>
    </w:pPr>
    <w:r w:rsidRPr="00461B28">
      <w:rPr>
        <w:i/>
        <w:sz w:val="14"/>
        <w:szCs w:val="14"/>
      </w:rPr>
      <w:ptab w:relativeTo="margin" w:alignment="center" w:leader="none"/>
    </w:r>
    <w:r w:rsidRPr="00461B28">
      <w:rPr>
        <w:i/>
        <w:sz w:val="16"/>
        <w:szCs w:val="16"/>
      </w:rPr>
      <w:t>National Health (Efficient Funding of Chemotherapy) Special Arrangement A</w:t>
    </w:r>
    <w:r w:rsidRPr="00D4308D">
      <w:rPr>
        <w:i/>
        <w:sz w:val="16"/>
        <w:szCs w:val="16"/>
      </w:rPr>
      <w:t>m</w:t>
    </w:r>
    <w:r w:rsidRPr="003215D7">
      <w:rPr>
        <w:i/>
        <w:sz w:val="16"/>
        <w:szCs w:val="16"/>
      </w:rPr>
      <w:t xml:space="preserve">endment </w:t>
    </w:r>
    <w:r w:rsidR="00241AA9" w:rsidRPr="003215D7">
      <w:rPr>
        <w:i/>
        <w:sz w:val="16"/>
        <w:szCs w:val="16"/>
      </w:rPr>
      <w:t>(</w:t>
    </w:r>
    <w:r w:rsidR="00BA5C40" w:rsidRPr="003215D7">
      <w:rPr>
        <w:i/>
        <w:sz w:val="16"/>
        <w:szCs w:val="16"/>
      </w:rPr>
      <w:t>March</w:t>
    </w:r>
    <w:r w:rsidR="00FB0258" w:rsidRPr="003215D7">
      <w:rPr>
        <w:i/>
        <w:sz w:val="16"/>
        <w:szCs w:val="16"/>
      </w:rPr>
      <w:t xml:space="preserve"> </w:t>
    </w:r>
    <w:r w:rsidR="00241AA9" w:rsidRPr="003215D7">
      <w:rPr>
        <w:i/>
        <w:sz w:val="16"/>
        <w:szCs w:val="16"/>
      </w:rPr>
      <w:t xml:space="preserve">Update) </w:t>
    </w:r>
    <w:r w:rsidRPr="003215D7">
      <w:rPr>
        <w:i/>
        <w:sz w:val="16"/>
        <w:szCs w:val="16"/>
      </w:rPr>
      <w:t>Instrument 202</w:t>
    </w:r>
    <w:r w:rsidR="00C353CB" w:rsidRPr="003215D7">
      <w:rPr>
        <w:i/>
        <w:sz w:val="16"/>
        <w:szCs w:val="16"/>
      </w:rPr>
      <w:t>5</w:t>
    </w:r>
    <w:r w:rsidRPr="00E509B7">
      <w:rPr>
        <w:i/>
        <w:sz w:val="16"/>
        <w:szCs w:val="16"/>
      </w:rPr>
      <w:tab/>
    </w:r>
    <w:r w:rsidRPr="00E509B7">
      <w:rPr>
        <w:i/>
        <w:sz w:val="16"/>
        <w:szCs w:val="16"/>
      </w:rPr>
      <w:tab/>
    </w:r>
    <w:r w:rsidRPr="00E509B7">
      <w:rPr>
        <w:i/>
        <w:sz w:val="16"/>
        <w:szCs w:val="16"/>
      </w:rPr>
      <w:tab/>
      <w:t xml:space="preserve"> </w:t>
    </w:r>
    <w:r w:rsidRPr="00E509B7">
      <w:rPr>
        <w:i/>
        <w:sz w:val="18"/>
        <w:szCs w:val="18"/>
      </w:rPr>
      <w:fldChar w:fldCharType="begin"/>
    </w:r>
    <w:r w:rsidRPr="00E509B7">
      <w:rPr>
        <w:i/>
        <w:sz w:val="18"/>
        <w:szCs w:val="18"/>
      </w:rPr>
      <w:instrText xml:space="preserve"> PAGE   \* MERGEFORMAT </w:instrText>
    </w:r>
    <w:r w:rsidRPr="00E509B7">
      <w:rPr>
        <w:i/>
        <w:sz w:val="18"/>
        <w:szCs w:val="18"/>
      </w:rPr>
      <w:fldChar w:fldCharType="separate"/>
    </w:r>
    <w:r w:rsidRPr="00E509B7">
      <w:rPr>
        <w:i/>
        <w:sz w:val="18"/>
        <w:szCs w:val="18"/>
      </w:rPr>
      <w:t>1</w:t>
    </w:r>
    <w:r w:rsidRPr="00E509B7">
      <w:rPr>
        <w:i/>
        <w:noProof/>
        <w:sz w:val="18"/>
        <w:szCs w:val="18"/>
      </w:rPr>
      <w:fldChar w:fldCharType="end"/>
    </w:r>
  </w:p>
  <w:p w14:paraId="75A40C2B" w14:textId="77777777" w:rsidR="00215A10" w:rsidRDefault="00215A10" w:rsidP="00E32692">
    <w:pPr>
      <w:rPr>
        <w:i/>
        <w:noProof/>
        <w:sz w:val="18"/>
      </w:rPr>
    </w:pPr>
  </w:p>
  <w:p w14:paraId="3173CD13" w14:textId="77777777" w:rsidR="00215A10" w:rsidRPr="008253D2" w:rsidRDefault="00215A10" w:rsidP="00E32692">
    <w:pPr>
      <w:rPr>
        <w: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C34C" w14:textId="77777777" w:rsidR="008B05F8" w:rsidRDefault="008B05F8" w:rsidP="0048364F">
      <w:pPr>
        <w:spacing w:line="240" w:lineRule="auto"/>
      </w:pPr>
      <w:r>
        <w:separator/>
      </w:r>
    </w:p>
  </w:footnote>
  <w:footnote w:type="continuationSeparator" w:id="0">
    <w:p w14:paraId="5C0EB0CD" w14:textId="77777777" w:rsidR="008B05F8" w:rsidRDefault="008B05F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CABA" w14:textId="77777777" w:rsidR="00D158C0" w:rsidRPr="005F1388" w:rsidRDefault="00D158C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73A3" w14:textId="77777777" w:rsidR="00D158C0" w:rsidRPr="005F1388" w:rsidRDefault="00D158C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5DD" w14:textId="77777777" w:rsidR="00D158C0" w:rsidRPr="00ED79B6" w:rsidRDefault="00D158C0" w:rsidP="00EF607D">
    <w:pPr>
      <w:pBdr>
        <w:bottom w:val="single" w:sz="4"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A908" w14:textId="77777777" w:rsidR="00D158C0" w:rsidRPr="00A961C4" w:rsidRDefault="00D158C0" w:rsidP="0048364F">
    <w:pPr>
      <w:rPr>
        <w:b/>
        <w:sz w:val="20"/>
      </w:rPr>
    </w:pPr>
  </w:p>
  <w:p w14:paraId="2E714C95" w14:textId="77777777" w:rsidR="00D158C0" w:rsidRPr="00A961C4" w:rsidRDefault="00D158C0" w:rsidP="0048364F">
    <w:pPr>
      <w:rPr>
        <w:b/>
        <w:sz w:val="20"/>
      </w:rPr>
    </w:pPr>
  </w:p>
  <w:p w14:paraId="4B93BE34" w14:textId="77777777" w:rsidR="00D158C0" w:rsidRPr="00A961C4" w:rsidRDefault="00D158C0"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47C3" w14:textId="64F8042B" w:rsidR="00D158C0" w:rsidRPr="00A961C4" w:rsidRDefault="00D158C0" w:rsidP="0048364F">
    <w:pPr>
      <w:jc w:val="right"/>
      <w:rPr>
        <w:sz w:val="20"/>
      </w:rPr>
    </w:pPr>
  </w:p>
  <w:p w14:paraId="5774BD9C" w14:textId="77777777" w:rsidR="00D158C0" w:rsidRPr="00A961C4" w:rsidRDefault="00D158C0" w:rsidP="0048364F">
    <w:pPr>
      <w:jc w:val="right"/>
      <w:rPr>
        <w:b/>
        <w:sz w:val="20"/>
      </w:rPr>
    </w:pPr>
  </w:p>
  <w:p w14:paraId="5B160F46" w14:textId="77777777" w:rsidR="00D158C0" w:rsidRDefault="00D158C0" w:rsidP="00D158C0">
    <w:pPr>
      <w:pBdr>
        <w:bottom w:val="single" w:sz="6" w:space="1" w:color="auto"/>
      </w:pBdr>
      <w:spacing w:after="1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4898" w14:textId="77777777" w:rsidR="00D158C0" w:rsidRPr="00ED79B6" w:rsidRDefault="00D158C0" w:rsidP="00EF607D">
    <w:pPr>
      <w:pBdr>
        <w:bottom w:val="single" w:sz="4" w:space="1" w:color="auto"/>
      </w:pBdr>
      <w:spacing w:before="100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30C2218"/>
    <w:lvl w:ilvl="0">
      <w:start w:val="1"/>
      <w:numFmt w:val="bullet"/>
      <w:pStyle w:val="Amendment1"/>
      <w:lvlText w:val=""/>
      <w:lvlJc w:val="left"/>
      <w:pPr>
        <w:tabs>
          <w:tab w:val="num" w:pos="1492"/>
        </w:tabs>
        <w:ind w:left="1492" w:hanging="360"/>
      </w:pPr>
      <w:rPr>
        <w:rFonts w:ascii="Symbol" w:hAnsi="Symbol" w:hint="default"/>
      </w:rPr>
    </w:lvl>
  </w:abstractNum>
  <w:abstractNum w:abstractNumId="1" w15:restartNumberingAfterBreak="0">
    <w:nsid w:val="01A00EA8"/>
    <w:multiLevelType w:val="hybridMultilevel"/>
    <w:tmpl w:val="E9B66C80"/>
    <w:lvl w:ilvl="0" w:tplc="D89C556E">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5943FF"/>
    <w:multiLevelType w:val="hybridMultilevel"/>
    <w:tmpl w:val="92C88700"/>
    <w:lvl w:ilvl="0" w:tplc="81FE5076">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059844D9"/>
    <w:multiLevelType w:val="hybridMultilevel"/>
    <w:tmpl w:val="806E9D50"/>
    <w:lvl w:ilvl="0" w:tplc="FBD60C1A">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0F205EF0"/>
    <w:multiLevelType w:val="hybridMultilevel"/>
    <w:tmpl w:val="45F8AA24"/>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0FA67F0"/>
    <w:multiLevelType w:val="hybridMultilevel"/>
    <w:tmpl w:val="1080710E"/>
    <w:lvl w:ilvl="0" w:tplc="886C2C8A">
      <w:start w:val="1"/>
      <w:numFmt w:val="lowerLetter"/>
      <w:lvlText w:val="%1)"/>
      <w:lvlJc w:val="left"/>
      <w:pPr>
        <w:ind w:left="1287" w:hanging="360"/>
      </w:pPr>
      <w:rPr>
        <w:rFonts w:ascii="Arial" w:hAnsi="Arial" w:cs="Arial" w:hint="default"/>
        <w:b/>
        <w:bCs/>
        <w:i w:val="0"/>
        <w:iCs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1B1768C"/>
    <w:multiLevelType w:val="multilevel"/>
    <w:tmpl w:val="EC48069A"/>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F504B1"/>
    <w:multiLevelType w:val="hybridMultilevel"/>
    <w:tmpl w:val="46D24894"/>
    <w:lvl w:ilvl="0" w:tplc="B1C8E10C">
      <w:start w:val="1"/>
      <w:numFmt w:val="lowerLetter"/>
      <w:lvlText w:val="(%1)"/>
      <w:lvlJc w:val="left"/>
      <w:pPr>
        <w:ind w:left="128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13A3762C"/>
    <w:multiLevelType w:val="hybridMultilevel"/>
    <w:tmpl w:val="2B14FA3C"/>
    <w:lvl w:ilvl="0" w:tplc="23A4C3D8">
      <w:start w:val="1"/>
      <w:numFmt w:val="decimal"/>
      <w:lvlText w:val="[%1]"/>
      <w:lvlJc w:val="left"/>
      <w:pPr>
        <w:ind w:left="360" w:hanging="360"/>
      </w:pPr>
      <w:rPr>
        <w:rFonts w:ascii="Arial" w:hAnsi="Arial" w:cs="Arial" w:hint="default"/>
        <w:b/>
        <w:i w:val="0"/>
        <w:sz w:val="20"/>
        <w:szCs w:val="20"/>
      </w:rPr>
    </w:lvl>
    <w:lvl w:ilvl="1" w:tplc="B1C8E10C">
      <w:start w:val="1"/>
      <w:numFmt w:val="lowerLetter"/>
      <w:lvlText w:val="(%2)"/>
      <w:lvlJc w:val="left"/>
      <w:pPr>
        <w:ind w:left="927" w:hanging="360"/>
      </w:pPr>
      <w:rPr>
        <w:rFonts w:ascii="Arial" w:hAnsi="Arial" w:cs="Arial" w:hint="default"/>
        <w:b/>
        <w:bCs/>
        <w:i w:val="0"/>
        <w:iCs w:val="0"/>
        <w:sz w:val="20"/>
        <w:szCs w:val="2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9E773B5"/>
    <w:multiLevelType w:val="hybridMultilevel"/>
    <w:tmpl w:val="A6302116"/>
    <w:lvl w:ilvl="0" w:tplc="EE1404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CD0C9F"/>
    <w:multiLevelType w:val="hybridMultilevel"/>
    <w:tmpl w:val="92C88700"/>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1F412D69"/>
    <w:multiLevelType w:val="hybridMultilevel"/>
    <w:tmpl w:val="9648F75E"/>
    <w:lvl w:ilvl="0" w:tplc="97D2D14C">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C3601"/>
    <w:multiLevelType w:val="hybridMultilevel"/>
    <w:tmpl w:val="45F8AA24"/>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24033FD7"/>
    <w:multiLevelType w:val="hybridMultilevel"/>
    <w:tmpl w:val="6470831A"/>
    <w:lvl w:ilvl="0" w:tplc="0B80718A">
      <w:start w:val="1"/>
      <w:numFmt w:val="lowerLetter"/>
      <w:lvlText w:val="(%1)"/>
      <w:lvlJc w:val="left"/>
      <w:pPr>
        <w:ind w:left="720" w:hanging="360"/>
      </w:pPr>
      <w:rPr>
        <w:rFonts w:ascii="Arial" w:hAnsi="Arial" w:cs="Arial" w:hint="default"/>
        <w:b/>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6B4985"/>
    <w:multiLevelType w:val="hybridMultilevel"/>
    <w:tmpl w:val="5EA6791C"/>
    <w:lvl w:ilvl="0" w:tplc="CF241F22">
      <w:start w:val="8"/>
      <w:numFmt w:val="decimal"/>
      <w:lvlText w:val="[%1]"/>
      <w:lvlJc w:val="left"/>
      <w:pPr>
        <w:ind w:left="72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7A67B5"/>
    <w:multiLevelType w:val="hybridMultilevel"/>
    <w:tmpl w:val="AD10C7EC"/>
    <w:lvl w:ilvl="0" w:tplc="46DA7B3A">
      <w:start w:val="1"/>
      <w:numFmt w:val="lowerLetter"/>
      <w:lvlText w:val="%1)"/>
      <w:lvlJc w:val="left"/>
      <w:pPr>
        <w:ind w:left="927" w:hanging="360"/>
      </w:pPr>
      <w:rPr>
        <w:rFonts w:ascii="Arial" w:hAnsi="Arial" w:cs="Arial" w:hint="default"/>
        <w:b/>
        <w:bCs/>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3282654D"/>
    <w:multiLevelType w:val="hybridMultilevel"/>
    <w:tmpl w:val="19BCC7BE"/>
    <w:lvl w:ilvl="0" w:tplc="7960D04A">
      <w:start w:val="1"/>
      <w:numFmt w:val="decimal"/>
      <w:lvlText w:val="%1"/>
      <w:lvlJc w:val="left"/>
      <w:pPr>
        <w:ind w:left="720" w:hanging="360"/>
      </w:pPr>
      <w:rPr>
        <w:rFonts w:ascii="Times New Roman" w:hAnsi="Times New Roman" w:cs="Times New Roman" w:hint="default"/>
        <w:b/>
        <w:i w:val="0"/>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A18664E"/>
    <w:multiLevelType w:val="hybridMultilevel"/>
    <w:tmpl w:val="D16E2410"/>
    <w:lvl w:ilvl="0" w:tplc="646CF85E">
      <w:start w:val="1"/>
      <w:numFmt w:val="lowerLetter"/>
      <w:lvlText w:val="(%1)"/>
      <w:lvlJc w:val="left"/>
      <w:pPr>
        <w:ind w:left="1728" w:hanging="34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46E2160B"/>
    <w:multiLevelType w:val="hybridMultilevel"/>
    <w:tmpl w:val="9014BDC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9247CE"/>
    <w:multiLevelType w:val="hybridMultilevel"/>
    <w:tmpl w:val="45F8AA24"/>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593210F9"/>
    <w:multiLevelType w:val="hybridMultilevel"/>
    <w:tmpl w:val="92C88700"/>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59FD0886"/>
    <w:multiLevelType w:val="hybridMultilevel"/>
    <w:tmpl w:val="45F8AA24"/>
    <w:lvl w:ilvl="0" w:tplc="E94219AC">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5D777841"/>
    <w:multiLevelType w:val="hybridMultilevel"/>
    <w:tmpl w:val="CBF2BED4"/>
    <w:lvl w:ilvl="0" w:tplc="72A6DD50">
      <w:start w:val="1"/>
      <w:numFmt w:val="decimal"/>
      <w:pStyle w:val="Amendment10"/>
      <w:lvlText w:val="[%1]"/>
      <w:lvlJc w:val="left"/>
      <w:pPr>
        <w:tabs>
          <w:tab w:val="num" w:pos="877"/>
        </w:tabs>
        <w:ind w:left="877" w:hanging="735"/>
      </w:pPr>
      <w:rPr>
        <w:rFonts w:ascii="Arial Bold" w:hAnsi="Arial Bold" w:cs="Times New Roman" w:hint="default"/>
        <w:b/>
        <w:i w:val="0"/>
        <w:sz w:val="20"/>
      </w:rPr>
    </w:lvl>
    <w:lvl w:ilvl="1" w:tplc="04090019">
      <w:start w:val="1"/>
      <w:numFmt w:val="lowerLetter"/>
      <w:lvlText w:val="%2."/>
      <w:lvlJc w:val="left"/>
      <w:pPr>
        <w:tabs>
          <w:tab w:val="num" w:pos="-4906"/>
        </w:tabs>
        <w:ind w:left="-4906" w:hanging="360"/>
      </w:pPr>
    </w:lvl>
    <w:lvl w:ilvl="2" w:tplc="0409001B" w:tentative="1">
      <w:start w:val="1"/>
      <w:numFmt w:val="lowerRoman"/>
      <w:lvlText w:val="%3."/>
      <w:lvlJc w:val="right"/>
      <w:pPr>
        <w:tabs>
          <w:tab w:val="num" w:pos="-4186"/>
        </w:tabs>
        <w:ind w:left="-4186" w:hanging="180"/>
      </w:pPr>
    </w:lvl>
    <w:lvl w:ilvl="3" w:tplc="0409000F" w:tentative="1">
      <w:start w:val="1"/>
      <w:numFmt w:val="decimal"/>
      <w:lvlText w:val="%4."/>
      <w:lvlJc w:val="left"/>
      <w:pPr>
        <w:tabs>
          <w:tab w:val="num" w:pos="-3466"/>
        </w:tabs>
        <w:ind w:left="-3466" w:hanging="360"/>
      </w:pPr>
    </w:lvl>
    <w:lvl w:ilvl="4" w:tplc="04090019" w:tentative="1">
      <w:start w:val="1"/>
      <w:numFmt w:val="lowerLetter"/>
      <w:lvlText w:val="%5."/>
      <w:lvlJc w:val="left"/>
      <w:pPr>
        <w:tabs>
          <w:tab w:val="num" w:pos="-2746"/>
        </w:tabs>
        <w:ind w:left="-2746" w:hanging="360"/>
      </w:pPr>
    </w:lvl>
    <w:lvl w:ilvl="5" w:tplc="0409001B" w:tentative="1">
      <w:start w:val="1"/>
      <w:numFmt w:val="lowerRoman"/>
      <w:lvlText w:val="%6."/>
      <w:lvlJc w:val="right"/>
      <w:pPr>
        <w:tabs>
          <w:tab w:val="num" w:pos="-2026"/>
        </w:tabs>
        <w:ind w:left="-2026" w:hanging="180"/>
      </w:pPr>
    </w:lvl>
    <w:lvl w:ilvl="6" w:tplc="0409000F" w:tentative="1">
      <w:start w:val="1"/>
      <w:numFmt w:val="decimal"/>
      <w:lvlText w:val="%7."/>
      <w:lvlJc w:val="left"/>
      <w:pPr>
        <w:tabs>
          <w:tab w:val="num" w:pos="-1306"/>
        </w:tabs>
        <w:ind w:left="-1306" w:hanging="360"/>
      </w:pPr>
    </w:lvl>
    <w:lvl w:ilvl="7" w:tplc="04090019" w:tentative="1">
      <w:start w:val="1"/>
      <w:numFmt w:val="lowerLetter"/>
      <w:lvlText w:val="%8."/>
      <w:lvlJc w:val="left"/>
      <w:pPr>
        <w:tabs>
          <w:tab w:val="num" w:pos="-586"/>
        </w:tabs>
        <w:ind w:left="-586" w:hanging="360"/>
      </w:pPr>
    </w:lvl>
    <w:lvl w:ilvl="8" w:tplc="0409001B" w:tentative="1">
      <w:start w:val="1"/>
      <w:numFmt w:val="lowerRoman"/>
      <w:lvlText w:val="%9."/>
      <w:lvlJc w:val="right"/>
      <w:pPr>
        <w:tabs>
          <w:tab w:val="num" w:pos="134"/>
        </w:tabs>
        <w:ind w:left="134" w:hanging="180"/>
      </w:pPr>
    </w:lvl>
  </w:abstractNum>
  <w:abstractNum w:abstractNumId="25" w15:restartNumberingAfterBreak="0">
    <w:nsid w:val="5E245930"/>
    <w:multiLevelType w:val="hybridMultilevel"/>
    <w:tmpl w:val="45F8AA24"/>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64B71432"/>
    <w:multiLevelType w:val="hybridMultilevel"/>
    <w:tmpl w:val="078CC2DC"/>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C30E0F"/>
    <w:multiLevelType w:val="hybridMultilevel"/>
    <w:tmpl w:val="45F8AA24"/>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75191975"/>
    <w:multiLevelType w:val="hybridMultilevel"/>
    <w:tmpl w:val="9326A2A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25575C"/>
    <w:multiLevelType w:val="hybridMultilevel"/>
    <w:tmpl w:val="62EA425C"/>
    <w:lvl w:ilvl="0" w:tplc="29E0E7A8">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7302E9E"/>
    <w:multiLevelType w:val="hybridMultilevel"/>
    <w:tmpl w:val="45F8AA24"/>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788B3653"/>
    <w:multiLevelType w:val="hybridMultilevel"/>
    <w:tmpl w:val="AA2CDA82"/>
    <w:lvl w:ilvl="0" w:tplc="B1C8E10C">
      <w:start w:val="1"/>
      <w:numFmt w:val="lowerLetter"/>
      <w:lvlText w:val="(%1)"/>
      <w:lvlJc w:val="left"/>
      <w:pPr>
        <w:ind w:left="128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15:restartNumberingAfterBreak="0">
    <w:nsid w:val="7E816123"/>
    <w:multiLevelType w:val="hybridMultilevel"/>
    <w:tmpl w:val="BF7EF40C"/>
    <w:lvl w:ilvl="0" w:tplc="03145D04">
      <w:start w:val="1"/>
      <w:numFmt w:val="decimal"/>
      <w:lvlText w:val="(%1)"/>
      <w:lvlJc w:val="left"/>
      <w:pPr>
        <w:ind w:left="1665" w:hanging="720"/>
      </w:pPr>
      <w:rPr>
        <w:rFonts w:ascii="Times New Roman" w:eastAsia="Times New Roman" w:hAnsi="Times New Roman" w:cs="Times New Roman"/>
      </w:rPr>
    </w:lvl>
    <w:lvl w:ilvl="1" w:tplc="0C090019">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num w:numId="1" w16cid:durableId="691876484">
    <w:abstractNumId w:val="0"/>
  </w:num>
  <w:num w:numId="2" w16cid:durableId="1717853197">
    <w:abstractNumId w:val="19"/>
  </w:num>
  <w:num w:numId="3" w16cid:durableId="1539244189">
    <w:abstractNumId w:val="10"/>
  </w:num>
  <w:num w:numId="4" w16cid:durableId="1405840572">
    <w:abstractNumId w:val="32"/>
  </w:num>
  <w:num w:numId="5" w16cid:durableId="1853369892">
    <w:abstractNumId w:val="8"/>
  </w:num>
  <w:num w:numId="6" w16cid:durableId="1330522097">
    <w:abstractNumId w:val="9"/>
  </w:num>
  <w:num w:numId="7" w16cid:durableId="1103770450">
    <w:abstractNumId w:val="3"/>
  </w:num>
  <w:num w:numId="8" w16cid:durableId="2115901162">
    <w:abstractNumId w:val="24"/>
  </w:num>
  <w:num w:numId="9" w16cid:durableId="641810281">
    <w:abstractNumId w:val="6"/>
  </w:num>
  <w:num w:numId="10" w16cid:durableId="988367021">
    <w:abstractNumId w:val="23"/>
  </w:num>
  <w:num w:numId="11" w16cid:durableId="2014452744">
    <w:abstractNumId w:val="14"/>
  </w:num>
  <w:num w:numId="12" w16cid:durableId="1693260493">
    <w:abstractNumId w:val="21"/>
  </w:num>
  <w:num w:numId="13" w16cid:durableId="899483355">
    <w:abstractNumId w:val="16"/>
  </w:num>
  <w:num w:numId="14" w16cid:durableId="1508402190">
    <w:abstractNumId w:val="5"/>
  </w:num>
  <w:num w:numId="15" w16cid:durableId="1223952363">
    <w:abstractNumId w:val="26"/>
  </w:num>
  <w:num w:numId="16" w16cid:durableId="1202941726">
    <w:abstractNumId w:val="25"/>
  </w:num>
  <w:num w:numId="17" w16cid:durableId="2071413976">
    <w:abstractNumId w:val="13"/>
  </w:num>
  <w:num w:numId="18" w16cid:durableId="1520117023">
    <w:abstractNumId w:val="4"/>
  </w:num>
  <w:num w:numId="19" w16cid:durableId="378818491">
    <w:abstractNumId w:val="30"/>
  </w:num>
  <w:num w:numId="20" w16cid:durableId="1963070212">
    <w:abstractNumId w:val="27"/>
  </w:num>
  <w:num w:numId="21" w16cid:durableId="1927300083">
    <w:abstractNumId w:val="31"/>
  </w:num>
  <w:num w:numId="22" w16cid:durableId="1122113752">
    <w:abstractNumId w:val="18"/>
  </w:num>
  <w:num w:numId="23" w16cid:durableId="499197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6060257">
    <w:abstractNumId w:val="7"/>
  </w:num>
  <w:num w:numId="25" w16cid:durableId="181820024">
    <w:abstractNumId w:val="2"/>
  </w:num>
  <w:num w:numId="26" w16cid:durableId="48967862">
    <w:abstractNumId w:val="28"/>
  </w:num>
  <w:num w:numId="27" w16cid:durableId="1399670214">
    <w:abstractNumId w:val="29"/>
  </w:num>
  <w:num w:numId="28" w16cid:durableId="1896699535">
    <w:abstractNumId w:val="1"/>
  </w:num>
  <w:num w:numId="29" w16cid:durableId="1259486999">
    <w:abstractNumId w:val="12"/>
  </w:num>
  <w:num w:numId="30" w16cid:durableId="1705249662">
    <w:abstractNumId w:val="11"/>
  </w:num>
  <w:num w:numId="31" w16cid:durableId="1219854104">
    <w:abstractNumId w:val="22"/>
  </w:num>
  <w:num w:numId="32" w16cid:durableId="1378506898">
    <w:abstractNumId w:val="15"/>
  </w:num>
  <w:num w:numId="33" w16cid:durableId="131591113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1668"/>
    <w:rsid w:val="00002BCC"/>
    <w:rsid w:val="0000375B"/>
    <w:rsid w:val="00010DD3"/>
    <w:rsid w:val="000113BC"/>
    <w:rsid w:val="00012EE4"/>
    <w:rsid w:val="000136AF"/>
    <w:rsid w:val="0001380C"/>
    <w:rsid w:val="00015149"/>
    <w:rsid w:val="00015C23"/>
    <w:rsid w:val="0002051A"/>
    <w:rsid w:val="00021675"/>
    <w:rsid w:val="0002391D"/>
    <w:rsid w:val="000254D0"/>
    <w:rsid w:val="00025824"/>
    <w:rsid w:val="00032831"/>
    <w:rsid w:val="00035D3A"/>
    <w:rsid w:val="00037734"/>
    <w:rsid w:val="0004044E"/>
    <w:rsid w:val="00041A02"/>
    <w:rsid w:val="000447C8"/>
    <w:rsid w:val="00044D83"/>
    <w:rsid w:val="000507D6"/>
    <w:rsid w:val="0005120E"/>
    <w:rsid w:val="00053793"/>
    <w:rsid w:val="00053A1B"/>
    <w:rsid w:val="00054577"/>
    <w:rsid w:val="00055A61"/>
    <w:rsid w:val="00055FFE"/>
    <w:rsid w:val="0005723D"/>
    <w:rsid w:val="000614BF"/>
    <w:rsid w:val="00063E24"/>
    <w:rsid w:val="00065892"/>
    <w:rsid w:val="0007169C"/>
    <w:rsid w:val="000720E1"/>
    <w:rsid w:val="00072C07"/>
    <w:rsid w:val="00076EEF"/>
    <w:rsid w:val="00077593"/>
    <w:rsid w:val="00077788"/>
    <w:rsid w:val="00077CB3"/>
    <w:rsid w:val="00083F48"/>
    <w:rsid w:val="00084052"/>
    <w:rsid w:val="0008479E"/>
    <w:rsid w:val="000848E9"/>
    <w:rsid w:val="00084BC8"/>
    <w:rsid w:val="00084E97"/>
    <w:rsid w:val="00085316"/>
    <w:rsid w:val="0008582F"/>
    <w:rsid w:val="00087B32"/>
    <w:rsid w:val="000A37AD"/>
    <w:rsid w:val="000A4401"/>
    <w:rsid w:val="000A479A"/>
    <w:rsid w:val="000A73B4"/>
    <w:rsid w:val="000A7DF9"/>
    <w:rsid w:val="000A7FD7"/>
    <w:rsid w:val="000B0B8D"/>
    <w:rsid w:val="000B1C26"/>
    <w:rsid w:val="000B2B1D"/>
    <w:rsid w:val="000B4FC5"/>
    <w:rsid w:val="000B6CF5"/>
    <w:rsid w:val="000C2F0E"/>
    <w:rsid w:val="000C4A6F"/>
    <w:rsid w:val="000C69D8"/>
    <w:rsid w:val="000C7782"/>
    <w:rsid w:val="000D05EF"/>
    <w:rsid w:val="000D1D02"/>
    <w:rsid w:val="000D2A64"/>
    <w:rsid w:val="000D3A7D"/>
    <w:rsid w:val="000D3FB9"/>
    <w:rsid w:val="000D4852"/>
    <w:rsid w:val="000D51AA"/>
    <w:rsid w:val="000D51BF"/>
    <w:rsid w:val="000D5485"/>
    <w:rsid w:val="000D5F52"/>
    <w:rsid w:val="000E12E5"/>
    <w:rsid w:val="000E134F"/>
    <w:rsid w:val="000E598E"/>
    <w:rsid w:val="000E5A3D"/>
    <w:rsid w:val="000F0ADA"/>
    <w:rsid w:val="000F21C1"/>
    <w:rsid w:val="000F2851"/>
    <w:rsid w:val="000F65E4"/>
    <w:rsid w:val="00100566"/>
    <w:rsid w:val="00100D73"/>
    <w:rsid w:val="00100F47"/>
    <w:rsid w:val="001011A4"/>
    <w:rsid w:val="0010745C"/>
    <w:rsid w:val="001121E8"/>
    <w:rsid w:val="001122FF"/>
    <w:rsid w:val="00113943"/>
    <w:rsid w:val="00116001"/>
    <w:rsid w:val="001168DF"/>
    <w:rsid w:val="00120A14"/>
    <w:rsid w:val="001233EC"/>
    <w:rsid w:val="00124074"/>
    <w:rsid w:val="0012523F"/>
    <w:rsid w:val="001259FD"/>
    <w:rsid w:val="00135D96"/>
    <w:rsid w:val="00136D9D"/>
    <w:rsid w:val="0014332A"/>
    <w:rsid w:val="00144EFA"/>
    <w:rsid w:val="001462B4"/>
    <w:rsid w:val="00150228"/>
    <w:rsid w:val="001511A2"/>
    <w:rsid w:val="00152B7B"/>
    <w:rsid w:val="00160BD7"/>
    <w:rsid w:val="00161023"/>
    <w:rsid w:val="001643C9"/>
    <w:rsid w:val="00165568"/>
    <w:rsid w:val="00166082"/>
    <w:rsid w:val="00166C2F"/>
    <w:rsid w:val="001716C9"/>
    <w:rsid w:val="001724BB"/>
    <w:rsid w:val="001759C0"/>
    <w:rsid w:val="00175CBC"/>
    <w:rsid w:val="001766E6"/>
    <w:rsid w:val="00177047"/>
    <w:rsid w:val="00181E2F"/>
    <w:rsid w:val="0018399D"/>
    <w:rsid w:val="00184261"/>
    <w:rsid w:val="00190DD7"/>
    <w:rsid w:val="001911E2"/>
    <w:rsid w:val="0019193F"/>
    <w:rsid w:val="00193461"/>
    <w:rsid w:val="001939E1"/>
    <w:rsid w:val="0019452E"/>
    <w:rsid w:val="00195047"/>
    <w:rsid w:val="00195382"/>
    <w:rsid w:val="001A23F0"/>
    <w:rsid w:val="001A286A"/>
    <w:rsid w:val="001A3956"/>
    <w:rsid w:val="001A3B9F"/>
    <w:rsid w:val="001A5520"/>
    <w:rsid w:val="001A5DC8"/>
    <w:rsid w:val="001A65C0"/>
    <w:rsid w:val="001A786B"/>
    <w:rsid w:val="001A7D09"/>
    <w:rsid w:val="001B7A5D"/>
    <w:rsid w:val="001C69C4"/>
    <w:rsid w:val="001D079C"/>
    <w:rsid w:val="001D736A"/>
    <w:rsid w:val="001E0A8D"/>
    <w:rsid w:val="001E2DEB"/>
    <w:rsid w:val="001E3419"/>
    <w:rsid w:val="001E3590"/>
    <w:rsid w:val="001E3879"/>
    <w:rsid w:val="001E39B6"/>
    <w:rsid w:val="001E3F1B"/>
    <w:rsid w:val="001E4839"/>
    <w:rsid w:val="001E4B63"/>
    <w:rsid w:val="001E4C79"/>
    <w:rsid w:val="001E7407"/>
    <w:rsid w:val="001F1A46"/>
    <w:rsid w:val="001F45AD"/>
    <w:rsid w:val="001F4C69"/>
    <w:rsid w:val="001F4D60"/>
    <w:rsid w:val="001F60E5"/>
    <w:rsid w:val="002008DD"/>
    <w:rsid w:val="00201D27"/>
    <w:rsid w:val="0021153A"/>
    <w:rsid w:val="00214A15"/>
    <w:rsid w:val="00215A10"/>
    <w:rsid w:val="0022090F"/>
    <w:rsid w:val="002233CA"/>
    <w:rsid w:val="002245A6"/>
    <w:rsid w:val="00224A36"/>
    <w:rsid w:val="0022642A"/>
    <w:rsid w:val="00227A02"/>
    <w:rsid w:val="002302EA"/>
    <w:rsid w:val="00232825"/>
    <w:rsid w:val="00234060"/>
    <w:rsid w:val="0023465A"/>
    <w:rsid w:val="0023605E"/>
    <w:rsid w:val="00237614"/>
    <w:rsid w:val="00240749"/>
    <w:rsid w:val="00241AA9"/>
    <w:rsid w:val="00241C84"/>
    <w:rsid w:val="0024362E"/>
    <w:rsid w:val="002468D7"/>
    <w:rsid w:val="00246E76"/>
    <w:rsid w:val="00247E97"/>
    <w:rsid w:val="002517A8"/>
    <w:rsid w:val="00252527"/>
    <w:rsid w:val="00256C81"/>
    <w:rsid w:val="00257CB8"/>
    <w:rsid w:val="00260858"/>
    <w:rsid w:val="00260C2C"/>
    <w:rsid w:val="00262A2F"/>
    <w:rsid w:val="00267E0C"/>
    <w:rsid w:val="00270A14"/>
    <w:rsid w:val="002720FA"/>
    <w:rsid w:val="00277028"/>
    <w:rsid w:val="002809A8"/>
    <w:rsid w:val="00280E59"/>
    <w:rsid w:val="00281AB1"/>
    <w:rsid w:val="00285CDD"/>
    <w:rsid w:val="0028692F"/>
    <w:rsid w:val="00291167"/>
    <w:rsid w:val="002945BD"/>
    <w:rsid w:val="0029489E"/>
    <w:rsid w:val="00296A64"/>
    <w:rsid w:val="00297D5A"/>
    <w:rsid w:val="00297ECB"/>
    <w:rsid w:val="002A0326"/>
    <w:rsid w:val="002A11BB"/>
    <w:rsid w:val="002A2495"/>
    <w:rsid w:val="002A3B30"/>
    <w:rsid w:val="002A48AA"/>
    <w:rsid w:val="002B0AEF"/>
    <w:rsid w:val="002B0D3E"/>
    <w:rsid w:val="002B139F"/>
    <w:rsid w:val="002B1BAD"/>
    <w:rsid w:val="002B41E5"/>
    <w:rsid w:val="002B4E22"/>
    <w:rsid w:val="002B51A4"/>
    <w:rsid w:val="002B55E2"/>
    <w:rsid w:val="002B5CE1"/>
    <w:rsid w:val="002C053F"/>
    <w:rsid w:val="002C0968"/>
    <w:rsid w:val="002C0A93"/>
    <w:rsid w:val="002C152A"/>
    <w:rsid w:val="002C4200"/>
    <w:rsid w:val="002C4543"/>
    <w:rsid w:val="002C598D"/>
    <w:rsid w:val="002D043A"/>
    <w:rsid w:val="002D1F2F"/>
    <w:rsid w:val="002E1E70"/>
    <w:rsid w:val="002E2C58"/>
    <w:rsid w:val="002E3086"/>
    <w:rsid w:val="002E3437"/>
    <w:rsid w:val="002F0628"/>
    <w:rsid w:val="002F6C6E"/>
    <w:rsid w:val="002F6D86"/>
    <w:rsid w:val="00301881"/>
    <w:rsid w:val="00303ECE"/>
    <w:rsid w:val="00303F52"/>
    <w:rsid w:val="00304492"/>
    <w:rsid w:val="00304FF6"/>
    <w:rsid w:val="00305108"/>
    <w:rsid w:val="0030558D"/>
    <w:rsid w:val="00306F2D"/>
    <w:rsid w:val="00307C89"/>
    <w:rsid w:val="00310066"/>
    <w:rsid w:val="00311F3B"/>
    <w:rsid w:val="00312A5C"/>
    <w:rsid w:val="00312B32"/>
    <w:rsid w:val="00313433"/>
    <w:rsid w:val="0031713F"/>
    <w:rsid w:val="00317D24"/>
    <w:rsid w:val="003215D7"/>
    <w:rsid w:val="003222D1"/>
    <w:rsid w:val="003230FF"/>
    <w:rsid w:val="0032492D"/>
    <w:rsid w:val="0032750F"/>
    <w:rsid w:val="00332275"/>
    <w:rsid w:val="0033267B"/>
    <w:rsid w:val="00333D59"/>
    <w:rsid w:val="00333E26"/>
    <w:rsid w:val="0033444B"/>
    <w:rsid w:val="00335E84"/>
    <w:rsid w:val="00340719"/>
    <w:rsid w:val="003415D3"/>
    <w:rsid w:val="003442F6"/>
    <w:rsid w:val="00345CEF"/>
    <w:rsid w:val="00345DA3"/>
    <w:rsid w:val="00346335"/>
    <w:rsid w:val="0034775E"/>
    <w:rsid w:val="00347E24"/>
    <w:rsid w:val="00350BF6"/>
    <w:rsid w:val="00350DF9"/>
    <w:rsid w:val="00352B0F"/>
    <w:rsid w:val="003543E0"/>
    <w:rsid w:val="00354488"/>
    <w:rsid w:val="00355866"/>
    <w:rsid w:val="003561B0"/>
    <w:rsid w:val="00360127"/>
    <w:rsid w:val="00360F81"/>
    <w:rsid w:val="0036663B"/>
    <w:rsid w:val="00372095"/>
    <w:rsid w:val="00372AB8"/>
    <w:rsid w:val="00375819"/>
    <w:rsid w:val="0037668B"/>
    <w:rsid w:val="00383301"/>
    <w:rsid w:val="0038353B"/>
    <w:rsid w:val="003852A3"/>
    <w:rsid w:val="00391953"/>
    <w:rsid w:val="003957A9"/>
    <w:rsid w:val="00396537"/>
    <w:rsid w:val="00397893"/>
    <w:rsid w:val="003A15AC"/>
    <w:rsid w:val="003A192E"/>
    <w:rsid w:val="003A3D74"/>
    <w:rsid w:val="003A4314"/>
    <w:rsid w:val="003A49B8"/>
    <w:rsid w:val="003A4AE4"/>
    <w:rsid w:val="003A4E60"/>
    <w:rsid w:val="003B0627"/>
    <w:rsid w:val="003B2DEF"/>
    <w:rsid w:val="003B5BC6"/>
    <w:rsid w:val="003B5C9E"/>
    <w:rsid w:val="003C0587"/>
    <w:rsid w:val="003C2B6B"/>
    <w:rsid w:val="003C456A"/>
    <w:rsid w:val="003C5F2B"/>
    <w:rsid w:val="003C6101"/>
    <w:rsid w:val="003C7D35"/>
    <w:rsid w:val="003D0BFE"/>
    <w:rsid w:val="003D105E"/>
    <w:rsid w:val="003D12FC"/>
    <w:rsid w:val="003D1589"/>
    <w:rsid w:val="003D3C9B"/>
    <w:rsid w:val="003D3E55"/>
    <w:rsid w:val="003D5479"/>
    <w:rsid w:val="003D5700"/>
    <w:rsid w:val="003E0C81"/>
    <w:rsid w:val="003E18BF"/>
    <w:rsid w:val="003F1832"/>
    <w:rsid w:val="003F6F52"/>
    <w:rsid w:val="003F7235"/>
    <w:rsid w:val="004002A3"/>
    <w:rsid w:val="004022CA"/>
    <w:rsid w:val="00402496"/>
    <w:rsid w:val="00406A87"/>
    <w:rsid w:val="00406D05"/>
    <w:rsid w:val="00411535"/>
    <w:rsid w:val="004116CD"/>
    <w:rsid w:val="00411E3E"/>
    <w:rsid w:val="00412A9C"/>
    <w:rsid w:val="0041368C"/>
    <w:rsid w:val="0041438D"/>
    <w:rsid w:val="00414ADE"/>
    <w:rsid w:val="00416246"/>
    <w:rsid w:val="00420F70"/>
    <w:rsid w:val="0042259E"/>
    <w:rsid w:val="00424CA9"/>
    <w:rsid w:val="004257BB"/>
    <w:rsid w:val="00426657"/>
    <w:rsid w:val="00427E05"/>
    <w:rsid w:val="00432941"/>
    <w:rsid w:val="004332BE"/>
    <w:rsid w:val="00434894"/>
    <w:rsid w:val="004366A1"/>
    <w:rsid w:val="004369AC"/>
    <w:rsid w:val="00437221"/>
    <w:rsid w:val="00437F05"/>
    <w:rsid w:val="0044291A"/>
    <w:rsid w:val="0045002B"/>
    <w:rsid w:val="00452549"/>
    <w:rsid w:val="00455683"/>
    <w:rsid w:val="0045648E"/>
    <w:rsid w:val="00456D86"/>
    <w:rsid w:val="004600B0"/>
    <w:rsid w:val="00460499"/>
    <w:rsid w:val="00460FA5"/>
    <w:rsid w:val="00460FBA"/>
    <w:rsid w:val="0046105E"/>
    <w:rsid w:val="00461B28"/>
    <w:rsid w:val="00462D05"/>
    <w:rsid w:val="00462E24"/>
    <w:rsid w:val="004640C8"/>
    <w:rsid w:val="00464BBF"/>
    <w:rsid w:val="0046733C"/>
    <w:rsid w:val="004717E9"/>
    <w:rsid w:val="004724A9"/>
    <w:rsid w:val="00472D70"/>
    <w:rsid w:val="00472F04"/>
    <w:rsid w:val="004730EB"/>
    <w:rsid w:val="00474835"/>
    <w:rsid w:val="00474C1A"/>
    <w:rsid w:val="004819C7"/>
    <w:rsid w:val="0048364F"/>
    <w:rsid w:val="00483CBC"/>
    <w:rsid w:val="004877FC"/>
    <w:rsid w:val="00490F2E"/>
    <w:rsid w:val="00496F97"/>
    <w:rsid w:val="004A0D86"/>
    <w:rsid w:val="004A116A"/>
    <w:rsid w:val="004A2F15"/>
    <w:rsid w:val="004A53EA"/>
    <w:rsid w:val="004A5D77"/>
    <w:rsid w:val="004B35E7"/>
    <w:rsid w:val="004B60C6"/>
    <w:rsid w:val="004B6643"/>
    <w:rsid w:val="004B7397"/>
    <w:rsid w:val="004C0890"/>
    <w:rsid w:val="004C3709"/>
    <w:rsid w:val="004C4716"/>
    <w:rsid w:val="004C72AC"/>
    <w:rsid w:val="004C7FAC"/>
    <w:rsid w:val="004D0A4B"/>
    <w:rsid w:val="004D4A35"/>
    <w:rsid w:val="004E1CD8"/>
    <w:rsid w:val="004E1E67"/>
    <w:rsid w:val="004E2BC3"/>
    <w:rsid w:val="004E6376"/>
    <w:rsid w:val="004E7584"/>
    <w:rsid w:val="004F15E6"/>
    <w:rsid w:val="004F1FAC"/>
    <w:rsid w:val="004F676E"/>
    <w:rsid w:val="004F71C0"/>
    <w:rsid w:val="005008AD"/>
    <w:rsid w:val="00500E8F"/>
    <w:rsid w:val="005016C2"/>
    <w:rsid w:val="00503DE9"/>
    <w:rsid w:val="005059A0"/>
    <w:rsid w:val="00506C21"/>
    <w:rsid w:val="00506DBE"/>
    <w:rsid w:val="005076CC"/>
    <w:rsid w:val="005100EA"/>
    <w:rsid w:val="00516B8D"/>
    <w:rsid w:val="00523928"/>
    <w:rsid w:val="00524554"/>
    <w:rsid w:val="00524939"/>
    <w:rsid w:val="005252B4"/>
    <w:rsid w:val="00525653"/>
    <w:rsid w:val="0052756C"/>
    <w:rsid w:val="00530230"/>
    <w:rsid w:val="00530CC9"/>
    <w:rsid w:val="005314B4"/>
    <w:rsid w:val="00531B46"/>
    <w:rsid w:val="00537FBC"/>
    <w:rsid w:val="00541AFB"/>
    <w:rsid w:val="00541D73"/>
    <w:rsid w:val="00543469"/>
    <w:rsid w:val="005441C6"/>
    <w:rsid w:val="005445D9"/>
    <w:rsid w:val="00546FA3"/>
    <w:rsid w:val="00551041"/>
    <w:rsid w:val="0055204A"/>
    <w:rsid w:val="0055310F"/>
    <w:rsid w:val="00553BA1"/>
    <w:rsid w:val="00557C7A"/>
    <w:rsid w:val="00557EB5"/>
    <w:rsid w:val="00562A58"/>
    <w:rsid w:val="0056541A"/>
    <w:rsid w:val="0056603D"/>
    <w:rsid w:val="0056689B"/>
    <w:rsid w:val="00566C8D"/>
    <w:rsid w:val="00575466"/>
    <w:rsid w:val="00577DA0"/>
    <w:rsid w:val="00581211"/>
    <w:rsid w:val="005816C7"/>
    <w:rsid w:val="00581BB9"/>
    <w:rsid w:val="005834B9"/>
    <w:rsid w:val="00584811"/>
    <w:rsid w:val="00592CCE"/>
    <w:rsid w:val="00593AA6"/>
    <w:rsid w:val="00594161"/>
    <w:rsid w:val="00594749"/>
    <w:rsid w:val="00594956"/>
    <w:rsid w:val="00595A98"/>
    <w:rsid w:val="005A0046"/>
    <w:rsid w:val="005A091D"/>
    <w:rsid w:val="005A2F55"/>
    <w:rsid w:val="005A5AFC"/>
    <w:rsid w:val="005A6883"/>
    <w:rsid w:val="005B1555"/>
    <w:rsid w:val="005B1CD8"/>
    <w:rsid w:val="005B3DE3"/>
    <w:rsid w:val="005B3EE3"/>
    <w:rsid w:val="005B4067"/>
    <w:rsid w:val="005B6647"/>
    <w:rsid w:val="005B667E"/>
    <w:rsid w:val="005B71DD"/>
    <w:rsid w:val="005B7E54"/>
    <w:rsid w:val="005C0DF1"/>
    <w:rsid w:val="005C2066"/>
    <w:rsid w:val="005C2E9D"/>
    <w:rsid w:val="005C3F41"/>
    <w:rsid w:val="005C465D"/>
    <w:rsid w:val="005C4EF0"/>
    <w:rsid w:val="005C76CE"/>
    <w:rsid w:val="005D00EF"/>
    <w:rsid w:val="005D1F0E"/>
    <w:rsid w:val="005D5EA1"/>
    <w:rsid w:val="005D6563"/>
    <w:rsid w:val="005D700E"/>
    <w:rsid w:val="005E098C"/>
    <w:rsid w:val="005E1F8D"/>
    <w:rsid w:val="005E317F"/>
    <w:rsid w:val="005E3D5F"/>
    <w:rsid w:val="005E4F13"/>
    <w:rsid w:val="005E5494"/>
    <w:rsid w:val="005E61D3"/>
    <w:rsid w:val="005F08B2"/>
    <w:rsid w:val="005F0A7C"/>
    <w:rsid w:val="005F2C15"/>
    <w:rsid w:val="005F4BD7"/>
    <w:rsid w:val="005F514C"/>
    <w:rsid w:val="005F606A"/>
    <w:rsid w:val="005F7D81"/>
    <w:rsid w:val="00600219"/>
    <w:rsid w:val="006065DA"/>
    <w:rsid w:val="00606AA4"/>
    <w:rsid w:val="00610A0A"/>
    <w:rsid w:val="00611639"/>
    <w:rsid w:val="00612A00"/>
    <w:rsid w:val="006236FD"/>
    <w:rsid w:val="0062381B"/>
    <w:rsid w:val="006255A3"/>
    <w:rsid w:val="00630F1C"/>
    <w:rsid w:val="00631752"/>
    <w:rsid w:val="00632D5F"/>
    <w:rsid w:val="00640402"/>
    <w:rsid w:val="00640F78"/>
    <w:rsid w:val="00641140"/>
    <w:rsid w:val="0064690E"/>
    <w:rsid w:val="006536C8"/>
    <w:rsid w:val="006548FF"/>
    <w:rsid w:val="00655D6A"/>
    <w:rsid w:val="00656DE9"/>
    <w:rsid w:val="0065721F"/>
    <w:rsid w:val="00664415"/>
    <w:rsid w:val="00665505"/>
    <w:rsid w:val="0066638F"/>
    <w:rsid w:val="00666639"/>
    <w:rsid w:val="00666C08"/>
    <w:rsid w:val="00670FAC"/>
    <w:rsid w:val="00671066"/>
    <w:rsid w:val="006723C0"/>
    <w:rsid w:val="00672876"/>
    <w:rsid w:val="00674707"/>
    <w:rsid w:val="00674A26"/>
    <w:rsid w:val="00676517"/>
    <w:rsid w:val="00677972"/>
    <w:rsid w:val="00677CC2"/>
    <w:rsid w:val="00681322"/>
    <w:rsid w:val="0068168A"/>
    <w:rsid w:val="006832B7"/>
    <w:rsid w:val="006848C0"/>
    <w:rsid w:val="0068569D"/>
    <w:rsid w:val="00685F42"/>
    <w:rsid w:val="0068677D"/>
    <w:rsid w:val="0069207B"/>
    <w:rsid w:val="00695BBA"/>
    <w:rsid w:val="00696C5F"/>
    <w:rsid w:val="006A1795"/>
    <w:rsid w:val="006A1E0A"/>
    <w:rsid w:val="006A289C"/>
    <w:rsid w:val="006A304E"/>
    <w:rsid w:val="006A5241"/>
    <w:rsid w:val="006A6CA4"/>
    <w:rsid w:val="006B3CB4"/>
    <w:rsid w:val="006B4809"/>
    <w:rsid w:val="006B7006"/>
    <w:rsid w:val="006C2B58"/>
    <w:rsid w:val="006C3619"/>
    <w:rsid w:val="006C7F8C"/>
    <w:rsid w:val="006D6213"/>
    <w:rsid w:val="006D7AB9"/>
    <w:rsid w:val="006E0934"/>
    <w:rsid w:val="006E0DEC"/>
    <w:rsid w:val="006E4F41"/>
    <w:rsid w:val="006F09CF"/>
    <w:rsid w:val="006F1A19"/>
    <w:rsid w:val="006F2406"/>
    <w:rsid w:val="0070073E"/>
    <w:rsid w:val="00700B2C"/>
    <w:rsid w:val="00701DFB"/>
    <w:rsid w:val="0070698F"/>
    <w:rsid w:val="0070745A"/>
    <w:rsid w:val="00713084"/>
    <w:rsid w:val="00717463"/>
    <w:rsid w:val="007176A9"/>
    <w:rsid w:val="00720FC2"/>
    <w:rsid w:val="00722E89"/>
    <w:rsid w:val="007254A2"/>
    <w:rsid w:val="007259B9"/>
    <w:rsid w:val="00725B63"/>
    <w:rsid w:val="0072628D"/>
    <w:rsid w:val="00731E00"/>
    <w:rsid w:val="00733612"/>
    <w:rsid w:val="007339C7"/>
    <w:rsid w:val="00733BFD"/>
    <w:rsid w:val="007359FD"/>
    <w:rsid w:val="00742AB0"/>
    <w:rsid w:val="00743722"/>
    <w:rsid w:val="007440B7"/>
    <w:rsid w:val="00747298"/>
    <w:rsid w:val="00747993"/>
    <w:rsid w:val="007560B4"/>
    <w:rsid w:val="00756384"/>
    <w:rsid w:val="00760413"/>
    <w:rsid w:val="007615A1"/>
    <w:rsid w:val="007634AD"/>
    <w:rsid w:val="007715C9"/>
    <w:rsid w:val="00774EDD"/>
    <w:rsid w:val="007757EC"/>
    <w:rsid w:val="007808D1"/>
    <w:rsid w:val="00783075"/>
    <w:rsid w:val="00786EBF"/>
    <w:rsid w:val="00786F65"/>
    <w:rsid w:val="00787223"/>
    <w:rsid w:val="00790BD6"/>
    <w:rsid w:val="00791032"/>
    <w:rsid w:val="007914D7"/>
    <w:rsid w:val="007928F1"/>
    <w:rsid w:val="007A18D3"/>
    <w:rsid w:val="007A435D"/>
    <w:rsid w:val="007A6863"/>
    <w:rsid w:val="007A6E62"/>
    <w:rsid w:val="007A7A00"/>
    <w:rsid w:val="007A7AA8"/>
    <w:rsid w:val="007B09E9"/>
    <w:rsid w:val="007C6403"/>
    <w:rsid w:val="007C70F2"/>
    <w:rsid w:val="007C78B4"/>
    <w:rsid w:val="007C7EFF"/>
    <w:rsid w:val="007D1325"/>
    <w:rsid w:val="007D19E5"/>
    <w:rsid w:val="007D1EDC"/>
    <w:rsid w:val="007D287C"/>
    <w:rsid w:val="007D30F8"/>
    <w:rsid w:val="007D3F37"/>
    <w:rsid w:val="007D42F5"/>
    <w:rsid w:val="007D6864"/>
    <w:rsid w:val="007E2BB8"/>
    <w:rsid w:val="007E32B6"/>
    <w:rsid w:val="007E486B"/>
    <w:rsid w:val="007E6B9F"/>
    <w:rsid w:val="007E7CC1"/>
    <w:rsid w:val="007E7D4A"/>
    <w:rsid w:val="007F2DAC"/>
    <w:rsid w:val="007F2FFB"/>
    <w:rsid w:val="007F30EB"/>
    <w:rsid w:val="007F3EC1"/>
    <w:rsid w:val="007F4155"/>
    <w:rsid w:val="007F4620"/>
    <w:rsid w:val="007F48ED"/>
    <w:rsid w:val="007F5E3F"/>
    <w:rsid w:val="00807A00"/>
    <w:rsid w:val="008119E1"/>
    <w:rsid w:val="00812824"/>
    <w:rsid w:val="00812F0E"/>
    <w:rsid w:val="00812F45"/>
    <w:rsid w:val="008156F7"/>
    <w:rsid w:val="008161C3"/>
    <w:rsid w:val="00817CD1"/>
    <w:rsid w:val="0082334B"/>
    <w:rsid w:val="00824CF7"/>
    <w:rsid w:val="00825137"/>
    <w:rsid w:val="00827541"/>
    <w:rsid w:val="00831732"/>
    <w:rsid w:val="00831775"/>
    <w:rsid w:val="00831B04"/>
    <w:rsid w:val="00833A5A"/>
    <w:rsid w:val="00836FE9"/>
    <w:rsid w:val="00840182"/>
    <w:rsid w:val="0084172C"/>
    <w:rsid w:val="00842B90"/>
    <w:rsid w:val="00846D19"/>
    <w:rsid w:val="008512BB"/>
    <w:rsid w:val="0085175E"/>
    <w:rsid w:val="0085440F"/>
    <w:rsid w:val="00854E7E"/>
    <w:rsid w:val="00856A31"/>
    <w:rsid w:val="008608E6"/>
    <w:rsid w:val="00861839"/>
    <w:rsid w:val="00865CE6"/>
    <w:rsid w:val="008669F4"/>
    <w:rsid w:val="00867BB9"/>
    <w:rsid w:val="0087014A"/>
    <w:rsid w:val="00872B3E"/>
    <w:rsid w:val="00873D63"/>
    <w:rsid w:val="008754D0"/>
    <w:rsid w:val="00877C69"/>
    <w:rsid w:val="00877D48"/>
    <w:rsid w:val="0088345B"/>
    <w:rsid w:val="00891595"/>
    <w:rsid w:val="00893C8F"/>
    <w:rsid w:val="008945F2"/>
    <w:rsid w:val="00895DEC"/>
    <w:rsid w:val="008978ED"/>
    <w:rsid w:val="008A08B6"/>
    <w:rsid w:val="008A16A5"/>
    <w:rsid w:val="008A5C57"/>
    <w:rsid w:val="008B05F8"/>
    <w:rsid w:val="008B09C7"/>
    <w:rsid w:val="008B63D5"/>
    <w:rsid w:val="008B6E20"/>
    <w:rsid w:val="008B7D8E"/>
    <w:rsid w:val="008C0629"/>
    <w:rsid w:val="008C42B6"/>
    <w:rsid w:val="008C475A"/>
    <w:rsid w:val="008C51FC"/>
    <w:rsid w:val="008D0EE0"/>
    <w:rsid w:val="008D40D6"/>
    <w:rsid w:val="008D548A"/>
    <w:rsid w:val="008D7A27"/>
    <w:rsid w:val="008D7E7C"/>
    <w:rsid w:val="008E1DD3"/>
    <w:rsid w:val="008E1FB7"/>
    <w:rsid w:val="008E2244"/>
    <w:rsid w:val="008E4702"/>
    <w:rsid w:val="008E69AA"/>
    <w:rsid w:val="008F4F1C"/>
    <w:rsid w:val="008F6E5E"/>
    <w:rsid w:val="008F7B10"/>
    <w:rsid w:val="00900646"/>
    <w:rsid w:val="0090216B"/>
    <w:rsid w:val="009031D4"/>
    <w:rsid w:val="00904917"/>
    <w:rsid w:val="0090628A"/>
    <w:rsid w:val="009069AD"/>
    <w:rsid w:val="00910E64"/>
    <w:rsid w:val="00911C6E"/>
    <w:rsid w:val="009132DE"/>
    <w:rsid w:val="00913606"/>
    <w:rsid w:val="009143F1"/>
    <w:rsid w:val="00916878"/>
    <w:rsid w:val="00916BEB"/>
    <w:rsid w:val="00920224"/>
    <w:rsid w:val="00920897"/>
    <w:rsid w:val="00921F33"/>
    <w:rsid w:val="00922764"/>
    <w:rsid w:val="00922E45"/>
    <w:rsid w:val="009230BA"/>
    <w:rsid w:val="009278C1"/>
    <w:rsid w:val="00931863"/>
    <w:rsid w:val="00932377"/>
    <w:rsid w:val="00933500"/>
    <w:rsid w:val="009346E3"/>
    <w:rsid w:val="0093533D"/>
    <w:rsid w:val="00937A8B"/>
    <w:rsid w:val="009410D2"/>
    <w:rsid w:val="009414A5"/>
    <w:rsid w:val="00941A07"/>
    <w:rsid w:val="00943C3E"/>
    <w:rsid w:val="009442DE"/>
    <w:rsid w:val="00944B9B"/>
    <w:rsid w:val="0094523D"/>
    <w:rsid w:val="009454A3"/>
    <w:rsid w:val="00952711"/>
    <w:rsid w:val="00954115"/>
    <w:rsid w:val="009548EF"/>
    <w:rsid w:val="00954EA1"/>
    <w:rsid w:val="009611D5"/>
    <w:rsid w:val="00961229"/>
    <w:rsid w:val="00963391"/>
    <w:rsid w:val="009646C3"/>
    <w:rsid w:val="00965E0E"/>
    <w:rsid w:val="009720C3"/>
    <w:rsid w:val="009741C4"/>
    <w:rsid w:val="009755D0"/>
    <w:rsid w:val="00975A6D"/>
    <w:rsid w:val="00976A63"/>
    <w:rsid w:val="00981D9C"/>
    <w:rsid w:val="009A36FD"/>
    <w:rsid w:val="009A64C9"/>
    <w:rsid w:val="009B0106"/>
    <w:rsid w:val="009B0E8B"/>
    <w:rsid w:val="009B2490"/>
    <w:rsid w:val="009B384B"/>
    <w:rsid w:val="009B3FDA"/>
    <w:rsid w:val="009B50E5"/>
    <w:rsid w:val="009B751F"/>
    <w:rsid w:val="009C3431"/>
    <w:rsid w:val="009C4EDB"/>
    <w:rsid w:val="009C52F3"/>
    <w:rsid w:val="009C56C5"/>
    <w:rsid w:val="009C5989"/>
    <w:rsid w:val="009C6A32"/>
    <w:rsid w:val="009D003B"/>
    <w:rsid w:val="009D08DA"/>
    <w:rsid w:val="009D5846"/>
    <w:rsid w:val="009D59BF"/>
    <w:rsid w:val="009D702D"/>
    <w:rsid w:val="009E2488"/>
    <w:rsid w:val="00A0055D"/>
    <w:rsid w:val="00A06860"/>
    <w:rsid w:val="00A132E2"/>
    <w:rsid w:val="00A136F5"/>
    <w:rsid w:val="00A14102"/>
    <w:rsid w:val="00A14CC4"/>
    <w:rsid w:val="00A15A31"/>
    <w:rsid w:val="00A223E2"/>
    <w:rsid w:val="00A22A70"/>
    <w:rsid w:val="00A231E2"/>
    <w:rsid w:val="00A245D4"/>
    <w:rsid w:val="00A2550D"/>
    <w:rsid w:val="00A3196F"/>
    <w:rsid w:val="00A3356C"/>
    <w:rsid w:val="00A3386A"/>
    <w:rsid w:val="00A34067"/>
    <w:rsid w:val="00A357F2"/>
    <w:rsid w:val="00A3717E"/>
    <w:rsid w:val="00A379BB"/>
    <w:rsid w:val="00A37EA9"/>
    <w:rsid w:val="00A4169B"/>
    <w:rsid w:val="00A4419E"/>
    <w:rsid w:val="00A45C02"/>
    <w:rsid w:val="00A5056A"/>
    <w:rsid w:val="00A50D55"/>
    <w:rsid w:val="00A52FDA"/>
    <w:rsid w:val="00A53105"/>
    <w:rsid w:val="00A54490"/>
    <w:rsid w:val="00A54D19"/>
    <w:rsid w:val="00A54F52"/>
    <w:rsid w:val="00A6176B"/>
    <w:rsid w:val="00A64912"/>
    <w:rsid w:val="00A65CBF"/>
    <w:rsid w:val="00A65EDC"/>
    <w:rsid w:val="00A70A74"/>
    <w:rsid w:val="00A73746"/>
    <w:rsid w:val="00A84295"/>
    <w:rsid w:val="00A8444A"/>
    <w:rsid w:val="00A8497E"/>
    <w:rsid w:val="00A9089A"/>
    <w:rsid w:val="00A9231A"/>
    <w:rsid w:val="00A92591"/>
    <w:rsid w:val="00A935E7"/>
    <w:rsid w:val="00A95643"/>
    <w:rsid w:val="00A95BC7"/>
    <w:rsid w:val="00A968FE"/>
    <w:rsid w:val="00A96DC0"/>
    <w:rsid w:val="00AA0343"/>
    <w:rsid w:val="00AA1233"/>
    <w:rsid w:val="00AA17C5"/>
    <w:rsid w:val="00AA1D5E"/>
    <w:rsid w:val="00AA2416"/>
    <w:rsid w:val="00AA755B"/>
    <w:rsid w:val="00AA78CE"/>
    <w:rsid w:val="00AA7B26"/>
    <w:rsid w:val="00AA7B40"/>
    <w:rsid w:val="00AC0B39"/>
    <w:rsid w:val="00AC2EC7"/>
    <w:rsid w:val="00AC2F83"/>
    <w:rsid w:val="00AC32C0"/>
    <w:rsid w:val="00AC36A9"/>
    <w:rsid w:val="00AC4A41"/>
    <w:rsid w:val="00AC4A4B"/>
    <w:rsid w:val="00AC5837"/>
    <w:rsid w:val="00AC652C"/>
    <w:rsid w:val="00AC767C"/>
    <w:rsid w:val="00AC7C25"/>
    <w:rsid w:val="00AD1C8D"/>
    <w:rsid w:val="00AD3467"/>
    <w:rsid w:val="00AD491C"/>
    <w:rsid w:val="00AD5641"/>
    <w:rsid w:val="00AD67B8"/>
    <w:rsid w:val="00AD74EF"/>
    <w:rsid w:val="00AF00F3"/>
    <w:rsid w:val="00AF0D3D"/>
    <w:rsid w:val="00AF33DB"/>
    <w:rsid w:val="00AF33FA"/>
    <w:rsid w:val="00AF6A91"/>
    <w:rsid w:val="00B011CD"/>
    <w:rsid w:val="00B01413"/>
    <w:rsid w:val="00B02B6A"/>
    <w:rsid w:val="00B032D8"/>
    <w:rsid w:val="00B0436A"/>
    <w:rsid w:val="00B056F9"/>
    <w:rsid w:val="00B05D72"/>
    <w:rsid w:val="00B0784C"/>
    <w:rsid w:val="00B12E1C"/>
    <w:rsid w:val="00B15800"/>
    <w:rsid w:val="00B17A89"/>
    <w:rsid w:val="00B17B7A"/>
    <w:rsid w:val="00B20990"/>
    <w:rsid w:val="00B23E74"/>
    <w:rsid w:val="00B23FAF"/>
    <w:rsid w:val="00B25EAA"/>
    <w:rsid w:val="00B26B94"/>
    <w:rsid w:val="00B30E1A"/>
    <w:rsid w:val="00B3141C"/>
    <w:rsid w:val="00B323CC"/>
    <w:rsid w:val="00B33B3C"/>
    <w:rsid w:val="00B35A7A"/>
    <w:rsid w:val="00B36540"/>
    <w:rsid w:val="00B40D74"/>
    <w:rsid w:val="00B42649"/>
    <w:rsid w:val="00B44538"/>
    <w:rsid w:val="00B455D5"/>
    <w:rsid w:val="00B46467"/>
    <w:rsid w:val="00B504C5"/>
    <w:rsid w:val="00B52663"/>
    <w:rsid w:val="00B56C48"/>
    <w:rsid w:val="00B56DCB"/>
    <w:rsid w:val="00B60810"/>
    <w:rsid w:val="00B6128C"/>
    <w:rsid w:val="00B61728"/>
    <w:rsid w:val="00B64C86"/>
    <w:rsid w:val="00B715FD"/>
    <w:rsid w:val="00B74365"/>
    <w:rsid w:val="00B746EA"/>
    <w:rsid w:val="00B770D2"/>
    <w:rsid w:val="00B80306"/>
    <w:rsid w:val="00B836E5"/>
    <w:rsid w:val="00B85B14"/>
    <w:rsid w:val="00B86BD9"/>
    <w:rsid w:val="00B907F2"/>
    <w:rsid w:val="00B93516"/>
    <w:rsid w:val="00B94BAD"/>
    <w:rsid w:val="00B96776"/>
    <w:rsid w:val="00B973E5"/>
    <w:rsid w:val="00BA0450"/>
    <w:rsid w:val="00BA17CF"/>
    <w:rsid w:val="00BA47A3"/>
    <w:rsid w:val="00BA5026"/>
    <w:rsid w:val="00BA5C40"/>
    <w:rsid w:val="00BA7B5B"/>
    <w:rsid w:val="00BB2018"/>
    <w:rsid w:val="00BB6E79"/>
    <w:rsid w:val="00BC36CE"/>
    <w:rsid w:val="00BD3D51"/>
    <w:rsid w:val="00BD4EBF"/>
    <w:rsid w:val="00BD7575"/>
    <w:rsid w:val="00BD7BAD"/>
    <w:rsid w:val="00BE2D50"/>
    <w:rsid w:val="00BE3676"/>
    <w:rsid w:val="00BE3E3A"/>
    <w:rsid w:val="00BE42C5"/>
    <w:rsid w:val="00BE719A"/>
    <w:rsid w:val="00BE720A"/>
    <w:rsid w:val="00BF0723"/>
    <w:rsid w:val="00BF13C5"/>
    <w:rsid w:val="00BF18F9"/>
    <w:rsid w:val="00BF6650"/>
    <w:rsid w:val="00BF71E6"/>
    <w:rsid w:val="00C038AD"/>
    <w:rsid w:val="00C067E5"/>
    <w:rsid w:val="00C07DD6"/>
    <w:rsid w:val="00C13DAF"/>
    <w:rsid w:val="00C14211"/>
    <w:rsid w:val="00C164CA"/>
    <w:rsid w:val="00C1795C"/>
    <w:rsid w:val="00C200B8"/>
    <w:rsid w:val="00C2329E"/>
    <w:rsid w:val="00C2336C"/>
    <w:rsid w:val="00C25AFD"/>
    <w:rsid w:val="00C26051"/>
    <w:rsid w:val="00C30953"/>
    <w:rsid w:val="00C35191"/>
    <w:rsid w:val="00C353CB"/>
    <w:rsid w:val="00C379F2"/>
    <w:rsid w:val="00C42350"/>
    <w:rsid w:val="00C4267E"/>
    <w:rsid w:val="00C42BF8"/>
    <w:rsid w:val="00C44325"/>
    <w:rsid w:val="00C452F4"/>
    <w:rsid w:val="00C460AE"/>
    <w:rsid w:val="00C50043"/>
    <w:rsid w:val="00C5015F"/>
    <w:rsid w:val="00C505F0"/>
    <w:rsid w:val="00C50A0F"/>
    <w:rsid w:val="00C50F4A"/>
    <w:rsid w:val="00C51B6A"/>
    <w:rsid w:val="00C53CBB"/>
    <w:rsid w:val="00C568CF"/>
    <w:rsid w:val="00C637FD"/>
    <w:rsid w:val="00C64186"/>
    <w:rsid w:val="00C703EB"/>
    <w:rsid w:val="00C72D10"/>
    <w:rsid w:val="00C74464"/>
    <w:rsid w:val="00C7573B"/>
    <w:rsid w:val="00C76CF3"/>
    <w:rsid w:val="00C80352"/>
    <w:rsid w:val="00C80707"/>
    <w:rsid w:val="00C81CE2"/>
    <w:rsid w:val="00C82763"/>
    <w:rsid w:val="00C83869"/>
    <w:rsid w:val="00C904FE"/>
    <w:rsid w:val="00C93179"/>
    <w:rsid w:val="00C93205"/>
    <w:rsid w:val="00C945DC"/>
    <w:rsid w:val="00C95DD6"/>
    <w:rsid w:val="00C95E9E"/>
    <w:rsid w:val="00CA311D"/>
    <w:rsid w:val="00CA7525"/>
    <w:rsid w:val="00CA7844"/>
    <w:rsid w:val="00CB3D8B"/>
    <w:rsid w:val="00CB4308"/>
    <w:rsid w:val="00CB58EF"/>
    <w:rsid w:val="00CB61AB"/>
    <w:rsid w:val="00CC0D20"/>
    <w:rsid w:val="00CC2AFE"/>
    <w:rsid w:val="00CC49E2"/>
    <w:rsid w:val="00CC4FA4"/>
    <w:rsid w:val="00CC521A"/>
    <w:rsid w:val="00CC64F8"/>
    <w:rsid w:val="00CD6A8D"/>
    <w:rsid w:val="00CE0A93"/>
    <w:rsid w:val="00CF0BB2"/>
    <w:rsid w:val="00CF4579"/>
    <w:rsid w:val="00D023FF"/>
    <w:rsid w:val="00D026FD"/>
    <w:rsid w:val="00D04A29"/>
    <w:rsid w:val="00D076E7"/>
    <w:rsid w:val="00D119D3"/>
    <w:rsid w:val="00D12732"/>
    <w:rsid w:val="00D12835"/>
    <w:rsid w:val="00D12B0D"/>
    <w:rsid w:val="00D13441"/>
    <w:rsid w:val="00D158C0"/>
    <w:rsid w:val="00D167F3"/>
    <w:rsid w:val="00D17C82"/>
    <w:rsid w:val="00D2147E"/>
    <w:rsid w:val="00D228EC"/>
    <w:rsid w:val="00D2381C"/>
    <w:rsid w:val="00D243A3"/>
    <w:rsid w:val="00D33440"/>
    <w:rsid w:val="00D334A6"/>
    <w:rsid w:val="00D35AD6"/>
    <w:rsid w:val="00D41ADA"/>
    <w:rsid w:val="00D4308D"/>
    <w:rsid w:val="00D452BA"/>
    <w:rsid w:val="00D45FF5"/>
    <w:rsid w:val="00D47267"/>
    <w:rsid w:val="00D474E4"/>
    <w:rsid w:val="00D52EFE"/>
    <w:rsid w:val="00D56A0D"/>
    <w:rsid w:val="00D57929"/>
    <w:rsid w:val="00D60DE4"/>
    <w:rsid w:val="00D63EF6"/>
    <w:rsid w:val="00D66518"/>
    <w:rsid w:val="00D706B6"/>
    <w:rsid w:val="00D70DFB"/>
    <w:rsid w:val="00D71EEA"/>
    <w:rsid w:val="00D735CD"/>
    <w:rsid w:val="00D74E4E"/>
    <w:rsid w:val="00D7613A"/>
    <w:rsid w:val="00D766DF"/>
    <w:rsid w:val="00D76B1E"/>
    <w:rsid w:val="00D80C59"/>
    <w:rsid w:val="00D8375B"/>
    <w:rsid w:val="00D842F2"/>
    <w:rsid w:val="00D87E88"/>
    <w:rsid w:val="00D90841"/>
    <w:rsid w:val="00D92225"/>
    <w:rsid w:val="00D93850"/>
    <w:rsid w:val="00D93E48"/>
    <w:rsid w:val="00D95017"/>
    <w:rsid w:val="00D9686D"/>
    <w:rsid w:val="00D96AF5"/>
    <w:rsid w:val="00D97270"/>
    <w:rsid w:val="00DA0015"/>
    <w:rsid w:val="00DA0943"/>
    <w:rsid w:val="00DA2439"/>
    <w:rsid w:val="00DA2666"/>
    <w:rsid w:val="00DA6F05"/>
    <w:rsid w:val="00DB0543"/>
    <w:rsid w:val="00DB0BC4"/>
    <w:rsid w:val="00DB1B74"/>
    <w:rsid w:val="00DB64FC"/>
    <w:rsid w:val="00DB6A4D"/>
    <w:rsid w:val="00DC0B2E"/>
    <w:rsid w:val="00DD0D99"/>
    <w:rsid w:val="00DD14E2"/>
    <w:rsid w:val="00DD2FD7"/>
    <w:rsid w:val="00DE1110"/>
    <w:rsid w:val="00DE149E"/>
    <w:rsid w:val="00DE56EC"/>
    <w:rsid w:val="00DE717B"/>
    <w:rsid w:val="00DF4B68"/>
    <w:rsid w:val="00DF4E9A"/>
    <w:rsid w:val="00DF50DF"/>
    <w:rsid w:val="00DF5568"/>
    <w:rsid w:val="00E01DA8"/>
    <w:rsid w:val="00E021FA"/>
    <w:rsid w:val="00E034DB"/>
    <w:rsid w:val="00E04416"/>
    <w:rsid w:val="00E051AA"/>
    <w:rsid w:val="00E05704"/>
    <w:rsid w:val="00E105CC"/>
    <w:rsid w:val="00E12F1A"/>
    <w:rsid w:val="00E169B4"/>
    <w:rsid w:val="00E22935"/>
    <w:rsid w:val="00E24FDA"/>
    <w:rsid w:val="00E264D0"/>
    <w:rsid w:val="00E30AD7"/>
    <w:rsid w:val="00E32692"/>
    <w:rsid w:val="00E32F50"/>
    <w:rsid w:val="00E424E1"/>
    <w:rsid w:val="00E440D1"/>
    <w:rsid w:val="00E4560E"/>
    <w:rsid w:val="00E509B7"/>
    <w:rsid w:val="00E535E3"/>
    <w:rsid w:val="00E54292"/>
    <w:rsid w:val="00E55967"/>
    <w:rsid w:val="00E57FCC"/>
    <w:rsid w:val="00E60191"/>
    <w:rsid w:val="00E60737"/>
    <w:rsid w:val="00E611D0"/>
    <w:rsid w:val="00E61496"/>
    <w:rsid w:val="00E61AA2"/>
    <w:rsid w:val="00E6307B"/>
    <w:rsid w:val="00E66C4D"/>
    <w:rsid w:val="00E70081"/>
    <w:rsid w:val="00E71B3F"/>
    <w:rsid w:val="00E73A54"/>
    <w:rsid w:val="00E74DC7"/>
    <w:rsid w:val="00E84810"/>
    <w:rsid w:val="00E8598E"/>
    <w:rsid w:val="00E87366"/>
    <w:rsid w:val="00E87699"/>
    <w:rsid w:val="00E904E1"/>
    <w:rsid w:val="00E925BD"/>
    <w:rsid w:val="00E92880"/>
    <w:rsid w:val="00E92E27"/>
    <w:rsid w:val="00E93C6C"/>
    <w:rsid w:val="00E955FA"/>
    <w:rsid w:val="00E9586B"/>
    <w:rsid w:val="00E96A97"/>
    <w:rsid w:val="00E97334"/>
    <w:rsid w:val="00E979BB"/>
    <w:rsid w:val="00EA1B26"/>
    <w:rsid w:val="00EA1C63"/>
    <w:rsid w:val="00EA3B42"/>
    <w:rsid w:val="00EB3A99"/>
    <w:rsid w:val="00EB65F8"/>
    <w:rsid w:val="00EB660B"/>
    <w:rsid w:val="00EC2A44"/>
    <w:rsid w:val="00EC3850"/>
    <w:rsid w:val="00EC62FA"/>
    <w:rsid w:val="00ED193D"/>
    <w:rsid w:val="00ED2E35"/>
    <w:rsid w:val="00ED4508"/>
    <w:rsid w:val="00ED4928"/>
    <w:rsid w:val="00ED5046"/>
    <w:rsid w:val="00EE05CF"/>
    <w:rsid w:val="00EE2F15"/>
    <w:rsid w:val="00EE3FFE"/>
    <w:rsid w:val="00EE48CC"/>
    <w:rsid w:val="00EE57E8"/>
    <w:rsid w:val="00EE6190"/>
    <w:rsid w:val="00EF2E3A"/>
    <w:rsid w:val="00EF607D"/>
    <w:rsid w:val="00EF6402"/>
    <w:rsid w:val="00EF79D1"/>
    <w:rsid w:val="00F043C5"/>
    <w:rsid w:val="00F047D0"/>
    <w:rsid w:val="00F047E2"/>
    <w:rsid w:val="00F04D57"/>
    <w:rsid w:val="00F054B7"/>
    <w:rsid w:val="00F05ED1"/>
    <w:rsid w:val="00F06663"/>
    <w:rsid w:val="00F078DC"/>
    <w:rsid w:val="00F10055"/>
    <w:rsid w:val="00F118BC"/>
    <w:rsid w:val="00F119EA"/>
    <w:rsid w:val="00F13E86"/>
    <w:rsid w:val="00F17171"/>
    <w:rsid w:val="00F20B52"/>
    <w:rsid w:val="00F217F2"/>
    <w:rsid w:val="00F22423"/>
    <w:rsid w:val="00F23D3C"/>
    <w:rsid w:val="00F32FCB"/>
    <w:rsid w:val="00F33523"/>
    <w:rsid w:val="00F344F5"/>
    <w:rsid w:val="00F352D4"/>
    <w:rsid w:val="00F353E1"/>
    <w:rsid w:val="00F3676C"/>
    <w:rsid w:val="00F40614"/>
    <w:rsid w:val="00F41997"/>
    <w:rsid w:val="00F432C3"/>
    <w:rsid w:val="00F440F5"/>
    <w:rsid w:val="00F45CF3"/>
    <w:rsid w:val="00F54761"/>
    <w:rsid w:val="00F562E2"/>
    <w:rsid w:val="00F64198"/>
    <w:rsid w:val="00F66FF8"/>
    <w:rsid w:val="00F676E9"/>
    <w:rsid w:val="00F677A9"/>
    <w:rsid w:val="00F70481"/>
    <w:rsid w:val="00F73DAC"/>
    <w:rsid w:val="00F8121C"/>
    <w:rsid w:val="00F815B3"/>
    <w:rsid w:val="00F819E7"/>
    <w:rsid w:val="00F83361"/>
    <w:rsid w:val="00F84CF5"/>
    <w:rsid w:val="00F8612E"/>
    <w:rsid w:val="00F8693D"/>
    <w:rsid w:val="00F90DA1"/>
    <w:rsid w:val="00F91357"/>
    <w:rsid w:val="00F91A77"/>
    <w:rsid w:val="00F9384B"/>
    <w:rsid w:val="00F94583"/>
    <w:rsid w:val="00FA3B34"/>
    <w:rsid w:val="00FA420B"/>
    <w:rsid w:val="00FA587F"/>
    <w:rsid w:val="00FA5C66"/>
    <w:rsid w:val="00FB0258"/>
    <w:rsid w:val="00FB1792"/>
    <w:rsid w:val="00FB6AEE"/>
    <w:rsid w:val="00FB714E"/>
    <w:rsid w:val="00FB7349"/>
    <w:rsid w:val="00FC1AB2"/>
    <w:rsid w:val="00FC3AF3"/>
    <w:rsid w:val="00FC3EAC"/>
    <w:rsid w:val="00FC58D6"/>
    <w:rsid w:val="00FD055D"/>
    <w:rsid w:val="00FD2C08"/>
    <w:rsid w:val="00FD360B"/>
    <w:rsid w:val="00FD531C"/>
    <w:rsid w:val="00FD55A7"/>
    <w:rsid w:val="00FD61EE"/>
    <w:rsid w:val="00FE0091"/>
    <w:rsid w:val="00FE2131"/>
    <w:rsid w:val="00FE313F"/>
    <w:rsid w:val="00FE3EDF"/>
    <w:rsid w:val="00FE4564"/>
    <w:rsid w:val="00FE55DE"/>
    <w:rsid w:val="00FE5A88"/>
    <w:rsid w:val="00FF0072"/>
    <w:rsid w:val="00FF39DE"/>
    <w:rsid w:val="00FF4408"/>
    <w:rsid w:val="00FF5BED"/>
    <w:rsid w:val="00FF71FA"/>
    <w:rsid w:val="00FF7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4C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3"/>
      </w:numPr>
      <w:spacing w:before="240" w:line="240" w:lineRule="auto"/>
    </w:pPr>
    <w:rPr>
      <w:sz w:val="24"/>
    </w:rPr>
  </w:style>
  <w:style w:type="paragraph" w:customStyle="1" w:styleId="BodyPara">
    <w:name w:val="BodyPara"/>
    <w:aliases w:val="ba"/>
    <w:basedOn w:val="OPCParaBase"/>
    <w:rsid w:val="006065DA"/>
    <w:pPr>
      <w:numPr>
        <w:ilvl w:val="1"/>
        <w:numId w:val="3"/>
      </w:numPr>
      <w:spacing w:before="240" w:line="240" w:lineRule="auto"/>
    </w:pPr>
    <w:rPr>
      <w:sz w:val="24"/>
    </w:rPr>
  </w:style>
  <w:style w:type="numbering" w:customStyle="1" w:styleId="OPCBodyList">
    <w:name w:val="OPCBodyList"/>
    <w:uiPriority w:val="99"/>
    <w:rsid w:val="006065DA"/>
    <w:pPr>
      <w:numPr>
        <w:numId w:val="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ListParagraph">
    <w:name w:val="List Paragraph"/>
    <w:basedOn w:val="Normal"/>
    <w:link w:val="ListParagraphChar"/>
    <w:qFormat/>
    <w:rsid w:val="001A286A"/>
    <w:pPr>
      <w:spacing w:line="240" w:lineRule="auto"/>
      <w:ind w:left="720"/>
      <w:contextualSpacing/>
    </w:pPr>
    <w:rPr>
      <w:rFonts w:eastAsia="Times New Roman" w:cs="Times New Roman"/>
      <w:sz w:val="24"/>
      <w:szCs w:val="24"/>
    </w:rPr>
  </w:style>
  <w:style w:type="paragraph" w:customStyle="1" w:styleId="Amendment3">
    <w:name w:val="Amendment 3"/>
    <w:link w:val="Amendment3Char"/>
    <w:qFormat/>
    <w:rsid w:val="001A286A"/>
    <w:pPr>
      <w:widowControl w:val="0"/>
      <w:spacing w:before="60" w:after="60" w:line="260" w:lineRule="exact"/>
      <w:outlineLvl w:val="2"/>
    </w:pPr>
    <w:rPr>
      <w:rFonts w:eastAsia="Times New Roman" w:cs="Times New Roman"/>
      <w:iCs/>
      <w:sz w:val="24"/>
      <w:szCs w:val="24"/>
      <w:lang w:eastAsia="en-AU"/>
    </w:rPr>
  </w:style>
  <w:style w:type="character" w:customStyle="1" w:styleId="Amendment3Char">
    <w:name w:val="Amendment 3 Char"/>
    <w:basedOn w:val="ListParagraphChar"/>
    <w:link w:val="Amendment3"/>
    <w:rsid w:val="001A286A"/>
    <w:rPr>
      <w:rFonts w:eastAsia="Times New Roman" w:cs="Times New Roman"/>
      <w:iCs/>
      <w:sz w:val="24"/>
      <w:szCs w:val="24"/>
      <w:lang w:eastAsia="en-AU"/>
    </w:rPr>
  </w:style>
  <w:style w:type="character" w:customStyle="1" w:styleId="ListParagraphChar">
    <w:name w:val="List Paragraph Char"/>
    <w:basedOn w:val="DefaultParagraphFont"/>
    <w:link w:val="ListParagraph"/>
    <w:rsid w:val="001A286A"/>
    <w:rPr>
      <w:rFonts w:eastAsia="Times New Roman" w:cs="Times New Roman"/>
      <w:sz w:val="24"/>
      <w:szCs w:val="24"/>
    </w:rPr>
  </w:style>
  <w:style w:type="paragraph" w:customStyle="1" w:styleId="mps3-data">
    <w:name w:val="mps3-data"/>
    <w:basedOn w:val="Normal"/>
    <w:qFormat/>
    <w:rsid w:val="001A286A"/>
    <w:pPr>
      <w:spacing w:before="60" w:after="60" w:line="240" w:lineRule="auto"/>
    </w:pPr>
    <w:rPr>
      <w:rFonts w:ascii="Arial" w:eastAsia="Arial" w:hAnsi="Arial" w:cs="Arial"/>
      <w:sz w:val="16"/>
      <w:szCs w:val="22"/>
      <w:lang w:eastAsia="zh-CN"/>
    </w:rPr>
  </w:style>
  <w:style w:type="paragraph" w:customStyle="1" w:styleId="Amendment1">
    <w:name w:val="Amendment 1"/>
    <w:basedOn w:val="Normal"/>
    <w:link w:val="Amendment1Char"/>
    <w:qFormat/>
    <w:rsid w:val="00C93179"/>
    <w:pPr>
      <w:widowControl w:val="0"/>
      <w:numPr>
        <w:numId w:val="1"/>
      </w:numPr>
      <w:spacing w:before="120" w:line="240" w:lineRule="auto"/>
      <w:outlineLvl w:val="1"/>
    </w:pPr>
    <w:rPr>
      <w:rFonts w:ascii="Arial" w:eastAsia="Times New Roman" w:hAnsi="Arial" w:cs="Arial"/>
      <w:b/>
      <w:bCs/>
      <w:sz w:val="20"/>
      <w:lang w:eastAsia="en-AU"/>
    </w:rPr>
  </w:style>
  <w:style w:type="character" w:customStyle="1" w:styleId="Amendment1Char">
    <w:name w:val="Amendment 1 Char"/>
    <w:basedOn w:val="DefaultParagraphFont"/>
    <w:link w:val="Amendment1"/>
    <w:rsid w:val="00C93179"/>
    <w:rPr>
      <w:rFonts w:ascii="Arial" w:eastAsia="Times New Roman" w:hAnsi="Arial" w:cs="Arial"/>
      <w:b/>
      <w:bCs/>
      <w:lang w:eastAsia="en-AU"/>
    </w:rPr>
  </w:style>
  <w:style w:type="paragraph" w:customStyle="1" w:styleId="Amendment10">
    <w:name w:val="Amendment1"/>
    <w:basedOn w:val="Normal"/>
    <w:link w:val="Amendment1Char0"/>
    <w:qFormat/>
    <w:rsid w:val="00595A98"/>
    <w:pPr>
      <w:widowControl w:val="0"/>
      <w:numPr>
        <w:numId w:val="8"/>
      </w:numPr>
      <w:tabs>
        <w:tab w:val="num" w:pos="1695"/>
      </w:tabs>
      <w:spacing w:before="120" w:line="260" w:lineRule="exact"/>
    </w:pPr>
    <w:rPr>
      <w:rFonts w:ascii="Arial" w:eastAsia="Times New Roman" w:hAnsi="Arial" w:cs="Times New Roman"/>
      <w:b/>
      <w:sz w:val="20"/>
      <w:lang w:eastAsia="en-AU"/>
    </w:rPr>
  </w:style>
  <w:style w:type="character" w:customStyle="1" w:styleId="Amendment1Char0">
    <w:name w:val="Amendment1 Char"/>
    <w:basedOn w:val="DefaultParagraphFont"/>
    <w:link w:val="Amendment10"/>
    <w:rsid w:val="00595A98"/>
    <w:rPr>
      <w:rFonts w:ascii="Arial" w:eastAsia="Times New Roman" w:hAnsi="Arial" w:cs="Times New Roman"/>
      <w:b/>
      <w:lang w:eastAsia="en-AU"/>
    </w:rPr>
  </w:style>
  <w:style w:type="character" w:customStyle="1" w:styleId="charAmendmentKeyword">
    <w:name w:val="charAmendment Keyword"/>
    <w:basedOn w:val="DefaultParagraphFont"/>
    <w:uiPriority w:val="1"/>
    <w:rsid w:val="00116001"/>
    <w:rPr>
      <w:rFonts w:ascii="Arial" w:hAnsi="Arial"/>
      <w:b/>
      <w:i w:val="0"/>
      <w:iCs/>
      <w:sz w:val="20"/>
      <w:szCs w:val="24"/>
      <w:lang w:eastAsia="en-US"/>
    </w:rPr>
  </w:style>
  <w:style w:type="paragraph" w:customStyle="1" w:styleId="Amendment2">
    <w:name w:val="Amendment 2"/>
    <w:basedOn w:val="Normal"/>
    <w:link w:val="Amendment2Char"/>
    <w:qFormat/>
    <w:rsid w:val="007F2DAC"/>
    <w:pPr>
      <w:widowControl w:val="0"/>
      <w:spacing w:before="60" w:after="60" w:line="260" w:lineRule="exact"/>
      <w:ind w:left="794" w:hanging="794"/>
      <w:outlineLvl w:val="2"/>
    </w:pPr>
    <w:rPr>
      <w:rFonts w:eastAsia="Times New Roman" w:cs="Times New Roman"/>
      <w:i/>
      <w:iCs/>
      <w:sz w:val="20"/>
      <w:lang w:eastAsia="en-AU"/>
    </w:rPr>
  </w:style>
  <w:style w:type="character" w:customStyle="1" w:styleId="Amendment2Char">
    <w:name w:val="Amendment 2 Char"/>
    <w:basedOn w:val="DefaultParagraphFont"/>
    <w:link w:val="Amendment2"/>
    <w:rsid w:val="007F2DAC"/>
    <w:rPr>
      <w:rFonts w:eastAsia="Times New Roman" w:cs="Times New Roman"/>
      <w:i/>
      <w:iCs/>
      <w:lang w:eastAsia="en-AU"/>
    </w:rPr>
  </w:style>
  <w:style w:type="numbering" w:customStyle="1" w:styleId="AmendmentInstruction">
    <w:name w:val="Amendment Instruction"/>
    <w:basedOn w:val="NoList"/>
    <w:uiPriority w:val="99"/>
    <w:rsid w:val="007F2DAC"/>
    <w:pPr>
      <w:numPr>
        <w:numId w:val="9"/>
      </w:numPr>
    </w:pPr>
  </w:style>
  <w:style w:type="character" w:customStyle="1" w:styleId="AmendmentKeyword">
    <w:name w:val="Amendment Keyword"/>
    <w:basedOn w:val="Amendment3Char"/>
    <w:uiPriority w:val="1"/>
    <w:rsid w:val="007F2DAC"/>
    <w:rPr>
      <w:rFonts w:ascii="Arial" w:eastAsia="Times New Roman" w:hAnsi="Arial" w:cs="Times New Roman"/>
      <w:b/>
      <w:i/>
      <w:iCs/>
      <w:sz w:val="20"/>
      <w:szCs w:val="24"/>
      <w:lang w:eastAsia="en-US"/>
    </w:rPr>
  </w:style>
  <w:style w:type="character" w:customStyle="1" w:styleId="TabletextChar">
    <w:name w:val="Tabletext Char"/>
    <w:aliases w:val="tt Char"/>
    <w:basedOn w:val="DefaultParagraphFont"/>
    <w:link w:val="Tabletext"/>
    <w:rsid w:val="00EA3B42"/>
    <w:rPr>
      <w:rFonts w:eastAsia="Times New Roman" w:cs="Times New Roman"/>
      <w:lang w:eastAsia="en-AU"/>
    </w:rPr>
  </w:style>
  <w:style w:type="table" w:styleId="TableGridLight">
    <w:name w:val="Grid Table Light"/>
    <w:basedOn w:val="TableNormal"/>
    <w:uiPriority w:val="40"/>
    <w:rsid w:val="00DC0B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nhideWhenUsed/>
    <w:rsid w:val="00065892"/>
    <w:rPr>
      <w:sz w:val="16"/>
      <w:szCs w:val="16"/>
    </w:rPr>
  </w:style>
  <w:style w:type="paragraph" w:styleId="CommentText">
    <w:name w:val="annotation text"/>
    <w:basedOn w:val="Normal"/>
    <w:link w:val="CommentTextChar"/>
    <w:unhideWhenUsed/>
    <w:rsid w:val="00065892"/>
    <w:pPr>
      <w:spacing w:line="240" w:lineRule="auto"/>
    </w:pPr>
    <w:rPr>
      <w:sz w:val="20"/>
    </w:rPr>
  </w:style>
  <w:style w:type="character" w:customStyle="1" w:styleId="CommentTextChar">
    <w:name w:val="Comment Text Char"/>
    <w:basedOn w:val="DefaultParagraphFont"/>
    <w:link w:val="CommentText"/>
    <w:rsid w:val="00065892"/>
  </w:style>
  <w:style w:type="paragraph" w:styleId="CommentSubject">
    <w:name w:val="annotation subject"/>
    <w:basedOn w:val="CommentText"/>
    <w:next w:val="CommentText"/>
    <w:link w:val="CommentSubjectChar"/>
    <w:uiPriority w:val="99"/>
    <w:semiHidden/>
    <w:unhideWhenUsed/>
    <w:rsid w:val="00065892"/>
    <w:rPr>
      <w:b/>
      <w:bCs/>
    </w:rPr>
  </w:style>
  <w:style w:type="character" w:customStyle="1" w:styleId="CommentSubjectChar">
    <w:name w:val="Comment Subject Char"/>
    <w:basedOn w:val="CommentTextChar"/>
    <w:link w:val="CommentSubject"/>
    <w:uiPriority w:val="99"/>
    <w:semiHidden/>
    <w:rsid w:val="00065892"/>
    <w:rPr>
      <w:b/>
      <w:bCs/>
    </w:rPr>
  </w:style>
  <w:style w:type="character" w:customStyle="1" w:styleId="item0">
    <w:name w:val="item"/>
    <w:basedOn w:val="DefaultParagraphFont"/>
    <w:uiPriority w:val="1"/>
    <w:qFormat/>
    <w:rsid w:val="00920224"/>
    <w:rPr>
      <w:vanish/>
      <w:color w:val="C00000"/>
    </w:rPr>
  </w:style>
  <w:style w:type="paragraph" w:styleId="Revision">
    <w:name w:val="Revision"/>
    <w:hidden/>
    <w:uiPriority w:val="99"/>
    <w:semiHidden/>
    <w:rsid w:val="00DE56EC"/>
    <w:rPr>
      <w:sz w:val="22"/>
    </w:rPr>
  </w:style>
  <w:style w:type="paragraph" w:customStyle="1" w:styleId="mps3-heading">
    <w:name w:val="mps3-heading"/>
    <w:basedOn w:val="Normal"/>
    <w:qFormat/>
    <w:rsid w:val="009611D5"/>
    <w:pPr>
      <w:spacing w:before="60" w:after="60" w:line="240" w:lineRule="auto"/>
    </w:pPr>
    <w:rPr>
      <w:rFonts w:ascii="Arial" w:eastAsia="Arial" w:hAnsi="Arial" w:cs="Arial"/>
      <w:b/>
      <w:sz w:val="16"/>
      <w:szCs w:val="22"/>
      <w:lang w:eastAsia="zh-CN"/>
    </w:rPr>
  </w:style>
  <w:style w:type="paragraph" w:customStyle="1" w:styleId="AS">
    <w:name w:val="AS"/>
    <w:aliases w:val="Schedule title Amendment"/>
    <w:basedOn w:val="Normal"/>
    <w:rsid w:val="00F119EA"/>
    <w:pPr>
      <w:keepNext/>
      <w:spacing w:before="480" w:line="240" w:lineRule="auto"/>
      <w:ind w:left="2410" w:hanging="2410"/>
    </w:pPr>
    <w:rPr>
      <w:rFonts w:ascii="Arial" w:hAnsi="Arial" w:cs="Arial"/>
      <w:b/>
      <w:bCs/>
      <w:sz w:val="32"/>
      <w:szCs w:val="32"/>
      <w:lang w:eastAsia="en-AU"/>
    </w:rPr>
  </w:style>
  <w:style w:type="table" w:styleId="ColorfulGrid-Accent6">
    <w:name w:val="Colorful Grid Accent 6"/>
    <w:basedOn w:val="TableNormal"/>
    <w:uiPriority w:val="73"/>
    <w:semiHidden/>
    <w:unhideWhenUsed/>
    <w:rsid w:val="0024362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5463">
      <w:bodyDiv w:val="1"/>
      <w:marLeft w:val="0"/>
      <w:marRight w:val="0"/>
      <w:marTop w:val="0"/>
      <w:marBottom w:val="0"/>
      <w:divBdr>
        <w:top w:val="none" w:sz="0" w:space="0" w:color="auto"/>
        <w:left w:val="none" w:sz="0" w:space="0" w:color="auto"/>
        <w:bottom w:val="none" w:sz="0" w:space="0" w:color="auto"/>
        <w:right w:val="none" w:sz="0" w:space="0" w:color="auto"/>
      </w:divBdr>
    </w:div>
    <w:div w:id="97993272">
      <w:bodyDiv w:val="1"/>
      <w:marLeft w:val="0"/>
      <w:marRight w:val="0"/>
      <w:marTop w:val="0"/>
      <w:marBottom w:val="0"/>
      <w:divBdr>
        <w:top w:val="none" w:sz="0" w:space="0" w:color="auto"/>
        <w:left w:val="none" w:sz="0" w:space="0" w:color="auto"/>
        <w:bottom w:val="none" w:sz="0" w:space="0" w:color="auto"/>
        <w:right w:val="none" w:sz="0" w:space="0" w:color="auto"/>
      </w:divBdr>
    </w:div>
    <w:div w:id="176698041">
      <w:bodyDiv w:val="1"/>
      <w:marLeft w:val="0"/>
      <w:marRight w:val="0"/>
      <w:marTop w:val="0"/>
      <w:marBottom w:val="0"/>
      <w:divBdr>
        <w:top w:val="none" w:sz="0" w:space="0" w:color="auto"/>
        <w:left w:val="none" w:sz="0" w:space="0" w:color="auto"/>
        <w:bottom w:val="none" w:sz="0" w:space="0" w:color="auto"/>
        <w:right w:val="none" w:sz="0" w:space="0" w:color="auto"/>
      </w:divBdr>
    </w:div>
    <w:div w:id="229846049">
      <w:bodyDiv w:val="1"/>
      <w:marLeft w:val="0"/>
      <w:marRight w:val="0"/>
      <w:marTop w:val="0"/>
      <w:marBottom w:val="0"/>
      <w:divBdr>
        <w:top w:val="none" w:sz="0" w:space="0" w:color="auto"/>
        <w:left w:val="none" w:sz="0" w:space="0" w:color="auto"/>
        <w:bottom w:val="none" w:sz="0" w:space="0" w:color="auto"/>
        <w:right w:val="none" w:sz="0" w:space="0" w:color="auto"/>
      </w:divBdr>
    </w:div>
    <w:div w:id="378434683">
      <w:bodyDiv w:val="1"/>
      <w:marLeft w:val="0"/>
      <w:marRight w:val="0"/>
      <w:marTop w:val="0"/>
      <w:marBottom w:val="0"/>
      <w:divBdr>
        <w:top w:val="none" w:sz="0" w:space="0" w:color="auto"/>
        <w:left w:val="none" w:sz="0" w:space="0" w:color="auto"/>
        <w:bottom w:val="none" w:sz="0" w:space="0" w:color="auto"/>
        <w:right w:val="none" w:sz="0" w:space="0" w:color="auto"/>
      </w:divBdr>
    </w:div>
    <w:div w:id="399792227">
      <w:bodyDiv w:val="1"/>
      <w:marLeft w:val="0"/>
      <w:marRight w:val="0"/>
      <w:marTop w:val="0"/>
      <w:marBottom w:val="0"/>
      <w:divBdr>
        <w:top w:val="none" w:sz="0" w:space="0" w:color="auto"/>
        <w:left w:val="none" w:sz="0" w:space="0" w:color="auto"/>
        <w:bottom w:val="none" w:sz="0" w:space="0" w:color="auto"/>
        <w:right w:val="none" w:sz="0" w:space="0" w:color="auto"/>
      </w:divBdr>
    </w:div>
    <w:div w:id="520776837">
      <w:bodyDiv w:val="1"/>
      <w:marLeft w:val="0"/>
      <w:marRight w:val="0"/>
      <w:marTop w:val="0"/>
      <w:marBottom w:val="0"/>
      <w:divBdr>
        <w:top w:val="none" w:sz="0" w:space="0" w:color="auto"/>
        <w:left w:val="none" w:sz="0" w:space="0" w:color="auto"/>
        <w:bottom w:val="none" w:sz="0" w:space="0" w:color="auto"/>
        <w:right w:val="none" w:sz="0" w:space="0" w:color="auto"/>
      </w:divBdr>
    </w:div>
    <w:div w:id="525600806">
      <w:bodyDiv w:val="1"/>
      <w:marLeft w:val="0"/>
      <w:marRight w:val="0"/>
      <w:marTop w:val="0"/>
      <w:marBottom w:val="0"/>
      <w:divBdr>
        <w:top w:val="none" w:sz="0" w:space="0" w:color="auto"/>
        <w:left w:val="none" w:sz="0" w:space="0" w:color="auto"/>
        <w:bottom w:val="none" w:sz="0" w:space="0" w:color="auto"/>
        <w:right w:val="none" w:sz="0" w:space="0" w:color="auto"/>
      </w:divBdr>
    </w:div>
    <w:div w:id="529344713">
      <w:bodyDiv w:val="1"/>
      <w:marLeft w:val="0"/>
      <w:marRight w:val="0"/>
      <w:marTop w:val="0"/>
      <w:marBottom w:val="0"/>
      <w:divBdr>
        <w:top w:val="none" w:sz="0" w:space="0" w:color="auto"/>
        <w:left w:val="none" w:sz="0" w:space="0" w:color="auto"/>
        <w:bottom w:val="none" w:sz="0" w:space="0" w:color="auto"/>
        <w:right w:val="none" w:sz="0" w:space="0" w:color="auto"/>
      </w:divBdr>
    </w:div>
    <w:div w:id="584654149">
      <w:bodyDiv w:val="1"/>
      <w:marLeft w:val="0"/>
      <w:marRight w:val="0"/>
      <w:marTop w:val="0"/>
      <w:marBottom w:val="0"/>
      <w:divBdr>
        <w:top w:val="none" w:sz="0" w:space="0" w:color="auto"/>
        <w:left w:val="none" w:sz="0" w:space="0" w:color="auto"/>
        <w:bottom w:val="none" w:sz="0" w:space="0" w:color="auto"/>
        <w:right w:val="none" w:sz="0" w:space="0" w:color="auto"/>
      </w:divBdr>
    </w:div>
    <w:div w:id="625738103">
      <w:bodyDiv w:val="1"/>
      <w:marLeft w:val="0"/>
      <w:marRight w:val="0"/>
      <w:marTop w:val="0"/>
      <w:marBottom w:val="0"/>
      <w:divBdr>
        <w:top w:val="none" w:sz="0" w:space="0" w:color="auto"/>
        <w:left w:val="none" w:sz="0" w:space="0" w:color="auto"/>
        <w:bottom w:val="none" w:sz="0" w:space="0" w:color="auto"/>
        <w:right w:val="none" w:sz="0" w:space="0" w:color="auto"/>
      </w:divBdr>
    </w:div>
    <w:div w:id="655841630">
      <w:bodyDiv w:val="1"/>
      <w:marLeft w:val="0"/>
      <w:marRight w:val="0"/>
      <w:marTop w:val="0"/>
      <w:marBottom w:val="0"/>
      <w:divBdr>
        <w:top w:val="none" w:sz="0" w:space="0" w:color="auto"/>
        <w:left w:val="none" w:sz="0" w:space="0" w:color="auto"/>
        <w:bottom w:val="none" w:sz="0" w:space="0" w:color="auto"/>
        <w:right w:val="none" w:sz="0" w:space="0" w:color="auto"/>
      </w:divBdr>
    </w:div>
    <w:div w:id="696128379">
      <w:bodyDiv w:val="1"/>
      <w:marLeft w:val="0"/>
      <w:marRight w:val="0"/>
      <w:marTop w:val="0"/>
      <w:marBottom w:val="0"/>
      <w:divBdr>
        <w:top w:val="none" w:sz="0" w:space="0" w:color="auto"/>
        <w:left w:val="none" w:sz="0" w:space="0" w:color="auto"/>
        <w:bottom w:val="none" w:sz="0" w:space="0" w:color="auto"/>
        <w:right w:val="none" w:sz="0" w:space="0" w:color="auto"/>
      </w:divBdr>
    </w:div>
    <w:div w:id="796414713">
      <w:bodyDiv w:val="1"/>
      <w:marLeft w:val="0"/>
      <w:marRight w:val="0"/>
      <w:marTop w:val="0"/>
      <w:marBottom w:val="0"/>
      <w:divBdr>
        <w:top w:val="none" w:sz="0" w:space="0" w:color="auto"/>
        <w:left w:val="none" w:sz="0" w:space="0" w:color="auto"/>
        <w:bottom w:val="none" w:sz="0" w:space="0" w:color="auto"/>
        <w:right w:val="none" w:sz="0" w:space="0" w:color="auto"/>
      </w:divBdr>
    </w:div>
    <w:div w:id="892697491">
      <w:bodyDiv w:val="1"/>
      <w:marLeft w:val="0"/>
      <w:marRight w:val="0"/>
      <w:marTop w:val="0"/>
      <w:marBottom w:val="0"/>
      <w:divBdr>
        <w:top w:val="none" w:sz="0" w:space="0" w:color="auto"/>
        <w:left w:val="none" w:sz="0" w:space="0" w:color="auto"/>
        <w:bottom w:val="none" w:sz="0" w:space="0" w:color="auto"/>
        <w:right w:val="none" w:sz="0" w:space="0" w:color="auto"/>
      </w:divBdr>
    </w:div>
    <w:div w:id="1002004104">
      <w:bodyDiv w:val="1"/>
      <w:marLeft w:val="0"/>
      <w:marRight w:val="0"/>
      <w:marTop w:val="0"/>
      <w:marBottom w:val="0"/>
      <w:divBdr>
        <w:top w:val="none" w:sz="0" w:space="0" w:color="auto"/>
        <w:left w:val="none" w:sz="0" w:space="0" w:color="auto"/>
        <w:bottom w:val="none" w:sz="0" w:space="0" w:color="auto"/>
        <w:right w:val="none" w:sz="0" w:space="0" w:color="auto"/>
      </w:divBdr>
    </w:div>
    <w:div w:id="1028870947">
      <w:bodyDiv w:val="1"/>
      <w:marLeft w:val="0"/>
      <w:marRight w:val="0"/>
      <w:marTop w:val="0"/>
      <w:marBottom w:val="0"/>
      <w:divBdr>
        <w:top w:val="none" w:sz="0" w:space="0" w:color="auto"/>
        <w:left w:val="none" w:sz="0" w:space="0" w:color="auto"/>
        <w:bottom w:val="none" w:sz="0" w:space="0" w:color="auto"/>
        <w:right w:val="none" w:sz="0" w:space="0" w:color="auto"/>
      </w:divBdr>
    </w:div>
    <w:div w:id="1043286175">
      <w:bodyDiv w:val="1"/>
      <w:marLeft w:val="0"/>
      <w:marRight w:val="0"/>
      <w:marTop w:val="0"/>
      <w:marBottom w:val="0"/>
      <w:divBdr>
        <w:top w:val="none" w:sz="0" w:space="0" w:color="auto"/>
        <w:left w:val="none" w:sz="0" w:space="0" w:color="auto"/>
        <w:bottom w:val="none" w:sz="0" w:space="0" w:color="auto"/>
        <w:right w:val="none" w:sz="0" w:space="0" w:color="auto"/>
      </w:divBdr>
    </w:div>
    <w:div w:id="1103501404">
      <w:bodyDiv w:val="1"/>
      <w:marLeft w:val="0"/>
      <w:marRight w:val="0"/>
      <w:marTop w:val="0"/>
      <w:marBottom w:val="0"/>
      <w:divBdr>
        <w:top w:val="none" w:sz="0" w:space="0" w:color="auto"/>
        <w:left w:val="none" w:sz="0" w:space="0" w:color="auto"/>
        <w:bottom w:val="none" w:sz="0" w:space="0" w:color="auto"/>
        <w:right w:val="none" w:sz="0" w:space="0" w:color="auto"/>
      </w:divBdr>
    </w:div>
    <w:div w:id="1103955100">
      <w:bodyDiv w:val="1"/>
      <w:marLeft w:val="0"/>
      <w:marRight w:val="0"/>
      <w:marTop w:val="0"/>
      <w:marBottom w:val="0"/>
      <w:divBdr>
        <w:top w:val="none" w:sz="0" w:space="0" w:color="auto"/>
        <w:left w:val="none" w:sz="0" w:space="0" w:color="auto"/>
        <w:bottom w:val="none" w:sz="0" w:space="0" w:color="auto"/>
        <w:right w:val="none" w:sz="0" w:space="0" w:color="auto"/>
      </w:divBdr>
    </w:div>
    <w:div w:id="1215508845">
      <w:bodyDiv w:val="1"/>
      <w:marLeft w:val="0"/>
      <w:marRight w:val="0"/>
      <w:marTop w:val="0"/>
      <w:marBottom w:val="0"/>
      <w:divBdr>
        <w:top w:val="none" w:sz="0" w:space="0" w:color="auto"/>
        <w:left w:val="none" w:sz="0" w:space="0" w:color="auto"/>
        <w:bottom w:val="none" w:sz="0" w:space="0" w:color="auto"/>
        <w:right w:val="none" w:sz="0" w:space="0" w:color="auto"/>
      </w:divBdr>
    </w:div>
    <w:div w:id="1228028678">
      <w:bodyDiv w:val="1"/>
      <w:marLeft w:val="0"/>
      <w:marRight w:val="0"/>
      <w:marTop w:val="0"/>
      <w:marBottom w:val="0"/>
      <w:divBdr>
        <w:top w:val="none" w:sz="0" w:space="0" w:color="auto"/>
        <w:left w:val="none" w:sz="0" w:space="0" w:color="auto"/>
        <w:bottom w:val="none" w:sz="0" w:space="0" w:color="auto"/>
        <w:right w:val="none" w:sz="0" w:space="0" w:color="auto"/>
      </w:divBdr>
    </w:div>
    <w:div w:id="1411390127">
      <w:bodyDiv w:val="1"/>
      <w:marLeft w:val="0"/>
      <w:marRight w:val="0"/>
      <w:marTop w:val="0"/>
      <w:marBottom w:val="0"/>
      <w:divBdr>
        <w:top w:val="none" w:sz="0" w:space="0" w:color="auto"/>
        <w:left w:val="none" w:sz="0" w:space="0" w:color="auto"/>
        <w:bottom w:val="none" w:sz="0" w:space="0" w:color="auto"/>
        <w:right w:val="none" w:sz="0" w:space="0" w:color="auto"/>
      </w:divBdr>
    </w:div>
    <w:div w:id="1486816636">
      <w:bodyDiv w:val="1"/>
      <w:marLeft w:val="0"/>
      <w:marRight w:val="0"/>
      <w:marTop w:val="0"/>
      <w:marBottom w:val="0"/>
      <w:divBdr>
        <w:top w:val="none" w:sz="0" w:space="0" w:color="auto"/>
        <w:left w:val="none" w:sz="0" w:space="0" w:color="auto"/>
        <w:bottom w:val="none" w:sz="0" w:space="0" w:color="auto"/>
        <w:right w:val="none" w:sz="0" w:space="0" w:color="auto"/>
      </w:divBdr>
    </w:div>
    <w:div w:id="1584728200">
      <w:bodyDiv w:val="1"/>
      <w:marLeft w:val="0"/>
      <w:marRight w:val="0"/>
      <w:marTop w:val="0"/>
      <w:marBottom w:val="0"/>
      <w:divBdr>
        <w:top w:val="none" w:sz="0" w:space="0" w:color="auto"/>
        <w:left w:val="none" w:sz="0" w:space="0" w:color="auto"/>
        <w:bottom w:val="none" w:sz="0" w:space="0" w:color="auto"/>
        <w:right w:val="none" w:sz="0" w:space="0" w:color="auto"/>
      </w:divBdr>
    </w:div>
    <w:div w:id="1698771016">
      <w:bodyDiv w:val="1"/>
      <w:marLeft w:val="0"/>
      <w:marRight w:val="0"/>
      <w:marTop w:val="0"/>
      <w:marBottom w:val="0"/>
      <w:divBdr>
        <w:top w:val="none" w:sz="0" w:space="0" w:color="auto"/>
        <w:left w:val="none" w:sz="0" w:space="0" w:color="auto"/>
        <w:bottom w:val="none" w:sz="0" w:space="0" w:color="auto"/>
        <w:right w:val="none" w:sz="0" w:space="0" w:color="auto"/>
      </w:divBdr>
    </w:div>
    <w:div w:id="1750035194">
      <w:bodyDiv w:val="1"/>
      <w:marLeft w:val="0"/>
      <w:marRight w:val="0"/>
      <w:marTop w:val="0"/>
      <w:marBottom w:val="0"/>
      <w:divBdr>
        <w:top w:val="none" w:sz="0" w:space="0" w:color="auto"/>
        <w:left w:val="none" w:sz="0" w:space="0" w:color="auto"/>
        <w:bottom w:val="none" w:sz="0" w:space="0" w:color="auto"/>
        <w:right w:val="none" w:sz="0" w:space="0" w:color="auto"/>
      </w:divBdr>
    </w:div>
    <w:div w:id="1752003301">
      <w:bodyDiv w:val="1"/>
      <w:marLeft w:val="0"/>
      <w:marRight w:val="0"/>
      <w:marTop w:val="0"/>
      <w:marBottom w:val="0"/>
      <w:divBdr>
        <w:top w:val="none" w:sz="0" w:space="0" w:color="auto"/>
        <w:left w:val="none" w:sz="0" w:space="0" w:color="auto"/>
        <w:bottom w:val="none" w:sz="0" w:space="0" w:color="auto"/>
        <w:right w:val="none" w:sz="0" w:space="0" w:color="auto"/>
      </w:divBdr>
    </w:div>
    <w:div w:id="1765880979">
      <w:bodyDiv w:val="1"/>
      <w:marLeft w:val="0"/>
      <w:marRight w:val="0"/>
      <w:marTop w:val="0"/>
      <w:marBottom w:val="0"/>
      <w:divBdr>
        <w:top w:val="none" w:sz="0" w:space="0" w:color="auto"/>
        <w:left w:val="none" w:sz="0" w:space="0" w:color="auto"/>
        <w:bottom w:val="none" w:sz="0" w:space="0" w:color="auto"/>
        <w:right w:val="none" w:sz="0" w:space="0" w:color="auto"/>
      </w:divBdr>
    </w:div>
    <w:div w:id="1787461625">
      <w:bodyDiv w:val="1"/>
      <w:marLeft w:val="0"/>
      <w:marRight w:val="0"/>
      <w:marTop w:val="0"/>
      <w:marBottom w:val="0"/>
      <w:divBdr>
        <w:top w:val="none" w:sz="0" w:space="0" w:color="auto"/>
        <w:left w:val="none" w:sz="0" w:space="0" w:color="auto"/>
        <w:bottom w:val="none" w:sz="0" w:space="0" w:color="auto"/>
        <w:right w:val="none" w:sz="0" w:space="0" w:color="auto"/>
      </w:divBdr>
    </w:div>
    <w:div w:id="1830318098">
      <w:bodyDiv w:val="1"/>
      <w:marLeft w:val="0"/>
      <w:marRight w:val="0"/>
      <w:marTop w:val="0"/>
      <w:marBottom w:val="0"/>
      <w:divBdr>
        <w:top w:val="none" w:sz="0" w:space="0" w:color="auto"/>
        <w:left w:val="none" w:sz="0" w:space="0" w:color="auto"/>
        <w:bottom w:val="none" w:sz="0" w:space="0" w:color="auto"/>
        <w:right w:val="none" w:sz="0" w:space="0" w:color="auto"/>
      </w:divBdr>
    </w:div>
    <w:div w:id="1883323039">
      <w:bodyDiv w:val="1"/>
      <w:marLeft w:val="0"/>
      <w:marRight w:val="0"/>
      <w:marTop w:val="0"/>
      <w:marBottom w:val="0"/>
      <w:divBdr>
        <w:top w:val="none" w:sz="0" w:space="0" w:color="auto"/>
        <w:left w:val="none" w:sz="0" w:space="0" w:color="auto"/>
        <w:bottom w:val="none" w:sz="0" w:space="0" w:color="auto"/>
        <w:right w:val="none" w:sz="0" w:space="0" w:color="auto"/>
      </w:divBdr>
    </w:div>
    <w:div w:id="1891648734">
      <w:bodyDiv w:val="1"/>
      <w:marLeft w:val="0"/>
      <w:marRight w:val="0"/>
      <w:marTop w:val="0"/>
      <w:marBottom w:val="0"/>
      <w:divBdr>
        <w:top w:val="none" w:sz="0" w:space="0" w:color="auto"/>
        <w:left w:val="none" w:sz="0" w:space="0" w:color="auto"/>
        <w:bottom w:val="none" w:sz="0" w:space="0" w:color="auto"/>
        <w:right w:val="none" w:sz="0" w:space="0" w:color="auto"/>
      </w:divBdr>
    </w:div>
    <w:div w:id="1894123282">
      <w:bodyDiv w:val="1"/>
      <w:marLeft w:val="0"/>
      <w:marRight w:val="0"/>
      <w:marTop w:val="0"/>
      <w:marBottom w:val="0"/>
      <w:divBdr>
        <w:top w:val="none" w:sz="0" w:space="0" w:color="auto"/>
        <w:left w:val="none" w:sz="0" w:space="0" w:color="auto"/>
        <w:bottom w:val="none" w:sz="0" w:space="0" w:color="auto"/>
        <w:right w:val="none" w:sz="0" w:space="0" w:color="auto"/>
      </w:divBdr>
    </w:div>
    <w:div w:id="1894342514">
      <w:bodyDiv w:val="1"/>
      <w:marLeft w:val="0"/>
      <w:marRight w:val="0"/>
      <w:marTop w:val="0"/>
      <w:marBottom w:val="0"/>
      <w:divBdr>
        <w:top w:val="none" w:sz="0" w:space="0" w:color="auto"/>
        <w:left w:val="none" w:sz="0" w:space="0" w:color="auto"/>
        <w:bottom w:val="none" w:sz="0" w:space="0" w:color="auto"/>
        <w:right w:val="none" w:sz="0" w:space="0" w:color="auto"/>
      </w:divBdr>
    </w:div>
    <w:div w:id="198542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7FA9-0B0A-468D-9D3B-07ECE3ED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Diana</cp:lastModifiedBy>
  <cp:revision>5</cp:revision>
  <cp:lastPrinted>2023-09-27T22:13:00Z</cp:lastPrinted>
  <dcterms:created xsi:type="dcterms:W3CDTF">2025-02-20T23:02:00Z</dcterms:created>
  <dcterms:modified xsi:type="dcterms:W3CDTF">2025-02-26T01:38:00Z</dcterms:modified>
</cp:coreProperties>
</file>