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5CEC" w14:textId="77777777" w:rsidR="00BB53DC" w:rsidRPr="00595755" w:rsidRDefault="00BB53DC" w:rsidP="00BB53DC">
      <w:pPr>
        <w:shd w:val="clear" w:color="auto" w:fill="FFFFFF"/>
        <w:spacing w:before="100" w:beforeAutospacing="1" w:after="100" w:afterAutospacing="1" w:line="240" w:lineRule="auto"/>
        <w:jc w:val="center"/>
        <w:rPr>
          <w:rFonts w:eastAsia="Times New Roman"/>
          <w:lang w:val="en-US" w:eastAsia="en-AU"/>
        </w:rPr>
      </w:pPr>
      <w:r w:rsidRPr="00595755">
        <w:rPr>
          <w:rFonts w:eastAsia="Times New Roman"/>
          <w:b/>
          <w:bCs/>
          <w:u w:val="single"/>
          <w:lang w:eastAsia="en-AU"/>
        </w:rPr>
        <w:t>EXPLANATORY STATEMENT</w:t>
      </w:r>
    </w:p>
    <w:p w14:paraId="57A124EF" w14:textId="5AD122A0" w:rsidR="00BB53DC" w:rsidRPr="0054271D" w:rsidRDefault="00BB53DC" w:rsidP="00683B10">
      <w:pPr>
        <w:shd w:val="clear" w:color="auto" w:fill="FFFFFF"/>
        <w:spacing w:before="100" w:beforeAutospacing="1" w:after="100" w:afterAutospacing="1" w:line="240" w:lineRule="auto"/>
        <w:jc w:val="center"/>
        <w:rPr>
          <w:rFonts w:eastAsia="Times New Roman"/>
          <w:bCs/>
          <w:i/>
          <w:lang w:val="en-US" w:eastAsia="en-AU"/>
        </w:rPr>
      </w:pPr>
      <w:bookmarkStart w:id="0" w:name="_Health_Insurance_Act"/>
      <w:bookmarkEnd w:id="0"/>
      <w:r w:rsidRPr="0054271D">
        <w:rPr>
          <w:rFonts w:eastAsia="Times New Roman"/>
          <w:bCs/>
          <w:i/>
          <w:lang w:eastAsia="en-AU"/>
        </w:rPr>
        <w:t>Health Insurance Act 1973</w:t>
      </w:r>
    </w:p>
    <w:p w14:paraId="5C12D4C4" w14:textId="43DC07DC" w:rsidR="00BB53DC" w:rsidRPr="00595755" w:rsidRDefault="00BB53DC" w:rsidP="00BB53DC">
      <w:pPr>
        <w:shd w:val="clear" w:color="auto" w:fill="FFFFFF"/>
        <w:spacing w:before="100" w:beforeAutospacing="1" w:after="100" w:afterAutospacing="1" w:line="240" w:lineRule="auto"/>
        <w:jc w:val="center"/>
        <w:rPr>
          <w:rFonts w:eastAsia="Times New Roman"/>
          <w:lang w:val="en-US" w:eastAsia="en-AU"/>
        </w:rPr>
      </w:pPr>
      <w:r w:rsidRPr="00595755">
        <w:rPr>
          <w:rFonts w:eastAsia="Times New Roman"/>
          <w:i/>
          <w:iCs/>
          <w:lang w:eastAsia="en-AU"/>
        </w:rPr>
        <w:t xml:space="preserve">Health Insurance </w:t>
      </w:r>
      <w:r w:rsidR="00AA7DF5" w:rsidRPr="00595755">
        <w:rPr>
          <w:rFonts w:eastAsia="Times New Roman"/>
          <w:i/>
          <w:iCs/>
          <w:lang w:eastAsia="en-AU"/>
        </w:rPr>
        <w:t>(</w:t>
      </w:r>
      <w:r w:rsidR="009C3B3A" w:rsidRPr="00595755">
        <w:rPr>
          <w:rFonts w:eastAsia="Times New Roman"/>
          <w:i/>
          <w:iCs/>
          <w:lang w:eastAsia="en-AU"/>
        </w:rPr>
        <w:t>Bonded Medical Program</w:t>
      </w:r>
      <w:r w:rsidR="00AA7DF5" w:rsidRPr="00595755">
        <w:rPr>
          <w:rFonts w:eastAsia="Times New Roman"/>
          <w:i/>
          <w:iCs/>
          <w:lang w:eastAsia="en-AU"/>
        </w:rPr>
        <w:t>)</w:t>
      </w:r>
      <w:r w:rsidR="009C3B3A" w:rsidRPr="00595755">
        <w:rPr>
          <w:rFonts w:eastAsia="Times New Roman"/>
          <w:i/>
          <w:iCs/>
          <w:lang w:eastAsia="en-AU"/>
        </w:rPr>
        <w:t xml:space="preserve"> </w:t>
      </w:r>
      <w:r w:rsidR="00683B10">
        <w:rPr>
          <w:rFonts w:eastAsia="Times New Roman"/>
          <w:i/>
          <w:iCs/>
          <w:lang w:eastAsia="en-AU"/>
        </w:rPr>
        <w:t xml:space="preserve">Amendment </w:t>
      </w:r>
      <w:r w:rsidR="007F4194">
        <w:rPr>
          <w:rFonts w:eastAsia="Times New Roman"/>
          <w:i/>
          <w:iCs/>
          <w:lang w:eastAsia="en-AU"/>
        </w:rPr>
        <w:t xml:space="preserve">(2025 Measures No. 1) </w:t>
      </w:r>
      <w:r w:rsidR="00683B10">
        <w:rPr>
          <w:rFonts w:eastAsia="Times New Roman"/>
          <w:i/>
          <w:iCs/>
          <w:lang w:eastAsia="en-AU"/>
        </w:rPr>
        <w:t xml:space="preserve">Rule </w:t>
      </w:r>
      <w:r w:rsidR="00DB6427">
        <w:rPr>
          <w:rFonts w:eastAsia="Times New Roman"/>
          <w:i/>
          <w:iCs/>
          <w:lang w:eastAsia="en-AU"/>
        </w:rPr>
        <w:t>2025</w:t>
      </w:r>
    </w:p>
    <w:p w14:paraId="72DD3FA8" w14:textId="4DA3AC91" w:rsidR="0054271D" w:rsidRPr="0054271D" w:rsidRDefault="0054271D" w:rsidP="00BB53DC">
      <w:pPr>
        <w:shd w:val="clear" w:color="auto" w:fill="FFFFFF"/>
        <w:spacing w:before="100" w:beforeAutospacing="1" w:after="100" w:afterAutospacing="1" w:line="240" w:lineRule="auto"/>
        <w:rPr>
          <w:rFonts w:eastAsia="Times New Roman"/>
          <w:b/>
          <w:lang w:eastAsia="en-AU"/>
        </w:rPr>
      </w:pPr>
      <w:r>
        <w:rPr>
          <w:rFonts w:eastAsia="Times New Roman"/>
          <w:b/>
          <w:lang w:eastAsia="en-AU"/>
        </w:rPr>
        <w:t>Purpose</w:t>
      </w:r>
    </w:p>
    <w:p w14:paraId="249C9ADD" w14:textId="0C9DB053" w:rsidR="009E5CAB" w:rsidRPr="0001375C" w:rsidRDefault="00683B10" w:rsidP="009E5CAB">
      <w:pPr>
        <w:shd w:val="clear" w:color="auto" w:fill="FFFFFF"/>
        <w:spacing w:before="100" w:beforeAutospacing="1" w:after="100" w:afterAutospacing="1" w:line="240" w:lineRule="auto"/>
        <w:rPr>
          <w:rFonts w:ascii="Tms Rmn" w:eastAsia="Times New Roman" w:hAnsi="Tms Rmn"/>
          <w:szCs w:val="20"/>
          <w:lang w:eastAsia="en-AU"/>
        </w:rPr>
      </w:pPr>
      <w:r>
        <w:rPr>
          <w:rFonts w:eastAsia="Times New Roman"/>
          <w:lang w:eastAsia="en-AU"/>
        </w:rPr>
        <w:t>T</w:t>
      </w:r>
      <w:r w:rsidR="00286D3E" w:rsidRPr="00595755">
        <w:rPr>
          <w:rFonts w:eastAsia="Times New Roman"/>
          <w:lang w:eastAsia="en-AU"/>
        </w:rPr>
        <w:t xml:space="preserve">he </w:t>
      </w:r>
      <w:r w:rsidR="00286D3E" w:rsidRPr="00595755">
        <w:rPr>
          <w:rFonts w:eastAsia="Times New Roman"/>
          <w:i/>
          <w:lang w:eastAsia="en-AU"/>
        </w:rPr>
        <w:t xml:space="preserve">Health Insurance (Bonded Medical Program) </w:t>
      </w:r>
      <w:r>
        <w:rPr>
          <w:rFonts w:eastAsia="Times New Roman"/>
          <w:i/>
          <w:lang w:eastAsia="en-AU"/>
        </w:rPr>
        <w:t>Amendment</w:t>
      </w:r>
      <w:r w:rsidR="007F4194">
        <w:rPr>
          <w:rFonts w:eastAsia="Times New Roman"/>
          <w:i/>
          <w:lang w:eastAsia="en-AU"/>
        </w:rPr>
        <w:t xml:space="preserve"> (2025 Measures No.1)</w:t>
      </w:r>
      <w:r>
        <w:rPr>
          <w:rFonts w:eastAsia="Times New Roman"/>
          <w:i/>
          <w:lang w:eastAsia="en-AU"/>
        </w:rPr>
        <w:t xml:space="preserve"> </w:t>
      </w:r>
      <w:r w:rsidR="00286D3E" w:rsidRPr="00595755">
        <w:rPr>
          <w:rFonts w:eastAsia="Times New Roman"/>
          <w:i/>
          <w:lang w:eastAsia="en-AU"/>
        </w:rPr>
        <w:t xml:space="preserve">Rule </w:t>
      </w:r>
      <w:r w:rsidR="00DB6427" w:rsidRPr="00D818A1">
        <w:rPr>
          <w:rFonts w:eastAsia="Times New Roman"/>
          <w:i/>
          <w:lang w:eastAsia="en-AU"/>
        </w:rPr>
        <w:t>2025</w:t>
      </w:r>
      <w:r w:rsidR="00286D3E" w:rsidRPr="00D818A1">
        <w:rPr>
          <w:rFonts w:eastAsia="Times New Roman"/>
          <w:i/>
          <w:lang w:eastAsia="en-AU"/>
        </w:rPr>
        <w:t xml:space="preserve"> </w:t>
      </w:r>
      <w:r w:rsidR="00286D3E" w:rsidRPr="00D818A1">
        <w:rPr>
          <w:rFonts w:eastAsia="Times New Roman"/>
          <w:lang w:eastAsia="en-AU"/>
        </w:rPr>
        <w:t xml:space="preserve">(the </w:t>
      </w:r>
      <w:r w:rsidR="001506F2" w:rsidRPr="00D818A1">
        <w:rPr>
          <w:rFonts w:eastAsia="Times New Roman"/>
          <w:b/>
          <w:bCs/>
          <w:lang w:eastAsia="en-AU"/>
        </w:rPr>
        <w:t>instrument</w:t>
      </w:r>
      <w:r w:rsidR="00286D3E" w:rsidRPr="00D818A1">
        <w:rPr>
          <w:rFonts w:eastAsia="Times New Roman"/>
          <w:lang w:eastAsia="en-AU"/>
        </w:rPr>
        <w:t>)</w:t>
      </w:r>
      <w:r w:rsidR="006842B2" w:rsidRPr="00D818A1">
        <w:rPr>
          <w:rFonts w:eastAsia="Times New Roman"/>
          <w:lang w:eastAsia="en-AU"/>
        </w:rPr>
        <w:t xml:space="preserve"> </w:t>
      </w:r>
      <w:r w:rsidR="006F2B0F" w:rsidRPr="00D818A1">
        <w:rPr>
          <w:rFonts w:eastAsia="Times New Roman"/>
          <w:lang w:eastAsia="en-AU"/>
        </w:rPr>
        <w:t>amend</w:t>
      </w:r>
      <w:r w:rsidR="00B71803" w:rsidRPr="00D818A1">
        <w:rPr>
          <w:rFonts w:eastAsia="Times New Roman"/>
          <w:lang w:eastAsia="en-AU"/>
        </w:rPr>
        <w:t>s</w:t>
      </w:r>
      <w:r w:rsidR="006F2B0F" w:rsidRPr="00D818A1">
        <w:rPr>
          <w:rFonts w:eastAsia="Times New Roman"/>
          <w:lang w:eastAsia="en-AU"/>
        </w:rPr>
        <w:t xml:space="preserve"> the </w:t>
      </w:r>
      <w:r w:rsidR="006F2B0F" w:rsidRPr="00D818A1">
        <w:rPr>
          <w:rFonts w:eastAsia="Times New Roman"/>
          <w:i/>
          <w:iCs/>
          <w:lang w:eastAsia="en-GB"/>
        </w:rPr>
        <w:t>Health Insurance (Bonded Medical Program) Rule 2020</w:t>
      </w:r>
      <w:r w:rsidR="006F2B0F" w:rsidRPr="00D818A1">
        <w:rPr>
          <w:rFonts w:eastAsia="Times New Roman"/>
          <w:lang w:eastAsia="en-GB"/>
        </w:rPr>
        <w:t xml:space="preserve"> </w:t>
      </w:r>
      <w:r w:rsidR="00BF7724" w:rsidRPr="00D818A1">
        <w:rPr>
          <w:rFonts w:eastAsia="Times New Roman"/>
          <w:lang w:eastAsia="en-GB"/>
        </w:rPr>
        <w:t xml:space="preserve">(the </w:t>
      </w:r>
      <w:r w:rsidR="00BF7724" w:rsidRPr="00121818">
        <w:rPr>
          <w:rFonts w:eastAsia="Times New Roman"/>
          <w:b/>
          <w:bCs/>
          <w:lang w:eastAsia="en-GB"/>
        </w:rPr>
        <w:t>Principal Rule</w:t>
      </w:r>
      <w:r w:rsidR="00BF7724" w:rsidRPr="00D818A1">
        <w:rPr>
          <w:rFonts w:eastAsia="Times New Roman"/>
          <w:lang w:eastAsia="en-GB"/>
        </w:rPr>
        <w:t xml:space="preserve">) </w:t>
      </w:r>
      <w:r w:rsidR="006F2B0F" w:rsidRPr="00121818">
        <w:rPr>
          <w:rFonts w:eastAsia="Times New Roman"/>
          <w:lang w:eastAsia="en-GB"/>
        </w:rPr>
        <w:t>to</w:t>
      </w:r>
      <w:r w:rsidR="00AC004F" w:rsidRPr="00121818">
        <w:rPr>
          <w:rFonts w:eastAsia="Times New Roman"/>
          <w:lang w:eastAsia="en-GB"/>
        </w:rPr>
        <w:t xml:space="preserve"> clarify the circumstances in which ‘eligible work’ completed by a ‘bonded participant’ </w:t>
      </w:r>
      <w:r w:rsidR="0030040B" w:rsidRPr="00121818">
        <w:rPr>
          <w:rFonts w:eastAsia="Times New Roman"/>
          <w:lang w:eastAsia="en-GB"/>
        </w:rPr>
        <w:t>can</w:t>
      </w:r>
      <w:r w:rsidR="00AC004F" w:rsidRPr="00121818">
        <w:rPr>
          <w:rFonts w:eastAsia="Times New Roman"/>
          <w:lang w:eastAsia="en-GB"/>
        </w:rPr>
        <w:t xml:space="preserve"> be counted towards their ‘return of service obligation’ (</w:t>
      </w:r>
      <w:r w:rsidR="00AC004F" w:rsidRPr="00121818">
        <w:rPr>
          <w:rFonts w:eastAsia="Times New Roman"/>
          <w:b/>
          <w:bCs/>
          <w:lang w:eastAsia="en-GB"/>
        </w:rPr>
        <w:t>RoSO</w:t>
      </w:r>
      <w:r w:rsidR="00AC004F" w:rsidRPr="00121818">
        <w:rPr>
          <w:rFonts w:eastAsia="Times New Roman"/>
          <w:lang w:eastAsia="en-GB"/>
        </w:rPr>
        <w:t xml:space="preserve">) under the Bonded Medical Program </w:t>
      </w:r>
      <w:r w:rsidR="007F4194" w:rsidRPr="00121818">
        <w:rPr>
          <w:rFonts w:eastAsia="Times New Roman"/>
          <w:lang w:eastAsia="en-GB"/>
        </w:rPr>
        <w:t>(</w:t>
      </w:r>
      <w:r w:rsidR="00AC004F" w:rsidRPr="00121818">
        <w:rPr>
          <w:rFonts w:eastAsia="Times New Roman"/>
          <w:lang w:eastAsia="en-GB"/>
        </w:rPr>
        <w:t xml:space="preserve">the </w:t>
      </w:r>
      <w:r w:rsidR="00AC004F" w:rsidRPr="00121818">
        <w:rPr>
          <w:rFonts w:eastAsia="Times New Roman"/>
          <w:b/>
          <w:bCs/>
          <w:lang w:eastAsia="en-GB"/>
        </w:rPr>
        <w:t>Program</w:t>
      </w:r>
      <w:r w:rsidR="007F4194" w:rsidRPr="00121818">
        <w:rPr>
          <w:rFonts w:eastAsia="Times New Roman"/>
          <w:lang w:eastAsia="en-GB"/>
        </w:rPr>
        <w:t>)</w:t>
      </w:r>
      <w:r w:rsidR="00AC004F" w:rsidRPr="00D818A1">
        <w:rPr>
          <w:rFonts w:eastAsia="Times New Roman"/>
          <w:lang w:eastAsia="en-GB"/>
        </w:rPr>
        <w:t>.</w:t>
      </w:r>
    </w:p>
    <w:p w14:paraId="4883F728" w14:textId="77777777" w:rsidR="00683B10" w:rsidRPr="0054271D" w:rsidRDefault="00683B10" w:rsidP="00683B10">
      <w:pPr>
        <w:shd w:val="clear" w:color="auto" w:fill="FFFFFF"/>
        <w:spacing w:before="100" w:beforeAutospacing="1" w:after="100" w:afterAutospacing="1" w:line="240" w:lineRule="auto"/>
        <w:rPr>
          <w:rFonts w:eastAsia="Times New Roman"/>
          <w:b/>
          <w:lang w:eastAsia="en-AU"/>
        </w:rPr>
      </w:pPr>
      <w:r>
        <w:rPr>
          <w:rFonts w:eastAsia="Times New Roman"/>
          <w:b/>
          <w:lang w:eastAsia="en-AU"/>
        </w:rPr>
        <w:t>Authority</w:t>
      </w:r>
    </w:p>
    <w:p w14:paraId="09AD91A5" w14:textId="5DB9F86B" w:rsidR="00683B10" w:rsidRDefault="00683B10" w:rsidP="00683B10">
      <w:pPr>
        <w:shd w:val="clear" w:color="auto" w:fill="FFFFFF"/>
        <w:spacing w:before="100" w:beforeAutospacing="1" w:after="100" w:afterAutospacing="1" w:line="240" w:lineRule="auto"/>
        <w:rPr>
          <w:rFonts w:eastAsia="Times New Roman"/>
          <w:lang w:eastAsia="en-AU"/>
        </w:rPr>
      </w:pPr>
      <w:r w:rsidRPr="00595755">
        <w:rPr>
          <w:rFonts w:eastAsia="Times New Roman"/>
          <w:lang w:eastAsia="en-AU"/>
        </w:rPr>
        <w:t xml:space="preserve">Subsection 124ZT(1) of the </w:t>
      </w:r>
      <w:r w:rsidRPr="00595755">
        <w:rPr>
          <w:rFonts w:eastAsia="Times New Roman"/>
          <w:i/>
          <w:lang w:eastAsia="en-AU"/>
        </w:rPr>
        <w:t>Health Insurance Act</w:t>
      </w:r>
      <w:r>
        <w:rPr>
          <w:rFonts w:eastAsia="Times New Roman"/>
          <w:i/>
          <w:lang w:eastAsia="en-AU"/>
        </w:rPr>
        <w:t> </w:t>
      </w:r>
      <w:r w:rsidRPr="00595755">
        <w:rPr>
          <w:rFonts w:eastAsia="Times New Roman"/>
          <w:i/>
          <w:lang w:eastAsia="en-AU"/>
        </w:rPr>
        <w:t xml:space="preserve">1973 </w:t>
      </w:r>
      <w:r w:rsidRPr="00595755">
        <w:rPr>
          <w:rFonts w:eastAsia="Times New Roman"/>
          <w:lang w:eastAsia="en-AU"/>
        </w:rPr>
        <w:t xml:space="preserve">(the </w:t>
      </w:r>
      <w:r w:rsidRPr="00121818">
        <w:rPr>
          <w:rFonts w:eastAsia="Times New Roman"/>
          <w:b/>
          <w:bCs/>
          <w:lang w:eastAsia="en-AU"/>
        </w:rPr>
        <w:t>Act</w:t>
      </w:r>
      <w:r w:rsidRPr="00595755">
        <w:rPr>
          <w:rFonts w:eastAsia="Times New Roman"/>
          <w:lang w:eastAsia="en-AU"/>
        </w:rPr>
        <w:t>)</w:t>
      </w:r>
      <w:r>
        <w:rPr>
          <w:rFonts w:eastAsia="Times New Roman"/>
          <w:lang w:eastAsia="en-AU"/>
        </w:rPr>
        <w:t xml:space="preserve"> </w:t>
      </w:r>
      <w:r w:rsidRPr="00595755">
        <w:rPr>
          <w:rFonts w:eastAsia="Times New Roman"/>
          <w:lang w:eastAsia="en-AU"/>
        </w:rPr>
        <w:t>provides that the Minister may</w:t>
      </w:r>
      <w:r w:rsidR="007F4194">
        <w:rPr>
          <w:rFonts w:eastAsia="Times New Roman"/>
          <w:lang w:eastAsia="en-AU"/>
        </w:rPr>
        <w:t>,</w:t>
      </w:r>
      <w:r w:rsidRPr="00595755">
        <w:rPr>
          <w:rFonts w:eastAsia="Times New Roman"/>
          <w:lang w:eastAsia="en-AU"/>
        </w:rPr>
        <w:t xml:space="preserve"> </w:t>
      </w:r>
      <w:r>
        <w:rPr>
          <w:rFonts w:eastAsia="Times New Roman"/>
          <w:lang w:eastAsia="en-AU"/>
        </w:rPr>
        <w:t>by legislative instrument</w:t>
      </w:r>
      <w:r w:rsidR="007F4194">
        <w:rPr>
          <w:rFonts w:eastAsia="Times New Roman"/>
          <w:lang w:eastAsia="en-AU"/>
        </w:rPr>
        <w:t>,</w:t>
      </w:r>
      <w:r>
        <w:rPr>
          <w:rFonts w:eastAsia="Times New Roman"/>
          <w:lang w:eastAsia="en-AU"/>
        </w:rPr>
        <w:t xml:space="preserve"> </w:t>
      </w:r>
      <w:r w:rsidRPr="00595755">
        <w:rPr>
          <w:rFonts w:eastAsia="Times New Roman"/>
          <w:lang w:eastAsia="en-AU"/>
        </w:rPr>
        <w:t xml:space="preserve">make rules </w:t>
      </w:r>
      <w:r w:rsidR="007F4194">
        <w:rPr>
          <w:rFonts w:eastAsia="Times New Roman"/>
          <w:lang w:eastAsia="en-AU"/>
        </w:rPr>
        <w:t>(</w:t>
      </w:r>
      <w:r>
        <w:rPr>
          <w:rFonts w:eastAsia="Times New Roman"/>
          <w:lang w:eastAsia="en-AU"/>
        </w:rPr>
        <w:t>the</w:t>
      </w:r>
      <w:r w:rsidR="007F4194">
        <w:rPr>
          <w:rFonts w:eastAsia="Times New Roman"/>
          <w:lang w:eastAsia="en-AU"/>
        </w:rPr>
        <w:t xml:space="preserve"> Bonded Medical Program </w:t>
      </w:r>
      <w:r w:rsidR="00946A97">
        <w:rPr>
          <w:rFonts w:eastAsia="Times New Roman"/>
          <w:lang w:eastAsia="en-AU"/>
        </w:rPr>
        <w:t>r</w:t>
      </w:r>
      <w:r w:rsidR="007F4194">
        <w:rPr>
          <w:rFonts w:eastAsia="Times New Roman"/>
          <w:lang w:eastAsia="en-AU"/>
        </w:rPr>
        <w:t>ules</w:t>
      </w:r>
      <w:r w:rsidR="00946A97">
        <w:rPr>
          <w:rFonts w:eastAsia="Times New Roman"/>
          <w:lang w:eastAsia="en-AU"/>
        </w:rPr>
        <w:t>)</w:t>
      </w:r>
      <w:r>
        <w:rPr>
          <w:rFonts w:eastAsia="Times New Roman"/>
          <w:lang w:eastAsia="en-AU"/>
        </w:rPr>
        <w:t xml:space="preserve"> </w:t>
      </w:r>
      <w:r w:rsidRPr="00595755">
        <w:rPr>
          <w:rFonts w:eastAsia="Times New Roman"/>
          <w:lang w:eastAsia="en-AU"/>
        </w:rPr>
        <w:t xml:space="preserve">about matters that are required or permitted </w:t>
      </w:r>
      <w:r>
        <w:rPr>
          <w:rFonts w:eastAsia="Times New Roman"/>
          <w:lang w:eastAsia="en-AU"/>
        </w:rPr>
        <w:t>by</w:t>
      </w:r>
      <w:r w:rsidRPr="00595755">
        <w:rPr>
          <w:rFonts w:eastAsia="Times New Roman"/>
          <w:lang w:eastAsia="en-AU"/>
        </w:rPr>
        <w:t xml:space="preserve"> Part VD of</w:t>
      </w:r>
      <w:r>
        <w:rPr>
          <w:rFonts w:eastAsia="Times New Roman"/>
          <w:lang w:eastAsia="en-AU"/>
        </w:rPr>
        <w:t xml:space="preserve"> the Act </w:t>
      </w:r>
      <w:r w:rsidRPr="00595755">
        <w:rPr>
          <w:rFonts w:eastAsia="Times New Roman"/>
          <w:lang w:eastAsia="en-AU"/>
        </w:rPr>
        <w:t xml:space="preserve">to be </w:t>
      </w:r>
      <w:r>
        <w:rPr>
          <w:rFonts w:eastAsia="Times New Roman"/>
          <w:lang w:eastAsia="en-AU"/>
        </w:rPr>
        <w:t>prescribed by the rules</w:t>
      </w:r>
      <w:r w:rsidRPr="00595755">
        <w:rPr>
          <w:rFonts w:eastAsia="Times New Roman"/>
          <w:lang w:eastAsia="en-AU"/>
        </w:rPr>
        <w:t xml:space="preserve">, or that are necessary or convenient </w:t>
      </w:r>
      <w:r>
        <w:rPr>
          <w:rFonts w:eastAsia="Times New Roman"/>
          <w:lang w:eastAsia="en-AU"/>
        </w:rPr>
        <w:t xml:space="preserve">to be prescribed </w:t>
      </w:r>
      <w:r w:rsidRPr="00595755">
        <w:rPr>
          <w:rFonts w:eastAsia="Times New Roman"/>
          <w:lang w:eastAsia="en-AU"/>
        </w:rPr>
        <w:t>for carrying out</w:t>
      </w:r>
      <w:r>
        <w:rPr>
          <w:rFonts w:eastAsia="Times New Roman"/>
          <w:lang w:eastAsia="en-AU"/>
        </w:rPr>
        <w:t xml:space="preserve"> or giving effect to</w:t>
      </w:r>
      <w:r w:rsidRPr="00595755">
        <w:rPr>
          <w:rFonts w:eastAsia="Times New Roman"/>
          <w:lang w:eastAsia="en-AU"/>
        </w:rPr>
        <w:t xml:space="preserve"> Part VD of the Act. </w:t>
      </w:r>
      <w:r w:rsidR="003B5492">
        <w:rPr>
          <w:rFonts w:eastAsia="Times New Roman"/>
          <w:lang w:eastAsia="en-AU"/>
        </w:rPr>
        <w:t xml:space="preserve">Subsection 124ZT(3)(d) confirms that the rules may provide, among other things, for the circumstances in which work will qualify for completing a RoSO. </w:t>
      </w:r>
    </w:p>
    <w:p w14:paraId="2E5961F0" w14:textId="0506A6C2" w:rsidR="00683B10" w:rsidRPr="00683B10" w:rsidRDefault="00683B10" w:rsidP="00683B10">
      <w:pPr>
        <w:shd w:val="clear" w:color="auto" w:fill="FFFFFF"/>
        <w:spacing w:after="0" w:line="240" w:lineRule="auto"/>
        <w:rPr>
          <w:rFonts w:eastAsia="Times New Roman"/>
          <w:color w:val="000000"/>
          <w:lang w:eastAsia="en-AU"/>
        </w:rPr>
      </w:pPr>
      <w:r w:rsidRPr="00683B10">
        <w:rPr>
          <w:rFonts w:eastAsia="Times New Roman"/>
          <w:b/>
          <w:bCs/>
          <w:color w:val="000000"/>
          <w:lang w:eastAsia="en-AU"/>
        </w:rPr>
        <w:t>Reliance on subsection 33(3) of the </w:t>
      </w:r>
      <w:r w:rsidRPr="00683B10">
        <w:rPr>
          <w:rFonts w:eastAsia="Times New Roman"/>
          <w:b/>
          <w:bCs/>
          <w:i/>
          <w:iCs/>
          <w:color w:val="000000"/>
          <w:lang w:eastAsia="en-AU"/>
        </w:rPr>
        <w:t>Acts Interpretation Act 1901</w:t>
      </w:r>
    </w:p>
    <w:p w14:paraId="360F003E" w14:textId="77777777" w:rsidR="00683B10" w:rsidRPr="00683B10" w:rsidRDefault="00683B10" w:rsidP="00683B10">
      <w:pPr>
        <w:shd w:val="clear" w:color="auto" w:fill="FFFFFF"/>
        <w:spacing w:after="0" w:line="240" w:lineRule="auto"/>
        <w:jc w:val="both"/>
        <w:rPr>
          <w:rFonts w:eastAsia="Times New Roman"/>
          <w:color w:val="000000"/>
          <w:lang w:eastAsia="en-AU"/>
        </w:rPr>
      </w:pPr>
      <w:r w:rsidRPr="00683B10">
        <w:rPr>
          <w:rFonts w:eastAsia="Times New Roman"/>
          <w:color w:val="000000"/>
          <w:lang w:eastAsia="en-AU"/>
        </w:rPr>
        <w:t> </w:t>
      </w:r>
    </w:p>
    <w:p w14:paraId="78890C02" w14:textId="7A4D574D" w:rsidR="00683B10" w:rsidRDefault="00683B10" w:rsidP="00683B10">
      <w:pPr>
        <w:shd w:val="clear" w:color="auto" w:fill="FFFFFF"/>
        <w:spacing w:after="0" w:line="240" w:lineRule="auto"/>
        <w:jc w:val="both"/>
        <w:rPr>
          <w:rFonts w:eastAsia="Times New Roman"/>
          <w:color w:val="000000"/>
          <w:lang w:eastAsia="en-AU"/>
        </w:rPr>
      </w:pPr>
      <w:r w:rsidRPr="00683B10">
        <w:rPr>
          <w:rFonts w:eastAsia="Times New Roman"/>
          <w:color w:val="000000"/>
          <w:lang w:eastAsia="en-AU"/>
        </w:rPr>
        <w:t>Under subsection 33(3) of the </w:t>
      </w:r>
      <w:r w:rsidRPr="00683B10">
        <w:rPr>
          <w:rFonts w:eastAsia="Times New Roman"/>
          <w:i/>
          <w:iCs/>
          <w:color w:val="000000"/>
          <w:lang w:eastAsia="en-AU"/>
        </w:rPr>
        <w:t>Acts Interpretation Act 1901</w:t>
      </w:r>
      <w:r w:rsidRPr="00683B10">
        <w:rPr>
          <w:rFonts w:eastAsia="Times New Roman"/>
          <w:color w:val="000000"/>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41B1CC9" w14:textId="1F2C0F95" w:rsidR="00B973C6" w:rsidRDefault="00B973C6" w:rsidP="00683B10">
      <w:pPr>
        <w:shd w:val="clear" w:color="auto" w:fill="FFFFFF"/>
        <w:spacing w:after="0" w:line="240" w:lineRule="auto"/>
        <w:jc w:val="both"/>
        <w:rPr>
          <w:rFonts w:eastAsia="Times New Roman"/>
          <w:color w:val="000000"/>
          <w:lang w:eastAsia="en-AU"/>
        </w:rPr>
      </w:pPr>
    </w:p>
    <w:p w14:paraId="785E8252" w14:textId="60D54AB6" w:rsidR="00B973C6" w:rsidRPr="00683B10" w:rsidRDefault="00B973C6" w:rsidP="00683B10">
      <w:pPr>
        <w:shd w:val="clear" w:color="auto" w:fill="FFFFFF"/>
        <w:spacing w:after="0" w:line="240" w:lineRule="auto"/>
        <w:jc w:val="both"/>
        <w:rPr>
          <w:rFonts w:eastAsia="Times New Roman"/>
          <w:b/>
          <w:bCs/>
          <w:color w:val="000000"/>
          <w:lang w:eastAsia="en-AU"/>
        </w:rPr>
      </w:pPr>
      <w:r>
        <w:rPr>
          <w:rFonts w:eastAsia="Times New Roman"/>
          <w:b/>
          <w:bCs/>
          <w:color w:val="000000"/>
          <w:lang w:eastAsia="en-AU"/>
        </w:rPr>
        <w:t>Background</w:t>
      </w:r>
    </w:p>
    <w:p w14:paraId="4B5C7959" w14:textId="3ECA08D0" w:rsidR="006842B2" w:rsidRPr="00595755" w:rsidRDefault="006842B2" w:rsidP="006842B2">
      <w:pPr>
        <w:shd w:val="clear" w:color="auto" w:fill="FFFFFF"/>
        <w:spacing w:before="100" w:beforeAutospacing="1" w:after="100" w:afterAutospacing="1" w:line="240" w:lineRule="auto"/>
        <w:rPr>
          <w:rFonts w:eastAsia="Times New Roman"/>
          <w:lang w:eastAsia="en-AU"/>
        </w:rPr>
      </w:pPr>
      <w:r w:rsidRPr="00595755">
        <w:rPr>
          <w:rFonts w:eastAsia="Times New Roman"/>
          <w:lang w:eastAsia="en-AU"/>
        </w:rPr>
        <w:t>Part VD of the</w:t>
      </w:r>
      <w:r w:rsidRPr="00595755">
        <w:rPr>
          <w:rFonts w:eastAsia="Times New Roman"/>
          <w:i/>
          <w:lang w:eastAsia="en-AU"/>
        </w:rPr>
        <w:t xml:space="preserve"> </w:t>
      </w:r>
      <w:r w:rsidRPr="00595755">
        <w:rPr>
          <w:rFonts w:eastAsia="Times New Roman"/>
          <w:lang w:eastAsia="en-AU"/>
        </w:rPr>
        <w:t xml:space="preserve">Act establishes the </w:t>
      </w:r>
      <w:r w:rsidRPr="00595755">
        <w:t>Program</w:t>
      </w:r>
      <w:r w:rsidRPr="00595755">
        <w:rPr>
          <w:rFonts w:eastAsia="Times New Roman"/>
          <w:lang w:eastAsia="en-AU"/>
        </w:rPr>
        <w:t xml:space="preserve">, which is an Australian Government initiative designed to address the doctor shortage across regional, rural and remote areas. </w:t>
      </w:r>
      <w:bookmarkStart w:id="1" w:name="_Hlk190882730"/>
      <w:r w:rsidRPr="00595755">
        <w:rPr>
          <w:rFonts w:eastAsia="Times New Roman"/>
          <w:lang w:eastAsia="en-AU"/>
        </w:rPr>
        <w:t xml:space="preserve">Participants receive a Commonwealth </w:t>
      </w:r>
      <w:r w:rsidR="000D691D">
        <w:rPr>
          <w:rFonts w:eastAsia="Times New Roman"/>
          <w:lang w:eastAsia="en-AU"/>
        </w:rPr>
        <w:t>S</w:t>
      </w:r>
      <w:r w:rsidRPr="00595755">
        <w:rPr>
          <w:rFonts w:eastAsia="Times New Roman"/>
          <w:lang w:eastAsia="en-AU"/>
        </w:rPr>
        <w:t xml:space="preserve">upported </w:t>
      </w:r>
      <w:r w:rsidR="000D691D">
        <w:rPr>
          <w:rFonts w:eastAsia="Times New Roman"/>
          <w:lang w:eastAsia="en-AU"/>
        </w:rPr>
        <w:t>P</w:t>
      </w:r>
      <w:r w:rsidRPr="00595755">
        <w:rPr>
          <w:rFonts w:eastAsia="Times New Roman"/>
          <w:lang w:eastAsia="en-AU"/>
        </w:rPr>
        <w:t>lace in a medical course at an Australian university in</w:t>
      </w:r>
      <w:r w:rsidRPr="00595755">
        <w:t xml:space="preserve"> return </w:t>
      </w:r>
      <w:r w:rsidRPr="00595755">
        <w:rPr>
          <w:rFonts w:eastAsia="Times New Roman"/>
          <w:lang w:eastAsia="en-AU"/>
        </w:rPr>
        <w:t xml:space="preserve">for completion of a </w:t>
      </w:r>
      <w:r w:rsidR="000D691D">
        <w:rPr>
          <w:rFonts w:eastAsia="Times New Roman"/>
          <w:lang w:eastAsia="en-AU"/>
        </w:rPr>
        <w:t>period of</w:t>
      </w:r>
      <w:r w:rsidRPr="00595755">
        <w:t xml:space="preserve"> work in regional, rural and remote areas and areas of workforce shortage</w:t>
      </w:r>
      <w:r w:rsidRPr="00595755">
        <w:rPr>
          <w:rFonts w:eastAsia="Times New Roman"/>
          <w:lang w:eastAsia="en-AU"/>
        </w:rPr>
        <w:t xml:space="preserve"> </w:t>
      </w:r>
      <w:bookmarkEnd w:id="1"/>
      <w:r w:rsidRPr="00595755">
        <w:rPr>
          <w:rFonts w:eastAsia="Times New Roman"/>
          <w:lang w:eastAsia="en-AU"/>
        </w:rPr>
        <w:t xml:space="preserve">(referred to as the </w:t>
      </w:r>
      <w:r w:rsidR="00FF1A0F">
        <w:rPr>
          <w:rFonts w:eastAsia="Times New Roman"/>
          <w:lang w:eastAsia="en-AU"/>
        </w:rPr>
        <w:t>RoSO</w:t>
      </w:r>
      <w:r w:rsidRPr="00595755">
        <w:t>)</w:t>
      </w:r>
      <w:r w:rsidRPr="00595755">
        <w:rPr>
          <w:rFonts w:eastAsia="Times New Roman"/>
          <w:lang w:eastAsia="en-AU"/>
        </w:rPr>
        <w:t xml:space="preserve">. </w:t>
      </w:r>
      <w:r>
        <w:rPr>
          <w:rFonts w:eastAsia="Times New Roman"/>
          <w:lang w:eastAsia="en-AU"/>
        </w:rPr>
        <w:t xml:space="preserve">Existing participants in </w:t>
      </w:r>
      <w:r w:rsidR="001E5C46">
        <w:rPr>
          <w:rFonts w:eastAsia="Times New Roman"/>
          <w:lang w:eastAsia="en-AU"/>
        </w:rPr>
        <w:t xml:space="preserve">the </w:t>
      </w:r>
      <w:r w:rsidR="001E5C46" w:rsidRPr="00595755">
        <w:rPr>
          <w:rFonts w:ascii="Tms Rmn" w:eastAsia="Times New Roman" w:hAnsi="Tms Rmn"/>
          <w:szCs w:val="20"/>
          <w:lang w:eastAsia="en-AU"/>
        </w:rPr>
        <w:t>Medical Rural Bonded Scholarship </w:t>
      </w:r>
      <w:r w:rsidR="001E5C46">
        <w:rPr>
          <w:rFonts w:ascii="Tms Rmn" w:eastAsia="Times New Roman" w:hAnsi="Tms Rmn"/>
          <w:szCs w:val="20"/>
          <w:lang w:eastAsia="en-AU"/>
        </w:rPr>
        <w:t>S</w:t>
      </w:r>
      <w:r w:rsidR="001E5C46" w:rsidRPr="00595755">
        <w:rPr>
          <w:rFonts w:ascii="Tms Rmn" w:eastAsia="Times New Roman" w:hAnsi="Tms Rmn"/>
          <w:szCs w:val="20"/>
          <w:lang w:eastAsia="en-AU"/>
        </w:rPr>
        <w:t xml:space="preserve">cheme </w:t>
      </w:r>
      <w:r w:rsidR="001E5C46">
        <w:rPr>
          <w:rFonts w:ascii="Tms Rmn" w:eastAsia="Times New Roman" w:hAnsi="Tms Rmn"/>
          <w:szCs w:val="20"/>
          <w:lang w:eastAsia="en-AU"/>
        </w:rPr>
        <w:t xml:space="preserve">or </w:t>
      </w:r>
      <w:r>
        <w:rPr>
          <w:rFonts w:eastAsia="Times New Roman"/>
          <w:lang w:eastAsia="en-AU"/>
        </w:rPr>
        <w:t xml:space="preserve">the Bonded Medical Places </w:t>
      </w:r>
      <w:r w:rsidR="000D691D">
        <w:rPr>
          <w:rFonts w:eastAsia="Times New Roman"/>
          <w:lang w:eastAsia="en-AU"/>
        </w:rPr>
        <w:t xml:space="preserve">Scheme </w:t>
      </w:r>
      <w:r>
        <w:rPr>
          <w:rFonts w:ascii="Tms Rmn" w:eastAsia="Times New Roman" w:hAnsi="Tms Rmn"/>
          <w:szCs w:val="20"/>
          <w:lang w:eastAsia="en-AU"/>
        </w:rPr>
        <w:t xml:space="preserve">may also </w:t>
      </w:r>
      <w:r w:rsidRPr="00595755">
        <w:rPr>
          <w:rFonts w:ascii="Tms Rmn" w:eastAsia="Times New Roman" w:hAnsi="Tms Rmn"/>
          <w:szCs w:val="20"/>
          <w:lang w:eastAsia="en-AU"/>
        </w:rPr>
        <w:t>voluntarily opt</w:t>
      </w:r>
      <w:r w:rsidR="00BF7724">
        <w:rPr>
          <w:rFonts w:ascii="Tms Rmn" w:eastAsia="Times New Roman" w:hAnsi="Tms Rmn"/>
          <w:szCs w:val="20"/>
          <w:lang w:eastAsia="en-AU"/>
        </w:rPr>
        <w:t>-</w:t>
      </w:r>
      <w:r w:rsidRPr="00595755">
        <w:rPr>
          <w:rFonts w:ascii="Tms Rmn" w:eastAsia="Times New Roman" w:hAnsi="Tms Rmn"/>
          <w:szCs w:val="20"/>
          <w:lang w:eastAsia="en-AU"/>
        </w:rPr>
        <w:t>in</w:t>
      </w:r>
      <w:r w:rsidR="00BF7724">
        <w:rPr>
          <w:rFonts w:ascii="Tms Rmn" w:eastAsia="Times New Roman" w:hAnsi="Tms Rmn"/>
          <w:szCs w:val="20"/>
          <w:lang w:eastAsia="en-AU"/>
        </w:rPr>
        <w:t xml:space="preserve"> to</w:t>
      </w:r>
      <w:r>
        <w:rPr>
          <w:rFonts w:ascii="Tms Rmn" w:eastAsia="Times New Roman" w:hAnsi="Tms Rmn"/>
          <w:szCs w:val="20"/>
          <w:lang w:eastAsia="en-AU"/>
        </w:rPr>
        <w:t xml:space="preserve"> the Bonded Medical Program and, if the Secretary agrees to their participation, they also become bonded participants. </w:t>
      </w:r>
    </w:p>
    <w:p w14:paraId="54678A70" w14:textId="3EE6B6C3" w:rsidR="006842B2" w:rsidRPr="00595755" w:rsidRDefault="006842B2" w:rsidP="006842B2">
      <w:pPr>
        <w:shd w:val="clear" w:color="auto" w:fill="FFFFFF"/>
        <w:spacing w:before="100" w:beforeAutospacing="1" w:after="100" w:afterAutospacing="1" w:line="240" w:lineRule="auto"/>
        <w:rPr>
          <w:rFonts w:eastAsia="Times New Roman"/>
          <w:iCs/>
          <w:lang w:eastAsia="en-AU"/>
        </w:rPr>
      </w:pPr>
      <w:r w:rsidRPr="00595755">
        <w:rPr>
          <w:rFonts w:eastAsia="Times New Roman"/>
          <w:lang w:eastAsia="en-AU"/>
        </w:rPr>
        <w:t xml:space="preserve">The </w:t>
      </w:r>
      <w:r w:rsidR="00946A97">
        <w:rPr>
          <w:rFonts w:eastAsia="Times New Roman"/>
          <w:lang w:eastAsia="en-AU"/>
        </w:rPr>
        <w:t>Principal Rule</w:t>
      </w:r>
      <w:r w:rsidR="00D818A1">
        <w:rPr>
          <w:rFonts w:eastAsia="Times New Roman"/>
          <w:lang w:eastAsia="en-AU"/>
        </w:rPr>
        <w:t xml:space="preserve"> </w:t>
      </w:r>
      <w:r w:rsidR="001875E9">
        <w:rPr>
          <w:rFonts w:eastAsia="Times New Roman"/>
          <w:iCs/>
          <w:lang w:eastAsia="en-AU"/>
        </w:rPr>
        <w:t>is</w:t>
      </w:r>
      <w:r>
        <w:rPr>
          <w:rFonts w:eastAsia="Times New Roman"/>
          <w:iCs/>
          <w:lang w:eastAsia="en-AU"/>
        </w:rPr>
        <w:t xml:space="preserve"> made under s</w:t>
      </w:r>
      <w:r w:rsidRPr="00595755">
        <w:rPr>
          <w:rFonts w:eastAsia="Times New Roman"/>
          <w:lang w:eastAsia="en-AU"/>
        </w:rPr>
        <w:t>ubsection 124</w:t>
      </w:r>
      <w:proofErr w:type="gramStart"/>
      <w:r w:rsidRPr="00595755">
        <w:rPr>
          <w:rFonts w:eastAsia="Times New Roman"/>
          <w:lang w:eastAsia="en-AU"/>
        </w:rPr>
        <w:t>ZT(</w:t>
      </w:r>
      <w:proofErr w:type="gramEnd"/>
      <w:r w:rsidRPr="00595755">
        <w:rPr>
          <w:rFonts w:eastAsia="Times New Roman"/>
          <w:lang w:eastAsia="en-AU"/>
        </w:rPr>
        <w:t xml:space="preserve">1) </w:t>
      </w:r>
      <w:r>
        <w:rPr>
          <w:rFonts w:eastAsia="Times New Roman"/>
          <w:lang w:eastAsia="en-AU"/>
        </w:rPr>
        <w:t xml:space="preserve">of the Act and </w:t>
      </w:r>
      <w:r w:rsidRPr="00595755">
        <w:rPr>
          <w:rFonts w:eastAsia="Times New Roman"/>
          <w:iCs/>
          <w:lang w:eastAsia="en-AU"/>
        </w:rPr>
        <w:t>provide</w:t>
      </w:r>
      <w:r w:rsidR="00B71803">
        <w:rPr>
          <w:rFonts w:eastAsia="Times New Roman"/>
          <w:iCs/>
          <w:lang w:eastAsia="en-AU"/>
        </w:rPr>
        <w:t>s</w:t>
      </w:r>
      <w:r w:rsidRPr="00595755">
        <w:rPr>
          <w:rFonts w:eastAsia="Times New Roman"/>
          <w:iCs/>
          <w:lang w:eastAsia="en-AU"/>
        </w:rPr>
        <w:t xml:space="preserve"> the </w:t>
      </w:r>
      <w:r>
        <w:rPr>
          <w:rFonts w:eastAsia="Times New Roman"/>
          <w:iCs/>
          <w:lang w:eastAsia="en-AU"/>
        </w:rPr>
        <w:t xml:space="preserve">necessary </w:t>
      </w:r>
      <w:r w:rsidRPr="00595755">
        <w:rPr>
          <w:rFonts w:eastAsia="Times New Roman"/>
          <w:iCs/>
          <w:lang w:eastAsia="en-AU"/>
        </w:rPr>
        <w:t>details to support the operation</w:t>
      </w:r>
      <w:r w:rsidRPr="00595755">
        <w:t xml:space="preserve"> of </w:t>
      </w:r>
      <w:r w:rsidRPr="00595755">
        <w:rPr>
          <w:rFonts w:eastAsia="Times New Roman"/>
          <w:iCs/>
          <w:lang w:eastAsia="en-AU"/>
        </w:rPr>
        <w:t>the Bonded Medical Program by prescribing</w:t>
      </w:r>
      <w:r>
        <w:rPr>
          <w:rFonts w:eastAsia="Times New Roman"/>
          <w:iCs/>
          <w:lang w:eastAsia="en-AU"/>
        </w:rPr>
        <w:t xml:space="preserve"> certain matters, including</w:t>
      </w:r>
      <w:r w:rsidR="00044729">
        <w:rPr>
          <w:rFonts w:eastAsia="Times New Roman"/>
          <w:iCs/>
          <w:lang w:eastAsia="en-AU"/>
        </w:rPr>
        <w:t xml:space="preserve"> the requirements for completing the RoSO.</w:t>
      </w:r>
    </w:p>
    <w:p w14:paraId="5043CD77" w14:textId="18D1A3CE" w:rsidR="00D41E91" w:rsidRDefault="00946A97" w:rsidP="00946A97">
      <w:pPr>
        <w:shd w:val="clear" w:color="auto" w:fill="FFFFFF"/>
        <w:spacing w:after="240" w:line="240" w:lineRule="auto"/>
        <w:rPr>
          <w:rFonts w:eastAsia="Times New Roman"/>
          <w:iCs/>
          <w:lang w:eastAsia="en-AU"/>
        </w:rPr>
      </w:pPr>
      <w:r>
        <w:rPr>
          <w:rFonts w:eastAsia="Times New Roman"/>
          <w:iCs/>
          <w:lang w:eastAsia="en-AU"/>
        </w:rPr>
        <w:t xml:space="preserve">The </w:t>
      </w:r>
      <w:r w:rsidR="001506F2">
        <w:rPr>
          <w:rFonts w:eastAsia="Times New Roman"/>
          <w:iCs/>
          <w:lang w:eastAsia="en-AU"/>
        </w:rPr>
        <w:t>instrument</w:t>
      </w:r>
      <w:r>
        <w:rPr>
          <w:rFonts w:eastAsia="Times New Roman"/>
          <w:iCs/>
          <w:lang w:eastAsia="en-AU"/>
        </w:rPr>
        <w:t xml:space="preserve"> amends </w:t>
      </w:r>
      <w:r w:rsidR="00044729">
        <w:rPr>
          <w:rFonts w:eastAsia="Times New Roman"/>
          <w:iCs/>
          <w:lang w:eastAsia="en-AU"/>
        </w:rPr>
        <w:t xml:space="preserve">section 8 of </w:t>
      </w:r>
      <w:r>
        <w:rPr>
          <w:rFonts w:eastAsia="Times New Roman"/>
          <w:iCs/>
          <w:lang w:eastAsia="en-AU"/>
        </w:rPr>
        <w:t>the</w:t>
      </w:r>
      <w:r w:rsidR="00044729">
        <w:rPr>
          <w:rFonts w:eastAsia="Times New Roman"/>
          <w:iCs/>
          <w:lang w:eastAsia="en-AU"/>
        </w:rPr>
        <w:t xml:space="preserve"> Principal Rule </w:t>
      </w:r>
      <w:r w:rsidR="00F66DAD">
        <w:rPr>
          <w:rFonts w:eastAsia="Times New Roman"/>
          <w:iCs/>
          <w:lang w:eastAsia="en-AU"/>
        </w:rPr>
        <w:t>to enable ‘eligible work’ to be</w:t>
      </w:r>
      <w:r w:rsidR="00044729">
        <w:rPr>
          <w:rFonts w:eastAsia="Times New Roman"/>
          <w:iCs/>
          <w:lang w:eastAsia="en-AU"/>
        </w:rPr>
        <w:t xml:space="preserve"> counted towards a bonded participant’s RoSO even if it is not reported via the Department’s web portal in the timeframes required by section 16. </w:t>
      </w:r>
    </w:p>
    <w:p w14:paraId="0E56575F" w14:textId="7B7909CA" w:rsidR="00946A97" w:rsidRDefault="00F66DAD" w:rsidP="00946A97">
      <w:pPr>
        <w:shd w:val="clear" w:color="auto" w:fill="FFFFFF"/>
        <w:spacing w:after="240" w:line="240" w:lineRule="auto"/>
        <w:rPr>
          <w:rFonts w:eastAsia="Times New Roman"/>
          <w:iCs/>
          <w:lang w:eastAsia="en-AU"/>
        </w:rPr>
      </w:pPr>
      <w:r>
        <w:rPr>
          <w:rFonts w:eastAsia="Times New Roman"/>
          <w:iCs/>
          <w:lang w:eastAsia="en-AU"/>
        </w:rPr>
        <w:lastRenderedPageBreak/>
        <w:t xml:space="preserve">The intention is that </w:t>
      </w:r>
      <w:r w:rsidR="00D41E91">
        <w:rPr>
          <w:rFonts w:eastAsia="Times New Roman"/>
          <w:iCs/>
          <w:lang w:eastAsia="en-AU"/>
        </w:rPr>
        <w:t>‘eligible work’ (being professional services rendered to patients in eligible locations) should not be prevented from being counted towards a RoSO solely because the bonded participant has not met the reporting requirements under other provisions of the Principal Rule.</w:t>
      </w:r>
    </w:p>
    <w:p w14:paraId="7B9B0F61" w14:textId="223D3326" w:rsidR="00862630" w:rsidRPr="00121818" w:rsidRDefault="001506F2" w:rsidP="001506F2">
      <w:pPr>
        <w:spacing w:after="0" w:line="240" w:lineRule="auto"/>
        <w:rPr>
          <w:rFonts w:ascii="Tms Rmn" w:eastAsia="Times New Roman" w:hAnsi="Tms Rmn"/>
          <w:szCs w:val="20"/>
          <w:lang w:eastAsia="en-AU"/>
        </w:rPr>
      </w:pPr>
      <w:r w:rsidRPr="00121818">
        <w:rPr>
          <w:rFonts w:ascii="Tms Rmn" w:eastAsia="Times New Roman" w:hAnsi="Tms Rmn"/>
          <w:szCs w:val="20"/>
          <w:lang w:eastAsia="en-AU"/>
        </w:rPr>
        <w:t>This addresses the unintended consequence</w:t>
      </w:r>
      <w:r w:rsidR="00862630" w:rsidRPr="00121818">
        <w:rPr>
          <w:rFonts w:ascii="Tms Rmn" w:eastAsia="Times New Roman" w:hAnsi="Tms Rmn"/>
          <w:szCs w:val="20"/>
          <w:lang w:eastAsia="en-AU"/>
        </w:rPr>
        <w:t>s for bonded participants under the current provisions. For example, under the current section 8</w:t>
      </w:r>
      <w:r w:rsidR="00D818A1">
        <w:rPr>
          <w:rFonts w:ascii="Tms Rmn" w:eastAsia="Times New Roman" w:hAnsi="Tms Rmn"/>
          <w:szCs w:val="20"/>
          <w:lang w:eastAsia="en-AU"/>
        </w:rPr>
        <w:t>,</w:t>
      </w:r>
      <w:r w:rsidRPr="00121818">
        <w:rPr>
          <w:rFonts w:ascii="Tms Rmn" w:eastAsia="Times New Roman" w:hAnsi="Tms Rmn"/>
          <w:szCs w:val="20"/>
          <w:lang w:eastAsia="en-AU"/>
        </w:rPr>
        <w:t xml:space="preserve"> a bonded participant </w:t>
      </w:r>
      <w:r w:rsidR="00862630" w:rsidRPr="00121818">
        <w:rPr>
          <w:rFonts w:ascii="Tms Rmn" w:eastAsia="Times New Roman" w:hAnsi="Tms Rmn"/>
          <w:szCs w:val="20"/>
          <w:lang w:eastAsia="en-AU"/>
        </w:rPr>
        <w:t>may risk</w:t>
      </w:r>
      <w:r w:rsidRPr="00121818">
        <w:rPr>
          <w:rFonts w:ascii="Tms Rmn" w:eastAsia="Times New Roman" w:hAnsi="Tms Rmn"/>
          <w:szCs w:val="20"/>
          <w:lang w:eastAsia="en-AU"/>
        </w:rPr>
        <w:t xml:space="preserve"> having long periods of ‘eligible work’ </w:t>
      </w:r>
      <w:r w:rsidR="00862630" w:rsidRPr="00121818">
        <w:rPr>
          <w:rFonts w:ascii="Tms Rmn" w:eastAsia="Times New Roman" w:hAnsi="Tms Rmn"/>
          <w:szCs w:val="20"/>
          <w:lang w:eastAsia="en-AU"/>
        </w:rPr>
        <w:t>disqualified</w:t>
      </w:r>
      <w:r w:rsidRPr="00121818">
        <w:rPr>
          <w:rFonts w:ascii="Tms Rmn" w:eastAsia="Times New Roman" w:hAnsi="Tms Rmn"/>
          <w:szCs w:val="20"/>
          <w:lang w:eastAsia="en-AU"/>
        </w:rPr>
        <w:t xml:space="preserve"> </w:t>
      </w:r>
      <w:r w:rsidR="00640C84">
        <w:rPr>
          <w:rFonts w:ascii="Tms Rmn" w:eastAsia="Times New Roman" w:hAnsi="Tms Rmn"/>
          <w:szCs w:val="20"/>
          <w:lang w:eastAsia="en-AU"/>
        </w:rPr>
        <w:t xml:space="preserve">if they </w:t>
      </w:r>
      <w:r w:rsidRPr="00121818">
        <w:rPr>
          <w:rFonts w:ascii="Tms Rmn" w:eastAsia="Times New Roman" w:hAnsi="Tms Rmn"/>
          <w:szCs w:val="20"/>
          <w:lang w:eastAsia="en-AU"/>
        </w:rPr>
        <w:t>miss a reporting deadline by a single day. </w:t>
      </w:r>
      <w:r w:rsidR="008C68B3" w:rsidRPr="00121818">
        <w:rPr>
          <w:rFonts w:ascii="Tms Rmn" w:eastAsia="Times New Roman" w:hAnsi="Tms Rmn"/>
          <w:szCs w:val="20"/>
          <w:lang w:eastAsia="en-AU"/>
        </w:rPr>
        <w:t>These consequences are not considered appropriate as</w:t>
      </w:r>
      <w:r w:rsidR="00862630" w:rsidRPr="00121818">
        <w:rPr>
          <w:rFonts w:ascii="Tms Rmn" w:eastAsia="Times New Roman" w:hAnsi="Tms Rmn"/>
          <w:szCs w:val="20"/>
          <w:lang w:eastAsia="en-AU"/>
        </w:rPr>
        <w:t xml:space="preserve"> there are other</w:t>
      </w:r>
      <w:r w:rsidR="00664EE3" w:rsidRPr="00121818">
        <w:rPr>
          <w:rFonts w:ascii="Tms Rmn" w:eastAsia="Times New Roman" w:hAnsi="Tms Rmn"/>
          <w:szCs w:val="20"/>
          <w:lang w:eastAsia="en-AU"/>
        </w:rPr>
        <w:t xml:space="preserve"> </w:t>
      </w:r>
      <w:r w:rsidR="00862630" w:rsidRPr="00121818">
        <w:rPr>
          <w:rFonts w:ascii="Tms Rmn" w:eastAsia="Times New Roman" w:hAnsi="Tms Rmn"/>
          <w:szCs w:val="20"/>
          <w:lang w:eastAsia="en-AU"/>
        </w:rPr>
        <w:t>ways to manage non-compliance with reporting requirements</w:t>
      </w:r>
      <w:r w:rsidR="00D818A1">
        <w:rPr>
          <w:rFonts w:ascii="Tms Rmn" w:eastAsia="Times New Roman" w:hAnsi="Tms Rmn"/>
          <w:szCs w:val="20"/>
          <w:lang w:eastAsia="en-AU"/>
        </w:rPr>
        <w:t xml:space="preserve"> in particular cases</w:t>
      </w:r>
      <w:r w:rsidR="00862630" w:rsidRPr="00121818">
        <w:rPr>
          <w:rFonts w:ascii="Tms Rmn" w:eastAsia="Times New Roman" w:hAnsi="Tms Rmn"/>
          <w:szCs w:val="20"/>
          <w:lang w:eastAsia="en-AU"/>
        </w:rPr>
        <w:t xml:space="preserve">, </w:t>
      </w:r>
      <w:r w:rsidR="00146AA0" w:rsidRPr="00121818">
        <w:rPr>
          <w:rFonts w:ascii="Tms Rmn" w:eastAsia="Times New Roman" w:hAnsi="Tms Rmn"/>
          <w:szCs w:val="20"/>
          <w:lang w:eastAsia="en-AU"/>
        </w:rPr>
        <w:t>including</w:t>
      </w:r>
      <w:r w:rsidR="00862630" w:rsidRPr="00121818">
        <w:rPr>
          <w:rFonts w:ascii="Tms Rmn" w:eastAsia="Times New Roman" w:hAnsi="Tms Rmn"/>
          <w:szCs w:val="20"/>
          <w:lang w:eastAsia="en-AU"/>
        </w:rPr>
        <w:t xml:space="preserve"> requesting information or documents from </w:t>
      </w:r>
      <w:r w:rsidR="008C68B3" w:rsidRPr="00121818">
        <w:rPr>
          <w:rFonts w:ascii="Tms Rmn" w:eastAsia="Times New Roman" w:hAnsi="Tms Rmn"/>
          <w:szCs w:val="20"/>
          <w:lang w:eastAsia="en-AU"/>
        </w:rPr>
        <w:t>a</w:t>
      </w:r>
      <w:r w:rsidR="00862630" w:rsidRPr="00121818">
        <w:rPr>
          <w:rFonts w:ascii="Tms Rmn" w:eastAsia="Times New Roman" w:hAnsi="Tms Rmn"/>
          <w:szCs w:val="20"/>
          <w:lang w:eastAsia="en-AU"/>
        </w:rPr>
        <w:t xml:space="preserve"> bonded participant under paragraph 124ZG</w:t>
      </w:r>
      <w:r w:rsidR="00664EE3" w:rsidRPr="00121818">
        <w:rPr>
          <w:rFonts w:ascii="Tms Rmn" w:eastAsia="Times New Roman" w:hAnsi="Tms Rmn"/>
          <w:szCs w:val="20"/>
          <w:lang w:eastAsia="en-AU"/>
        </w:rPr>
        <w:t>(1)(e) of the Act. A bonded participant may be exposed to an administrative penalty if they do not comply with such a request (paragraph 124ZK(1)(b)).</w:t>
      </w:r>
    </w:p>
    <w:p w14:paraId="49AA7DF5" w14:textId="77777777" w:rsidR="00121818" w:rsidRDefault="00121818" w:rsidP="00AF35D2">
      <w:pPr>
        <w:widowControl w:val="0"/>
        <w:tabs>
          <w:tab w:val="num" w:pos="426"/>
        </w:tabs>
        <w:spacing w:after="0" w:line="240" w:lineRule="auto"/>
        <w:rPr>
          <w:rFonts w:eastAsia="Times New Roman"/>
          <w:b/>
          <w:szCs w:val="20"/>
        </w:rPr>
      </w:pPr>
    </w:p>
    <w:p w14:paraId="0691D232" w14:textId="616DBAF7" w:rsidR="00AF35D2" w:rsidRPr="00D818A1" w:rsidRDefault="00AF35D2" w:rsidP="00AF35D2">
      <w:pPr>
        <w:widowControl w:val="0"/>
        <w:tabs>
          <w:tab w:val="num" w:pos="426"/>
        </w:tabs>
        <w:spacing w:after="0" w:line="240" w:lineRule="auto"/>
        <w:rPr>
          <w:rFonts w:eastAsia="Times New Roman"/>
          <w:b/>
          <w:szCs w:val="20"/>
        </w:rPr>
      </w:pPr>
      <w:r w:rsidRPr="00D818A1">
        <w:rPr>
          <w:rFonts w:eastAsia="Times New Roman"/>
          <w:b/>
          <w:szCs w:val="20"/>
        </w:rPr>
        <w:t>Commencement</w:t>
      </w:r>
    </w:p>
    <w:p w14:paraId="23397A12" w14:textId="77777777" w:rsidR="00AF35D2" w:rsidRPr="00D818A1" w:rsidRDefault="00AF35D2" w:rsidP="00AF35D2">
      <w:pPr>
        <w:widowControl w:val="0"/>
        <w:tabs>
          <w:tab w:val="num" w:pos="426"/>
        </w:tabs>
        <w:spacing w:after="0" w:line="240" w:lineRule="auto"/>
        <w:rPr>
          <w:rFonts w:eastAsia="Times New Roman"/>
          <w:szCs w:val="20"/>
        </w:rPr>
      </w:pPr>
    </w:p>
    <w:p w14:paraId="6F0CB6F7" w14:textId="23BE6094" w:rsidR="00AF35D2" w:rsidRPr="00D818A1" w:rsidRDefault="006842B2" w:rsidP="00AF35D2">
      <w:pPr>
        <w:widowControl w:val="0"/>
        <w:tabs>
          <w:tab w:val="num" w:pos="426"/>
        </w:tabs>
        <w:spacing w:after="0" w:line="240" w:lineRule="auto"/>
        <w:rPr>
          <w:rFonts w:eastAsia="Times New Roman"/>
          <w:szCs w:val="20"/>
        </w:rPr>
      </w:pPr>
      <w:r w:rsidRPr="00D818A1">
        <w:rPr>
          <w:rFonts w:eastAsia="Times New Roman"/>
          <w:szCs w:val="20"/>
        </w:rPr>
        <w:t>T</w:t>
      </w:r>
      <w:r w:rsidR="00392778" w:rsidRPr="00D818A1">
        <w:rPr>
          <w:rFonts w:eastAsia="Times New Roman"/>
          <w:szCs w:val="20"/>
        </w:rPr>
        <w:t xml:space="preserve">he </w:t>
      </w:r>
      <w:r w:rsidR="00286D3E" w:rsidRPr="00D818A1">
        <w:rPr>
          <w:rFonts w:ascii="Tms Rmn" w:eastAsia="Times New Roman" w:hAnsi="Tms Rmn"/>
          <w:szCs w:val="20"/>
          <w:lang w:eastAsia="en-AU"/>
        </w:rPr>
        <w:t>Rule</w:t>
      </w:r>
      <w:r w:rsidR="00084882" w:rsidRPr="00D818A1">
        <w:rPr>
          <w:rFonts w:ascii="Tms Rmn" w:eastAsia="Times New Roman" w:hAnsi="Tms Rmn"/>
          <w:szCs w:val="20"/>
          <w:lang w:eastAsia="en-AU"/>
        </w:rPr>
        <w:t xml:space="preserve"> </w:t>
      </w:r>
      <w:r w:rsidR="00AF35D2" w:rsidRPr="00D818A1">
        <w:rPr>
          <w:rFonts w:eastAsia="Times New Roman"/>
          <w:szCs w:val="20"/>
        </w:rPr>
        <w:t>commence</w:t>
      </w:r>
      <w:r w:rsidR="00B71803" w:rsidRPr="00D818A1">
        <w:rPr>
          <w:rFonts w:eastAsia="Times New Roman"/>
          <w:szCs w:val="20"/>
        </w:rPr>
        <w:t>s</w:t>
      </w:r>
      <w:r w:rsidR="00AF35D2" w:rsidRPr="00D818A1">
        <w:rPr>
          <w:rFonts w:eastAsia="Times New Roman"/>
          <w:szCs w:val="20"/>
        </w:rPr>
        <w:t xml:space="preserve"> on </w:t>
      </w:r>
      <w:r w:rsidR="00063D11" w:rsidRPr="00D818A1">
        <w:rPr>
          <w:rFonts w:eastAsia="Times New Roman"/>
          <w:szCs w:val="20"/>
        </w:rPr>
        <w:t xml:space="preserve">the </w:t>
      </w:r>
      <w:r w:rsidR="00286D3E" w:rsidRPr="00D818A1">
        <w:rPr>
          <w:rFonts w:eastAsia="Times New Roman"/>
          <w:szCs w:val="20"/>
        </w:rPr>
        <w:t>day</w:t>
      </w:r>
      <w:r w:rsidR="00063D11" w:rsidRPr="00D818A1">
        <w:rPr>
          <w:rFonts w:eastAsia="Times New Roman"/>
          <w:szCs w:val="20"/>
        </w:rPr>
        <w:t xml:space="preserve"> after the instrument is registered</w:t>
      </w:r>
      <w:r w:rsidR="00B71803" w:rsidRPr="00D818A1">
        <w:rPr>
          <w:rFonts w:eastAsia="Times New Roman"/>
          <w:szCs w:val="20"/>
        </w:rPr>
        <w:t xml:space="preserve"> on the Federal Register of Legislation</w:t>
      </w:r>
      <w:r w:rsidR="00063D11" w:rsidRPr="00D818A1">
        <w:rPr>
          <w:rFonts w:eastAsia="Times New Roman"/>
          <w:szCs w:val="20"/>
        </w:rPr>
        <w:t xml:space="preserve">. </w:t>
      </w:r>
    </w:p>
    <w:p w14:paraId="6601D349" w14:textId="77777777" w:rsidR="00B976D1" w:rsidRPr="00D818A1" w:rsidRDefault="00B976D1" w:rsidP="00AF35D2">
      <w:pPr>
        <w:spacing w:after="0" w:line="240" w:lineRule="auto"/>
        <w:rPr>
          <w:b/>
        </w:rPr>
      </w:pPr>
    </w:p>
    <w:p w14:paraId="209D4DC6" w14:textId="77777777" w:rsidR="00AF35D2" w:rsidRPr="00121818" w:rsidRDefault="00AF35D2" w:rsidP="00AF35D2">
      <w:pPr>
        <w:spacing w:after="0" w:line="240" w:lineRule="auto"/>
        <w:rPr>
          <w:rFonts w:eastAsia="Times New Roman"/>
          <w:b/>
          <w:szCs w:val="20"/>
        </w:rPr>
      </w:pPr>
      <w:r w:rsidRPr="00121818">
        <w:rPr>
          <w:rFonts w:eastAsia="Times New Roman"/>
          <w:b/>
          <w:szCs w:val="20"/>
        </w:rPr>
        <w:t>Consultation</w:t>
      </w:r>
    </w:p>
    <w:p w14:paraId="4DBD600C" w14:textId="77777777" w:rsidR="00AF35D2" w:rsidRPr="00121818" w:rsidRDefault="00AF35D2" w:rsidP="00AF35D2">
      <w:pPr>
        <w:spacing w:after="0" w:line="240" w:lineRule="auto"/>
        <w:rPr>
          <w:rFonts w:eastAsia="Times New Roman"/>
          <w:szCs w:val="20"/>
        </w:rPr>
      </w:pPr>
    </w:p>
    <w:p w14:paraId="48063BDE" w14:textId="3B106925" w:rsidR="00750565" w:rsidRPr="00121818" w:rsidRDefault="00B7308C" w:rsidP="00AF35D2">
      <w:pPr>
        <w:spacing w:after="0" w:line="240" w:lineRule="auto"/>
        <w:rPr>
          <w:rFonts w:eastAsia="Times New Roman"/>
          <w:szCs w:val="20"/>
        </w:rPr>
      </w:pPr>
      <w:r w:rsidRPr="00121818">
        <w:rPr>
          <w:rFonts w:eastAsia="Times New Roman"/>
          <w:szCs w:val="20"/>
        </w:rPr>
        <w:t xml:space="preserve">Implementation of the administrative arrangements </w:t>
      </w:r>
      <w:r w:rsidR="00540A6C" w:rsidRPr="00121818">
        <w:rPr>
          <w:rFonts w:eastAsia="Times New Roman"/>
          <w:szCs w:val="20"/>
        </w:rPr>
        <w:t xml:space="preserve">for the </w:t>
      </w:r>
      <w:r w:rsidR="00AC004F" w:rsidRPr="00121818">
        <w:rPr>
          <w:rFonts w:eastAsia="Times New Roman"/>
          <w:szCs w:val="20"/>
        </w:rPr>
        <w:t>Program w</w:t>
      </w:r>
      <w:r w:rsidR="00BF6553" w:rsidRPr="00121818">
        <w:rPr>
          <w:rFonts w:eastAsia="Times New Roman"/>
          <w:szCs w:val="20"/>
        </w:rPr>
        <w:t xml:space="preserve">as </w:t>
      </w:r>
      <w:r w:rsidRPr="00121818">
        <w:rPr>
          <w:rFonts w:eastAsia="Times New Roman"/>
          <w:szCs w:val="20"/>
        </w:rPr>
        <w:t xml:space="preserve">informed by </w:t>
      </w:r>
      <w:r w:rsidR="00BF6553" w:rsidRPr="00121818">
        <w:rPr>
          <w:rFonts w:eastAsia="Times New Roman"/>
          <w:szCs w:val="20"/>
        </w:rPr>
        <w:t xml:space="preserve">consultation with </w:t>
      </w:r>
      <w:r w:rsidRPr="00121818">
        <w:rPr>
          <w:rFonts w:eastAsia="Times New Roman"/>
          <w:szCs w:val="20"/>
        </w:rPr>
        <w:t xml:space="preserve">the </w:t>
      </w:r>
      <w:r w:rsidR="00AC004F" w:rsidRPr="00121818">
        <w:rPr>
          <w:rFonts w:eastAsia="Times New Roman"/>
          <w:i/>
          <w:iCs/>
          <w:szCs w:val="20"/>
        </w:rPr>
        <w:t xml:space="preserve">Bonded Medical Program - </w:t>
      </w:r>
      <w:r w:rsidRPr="00121818">
        <w:rPr>
          <w:rFonts w:eastAsia="Times New Roman"/>
          <w:i/>
          <w:iCs/>
          <w:szCs w:val="20"/>
        </w:rPr>
        <w:t>Implementation Working Group</w:t>
      </w:r>
      <w:r w:rsidR="00D623DF" w:rsidRPr="00121818">
        <w:rPr>
          <w:rFonts w:eastAsia="Times New Roman"/>
          <w:szCs w:val="20"/>
        </w:rPr>
        <w:t xml:space="preserve"> (IWG)</w:t>
      </w:r>
      <w:r w:rsidR="00540A6C" w:rsidRPr="00121818">
        <w:rPr>
          <w:rFonts w:eastAsia="Times New Roman"/>
          <w:szCs w:val="20"/>
        </w:rPr>
        <w:t>,</w:t>
      </w:r>
      <w:r w:rsidRPr="00121818">
        <w:rPr>
          <w:rFonts w:eastAsia="Times New Roman"/>
          <w:szCs w:val="20"/>
        </w:rPr>
        <w:t xml:space="preserve"> which </w:t>
      </w:r>
      <w:r w:rsidR="00D623DF" w:rsidRPr="00121818">
        <w:rPr>
          <w:rFonts w:eastAsia="Times New Roman"/>
          <w:szCs w:val="20"/>
        </w:rPr>
        <w:t>comprise</w:t>
      </w:r>
      <w:r w:rsidR="00644330" w:rsidRPr="00121818">
        <w:rPr>
          <w:rFonts w:eastAsia="Times New Roman"/>
          <w:szCs w:val="20"/>
        </w:rPr>
        <w:t>d</w:t>
      </w:r>
      <w:r w:rsidR="00D623DF" w:rsidRPr="00121818">
        <w:rPr>
          <w:rFonts w:eastAsia="Times New Roman"/>
          <w:szCs w:val="20"/>
        </w:rPr>
        <w:t xml:space="preserve"> representatives of the Australian Medical Association, </w:t>
      </w:r>
      <w:r w:rsidR="00750565" w:rsidRPr="00121818">
        <w:rPr>
          <w:rFonts w:eastAsia="Times New Roman"/>
          <w:szCs w:val="20"/>
        </w:rPr>
        <w:t xml:space="preserve">the Australian Medical Students’ Association and </w:t>
      </w:r>
      <w:r w:rsidR="00D623DF" w:rsidRPr="00121818">
        <w:rPr>
          <w:rFonts w:eastAsia="Times New Roman"/>
          <w:szCs w:val="20"/>
        </w:rPr>
        <w:t>th</w:t>
      </w:r>
      <w:r w:rsidR="00750565" w:rsidRPr="00121818">
        <w:rPr>
          <w:rFonts w:eastAsia="Times New Roman"/>
          <w:szCs w:val="20"/>
        </w:rPr>
        <w:t>e National Rural Health Student</w:t>
      </w:r>
      <w:r w:rsidR="00D623DF" w:rsidRPr="00121818">
        <w:rPr>
          <w:rFonts w:eastAsia="Times New Roman"/>
          <w:szCs w:val="20"/>
        </w:rPr>
        <w:t xml:space="preserve"> Network. </w:t>
      </w:r>
    </w:p>
    <w:p w14:paraId="2F784DFD" w14:textId="77777777" w:rsidR="00750565" w:rsidRPr="00121818" w:rsidRDefault="00750565" w:rsidP="00AF35D2">
      <w:pPr>
        <w:spacing w:after="0" w:line="240" w:lineRule="auto"/>
        <w:rPr>
          <w:rFonts w:eastAsia="Times New Roman"/>
          <w:szCs w:val="20"/>
        </w:rPr>
      </w:pPr>
    </w:p>
    <w:p w14:paraId="1111643F" w14:textId="23233018" w:rsidR="00BF7724" w:rsidRDefault="00D623DF" w:rsidP="000D441E">
      <w:pPr>
        <w:spacing w:after="0" w:line="240" w:lineRule="auto"/>
        <w:rPr>
          <w:rFonts w:eastAsia="Times New Roman"/>
          <w:szCs w:val="20"/>
        </w:rPr>
      </w:pPr>
      <w:r w:rsidRPr="00121818">
        <w:rPr>
          <w:rFonts w:eastAsia="Times New Roman"/>
          <w:szCs w:val="20"/>
        </w:rPr>
        <w:t xml:space="preserve">The </w:t>
      </w:r>
      <w:r w:rsidR="00AC004F" w:rsidRPr="00121818">
        <w:rPr>
          <w:rFonts w:eastAsia="Times New Roman"/>
          <w:szCs w:val="20"/>
        </w:rPr>
        <w:t>Department</w:t>
      </w:r>
      <w:r w:rsidRPr="00121818">
        <w:rPr>
          <w:rFonts w:eastAsia="Times New Roman"/>
          <w:szCs w:val="20"/>
        </w:rPr>
        <w:t xml:space="preserve"> </w:t>
      </w:r>
      <w:r w:rsidR="00B7308C" w:rsidRPr="00121818">
        <w:rPr>
          <w:rFonts w:eastAsia="Times New Roman"/>
          <w:szCs w:val="20"/>
        </w:rPr>
        <w:t xml:space="preserve">meets regularly </w:t>
      </w:r>
      <w:r w:rsidR="00AC004F" w:rsidRPr="00121818">
        <w:rPr>
          <w:rFonts w:eastAsia="Times New Roman"/>
          <w:szCs w:val="20"/>
        </w:rPr>
        <w:t xml:space="preserve">with </w:t>
      </w:r>
      <w:r w:rsidR="00B7308C" w:rsidRPr="00121818">
        <w:rPr>
          <w:rFonts w:eastAsia="Times New Roman"/>
          <w:szCs w:val="20"/>
        </w:rPr>
        <w:t xml:space="preserve">key stakeholders </w:t>
      </w:r>
      <w:r w:rsidR="00AC004F" w:rsidRPr="00121818">
        <w:rPr>
          <w:rFonts w:eastAsia="Times New Roman"/>
          <w:szCs w:val="20"/>
        </w:rPr>
        <w:t xml:space="preserve">to ensure that they </w:t>
      </w:r>
      <w:r w:rsidR="00B7308C" w:rsidRPr="00121818">
        <w:rPr>
          <w:rFonts w:eastAsia="Times New Roman"/>
          <w:szCs w:val="20"/>
        </w:rPr>
        <w:t xml:space="preserve">are </w:t>
      </w:r>
      <w:r w:rsidR="00BF6553" w:rsidRPr="00121818">
        <w:rPr>
          <w:rFonts w:eastAsia="Times New Roman"/>
          <w:szCs w:val="20"/>
        </w:rPr>
        <w:t xml:space="preserve">informed and </w:t>
      </w:r>
      <w:r w:rsidR="00E40AF8" w:rsidRPr="00121818">
        <w:rPr>
          <w:rFonts w:eastAsia="Times New Roman"/>
          <w:szCs w:val="20"/>
        </w:rPr>
        <w:t xml:space="preserve">consulted </w:t>
      </w:r>
      <w:r w:rsidRPr="00121818">
        <w:rPr>
          <w:rFonts w:eastAsia="Times New Roman"/>
          <w:szCs w:val="20"/>
        </w:rPr>
        <w:t>about</w:t>
      </w:r>
      <w:r w:rsidR="00B7308C" w:rsidRPr="00121818">
        <w:rPr>
          <w:rFonts w:eastAsia="Times New Roman"/>
          <w:szCs w:val="20"/>
        </w:rPr>
        <w:t xml:space="preserve"> </w:t>
      </w:r>
      <w:r w:rsidR="00AC004F" w:rsidRPr="00121818">
        <w:rPr>
          <w:rFonts w:eastAsia="Times New Roman"/>
          <w:szCs w:val="20"/>
        </w:rPr>
        <w:t>issues relevant to the administration of the Program and related matters.</w:t>
      </w:r>
      <w:r w:rsidR="000A5CD3">
        <w:rPr>
          <w:rFonts w:eastAsia="Times New Roman"/>
          <w:szCs w:val="20"/>
        </w:rPr>
        <w:t xml:space="preserve"> </w:t>
      </w:r>
    </w:p>
    <w:p w14:paraId="17F8BED2" w14:textId="3CBD374F" w:rsidR="00044729" w:rsidRDefault="00044729" w:rsidP="000D441E">
      <w:pPr>
        <w:spacing w:after="0" w:line="240" w:lineRule="auto"/>
        <w:rPr>
          <w:rFonts w:eastAsia="Times New Roman"/>
          <w:szCs w:val="20"/>
        </w:rPr>
      </w:pPr>
    </w:p>
    <w:p w14:paraId="41FFB44E" w14:textId="6FD88F6A" w:rsidR="00044729" w:rsidRPr="000D441E" w:rsidRDefault="00044729" w:rsidP="000D441E">
      <w:pPr>
        <w:spacing w:after="0" w:line="240" w:lineRule="auto"/>
        <w:rPr>
          <w:rFonts w:eastAsia="Times New Roman"/>
          <w:i/>
          <w:szCs w:val="20"/>
        </w:rPr>
      </w:pPr>
      <w:r>
        <w:rPr>
          <w:rFonts w:eastAsia="Times New Roman"/>
          <w:szCs w:val="20"/>
        </w:rPr>
        <w:t xml:space="preserve">The Department did not undertake </w:t>
      </w:r>
      <w:r w:rsidR="00F66DAD">
        <w:rPr>
          <w:rFonts w:eastAsia="Times New Roman"/>
          <w:szCs w:val="20"/>
        </w:rPr>
        <w:t xml:space="preserve">consultation on this specific amendment because it responds to a known issue that has been reported to the Department by bonded participants. The amendment is beneficial to </w:t>
      </w:r>
      <w:r w:rsidR="001506F2">
        <w:rPr>
          <w:rFonts w:eastAsia="Times New Roman"/>
          <w:szCs w:val="20"/>
        </w:rPr>
        <w:t xml:space="preserve">bonded </w:t>
      </w:r>
      <w:r w:rsidR="00F66DAD">
        <w:rPr>
          <w:rFonts w:eastAsia="Times New Roman"/>
          <w:szCs w:val="20"/>
        </w:rPr>
        <w:t>participants as it widens the circumstances in which work in eligible locations can count towards a bonded participant’s RoSO.</w:t>
      </w:r>
    </w:p>
    <w:p w14:paraId="3737092F" w14:textId="77777777" w:rsidR="00683B10" w:rsidRDefault="00683B10" w:rsidP="00683B10">
      <w:pPr>
        <w:spacing w:after="0" w:line="240" w:lineRule="auto"/>
        <w:rPr>
          <w:rFonts w:eastAsia="Times New Roman"/>
          <w:szCs w:val="20"/>
        </w:rPr>
      </w:pPr>
    </w:p>
    <w:p w14:paraId="013B7FCA" w14:textId="2C248BBC" w:rsidR="00683B10" w:rsidRPr="00683B10" w:rsidRDefault="00683B10" w:rsidP="00683B10">
      <w:pPr>
        <w:spacing w:after="0" w:line="240" w:lineRule="auto"/>
        <w:rPr>
          <w:rFonts w:eastAsia="Times New Roman"/>
          <w:color w:val="000000"/>
          <w:lang w:eastAsia="en-AU"/>
        </w:rPr>
      </w:pPr>
      <w:r w:rsidRPr="00683B10">
        <w:rPr>
          <w:rFonts w:eastAsia="Times New Roman"/>
          <w:b/>
          <w:bCs/>
          <w:color w:val="000000"/>
          <w:lang w:eastAsia="en-AU"/>
        </w:rPr>
        <w:t>Attachment</w:t>
      </w:r>
    </w:p>
    <w:p w14:paraId="62A212A4" w14:textId="77777777" w:rsidR="00683B10" w:rsidRPr="00683B10" w:rsidRDefault="00683B10" w:rsidP="00683B10">
      <w:pPr>
        <w:shd w:val="clear" w:color="auto" w:fill="FFFFFF"/>
        <w:spacing w:after="0" w:line="240" w:lineRule="auto"/>
        <w:rPr>
          <w:rFonts w:eastAsia="Times New Roman"/>
          <w:color w:val="000000"/>
          <w:lang w:eastAsia="en-AU"/>
        </w:rPr>
      </w:pPr>
      <w:r w:rsidRPr="00683B10">
        <w:rPr>
          <w:rFonts w:eastAsia="Times New Roman"/>
          <w:b/>
          <w:bCs/>
          <w:color w:val="000000"/>
          <w:lang w:eastAsia="en-AU"/>
        </w:rPr>
        <w:t> </w:t>
      </w:r>
    </w:p>
    <w:p w14:paraId="7EB20880" w14:textId="016CF98E" w:rsidR="00683B10" w:rsidRPr="00683B10" w:rsidRDefault="00683B10" w:rsidP="00683B10">
      <w:pPr>
        <w:shd w:val="clear" w:color="auto" w:fill="FFFFFF"/>
        <w:spacing w:after="0" w:line="240" w:lineRule="auto"/>
        <w:rPr>
          <w:rFonts w:eastAsia="Times New Roman"/>
          <w:color w:val="000000"/>
          <w:lang w:eastAsia="en-AU"/>
        </w:rPr>
      </w:pPr>
      <w:r w:rsidRPr="00683B10">
        <w:rPr>
          <w:rFonts w:eastAsia="Times New Roman"/>
          <w:color w:val="000000"/>
          <w:lang w:eastAsia="en-AU"/>
        </w:rPr>
        <w:t xml:space="preserve">A </w:t>
      </w:r>
      <w:proofErr w:type="gramStart"/>
      <w:r w:rsidRPr="00683B10">
        <w:rPr>
          <w:rFonts w:eastAsia="Times New Roman"/>
          <w:color w:val="000000"/>
          <w:lang w:eastAsia="en-AU"/>
        </w:rPr>
        <w:t>provision by provision</w:t>
      </w:r>
      <w:proofErr w:type="gramEnd"/>
      <w:r w:rsidRPr="00683B10">
        <w:rPr>
          <w:rFonts w:eastAsia="Times New Roman"/>
          <w:color w:val="000000"/>
          <w:lang w:eastAsia="en-AU"/>
        </w:rPr>
        <w:t xml:space="preserve"> description of the </w:t>
      </w:r>
      <w:r w:rsidR="00CE7971">
        <w:rPr>
          <w:rFonts w:eastAsia="Times New Roman"/>
          <w:color w:val="000000"/>
          <w:lang w:eastAsia="en-AU"/>
        </w:rPr>
        <w:t>Rule</w:t>
      </w:r>
      <w:r w:rsidRPr="00683B10">
        <w:rPr>
          <w:rFonts w:eastAsia="Times New Roman"/>
          <w:color w:val="000000"/>
          <w:lang w:eastAsia="en-AU"/>
        </w:rPr>
        <w:t xml:space="preserve"> is set out in the Attachment.</w:t>
      </w:r>
    </w:p>
    <w:p w14:paraId="48F20973" w14:textId="0983416A" w:rsidR="00B973C6" w:rsidRDefault="00B973C6" w:rsidP="00683B10">
      <w:pPr>
        <w:jc w:val="right"/>
        <w:rPr>
          <w:b/>
        </w:rPr>
      </w:pPr>
    </w:p>
    <w:p w14:paraId="44D6427F" w14:textId="590BC5F8" w:rsidR="00A20A0C" w:rsidRDefault="00A20A0C">
      <w:pPr>
        <w:rPr>
          <w:b/>
        </w:rPr>
      </w:pPr>
      <w:r>
        <w:rPr>
          <w:b/>
        </w:rPr>
        <w:br w:type="page"/>
      </w:r>
    </w:p>
    <w:p w14:paraId="648C61C0" w14:textId="4634488A" w:rsidR="00683B10" w:rsidRDefault="00683B10" w:rsidP="00683B10">
      <w:pPr>
        <w:jc w:val="right"/>
        <w:rPr>
          <w:b/>
        </w:rPr>
      </w:pPr>
      <w:r>
        <w:rPr>
          <w:b/>
        </w:rPr>
        <w:lastRenderedPageBreak/>
        <w:t>ATTACHMENT A</w:t>
      </w:r>
    </w:p>
    <w:p w14:paraId="788EE1FB" w14:textId="52344C07" w:rsidR="00683B10" w:rsidRDefault="00683B10" w:rsidP="00683B10">
      <w:pPr>
        <w:rPr>
          <w:b/>
          <w:i/>
        </w:rPr>
      </w:pPr>
      <w:r>
        <w:rPr>
          <w:b/>
        </w:rPr>
        <w:t xml:space="preserve">Details of the </w:t>
      </w:r>
      <w:r>
        <w:rPr>
          <w:b/>
          <w:i/>
        </w:rPr>
        <w:t xml:space="preserve">Health Insurance (Bonded Medical Program) Amendment </w:t>
      </w:r>
      <w:r w:rsidR="00F66DAD">
        <w:rPr>
          <w:b/>
          <w:i/>
        </w:rPr>
        <w:t xml:space="preserve">(2025 Measures No. 1) </w:t>
      </w:r>
      <w:r>
        <w:rPr>
          <w:b/>
          <w:i/>
        </w:rPr>
        <w:t xml:space="preserve">Rule </w:t>
      </w:r>
      <w:r w:rsidR="00DB6427">
        <w:rPr>
          <w:b/>
          <w:i/>
        </w:rPr>
        <w:t>2025</w:t>
      </w:r>
    </w:p>
    <w:p w14:paraId="1C805538" w14:textId="77777777" w:rsidR="00683B10" w:rsidRDefault="00683B10" w:rsidP="00683B10">
      <w:pPr>
        <w:shd w:val="clear" w:color="auto" w:fill="FFFFFF"/>
        <w:spacing w:before="100" w:beforeAutospacing="1" w:after="0" w:line="240" w:lineRule="auto"/>
        <w:rPr>
          <w:rFonts w:eastAsia="Times New Roman"/>
          <w:lang w:val="en-US" w:eastAsia="en-GB"/>
        </w:rPr>
      </w:pPr>
      <w:r>
        <w:rPr>
          <w:rFonts w:eastAsia="Times New Roman"/>
          <w:b/>
          <w:bCs/>
          <w:lang w:eastAsia="en-GB"/>
        </w:rPr>
        <w:t xml:space="preserve">Section 1         Name </w:t>
      </w:r>
    </w:p>
    <w:p w14:paraId="025202B7" w14:textId="3B559424" w:rsidR="00683B10" w:rsidRDefault="00683B10" w:rsidP="00683B10">
      <w:pPr>
        <w:shd w:val="clear" w:color="auto" w:fill="FFFFFF"/>
        <w:spacing w:before="100" w:beforeAutospacing="1" w:after="100" w:afterAutospacing="1" w:line="240" w:lineRule="auto"/>
        <w:rPr>
          <w:rFonts w:eastAsia="Times New Roman"/>
          <w:lang w:val="en-US" w:eastAsia="en-GB"/>
        </w:rPr>
      </w:pPr>
      <w:r>
        <w:rPr>
          <w:rFonts w:eastAsia="Times New Roman"/>
          <w:lang w:eastAsia="en-GB"/>
        </w:rPr>
        <w:t xml:space="preserve">Section 1 provides that the name of the instrument is the </w:t>
      </w:r>
      <w:r>
        <w:rPr>
          <w:rFonts w:eastAsia="Times New Roman"/>
          <w:i/>
          <w:iCs/>
          <w:lang w:eastAsia="en-GB"/>
        </w:rPr>
        <w:t>Health Insurance (Bonded Medical Program) Amendment</w:t>
      </w:r>
      <w:r w:rsidR="00F66DAD">
        <w:rPr>
          <w:rFonts w:eastAsia="Times New Roman"/>
          <w:i/>
          <w:iCs/>
          <w:lang w:eastAsia="en-GB"/>
        </w:rPr>
        <w:t xml:space="preserve"> (2025 Measures No. 1)</w:t>
      </w:r>
      <w:r>
        <w:rPr>
          <w:rFonts w:eastAsia="Times New Roman"/>
          <w:i/>
          <w:iCs/>
          <w:lang w:eastAsia="en-GB"/>
        </w:rPr>
        <w:t xml:space="preserve"> Rule 202</w:t>
      </w:r>
      <w:r w:rsidR="00DB6427">
        <w:rPr>
          <w:rFonts w:eastAsia="Times New Roman"/>
          <w:i/>
          <w:iCs/>
          <w:lang w:eastAsia="en-GB"/>
        </w:rPr>
        <w:t>5</w:t>
      </w:r>
      <w:r>
        <w:rPr>
          <w:rFonts w:eastAsia="Times New Roman"/>
          <w:lang w:eastAsia="en-GB"/>
        </w:rPr>
        <w:t>.</w:t>
      </w:r>
    </w:p>
    <w:p w14:paraId="1F3ED0E4" w14:textId="77777777" w:rsidR="00683B10" w:rsidRDefault="00683B10" w:rsidP="00683B10">
      <w:pPr>
        <w:shd w:val="clear" w:color="auto" w:fill="FFFFFF"/>
        <w:spacing w:before="100" w:beforeAutospacing="1" w:after="0" w:line="240" w:lineRule="auto"/>
        <w:rPr>
          <w:rFonts w:eastAsia="Times New Roman"/>
          <w:lang w:val="en-US" w:eastAsia="en-GB"/>
        </w:rPr>
      </w:pPr>
      <w:r>
        <w:rPr>
          <w:rFonts w:eastAsia="Times New Roman"/>
          <w:b/>
          <w:bCs/>
          <w:lang w:eastAsia="en-GB"/>
        </w:rPr>
        <w:t>Section 2         Commencement</w:t>
      </w:r>
    </w:p>
    <w:p w14:paraId="47E08D54" w14:textId="05474E26" w:rsidR="00683B10" w:rsidRDefault="00683B10" w:rsidP="00683B10">
      <w:pPr>
        <w:shd w:val="clear" w:color="auto" w:fill="FFFFFF"/>
        <w:spacing w:before="100" w:beforeAutospacing="1" w:after="0" w:line="240" w:lineRule="auto"/>
        <w:rPr>
          <w:rFonts w:eastAsia="Times New Roman"/>
          <w:lang w:eastAsia="en-GB"/>
        </w:rPr>
      </w:pPr>
      <w:r>
        <w:rPr>
          <w:rFonts w:eastAsia="Times New Roman"/>
          <w:lang w:eastAsia="en-GB"/>
        </w:rPr>
        <w:t>Section 2 provides that the whole</w:t>
      </w:r>
      <w:r w:rsidR="001506F2">
        <w:rPr>
          <w:rFonts w:eastAsia="Times New Roman"/>
          <w:lang w:eastAsia="en-GB"/>
        </w:rPr>
        <w:t xml:space="preserve"> of the</w:t>
      </w:r>
      <w:r>
        <w:rPr>
          <w:rFonts w:eastAsia="Times New Roman"/>
          <w:lang w:eastAsia="en-GB"/>
        </w:rPr>
        <w:t xml:space="preserve"> instrument commences on the day after it is registered. </w:t>
      </w:r>
    </w:p>
    <w:p w14:paraId="0C9A9979" w14:textId="77777777" w:rsidR="00683B10" w:rsidRDefault="00683B10" w:rsidP="00683B10">
      <w:pPr>
        <w:shd w:val="clear" w:color="auto" w:fill="FFFFFF"/>
        <w:spacing w:before="100" w:beforeAutospacing="1" w:after="0" w:line="240" w:lineRule="auto"/>
        <w:rPr>
          <w:rFonts w:eastAsia="Times New Roman"/>
          <w:lang w:val="en-US" w:eastAsia="en-GB"/>
        </w:rPr>
      </w:pPr>
      <w:r>
        <w:rPr>
          <w:rFonts w:eastAsia="Times New Roman"/>
          <w:b/>
          <w:bCs/>
          <w:lang w:eastAsia="en-GB"/>
        </w:rPr>
        <w:t>Section 3         Authority</w:t>
      </w:r>
    </w:p>
    <w:p w14:paraId="21FE7526" w14:textId="77777777" w:rsidR="00683B10" w:rsidRDefault="00683B10" w:rsidP="00683B10">
      <w:pPr>
        <w:shd w:val="clear" w:color="auto" w:fill="FFFFFF"/>
        <w:spacing w:before="100" w:beforeAutospacing="1" w:after="0" w:line="240" w:lineRule="auto"/>
        <w:rPr>
          <w:rFonts w:eastAsia="Times New Roman"/>
          <w:lang w:eastAsia="en-GB"/>
        </w:rPr>
      </w:pPr>
      <w:r>
        <w:rPr>
          <w:rFonts w:eastAsia="Times New Roman"/>
          <w:lang w:eastAsia="en-GB"/>
        </w:rPr>
        <w:t>Section 3 provides that the instrument is made under subsection 124</w:t>
      </w:r>
      <w:proofErr w:type="gramStart"/>
      <w:r>
        <w:rPr>
          <w:rFonts w:eastAsia="Times New Roman"/>
          <w:lang w:eastAsia="en-GB"/>
        </w:rPr>
        <w:t>ZT(</w:t>
      </w:r>
      <w:proofErr w:type="gramEnd"/>
      <w:r>
        <w:rPr>
          <w:rFonts w:eastAsia="Times New Roman"/>
          <w:lang w:eastAsia="en-GB"/>
        </w:rPr>
        <w:t xml:space="preserve">1) of the </w:t>
      </w:r>
      <w:r>
        <w:rPr>
          <w:rFonts w:eastAsia="Times New Roman"/>
          <w:i/>
          <w:lang w:eastAsia="en-AU"/>
        </w:rPr>
        <w:t>Health Insurance Act 1973</w:t>
      </w:r>
      <w:r>
        <w:rPr>
          <w:rFonts w:eastAsia="Times New Roman"/>
          <w:lang w:eastAsia="en-GB"/>
        </w:rPr>
        <w:t xml:space="preserve">.  </w:t>
      </w:r>
    </w:p>
    <w:p w14:paraId="39E10381" w14:textId="77777777" w:rsidR="00683B10" w:rsidRDefault="00683B10" w:rsidP="00683B10">
      <w:pPr>
        <w:shd w:val="clear" w:color="auto" w:fill="FFFFFF"/>
        <w:spacing w:before="100" w:beforeAutospacing="1" w:after="0" w:line="240" w:lineRule="auto"/>
        <w:rPr>
          <w:rFonts w:eastAsia="Times New Roman"/>
          <w:lang w:eastAsia="en-GB"/>
        </w:rPr>
      </w:pPr>
      <w:r>
        <w:rPr>
          <w:rFonts w:eastAsia="Times New Roman"/>
          <w:b/>
          <w:lang w:eastAsia="en-GB"/>
        </w:rPr>
        <w:t xml:space="preserve">Section </w:t>
      </w:r>
      <w:proofErr w:type="gramStart"/>
      <w:r>
        <w:rPr>
          <w:rFonts w:eastAsia="Times New Roman"/>
          <w:b/>
          <w:lang w:eastAsia="en-GB"/>
        </w:rPr>
        <w:t>4</w:t>
      </w:r>
      <w:r>
        <w:rPr>
          <w:rFonts w:eastAsia="Times New Roman"/>
          <w:lang w:eastAsia="en-GB"/>
        </w:rPr>
        <w:t xml:space="preserve">  </w:t>
      </w:r>
      <w:r>
        <w:rPr>
          <w:rFonts w:eastAsia="Times New Roman"/>
          <w:lang w:eastAsia="en-GB"/>
        </w:rPr>
        <w:tab/>
      </w:r>
      <w:proofErr w:type="gramEnd"/>
      <w:r>
        <w:rPr>
          <w:rFonts w:eastAsia="Times New Roman"/>
          <w:b/>
          <w:lang w:eastAsia="en-GB"/>
        </w:rPr>
        <w:t>Schedule</w:t>
      </w:r>
    </w:p>
    <w:p w14:paraId="08503765" w14:textId="55884DE8" w:rsidR="00683B10" w:rsidRDefault="00683B10" w:rsidP="00683B10">
      <w:pPr>
        <w:shd w:val="clear" w:color="auto" w:fill="FFFFFF"/>
        <w:spacing w:before="100" w:beforeAutospacing="1" w:after="0" w:line="240" w:lineRule="auto"/>
        <w:rPr>
          <w:rFonts w:eastAsia="Times New Roman"/>
          <w:lang w:eastAsia="en-GB"/>
        </w:rPr>
      </w:pPr>
      <w:r>
        <w:rPr>
          <w:rFonts w:eastAsia="Times New Roman"/>
          <w:lang w:eastAsia="en-GB"/>
        </w:rPr>
        <w:t xml:space="preserve">Section 4 provides that the instrument amends the </w:t>
      </w:r>
      <w:r w:rsidR="00D818A1">
        <w:rPr>
          <w:rFonts w:eastAsia="Times New Roman"/>
          <w:lang w:eastAsia="en-GB"/>
        </w:rPr>
        <w:t xml:space="preserve">Principal Rule </w:t>
      </w:r>
      <w:r>
        <w:rPr>
          <w:rFonts w:eastAsia="Times New Roman"/>
          <w:lang w:eastAsia="en-GB"/>
        </w:rPr>
        <w:t xml:space="preserve">in the manner set out in the Schedule. </w:t>
      </w:r>
    </w:p>
    <w:p w14:paraId="0869D4C4" w14:textId="77777777" w:rsidR="00683B10" w:rsidRDefault="00683B10" w:rsidP="00683B10">
      <w:pPr>
        <w:shd w:val="clear" w:color="auto" w:fill="FFFFFF"/>
        <w:spacing w:before="100" w:beforeAutospacing="1" w:after="0" w:line="240" w:lineRule="auto"/>
        <w:rPr>
          <w:rFonts w:eastAsia="Times New Roman"/>
          <w:b/>
          <w:lang w:val="en-US" w:eastAsia="en-GB"/>
        </w:rPr>
      </w:pPr>
      <w:r>
        <w:rPr>
          <w:rFonts w:eastAsia="Times New Roman"/>
          <w:b/>
          <w:lang w:val="en-US" w:eastAsia="en-GB"/>
        </w:rPr>
        <w:t xml:space="preserve">SCHEDULE 1 - AMENDMENTS </w:t>
      </w:r>
      <w:r>
        <w:rPr>
          <w:rFonts w:eastAsia="Times New Roman"/>
          <w:b/>
          <w:lang w:val="en-US" w:eastAsia="en-GB"/>
        </w:rPr>
        <w:tab/>
      </w:r>
    </w:p>
    <w:p w14:paraId="5F142A15" w14:textId="77777777" w:rsidR="00683B10" w:rsidRDefault="00683B10" w:rsidP="00683B10">
      <w:pPr>
        <w:rPr>
          <w:b/>
        </w:rPr>
      </w:pPr>
    </w:p>
    <w:p w14:paraId="239F6164" w14:textId="674B59C0" w:rsidR="00683B10" w:rsidRPr="00121818" w:rsidRDefault="00683B10" w:rsidP="00683B10">
      <w:r w:rsidRPr="00121818">
        <w:rPr>
          <w:b/>
        </w:rPr>
        <w:t>Item 1– S</w:t>
      </w:r>
      <w:r w:rsidR="00146AA0" w:rsidRPr="00121818">
        <w:rPr>
          <w:b/>
        </w:rPr>
        <w:t>ubs</w:t>
      </w:r>
      <w:r w:rsidRPr="00121818">
        <w:rPr>
          <w:b/>
        </w:rPr>
        <w:t xml:space="preserve">ection </w:t>
      </w:r>
      <w:r w:rsidR="00AC004F" w:rsidRPr="00121818">
        <w:rPr>
          <w:b/>
        </w:rPr>
        <w:t xml:space="preserve">8(1) </w:t>
      </w:r>
    </w:p>
    <w:p w14:paraId="70740E0B" w14:textId="7EE9DF63" w:rsidR="00D6002A" w:rsidRPr="00121818" w:rsidRDefault="00146AA0" w:rsidP="00683B10">
      <w:pPr>
        <w:spacing w:after="0" w:line="240" w:lineRule="auto"/>
        <w:rPr>
          <w:rFonts w:ascii="Tms Rmn" w:eastAsia="Times New Roman" w:hAnsi="Tms Rmn"/>
          <w:szCs w:val="20"/>
          <w:lang w:eastAsia="en-AU"/>
        </w:rPr>
      </w:pPr>
      <w:r w:rsidRPr="00121818">
        <w:rPr>
          <w:rFonts w:ascii="Tms Rmn" w:eastAsia="Times New Roman" w:hAnsi="Tms Rmn"/>
          <w:szCs w:val="20"/>
          <w:lang w:eastAsia="en-AU"/>
        </w:rPr>
        <w:t xml:space="preserve">Subsection 8(1) of the Principal Rule currently provides that work will </w:t>
      </w:r>
      <w:r w:rsidR="00D6002A" w:rsidRPr="00121818">
        <w:rPr>
          <w:rFonts w:ascii="Tms Rmn" w:eastAsia="Times New Roman" w:hAnsi="Tms Rmn"/>
          <w:szCs w:val="20"/>
          <w:lang w:eastAsia="en-AU"/>
        </w:rPr>
        <w:t xml:space="preserve">qualify for completing a RoSO where it is (a) eligible work; and (b) details of the work have been registered in a RoSO plan and confirmed as being completed in accordance with section 16 (which sets out reporting requirements). </w:t>
      </w:r>
    </w:p>
    <w:p w14:paraId="040A6A1C" w14:textId="77777777" w:rsidR="00D6002A" w:rsidRPr="00121818" w:rsidRDefault="00D6002A" w:rsidP="00683B10">
      <w:pPr>
        <w:spacing w:after="0" w:line="240" w:lineRule="auto"/>
        <w:rPr>
          <w:rFonts w:ascii="Tms Rmn" w:eastAsia="Times New Roman" w:hAnsi="Tms Rmn"/>
          <w:szCs w:val="20"/>
          <w:lang w:eastAsia="en-AU"/>
        </w:rPr>
      </w:pPr>
    </w:p>
    <w:p w14:paraId="12E8C185" w14:textId="08FB51AB" w:rsidR="00683B10" w:rsidRPr="00121818" w:rsidRDefault="00D6002A" w:rsidP="00683B10">
      <w:pPr>
        <w:spacing w:after="0" w:line="240" w:lineRule="auto"/>
        <w:rPr>
          <w:rFonts w:ascii="Tms Rmn" w:eastAsia="Times New Roman" w:hAnsi="Tms Rmn"/>
          <w:szCs w:val="20"/>
          <w:lang w:eastAsia="en-AU"/>
        </w:rPr>
      </w:pPr>
      <w:r w:rsidRPr="00121818">
        <w:rPr>
          <w:rFonts w:ascii="Tms Rmn" w:eastAsia="Times New Roman" w:hAnsi="Tms Rmn"/>
          <w:szCs w:val="20"/>
          <w:lang w:eastAsia="en-AU"/>
        </w:rPr>
        <w:t>Item 1 repeals the current text of subsection 8(1) and substitutes it with</w:t>
      </w:r>
      <w:r w:rsidR="00994F76" w:rsidRPr="00121818">
        <w:rPr>
          <w:rFonts w:ascii="Tms Rmn" w:eastAsia="Times New Roman" w:hAnsi="Tms Rmn"/>
          <w:szCs w:val="20"/>
          <w:lang w:eastAsia="en-AU"/>
        </w:rPr>
        <w:t xml:space="preserve"> replacement text. The replacement text removes the criterion that the work must be registered and reported in accordance with section 16. The effect of this amendment is that, for the purposes of</w:t>
      </w:r>
      <w:r w:rsidR="007F4187" w:rsidRPr="00121818">
        <w:rPr>
          <w:rFonts w:ascii="Tms Rmn" w:eastAsia="Times New Roman" w:hAnsi="Tms Rmn"/>
          <w:szCs w:val="20"/>
          <w:lang w:eastAsia="en-AU"/>
        </w:rPr>
        <w:t xml:space="preserve"> counting work towards</w:t>
      </w:r>
      <w:r w:rsidR="00994F76" w:rsidRPr="00121818">
        <w:rPr>
          <w:rFonts w:ascii="Tms Rmn" w:eastAsia="Times New Roman" w:hAnsi="Tms Rmn"/>
          <w:szCs w:val="20"/>
          <w:lang w:eastAsia="en-AU"/>
        </w:rPr>
        <w:t xml:space="preserve"> a RoSO, it will be sufficient that the work is ‘eligible work’ as defined by subsection 8(3) of the Principal Rule.</w:t>
      </w:r>
    </w:p>
    <w:p w14:paraId="05E7B0FA" w14:textId="77777777" w:rsidR="00071AFA" w:rsidRDefault="00071AFA" w:rsidP="00683B10">
      <w:pPr>
        <w:spacing w:after="0" w:line="240" w:lineRule="auto"/>
        <w:rPr>
          <w:rFonts w:ascii="Tms Rmn" w:eastAsia="Times New Roman" w:hAnsi="Tms Rmn"/>
          <w:b/>
          <w:bCs/>
          <w:szCs w:val="20"/>
          <w:lang w:eastAsia="en-AU"/>
        </w:rPr>
      </w:pPr>
    </w:p>
    <w:p w14:paraId="312F3535" w14:textId="37B06A38" w:rsidR="00DB6427" w:rsidRPr="00121818" w:rsidRDefault="00454A02" w:rsidP="00683B10">
      <w:pPr>
        <w:spacing w:after="0" w:line="240" w:lineRule="auto"/>
        <w:rPr>
          <w:rFonts w:ascii="Tms Rmn" w:eastAsia="Times New Roman" w:hAnsi="Tms Rmn"/>
          <w:b/>
          <w:bCs/>
          <w:szCs w:val="20"/>
          <w:lang w:eastAsia="en-AU"/>
        </w:rPr>
      </w:pPr>
      <w:r w:rsidRPr="00121818">
        <w:rPr>
          <w:rFonts w:ascii="Tms Rmn" w:eastAsia="Times New Roman" w:hAnsi="Tms Rmn"/>
          <w:b/>
          <w:bCs/>
          <w:szCs w:val="20"/>
          <w:lang w:eastAsia="en-AU"/>
        </w:rPr>
        <w:t>Item 2 – S</w:t>
      </w:r>
      <w:r w:rsidR="00146AA0" w:rsidRPr="00121818">
        <w:rPr>
          <w:rFonts w:ascii="Tms Rmn" w:eastAsia="Times New Roman" w:hAnsi="Tms Rmn"/>
          <w:b/>
          <w:bCs/>
          <w:szCs w:val="20"/>
          <w:lang w:eastAsia="en-AU"/>
        </w:rPr>
        <w:t>ubs</w:t>
      </w:r>
      <w:r w:rsidRPr="00121818">
        <w:rPr>
          <w:rFonts w:ascii="Tms Rmn" w:eastAsia="Times New Roman" w:hAnsi="Tms Rmn"/>
          <w:b/>
          <w:bCs/>
          <w:szCs w:val="20"/>
          <w:lang w:eastAsia="en-AU"/>
        </w:rPr>
        <w:t>ection 8(2)</w:t>
      </w:r>
    </w:p>
    <w:p w14:paraId="6958485F" w14:textId="7ADD52BA" w:rsidR="00D6002A" w:rsidRPr="00121818" w:rsidRDefault="00D6002A" w:rsidP="00683B10">
      <w:pPr>
        <w:spacing w:after="0" w:line="240" w:lineRule="auto"/>
        <w:rPr>
          <w:rFonts w:ascii="Tms Rmn" w:eastAsia="Times New Roman" w:hAnsi="Tms Rmn"/>
          <w:b/>
          <w:bCs/>
          <w:szCs w:val="20"/>
          <w:lang w:eastAsia="en-AU"/>
        </w:rPr>
      </w:pPr>
    </w:p>
    <w:p w14:paraId="17BBB131" w14:textId="2C78C997" w:rsidR="00D6002A" w:rsidRPr="00121818" w:rsidRDefault="00994F76" w:rsidP="00683B10">
      <w:pPr>
        <w:spacing w:after="0" w:line="240" w:lineRule="auto"/>
        <w:rPr>
          <w:rFonts w:ascii="Tms Rmn" w:eastAsia="Times New Roman" w:hAnsi="Tms Rmn"/>
          <w:szCs w:val="20"/>
          <w:lang w:eastAsia="en-AU"/>
        </w:rPr>
      </w:pPr>
      <w:r w:rsidRPr="00121818">
        <w:rPr>
          <w:rFonts w:ascii="Tms Rmn" w:eastAsia="Times New Roman" w:hAnsi="Tms Rmn"/>
          <w:szCs w:val="20"/>
          <w:lang w:eastAsia="en-AU"/>
        </w:rPr>
        <w:t xml:space="preserve">Item 2 repeals subsection 8(2) of the Principal Rule. </w:t>
      </w:r>
      <w:r w:rsidR="00D6002A" w:rsidRPr="00121818">
        <w:rPr>
          <w:rFonts w:ascii="Tms Rmn" w:eastAsia="Times New Roman" w:hAnsi="Tms Rmn"/>
          <w:szCs w:val="20"/>
          <w:lang w:eastAsia="en-AU"/>
        </w:rPr>
        <w:t xml:space="preserve">The current subsection 8(2) provides that work completed by a bonded participant that does not comply with subsection (1) must not be counted towards the RoSO in relation to a bonded participant. </w:t>
      </w:r>
      <w:r w:rsidRPr="00121818">
        <w:rPr>
          <w:rFonts w:ascii="Tms Rmn" w:eastAsia="Times New Roman" w:hAnsi="Tms Rmn"/>
          <w:szCs w:val="20"/>
          <w:lang w:eastAsia="en-AU"/>
        </w:rPr>
        <w:t>This provision is no longer considered necessary because subsection 8(1) (when read with paragraph 124ZF(2)(b) of the Act) makes it clear that work must be ‘eligible work’ to count towards a bonded participant’s RoSO.</w:t>
      </w:r>
    </w:p>
    <w:p w14:paraId="0D58BC1A" w14:textId="77777777" w:rsidR="00454A02" w:rsidRPr="00121818" w:rsidRDefault="00454A02" w:rsidP="00683B10">
      <w:pPr>
        <w:spacing w:after="0" w:line="240" w:lineRule="auto"/>
        <w:rPr>
          <w:rFonts w:ascii="Tms Rmn" w:eastAsia="Times New Roman" w:hAnsi="Tms Rmn"/>
          <w:szCs w:val="20"/>
          <w:lang w:eastAsia="en-AU"/>
        </w:rPr>
      </w:pPr>
    </w:p>
    <w:p w14:paraId="16FD170F" w14:textId="7ABF9D8A" w:rsidR="00140522" w:rsidRDefault="00140522">
      <w:r>
        <w:br w:type="page"/>
      </w:r>
    </w:p>
    <w:p w14:paraId="4AB5C9A2" w14:textId="77777777" w:rsidR="00AD75AC" w:rsidRPr="00595755" w:rsidRDefault="00AD75AC" w:rsidP="00AD75AC">
      <w:pPr>
        <w:pStyle w:val="Heading2"/>
        <w:jc w:val="center"/>
        <w:rPr>
          <w:rFonts w:ascii="Times New Roman" w:hAnsi="Times New Roman" w:cs="Times New Roman"/>
          <w:b/>
          <w:color w:val="auto"/>
          <w:sz w:val="28"/>
          <w:szCs w:val="24"/>
        </w:rPr>
      </w:pPr>
      <w:r w:rsidRPr="00595755">
        <w:rPr>
          <w:rFonts w:ascii="Times New Roman" w:hAnsi="Times New Roman" w:cs="Times New Roman"/>
          <w:b/>
          <w:color w:val="auto"/>
          <w:sz w:val="28"/>
          <w:szCs w:val="24"/>
        </w:rPr>
        <w:lastRenderedPageBreak/>
        <w:t>Statement of Compatibility with Human Rights</w:t>
      </w:r>
    </w:p>
    <w:p w14:paraId="0A0A86CA" w14:textId="77777777" w:rsidR="007864D2" w:rsidRPr="00595755" w:rsidRDefault="007864D2" w:rsidP="00AD75AC">
      <w:pPr>
        <w:spacing w:before="120" w:after="120" w:line="240" w:lineRule="auto"/>
        <w:jc w:val="center"/>
        <w:rPr>
          <w:i/>
        </w:rPr>
      </w:pPr>
    </w:p>
    <w:p w14:paraId="3B05355A" w14:textId="27E4A7EA" w:rsidR="00AD75AC" w:rsidRPr="00595755" w:rsidRDefault="00AD75AC" w:rsidP="00AD75AC">
      <w:pPr>
        <w:spacing w:before="120" w:after="120" w:line="240" w:lineRule="auto"/>
        <w:jc w:val="center"/>
      </w:pPr>
      <w:r w:rsidRPr="00595755">
        <w:rPr>
          <w:i/>
        </w:rPr>
        <w:t>Prepared in accordance with Part 3 of the Human Rights (Parliamentary Scrutiny) Act 2011</w:t>
      </w:r>
    </w:p>
    <w:p w14:paraId="51DC8DF1" w14:textId="77777777" w:rsidR="00AD75AC" w:rsidRPr="00595755" w:rsidRDefault="00AD75AC" w:rsidP="00AD75AC">
      <w:pPr>
        <w:spacing w:before="120" w:after="120" w:line="240" w:lineRule="auto"/>
        <w:jc w:val="center"/>
      </w:pPr>
    </w:p>
    <w:p w14:paraId="153E44FF" w14:textId="184EFDA9" w:rsidR="00AD75AC" w:rsidRPr="00595755" w:rsidRDefault="00AD75AC" w:rsidP="00AD75AC">
      <w:pPr>
        <w:spacing w:before="120" w:after="120" w:line="240" w:lineRule="auto"/>
        <w:jc w:val="center"/>
        <w:rPr>
          <w:b/>
        </w:rPr>
      </w:pPr>
      <w:r w:rsidRPr="00595755">
        <w:rPr>
          <w:b/>
        </w:rPr>
        <w:t>HEALTH INSURANCE (BONDED MEDI</w:t>
      </w:r>
      <w:r w:rsidR="00540A6C">
        <w:rPr>
          <w:b/>
        </w:rPr>
        <w:t xml:space="preserve">CAL PROGRAM) </w:t>
      </w:r>
      <w:r w:rsidR="00012263">
        <w:rPr>
          <w:b/>
        </w:rPr>
        <w:br/>
      </w:r>
      <w:r w:rsidR="00540A6C">
        <w:rPr>
          <w:b/>
        </w:rPr>
        <w:t>AMENDMENT</w:t>
      </w:r>
      <w:r w:rsidR="00C523D6">
        <w:rPr>
          <w:b/>
        </w:rPr>
        <w:t xml:space="preserve"> (2025 MEASURES NO. 1)</w:t>
      </w:r>
      <w:r w:rsidR="00BC4474">
        <w:rPr>
          <w:b/>
        </w:rPr>
        <w:t xml:space="preserve"> </w:t>
      </w:r>
      <w:r w:rsidR="00540A6C">
        <w:rPr>
          <w:b/>
        </w:rPr>
        <w:t>RULE</w:t>
      </w:r>
      <w:r w:rsidR="00BC4474">
        <w:rPr>
          <w:b/>
        </w:rPr>
        <w:t xml:space="preserve"> </w:t>
      </w:r>
      <w:r w:rsidR="00DB6427">
        <w:rPr>
          <w:b/>
        </w:rPr>
        <w:t>2025</w:t>
      </w:r>
    </w:p>
    <w:p w14:paraId="10E9BA70" w14:textId="77777777" w:rsidR="00AD75AC" w:rsidRPr="00595755" w:rsidRDefault="00AD75AC" w:rsidP="00AD75AC">
      <w:pPr>
        <w:spacing w:before="120" w:after="120" w:line="240" w:lineRule="auto"/>
        <w:jc w:val="center"/>
      </w:pPr>
    </w:p>
    <w:p w14:paraId="73987550" w14:textId="5A8F7FAB" w:rsidR="00AD75AC" w:rsidRPr="00595755" w:rsidRDefault="0040333E" w:rsidP="00AD75AC">
      <w:pPr>
        <w:spacing w:before="120" w:after="120" w:line="240" w:lineRule="auto"/>
      </w:pPr>
      <w:r>
        <w:t xml:space="preserve">This </w:t>
      </w:r>
      <w:r w:rsidR="00BB0571">
        <w:t xml:space="preserve">disallowable </w:t>
      </w:r>
      <w:r>
        <w:t>legislative i</w:t>
      </w:r>
      <w:r w:rsidR="00AD75AC" w:rsidRPr="00595755">
        <w:t xml:space="preserve">nstrument is compatible with the human rights and freedoms recognised or declared in the international instruments listed in section 3 of the </w:t>
      </w:r>
      <w:r w:rsidR="00AD75AC" w:rsidRPr="00595755">
        <w:rPr>
          <w:i/>
        </w:rPr>
        <w:t>Human Rights (Parliamentary Scrutiny) Act 2011</w:t>
      </w:r>
      <w:r w:rsidR="00AD75AC" w:rsidRPr="00595755">
        <w:t>.</w:t>
      </w:r>
    </w:p>
    <w:p w14:paraId="3AD966E3" w14:textId="5136561F" w:rsidR="00AD75AC" w:rsidRPr="00595755" w:rsidRDefault="00AD75AC" w:rsidP="00AD75AC">
      <w:pPr>
        <w:shd w:val="clear" w:color="auto" w:fill="FFFFFF"/>
        <w:spacing w:before="100" w:beforeAutospacing="1" w:after="100" w:afterAutospacing="1" w:line="240" w:lineRule="auto"/>
        <w:rPr>
          <w:b/>
        </w:rPr>
      </w:pPr>
      <w:r w:rsidRPr="00595755">
        <w:rPr>
          <w:b/>
        </w:rPr>
        <w:t xml:space="preserve">Overview of the </w:t>
      </w:r>
      <w:r w:rsidR="00E72E89">
        <w:rPr>
          <w:b/>
        </w:rPr>
        <w:t>d</w:t>
      </w:r>
      <w:r w:rsidR="007F70BE">
        <w:rPr>
          <w:b/>
        </w:rPr>
        <w:t xml:space="preserve">isallowable </w:t>
      </w:r>
      <w:r w:rsidR="00E72E89">
        <w:rPr>
          <w:rFonts w:eastAsia="Times New Roman"/>
          <w:b/>
          <w:iCs/>
          <w:lang w:eastAsia="en-AU"/>
        </w:rPr>
        <w:t>l</w:t>
      </w:r>
      <w:r w:rsidRPr="00595755">
        <w:rPr>
          <w:rFonts w:eastAsia="Times New Roman"/>
          <w:b/>
          <w:iCs/>
          <w:lang w:eastAsia="en-AU"/>
        </w:rPr>
        <w:t xml:space="preserve">egislative </w:t>
      </w:r>
      <w:r w:rsidR="00E72E89">
        <w:rPr>
          <w:rFonts w:eastAsia="Times New Roman"/>
          <w:b/>
          <w:iCs/>
          <w:lang w:eastAsia="en-AU"/>
        </w:rPr>
        <w:t>i</w:t>
      </w:r>
      <w:r w:rsidRPr="00595755">
        <w:rPr>
          <w:rFonts w:eastAsia="Times New Roman"/>
          <w:b/>
          <w:iCs/>
          <w:lang w:eastAsia="en-AU"/>
        </w:rPr>
        <w:t>nstrument</w:t>
      </w:r>
    </w:p>
    <w:p w14:paraId="609D2342" w14:textId="0E9A6433" w:rsidR="00A24E63" w:rsidRDefault="00AD75AC" w:rsidP="00A24E63">
      <w:pPr>
        <w:shd w:val="clear" w:color="auto" w:fill="FFFFFF"/>
        <w:spacing w:before="100" w:beforeAutospacing="1" w:after="100" w:afterAutospacing="1" w:line="240" w:lineRule="auto"/>
        <w:rPr>
          <w:rFonts w:eastAsia="Times New Roman"/>
          <w:lang w:eastAsia="en-AU"/>
        </w:rPr>
      </w:pPr>
      <w:r w:rsidRPr="00595755">
        <w:rPr>
          <w:rFonts w:eastAsia="Times New Roman"/>
          <w:iCs/>
          <w:lang w:eastAsia="en-AU"/>
        </w:rPr>
        <w:t>This legislative instrument</w:t>
      </w:r>
      <w:r w:rsidR="00A24E63" w:rsidRPr="00595755">
        <w:rPr>
          <w:rFonts w:eastAsia="Times New Roman"/>
          <w:iCs/>
          <w:lang w:eastAsia="en-AU"/>
        </w:rPr>
        <w:t xml:space="preserve">, the </w:t>
      </w:r>
      <w:r w:rsidR="00A24E63" w:rsidRPr="00595755">
        <w:rPr>
          <w:rFonts w:eastAsia="Times New Roman"/>
          <w:i/>
          <w:iCs/>
          <w:lang w:eastAsia="en-AU"/>
        </w:rPr>
        <w:t xml:space="preserve">Health Insurance (Bonded </w:t>
      </w:r>
      <w:r w:rsidR="007864D2" w:rsidRPr="00595755">
        <w:rPr>
          <w:rFonts w:eastAsia="Times New Roman"/>
          <w:i/>
          <w:iCs/>
          <w:lang w:eastAsia="en-AU"/>
        </w:rPr>
        <w:t>Medical Program) Amendment</w:t>
      </w:r>
      <w:r w:rsidR="007F70BE">
        <w:rPr>
          <w:rFonts w:eastAsia="Times New Roman"/>
          <w:i/>
          <w:iCs/>
          <w:lang w:eastAsia="en-AU"/>
        </w:rPr>
        <w:t xml:space="preserve"> </w:t>
      </w:r>
      <w:r w:rsidR="007864D2" w:rsidRPr="00595755">
        <w:rPr>
          <w:rFonts w:eastAsia="Times New Roman"/>
          <w:i/>
          <w:iCs/>
          <w:lang w:eastAsia="en-AU"/>
        </w:rPr>
        <w:t>Rule</w:t>
      </w:r>
      <w:r w:rsidR="00BC4474">
        <w:rPr>
          <w:rFonts w:eastAsia="Times New Roman"/>
          <w:i/>
          <w:iCs/>
          <w:lang w:eastAsia="en-AU"/>
        </w:rPr>
        <w:t xml:space="preserve"> (No. 1)</w:t>
      </w:r>
      <w:r w:rsidR="00F746C1" w:rsidRPr="00595755">
        <w:rPr>
          <w:rFonts w:eastAsia="Times New Roman"/>
          <w:i/>
          <w:iCs/>
          <w:lang w:eastAsia="en-AU"/>
        </w:rPr>
        <w:t xml:space="preserve"> </w:t>
      </w:r>
      <w:r w:rsidR="00DB6427">
        <w:rPr>
          <w:rFonts w:eastAsia="Times New Roman"/>
          <w:i/>
          <w:iCs/>
          <w:lang w:eastAsia="en-AU"/>
        </w:rPr>
        <w:t>2025</w:t>
      </w:r>
      <w:r w:rsidR="007864D2" w:rsidRPr="00595755">
        <w:rPr>
          <w:rFonts w:eastAsia="Times New Roman"/>
          <w:iCs/>
          <w:lang w:eastAsia="en-AU"/>
        </w:rPr>
        <w:t xml:space="preserve">, </w:t>
      </w:r>
      <w:r w:rsidRPr="00595755">
        <w:rPr>
          <w:rFonts w:eastAsia="Times New Roman"/>
          <w:iCs/>
          <w:lang w:eastAsia="en-AU"/>
        </w:rPr>
        <w:t>is made under subsection 124</w:t>
      </w:r>
      <w:proofErr w:type="gramStart"/>
      <w:r w:rsidRPr="00595755">
        <w:rPr>
          <w:rFonts w:eastAsia="Times New Roman"/>
          <w:iCs/>
          <w:lang w:eastAsia="en-AU"/>
        </w:rPr>
        <w:t>ZT(</w:t>
      </w:r>
      <w:proofErr w:type="gramEnd"/>
      <w:r w:rsidRPr="00595755">
        <w:rPr>
          <w:rFonts w:eastAsia="Times New Roman"/>
          <w:iCs/>
          <w:lang w:eastAsia="en-AU"/>
        </w:rPr>
        <w:t>1) of the</w:t>
      </w:r>
      <w:r w:rsidRPr="00595755">
        <w:t xml:space="preserve"> </w:t>
      </w:r>
      <w:r w:rsidRPr="00595755">
        <w:rPr>
          <w:rFonts w:eastAsia="Times New Roman"/>
          <w:i/>
          <w:iCs/>
          <w:lang w:eastAsia="en-AU"/>
        </w:rPr>
        <w:t xml:space="preserve">Health Insurance Act 1973 </w:t>
      </w:r>
      <w:r w:rsidRPr="00595755">
        <w:rPr>
          <w:rFonts w:eastAsia="Times New Roman"/>
          <w:iCs/>
          <w:lang w:eastAsia="en-AU"/>
        </w:rPr>
        <w:t xml:space="preserve">(the </w:t>
      </w:r>
      <w:r w:rsidRPr="00121818">
        <w:rPr>
          <w:rFonts w:eastAsia="Times New Roman"/>
          <w:b/>
          <w:bCs/>
          <w:iCs/>
          <w:lang w:eastAsia="en-AU"/>
        </w:rPr>
        <w:t>Act</w:t>
      </w:r>
      <w:r w:rsidRPr="00595755">
        <w:rPr>
          <w:rFonts w:eastAsia="Times New Roman"/>
          <w:iCs/>
          <w:lang w:eastAsia="en-AU"/>
        </w:rPr>
        <w:t>).</w:t>
      </w:r>
      <w:r w:rsidR="00A24E63" w:rsidRPr="00595755">
        <w:rPr>
          <w:rFonts w:eastAsia="Times New Roman"/>
          <w:iCs/>
          <w:lang w:eastAsia="en-AU"/>
        </w:rPr>
        <w:t xml:space="preserve"> </w:t>
      </w:r>
      <w:r w:rsidR="007864D2" w:rsidRPr="00595755">
        <w:rPr>
          <w:rFonts w:eastAsia="Times New Roman"/>
          <w:iCs/>
          <w:lang w:eastAsia="en-AU"/>
        </w:rPr>
        <w:t>Th</w:t>
      </w:r>
      <w:r w:rsidR="00012263">
        <w:rPr>
          <w:rFonts w:eastAsia="Times New Roman"/>
          <w:iCs/>
          <w:lang w:eastAsia="en-AU"/>
        </w:rPr>
        <w:t>e</w:t>
      </w:r>
      <w:r w:rsidR="007864D2" w:rsidRPr="00595755">
        <w:rPr>
          <w:rFonts w:eastAsia="Times New Roman"/>
          <w:iCs/>
          <w:lang w:eastAsia="en-AU"/>
        </w:rPr>
        <w:t xml:space="preserve"> </w:t>
      </w:r>
      <w:r w:rsidR="00012263">
        <w:rPr>
          <w:rFonts w:eastAsia="Times New Roman"/>
          <w:iCs/>
          <w:lang w:eastAsia="en-AU"/>
        </w:rPr>
        <w:t xml:space="preserve">legislative </w:t>
      </w:r>
      <w:r w:rsidR="007864D2" w:rsidRPr="00595755">
        <w:rPr>
          <w:rFonts w:eastAsia="Times New Roman"/>
          <w:iCs/>
          <w:lang w:eastAsia="en-AU"/>
        </w:rPr>
        <w:t xml:space="preserve">instrument </w:t>
      </w:r>
      <w:r w:rsidR="00A24E63" w:rsidRPr="00595755">
        <w:rPr>
          <w:rFonts w:eastAsia="Times New Roman"/>
          <w:lang w:eastAsia="en-AU"/>
        </w:rPr>
        <w:t xml:space="preserve">amends the </w:t>
      </w:r>
      <w:r w:rsidR="00A24E63" w:rsidRPr="00595755">
        <w:rPr>
          <w:rFonts w:eastAsia="Times New Roman"/>
          <w:i/>
          <w:lang w:eastAsia="en-AU"/>
        </w:rPr>
        <w:t xml:space="preserve">Health Insurance (Bonded Medical Program) Rule 2020 </w:t>
      </w:r>
      <w:r w:rsidR="007864D2" w:rsidRPr="00595755">
        <w:rPr>
          <w:rFonts w:eastAsia="Times New Roman"/>
          <w:lang w:eastAsia="en-AU"/>
        </w:rPr>
        <w:t>(the</w:t>
      </w:r>
      <w:r w:rsidR="001875E9">
        <w:rPr>
          <w:rFonts w:eastAsia="Times New Roman"/>
          <w:lang w:eastAsia="en-AU"/>
        </w:rPr>
        <w:t xml:space="preserve"> </w:t>
      </w:r>
      <w:r w:rsidR="008162A1" w:rsidRPr="00121818">
        <w:rPr>
          <w:rFonts w:eastAsia="Times New Roman"/>
          <w:b/>
          <w:bCs/>
          <w:lang w:eastAsia="en-AU"/>
        </w:rPr>
        <w:t xml:space="preserve">Principal </w:t>
      </w:r>
      <w:r w:rsidR="007864D2" w:rsidRPr="00121818">
        <w:rPr>
          <w:rFonts w:eastAsia="Times New Roman"/>
          <w:b/>
          <w:bCs/>
          <w:lang w:eastAsia="en-AU"/>
        </w:rPr>
        <w:t>Rule</w:t>
      </w:r>
      <w:r w:rsidR="007864D2" w:rsidRPr="00595755">
        <w:rPr>
          <w:rFonts w:eastAsia="Times New Roman"/>
          <w:lang w:eastAsia="en-AU"/>
        </w:rPr>
        <w:t>).</w:t>
      </w:r>
    </w:p>
    <w:p w14:paraId="15711C41" w14:textId="77777777" w:rsidR="00461667" w:rsidRDefault="00FF1B2F" w:rsidP="00A24E63">
      <w:pPr>
        <w:shd w:val="clear" w:color="auto" w:fill="FFFFFF"/>
        <w:spacing w:before="100" w:beforeAutospacing="1" w:after="100" w:afterAutospacing="1" w:line="240" w:lineRule="auto"/>
        <w:rPr>
          <w:rFonts w:eastAsia="Times New Roman"/>
          <w:lang w:eastAsia="en-AU"/>
        </w:rPr>
      </w:pPr>
      <w:r>
        <w:rPr>
          <w:rFonts w:eastAsia="Times New Roman"/>
          <w:lang w:eastAsia="en-AU"/>
        </w:rPr>
        <w:t>The Principal Rule prescribes certain requirements for the Bonded Medical Program (</w:t>
      </w:r>
      <w:r w:rsidRPr="00121818">
        <w:rPr>
          <w:rFonts w:eastAsia="Times New Roman"/>
          <w:b/>
          <w:bCs/>
          <w:lang w:eastAsia="en-AU"/>
        </w:rPr>
        <w:t>Program</w:t>
      </w:r>
      <w:r>
        <w:rPr>
          <w:rFonts w:eastAsia="Times New Roman"/>
          <w:lang w:eastAsia="en-AU"/>
        </w:rPr>
        <w:t>) under Part VD of the Act. The Program provides for p</w:t>
      </w:r>
      <w:r w:rsidRPr="00FF1B2F">
        <w:rPr>
          <w:rFonts w:eastAsia="Times New Roman"/>
          <w:lang w:eastAsia="en-AU"/>
        </w:rPr>
        <w:t>articipants</w:t>
      </w:r>
      <w:r>
        <w:rPr>
          <w:rFonts w:eastAsia="Times New Roman"/>
          <w:lang w:eastAsia="en-AU"/>
        </w:rPr>
        <w:t xml:space="preserve"> to</w:t>
      </w:r>
      <w:r w:rsidRPr="00FF1B2F">
        <w:rPr>
          <w:rFonts w:eastAsia="Times New Roman"/>
          <w:lang w:eastAsia="en-AU"/>
        </w:rPr>
        <w:t xml:space="preserve"> receive a Commonwealth Supported Place in a medical course at an Australian university in return for completion of a period of work in regional, rural and remote areas and areas of workforce shortage</w:t>
      </w:r>
      <w:r>
        <w:rPr>
          <w:rFonts w:eastAsia="Times New Roman"/>
          <w:lang w:eastAsia="en-AU"/>
        </w:rPr>
        <w:t xml:space="preserve">. This period of work is known as a </w:t>
      </w:r>
      <w:r w:rsidR="00461667">
        <w:rPr>
          <w:rFonts w:eastAsia="Times New Roman"/>
          <w:lang w:eastAsia="en-AU"/>
        </w:rPr>
        <w:t>Return of Service Obligation (</w:t>
      </w:r>
      <w:r w:rsidR="00461667" w:rsidRPr="00121818">
        <w:rPr>
          <w:rFonts w:eastAsia="Times New Roman"/>
          <w:b/>
          <w:bCs/>
          <w:lang w:eastAsia="en-AU"/>
        </w:rPr>
        <w:t>RoSO</w:t>
      </w:r>
      <w:r w:rsidR="00461667">
        <w:rPr>
          <w:rFonts w:eastAsia="Times New Roman"/>
          <w:lang w:eastAsia="en-AU"/>
        </w:rPr>
        <w:t xml:space="preserve">). </w:t>
      </w:r>
    </w:p>
    <w:p w14:paraId="5402BEF6" w14:textId="76FAC80F" w:rsidR="00FF1B2F" w:rsidRPr="00D818A1" w:rsidRDefault="00461667" w:rsidP="00A24E63">
      <w:pPr>
        <w:shd w:val="clear" w:color="auto" w:fill="FFFFFF"/>
        <w:spacing w:before="100" w:beforeAutospacing="1" w:after="100" w:afterAutospacing="1" w:line="240" w:lineRule="auto"/>
        <w:rPr>
          <w:rFonts w:eastAsia="Times New Roman"/>
          <w:iCs/>
          <w:lang w:eastAsia="en-AU"/>
        </w:rPr>
      </w:pPr>
      <w:r>
        <w:rPr>
          <w:rFonts w:eastAsia="Times New Roman"/>
          <w:lang w:eastAsia="en-AU"/>
        </w:rPr>
        <w:t xml:space="preserve">Under the current Principal Rule, otherwise eligible work is disqualified from being counted towards a RoSO if the participant does not meet the </w:t>
      </w:r>
      <w:r w:rsidR="00E72344">
        <w:rPr>
          <w:rFonts w:eastAsia="Times New Roman"/>
          <w:lang w:eastAsia="en-AU"/>
        </w:rPr>
        <w:t>associated reporting requirements</w:t>
      </w:r>
      <w:r>
        <w:rPr>
          <w:rFonts w:eastAsia="Times New Roman"/>
          <w:lang w:eastAsia="en-AU"/>
        </w:rPr>
        <w:t>. Th</w:t>
      </w:r>
      <w:r w:rsidR="00E72344">
        <w:rPr>
          <w:rFonts w:eastAsia="Times New Roman"/>
          <w:lang w:eastAsia="en-AU"/>
        </w:rPr>
        <w:t>is</w:t>
      </w:r>
      <w:r>
        <w:rPr>
          <w:rFonts w:eastAsia="Times New Roman"/>
          <w:lang w:eastAsia="en-AU"/>
        </w:rPr>
        <w:t xml:space="preserve"> criterion has the potential to apply unfairly to participants</w:t>
      </w:r>
      <w:r w:rsidR="00E72344">
        <w:rPr>
          <w:rFonts w:eastAsia="Times New Roman"/>
          <w:lang w:eastAsia="en-AU"/>
        </w:rPr>
        <w:t xml:space="preserve"> in some circumstances</w:t>
      </w:r>
      <w:r>
        <w:rPr>
          <w:rFonts w:eastAsia="Times New Roman"/>
          <w:lang w:eastAsia="en-AU"/>
        </w:rPr>
        <w:t>. Th</w:t>
      </w:r>
      <w:r w:rsidR="00E72344">
        <w:rPr>
          <w:rFonts w:eastAsia="Times New Roman"/>
          <w:lang w:eastAsia="en-AU"/>
        </w:rPr>
        <w:t xml:space="preserve">e </w:t>
      </w:r>
      <w:r>
        <w:rPr>
          <w:rFonts w:eastAsia="Times New Roman"/>
          <w:lang w:eastAsia="en-AU"/>
        </w:rPr>
        <w:t xml:space="preserve">legislative instrument amends the Principal Rule to clarify that a failure to meet </w:t>
      </w:r>
      <w:r w:rsidR="00E72344">
        <w:rPr>
          <w:rFonts w:eastAsia="Times New Roman"/>
          <w:lang w:eastAsia="en-AU"/>
        </w:rPr>
        <w:t xml:space="preserve">the reporting requirements will not disqualify eligible work from being counted towards the participant’s </w:t>
      </w:r>
      <w:r w:rsidR="00E72344" w:rsidRPr="00D818A1">
        <w:rPr>
          <w:rFonts w:eastAsia="Times New Roman"/>
          <w:lang w:eastAsia="en-AU"/>
        </w:rPr>
        <w:t>RoSO.</w:t>
      </w:r>
    </w:p>
    <w:p w14:paraId="44D88FE9" w14:textId="73AE54E8" w:rsidR="004B095F" w:rsidRPr="00D818A1" w:rsidRDefault="004B095F" w:rsidP="004B095F">
      <w:pPr>
        <w:spacing w:after="240" w:line="240" w:lineRule="auto"/>
        <w:rPr>
          <w:rFonts w:ascii="Tms Rmn" w:eastAsia="Times New Roman" w:hAnsi="Tms Rmn"/>
          <w:szCs w:val="20"/>
          <w:lang w:eastAsia="en-AU"/>
        </w:rPr>
      </w:pPr>
      <w:r w:rsidRPr="00D818A1">
        <w:rPr>
          <w:rFonts w:ascii="Tms Rmn" w:eastAsia="Times New Roman" w:hAnsi="Tms Rmn"/>
          <w:b/>
          <w:szCs w:val="20"/>
          <w:lang w:eastAsia="en-AU"/>
        </w:rPr>
        <w:t>Human rights implications</w:t>
      </w:r>
    </w:p>
    <w:p w14:paraId="69A1E34E" w14:textId="0C3D4AE2" w:rsidR="00714C5E" w:rsidRPr="00DB6427" w:rsidRDefault="009A5742" w:rsidP="00012263">
      <w:pPr>
        <w:spacing w:after="240"/>
        <w:rPr>
          <w:highlight w:val="yellow"/>
        </w:rPr>
      </w:pPr>
      <w:r w:rsidRPr="00D818A1">
        <w:t>Th</w:t>
      </w:r>
      <w:r w:rsidR="00140522" w:rsidRPr="00D818A1">
        <w:t>e</w:t>
      </w:r>
      <w:r w:rsidRPr="00D818A1">
        <w:t xml:space="preserve"> legislative instrument </w:t>
      </w:r>
      <w:r w:rsidR="002F2B84" w:rsidRPr="00D818A1">
        <w:t xml:space="preserve">does not </w:t>
      </w:r>
      <w:r w:rsidRPr="00D818A1">
        <w:t>engage</w:t>
      </w:r>
      <w:r w:rsidR="002F2B84" w:rsidRPr="00D818A1">
        <w:t xml:space="preserve"> any </w:t>
      </w:r>
      <w:r w:rsidR="007F70BE" w:rsidRPr="00D818A1">
        <w:t xml:space="preserve">of the applicable </w:t>
      </w:r>
      <w:r w:rsidR="002F2B84" w:rsidRPr="00D818A1">
        <w:t>human rights</w:t>
      </w:r>
      <w:r w:rsidR="007F70BE" w:rsidRPr="00D818A1">
        <w:t xml:space="preserve"> or freedoms</w:t>
      </w:r>
      <w:r w:rsidR="002F2B84" w:rsidRPr="00D818A1">
        <w:t xml:space="preserve">. </w:t>
      </w:r>
      <w:r w:rsidR="00E72344" w:rsidRPr="00D818A1">
        <w:t>The effect of the legislative instrument is limited to the administration of the Program and simplifies the requirements for participants. It does not have any broader implications for</w:t>
      </w:r>
      <w:r w:rsidR="00E72344">
        <w:t xml:space="preserve"> human rights and freedoms.</w:t>
      </w:r>
      <w:r w:rsidR="002F2B84" w:rsidRPr="002B0E28">
        <w:rPr>
          <w:highlight w:val="yellow"/>
        </w:rPr>
        <w:t xml:space="preserve"> </w:t>
      </w:r>
    </w:p>
    <w:p w14:paraId="33472D5F" w14:textId="5D917B02" w:rsidR="007864D2" w:rsidRPr="00595755" w:rsidRDefault="007864D2" w:rsidP="00081837">
      <w:pPr>
        <w:rPr>
          <w:rFonts w:ascii="Tms Rmn" w:eastAsia="Times New Roman" w:hAnsi="Tms Rmn"/>
          <w:szCs w:val="20"/>
          <w:lang w:eastAsia="en-AU"/>
        </w:rPr>
      </w:pPr>
      <w:r w:rsidRPr="00595755">
        <w:rPr>
          <w:b/>
        </w:rPr>
        <w:t>Conclusion</w:t>
      </w:r>
    </w:p>
    <w:p w14:paraId="4CA46982" w14:textId="651686E2" w:rsidR="007864D2" w:rsidRPr="00595755" w:rsidRDefault="007864D2" w:rsidP="007864D2">
      <w:pPr>
        <w:pStyle w:val="legcohead3"/>
        <w:rPr>
          <w:b w:val="0"/>
          <w:szCs w:val="24"/>
        </w:rPr>
      </w:pPr>
      <w:r w:rsidRPr="00595755">
        <w:rPr>
          <w:b w:val="0"/>
          <w:szCs w:val="24"/>
        </w:rPr>
        <w:t xml:space="preserve">The </w:t>
      </w:r>
      <w:r w:rsidR="00081837" w:rsidRPr="00595755">
        <w:rPr>
          <w:b w:val="0"/>
          <w:szCs w:val="24"/>
        </w:rPr>
        <w:t>legislative instrument</w:t>
      </w:r>
      <w:r w:rsidRPr="00595755">
        <w:rPr>
          <w:b w:val="0"/>
          <w:szCs w:val="24"/>
        </w:rPr>
        <w:t xml:space="preserve"> is compatible with human rights</w:t>
      </w:r>
      <w:r w:rsidR="007F70BE">
        <w:rPr>
          <w:b w:val="0"/>
          <w:szCs w:val="24"/>
        </w:rPr>
        <w:t xml:space="preserve"> as it does not raise any human rights issues</w:t>
      </w:r>
      <w:r w:rsidRPr="00595755">
        <w:rPr>
          <w:b w:val="0"/>
          <w:szCs w:val="24"/>
        </w:rPr>
        <w:t>.</w:t>
      </w:r>
    </w:p>
    <w:p w14:paraId="63DBDC54" w14:textId="77777777" w:rsidR="007864D2" w:rsidRPr="00595755" w:rsidRDefault="007864D2" w:rsidP="004B095F">
      <w:pPr>
        <w:spacing w:after="240" w:line="240" w:lineRule="auto"/>
        <w:rPr>
          <w:b/>
          <w:bCs/>
        </w:rPr>
      </w:pPr>
    </w:p>
    <w:p w14:paraId="6F235AB8" w14:textId="09C08CFD" w:rsidR="004B095F" w:rsidRPr="004B095F" w:rsidRDefault="004B095F" w:rsidP="004B095F">
      <w:pPr>
        <w:spacing w:after="240" w:line="240" w:lineRule="auto"/>
        <w:rPr>
          <w:rFonts w:ascii="Tms Rmn" w:eastAsia="Times New Roman" w:hAnsi="Tms Rmn"/>
          <w:szCs w:val="20"/>
          <w:lang w:eastAsia="en-AU"/>
        </w:rPr>
      </w:pPr>
      <w:r w:rsidRPr="00595755">
        <w:rPr>
          <w:b/>
          <w:bCs/>
        </w:rPr>
        <w:t xml:space="preserve">The Hon </w:t>
      </w:r>
      <w:r w:rsidR="00DB6427">
        <w:rPr>
          <w:b/>
          <w:bCs/>
        </w:rPr>
        <w:t>Mark Butler</w:t>
      </w:r>
      <w:r w:rsidRPr="00595755">
        <w:rPr>
          <w:b/>
          <w:bCs/>
        </w:rPr>
        <w:t xml:space="preserve"> MP, Minister for Health</w:t>
      </w:r>
      <w:r w:rsidR="00AD0C7B">
        <w:rPr>
          <w:b/>
          <w:bCs/>
        </w:rPr>
        <w:t xml:space="preserve"> and Aged Care</w:t>
      </w:r>
    </w:p>
    <w:sectPr w:rsidR="004B095F" w:rsidRPr="004B095F" w:rsidSect="006F2B0F">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DC06" w14:textId="77777777" w:rsidR="00AB572B" w:rsidRDefault="00AB572B" w:rsidP="008A5402">
      <w:pPr>
        <w:spacing w:after="0" w:line="240" w:lineRule="auto"/>
      </w:pPr>
      <w:r>
        <w:separator/>
      </w:r>
    </w:p>
  </w:endnote>
  <w:endnote w:type="continuationSeparator" w:id="0">
    <w:p w14:paraId="33437A68" w14:textId="77777777" w:rsidR="00AB572B" w:rsidRDefault="00AB572B" w:rsidP="008A5402">
      <w:pPr>
        <w:spacing w:after="0" w:line="240" w:lineRule="auto"/>
      </w:pPr>
      <w:r>
        <w:continuationSeparator/>
      </w:r>
    </w:p>
  </w:endnote>
  <w:endnote w:type="continuationNotice" w:id="1">
    <w:p w14:paraId="41733FCA" w14:textId="77777777" w:rsidR="00AB572B" w:rsidRDefault="00AB5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6654" w14:textId="77777777" w:rsidR="003B5492" w:rsidRDefault="003B5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114529"/>
      <w:docPartObj>
        <w:docPartGallery w:val="Page Numbers (Bottom of Page)"/>
        <w:docPartUnique/>
      </w:docPartObj>
    </w:sdtPr>
    <w:sdtEndPr>
      <w:rPr>
        <w:noProof/>
      </w:rPr>
    </w:sdtEndPr>
    <w:sdtContent>
      <w:p w14:paraId="01D883B1" w14:textId="494F8E87" w:rsidR="00A05FA1" w:rsidRDefault="00A05FA1">
        <w:pPr>
          <w:pStyle w:val="Footer"/>
          <w:jc w:val="right"/>
        </w:pPr>
        <w:r>
          <w:fldChar w:fldCharType="begin"/>
        </w:r>
        <w:r>
          <w:instrText xml:space="preserve"> PAGE   \* MERGEFORMAT </w:instrText>
        </w:r>
        <w:r>
          <w:fldChar w:fldCharType="separate"/>
        </w:r>
        <w:r w:rsidR="00D509D2">
          <w:rPr>
            <w:noProof/>
          </w:rPr>
          <w:t>1</w:t>
        </w:r>
        <w:r>
          <w:rPr>
            <w:noProof/>
          </w:rPr>
          <w:fldChar w:fldCharType="end"/>
        </w:r>
      </w:p>
    </w:sdtContent>
  </w:sdt>
  <w:p w14:paraId="6A40C4C9" w14:textId="77777777" w:rsidR="00A05FA1" w:rsidRDefault="00A05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B328" w14:textId="77777777" w:rsidR="003B5492" w:rsidRDefault="003B5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ED6F" w14:textId="77777777" w:rsidR="00AB572B" w:rsidRDefault="00AB572B" w:rsidP="008A5402">
      <w:pPr>
        <w:spacing w:after="0" w:line="240" w:lineRule="auto"/>
      </w:pPr>
      <w:r>
        <w:separator/>
      </w:r>
    </w:p>
  </w:footnote>
  <w:footnote w:type="continuationSeparator" w:id="0">
    <w:p w14:paraId="1487D018" w14:textId="77777777" w:rsidR="00AB572B" w:rsidRDefault="00AB572B" w:rsidP="008A5402">
      <w:pPr>
        <w:spacing w:after="0" w:line="240" w:lineRule="auto"/>
      </w:pPr>
      <w:r>
        <w:continuationSeparator/>
      </w:r>
    </w:p>
  </w:footnote>
  <w:footnote w:type="continuationNotice" w:id="1">
    <w:p w14:paraId="71517B1D" w14:textId="77777777" w:rsidR="00AB572B" w:rsidRDefault="00AB57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FA8C" w14:textId="77777777" w:rsidR="003B5492" w:rsidRDefault="003B5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B06E" w14:textId="77777777" w:rsidR="003B5492" w:rsidRDefault="003B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CCF3" w14:textId="77777777" w:rsidR="003B5492" w:rsidRDefault="003B5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DE1"/>
    <w:multiLevelType w:val="hybridMultilevel"/>
    <w:tmpl w:val="AB988504"/>
    <w:lvl w:ilvl="0" w:tplc="BA7E08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5703AB"/>
    <w:multiLevelType w:val="hybridMultilevel"/>
    <w:tmpl w:val="6FC8E266"/>
    <w:lvl w:ilvl="0" w:tplc="8020E9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A2FAF"/>
    <w:multiLevelType w:val="hybridMultilevel"/>
    <w:tmpl w:val="2E2257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F71FA6"/>
    <w:multiLevelType w:val="hybridMultilevel"/>
    <w:tmpl w:val="534C0A52"/>
    <w:lvl w:ilvl="0" w:tplc="28CEC3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1630E1"/>
    <w:multiLevelType w:val="hybridMultilevel"/>
    <w:tmpl w:val="AD0E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40A2A"/>
    <w:multiLevelType w:val="hybridMultilevel"/>
    <w:tmpl w:val="4EA47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D36BFD"/>
    <w:multiLevelType w:val="hybridMultilevel"/>
    <w:tmpl w:val="27EE1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350097E"/>
    <w:multiLevelType w:val="hybridMultilevel"/>
    <w:tmpl w:val="2FE49790"/>
    <w:lvl w:ilvl="0" w:tplc="A18AC2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8506EC"/>
    <w:multiLevelType w:val="hybridMultilevel"/>
    <w:tmpl w:val="4F7482DA"/>
    <w:lvl w:ilvl="0" w:tplc="F50C4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3262F7"/>
    <w:multiLevelType w:val="hybridMultilevel"/>
    <w:tmpl w:val="7CEAA43C"/>
    <w:lvl w:ilvl="0" w:tplc="0C09000F">
      <w:start w:val="1"/>
      <w:numFmt w:val="decimal"/>
      <w:lvlText w:val="%1."/>
      <w:lvlJc w:val="left"/>
      <w:pPr>
        <w:ind w:left="720"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2E4DA6"/>
    <w:multiLevelType w:val="hybridMultilevel"/>
    <w:tmpl w:val="27E6F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38F0F8C"/>
    <w:multiLevelType w:val="hybridMultilevel"/>
    <w:tmpl w:val="4476F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3E97F29"/>
    <w:multiLevelType w:val="hybridMultilevel"/>
    <w:tmpl w:val="160E6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7274742">
    <w:abstractNumId w:val="10"/>
  </w:num>
  <w:num w:numId="2" w16cid:durableId="108427850">
    <w:abstractNumId w:val="8"/>
  </w:num>
  <w:num w:numId="3" w16cid:durableId="2040008573">
    <w:abstractNumId w:val="12"/>
  </w:num>
  <w:num w:numId="4" w16cid:durableId="14772244">
    <w:abstractNumId w:val="11"/>
  </w:num>
  <w:num w:numId="5" w16cid:durableId="1484733041">
    <w:abstractNumId w:val="6"/>
  </w:num>
  <w:num w:numId="6" w16cid:durableId="231814168">
    <w:abstractNumId w:val="1"/>
  </w:num>
  <w:num w:numId="7" w16cid:durableId="612904270">
    <w:abstractNumId w:val="7"/>
  </w:num>
  <w:num w:numId="8" w16cid:durableId="138038963">
    <w:abstractNumId w:val="2"/>
  </w:num>
  <w:num w:numId="9" w16cid:durableId="1627160009">
    <w:abstractNumId w:val="5"/>
  </w:num>
  <w:num w:numId="10" w16cid:durableId="570698136">
    <w:abstractNumId w:val="4"/>
  </w:num>
  <w:num w:numId="11" w16cid:durableId="1446804790">
    <w:abstractNumId w:val="0"/>
  </w:num>
  <w:num w:numId="12" w16cid:durableId="1499922578">
    <w:abstractNumId w:val="3"/>
  </w:num>
  <w:num w:numId="13" w16cid:durableId="1147287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DC"/>
    <w:rsid w:val="000027CF"/>
    <w:rsid w:val="0000490E"/>
    <w:rsid w:val="000102CB"/>
    <w:rsid w:val="00012263"/>
    <w:rsid w:val="0001375C"/>
    <w:rsid w:val="000217D6"/>
    <w:rsid w:val="00026D33"/>
    <w:rsid w:val="000360D3"/>
    <w:rsid w:val="00044729"/>
    <w:rsid w:val="00061DC7"/>
    <w:rsid w:val="00063D11"/>
    <w:rsid w:val="00064D1F"/>
    <w:rsid w:val="00070DA3"/>
    <w:rsid w:val="00071AFA"/>
    <w:rsid w:val="000750EE"/>
    <w:rsid w:val="00076D3C"/>
    <w:rsid w:val="000801A7"/>
    <w:rsid w:val="00081837"/>
    <w:rsid w:val="00084882"/>
    <w:rsid w:val="0008585A"/>
    <w:rsid w:val="00090909"/>
    <w:rsid w:val="00097135"/>
    <w:rsid w:val="000A5CD3"/>
    <w:rsid w:val="000B0B51"/>
    <w:rsid w:val="000B1D0A"/>
    <w:rsid w:val="000B6C52"/>
    <w:rsid w:val="000C4E30"/>
    <w:rsid w:val="000D174B"/>
    <w:rsid w:val="000D1C27"/>
    <w:rsid w:val="000D441E"/>
    <w:rsid w:val="000D691D"/>
    <w:rsid w:val="000E622D"/>
    <w:rsid w:val="00102E2E"/>
    <w:rsid w:val="001104E8"/>
    <w:rsid w:val="00110E37"/>
    <w:rsid w:val="00121818"/>
    <w:rsid w:val="00132ECE"/>
    <w:rsid w:val="00140522"/>
    <w:rsid w:val="00144D6E"/>
    <w:rsid w:val="00146AA0"/>
    <w:rsid w:val="00147101"/>
    <w:rsid w:val="00147672"/>
    <w:rsid w:val="00147CFB"/>
    <w:rsid w:val="001506F2"/>
    <w:rsid w:val="001573E7"/>
    <w:rsid w:val="00163627"/>
    <w:rsid w:val="00167052"/>
    <w:rsid w:val="0018745D"/>
    <w:rsid w:val="001875E9"/>
    <w:rsid w:val="00194B41"/>
    <w:rsid w:val="00197DC2"/>
    <w:rsid w:val="001A24A4"/>
    <w:rsid w:val="001A6DD0"/>
    <w:rsid w:val="001A7914"/>
    <w:rsid w:val="001B2086"/>
    <w:rsid w:val="001C40B7"/>
    <w:rsid w:val="001C4F91"/>
    <w:rsid w:val="001E5C46"/>
    <w:rsid w:val="001E71D2"/>
    <w:rsid w:val="002075B9"/>
    <w:rsid w:val="002111F9"/>
    <w:rsid w:val="00212AE9"/>
    <w:rsid w:val="002311B9"/>
    <w:rsid w:val="0023178A"/>
    <w:rsid w:val="00234D61"/>
    <w:rsid w:val="00234DE8"/>
    <w:rsid w:val="0024774E"/>
    <w:rsid w:val="00267179"/>
    <w:rsid w:val="00272E99"/>
    <w:rsid w:val="00280050"/>
    <w:rsid w:val="002844E0"/>
    <w:rsid w:val="00285982"/>
    <w:rsid w:val="002861DE"/>
    <w:rsid w:val="00286D3E"/>
    <w:rsid w:val="002A3702"/>
    <w:rsid w:val="002B0E28"/>
    <w:rsid w:val="002B7EBE"/>
    <w:rsid w:val="002C2AE2"/>
    <w:rsid w:val="002D0E30"/>
    <w:rsid w:val="002D165E"/>
    <w:rsid w:val="002D64FB"/>
    <w:rsid w:val="002E50D0"/>
    <w:rsid w:val="002F23A2"/>
    <w:rsid w:val="002F2B84"/>
    <w:rsid w:val="0030040B"/>
    <w:rsid w:val="00303396"/>
    <w:rsid w:val="00307060"/>
    <w:rsid w:val="00321817"/>
    <w:rsid w:val="00323F63"/>
    <w:rsid w:val="00325DB3"/>
    <w:rsid w:val="00326022"/>
    <w:rsid w:val="003274E1"/>
    <w:rsid w:val="00332B2F"/>
    <w:rsid w:val="00334070"/>
    <w:rsid w:val="003345D8"/>
    <w:rsid w:val="003353E7"/>
    <w:rsid w:val="00336407"/>
    <w:rsid w:val="00336A8C"/>
    <w:rsid w:val="00344A2F"/>
    <w:rsid w:val="00354536"/>
    <w:rsid w:val="00354561"/>
    <w:rsid w:val="00370E60"/>
    <w:rsid w:val="00372CFB"/>
    <w:rsid w:val="00391D64"/>
    <w:rsid w:val="003921DD"/>
    <w:rsid w:val="003923A0"/>
    <w:rsid w:val="00392778"/>
    <w:rsid w:val="00397D8F"/>
    <w:rsid w:val="003A15E5"/>
    <w:rsid w:val="003A26EA"/>
    <w:rsid w:val="003A532B"/>
    <w:rsid w:val="003B2A10"/>
    <w:rsid w:val="003B5492"/>
    <w:rsid w:val="003C1926"/>
    <w:rsid w:val="003C20DF"/>
    <w:rsid w:val="003C3B1E"/>
    <w:rsid w:val="003D4F69"/>
    <w:rsid w:val="003D621A"/>
    <w:rsid w:val="003E5DA9"/>
    <w:rsid w:val="003F6DA4"/>
    <w:rsid w:val="00401531"/>
    <w:rsid w:val="00402959"/>
    <w:rsid w:val="0040333E"/>
    <w:rsid w:val="00417BE5"/>
    <w:rsid w:val="0043207B"/>
    <w:rsid w:val="00440F87"/>
    <w:rsid w:val="00445740"/>
    <w:rsid w:val="00454A02"/>
    <w:rsid w:val="00461667"/>
    <w:rsid w:val="00466318"/>
    <w:rsid w:val="0047428F"/>
    <w:rsid w:val="00490144"/>
    <w:rsid w:val="00490261"/>
    <w:rsid w:val="00490D45"/>
    <w:rsid w:val="00497A2C"/>
    <w:rsid w:val="004A4BD9"/>
    <w:rsid w:val="004B095F"/>
    <w:rsid w:val="004B1A23"/>
    <w:rsid w:val="004B2125"/>
    <w:rsid w:val="004D3C86"/>
    <w:rsid w:val="004D4236"/>
    <w:rsid w:val="004E7899"/>
    <w:rsid w:val="004F2477"/>
    <w:rsid w:val="004F342C"/>
    <w:rsid w:val="004F6EF9"/>
    <w:rsid w:val="005016AF"/>
    <w:rsid w:val="00521A66"/>
    <w:rsid w:val="0052567C"/>
    <w:rsid w:val="00540A6C"/>
    <w:rsid w:val="00540E08"/>
    <w:rsid w:val="0054271D"/>
    <w:rsid w:val="00546274"/>
    <w:rsid w:val="005466AF"/>
    <w:rsid w:val="00546DBF"/>
    <w:rsid w:val="005507CA"/>
    <w:rsid w:val="005546FE"/>
    <w:rsid w:val="00557E88"/>
    <w:rsid w:val="0057225C"/>
    <w:rsid w:val="005727E1"/>
    <w:rsid w:val="00575701"/>
    <w:rsid w:val="00577121"/>
    <w:rsid w:val="0058336C"/>
    <w:rsid w:val="00585550"/>
    <w:rsid w:val="00586299"/>
    <w:rsid w:val="00586A0A"/>
    <w:rsid w:val="00595755"/>
    <w:rsid w:val="005A3EE2"/>
    <w:rsid w:val="005A439B"/>
    <w:rsid w:val="005A64AE"/>
    <w:rsid w:val="005B20B5"/>
    <w:rsid w:val="005C2D9C"/>
    <w:rsid w:val="005C5D94"/>
    <w:rsid w:val="005D4148"/>
    <w:rsid w:val="005D4343"/>
    <w:rsid w:val="005D751C"/>
    <w:rsid w:val="005E5647"/>
    <w:rsid w:val="005F4C7F"/>
    <w:rsid w:val="005F5D20"/>
    <w:rsid w:val="005F7527"/>
    <w:rsid w:val="00600A17"/>
    <w:rsid w:val="00601BF6"/>
    <w:rsid w:val="00605438"/>
    <w:rsid w:val="006079B8"/>
    <w:rsid w:val="006154B7"/>
    <w:rsid w:val="006168FB"/>
    <w:rsid w:val="00620731"/>
    <w:rsid w:val="006208E8"/>
    <w:rsid w:val="006222E2"/>
    <w:rsid w:val="00622F81"/>
    <w:rsid w:val="006332D8"/>
    <w:rsid w:val="00640C84"/>
    <w:rsid w:val="00644330"/>
    <w:rsid w:val="0065328D"/>
    <w:rsid w:val="00654FD1"/>
    <w:rsid w:val="00664EE3"/>
    <w:rsid w:val="00665E07"/>
    <w:rsid w:val="00672EF0"/>
    <w:rsid w:val="0068118B"/>
    <w:rsid w:val="006828BF"/>
    <w:rsid w:val="00683B10"/>
    <w:rsid w:val="006842B2"/>
    <w:rsid w:val="00685A9E"/>
    <w:rsid w:val="00686F25"/>
    <w:rsid w:val="00695F36"/>
    <w:rsid w:val="006A2CA8"/>
    <w:rsid w:val="006A4ECC"/>
    <w:rsid w:val="006A666F"/>
    <w:rsid w:val="006B0588"/>
    <w:rsid w:val="006B0A99"/>
    <w:rsid w:val="006B2B1F"/>
    <w:rsid w:val="006B7C01"/>
    <w:rsid w:val="006C762E"/>
    <w:rsid w:val="006D1EB5"/>
    <w:rsid w:val="006F2B0F"/>
    <w:rsid w:val="007010F6"/>
    <w:rsid w:val="00707100"/>
    <w:rsid w:val="00711490"/>
    <w:rsid w:val="00711FD2"/>
    <w:rsid w:val="00713CB8"/>
    <w:rsid w:val="00714C5E"/>
    <w:rsid w:val="00722A1C"/>
    <w:rsid w:val="00723D80"/>
    <w:rsid w:val="0072511E"/>
    <w:rsid w:val="007308D7"/>
    <w:rsid w:val="00731421"/>
    <w:rsid w:val="00740F23"/>
    <w:rsid w:val="007410B0"/>
    <w:rsid w:val="0074137E"/>
    <w:rsid w:val="00742890"/>
    <w:rsid w:val="00750565"/>
    <w:rsid w:val="00750F7C"/>
    <w:rsid w:val="00756FD6"/>
    <w:rsid w:val="00765BAB"/>
    <w:rsid w:val="00775932"/>
    <w:rsid w:val="007820CC"/>
    <w:rsid w:val="007833D9"/>
    <w:rsid w:val="007848E6"/>
    <w:rsid w:val="00785C69"/>
    <w:rsid w:val="007864D2"/>
    <w:rsid w:val="00791197"/>
    <w:rsid w:val="007A09E6"/>
    <w:rsid w:val="007A13DA"/>
    <w:rsid w:val="007A214E"/>
    <w:rsid w:val="007A4F5A"/>
    <w:rsid w:val="007A5228"/>
    <w:rsid w:val="007B0794"/>
    <w:rsid w:val="007C02A0"/>
    <w:rsid w:val="007C31FC"/>
    <w:rsid w:val="007C6927"/>
    <w:rsid w:val="007D1EA2"/>
    <w:rsid w:val="007D7398"/>
    <w:rsid w:val="007E050A"/>
    <w:rsid w:val="007F4187"/>
    <w:rsid w:val="007F4194"/>
    <w:rsid w:val="007F70BE"/>
    <w:rsid w:val="00810FFD"/>
    <w:rsid w:val="008162A1"/>
    <w:rsid w:val="00832EA4"/>
    <w:rsid w:val="00833BA6"/>
    <w:rsid w:val="0084614B"/>
    <w:rsid w:val="00851844"/>
    <w:rsid w:val="00854E24"/>
    <w:rsid w:val="0086155D"/>
    <w:rsid w:val="00862630"/>
    <w:rsid w:val="008640C1"/>
    <w:rsid w:val="00867C12"/>
    <w:rsid w:val="00871AA0"/>
    <w:rsid w:val="00872A7A"/>
    <w:rsid w:val="00873B96"/>
    <w:rsid w:val="008870A4"/>
    <w:rsid w:val="008A5402"/>
    <w:rsid w:val="008A5628"/>
    <w:rsid w:val="008B3F98"/>
    <w:rsid w:val="008B5B63"/>
    <w:rsid w:val="008B621E"/>
    <w:rsid w:val="008C68B3"/>
    <w:rsid w:val="008C724D"/>
    <w:rsid w:val="008D06F5"/>
    <w:rsid w:val="008E4463"/>
    <w:rsid w:val="008E48A8"/>
    <w:rsid w:val="008F3D89"/>
    <w:rsid w:val="008F56F6"/>
    <w:rsid w:val="008F7C43"/>
    <w:rsid w:val="00903B75"/>
    <w:rsid w:val="00910E68"/>
    <w:rsid w:val="009211FA"/>
    <w:rsid w:val="00922882"/>
    <w:rsid w:val="00923E20"/>
    <w:rsid w:val="00925D3A"/>
    <w:rsid w:val="00930710"/>
    <w:rsid w:val="009307EE"/>
    <w:rsid w:val="00940E40"/>
    <w:rsid w:val="009431D1"/>
    <w:rsid w:val="009433D7"/>
    <w:rsid w:val="00946A97"/>
    <w:rsid w:val="0095018C"/>
    <w:rsid w:val="00951551"/>
    <w:rsid w:val="009516D3"/>
    <w:rsid w:val="00952232"/>
    <w:rsid w:val="009669E7"/>
    <w:rsid w:val="009670F5"/>
    <w:rsid w:val="00972EC2"/>
    <w:rsid w:val="0097692F"/>
    <w:rsid w:val="00980D64"/>
    <w:rsid w:val="0098145F"/>
    <w:rsid w:val="00981B31"/>
    <w:rsid w:val="00994F76"/>
    <w:rsid w:val="009A1A69"/>
    <w:rsid w:val="009A5742"/>
    <w:rsid w:val="009B09DB"/>
    <w:rsid w:val="009B16B5"/>
    <w:rsid w:val="009B2814"/>
    <w:rsid w:val="009C0E51"/>
    <w:rsid w:val="009C3B3A"/>
    <w:rsid w:val="009C417B"/>
    <w:rsid w:val="009C5105"/>
    <w:rsid w:val="009D2D98"/>
    <w:rsid w:val="009D3C24"/>
    <w:rsid w:val="009D6801"/>
    <w:rsid w:val="009D6E91"/>
    <w:rsid w:val="009D79FC"/>
    <w:rsid w:val="009E4821"/>
    <w:rsid w:val="009E5B20"/>
    <w:rsid w:val="009E5CAB"/>
    <w:rsid w:val="009E6428"/>
    <w:rsid w:val="009F0479"/>
    <w:rsid w:val="009F7FED"/>
    <w:rsid w:val="00A0344D"/>
    <w:rsid w:val="00A05FA1"/>
    <w:rsid w:val="00A12ABE"/>
    <w:rsid w:val="00A15551"/>
    <w:rsid w:val="00A20A0C"/>
    <w:rsid w:val="00A24E63"/>
    <w:rsid w:val="00A35068"/>
    <w:rsid w:val="00A41DA3"/>
    <w:rsid w:val="00A4713D"/>
    <w:rsid w:val="00A56BB6"/>
    <w:rsid w:val="00A61F53"/>
    <w:rsid w:val="00A63927"/>
    <w:rsid w:val="00A665C3"/>
    <w:rsid w:val="00A677BE"/>
    <w:rsid w:val="00A67839"/>
    <w:rsid w:val="00A71376"/>
    <w:rsid w:val="00A7379B"/>
    <w:rsid w:val="00A74C5D"/>
    <w:rsid w:val="00A83A31"/>
    <w:rsid w:val="00A85CA8"/>
    <w:rsid w:val="00A86125"/>
    <w:rsid w:val="00A97317"/>
    <w:rsid w:val="00A97A8E"/>
    <w:rsid w:val="00AA2F3C"/>
    <w:rsid w:val="00AA49F1"/>
    <w:rsid w:val="00AA7DF5"/>
    <w:rsid w:val="00AB1BC7"/>
    <w:rsid w:val="00AB572B"/>
    <w:rsid w:val="00AB76E2"/>
    <w:rsid w:val="00AB7D18"/>
    <w:rsid w:val="00AC004F"/>
    <w:rsid w:val="00AD0B3E"/>
    <w:rsid w:val="00AD0C7B"/>
    <w:rsid w:val="00AD75AC"/>
    <w:rsid w:val="00AE13CF"/>
    <w:rsid w:val="00AE341E"/>
    <w:rsid w:val="00AE636C"/>
    <w:rsid w:val="00AF2B3E"/>
    <w:rsid w:val="00AF35D2"/>
    <w:rsid w:val="00AF3C2F"/>
    <w:rsid w:val="00B02669"/>
    <w:rsid w:val="00B0491F"/>
    <w:rsid w:val="00B10B98"/>
    <w:rsid w:val="00B151DE"/>
    <w:rsid w:val="00B15429"/>
    <w:rsid w:val="00B22BBF"/>
    <w:rsid w:val="00B322E2"/>
    <w:rsid w:val="00B32774"/>
    <w:rsid w:val="00B32E45"/>
    <w:rsid w:val="00B36CAD"/>
    <w:rsid w:val="00B42113"/>
    <w:rsid w:val="00B543C5"/>
    <w:rsid w:val="00B67AC1"/>
    <w:rsid w:val="00B71803"/>
    <w:rsid w:val="00B72B9A"/>
    <w:rsid w:val="00B7308C"/>
    <w:rsid w:val="00B73736"/>
    <w:rsid w:val="00B767C4"/>
    <w:rsid w:val="00B973C6"/>
    <w:rsid w:val="00B976D1"/>
    <w:rsid w:val="00BA3AA4"/>
    <w:rsid w:val="00BA740B"/>
    <w:rsid w:val="00BA75E3"/>
    <w:rsid w:val="00BB0571"/>
    <w:rsid w:val="00BB53DC"/>
    <w:rsid w:val="00BC3124"/>
    <w:rsid w:val="00BC36F6"/>
    <w:rsid w:val="00BC4474"/>
    <w:rsid w:val="00BC5B90"/>
    <w:rsid w:val="00BC5DA1"/>
    <w:rsid w:val="00BD0CED"/>
    <w:rsid w:val="00BD7D30"/>
    <w:rsid w:val="00BE5ECA"/>
    <w:rsid w:val="00BE6D39"/>
    <w:rsid w:val="00BE6D3F"/>
    <w:rsid w:val="00BF561B"/>
    <w:rsid w:val="00BF6553"/>
    <w:rsid w:val="00BF69B0"/>
    <w:rsid w:val="00BF7724"/>
    <w:rsid w:val="00C10C4A"/>
    <w:rsid w:val="00C1100C"/>
    <w:rsid w:val="00C133B2"/>
    <w:rsid w:val="00C1752F"/>
    <w:rsid w:val="00C17F98"/>
    <w:rsid w:val="00C230BA"/>
    <w:rsid w:val="00C244C7"/>
    <w:rsid w:val="00C2663F"/>
    <w:rsid w:val="00C26CA0"/>
    <w:rsid w:val="00C31038"/>
    <w:rsid w:val="00C31D56"/>
    <w:rsid w:val="00C407AD"/>
    <w:rsid w:val="00C472CA"/>
    <w:rsid w:val="00C523D6"/>
    <w:rsid w:val="00C64E88"/>
    <w:rsid w:val="00CA58D4"/>
    <w:rsid w:val="00CB21E7"/>
    <w:rsid w:val="00CB2F3E"/>
    <w:rsid w:val="00CC1A9F"/>
    <w:rsid w:val="00CC1E20"/>
    <w:rsid w:val="00CC243A"/>
    <w:rsid w:val="00CC338F"/>
    <w:rsid w:val="00CC3466"/>
    <w:rsid w:val="00CD1100"/>
    <w:rsid w:val="00CD116F"/>
    <w:rsid w:val="00CD13A4"/>
    <w:rsid w:val="00CE7971"/>
    <w:rsid w:val="00D018A9"/>
    <w:rsid w:val="00D33507"/>
    <w:rsid w:val="00D41E91"/>
    <w:rsid w:val="00D43DB2"/>
    <w:rsid w:val="00D509D2"/>
    <w:rsid w:val="00D56825"/>
    <w:rsid w:val="00D6002A"/>
    <w:rsid w:val="00D623DF"/>
    <w:rsid w:val="00D654BF"/>
    <w:rsid w:val="00D7625B"/>
    <w:rsid w:val="00D80703"/>
    <w:rsid w:val="00D818A1"/>
    <w:rsid w:val="00D85FCD"/>
    <w:rsid w:val="00D919C2"/>
    <w:rsid w:val="00D91AB6"/>
    <w:rsid w:val="00DA2CDE"/>
    <w:rsid w:val="00DB00F4"/>
    <w:rsid w:val="00DB50AB"/>
    <w:rsid w:val="00DB6427"/>
    <w:rsid w:val="00DD3B14"/>
    <w:rsid w:val="00DD4442"/>
    <w:rsid w:val="00DE164F"/>
    <w:rsid w:val="00DE1DB6"/>
    <w:rsid w:val="00DE38EB"/>
    <w:rsid w:val="00DE4BB2"/>
    <w:rsid w:val="00DF2215"/>
    <w:rsid w:val="00DF485C"/>
    <w:rsid w:val="00E07301"/>
    <w:rsid w:val="00E20994"/>
    <w:rsid w:val="00E235CA"/>
    <w:rsid w:val="00E240D8"/>
    <w:rsid w:val="00E33063"/>
    <w:rsid w:val="00E40AF8"/>
    <w:rsid w:val="00E50D97"/>
    <w:rsid w:val="00E5209A"/>
    <w:rsid w:val="00E643E8"/>
    <w:rsid w:val="00E71BEE"/>
    <w:rsid w:val="00E72344"/>
    <w:rsid w:val="00E72E89"/>
    <w:rsid w:val="00E73AEC"/>
    <w:rsid w:val="00E91002"/>
    <w:rsid w:val="00EA2BED"/>
    <w:rsid w:val="00EA7391"/>
    <w:rsid w:val="00EC1BD7"/>
    <w:rsid w:val="00EC2194"/>
    <w:rsid w:val="00ED0AE3"/>
    <w:rsid w:val="00ED7A66"/>
    <w:rsid w:val="00EE020E"/>
    <w:rsid w:val="00EF725F"/>
    <w:rsid w:val="00F14D6C"/>
    <w:rsid w:val="00F210AF"/>
    <w:rsid w:val="00F34FEF"/>
    <w:rsid w:val="00F365DC"/>
    <w:rsid w:val="00F63CCA"/>
    <w:rsid w:val="00F64023"/>
    <w:rsid w:val="00F66DAD"/>
    <w:rsid w:val="00F7406B"/>
    <w:rsid w:val="00F746C1"/>
    <w:rsid w:val="00F8658A"/>
    <w:rsid w:val="00F875EF"/>
    <w:rsid w:val="00F9731A"/>
    <w:rsid w:val="00F974A3"/>
    <w:rsid w:val="00FC497C"/>
    <w:rsid w:val="00FC7045"/>
    <w:rsid w:val="00FD6453"/>
    <w:rsid w:val="00FE5071"/>
    <w:rsid w:val="00FE6463"/>
    <w:rsid w:val="00FF1058"/>
    <w:rsid w:val="00FF1A0F"/>
    <w:rsid w:val="00FF1B2F"/>
    <w:rsid w:val="00FF3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6493F"/>
  <w15:chartTrackingRefBased/>
  <w15:docId w15:val="{D5F4DAE6-32E9-4476-AA56-DE2CDA6C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D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3DC"/>
    <w:rPr>
      <w:rFonts w:ascii="Segoe UI" w:hAnsi="Segoe UI" w:cs="Segoe UI"/>
      <w:sz w:val="18"/>
      <w:szCs w:val="18"/>
    </w:rPr>
  </w:style>
  <w:style w:type="paragraph" w:styleId="ListParagraph">
    <w:name w:val="List Paragraph"/>
    <w:basedOn w:val="Normal"/>
    <w:uiPriority w:val="34"/>
    <w:qFormat/>
    <w:rsid w:val="00A97317"/>
    <w:pPr>
      <w:ind w:left="720"/>
      <w:contextualSpacing/>
    </w:pPr>
  </w:style>
  <w:style w:type="paragraph" w:customStyle="1" w:styleId="legcohead3">
    <w:name w:val="legcohead3"/>
    <w:basedOn w:val="Normal"/>
    <w:rsid w:val="009C3B3A"/>
    <w:pPr>
      <w:keepNext/>
      <w:spacing w:after="0" w:line="240" w:lineRule="auto"/>
    </w:pPr>
    <w:rPr>
      <w:rFonts w:eastAsia="Times New Roman"/>
      <w:b/>
      <w:kern w:val="28"/>
      <w:szCs w:val="20"/>
      <w:lang w:val="en-US" w:eastAsia="en-AU"/>
    </w:rPr>
  </w:style>
  <w:style w:type="character" w:customStyle="1" w:styleId="Heading2Char">
    <w:name w:val="Heading 2 Char"/>
    <w:basedOn w:val="DefaultParagraphFont"/>
    <w:link w:val="Heading2"/>
    <w:uiPriority w:val="9"/>
    <w:rsid w:val="008E48A8"/>
    <w:rPr>
      <w:rFonts w:asciiTheme="majorHAnsi" w:eastAsiaTheme="majorEastAsia" w:hAnsiTheme="majorHAnsi" w:cstheme="majorBidi"/>
      <w:color w:val="2E74B5" w:themeColor="accent1" w:themeShade="BF"/>
      <w:sz w:val="26"/>
      <w:szCs w:val="26"/>
    </w:rPr>
  </w:style>
  <w:style w:type="paragraph" w:customStyle="1" w:styleId="Definition">
    <w:name w:val="Definition"/>
    <w:aliases w:val="dd,t_Defn"/>
    <w:basedOn w:val="Normal"/>
    <w:rsid w:val="003274E1"/>
    <w:pPr>
      <w:spacing w:before="180" w:after="0" w:line="240" w:lineRule="auto"/>
      <w:ind w:left="1134"/>
    </w:pPr>
    <w:rPr>
      <w:rFonts w:eastAsia="Times New Roman"/>
      <w:sz w:val="22"/>
      <w:szCs w:val="20"/>
      <w:lang w:eastAsia="en-AU"/>
    </w:rPr>
  </w:style>
  <w:style w:type="paragraph" w:styleId="Header">
    <w:name w:val="header"/>
    <w:basedOn w:val="Normal"/>
    <w:link w:val="HeaderChar"/>
    <w:uiPriority w:val="99"/>
    <w:unhideWhenUsed/>
    <w:rsid w:val="008A5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402"/>
  </w:style>
  <w:style w:type="paragraph" w:styleId="Footer">
    <w:name w:val="footer"/>
    <w:basedOn w:val="Normal"/>
    <w:link w:val="FooterChar"/>
    <w:uiPriority w:val="99"/>
    <w:unhideWhenUsed/>
    <w:rsid w:val="008A5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402"/>
  </w:style>
  <w:style w:type="character" w:styleId="CommentReference">
    <w:name w:val="annotation reference"/>
    <w:basedOn w:val="DefaultParagraphFont"/>
    <w:uiPriority w:val="99"/>
    <w:semiHidden/>
    <w:unhideWhenUsed/>
    <w:rsid w:val="00401531"/>
    <w:rPr>
      <w:sz w:val="16"/>
      <w:szCs w:val="16"/>
    </w:rPr>
  </w:style>
  <w:style w:type="paragraph" w:styleId="CommentText">
    <w:name w:val="annotation text"/>
    <w:basedOn w:val="Normal"/>
    <w:link w:val="CommentTextChar"/>
    <w:uiPriority w:val="99"/>
    <w:unhideWhenUsed/>
    <w:rsid w:val="00401531"/>
    <w:pPr>
      <w:spacing w:line="240" w:lineRule="auto"/>
    </w:pPr>
    <w:rPr>
      <w:sz w:val="20"/>
      <w:szCs w:val="20"/>
    </w:rPr>
  </w:style>
  <w:style w:type="character" w:customStyle="1" w:styleId="CommentTextChar">
    <w:name w:val="Comment Text Char"/>
    <w:basedOn w:val="DefaultParagraphFont"/>
    <w:link w:val="CommentText"/>
    <w:uiPriority w:val="99"/>
    <w:rsid w:val="00401531"/>
    <w:rPr>
      <w:sz w:val="20"/>
      <w:szCs w:val="20"/>
    </w:rPr>
  </w:style>
  <w:style w:type="paragraph" w:styleId="CommentSubject">
    <w:name w:val="annotation subject"/>
    <w:basedOn w:val="CommentText"/>
    <w:next w:val="CommentText"/>
    <w:link w:val="CommentSubjectChar"/>
    <w:uiPriority w:val="99"/>
    <w:semiHidden/>
    <w:unhideWhenUsed/>
    <w:rsid w:val="00401531"/>
    <w:rPr>
      <w:b/>
      <w:bCs/>
    </w:rPr>
  </w:style>
  <w:style w:type="character" w:customStyle="1" w:styleId="CommentSubjectChar">
    <w:name w:val="Comment Subject Char"/>
    <w:basedOn w:val="CommentTextChar"/>
    <w:link w:val="CommentSubject"/>
    <w:uiPriority w:val="99"/>
    <w:semiHidden/>
    <w:rsid w:val="00401531"/>
    <w:rPr>
      <w:b/>
      <w:bCs/>
      <w:sz w:val="20"/>
      <w:szCs w:val="20"/>
    </w:rPr>
  </w:style>
  <w:style w:type="paragraph" w:styleId="Revision">
    <w:name w:val="Revision"/>
    <w:hidden/>
    <w:uiPriority w:val="99"/>
    <w:semiHidden/>
    <w:rsid w:val="00DF485C"/>
    <w:pPr>
      <w:spacing w:after="0" w:line="240" w:lineRule="auto"/>
    </w:pPr>
  </w:style>
  <w:style w:type="character" w:customStyle="1" w:styleId="Heading1Char">
    <w:name w:val="Heading 1 Char"/>
    <w:basedOn w:val="DefaultParagraphFont"/>
    <w:link w:val="Heading1"/>
    <w:uiPriority w:val="9"/>
    <w:rsid w:val="00026D3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F4194"/>
    <w:rPr>
      <w:color w:val="0563C1" w:themeColor="hyperlink"/>
      <w:u w:val="single"/>
    </w:rPr>
  </w:style>
  <w:style w:type="character" w:styleId="UnresolvedMention">
    <w:name w:val="Unresolved Mention"/>
    <w:basedOn w:val="DefaultParagraphFont"/>
    <w:uiPriority w:val="99"/>
    <w:semiHidden/>
    <w:unhideWhenUsed/>
    <w:rsid w:val="007F4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3935">
      <w:bodyDiv w:val="1"/>
      <w:marLeft w:val="0"/>
      <w:marRight w:val="0"/>
      <w:marTop w:val="0"/>
      <w:marBottom w:val="0"/>
      <w:divBdr>
        <w:top w:val="none" w:sz="0" w:space="0" w:color="auto"/>
        <w:left w:val="none" w:sz="0" w:space="0" w:color="auto"/>
        <w:bottom w:val="none" w:sz="0" w:space="0" w:color="auto"/>
        <w:right w:val="none" w:sz="0" w:space="0" w:color="auto"/>
      </w:divBdr>
    </w:div>
    <w:div w:id="425082949">
      <w:bodyDiv w:val="1"/>
      <w:marLeft w:val="0"/>
      <w:marRight w:val="0"/>
      <w:marTop w:val="0"/>
      <w:marBottom w:val="0"/>
      <w:divBdr>
        <w:top w:val="none" w:sz="0" w:space="0" w:color="auto"/>
        <w:left w:val="none" w:sz="0" w:space="0" w:color="auto"/>
        <w:bottom w:val="none" w:sz="0" w:space="0" w:color="auto"/>
        <w:right w:val="none" w:sz="0" w:space="0" w:color="auto"/>
      </w:divBdr>
    </w:div>
    <w:div w:id="604187975">
      <w:bodyDiv w:val="1"/>
      <w:marLeft w:val="0"/>
      <w:marRight w:val="0"/>
      <w:marTop w:val="0"/>
      <w:marBottom w:val="0"/>
      <w:divBdr>
        <w:top w:val="none" w:sz="0" w:space="0" w:color="auto"/>
        <w:left w:val="none" w:sz="0" w:space="0" w:color="auto"/>
        <w:bottom w:val="none" w:sz="0" w:space="0" w:color="auto"/>
        <w:right w:val="none" w:sz="0" w:space="0" w:color="auto"/>
      </w:divBdr>
    </w:div>
    <w:div w:id="682367299">
      <w:bodyDiv w:val="1"/>
      <w:marLeft w:val="0"/>
      <w:marRight w:val="0"/>
      <w:marTop w:val="0"/>
      <w:marBottom w:val="0"/>
      <w:divBdr>
        <w:top w:val="none" w:sz="0" w:space="0" w:color="auto"/>
        <w:left w:val="none" w:sz="0" w:space="0" w:color="auto"/>
        <w:bottom w:val="none" w:sz="0" w:space="0" w:color="auto"/>
        <w:right w:val="none" w:sz="0" w:space="0" w:color="auto"/>
      </w:divBdr>
      <w:divsChild>
        <w:div w:id="1009329049">
          <w:marLeft w:val="0"/>
          <w:marRight w:val="0"/>
          <w:marTop w:val="0"/>
          <w:marBottom w:val="0"/>
          <w:divBdr>
            <w:top w:val="none" w:sz="0" w:space="0" w:color="auto"/>
            <w:left w:val="none" w:sz="0" w:space="0" w:color="auto"/>
            <w:bottom w:val="none" w:sz="0" w:space="0" w:color="auto"/>
            <w:right w:val="none" w:sz="0" w:space="0" w:color="auto"/>
          </w:divBdr>
          <w:divsChild>
            <w:div w:id="1096289469">
              <w:marLeft w:val="0"/>
              <w:marRight w:val="0"/>
              <w:marTop w:val="0"/>
              <w:marBottom w:val="0"/>
              <w:divBdr>
                <w:top w:val="none" w:sz="0" w:space="0" w:color="auto"/>
                <w:left w:val="none" w:sz="0" w:space="0" w:color="auto"/>
                <w:bottom w:val="none" w:sz="0" w:space="0" w:color="auto"/>
                <w:right w:val="none" w:sz="0" w:space="0" w:color="auto"/>
              </w:divBdr>
              <w:divsChild>
                <w:div w:id="1701129858">
                  <w:marLeft w:val="0"/>
                  <w:marRight w:val="0"/>
                  <w:marTop w:val="0"/>
                  <w:marBottom w:val="0"/>
                  <w:divBdr>
                    <w:top w:val="none" w:sz="0" w:space="0" w:color="auto"/>
                    <w:left w:val="none" w:sz="0" w:space="0" w:color="auto"/>
                    <w:bottom w:val="none" w:sz="0" w:space="0" w:color="auto"/>
                    <w:right w:val="none" w:sz="0" w:space="0" w:color="auto"/>
                  </w:divBdr>
                  <w:divsChild>
                    <w:div w:id="2062122409">
                      <w:marLeft w:val="0"/>
                      <w:marRight w:val="0"/>
                      <w:marTop w:val="0"/>
                      <w:marBottom w:val="0"/>
                      <w:divBdr>
                        <w:top w:val="none" w:sz="0" w:space="0" w:color="auto"/>
                        <w:left w:val="none" w:sz="0" w:space="0" w:color="auto"/>
                        <w:bottom w:val="none" w:sz="0" w:space="0" w:color="auto"/>
                        <w:right w:val="none" w:sz="0" w:space="0" w:color="auto"/>
                      </w:divBdr>
                      <w:divsChild>
                        <w:div w:id="1930891265">
                          <w:marLeft w:val="0"/>
                          <w:marRight w:val="0"/>
                          <w:marTop w:val="0"/>
                          <w:marBottom w:val="0"/>
                          <w:divBdr>
                            <w:top w:val="none" w:sz="0" w:space="0" w:color="auto"/>
                            <w:left w:val="none" w:sz="0" w:space="0" w:color="auto"/>
                            <w:bottom w:val="none" w:sz="0" w:space="0" w:color="auto"/>
                            <w:right w:val="none" w:sz="0" w:space="0" w:color="auto"/>
                          </w:divBdr>
                          <w:divsChild>
                            <w:div w:id="956525195">
                              <w:marLeft w:val="0"/>
                              <w:marRight w:val="0"/>
                              <w:marTop w:val="0"/>
                              <w:marBottom w:val="0"/>
                              <w:divBdr>
                                <w:top w:val="none" w:sz="0" w:space="0" w:color="auto"/>
                                <w:left w:val="none" w:sz="0" w:space="0" w:color="auto"/>
                                <w:bottom w:val="none" w:sz="0" w:space="0" w:color="auto"/>
                                <w:right w:val="none" w:sz="0" w:space="0" w:color="auto"/>
                              </w:divBdr>
                              <w:divsChild>
                                <w:div w:id="2137719823">
                                  <w:marLeft w:val="0"/>
                                  <w:marRight w:val="0"/>
                                  <w:marTop w:val="0"/>
                                  <w:marBottom w:val="0"/>
                                  <w:divBdr>
                                    <w:top w:val="none" w:sz="0" w:space="0" w:color="auto"/>
                                    <w:left w:val="none" w:sz="0" w:space="0" w:color="auto"/>
                                    <w:bottom w:val="none" w:sz="0" w:space="0" w:color="auto"/>
                                    <w:right w:val="none" w:sz="0" w:space="0" w:color="auto"/>
                                  </w:divBdr>
                                  <w:divsChild>
                                    <w:div w:id="593513591">
                                      <w:marLeft w:val="0"/>
                                      <w:marRight w:val="0"/>
                                      <w:marTop w:val="0"/>
                                      <w:marBottom w:val="0"/>
                                      <w:divBdr>
                                        <w:top w:val="none" w:sz="0" w:space="0" w:color="auto"/>
                                        <w:left w:val="none" w:sz="0" w:space="0" w:color="auto"/>
                                        <w:bottom w:val="none" w:sz="0" w:space="0" w:color="auto"/>
                                        <w:right w:val="none" w:sz="0" w:space="0" w:color="auto"/>
                                      </w:divBdr>
                                      <w:divsChild>
                                        <w:div w:id="160901110">
                                          <w:marLeft w:val="0"/>
                                          <w:marRight w:val="0"/>
                                          <w:marTop w:val="0"/>
                                          <w:marBottom w:val="0"/>
                                          <w:divBdr>
                                            <w:top w:val="none" w:sz="0" w:space="0" w:color="auto"/>
                                            <w:left w:val="none" w:sz="0" w:space="0" w:color="auto"/>
                                            <w:bottom w:val="none" w:sz="0" w:space="0" w:color="auto"/>
                                            <w:right w:val="none" w:sz="0" w:space="0" w:color="auto"/>
                                          </w:divBdr>
                                          <w:divsChild>
                                            <w:div w:id="1340505440">
                                              <w:marLeft w:val="0"/>
                                              <w:marRight w:val="0"/>
                                              <w:marTop w:val="0"/>
                                              <w:marBottom w:val="0"/>
                                              <w:divBdr>
                                                <w:top w:val="none" w:sz="0" w:space="0" w:color="auto"/>
                                                <w:left w:val="none" w:sz="0" w:space="0" w:color="auto"/>
                                                <w:bottom w:val="none" w:sz="0" w:space="0" w:color="auto"/>
                                                <w:right w:val="none" w:sz="0" w:space="0" w:color="auto"/>
                                              </w:divBdr>
                                              <w:divsChild>
                                                <w:div w:id="490826561">
                                                  <w:marLeft w:val="0"/>
                                                  <w:marRight w:val="0"/>
                                                  <w:marTop w:val="0"/>
                                                  <w:marBottom w:val="0"/>
                                                  <w:divBdr>
                                                    <w:top w:val="none" w:sz="0" w:space="0" w:color="auto"/>
                                                    <w:left w:val="none" w:sz="0" w:space="0" w:color="auto"/>
                                                    <w:bottom w:val="none" w:sz="0" w:space="0" w:color="auto"/>
                                                    <w:right w:val="none" w:sz="0" w:space="0" w:color="auto"/>
                                                  </w:divBdr>
                                                  <w:divsChild>
                                                    <w:div w:id="510923117">
                                                      <w:marLeft w:val="0"/>
                                                      <w:marRight w:val="0"/>
                                                      <w:marTop w:val="0"/>
                                                      <w:marBottom w:val="0"/>
                                                      <w:divBdr>
                                                        <w:top w:val="none" w:sz="0" w:space="0" w:color="auto"/>
                                                        <w:left w:val="none" w:sz="0" w:space="0" w:color="auto"/>
                                                        <w:bottom w:val="none" w:sz="0" w:space="0" w:color="auto"/>
                                                        <w:right w:val="none" w:sz="0" w:space="0" w:color="auto"/>
                                                      </w:divBdr>
                                                      <w:divsChild>
                                                        <w:div w:id="11082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813654">
      <w:bodyDiv w:val="1"/>
      <w:marLeft w:val="0"/>
      <w:marRight w:val="0"/>
      <w:marTop w:val="0"/>
      <w:marBottom w:val="0"/>
      <w:divBdr>
        <w:top w:val="none" w:sz="0" w:space="0" w:color="auto"/>
        <w:left w:val="none" w:sz="0" w:space="0" w:color="auto"/>
        <w:bottom w:val="none" w:sz="0" w:space="0" w:color="auto"/>
        <w:right w:val="none" w:sz="0" w:space="0" w:color="auto"/>
      </w:divBdr>
    </w:div>
    <w:div w:id="1045368523">
      <w:bodyDiv w:val="1"/>
      <w:marLeft w:val="0"/>
      <w:marRight w:val="0"/>
      <w:marTop w:val="0"/>
      <w:marBottom w:val="0"/>
      <w:divBdr>
        <w:top w:val="none" w:sz="0" w:space="0" w:color="auto"/>
        <w:left w:val="none" w:sz="0" w:space="0" w:color="auto"/>
        <w:bottom w:val="none" w:sz="0" w:space="0" w:color="auto"/>
        <w:right w:val="none" w:sz="0" w:space="0" w:color="auto"/>
      </w:divBdr>
      <w:divsChild>
        <w:div w:id="360130427">
          <w:marLeft w:val="0"/>
          <w:marRight w:val="0"/>
          <w:marTop w:val="0"/>
          <w:marBottom w:val="0"/>
          <w:divBdr>
            <w:top w:val="none" w:sz="0" w:space="0" w:color="auto"/>
            <w:left w:val="none" w:sz="0" w:space="0" w:color="auto"/>
            <w:bottom w:val="none" w:sz="0" w:space="0" w:color="auto"/>
            <w:right w:val="none" w:sz="0" w:space="0" w:color="auto"/>
          </w:divBdr>
          <w:divsChild>
            <w:div w:id="1216038877">
              <w:marLeft w:val="0"/>
              <w:marRight w:val="0"/>
              <w:marTop w:val="0"/>
              <w:marBottom w:val="0"/>
              <w:divBdr>
                <w:top w:val="none" w:sz="0" w:space="0" w:color="auto"/>
                <w:left w:val="none" w:sz="0" w:space="0" w:color="auto"/>
                <w:bottom w:val="none" w:sz="0" w:space="0" w:color="auto"/>
                <w:right w:val="none" w:sz="0" w:space="0" w:color="auto"/>
              </w:divBdr>
              <w:divsChild>
                <w:div w:id="656568383">
                  <w:marLeft w:val="0"/>
                  <w:marRight w:val="0"/>
                  <w:marTop w:val="0"/>
                  <w:marBottom w:val="0"/>
                  <w:divBdr>
                    <w:top w:val="none" w:sz="0" w:space="0" w:color="auto"/>
                    <w:left w:val="none" w:sz="0" w:space="0" w:color="auto"/>
                    <w:bottom w:val="none" w:sz="0" w:space="0" w:color="auto"/>
                    <w:right w:val="none" w:sz="0" w:space="0" w:color="auto"/>
                  </w:divBdr>
                  <w:divsChild>
                    <w:div w:id="2051492350">
                      <w:marLeft w:val="0"/>
                      <w:marRight w:val="0"/>
                      <w:marTop w:val="0"/>
                      <w:marBottom w:val="0"/>
                      <w:divBdr>
                        <w:top w:val="none" w:sz="0" w:space="0" w:color="auto"/>
                        <w:left w:val="none" w:sz="0" w:space="0" w:color="auto"/>
                        <w:bottom w:val="none" w:sz="0" w:space="0" w:color="auto"/>
                        <w:right w:val="none" w:sz="0" w:space="0" w:color="auto"/>
                      </w:divBdr>
                      <w:divsChild>
                        <w:div w:id="595332380">
                          <w:marLeft w:val="0"/>
                          <w:marRight w:val="0"/>
                          <w:marTop w:val="0"/>
                          <w:marBottom w:val="0"/>
                          <w:divBdr>
                            <w:top w:val="none" w:sz="0" w:space="0" w:color="auto"/>
                            <w:left w:val="none" w:sz="0" w:space="0" w:color="auto"/>
                            <w:bottom w:val="none" w:sz="0" w:space="0" w:color="auto"/>
                            <w:right w:val="none" w:sz="0" w:space="0" w:color="auto"/>
                          </w:divBdr>
                          <w:divsChild>
                            <w:div w:id="1667636700">
                              <w:marLeft w:val="0"/>
                              <w:marRight w:val="0"/>
                              <w:marTop w:val="0"/>
                              <w:marBottom w:val="0"/>
                              <w:divBdr>
                                <w:top w:val="none" w:sz="0" w:space="0" w:color="auto"/>
                                <w:left w:val="none" w:sz="0" w:space="0" w:color="auto"/>
                                <w:bottom w:val="none" w:sz="0" w:space="0" w:color="auto"/>
                                <w:right w:val="none" w:sz="0" w:space="0" w:color="auto"/>
                              </w:divBdr>
                              <w:divsChild>
                                <w:div w:id="1657764328">
                                  <w:marLeft w:val="0"/>
                                  <w:marRight w:val="0"/>
                                  <w:marTop w:val="0"/>
                                  <w:marBottom w:val="0"/>
                                  <w:divBdr>
                                    <w:top w:val="none" w:sz="0" w:space="0" w:color="auto"/>
                                    <w:left w:val="none" w:sz="0" w:space="0" w:color="auto"/>
                                    <w:bottom w:val="none" w:sz="0" w:space="0" w:color="auto"/>
                                    <w:right w:val="none" w:sz="0" w:space="0" w:color="auto"/>
                                  </w:divBdr>
                                  <w:divsChild>
                                    <w:div w:id="1883397289">
                                      <w:marLeft w:val="0"/>
                                      <w:marRight w:val="0"/>
                                      <w:marTop w:val="0"/>
                                      <w:marBottom w:val="0"/>
                                      <w:divBdr>
                                        <w:top w:val="none" w:sz="0" w:space="0" w:color="auto"/>
                                        <w:left w:val="none" w:sz="0" w:space="0" w:color="auto"/>
                                        <w:bottom w:val="none" w:sz="0" w:space="0" w:color="auto"/>
                                        <w:right w:val="none" w:sz="0" w:space="0" w:color="auto"/>
                                      </w:divBdr>
                                      <w:divsChild>
                                        <w:div w:id="1101101815">
                                          <w:marLeft w:val="0"/>
                                          <w:marRight w:val="0"/>
                                          <w:marTop w:val="0"/>
                                          <w:marBottom w:val="0"/>
                                          <w:divBdr>
                                            <w:top w:val="none" w:sz="0" w:space="0" w:color="auto"/>
                                            <w:left w:val="none" w:sz="0" w:space="0" w:color="auto"/>
                                            <w:bottom w:val="none" w:sz="0" w:space="0" w:color="auto"/>
                                            <w:right w:val="none" w:sz="0" w:space="0" w:color="auto"/>
                                          </w:divBdr>
                                          <w:divsChild>
                                            <w:div w:id="276716011">
                                              <w:marLeft w:val="0"/>
                                              <w:marRight w:val="0"/>
                                              <w:marTop w:val="0"/>
                                              <w:marBottom w:val="0"/>
                                              <w:divBdr>
                                                <w:top w:val="none" w:sz="0" w:space="0" w:color="auto"/>
                                                <w:left w:val="none" w:sz="0" w:space="0" w:color="auto"/>
                                                <w:bottom w:val="none" w:sz="0" w:space="0" w:color="auto"/>
                                                <w:right w:val="none" w:sz="0" w:space="0" w:color="auto"/>
                                              </w:divBdr>
                                              <w:divsChild>
                                                <w:div w:id="856626888">
                                                  <w:marLeft w:val="0"/>
                                                  <w:marRight w:val="0"/>
                                                  <w:marTop w:val="0"/>
                                                  <w:marBottom w:val="0"/>
                                                  <w:divBdr>
                                                    <w:top w:val="none" w:sz="0" w:space="0" w:color="auto"/>
                                                    <w:left w:val="none" w:sz="0" w:space="0" w:color="auto"/>
                                                    <w:bottom w:val="none" w:sz="0" w:space="0" w:color="auto"/>
                                                    <w:right w:val="none" w:sz="0" w:space="0" w:color="auto"/>
                                                  </w:divBdr>
                                                  <w:divsChild>
                                                    <w:div w:id="912081886">
                                                      <w:marLeft w:val="0"/>
                                                      <w:marRight w:val="0"/>
                                                      <w:marTop w:val="0"/>
                                                      <w:marBottom w:val="0"/>
                                                      <w:divBdr>
                                                        <w:top w:val="none" w:sz="0" w:space="0" w:color="auto"/>
                                                        <w:left w:val="none" w:sz="0" w:space="0" w:color="auto"/>
                                                        <w:bottom w:val="none" w:sz="0" w:space="0" w:color="auto"/>
                                                        <w:right w:val="none" w:sz="0" w:space="0" w:color="auto"/>
                                                      </w:divBdr>
                                                      <w:divsChild>
                                                        <w:div w:id="2815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318684">
      <w:bodyDiv w:val="1"/>
      <w:marLeft w:val="0"/>
      <w:marRight w:val="0"/>
      <w:marTop w:val="0"/>
      <w:marBottom w:val="0"/>
      <w:divBdr>
        <w:top w:val="none" w:sz="0" w:space="0" w:color="auto"/>
        <w:left w:val="none" w:sz="0" w:space="0" w:color="auto"/>
        <w:bottom w:val="none" w:sz="0" w:space="0" w:color="auto"/>
        <w:right w:val="none" w:sz="0" w:space="0" w:color="auto"/>
      </w:divBdr>
      <w:divsChild>
        <w:div w:id="1449467431">
          <w:marLeft w:val="0"/>
          <w:marRight w:val="0"/>
          <w:marTop w:val="0"/>
          <w:marBottom w:val="0"/>
          <w:divBdr>
            <w:top w:val="none" w:sz="0" w:space="0" w:color="auto"/>
            <w:left w:val="none" w:sz="0" w:space="0" w:color="auto"/>
            <w:bottom w:val="none" w:sz="0" w:space="0" w:color="auto"/>
            <w:right w:val="none" w:sz="0" w:space="0" w:color="auto"/>
          </w:divBdr>
          <w:divsChild>
            <w:div w:id="400100398">
              <w:marLeft w:val="0"/>
              <w:marRight w:val="0"/>
              <w:marTop w:val="0"/>
              <w:marBottom w:val="0"/>
              <w:divBdr>
                <w:top w:val="none" w:sz="0" w:space="0" w:color="auto"/>
                <w:left w:val="none" w:sz="0" w:space="0" w:color="auto"/>
                <w:bottom w:val="none" w:sz="0" w:space="0" w:color="auto"/>
                <w:right w:val="none" w:sz="0" w:space="0" w:color="auto"/>
              </w:divBdr>
              <w:divsChild>
                <w:div w:id="710350016">
                  <w:marLeft w:val="0"/>
                  <w:marRight w:val="0"/>
                  <w:marTop w:val="0"/>
                  <w:marBottom w:val="0"/>
                  <w:divBdr>
                    <w:top w:val="none" w:sz="0" w:space="0" w:color="auto"/>
                    <w:left w:val="none" w:sz="0" w:space="0" w:color="auto"/>
                    <w:bottom w:val="none" w:sz="0" w:space="0" w:color="auto"/>
                    <w:right w:val="none" w:sz="0" w:space="0" w:color="auto"/>
                  </w:divBdr>
                  <w:divsChild>
                    <w:div w:id="980697480">
                      <w:marLeft w:val="0"/>
                      <w:marRight w:val="0"/>
                      <w:marTop w:val="0"/>
                      <w:marBottom w:val="0"/>
                      <w:divBdr>
                        <w:top w:val="none" w:sz="0" w:space="0" w:color="auto"/>
                        <w:left w:val="none" w:sz="0" w:space="0" w:color="auto"/>
                        <w:bottom w:val="none" w:sz="0" w:space="0" w:color="auto"/>
                        <w:right w:val="none" w:sz="0" w:space="0" w:color="auto"/>
                      </w:divBdr>
                      <w:divsChild>
                        <w:div w:id="861940861">
                          <w:marLeft w:val="0"/>
                          <w:marRight w:val="0"/>
                          <w:marTop w:val="0"/>
                          <w:marBottom w:val="0"/>
                          <w:divBdr>
                            <w:top w:val="none" w:sz="0" w:space="0" w:color="auto"/>
                            <w:left w:val="none" w:sz="0" w:space="0" w:color="auto"/>
                            <w:bottom w:val="none" w:sz="0" w:space="0" w:color="auto"/>
                            <w:right w:val="none" w:sz="0" w:space="0" w:color="auto"/>
                          </w:divBdr>
                          <w:divsChild>
                            <w:div w:id="1103568899">
                              <w:marLeft w:val="0"/>
                              <w:marRight w:val="0"/>
                              <w:marTop w:val="0"/>
                              <w:marBottom w:val="0"/>
                              <w:divBdr>
                                <w:top w:val="none" w:sz="0" w:space="0" w:color="auto"/>
                                <w:left w:val="none" w:sz="0" w:space="0" w:color="auto"/>
                                <w:bottom w:val="none" w:sz="0" w:space="0" w:color="auto"/>
                                <w:right w:val="none" w:sz="0" w:space="0" w:color="auto"/>
                              </w:divBdr>
                              <w:divsChild>
                                <w:div w:id="759064335">
                                  <w:marLeft w:val="0"/>
                                  <w:marRight w:val="0"/>
                                  <w:marTop w:val="0"/>
                                  <w:marBottom w:val="0"/>
                                  <w:divBdr>
                                    <w:top w:val="none" w:sz="0" w:space="0" w:color="auto"/>
                                    <w:left w:val="none" w:sz="0" w:space="0" w:color="auto"/>
                                    <w:bottom w:val="none" w:sz="0" w:space="0" w:color="auto"/>
                                    <w:right w:val="none" w:sz="0" w:space="0" w:color="auto"/>
                                  </w:divBdr>
                                  <w:divsChild>
                                    <w:div w:id="952518792">
                                      <w:marLeft w:val="0"/>
                                      <w:marRight w:val="0"/>
                                      <w:marTop w:val="0"/>
                                      <w:marBottom w:val="0"/>
                                      <w:divBdr>
                                        <w:top w:val="none" w:sz="0" w:space="0" w:color="auto"/>
                                        <w:left w:val="none" w:sz="0" w:space="0" w:color="auto"/>
                                        <w:bottom w:val="none" w:sz="0" w:space="0" w:color="auto"/>
                                        <w:right w:val="none" w:sz="0" w:space="0" w:color="auto"/>
                                      </w:divBdr>
                                      <w:divsChild>
                                        <w:div w:id="321616626">
                                          <w:marLeft w:val="0"/>
                                          <w:marRight w:val="0"/>
                                          <w:marTop w:val="0"/>
                                          <w:marBottom w:val="0"/>
                                          <w:divBdr>
                                            <w:top w:val="none" w:sz="0" w:space="0" w:color="auto"/>
                                            <w:left w:val="none" w:sz="0" w:space="0" w:color="auto"/>
                                            <w:bottom w:val="none" w:sz="0" w:space="0" w:color="auto"/>
                                            <w:right w:val="none" w:sz="0" w:space="0" w:color="auto"/>
                                          </w:divBdr>
                                          <w:divsChild>
                                            <w:div w:id="1721903007">
                                              <w:marLeft w:val="0"/>
                                              <w:marRight w:val="0"/>
                                              <w:marTop w:val="0"/>
                                              <w:marBottom w:val="0"/>
                                              <w:divBdr>
                                                <w:top w:val="none" w:sz="0" w:space="0" w:color="auto"/>
                                                <w:left w:val="none" w:sz="0" w:space="0" w:color="auto"/>
                                                <w:bottom w:val="none" w:sz="0" w:space="0" w:color="auto"/>
                                                <w:right w:val="none" w:sz="0" w:space="0" w:color="auto"/>
                                              </w:divBdr>
                                              <w:divsChild>
                                                <w:div w:id="890188966">
                                                  <w:marLeft w:val="0"/>
                                                  <w:marRight w:val="0"/>
                                                  <w:marTop w:val="0"/>
                                                  <w:marBottom w:val="0"/>
                                                  <w:divBdr>
                                                    <w:top w:val="none" w:sz="0" w:space="0" w:color="auto"/>
                                                    <w:left w:val="none" w:sz="0" w:space="0" w:color="auto"/>
                                                    <w:bottom w:val="none" w:sz="0" w:space="0" w:color="auto"/>
                                                    <w:right w:val="none" w:sz="0" w:space="0" w:color="auto"/>
                                                  </w:divBdr>
                                                  <w:divsChild>
                                                    <w:div w:id="1855918469">
                                                      <w:marLeft w:val="0"/>
                                                      <w:marRight w:val="0"/>
                                                      <w:marTop w:val="0"/>
                                                      <w:marBottom w:val="0"/>
                                                      <w:divBdr>
                                                        <w:top w:val="none" w:sz="0" w:space="0" w:color="auto"/>
                                                        <w:left w:val="none" w:sz="0" w:space="0" w:color="auto"/>
                                                        <w:bottom w:val="none" w:sz="0" w:space="0" w:color="auto"/>
                                                        <w:right w:val="none" w:sz="0" w:space="0" w:color="auto"/>
                                                      </w:divBdr>
                                                      <w:divsChild>
                                                        <w:div w:id="13494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 M A T T ! 9 8 7 6 8 3 4 3 . 1 < / d o c u m e n t i d >  
     < s e n d e r i d > 1 0 1 5 9 < / s e n d e r i d >  
     < s e n d e r e m a i l > K A H - M U N . W O N G @ S P A R K E . C O M . A U < / s e n d e r e m a i l >  
     < l a s t m o d i f i e d > 2 0 2 5 - 0 2 - 2 0 T 1 1 : 5 7 : 0 0 . 0 0 0 0 0 0 0 + 1 1 : 0 0 < / l a s t m o d i f i e d >  
     < d a t a b a s e > M A T T < / 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EF69B3B1D6A5F4A8CD43DE181B6DD0A" ma:contentTypeVersion="" ma:contentTypeDescription="PDMS Document Site Content Type" ma:contentTypeScope="" ma:versionID="a0ac1d39a1d348c86deb926710e5d26f">
  <xsd:schema xmlns:xsd="http://www.w3.org/2001/XMLSchema" xmlns:xs="http://www.w3.org/2001/XMLSchema" xmlns:p="http://schemas.microsoft.com/office/2006/metadata/properties" xmlns:ns2="31EC5D6C-7394-4809-A693-4754D1A8A473" targetNamespace="http://schemas.microsoft.com/office/2006/metadata/properties" ma:root="true" ma:fieldsID="cd8fad981737a08e40e945cc00b5ab7b" ns2:_="">
    <xsd:import namespace="31EC5D6C-7394-4809-A693-4754D1A8A47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C5D6C-7394-4809-A693-4754D1A8A47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31EC5D6C-7394-4809-A693-4754D1A8A473" xsi:nil="true"/>
  </documentManagement>
</p:properties>
</file>

<file path=customXml/itemProps1.xml><?xml version="1.0" encoding="utf-8"?>
<ds:datastoreItem xmlns:ds="http://schemas.openxmlformats.org/officeDocument/2006/customXml" ds:itemID="{3218A3F1-BCCC-4843-A3DE-3162FC8878E7}">
  <ds:schemaRefs>
    <ds:schemaRef ds:uri="http://www.imanage.com/work/xmlschema"/>
  </ds:schemaRefs>
</ds:datastoreItem>
</file>

<file path=customXml/itemProps2.xml><?xml version="1.0" encoding="utf-8"?>
<ds:datastoreItem xmlns:ds="http://schemas.openxmlformats.org/officeDocument/2006/customXml" ds:itemID="{922CD907-9E33-4882-AA62-E63F3B3ABBDD}">
  <ds:schemaRefs>
    <ds:schemaRef ds:uri="http://schemas.microsoft.com/sharepoint/v3/contenttype/forms"/>
  </ds:schemaRefs>
</ds:datastoreItem>
</file>

<file path=customXml/itemProps3.xml><?xml version="1.0" encoding="utf-8"?>
<ds:datastoreItem xmlns:ds="http://schemas.openxmlformats.org/officeDocument/2006/customXml" ds:itemID="{5EC81525-B6DA-4AB7-907E-D1B9F1FD915C}">
  <ds:schemaRefs>
    <ds:schemaRef ds:uri="http://schemas.openxmlformats.org/officeDocument/2006/bibliography"/>
  </ds:schemaRefs>
</ds:datastoreItem>
</file>

<file path=customXml/itemProps4.xml><?xml version="1.0" encoding="utf-8"?>
<ds:datastoreItem xmlns:ds="http://schemas.openxmlformats.org/officeDocument/2006/customXml" ds:itemID="{A79725FC-792D-4209-8357-0CBEE8EBF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C5D6C-7394-4809-A693-4754D1A8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608CB-5B36-4039-B33D-3B75EF08460C}">
  <ds:schemaRefs>
    <ds:schemaRef ds:uri="http://schemas.microsoft.com/office/2006/metadata/properties"/>
    <ds:schemaRef ds:uri="http://schemas.microsoft.com/office/infopath/2007/PartnerControls"/>
    <ds:schemaRef ds:uri="178747DC-0C4C-432E-B515-68A9F107732F"/>
    <ds:schemaRef ds:uri="31EC5D6C-7394-4809-A693-4754D1A8A4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Catherine</dc:creator>
  <cp:keywords/>
  <dc:description/>
  <cp:lastModifiedBy>WEBSTER, Stewart</cp:lastModifiedBy>
  <cp:revision>2</cp:revision>
  <cp:lastPrinted>2019-10-31T00:23:00Z</cp:lastPrinted>
  <dcterms:created xsi:type="dcterms:W3CDTF">2025-02-24T00:53:00Z</dcterms:created>
  <dcterms:modified xsi:type="dcterms:W3CDTF">2025-02-24T00:53:00Z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ContentTypeId">
    <vt:lpwstr>0x010100266966F133664895A6EE3632470D45F500CEF69B3B1D6A5F4A8CD43DE181B6DD0A</vt:lpwstr>
  </property>
</Properties>
</file>