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3196" w14:textId="6DAF00C8" w:rsidR="00CC2E84" w:rsidRPr="00665069" w:rsidRDefault="00CC2E84" w:rsidP="00CC2E84">
      <w:pPr>
        <w:autoSpaceDE w:val="0"/>
        <w:autoSpaceDN w:val="0"/>
        <w:adjustRightInd w:val="0"/>
        <w:spacing w:after="0" w:line="240" w:lineRule="auto"/>
        <w:jc w:val="center"/>
        <w:rPr>
          <w:rFonts w:ascii="Times New Roman" w:hAnsi="Times New Roman" w:cs="Times New Roman"/>
          <w:sz w:val="24"/>
          <w:szCs w:val="24"/>
        </w:rPr>
      </w:pPr>
      <w:r w:rsidRPr="00665069">
        <w:rPr>
          <w:rFonts w:ascii="Times New Roman" w:hAnsi="Times New Roman" w:cs="Times New Roman"/>
          <w:b/>
          <w:bCs/>
          <w:color w:val="000000"/>
          <w:sz w:val="24"/>
          <w:szCs w:val="24"/>
        </w:rPr>
        <w:t>EXPLANATORY STATEMENT</w:t>
      </w:r>
      <w:r w:rsidR="003F7AA8" w:rsidRPr="00665069">
        <w:rPr>
          <w:rFonts w:ascii="Times New Roman" w:hAnsi="Times New Roman" w:cs="Times New Roman"/>
          <w:b/>
          <w:bCs/>
          <w:color w:val="000000"/>
          <w:sz w:val="24"/>
          <w:szCs w:val="24"/>
        </w:rPr>
        <w:t xml:space="preserve"> </w:t>
      </w:r>
    </w:p>
    <w:p w14:paraId="30F42933" w14:textId="77777777" w:rsidR="00CC2E84" w:rsidRPr="00665069" w:rsidRDefault="00CC2E84" w:rsidP="00CC2E84">
      <w:pPr>
        <w:autoSpaceDE w:val="0"/>
        <w:autoSpaceDN w:val="0"/>
        <w:adjustRightInd w:val="0"/>
        <w:spacing w:after="0" w:line="240" w:lineRule="auto"/>
        <w:jc w:val="center"/>
        <w:rPr>
          <w:rFonts w:ascii="Times New Roman" w:hAnsi="Times New Roman" w:cs="Times New Roman"/>
          <w:color w:val="000000"/>
          <w:sz w:val="24"/>
          <w:szCs w:val="24"/>
        </w:rPr>
      </w:pPr>
    </w:p>
    <w:p w14:paraId="74E91623" w14:textId="58BD33A3" w:rsidR="00CF77FA" w:rsidRPr="00665069" w:rsidRDefault="00B32568" w:rsidP="001607E0">
      <w:pPr>
        <w:autoSpaceDE w:val="0"/>
        <w:autoSpaceDN w:val="0"/>
        <w:adjustRightInd w:val="0"/>
        <w:spacing w:after="0" w:line="240" w:lineRule="auto"/>
        <w:jc w:val="center"/>
        <w:rPr>
          <w:rFonts w:ascii="Times New Roman" w:hAnsi="Times New Roman" w:cs="Times New Roman"/>
          <w:b/>
          <w:bCs/>
          <w:i/>
          <w:iCs/>
          <w:color w:val="000000"/>
          <w:sz w:val="24"/>
          <w:szCs w:val="24"/>
        </w:rPr>
      </w:pPr>
      <w:r w:rsidRPr="00665069">
        <w:rPr>
          <w:rFonts w:ascii="Times New Roman" w:hAnsi="Times New Roman" w:cs="Times New Roman"/>
          <w:b/>
          <w:bCs/>
          <w:i/>
          <w:iCs/>
          <w:color w:val="000000"/>
          <w:sz w:val="24"/>
          <w:szCs w:val="24"/>
        </w:rPr>
        <w:t>National Health Act 1953</w:t>
      </w:r>
    </w:p>
    <w:p w14:paraId="7312C12D" w14:textId="77777777" w:rsidR="001607E0" w:rsidRPr="00665069" w:rsidRDefault="001607E0" w:rsidP="001607E0">
      <w:pPr>
        <w:autoSpaceDE w:val="0"/>
        <w:autoSpaceDN w:val="0"/>
        <w:adjustRightInd w:val="0"/>
        <w:spacing w:after="0" w:line="240" w:lineRule="auto"/>
        <w:jc w:val="center"/>
        <w:rPr>
          <w:rFonts w:ascii="Times New Roman" w:hAnsi="Times New Roman" w:cs="Times New Roman"/>
          <w:color w:val="000000"/>
          <w:sz w:val="24"/>
          <w:szCs w:val="24"/>
        </w:rPr>
      </w:pPr>
    </w:p>
    <w:p w14:paraId="2B1C10AB" w14:textId="2AAA65B4" w:rsidR="0048358C" w:rsidRPr="00665069" w:rsidRDefault="0048358C" w:rsidP="0048358C">
      <w:pPr>
        <w:jc w:val="center"/>
        <w:rPr>
          <w:rFonts w:ascii="Times New Roman" w:hAnsi="Times New Roman" w:cs="Times New Roman"/>
          <w:b/>
          <w:bCs/>
          <w:i/>
          <w:iCs/>
          <w:color w:val="000000"/>
          <w:sz w:val="24"/>
          <w:szCs w:val="24"/>
        </w:rPr>
      </w:pPr>
      <w:r w:rsidRPr="00665069">
        <w:rPr>
          <w:rFonts w:ascii="Times New Roman" w:hAnsi="Times New Roman" w:cs="Times New Roman"/>
          <w:b/>
          <w:bCs/>
          <w:i/>
          <w:iCs/>
          <w:color w:val="000000"/>
          <w:sz w:val="24"/>
          <w:szCs w:val="24"/>
        </w:rPr>
        <w:t>National Health (Pharmaceutical and Vaccines—Cost Recovery) Amendment (Administrative Arrangements) Regulations 2025</w:t>
      </w:r>
    </w:p>
    <w:p w14:paraId="6B44F629" w14:textId="77777777" w:rsidR="001607E0" w:rsidRPr="00665069" w:rsidRDefault="001607E0" w:rsidP="001607E0">
      <w:pPr>
        <w:spacing w:after="0" w:line="240" w:lineRule="auto"/>
        <w:rPr>
          <w:rFonts w:ascii="Times New Roman" w:hAnsi="Times New Roman" w:cs="Times New Roman"/>
          <w:color w:val="000000"/>
          <w:sz w:val="24"/>
          <w:szCs w:val="24"/>
        </w:rPr>
      </w:pPr>
    </w:p>
    <w:p w14:paraId="6690ADDF" w14:textId="10D8E139" w:rsidR="00CC2E84" w:rsidRPr="00665069" w:rsidRDefault="00CC2E84" w:rsidP="001607E0">
      <w:pPr>
        <w:spacing w:after="0" w:line="240" w:lineRule="auto"/>
        <w:rPr>
          <w:rFonts w:ascii="Times New Roman" w:eastAsia="Times New Roman" w:hAnsi="Times New Roman" w:cs="Times New Roman"/>
          <w:b/>
          <w:bCs/>
          <w:sz w:val="24"/>
          <w:szCs w:val="24"/>
          <w:lang w:eastAsia="en-AU"/>
        </w:rPr>
      </w:pPr>
      <w:r w:rsidRPr="00665069">
        <w:rPr>
          <w:rFonts w:ascii="Times New Roman" w:eastAsia="Times New Roman" w:hAnsi="Times New Roman" w:cs="Times New Roman"/>
          <w:b/>
          <w:bCs/>
          <w:sz w:val="24"/>
          <w:szCs w:val="24"/>
          <w:lang w:eastAsia="en-AU"/>
        </w:rPr>
        <w:t>Purpose and operation</w:t>
      </w:r>
    </w:p>
    <w:p w14:paraId="49856831" w14:textId="77777777" w:rsidR="00433A4D" w:rsidRPr="00665069" w:rsidRDefault="00433A4D" w:rsidP="00CC2E84">
      <w:pPr>
        <w:spacing w:after="0" w:line="240" w:lineRule="auto"/>
        <w:rPr>
          <w:rFonts w:ascii="Times New Roman" w:eastAsia="Times New Roman" w:hAnsi="Times New Roman" w:cs="Times New Roman"/>
          <w:sz w:val="24"/>
          <w:szCs w:val="24"/>
          <w:lang w:eastAsia="en-AU"/>
        </w:rPr>
      </w:pPr>
    </w:p>
    <w:p w14:paraId="3E7E4469" w14:textId="77777777" w:rsidR="007934AD" w:rsidRPr="00665069" w:rsidRDefault="007934AD" w:rsidP="007934AD">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i/>
          <w:iCs/>
          <w:color w:val="000000"/>
          <w:sz w:val="24"/>
          <w:szCs w:val="24"/>
        </w:rPr>
        <w:t xml:space="preserve">The National Health Act 1953 (the Act) </w:t>
      </w:r>
      <w:r w:rsidRPr="00665069">
        <w:rPr>
          <w:rFonts w:ascii="Times New Roman" w:hAnsi="Times New Roman" w:cs="Times New Roman"/>
          <w:color w:val="000000"/>
          <w:sz w:val="24"/>
          <w:szCs w:val="24"/>
        </w:rPr>
        <w:t>makes provision for pharmaceutical, sickness and hospital benefits, and medical and dental services.</w:t>
      </w:r>
    </w:p>
    <w:p w14:paraId="27B1121F" w14:textId="77777777" w:rsidR="007934AD" w:rsidRPr="00665069" w:rsidRDefault="007934AD" w:rsidP="007934AD">
      <w:pPr>
        <w:autoSpaceDE w:val="0"/>
        <w:autoSpaceDN w:val="0"/>
        <w:adjustRightInd w:val="0"/>
        <w:spacing w:after="0" w:line="240" w:lineRule="auto"/>
        <w:rPr>
          <w:rFonts w:ascii="Times New Roman" w:hAnsi="Times New Roman" w:cs="Times New Roman"/>
          <w:color w:val="000000"/>
          <w:sz w:val="24"/>
          <w:szCs w:val="24"/>
        </w:rPr>
      </w:pPr>
    </w:p>
    <w:p w14:paraId="64C24AC4" w14:textId="521166B1" w:rsidR="00C718E8" w:rsidRPr="00665069"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r w:rsidRPr="00665069">
        <w:rPr>
          <w:rFonts w:ascii="Times New Roman" w:hAnsi="Times New Roman" w:cs="Times New Roman"/>
          <w:b/>
          <w:bCs/>
          <w:color w:val="000000"/>
          <w:sz w:val="24"/>
          <w:szCs w:val="24"/>
        </w:rPr>
        <w:t xml:space="preserve">Background </w:t>
      </w:r>
    </w:p>
    <w:p w14:paraId="28367D08" w14:textId="77777777" w:rsidR="00F946E9" w:rsidRPr="00665069" w:rsidRDefault="00F946E9" w:rsidP="00CC2E84">
      <w:pPr>
        <w:autoSpaceDE w:val="0"/>
        <w:autoSpaceDN w:val="0"/>
        <w:adjustRightInd w:val="0"/>
        <w:spacing w:after="0" w:line="240" w:lineRule="auto"/>
        <w:rPr>
          <w:rFonts w:ascii="Times New Roman" w:hAnsi="Times New Roman" w:cs="Times New Roman"/>
          <w:color w:val="000000"/>
          <w:sz w:val="24"/>
          <w:szCs w:val="24"/>
        </w:rPr>
      </w:pPr>
    </w:p>
    <w:p w14:paraId="592A41F8" w14:textId="65987809" w:rsidR="001646F7" w:rsidRPr="00665069" w:rsidRDefault="001646F7" w:rsidP="001646F7">
      <w:pPr>
        <w:rPr>
          <w:rFonts w:ascii="Times New Roman" w:hAnsi="Times New Roman" w:cs="Times New Roman"/>
          <w:color w:val="000000"/>
          <w:sz w:val="24"/>
          <w:szCs w:val="24"/>
        </w:rPr>
      </w:pPr>
      <w:r w:rsidRPr="00665069">
        <w:rPr>
          <w:rFonts w:ascii="Times New Roman" w:hAnsi="Times New Roman" w:cs="Times New Roman"/>
          <w:i/>
          <w:iCs/>
          <w:color w:val="000000"/>
          <w:sz w:val="24"/>
          <w:szCs w:val="24"/>
        </w:rPr>
        <w:t>The National Health (Pharmaceuticals and Vaccines – Cost Recovery) Regulations</w:t>
      </w:r>
      <w:r w:rsidRPr="00665069">
        <w:rPr>
          <w:rFonts w:ascii="Times New Roman" w:hAnsi="Times New Roman" w:cs="Times New Roman"/>
          <w:color w:val="000000"/>
          <w:sz w:val="24"/>
          <w:szCs w:val="24"/>
        </w:rPr>
        <w:t xml:space="preserve"> 2022 (the Principal Regulations) prescribe</w:t>
      </w:r>
      <w:r w:rsidR="003674A3" w:rsidRPr="00665069">
        <w:rPr>
          <w:rFonts w:ascii="Times New Roman" w:hAnsi="Times New Roman" w:cs="Times New Roman"/>
          <w:color w:val="000000"/>
          <w:sz w:val="24"/>
          <w:szCs w:val="24"/>
        </w:rPr>
        <w:t>s</w:t>
      </w:r>
      <w:r w:rsidRPr="00665069">
        <w:rPr>
          <w:rFonts w:ascii="Times New Roman" w:hAnsi="Times New Roman" w:cs="Times New Roman"/>
          <w:color w:val="000000"/>
          <w:sz w:val="24"/>
          <w:szCs w:val="24"/>
        </w:rPr>
        <w:t xml:space="preserve"> fees and matters relating to the making of applications or submissions for services provided by the Commonwealth in relation to the exercise of certain powers by the Minister under the Act. </w:t>
      </w:r>
    </w:p>
    <w:p w14:paraId="1DACAED7" w14:textId="785551D5" w:rsidR="001646F7" w:rsidRPr="00665069" w:rsidRDefault="001646F7" w:rsidP="001646F7">
      <w:pPr>
        <w:rPr>
          <w:rFonts w:ascii="Times New Roman" w:hAnsi="Times New Roman" w:cs="Times New Roman"/>
          <w:color w:val="000000"/>
          <w:sz w:val="24"/>
          <w:szCs w:val="24"/>
        </w:rPr>
      </w:pPr>
      <w:r w:rsidRPr="00665069">
        <w:rPr>
          <w:rFonts w:ascii="Times New Roman" w:hAnsi="Times New Roman" w:cs="Times New Roman"/>
          <w:color w:val="000000"/>
          <w:sz w:val="24"/>
          <w:szCs w:val="24"/>
        </w:rPr>
        <w:t xml:space="preserve">The Department of Health and Aged Care (the department) assesses the cost effectiveness of vaccines for inclusion on the National Immunisation Program (NIP) and drugs for listing on the </w:t>
      </w:r>
      <w:r w:rsidR="00C370ED" w:rsidRPr="00665069">
        <w:rPr>
          <w:rFonts w:ascii="Times New Roman" w:hAnsi="Times New Roman" w:cs="Times New Roman"/>
          <w:color w:val="000000"/>
          <w:sz w:val="24"/>
          <w:szCs w:val="24"/>
        </w:rPr>
        <w:t>Pharmaceutical Benefits Scheme (</w:t>
      </w:r>
      <w:r w:rsidRPr="00665069">
        <w:rPr>
          <w:rFonts w:ascii="Times New Roman" w:hAnsi="Times New Roman" w:cs="Times New Roman"/>
          <w:color w:val="000000"/>
          <w:sz w:val="24"/>
          <w:szCs w:val="24"/>
        </w:rPr>
        <w:t>PBS</w:t>
      </w:r>
      <w:r w:rsidR="00C370ED" w:rsidRPr="00665069">
        <w:rPr>
          <w:rFonts w:ascii="Times New Roman" w:hAnsi="Times New Roman" w:cs="Times New Roman"/>
          <w:color w:val="000000"/>
          <w:sz w:val="24"/>
          <w:szCs w:val="24"/>
        </w:rPr>
        <w:t>).</w:t>
      </w:r>
      <w:r w:rsidRPr="00665069">
        <w:rPr>
          <w:rFonts w:ascii="Times New Roman" w:hAnsi="Times New Roman" w:cs="Times New Roman"/>
          <w:color w:val="000000"/>
          <w:sz w:val="24"/>
          <w:szCs w:val="24"/>
        </w:rPr>
        <w:t xml:space="preserve"> Much of the assessment work is carried out by external evaluators at a cost to Government. The Principal Regulations implement cost recovery arrangements whereby these evaluation costs are recouped from the pharmaceutical industry through fees. In line with Australian Government Cost Recovery Policy, the Principal Regulations are updated annually to ensure they accurately reflect the efficient costs of providing services. </w:t>
      </w:r>
    </w:p>
    <w:p w14:paraId="5647594A" w14:textId="692D1A0C" w:rsidR="007934AD" w:rsidRPr="00665069" w:rsidRDefault="001646F7" w:rsidP="001646F7">
      <w:pPr>
        <w:rPr>
          <w:rFonts w:ascii="Times New Roman" w:hAnsi="Times New Roman" w:cs="Times New Roman"/>
          <w:color w:val="000000"/>
          <w:sz w:val="24"/>
          <w:szCs w:val="24"/>
        </w:rPr>
      </w:pPr>
      <w:r w:rsidRPr="00665069">
        <w:rPr>
          <w:rFonts w:ascii="Times New Roman" w:hAnsi="Times New Roman" w:cs="Times New Roman"/>
          <w:color w:val="000000"/>
          <w:sz w:val="24"/>
          <w:szCs w:val="24"/>
        </w:rPr>
        <w:t>The</w:t>
      </w:r>
      <w:r w:rsidRPr="00665069">
        <w:rPr>
          <w:rFonts w:ascii="Times New Roman" w:hAnsi="Times New Roman" w:cs="Times New Roman"/>
          <w:i/>
          <w:iCs/>
          <w:color w:val="000000"/>
          <w:sz w:val="24"/>
          <w:szCs w:val="24"/>
        </w:rPr>
        <w:t xml:space="preserve"> National Health (Pharmaceuticals and Vaccines—Cost Recovery) Amendment (Administrative Arrangements) Regulations 2025</w:t>
      </w:r>
      <w:r w:rsidRPr="00665069">
        <w:rPr>
          <w:rFonts w:ascii="Times New Roman" w:hAnsi="Times New Roman" w:cs="Times New Roman"/>
          <w:color w:val="000000"/>
          <w:sz w:val="24"/>
          <w:szCs w:val="24"/>
        </w:rPr>
        <w:t xml:space="preserve"> (the </w:t>
      </w:r>
      <w:r w:rsidR="003240BB" w:rsidRPr="00665069">
        <w:rPr>
          <w:rFonts w:ascii="Times New Roman" w:hAnsi="Times New Roman" w:cs="Times New Roman"/>
          <w:color w:val="000000"/>
          <w:sz w:val="24"/>
          <w:szCs w:val="24"/>
        </w:rPr>
        <w:t xml:space="preserve">Amendment </w:t>
      </w:r>
      <w:r w:rsidRPr="00665069">
        <w:rPr>
          <w:rFonts w:ascii="Times New Roman" w:hAnsi="Times New Roman" w:cs="Times New Roman"/>
          <w:color w:val="000000"/>
          <w:sz w:val="24"/>
          <w:szCs w:val="24"/>
        </w:rPr>
        <w:t xml:space="preserve">Regulations) update the withdrawal timeframes and non-refundable deposit amounts for applications, or notices of intent to </w:t>
      </w:r>
      <w:proofErr w:type="gramStart"/>
      <w:r w:rsidRPr="00665069">
        <w:rPr>
          <w:rFonts w:ascii="Times New Roman" w:hAnsi="Times New Roman" w:cs="Times New Roman"/>
          <w:color w:val="000000"/>
          <w:sz w:val="24"/>
          <w:szCs w:val="24"/>
        </w:rPr>
        <w:t>submit an application</w:t>
      </w:r>
      <w:proofErr w:type="gramEnd"/>
      <w:r w:rsidRPr="00665069">
        <w:rPr>
          <w:rFonts w:ascii="Times New Roman" w:hAnsi="Times New Roman" w:cs="Times New Roman"/>
          <w:color w:val="000000"/>
          <w:sz w:val="24"/>
          <w:szCs w:val="24"/>
        </w:rPr>
        <w:t xml:space="preserve">, from pharmaceutical sponsors seeking pricing services from the </w:t>
      </w:r>
      <w:r w:rsidR="00C370ED" w:rsidRPr="00665069">
        <w:rPr>
          <w:rFonts w:ascii="Times New Roman" w:hAnsi="Times New Roman" w:cs="Times New Roman"/>
          <w:color w:val="000000"/>
          <w:sz w:val="24"/>
          <w:szCs w:val="24"/>
        </w:rPr>
        <w:t>d</w:t>
      </w:r>
      <w:r w:rsidRPr="00665069">
        <w:rPr>
          <w:rFonts w:ascii="Times New Roman" w:hAnsi="Times New Roman" w:cs="Times New Roman"/>
          <w:color w:val="000000"/>
          <w:sz w:val="24"/>
          <w:szCs w:val="24"/>
        </w:rPr>
        <w:t xml:space="preserve">epartment for the listing of new medicines, or changes to listing arrangements for existing medicines on the PBS. These updates ensure that cost recovery arrangements remain consistent with the requirements of the Australian Government Cost Recovery Policy and provide appropriate timeframes for pharmaceutical sponsors to withdraw applications without incurring full application fees. The </w:t>
      </w:r>
      <w:r w:rsidR="00C370ED" w:rsidRPr="00665069">
        <w:rPr>
          <w:rFonts w:ascii="Times New Roman" w:hAnsi="Times New Roman" w:cs="Times New Roman"/>
          <w:color w:val="000000"/>
          <w:sz w:val="24"/>
          <w:szCs w:val="24"/>
        </w:rPr>
        <w:t>Amendment</w:t>
      </w:r>
      <w:r w:rsidRPr="00665069">
        <w:rPr>
          <w:rFonts w:ascii="Times New Roman" w:hAnsi="Times New Roman" w:cs="Times New Roman"/>
          <w:color w:val="000000"/>
          <w:sz w:val="24"/>
          <w:szCs w:val="24"/>
        </w:rPr>
        <w:t xml:space="preserve"> Regulations also specify that the department may request further information of pharmaceutical companies to assist in the consideration of requests for fee waivers. </w:t>
      </w:r>
    </w:p>
    <w:p w14:paraId="292212D9" w14:textId="7523020B" w:rsidR="00CC2E84" w:rsidRPr="00665069" w:rsidRDefault="00CC2E84" w:rsidP="00FF2056">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b/>
          <w:bCs/>
          <w:color w:val="000000"/>
          <w:sz w:val="24"/>
          <w:szCs w:val="24"/>
        </w:rPr>
        <w:t>Authority</w:t>
      </w:r>
    </w:p>
    <w:p w14:paraId="241070F3" w14:textId="77777777" w:rsidR="009B4745" w:rsidRPr="00665069" w:rsidRDefault="009B4745" w:rsidP="00E22165">
      <w:pPr>
        <w:autoSpaceDE w:val="0"/>
        <w:autoSpaceDN w:val="0"/>
        <w:adjustRightInd w:val="0"/>
        <w:spacing w:after="0" w:line="240" w:lineRule="auto"/>
        <w:rPr>
          <w:rFonts w:ascii="Times New Roman" w:hAnsi="Times New Roman" w:cs="Times New Roman"/>
          <w:color w:val="000000"/>
          <w:sz w:val="24"/>
          <w:szCs w:val="24"/>
        </w:rPr>
      </w:pPr>
    </w:p>
    <w:p w14:paraId="46F8FAEE" w14:textId="77777777" w:rsidR="00C43F1E" w:rsidRPr="00665069" w:rsidRDefault="00C43F1E" w:rsidP="00C43F1E">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t>The Act provides for regulations to set out the fees that are payable and manner of payment for those services. Section 140 of the Act provides that the Governor General may make regulations, not inconsistent with the Act, prescribing all matters which by the Act are required or permitted to be prescribed, or which are necessary or convenient to be prescribed for carrying out or giving effect to the Act.</w:t>
      </w:r>
    </w:p>
    <w:p w14:paraId="58BF582C" w14:textId="77777777" w:rsidR="00C43F1E" w:rsidRPr="00665069" w:rsidRDefault="00C43F1E" w:rsidP="00C43F1E">
      <w:pPr>
        <w:autoSpaceDE w:val="0"/>
        <w:autoSpaceDN w:val="0"/>
        <w:adjustRightInd w:val="0"/>
        <w:spacing w:after="0" w:line="240" w:lineRule="auto"/>
        <w:rPr>
          <w:rFonts w:ascii="Times New Roman" w:hAnsi="Times New Roman" w:cs="Times New Roman"/>
          <w:color w:val="000000"/>
          <w:sz w:val="24"/>
          <w:szCs w:val="24"/>
        </w:rPr>
      </w:pPr>
    </w:p>
    <w:p w14:paraId="27D9A156" w14:textId="3FA67669" w:rsidR="00C718E8" w:rsidRPr="00665069" w:rsidRDefault="00C43F1E" w:rsidP="00C43F1E">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lastRenderedPageBreak/>
        <w:t>The Act enables fees to be charged to recover the costs of certain services provided by the Commonwealth. Relevantly, under the Act, payment of fees may be required for services that relate to the exercise of a power by the Minister under the following provisions. Section 9B sets out that the Minister may provide, or arrange for the provision of, designated vaccines and goods and services associated with, or incidental to, the provision or administration of designated vaccines. Part VII deals with matters related to the supply of and payments for pharmaceutical benefits and the Pharmaceutical Benefits Scheme (PBS).</w:t>
      </w:r>
    </w:p>
    <w:p w14:paraId="7BBB2ACE" w14:textId="77777777" w:rsidR="00C43F1E" w:rsidRPr="00665069" w:rsidRDefault="00C43F1E" w:rsidP="00C43F1E">
      <w:pPr>
        <w:autoSpaceDE w:val="0"/>
        <w:autoSpaceDN w:val="0"/>
        <w:adjustRightInd w:val="0"/>
        <w:spacing w:after="0" w:line="240" w:lineRule="auto"/>
        <w:rPr>
          <w:rFonts w:ascii="Times New Roman" w:hAnsi="Times New Roman" w:cs="Times New Roman"/>
          <w:color w:val="000000"/>
          <w:sz w:val="24"/>
          <w:szCs w:val="24"/>
        </w:rPr>
      </w:pPr>
    </w:p>
    <w:p w14:paraId="2E2D73D8" w14:textId="77777777" w:rsidR="00CC2E84" w:rsidRPr="00665069" w:rsidRDefault="00CC2E84" w:rsidP="00143743">
      <w:pPr>
        <w:keepNext/>
        <w:autoSpaceDE w:val="0"/>
        <w:autoSpaceDN w:val="0"/>
        <w:adjustRightInd w:val="0"/>
        <w:spacing w:after="0" w:line="240" w:lineRule="auto"/>
        <w:rPr>
          <w:rFonts w:ascii="Times New Roman" w:hAnsi="Times New Roman" w:cs="Times New Roman"/>
          <w:b/>
          <w:bCs/>
          <w:i/>
          <w:iCs/>
          <w:color w:val="000000"/>
          <w:sz w:val="24"/>
          <w:szCs w:val="24"/>
        </w:rPr>
      </w:pPr>
      <w:r w:rsidRPr="00665069">
        <w:rPr>
          <w:rFonts w:ascii="Times New Roman" w:hAnsi="Times New Roman" w:cs="Times New Roman"/>
          <w:b/>
          <w:bCs/>
          <w:color w:val="000000"/>
          <w:sz w:val="24"/>
          <w:szCs w:val="24"/>
        </w:rPr>
        <w:t xml:space="preserve">Reliance on subsection 33(3) of the </w:t>
      </w:r>
      <w:r w:rsidRPr="00665069">
        <w:rPr>
          <w:rFonts w:ascii="Times New Roman" w:hAnsi="Times New Roman" w:cs="Times New Roman"/>
          <w:b/>
          <w:bCs/>
          <w:i/>
          <w:iCs/>
          <w:color w:val="000000"/>
          <w:sz w:val="24"/>
          <w:szCs w:val="24"/>
        </w:rPr>
        <w:t>Acts Interpretation Act 1901</w:t>
      </w:r>
    </w:p>
    <w:p w14:paraId="1EBA67AD" w14:textId="77777777" w:rsidR="009B4745" w:rsidRPr="00665069" w:rsidRDefault="009B4745" w:rsidP="00143743">
      <w:pPr>
        <w:keepNext/>
        <w:autoSpaceDE w:val="0"/>
        <w:autoSpaceDN w:val="0"/>
        <w:adjustRightInd w:val="0"/>
        <w:spacing w:after="0" w:line="240" w:lineRule="auto"/>
        <w:rPr>
          <w:rFonts w:ascii="Times New Roman" w:hAnsi="Times New Roman" w:cs="Times New Roman"/>
          <w:color w:val="000000"/>
          <w:sz w:val="24"/>
          <w:szCs w:val="24"/>
        </w:rPr>
      </w:pPr>
    </w:p>
    <w:p w14:paraId="2F0E0DEB" w14:textId="55EEFEF8" w:rsidR="00CC2E84" w:rsidRPr="00665069" w:rsidRDefault="00685F0D" w:rsidP="00CC2E84">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t>S</w:t>
      </w:r>
      <w:r w:rsidR="00CC2E84" w:rsidRPr="00665069">
        <w:rPr>
          <w:rFonts w:ascii="Times New Roman" w:hAnsi="Times New Roman" w:cs="Times New Roman"/>
          <w:color w:val="000000"/>
          <w:sz w:val="24"/>
          <w:szCs w:val="24"/>
        </w:rPr>
        <w:t xml:space="preserve">ubsection 33(3) of the </w:t>
      </w:r>
      <w:r w:rsidR="00CC2E84" w:rsidRPr="00665069">
        <w:rPr>
          <w:rFonts w:ascii="Times New Roman" w:hAnsi="Times New Roman" w:cs="Times New Roman"/>
          <w:i/>
          <w:iCs/>
          <w:color w:val="000000"/>
          <w:sz w:val="24"/>
          <w:szCs w:val="24"/>
        </w:rPr>
        <w:t>Acts Interpretation Act 1901</w:t>
      </w:r>
      <w:r w:rsidRPr="00665069">
        <w:rPr>
          <w:rFonts w:ascii="Times New Roman" w:hAnsi="Times New Roman" w:cs="Times New Roman"/>
          <w:color w:val="000000"/>
          <w:sz w:val="24"/>
          <w:szCs w:val="24"/>
        </w:rPr>
        <w:t xml:space="preserve"> provides that</w:t>
      </w:r>
      <w:r w:rsidR="00CC2E84" w:rsidRPr="00665069">
        <w:rPr>
          <w:rFonts w:ascii="Times New Roman" w:hAnsi="Times New Roman" w:cs="Times New Roman"/>
          <w:color w:val="000000"/>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5AABD8C" w14:textId="77777777" w:rsidR="00C718E8" w:rsidRPr="00665069"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4ABDAF4D" w14:textId="77777777" w:rsidR="00CC2E84" w:rsidRPr="00665069"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665069">
        <w:rPr>
          <w:rFonts w:ascii="Times New Roman" w:hAnsi="Times New Roman" w:cs="Times New Roman"/>
          <w:b/>
          <w:bCs/>
          <w:color w:val="000000"/>
          <w:sz w:val="24"/>
          <w:szCs w:val="24"/>
        </w:rPr>
        <w:t>Commencement</w:t>
      </w:r>
    </w:p>
    <w:p w14:paraId="42A6313A" w14:textId="77777777" w:rsidR="009B4745" w:rsidRPr="00665069" w:rsidRDefault="009B4745" w:rsidP="00CC2E84">
      <w:pPr>
        <w:autoSpaceDE w:val="0"/>
        <w:autoSpaceDN w:val="0"/>
        <w:adjustRightInd w:val="0"/>
        <w:spacing w:after="0" w:line="240" w:lineRule="auto"/>
        <w:rPr>
          <w:rFonts w:ascii="Times New Roman" w:hAnsi="Times New Roman" w:cs="Times New Roman"/>
          <w:color w:val="000000"/>
          <w:sz w:val="24"/>
          <w:szCs w:val="24"/>
        </w:rPr>
      </w:pPr>
    </w:p>
    <w:p w14:paraId="35E368BF" w14:textId="1AC46735" w:rsidR="005977E9" w:rsidRPr="00665069" w:rsidRDefault="00132F91" w:rsidP="00CC2E84">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t>The Amendment Regulations commence on 1 March 2025.</w:t>
      </w:r>
    </w:p>
    <w:p w14:paraId="2AD32A7D" w14:textId="77777777" w:rsidR="00132F91" w:rsidRPr="00665069" w:rsidRDefault="00132F91" w:rsidP="00CC2E84">
      <w:pPr>
        <w:autoSpaceDE w:val="0"/>
        <w:autoSpaceDN w:val="0"/>
        <w:adjustRightInd w:val="0"/>
        <w:spacing w:after="0" w:line="240" w:lineRule="auto"/>
        <w:rPr>
          <w:rFonts w:ascii="Times New Roman" w:hAnsi="Times New Roman" w:cs="Times New Roman"/>
          <w:color w:val="000000"/>
          <w:sz w:val="24"/>
          <w:szCs w:val="24"/>
        </w:rPr>
      </w:pPr>
    </w:p>
    <w:p w14:paraId="29CE1688" w14:textId="7431CF1C" w:rsidR="00CC2E84" w:rsidRPr="00665069"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665069">
        <w:rPr>
          <w:rFonts w:ascii="Times New Roman" w:hAnsi="Times New Roman" w:cs="Times New Roman"/>
          <w:b/>
          <w:bCs/>
          <w:color w:val="000000"/>
          <w:sz w:val="24"/>
          <w:szCs w:val="24"/>
        </w:rPr>
        <w:t>Consultation</w:t>
      </w:r>
    </w:p>
    <w:p w14:paraId="5B7F4892" w14:textId="77777777" w:rsidR="00FB189A" w:rsidRPr="00665069" w:rsidRDefault="00FB189A" w:rsidP="00FB189A">
      <w:pPr>
        <w:autoSpaceDE w:val="0"/>
        <w:autoSpaceDN w:val="0"/>
        <w:adjustRightInd w:val="0"/>
        <w:spacing w:after="0" w:line="240" w:lineRule="auto"/>
        <w:rPr>
          <w:rFonts w:ascii="Times New Roman" w:hAnsi="Times New Roman" w:cs="Times New Roman"/>
          <w:color w:val="000000"/>
          <w:sz w:val="24"/>
          <w:szCs w:val="24"/>
        </w:rPr>
      </w:pPr>
    </w:p>
    <w:p w14:paraId="7B3A0E2F" w14:textId="6BCFECF3" w:rsidR="0077116F" w:rsidRPr="00665069" w:rsidRDefault="001C5B0F" w:rsidP="001B66F2">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t xml:space="preserve">Medicines Australia, the primary representative group for the innovator pharmaceutical industry have been consulted on the </w:t>
      </w:r>
      <w:r w:rsidR="00C370ED" w:rsidRPr="00665069">
        <w:rPr>
          <w:rFonts w:ascii="Times New Roman" w:hAnsi="Times New Roman" w:cs="Times New Roman"/>
          <w:color w:val="000000"/>
          <w:sz w:val="24"/>
          <w:szCs w:val="24"/>
        </w:rPr>
        <w:t>Amendment</w:t>
      </w:r>
      <w:r w:rsidRPr="00665069">
        <w:rPr>
          <w:rFonts w:ascii="Times New Roman" w:hAnsi="Times New Roman" w:cs="Times New Roman"/>
          <w:color w:val="000000"/>
          <w:sz w:val="24"/>
          <w:szCs w:val="24"/>
        </w:rPr>
        <w:t xml:space="preserve"> Regulations. This consultation was facilitated via the Access to Medicines Working Group, which is comprised of representatives from Medicines Australia and several pharmaceutical companies. An exposure draft was provided for consideration in January 2025. </w:t>
      </w:r>
      <w:r w:rsidR="00BF2E7E" w:rsidRPr="00665069">
        <w:rPr>
          <w:rFonts w:ascii="Times New Roman" w:hAnsi="Times New Roman" w:cs="Times New Roman"/>
          <w:sz w:val="24"/>
          <w:szCs w:val="24"/>
        </w:rPr>
        <w:t xml:space="preserve">Medicines Australia advised that they did not have any concerns with the Amendment Regulations. </w:t>
      </w:r>
      <w:r w:rsidRPr="00665069">
        <w:rPr>
          <w:rFonts w:ascii="Times New Roman" w:hAnsi="Times New Roman" w:cs="Times New Roman"/>
          <w:color w:val="000000"/>
          <w:sz w:val="24"/>
          <w:szCs w:val="24"/>
        </w:rPr>
        <w:t>Public consultation was not considered necessary as industry groups make up the entirety of the stakeholders affected by the Amending Regulations.</w:t>
      </w:r>
    </w:p>
    <w:p w14:paraId="10B123B8" w14:textId="77777777" w:rsidR="008F2A33" w:rsidRPr="00665069" w:rsidRDefault="008F2A33" w:rsidP="00BE36B6">
      <w:pPr>
        <w:autoSpaceDE w:val="0"/>
        <w:autoSpaceDN w:val="0"/>
        <w:adjustRightInd w:val="0"/>
        <w:spacing w:after="0" w:line="240" w:lineRule="auto"/>
        <w:rPr>
          <w:rFonts w:ascii="Times New Roman" w:hAnsi="Times New Roman" w:cs="Times New Roman"/>
          <w:color w:val="000000"/>
          <w:sz w:val="24"/>
          <w:szCs w:val="24"/>
        </w:rPr>
      </w:pPr>
    </w:p>
    <w:p w14:paraId="54BC4AAD" w14:textId="7F1708FF" w:rsidR="005977E9" w:rsidRPr="00665069" w:rsidRDefault="005977E9" w:rsidP="00CC2E84">
      <w:pPr>
        <w:autoSpaceDE w:val="0"/>
        <w:autoSpaceDN w:val="0"/>
        <w:adjustRightInd w:val="0"/>
        <w:spacing w:after="0" w:line="240" w:lineRule="auto"/>
        <w:rPr>
          <w:rFonts w:ascii="Times New Roman" w:hAnsi="Times New Roman" w:cs="Times New Roman"/>
          <w:b/>
          <w:bCs/>
          <w:color w:val="000000"/>
          <w:sz w:val="24"/>
          <w:szCs w:val="24"/>
        </w:rPr>
      </w:pPr>
      <w:r w:rsidRPr="00665069">
        <w:rPr>
          <w:rFonts w:ascii="Times New Roman" w:hAnsi="Times New Roman" w:cs="Times New Roman"/>
          <w:b/>
          <w:bCs/>
          <w:color w:val="000000"/>
          <w:sz w:val="24"/>
          <w:szCs w:val="24"/>
        </w:rPr>
        <w:t xml:space="preserve">General </w:t>
      </w:r>
    </w:p>
    <w:p w14:paraId="3265F27E" w14:textId="77777777" w:rsidR="001956ED" w:rsidRPr="00665069" w:rsidRDefault="001956ED" w:rsidP="00CC2E84">
      <w:pPr>
        <w:autoSpaceDE w:val="0"/>
        <w:autoSpaceDN w:val="0"/>
        <w:adjustRightInd w:val="0"/>
        <w:spacing w:after="0" w:line="240" w:lineRule="auto"/>
        <w:rPr>
          <w:rFonts w:ascii="Times New Roman" w:hAnsi="Times New Roman" w:cs="Times New Roman"/>
          <w:color w:val="000000"/>
          <w:sz w:val="24"/>
          <w:szCs w:val="24"/>
        </w:rPr>
      </w:pPr>
    </w:p>
    <w:p w14:paraId="5BCDA9B8" w14:textId="2E465E24" w:rsidR="005977E9" w:rsidRPr="00665069" w:rsidRDefault="00BB2A7C" w:rsidP="005977E9">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t>The</w:t>
      </w:r>
      <w:r w:rsidR="00515E61" w:rsidRPr="00665069">
        <w:rPr>
          <w:rFonts w:ascii="Times New Roman" w:hAnsi="Times New Roman" w:cs="Times New Roman"/>
          <w:color w:val="000000"/>
          <w:sz w:val="24"/>
          <w:szCs w:val="24"/>
        </w:rPr>
        <w:t xml:space="preserve"> </w:t>
      </w:r>
      <w:r w:rsidR="001B14FF" w:rsidRPr="00665069">
        <w:rPr>
          <w:rFonts w:ascii="Times New Roman" w:hAnsi="Times New Roman" w:cs="Times New Roman"/>
          <w:color w:val="000000"/>
          <w:sz w:val="24"/>
          <w:szCs w:val="24"/>
        </w:rPr>
        <w:t xml:space="preserve">Amendment Regulations are </w:t>
      </w:r>
      <w:r w:rsidR="005977E9" w:rsidRPr="00665069">
        <w:rPr>
          <w:rFonts w:ascii="Times New Roman" w:hAnsi="Times New Roman" w:cs="Times New Roman"/>
          <w:color w:val="000000"/>
          <w:sz w:val="24"/>
          <w:szCs w:val="24"/>
        </w:rPr>
        <w:t>a</w:t>
      </w:r>
      <w:r w:rsidR="001956ED" w:rsidRPr="00665069">
        <w:rPr>
          <w:rFonts w:ascii="Times New Roman" w:hAnsi="Times New Roman" w:cs="Times New Roman"/>
          <w:color w:val="000000"/>
          <w:sz w:val="24"/>
          <w:szCs w:val="24"/>
        </w:rPr>
        <w:t xml:space="preserve"> </w:t>
      </w:r>
      <w:r w:rsidR="005977E9" w:rsidRPr="00665069">
        <w:rPr>
          <w:rFonts w:ascii="Times New Roman" w:hAnsi="Times New Roman" w:cs="Times New Roman"/>
          <w:color w:val="000000"/>
          <w:sz w:val="24"/>
          <w:szCs w:val="24"/>
        </w:rPr>
        <w:t xml:space="preserve">legislative instrument for the purposes of the </w:t>
      </w:r>
      <w:r w:rsidR="005977E9" w:rsidRPr="00665069">
        <w:rPr>
          <w:rFonts w:ascii="Times New Roman" w:hAnsi="Times New Roman" w:cs="Times New Roman"/>
          <w:i/>
          <w:iCs/>
          <w:color w:val="000000"/>
          <w:sz w:val="24"/>
          <w:szCs w:val="24"/>
        </w:rPr>
        <w:t>Legislation Act 2003</w:t>
      </w:r>
      <w:r w:rsidR="005977E9" w:rsidRPr="00665069">
        <w:rPr>
          <w:rFonts w:ascii="Times New Roman" w:hAnsi="Times New Roman" w:cs="Times New Roman"/>
          <w:color w:val="000000"/>
          <w:sz w:val="24"/>
          <w:szCs w:val="24"/>
        </w:rPr>
        <w:t xml:space="preserve">. </w:t>
      </w:r>
    </w:p>
    <w:p w14:paraId="7A1A185F" w14:textId="77777777" w:rsidR="005977E9" w:rsidRPr="00665069" w:rsidRDefault="005977E9" w:rsidP="005977E9">
      <w:pPr>
        <w:autoSpaceDE w:val="0"/>
        <w:autoSpaceDN w:val="0"/>
        <w:adjustRightInd w:val="0"/>
        <w:spacing w:after="0" w:line="240" w:lineRule="auto"/>
        <w:rPr>
          <w:rFonts w:ascii="Times New Roman" w:hAnsi="Times New Roman" w:cs="Times New Roman"/>
          <w:color w:val="000000"/>
          <w:sz w:val="24"/>
          <w:szCs w:val="24"/>
        </w:rPr>
      </w:pPr>
    </w:p>
    <w:p w14:paraId="6E6F307B" w14:textId="456CD05F" w:rsidR="00CC2E84" w:rsidRPr="00665069"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t xml:space="preserve">Details of </w:t>
      </w:r>
      <w:r w:rsidR="00515E61" w:rsidRPr="00665069">
        <w:rPr>
          <w:rFonts w:ascii="Times New Roman" w:hAnsi="Times New Roman" w:cs="Times New Roman"/>
          <w:color w:val="000000"/>
          <w:sz w:val="24"/>
          <w:szCs w:val="24"/>
        </w:rPr>
        <w:t xml:space="preserve">the </w:t>
      </w:r>
      <w:r w:rsidR="006F7B64" w:rsidRPr="00665069">
        <w:rPr>
          <w:rFonts w:ascii="Times New Roman" w:hAnsi="Times New Roman" w:cs="Times New Roman"/>
          <w:color w:val="000000"/>
          <w:sz w:val="24"/>
          <w:szCs w:val="24"/>
        </w:rPr>
        <w:t xml:space="preserve">operation of the Amendment Regulations </w:t>
      </w:r>
      <w:r w:rsidRPr="00665069">
        <w:rPr>
          <w:rFonts w:ascii="Times New Roman" w:hAnsi="Times New Roman" w:cs="Times New Roman"/>
          <w:color w:val="000000"/>
          <w:sz w:val="24"/>
          <w:szCs w:val="24"/>
        </w:rPr>
        <w:t xml:space="preserve">are set out in </w:t>
      </w:r>
      <w:r w:rsidRPr="00665069">
        <w:rPr>
          <w:rFonts w:ascii="Times New Roman" w:hAnsi="Times New Roman" w:cs="Times New Roman"/>
          <w:b/>
          <w:bCs/>
          <w:color w:val="000000"/>
          <w:sz w:val="24"/>
          <w:szCs w:val="24"/>
        </w:rPr>
        <w:t>Attachment A</w:t>
      </w:r>
      <w:r w:rsidRPr="00665069">
        <w:rPr>
          <w:rFonts w:ascii="Times New Roman" w:hAnsi="Times New Roman" w:cs="Times New Roman"/>
          <w:color w:val="000000"/>
          <w:sz w:val="24"/>
          <w:szCs w:val="24"/>
        </w:rPr>
        <w:t>.</w:t>
      </w:r>
    </w:p>
    <w:p w14:paraId="3AA3DC0A" w14:textId="77777777" w:rsidR="00CC2E84" w:rsidRPr="00665069"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3B3D4120" w14:textId="1A2A1758" w:rsidR="00CC2E84" w:rsidRPr="00665069"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665069">
        <w:rPr>
          <w:rFonts w:ascii="Times New Roman" w:hAnsi="Times New Roman" w:cs="Times New Roman"/>
          <w:color w:val="000000"/>
          <w:sz w:val="24"/>
          <w:szCs w:val="24"/>
        </w:rPr>
        <w:t>Th</w:t>
      </w:r>
      <w:r w:rsidR="00515E61" w:rsidRPr="00665069">
        <w:rPr>
          <w:rFonts w:ascii="Times New Roman" w:hAnsi="Times New Roman" w:cs="Times New Roman"/>
          <w:color w:val="000000"/>
          <w:sz w:val="24"/>
          <w:szCs w:val="24"/>
        </w:rPr>
        <w:t>e</w:t>
      </w:r>
      <w:r w:rsidRPr="00665069">
        <w:rPr>
          <w:rFonts w:ascii="Times New Roman" w:hAnsi="Times New Roman" w:cs="Times New Roman"/>
          <w:color w:val="000000"/>
          <w:sz w:val="24"/>
          <w:szCs w:val="24"/>
        </w:rPr>
        <w:t xml:space="preserve"> </w:t>
      </w:r>
      <w:r w:rsidR="00EA5403" w:rsidRPr="00665069">
        <w:rPr>
          <w:rFonts w:ascii="Times New Roman" w:hAnsi="Times New Roman" w:cs="Times New Roman"/>
          <w:color w:val="000000"/>
          <w:sz w:val="24"/>
          <w:szCs w:val="24"/>
        </w:rPr>
        <w:t xml:space="preserve">Amendment Regulations are </w:t>
      </w:r>
      <w:r w:rsidRPr="00665069">
        <w:rPr>
          <w:rFonts w:ascii="Times New Roman" w:hAnsi="Times New Roman" w:cs="Times New Roman"/>
          <w:color w:val="000000"/>
          <w:sz w:val="24"/>
          <w:szCs w:val="24"/>
        </w:rPr>
        <w:t xml:space="preserve">compatible with the human rights and freedoms recognised or declared under section 3 of the </w:t>
      </w:r>
      <w:r w:rsidRPr="00665069">
        <w:rPr>
          <w:rFonts w:ascii="Times New Roman" w:hAnsi="Times New Roman" w:cs="Times New Roman"/>
          <w:i/>
          <w:iCs/>
          <w:color w:val="000000"/>
          <w:sz w:val="24"/>
          <w:szCs w:val="24"/>
        </w:rPr>
        <w:t>Human Rights (Parliamentary Scrutiny) Act 2011</w:t>
      </w:r>
      <w:r w:rsidRPr="00665069">
        <w:rPr>
          <w:rFonts w:ascii="Times New Roman" w:hAnsi="Times New Roman" w:cs="Times New Roman"/>
          <w:color w:val="000000"/>
          <w:sz w:val="24"/>
          <w:szCs w:val="24"/>
        </w:rPr>
        <w:t xml:space="preserve">. A full statement of compatibility is set out in </w:t>
      </w:r>
      <w:r w:rsidRPr="00665069">
        <w:rPr>
          <w:rFonts w:ascii="Times New Roman" w:hAnsi="Times New Roman" w:cs="Times New Roman"/>
          <w:b/>
          <w:bCs/>
          <w:color w:val="000000"/>
          <w:sz w:val="24"/>
          <w:szCs w:val="24"/>
        </w:rPr>
        <w:t>Attachment B</w:t>
      </w:r>
      <w:r w:rsidRPr="00665069">
        <w:rPr>
          <w:rFonts w:ascii="Times New Roman" w:hAnsi="Times New Roman" w:cs="Times New Roman"/>
          <w:color w:val="000000"/>
          <w:sz w:val="24"/>
          <w:szCs w:val="24"/>
        </w:rPr>
        <w:t>.</w:t>
      </w:r>
    </w:p>
    <w:p w14:paraId="7F0A5DC2" w14:textId="648E5234" w:rsidR="005A230F" w:rsidRPr="00665069" w:rsidRDefault="00CC2E84">
      <w:pPr>
        <w:rPr>
          <w:rFonts w:ascii="Times New Roman" w:hAnsi="Times New Roman" w:cs="Times New Roman"/>
          <w:sz w:val="24"/>
          <w:szCs w:val="24"/>
        </w:rPr>
      </w:pPr>
      <w:r w:rsidRPr="00665069">
        <w:rPr>
          <w:rFonts w:ascii="Times New Roman" w:eastAsia="Times New Roman" w:hAnsi="Times New Roman" w:cs="Times New Roman"/>
          <w:i/>
          <w:sz w:val="24"/>
          <w:szCs w:val="24"/>
          <w:u w:val="single"/>
          <w:lang w:eastAsia="en-AU"/>
        </w:rPr>
        <w:br/>
      </w:r>
    </w:p>
    <w:p w14:paraId="4FE99915" w14:textId="77777777" w:rsidR="00A87332" w:rsidRPr="00665069" w:rsidRDefault="00A87332" w:rsidP="00CC2E84">
      <w:pPr>
        <w:spacing w:after="0" w:line="240" w:lineRule="auto"/>
        <w:jc w:val="right"/>
        <w:rPr>
          <w:rFonts w:ascii="Times New Roman" w:eastAsia="Times New Roman" w:hAnsi="Times New Roman" w:cs="Times New Roman"/>
          <w:b/>
          <w:sz w:val="24"/>
          <w:szCs w:val="24"/>
          <w:lang w:eastAsia="en-AU"/>
        </w:rPr>
      </w:pPr>
    </w:p>
    <w:p w14:paraId="05D44099" w14:textId="77777777" w:rsidR="007934AD" w:rsidRPr="00665069" w:rsidRDefault="007934AD" w:rsidP="00CC2E84">
      <w:pPr>
        <w:spacing w:after="0" w:line="240" w:lineRule="auto"/>
        <w:jc w:val="right"/>
        <w:rPr>
          <w:rFonts w:ascii="Times New Roman" w:eastAsia="Times New Roman" w:hAnsi="Times New Roman" w:cs="Times New Roman"/>
          <w:b/>
          <w:sz w:val="24"/>
          <w:szCs w:val="24"/>
          <w:lang w:eastAsia="en-AU"/>
        </w:rPr>
        <w:sectPr w:rsidR="007934AD" w:rsidRPr="00665069">
          <w:headerReference w:type="even" r:id="rId10"/>
          <w:footerReference w:type="even" r:id="rId11"/>
          <w:footerReference w:type="default" r:id="rId12"/>
          <w:headerReference w:type="first" r:id="rId13"/>
          <w:pgSz w:w="11906" w:h="16838"/>
          <w:pgMar w:top="1440" w:right="1440" w:bottom="1440" w:left="1440" w:header="708" w:footer="708" w:gutter="0"/>
          <w:cols w:space="708"/>
          <w:docGrid w:linePitch="360"/>
        </w:sectPr>
      </w:pPr>
    </w:p>
    <w:p w14:paraId="410396EE" w14:textId="4C8CC836" w:rsidR="00CC2E84" w:rsidRPr="00665069" w:rsidRDefault="00CC2E84" w:rsidP="00CC2E84">
      <w:pPr>
        <w:spacing w:after="0" w:line="240" w:lineRule="auto"/>
        <w:jc w:val="right"/>
        <w:rPr>
          <w:rFonts w:ascii="Times New Roman" w:eastAsia="Times New Roman" w:hAnsi="Times New Roman" w:cs="Times New Roman"/>
          <w:b/>
          <w:sz w:val="24"/>
          <w:szCs w:val="24"/>
          <w:lang w:eastAsia="en-AU"/>
        </w:rPr>
      </w:pPr>
      <w:r w:rsidRPr="00665069">
        <w:rPr>
          <w:rFonts w:ascii="Times New Roman" w:eastAsia="Times New Roman" w:hAnsi="Times New Roman" w:cs="Times New Roman"/>
          <w:b/>
          <w:sz w:val="24"/>
          <w:szCs w:val="24"/>
          <w:lang w:eastAsia="en-AU"/>
        </w:rPr>
        <w:lastRenderedPageBreak/>
        <w:t>ATTACHMENT A</w:t>
      </w:r>
    </w:p>
    <w:p w14:paraId="41C201ED" w14:textId="77777777" w:rsidR="00CC2E84" w:rsidRPr="00665069" w:rsidRDefault="00CC2E84" w:rsidP="00CC2E84">
      <w:pPr>
        <w:spacing w:after="0" w:line="240" w:lineRule="auto"/>
        <w:jc w:val="right"/>
        <w:rPr>
          <w:rFonts w:ascii="Times New Roman" w:eastAsia="Times New Roman" w:hAnsi="Times New Roman" w:cs="Times New Roman"/>
          <w:bCs/>
          <w:sz w:val="24"/>
          <w:szCs w:val="24"/>
          <w:lang w:eastAsia="en-AU"/>
        </w:rPr>
      </w:pPr>
    </w:p>
    <w:p w14:paraId="3E943CAA" w14:textId="4CD757A2" w:rsidR="00673A9E" w:rsidRPr="00665069" w:rsidRDefault="00673A9E" w:rsidP="00673A9E">
      <w:pPr>
        <w:spacing w:after="0" w:line="240" w:lineRule="auto"/>
        <w:ind w:right="91"/>
        <w:rPr>
          <w:rFonts w:ascii="Times New Roman" w:eastAsia="Times New Roman" w:hAnsi="Times New Roman" w:cs="Times New Roman"/>
          <w:b/>
          <w:i/>
          <w:sz w:val="24"/>
          <w:u w:val="single"/>
          <w:lang w:eastAsia="en-AU"/>
        </w:rPr>
      </w:pPr>
      <w:r w:rsidRPr="00665069">
        <w:rPr>
          <w:rFonts w:ascii="Times New Roman" w:eastAsia="Times New Roman" w:hAnsi="Times New Roman" w:cs="Times New Roman"/>
          <w:b/>
          <w:sz w:val="24"/>
          <w:u w:val="single"/>
          <w:lang w:eastAsia="en-AU"/>
        </w:rPr>
        <w:t xml:space="preserve">Details of the </w:t>
      </w:r>
      <w:r w:rsidRPr="00665069">
        <w:rPr>
          <w:rFonts w:ascii="Times New Roman" w:eastAsia="Times New Roman" w:hAnsi="Times New Roman" w:cs="Times New Roman"/>
          <w:b/>
          <w:i/>
          <w:sz w:val="24"/>
          <w:u w:val="single"/>
          <w:lang w:eastAsia="en-AU"/>
        </w:rPr>
        <w:t>National Health (Pharmaceutical and Vaccines—Cost Recovery) Amendment (Administrative Arrangements) Regulations 2025</w:t>
      </w:r>
    </w:p>
    <w:p w14:paraId="57E82E5B"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014748C8"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u w:val="single"/>
          <w:lang w:eastAsia="en-AU"/>
        </w:rPr>
        <w:t>Section 1 - Name of Regulations</w:t>
      </w:r>
    </w:p>
    <w:p w14:paraId="26BFCD77"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273A1989" w14:textId="0F850935" w:rsidR="00673A9E" w:rsidRPr="00665069" w:rsidRDefault="00673A9E" w:rsidP="00673A9E">
      <w:pPr>
        <w:spacing w:after="0" w:line="240" w:lineRule="auto"/>
        <w:ind w:right="91"/>
        <w:rPr>
          <w:rFonts w:ascii="Times New Roman" w:eastAsia="Times New Roman" w:hAnsi="Times New Roman" w:cs="Times New Roman"/>
          <w:i/>
          <w:sz w:val="24"/>
          <w:lang w:eastAsia="en-AU"/>
        </w:rPr>
      </w:pPr>
      <w:r w:rsidRPr="00665069">
        <w:rPr>
          <w:rFonts w:ascii="Times New Roman" w:eastAsia="Times New Roman" w:hAnsi="Times New Roman" w:cs="Times New Roman"/>
          <w:sz w:val="24"/>
          <w:lang w:eastAsia="en-AU"/>
        </w:rPr>
        <w:t>This section provide</w:t>
      </w:r>
      <w:r w:rsidR="006337B2"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that the title of the Regulations is the </w:t>
      </w:r>
      <w:r w:rsidRPr="00665069">
        <w:rPr>
          <w:rFonts w:ascii="Times New Roman" w:eastAsia="Times New Roman" w:hAnsi="Times New Roman" w:cs="Times New Roman"/>
          <w:i/>
          <w:sz w:val="24"/>
          <w:lang w:eastAsia="en-AU"/>
        </w:rPr>
        <w:t>National Health (Pharmaceutical and Vaccines—Cost Recovery) Amendment (Administrative Arrangements) Regulations 2025</w:t>
      </w:r>
      <w:r w:rsidR="006337B2" w:rsidRPr="00665069">
        <w:rPr>
          <w:rFonts w:ascii="Times New Roman" w:eastAsia="Times New Roman" w:hAnsi="Times New Roman" w:cs="Times New Roman"/>
          <w:i/>
          <w:sz w:val="24"/>
          <w:lang w:eastAsia="en-AU"/>
        </w:rPr>
        <w:t xml:space="preserve"> </w:t>
      </w:r>
      <w:r w:rsidR="006337B2" w:rsidRPr="00665069">
        <w:rPr>
          <w:rFonts w:ascii="Times New Roman" w:eastAsia="Times New Roman" w:hAnsi="Times New Roman" w:cs="Times New Roman"/>
          <w:iCs/>
          <w:sz w:val="24"/>
          <w:lang w:eastAsia="en-AU"/>
        </w:rPr>
        <w:t>(the Amendment Regulations)</w:t>
      </w:r>
      <w:r w:rsidR="00596676" w:rsidRPr="00665069">
        <w:rPr>
          <w:rFonts w:ascii="Times New Roman" w:eastAsia="Times New Roman" w:hAnsi="Times New Roman" w:cs="Times New Roman"/>
          <w:sz w:val="24"/>
          <w:lang w:eastAsia="en-AU"/>
        </w:rPr>
        <w:t>.</w:t>
      </w:r>
    </w:p>
    <w:p w14:paraId="7AF270CC"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41DE4A5E" w14:textId="77777777" w:rsidR="00673A9E" w:rsidRPr="00665069" w:rsidRDefault="00673A9E" w:rsidP="00673A9E">
      <w:pPr>
        <w:spacing w:after="0" w:line="240" w:lineRule="auto"/>
        <w:ind w:right="91"/>
        <w:rPr>
          <w:rFonts w:ascii="Times New Roman" w:eastAsia="Times New Roman" w:hAnsi="Times New Roman" w:cs="Times New Roman"/>
          <w:sz w:val="24"/>
          <w:u w:val="single"/>
          <w:lang w:eastAsia="en-AU"/>
        </w:rPr>
      </w:pPr>
      <w:r w:rsidRPr="00665069">
        <w:rPr>
          <w:rFonts w:ascii="Times New Roman" w:eastAsia="Times New Roman" w:hAnsi="Times New Roman" w:cs="Times New Roman"/>
          <w:sz w:val="24"/>
          <w:u w:val="single"/>
          <w:lang w:eastAsia="en-AU"/>
        </w:rPr>
        <w:t>Section 2 - Commencement</w:t>
      </w:r>
    </w:p>
    <w:p w14:paraId="07D7CAF3"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7C9174BC" w14:textId="38ED7A4D" w:rsidR="00673A9E" w:rsidRPr="00665069" w:rsidRDefault="008B5466"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w:t>
      </w:r>
      <w:r w:rsidR="00E20AA6" w:rsidRPr="00665069">
        <w:rPr>
          <w:rFonts w:ascii="Times New Roman" w:eastAsia="Times New Roman" w:hAnsi="Times New Roman" w:cs="Times New Roman"/>
          <w:sz w:val="24"/>
          <w:lang w:eastAsia="en-AU"/>
        </w:rPr>
        <w:t xml:space="preserve">is section provides that the </w:t>
      </w:r>
      <w:r w:rsidR="006337B2" w:rsidRPr="00665069">
        <w:rPr>
          <w:rFonts w:ascii="Times New Roman" w:eastAsia="Times New Roman" w:hAnsi="Times New Roman" w:cs="Times New Roman"/>
          <w:sz w:val="24"/>
          <w:lang w:eastAsia="en-AU"/>
        </w:rPr>
        <w:t>Amendment</w:t>
      </w:r>
      <w:r w:rsidR="00673A9E" w:rsidRPr="00665069">
        <w:rPr>
          <w:rFonts w:ascii="Times New Roman" w:eastAsia="Times New Roman" w:hAnsi="Times New Roman" w:cs="Times New Roman"/>
          <w:sz w:val="24"/>
          <w:lang w:eastAsia="en-AU"/>
        </w:rPr>
        <w:t xml:space="preserve"> Regulations commence 1 March 2025.</w:t>
      </w:r>
    </w:p>
    <w:p w14:paraId="733853CB"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52F38A8E"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u w:val="single"/>
          <w:lang w:eastAsia="en-AU"/>
        </w:rPr>
        <w:t>Section 3 - Authority</w:t>
      </w:r>
    </w:p>
    <w:p w14:paraId="64175482"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6E11E0C8" w14:textId="3E4AE918" w:rsidR="00673A9E" w:rsidRPr="00665069" w:rsidRDefault="00673A9E" w:rsidP="00673A9E">
      <w:pPr>
        <w:spacing w:after="0" w:line="240" w:lineRule="auto"/>
        <w:ind w:right="91"/>
        <w:rPr>
          <w:rFonts w:ascii="Times New Roman" w:eastAsia="Times New Roman" w:hAnsi="Times New Roman" w:cs="Times New Roman"/>
          <w:i/>
          <w:sz w:val="24"/>
          <w:lang w:eastAsia="en-AU"/>
        </w:rPr>
      </w:pPr>
      <w:r w:rsidRPr="00665069">
        <w:rPr>
          <w:rFonts w:ascii="Times New Roman" w:eastAsia="Times New Roman" w:hAnsi="Times New Roman" w:cs="Times New Roman"/>
          <w:sz w:val="24"/>
          <w:lang w:eastAsia="en-AU"/>
        </w:rPr>
        <w:t>This section provide</w:t>
      </w:r>
      <w:r w:rsidR="00E20AA6"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that the </w:t>
      </w:r>
      <w:r w:rsidRPr="00665069">
        <w:rPr>
          <w:rFonts w:ascii="Times New Roman" w:eastAsia="Times New Roman" w:hAnsi="Times New Roman" w:cs="Times New Roman"/>
          <w:i/>
          <w:sz w:val="24"/>
          <w:lang w:eastAsia="en-AU"/>
        </w:rPr>
        <w:t>National Health (Pharmaceutical and Vaccines—Cost Recovery) Amendment (Administrative Arrangements) Regulations 2025</w:t>
      </w:r>
      <w:r w:rsidR="004B2DBA" w:rsidRPr="00665069">
        <w:rPr>
          <w:rFonts w:ascii="Times New Roman" w:eastAsia="Times New Roman" w:hAnsi="Times New Roman" w:cs="Times New Roman"/>
          <w:i/>
          <w:sz w:val="24"/>
          <w:lang w:eastAsia="en-AU"/>
        </w:rPr>
        <w:t xml:space="preserve"> </w:t>
      </w:r>
      <w:r w:rsidR="00533587" w:rsidRPr="00665069">
        <w:rPr>
          <w:rFonts w:ascii="Times New Roman" w:eastAsia="Times New Roman" w:hAnsi="Times New Roman" w:cs="Times New Roman"/>
          <w:iCs/>
          <w:sz w:val="24"/>
          <w:lang w:eastAsia="en-AU"/>
        </w:rPr>
        <w:t>are</w:t>
      </w:r>
      <w:r w:rsidR="00E66F3E" w:rsidRPr="00665069">
        <w:rPr>
          <w:rFonts w:ascii="Times New Roman" w:eastAsia="Times New Roman" w:hAnsi="Times New Roman" w:cs="Times New Roman"/>
          <w:iCs/>
          <w:sz w:val="24"/>
          <w:lang w:eastAsia="en-AU"/>
        </w:rPr>
        <w:t xml:space="preserve"> </w:t>
      </w:r>
      <w:r w:rsidRPr="00665069">
        <w:rPr>
          <w:rFonts w:ascii="Times New Roman" w:eastAsia="Times New Roman" w:hAnsi="Times New Roman" w:cs="Times New Roman"/>
          <w:sz w:val="24"/>
          <w:lang w:eastAsia="en-AU"/>
        </w:rPr>
        <w:t xml:space="preserve">made under the </w:t>
      </w:r>
      <w:r w:rsidRPr="00665069">
        <w:rPr>
          <w:rFonts w:ascii="Times New Roman" w:eastAsia="Times New Roman" w:hAnsi="Times New Roman" w:cs="Times New Roman"/>
          <w:i/>
          <w:sz w:val="24"/>
          <w:lang w:eastAsia="en-AU"/>
        </w:rPr>
        <w:t>National Health Act 1953</w:t>
      </w:r>
      <w:r w:rsidRPr="00665069">
        <w:rPr>
          <w:rFonts w:ascii="Times New Roman" w:eastAsia="Times New Roman" w:hAnsi="Times New Roman" w:cs="Times New Roman"/>
          <w:iCs/>
          <w:sz w:val="24"/>
          <w:lang w:eastAsia="en-AU"/>
        </w:rPr>
        <w:t>.</w:t>
      </w:r>
    </w:p>
    <w:p w14:paraId="3EE94587"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161D230A" w14:textId="77777777" w:rsidR="00673A9E" w:rsidRPr="00665069" w:rsidRDefault="00673A9E" w:rsidP="00673A9E">
      <w:pPr>
        <w:keepNext/>
        <w:spacing w:after="0" w:line="240" w:lineRule="auto"/>
        <w:ind w:right="748"/>
        <w:rPr>
          <w:rFonts w:ascii="Times New Roman" w:eastAsia="Times New Roman" w:hAnsi="Times New Roman" w:cs="Times New Roman"/>
          <w:sz w:val="24"/>
          <w:u w:val="single"/>
          <w:lang w:eastAsia="en-AU"/>
        </w:rPr>
      </w:pPr>
      <w:r w:rsidRPr="00665069">
        <w:rPr>
          <w:rFonts w:ascii="Times New Roman" w:eastAsia="Times New Roman" w:hAnsi="Times New Roman" w:cs="Times New Roman"/>
          <w:sz w:val="24"/>
          <w:u w:val="single"/>
          <w:lang w:eastAsia="en-AU"/>
        </w:rPr>
        <w:t>Section 4 - Schedule(s)</w:t>
      </w:r>
    </w:p>
    <w:p w14:paraId="76D5E5AF" w14:textId="77777777" w:rsidR="00673A9E" w:rsidRPr="00665069" w:rsidRDefault="00673A9E" w:rsidP="00673A9E">
      <w:pPr>
        <w:keepNext/>
        <w:spacing w:after="0" w:line="240" w:lineRule="auto"/>
        <w:ind w:right="748"/>
        <w:rPr>
          <w:rFonts w:ascii="Times New Roman" w:eastAsia="Times New Roman" w:hAnsi="Times New Roman" w:cs="Times New Roman"/>
          <w:sz w:val="24"/>
          <w:lang w:eastAsia="en-AU"/>
        </w:rPr>
      </w:pPr>
    </w:p>
    <w:p w14:paraId="06D96D7A" w14:textId="348266DB" w:rsidR="00673A9E" w:rsidRPr="00665069" w:rsidRDefault="00673A9E" w:rsidP="00673A9E">
      <w:pPr>
        <w:keepNext/>
        <w:spacing w:after="0" w:line="240" w:lineRule="auto"/>
        <w:ind w:right="748"/>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This section provide</w:t>
      </w:r>
      <w:r w:rsidR="004B2DBA"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5E49A162" w14:textId="77777777" w:rsidR="00673A9E" w:rsidRPr="00665069" w:rsidRDefault="00673A9E" w:rsidP="00673A9E">
      <w:pPr>
        <w:spacing w:after="0" w:line="240" w:lineRule="auto"/>
        <w:ind w:right="91"/>
        <w:rPr>
          <w:rFonts w:ascii="Times New Roman" w:eastAsia="Times New Roman" w:hAnsi="Times New Roman" w:cs="Times New Roman"/>
          <w:sz w:val="24"/>
          <w:u w:val="single"/>
          <w:lang w:eastAsia="en-AU"/>
        </w:rPr>
      </w:pPr>
    </w:p>
    <w:p w14:paraId="49C1120E"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u w:val="single"/>
          <w:lang w:eastAsia="en-AU"/>
        </w:rPr>
        <w:t>Schedule 1 - Amendments</w:t>
      </w:r>
    </w:p>
    <w:p w14:paraId="0EDE7AAE"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081525A7"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 xml:space="preserve">Amendments to the </w:t>
      </w:r>
      <w:r w:rsidRPr="00665069">
        <w:rPr>
          <w:rFonts w:ascii="Times New Roman" w:eastAsia="Times New Roman" w:hAnsi="Times New Roman" w:cs="Times New Roman"/>
          <w:i/>
          <w:iCs/>
          <w:sz w:val="24"/>
          <w:lang w:eastAsia="en-AU"/>
        </w:rPr>
        <w:t>National Health (Pharmaceuticals and Vaccines—Cost Recovery) Regulations 2022</w:t>
      </w:r>
      <w:r w:rsidRPr="00665069">
        <w:rPr>
          <w:rFonts w:ascii="Times New Roman" w:eastAsia="Times New Roman" w:hAnsi="Times New Roman" w:cs="Times New Roman"/>
          <w:sz w:val="24"/>
          <w:lang w:eastAsia="en-AU"/>
        </w:rPr>
        <w:t>.</w:t>
      </w:r>
    </w:p>
    <w:p w14:paraId="2E52333D" w14:textId="77777777" w:rsidR="00673A9E" w:rsidRPr="00665069" w:rsidRDefault="00673A9E" w:rsidP="00673A9E">
      <w:pPr>
        <w:spacing w:after="0" w:line="240" w:lineRule="auto"/>
        <w:ind w:right="91"/>
        <w:rPr>
          <w:rFonts w:ascii="Times New Roman" w:eastAsia="Times New Roman" w:hAnsi="Times New Roman" w:cs="Times New Roman"/>
          <w:bCs/>
          <w:sz w:val="24"/>
          <w:lang w:eastAsia="en-AU"/>
        </w:rPr>
      </w:pPr>
    </w:p>
    <w:p w14:paraId="22846E26"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b/>
          <w:sz w:val="24"/>
          <w:lang w:eastAsia="en-AU"/>
        </w:rPr>
        <w:t>Item [1] - Subsection 41(2)</w:t>
      </w:r>
    </w:p>
    <w:p w14:paraId="4D826A1E"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1F2DD139" w14:textId="35AFA9A6"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This item omit</w:t>
      </w:r>
      <w:r w:rsidR="00524721"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references to subsections 49(3) and 51(2) regarding refunds excluding deposits and substitute with a reference to subsection 51(2) only. This change provide</w:t>
      </w:r>
      <w:r w:rsidR="00524721"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that partial refunds (excluding non-refundable deposits) are available to applicants who withdraw their application within 30 business days. </w:t>
      </w:r>
    </w:p>
    <w:p w14:paraId="3BC046C2"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5A674C27"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b/>
          <w:sz w:val="24"/>
          <w:lang w:eastAsia="en-AU"/>
        </w:rPr>
        <w:t>Item [2] - Subsection 41(3)</w:t>
      </w:r>
    </w:p>
    <w:p w14:paraId="47E15F8A"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2C1B1623" w14:textId="0C2964A3"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This item insert</w:t>
      </w:r>
      <w:r w:rsidR="00524721"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a reference to subsection 49(3), providing that applicants who do not submit a pricing application within 30 days following submission of a notice of intent </w:t>
      </w:r>
      <w:r w:rsidR="00151744" w:rsidRPr="00665069">
        <w:rPr>
          <w:rFonts w:ascii="Times New Roman" w:eastAsia="Times New Roman" w:hAnsi="Times New Roman" w:cs="Times New Roman"/>
          <w:sz w:val="24"/>
          <w:lang w:eastAsia="en-AU"/>
        </w:rPr>
        <w:t xml:space="preserve">are </w:t>
      </w:r>
      <w:r w:rsidRPr="00665069">
        <w:rPr>
          <w:rFonts w:ascii="Times New Roman" w:eastAsia="Times New Roman" w:hAnsi="Times New Roman" w:cs="Times New Roman"/>
          <w:sz w:val="24"/>
          <w:lang w:eastAsia="en-AU"/>
        </w:rPr>
        <w:t xml:space="preserve">liable for the corresponding non-refundable deposit amount set out in subsection 41(3). </w:t>
      </w:r>
    </w:p>
    <w:p w14:paraId="262D10DC" w14:textId="77777777" w:rsidR="00673A9E" w:rsidRPr="00665069" w:rsidRDefault="00673A9E" w:rsidP="00673A9E">
      <w:pPr>
        <w:tabs>
          <w:tab w:val="right" w:pos="8931"/>
        </w:tabs>
        <w:spacing w:after="0" w:line="240" w:lineRule="exact"/>
        <w:ind w:right="91"/>
        <w:rPr>
          <w:rFonts w:ascii="Times New Roman" w:eastAsia="Times New Roman" w:hAnsi="Times New Roman" w:cs="Times New Roman"/>
          <w:sz w:val="24"/>
          <w:lang w:eastAsia="en-AU"/>
        </w:rPr>
      </w:pPr>
    </w:p>
    <w:p w14:paraId="29ECA117" w14:textId="77777777" w:rsidR="00673A9E" w:rsidRPr="00665069" w:rsidRDefault="00673A9E" w:rsidP="00673A9E">
      <w:pPr>
        <w:spacing w:after="0" w:line="240" w:lineRule="auto"/>
        <w:ind w:right="91"/>
        <w:rPr>
          <w:rFonts w:ascii="Times New Roman" w:eastAsia="Times New Roman" w:hAnsi="Times New Roman" w:cs="Times New Roman"/>
          <w:b/>
          <w:sz w:val="24"/>
          <w:lang w:eastAsia="en-AU"/>
        </w:rPr>
      </w:pPr>
      <w:r w:rsidRPr="00665069">
        <w:rPr>
          <w:rFonts w:ascii="Times New Roman" w:eastAsia="Times New Roman" w:hAnsi="Times New Roman" w:cs="Times New Roman"/>
          <w:b/>
          <w:sz w:val="24"/>
          <w:lang w:eastAsia="en-AU"/>
        </w:rPr>
        <w:t>Item [3] - At the end of subsection 41(3)</w:t>
      </w:r>
    </w:p>
    <w:p w14:paraId="75ECA8AC" w14:textId="77777777" w:rsidR="00673A9E" w:rsidRPr="00665069" w:rsidRDefault="00673A9E" w:rsidP="00673A9E">
      <w:pPr>
        <w:spacing w:after="0" w:line="240" w:lineRule="auto"/>
        <w:ind w:right="91"/>
        <w:rPr>
          <w:rFonts w:ascii="Times New Roman" w:eastAsia="Times New Roman" w:hAnsi="Times New Roman" w:cs="Times New Roman"/>
          <w:b/>
          <w:sz w:val="24"/>
          <w:lang w:eastAsia="en-AU"/>
        </w:rPr>
      </w:pPr>
    </w:p>
    <w:p w14:paraId="130FCCF7" w14:textId="30616B5D" w:rsidR="00673A9E" w:rsidRPr="00665069" w:rsidRDefault="00673A9E" w:rsidP="00673A9E">
      <w:pPr>
        <w:spacing w:after="0" w:line="240" w:lineRule="auto"/>
        <w:ind w:right="91"/>
        <w:rPr>
          <w:rFonts w:ascii="Times New Roman" w:eastAsia="Times New Roman" w:hAnsi="Times New Roman" w:cs="Times New Roman"/>
          <w:bCs/>
          <w:sz w:val="24"/>
          <w:lang w:eastAsia="en-AU"/>
        </w:rPr>
      </w:pPr>
      <w:r w:rsidRPr="00665069">
        <w:rPr>
          <w:rFonts w:ascii="Times New Roman" w:eastAsia="Times New Roman" w:hAnsi="Times New Roman" w:cs="Times New Roman"/>
          <w:bCs/>
          <w:sz w:val="24"/>
          <w:lang w:eastAsia="en-AU"/>
        </w:rPr>
        <w:t>This item provide</w:t>
      </w:r>
      <w:r w:rsidR="00151744" w:rsidRPr="00665069">
        <w:rPr>
          <w:rFonts w:ascii="Times New Roman" w:eastAsia="Times New Roman" w:hAnsi="Times New Roman" w:cs="Times New Roman"/>
          <w:bCs/>
          <w:sz w:val="24"/>
          <w:lang w:eastAsia="en-AU"/>
        </w:rPr>
        <w:t>s</w:t>
      </w:r>
      <w:r w:rsidRPr="00665069">
        <w:rPr>
          <w:rFonts w:ascii="Times New Roman" w:eastAsia="Times New Roman" w:hAnsi="Times New Roman" w:cs="Times New Roman"/>
          <w:bCs/>
          <w:sz w:val="24"/>
          <w:lang w:eastAsia="en-AU"/>
        </w:rPr>
        <w:t xml:space="preserve"> that items 4 and 5 of the table in subsection are inclusive of a $455 non-refundable deposit amount. </w:t>
      </w:r>
    </w:p>
    <w:p w14:paraId="6036EA95" w14:textId="77777777" w:rsidR="00673A9E" w:rsidRPr="00665069" w:rsidRDefault="00673A9E" w:rsidP="00673A9E">
      <w:pPr>
        <w:spacing w:after="0" w:line="240" w:lineRule="auto"/>
        <w:ind w:right="91"/>
        <w:rPr>
          <w:rFonts w:ascii="Times New Roman" w:eastAsia="Times New Roman" w:hAnsi="Times New Roman" w:cs="Times New Roman"/>
          <w:bCs/>
          <w:sz w:val="24"/>
          <w:lang w:eastAsia="en-AU"/>
        </w:rPr>
      </w:pPr>
    </w:p>
    <w:p w14:paraId="35D24194" w14:textId="77777777" w:rsidR="00673A9E" w:rsidRPr="00665069" w:rsidRDefault="00673A9E" w:rsidP="00673A9E">
      <w:pPr>
        <w:spacing w:after="0" w:line="240" w:lineRule="auto"/>
        <w:ind w:right="91"/>
        <w:rPr>
          <w:rFonts w:ascii="Times New Roman" w:eastAsia="Times New Roman" w:hAnsi="Times New Roman" w:cs="Times New Roman"/>
          <w:bCs/>
          <w:sz w:val="24"/>
          <w:lang w:eastAsia="en-AU"/>
        </w:rPr>
      </w:pPr>
      <w:r w:rsidRPr="00665069">
        <w:rPr>
          <w:rFonts w:ascii="Times New Roman" w:eastAsia="Times New Roman" w:hAnsi="Times New Roman" w:cs="Times New Roman"/>
          <w:bCs/>
          <w:sz w:val="24"/>
          <w:lang w:eastAsia="en-AU"/>
        </w:rPr>
        <w:t>This fee is charged by the department to cost recover administrative services by the department in relation to an application or notice of intent for an application.</w:t>
      </w:r>
    </w:p>
    <w:p w14:paraId="5E2A905F" w14:textId="77777777" w:rsidR="00673A9E" w:rsidRPr="00665069" w:rsidRDefault="00673A9E" w:rsidP="00673A9E">
      <w:pPr>
        <w:spacing w:after="0" w:line="240" w:lineRule="auto"/>
        <w:ind w:right="91"/>
        <w:rPr>
          <w:rFonts w:ascii="Times New Roman" w:eastAsia="Times New Roman" w:hAnsi="Times New Roman" w:cs="Times New Roman"/>
          <w:bCs/>
          <w:sz w:val="24"/>
          <w:lang w:eastAsia="en-AU"/>
        </w:rPr>
      </w:pPr>
    </w:p>
    <w:p w14:paraId="21F182E7"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b/>
          <w:sz w:val="24"/>
          <w:lang w:eastAsia="en-AU"/>
        </w:rPr>
        <w:t>Item [4] - Subsection 49(3)</w:t>
      </w:r>
    </w:p>
    <w:p w14:paraId="49378B18"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72DFF3E1" w14:textId="68D31AF0"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This item</w:t>
      </w:r>
      <w:r w:rsidR="003056F3" w:rsidRPr="00665069">
        <w:rPr>
          <w:rFonts w:ascii="Times New Roman" w:eastAsia="Times New Roman" w:hAnsi="Times New Roman" w:cs="Times New Roman"/>
          <w:sz w:val="24"/>
          <w:lang w:eastAsia="en-AU"/>
        </w:rPr>
        <w:t xml:space="preserve"> </w:t>
      </w:r>
      <w:r w:rsidRPr="00665069">
        <w:rPr>
          <w:rFonts w:ascii="Times New Roman" w:eastAsia="Times New Roman" w:hAnsi="Times New Roman" w:cs="Times New Roman"/>
          <w:sz w:val="24"/>
          <w:lang w:eastAsia="en-AU"/>
        </w:rPr>
        <w:t>omit</w:t>
      </w:r>
      <w:r w:rsidR="003056F3"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a reference to subsection 41(2) and substitute</w:t>
      </w:r>
      <w:r w:rsidR="00E5096E"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a reference to subsection 41(3) providing an appropriate refund amount should an applicant not provide a pricing application within 30 days following submission of a notice of intent.</w:t>
      </w:r>
    </w:p>
    <w:p w14:paraId="149BE89D"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3C379BD6"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b/>
          <w:sz w:val="24"/>
          <w:lang w:eastAsia="en-AU"/>
        </w:rPr>
        <w:t>Item [5] - Paragraphs 51(2)(b), (3)(b) and (4)(b)</w:t>
      </w:r>
    </w:p>
    <w:p w14:paraId="3C62418D"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20798BC7" w14:textId="31D7FA2B"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This item omit</w:t>
      </w:r>
      <w:r w:rsidR="008F54D8"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references to 10 business days and substitute</w:t>
      </w:r>
      <w:r w:rsidR="008F54D8"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with references to 30 business days, thereby providing applicants with additional time to withdraw a pricing application before becoming liable for the full application fee. </w:t>
      </w:r>
    </w:p>
    <w:p w14:paraId="71F404B1"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3964EB5E"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b/>
          <w:sz w:val="24"/>
          <w:lang w:eastAsia="en-AU"/>
        </w:rPr>
        <w:t>Item [6] - Section 66 (at the end of the paragraph beginning “The Secretary may”)</w:t>
      </w:r>
    </w:p>
    <w:p w14:paraId="6FA652BB"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5AC0CB1D" w14:textId="51CB26EE"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 xml:space="preserve">This item </w:t>
      </w:r>
      <w:r w:rsidR="00916279" w:rsidRPr="00665069">
        <w:rPr>
          <w:rFonts w:ascii="Times New Roman" w:eastAsia="Times New Roman" w:hAnsi="Times New Roman" w:cs="Times New Roman"/>
          <w:sz w:val="24"/>
          <w:lang w:eastAsia="en-AU"/>
        </w:rPr>
        <w:t>i</w:t>
      </w:r>
      <w:r w:rsidRPr="00665069">
        <w:rPr>
          <w:rFonts w:ascii="Times New Roman" w:eastAsia="Times New Roman" w:hAnsi="Times New Roman" w:cs="Times New Roman"/>
          <w:sz w:val="24"/>
          <w:lang w:eastAsia="en-AU"/>
        </w:rPr>
        <w:t>nsert</w:t>
      </w:r>
      <w:r w:rsidR="00916279"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wording providing that the department’s Secretary may seek further information from an applicant to consider a request for a fee waiver. </w:t>
      </w:r>
    </w:p>
    <w:p w14:paraId="313D090E"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0D9118AF" w14:textId="77777777" w:rsidR="00673A9E" w:rsidRPr="00665069" w:rsidRDefault="00673A9E" w:rsidP="00673A9E">
      <w:pPr>
        <w:spacing w:after="0" w:line="240" w:lineRule="auto"/>
        <w:ind w:right="91"/>
        <w:rPr>
          <w:rFonts w:ascii="Times New Roman" w:eastAsia="Times New Roman" w:hAnsi="Times New Roman" w:cs="Times New Roman"/>
          <w:b/>
          <w:sz w:val="24"/>
          <w:lang w:eastAsia="en-AU"/>
        </w:rPr>
      </w:pPr>
      <w:r w:rsidRPr="00665069">
        <w:rPr>
          <w:rFonts w:ascii="Times New Roman" w:eastAsia="Times New Roman" w:hAnsi="Times New Roman" w:cs="Times New Roman"/>
          <w:b/>
          <w:sz w:val="24"/>
          <w:lang w:eastAsia="en-AU"/>
        </w:rPr>
        <w:t>Item [7] - At the end of section 68</w:t>
      </w:r>
    </w:p>
    <w:p w14:paraId="126CA6B4"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6D43F28C" w14:textId="4EE6FAF1"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This item insert</w:t>
      </w:r>
      <w:r w:rsidR="00725F25"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a provision to clarify that the department’s Secretary may seek further information from an applicant to consider a request for a fee waiver. </w:t>
      </w:r>
    </w:p>
    <w:p w14:paraId="62BCD6AC"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01848165"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b/>
          <w:sz w:val="24"/>
          <w:lang w:eastAsia="en-AU"/>
        </w:rPr>
        <w:t>Item [8] - At the end of section 69</w:t>
      </w:r>
    </w:p>
    <w:p w14:paraId="5364AB4C"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580C77DF" w14:textId="41000D0D"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This item insert</w:t>
      </w:r>
      <w:r w:rsidR="00725F25" w:rsidRPr="00665069">
        <w:rPr>
          <w:rFonts w:ascii="Times New Roman" w:eastAsia="Times New Roman" w:hAnsi="Times New Roman" w:cs="Times New Roman"/>
          <w:sz w:val="24"/>
          <w:lang w:eastAsia="en-AU"/>
        </w:rPr>
        <w:t>s</w:t>
      </w:r>
      <w:r w:rsidRPr="00665069">
        <w:rPr>
          <w:rFonts w:ascii="Times New Roman" w:eastAsia="Times New Roman" w:hAnsi="Times New Roman" w:cs="Times New Roman"/>
          <w:sz w:val="24"/>
          <w:lang w:eastAsia="en-AU"/>
        </w:rPr>
        <w:t xml:space="preserve"> a provision to clarify that the department’s Secretary may seek further information from an applicant to consider a request for a fee waiver. </w:t>
      </w:r>
    </w:p>
    <w:p w14:paraId="715F9594"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p>
    <w:p w14:paraId="7AFA3A5C" w14:textId="77777777" w:rsidR="00673A9E" w:rsidRPr="00665069" w:rsidRDefault="00673A9E" w:rsidP="00673A9E">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b/>
          <w:sz w:val="24"/>
          <w:lang w:eastAsia="en-AU"/>
        </w:rPr>
        <w:t>Item [9] - At the end of Part 9</w:t>
      </w:r>
    </w:p>
    <w:p w14:paraId="6C9DD554" w14:textId="77777777" w:rsidR="00673A9E" w:rsidRPr="00665069" w:rsidRDefault="00673A9E" w:rsidP="00673A9E">
      <w:pPr>
        <w:tabs>
          <w:tab w:val="right" w:pos="8931"/>
        </w:tabs>
        <w:spacing w:after="0" w:line="240" w:lineRule="exact"/>
        <w:ind w:right="91"/>
        <w:rPr>
          <w:rFonts w:ascii="Times New Roman" w:eastAsia="Times New Roman" w:hAnsi="Times New Roman" w:cs="Times New Roman"/>
          <w:sz w:val="24"/>
          <w:lang w:eastAsia="en-AU"/>
        </w:rPr>
      </w:pPr>
    </w:p>
    <w:p w14:paraId="7E0DE5BB" w14:textId="5DC3BC6A" w:rsidR="00673A9E" w:rsidRPr="00665069" w:rsidRDefault="00673A9E" w:rsidP="0045102B">
      <w:pPr>
        <w:spacing w:after="0" w:line="240" w:lineRule="auto"/>
        <w:ind w:right="91"/>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t xml:space="preserve">This item provides the amendments made by the </w:t>
      </w:r>
      <w:r w:rsidR="0012353E" w:rsidRPr="00665069">
        <w:rPr>
          <w:rFonts w:ascii="Times New Roman" w:eastAsia="Times New Roman" w:hAnsi="Times New Roman" w:cs="Times New Roman"/>
          <w:sz w:val="24"/>
          <w:lang w:eastAsia="en-AU"/>
        </w:rPr>
        <w:t>Amendment</w:t>
      </w:r>
      <w:r w:rsidRPr="00665069">
        <w:rPr>
          <w:rFonts w:ascii="Times New Roman" w:eastAsia="Times New Roman" w:hAnsi="Times New Roman" w:cs="Times New Roman"/>
          <w:sz w:val="24"/>
          <w:lang w:eastAsia="en-AU"/>
        </w:rPr>
        <w:t xml:space="preserve"> Regulations which </w:t>
      </w:r>
      <w:r w:rsidR="0012353E" w:rsidRPr="00665069">
        <w:rPr>
          <w:rFonts w:ascii="Times New Roman" w:eastAsia="Times New Roman" w:hAnsi="Times New Roman" w:cs="Times New Roman"/>
          <w:sz w:val="24"/>
          <w:lang w:eastAsia="en-AU"/>
        </w:rPr>
        <w:t xml:space="preserve">are </w:t>
      </w:r>
      <w:r w:rsidRPr="00665069">
        <w:rPr>
          <w:rFonts w:ascii="Times New Roman" w:eastAsia="Times New Roman" w:hAnsi="Times New Roman" w:cs="Times New Roman"/>
          <w:sz w:val="24"/>
          <w:lang w:eastAsia="en-AU"/>
        </w:rPr>
        <w:t xml:space="preserve">added after Part 9 as Division 5. This includes the definitions of amending regulations being these regulations and commencement day being 1 March 2025 for the newly added Division 5 which </w:t>
      </w:r>
      <w:r w:rsidR="0012353E" w:rsidRPr="00665069">
        <w:rPr>
          <w:rFonts w:ascii="Times New Roman" w:eastAsia="Times New Roman" w:hAnsi="Times New Roman" w:cs="Times New Roman"/>
          <w:sz w:val="24"/>
          <w:lang w:eastAsia="en-AU"/>
        </w:rPr>
        <w:t>is</w:t>
      </w:r>
      <w:r w:rsidRPr="00665069">
        <w:rPr>
          <w:rFonts w:ascii="Times New Roman" w:eastAsia="Times New Roman" w:hAnsi="Times New Roman" w:cs="Times New Roman"/>
          <w:sz w:val="24"/>
          <w:lang w:eastAsia="en-AU"/>
        </w:rPr>
        <w:t xml:space="preserve"> in section 88. The newly added section 89 has the application provision for these </w:t>
      </w:r>
      <w:r w:rsidR="0012353E" w:rsidRPr="00665069">
        <w:rPr>
          <w:rFonts w:ascii="Times New Roman" w:eastAsia="Times New Roman" w:hAnsi="Times New Roman" w:cs="Times New Roman"/>
          <w:sz w:val="24"/>
          <w:lang w:eastAsia="en-AU"/>
        </w:rPr>
        <w:t>Amendment</w:t>
      </w:r>
      <w:r w:rsidRPr="00665069">
        <w:rPr>
          <w:rFonts w:ascii="Times New Roman" w:eastAsia="Times New Roman" w:hAnsi="Times New Roman" w:cs="Times New Roman"/>
          <w:sz w:val="24"/>
          <w:lang w:eastAsia="en-AU"/>
        </w:rPr>
        <w:t xml:space="preserve"> Regulations to clarify that these administrative amendments apply to all notices of intent, applications and submissions given on or after 1 March 2025.</w:t>
      </w:r>
    </w:p>
    <w:p w14:paraId="6F26F31A" w14:textId="56E594EC" w:rsidR="0045102B" w:rsidRPr="00665069" w:rsidRDefault="0045102B">
      <w:pPr>
        <w:rPr>
          <w:rFonts w:ascii="Times New Roman" w:eastAsia="Times New Roman" w:hAnsi="Times New Roman" w:cs="Times New Roman"/>
          <w:sz w:val="24"/>
          <w:lang w:eastAsia="en-AU"/>
        </w:rPr>
      </w:pPr>
      <w:r w:rsidRPr="00665069">
        <w:rPr>
          <w:rFonts w:ascii="Times New Roman" w:eastAsia="Times New Roman" w:hAnsi="Times New Roman" w:cs="Times New Roman"/>
          <w:sz w:val="24"/>
          <w:lang w:eastAsia="en-AU"/>
        </w:rPr>
        <w:br w:type="page"/>
      </w:r>
    </w:p>
    <w:p w14:paraId="1376A1EF" w14:textId="77777777" w:rsidR="00CC2E84" w:rsidRPr="00665069" w:rsidRDefault="00CC2E84" w:rsidP="00CC2E84">
      <w:pPr>
        <w:spacing w:after="0" w:line="240" w:lineRule="auto"/>
        <w:jc w:val="right"/>
        <w:rPr>
          <w:rFonts w:ascii="Times New Roman" w:eastAsia="Times New Roman" w:hAnsi="Times New Roman" w:cs="Times New Roman"/>
          <w:b/>
          <w:sz w:val="24"/>
          <w:szCs w:val="24"/>
          <w:lang w:eastAsia="en-AU"/>
        </w:rPr>
      </w:pPr>
      <w:r w:rsidRPr="00665069">
        <w:rPr>
          <w:rFonts w:ascii="Times New Roman" w:eastAsia="Times New Roman" w:hAnsi="Times New Roman" w:cs="Times New Roman"/>
          <w:b/>
          <w:sz w:val="24"/>
          <w:szCs w:val="24"/>
          <w:lang w:eastAsia="en-AU"/>
        </w:rPr>
        <w:t>ATTACHMENT B</w:t>
      </w:r>
    </w:p>
    <w:p w14:paraId="492EFCCE" w14:textId="77777777" w:rsidR="00CC2E84" w:rsidRPr="00665069" w:rsidRDefault="00CC2E84" w:rsidP="00CC2E84">
      <w:pPr>
        <w:spacing w:after="0" w:line="240" w:lineRule="auto"/>
        <w:jc w:val="center"/>
        <w:rPr>
          <w:rFonts w:ascii="Times New Roman" w:eastAsia="Times New Roman" w:hAnsi="Times New Roman" w:cs="Times New Roman"/>
          <w:bCs/>
          <w:sz w:val="24"/>
          <w:szCs w:val="24"/>
          <w:lang w:eastAsia="en-AU"/>
        </w:rPr>
      </w:pPr>
    </w:p>
    <w:p w14:paraId="2AA54068" w14:textId="77777777" w:rsidR="00CC2E84" w:rsidRPr="00665069" w:rsidRDefault="00CC2E84" w:rsidP="00CC2E84">
      <w:pPr>
        <w:spacing w:after="0" w:line="240" w:lineRule="auto"/>
        <w:jc w:val="center"/>
        <w:rPr>
          <w:rFonts w:ascii="Times New Roman" w:eastAsia="Times New Roman" w:hAnsi="Times New Roman" w:cs="Times New Roman"/>
          <w:b/>
          <w:sz w:val="28"/>
          <w:szCs w:val="28"/>
          <w:lang w:eastAsia="en-AU"/>
        </w:rPr>
      </w:pPr>
      <w:r w:rsidRPr="00665069">
        <w:rPr>
          <w:rFonts w:ascii="Times New Roman" w:eastAsia="Times New Roman" w:hAnsi="Times New Roman" w:cs="Times New Roman"/>
          <w:b/>
          <w:sz w:val="28"/>
          <w:szCs w:val="28"/>
          <w:lang w:eastAsia="en-AU"/>
        </w:rPr>
        <w:t>Statement of Compatibility with Human Rights</w:t>
      </w:r>
    </w:p>
    <w:p w14:paraId="20A499E5" w14:textId="77777777" w:rsidR="00CC2E84" w:rsidRPr="00665069" w:rsidRDefault="00CC2E84" w:rsidP="00CC2E84">
      <w:pPr>
        <w:spacing w:after="0" w:line="240" w:lineRule="auto"/>
        <w:jc w:val="center"/>
        <w:rPr>
          <w:rFonts w:ascii="Times New Roman" w:eastAsia="Times New Roman" w:hAnsi="Times New Roman" w:cs="Times New Roman"/>
          <w:bCs/>
          <w:sz w:val="24"/>
          <w:szCs w:val="24"/>
          <w:lang w:eastAsia="en-AU"/>
        </w:rPr>
      </w:pPr>
    </w:p>
    <w:p w14:paraId="7979C268" w14:textId="77777777" w:rsidR="009F6812" w:rsidRPr="00665069" w:rsidRDefault="009F6812" w:rsidP="009F6812">
      <w:pPr>
        <w:pStyle w:val="PlainParagraph"/>
        <w:spacing w:after="280"/>
        <w:jc w:val="center"/>
        <w:rPr>
          <w:rFonts w:ascii="Times New Roman" w:hAnsi="Times New Roman" w:cs="Times New Roman"/>
          <w:i/>
          <w:sz w:val="24"/>
          <w:szCs w:val="24"/>
          <w:u w:val="single"/>
        </w:rPr>
      </w:pPr>
      <w:r w:rsidRPr="00665069">
        <w:rPr>
          <w:rFonts w:ascii="Times New Roman" w:hAnsi="Times New Roman" w:cs="Times New Roman"/>
          <w:i/>
          <w:sz w:val="24"/>
          <w:szCs w:val="24"/>
        </w:rPr>
        <w:t>Prepared in accordance with Part 3 of the Human Rights (Parliamentary Scrutiny) Act 2011</w:t>
      </w:r>
    </w:p>
    <w:p w14:paraId="240D283F" w14:textId="77777777" w:rsidR="0065299C" w:rsidRPr="00665069" w:rsidRDefault="0065299C" w:rsidP="009F6812">
      <w:pPr>
        <w:ind w:right="91"/>
        <w:rPr>
          <w:rFonts w:ascii="Times New Roman" w:hAnsi="Times New Roman"/>
          <w:b/>
          <w:bCs/>
          <w:i/>
          <w:sz w:val="24"/>
          <w:szCs w:val="24"/>
        </w:rPr>
      </w:pPr>
      <w:r w:rsidRPr="00665069">
        <w:rPr>
          <w:rFonts w:ascii="Times New Roman" w:hAnsi="Times New Roman"/>
          <w:b/>
          <w:bCs/>
          <w:i/>
          <w:sz w:val="24"/>
          <w:szCs w:val="24"/>
        </w:rPr>
        <w:t>National Health (Pharmaceutical and Vaccines—Cost Recovery) Amendment (Administrative Arrangements) Regulations 2025</w:t>
      </w:r>
    </w:p>
    <w:p w14:paraId="2EB2B1FB" w14:textId="7FDF9F5E" w:rsidR="00CC2E84" w:rsidRPr="00665069" w:rsidRDefault="00533587" w:rsidP="00E76088">
      <w:pPr>
        <w:ind w:right="91"/>
        <w:rPr>
          <w:rFonts w:ascii="Times New Roman" w:hAnsi="Times New Roman"/>
          <w:sz w:val="24"/>
          <w:szCs w:val="24"/>
        </w:rPr>
      </w:pPr>
      <w:r w:rsidRPr="00665069">
        <w:rPr>
          <w:rFonts w:ascii="Times New Roman" w:hAnsi="Times New Roman"/>
          <w:sz w:val="24"/>
          <w:szCs w:val="24"/>
        </w:rPr>
        <w:t xml:space="preserve">The </w:t>
      </w:r>
      <w:r w:rsidR="0065299C" w:rsidRPr="00665069">
        <w:rPr>
          <w:rFonts w:ascii="Times New Roman" w:hAnsi="Times New Roman"/>
          <w:i/>
          <w:iCs/>
          <w:sz w:val="24"/>
          <w:szCs w:val="24"/>
        </w:rPr>
        <w:t>National Health (Pharmaceutical and Vaccines—Cost Recovery) Amendment (Administrative Arrangements) Regulations 2025</w:t>
      </w:r>
      <w:r w:rsidR="0065299C" w:rsidRPr="00665069">
        <w:rPr>
          <w:rFonts w:ascii="Times New Roman" w:hAnsi="Times New Roman"/>
          <w:sz w:val="24"/>
          <w:szCs w:val="24"/>
        </w:rPr>
        <w:t xml:space="preserve"> </w:t>
      </w:r>
      <w:r w:rsidR="009F6812" w:rsidRPr="00665069">
        <w:rPr>
          <w:rFonts w:ascii="Times New Roman" w:hAnsi="Times New Roman"/>
          <w:sz w:val="24"/>
          <w:szCs w:val="24"/>
        </w:rPr>
        <w:t xml:space="preserve">(the </w:t>
      </w:r>
      <w:r w:rsidR="000E2441" w:rsidRPr="00665069">
        <w:rPr>
          <w:rFonts w:ascii="Times New Roman" w:hAnsi="Times New Roman"/>
          <w:sz w:val="24"/>
          <w:szCs w:val="24"/>
        </w:rPr>
        <w:t xml:space="preserve">Amendment </w:t>
      </w:r>
      <w:r w:rsidR="009F6812" w:rsidRPr="00665069">
        <w:rPr>
          <w:rFonts w:ascii="Times New Roman" w:hAnsi="Times New Roman"/>
          <w:sz w:val="24"/>
          <w:szCs w:val="24"/>
        </w:rPr>
        <w:t>Regulations)</w:t>
      </w:r>
      <w:r w:rsidR="009F6812" w:rsidRPr="00665069">
        <w:rPr>
          <w:rFonts w:ascii="Times New Roman" w:hAnsi="Times New Roman"/>
          <w:i/>
          <w:sz w:val="24"/>
          <w:szCs w:val="24"/>
        </w:rPr>
        <w:t xml:space="preserve"> </w:t>
      </w:r>
      <w:r w:rsidR="009F6812" w:rsidRPr="00665069">
        <w:rPr>
          <w:rFonts w:ascii="Times New Roman" w:hAnsi="Times New Roman"/>
          <w:sz w:val="24"/>
          <w:szCs w:val="24"/>
        </w:rPr>
        <w:t xml:space="preserve">are compatible with the human rights and freedoms recognised or declared in the international instruments listed in section 3 of the </w:t>
      </w:r>
      <w:r w:rsidR="009F6812" w:rsidRPr="00665069">
        <w:rPr>
          <w:rFonts w:ascii="Times New Roman" w:hAnsi="Times New Roman"/>
          <w:i/>
          <w:sz w:val="24"/>
          <w:szCs w:val="24"/>
        </w:rPr>
        <w:t>Human Rights (Parliamentary Scrutiny) Act 2011</w:t>
      </w:r>
      <w:r w:rsidR="009F6812" w:rsidRPr="00665069">
        <w:rPr>
          <w:rFonts w:ascii="Times New Roman" w:hAnsi="Times New Roman"/>
          <w:sz w:val="24"/>
          <w:szCs w:val="24"/>
        </w:rPr>
        <w:t>.</w:t>
      </w:r>
    </w:p>
    <w:p w14:paraId="1862C2C0" w14:textId="3A945CD1" w:rsidR="00CC2E84" w:rsidRPr="00665069" w:rsidRDefault="00CC2E84" w:rsidP="004B1AA5">
      <w:pPr>
        <w:spacing w:after="0" w:line="240" w:lineRule="auto"/>
        <w:rPr>
          <w:rFonts w:ascii="Times New Roman" w:hAnsi="Times New Roman"/>
          <w:b/>
          <w:bCs/>
          <w:sz w:val="24"/>
          <w:szCs w:val="24"/>
        </w:rPr>
      </w:pPr>
      <w:r w:rsidRPr="00665069">
        <w:rPr>
          <w:rFonts w:ascii="Times New Roman" w:hAnsi="Times New Roman"/>
          <w:b/>
          <w:bCs/>
          <w:sz w:val="24"/>
          <w:szCs w:val="24"/>
        </w:rPr>
        <w:t>Overview of the</w:t>
      </w:r>
      <w:r w:rsidR="00B0255F" w:rsidRPr="00665069">
        <w:rPr>
          <w:rFonts w:ascii="Times New Roman" w:hAnsi="Times New Roman"/>
          <w:b/>
          <w:bCs/>
          <w:sz w:val="24"/>
          <w:szCs w:val="24"/>
        </w:rPr>
        <w:t xml:space="preserve"> </w:t>
      </w:r>
      <w:r w:rsidR="0024074E" w:rsidRPr="00665069">
        <w:rPr>
          <w:rFonts w:ascii="Times New Roman" w:hAnsi="Times New Roman"/>
          <w:b/>
          <w:bCs/>
          <w:sz w:val="24"/>
          <w:szCs w:val="24"/>
        </w:rPr>
        <w:t>Amendment Regulations</w:t>
      </w:r>
    </w:p>
    <w:p w14:paraId="19F74EDC" w14:textId="77777777" w:rsidR="009B4745" w:rsidRPr="00665069" w:rsidRDefault="009B4745" w:rsidP="004B1AA5">
      <w:pPr>
        <w:spacing w:after="0" w:line="240" w:lineRule="auto"/>
        <w:rPr>
          <w:rFonts w:ascii="Times New Roman" w:hAnsi="Times New Roman"/>
          <w:sz w:val="24"/>
          <w:szCs w:val="24"/>
        </w:rPr>
      </w:pPr>
    </w:p>
    <w:p w14:paraId="090F260A" w14:textId="60F3E1E2" w:rsidR="000E1CDF" w:rsidRPr="00665069" w:rsidRDefault="000E1CDF" w:rsidP="000E1CDF">
      <w:pPr>
        <w:pStyle w:val="Default"/>
      </w:pPr>
      <w:r w:rsidRPr="00665069">
        <w:t xml:space="preserve">The </w:t>
      </w:r>
      <w:r w:rsidR="000E2441" w:rsidRPr="00665069">
        <w:t>Amendment</w:t>
      </w:r>
      <w:r w:rsidRPr="00665069">
        <w:t xml:space="preserve"> Regulations update </w:t>
      </w:r>
      <w:r w:rsidR="0048551D" w:rsidRPr="00665069">
        <w:t xml:space="preserve">the withdrawal timeframes and non-refundable deposit amounts for applications, or notices of intent to </w:t>
      </w:r>
      <w:proofErr w:type="gramStart"/>
      <w:r w:rsidR="0048551D" w:rsidRPr="00665069">
        <w:t>submit an application</w:t>
      </w:r>
      <w:proofErr w:type="gramEnd"/>
      <w:r w:rsidR="0048551D" w:rsidRPr="00665069">
        <w:t xml:space="preserve">, from pharmaceutical sponsors seeking pricing services from the </w:t>
      </w:r>
      <w:r w:rsidR="00533587" w:rsidRPr="00665069">
        <w:t>d</w:t>
      </w:r>
      <w:r w:rsidR="0048551D" w:rsidRPr="00665069">
        <w:t xml:space="preserve">epartment for the listing of new medicines, or changes to listing arrangements for existing medicines on the PBS. These updates ensure that cost recovery arrangements remain consistent with the requirements of the Australian Government Cost Recovery Policy and provide appropriate timeframes for pharmaceutical sponsors to withdraw applications without incurring full application fees. The </w:t>
      </w:r>
      <w:r w:rsidR="000E2441" w:rsidRPr="00665069">
        <w:t>Amendment</w:t>
      </w:r>
      <w:r w:rsidR="0048551D" w:rsidRPr="00665069">
        <w:t xml:space="preserve"> Regulations also specify that the department may request further information of pharmaceutical companies to assist in the consideration of requests for fee waivers</w:t>
      </w:r>
      <w:r w:rsidR="00661D31" w:rsidRPr="00665069">
        <w:t>.</w:t>
      </w:r>
    </w:p>
    <w:p w14:paraId="30A26E6D" w14:textId="77777777" w:rsidR="000E1CDF" w:rsidRPr="00665069" w:rsidRDefault="000E1CDF" w:rsidP="000E1CDF">
      <w:pPr>
        <w:pStyle w:val="Default"/>
      </w:pPr>
    </w:p>
    <w:p w14:paraId="313CDB28" w14:textId="0583E986" w:rsidR="000E1CDF" w:rsidRPr="00665069" w:rsidRDefault="000E1CDF" w:rsidP="000E1CDF">
      <w:pPr>
        <w:pStyle w:val="Default"/>
      </w:pPr>
      <w:r w:rsidRPr="00665069">
        <w:t>The Amendment Regulations are made under section 140 of the National Health Act 1953 (the Act). Section 140 provides the Governor-General may make regulations, not inconsistent with the Act, prescribing all matters, which by the Act are required or permitted to be prescribed, or which are necessary or convenient to be prescribed for carrying out or giving effect to the Act. Subsection 99</w:t>
      </w:r>
      <w:proofErr w:type="gramStart"/>
      <w:r w:rsidRPr="00665069">
        <w:t>YBA(</w:t>
      </w:r>
      <w:proofErr w:type="gramEnd"/>
      <w:r w:rsidRPr="00665069">
        <w:t xml:space="preserve">2) of the Act further provides that regulations may make provisions in relation to matters including the prescribing of fees, the making of applications, and exemptions from the prescribed fees, in relation to services provided by the Commonwealth under section 9B or Part VII of the Act. </w:t>
      </w:r>
    </w:p>
    <w:p w14:paraId="1A088076" w14:textId="77777777" w:rsidR="002460A0" w:rsidRPr="00665069" w:rsidRDefault="002460A0" w:rsidP="004B1AA5">
      <w:pPr>
        <w:spacing w:after="0" w:line="240" w:lineRule="auto"/>
        <w:rPr>
          <w:rFonts w:ascii="Times New Roman" w:hAnsi="Times New Roman"/>
          <w:sz w:val="24"/>
          <w:szCs w:val="24"/>
        </w:rPr>
      </w:pPr>
    </w:p>
    <w:p w14:paraId="638B9F7F" w14:textId="72A7EAE1" w:rsidR="009B4745" w:rsidRPr="00665069" w:rsidRDefault="00CC2E84" w:rsidP="004B1AA5">
      <w:pPr>
        <w:spacing w:after="0" w:line="240" w:lineRule="auto"/>
        <w:rPr>
          <w:rFonts w:ascii="Times New Roman" w:hAnsi="Times New Roman"/>
          <w:b/>
          <w:bCs/>
          <w:sz w:val="24"/>
          <w:szCs w:val="24"/>
        </w:rPr>
      </w:pPr>
      <w:r w:rsidRPr="00665069">
        <w:rPr>
          <w:rFonts w:ascii="Times New Roman" w:hAnsi="Times New Roman"/>
          <w:b/>
          <w:bCs/>
          <w:sz w:val="24"/>
          <w:szCs w:val="24"/>
        </w:rPr>
        <w:t>Human rights implications</w:t>
      </w:r>
    </w:p>
    <w:p w14:paraId="7BBE7D62" w14:textId="77777777" w:rsidR="00732A24" w:rsidRPr="00665069" w:rsidRDefault="00732A24" w:rsidP="004B1AA5">
      <w:pPr>
        <w:spacing w:after="0" w:line="240" w:lineRule="auto"/>
        <w:rPr>
          <w:rFonts w:ascii="Times New Roman" w:hAnsi="Times New Roman"/>
          <w:sz w:val="24"/>
          <w:szCs w:val="24"/>
        </w:rPr>
      </w:pPr>
    </w:p>
    <w:p w14:paraId="4069E574" w14:textId="77777777" w:rsidR="00C17AB2" w:rsidRPr="00665069" w:rsidRDefault="00C17AB2" w:rsidP="00C17AB2">
      <w:pPr>
        <w:pStyle w:val="Default"/>
      </w:pPr>
      <w:r w:rsidRPr="00665069">
        <w:t xml:space="preserve">The Amendment Regulations engage Article 2, Article 9 and Article 12 of the International Covenant on Economic, Social and Cultural Rights by assisting with the progressive realisation by all appropriate means of the right of everyone to social security and to the enjoyment of the highest attainable standard of physical and mental health. </w:t>
      </w:r>
    </w:p>
    <w:p w14:paraId="39946B8F" w14:textId="77777777" w:rsidR="00C17AB2" w:rsidRPr="00665069" w:rsidRDefault="00C17AB2" w:rsidP="00C17AB2">
      <w:pPr>
        <w:pStyle w:val="Default"/>
      </w:pPr>
    </w:p>
    <w:p w14:paraId="0DEF0D51" w14:textId="77777777" w:rsidR="00C17AB2" w:rsidRPr="00665069" w:rsidRDefault="00C17AB2" w:rsidP="00C17AB2">
      <w:pPr>
        <w:pStyle w:val="Default"/>
      </w:pPr>
      <w:r w:rsidRPr="00665069">
        <w:t xml:space="preserve">The PBS and NIP are benefit schemes, which assist with advancement of these human rights by providing patients with subsidised access to medicines and vaccines. The Amendment Regulations ensure continued equitable access to PBS and NIP medicines and vaccines for Australians. By accurately recovering the costs of assessing applications for subsidy, the Commonwealth ensures that the medicine and vaccine assessment process remains financially sustainable and contributes to a viable and well-functioning PBS. </w:t>
      </w:r>
    </w:p>
    <w:p w14:paraId="5E0164EF" w14:textId="77777777" w:rsidR="00D33E23" w:rsidRPr="00665069" w:rsidRDefault="00D33E23" w:rsidP="004B1AA5">
      <w:pPr>
        <w:shd w:val="clear" w:color="auto" w:fill="FFFFFF"/>
        <w:spacing w:after="0" w:line="240" w:lineRule="auto"/>
        <w:rPr>
          <w:rFonts w:ascii="Times New Roman" w:eastAsia="Times New Roman" w:hAnsi="Times New Roman" w:cs="Times New Roman"/>
          <w:color w:val="000000"/>
          <w:sz w:val="24"/>
          <w:szCs w:val="24"/>
          <w:lang w:eastAsia="en-AU"/>
        </w:rPr>
      </w:pPr>
    </w:p>
    <w:p w14:paraId="10677546" w14:textId="77777777" w:rsidR="009303AB" w:rsidRPr="00665069" w:rsidRDefault="009303AB" w:rsidP="004B1AA5">
      <w:pPr>
        <w:shd w:val="clear" w:color="auto" w:fill="FFFFFF"/>
        <w:spacing w:after="0" w:line="240" w:lineRule="auto"/>
        <w:rPr>
          <w:rFonts w:ascii="Times New Roman" w:eastAsia="Times New Roman" w:hAnsi="Times New Roman" w:cs="Times New Roman"/>
          <w:color w:val="000000"/>
          <w:sz w:val="24"/>
          <w:szCs w:val="24"/>
          <w:lang w:eastAsia="en-AU"/>
        </w:rPr>
      </w:pPr>
    </w:p>
    <w:p w14:paraId="66F476CC" w14:textId="6615CE2F" w:rsidR="000E2699" w:rsidRPr="00665069" w:rsidRDefault="000E2699" w:rsidP="004B1AA5">
      <w:pPr>
        <w:shd w:val="clear" w:color="auto" w:fill="FFFFFF"/>
        <w:spacing w:after="0" w:line="240" w:lineRule="auto"/>
        <w:rPr>
          <w:rFonts w:ascii="Times New Roman" w:eastAsia="Times New Roman" w:hAnsi="Times New Roman" w:cs="Times New Roman"/>
          <w:i/>
          <w:iCs/>
          <w:color w:val="000000"/>
          <w:sz w:val="24"/>
          <w:szCs w:val="24"/>
          <w:lang w:eastAsia="en-AU"/>
        </w:rPr>
      </w:pPr>
      <w:r w:rsidRPr="00665069">
        <w:rPr>
          <w:rFonts w:ascii="Times New Roman" w:eastAsia="Times New Roman" w:hAnsi="Times New Roman" w:cs="Times New Roman"/>
          <w:i/>
          <w:iCs/>
          <w:color w:val="000000"/>
          <w:sz w:val="24"/>
          <w:szCs w:val="24"/>
          <w:lang w:eastAsia="en-AU"/>
        </w:rPr>
        <w:t>Right to Health</w:t>
      </w:r>
    </w:p>
    <w:p w14:paraId="0165DBE7" w14:textId="77777777" w:rsidR="004B1AA5" w:rsidRPr="00665069" w:rsidRDefault="004B1AA5" w:rsidP="00B0620E">
      <w:pPr>
        <w:shd w:val="clear" w:color="auto" w:fill="FFFFFF"/>
        <w:spacing w:after="0" w:line="240" w:lineRule="auto"/>
        <w:rPr>
          <w:rFonts w:ascii="Times New Roman" w:eastAsia="Times New Roman" w:hAnsi="Times New Roman" w:cs="Times New Roman"/>
          <w:color w:val="000000"/>
          <w:sz w:val="24"/>
          <w:szCs w:val="24"/>
          <w:lang w:eastAsia="en-AU"/>
        </w:rPr>
      </w:pPr>
    </w:p>
    <w:p w14:paraId="48E3226D" w14:textId="0D14D62D" w:rsidR="008D12BF" w:rsidRPr="00665069" w:rsidRDefault="00D30906" w:rsidP="00B0620E">
      <w:pPr>
        <w:shd w:val="clear" w:color="auto" w:fill="FFFFFF"/>
        <w:spacing w:after="0" w:line="240" w:lineRule="auto"/>
        <w:rPr>
          <w:rFonts w:ascii="Times New Roman" w:eastAsia="Times New Roman" w:hAnsi="Times New Roman" w:cs="Times New Roman"/>
          <w:color w:val="000000"/>
          <w:sz w:val="24"/>
          <w:szCs w:val="24"/>
          <w:lang w:eastAsia="en-AU"/>
        </w:rPr>
      </w:pPr>
      <w:r w:rsidRPr="00665069">
        <w:rPr>
          <w:rFonts w:ascii="Times New Roman" w:eastAsia="Times New Roman" w:hAnsi="Times New Roman" w:cs="Times New Roman"/>
          <w:color w:val="000000"/>
          <w:sz w:val="24"/>
          <w:szCs w:val="24"/>
          <w:lang w:eastAsia="en-AU"/>
        </w:rPr>
        <w:t xml:space="preserve">This </w:t>
      </w:r>
      <w:r w:rsidR="004C69F1" w:rsidRPr="00665069">
        <w:rPr>
          <w:rFonts w:ascii="Times New Roman" w:eastAsia="Times New Roman" w:hAnsi="Times New Roman" w:cs="Times New Roman"/>
          <w:color w:val="000000"/>
          <w:sz w:val="24"/>
          <w:szCs w:val="24"/>
          <w:lang w:eastAsia="en-AU"/>
        </w:rPr>
        <w:t>supports</w:t>
      </w:r>
      <w:r w:rsidR="00602982" w:rsidRPr="00665069">
        <w:rPr>
          <w:rFonts w:ascii="Times New Roman" w:eastAsia="Times New Roman" w:hAnsi="Times New Roman" w:cs="Times New Roman"/>
          <w:color w:val="000000"/>
          <w:sz w:val="24"/>
          <w:szCs w:val="24"/>
          <w:lang w:eastAsia="en-AU"/>
        </w:rPr>
        <w:t xml:space="preserve"> the right to the enjoyment of the highest attainable standard of physical and mental health</w:t>
      </w:r>
      <w:r w:rsidR="000E2699" w:rsidRPr="00665069">
        <w:rPr>
          <w:rFonts w:ascii="Times New Roman" w:eastAsia="Times New Roman" w:hAnsi="Times New Roman" w:cs="Times New Roman"/>
          <w:color w:val="000000"/>
          <w:sz w:val="24"/>
          <w:szCs w:val="24"/>
          <w:lang w:eastAsia="en-AU"/>
        </w:rPr>
        <w:t xml:space="preserve">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0C86E23B" w14:textId="77777777" w:rsidR="00E741E7" w:rsidRPr="00665069" w:rsidRDefault="00E741E7" w:rsidP="004B1AA5">
      <w:pPr>
        <w:spacing w:after="0" w:line="240" w:lineRule="auto"/>
        <w:rPr>
          <w:rFonts w:ascii="Times New Roman" w:hAnsi="Times New Roman"/>
          <w:sz w:val="24"/>
          <w:szCs w:val="24"/>
        </w:rPr>
      </w:pPr>
    </w:p>
    <w:p w14:paraId="28F9E544" w14:textId="7A398A98" w:rsidR="00143743" w:rsidRPr="00665069" w:rsidRDefault="004B1AA5" w:rsidP="004B1AA5">
      <w:pPr>
        <w:spacing w:after="0" w:line="240" w:lineRule="auto"/>
      </w:pPr>
      <w:r w:rsidRPr="00665069">
        <w:rPr>
          <w:rFonts w:ascii="Times New Roman" w:hAnsi="Times New Roman"/>
          <w:b/>
          <w:bCs/>
          <w:sz w:val="24"/>
          <w:szCs w:val="24"/>
        </w:rPr>
        <w:t>C</w:t>
      </w:r>
      <w:r w:rsidR="00CC2E84" w:rsidRPr="00665069">
        <w:rPr>
          <w:rFonts w:ascii="Times New Roman" w:hAnsi="Times New Roman"/>
          <w:b/>
          <w:bCs/>
          <w:sz w:val="24"/>
          <w:szCs w:val="24"/>
        </w:rPr>
        <w:t>onclusion</w:t>
      </w:r>
      <w:r w:rsidR="00CC2E84" w:rsidRPr="00665069">
        <w:t xml:space="preserve"> </w:t>
      </w:r>
    </w:p>
    <w:p w14:paraId="1E1BC7DD" w14:textId="77777777" w:rsidR="00732A24" w:rsidRPr="00665069" w:rsidRDefault="00732A24" w:rsidP="004B1AA5">
      <w:pPr>
        <w:spacing w:after="0" w:line="240" w:lineRule="auto"/>
      </w:pPr>
    </w:p>
    <w:p w14:paraId="3F68C419" w14:textId="5CD7B489" w:rsidR="002317DD" w:rsidRPr="00665069" w:rsidRDefault="00612BAA" w:rsidP="00B0620E">
      <w:pPr>
        <w:spacing w:after="0" w:line="240" w:lineRule="auto"/>
        <w:rPr>
          <w:rFonts w:ascii="Times New Roman" w:hAnsi="Times New Roman"/>
          <w:sz w:val="24"/>
          <w:szCs w:val="24"/>
        </w:rPr>
      </w:pPr>
      <w:r w:rsidRPr="00665069">
        <w:rPr>
          <w:rFonts w:ascii="Times New Roman" w:eastAsia="Times New Roman" w:hAnsi="Times New Roman" w:cs="Times New Roman"/>
          <w:color w:val="000000"/>
          <w:sz w:val="24"/>
          <w:szCs w:val="24"/>
          <w:lang w:eastAsia="en-AU"/>
        </w:rPr>
        <w:t>The Amendment Regulations are compatible with human rights. Human rights continue to be protected by ensuring the PBS and NIP are financially sustainable and will continue to assess applications for subsidy of medicines and vaccines which benefit the health of Australian citizens.</w:t>
      </w:r>
    </w:p>
    <w:p w14:paraId="41BDCDF0" w14:textId="5368A04D" w:rsidR="002317DD" w:rsidRPr="00665069" w:rsidRDefault="001043B0" w:rsidP="004B1AA5">
      <w:pPr>
        <w:spacing w:after="0" w:line="240" w:lineRule="auto"/>
        <w:jc w:val="center"/>
        <w:rPr>
          <w:rFonts w:ascii="Times New Roman" w:hAnsi="Times New Roman"/>
          <w:b/>
          <w:bCs/>
          <w:sz w:val="24"/>
          <w:szCs w:val="24"/>
        </w:rPr>
      </w:pPr>
      <w:r w:rsidRPr="00665069">
        <w:rPr>
          <w:rFonts w:ascii="Times New Roman" w:hAnsi="Times New Roman"/>
          <w:b/>
          <w:bCs/>
          <w:sz w:val="24"/>
          <w:szCs w:val="24"/>
        </w:rPr>
        <w:t xml:space="preserve">The Hon </w:t>
      </w:r>
      <w:r w:rsidR="00A30CFB" w:rsidRPr="00665069">
        <w:rPr>
          <w:rFonts w:ascii="Times New Roman" w:hAnsi="Times New Roman"/>
          <w:b/>
          <w:bCs/>
          <w:sz w:val="24"/>
          <w:szCs w:val="24"/>
        </w:rPr>
        <w:t xml:space="preserve">Mark Butler </w:t>
      </w:r>
      <w:r w:rsidR="00AF60E4" w:rsidRPr="00665069">
        <w:rPr>
          <w:rFonts w:ascii="Times New Roman" w:hAnsi="Times New Roman"/>
          <w:b/>
          <w:bCs/>
          <w:sz w:val="24"/>
          <w:szCs w:val="24"/>
        </w:rPr>
        <w:t>MP</w:t>
      </w:r>
    </w:p>
    <w:p w14:paraId="1467764D" w14:textId="6922C533" w:rsidR="002317DD" w:rsidRPr="00B00A93" w:rsidRDefault="00A30CFB" w:rsidP="004B1AA5">
      <w:pPr>
        <w:spacing w:after="0" w:line="240" w:lineRule="auto"/>
        <w:jc w:val="center"/>
        <w:rPr>
          <w:rFonts w:ascii="Times New Roman" w:hAnsi="Times New Roman"/>
          <w:sz w:val="24"/>
          <w:szCs w:val="24"/>
        </w:rPr>
      </w:pPr>
      <w:r w:rsidRPr="00665069">
        <w:rPr>
          <w:rFonts w:ascii="Times New Roman" w:hAnsi="Times New Roman"/>
          <w:b/>
          <w:bCs/>
          <w:sz w:val="24"/>
          <w:szCs w:val="24"/>
        </w:rPr>
        <w:t>The Minister for Health and Aged Care</w:t>
      </w:r>
      <w:r>
        <w:rPr>
          <w:rFonts w:ascii="Times New Roman" w:hAnsi="Times New Roman"/>
          <w:b/>
          <w:bCs/>
          <w:sz w:val="24"/>
          <w:szCs w:val="24"/>
        </w:rPr>
        <w:t xml:space="preserve"> </w:t>
      </w:r>
    </w:p>
    <w:sectPr w:rsidR="002317DD" w:rsidRPr="00B00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4DF3" w14:textId="77777777" w:rsidR="00691150" w:rsidRDefault="00691150">
      <w:pPr>
        <w:spacing w:after="0" w:line="240" w:lineRule="auto"/>
      </w:pPr>
      <w:r>
        <w:separator/>
      </w:r>
    </w:p>
  </w:endnote>
  <w:endnote w:type="continuationSeparator" w:id="0">
    <w:p w14:paraId="6E09CFAB" w14:textId="77777777" w:rsidR="00691150" w:rsidRDefault="00691150">
      <w:pPr>
        <w:spacing w:after="0" w:line="240" w:lineRule="auto"/>
      </w:pPr>
      <w:r>
        <w:continuationSeparator/>
      </w:r>
    </w:p>
  </w:endnote>
  <w:endnote w:type="continuationNotice" w:id="1">
    <w:p w14:paraId="43BC1EB3" w14:textId="77777777" w:rsidR="00691150" w:rsidRDefault="006911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FB61" w14:textId="77777777" w:rsidR="00402D3A" w:rsidRPr="00E33C1C" w:rsidRDefault="00402D3A"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58"/>
      <w:gridCol w:w="6658"/>
      <w:gridCol w:w="1710"/>
    </w:tblGrid>
    <w:tr w:rsidR="00B20990" w14:paraId="45AC0CC2" w14:textId="77777777" w:rsidTr="00C160A1">
      <w:tc>
        <w:tcPr>
          <w:tcW w:w="365" w:type="pct"/>
          <w:tcBorders>
            <w:top w:val="nil"/>
            <w:left w:val="nil"/>
            <w:bottom w:val="nil"/>
            <w:right w:val="nil"/>
          </w:tcBorders>
        </w:tcPr>
        <w:p w14:paraId="40D97CDF" w14:textId="77777777" w:rsidR="00402D3A" w:rsidRDefault="00143743"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72985F89" w14:textId="7E4C298E" w:rsidR="00402D3A" w:rsidRDefault="00143743"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F479B3">
            <w:rPr>
              <w:b/>
              <w:bCs/>
              <w:i/>
              <w:noProof/>
              <w:sz w:val="18"/>
              <w:lang w:val="en-US"/>
            </w:rPr>
            <w:t>Error! No text of specified style in document.</w:t>
          </w:r>
          <w:r w:rsidRPr="00B20990">
            <w:rPr>
              <w:i/>
              <w:sz w:val="18"/>
            </w:rPr>
            <w:fldChar w:fldCharType="end"/>
          </w:r>
        </w:p>
      </w:tc>
      <w:tc>
        <w:tcPr>
          <w:tcW w:w="947" w:type="pct"/>
          <w:tcBorders>
            <w:top w:val="nil"/>
            <w:left w:val="nil"/>
            <w:bottom w:val="nil"/>
            <w:right w:val="nil"/>
          </w:tcBorders>
        </w:tcPr>
        <w:p w14:paraId="5A95F385" w14:textId="77777777" w:rsidR="00402D3A" w:rsidRDefault="00402D3A" w:rsidP="00E33C1C">
          <w:pPr>
            <w:spacing w:line="0" w:lineRule="atLeast"/>
            <w:jc w:val="right"/>
            <w:rPr>
              <w:sz w:val="18"/>
            </w:rPr>
          </w:pPr>
        </w:p>
      </w:tc>
    </w:tr>
    <w:tr w:rsidR="00B20990" w14:paraId="5F27BEC7"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4724757" w14:textId="77777777" w:rsidR="00402D3A" w:rsidRDefault="00402D3A" w:rsidP="007946FE">
          <w:pPr>
            <w:jc w:val="right"/>
            <w:rPr>
              <w:sz w:val="18"/>
            </w:rPr>
          </w:pPr>
        </w:p>
      </w:tc>
    </w:tr>
  </w:tbl>
  <w:p w14:paraId="12CEC0F9" w14:textId="77777777" w:rsidR="00402D3A" w:rsidRPr="00ED79B6" w:rsidRDefault="00402D3A" w:rsidP="006D366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2" w:type="pct"/>
      <w:tblLook w:val="04A0" w:firstRow="1" w:lastRow="0" w:firstColumn="1" w:lastColumn="0" w:noHBand="0" w:noVBand="1"/>
    </w:tblPr>
    <w:tblGrid>
      <w:gridCol w:w="1709"/>
      <w:gridCol w:w="659"/>
    </w:tblGrid>
    <w:tr w:rsidR="00F479B3" w14:paraId="4874AC26" w14:textId="77777777" w:rsidTr="00F479B3">
      <w:tc>
        <w:tcPr>
          <w:tcW w:w="3609" w:type="pct"/>
          <w:tcBorders>
            <w:top w:val="nil"/>
            <w:left w:val="nil"/>
            <w:bottom w:val="nil"/>
            <w:right w:val="nil"/>
          </w:tcBorders>
        </w:tcPr>
        <w:p w14:paraId="266D4E6A" w14:textId="7DF25E61" w:rsidR="00F479B3" w:rsidRDefault="00F479B3" w:rsidP="00F479B3">
          <w:pPr>
            <w:spacing w:line="0" w:lineRule="atLeast"/>
            <w:ind w:right="180"/>
            <w:jc w:val="right"/>
            <w:rPr>
              <w:sz w:val="18"/>
            </w:rPr>
          </w:pPr>
          <w:r>
            <w:rPr>
              <w:sz w:val="18"/>
            </w:rPr>
            <w:t xml:space="preserve">                               </w:t>
          </w:r>
        </w:p>
      </w:tc>
      <w:tc>
        <w:tcPr>
          <w:tcW w:w="1391" w:type="pct"/>
          <w:tcBorders>
            <w:top w:val="nil"/>
            <w:left w:val="nil"/>
            <w:bottom w:val="nil"/>
            <w:right w:val="nil"/>
          </w:tcBorders>
        </w:tcPr>
        <w:p w14:paraId="45BB95F5" w14:textId="561B9930" w:rsidR="00F479B3" w:rsidRDefault="00F479B3" w:rsidP="00F479B3">
          <w:pPr>
            <w:spacing w:line="0" w:lineRule="atLeast"/>
            <w:ind w:right="90"/>
            <w:jc w:val="right"/>
            <w:rPr>
              <w:sz w:val="18"/>
            </w:rPr>
          </w:pPr>
        </w:p>
      </w:tc>
    </w:tr>
  </w:tbl>
  <w:p w14:paraId="25C5A569" w14:textId="77777777" w:rsidR="00402D3A" w:rsidRPr="00ED79B6" w:rsidRDefault="00402D3A" w:rsidP="00F479B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9109" w14:textId="77777777" w:rsidR="00691150" w:rsidRDefault="00691150">
      <w:pPr>
        <w:spacing w:after="0" w:line="240" w:lineRule="auto"/>
      </w:pPr>
      <w:r>
        <w:separator/>
      </w:r>
    </w:p>
  </w:footnote>
  <w:footnote w:type="continuationSeparator" w:id="0">
    <w:p w14:paraId="1982E778" w14:textId="77777777" w:rsidR="00691150" w:rsidRDefault="00691150">
      <w:pPr>
        <w:spacing w:after="0" w:line="240" w:lineRule="auto"/>
      </w:pPr>
      <w:r>
        <w:continuationSeparator/>
      </w:r>
    </w:p>
  </w:footnote>
  <w:footnote w:type="continuationNotice" w:id="1">
    <w:p w14:paraId="08817637" w14:textId="77777777" w:rsidR="00691150" w:rsidRDefault="006911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96E5" w14:textId="77777777" w:rsidR="00402D3A" w:rsidRPr="00ED79B6" w:rsidRDefault="00402D3A" w:rsidP="00833416">
    <w:pPr>
      <w:pBdr>
        <w:bottom w:val="single" w:sz="4"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5D15" w14:textId="77777777" w:rsidR="00402D3A" w:rsidRPr="00ED79B6" w:rsidRDefault="00402D3A" w:rsidP="0048364F">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2B5"/>
    <w:multiLevelType w:val="hybridMultilevel"/>
    <w:tmpl w:val="4810F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E2ACF"/>
    <w:multiLevelType w:val="hybridMultilevel"/>
    <w:tmpl w:val="14E4D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C13F0"/>
    <w:multiLevelType w:val="hybridMultilevel"/>
    <w:tmpl w:val="99389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F03315"/>
    <w:multiLevelType w:val="hybridMultilevel"/>
    <w:tmpl w:val="9080E7CA"/>
    <w:lvl w:ilvl="0" w:tplc="0624D226">
      <w:start w:val="1"/>
      <w:numFmt w:val="decimal"/>
      <w:lvlText w:val="(%1)"/>
      <w:lvlJc w:val="left"/>
      <w:pPr>
        <w:ind w:left="1067" w:hanging="360"/>
      </w:pPr>
      <w:rPr>
        <w:rFonts w:hint="default"/>
      </w:rPr>
    </w:lvl>
    <w:lvl w:ilvl="1" w:tplc="0C090019" w:tentative="1">
      <w:start w:val="1"/>
      <w:numFmt w:val="lowerLetter"/>
      <w:lvlText w:val="%2."/>
      <w:lvlJc w:val="left"/>
      <w:pPr>
        <w:ind w:left="1787" w:hanging="360"/>
      </w:pPr>
    </w:lvl>
    <w:lvl w:ilvl="2" w:tplc="0C09001B" w:tentative="1">
      <w:start w:val="1"/>
      <w:numFmt w:val="lowerRoman"/>
      <w:lvlText w:val="%3."/>
      <w:lvlJc w:val="right"/>
      <w:pPr>
        <w:ind w:left="2507" w:hanging="180"/>
      </w:pPr>
    </w:lvl>
    <w:lvl w:ilvl="3" w:tplc="0C09000F" w:tentative="1">
      <w:start w:val="1"/>
      <w:numFmt w:val="decimal"/>
      <w:lvlText w:val="%4."/>
      <w:lvlJc w:val="left"/>
      <w:pPr>
        <w:ind w:left="3227" w:hanging="360"/>
      </w:pPr>
    </w:lvl>
    <w:lvl w:ilvl="4" w:tplc="0C090019" w:tentative="1">
      <w:start w:val="1"/>
      <w:numFmt w:val="lowerLetter"/>
      <w:lvlText w:val="%5."/>
      <w:lvlJc w:val="left"/>
      <w:pPr>
        <w:ind w:left="3947" w:hanging="360"/>
      </w:pPr>
    </w:lvl>
    <w:lvl w:ilvl="5" w:tplc="0C09001B" w:tentative="1">
      <w:start w:val="1"/>
      <w:numFmt w:val="lowerRoman"/>
      <w:lvlText w:val="%6."/>
      <w:lvlJc w:val="right"/>
      <w:pPr>
        <w:ind w:left="4667" w:hanging="180"/>
      </w:pPr>
    </w:lvl>
    <w:lvl w:ilvl="6" w:tplc="0C09000F" w:tentative="1">
      <w:start w:val="1"/>
      <w:numFmt w:val="decimal"/>
      <w:lvlText w:val="%7."/>
      <w:lvlJc w:val="left"/>
      <w:pPr>
        <w:ind w:left="5387" w:hanging="360"/>
      </w:pPr>
    </w:lvl>
    <w:lvl w:ilvl="7" w:tplc="0C090019" w:tentative="1">
      <w:start w:val="1"/>
      <w:numFmt w:val="lowerLetter"/>
      <w:lvlText w:val="%8."/>
      <w:lvlJc w:val="left"/>
      <w:pPr>
        <w:ind w:left="6107" w:hanging="360"/>
      </w:pPr>
    </w:lvl>
    <w:lvl w:ilvl="8" w:tplc="0C09001B" w:tentative="1">
      <w:start w:val="1"/>
      <w:numFmt w:val="lowerRoman"/>
      <w:lvlText w:val="%9."/>
      <w:lvlJc w:val="right"/>
      <w:pPr>
        <w:ind w:left="6827" w:hanging="180"/>
      </w:pPr>
    </w:lvl>
  </w:abstractNum>
  <w:abstractNum w:abstractNumId="4"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905421">
    <w:abstractNumId w:val="4"/>
  </w:num>
  <w:num w:numId="2" w16cid:durableId="650215005">
    <w:abstractNumId w:val="2"/>
  </w:num>
  <w:num w:numId="3" w16cid:durableId="2094357523">
    <w:abstractNumId w:val="3"/>
  </w:num>
  <w:num w:numId="4" w16cid:durableId="1524783748">
    <w:abstractNumId w:val="1"/>
  </w:num>
  <w:num w:numId="5" w16cid:durableId="90487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7264"/>
    <w:rsid w:val="000100F8"/>
    <w:rsid w:val="000202F6"/>
    <w:rsid w:val="000239B8"/>
    <w:rsid w:val="00024163"/>
    <w:rsid w:val="00026D3C"/>
    <w:rsid w:val="00030CE5"/>
    <w:rsid w:val="000312DD"/>
    <w:rsid w:val="000343F1"/>
    <w:rsid w:val="00036895"/>
    <w:rsid w:val="00036E7C"/>
    <w:rsid w:val="00037703"/>
    <w:rsid w:val="00041069"/>
    <w:rsid w:val="00046B17"/>
    <w:rsid w:val="000518C2"/>
    <w:rsid w:val="000519EC"/>
    <w:rsid w:val="000643E9"/>
    <w:rsid w:val="000745A6"/>
    <w:rsid w:val="00074D21"/>
    <w:rsid w:val="000757A1"/>
    <w:rsid w:val="0008280F"/>
    <w:rsid w:val="00083F6D"/>
    <w:rsid w:val="0008460B"/>
    <w:rsid w:val="000871CB"/>
    <w:rsid w:val="00091538"/>
    <w:rsid w:val="000A1AA5"/>
    <w:rsid w:val="000B1764"/>
    <w:rsid w:val="000B2C20"/>
    <w:rsid w:val="000B6C20"/>
    <w:rsid w:val="000C5FB0"/>
    <w:rsid w:val="000C6DAB"/>
    <w:rsid w:val="000D4E39"/>
    <w:rsid w:val="000D605C"/>
    <w:rsid w:val="000D6641"/>
    <w:rsid w:val="000E1CDF"/>
    <w:rsid w:val="000E2441"/>
    <w:rsid w:val="000E2699"/>
    <w:rsid w:val="000E37C6"/>
    <w:rsid w:val="000E6F1D"/>
    <w:rsid w:val="000F193F"/>
    <w:rsid w:val="00101189"/>
    <w:rsid w:val="00103631"/>
    <w:rsid w:val="001043B0"/>
    <w:rsid w:val="00106243"/>
    <w:rsid w:val="0011517F"/>
    <w:rsid w:val="00116358"/>
    <w:rsid w:val="0011656D"/>
    <w:rsid w:val="00116986"/>
    <w:rsid w:val="00120EBD"/>
    <w:rsid w:val="0012236F"/>
    <w:rsid w:val="0012353E"/>
    <w:rsid w:val="00123EC0"/>
    <w:rsid w:val="00131A2E"/>
    <w:rsid w:val="00132EEB"/>
    <w:rsid w:val="00132F91"/>
    <w:rsid w:val="00137E58"/>
    <w:rsid w:val="00143743"/>
    <w:rsid w:val="00143CCD"/>
    <w:rsid w:val="00151744"/>
    <w:rsid w:val="00152C16"/>
    <w:rsid w:val="00153054"/>
    <w:rsid w:val="00156546"/>
    <w:rsid w:val="001607E0"/>
    <w:rsid w:val="00161E5A"/>
    <w:rsid w:val="001646F7"/>
    <w:rsid w:val="00177BC5"/>
    <w:rsid w:val="00181EC3"/>
    <w:rsid w:val="00184B82"/>
    <w:rsid w:val="001956ED"/>
    <w:rsid w:val="001B14FF"/>
    <w:rsid w:val="001B1910"/>
    <w:rsid w:val="001B24E2"/>
    <w:rsid w:val="001B2869"/>
    <w:rsid w:val="001B589B"/>
    <w:rsid w:val="001B66F2"/>
    <w:rsid w:val="001C5B0F"/>
    <w:rsid w:val="001C5E53"/>
    <w:rsid w:val="001C75A6"/>
    <w:rsid w:val="001D1C93"/>
    <w:rsid w:val="001D5DFA"/>
    <w:rsid w:val="001E7C30"/>
    <w:rsid w:val="001F0D5B"/>
    <w:rsid w:val="001F4506"/>
    <w:rsid w:val="001F4A5A"/>
    <w:rsid w:val="002028BC"/>
    <w:rsid w:val="002135D3"/>
    <w:rsid w:val="00217F33"/>
    <w:rsid w:val="002261B9"/>
    <w:rsid w:val="0022787C"/>
    <w:rsid w:val="00230AED"/>
    <w:rsid w:val="002317DD"/>
    <w:rsid w:val="0023308C"/>
    <w:rsid w:val="0024074E"/>
    <w:rsid w:val="00240D39"/>
    <w:rsid w:val="0024216B"/>
    <w:rsid w:val="002422B0"/>
    <w:rsid w:val="002460A0"/>
    <w:rsid w:val="00252817"/>
    <w:rsid w:val="00257FD6"/>
    <w:rsid w:val="002631FA"/>
    <w:rsid w:val="00263A46"/>
    <w:rsid w:val="00265364"/>
    <w:rsid w:val="0026657C"/>
    <w:rsid w:val="00266C63"/>
    <w:rsid w:val="002709C7"/>
    <w:rsid w:val="002715DA"/>
    <w:rsid w:val="00274A46"/>
    <w:rsid w:val="00275734"/>
    <w:rsid w:val="0028026D"/>
    <w:rsid w:val="002824AD"/>
    <w:rsid w:val="002827CD"/>
    <w:rsid w:val="0028589D"/>
    <w:rsid w:val="00294F13"/>
    <w:rsid w:val="00297FA8"/>
    <w:rsid w:val="002B55EA"/>
    <w:rsid w:val="002B62A8"/>
    <w:rsid w:val="002B73B7"/>
    <w:rsid w:val="002C4607"/>
    <w:rsid w:val="002C6B55"/>
    <w:rsid w:val="002D0968"/>
    <w:rsid w:val="002D5C76"/>
    <w:rsid w:val="002E5D16"/>
    <w:rsid w:val="002F20A0"/>
    <w:rsid w:val="002F4DF0"/>
    <w:rsid w:val="00300748"/>
    <w:rsid w:val="00301916"/>
    <w:rsid w:val="003056F3"/>
    <w:rsid w:val="003104F2"/>
    <w:rsid w:val="00312698"/>
    <w:rsid w:val="0031673B"/>
    <w:rsid w:val="00323E73"/>
    <w:rsid w:val="003240BB"/>
    <w:rsid w:val="00332E15"/>
    <w:rsid w:val="00333AE6"/>
    <w:rsid w:val="00333BC4"/>
    <w:rsid w:val="00343CCB"/>
    <w:rsid w:val="00350C69"/>
    <w:rsid w:val="00363682"/>
    <w:rsid w:val="00364408"/>
    <w:rsid w:val="003674A3"/>
    <w:rsid w:val="0037086A"/>
    <w:rsid w:val="00372602"/>
    <w:rsid w:val="00372D21"/>
    <w:rsid w:val="00375B22"/>
    <w:rsid w:val="00375BFC"/>
    <w:rsid w:val="003809CB"/>
    <w:rsid w:val="00384D1B"/>
    <w:rsid w:val="00387707"/>
    <w:rsid w:val="00391EEC"/>
    <w:rsid w:val="003A1AEB"/>
    <w:rsid w:val="003A361C"/>
    <w:rsid w:val="003A6B36"/>
    <w:rsid w:val="003B2EA0"/>
    <w:rsid w:val="003B4718"/>
    <w:rsid w:val="003B6B63"/>
    <w:rsid w:val="003C26E5"/>
    <w:rsid w:val="003C7755"/>
    <w:rsid w:val="003D308A"/>
    <w:rsid w:val="003D702C"/>
    <w:rsid w:val="003E658F"/>
    <w:rsid w:val="003F02F3"/>
    <w:rsid w:val="003F7211"/>
    <w:rsid w:val="003F7AA8"/>
    <w:rsid w:val="003F7AAB"/>
    <w:rsid w:val="004009D0"/>
    <w:rsid w:val="00402D3A"/>
    <w:rsid w:val="00404B11"/>
    <w:rsid w:val="00417893"/>
    <w:rsid w:val="00421997"/>
    <w:rsid w:val="00424E10"/>
    <w:rsid w:val="00426546"/>
    <w:rsid w:val="00433A4D"/>
    <w:rsid w:val="004404CB"/>
    <w:rsid w:val="00444A60"/>
    <w:rsid w:val="0045102B"/>
    <w:rsid w:val="004519A7"/>
    <w:rsid w:val="004524FF"/>
    <w:rsid w:val="00452AC6"/>
    <w:rsid w:val="00453ECF"/>
    <w:rsid w:val="0045679C"/>
    <w:rsid w:val="004658A9"/>
    <w:rsid w:val="004674C7"/>
    <w:rsid w:val="00471252"/>
    <w:rsid w:val="00472E85"/>
    <w:rsid w:val="00473E7F"/>
    <w:rsid w:val="0048358C"/>
    <w:rsid w:val="004841EA"/>
    <w:rsid w:val="00484A2F"/>
    <w:rsid w:val="0048551D"/>
    <w:rsid w:val="004871ED"/>
    <w:rsid w:val="00495507"/>
    <w:rsid w:val="004A17C1"/>
    <w:rsid w:val="004B1AA5"/>
    <w:rsid w:val="004B2DBA"/>
    <w:rsid w:val="004B3923"/>
    <w:rsid w:val="004B56AC"/>
    <w:rsid w:val="004C5175"/>
    <w:rsid w:val="004C573D"/>
    <w:rsid w:val="004C69F1"/>
    <w:rsid w:val="004D45D6"/>
    <w:rsid w:val="004E0070"/>
    <w:rsid w:val="004E43EF"/>
    <w:rsid w:val="004E6844"/>
    <w:rsid w:val="004E6E14"/>
    <w:rsid w:val="004F44E4"/>
    <w:rsid w:val="004F7FA1"/>
    <w:rsid w:val="00500A68"/>
    <w:rsid w:val="00502970"/>
    <w:rsid w:val="005079D8"/>
    <w:rsid w:val="00513D67"/>
    <w:rsid w:val="00515E61"/>
    <w:rsid w:val="00522DFC"/>
    <w:rsid w:val="00523137"/>
    <w:rsid w:val="00524721"/>
    <w:rsid w:val="005254AD"/>
    <w:rsid w:val="00533587"/>
    <w:rsid w:val="00535A1B"/>
    <w:rsid w:val="00536615"/>
    <w:rsid w:val="00540E88"/>
    <w:rsid w:val="00547518"/>
    <w:rsid w:val="00560F8C"/>
    <w:rsid w:val="00561299"/>
    <w:rsid w:val="00563C50"/>
    <w:rsid w:val="00567800"/>
    <w:rsid w:val="00567E0A"/>
    <w:rsid w:val="00570EC5"/>
    <w:rsid w:val="005727E3"/>
    <w:rsid w:val="00580311"/>
    <w:rsid w:val="00580467"/>
    <w:rsid w:val="005839BE"/>
    <w:rsid w:val="005842CE"/>
    <w:rsid w:val="00585475"/>
    <w:rsid w:val="00594870"/>
    <w:rsid w:val="00595715"/>
    <w:rsid w:val="00596676"/>
    <w:rsid w:val="005977E9"/>
    <w:rsid w:val="005A0E14"/>
    <w:rsid w:val="005A230F"/>
    <w:rsid w:val="005B368F"/>
    <w:rsid w:val="005B3BFA"/>
    <w:rsid w:val="005B4C10"/>
    <w:rsid w:val="005B7F3E"/>
    <w:rsid w:val="005C0967"/>
    <w:rsid w:val="005C1530"/>
    <w:rsid w:val="005C7112"/>
    <w:rsid w:val="005D3A6F"/>
    <w:rsid w:val="005F0190"/>
    <w:rsid w:val="005F127C"/>
    <w:rsid w:val="005F2A3F"/>
    <w:rsid w:val="005F31D3"/>
    <w:rsid w:val="005F5C3D"/>
    <w:rsid w:val="0060152F"/>
    <w:rsid w:val="00602982"/>
    <w:rsid w:val="00602A7F"/>
    <w:rsid w:val="00605266"/>
    <w:rsid w:val="00612BAA"/>
    <w:rsid w:val="006156CB"/>
    <w:rsid w:val="00624C78"/>
    <w:rsid w:val="006337B2"/>
    <w:rsid w:val="006373F4"/>
    <w:rsid w:val="00643771"/>
    <w:rsid w:val="00646866"/>
    <w:rsid w:val="0065299C"/>
    <w:rsid w:val="00660878"/>
    <w:rsid w:val="00661D31"/>
    <w:rsid w:val="006640AD"/>
    <w:rsid w:val="00665069"/>
    <w:rsid w:val="00665D07"/>
    <w:rsid w:val="00673A9E"/>
    <w:rsid w:val="00680A64"/>
    <w:rsid w:val="00683D38"/>
    <w:rsid w:val="0068448B"/>
    <w:rsid w:val="00685F0D"/>
    <w:rsid w:val="00691150"/>
    <w:rsid w:val="0069286F"/>
    <w:rsid w:val="0069358B"/>
    <w:rsid w:val="006938BB"/>
    <w:rsid w:val="006B1AD2"/>
    <w:rsid w:val="006B26E4"/>
    <w:rsid w:val="006C3968"/>
    <w:rsid w:val="006C67D8"/>
    <w:rsid w:val="006C72CA"/>
    <w:rsid w:val="006C7CC6"/>
    <w:rsid w:val="006D20ED"/>
    <w:rsid w:val="006D45E3"/>
    <w:rsid w:val="006D5DA0"/>
    <w:rsid w:val="006E061C"/>
    <w:rsid w:val="006E2B13"/>
    <w:rsid w:val="006F77AE"/>
    <w:rsid w:val="006F7B64"/>
    <w:rsid w:val="007035AF"/>
    <w:rsid w:val="00714920"/>
    <w:rsid w:val="00717CC4"/>
    <w:rsid w:val="00717E95"/>
    <w:rsid w:val="00720179"/>
    <w:rsid w:val="007250CF"/>
    <w:rsid w:val="00725F25"/>
    <w:rsid w:val="00732A24"/>
    <w:rsid w:val="00733388"/>
    <w:rsid w:val="00735A24"/>
    <w:rsid w:val="00743550"/>
    <w:rsid w:val="0074401A"/>
    <w:rsid w:val="00746F25"/>
    <w:rsid w:val="0074795D"/>
    <w:rsid w:val="007506DC"/>
    <w:rsid w:val="00750C12"/>
    <w:rsid w:val="007524BF"/>
    <w:rsid w:val="00756D15"/>
    <w:rsid w:val="00765CE2"/>
    <w:rsid w:val="00767062"/>
    <w:rsid w:val="00767BA1"/>
    <w:rsid w:val="007705ED"/>
    <w:rsid w:val="0077107E"/>
    <w:rsid w:val="0077116F"/>
    <w:rsid w:val="00776821"/>
    <w:rsid w:val="00777CF0"/>
    <w:rsid w:val="0078060C"/>
    <w:rsid w:val="00781178"/>
    <w:rsid w:val="00787D18"/>
    <w:rsid w:val="00791449"/>
    <w:rsid w:val="007917C7"/>
    <w:rsid w:val="00791991"/>
    <w:rsid w:val="007934AD"/>
    <w:rsid w:val="00797E7A"/>
    <w:rsid w:val="007B1713"/>
    <w:rsid w:val="007C5F0E"/>
    <w:rsid w:val="007C6E23"/>
    <w:rsid w:val="007D5776"/>
    <w:rsid w:val="007E1082"/>
    <w:rsid w:val="007E42FE"/>
    <w:rsid w:val="007E44A0"/>
    <w:rsid w:val="007E5A0E"/>
    <w:rsid w:val="007F36AA"/>
    <w:rsid w:val="007F4CE4"/>
    <w:rsid w:val="008027C9"/>
    <w:rsid w:val="00802D33"/>
    <w:rsid w:val="008059DA"/>
    <w:rsid w:val="0081564E"/>
    <w:rsid w:val="008220B0"/>
    <w:rsid w:val="008234AE"/>
    <w:rsid w:val="0082452F"/>
    <w:rsid w:val="00843614"/>
    <w:rsid w:val="00843BDE"/>
    <w:rsid w:val="00857E5C"/>
    <w:rsid w:val="008612EE"/>
    <w:rsid w:val="00870C13"/>
    <w:rsid w:val="0087397B"/>
    <w:rsid w:val="0087447C"/>
    <w:rsid w:val="008761A9"/>
    <w:rsid w:val="00882716"/>
    <w:rsid w:val="0089066B"/>
    <w:rsid w:val="0089199C"/>
    <w:rsid w:val="00891C36"/>
    <w:rsid w:val="00893F14"/>
    <w:rsid w:val="00894C2F"/>
    <w:rsid w:val="008974C2"/>
    <w:rsid w:val="008A05E4"/>
    <w:rsid w:val="008A2AF4"/>
    <w:rsid w:val="008A5910"/>
    <w:rsid w:val="008B5466"/>
    <w:rsid w:val="008B73ED"/>
    <w:rsid w:val="008D12BF"/>
    <w:rsid w:val="008E7A6E"/>
    <w:rsid w:val="008F1851"/>
    <w:rsid w:val="008F2146"/>
    <w:rsid w:val="008F2A33"/>
    <w:rsid w:val="008F311E"/>
    <w:rsid w:val="008F4299"/>
    <w:rsid w:val="008F54D8"/>
    <w:rsid w:val="00902238"/>
    <w:rsid w:val="00914301"/>
    <w:rsid w:val="00915BF1"/>
    <w:rsid w:val="00916279"/>
    <w:rsid w:val="00920310"/>
    <w:rsid w:val="009213EA"/>
    <w:rsid w:val="00925081"/>
    <w:rsid w:val="009303AB"/>
    <w:rsid w:val="0093396A"/>
    <w:rsid w:val="00935874"/>
    <w:rsid w:val="00941BE8"/>
    <w:rsid w:val="00947CDE"/>
    <w:rsid w:val="009564C8"/>
    <w:rsid w:val="0096043D"/>
    <w:rsid w:val="00965919"/>
    <w:rsid w:val="0096737A"/>
    <w:rsid w:val="009710D0"/>
    <w:rsid w:val="0097298C"/>
    <w:rsid w:val="00972D33"/>
    <w:rsid w:val="00981868"/>
    <w:rsid w:val="0099052E"/>
    <w:rsid w:val="00993AFC"/>
    <w:rsid w:val="009A1E65"/>
    <w:rsid w:val="009A3A70"/>
    <w:rsid w:val="009B4413"/>
    <w:rsid w:val="009B4745"/>
    <w:rsid w:val="009B571B"/>
    <w:rsid w:val="009C0FA4"/>
    <w:rsid w:val="009D095D"/>
    <w:rsid w:val="009D4BE8"/>
    <w:rsid w:val="009D59BB"/>
    <w:rsid w:val="009D68CE"/>
    <w:rsid w:val="009E1D75"/>
    <w:rsid w:val="009F5390"/>
    <w:rsid w:val="009F55A3"/>
    <w:rsid w:val="009F5E34"/>
    <w:rsid w:val="009F6812"/>
    <w:rsid w:val="00A002A7"/>
    <w:rsid w:val="00A10A38"/>
    <w:rsid w:val="00A213B4"/>
    <w:rsid w:val="00A26DCE"/>
    <w:rsid w:val="00A30CFB"/>
    <w:rsid w:val="00A32D51"/>
    <w:rsid w:val="00A33273"/>
    <w:rsid w:val="00A3630D"/>
    <w:rsid w:val="00A41860"/>
    <w:rsid w:val="00A43610"/>
    <w:rsid w:val="00A449B0"/>
    <w:rsid w:val="00A45D20"/>
    <w:rsid w:val="00A558BB"/>
    <w:rsid w:val="00A57B9B"/>
    <w:rsid w:val="00A639F1"/>
    <w:rsid w:val="00A648F9"/>
    <w:rsid w:val="00A663C6"/>
    <w:rsid w:val="00A7430D"/>
    <w:rsid w:val="00A7510F"/>
    <w:rsid w:val="00A81DF9"/>
    <w:rsid w:val="00A8360C"/>
    <w:rsid w:val="00A87332"/>
    <w:rsid w:val="00A957E2"/>
    <w:rsid w:val="00A964A6"/>
    <w:rsid w:val="00AA171F"/>
    <w:rsid w:val="00AB22A5"/>
    <w:rsid w:val="00AB4384"/>
    <w:rsid w:val="00AC07A1"/>
    <w:rsid w:val="00AC7C97"/>
    <w:rsid w:val="00AD3353"/>
    <w:rsid w:val="00AD5365"/>
    <w:rsid w:val="00AE025A"/>
    <w:rsid w:val="00AE2446"/>
    <w:rsid w:val="00AE6A79"/>
    <w:rsid w:val="00AE73C9"/>
    <w:rsid w:val="00AF04B4"/>
    <w:rsid w:val="00AF60E4"/>
    <w:rsid w:val="00B00107"/>
    <w:rsid w:val="00B00A93"/>
    <w:rsid w:val="00B022BC"/>
    <w:rsid w:val="00B0255F"/>
    <w:rsid w:val="00B05EC9"/>
    <w:rsid w:val="00B0620E"/>
    <w:rsid w:val="00B12036"/>
    <w:rsid w:val="00B13605"/>
    <w:rsid w:val="00B14823"/>
    <w:rsid w:val="00B23E08"/>
    <w:rsid w:val="00B307A9"/>
    <w:rsid w:val="00B32568"/>
    <w:rsid w:val="00B32622"/>
    <w:rsid w:val="00B406A6"/>
    <w:rsid w:val="00B41E31"/>
    <w:rsid w:val="00B43557"/>
    <w:rsid w:val="00B4767E"/>
    <w:rsid w:val="00B55B52"/>
    <w:rsid w:val="00B57600"/>
    <w:rsid w:val="00B62334"/>
    <w:rsid w:val="00B71104"/>
    <w:rsid w:val="00B72F63"/>
    <w:rsid w:val="00B80D42"/>
    <w:rsid w:val="00B87653"/>
    <w:rsid w:val="00BB2A7C"/>
    <w:rsid w:val="00BB60C0"/>
    <w:rsid w:val="00BC1B40"/>
    <w:rsid w:val="00BD1128"/>
    <w:rsid w:val="00BD38D6"/>
    <w:rsid w:val="00BD5E9E"/>
    <w:rsid w:val="00BE02FF"/>
    <w:rsid w:val="00BE36B6"/>
    <w:rsid w:val="00BE5A95"/>
    <w:rsid w:val="00BF0244"/>
    <w:rsid w:val="00BF2146"/>
    <w:rsid w:val="00BF2E7E"/>
    <w:rsid w:val="00BF4729"/>
    <w:rsid w:val="00BF58E4"/>
    <w:rsid w:val="00C02663"/>
    <w:rsid w:val="00C026AF"/>
    <w:rsid w:val="00C17AB2"/>
    <w:rsid w:val="00C204F7"/>
    <w:rsid w:val="00C31BCB"/>
    <w:rsid w:val="00C34AF9"/>
    <w:rsid w:val="00C354A2"/>
    <w:rsid w:val="00C370ED"/>
    <w:rsid w:val="00C43F1E"/>
    <w:rsid w:val="00C44405"/>
    <w:rsid w:val="00C4556F"/>
    <w:rsid w:val="00C574D8"/>
    <w:rsid w:val="00C627A3"/>
    <w:rsid w:val="00C67875"/>
    <w:rsid w:val="00C70EB3"/>
    <w:rsid w:val="00C718E8"/>
    <w:rsid w:val="00C71941"/>
    <w:rsid w:val="00C75110"/>
    <w:rsid w:val="00C76CBB"/>
    <w:rsid w:val="00C830AD"/>
    <w:rsid w:val="00C84D4C"/>
    <w:rsid w:val="00C95ADD"/>
    <w:rsid w:val="00CA1328"/>
    <w:rsid w:val="00CA2C76"/>
    <w:rsid w:val="00CA4478"/>
    <w:rsid w:val="00CA4AEC"/>
    <w:rsid w:val="00CB3B61"/>
    <w:rsid w:val="00CC2E84"/>
    <w:rsid w:val="00CC3D88"/>
    <w:rsid w:val="00CC4415"/>
    <w:rsid w:val="00CC6BFE"/>
    <w:rsid w:val="00CD0150"/>
    <w:rsid w:val="00CD3E51"/>
    <w:rsid w:val="00CD75E4"/>
    <w:rsid w:val="00CE0C62"/>
    <w:rsid w:val="00CE544C"/>
    <w:rsid w:val="00CE7219"/>
    <w:rsid w:val="00CF3C66"/>
    <w:rsid w:val="00CF77FA"/>
    <w:rsid w:val="00D052A4"/>
    <w:rsid w:val="00D05642"/>
    <w:rsid w:val="00D06C09"/>
    <w:rsid w:val="00D11CD2"/>
    <w:rsid w:val="00D15722"/>
    <w:rsid w:val="00D17CA3"/>
    <w:rsid w:val="00D22FEE"/>
    <w:rsid w:val="00D237E7"/>
    <w:rsid w:val="00D30906"/>
    <w:rsid w:val="00D31ABD"/>
    <w:rsid w:val="00D33E23"/>
    <w:rsid w:val="00D34948"/>
    <w:rsid w:val="00D361B8"/>
    <w:rsid w:val="00D40B62"/>
    <w:rsid w:val="00D44827"/>
    <w:rsid w:val="00D44F83"/>
    <w:rsid w:val="00D45E32"/>
    <w:rsid w:val="00D54C25"/>
    <w:rsid w:val="00D60E5E"/>
    <w:rsid w:val="00D61689"/>
    <w:rsid w:val="00D82FCE"/>
    <w:rsid w:val="00D83CB1"/>
    <w:rsid w:val="00D84507"/>
    <w:rsid w:val="00D91983"/>
    <w:rsid w:val="00D97CC9"/>
    <w:rsid w:val="00DA26D8"/>
    <w:rsid w:val="00DA4072"/>
    <w:rsid w:val="00DA4991"/>
    <w:rsid w:val="00DA6358"/>
    <w:rsid w:val="00DC2B14"/>
    <w:rsid w:val="00DC3DA4"/>
    <w:rsid w:val="00DC4BEE"/>
    <w:rsid w:val="00DD5937"/>
    <w:rsid w:val="00DE26EA"/>
    <w:rsid w:val="00DE4274"/>
    <w:rsid w:val="00DE6D0D"/>
    <w:rsid w:val="00DF06BA"/>
    <w:rsid w:val="00DF07C2"/>
    <w:rsid w:val="00DF6AB7"/>
    <w:rsid w:val="00DF7AA0"/>
    <w:rsid w:val="00E00AEE"/>
    <w:rsid w:val="00E049C9"/>
    <w:rsid w:val="00E05792"/>
    <w:rsid w:val="00E06F1F"/>
    <w:rsid w:val="00E109FD"/>
    <w:rsid w:val="00E11DC3"/>
    <w:rsid w:val="00E20AA6"/>
    <w:rsid w:val="00E22165"/>
    <w:rsid w:val="00E24C9D"/>
    <w:rsid w:val="00E30D14"/>
    <w:rsid w:val="00E34AA9"/>
    <w:rsid w:val="00E46531"/>
    <w:rsid w:val="00E50221"/>
    <w:rsid w:val="00E5096E"/>
    <w:rsid w:val="00E51D0B"/>
    <w:rsid w:val="00E570EA"/>
    <w:rsid w:val="00E57F2C"/>
    <w:rsid w:val="00E60773"/>
    <w:rsid w:val="00E63A84"/>
    <w:rsid w:val="00E64A46"/>
    <w:rsid w:val="00E653AC"/>
    <w:rsid w:val="00E66F3E"/>
    <w:rsid w:val="00E741E7"/>
    <w:rsid w:val="00E76088"/>
    <w:rsid w:val="00E831A3"/>
    <w:rsid w:val="00E8443A"/>
    <w:rsid w:val="00E84853"/>
    <w:rsid w:val="00E942BD"/>
    <w:rsid w:val="00E94AA0"/>
    <w:rsid w:val="00EA5403"/>
    <w:rsid w:val="00EA558C"/>
    <w:rsid w:val="00EC00F8"/>
    <w:rsid w:val="00EC6B3B"/>
    <w:rsid w:val="00EC700D"/>
    <w:rsid w:val="00ED1421"/>
    <w:rsid w:val="00ED17EC"/>
    <w:rsid w:val="00ED3912"/>
    <w:rsid w:val="00ED4A27"/>
    <w:rsid w:val="00ED54FA"/>
    <w:rsid w:val="00EE57E6"/>
    <w:rsid w:val="00EE7437"/>
    <w:rsid w:val="00EF0FED"/>
    <w:rsid w:val="00EF62B9"/>
    <w:rsid w:val="00EF73DF"/>
    <w:rsid w:val="00F016DD"/>
    <w:rsid w:val="00F01D6F"/>
    <w:rsid w:val="00F02097"/>
    <w:rsid w:val="00F06CB0"/>
    <w:rsid w:val="00F0730E"/>
    <w:rsid w:val="00F07362"/>
    <w:rsid w:val="00F11B37"/>
    <w:rsid w:val="00F1491E"/>
    <w:rsid w:val="00F17578"/>
    <w:rsid w:val="00F17BD0"/>
    <w:rsid w:val="00F20459"/>
    <w:rsid w:val="00F21EB6"/>
    <w:rsid w:val="00F232FA"/>
    <w:rsid w:val="00F25942"/>
    <w:rsid w:val="00F32478"/>
    <w:rsid w:val="00F3731E"/>
    <w:rsid w:val="00F43356"/>
    <w:rsid w:val="00F461C8"/>
    <w:rsid w:val="00F464BB"/>
    <w:rsid w:val="00F479B3"/>
    <w:rsid w:val="00F544E3"/>
    <w:rsid w:val="00F6395A"/>
    <w:rsid w:val="00F64AFB"/>
    <w:rsid w:val="00F81562"/>
    <w:rsid w:val="00F8678E"/>
    <w:rsid w:val="00F867CE"/>
    <w:rsid w:val="00F946E9"/>
    <w:rsid w:val="00FA4AA8"/>
    <w:rsid w:val="00FA5B38"/>
    <w:rsid w:val="00FA71B4"/>
    <w:rsid w:val="00FA7F28"/>
    <w:rsid w:val="00FB0053"/>
    <w:rsid w:val="00FB189A"/>
    <w:rsid w:val="00FB3BD1"/>
    <w:rsid w:val="00FC6E3C"/>
    <w:rsid w:val="00FC7209"/>
    <w:rsid w:val="00FD03D3"/>
    <w:rsid w:val="00FD1563"/>
    <w:rsid w:val="00FD27A5"/>
    <w:rsid w:val="00FD7F1E"/>
    <w:rsid w:val="00FE27FD"/>
    <w:rsid w:val="00FF205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8DEB"/>
  <w15:docId w15:val="{974A3B30-B427-4D75-9105-09375B53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84"/>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semiHidden/>
    <w:unhideWhenUsed/>
    <w:rsid w:val="00C718E8"/>
    <w:rPr>
      <w:color w:val="0000FF"/>
      <w:u w:val="single"/>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customStyle="1" w:styleId="ShortT">
    <w:name w:val="ShortT"/>
    <w:basedOn w:val="Normal"/>
    <w:next w:val="Normal"/>
    <w:qFormat/>
    <w:rsid w:val="00FD1563"/>
    <w:pPr>
      <w:spacing w:after="0" w:line="240" w:lineRule="auto"/>
    </w:pPr>
    <w:rPr>
      <w:rFonts w:ascii="Times New Roman" w:eastAsia="Times New Roman" w:hAnsi="Times New Roman" w:cs="Times New Roman"/>
      <w:b/>
      <w:sz w:val="40"/>
      <w:szCs w:val="20"/>
      <w:lang w:eastAsia="en-AU"/>
    </w:rPr>
  </w:style>
  <w:style w:type="paragraph" w:customStyle="1" w:styleId="ActHead5">
    <w:name w:val="ActHead 5"/>
    <w:aliases w:val="s"/>
    <w:basedOn w:val="Normal"/>
    <w:next w:val="subsection"/>
    <w:qFormat/>
    <w:rsid w:val="00FD1563"/>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ActHead6">
    <w:name w:val="ActHead 6"/>
    <w:aliases w:val="as"/>
    <w:basedOn w:val="Normal"/>
    <w:next w:val="Normal"/>
    <w:qFormat/>
    <w:rsid w:val="00FD1563"/>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paragraph" w:customStyle="1" w:styleId="ActHead9">
    <w:name w:val="ActHead 9"/>
    <w:aliases w:val="aat"/>
    <w:basedOn w:val="Normal"/>
    <w:next w:val="ItemHead"/>
    <w:qFormat/>
    <w:rsid w:val="00FD1563"/>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CharAmSchNo">
    <w:name w:val="CharAmSchNo"/>
    <w:basedOn w:val="DefaultParagraphFont"/>
    <w:uiPriority w:val="1"/>
    <w:qFormat/>
    <w:rsid w:val="00FD1563"/>
  </w:style>
  <w:style w:type="character" w:customStyle="1" w:styleId="CharAmSchText">
    <w:name w:val="CharAmSchText"/>
    <w:basedOn w:val="DefaultParagraphFont"/>
    <w:uiPriority w:val="1"/>
    <w:qFormat/>
    <w:rsid w:val="00FD1563"/>
  </w:style>
  <w:style w:type="character" w:customStyle="1" w:styleId="CharSectno">
    <w:name w:val="CharSectno"/>
    <w:basedOn w:val="DefaultParagraphFont"/>
    <w:qFormat/>
    <w:rsid w:val="00FD1563"/>
  </w:style>
  <w:style w:type="paragraph" w:customStyle="1" w:styleId="subsection">
    <w:name w:val="subsection"/>
    <w:aliases w:val="ss"/>
    <w:basedOn w:val="Normal"/>
    <w:link w:val="subsectionChar"/>
    <w:rsid w:val="00FD156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styleId="Header">
    <w:name w:val="header"/>
    <w:basedOn w:val="Normal"/>
    <w:link w:val="HeaderChar"/>
    <w:unhideWhenUsed/>
    <w:rsid w:val="00FD1563"/>
    <w:pPr>
      <w:keepNext/>
      <w:keepLines/>
      <w:tabs>
        <w:tab w:val="center" w:pos="4150"/>
        <w:tab w:val="right" w:pos="8307"/>
      </w:tabs>
      <w:spacing w:after="0" w:line="160" w:lineRule="exact"/>
    </w:pPr>
    <w:rPr>
      <w:rFonts w:ascii="Times New Roman" w:eastAsia="Times New Roman" w:hAnsi="Times New Roman" w:cs="Times New Roman"/>
      <w:sz w:val="16"/>
      <w:szCs w:val="20"/>
      <w:lang w:eastAsia="en-AU"/>
    </w:rPr>
  </w:style>
  <w:style w:type="character" w:customStyle="1" w:styleId="HeaderChar">
    <w:name w:val="Header Char"/>
    <w:basedOn w:val="DefaultParagraphFont"/>
    <w:link w:val="Header"/>
    <w:rsid w:val="00FD1563"/>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FD1563"/>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FD1563"/>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text">
    <w:name w:val="note(text)"/>
    <w:aliases w:val="n"/>
    <w:basedOn w:val="Normal"/>
    <w:link w:val="notetextChar"/>
    <w:rsid w:val="00FD1563"/>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Tabletext">
    <w:name w:val="Tabletext"/>
    <w:aliases w:val="tt"/>
    <w:basedOn w:val="Normal"/>
    <w:rsid w:val="00FD1563"/>
    <w:pPr>
      <w:spacing w:before="60" w:after="0" w:line="240" w:lineRule="atLeast"/>
    </w:pPr>
    <w:rPr>
      <w:rFonts w:ascii="Times New Roman" w:eastAsia="Times New Roman" w:hAnsi="Times New Roman" w:cs="Times New Roman"/>
      <w:sz w:val="20"/>
      <w:szCs w:val="20"/>
      <w:lang w:eastAsia="en-AU"/>
    </w:rPr>
  </w:style>
  <w:style w:type="paragraph" w:styleId="TOC5">
    <w:name w:val="toc 5"/>
    <w:basedOn w:val="Normal"/>
    <w:next w:val="Normal"/>
    <w:uiPriority w:val="39"/>
    <w:unhideWhenUsed/>
    <w:rsid w:val="00FD1563"/>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eastAsia="en-AU"/>
    </w:rPr>
  </w:style>
  <w:style w:type="paragraph" w:styleId="TOC6">
    <w:name w:val="toc 6"/>
    <w:basedOn w:val="Normal"/>
    <w:next w:val="Normal"/>
    <w:uiPriority w:val="39"/>
    <w:unhideWhenUsed/>
    <w:rsid w:val="00FD1563"/>
    <w:pPr>
      <w:keepLines/>
      <w:tabs>
        <w:tab w:val="right" w:pos="8278"/>
      </w:tabs>
      <w:spacing w:before="120" w:after="0" w:line="240" w:lineRule="auto"/>
      <w:ind w:left="1344" w:right="567" w:hanging="1344"/>
    </w:pPr>
    <w:rPr>
      <w:rFonts w:ascii="Times New Roman" w:eastAsia="Times New Roman" w:hAnsi="Times New Roman" w:cs="Times New Roman"/>
      <w:b/>
      <w:kern w:val="28"/>
      <w:sz w:val="24"/>
      <w:szCs w:val="20"/>
      <w:lang w:eastAsia="en-AU"/>
    </w:rPr>
  </w:style>
  <w:style w:type="paragraph" w:styleId="TOC9">
    <w:name w:val="toc 9"/>
    <w:basedOn w:val="Normal"/>
    <w:next w:val="Normal"/>
    <w:uiPriority w:val="39"/>
    <w:unhideWhenUsed/>
    <w:rsid w:val="00FD1563"/>
    <w:pPr>
      <w:keepLines/>
      <w:tabs>
        <w:tab w:val="right" w:pos="8278"/>
      </w:tabs>
      <w:spacing w:before="80" w:after="0" w:line="240" w:lineRule="auto"/>
      <w:ind w:left="851" w:right="567"/>
    </w:pPr>
    <w:rPr>
      <w:rFonts w:ascii="Times New Roman" w:eastAsia="Times New Roman" w:hAnsi="Times New Roman" w:cs="Times New Roman"/>
      <w:i/>
      <w:kern w:val="28"/>
      <w:sz w:val="20"/>
      <w:szCs w:val="20"/>
      <w:lang w:eastAsia="en-AU"/>
    </w:rPr>
  </w:style>
  <w:style w:type="paragraph" w:styleId="Footer">
    <w:name w:val="footer"/>
    <w:link w:val="FooterChar"/>
    <w:rsid w:val="00FD1563"/>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D1563"/>
    <w:rPr>
      <w:rFonts w:ascii="Times New Roman" w:eastAsia="Times New Roman" w:hAnsi="Times New Roman" w:cs="Times New Roman"/>
      <w:szCs w:val="24"/>
      <w:lang w:eastAsia="en-AU"/>
    </w:rPr>
  </w:style>
  <w:style w:type="table" w:styleId="TableGrid">
    <w:name w:val="Table Grid"/>
    <w:basedOn w:val="TableNormal"/>
    <w:uiPriority w:val="59"/>
    <w:rsid w:val="00FD1563"/>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FD1563"/>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FD1563"/>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TableHeading">
    <w:name w:val="TableHeading"/>
    <w:aliases w:val="th"/>
    <w:basedOn w:val="Normal"/>
    <w:next w:val="Tabletext"/>
    <w:rsid w:val="00FD1563"/>
    <w:pPr>
      <w:keepNext/>
      <w:spacing w:before="60" w:after="0" w:line="240" w:lineRule="atLeast"/>
    </w:pPr>
    <w:rPr>
      <w:rFonts w:ascii="Times New Roman" w:eastAsia="Times New Roman" w:hAnsi="Times New Roman" w:cs="Times New Roman"/>
      <w:b/>
      <w:sz w:val="20"/>
      <w:szCs w:val="20"/>
      <w:lang w:eastAsia="en-AU"/>
    </w:rPr>
  </w:style>
  <w:style w:type="character" w:customStyle="1" w:styleId="subsectionChar">
    <w:name w:val="subsection Char"/>
    <w:aliases w:val="ss Char"/>
    <w:basedOn w:val="DefaultParagraphFont"/>
    <w:link w:val="subsection"/>
    <w:locked/>
    <w:rsid w:val="00FD1563"/>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D1563"/>
    <w:rPr>
      <w:rFonts w:ascii="Times New Roman" w:eastAsia="Times New Roman" w:hAnsi="Times New Roman" w:cs="Times New Roman"/>
      <w:sz w:val="18"/>
      <w:szCs w:val="20"/>
      <w:lang w:eastAsia="en-AU"/>
    </w:rPr>
  </w:style>
  <w:style w:type="paragraph" w:styleId="Revision">
    <w:name w:val="Revision"/>
    <w:hidden/>
    <w:uiPriority w:val="99"/>
    <w:semiHidden/>
    <w:rsid w:val="007D5776"/>
    <w:pPr>
      <w:spacing w:after="0" w:line="240" w:lineRule="auto"/>
    </w:pPr>
  </w:style>
  <w:style w:type="paragraph" w:customStyle="1" w:styleId="Default">
    <w:name w:val="Default"/>
    <w:rsid w:val="00C17AB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0E1CDF"/>
  </w:style>
  <w:style w:type="paragraph" w:customStyle="1" w:styleId="PlainParagraph">
    <w:name w:val="Plain Paragraph"/>
    <w:aliases w:val="PP"/>
    <w:basedOn w:val="Normal"/>
    <w:link w:val="PlainParagraphChar"/>
    <w:qFormat/>
    <w:rsid w:val="009F6812"/>
    <w:pPr>
      <w:spacing w:before="140" w:after="140" w:line="280" w:lineRule="atLeast"/>
    </w:pPr>
    <w:rPr>
      <w:rFonts w:ascii="Arial" w:eastAsia="Times New Roman" w:hAnsi="Arial" w:cs="Arial"/>
      <w:lang w:eastAsia="en-AU"/>
    </w:rPr>
  </w:style>
  <w:style w:type="character" w:customStyle="1" w:styleId="PlainParagraphChar">
    <w:name w:val="Plain Paragraph Char"/>
    <w:aliases w:val="PP Char"/>
    <w:basedOn w:val="DefaultParagraphFont"/>
    <w:link w:val="PlainParagraph"/>
    <w:rsid w:val="009F6812"/>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2724">
      <w:bodyDiv w:val="1"/>
      <w:marLeft w:val="0"/>
      <w:marRight w:val="0"/>
      <w:marTop w:val="0"/>
      <w:marBottom w:val="0"/>
      <w:divBdr>
        <w:top w:val="none" w:sz="0" w:space="0" w:color="auto"/>
        <w:left w:val="none" w:sz="0" w:space="0" w:color="auto"/>
        <w:bottom w:val="none" w:sz="0" w:space="0" w:color="auto"/>
        <w:right w:val="none" w:sz="0" w:space="0" w:color="auto"/>
      </w:divBdr>
    </w:div>
    <w:div w:id="556161593">
      <w:bodyDiv w:val="1"/>
      <w:marLeft w:val="0"/>
      <w:marRight w:val="0"/>
      <w:marTop w:val="0"/>
      <w:marBottom w:val="0"/>
      <w:divBdr>
        <w:top w:val="none" w:sz="0" w:space="0" w:color="auto"/>
        <w:left w:val="none" w:sz="0" w:space="0" w:color="auto"/>
        <w:bottom w:val="none" w:sz="0" w:space="0" w:color="auto"/>
        <w:right w:val="none" w:sz="0" w:space="0" w:color="auto"/>
      </w:divBdr>
    </w:div>
    <w:div w:id="1442915394">
      <w:bodyDiv w:val="1"/>
      <w:marLeft w:val="0"/>
      <w:marRight w:val="0"/>
      <w:marTop w:val="0"/>
      <w:marBottom w:val="0"/>
      <w:divBdr>
        <w:top w:val="none" w:sz="0" w:space="0" w:color="auto"/>
        <w:left w:val="none" w:sz="0" w:space="0" w:color="auto"/>
        <w:bottom w:val="none" w:sz="0" w:space="0" w:color="auto"/>
        <w:right w:val="none" w:sz="0" w:space="0" w:color="auto"/>
      </w:divBdr>
    </w:div>
    <w:div w:id="1479759616">
      <w:bodyDiv w:val="1"/>
      <w:marLeft w:val="0"/>
      <w:marRight w:val="0"/>
      <w:marTop w:val="0"/>
      <w:marBottom w:val="0"/>
      <w:divBdr>
        <w:top w:val="none" w:sz="0" w:space="0" w:color="auto"/>
        <w:left w:val="none" w:sz="0" w:space="0" w:color="auto"/>
        <w:bottom w:val="none" w:sz="0" w:space="0" w:color="auto"/>
        <w:right w:val="none" w:sz="0" w:space="0" w:color="auto"/>
      </w:divBdr>
    </w:div>
    <w:div w:id="1535994697">
      <w:bodyDiv w:val="1"/>
      <w:marLeft w:val="0"/>
      <w:marRight w:val="0"/>
      <w:marTop w:val="0"/>
      <w:marBottom w:val="0"/>
      <w:divBdr>
        <w:top w:val="none" w:sz="0" w:space="0" w:color="auto"/>
        <w:left w:val="none" w:sz="0" w:space="0" w:color="auto"/>
        <w:bottom w:val="none" w:sz="0" w:space="0" w:color="auto"/>
        <w:right w:val="none" w:sz="0" w:space="0" w:color="auto"/>
      </w:divBdr>
    </w:div>
    <w:div w:id="202212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D279832-F8EC-4128-99F7-2502C2E024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EC3C29D9D907E4C9D7667DAE68A37A8" ma:contentTypeVersion="" ma:contentTypeDescription="PDMS Document Site Content Type" ma:contentTypeScope="" ma:versionID="4c877028c69f03287605ec76a8a7e979">
  <xsd:schema xmlns:xsd="http://www.w3.org/2001/XMLSchema" xmlns:xs="http://www.w3.org/2001/XMLSchema" xmlns:p="http://schemas.microsoft.com/office/2006/metadata/properties" xmlns:ns2="AD279832-F8EC-4128-99F7-2502C2E024AE" targetNamespace="http://schemas.microsoft.com/office/2006/metadata/properties" ma:root="true" ma:fieldsID="b4341e7949bcb197680f846acb4739a7" ns2:_="">
    <xsd:import namespace="AD279832-F8EC-4128-99F7-2502C2E024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9832-F8EC-4128-99F7-2502C2E024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C3902-1090-42BD-85AA-56D862AEB558}">
  <ds:schemaRefs>
    <ds:schemaRef ds:uri="http://schemas.microsoft.com/sharepoint/v3/contenttype/forms"/>
  </ds:schemaRefs>
</ds:datastoreItem>
</file>

<file path=customXml/itemProps2.xml><?xml version="1.0" encoding="utf-8"?>
<ds:datastoreItem xmlns:ds="http://schemas.openxmlformats.org/officeDocument/2006/customXml" ds:itemID="{19B19630-7B02-41CA-9739-466F24F45ECE}">
  <ds:schemaRefs>
    <ds:schemaRef ds:uri="http://schemas.microsoft.com/office/2006/metadata/properties"/>
    <ds:schemaRef ds:uri="http://schemas.microsoft.com/office/infopath/2007/PartnerControls"/>
    <ds:schemaRef ds:uri="AD279832-F8EC-4128-99F7-2502C2E024AE"/>
  </ds:schemaRefs>
</ds:datastoreItem>
</file>

<file path=customXml/itemProps3.xml><?xml version="1.0" encoding="utf-8"?>
<ds:datastoreItem xmlns:ds="http://schemas.openxmlformats.org/officeDocument/2006/customXml" ds:itemID="{36AD9552-6BE0-4ADC-AE08-5C26C4B27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79832-F8EC-4128-99F7-2502C2E02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Diana</cp:lastModifiedBy>
  <cp:revision>9</cp:revision>
  <dcterms:created xsi:type="dcterms:W3CDTF">2025-01-23T09:28:00Z</dcterms:created>
  <dcterms:modified xsi:type="dcterms:W3CDTF">2025-02-24T00:33:00Z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0x010100266966F133664895A6EE3632470D45F5004EC3C29D9D907E4C9D7667DAE68A37A8</vt:lpwstr>
  </property>
</Properties>
</file>