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4B70"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70317D8E" w14:textId="041BAC1A" w:rsidR="00F31CA4" w:rsidRPr="00124DAA" w:rsidRDefault="00F31CA4" w:rsidP="00005947">
      <w:pPr>
        <w:jc w:val="center"/>
        <w:rPr>
          <w:b/>
          <w:bCs/>
          <w:u w:val="single"/>
        </w:rPr>
      </w:pPr>
      <w:r w:rsidRPr="00124DAA">
        <w:rPr>
          <w:b/>
          <w:bCs/>
          <w:u w:val="single"/>
        </w:rPr>
        <w:t>Issued by authority of the Minister for Small Business</w:t>
      </w:r>
    </w:p>
    <w:p w14:paraId="3FB3539A" w14:textId="19190B66" w:rsidR="00F109D4" w:rsidRPr="003C5719" w:rsidRDefault="00FF7A93" w:rsidP="004A27A8">
      <w:pPr>
        <w:spacing w:before="240" w:after="240"/>
        <w:jc w:val="center"/>
        <w:rPr>
          <w:i/>
        </w:rPr>
      </w:pPr>
      <w:r>
        <w:rPr>
          <w:i/>
        </w:rPr>
        <w:t>Competition and Consumer Act 2010</w:t>
      </w:r>
    </w:p>
    <w:p w14:paraId="5D9B062C" w14:textId="4639423C" w:rsidR="00F109D4" w:rsidRPr="003C5719" w:rsidRDefault="00FF7A93" w:rsidP="004A27A8">
      <w:pPr>
        <w:tabs>
          <w:tab w:val="left" w:pos="1418"/>
        </w:tabs>
        <w:spacing w:before="0" w:after="240"/>
        <w:jc w:val="center"/>
        <w:rPr>
          <w:i/>
        </w:rPr>
      </w:pPr>
      <w:bookmarkStart w:id="0" w:name="_Hlk184043345"/>
      <w:r w:rsidRPr="00FF7A93">
        <w:rPr>
          <w:i/>
        </w:rPr>
        <w:t xml:space="preserve">Competition and Consumer </w:t>
      </w:r>
      <w:r w:rsidR="000B5C6B">
        <w:rPr>
          <w:i/>
        </w:rPr>
        <w:t xml:space="preserve">Legislation </w:t>
      </w:r>
      <w:r w:rsidR="00C42BA7" w:rsidRPr="00C42BA7">
        <w:rPr>
          <w:i/>
        </w:rPr>
        <w:t>Amendment (Horticulture and Oil Industry Codes) Regulations 2025</w:t>
      </w:r>
    </w:p>
    <w:bookmarkEnd w:id="0"/>
    <w:p w14:paraId="1F48ADEA" w14:textId="79156CB7" w:rsidR="00892D3B" w:rsidRDefault="00C55D29" w:rsidP="004A27A8">
      <w:pPr>
        <w:spacing w:before="240"/>
      </w:pPr>
      <w:r w:rsidRPr="003C5719">
        <w:t>S</w:t>
      </w:r>
      <w:r w:rsidR="00D52D55">
        <w:t>ubs</w:t>
      </w:r>
      <w:r w:rsidRPr="003C5719">
        <w:t xml:space="preserve">ection </w:t>
      </w:r>
      <w:r w:rsidR="00FF7A93">
        <w:t>172</w:t>
      </w:r>
      <w:r w:rsidR="00D52D55">
        <w:t>(1)</w:t>
      </w:r>
      <w:r w:rsidR="00FF7A93">
        <w:t xml:space="preserve"> </w:t>
      </w:r>
      <w:r w:rsidR="00F109D4" w:rsidRPr="003C5719">
        <w:t xml:space="preserve">of the </w:t>
      </w:r>
      <w:r w:rsidR="00FF7A93">
        <w:rPr>
          <w:i/>
          <w:iCs/>
        </w:rPr>
        <w:t>Competition and Consumer Act 2010</w:t>
      </w:r>
      <w:r w:rsidR="00F109D4" w:rsidRPr="003C5719">
        <w:t xml:space="preserve"> (the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5BF039CC" w14:textId="350FF656" w:rsidR="009A5556" w:rsidRDefault="00E23277" w:rsidP="004A27A8">
      <w:pPr>
        <w:spacing w:before="240"/>
      </w:pPr>
      <w:r>
        <w:t xml:space="preserve">Section 51AE </w:t>
      </w:r>
      <w:r w:rsidR="004C51CD">
        <w:t xml:space="preserve">of the Act </w:t>
      </w:r>
      <w:r>
        <w:t xml:space="preserve">provides that the regulations may prescribe </w:t>
      </w:r>
      <w:r w:rsidR="005619F0">
        <w:t xml:space="preserve">an industry code </w:t>
      </w:r>
      <w:r w:rsidR="0058506E">
        <w:t xml:space="preserve">for the purposes of Part IVB of the Act </w:t>
      </w:r>
      <w:r w:rsidR="005619F0">
        <w:t xml:space="preserve">and declare </w:t>
      </w:r>
      <w:r w:rsidR="004C51CD">
        <w:t>the industry code to be a mandatory or voluntary industry code.</w:t>
      </w:r>
      <w:r w:rsidR="0058506E">
        <w:t xml:space="preserve"> </w:t>
      </w:r>
      <w:r w:rsidR="000A515C">
        <w:t>An industry code regulate</w:t>
      </w:r>
      <w:r w:rsidR="00EA2AB9">
        <w:t>s conduct of</w:t>
      </w:r>
      <w:r w:rsidR="000A515C">
        <w:t xml:space="preserve"> </w:t>
      </w:r>
      <w:r w:rsidR="00EA2AB9" w:rsidRPr="00EA2AB9">
        <w:t>participants in an industry towards other participants in the industry or towards consumers in the industr</w:t>
      </w:r>
      <w:r w:rsidR="00EA2AB9">
        <w:t>y.</w:t>
      </w:r>
    </w:p>
    <w:p w14:paraId="61F49549" w14:textId="6601A4E6" w:rsidR="003F0F1B" w:rsidRDefault="003F0F1B" w:rsidP="004A27A8">
      <w:pPr>
        <w:spacing w:before="240"/>
      </w:pPr>
      <w:r>
        <w:t xml:space="preserve">Subsection 33(3) of the </w:t>
      </w:r>
      <w:r>
        <w:rPr>
          <w:i/>
          <w:iCs/>
        </w:rPr>
        <w:t>Acts Interpretation Act 1901</w:t>
      </w:r>
      <w:r>
        <w:t xml:space="preserve"> provides that where an Act confers a power to make an instrument of legislative character (including regulations), the power shall be construed as including a power to repeal, amend, or vary any such instrument.</w:t>
      </w:r>
    </w:p>
    <w:p w14:paraId="3186F811" w14:textId="36B8E424" w:rsidR="00EC5766" w:rsidRDefault="004F03F4" w:rsidP="004A27A8">
      <w:pPr>
        <w:spacing w:before="240"/>
      </w:pPr>
      <w:r w:rsidRPr="003C5719">
        <w:t xml:space="preserve">The purpose of the </w:t>
      </w:r>
      <w:r w:rsidR="00C42BA7" w:rsidRPr="00C42BA7">
        <w:rPr>
          <w:i/>
        </w:rPr>
        <w:t xml:space="preserve">Competition and Consumer </w:t>
      </w:r>
      <w:r w:rsidR="000B5C6B">
        <w:rPr>
          <w:i/>
        </w:rPr>
        <w:t xml:space="preserve">Legislation </w:t>
      </w:r>
      <w:r w:rsidR="00C42BA7" w:rsidRPr="00C42BA7">
        <w:rPr>
          <w:i/>
        </w:rPr>
        <w:t xml:space="preserve">Amendment (Horticulture and Oil Industry Codes) Regulations 2025 </w:t>
      </w:r>
      <w:r w:rsidR="00D1264E">
        <w:rPr>
          <w:iCs/>
        </w:rPr>
        <w:t xml:space="preserve">(the Regulations) </w:t>
      </w:r>
      <w:r w:rsidRPr="003C5719">
        <w:t>is to</w:t>
      </w:r>
      <w:r w:rsidR="00351CC6">
        <w:t xml:space="preserve"> amend the </w:t>
      </w:r>
      <w:r w:rsidR="00EA2AB9">
        <w:t xml:space="preserve">industry codes set out in the </w:t>
      </w:r>
      <w:r w:rsidR="009B7945">
        <w:rPr>
          <w:i/>
          <w:iCs/>
        </w:rPr>
        <w:t>Competition and Consumer (Industry Codes—Horticulture) Regulations 2017</w:t>
      </w:r>
      <w:r w:rsidR="009B7945">
        <w:t xml:space="preserve"> </w:t>
      </w:r>
      <w:r w:rsidR="00951164">
        <w:t xml:space="preserve">(Horticulture Code) </w:t>
      </w:r>
      <w:r w:rsidR="009B7945">
        <w:t xml:space="preserve">and the </w:t>
      </w:r>
      <w:r w:rsidR="00274105">
        <w:rPr>
          <w:i/>
          <w:iCs/>
        </w:rPr>
        <w:t>Competition and Consumer (Industry Codes—Oil) Regulations 2017</w:t>
      </w:r>
      <w:r w:rsidR="00274105">
        <w:t xml:space="preserve"> </w:t>
      </w:r>
      <w:r w:rsidR="00951164">
        <w:t>(Oil Code)</w:t>
      </w:r>
      <w:r w:rsidR="00401811">
        <w:t>,</w:t>
      </w:r>
      <w:r w:rsidR="00951164">
        <w:t xml:space="preserve"> </w:t>
      </w:r>
      <w:r w:rsidR="00EC5766">
        <w:t xml:space="preserve">to confer </w:t>
      </w:r>
      <w:r w:rsidR="00217A3C">
        <w:t xml:space="preserve">the </w:t>
      </w:r>
      <w:r w:rsidR="00EC5766">
        <w:t xml:space="preserve">functions </w:t>
      </w:r>
      <w:r w:rsidR="00102E8C">
        <w:t xml:space="preserve">of the mediation adviser </w:t>
      </w:r>
      <w:r w:rsidR="00D643DA">
        <w:t xml:space="preserve">in the Horticulture Code and the </w:t>
      </w:r>
      <w:r w:rsidR="00FD5EEB">
        <w:t xml:space="preserve">functions of the </w:t>
      </w:r>
      <w:r w:rsidR="00D643DA">
        <w:t xml:space="preserve">dispute resolution adviser in the </w:t>
      </w:r>
      <w:r w:rsidR="000D7152">
        <w:t xml:space="preserve">Oil Code </w:t>
      </w:r>
      <w:r w:rsidR="00EC5766">
        <w:t>on the Australian Small Business and Family Enterprise Ombudsman (ASBFEO)</w:t>
      </w:r>
      <w:r w:rsidR="00202568">
        <w:t xml:space="preserve">. </w:t>
      </w:r>
    </w:p>
    <w:p w14:paraId="037348F8" w14:textId="2A828588" w:rsidR="001973FF" w:rsidRDefault="00EC5766" w:rsidP="004A27A8">
      <w:pPr>
        <w:spacing w:before="240"/>
      </w:pPr>
      <w:r w:rsidDel="00DE191D">
        <w:t>The</w:t>
      </w:r>
      <w:r>
        <w:t xml:space="preserve"> Regulations </w:t>
      </w:r>
      <w:r w:rsidR="00AF67C4">
        <w:t xml:space="preserve">reduce </w:t>
      </w:r>
      <w:r w:rsidR="00440918">
        <w:t>the administrative burden for the Government</w:t>
      </w:r>
      <w:r w:rsidR="00BF3931">
        <w:t xml:space="preserve"> and</w:t>
      </w:r>
      <w:r w:rsidR="00274105">
        <w:t xml:space="preserve"> </w:t>
      </w:r>
      <w:r w:rsidR="00440918">
        <w:t>small businesses by</w:t>
      </w:r>
      <w:r w:rsidR="00BF3931">
        <w:t xml:space="preserve"> streamlin</w:t>
      </w:r>
      <w:r w:rsidR="00440918">
        <w:t>ing</w:t>
      </w:r>
      <w:r w:rsidR="00BF3931">
        <w:t xml:space="preserve"> and</w:t>
      </w:r>
      <w:r w:rsidR="00274105">
        <w:t xml:space="preserve"> </w:t>
      </w:r>
      <w:r w:rsidR="00FB4ACF">
        <w:t>harmonis</w:t>
      </w:r>
      <w:r w:rsidR="00440918">
        <w:t>ing</w:t>
      </w:r>
      <w:r w:rsidR="00FB4ACF">
        <w:t xml:space="preserve"> the operation of </w:t>
      </w:r>
      <w:r w:rsidR="00505F95">
        <w:t xml:space="preserve">dispute resolution </w:t>
      </w:r>
      <w:r w:rsidR="00C03A04">
        <w:t>procedures</w:t>
      </w:r>
      <w:r w:rsidR="00505F95">
        <w:t xml:space="preserve"> </w:t>
      </w:r>
      <w:r w:rsidR="0029615F">
        <w:t>across industry codes</w:t>
      </w:r>
      <w:r w:rsidR="0029615F" w:rsidRPr="00580848">
        <w:t xml:space="preserve"> </w:t>
      </w:r>
      <w:r w:rsidR="0029615F">
        <w:t>by</w:t>
      </w:r>
      <w:r w:rsidR="00580848">
        <w:t xml:space="preserve"> consolidating the role of the </w:t>
      </w:r>
      <w:r>
        <w:t>ASBFEO</w:t>
      </w:r>
      <w:r w:rsidR="00FA3C79">
        <w:t xml:space="preserve"> </w:t>
      </w:r>
      <w:r w:rsidR="00580848">
        <w:t>in resolving disputes</w:t>
      </w:r>
      <w:r w:rsidR="00FA3C79">
        <w:t>.</w:t>
      </w:r>
      <w:r w:rsidR="00AE0A27">
        <w:t xml:space="preserve"> </w:t>
      </w:r>
    </w:p>
    <w:p w14:paraId="2D9A60B8" w14:textId="72C7FC8D" w:rsidR="00E86824" w:rsidRDefault="00E86824" w:rsidP="0074692A">
      <w:r>
        <w:t xml:space="preserve">The Regulations form part of wider </w:t>
      </w:r>
      <w:r w:rsidR="007D1A24">
        <w:t>G</w:t>
      </w:r>
      <w:r>
        <w:t xml:space="preserve">overnment reform to strengthen access to justice for small businesses. Similar amendments have been made to the industry codes regulating the </w:t>
      </w:r>
      <w:r w:rsidR="00FD0B7E">
        <w:t xml:space="preserve">dairy </w:t>
      </w:r>
      <w:r>
        <w:t xml:space="preserve">and franchising industries. Those amendments were made by the </w:t>
      </w:r>
      <w:r w:rsidRPr="00226E4B">
        <w:rPr>
          <w:i/>
          <w:iCs/>
        </w:rPr>
        <w:t>Competition and Consumer (Industry Codes</w:t>
      </w:r>
      <w:r w:rsidR="00653577" w:rsidRPr="00653577">
        <w:rPr>
          <w:i/>
          <w:iCs/>
        </w:rPr>
        <w:t>—</w:t>
      </w:r>
      <w:r w:rsidRPr="00226E4B">
        <w:rPr>
          <w:i/>
          <w:iCs/>
        </w:rPr>
        <w:t>Dairy) Amendment (2023 Measures No.1) Regulations 2023</w:t>
      </w:r>
      <w:r>
        <w:t xml:space="preserve"> and the </w:t>
      </w:r>
      <w:r w:rsidRPr="00226E4B">
        <w:rPr>
          <w:i/>
          <w:iCs/>
        </w:rPr>
        <w:t>Competition and Consumer (Industry Codes—Franchising) Amendment (Fairness in Franchising) Regulations 2021</w:t>
      </w:r>
      <w:r w:rsidR="00BC6731">
        <w:t>, the latter which has</w:t>
      </w:r>
      <w:r w:rsidR="00C74414">
        <w:t xml:space="preserve"> since</w:t>
      </w:r>
      <w:r w:rsidR="00EE5883">
        <w:t xml:space="preserve"> been incorporated into a remake of the</w:t>
      </w:r>
      <w:r w:rsidR="00C74414">
        <w:t xml:space="preserve"> industry code regulating the franchising industry (see </w:t>
      </w:r>
      <w:r w:rsidR="00DC2019" w:rsidRPr="0074692A">
        <w:rPr>
          <w:i/>
          <w:iCs/>
        </w:rPr>
        <w:t>Competition and Consumer (Industry Codes—Franchising) Regulations 2024</w:t>
      </w:r>
      <w:r w:rsidR="00DC2019">
        <w:t xml:space="preserve">). </w:t>
      </w:r>
      <w:r w:rsidRPr="00912905">
        <w:t xml:space="preserve">The Regulations </w:t>
      </w:r>
      <w:r>
        <w:t xml:space="preserve">also </w:t>
      </w:r>
      <w:r w:rsidRPr="00912905">
        <w:t xml:space="preserve">give effect to a recommendation of an independent review </w:t>
      </w:r>
      <w:r>
        <w:t>of the Oil Cod</w:t>
      </w:r>
      <w:r w:rsidR="00C22B14">
        <w:t>e</w:t>
      </w:r>
      <w:r w:rsidR="003F2B8D">
        <w:t>, which recommended ASBF</w:t>
      </w:r>
      <w:r w:rsidR="00DC470C">
        <w:t>EO</w:t>
      </w:r>
      <w:r w:rsidR="001F59D6">
        <w:t xml:space="preserve"> </w:t>
      </w:r>
      <w:r w:rsidR="00770D4A">
        <w:t>be appointed as the dispute resolution adviser in the Oil Code</w:t>
      </w:r>
      <w:r w:rsidR="00223BDE">
        <w:t xml:space="preserve"> on a permanent basis. </w:t>
      </w:r>
    </w:p>
    <w:p w14:paraId="10902440" w14:textId="38F42EA9" w:rsidR="00E86824" w:rsidRDefault="00E86824" w:rsidP="00E86824">
      <w:pPr>
        <w:pStyle w:val="Bullet"/>
        <w:numPr>
          <w:ilvl w:val="0"/>
          <w:numId w:val="0"/>
        </w:numPr>
      </w:pPr>
      <w:r>
        <w:t xml:space="preserve">The Act does not specify any conditions that need to be satisfied before the power to make the Regulations may be exercised. </w:t>
      </w:r>
    </w:p>
    <w:p w14:paraId="6BB75CA5" w14:textId="66B77341" w:rsidR="00AA5F85" w:rsidRDefault="007036A1" w:rsidP="00C73B22">
      <w:pPr>
        <w:pStyle w:val="Bullet"/>
        <w:numPr>
          <w:ilvl w:val="0"/>
          <w:numId w:val="0"/>
        </w:numPr>
      </w:pPr>
      <w:r>
        <w:lastRenderedPageBreak/>
        <w:t>The Treasury undertook t</w:t>
      </w:r>
      <w:r w:rsidR="00A21164">
        <w:t>argeted consultation</w:t>
      </w:r>
      <w:r w:rsidR="00423B8D">
        <w:t xml:space="preserve"> on </w:t>
      </w:r>
      <w:r w:rsidR="00173547">
        <w:t xml:space="preserve">an exposure draft of </w:t>
      </w:r>
      <w:r w:rsidR="00423B8D">
        <w:t>the Regulations</w:t>
      </w:r>
      <w:r w:rsidR="00A21164">
        <w:t xml:space="preserve"> with </w:t>
      </w:r>
      <w:r w:rsidR="00F4753D">
        <w:t xml:space="preserve">the </w:t>
      </w:r>
      <w:r w:rsidR="008E1F99">
        <w:t xml:space="preserve">ASBFEO, </w:t>
      </w:r>
      <w:r w:rsidR="00D0608A">
        <w:t xml:space="preserve">the </w:t>
      </w:r>
      <w:r w:rsidR="00D0608A" w:rsidRPr="00D0608A">
        <w:t>Australian Competition and Consumer Commission (ACCC)</w:t>
      </w:r>
      <w:r w:rsidR="00D0608A">
        <w:t>,</w:t>
      </w:r>
      <w:r w:rsidR="00D0608A" w:rsidRPr="00D0608A">
        <w:t xml:space="preserve"> </w:t>
      </w:r>
      <w:r w:rsidR="00A21164">
        <w:t xml:space="preserve">the Department of </w:t>
      </w:r>
      <w:r w:rsidR="00961080">
        <w:t xml:space="preserve">Agriculture, Fisheries and Forestry (DAFF) and </w:t>
      </w:r>
      <w:r w:rsidR="00891137">
        <w:t>the Department of Climate Change, Energy, the Environment and Water (DCCEEW</w:t>
      </w:r>
      <w:r w:rsidR="00606953">
        <w:t>)</w:t>
      </w:r>
      <w:r w:rsidR="00891137">
        <w:t>.</w:t>
      </w:r>
      <w:r w:rsidR="00D9637C">
        <w:t xml:space="preserve"> </w:t>
      </w:r>
      <w:r w:rsidR="00C73B22">
        <w:t xml:space="preserve">DAFF previously </w:t>
      </w:r>
      <w:r w:rsidR="00493C30">
        <w:t>undertook targeted consultation with</w:t>
      </w:r>
      <w:r w:rsidR="00605180">
        <w:t xml:space="preserve"> select</w:t>
      </w:r>
      <w:r w:rsidR="00493C30">
        <w:t xml:space="preserve"> industry</w:t>
      </w:r>
      <w:r w:rsidR="00C73B22">
        <w:t xml:space="preserve"> stakeholders with respect to the proposed conferral on</w:t>
      </w:r>
      <w:r w:rsidR="000F1D09">
        <w:t>to</w:t>
      </w:r>
      <w:r w:rsidR="00B91F70">
        <w:t xml:space="preserve"> the</w:t>
      </w:r>
      <w:r w:rsidR="000F1D09">
        <w:t xml:space="preserve"> ASBFE</w:t>
      </w:r>
      <w:r w:rsidR="00AC24E1">
        <w:t>O</w:t>
      </w:r>
      <w:r w:rsidR="00902CAF">
        <w:t xml:space="preserve"> in the Hort</w:t>
      </w:r>
      <w:r w:rsidR="00927E7F">
        <w:t>iculture Code</w:t>
      </w:r>
      <w:r w:rsidR="00AC24E1">
        <w:t xml:space="preserve"> and received </w:t>
      </w:r>
      <w:r w:rsidR="00AA07DE">
        <w:t>support</w:t>
      </w:r>
      <w:r w:rsidR="00AA3353">
        <w:t xml:space="preserve"> from them</w:t>
      </w:r>
      <w:r w:rsidR="00AA07DE">
        <w:t>.</w:t>
      </w:r>
      <w:r w:rsidR="000B745C">
        <w:t xml:space="preserve"> </w:t>
      </w:r>
      <w:r w:rsidR="008300FE">
        <w:t xml:space="preserve">Further, </w:t>
      </w:r>
      <w:r w:rsidR="000B745C">
        <w:t>DCCE</w:t>
      </w:r>
      <w:r w:rsidR="001171DA">
        <w:t xml:space="preserve">EW engaged Ernst &amp; Young to </w:t>
      </w:r>
      <w:r w:rsidR="008300FE">
        <w:t>perform a</w:t>
      </w:r>
      <w:r w:rsidR="00697F74">
        <w:t>n independent</w:t>
      </w:r>
      <w:r w:rsidR="008300FE">
        <w:t xml:space="preserve"> review of the Oil Code</w:t>
      </w:r>
      <w:r w:rsidR="00AC3DBF">
        <w:t>.</w:t>
      </w:r>
      <w:r w:rsidR="00F6106E">
        <w:t xml:space="preserve"> A report </w:t>
      </w:r>
      <w:r w:rsidR="00483F72">
        <w:t xml:space="preserve">by Ernst &amp; Young </w:t>
      </w:r>
      <w:r w:rsidR="00697F74">
        <w:t xml:space="preserve">of the independent review </w:t>
      </w:r>
      <w:r w:rsidR="009D4449">
        <w:t xml:space="preserve">dated 5 May 2023 </w:t>
      </w:r>
      <w:r w:rsidR="009B2F24">
        <w:t>recommended the proposed conferr</w:t>
      </w:r>
      <w:r w:rsidR="00D77085">
        <w:t>al</w:t>
      </w:r>
      <w:r w:rsidR="009B2F24">
        <w:t xml:space="preserve"> onto the ASBFEO </w:t>
      </w:r>
      <w:r w:rsidR="00686A7A">
        <w:t xml:space="preserve">following stakeholder </w:t>
      </w:r>
      <w:r w:rsidR="00F3028C">
        <w:t>support through consultation</w:t>
      </w:r>
      <w:r w:rsidR="00686A7A">
        <w:t xml:space="preserve">. </w:t>
      </w:r>
      <w:r w:rsidR="008D4F34">
        <w:t>Stakeholders provided support for the confer</w:t>
      </w:r>
      <w:r w:rsidR="003A75B0">
        <w:t>ral on the basis that</w:t>
      </w:r>
      <w:r w:rsidR="00E40982">
        <w:t xml:space="preserve"> ASBFEO has </w:t>
      </w:r>
      <w:r w:rsidR="00102C29">
        <w:t>specialised</w:t>
      </w:r>
      <w:r w:rsidR="00E40982">
        <w:t xml:space="preserve"> expertise and experience in </w:t>
      </w:r>
      <w:proofErr w:type="gramStart"/>
      <w:r w:rsidR="00E40982">
        <w:t>dispute resolution, and</w:t>
      </w:r>
      <w:proofErr w:type="gramEnd"/>
      <w:r w:rsidR="00E40982">
        <w:t xml:space="preserve"> is already</w:t>
      </w:r>
      <w:r w:rsidR="00F71489">
        <w:t xml:space="preserve"> the first point of contact for </w:t>
      </w:r>
      <w:r w:rsidR="00A33E57">
        <w:t xml:space="preserve">parties </w:t>
      </w:r>
      <w:r w:rsidR="00F71489">
        <w:t>entering a dispute</w:t>
      </w:r>
      <w:r w:rsidR="00867E36">
        <w:t>.</w:t>
      </w:r>
    </w:p>
    <w:p w14:paraId="0E593004" w14:textId="26CD6858" w:rsidR="00EA2AB9" w:rsidRPr="00C56F2E" w:rsidRDefault="009C6F90" w:rsidP="004A27A8">
      <w:pPr>
        <w:pStyle w:val="Bullet"/>
        <w:numPr>
          <w:ilvl w:val="0"/>
          <w:numId w:val="0"/>
        </w:numPr>
        <w:rPr>
          <w:color w:val="FF0000"/>
        </w:rPr>
      </w:pPr>
      <w:r>
        <w:t xml:space="preserve">Public consultation </w:t>
      </w:r>
      <w:r w:rsidR="00817201">
        <w:t xml:space="preserve">on an exposure draft of the Regulations </w:t>
      </w:r>
      <w:r>
        <w:t>was not undertaken because the amendments are minor and machinery in nature</w:t>
      </w:r>
      <w:r w:rsidR="00625770">
        <w:t xml:space="preserve">, </w:t>
      </w:r>
      <w:r w:rsidR="00A36064">
        <w:t xml:space="preserve">and </w:t>
      </w:r>
      <w:r w:rsidR="00B52D95">
        <w:t>primarily relat</w:t>
      </w:r>
      <w:r w:rsidR="00090D37">
        <w:t>e</w:t>
      </w:r>
      <w:r w:rsidR="00B52D95">
        <w:t xml:space="preserve"> to internal government processes, </w:t>
      </w:r>
      <w:r w:rsidR="00DC3D6B">
        <w:t xml:space="preserve">in that they streamline the </w:t>
      </w:r>
      <w:r w:rsidR="00A94024">
        <w:t xml:space="preserve">dispute resolution </w:t>
      </w:r>
      <w:r w:rsidR="00DC3D6B">
        <w:t xml:space="preserve">process for </w:t>
      </w:r>
      <w:r w:rsidR="00614914">
        <w:t xml:space="preserve">the relevant </w:t>
      </w:r>
      <w:r w:rsidR="00DC3D6B">
        <w:t>industry participants by changing the government body responsible for this process</w:t>
      </w:r>
      <w:r w:rsidR="00BC1CC3">
        <w:t xml:space="preserve">. </w:t>
      </w:r>
      <w:r w:rsidR="00ED0CB6">
        <w:t xml:space="preserve">The amendments do not impact the substantive rights </w:t>
      </w:r>
      <w:r w:rsidR="00C5554A">
        <w:t xml:space="preserve">or </w:t>
      </w:r>
      <w:r w:rsidR="00ED0CB6">
        <w:t xml:space="preserve">obligations of the industry </w:t>
      </w:r>
      <w:r w:rsidR="00B52C22">
        <w:t>participants</w:t>
      </w:r>
      <w:r w:rsidR="00ED0CB6">
        <w:t xml:space="preserve"> </w:t>
      </w:r>
      <w:r w:rsidR="002169FA">
        <w:t>regulated</w:t>
      </w:r>
      <w:r w:rsidR="00ED0CB6">
        <w:t xml:space="preserve"> by the </w:t>
      </w:r>
      <w:r w:rsidR="001B57EC">
        <w:t xml:space="preserve">Horticulture </w:t>
      </w:r>
      <w:r w:rsidR="008A0012">
        <w:t xml:space="preserve">Code </w:t>
      </w:r>
      <w:r w:rsidR="001B57EC">
        <w:t xml:space="preserve">and Oil Code. </w:t>
      </w:r>
      <w:r w:rsidR="00A94024">
        <w:t xml:space="preserve">Similar amendments to the industry code regulating the dairy industry were also not subject to public consultation. </w:t>
      </w:r>
    </w:p>
    <w:p w14:paraId="745D16E6" w14:textId="23873CC8" w:rsidR="00A57A53" w:rsidRDefault="00A57A53" w:rsidP="004A27A8">
      <w:pPr>
        <w:spacing w:before="240"/>
      </w:pPr>
      <w:r w:rsidRPr="003C5719">
        <w:t>The Regulations commence</w:t>
      </w:r>
      <w:r w:rsidR="008B3E29">
        <w:t>d</w:t>
      </w:r>
      <w:r w:rsidRPr="003C5719">
        <w:t xml:space="preserve"> on </w:t>
      </w:r>
      <w:r w:rsidRPr="006F683C">
        <w:t xml:space="preserve">the day after the instrument </w:t>
      </w:r>
      <w:r w:rsidR="008B3E29">
        <w:t>wa</w:t>
      </w:r>
      <w:r>
        <w:t>s</w:t>
      </w:r>
      <w:r w:rsidRPr="006F683C">
        <w:t xml:space="preserve"> registered </w:t>
      </w:r>
      <w:r w:rsidRPr="003C5719">
        <w:t>on the Federal Register of Legislation.</w:t>
      </w:r>
    </w:p>
    <w:p w14:paraId="295ED9BF" w14:textId="32D5DA12" w:rsidR="00E269BA" w:rsidRDefault="00E269BA" w:rsidP="00E269BA">
      <w:pPr>
        <w:pStyle w:val="Bullet"/>
        <w:numPr>
          <w:ilvl w:val="0"/>
          <w:numId w:val="0"/>
        </w:numPr>
      </w:pPr>
      <w:r>
        <w:t xml:space="preserve">The Regulations are a legislative instrument for the purposes of the </w:t>
      </w:r>
      <w:r w:rsidRPr="00796F53">
        <w:rPr>
          <w:i/>
          <w:iCs/>
        </w:rPr>
        <w:t>Legislation Act 2003</w:t>
      </w:r>
      <w:r w:rsidRPr="495A84B1">
        <w:rPr>
          <w:i/>
          <w:iCs/>
        </w:rPr>
        <w:t xml:space="preserve"> </w:t>
      </w:r>
      <w:r>
        <w:t xml:space="preserve">and are subject to disallowance in accordance with that Act. </w:t>
      </w:r>
      <w:r>
        <w:rPr>
          <w:color w:val="000000"/>
        </w:rPr>
        <w:t>Section 48A of the </w:t>
      </w:r>
      <w:r>
        <w:rPr>
          <w:i/>
          <w:iCs/>
          <w:color w:val="000000"/>
        </w:rPr>
        <w:t>Legislation Act 2003</w:t>
      </w:r>
      <w:r>
        <w:rPr>
          <w:color w:val="000000"/>
        </w:rPr>
        <w:t> provides that where a legislative instrument only repeals or amends another instrument, without making any application, saving or transitional provisions relating to the amendment or repeal, that instrument is automatically repealed. By virtue of section 48A, if the Regulations are not disallowed, the Regulations will automatically repeal when the disallowance period ends. Once repealed, the sunsetting regime set out in Part 4 of Chapter 3 of the </w:t>
      </w:r>
      <w:r>
        <w:rPr>
          <w:i/>
          <w:iCs/>
          <w:color w:val="000000"/>
        </w:rPr>
        <w:t>Legislation Act 2003</w:t>
      </w:r>
      <w:r>
        <w:rPr>
          <w:color w:val="000000"/>
        </w:rPr>
        <w:t> is no longer relevant to the Regulations.</w:t>
      </w:r>
    </w:p>
    <w:p w14:paraId="157E7562" w14:textId="3E3A61EB" w:rsidR="0011527C" w:rsidRPr="003C5719" w:rsidRDefault="0011527C" w:rsidP="004A27A8">
      <w:pPr>
        <w:spacing w:before="240"/>
      </w:pPr>
      <w:r w:rsidRPr="003C5719">
        <w:t xml:space="preserve">Details of the Regulations are set out in </w:t>
      </w:r>
      <w:r w:rsidRPr="003C5719">
        <w:rPr>
          <w:u w:val="single"/>
        </w:rPr>
        <w:t xml:space="preserve">Attachment </w:t>
      </w:r>
      <w:r w:rsidR="004E4673">
        <w:rPr>
          <w:u w:val="single"/>
        </w:rPr>
        <w:t>A</w:t>
      </w:r>
      <w:r w:rsidR="004E4673">
        <w:t>.</w:t>
      </w:r>
    </w:p>
    <w:p w14:paraId="2F69DDB6" w14:textId="6B73F019" w:rsidR="0000628C" w:rsidRDefault="00EB2AEF" w:rsidP="004A27A8">
      <w:pPr>
        <w:spacing w:before="240"/>
      </w:pPr>
      <w:r w:rsidRPr="003C5719">
        <w:t xml:space="preserve">A statement of Compatibility with Human Rights is at </w:t>
      </w:r>
      <w:r w:rsidRPr="003C5719">
        <w:rPr>
          <w:u w:val="single"/>
        </w:rPr>
        <w:t xml:space="preserve">Attachment </w:t>
      </w:r>
      <w:r w:rsidR="004E4673">
        <w:rPr>
          <w:u w:val="single"/>
        </w:rPr>
        <w:t>B</w:t>
      </w:r>
      <w:r w:rsidR="00CE4EFB" w:rsidRPr="003C5719">
        <w:rPr>
          <w:u w:val="single"/>
        </w:rPr>
        <w:t>.</w:t>
      </w:r>
      <w:r w:rsidR="00013390" w:rsidRPr="003C5719">
        <w:t xml:space="preserve"> </w:t>
      </w:r>
    </w:p>
    <w:p w14:paraId="1D9EBA04" w14:textId="1F765D73" w:rsidR="00EB2AEF" w:rsidRPr="003C5719" w:rsidRDefault="0011527C" w:rsidP="004A27A8">
      <w:pPr>
        <w:spacing w:before="240"/>
      </w:pPr>
      <w:r w:rsidRPr="003C5719">
        <w:t xml:space="preserve">The Office of Impact Analysis has been (OIA) has been consulted (OIA </w:t>
      </w:r>
      <w:r w:rsidR="00AE460D">
        <w:t xml:space="preserve">ref: </w:t>
      </w:r>
      <w:sdt>
        <w:sdtPr>
          <w:id w:val="-2093919849"/>
          <w:placeholder>
            <w:docPart w:val="7FB82E67BD814CD5B077F6CC7EB19362"/>
          </w:placeholder>
        </w:sdtPr>
        <w:sdtEndPr/>
        <w:sdtContent>
          <w:r w:rsidR="00881331" w:rsidRPr="00881331">
            <w:t>OIA24-07940</w:t>
          </w:r>
        </w:sdtContent>
      </w:sdt>
      <w:r w:rsidRPr="003C5719">
        <w:t>) and agreed that</w:t>
      </w:r>
      <w:r w:rsidR="00112B45">
        <w:t xml:space="preserve"> no Impact Analysis was required.</w:t>
      </w:r>
      <w:r w:rsidR="00EC7476">
        <w:t xml:space="preserve"> The measure has no impact on compliance costs.</w:t>
      </w:r>
    </w:p>
    <w:p w14:paraId="6D52F99A" w14:textId="7757333C" w:rsidR="00EA4DD8" w:rsidRPr="003C5719" w:rsidRDefault="00EA4DD8" w:rsidP="004A27A8">
      <w:pPr>
        <w:pageBreakBefore/>
        <w:spacing w:before="240"/>
        <w:jc w:val="right"/>
        <w:rPr>
          <w:b/>
          <w:u w:val="single"/>
        </w:rPr>
      </w:pPr>
      <w:r w:rsidRPr="003C5719">
        <w:rPr>
          <w:b/>
          <w:u w:val="single"/>
        </w:rPr>
        <w:lastRenderedPageBreak/>
        <w:t xml:space="preserve">ATTACHMENT </w:t>
      </w:r>
      <w:r w:rsidR="00EF36A7">
        <w:rPr>
          <w:b/>
          <w:u w:val="single"/>
        </w:rPr>
        <w:t>A</w:t>
      </w:r>
    </w:p>
    <w:p w14:paraId="233E7418" w14:textId="43221955" w:rsidR="00EA4DD8" w:rsidRPr="003C5719" w:rsidRDefault="00EA4DD8" w:rsidP="004A27A8">
      <w:pPr>
        <w:spacing w:before="240"/>
        <w:rPr>
          <w:b/>
          <w:bCs/>
          <w:szCs w:val="24"/>
          <w:u w:val="single"/>
        </w:rPr>
      </w:pPr>
      <w:r w:rsidRPr="003C5719">
        <w:rPr>
          <w:b/>
          <w:bCs/>
          <w:u w:val="single"/>
        </w:rPr>
        <w:t xml:space="preserve">Details of the </w:t>
      </w:r>
      <w:r w:rsidR="00F2381C" w:rsidRPr="00F2381C">
        <w:rPr>
          <w:b/>
          <w:i/>
          <w:u w:val="single"/>
        </w:rPr>
        <w:t xml:space="preserve">Competition and Consumer Legislation Amendment (Horticulture and Oil Industry Codes) Regulations 2025 </w:t>
      </w:r>
      <w:r w:rsidRPr="003C5719">
        <w:rPr>
          <w:b/>
          <w:bCs/>
          <w:u w:val="single"/>
        </w:rPr>
        <w:t xml:space="preserve"> </w:t>
      </w:r>
    </w:p>
    <w:p w14:paraId="2DF88CF8"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3344CE2D" w14:textId="08BF52B0"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bookmarkStart w:id="1" w:name="_Hlk187317844"/>
      <w:r w:rsidR="00C151BA" w:rsidRPr="00C151BA">
        <w:rPr>
          <w:i/>
        </w:rPr>
        <w:t>Competition and Consumer Legislation Amendment (Horticulture and Oil Industry Codes) Regulations 2025</w:t>
      </w:r>
      <w:r w:rsidRPr="003C5719">
        <w:t xml:space="preserve"> </w:t>
      </w:r>
      <w:bookmarkEnd w:id="1"/>
      <w:r w:rsidRPr="003C5719">
        <w:t>(the Regulations).</w:t>
      </w:r>
    </w:p>
    <w:p w14:paraId="71A66425" w14:textId="014D2CE1" w:rsidR="00EA4DD8" w:rsidRPr="003C5719" w:rsidRDefault="00EA4DD8" w:rsidP="004A27A8">
      <w:pPr>
        <w:spacing w:before="240"/>
        <w:rPr>
          <w:u w:val="single"/>
        </w:rPr>
      </w:pPr>
      <w:r w:rsidRPr="003C5719">
        <w:rPr>
          <w:u w:val="single"/>
        </w:rPr>
        <w:t>Section 2 – Commencemen</w:t>
      </w:r>
      <w:r w:rsidR="00C151BA">
        <w:rPr>
          <w:u w:val="single"/>
        </w:rPr>
        <w:t>t</w:t>
      </w:r>
    </w:p>
    <w:p w14:paraId="175CCA71" w14:textId="2FAAB4EA" w:rsidR="00EA4DD8" w:rsidRPr="003C5719" w:rsidRDefault="00C151BA" w:rsidP="004A27A8">
      <w:pPr>
        <w:spacing w:before="240"/>
      </w:pPr>
      <w:r>
        <w:t>The</w:t>
      </w:r>
      <w:r w:rsidR="00EA4DD8" w:rsidRPr="003C5719">
        <w:t xml:space="preserve"> Regulations commence</w:t>
      </w:r>
      <w:r w:rsidR="008B3E29">
        <w:t>d</w:t>
      </w:r>
      <w:r w:rsidR="00EA4DD8" w:rsidRPr="003C5719">
        <w:t xml:space="preserve"> on </w:t>
      </w:r>
      <w:r w:rsidR="00EA4DD8" w:rsidRPr="006F683C">
        <w:t xml:space="preserve">the day after the instrument </w:t>
      </w:r>
      <w:r w:rsidR="008B3E29">
        <w:t>wa</w:t>
      </w:r>
      <w:r w:rsidR="00BD721C">
        <w:t>s</w:t>
      </w:r>
      <w:r w:rsidR="00EA4DD8" w:rsidRPr="006F683C">
        <w:t xml:space="preserve"> registered </w:t>
      </w:r>
      <w:r w:rsidR="00EA4DD8" w:rsidRPr="003C5719">
        <w:t>on the Federal Register of Legislation.</w:t>
      </w:r>
      <w:r w:rsidR="005858FB">
        <w:t xml:space="preserve"> </w:t>
      </w:r>
    </w:p>
    <w:p w14:paraId="5DCF1336" w14:textId="77777777" w:rsidR="00EA4DD8" w:rsidRPr="003C5719" w:rsidRDefault="00EA4DD8" w:rsidP="004A27A8">
      <w:pPr>
        <w:spacing w:before="240"/>
        <w:rPr>
          <w:u w:val="single"/>
        </w:rPr>
      </w:pPr>
      <w:r w:rsidRPr="003C5719">
        <w:rPr>
          <w:u w:val="single"/>
        </w:rPr>
        <w:t>Section 3 – Authority</w:t>
      </w:r>
    </w:p>
    <w:p w14:paraId="6C20E75D" w14:textId="644DBADC" w:rsidR="00EA4DD8" w:rsidRPr="003C5719" w:rsidRDefault="00EA4DD8" w:rsidP="004A27A8">
      <w:pPr>
        <w:spacing w:before="240"/>
      </w:pPr>
      <w:r w:rsidRPr="003C5719">
        <w:t xml:space="preserve">The Regulations are made under the </w:t>
      </w:r>
      <w:r w:rsidR="00C151BA">
        <w:rPr>
          <w:i/>
        </w:rPr>
        <w:t>Competition and Cons</w:t>
      </w:r>
      <w:r w:rsidR="007B01A8">
        <w:rPr>
          <w:i/>
        </w:rPr>
        <w:t>umer Act 2010</w:t>
      </w:r>
      <w:r w:rsidRPr="003C5719">
        <w:t xml:space="preserve"> (the Act).</w:t>
      </w:r>
    </w:p>
    <w:p w14:paraId="4558D871" w14:textId="4D3AB1F2" w:rsidR="00EA4DD8" w:rsidRPr="007B01A8" w:rsidRDefault="00EA4DD8" w:rsidP="004A27A8">
      <w:pPr>
        <w:spacing w:before="240"/>
        <w:rPr>
          <w:u w:val="single"/>
        </w:rPr>
      </w:pPr>
      <w:r w:rsidRPr="003C5719">
        <w:rPr>
          <w:u w:val="single"/>
        </w:rPr>
        <w:t>Section 4 – Schedule</w:t>
      </w:r>
      <w:r w:rsidR="007B01A8">
        <w:rPr>
          <w:u w:val="single"/>
        </w:rPr>
        <w:t>s</w:t>
      </w:r>
    </w:p>
    <w:p w14:paraId="7C74320D" w14:textId="77777777"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4AF1F83A" w14:textId="7F79A8CE" w:rsidR="007B01A8" w:rsidRDefault="00CD3C05" w:rsidP="00466DD5">
      <w:pPr>
        <w:spacing w:before="240" w:after="200"/>
        <w:rPr>
          <w:b/>
          <w:bCs/>
          <w:u w:val="single"/>
        </w:rPr>
      </w:pPr>
      <w:r>
        <w:rPr>
          <w:b/>
          <w:bCs/>
          <w:u w:val="single"/>
        </w:rPr>
        <w:t xml:space="preserve">Schedule 1 – Amendments </w:t>
      </w:r>
    </w:p>
    <w:p w14:paraId="2FE63D91" w14:textId="30CF4375" w:rsidR="00DC5080" w:rsidRDefault="00C5202B" w:rsidP="003C57A6">
      <w:pPr>
        <w:spacing w:before="240" w:after="200"/>
      </w:pPr>
      <w:r>
        <w:t>Schedule 1</w:t>
      </w:r>
      <w:r w:rsidR="002451EB">
        <w:t xml:space="preserve"> </w:t>
      </w:r>
      <w:r>
        <w:t>outlines the amendments to the</w:t>
      </w:r>
      <w:r w:rsidR="0088582A">
        <w:t xml:space="preserve"> industry codes set out in</w:t>
      </w:r>
      <w:r w:rsidR="003C57A6">
        <w:t xml:space="preserve"> Schedule 1 to the</w:t>
      </w:r>
      <w:r>
        <w:t xml:space="preserve"> </w:t>
      </w:r>
      <w:r w:rsidRPr="00A93C9B">
        <w:rPr>
          <w:i/>
          <w:iCs/>
        </w:rPr>
        <w:t>Competition and Consumer (Industry Codes—Horticulture) Regulations 2017</w:t>
      </w:r>
      <w:r>
        <w:rPr>
          <w:i/>
          <w:iCs/>
        </w:rPr>
        <w:t xml:space="preserve"> </w:t>
      </w:r>
      <w:r w:rsidR="0088582A">
        <w:t>(Horticulture Code)</w:t>
      </w:r>
      <w:r w:rsidR="003C57A6">
        <w:t xml:space="preserve"> and </w:t>
      </w:r>
      <w:r w:rsidR="0088582A">
        <w:t xml:space="preserve">Schedule 1 to the </w:t>
      </w:r>
      <w:r w:rsidR="004F371E" w:rsidRPr="004F371E">
        <w:rPr>
          <w:i/>
          <w:iCs/>
        </w:rPr>
        <w:t>Competition and Consumer (Industry Codes—Oil) Regulations 2017</w:t>
      </w:r>
      <w:r w:rsidR="004F371E">
        <w:t xml:space="preserve"> (Oil Code)</w:t>
      </w:r>
      <w:r w:rsidR="00037757">
        <w:t xml:space="preserve">. </w:t>
      </w:r>
    </w:p>
    <w:p w14:paraId="77AF6226" w14:textId="4301F429" w:rsidR="003827C2" w:rsidRDefault="003827C2" w:rsidP="003827C2">
      <w:pPr>
        <w:pStyle w:val="Bullet"/>
        <w:numPr>
          <w:ilvl w:val="0"/>
          <w:numId w:val="0"/>
        </w:numPr>
      </w:pPr>
      <w:r>
        <w:t xml:space="preserve">The Horticulture </w:t>
      </w:r>
      <w:r w:rsidR="008A1BA3">
        <w:t>Code and Oil</w:t>
      </w:r>
      <w:r w:rsidR="00A94A4B">
        <w:t xml:space="preserve"> Code each establish</w:t>
      </w:r>
      <w:r>
        <w:t xml:space="preserve"> </w:t>
      </w:r>
      <w:r w:rsidR="00CE6AA9">
        <w:t xml:space="preserve">a </w:t>
      </w:r>
      <w:r>
        <w:t>dispute resolution procedur</w:t>
      </w:r>
      <w:r w:rsidR="00CE6AA9">
        <w:t>e</w:t>
      </w:r>
      <w:r>
        <w:t xml:space="preserve"> for disputes that may arise in relation to the respective </w:t>
      </w:r>
      <w:r w:rsidR="008A1BA3">
        <w:t>c</w:t>
      </w:r>
      <w:r>
        <w:t xml:space="preserve">odes. These procedures </w:t>
      </w:r>
      <w:r w:rsidR="003578F4">
        <w:t>include</w:t>
      </w:r>
      <w:r>
        <w:t xml:space="preserve"> the appointment </w:t>
      </w:r>
      <w:r w:rsidR="004C483B">
        <w:t xml:space="preserve">by the relevant Minister </w:t>
      </w:r>
      <w:r>
        <w:t xml:space="preserve">of a mediation adviser </w:t>
      </w:r>
      <w:r w:rsidR="00A930E0">
        <w:t xml:space="preserve">in </w:t>
      </w:r>
      <w:r>
        <w:t xml:space="preserve">the Horticulture Code and a dispute resolution adviser </w:t>
      </w:r>
      <w:r w:rsidR="00A930E0">
        <w:t xml:space="preserve">in </w:t>
      </w:r>
      <w:r>
        <w:t>the Oil Code.</w:t>
      </w:r>
      <w:r w:rsidR="00C87664" w:rsidRPr="00C87664">
        <w:t xml:space="preserve"> </w:t>
      </w:r>
      <w:r w:rsidR="00C87664">
        <w:t>Prior to the Regulations commencing, these appointments were held respectively by SES employees in the Department of Agriculture, Fisheries and Forestry (DAFF) and the Department of Climate Change, Energy, the Environment and Water (DCCEEW).</w:t>
      </w:r>
    </w:p>
    <w:p w14:paraId="76C44E10" w14:textId="77777777" w:rsidR="00E50384" w:rsidRDefault="00782D14" w:rsidP="00782D14">
      <w:pPr>
        <w:spacing w:before="240" w:after="200"/>
      </w:pPr>
      <w:r>
        <w:t xml:space="preserve">The amendments remove </w:t>
      </w:r>
      <w:r w:rsidR="00811F2B">
        <w:t>those</w:t>
      </w:r>
      <w:r>
        <w:t xml:space="preserve"> appointment</w:t>
      </w:r>
      <w:r w:rsidR="007E69E0">
        <w:t xml:space="preserve">s </w:t>
      </w:r>
      <w:r>
        <w:t>and provide for the Australian Small Business and Family Enterprise Ombudsman (ASBFEO) to be conferred the functions previously conferred on the mediation adviser and dispute resolution adviser.</w:t>
      </w:r>
    </w:p>
    <w:p w14:paraId="422C9BE7" w14:textId="1AEBBACE" w:rsidR="00473BD9" w:rsidRDefault="00473BD9" w:rsidP="00782D14">
      <w:pPr>
        <w:spacing w:before="240" w:after="200"/>
      </w:pPr>
      <w:r>
        <w:t xml:space="preserve">The </w:t>
      </w:r>
      <w:r w:rsidR="006F7AB0">
        <w:t xml:space="preserve">ASBFEO </w:t>
      </w:r>
      <w:r>
        <w:t>has specialised expertise and experience in dealing with disputes</w:t>
      </w:r>
      <w:r w:rsidR="002F0BD1">
        <w:t xml:space="preserve">, as well as an extensive </w:t>
      </w:r>
      <w:r w:rsidR="002706FF">
        <w:t>database of contacts who deliver meditation.</w:t>
      </w:r>
      <w:r>
        <w:t xml:space="preserve"> </w:t>
      </w:r>
      <w:r w:rsidR="002706FF">
        <w:t xml:space="preserve">Further, </w:t>
      </w:r>
      <w:r w:rsidR="0068344B">
        <w:t xml:space="preserve">the </w:t>
      </w:r>
      <w:r w:rsidR="002706FF">
        <w:t>A</w:t>
      </w:r>
      <w:r w:rsidR="00557922">
        <w:t>SB</w:t>
      </w:r>
      <w:r w:rsidR="002706FF">
        <w:t>FEO</w:t>
      </w:r>
      <w:r>
        <w:t xml:space="preserve"> already provides support for disputes under the Horticulture </w:t>
      </w:r>
      <w:r w:rsidR="00557922">
        <w:t>Code</w:t>
      </w:r>
      <w:r>
        <w:t xml:space="preserve"> and Oil Code. </w:t>
      </w:r>
      <w:r w:rsidR="00CC4D38">
        <w:t xml:space="preserve">Consolidating </w:t>
      </w:r>
      <w:r w:rsidR="0068344B">
        <w:t xml:space="preserve">the </w:t>
      </w:r>
      <w:r w:rsidR="00CC4D38">
        <w:t>ASBFEO’s role in resolving dispute</w:t>
      </w:r>
      <w:r w:rsidR="00A531D4">
        <w:t>s</w:t>
      </w:r>
      <w:r w:rsidR="00CC4D38">
        <w:t xml:space="preserve"> </w:t>
      </w:r>
      <w:r w:rsidR="00A14769">
        <w:t>is intended to</w:t>
      </w:r>
      <w:r w:rsidR="00CC4D38">
        <w:t xml:space="preserve"> </w:t>
      </w:r>
      <w:r>
        <w:t xml:space="preserve">streamline and simplify dispute resolution procedures </w:t>
      </w:r>
      <w:r w:rsidR="00D96F2A">
        <w:t>by providing</w:t>
      </w:r>
      <w:r w:rsidR="00233C13">
        <w:t xml:space="preserve"> small businesses</w:t>
      </w:r>
      <w:r w:rsidR="00CE4E71">
        <w:t xml:space="preserve"> with</w:t>
      </w:r>
      <w:r w:rsidR="00233C13">
        <w:t xml:space="preserve"> a single continuous point of contact</w:t>
      </w:r>
      <w:r w:rsidR="00663CB3">
        <w:t xml:space="preserve"> throughout the process</w:t>
      </w:r>
      <w:r w:rsidR="00233C13">
        <w:t>. This will</w:t>
      </w:r>
      <w:r>
        <w:t xml:space="preserve"> reduce the administrative burden </w:t>
      </w:r>
      <w:r w:rsidR="004D43E3">
        <w:t xml:space="preserve">for both the </w:t>
      </w:r>
      <w:r w:rsidR="004D43E3">
        <w:lastRenderedPageBreak/>
        <w:t xml:space="preserve">Government and small businesses in </w:t>
      </w:r>
      <w:r w:rsidR="00F970FB">
        <w:t>resolving disputes</w:t>
      </w:r>
      <w:r>
        <w:t xml:space="preserve"> in the horticulture and oil industries.</w:t>
      </w:r>
      <w:r w:rsidR="0043036C">
        <w:t xml:space="preserve"> </w:t>
      </w:r>
    </w:p>
    <w:p w14:paraId="275097B8" w14:textId="606A22E3" w:rsidR="00EA77A7" w:rsidRDefault="000B71B0" w:rsidP="00537C5E">
      <w:pPr>
        <w:spacing w:before="240" w:after="200"/>
      </w:pPr>
      <w:r>
        <w:t>The amendments</w:t>
      </w:r>
      <w:r w:rsidR="00936DCF">
        <w:t xml:space="preserve"> </w:t>
      </w:r>
      <w:r w:rsidR="00731301">
        <w:t>form part of wider Government reform to strengthen access to justice for small businesses</w:t>
      </w:r>
      <w:r w:rsidR="00DD31B1">
        <w:t xml:space="preserve">. </w:t>
      </w:r>
      <w:r w:rsidR="00EA77A7">
        <w:t xml:space="preserve">Similar amendments have been made to the industry codes regulating the </w:t>
      </w:r>
      <w:r w:rsidR="005E55F1">
        <w:t xml:space="preserve">dairy </w:t>
      </w:r>
      <w:r w:rsidR="00EA77A7">
        <w:t xml:space="preserve">and franchising industries. Those amendments were made by the </w:t>
      </w:r>
      <w:r w:rsidR="00EA77A7" w:rsidRPr="00226E4B">
        <w:rPr>
          <w:i/>
          <w:iCs/>
        </w:rPr>
        <w:t>Competition and Consumer (Industry Codes</w:t>
      </w:r>
      <w:r w:rsidR="005E55F1" w:rsidRPr="005E55F1">
        <w:rPr>
          <w:i/>
          <w:iCs/>
        </w:rPr>
        <w:t>—</w:t>
      </w:r>
      <w:r w:rsidR="00EA77A7" w:rsidRPr="00226E4B">
        <w:rPr>
          <w:i/>
          <w:iCs/>
        </w:rPr>
        <w:t>Dairy) Amendment (2023 Measures No.1) Regulations 2023</w:t>
      </w:r>
      <w:r w:rsidR="00EA77A7">
        <w:t xml:space="preserve"> and the </w:t>
      </w:r>
      <w:r w:rsidR="00EA77A7" w:rsidRPr="00226E4B">
        <w:rPr>
          <w:i/>
          <w:iCs/>
        </w:rPr>
        <w:t>Competition and Consumer (Industry Codes—Franchising) Amendment (Fairness in Franchising) Regulations 2021</w:t>
      </w:r>
      <w:r w:rsidR="00BC6731">
        <w:t xml:space="preserve">, the latter which has since been incorporated into a remake of the industry code regulating the franchising industry (see </w:t>
      </w:r>
      <w:r w:rsidR="00BC6731" w:rsidRPr="002D5CFF">
        <w:rPr>
          <w:i/>
          <w:iCs/>
        </w:rPr>
        <w:t>Competition and Consumer (Industry Codes—Franchising) Regulations 2024</w:t>
      </w:r>
      <w:r w:rsidR="00BC6731">
        <w:t>).</w:t>
      </w:r>
    </w:p>
    <w:p w14:paraId="5350B71D" w14:textId="62C94531" w:rsidR="000B71B0" w:rsidRDefault="000B71B0" w:rsidP="00537C5E">
      <w:pPr>
        <w:spacing w:before="240" w:after="200"/>
      </w:pPr>
      <w:r>
        <w:t xml:space="preserve">The amendments do not impact the substantive rights </w:t>
      </w:r>
      <w:r w:rsidR="004C1786">
        <w:t xml:space="preserve">or </w:t>
      </w:r>
      <w:r>
        <w:t xml:space="preserve">obligations of the industry participants regulated by the Horticulture </w:t>
      </w:r>
      <w:r w:rsidR="00D36676">
        <w:t xml:space="preserve">Code </w:t>
      </w:r>
      <w:r>
        <w:t xml:space="preserve">and Oil Code. </w:t>
      </w:r>
    </w:p>
    <w:p w14:paraId="39402D2B" w14:textId="50DDB6CD" w:rsidR="00E515C0" w:rsidRDefault="00E515C0" w:rsidP="00537C5E">
      <w:pPr>
        <w:spacing w:before="240" w:after="200"/>
        <w:rPr>
          <w:b/>
          <w:bCs/>
        </w:rPr>
      </w:pPr>
      <w:r w:rsidRPr="00E515C0">
        <w:rPr>
          <w:b/>
          <w:bCs/>
        </w:rPr>
        <w:t>Schedule 1 – Amendments</w:t>
      </w:r>
    </w:p>
    <w:p w14:paraId="3A271917" w14:textId="29017DB4" w:rsidR="00CD3C05" w:rsidRDefault="004E5F56" w:rsidP="00537C5E">
      <w:pPr>
        <w:spacing w:before="240" w:after="200"/>
        <w:rPr>
          <w:b/>
          <w:bCs/>
        </w:rPr>
      </w:pPr>
      <w:r>
        <w:rPr>
          <w:b/>
          <w:bCs/>
        </w:rPr>
        <w:t xml:space="preserve">Part 1 – </w:t>
      </w:r>
      <w:r w:rsidR="00CD3C05">
        <w:rPr>
          <w:b/>
          <w:bCs/>
        </w:rPr>
        <w:t>Horticulture Code of Conduct</w:t>
      </w:r>
    </w:p>
    <w:p w14:paraId="37B3ED7E" w14:textId="2F695715" w:rsidR="00DE40DB" w:rsidRPr="00715A24" w:rsidRDefault="00DE40DB" w:rsidP="00537C5E">
      <w:pPr>
        <w:spacing w:before="240" w:after="200"/>
        <w:rPr>
          <w:b/>
          <w:bCs/>
          <w:i/>
        </w:rPr>
      </w:pPr>
      <w:bookmarkStart w:id="2" w:name="_Toc187940752"/>
      <w:bookmarkStart w:id="3" w:name="_Toc184829707"/>
      <w:r w:rsidRPr="00DE40DB">
        <w:rPr>
          <w:b/>
          <w:bCs/>
          <w:i/>
        </w:rPr>
        <w:t>Competition and Consumer (Industry Codes—Horticulture) Regulations 2017</w:t>
      </w:r>
      <w:bookmarkEnd w:id="2"/>
      <w:bookmarkEnd w:id="3"/>
    </w:p>
    <w:p w14:paraId="5A2C8C65" w14:textId="0BA70B1A" w:rsidR="004F0056" w:rsidRDefault="004F0056" w:rsidP="004F0056">
      <w:pPr>
        <w:spacing w:before="240" w:after="200"/>
      </w:pPr>
      <w:r>
        <w:t xml:space="preserve">Part </w:t>
      </w:r>
      <w:r w:rsidR="0061612D">
        <w:t>1</w:t>
      </w:r>
      <w:r>
        <w:t xml:space="preserve"> sets out the amendments to </w:t>
      </w:r>
      <w:r w:rsidR="00C213A0">
        <w:t>the</w:t>
      </w:r>
      <w:r w:rsidR="00923AA5">
        <w:t xml:space="preserve"> </w:t>
      </w:r>
      <w:r>
        <w:t xml:space="preserve">Horticulture Code. </w:t>
      </w:r>
    </w:p>
    <w:p w14:paraId="7A12EAE2" w14:textId="77777777" w:rsidR="004F0056" w:rsidRPr="00277F8C" w:rsidRDefault="004F0056" w:rsidP="004F0056">
      <w:pPr>
        <w:spacing w:before="240" w:after="200"/>
      </w:pPr>
      <w:r>
        <w:rPr>
          <w:u w:val="single"/>
        </w:rPr>
        <w:t>Definitions</w:t>
      </w:r>
    </w:p>
    <w:p w14:paraId="42C9EB65" w14:textId="47427B97" w:rsidR="004F0056" w:rsidRDefault="004F0056" w:rsidP="004F0056">
      <w:pPr>
        <w:spacing w:before="240" w:after="200"/>
      </w:pPr>
      <w:r>
        <w:t>Items 1 to 4 amen</w:t>
      </w:r>
      <w:r w:rsidR="006B56B6">
        <w:t>d</w:t>
      </w:r>
      <w:r>
        <w:t xml:space="preserve"> clause 5 of </w:t>
      </w:r>
      <w:r w:rsidR="00DA208F">
        <w:t xml:space="preserve">Schedule </w:t>
      </w:r>
      <w:r w:rsidR="00675611">
        <w:t>1</w:t>
      </w:r>
      <w:r w:rsidR="00DA208F">
        <w:t xml:space="preserve"> </w:t>
      </w:r>
      <w:r w:rsidR="007E69E0">
        <w:t xml:space="preserve">(about definitions) </w:t>
      </w:r>
      <w:r w:rsidR="00DA208F">
        <w:t xml:space="preserve">to </w:t>
      </w:r>
      <w:r>
        <w:t>the Horticulture Code.</w:t>
      </w:r>
      <w:r w:rsidR="006B56B6">
        <w:t xml:space="preserve"> </w:t>
      </w:r>
    </w:p>
    <w:p w14:paraId="64D2D96E" w14:textId="0EC54618" w:rsidR="0010360A" w:rsidRDefault="004F0056" w:rsidP="004F0056">
      <w:pPr>
        <w:spacing w:before="240" w:after="200"/>
      </w:pPr>
      <w:r>
        <w:t xml:space="preserve">The Regulations </w:t>
      </w:r>
      <w:r w:rsidR="00A04977">
        <w:t xml:space="preserve">repeal </w:t>
      </w:r>
      <w:r>
        <w:t>the definition of ‘mediation adviser’ and</w:t>
      </w:r>
      <w:r w:rsidR="006B5B88">
        <w:t xml:space="preserve"> substitute</w:t>
      </w:r>
      <w:r>
        <w:t xml:space="preserve"> a new definition for ‘Ombudsman’. </w:t>
      </w:r>
      <w:r w:rsidR="001160DF">
        <w:t xml:space="preserve">‘Ombudsman’ means the </w:t>
      </w:r>
      <w:r w:rsidR="005E55F1">
        <w:t>ASBFEO</w:t>
      </w:r>
      <w:r w:rsidR="001160DF">
        <w:t xml:space="preserve">. The note under the definition clarifies that the Horticulture Code confers various functions on the ASBFEO (in accordance with paragraph 13(c) of the </w:t>
      </w:r>
      <w:r w:rsidR="001160DF">
        <w:rPr>
          <w:i/>
          <w:iCs/>
        </w:rPr>
        <w:t>Australian Small Business and Family Enterprise Ombudsman Act 2015</w:t>
      </w:r>
      <w:r w:rsidR="001160DF">
        <w:t xml:space="preserve">). These functions were previously conferred on the mediation adviser. </w:t>
      </w:r>
    </w:p>
    <w:p w14:paraId="3F0EF940" w14:textId="641A6CF5" w:rsidR="00F45924" w:rsidRDefault="001160DF" w:rsidP="004F0056">
      <w:pPr>
        <w:spacing w:before="240" w:after="200"/>
      </w:pPr>
      <w:r>
        <w:t>Accordingly, references to the ‘mediation adviser’ are replaced with ‘Ombudsman’ in the definitions of ‘horticulture produce assessor’ and ‘mediation’.</w:t>
      </w:r>
    </w:p>
    <w:p w14:paraId="751A0B60" w14:textId="194AD7FB" w:rsidR="002451EB" w:rsidRDefault="00430983" w:rsidP="00466DD5">
      <w:pPr>
        <w:spacing w:before="240" w:after="200"/>
      </w:pPr>
      <w:r>
        <w:rPr>
          <w:u w:val="single"/>
        </w:rPr>
        <w:t>Dispute resolution</w:t>
      </w:r>
    </w:p>
    <w:p w14:paraId="354EF066" w14:textId="36B6E858" w:rsidR="00CA27B4" w:rsidRDefault="00132F3E" w:rsidP="00132F3E">
      <w:pPr>
        <w:spacing w:before="240" w:after="200"/>
      </w:pPr>
      <w:r>
        <w:t xml:space="preserve">Items 5 to 15 amend Part 5 </w:t>
      </w:r>
      <w:r w:rsidR="00C213A0">
        <w:t>of</w:t>
      </w:r>
      <w:r w:rsidR="00093875">
        <w:t xml:space="preserve"> Schedule 1 to</w:t>
      </w:r>
      <w:r w:rsidR="00C213A0">
        <w:t xml:space="preserve"> </w:t>
      </w:r>
      <w:r>
        <w:t>the Horticulture Code</w:t>
      </w:r>
      <w:r w:rsidR="007F5200">
        <w:t xml:space="preserve">, which sets out </w:t>
      </w:r>
      <w:r w:rsidR="00CB39B7">
        <w:t>a</w:t>
      </w:r>
      <w:r w:rsidR="007F5200">
        <w:t xml:space="preserve"> dispute resolution procedure for the Horticulture Code.</w:t>
      </w:r>
    </w:p>
    <w:p w14:paraId="73E3CDDF" w14:textId="46A83428" w:rsidR="004C3082" w:rsidRDefault="005104DC" w:rsidP="00466DD5">
      <w:pPr>
        <w:spacing w:before="240" w:after="200"/>
      </w:pPr>
      <w:r>
        <w:t>Clause 39 is repealed and replaced.</w:t>
      </w:r>
      <w:r w:rsidR="004C3082">
        <w:t xml:space="preserve"> The new provision requires the ASBFEO, </w:t>
      </w:r>
      <w:r w:rsidR="003F0544">
        <w:t>rather than</w:t>
      </w:r>
      <w:r w:rsidR="004C3082">
        <w:t xml:space="preserve"> the mediation adviser, to compile a list of persons who are to be mediators for the purposes of </w:t>
      </w:r>
      <w:r w:rsidR="000F66E9">
        <w:t>this Part</w:t>
      </w:r>
      <w:r w:rsidR="004C3082">
        <w:t>.</w:t>
      </w:r>
      <w:r w:rsidR="00CD5A2B">
        <w:t xml:space="preserve"> The </w:t>
      </w:r>
      <w:r w:rsidR="00FC77DF">
        <w:t>appointment of</w:t>
      </w:r>
      <w:r w:rsidR="00CD5A2B">
        <w:t xml:space="preserve"> a mediation adviser is removed. </w:t>
      </w:r>
    </w:p>
    <w:p w14:paraId="3F6FE23E" w14:textId="26E65359" w:rsidR="003B1C98" w:rsidRDefault="005104DC" w:rsidP="003B1C98">
      <w:pPr>
        <w:spacing w:before="240" w:after="200"/>
      </w:pPr>
      <w:r>
        <w:t>References</w:t>
      </w:r>
      <w:r w:rsidR="003B1C98">
        <w:t xml:space="preserve"> to </w:t>
      </w:r>
      <w:r w:rsidR="000605D6">
        <w:t>the mediation adviser</w:t>
      </w:r>
      <w:r w:rsidR="003B1C98">
        <w:t xml:space="preserve"> </w:t>
      </w:r>
      <w:r>
        <w:t xml:space="preserve">are replaced </w:t>
      </w:r>
      <w:r w:rsidR="003B1C98">
        <w:t>with references to t</w:t>
      </w:r>
      <w:r w:rsidR="000605D6">
        <w:t xml:space="preserve">he </w:t>
      </w:r>
      <w:r w:rsidR="003B1C98">
        <w:t xml:space="preserve">ASBFEO in clauses 40 to 44. </w:t>
      </w:r>
      <w:r w:rsidR="00900AD6">
        <w:t xml:space="preserve">Consequently, </w:t>
      </w:r>
      <w:r w:rsidR="003B1C98">
        <w:t>the dispute resolutions functions</w:t>
      </w:r>
      <w:r w:rsidR="00E255F2">
        <w:t xml:space="preserve"> </w:t>
      </w:r>
      <w:r w:rsidR="00694B9D">
        <w:t>previously undertaken by the mediation adviser</w:t>
      </w:r>
      <w:r w:rsidR="00E255F2">
        <w:t xml:space="preserve"> </w:t>
      </w:r>
      <w:r w:rsidR="00900AD6">
        <w:t xml:space="preserve">are </w:t>
      </w:r>
      <w:r w:rsidR="0074624A">
        <w:t xml:space="preserve">now </w:t>
      </w:r>
      <w:r w:rsidR="00900AD6">
        <w:t>conferred on the ASBFEO. Broadly, these functions are to:</w:t>
      </w:r>
    </w:p>
    <w:p w14:paraId="42473871" w14:textId="3C76EA6B" w:rsidR="003B1C98" w:rsidRDefault="003B1C98" w:rsidP="003B1C98">
      <w:pPr>
        <w:pStyle w:val="Bullet"/>
      </w:pPr>
      <w:r>
        <w:t>appoint a mediator for a dispute if requested by the parties to the dispute; and</w:t>
      </w:r>
    </w:p>
    <w:p w14:paraId="414D31AD" w14:textId="13E47D50" w:rsidR="003B1C98" w:rsidRDefault="003B1C98" w:rsidP="003B1C98">
      <w:pPr>
        <w:pStyle w:val="Bullet"/>
      </w:pPr>
      <w:r>
        <w:lastRenderedPageBreak/>
        <w:t xml:space="preserve">receive </w:t>
      </w:r>
      <w:r w:rsidR="00E632BD">
        <w:t>information</w:t>
      </w:r>
      <w:r>
        <w:t xml:space="preserve"> about</w:t>
      </w:r>
      <w:r w:rsidR="00AD0542">
        <w:t xml:space="preserve"> </w:t>
      </w:r>
      <w:r w:rsidR="00EF229D">
        <w:t xml:space="preserve">a dispute or </w:t>
      </w:r>
      <w:r w:rsidR="00A24B64">
        <w:t xml:space="preserve">about </w:t>
      </w:r>
      <w:r>
        <w:t>the progress of a mediation from the mediator</w:t>
      </w:r>
      <w:r w:rsidR="00900AD6">
        <w:t xml:space="preserve"> for a dispute.</w:t>
      </w:r>
    </w:p>
    <w:p w14:paraId="03A72593" w14:textId="49777F88" w:rsidR="0039560D" w:rsidRDefault="0039560D" w:rsidP="003B1C98">
      <w:pPr>
        <w:spacing w:before="240" w:after="200"/>
      </w:pPr>
      <w:r>
        <w:rPr>
          <w:u w:val="single"/>
        </w:rPr>
        <w:t xml:space="preserve">Horticulture </w:t>
      </w:r>
      <w:proofErr w:type="gramStart"/>
      <w:r>
        <w:rPr>
          <w:u w:val="single"/>
        </w:rPr>
        <w:t>pro</w:t>
      </w:r>
      <w:r w:rsidR="00357807">
        <w:rPr>
          <w:u w:val="single"/>
        </w:rPr>
        <w:t>duce</w:t>
      </w:r>
      <w:proofErr w:type="gramEnd"/>
      <w:r>
        <w:rPr>
          <w:u w:val="single"/>
        </w:rPr>
        <w:t xml:space="preserve"> assessors</w:t>
      </w:r>
    </w:p>
    <w:p w14:paraId="4752B14A" w14:textId="68672BE7" w:rsidR="0039560D" w:rsidRDefault="00694B9D" w:rsidP="0039560D">
      <w:pPr>
        <w:pStyle w:val="Bullet"/>
        <w:numPr>
          <w:ilvl w:val="0"/>
          <w:numId w:val="0"/>
        </w:numPr>
      </w:pPr>
      <w:r>
        <w:t xml:space="preserve">Items 16 and 17 amend </w:t>
      </w:r>
      <w:r w:rsidR="007D2B64">
        <w:t xml:space="preserve">Part 6 of </w:t>
      </w:r>
      <w:r w:rsidR="00796722">
        <w:t xml:space="preserve">Schedule 1 to </w:t>
      </w:r>
      <w:r w:rsidR="007D2B64">
        <w:t>the Horticulture Code</w:t>
      </w:r>
      <w:r w:rsidR="00CA52E2">
        <w:t>, which provides for the appointment of horticulture produce assessors</w:t>
      </w:r>
      <w:r w:rsidR="00EB1E66">
        <w:t xml:space="preserve"> to </w:t>
      </w:r>
      <w:r w:rsidR="00787A90">
        <w:t>investigate and report on any matter arising under a</w:t>
      </w:r>
      <w:r w:rsidR="00900AD6">
        <w:t xml:space="preserve"> horticulture produce agreement </w:t>
      </w:r>
      <w:r w:rsidR="00787A90">
        <w:t xml:space="preserve">referred to </w:t>
      </w:r>
      <w:r w:rsidR="00B3136C">
        <w:t>them under the appointment.</w:t>
      </w:r>
    </w:p>
    <w:p w14:paraId="24FBF2F8" w14:textId="3FF44643" w:rsidR="006F5AEA" w:rsidRDefault="00694B9D" w:rsidP="006F5AEA">
      <w:pPr>
        <w:pStyle w:val="Bullet"/>
        <w:numPr>
          <w:ilvl w:val="0"/>
          <w:numId w:val="0"/>
        </w:numPr>
      </w:pPr>
      <w:r>
        <w:t>References</w:t>
      </w:r>
      <w:r w:rsidR="00BA1363">
        <w:t xml:space="preserve"> to the mediation adviser </w:t>
      </w:r>
      <w:r>
        <w:t>are replaced with</w:t>
      </w:r>
      <w:r w:rsidR="00BA1363">
        <w:t xml:space="preserve"> references to the ASBFEO</w:t>
      </w:r>
      <w:r>
        <w:t xml:space="preserve"> in clauses </w:t>
      </w:r>
      <w:r w:rsidR="000437A7">
        <w:t>47 and 49</w:t>
      </w:r>
      <w:r w:rsidR="00BA1363">
        <w:t xml:space="preserve">. </w:t>
      </w:r>
      <w:r w:rsidR="00E255F2">
        <w:t>Consequently,</w:t>
      </w:r>
      <w:r w:rsidR="006F5AEA">
        <w:t xml:space="preserve"> the functions </w:t>
      </w:r>
      <w:r w:rsidR="004075B8">
        <w:t xml:space="preserve">previously undertaken by the mediation adviser are conferred </w:t>
      </w:r>
      <w:r w:rsidR="006F5AEA">
        <w:t>on the A</w:t>
      </w:r>
      <w:r w:rsidR="00BF220C">
        <w:t>SB</w:t>
      </w:r>
      <w:r w:rsidR="006F5AEA">
        <w:t>FEO</w:t>
      </w:r>
      <w:r w:rsidR="00900AD6">
        <w:t>. Broadly, these functions are to:</w:t>
      </w:r>
    </w:p>
    <w:p w14:paraId="70A4CE29" w14:textId="6FFDCAEB" w:rsidR="006F5AEA" w:rsidRDefault="006F5AEA" w:rsidP="006F5AEA">
      <w:pPr>
        <w:pStyle w:val="Bullet"/>
      </w:pPr>
      <w:r>
        <w:t>compile and publish a list of persons who are to be horticulture produce assessors; and</w:t>
      </w:r>
    </w:p>
    <w:p w14:paraId="02EC5973" w14:textId="2B994A2C" w:rsidR="00B141AB" w:rsidRDefault="00900AD6" w:rsidP="006F5AEA">
      <w:pPr>
        <w:pStyle w:val="Bullet"/>
      </w:pPr>
      <w:r>
        <w:t xml:space="preserve">appoint </w:t>
      </w:r>
      <w:r w:rsidR="006F5AEA">
        <w:t>a horticulture produce assessor if the parties cannot agree on the appointment of an assessor.</w:t>
      </w:r>
    </w:p>
    <w:p w14:paraId="0678DFBD" w14:textId="3FA82800" w:rsidR="000F7119" w:rsidRDefault="000F7119" w:rsidP="00C26DB8">
      <w:pPr>
        <w:pStyle w:val="Bullet"/>
        <w:numPr>
          <w:ilvl w:val="0"/>
          <w:numId w:val="0"/>
        </w:numPr>
      </w:pPr>
      <w:r>
        <w:t xml:space="preserve">The data collection </w:t>
      </w:r>
      <w:r w:rsidR="00485018">
        <w:t xml:space="preserve">and reporting </w:t>
      </w:r>
      <w:r>
        <w:t xml:space="preserve">functions </w:t>
      </w:r>
      <w:r w:rsidR="00E063E9">
        <w:t>conferred on the ASBFEO</w:t>
      </w:r>
      <w:r w:rsidR="00C67CAE">
        <w:t xml:space="preserve"> (i.e. </w:t>
      </w:r>
      <w:r w:rsidR="00C57D4C">
        <w:t xml:space="preserve">compiling lists and </w:t>
      </w:r>
      <w:r w:rsidR="00C67CAE">
        <w:t xml:space="preserve">receiving information about disputes) </w:t>
      </w:r>
      <w:r>
        <w:t xml:space="preserve">will assist with general reporting and monitoring the effectiveness of </w:t>
      </w:r>
      <w:r w:rsidR="00C12998">
        <w:t xml:space="preserve">the </w:t>
      </w:r>
      <w:r>
        <w:t>ASBFEO’s dispute resolution services and ensure that they can be targeted to current issues and trends in the sector.</w:t>
      </w:r>
    </w:p>
    <w:p w14:paraId="1DD93DD4" w14:textId="44B6FE27" w:rsidR="0056147C" w:rsidRDefault="0056147C" w:rsidP="0056147C">
      <w:pPr>
        <w:pStyle w:val="Bullet"/>
        <w:numPr>
          <w:ilvl w:val="0"/>
          <w:numId w:val="0"/>
        </w:numPr>
      </w:pPr>
      <w:r w:rsidRPr="7B5FC2A9">
        <w:rPr>
          <w:u w:val="single"/>
        </w:rPr>
        <w:t>Saving</w:t>
      </w:r>
      <w:r w:rsidR="37223C32" w:rsidRPr="7B5FC2A9">
        <w:rPr>
          <w:u w:val="single"/>
        </w:rPr>
        <w:t>s</w:t>
      </w:r>
      <w:r>
        <w:rPr>
          <w:u w:val="single"/>
        </w:rPr>
        <w:t xml:space="preserve"> provisions</w:t>
      </w:r>
    </w:p>
    <w:p w14:paraId="13E905FA" w14:textId="4EB7511F" w:rsidR="007F1FF1" w:rsidRDefault="007F1FF1" w:rsidP="007F1FF1">
      <w:r>
        <w:t>Part 8 of</w:t>
      </w:r>
      <w:r w:rsidR="003C57A6">
        <w:t xml:space="preserve"> Schedule</w:t>
      </w:r>
      <w:r w:rsidR="00900AD6">
        <w:t xml:space="preserve"> </w:t>
      </w:r>
      <w:r w:rsidR="003C57A6">
        <w:t>1 to</w:t>
      </w:r>
      <w:r>
        <w:t xml:space="preserve"> the Horticulture Code sets out transitional, saving and application provisions. </w:t>
      </w:r>
    </w:p>
    <w:p w14:paraId="6D96F3CD" w14:textId="10D275EA" w:rsidR="007F1FF1" w:rsidRDefault="007F1FF1" w:rsidP="007F1FF1">
      <w:r>
        <w:t>Items 18 to 20 insert a new Division 2 in Part 8</w:t>
      </w:r>
      <w:r w:rsidR="007D63E0">
        <w:t xml:space="preserve"> which contains saving</w:t>
      </w:r>
      <w:r w:rsidR="00F630FB">
        <w:t>s</w:t>
      </w:r>
      <w:r w:rsidR="007D63E0">
        <w:t xml:space="preserve"> provisions </w:t>
      </w:r>
      <w:r w:rsidR="00641365">
        <w:t>with respect to the</w:t>
      </w:r>
      <w:r w:rsidR="007D63E0">
        <w:t xml:space="preserve"> Regulations</w:t>
      </w:r>
      <w:r>
        <w:t xml:space="preserve">. </w:t>
      </w:r>
      <w:r w:rsidR="00F630FB">
        <w:t>The</w:t>
      </w:r>
      <w:r>
        <w:t xml:space="preserve"> Division </w:t>
      </w:r>
      <w:r w:rsidR="00641365">
        <w:t>is intended to preserve</w:t>
      </w:r>
      <w:r>
        <w:t xml:space="preserve"> the appointment of mediators and horticulture produce assessors by </w:t>
      </w:r>
      <w:r w:rsidR="003F7C3B">
        <w:t xml:space="preserve">the </w:t>
      </w:r>
      <w:r>
        <w:t xml:space="preserve">mediation adviser in </w:t>
      </w:r>
      <w:r w:rsidR="00475D6A">
        <w:t>relation to</w:t>
      </w:r>
      <w:r w:rsidR="00F03A11">
        <w:t xml:space="preserve"> pending</w:t>
      </w:r>
      <w:r w:rsidR="00475D6A">
        <w:t xml:space="preserve"> dispute</w:t>
      </w:r>
      <w:r w:rsidR="546284A3">
        <w:t xml:space="preserve"> resolution procedures</w:t>
      </w:r>
      <w:r w:rsidR="00475D6A">
        <w:t xml:space="preserve"> and investigations</w:t>
      </w:r>
      <w:r w:rsidR="00142F36">
        <w:t>.</w:t>
      </w:r>
      <w:r w:rsidR="00BB7A62">
        <w:t xml:space="preserve"> </w:t>
      </w:r>
      <w:r w:rsidR="00A544D7">
        <w:t>Th</w:t>
      </w:r>
      <w:r w:rsidR="00CE5B3C">
        <w:t>erefore</w:t>
      </w:r>
      <w:r w:rsidR="00A544D7">
        <w:t xml:space="preserve">, the person appointed as </w:t>
      </w:r>
      <w:r w:rsidR="007F647F">
        <w:t>a mediation adviser</w:t>
      </w:r>
      <w:r w:rsidR="00A544D7">
        <w:t xml:space="preserve"> under </w:t>
      </w:r>
      <w:r w:rsidR="00EA63D3">
        <w:t>subclause 39(1)</w:t>
      </w:r>
      <w:r w:rsidR="00A544D7">
        <w:t xml:space="preserve"> of Schedule 1 immediately before the commencement of the Regulations will maintain their functions </w:t>
      </w:r>
      <w:r w:rsidR="009D3A74">
        <w:t xml:space="preserve">in relation to an ongoing dispute or matter </w:t>
      </w:r>
      <w:r w:rsidR="00A544D7">
        <w:t xml:space="preserve">until </w:t>
      </w:r>
      <w:r w:rsidR="009D3A74">
        <w:t>that</w:t>
      </w:r>
      <w:r w:rsidR="00A544D7">
        <w:t xml:space="preserve"> dispute</w:t>
      </w:r>
      <w:r w:rsidR="00506FC8">
        <w:t xml:space="preserve"> or matter</w:t>
      </w:r>
      <w:r w:rsidR="00A544D7">
        <w:t xml:space="preserve"> </w:t>
      </w:r>
      <w:r w:rsidR="00506FC8">
        <w:t>has been</w:t>
      </w:r>
      <w:r w:rsidR="00A544D7">
        <w:t xml:space="preserve"> finalised.</w:t>
      </w:r>
    </w:p>
    <w:p w14:paraId="1CFA8B5B" w14:textId="77777777" w:rsidR="00C3597D" w:rsidRDefault="00C3597D" w:rsidP="00C3597D">
      <w:r>
        <w:t>Clause 64 sets out definitions for the purposes of Division 2 of Part 8. The definitions are:</w:t>
      </w:r>
    </w:p>
    <w:p w14:paraId="52C0D3CF" w14:textId="77777777" w:rsidR="00C3597D" w:rsidRDefault="00C3597D" w:rsidP="00C3597D">
      <w:pPr>
        <w:pStyle w:val="Bullet"/>
      </w:pPr>
      <w:r>
        <w:t>‘</w:t>
      </w:r>
      <w:proofErr w:type="gramStart"/>
      <w:r>
        <w:t>amending</w:t>
      </w:r>
      <w:proofErr w:type="gramEnd"/>
      <w:r>
        <w:t xml:space="preserve"> regulations’ means the Regulations;</w:t>
      </w:r>
    </w:p>
    <w:p w14:paraId="4A8A9D6A" w14:textId="07589A08" w:rsidR="00C3597D" w:rsidRDefault="00C3597D" w:rsidP="00C3597D">
      <w:pPr>
        <w:pStyle w:val="Bullet"/>
      </w:pPr>
      <w:r>
        <w:t>‘</w:t>
      </w:r>
      <w:proofErr w:type="gramStart"/>
      <w:r>
        <w:t>commencement</w:t>
      </w:r>
      <w:proofErr w:type="gramEnd"/>
      <w:r>
        <w:t xml:space="preserve"> day’ </w:t>
      </w:r>
      <w:r w:rsidR="00A72A03">
        <w:t>means</w:t>
      </w:r>
      <w:r>
        <w:t xml:space="preserve"> the day the Regulations commence;</w:t>
      </w:r>
    </w:p>
    <w:p w14:paraId="42C5D6F5" w14:textId="77777777" w:rsidR="00C3597D" w:rsidRDefault="00C3597D" w:rsidP="00C3597D">
      <w:pPr>
        <w:pStyle w:val="Bullet"/>
      </w:pPr>
      <w:r>
        <w:t>‘</w:t>
      </w:r>
      <w:proofErr w:type="gramStart"/>
      <w:r>
        <w:t>old</w:t>
      </w:r>
      <w:proofErr w:type="gramEnd"/>
      <w:r>
        <w:t xml:space="preserve"> code’ means the Horticulture Code</w:t>
      </w:r>
      <w:r w:rsidRPr="00E35DE2">
        <w:rPr>
          <w:i/>
          <w:iCs/>
        </w:rPr>
        <w:t xml:space="preserve"> </w:t>
      </w:r>
      <w:r w:rsidRPr="00E35DE2">
        <w:t xml:space="preserve">as in force immediately before the commencement of the </w:t>
      </w:r>
      <w:r>
        <w:t>Regulations.</w:t>
      </w:r>
    </w:p>
    <w:p w14:paraId="3AD43A9D" w14:textId="5880F821" w:rsidR="00C3597D" w:rsidRDefault="00C3597D" w:rsidP="00C3597D">
      <w:r>
        <w:t>The old code continues to apply on and after the commencement</w:t>
      </w:r>
      <w:r w:rsidR="00B52A61">
        <w:t xml:space="preserve"> day</w:t>
      </w:r>
      <w:r>
        <w:t xml:space="preserve"> of the Regulations:</w:t>
      </w:r>
    </w:p>
    <w:p w14:paraId="7AD9690E" w14:textId="33650576" w:rsidR="00C3597D" w:rsidRDefault="001A68C9" w:rsidP="00C3597D">
      <w:pPr>
        <w:pStyle w:val="Bullet"/>
      </w:pPr>
      <w:r>
        <w:t>to a dispute</w:t>
      </w:r>
      <w:r w:rsidR="00C3597D">
        <w:t xml:space="preserve"> if, before that day, a party to the dispute requested the mediation adviser to appoint a mediator for the dispute and </w:t>
      </w:r>
      <w:r w:rsidR="008C56F6">
        <w:t xml:space="preserve">the </w:t>
      </w:r>
      <w:r w:rsidR="00C3597D">
        <w:t xml:space="preserve">dispute resolution procedure under Part 5 of </w:t>
      </w:r>
      <w:r w:rsidR="00F245AB">
        <w:t xml:space="preserve">Schedule 1 to </w:t>
      </w:r>
      <w:r w:rsidR="00C3597D">
        <w:t>the old code was ongoing in relation to the dispute (clause 65); or</w:t>
      </w:r>
    </w:p>
    <w:p w14:paraId="10EBECE9" w14:textId="458F5DD4" w:rsidR="00475D6A" w:rsidRDefault="001A68C9" w:rsidP="00F03A11">
      <w:pPr>
        <w:pStyle w:val="Bullet"/>
      </w:pPr>
      <w:r>
        <w:t>to</w:t>
      </w:r>
      <w:r w:rsidR="00C3597D">
        <w:t xml:space="preserve"> a matter arising under an agreement if, before that day, a horticulture produce assessor was appointed in relation to that matter</w:t>
      </w:r>
      <w:r w:rsidR="0002276A">
        <w:t xml:space="preserve"> and </w:t>
      </w:r>
      <w:r w:rsidR="00C3597D">
        <w:t xml:space="preserve">that assessor had not prepared a </w:t>
      </w:r>
      <w:r w:rsidR="00C3597D">
        <w:lastRenderedPageBreak/>
        <w:t>report under clause 51 of</w:t>
      </w:r>
      <w:r w:rsidR="00F245AB">
        <w:t xml:space="preserve"> Schedule 1 to</w:t>
      </w:r>
      <w:r w:rsidR="00C3597D">
        <w:t xml:space="preserve"> the old code </w:t>
      </w:r>
      <w:r w:rsidR="0002276A">
        <w:t xml:space="preserve">or </w:t>
      </w:r>
      <w:r w:rsidR="00C0333A">
        <w:t xml:space="preserve">given </w:t>
      </w:r>
      <w:r w:rsidR="00C3597D">
        <w:t>a copy of the report to the persons mentioned in that clause (clause 66).</w:t>
      </w:r>
    </w:p>
    <w:p w14:paraId="6AAC45D6" w14:textId="04F42D4D" w:rsidR="007A013B" w:rsidRDefault="00536835" w:rsidP="00C26DB8">
      <w:pPr>
        <w:pStyle w:val="Bullet"/>
        <w:numPr>
          <w:ilvl w:val="0"/>
          <w:numId w:val="0"/>
        </w:numPr>
      </w:pPr>
      <w:r>
        <w:t>Clause 65 recognises</w:t>
      </w:r>
      <w:r w:rsidR="007A013B">
        <w:t xml:space="preserve"> </w:t>
      </w:r>
      <w:r w:rsidR="000A5A07">
        <w:t>that meditation commences when a person requests mediation</w:t>
      </w:r>
      <w:r w:rsidR="005421BA">
        <w:t xml:space="preserve">, and that </w:t>
      </w:r>
      <w:r w:rsidR="00334960">
        <w:t>appointments in relation to an ongoing mediation should continue until it has been resolved to ensure consistency to all parties involved</w:t>
      </w:r>
      <w:r>
        <w:t xml:space="preserve">. Clause 66 </w:t>
      </w:r>
      <w:r w:rsidR="00D626F1">
        <w:t>recognises</w:t>
      </w:r>
      <w:r w:rsidR="000A5A07">
        <w:t xml:space="preserve"> that the </w:t>
      </w:r>
      <w:r w:rsidR="00834B79">
        <w:t>role of a</w:t>
      </w:r>
      <w:r w:rsidR="003A71F8">
        <w:t xml:space="preserve"> </w:t>
      </w:r>
      <w:r w:rsidR="00834B79">
        <w:t>horticulture produce assessor</w:t>
      </w:r>
      <w:r w:rsidR="003A71F8">
        <w:t xml:space="preserve"> appointed in relation to a matter</w:t>
      </w:r>
      <w:r w:rsidR="00834B79">
        <w:t xml:space="preserve"> </w:t>
      </w:r>
      <w:r w:rsidR="00BB6C48">
        <w:t xml:space="preserve">arising under an agreement </w:t>
      </w:r>
      <w:r w:rsidR="00834B79">
        <w:t xml:space="preserve">is to investigate and report on </w:t>
      </w:r>
      <w:r w:rsidR="00E47D41">
        <w:t>that matter</w:t>
      </w:r>
      <w:r w:rsidR="008D7AD2">
        <w:t xml:space="preserve"> and therefore</w:t>
      </w:r>
      <w:r w:rsidR="00E47D41">
        <w:t xml:space="preserve"> that</w:t>
      </w:r>
      <w:r w:rsidR="008429BC">
        <w:t xml:space="preserve"> an ongoing </w:t>
      </w:r>
      <w:r w:rsidR="00E4427A">
        <w:t xml:space="preserve">appointment </w:t>
      </w:r>
      <w:r w:rsidR="00284D4C">
        <w:t xml:space="preserve">should continue </w:t>
      </w:r>
      <w:r w:rsidR="0098229C">
        <w:t>until the assessor has prepared and provided a copy of the report to the relevant persons</w:t>
      </w:r>
      <w:r w:rsidR="000D1851">
        <w:t xml:space="preserve">, thereby concluding the </w:t>
      </w:r>
      <w:r w:rsidR="00AE2974">
        <w:t>assessor’s</w:t>
      </w:r>
      <w:r w:rsidR="000D1851">
        <w:t xml:space="preserve"> role in relation to the matter. </w:t>
      </w:r>
    </w:p>
    <w:p w14:paraId="5B9AB330" w14:textId="17AFDAE8" w:rsidR="0056147C" w:rsidRDefault="00D629F6" w:rsidP="00466DD5">
      <w:pPr>
        <w:spacing w:before="240" w:after="200"/>
        <w:rPr>
          <w:rStyle w:val="Strong"/>
        </w:rPr>
      </w:pPr>
      <w:r w:rsidRPr="00537C5E">
        <w:rPr>
          <w:rStyle w:val="Strong"/>
        </w:rPr>
        <w:t>Part 2 – Oil Code of Conduct</w:t>
      </w:r>
    </w:p>
    <w:p w14:paraId="51BD19AC" w14:textId="5DB78466" w:rsidR="006059A6" w:rsidRPr="00715A24" w:rsidRDefault="006059A6" w:rsidP="00466DD5">
      <w:pPr>
        <w:spacing w:before="240" w:after="200"/>
        <w:rPr>
          <w:rStyle w:val="Strong"/>
          <w:i/>
          <w:iCs/>
        </w:rPr>
      </w:pPr>
      <w:r w:rsidRPr="006059A6">
        <w:rPr>
          <w:b/>
          <w:bCs/>
          <w:i/>
          <w:iCs/>
        </w:rPr>
        <w:t>Competition and Consumer (Industry Codes—Oil) Regulations 2017</w:t>
      </w:r>
    </w:p>
    <w:p w14:paraId="7098F87A" w14:textId="1DD25C4E" w:rsidR="00DD4F48" w:rsidRDefault="002F6771" w:rsidP="00466DD5">
      <w:pPr>
        <w:spacing w:before="240" w:after="200"/>
      </w:pPr>
      <w:r>
        <w:t xml:space="preserve">Part 2 sets out amendments </w:t>
      </w:r>
      <w:r w:rsidR="00F169BA">
        <w:t xml:space="preserve">to </w:t>
      </w:r>
      <w:r>
        <w:t>the Oil Code.</w:t>
      </w:r>
    </w:p>
    <w:p w14:paraId="7ABEED81" w14:textId="394A9017" w:rsidR="002F6771" w:rsidRDefault="002F6771" w:rsidP="00466DD5">
      <w:pPr>
        <w:spacing w:before="240" w:after="200"/>
      </w:pPr>
      <w:r>
        <w:rPr>
          <w:u w:val="single"/>
        </w:rPr>
        <w:t>Definitions</w:t>
      </w:r>
    </w:p>
    <w:p w14:paraId="7CABDE9C" w14:textId="577AD866" w:rsidR="00F0060C" w:rsidRDefault="00F0060C" w:rsidP="00F0060C">
      <w:pPr>
        <w:spacing w:before="240" w:after="200"/>
      </w:pPr>
      <w:r>
        <w:t>Items 2</w:t>
      </w:r>
      <w:r w:rsidR="008A1754">
        <w:t>1</w:t>
      </w:r>
      <w:r>
        <w:t xml:space="preserve"> and 2</w:t>
      </w:r>
      <w:r w:rsidR="008A1754">
        <w:t>2</w:t>
      </w:r>
      <w:r>
        <w:t xml:space="preserve"> amend </w:t>
      </w:r>
      <w:r w:rsidR="003B03D6">
        <w:t>clause 4</w:t>
      </w:r>
      <w:r w:rsidR="006E00CD">
        <w:t xml:space="preserve"> </w:t>
      </w:r>
      <w:r w:rsidR="0000608B">
        <w:t xml:space="preserve">(about definitions) </w:t>
      </w:r>
      <w:r>
        <w:t>of</w:t>
      </w:r>
      <w:r w:rsidR="00F169BA">
        <w:t xml:space="preserve"> Schedule 1</w:t>
      </w:r>
      <w:r w:rsidR="0000608B">
        <w:t xml:space="preserve"> </w:t>
      </w:r>
      <w:r w:rsidR="00F169BA">
        <w:t>to</w:t>
      </w:r>
      <w:r>
        <w:t xml:space="preserve"> the Oil Code.</w:t>
      </w:r>
    </w:p>
    <w:p w14:paraId="5145D14E" w14:textId="0202BC26" w:rsidR="002F6771" w:rsidRDefault="00F0060C" w:rsidP="00466DD5">
      <w:pPr>
        <w:spacing w:before="240" w:after="200"/>
      </w:pPr>
      <w:r>
        <w:t xml:space="preserve">The Regulations remove the definition of ‘dispute resolution adviser’ and insert a new definition for ‘Ombudsman’. ‘Ombudsman’ means the </w:t>
      </w:r>
      <w:r w:rsidR="005E55F1">
        <w:t>ASBFEO</w:t>
      </w:r>
      <w:r>
        <w:t xml:space="preserve">. The note under the definition clarifies that the Oil Code confers various functions on the ASBFEO (in accordance with paragraph 13(c) of the </w:t>
      </w:r>
      <w:r>
        <w:rPr>
          <w:i/>
          <w:iCs/>
        </w:rPr>
        <w:t>Australian Small Business and Family Enterprise Ombudsman Act 2015</w:t>
      </w:r>
      <w:r>
        <w:t xml:space="preserve">). These functions were previously conferred on the dispute resolution adviser. </w:t>
      </w:r>
    </w:p>
    <w:p w14:paraId="68D04087" w14:textId="72E2BAC7" w:rsidR="00F0060C" w:rsidRDefault="00F0060C" w:rsidP="00466DD5">
      <w:pPr>
        <w:spacing w:before="240" w:after="200"/>
      </w:pPr>
      <w:r>
        <w:rPr>
          <w:u w:val="single"/>
        </w:rPr>
        <w:t>Dispute resolution</w:t>
      </w:r>
    </w:p>
    <w:p w14:paraId="76A1702D" w14:textId="2ACC4FF3" w:rsidR="00BC3EF1" w:rsidRDefault="00A60FAA" w:rsidP="00BC3EF1">
      <w:pPr>
        <w:spacing w:before="240" w:after="200"/>
      </w:pPr>
      <w:r>
        <w:t xml:space="preserve">Items </w:t>
      </w:r>
      <w:r w:rsidR="007D6EC7">
        <w:t>2</w:t>
      </w:r>
      <w:r w:rsidR="0053328A">
        <w:t>3</w:t>
      </w:r>
      <w:r w:rsidR="007D6EC7">
        <w:t xml:space="preserve"> to 2</w:t>
      </w:r>
      <w:r w:rsidR="0053328A">
        <w:t>7</w:t>
      </w:r>
      <w:r w:rsidR="007D6EC7">
        <w:t xml:space="preserve"> amend Part 4 of </w:t>
      </w:r>
      <w:r w:rsidR="00F169BA">
        <w:t xml:space="preserve">Schedule 1 to </w:t>
      </w:r>
      <w:r w:rsidR="007D6EC7">
        <w:t>the Oil Code</w:t>
      </w:r>
      <w:r w:rsidR="00F169BA">
        <w:t>,</w:t>
      </w:r>
      <w:r w:rsidR="007D6EC7">
        <w:t xml:space="preserve"> which </w:t>
      </w:r>
      <w:r w:rsidR="007F5200">
        <w:t>sets out</w:t>
      </w:r>
      <w:r w:rsidR="006D5FCC">
        <w:t xml:space="preserve"> </w:t>
      </w:r>
      <w:r w:rsidR="007F5200">
        <w:t>the</w:t>
      </w:r>
      <w:r w:rsidR="006D5FCC">
        <w:t xml:space="preserve"> dispute resolution</w:t>
      </w:r>
      <w:r w:rsidR="007F5200">
        <w:t xml:space="preserve"> procedure for the Oil Code.</w:t>
      </w:r>
    </w:p>
    <w:p w14:paraId="1D476AEA" w14:textId="7D72ED26" w:rsidR="00BC3EF1" w:rsidRDefault="00BC3EF1" w:rsidP="00BC3EF1">
      <w:pPr>
        <w:spacing w:before="240" w:after="200"/>
      </w:pPr>
      <w:r>
        <w:t xml:space="preserve">Clause </w:t>
      </w:r>
      <w:r w:rsidR="007D6EC7">
        <w:t>41</w:t>
      </w:r>
      <w:r>
        <w:t xml:space="preserve"> is repealed and replaced. The new provision requires the ASBFEO, rather than the </w:t>
      </w:r>
      <w:r w:rsidR="00DD3851">
        <w:t xml:space="preserve">dispute resolution adviser, to advise the </w:t>
      </w:r>
      <w:r w:rsidR="00AA1BC8">
        <w:t xml:space="preserve">relevant </w:t>
      </w:r>
      <w:r w:rsidR="00DD3851">
        <w:t>Minister on dispute resolution under Part</w:t>
      </w:r>
      <w:r w:rsidR="00731031">
        <w:t xml:space="preserve"> 4</w:t>
      </w:r>
      <w:r>
        <w:t xml:space="preserve">. The appointment of a </w:t>
      </w:r>
      <w:r w:rsidR="00DD3851">
        <w:t>dispute resolution</w:t>
      </w:r>
      <w:r>
        <w:t xml:space="preserve"> adviser is removed. </w:t>
      </w:r>
    </w:p>
    <w:p w14:paraId="677A102C" w14:textId="3380D295" w:rsidR="00AD395B" w:rsidRDefault="00DD3851" w:rsidP="00BC3EF1">
      <w:pPr>
        <w:spacing w:before="240" w:after="200"/>
      </w:pPr>
      <w:r>
        <w:t xml:space="preserve">References to the dispute resolution adviser </w:t>
      </w:r>
      <w:r w:rsidR="00E25BF8">
        <w:t>are</w:t>
      </w:r>
      <w:r>
        <w:t xml:space="preserve"> replaced with references to the ASBFEO in </w:t>
      </w:r>
      <w:r w:rsidR="00993658">
        <w:t>clauses 4</w:t>
      </w:r>
      <w:r w:rsidR="000817BC">
        <w:t>2</w:t>
      </w:r>
      <w:r w:rsidR="00993658">
        <w:t xml:space="preserve"> to 45. Consequentl</w:t>
      </w:r>
      <w:r w:rsidR="006F1AB6">
        <w:t xml:space="preserve">y, the functions previously undertaken by the dispute resolution adviser are conferred on the </w:t>
      </w:r>
      <w:r w:rsidR="00236FA3">
        <w:t>ASBFEO</w:t>
      </w:r>
      <w:r w:rsidR="00AD749C">
        <w:t>. Broadly, those functions are</w:t>
      </w:r>
      <w:r w:rsidR="0000608B">
        <w:t xml:space="preserve"> to</w:t>
      </w:r>
      <w:r w:rsidR="00AD749C">
        <w:t>:</w:t>
      </w:r>
    </w:p>
    <w:p w14:paraId="0F66D32C" w14:textId="00339B25" w:rsidR="00AD749C" w:rsidRDefault="0000608B" w:rsidP="00900271">
      <w:pPr>
        <w:pStyle w:val="Bullet"/>
      </w:pPr>
      <w:r>
        <w:t>appoint</w:t>
      </w:r>
      <w:r w:rsidR="00AD749C">
        <w:t xml:space="preserve"> </w:t>
      </w:r>
      <w:r w:rsidR="00A73B99">
        <w:t xml:space="preserve">a </w:t>
      </w:r>
      <w:r w:rsidR="0092700A">
        <w:t xml:space="preserve">designated mediator </w:t>
      </w:r>
      <w:r w:rsidR="00484E28">
        <w:t xml:space="preserve">for a dispute </w:t>
      </w:r>
      <w:r w:rsidR="00345F09">
        <w:t>if the parties cannot agree to</w:t>
      </w:r>
      <w:r w:rsidR="00484E28">
        <w:t xml:space="preserve"> refer the dispute </w:t>
      </w:r>
      <w:r w:rsidR="00A32E7F">
        <w:t>to a person to provide</w:t>
      </w:r>
      <w:r w:rsidR="00484E28">
        <w:t xml:space="preserve"> mediation or other </w:t>
      </w:r>
      <w:proofErr w:type="gramStart"/>
      <w:r w:rsidR="00484E28">
        <w:t>assistance</w:t>
      </w:r>
      <w:r w:rsidR="00345F09">
        <w:t>;</w:t>
      </w:r>
      <w:proofErr w:type="gramEnd"/>
      <w:r w:rsidR="00345F09">
        <w:t xml:space="preserve"> </w:t>
      </w:r>
    </w:p>
    <w:p w14:paraId="56D9E3E4" w14:textId="1368DE4F" w:rsidR="002A0EE4" w:rsidRDefault="0000608B" w:rsidP="00900271">
      <w:pPr>
        <w:pStyle w:val="Bullet"/>
      </w:pPr>
      <w:r>
        <w:t>request</w:t>
      </w:r>
      <w:r w:rsidR="00FC37FD">
        <w:t xml:space="preserve"> and </w:t>
      </w:r>
      <w:r>
        <w:t>receive</w:t>
      </w:r>
      <w:r w:rsidR="00AC1D07">
        <w:t xml:space="preserve"> information about disputes</w:t>
      </w:r>
      <w:r w:rsidR="002A0EE4">
        <w:t>;</w:t>
      </w:r>
      <w:r w:rsidR="00A73B99">
        <w:t xml:space="preserve"> and</w:t>
      </w:r>
    </w:p>
    <w:p w14:paraId="4FF012E9" w14:textId="5832E58E" w:rsidR="00DD3851" w:rsidRDefault="0000608B" w:rsidP="00900271">
      <w:pPr>
        <w:pStyle w:val="Bullet"/>
      </w:pPr>
      <w:proofErr w:type="gramStart"/>
      <w:r>
        <w:t>provide</w:t>
      </w:r>
      <w:r w:rsidR="00AD749C">
        <w:t xml:space="preserve"> </w:t>
      </w:r>
      <w:r w:rsidR="00A73B99">
        <w:t>assistance</w:t>
      </w:r>
      <w:proofErr w:type="gramEnd"/>
      <w:r w:rsidR="00A73B99">
        <w:t xml:space="preserve"> </w:t>
      </w:r>
      <w:r>
        <w:t>in relat</w:t>
      </w:r>
      <w:r w:rsidR="00CC03E3">
        <w:t>ion to disputes</w:t>
      </w:r>
      <w:r w:rsidR="00A73B99">
        <w:t xml:space="preserve">, </w:t>
      </w:r>
      <w:r w:rsidR="00CC03E3">
        <w:t>attempt</w:t>
      </w:r>
      <w:r w:rsidR="00A73B99">
        <w:t xml:space="preserve"> to resolve </w:t>
      </w:r>
      <w:r w:rsidR="00CC03E3">
        <w:t xml:space="preserve">disputes </w:t>
      </w:r>
      <w:r w:rsidR="00A73B99">
        <w:t xml:space="preserve">and </w:t>
      </w:r>
      <w:r w:rsidR="00CC03E3">
        <w:t>make</w:t>
      </w:r>
      <w:r w:rsidR="00A73B99">
        <w:t xml:space="preserve"> </w:t>
      </w:r>
      <w:r w:rsidR="00531DC7">
        <w:t xml:space="preserve">non-binding </w:t>
      </w:r>
      <w:r w:rsidR="00A73B99">
        <w:t>determinations about disputes.</w:t>
      </w:r>
    </w:p>
    <w:p w14:paraId="212C2872" w14:textId="634D874E" w:rsidR="008B45CA" w:rsidRDefault="008B45CA" w:rsidP="005A7751">
      <w:pPr>
        <w:pStyle w:val="Bullet"/>
        <w:numPr>
          <w:ilvl w:val="0"/>
          <w:numId w:val="0"/>
        </w:numPr>
      </w:pPr>
      <w:r>
        <w:t xml:space="preserve">The data collection </w:t>
      </w:r>
      <w:r w:rsidR="00DE4985">
        <w:t xml:space="preserve">and reporting </w:t>
      </w:r>
      <w:r>
        <w:t>functions</w:t>
      </w:r>
      <w:r w:rsidR="003472D1">
        <w:t xml:space="preserve"> (i.e. requesting and receiving information about disputes)</w:t>
      </w:r>
      <w:r>
        <w:t xml:space="preserve"> conferred on the ASBFEO will assist </w:t>
      </w:r>
      <w:r w:rsidR="008D6603">
        <w:t>ASBFEO in making non-binding determinations</w:t>
      </w:r>
      <w:r w:rsidR="009039FE">
        <w:t xml:space="preserve">, </w:t>
      </w:r>
      <w:r w:rsidR="0098616F">
        <w:t xml:space="preserve">advising the relevant Minister about </w:t>
      </w:r>
      <w:r w:rsidR="00143F59">
        <w:t>dispute resolution under the Oil Code,</w:t>
      </w:r>
      <w:r w:rsidR="009039FE">
        <w:t xml:space="preserve"> </w:t>
      </w:r>
      <w:r>
        <w:lastRenderedPageBreak/>
        <w:t xml:space="preserve">general reporting and monitoring the effectiveness of the ASBFEO’s dispute resolution services </w:t>
      </w:r>
      <w:r w:rsidR="009039FE">
        <w:t xml:space="preserve">to </w:t>
      </w:r>
      <w:r>
        <w:t>ensure that they can be targeted to current issues and trends in the sector.</w:t>
      </w:r>
    </w:p>
    <w:p w14:paraId="420268EE" w14:textId="2978EDF8" w:rsidR="00EB1E66" w:rsidRDefault="000D6F9C" w:rsidP="00B303FB">
      <w:pPr>
        <w:pStyle w:val="Bullet"/>
        <w:numPr>
          <w:ilvl w:val="0"/>
          <w:numId w:val="0"/>
        </w:numPr>
      </w:pPr>
      <w:r>
        <w:t>These</w:t>
      </w:r>
      <w:r w:rsidR="00EB1E66">
        <w:t xml:space="preserve"> amendments implement recommendation </w:t>
      </w:r>
      <w:r w:rsidR="006B2033">
        <w:t xml:space="preserve">3.5.4 </w:t>
      </w:r>
      <w:r w:rsidR="00907784">
        <w:t xml:space="preserve">of the independent review of the Oil Code, as outlined </w:t>
      </w:r>
      <w:r w:rsidR="006B2033">
        <w:t xml:space="preserve">in the report </w:t>
      </w:r>
      <w:r w:rsidR="00B303FB">
        <w:t xml:space="preserve">dated 5 May 2023 prepared for </w:t>
      </w:r>
      <w:r w:rsidR="00E43348">
        <w:t>D</w:t>
      </w:r>
      <w:r w:rsidR="000D6A0F">
        <w:t xml:space="preserve">CCEEW </w:t>
      </w:r>
      <w:r w:rsidR="00B303FB">
        <w:t xml:space="preserve">by Ernst &amp; Young. </w:t>
      </w:r>
      <w:r w:rsidR="003318CA">
        <w:t xml:space="preserve">The recommendation provided for </w:t>
      </w:r>
      <w:r>
        <w:t xml:space="preserve">the </w:t>
      </w:r>
      <w:r w:rsidR="003318CA">
        <w:t xml:space="preserve">ASBFEO to carry out </w:t>
      </w:r>
      <w:r>
        <w:t xml:space="preserve">the </w:t>
      </w:r>
      <w:r w:rsidR="003318CA">
        <w:t>dispute resolution functions of the dispute resolution adviser on a permanent basis</w:t>
      </w:r>
      <w:r w:rsidR="007060F0">
        <w:t>.</w:t>
      </w:r>
    </w:p>
    <w:p w14:paraId="10F1426B" w14:textId="6CDC416E" w:rsidR="00E86488" w:rsidRDefault="00993658" w:rsidP="007D6659">
      <w:pPr>
        <w:spacing w:before="240" w:after="200"/>
      </w:pPr>
      <w:r>
        <w:rPr>
          <w:u w:val="single"/>
        </w:rPr>
        <w:t>Saving</w:t>
      </w:r>
      <w:r w:rsidR="008F5815">
        <w:rPr>
          <w:u w:val="single"/>
        </w:rPr>
        <w:t>s</w:t>
      </w:r>
      <w:r>
        <w:rPr>
          <w:u w:val="single"/>
        </w:rPr>
        <w:t xml:space="preserve"> provision</w:t>
      </w:r>
    </w:p>
    <w:p w14:paraId="6D856BC8" w14:textId="4EF1D8AD" w:rsidR="004755B1" w:rsidRDefault="00226169" w:rsidP="007D6659">
      <w:pPr>
        <w:spacing w:before="240" w:after="200"/>
      </w:pPr>
      <w:r>
        <w:t>Item 2</w:t>
      </w:r>
      <w:r w:rsidR="0053328A">
        <w:t>8</w:t>
      </w:r>
      <w:r w:rsidR="007D6659">
        <w:t xml:space="preserve"> insert</w:t>
      </w:r>
      <w:r>
        <w:t>s</w:t>
      </w:r>
      <w:r w:rsidR="007D6659">
        <w:t xml:space="preserve"> a new Division 2 in Part </w:t>
      </w:r>
      <w:r w:rsidR="00064B43">
        <w:t>5</w:t>
      </w:r>
      <w:r w:rsidR="00CC1851">
        <w:t xml:space="preserve"> of Schedule 1 to the Oil Code. The Division is</w:t>
      </w:r>
      <w:r w:rsidR="00064B43">
        <w:t xml:space="preserve"> intended to preserve the appointment of the dispute resolution adviser for </w:t>
      </w:r>
      <w:r w:rsidR="00456DDB">
        <w:t xml:space="preserve">pending </w:t>
      </w:r>
      <w:r w:rsidR="000B2997">
        <w:t>dispute resolution procedures</w:t>
      </w:r>
      <w:r w:rsidR="00456DDB">
        <w:t>.</w:t>
      </w:r>
      <w:r w:rsidR="00403B48">
        <w:t xml:space="preserve"> </w:t>
      </w:r>
      <w:r w:rsidR="00C4723C">
        <w:t xml:space="preserve">That is, the </w:t>
      </w:r>
      <w:r w:rsidR="00346CBA">
        <w:t xml:space="preserve">person </w:t>
      </w:r>
      <w:r w:rsidR="004A3F29">
        <w:t xml:space="preserve">appointed </w:t>
      </w:r>
      <w:r w:rsidR="00624D92">
        <w:t xml:space="preserve">as dispute resolution adviser </w:t>
      </w:r>
      <w:r w:rsidR="004A3F29">
        <w:t>under clause 41</w:t>
      </w:r>
      <w:r w:rsidR="00624D92">
        <w:t xml:space="preserve"> of Schedule 1 </w:t>
      </w:r>
      <w:r w:rsidR="009855EF">
        <w:t>immediately before</w:t>
      </w:r>
      <w:r w:rsidR="009E0088">
        <w:t xml:space="preserve"> the commence</w:t>
      </w:r>
      <w:r w:rsidR="001A0700">
        <w:t xml:space="preserve">ment of the </w:t>
      </w:r>
      <w:r w:rsidR="00293143">
        <w:t xml:space="preserve">Regulations </w:t>
      </w:r>
      <w:r w:rsidR="001B2FC5">
        <w:t xml:space="preserve">will maintain their functions </w:t>
      </w:r>
      <w:r w:rsidR="007B4908">
        <w:t xml:space="preserve">in relation to an ongoing dispute </w:t>
      </w:r>
      <w:r w:rsidR="00685143">
        <w:t xml:space="preserve">until </w:t>
      </w:r>
      <w:r w:rsidR="007B4908">
        <w:t>that</w:t>
      </w:r>
      <w:r w:rsidR="00685143">
        <w:t xml:space="preserve"> dispute </w:t>
      </w:r>
      <w:r w:rsidR="00E95C0F">
        <w:t>is finalised</w:t>
      </w:r>
      <w:r w:rsidR="00606746">
        <w:t xml:space="preserve">. </w:t>
      </w:r>
      <w:r w:rsidR="00E95C0F">
        <w:t xml:space="preserve">The Division </w:t>
      </w:r>
      <w:r w:rsidR="00403B48">
        <w:t>recognise</w:t>
      </w:r>
      <w:r w:rsidR="00237A9B">
        <w:t xml:space="preserve">s </w:t>
      </w:r>
      <w:r w:rsidR="00403B48">
        <w:t xml:space="preserve">when the dispute resolution adviser’s role is triggered in relation to a dispute and </w:t>
      </w:r>
      <w:r w:rsidR="00237A9B">
        <w:t xml:space="preserve">reflects that </w:t>
      </w:r>
      <w:r w:rsidR="00E02CF9">
        <w:t xml:space="preserve">it should continue until </w:t>
      </w:r>
      <w:r w:rsidR="005B23D9">
        <w:t>an ongoing</w:t>
      </w:r>
      <w:r w:rsidR="00E02CF9">
        <w:t xml:space="preserve"> dispute has been resolved</w:t>
      </w:r>
      <w:r w:rsidR="005421BA">
        <w:t xml:space="preserve"> to ensure consistency for all parties involved. </w:t>
      </w:r>
    </w:p>
    <w:p w14:paraId="187256E4" w14:textId="77777777" w:rsidR="00340269" w:rsidRDefault="008017C4" w:rsidP="00340269">
      <w:r>
        <w:t xml:space="preserve">Clause 49 </w:t>
      </w:r>
      <w:r w:rsidR="00340269">
        <w:t>sets out definitions for the purposes of Division 2 of Part 5. The definitions are:</w:t>
      </w:r>
    </w:p>
    <w:p w14:paraId="757C29CA" w14:textId="77777777" w:rsidR="00340269" w:rsidRDefault="00340269" w:rsidP="00340269">
      <w:pPr>
        <w:pStyle w:val="Bullet"/>
      </w:pPr>
      <w:r>
        <w:t>‘</w:t>
      </w:r>
      <w:proofErr w:type="gramStart"/>
      <w:r>
        <w:t>amending</w:t>
      </w:r>
      <w:proofErr w:type="gramEnd"/>
      <w:r>
        <w:t xml:space="preserve"> regulations’ means the Regulations;</w:t>
      </w:r>
    </w:p>
    <w:p w14:paraId="375C16BB" w14:textId="77777777" w:rsidR="00340269" w:rsidRDefault="00340269" w:rsidP="00340269">
      <w:pPr>
        <w:pStyle w:val="Bullet"/>
      </w:pPr>
      <w:r>
        <w:t>‘</w:t>
      </w:r>
      <w:proofErr w:type="gramStart"/>
      <w:r>
        <w:t>commencement</w:t>
      </w:r>
      <w:proofErr w:type="gramEnd"/>
      <w:r>
        <w:t xml:space="preserve"> day’ means the day the Regulations commence;</w:t>
      </w:r>
    </w:p>
    <w:p w14:paraId="18F0C592" w14:textId="63F8AC4F" w:rsidR="00340269" w:rsidRDefault="00340269" w:rsidP="00F00F6A">
      <w:pPr>
        <w:pStyle w:val="Bullet"/>
      </w:pPr>
      <w:r>
        <w:t>‘</w:t>
      </w:r>
      <w:proofErr w:type="gramStart"/>
      <w:r>
        <w:t>old</w:t>
      </w:r>
      <w:proofErr w:type="gramEnd"/>
      <w:r>
        <w:t xml:space="preserve"> code’ means the Oil Code</w:t>
      </w:r>
      <w:r w:rsidRPr="00E35DE2">
        <w:rPr>
          <w:i/>
          <w:iCs/>
        </w:rPr>
        <w:t xml:space="preserve"> </w:t>
      </w:r>
      <w:r w:rsidRPr="00E35DE2">
        <w:t xml:space="preserve">as in force immediately before the commencement of the </w:t>
      </w:r>
      <w:r>
        <w:t>Regulations.</w:t>
      </w:r>
    </w:p>
    <w:p w14:paraId="79F8B859" w14:textId="5E5891BA" w:rsidR="00421C8E" w:rsidRDefault="008017C4" w:rsidP="00F00F6A">
      <w:pPr>
        <w:spacing w:before="240" w:after="0"/>
      </w:pPr>
      <w:r>
        <w:t xml:space="preserve">Clause 49 </w:t>
      </w:r>
      <w:r w:rsidR="002B0BC0">
        <w:t xml:space="preserve">provides that the old code continues to apply on and after the commencement day of the Regulations </w:t>
      </w:r>
      <w:r w:rsidR="006A43AE">
        <w:t>where</w:t>
      </w:r>
      <w:r w:rsidR="00D6197D">
        <w:t xml:space="preserve">, </w:t>
      </w:r>
      <w:r w:rsidR="005F0667">
        <w:t>before</w:t>
      </w:r>
      <w:r w:rsidR="00E566D8">
        <w:t xml:space="preserve"> </w:t>
      </w:r>
      <w:r w:rsidR="00384964">
        <w:t>that day</w:t>
      </w:r>
      <w:r w:rsidR="00004059">
        <w:t>:</w:t>
      </w:r>
      <w:r w:rsidR="006A43AE">
        <w:t xml:space="preserve"> </w:t>
      </w:r>
    </w:p>
    <w:p w14:paraId="5ADDEDF2" w14:textId="69BFCDC1" w:rsidR="001C75E5" w:rsidRDefault="00574965" w:rsidP="00421C8E">
      <w:pPr>
        <w:pStyle w:val="Bullet"/>
      </w:pPr>
      <w:r>
        <w:t>a</w:t>
      </w:r>
      <w:r w:rsidR="00004059">
        <w:t xml:space="preserve"> party to a dispute </w:t>
      </w:r>
      <w:r w:rsidR="003D622D">
        <w:t xml:space="preserve">asked the dispute </w:t>
      </w:r>
      <w:r w:rsidR="00E566D8">
        <w:t>resolution</w:t>
      </w:r>
      <w:r w:rsidR="003D622D">
        <w:t xml:space="preserve"> adviser to attempt to resolve </w:t>
      </w:r>
      <w:r w:rsidR="006F07D1">
        <w:t>a dispute about supply of a declared petroleum product</w:t>
      </w:r>
      <w:r w:rsidR="00C44161">
        <w:t xml:space="preserve"> under clause 43</w:t>
      </w:r>
      <w:r w:rsidR="00E2141D">
        <w:t xml:space="preserve"> of the old code</w:t>
      </w:r>
      <w:r w:rsidR="001C75E5">
        <w:t>; or</w:t>
      </w:r>
    </w:p>
    <w:p w14:paraId="734496E1" w14:textId="4F7D84B1" w:rsidR="004C35E6" w:rsidRDefault="00574965" w:rsidP="004C35E6">
      <w:pPr>
        <w:pStyle w:val="Bullet"/>
      </w:pPr>
      <w:r>
        <w:t>a</w:t>
      </w:r>
      <w:r w:rsidR="00004059">
        <w:t xml:space="preserve"> part</w:t>
      </w:r>
      <w:r w:rsidR="00D50341">
        <w:t xml:space="preserve">y to a dispute </w:t>
      </w:r>
      <w:r w:rsidR="003D622D">
        <w:t xml:space="preserve">notified the dispute resolution adviser </w:t>
      </w:r>
      <w:r w:rsidR="002B1FC1">
        <w:t>under clause 44</w:t>
      </w:r>
      <w:r w:rsidR="003D622D">
        <w:t xml:space="preserve"> </w:t>
      </w:r>
      <w:r w:rsidR="00E2141D">
        <w:t xml:space="preserve">of the old code </w:t>
      </w:r>
      <w:r w:rsidR="003D622D">
        <w:t>that the parties could not agree</w:t>
      </w:r>
      <w:r w:rsidR="00F01EC0">
        <w:t xml:space="preserve"> to refer </w:t>
      </w:r>
      <w:r>
        <w:t>the matter</w:t>
      </w:r>
      <w:r w:rsidR="00F01EC0">
        <w:t xml:space="preserve"> to mediation or other assistance</w:t>
      </w:r>
      <w:r>
        <w:t xml:space="preserve">; </w:t>
      </w:r>
      <w:r w:rsidR="00C73B7B">
        <w:t>and</w:t>
      </w:r>
    </w:p>
    <w:p w14:paraId="4BFBF0FB" w14:textId="1D58489A" w:rsidR="00574965" w:rsidRDefault="00574965" w:rsidP="004C35E6">
      <w:pPr>
        <w:pStyle w:val="Bullet"/>
      </w:pPr>
      <w:r>
        <w:t xml:space="preserve">a dispute resolution procedure under Part 4 of </w:t>
      </w:r>
      <w:r w:rsidR="00A95427">
        <w:t>the old code</w:t>
      </w:r>
      <w:r w:rsidRPr="00574965">
        <w:t xml:space="preserve"> </w:t>
      </w:r>
      <w:r>
        <w:t>was ongoing in relation to the dispute.</w:t>
      </w:r>
    </w:p>
    <w:p w14:paraId="221254C7" w14:textId="5EC7CD47" w:rsidR="004755B1" w:rsidRDefault="004755B1" w:rsidP="00E87BD7">
      <w:pPr>
        <w:pStyle w:val="Bullet"/>
        <w:numPr>
          <w:ilvl w:val="0"/>
          <w:numId w:val="0"/>
        </w:numPr>
      </w:pPr>
    </w:p>
    <w:p w14:paraId="74A9ED89" w14:textId="62924FF5" w:rsidR="00EA4DD8" w:rsidRPr="00BE6FEF" w:rsidRDefault="00EA4DD8" w:rsidP="00466DD5">
      <w:pPr>
        <w:spacing w:before="240" w:after="200"/>
      </w:pPr>
      <w:r w:rsidRPr="00844849">
        <w:rPr>
          <w:color w:val="FF0000"/>
        </w:rPr>
        <w:br w:type="page"/>
      </w:r>
    </w:p>
    <w:p w14:paraId="58DAD3B5" w14:textId="16FA0A92" w:rsidR="00757B95" w:rsidRPr="00633B3C" w:rsidRDefault="007A55A7" w:rsidP="00633B3C">
      <w:pPr>
        <w:pageBreakBefore/>
        <w:spacing w:before="240"/>
        <w:jc w:val="right"/>
        <w:rPr>
          <w:b/>
          <w:u w:val="single"/>
        </w:rPr>
      </w:pPr>
      <w:r w:rsidRPr="003C5719">
        <w:rPr>
          <w:b/>
          <w:u w:val="single"/>
        </w:rPr>
        <w:lastRenderedPageBreak/>
        <w:t xml:space="preserve">ATTACHMENT </w:t>
      </w:r>
      <w:r w:rsidR="00112B45">
        <w:rPr>
          <w:b/>
          <w:u w:val="single"/>
        </w:rPr>
        <w:t>B</w:t>
      </w:r>
    </w:p>
    <w:p w14:paraId="5DF8BDD0" w14:textId="77777777" w:rsidR="00E4438C" w:rsidRPr="003C5719" w:rsidRDefault="00E4438C" w:rsidP="00883863">
      <w:pPr>
        <w:pStyle w:val="Heading3"/>
        <w:jc w:val="center"/>
      </w:pPr>
      <w:r w:rsidRPr="003C5719">
        <w:t>Statement of Compatibility with Human Rights</w:t>
      </w:r>
    </w:p>
    <w:p w14:paraId="2A96C675"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75482D93" w14:textId="6AE95A8B" w:rsidR="00E4438C" w:rsidRPr="00FF7A93" w:rsidRDefault="004E52E6" w:rsidP="004A27A8">
      <w:pPr>
        <w:pStyle w:val="Heading3"/>
        <w:jc w:val="center"/>
        <w:rPr>
          <w:i/>
          <w:iCs/>
        </w:rPr>
      </w:pPr>
      <w:r w:rsidRPr="00C151BA">
        <w:rPr>
          <w:i/>
        </w:rPr>
        <w:t>Competition and Consumer Legislation Amendment (Horticulture and Oil Industry Codes) Regulations 2025</w:t>
      </w:r>
    </w:p>
    <w:p w14:paraId="6D094DA5"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18F4ACDA" w14:textId="77777777" w:rsidR="00E4438C" w:rsidRPr="003C5719" w:rsidRDefault="00E4438C" w:rsidP="004A27A8">
      <w:pPr>
        <w:pStyle w:val="Heading3"/>
      </w:pPr>
      <w:r w:rsidRPr="003C5719">
        <w:t>Overview of the Legislative Instrument</w:t>
      </w:r>
    </w:p>
    <w:p w14:paraId="390EE24F" w14:textId="39A7CCFA" w:rsidR="004054B8" w:rsidRDefault="002147D5" w:rsidP="002147D5">
      <w:pPr>
        <w:spacing w:before="240"/>
      </w:pPr>
      <w:r w:rsidRPr="003C5719">
        <w:t xml:space="preserve">The </w:t>
      </w:r>
      <w:r w:rsidRPr="00C42BA7">
        <w:rPr>
          <w:i/>
        </w:rPr>
        <w:t xml:space="preserve">Competition and Consumer </w:t>
      </w:r>
      <w:r w:rsidR="005A0D34">
        <w:rPr>
          <w:i/>
        </w:rPr>
        <w:t xml:space="preserve">Legislation </w:t>
      </w:r>
      <w:r w:rsidRPr="00C42BA7">
        <w:rPr>
          <w:i/>
        </w:rPr>
        <w:t xml:space="preserve">Amendment (Horticulture and Oil Industry Codes) Regulations 2025 </w:t>
      </w:r>
      <w:r>
        <w:rPr>
          <w:iCs/>
        </w:rPr>
        <w:t>(the Regulations)</w:t>
      </w:r>
      <w:r w:rsidR="004054B8">
        <w:rPr>
          <w:iCs/>
        </w:rPr>
        <w:t xml:space="preserve"> amend</w:t>
      </w:r>
      <w:r w:rsidR="00687331">
        <w:rPr>
          <w:iCs/>
        </w:rPr>
        <w:t xml:space="preserve">s </w:t>
      </w:r>
      <w:r w:rsidR="004054B8">
        <w:t>the industry codes set out in</w:t>
      </w:r>
      <w:r>
        <w:t xml:space="preserve"> </w:t>
      </w:r>
      <w:r>
        <w:rPr>
          <w:i/>
          <w:iCs/>
        </w:rPr>
        <w:t>Competition and Consumer (Industry Codes—Horticulture) Regulations 2017</w:t>
      </w:r>
      <w:r>
        <w:t xml:space="preserve"> (Horticulture Code) and the </w:t>
      </w:r>
      <w:r>
        <w:rPr>
          <w:i/>
          <w:iCs/>
        </w:rPr>
        <w:t>Competition and Consumer (Industry Codes—Oil) Regulations 2017</w:t>
      </w:r>
      <w:r>
        <w:t xml:space="preserve"> (Oil Code)</w:t>
      </w:r>
      <w:r w:rsidR="004054B8">
        <w:t>.</w:t>
      </w:r>
    </w:p>
    <w:p w14:paraId="31A1B4F5" w14:textId="2B0D4864" w:rsidR="00B91CCA" w:rsidRDefault="00B91CCA" w:rsidP="002147D5">
      <w:pPr>
        <w:spacing w:before="240"/>
      </w:pPr>
      <w:r>
        <w:t xml:space="preserve">The Regulations confer the functions </w:t>
      </w:r>
      <w:r w:rsidR="00C07960">
        <w:t>of</w:t>
      </w:r>
      <w:r>
        <w:t xml:space="preserve"> the mediation adviser in the Horticulture Code and the dispute resolution adviser in the Oil Code on the </w:t>
      </w:r>
      <w:r w:rsidR="00E90FEB">
        <w:t>Australian Small Business and Family Enterprise Ombudsman (ASBFEO)</w:t>
      </w:r>
      <w:r>
        <w:t xml:space="preserve">. </w:t>
      </w:r>
    </w:p>
    <w:p w14:paraId="23A7EE40" w14:textId="4431BFF8" w:rsidR="00AF43A8" w:rsidRDefault="00AF43A8" w:rsidP="00AF43A8">
      <w:pPr>
        <w:spacing w:before="240"/>
      </w:pPr>
      <w:r>
        <w:t>The Regulations are intended to reduce the administrative burden for the Government and small businesses by streamlining and harmonising the operation of dispute resolution procedures across industry codes</w:t>
      </w:r>
      <w:r w:rsidRPr="00580848">
        <w:t xml:space="preserve"> </w:t>
      </w:r>
      <w:r>
        <w:t>by consolidating the role of the ASBFEO in resolving disputes.</w:t>
      </w:r>
      <w:r w:rsidRPr="00AD172D">
        <w:t xml:space="preserve"> </w:t>
      </w:r>
      <w:r>
        <w:t xml:space="preserve">Similar amendments have previously been made to the industry codes regulating the </w:t>
      </w:r>
      <w:r w:rsidR="00586972">
        <w:t>dairy</w:t>
      </w:r>
      <w:r>
        <w:t xml:space="preserve"> and franchising industries.</w:t>
      </w:r>
    </w:p>
    <w:p w14:paraId="7C6BDF85" w14:textId="2700104F" w:rsidR="00AF43A8" w:rsidRDefault="00AF43A8" w:rsidP="00AF43A8">
      <w:pPr>
        <w:spacing w:before="240"/>
      </w:pPr>
      <w:r>
        <w:t xml:space="preserve">The Regulations form part of wider Government reform to strengthen access to justice for small businesses </w:t>
      </w:r>
      <w:proofErr w:type="gramStart"/>
      <w:r>
        <w:t>and</w:t>
      </w:r>
      <w:r w:rsidR="007C3E25">
        <w:t xml:space="preserve"> also</w:t>
      </w:r>
      <w:proofErr w:type="gramEnd"/>
      <w:r w:rsidRPr="00912905">
        <w:t xml:space="preserve"> give effect to a recommendation of an independent review </w:t>
      </w:r>
      <w:r>
        <w:t>of the Oil Code.</w:t>
      </w:r>
    </w:p>
    <w:p w14:paraId="3BA4BC55" w14:textId="77777777" w:rsidR="00EB2BED" w:rsidRDefault="00E4438C" w:rsidP="004A27A8">
      <w:pPr>
        <w:pStyle w:val="Heading3"/>
      </w:pPr>
      <w:r w:rsidRPr="003C5719">
        <w:t>Human rights implications</w:t>
      </w:r>
      <w:r w:rsidR="006B520A">
        <w:t xml:space="preserve"> </w:t>
      </w:r>
    </w:p>
    <w:p w14:paraId="27F9D1B3" w14:textId="530D598C" w:rsidR="009D547D" w:rsidRDefault="00EE5E33" w:rsidP="00A707FD">
      <w:pPr>
        <w:spacing w:before="240"/>
      </w:pPr>
      <w:r>
        <w:t>The Regulations may engage the following rights:</w:t>
      </w:r>
    </w:p>
    <w:p w14:paraId="566DFBF0" w14:textId="77777777" w:rsidR="00C83BF0" w:rsidRDefault="00C83BF0" w:rsidP="00C83BF0">
      <w:pPr>
        <w:pStyle w:val="Bullet"/>
      </w:pPr>
      <w:r>
        <w:t>Right to an effective remedy in article 2(3) of the </w:t>
      </w:r>
      <w:r>
        <w:rPr>
          <w:i/>
          <w:iCs/>
        </w:rPr>
        <w:t>International Covenant on Civil and Political Rights</w:t>
      </w:r>
      <w:r>
        <w:t> (ICCPR)</w:t>
      </w:r>
    </w:p>
    <w:p w14:paraId="234EE8D9" w14:textId="648EEF38" w:rsidR="00EE5E33" w:rsidRDefault="00C83BF0" w:rsidP="00384964">
      <w:pPr>
        <w:pStyle w:val="Bullet"/>
      </w:pPr>
      <w:r>
        <w:t>Right to privacy and reputation in article 17 of the ICCPR.</w:t>
      </w:r>
    </w:p>
    <w:p w14:paraId="6DCE9BC1" w14:textId="7B7DE449" w:rsidR="00C83BF0" w:rsidRPr="00384964" w:rsidRDefault="00C83BF0" w:rsidP="00A707FD">
      <w:pPr>
        <w:spacing w:before="240"/>
        <w:rPr>
          <w:i/>
          <w:u w:val="single"/>
        </w:rPr>
      </w:pPr>
      <w:r w:rsidRPr="00384964">
        <w:rPr>
          <w:i/>
          <w:u w:val="single"/>
        </w:rPr>
        <w:t>Right to an effective remedy</w:t>
      </w:r>
    </w:p>
    <w:p w14:paraId="2D8B3B14" w14:textId="77777777" w:rsidR="00952D93" w:rsidRDefault="00952D93" w:rsidP="00952D93">
      <w:pPr>
        <w:pStyle w:val="NormalWeb"/>
        <w:spacing w:before="0" w:beforeAutospacing="0" w:after="0" w:afterAutospacing="0"/>
        <w:rPr>
          <w:rFonts w:ascii="Cambria" w:hAnsi="Cambria"/>
          <w:color w:val="000000"/>
        </w:rPr>
      </w:pPr>
      <w:r>
        <w:rPr>
          <w:color w:val="000000"/>
        </w:rPr>
        <w:t>Article 2(3) of the ICCPR protects the right to an effective remedy for any violation of rights or freedoms recognised by the ICCPR, including the right to have such a remedy determined by competent judicial, administrative, or legislative authorities or by any other competent authority provided for by the legal system of the State.</w:t>
      </w:r>
      <w:r>
        <w:rPr>
          <w:rFonts w:ascii="Cambria" w:hAnsi="Cambria"/>
          <w:color w:val="000000"/>
        </w:rPr>
        <w:br/>
      </w:r>
      <w:r>
        <w:rPr>
          <w:color w:val="000000"/>
        </w:rPr>
        <w:t> </w:t>
      </w:r>
    </w:p>
    <w:p w14:paraId="516646D5" w14:textId="79D2052B" w:rsidR="00952D93" w:rsidRDefault="004A2EB7" w:rsidP="00952D93">
      <w:pPr>
        <w:pStyle w:val="NormalWeb"/>
        <w:spacing w:before="0" w:beforeAutospacing="0" w:after="0" w:afterAutospacing="0"/>
        <w:rPr>
          <w:rFonts w:ascii="Cambria" w:hAnsi="Cambria"/>
          <w:color w:val="000000"/>
        </w:rPr>
      </w:pPr>
      <w:r>
        <w:rPr>
          <w:color w:val="000000"/>
        </w:rPr>
        <w:lastRenderedPageBreak/>
        <w:t>The Regulations</w:t>
      </w:r>
      <w:r w:rsidR="00952D93">
        <w:rPr>
          <w:color w:val="000000"/>
        </w:rPr>
        <w:t xml:space="preserve"> promote procedural efficiency in the handling of </w:t>
      </w:r>
      <w:r w:rsidR="00034158">
        <w:rPr>
          <w:color w:val="000000"/>
        </w:rPr>
        <w:t>dispute resolution</w:t>
      </w:r>
      <w:r w:rsidR="00952D93">
        <w:rPr>
          <w:color w:val="000000"/>
        </w:rPr>
        <w:t xml:space="preserve"> processes by </w:t>
      </w:r>
      <w:r w:rsidR="009D2128">
        <w:rPr>
          <w:color w:val="000000"/>
        </w:rPr>
        <w:t xml:space="preserve">conferring </w:t>
      </w:r>
      <w:r w:rsidR="005E2C92">
        <w:rPr>
          <w:color w:val="000000"/>
        </w:rPr>
        <w:t>the functions of the mediation adviser</w:t>
      </w:r>
      <w:r w:rsidR="00A368C5">
        <w:rPr>
          <w:color w:val="000000"/>
        </w:rPr>
        <w:t xml:space="preserve"> </w:t>
      </w:r>
      <w:r w:rsidR="00AA4CF8">
        <w:rPr>
          <w:color w:val="000000"/>
        </w:rPr>
        <w:t>in the Horticulture Code and the</w:t>
      </w:r>
      <w:r w:rsidR="00BE7044">
        <w:rPr>
          <w:color w:val="000000"/>
        </w:rPr>
        <w:t xml:space="preserve"> dispute resolution adviser in the</w:t>
      </w:r>
      <w:r w:rsidR="00AA4CF8">
        <w:rPr>
          <w:color w:val="000000"/>
        </w:rPr>
        <w:t xml:space="preserve"> Oil Code</w:t>
      </w:r>
      <w:r w:rsidR="00A368C5">
        <w:rPr>
          <w:color w:val="000000"/>
        </w:rPr>
        <w:t xml:space="preserve"> </w:t>
      </w:r>
      <w:r w:rsidR="00952D93">
        <w:rPr>
          <w:color w:val="000000"/>
        </w:rPr>
        <w:t xml:space="preserve">within the ASBFEO. </w:t>
      </w:r>
      <w:r w:rsidR="0032172F">
        <w:rPr>
          <w:color w:val="000000"/>
        </w:rPr>
        <w:t>The Regulations</w:t>
      </w:r>
      <w:r w:rsidR="00952D93">
        <w:rPr>
          <w:color w:val="000000"/>
        </w:rPr>
        <w:t xml:space="preserve"> facilitates the crystallisation of the ASBEFO’s role at the point of requests for mediation or </w:t>
      </w:r>
      <w:r w:rsidR="0032172F">
        <w:rPr>
          <w:color w:val="000000"/>
        </w:rPr>
        <w:t xml:space="preserve">dispute resolution </w:t>
      </w:r>
      <w:r w:rsidR="00952D93">
        <w:rPr>
          <w:color w:val="000000"/>
        </w:rPr>
        <w:t xml:space="preserve">and thereby ensures greater efficiency in the appointment of mediators and </w:t>
      </w:r>
      <w:r w:rsidR="006F6031">
        <w:rPr>
          <w:color w:val="000000"/>
        </w:rPr>
        <w:t>horticulture produce assessors</w:t>
      </w:r>
      <w:r w:rsidR="00952D93">
        <w:rPr>
          <w:color w:val="000000"/>
        </w:rPr>
        <w:t xml:space="preserve"> within the ASBFEO’s office.</w:t>
      </w:r>
      <w:r w:rsidR="00952D93">
        <w:rPr>
          <w:rFonts w:ascii="Cambria" w:hAnsi="Cambria"/>
          <w:color w:val="000000"/>
        </w:rPr>
        <w:br/>
      </w:r>
      <w:r w:rsidR="00952D93">
        <w:rPr>
          <w:color w:val="000000"/>
        </w:rPr>
        <w:t> </w:t>
      </w:r>
    </w:p>
    <w:p w14:paraId="42D710EF" w14:textId="6C1AEB3B" w:rsidR="00952D93" w:rsidRDefault="00B42A6C" w:rsidP="00952D93">
      <w:pPr>
        <w:pStyle w:val="NormalWeb"/>
        <w:spacing w:before="0" w:beforeAutospacing="0" w:after="0" w:afterAutospacing="0"/>
        <w:rPr>
          <w:rFonts w:ascii="Cambria" w:hAnsi="Cambria"/>
          <w:color w:val="000000"/>
        </w:rPr>
      </w:pPr>
      <w:r>
        <w:rPr>
          <w:color w:val="000000"/>
        </w:rPr>
        <w:t>The Regulations</w:t>
      </w:r>
      <w:r w:rsidR="00952D93">
        <w:rPr>
          <w:color w:val="000000"/>
        </w:rPr>
        <w:t xml:space="preserve"> engage and promote the right to an effective remedy because they serve to streamline the dispute resolution pathway, provide greater procedural certainty as well as consistency, and alignment, in procedures across industry codes.</w:t>
      </w:r>
      <w:r w:rsidR="00FB5B61">
        <w:rPr>
          <w:rFonts w:ascii="Cambria" w:hAnsi="Cambria"/>
          <w:color w:val="000000"/>
        </w:rPr>
        <w:t xml:space="preserve"> </w:t>
      </w:r>
      <w:r w:rsidR="00952D93">
        <w:rPr>
          <w:color w:val="000000"/>
        </w:rPr>
        <w:t>Notably, the procedural changes do not alter the rights of parties to a dispute, including the right to commence court proceedings to have a dispute resolved</w:t>
      </w:r>
      <w:r w:rsidR="00F8356B">
        <w:rPr>
          <w:color w:val="000000"/>
        </w:rPr>
        <w:t>.</w:t>
      </w:r>
    </w:p>
    <w:p w14:paraId="5C40DC0C" w14:textId="24280EC9" w:rsidR="00C83BF0" w:rsidRPr="00384964" w:rsidRDefault="00F27488" w:rsidP="00A707FD">
      <w:pPr>
        <w:spacing w:before="240"/>
        <w:rPr>
          <w:i/>
          <w:u w:val="single"/>
        </w:rPr>
      </w:pPr>
      <w:r w:rsidRPr="00384964">
        <w:rPr>
          <w:i/>
          <w:u w:val="single"/>
        </w:rPr>
        <w:t>Right to privacy and reputation</w:t>
      </w:r>
    </w:p>
    <w:p w14:paraId="6B6248F8" w14:textId="3FD6AE8B" w:rsidR="00F1276D" w:rsidRDefault="00F1276D" w:rsidP="00A707FD">
      <w:pPr>
        <w:spacing w:before="240"/>
      </w:pPr>
      <w:r>
        <w:rPr>
          <w:color w:val="000000"/>
        </w:rPr>
        <w:t xml:space="preserve">Article 17 of </w:t>
      </w:r>
      <w:r w:rsidR="004544F7" w:rsidRPr="00E86EED">
        <w:t xml:space="preserve">International Covenant on Civil and Political Rights (ICCPR) </w:t>
      </w:r>
      <w:r>
        <w:rPr>
          <w:color w:val="000000"/>
        </w:rPr>
        <w:t>prohibits the arbitrary or unlawful interference with one’s privacy, family, home or correspondence. This includes the respect for informational privacy, including in respect of storing, using, and sharing private information and the right to control dissemination of personal and private information.</w:t>
      </w:r>
      <w:r>
        <w:t xml:space="preserve"> </w:t>
      </w:r>
    </w:p>
    <w:p w14:paraId="6FA8C881" w14:textId="1128E286" w:rsidR="00A707FD" w:rsidRPr="00E86EED" w:rsidRDefault="00A707FD" w:rsidP="00A707FD">
      <w:pPr>
        <w:spacing w:before="240"/>
      </w:pPr>
      <w:r>
        <w:t>Th</w:t>
      </w:r>
      <w:r w:rsidR="00F1276D">
        <w:t xml:space="preserve">e </w:t>
      </w:r>
      <w:r>
        <w:t xml:space="preserve">Regulations engage </w:t>
      </w:r>
      <w:bookmarkStart w:id="4" w:name="_Hlk84624876"/>
      <w:r w:rsidRPr="00E86EED">
        <w:t>the right to</w:t>
      </w:r>
      <w:r w:rsidRPr="00E86EED" w:rsidDel="004544F7">
        <w:t xml:space="preserve"> </w:t>
      </w:r>
      <w:r w:rsidR="004544F7">
        <w:t>privacy</w:t>
      </w:r>
      <w:r w:rsidRPr="00E86EED" w:rsidDel="004544F7">
        <w:t xml:space="preserve"> </w:t>
      </w:r>
      <w:r w:rsidRPr="00E86EED">
        <w:t xml:space="preserve">because </w:t>
      </w:r>
      <w:r>
        <w:t xml:space="preserve">it empowers the ASBFEO to request and receive information, which may include personal information, </w:t>
      </w:r>
      <w:r w:rsidR="001F62A0">
        <w:t xml:space="preserve">such as name, </w:t>
      </w:r>
      <w:r>
        <w:t xml:space="preserve">in relation to disputes under the Horticulture Code </w:t>
      </w:r>
      <w:r w:rsidR="007B44DE">
        <w:t>or</w:t>
      </w:r>
      <w:r>
        <w:t xml:space="preserve"> Oil Code. The Regulations also provide for the ASBFEO to compile a list of persons who </w:t>
      </w:r>
      <w:r w:rsidR="007B44DE">
        <w:t>are to be</w:t>
      </w:r>
      <w:r>
        <w:t xml:space="preserve"> mediators or horticulture produce assessors, which may include personal information about those persons</w:t>
      </w:r>
      <w:r w:rsidR="00B05C7B">
        <w:t>, such as name</w:t>
      </w:r>
      <w:r w:rsidDel="00B05C7B">
        <w:t>.</w:t>
      </w:r>
      <w:r>
        <w:t xml:space="preserve">   </w:t>
      </w:r>
    </w:p>
    <w:p w14:paraId="3920E251" w14:textId="5EE60EAA" w:rsidR="00A707FD" w:rsidRDefault="00A707FD" w:rsidP="00A707FD">
      <w:r w:rsidRPr="00E86EED">
        <w:t xml:space="preserve">The right in Article 17 may be subject to permissible limitations, where these limitations are authorised by law and are not arbitrary. </w:t>
      </w:r>
      <w:r w:rsidR="00A00649" w:rsidRPr="00E86EED">
        <w:t>For</w:t>
      </w:r>
      <w:r w:rsidRPr="00E86EED">
        <w:t xml:space="preserve"> an interference with the right to privacy to be permissible, the interference must be authorised by law, be for a reason consistent with the ICCPR and be reasonable in the </w:t>
      </w:r>
      <w:proofErr w:type="gramStart"/>
      <w:r w:rsidRPr="00E86EED">
        <w:t>particular circumstances</w:t>
      </w:r>
      <w:proofErr w:type="gramEnd"/>
      <w:r w:rsidRPr="00E86EED">
        <w:t xml:space="preserve">. The UN Human Rights Committee has interpreted the requirement of ‘reasonableness’ to imply that any interference with privacy must be proportional to the end sought and be necessary in the circumstances of any given case. </w:t>
      </w:r>
    </w:p>
    <w:p w14:paraId="3D97152B" w14:textId="09D277DD" w:rsidR="00A707FD" w:rsidRDefault="00A707FD" w:rsidP="00A707FD">
      <w:pPr>
        <w:pStyle w:val="Bullet"/>
        <w:numPr>
          <w:ilvl w:val="0"/>
          <w:numId w:val="0"/>
        </w:numPr>
      </w:pPr>
      <w:r>
        <w:t xml:space="preserve">The information </w:t>
      </w:r>
      <w:r w:rsidR="00692D02">
        <w:t>collection and sharing</w:t>
      </w:r>
      <w:r>
        <w:t xml:space="preserve"> functions conferred on the ASBFEO are necessary for the </w:t>
      </w:r>
      <w:r w:rsidR="007B44DE">
        <w:t>efficient and eff</w:t>
      </w:r>
      <w:r>
        <w:t>ective delivery of the ASBFEO’s dispute resolution services under the Horticulture Code and Oil Code.</w:t>
      </w:r>
    </w:p>
    <w:p w14:paraId="6813E0FE" w14:textId="3ACD7DFA" w:rsidR="00A707FD" w:rsidRDefault="00A707FD" w:rsidP="00A707FD">
      <w:r>
        <w:t>Any personal information received by the A</w:t>
      </w:r>
      <w:r w:rsidR="00C6465C">
        <w:t>SB</w:t>
      </w:r>
      <w:r>
        <w:t xml:space="preserve">FEO under the Horticulture Code </w:t>
      </w:r>
      <w:r w:rsidR="007B44DE">
        <w:t>or</w:t>
      </w:r>
      <w:r>
        <w:t xml:space="preserve"> Oil Code will remain subject to the protections under the </w:t>
      </w:r>
      <w:r>
        <w:rPr>
          <w:i/>
          <w:iCs/>
        </w:rPr>
        <w:t>Privacy Act 1988</w:t>
      </w:r>
      <w:r>
        <w:t xml:space="preserve">. </w:t>
      </w:r>
      <w:r w:rsidR="00953073">
        <w:t>For example,</w:t>
      </w:r>
      <w:r>
        <w:t xml:space="preserve"> use and disclosure of this personal information is only permitted to the extent that is necessary and appropriate for the purposes of performing the ASBFEO’s functions. </w:t>
      </w:r>
    </w:p>
    <w:p w14:paraId="5DAB7053" w14:textId="7A8FDA4D" w:rsidR="00A707FD" w:rsidRDefault="00A707FD" w:rsidP="00A707FD">
      <w:r>
        <w:t xml:space="preserve">The amendments </w:t>
      </w:r>
      <w:r w:rsidR="00953073">
        <w:t>are consistent</w:t>
      </w:r>
      <w:r>
        <w:t xml:space="preserve"> with the information collection and sharing functions of the ASBFEO in other industry codes, such as the industry codes in the </w:t>
      </w:r>
      <w:r w:rsidRPr="005000D7">
        <w:rPr>
          <w:i/>
          <w:iCs/>
        </w:rPr>
        <w:t xml:space="preserve">Competition and Consumer (Industry Codes—Dairy) Regulations 2019 </w:t>
      </w:r>
      <w:r>
        <w:t xml:space="preserve">and the </w:t>
      </w:r>
      <w:r w:rsidRPr="00355A71">
        <w:rPr>
          <w:i/>
          <w:iCs/>
        </w:rPr>
        <w:t>Competition and Consumer (Industry Codes—Franchising) Regulations 2024</w:t>
      </w:r>
      <w:r>
        <w:t xml:space="preserve">. </w:t>
      </w:r>
    </w:p>
    <w:bookmarkEnd w:id="4"/>
    <w:p w14:paraId="67AF6D32" w14:textId="77777777" w:rsidR="00EB2BED" w:rsidRDefault="00E4438C" w:rsidP="004A27A8">
      <w:pPr>
        <w:pStyle w:val="Heading3"/>
      </w:pPr>
      <w:r w:rsidRPr="003C5719">
        <w:lastRenderedPageBreak/>
        <w:t>Conclusion</w:t>
      </w:r>
      <w:r w:rsidR="006D60D0">
        <w:t xml:space="preserve"> </w:t>
      </w:r>
    </w:p>
    <w:p w14:paraId="3754726A" w14:textId="23E6D289" w:rsidR="00E37FF7" w:rsidRPr="00C84FA0" w:rsidRDefault="001A6D43" w:rsidP="004A27A8">
      <w:pPr>
        <w:spacing w:before="240"/>
      </w:pPr>
      <w:r>
        <w:t>The Regulations are</w:t>
      </w:r>
      <w:r w:rsidR="00B91ECE">
        <w:t xml:space="preserve"> compatible with human right</w:t>
      </w:r>
      <w:r w:rsidR="004540FC">
        <w:t>s</w:t>
      </w:r>
      <w:r w:rsidR="00CC7945">
        <w:t xml:space="preserve"> because </w:t>
      </w:r>
      <w:r w:rsidR="00CC7945" w:rsidRPr="00CC7945">
        <w:t>to the extent that</w:t>
      </w:r>
      <w:r w:rsidR="00B91ECE">
        <w:t xml:space="preserve"> it </w:t>
      </w:r>
      <w:r w:rsidR="00CC7945" w:rsidRPr="00CC7945">
        <w:t>may limit</w:t>
      </w:r>
      <w:r w:rsidR="00B91ECE">
        <w:t xml:space="preserve"> human rights</w:t>
      </w:r>
      <w:r w:rsidR="00CC7945" w:rsidRPr="00CC7945">
        <w:t>, those limitations are reasonable, necessary and proportionate</w:t>
      </w:r>
      <w:r w:rsidR="00CC7945">
        <w:t>.</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E6B6" w14:textId="77777777" w:rsidR="001912DA" w:rsidRDefault="001912DA" w:rsidP="00954679">
      <w:pPr>
        <w:spacing w:before="0" w:after="0"/>
      </w:pPr>
      <w:r>
        <w:separator/>
      </w:r>
    </w:p>
  </w:endnote>
  <w:endnote w:type="continuationSeparator" w:id="0">
    <w:p w14:paraId="271E68CF" w14:textId="77777777" w:rsidR="001912DA" w:rsidRDefault="001912DA" w:rsidP="00954679">
      <w:pPr>
        <w:spacing w:before="0" w:after="0"/>
      </w:pPr>
      <w:r>
        <w:continuationSeparator/>
      </w:r>
    </w:p>
  </w:endnote>
  <w:endnote w:type="continuationNotice" w:id="1">
    <w:p w14:paraId="3967B9DD" w14:textId="77777777" w:rsidR="001912DA" w:rsidRDefault="001912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3A63BB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23EE" w14:textId="77777777" w:rsidR="001912DA" w:rsidRDefault="001912DA" w:rsidP="00954679">
      <w:pPr>
        <w:spacing w:before="0" w:after="0"/>
      </w:pPr>
      <w:r>
        <w:separator/>
      </w:r>
    </w:p>
  </w:footnote>
  <w:footnote w:type="continuationSeparator" w:id="0">
    <w:p w14:paraId="3FEC2E31" w14:textId="77777777" w:rsidR="001912DA" w:rsidRDefault="001912DA" w:rsidP="00954679">
      <w:pPr>
        <w:spacing w:before="0" w:after="0"/>
      </w:pPr>
      <w:r>
        <w:continuationSeparator/>
      </w:r>
    </w:p>
  </w:footnote>
  <w:footnote w:type="continuationNotice" w:id="1">
    <w:p w14:paraId="533278B6" w14:textId="77777777" w:rsidR="001912DA" w:rsidRDefault="001912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B03A5E"/>
    <w:multiLevelType w:val="multilevel"/>
    <w:tmpl w:val="CC0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43C0B"/>
    <w:multiLevelType w:val="multilevel"/>
    <w:tmpl w:val="F6DCDD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54128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93"/>
    <w:rsid w:val="00000A20"/>
    <w:rsid w:val="000014AD"/>
    <w:rsid w:val="00002051"/>
    <w:rsid w:val="000026BE"/>
    <w:rsid w:val="000028F8"/>
    <w:rsid w:val="00002933"/>
    <w:rsid w:val="00003189"/>
    <w:rsid w:val="00003356"/>
    <w:rsid w:val="00004059"/>
    <w:rsid w:val="000043CC"/>
    <w:rsid w:val="00004ECC"/>
    <w:rsid w:val="00004EDF"/>
    <w:rsid w:val="000054F5"/>
    <w:rsid w:val="00005947"/>
    <w:rsid w:val="00005B51"/>
    <w:rsid w:val="0000608B"/>
    <w:rsid w:val="0000628C"/>
    <w:rsid w:val="000066C2"/>
    <w:rsid w:val="00006B27"/>
    <w:rsid w:val="00006DB1"/>
    <w:rsid w:val="00007C37"/>
    <w:rsid w:val="000107A0"/>
    <w:rsid w:val="00011722"/>
    <w:rsid w:val="0001219B"/>
    <w:rsid w:val="00013390"/>
    <w:rsid w:val="00015AD6"/>
    <w:rsid w:val="00015C42"/>
    <w:rsid w:val="00016310"/>
    <w:rsid w:val="00016908"/>
    <w:rsid w:val="00016D80"/>
    <w:rsid w:val="00016EA2"/>
    <w:rsid w:val="00017C65"/>
    <w:rsid w:val="00017D54"/>
    <w:rsid w:val="00020399"/>
    <w:rsid w:val="000220EE"/>
    <w:rsid w:val="00022406"/>
    <w:rsid w:val="0002276A"/>
    <w:rsid w:val="00024737"/>
    <w:rsid w:val="0002546A"/>
    <w:rsid w:val="00025869"/>
    <w:rsid w:val="000312DE"/>
    <w:rsid w:val="00031580"/>
    <w:rsid w:val="00031AE1"/>
    <w:rsid w:val="00033693"/>
    <w:rsid w:val="00034158"/>
    <w:rsid w:val="00037757"/>
    <w:rsid w:val="00037D95"/>
    <w:rsid w:val="00037E5C"/>
    <w:rsid w:val="000401D6"/>
    <w:rsid w:val="00041677"/>
    <w:rsid w:val="00041C87"/>
    <w:rsid w:val="000433C1"/>
    <w:rsid w:val="000437A7"/>
    <w:rsid w:val="00043DAF"/>
    <w:rsid w:val="0004411F"/>
    <w:rsid w:val="000455BA"/>
    <w:rsid w:val="0004628D"/>
    <w:rsid w:val="00051648"/>
    <w:rsid w:val="000524A9"/>
    <w:rsid w:val="0005316A"/>
    <w:rsid w:val="00053542"/>
    <w:rsid w:val="000543A5"/>
    <w:rsid w:val="000547DB"/>
    <w:rsid w:val="00055D7F"/>
    <w:rsid w:val="00056915"/>
    <w:rsid w:val="00057FBE"/>
    <w:rsid w:val="000605D6"/>
    <w:rsid w:val="00061017"/>
    <w:rsid w:val="00063784"/>
    <w:rsid w:val="00064B43"/>
    <w:rsid w:val="0006790B"/>
    <w:rsid w:val="00067B57"/>
    <w:rsid w:val="00072809"/>
    <w:rsid w:val="000739BE"/>
    <w:rsid w:val="00073C76"/>
    <w:rsid w:val="00074F2F"/>
    <w:rsid w:val="00075A77"/>
    <w:rsid w:val="00075B36"/>
    <w:rsid w:val="00075C83"/>
    <w:rsid w:val="00076178"/>
    <w:rsid w:val="00076E15"/>
    <w:rsid w:val="00076FF9"/>
    <w:rsid w:val="00077741"/>
    <w:rsid w:val="00080673"/>
    <w:rsid w:val="00080DD0"/>
    <w:rsid w:val="00081586"/>
    <w:rsid w:val="000817BC"/>
    <w:rsid w:val="00081A51"/>
    <w:rsid w:val="00081BB6"/>
    <w:rsid w:val="00082EF5"/>
    <w:rsid w:val="00083A64"/>
    <w:rsid w:val="000854E0"/>
    <w:rsid w:val="000858D0"/>
    <w:rsid w:val="0008741E"/>
    <w:rsid w:val="000907C8"/>
    <w:rsid w:val="00090BE3"/>
    <w:rsid w:val="00090D37"/>
    <w:rsid w:val="00092D32"/>
    <w:rsid w:val="00093875"/>
    <w:rsid w:val="00095211"/>
    <w:rsid w:val="00095A3B"/>
    <w:rsid w:val="00096352"/>
    <w:rsid w:val="0009735E"/>
    <w:rsid w:val="00097BE0"/>
    <w:rsid w:val="000A05AE"/>
    <w:rsid w:val="000A49CC"/>
    <w:rsid w:val="000A515C"/>
    <w:rsid w:val="000A58B6"/>
    <w:rsid w:val="000A5A07"/>
    <w:rsid w:val="000A69C5"/>
    <w:rsid w:val="000A767A"/>
    <w:rsid w:val="000A7B59"/>
    <w:rsid w:val="000B2246"/>
    <w:rsid w:val="000B2997"/>
    <w:rsid w:val="000B39A1"/>
    <w:rsid w:val="000B58D8"/>
    <w:rsid w:val="000B5C6B"/>
    <w:rsid w:val="000B634B"/>
    <w:rsid w:val="000B6712"/>
    <w:rsid w:val="000B71B0"/>
    <w:rsid w:val="000B745C"/>
    <w:rsid w:val="000B7F25"/>
    <w:rsid w:val="000C0BEC"/>
    <w:rsid w:val="000C10DF"/>
    <w:rsid w:val="000C2E12"/>
    <w:rsid w:val="000C3ECC"/>
    <w:rsid w:val="000C43B6"/>
    <w:rsid w:val="000C4586"/>
    <w:rsid w:val="000C4A3A"/>
    <w:rsid w:val="000C4B61"/>
    <w:rsid w:val="000C5C40"/>
    <w:rsid w:val="000C6935"/>
    <w:rsid w:val="000C7CA2"/>
    <w:rsid w:val="000C7D0A"/>
    <w:rsid w:val="000D0FFA"/>
    <w:rsid w:val="000D11E5"/>
    <w:rsid w:val="000D1851"/>
    <w:rsid w:val="000D2234"/>
    <w:rsid w:val="000D2549"/>
    <w:rsid w:val="000D5827"/>
    <w:rsid w:val="000D59B4"/>
    <w:rsid w:val="000D6A0F"/>
    <w:rsid w:val="000D6F9C"/>
    <w:rsid w:val="000D7152"/>
    <w:rsid w:val="000D7A72"/>
    <w:rsid w:val="000E15DB"/>
    <w:rsid w:val="000E2C7C"/>
    <w:rsid w:val="000E32E3"/>
    <w:rsid w:val="000E37D9"/>
    <w:rsid w:val="000F13C0"/>
    <w:rsid w:val="000F1A37"/>
    <w:rsid w:val="000F1D09"/>
    <w:rsid w:val="000F1F12"/>
    <w:rsid w:val="000F322C"/>
    <w:rsid w:val="000F3A05"/>
    <w:rsid w:val="000F4540"/>
    <w:rsid w:val="000F53D9"/>
    <w:rsid w:val="000F66E9"/>
    <w:rsid w:val="000F7119"/>
    <w:rsid w:val="001012C2"/>
    <w:rsid w:val="001013C4"/>
    <w:rsid w:val="00101977"/>
    <w:rsid w:val="00101CAD"/>
    <w:rsid w:val="00102C29"/>
    <w:rsid w:val="00102E8C"/>
    <w:rsid w:val="0010360A"/>
    <w:rsid w:val="00104124"/>
    <w:rsid w:val="001047C2"/>
    <w:rsid w:val="001066F4"/>
    <w:rsid w:val="00107853"/>
    <w:rsid w:val="00107B13"/>
    <w:rsid w:val="0011076F"/>
    <w:rsid w:val="001115C2"/>
    <w:rsid w:val="0011165A"/>
    <w:rsid w:val="001120EC"/>
    <w:rsid w:val="00112425"/>
    <w:rsid w:val="001127CF"/>
    <w:rsid w:val="00112B45"/>
    <w:rsid w:val="00112DAA"/>
    <w:rsid w:val="00112E82"/>
    <w:rsid w:val="00113B45"/>
    <w:rsid w:val="00114003"/>
    <w:rsid w:val="0011527C"/>
    <w:rsid w:val="00115547"/>
    <w:rsid w:val="001160DF"/>
    <w:rsid w:val="001171DA"/>
    <w:rsid w:val="0011799D"/>
    <w:rsid w:val="00117C02"/>
    <w:rsid w:val="00121A7A"/>
    <w:rsid w:val="00124DAA"/>
    <w:rsid w:val="00126D53"/>
    <w:rsid w:val="001276B4"/>
    <w:rsid w:val="00130B5C"/>
    <w:rsid w:val="001314EB"/>
    <w:rsid w:val="001319C8"/>
    <w:rsid w:val="00131C73"/>
    <w:rsid w:val="00132063"/>
    <w:rsid w:val="0013249E"/>
    <w:rsid w:val="00132C91"/>
    <w:rsid w:val="00132F3E"/>
    <w:rsid w:val="001331B7"/>
    <w:rsid w:val="00133D7A"/>
    <w:rsid w:val="001360EB"/>
    <w:rsid w:val="00137A77"/>
    <w:rsid w:val="00140F99"/>
    <w:rsid w:val="0014228F"/>
    <w:rsid w:val="00142BCF"/>
    <w:rsid w:val="00142F36"/>
    <w:rsid w:val="00143F59"/>
    <w:rsid w:val="0014608E"/>
    <w:rsid w:val="001466D3"/>
    <w:rsid w:val="00146DFD"/>
    <w:rsid w:val="0014755B"/>
    <w:rsid w:val="00147846"/>
    <w:rsid w:val="00147CE4"/>
    <w:rsid w:val="00151108"/>
    <w:rsid w:val="00151AB2"/>
    <w:rsid w:val="001525A0"/>
    <w:rsid w:val="00153566"/>
    <w:rsid w:val="001550C5"/>
    <w:rsid w:val="0015536F"/>
    <w:rsid w:val="00155787"/>
    <w:rsid w:val="00155BAE"/>
    <w:rsid w:val="001575C3"/>
    <w:rsid w:val="0016459A"/>
    <w:rsid w:val="00165429"/>
    <w:rsid w:val="0017212B"/>
    <w:rsid w:val="00172B5A"/>
    <w:rsid w:val="00173547"/>
    <w:rsid w:val="0017418E"/>
    <w:rsid w:val="00176AD0"/>
    <w:rsid w:val="00176CF7"/>
    <w:rsid w:val="00176E4B"/>
    <w:rsid w:val="00180E8E"/>
    <w:rsid w:val="001818D2"/>
    <w:rsid w:val="001832BF"/>
    <w:rsid w:val="00185EDF"/>
    <w:rsid w:val="001870A8"/>
    <w:rsid w:val="00187857"/>
    <w:rsid w:val="001912DA"/>
    <w:rsid w:val="00191FFC"/>
    <w:rsid w:val="00194101"/>
    <w:rsid w:val="001946AE"/>
    <w:rsid w:val="00195A29"/>
    <w:rsid w:val="001973FF"/>
    <w:rsid w:val="001A0700"/>
    <w:rsid w:val="001A3E14"/>
    <w:rsid w:val="001A4E32"/>
    <w:rsid w:val="001A5D47"/>
    <w:rsid w:val="001A60FE"/>
    <w:rsid w:val="001A618B"/>
    <w:rsid w:val="001A68C9"/>
    <w:rsid w:val="001A6D43"/>
    <w:rsid w:val="001B0313"/>
    <w:rsid w:val="001B0C21"/>
    <w:rsid w:val="001B1471"/>
    <w:rsid w:val="001B1D25"/>
    <w:rsid w:val="001B2FC5"/>
    <w:rsid w:val="001B356F"/>
    <w:rsid w:val="001B4919"/>
    <w:rsid w:val="001B52F7"/>
    <w:rsid w:val="001B54F2"/>
    <w:rsid w:val="001B550D"/>
    <w:rsid w:val="001B5655"/>
    <w:rsid w:val="001B57EC"/>
    <w:rsid w:val="001B7535"/>
    <w:rsid w:val="001B7769"/>
    <w:rsid w:val="001B7EC2"/>
    <w:rsid w:val="001C0477"/>
    <w:rsid w:val="001C158D"/>
    <w:rsid w:val="001C1FE4"/>
    <w:rsid w:val="001C3E88"/>
    <w:rsid w:val="001C75E5"/>
    <w:rsid w:val="001D0F4D"/>
    <w:rsid w:val="001D1CC1"/>
    <w:rsid w:val="001D2FBD"/>
    <w:rsid w:val="001D36A0"/>
    <w:rsid w:val="001D36CA"/>
    <w:rsid w:val="001D5786"/>
    <w:rsid w:val="001E1193"/>
    <w:rsid w:val="001E68F6"/>
    <w:rsid w:val="001E6A74"/>
    <w:rsid w:val="001E7FA1"/>
    <w:rsid w:val="001E7FDB"/>
    <w:rsid w:val="001F0E9D"/>
    <w:rsid w:val="001F1F30"/>
    <w:rsid w:val="001F32EB"/>
    <w:rsid w:val="001F3AD8"/>
    <w:rsid w:val="001F41D0"/>
    <w:rsid w:val="001F462C"/>
    <w:rsid w:val="001F50F9"/>
    <w:rsid w:val="001F59D6"/>
    <w:rsid w:val="001F62A0"/>
    <w:rsid w:val="001F6302"/>
    <w:rsid w:val="00201205"/>
    <w:rsid w:val="002020A9"/>
    <w:rsid w:val="00202568"/>
    <w:rsid w:val="0020275A"/>
    <w:rsid w:val="002027F3"/>
    <w:rsid w:val="00202D52"/>
    <w:rsid w:val="00203445"/>
    <w:rsid w:val="00204C74"/>
    <w:rsid w:val="002064D9"/>
    <w:rsid w:val="00210415"/>
    <w:rsid w:val="00210E21"/>
    <w:rsid w:val="00213370"/>
    <w:rsid w:val="00213932"/>
    <w:rsid w:val="00213A0E"/>
    <w:rsid w:val="002147D5"/>
    <w:rsid w:val="002150E6"/>
    <w:rsid w:val="0021548E"/>
    <w:rsid w:val="00215D39"/>
    <w:rsid w:val="002169FA"/>
    <w:rsid w:val="00217359"/>
    <w:rsid w:val="0021776C"/>
    <w:rsid w:val="00217A3C"/>
    <w:rsid w:val="00220567"/>
    <w:rsid w:val="00220F16"/>
    <w:rsid w:val="00221082"/>
    <w:rsid w:val="00223BDE"/>
    <w:rsid w:val="00224D69"/>
    <w:rsid w:val="00224FDE"/>
    <w:rsid w:val="00225B8F"/>
    <w:rsid w:val="00226169"/>
    <w:rsid w:val="002261A0"/>
    <w:rsid w:val="00226E4B"/>
    <w:rsid w:val="0022799C"/>
    <w:rsid w:val="00227AF0"/>
    <w:rsid w:val="00230AD7"/>
    <w:rsid w:val="00231837"/>
    <w:rsid w:val="00233C13"/>
    <w:rsid w:val="002349A0"/>
    <w:rsid w:val="00234D57"/>
    <w:rsid w:val="00234E34"/>
    <w:rsid w:val="00236FA3"/>
    <w:rsid w:val="00237A9B"/>
    <w:rsid w:val="00240D31"/>
    <w:rsid w:val="0024245F"/>
    <w:rsid w:val="00243D22"/>
    <w:rsid w:val="002451EB"/>
    <w:rsid w:val="00245D2A"/>
    <w:rsid w:val="00246CF1"/>
    <w:rsid w:val="00251669"/>
    <w:rsid w:val="00254121"/>
    <w:rsid w:val="0025452A"/>
    <w:rsid w:val="00254C5B"/>
    <w:rsid w:val="0025574E"/>
    <w:rsid w:val="00256CBB"/>
    <w:rsid w:val="002627FA"/>
    <w:rsid w:val="0026337D"/>
    <w:rsid w:val="00264D1E"/>
    <w:rsid w:val="00266164"/>
    <w:rsid w:val="002706FF"/>
    <w:rsid w:val="0027118E"/>
    <w:rsid w:val="002725F4"/>
    <w:rsid w:val="0027277F"/>
    <w:rsid w:val="0027281D"/>
    <w:rsid w:val="0027368D"/>
    <w:rsid w:val="00273B4D"/>
    <w:rsid w:val="00274105"/>
    <w:rsid w:val="00275329"/>
    <w:rsid w:val="0027712D"/>
    <w:rsid w:val="002771E5"/>
    <w:rsid w:val="002774B7"/>
    <w:rsid w:val="00277840"/>
    <w:rsid w:val="00277F8C"/>
    <w:rsid w:val="0028148A"/>
    <w:rsid w:val="0028243E"/>
    <w:rsid w:val="00283218"/>
    <w:rsid w:val="00284D4C"/>
    <w:rsid w:val="0028611A"/>
    <w:rsid w:val="00287C5A"/>
    <w:rsid w:val="0029078E"/>
    <w:rsid w:val="00290C43"/>
    <w:rsid w:val="00293143"/>
    <w:rsid w:val="0029350A"/>
    <w:rsid w:val="00293839"/>
    <w:rsid w:val="00293D72"/>
    <w:rsid w:val="002941F0"/>
    <w:rsid w:val="0029615F"/>
    <w:rsid w:val="002961EA"/>
    <w:rsid w:val="002970AE"/>
    <w:rsid w:val="0029738F"/>
    <w:rsid w:val="00297A6F"/>
    <w:rsid w:val="002A0282"/>
    <w:rsid w:val="002A0EE4"/>
    <w:rsid w:val="002A1236"/>
    <w:rsid w:val="002A134A"/>
    <w:rsid w:val="002A21E0"/>
    <w:rsid w:val="002A3C80"/>
    <w:rsid w:val="002A6DA4"/>
    <w:rsid w:val="002A7B74"/>
    <w:rsid w:val="002A7E1F"/>
    <w:rsid w:val="002B0BC0"/>
    <w:rsid w:val="002B0C58"/>
    <w:rsid w:val="002B0D32"/>
    <w:rsid w:val="002B1FC1"/>
    <w:rsid w:val="002B2C7A"/>
    <w:rsid w:val="002B380F"/>
    <w:rsid w:val="002B4898"/>
    <w:rsid w:val="002B683F"/>
    <w:rsid w:val="002B6863"/>
    <w:rsid w:val="002C0792"/>
    <w:rsid w:val="002C0A5A"/>
    <w:rsid w:val="002C19AE"/>
    <w:rsid w:val="002C1AC0"/>
    <w:rsid w:val="002C226C"/>
    <w:rsid w:val="002C2982"/>
    <w:rsid w:val="002C3EE2"/>
    <w:rsid w:val="002C7A8B"/>
    <w:rsid w:val="002C7AC3"/>
    <w:rsid w:val="002D11AE"/>
    <w:rsid w:val="002D12D4"/>
    <w:rsid w:val="002D1F4D"/>
    <w:rsid w:val="002D284D"/>
    <w:rsid w:val="002D3373"/>
    <w:rsid w:val="002D4B55"/>
    <w:rsid w:val="002D4DF7"/>
    <w:rsid w:val="002D5BA1"/>
    <w:rsid w:val="002D6D54"/>
    <w:rsid w:val="002D70EF"/>
    <w:rsid w:val="002E038A"/>
    <w:rsid w:val="002E0901"/>
    <w:rsid w:val="002E0A9D"/>
    <w:rsid w:val="002E22CD"/>
    <w:rsid w:val="002E24D4"/>
    <w:rsid w:val="002E3265"/>
    <w:rsid w:val="002E6012"/>
    <w:rsid w:val="002E73BB"/>
    <w:rsid w:val="002E73BD"/>
    <w:rsid w:val="002E77A6"/>
    <w:rsid w:val="002E7909"/>
    <w:rsid w:val="002E7CD1"/>
    <w:rsid w:val="002E7FA4"/>
    <w:rsid w:val="002F022D"/>
    <w:rsid w:val="002F0305"/>
    <w:rsid w:val="002F0BD1"/>
    <w:rsid w:val="002F580E"/>
    <w:rsid w:val="002F61E8"/>
    <w:rsid w:val="002F657B"/>
    <w:rsid w:val="002F6771"/>
    <w:rsid w:val="002F6BB1"/>
    <w:rsid w:val="003037F8"/>
    <w:rsid w:val="003041FA"/>
    <w:rsid w:val="00304C53"/>
    <w:rsid w:val="003058FF"/>
    <w:rsid w:val="00307480"/>
    <w:rsid w:val="00307513"/>
    <w:rsid w:val="0030794E"/>
    <w:rsid w:val="00311C41"/>
    <w:rsid w:val="00312A68"/>
    <w:rsid w:val="00313484"/>
    <w:rsid w:val="00314DA6"/>
    <w:rsid w:val="00315268"/>
    <w:rsid w:val="00316952"/>
    <w:rsid w:val="003173CE"/>
    <w:rsid w:val="00317A1A"/>
    <w:rsid w:val="00317E4B"/>
    <w:rsid w:val="00320DE9"/>
    <w:rsid w:val="00321052"/>
    <w:rsid w:val="0032172F"/>
    <w:rsid w:val="003225AF"/>
    <w:rsid w:val="00323437"/>
    <w:rsid w:val="00323C62"/>
    <w:rsid w:val="00325BAE"/>
    <w:rsid w:val="00326461"/>
    <w:rsid w:val="00327C94"/>
    <w:rsid w:val="003312EE"/>
    <w:rsid w:val="003318CA"/>
    <w:rsid w:val="00333010"/>
    <w:rsid w:val="0033381C"/>
    <w:rsid w:val="00334222"/>
    <w:rsid w:val="003342CD"/>
    <w:rsid w:val="0033477F"/>
    <w:rsid w:val="00334960"/>
    <w:rsid w:val="00335042"/>
    <w:rsid w:val="003350FF"/>
    <w:rsid w:val="00335331"/>
    <w:rsid w:val="00335AC4"/>
    <w:rsid w:val="00335E38"/>
    <w:rsid w:val="00337B83"/>
    <w:rsid w:val="003400BC"/>
    <w:rsid w:val="00340269"/>
    <w:rsid w:val="003410B2"/>
    <w:rsid w:val="00341642"/>
    <w:rsid w:val="00341B75"/>
    <w:rsid w:val="003422FF"/>
    <w:rsid w:val="00345B37"/>
    <w:rsid w:val="00345F09"/>
    <w:rsid w:val="00346CBA"/>
    <w:rsid w:val="0034729C"/>
    <w:rsid w:val="003472D1"/>
    <w:rsid w:val="00347FC9"/>
    <w:rsid w:val="00350115"/>
    <w:rsid w:val="00350C88"/>
    <w:rsid w:val="0035134C"/>
    <w:rsid w:val="00351CC6"/>
    <w:rsid w:val="00352716"/>
    <w:rsid w:val="00353582"/>
    <w:rsid w:val="00353DD0"/>
    <w:rsid w:val="00355872"/>
    <w:rsid w:val="00355A71"/>
    <w:rsid w:val="00355F41"/>
    <w:rsid w:val="0035634D"/>
    <w:rsid w:val="003567E0"/>
    <w:rsid w:val="00357733"/>
    <w:rsid w:val="00357807"/>
    <w:rsid w:val="003578F4"/>
    <w:rsid w:val="00357E3E"/>
    <w:rsid w:val="00360C0A"/>
    <w:rsid w:val="00362925"/>
    <w:rsid w:val="00362B70"/>
    <w:rsid w:val="00364DEE"/>
    <w:rsid w:val="0036528C"/>
    <w:rsid w:val="00365D2B"/>
    <w:rsid w:val="00366400"/>
    <w:rsid w:val="0036678A"/>
    <w:rsid w:val="00366B67"/>
    <w:rsid w:val="00370338"/>
    <w:rsid w:val="00370395"/>
    <w:rsid w:val="00370BA5"/>
    <w:rsid w:val="0037180D"/>
    <w:rsid w:val="00372598"/>
    <w:rsid w:val="00373409"/>
    <w:rsid w:val="00373853"/>
    <w:rsid w:val="00373867"/>
    <w:rsid w:val="00375D80"/>
    <w:rsid w:val="00376C84"/>
    <w:rsid w:val="0037761A"/>
    <w:rsid w:val="00377ABC"/>
    <w:rsid w:val="00377E2E"/>
    <w:rsid w:val="0038100B"/>
    <w:rsid w:val="0038248B"/>
    <w:rsid w:val="003827C2"/>
    <w:rsid w:val="00384964"/>
    <w:rsid w:val="00384D04"/>
    <w:rsid w:val="00386FED"/>
    <w:rsid w:val="00387100"/>
    <w:rsid w:val="00387CB2"/>
    <w:rsid w:val="00390104"/>
    <w:rsid w:val="00390492"/>
    <w:rsid w:val="00390A33"/>
    <w:rsid w:val="00390CCE"/>
    <w:rsid w:val="003911D1"/>
    <w:rsid w:val="00392487"/>
    <w:rsid w:val="00392BBA"/>
    <w:rsid w:val="00392C0C"/>
    <w:rsid w:val="003954FD"/>
    <w:rsid w:val="0039560D"/>
    <w:rsid w:val="003962C7"/>
    <w:rsid w:val="00396C8E"/>
    <w:rsid w:val="003A0322"/>
    <w:rsid w:val="003A65FC"/>
    <w:rsid w:val="003A71F8"/>
    <w:rsid w:val="003A75B0"/>
    <w:rsid w:val="003A7A02"/>
    <w:rsid w:val="003B03BE"/>
    <w:rsid w:val="003B03D6"/>
    <w:rsid w:val="003B19DD"/>
    <w:rsid w:val="003B1C98"/>
    <w:rsid w:val="003B1DDC"/>
    <w:rsid w:val="003B20A7"/>
    <w:rsid w:val="003B224E"/>
    <w:rsid w:val="003B31F4"/>
    <w:rsid w:val="003B40CF"/>
    <w:rsid w:val="003B4356"/>
    <w:rsid w:val="003B6310"/>
    <w:rsid w:val="003C3610"/>
    <w:rsid w:val="003C445C"/>
    <w:rsid w:val="003C4F8B"/>
    <w:rsid w:val="003C5719"/>
    <w:rsid w:val="003C57A6"/>
    <w:rsid w:val="003C5F15"/>
    <w:rsid w:val="003C6A9C"/>
    <w:rsid w:val="003C76F6"/>
    <w:rsid w:val="003C7907"/>
    <w:rsid w:val="003C7937"/>
    <w:rsid w:val="003C7B82"/>
    <w:rsid w:val="003D0B99"/>
    <w:rsid w:val="003D1C6C"/>
    <w:rsid w:val="003D1DE8"/>
    <w:rsid w:val="003D206E"/>
    <w:rsid w:val="003D392B"/>
    <w:rsid w:val="003D399C"/>
    <w:rsid w:val="003D48AD"/>
    <w:rsid w:val="003D55E3"/>
    <w:rsid w:val="003D60D7"/>
    <w:rsid w:val="003D622D"/>
    <w:rsid w:val="003E0411"/>
    <w:rsid w:val="003E0ECD"/>
    <w:rsid w:val="003E11F7"/>
    <w:rsid w:val="003E1C8F"/>
    <w:rsid w:val="003E1CE3"/>
    <w:rsid w:val="003E239C"/>
    <w:rsid w:val="003E3524"/>
    <w:rsid w:val="003E3CA1"/>
    <w:rsid w:val="003E5C56"/>
    <w:rsid w:val="003E77BC"/>
    <w:rsid w:val="003F01E4"/>
    <w:rsid w:val="003F02E0"/>
    <w:rsid w:val="003F0544"/>
    <w:rsid w:val="003F0688"/>
    <w:rsid w:val="003F0F1B"/>
    <w:rsid w:val="003F17A4"/>
    <w:rsid w:val="003F2B8D"/>
    <w:rsid w:val="003F38A7"/>
    <w:rsid w:val="003F3B86"/>
    <w:rsid w:val="003F42C8"/>
    <w:rsid w:val="003F5094"/>
    <w:rsid w:val="003F5B54"/>
    <w:rsid w:val="003F619E"/>
    <w:rsid w:val="003F77D9"/>
    <w:rsid w:val="003F7C3B"/>
    <w:rsid w:val="004000AE"/>
    <w:rsid w:val="00400B43"/>
    <w:rsid w:val="00400FD6"/>
    <w:rsid w:val="004014E9"/>
    <w:rsid w:val="00401811"/>
    <w:rsid w:val="00402C24"/>
    <w:rsid w:val="00402D32"/>
    <w:rsid w:val="00402E9A"/>
    <w:rsid w:val="00403B48"/>
    <w:rsid w:val="00403BCE"/>
    <w:rsid w:val="004049A9"/>
    <w:rsid w:val="00404A4E"/>
    <w:rsid w:val="00404BB9"/>
    <w:rsid w:val="004054B8"/>
    <w:rsid w:val="00406C09"/>
    <w:rsid w:val="004073EC"/>
    <w:rsid w:val="004074E9"/>
    <w:rsid w:val="004075B8"/>
    <w:rsid w:val="004111F6"/>
    <w:rsid w:val="004126A3"/>
    <w:rsid w:val="004126D3"/>
    <w:rsid w:val="00412BB6"/>
    <w:rsid w:val="00413118"/>
    <w:rsid w:val="00413CF9"/>
    <w:rsid w:val="00416971"/>
    <w:rsid w:val="00416D76"/>
    <w:rsid w:val="004200B0"/>
    <w:rsid w:val="00421C8E"/>
    <w:rsid w:val="00421E27"/>
    <w:rsid w:val="00423A42"/>
    <w:rsid w:val="00423B8D"/>
    <w:rsid w:val="00427D09"/>
    <w:rsid w:val="0043036C"/>
    <w:rsid w:val="00430983"/>
    <w:rsid w:val="0043592C"/>
    <w:rsid w:val="00436952"/>
    <w:rsid w:val="00440918"/>
    <w:rsid w:val="00441E3F"/>
    <w:rsid w:val="004446A1"/>
    <w:rsid w:val="00444AFB"/>
    <w:rsid w:val="0044788E"/>
    <w:rsid w:val="00450A52"/>
    <w:rsid w:val="00451AC3"/>
    <w:rsid w:val="004540FC"/>
    <w:rsid w:val="004544F7"/>
    <w:rsid w:val="004547C9"/>
    <w:rsid w:val="00454E2D"/>
    <w:rsid w:val="0045586D"/>
    <w:rsid w:val="00455C84"/>
    <w:rsid w:val="00456BB6"/>
    <w:rsid w:val="00456DDB"/>
    <w:rsid w:val="004577E7"/>
    <w:rsid w:val="004610E4"/>
    <w:rsid w:val="00462095"/>
    <w:rsid w:val="004624CC"/>
    <w:rsid w:val="00463B04"/>
    <w:rsid w:val="00464356"/>
    <w:rsid w:val="00464F2B"/>
    <w:rsid w:val="004661DA"/>
    <w:rsid w:val="00466731"/>
    <w:rsid w:val="00466DD5"/>
    <w:rsid w:val="004670BE"/>
    <w:rsid w:val="004670DA"/>
    <w:rsid w:val="00467E83"/>
    <w:rsid w:val="0047265F"/>
    <w:rsid w:val="00473B6A"/>
    <w:rsid w:val="00473B71"/>
    <w:rsid w:val="00473BD9"/>
    <w:rsid w:val="004753A0"/>
    <w:rsid w:val="004755B1"/>
    <w:rsid w:val="004755FE"/>
    <w:rsid w:val="00475D6A"/>
    <w:rsid w:val="0048010A"/>
    <w:rsid w:val="004802BE"/>
    <w:rsid w:val="0048040E"/>
    <w:rsid w:val="00482468"/>
    <w:rsid w:val="004825EE"/>
    <w:rsid w:val="00482B81"/>
    <w:rsid w:val="00482D4C"/>
    <w:rsid w:val="00483442"/>
    <w:rsid w:val="00483475"/>
    <w:rsid w:val="004838E4"/>
    <w:rsid w:val="00483F72"/>
    <w:rsid w:val="0048463A"/>
    <w:rsid w:val="00484E28"/>
    <w:rsid w:val="00485018"/>
    <w:rsid w:val="004874F0"/>
    <w:rsid w:val="004903FD"/>
    <w:rsid w:val="004922AF"/>
    <w:rsid w:val="00492BF6"/>
    <w:rsid w:val="004932EB"/>
    <w:rsid w:val="0049365B"/>
    <w:rsid w:val="00493C30"/>
    <w:rsid w:val="004958B9"/>
    <w:rsid w:val="00495F61"/>
    <w:rsid w:val="00497068"/>
    <w:rsid w:val="004A10CE"/>
    <w:rsid w:val="004A1638"/>
    <w:rsid w:val="004A27A8"/>
    <w:rsid w:val="004A2EB7"/>
    <w:rsid w:val="004A3018"/>
    <w:rsid w:val="004A328C"/>
    <w:rsid w:val="004A3F29"/>
    <w:rsid w:val="004A4499"/>
    <w:rsid w:val="004A483F"/>
    <w:rsid w:val="004A4C13"/>
    <w:rsid w:val="004A63C2"/>
    <w:rsid w:val="004A6D94"/>
    <w:rsid w:val="004A739B"/>
    <w:rsid w:val="004B0C6C"/>
    <w:rsid w:val="004B120B"/>
    <w:rsid w:val="004B22E1"/>
    <w:rsid w:val="004B3C0F"/>
    <w:rsid w:val="004B4A3C"/>
    <w:rsid w:val="004B577F"/>
    <w:rsid w:val="004B608D"/>
    <w:rsid w:val="004C05E4"/>
    <w:rsid w:val="004C1786"/>
    <w:rsid w:val="004C22DD"/>
    <w:rsid w:val="004C28DF"/>
    <w:rsid w:val="004C3082"/>
    <w:rsid w:val="004C35E6"/>
    <w:rsid w:val="004C3F43"/>
    <w:rsid w:val="004C483B"/>
    <w:rsid w:val="004C51CD"/>
    <w:rsid w:val="004C6BEC"/>
    <w:rsid w:val="004D0BAE"/>
    <w:rsid w:val="004D2386"/>
    <w:rsid w:val="004D2831"/>
    <w:rsid w:val="004D355E"/>
    <w:rsid w:val="004D4324"/>
    <w:rsid w:val="004D4380"/>
    <w:rsid w:val="004D43E3"/>
    <w:rsid w:val="004D4AE5"/>
    <w:rsid w:val="004D6562"/>
    <w:rsid w:val="004D7E58"/>
    <w:rsid w:val="004E2EE7"/>
    <w:rsid w:val="004E3590"/>
    <w:rsid w:val="004E39E1"/>
    <w:rsid w:val="004E4673"/>
    <w:rsid w:val="004E4D70"/>
    <w:rsid w:val="004E52E6"/>
    <w:rsid w:val="004E5317"/>
    <w:rsid w:val="004E5F56"/>
    <w:rsid w:val="004F0056"/>
    <w:rsid w:val="004F00BA"/>
    <w:rsid w:val="004F011F"/>
    <w:rsid w:val="004F03CC"/>
    <w:rsid w:val="004F03F4"/>
    <w:rsid w:val="004F0A47"/>
    <w:rsid w:val="004F0E27"/>
    <w:rsid w:val="004F14F6"/>
    <w:rsid w:val="004F17DF"/>
    <w:rsid w:val="004F342C"/>
    <w:rsid w:val="004F371E"/>
    <w:rsid w:val="004F3E04"/>
    <w:rsid w:val="004F4C00"/>
    <w:rsid w:val="004F5428"/>
    <w:rsid w:val="004F56D0"/>
    <w:rsid w:val="004F6F1A"/>
    <w:rsid w:val="004F7FC4"/>
    <w:rsid w:val="005000D7"/>
    <w:rsid w:val="005005B4"/>
    <w:rsid w:val="0050235E"/>
    <w:rsid w:val="005026BA"/>
    <w:rsid w:val="00502CE6"/>
    <w:rsid w:val="00503698"/>
    <w:rsid w:val="0050396E"/>
    <w:rsid w:val="00503A99"/>
    <w:rsid w:val="00503DC8"/>
    <w:rsid w:val="00503E44"/>
    <w:rsid w:val="0050435E"/>
    <w:rsid w:val="00504453"/>
    <w:rsid w:val="005044CA"/>
    <w:rsid w:val="00504CFE"/>
    <w:rsid w:val="0050550F"/>
    <w:rsid w:val="00505F95"/>
    <w:rsid w:val="0050615B"/>
    <w:rsid w:val="00506FC8"/>
    <w:rsid w:val="0050777E"/>
    <w:rsid w:val="005104DC"/>
    <w:rsid w:val="00513172"/>
    <w:rsid w:val="00513FE8"/>
    <w:rsid w:val="0051429B"/>
    <w:rsid w:val="00515236"/>
    <w:rsid w:val="00515283"/>
    <w:rsid w:val="00516EED"/>
    <w:rsid w:val="00521E77"/>
    <w:rsid w:val="005227CE"/>
    <w:rsid w:val="005231C5"/>
    <w:rsid w:val="005241BE"/>
    <w:rsid w:val="005259C3"/>
    <w:rsid w:val="00526122"/>
    <w:rsid w:val="00530C66"/>
    <w:rsid w:val="005313E7"/>
    <w:rsid w:val="00531B98"/>
    <w:rsid w:val="00531DC7"/>
    <w:rsid w:val="0053218B"/>
    <w:rsid w:val="00532E73"/>
    <w:rsid w:val="0053328A"/>
    <w:rsid w:val="00533926"/>
    <w:rsid w:val="00534446"/>
    <w:rsid w:val="00536723"/>
    <w:rsid w:val="00536835"/>
    <w:rsid w:val="0053694C"/>
    <w:rsid w:val="00537C5E"/>
    <w:rsid w:val="00537FB7"/>
    <w:rsid w:val="00540491"/>
    <w:rsid w:val="005411D1"/>
    <w:rsid w:val="005411FE"/>
    <w:rsid w:val="005419CF"/>
    <w:rsid w:val="005421BA"/>
    <w:rsid w:val="00542873"/>
    <w:rsid w:val="00542A58"/>
    <w:rsid w:val="0054403A"/>
    <w:rsid w:val="00546062"/>
    <w:rsid w:val="00546D10"/>
    <w:rsid w:val="00547422"/>
    <w:rsid w:val="00550407"/>
    <w:rsid w:val="00554C60"/>
    <w:rsid w:val="0055675D"/>
    <w:rsid w:val="005573C4"/>
    <w:rsid w:val="00557922"/>
    <w:rsid w:val="0056147C"/>
    <w:rsid w:val="005619F0"/>
    <w:rsid w:val="0056265E"/>
    <w:rsid w:val="00564D7C"/>
    <w:rsid w:val="00566E8F"/>
    <w:rsid w:val="005709DE"/>
    <w:rsid w:val="005714AA"/>
    <w:rsid w:val="005726BA"/>
    <w:rsid w:val="00573FFC"/>
    <w:rsid w:val="0057412E"/>
    <w:rsid w:val="0057422E"/>
    <w:rsid w:val="00574965"/>
    <w:rsid w:val="0057612D"/>
    <w:rsid w:val="00580848"/>
    <w:rsid w:val="00582EFD"/>
    <w:rsid w:val="005833BE"/>
    <w:rsid w:val="0058366E"/>
    <w:rsid w:val="005836BD"/>
    <w:rsid w:val="00584D0E"/>
    <w:rsid w:val="0058506E"/>
    <w:rsid w:val="005858FB"/>
    <w:rsid w:val="00586972"/>
    <w:rsid w:val="005870CB"/>
    <w:rsid w:val="00587507"/>
    <w:rsid w:val="00587EB8"/>
    <w:rsid w:val="005918A1"/>
    <w:rsid w:val="00591CEB"/>
    <w:rsid w:val="0059302A"/>
    <w:rsid w:val="00593BDC"/>
    <w:rsid w:val="00594402"/>
    <w:rsid w:val="00594880"/>
    <w:rsid w:val="00595066"/>
    <w:rsid w:val="00597845"/>
    <w:rsid w:val="005A0D34"/>
    <w:rsid w:val="005A2572"/>
    <w:rsid w:val="005A417E"/>
    <w:rsid w:val="005A6765"/>
    <w:rsid w:val="005A6AB3"/>
    <w:rsid w:val="005A6AF6"/>
    <w:rsid w:val="005A7751"/>
    <w:rsid w:val="005A7A12"/>
    <w:rsid w:val="005A7EFD"/>
    <w:rsid w:val="005B23D9"/>
    <w:rsid w:val="005B2AD6"/>
    <w:rsid w:val="005B36F4"/>
    <w:rsid w:val="005B3AF1"/>
    <w:rsid w:val="005B50BF"/>
    <w:rsid w:val="005B5632"/>
    <w:rsid w:val="005B5FC7"/>
    <w:rsid w:val="005B62C7"/>
    <w:rsid w:val="005C032C"/>
    <w:rsid w:val="005C0E65"/>
    <w:rsid w:val="005C118B"/>
    <w:rsid w:val="005C14F5"/>
    <w:rsid w:val="005C2853"/>
    <w:rsid w:val="005C31AA"/>
    <w:rsid w:val="005C3CB3"/>
    <w:rsid w:val="005C3EC7"/>
    <w:rsid w:val="005C5647"/>
    <w:rsid w:val="005C5AE3"/>
    <w:rsid w:val="005C73D6"/>
    <w:rsid w:val="005C75A4"/>
    <w:rsid w:val="005C7EC4"/>
    <w:rsid w:val="005D0557"/>
    <w:rsid w:val="005D2168"/>
    <w:rsid w:val="005D23AD"/>
    <w:rsid w:val="005D2A3D"/>
    <w:rsid w:val="005D30DA"/>
    <w:rsid w:val="005D43A1"/>
    <w:rsid w:val="005D5F61"/>
    <w:rsid w:val="005D71B0"/>
    <w:rsid w:val="005D72BA"/>
    <w:rsid w:val="005D7D5A"/>
    <w:rsid w:val="005D7E35"/>
    <w:rsid w:val="005E0EA9"/>
    <w:rsid w:val="005E25B3"/>
    <w:rsid w:val="005E2C0D"/>
    <w:rsid w:val="005E2C92"/>
    <w:rsid w:val="005E3ABA"/>
    <w:rsid w:val="005E43C2"/>
    <w:rsid w:val="005E4792"/>
    <w:rsid w:val="005E4BAC"/>
    <w:rsid w:val="005E55F1"/>
    <w:rsid w:val="005E580A"/>
    <w:rsid w:val="005E5AA0"/>
    <w:rsid w:val="005E6054"/>
    <w:rsid w:val="005E7ABB"/>
    <w:rsid w:val="005F0045"/>
    <w:rsid w:val="005F0667"/>
    <w:rsid w:val="005F0ABE"/>
    <w:rsid w:val="005F1BC2"/>
    <w:rsid w:val="005F2BF4"/>
    <w:rsid w:val="005F5B85"/>
    <w:rsid w:val="005F6496"/>
    <w:rsid w:val="005F6BE7"/>
    <w:rsid w:val="0060130D"/>
    <w:rsid w:val="006022BA"/>
    <w:rsid w:val="0060332A"/>
    <w:rsid w:val="0060349A"/>
    <w:rsid w:val="00603D39"/>
    <w:rsid w:val="00604645"/>
    <w:rsid w:val="00605180"/>
    <w:rsid w:val="00605818"/>
    <w:rsid w:val="006059A6"/>
    <w:rsid w:val="00606671"/>
    <w:rsid w:val="00606746"/>
    <w:rsid w:val="00606953"/>
    <w:rsid w:val="006100E5"/>
    <w:rsid w:val="00611887"/>
    <w:rsid w:val="00612329"/>
    <w:rsid w:val="006137A6"/>
    <w:rsid w:val="00613ABA"/>
    <w:rsid w:val="00613B16"/>
    <w:rsid w:val="00614186"/>
    <w:rsid w:val="00614914"/>
    <w:rsid w:val="00615279"/>
    <w:rsid w:val="00615574"/>
    <w:rsid w:val="0061572D"/>
    <w:rsid w:val="0061612D"/>
    <w:rsid w:val="006170FE"/>
    <w:rsid w:val="00617A51"/>
    <w:rsid w:val="00620D72"/>
    <w:rsid w:val="00622E25"/>
    <w:rsid w:val="00623787"/>
    <w:rsid w:val="00623F9C"/>
    <w:rsid w:val="006243C6"/>
    <w:rsid w:val="00624D92"/>
    <w:rsid w:val="00624DAF"/>
    <w:rsid w:val="0062537A"/>
    <w:rsid w:val="00625770"/>
    <w:rsid w:val="00625DD6"/>
    <w:rsid w:val="00630893"/>
    <w:rsid w:val="006315E4"/>
    <w:rsid w:val="0063249F"/>
    <w:rsid w:val="00632707"/>
    <w:rsid w:val="006329D4"/>
    <w:rsid w:val="00633B3C"/>
    <w:rsid w:val="00635062"/>
    <w:rsid w:val="00637136"/>
    <w:rsid w:val="00637DBC"/>
    <w:rsid w:val="00640917"/>
    <w:rsid w:val="0064129F"/>
    <w:rsid w:val="00641365"/>
    <w:rsid w:val="006425E3"/>
    <w:rsid w:val="0064309D"/>
    <w:rsid w:val="00645BCE"/>
    <w:rsid w:val="00647BB7"/>
    <w:rsid w:val="00650629"/>
    <w:rsid w:val="00651807"/>
    <w:rsid w:val="006521FB"/>
    <w:rsid w:val="00652982"/>
    <w:rsid w:val="00653577"/>
    <w:rsid w:val="00653B23"/>
    <w:rsid w:val="006552A4"/>
    <w:rsid w:val="00655D0B"/>
    <w:rsid w:val="006566E9"/>
    <w:rsid w:val="00657B2E"/>
    <w:rsid w:val="00660F56"/>
    <w:rsid w:val="00661EB3"/>
    <w:rsid w:val="0066207F"/>
    <w:rsid w:val="00663CB3"/>
    <w:rsid w:val="00665CA2"/>
    <w:rsid w:val="0066740C"/>
    <w:rsid w:val="00667856"/>
    <w:rsid w:val="006711DF"/>
    <w:rsid w:val="006729E8"/>
    <w:rsid w:val="00673213"/>
    <w:rsid w:val="006738AB"/>
    <w:rsid w:val="00675611"/>
    <w:rsid w:val="006764B4"/>
    <w:rsid w:val="0067651F"/>
    <w:rsid w:val="00676AD3"/>
    <w:rsid w:val="00680297"/>
    <w:rsid w:val="0068046D"/>
    <w:rsid w:val="00680833"/>
    <w:rsid w:val="00680871"/>
    <w:rsid w:val="00680E96"/>
    <w:rsid w:val="00681077"/>
    <w:rsid w:val="0068141A"/>
    <w:rsid w:val="0068146F"/>
    <w:rsid w:val="00682C45"/>
    <w:rsid w:val="0068344B"/>
    <w:rsid w:val="0068351C"/>
    <w:rsid w:val="00683956"/>
    <w:rsid w:val="00685143"/>
    <w:rsid w:val="00686A7A"/>
    <w:rsid w:val="00687331"/>
    <w:rsid w:val="006873CE"/>
    <w:rsid w:val="006902FD"/>
    <w:rsid w:val="00690B63"/>
    <w:rsid w:val="00691361"/>
    <w:rsid w:val="00691453"/>
    <w:rsid w:val="00691487"/>
    <w:rsid w:val="0069205F"/>
    <w:rsid w:val="00692D02"/>
    <w:rsid w:val="00694B9D"/>
    <w:rsid w:val="00694E41"/>
    <w:rsid w:val="0069503F"/>
    <w:rsid w:val="00695CDC"/>
    <w:rsid w:val="006961C3"/>
    <w:rsid w:val="006962D6"/>
    <w:rsid w:val="0069687E"/>
    <w:rsid w:val="00697F74"/>
    <w:rsid w:val="006A0786"/>
    <w:rsid w:val="006A11D6"/>
    <w:rsid w:val="006A1450"/>
    <w:rsid w:val="006A1988"/>
    <w:rsid w:val="006A37D9"/>
    <w:rsid w:val="006A43AE"/>
    <w:rsid w:val="006A4639"/>
    <w:rsid w:val="006A6927"/>
    <w:rsid w:val="006A74FC"/>
    <w:rsid w:val="006A79A7"/>
    <w:rsid w:val="006B0264"/>
    <w:rsid w:val="006B2033"/>
    <w:rsid w:val="006B4727"/>
    <w:rsid w:val="006B520A"/>
    <w:rsid w:val="006B523A"/>
    <w:rsid w:val="006B5477"/>
    <w:rsid w:val="006B56B6"/>
    <w:rsid w:val="006B5B88"/>
    <w:rsid w:val="006B6C57"/>
    <w:rsid w:val="006B6C6A"/>
    <w:rsid w:val="006C0F3E"/>
    <w:rsid w:val="006C170A"/>
    <w:rsid w:val="006C214C"/>
    <w:rsid w:val="006C2CD5"/>
    <w:rsid w:val="006C403F"/>
    <w:rsid w:val="006C4131"/>
    <w:rsid w:val="006C45BE"/>
    <w:rsid w:val="006C4743"/>
    <w:rsid w:val="006C6FBD"/>
    <w:rsid w:val="006D0B7E"/>
    <w:rsid w:val="006D0D70"/>
    <w:rsid w:val="006D10EC"/>
    <w:rsid w:val="006D2341"/>
    <w:rsid w:val="006D29DA"/>
    <w:rsid w:val="006D30EA"/>
    <w:rsid w:val="006D3727"/>
    <w:rsid w:val="006D478B"/>
    <w:rsid w:val="006D4DAA"/>
    <w:rsid w:val="006D4F7D"/>
    <w:rsid w:val="006D5FCC"/>
    <w:rsid w:val="006D60D0"/>
    <w:rsid w:val="006D672B"/>
    <w:rsid w:val="006D6C2B"/>
    <w:rsid w:val="006D71DA"/>
    <w:rsid w:val="006E00CD"/>
    <w:rsid w:val="006E04DB"/>
    <w:rsid w:val="006E0852"/>
    <w:rsid w:val="006E0CBA"/>
    <w:rsid w:val="006E1F53"/>
    <w:rsid w:val="006E3AB4"/>
    <w:rsid w:val="006E52D5"/>
    <w:rsid w:val="006E6321"/>
    <w:rsid w:val="006E71A2"/>
    <w:rsid w:val="006F06C1"/>
    <w:rsid w:val="006F07D1"/>
    <w:rsid w:val="006F1AB6"/>
    <w:rsid w:val="006F2B21"/>
    <w:rsid w:val="006F3DD0"/>
    <w:rsid w:val="006F4133"/>
    <w:rsid w:val="006F4793"/>
    <w:rsid w:val="006F50A4"/>
    <w:rsid w:val="006F5266"/>
    <w:rsid w:val="006F5AEA"/>
    <w:rsid w:val="006F5DDF"/>
    <w:rsid w:val="006F6031"/>
    <w:rsid w:val="006F67E4"/>
    <w:rsid w:val="006F683C"/>
    <w:rsid w:val="006F6C2A"/>
    <w:rsid w:val="006F74AB"/>
    <w:rsid w:val="006F7AB0"/>
    <w:rsid w:val="0070169C"/>
    <w:rsid w:val="00701F57"/>
    <w:rsid w:val="0070261F"/>
    <w:rsid w:val="00702DD2"/>
    <w:rsid w:val="007036A1"/>
    <w:rsid w:val="007037C4"/>
    <w:rsid w:val="00704CCA"/>
    <w:rsid w:val="00704E55"/>
    <w:rsid w:val="00705171"/>
    <w:rsid w:val="007053B0"/>
    <w:rsid w:val="00705A13"/>
    <w:rsid w:val="00705F4A"/>
    <w:rsid w:val="007060F0"/>
    <w:rsid w:val="007061D5"/>
    <w:rsid w:val="00707BE5"/>
    <w:rsid w:val="0071051B"/>
    <w:rsid w:val="00710E94"/>
    <w:rsid w:val="00715A24"/>
    <w:rsid w:val="00715CDE"/>
    <w:rsid w:val="00720F80"/>
    <w:rsid w:val="0072390C"/>
    <w:rsid w:val="007239C5"/>
    <w:rsid w:val="00725500"/>
    <w:rsid w:val="00727D8A"/>
    <w:rsid w:val="0073067A"/>
    <w:rsid w:val="00730DA8"/>
    <w:rsid w:val="00731031"/>
    <w:rsid w:val="00731301"/>
    <w:rsid w:val="0073144A"/>
    <w:rsid w:val="00731FEA"/>
    <w:rsid w:val="007323F4"/>
    <w:rsid w:val="007345B5"/>
    <w:rsid w:val="00735921"/>
    <w:rsid w:val="0073599B"/>
    <w:rsid w:val="00736F61"/>
    <w:rsid w:val="00736FBA"/>
    <w:rsid w:val="00737D0B"/>
    <w:rsid w:val="00740D0F"/>
    <w:rsid w:val="00740DA3"/>
    <w:rsid w:val="0074185E"/>
    <w:rsid w:val="00741EBC"/>
    <w:rsid w:val="00742253"/>
    <w:rsid w:val="007436F0"/>
    <w:rsid w:val="007437FE"/>
    <w:rsid w:val="0074422A"/>
    <w:rsid w:val="0074624A"/>
    <w:rsid w:val="0074692A"/>
    <w:rsid w:val="0074728E"/>
    <w:rsid w:val="007474FB"/>
    <w:rsid w:val="0074766B"/>
    <w:rsid w:val="00750C1F"/>
    <w:rsid w:val="00754CE9"/>
    <w:rsid w:val="00754DAB"/>
    <w:rsid w:val="00757B95"/>
    <w:rsid w:val="0076068E"/>
    <w:rsid w:val="00761354"/>
    <w:rsid w:val="00761708"/>
    <w:rsid w:val="00761D1E"/>
    <w:rsid w:val="0076359E"/>
    <w:rsid w:val="0076382E"/>
    <w:rsid w:val="007659A9"/>
    <w:rsid w:val="007662C7"/>
    <w:rsid w:val="007709ED"/>
    <w:rsid w:val="00770D4A"/>
    <w:rsid w:val="00771CF6"/>
    <w:rsid w:val="00772865"/>
    <w:rsid w:val="00772FAF"/>
    <w:rsid w:val="007742ED"/>
    <w:rsid w:val="00776306"/>
    <w:rsid w:val="007816E2"/>
    <w:rsid w:val="00782D14"/>
    <w:rsid w:val="00783CE7"/>
    <w:rsid w:val="0078510B"/>
    <w:rsid w:val="00786167"/>
    <w:rsid w:val="00786CB3"/>
    <w:rsid w:val="00787A90"/>
    <w:rsid w:val="00787B85"/>
    <w:rsid w:val="0079094C"/>
    <w:rsid w:val="00795009"/>
    <w:rsid w:val="007955DE"/>
    <w:rsid w:val="007962AD"/>
    <w:rsid w:val="00796722"/>
    <w:rsid w:val="007A013B"/>
    <w:rsid w:val="007A1887"/>
    <w:rsid w:val="007A33F8"/>
    <w:rsid w:val="007A4122"/>
    <w:rsid w:val="007A4240"/>
    <w:rsid w:val="007A4C87"/>
    <w:rsid w:val="007A55A7"/>
    <w:rsid w:val="007A57BC"/>
    <w:rsid w:val="007A5C53"/>
    <w:rsid w:val="007B01A8"/>
    <w:rsid w:val="007B13C1"/>
    <w:rsid w:val="007B1F10"/>
    <w:rsid w:val="007B2143"/>
    <w:rsid w:val="007B335E"/>
    <w:rsid w:val="007B44DE"/>
    <w:rsid w:val="007B4908"/>
    <w:rsid w:val="007B4A9D"/>
    <w:rsid w:val="007B50E9"/>
    <w:rsid w:val="007B5512"/>
    <w:rsid w:val="007C0A85"/>
    <w:rsid w:val="007C137D"/>
    <w:rsid w:val="007C285E"/>
    <w:rsid w:val="007C3E25"/>
    <w:rsid w:val="007C504F"/>
    <w:rsid w:val="007C7D64"/>
    <w:rsid w:val="007D149E"/>
    <w:rsid w:val="007D1804"/>
    <w:rsid w:val="007D1A24"/>
    <w:rsid w:val="007D2B64"/>
    <w:rsid w:val="007D2BC3"/>
    <w:rsid w:val="007D3C1E"/>
    <w:rsid w:val="007D4BFD"/>
    <w:rsid w:val="007D584A"/>
    <w:rsid w:val="007D61E3"/>
    <w:rsid w:val="007D63E0"/>
    <w:rsid w:val="007D6659"/>
    <w:rsid w:val="007D6771"/>
    <w:rsid w:val="007D6EC7"/>
    <w:rsid w:val="007D7221"/>
    <w:rsid w:val="007D797C"/>
    <w:rsid w:val="007E018D"/>
    <w:rsid w:val="007E1184"/>
    <w:rsid w:val="007E3F1F"/>
    <w:rsid w:val="007E45B4"/>
    <w:rsid w:val="007E66CF"/>
    <w:rsid w:val="007E69E0"/>
    <w:rsid w:val="007E6A45"/>
    <w:rsid w:val="007E76A8"/>
    <w:rsid w:val="007E7B1C"/>
    <w:rsid w:val="007F0C2C"/>
    <w:rsid w:val="007F167D"/>
    <w:rsid w:val="007F1B71"/>
    <w:rsid w:val="007F1FF1"/>
    <w:rsid w:val="007F2BC8"/>
    <w:rsid w:val="007F4758"/>
    <w:rsid w:val="007F5200"/>
    <w:rsid w:val="007F647F"/>
    <w:rsid w:val="007F73E5"/>
    <w:rsid w:val="008017C4"/>
    <w:rsid w:val="0080264C"/>
    <w:rsid w:val="00802653"/>
    <w:rsid w:val="0080320B"/>
    <w:rsid w:val="0080347D"/>
    <w:rsid w:val="0080420F"/>
    <w:rsid w:val="00804C43"/>
    <w:rsid w:val="008064E9"/>
    <w:rsid w:val="00806E6E"/>
    <w:rsid w:val="00807E7D"/>
    <w:rsid w:val="00811F2B"/>
    <w:rsid w:val="008145BA"/>
    <w:rsid w:val="00814E12"/>
    <w:rsid w:val="008152E8"/>
    <w:rsid w:val="00815889"/>
    <w:rsid w:val="00816AB7"/>
    <w:rsid w:val="00817201"/>
    <w:rsid w:val="00820232"/>
    <w:rsid w:val="00820E71"/>
    <w:rsid w:val="00821730"/>
    <w:rsid w:val="00821B98"/>
    <w:rsid w:val="00821FF2"/>
    <w:rsid w:val="008249BE"/>
    <w:rsid w:val="00824D1B"/>
    <w:rsid w:val="0082576F"/>
    <w:rsid w:val="00827729"/>
    <w:rsid w:val="008300FE"/>
    <w:rsid w:val="00830DCA"/>
    <w:rsid w:val="00830F4E"/>
    <w:rsid w:val="00831675"/>
    <w:rsid w:val="0083170D"/>
    <w:rsid w:val="008334D5"/>
    <w:rsid w:val="00833654"/>
    <w:rsid w:val="008337F5"/>
    <w:rsid w:val="00834B79"/>
    <w:rsid w:val="00836831"/>
    <w:rsid w:val="00837A3E"/>
    <w:rsid w:val="008404AD"/>
    <w:rsid w:val="00840F9E"/>
    <w:rsid w:val="008429BC"/>
    <w:rsid w:val="008445F6"/>
    <w:rsid w:val="00844849"/>
    <w:rsid w:val="008459F0"/>
    <w:rsid w:val="00845A80"/>
    <w:rsid w:val="00846CDC"/>
    <w:rsid w:val="00846DE1"/>
    <w:rsid w:val="0084798A"/>
    <w:rsid w:val="00854E6E"/>
    <w:rsid w:val="008552D6"/>
    <w:rsid w:val="00855DA3"/>
    <w:rsid w:val="00856D5B"/>
    <w:rsid w:val="00860BB5"/>
    <w:rsid w:val="00861363"/>
    <w:rsid w:val="00862443"/>
    <w:rsid w:val="008624B6"/>
    <w:rsid w:val="00866F4C"/>
    <w:rsid w:val="00867780"/>
    <w:rsid w:val="00867E36"/>
    <w:rsid w:val="00873F0C"/>
    <w:rsid w:val="00874297"/>
    <w:rsid w:val="00874350"/>
    <w:rsid w:val="0087618C"/>
    <w:rsid w:val="00876937"/>
    <w:rsid w:val="00877071"/>
    <w:rsid w:val="008779B4"/>
    <w:rsid w:val="00877A2F"/>
    <w:rsid w:val="00880464"/>
    <w:rsid w:val="00880CCF"/>
    <w:rsid w:val="00881051"/>
    <w:rsid w:val="00881331"/>
    <w:rsid w:val="0088138D"/>
    <w:rsid w:val="008822E1"/>
    <w:rsid w:val="008826C5"/>
    <w:rsid w:val="00883863"/>
    <w:rsid w:val="0088390A"/>
    <w:rsid w:val="0088467C"/>
    <w:rsid w:val="008853B9"/>
    <w:rsid w:val="0088582A"/>
    <w:rsid w:val="00885AA3"/>
    <w:rsid w:val="00891137"/>
    <w:rsid w:val="00891F21"/>
    <w:rsid w:val="0089232A"/>
    <w:rsid w:val="00892D3B"/>
    <w:rsid w:val="00893399"/>
    <w:rsid w:val="00894579"/>
    <w:rsid w:val="00895C4D"/>
    <w:rsid w:val="00897005"/>
    <w:rsid w:val="008976DC"/>
    <w:rsid w:val="008976E6"/>
    <w:rsid w:val="008A0012"/>
    <w:rsid w:val="008A0542"/>
    <w:rsid w:val="008A05D3"/>
    <w:rsid w:val="008A1754"/>
    <w:rsid w:val="008A17A2"/>
    <w:rsid w:val="008A1BA3"/>
    <w:rsid w:val="008A2BDB"/>
    <w:rsid w:val="008A3ED9"/>
    <w:rsid w:val="008A5B67"/>
    <w:rsid w:val="008A5CCD"/>
    <w:rsid w:val="008A6A6D"/>
    <w:rsid w:val="008A7627"/>
    <w:rsid w:val="008B0D1B"/>
    <w:rsid w:val="008B1106"/>
    <w:rsid w:val="008B29E7"/>
    <w:rsid w:val="008B2C4E"/>
    <w:rsid w:val="008B33DF"/>
    <w:rsid w:val="008B3E29"/>
    <w:rsid w:val="008B45CA"/>
    <w:rsid w:val="008B4D49"/>
    <w:rsid w:val="008B5C0B"/>
    <w:rsid w:val="008C16C6"/>
    <w:rsid w:val="008C2216"/>
    <w:rsid w:val="008C253B"/>
    <w:rsid w:val="008C3368"/>
    <w:rsid w:val="008C3493"/>
    <w:rsid w:val="008C44D1"/>
    <w:rsid w:val="008C5170"/>
    <w:rsid w:val="008C56F6"/>
    <w:rsid w:val="008C58B0"/>
    <w:rsid w:val="008C6DB7"/>
    <w:rsid w:val="008D07E2"/>
    <w:rsid w:val="008D16F7"/>
    <w:rsid w:val="008D34EF"/>
    <w:rsid w:val="008D40FA"/>
    <w:rsid w:val="008D4835"/>
    <w:rsid w:val="008D4F34"/>
    <w:rsid w:val="008D523D"/>
    <w:rsid w:val="008D5F44"/>
    <w:rsid w:val="008D6603"/>
    <w:rsid w:val="008D7AD2"/>
    <w:rsid w:val="008E03AC"/>
    <w:rsid w:val="008E1427"/>
    <w:rsid w:val="008E15BF"/>
    <w:rsid w:val="008E1F99"/>
    <w:rsid w:val="008E2038"/>
    <w:rsid w:val="008E212D"/>
    <w:rsid w:val="008E247B"/>
    <w:rsid w:val="008E2BEA"/>
    <w:rsid w:val="008E2CC2"/>
    <w:rsid w:val="008E450E"/>
    <w:rsid w:val="008E52C7"/>
    <w:rsid w:val="008E5603"/>
    <w:rsid w:val="008E5A1D"/>
    <w:rsid w:val="008E7578"/>
    <w:rsid w:val="008F0C50"/>
    <w:rsid w:val="008F2529"/>
    <w:rsid w:val="008F33E3"/>
    <w:rsid w:val="008F5815"/>
    <w:rsid w:val="008F683D"/>
    <w:rsid w:val="008F7218"/>
    <w:rsid w:val="008F74D2"/>
    <w:rsid w:val="008F778A"/>
    <w:rsid w:val="00900271"/>
    <w:rsid w:val="00900AD6"/>
    <w:rsid w:val="00900CA8"/>
    <w:rsid w:val="009018E9"/>
    <w:rsid w:val="00901C5A"/>
    <w:rsid w:val="00901E73"/>
    <w:rsid w:val="00902CAF"/>
    <w:rsid w:val="00902ED6"/>
    <w:rsid w:val="00902FC6"/>
    <w:rsid w:val="0090320B"/>
    <w:rsid w:val="009039FE"/>
    <w:rsid w:val="00903E78"/>
    <w:rsid w:val="00904DFE"/>
    <w:rsid w:val="00906037"/>
    <w:rsid w:val="00907784"/>
    <w:rsid w:val="009107EB"/>
    <w:rsid w:val="00910D7E"/>
    <w:rsid w:val="00911694"/>
    <w:rsid w:val="0091280A"/>
    <w:rsid w:val="00912905"/>
    <w:rsid w:val="00913E6E"/>
    <w:rsid w:val="009143A0"/>
    <w:rsid w:val="009149F9"/>
    <w:rsid w:val="0091531F"/>
    <w:rsid w:val="00915864"/>
    <w:rsid w:val="00921A81"/>
    <w:rsid w:val="00921B5A"/>
    <w:rsid w:val="00922510"/>
    <w:rsid w:val="0092344A"/>
    <w:rsid w:val="00923AA5"/>
    <w:rsid w:val="00924EF2"/>
    <w:rsid w:val="00925124"/>
    <w:rsid w:val="00925635"/>
    <w:rsid w:val="0092700A"/>
    <w:rsid w:val="00927C59"/>
    <w:rsid w:val="00927E7F"/>
    <w:rsid w:val="00930C37"/>
    <w:rsid w:val="00931881"/>
    <w:rsid w:val="00931982"/>
    <w:rsid w:val="00933403"/>
    <w:rsid w:val="0093353D"/>
    <w:rsid w:val="0093421F"/>
    <w:rsid w:val="00935513"/>
    <w:rsid w:val="00935611"/>
    <w:rsid w:val="00935842"/>
    <w:rsid w:val="00936902"/>
    <w:rsid w:val="00936DCF"/>
    <w:rsid w:val="009373DA"/>
    <w:rsid w:val="009409FF"/>
    <w:rsid w:val="00942170"/>
    <w:rsid w:val="00943D03"/>
    <w:rsid w:val="00943D7C"/>
    <w:rsid w:val="009444E4"/>
    <w:rsid w:val="009445A4"/>
    <w:rsid w:val="0094467E"/>
    <w:rsid w:val="0094486D"/>
    <w:rsid w:val="00946046"/>
    <w:rsid w:val="0094652C"/>
    <w:rsid w:val="00946552"/>
    <w:rsid w:val="00950E58"/>
    <w:rsid w:val="00950FEB"/>
    <w:rsid w:val="00951164"/>
    <w:rsid w:val="00952BB5"/>
    <w:rsid w:val="00952D93"/>
    <w:rsid w:val="00952DF0"/>
    <w:rsid w:val="00953073"/>
    <w:rsid w:val="00954535"/>
    <w:rsid w:val="00954679"/>
    <w:rsid w:val="009552FE"/>
    <w:rsid w:val="00955673"/>
    <w:rsid w:val="00955D93"/>
    <w:rsid w:val="009562E9"/>
    <w:rsid w:val="009579AA"/>
    <w:rsid w:val="009604D0"/>
    <w:rsid w:val="00961080"/>
    <w:rsid w:val="00962CB1"/>
    <w:rsid w:val="009655DA"/>
    <w:rsid w:val="00965BBC"/>
    <w:rsid w:val="00966B35"/>
    <w:rsid w:val="009673D0"/>
    <w:rsid w:val="00970161"/>
    <w:rsid w:val="00970C8E"/>
    <w:rsid w:val="00972823"/>
    <w:rsid w:val="00972E53"/>
    <w:rsid w:val="0097443F"/>
    <w:rsid w:val="00974996"/>
    <w:rsid w:val="00974B79"/>
    <w:rsid w:val="00975726"/>
    <w:rsid w:val="0097614B"/>
    <w:rsid w:val="00976B9D"/>
    <w:rsid w:val="00976D00"/>
    <w:rsid w:val="00977F7D"/>
    <w:rsid w:val="00980491"/>
    <w:rsid w:val="0098229C"/>
    <w:rsid w:val="00983169"/>
    <w:rsid w:val="00983EED"/>
    <w:rsid w:val="0098490A"/>
    <w:rsid w:val="009855EF"/>
    <w:rsid w:val="0098616F"/>
    <w:rsid w:val="0098623C"/>
    <w:rsid w:val="00987098"/>
    <w:rsid w:val="0098737D"/>
    <w:rsid w:val="00990A07"/>
    <w:rsid w:val="00990BE6"/>
    <w:rsid w:val="00991518"/>
    <w:rsid w:val="009930EF"/>
    <w:rsid w:val="00993658"/>
    <w:rsid w:val="009A0338"/>
    <w:rsid w:val="009A06DF"/>
    <w:rsid w:val="009A0E9E"/>
    <w:rsid w:val="009A2167"/>
    <w:rsid w:val="009A218F"/>
    <w:rsid w:val="009A2801"/>
    <w:rsid w:val="009A2999"/>
    <w:rsid w:val="009A2C55"/>
    <w:rsid w:val="009A366F"/>
    <w:rsid w:val="009A49F0"/>
    <w:rsid w:val="009A4ED5"/>
    <w:rsid w:val="009A5307"/>
    <w:rsid w:val="009A5556"/>
    <w:rsid w:val="009B0069"/>
    <w:rsid w:val="009B0170"/>
    <w:rsid w:val="009B222A"/>
    <w:rsid w:val="009B2F24"/>
    <w:rsid w:val="009B321C"/>
    <w:rsid w:val="009B5602"/>
    <w:rsid w:val="009B5E08"/>
    <w:rsid w:val="009B64E5"/>
    <w:rsid w:val="009B70BB"/>
    <w:rsid w:val="009B73CD"/>
    <w:rsid w:val="009B7945"/>
    <w:rsid w:val="009B7A38"/>
    <w:rsid w:val="009C0051"/>
    <w:rsid w:val="009C2E63"/>
    <w:rsid w:val="009C4502"/>
    <w:rsid w:val="009C54FA"/>
    <w:rsid w:val="009C55BF"/>
    <w:rsid w:val="009C60A2"/>
    <w:rsid w:val="009C69E0"/>
    <w:rsid w:val="009C6A1E"/>
    <w:rsid w:val="009C6F90"/>
    <w:rsid w:val="009D2128"/>
    <w:rsid w:val="009D2CBD"/>
    <w:rsid w:val="009D2F0C"/>
    <w:rsid w:val="009D32DC"/>
    <w:rsid w:val="009D3A74"/>
    <w:rsid w:val="009D3FB8"/>
    <w:rsid w:val="009D4449"/>
    <w:rsid w:val="009D477C"/>
    <w:rsid w:val="009D547D"/>
    <w:rsid w:val="009D56C8"/>
    <w:rsid w:val="009D5D78"/>
    <w:rsid w:val="009D6277"/>
    <w:rsid w:val="009D6571"/>
    <w:rsid w:val="009E0088"/>
    <w:rsid w:val="009E1BEF"/>
    <w:rsid w:val="009E27A5"/>
    <w:rsid w:val="009E2F86"/>
    <w:rsid w:val="009E454C"/>
    <w:rsid w:val="009E478E"/>
    <w:rsid w:val="009E482C"/>
    <w:rsid w:val="009E4AC6"/>
    <w:rsid w:val="009E64F9"/>
    <w:rsid w:val="009E7B5E"/>
    <w:rsid w:val="009F081D"/>
    <w:rsid w:val="009F3203"/>
    <w:rsid w:val="009F385B"/>
    <w:rsid w:val="009F4E81"/>
    <w:rsid w:val="009F4F0C"/>
    <w:rsid w:val="00A00649"/>
    <w:rsid w:val="00A015D0"/>
    <w:rsid w:val="00A017F0"/>
    <w:rsid w:val="00A04977"/>
    <w:rsid w:val="00A07406"/>
    <w:rsid w:val="00A07E0C"/>
    <w:rsid w:val="00A10DF4"/>
    <w:rsid w:val="00A12209"/>
    <w:rsid w:val="00A13509"/>
    <w:rsid w:val="00A14769"/>
    <w:rsid w:val="00A14FA5"/>
    <w:rsid w:val="00A210AC"/>
    <w:rsid w:val="00A21164"/>
    <w:rsid w:val="00A21D27"/>
    <w:rsid w:val="00A221A7"/>
    <w:rsid w:val="00A226C1"/>
    <w:rsid w:val="00A23254"/>
    <w:rsid w:val="00A24B64"/>
    <w:rsid w:val="00A2516B"/>
    <w:rsid w:val="00A253F5"/>
    <w:rsid w:val="00A258D3"/>
    <w:rsid w:val="00A26CB5"/>
    <w:rsid w:val="00A26F58"/>
    <w:rsid w:val="00A31484"/>
    <w:rsid w:val="00A31681"/>
    <w:rsid w:val="00A322FC"/>
    <w:rsid w:val="00A32E7F"/>
    <w:rsid w:val="00A33757"/>
    <w:rsid w:val="00A33B5F"/>
    <w:rsid w:val="00A33E57"/>
    <w:rsid w:val="00A34346"/>
    <w:rsid w:val="00A34CA4"/>
    <w:rsid w:val="00A359C5"/>
    <w:rsid w:val="00A36064"/>
    <w:rsid w:val="00A36683"/>
    <w:rsid w:val="00A367F7"/>
    <w:rsid w:val="00A368C5"/>
    <w:rsid w:val="00A36DF3"/>
    <w:rsid w:val="00A37D7D"/>
    <w:rsid w:val="00A404C7"/>
    <w:rsid w:val="00A4126A"/>
    <w:rsid w:val="00A41BA2"/>
    <w:rsid w:val="00A42DB0"/>
    <w:rsid w:val="00A434CC"/>
    <w:rsid w:val="00A4441D"/>
    <w:rsid w:val="00A45726"/>
    <w:rsid w:val="00A45EEA"/>
    <w:rsid w:val="00A50C93"/>
    <w:rsid w:val="00A511C9"/>
    <w:rsid w:val="00A52DE1"/>
    <w:rsid w:val="00A52DF7"/>
    <w:rsid w:val="00A531D4"/>
    <w:rsid w:val="00A532DD"/>
    <w:rsid w:val="00A541DC"/>
    <w:rsid w:val="00A544D7"/>
    <w:rsid w:val="00A5522E"/>
    <w:rsid w:val="00A55F4C"/>
    <w:rsid w:val="00A56D4D"/>
    <w:rsid w:val="00A57A53"/>
    <w:rsid w:val="00A60193"/>
    <w:rsid w:val="00A603BE"/>
    <w:rsid w:val="00A603CA"/>
    <w:rsid w:val="00A606CA"/>
    <w:rsid w:val="00A60FAA"/>
    <w:rsid w:val="00A63A93"/>
    <w:rsid w:val="00A649B6"/>
    <w:rsid w:val="00A64A63"/>
    <w:rsid w:val="00A66CBB"/>
    <w:rsid w:val="00A67213"/>
    <w:rsid w:val="00A67C58"/>
    <w:rsid w:val="00A67D96"/>
    <w:rsid w:val="00A707FD"/>
    <w:rsid w:val="00A7284D"/>
    <w:rsid w:val="00A72A03"/>
    <w:rsid w:val="00A732D9"/>
    <w:rsid w:val="00A733D6"/>
    <w:rsid w:val="00A7346A"/>
    <w:rsid w:val="00A73B99"/>
    <w:rsid w:val="00A74B90"/>
    <w:rsid w:val="00A760F0"/>
    <w:rsid w:val="00A7632E"/>
    <w:rsid w:val="00A77B70"/>
    <w:rsid w:val="00A80BCF"/>
    <w:rsid w:val="00A8148F"/>
    <w:rsid w:val="00A81819"/>
    <w:rsid w:val="00A825D1"/>
    <w:rsid w:val="00A834A1"/>
    <w:rsid w:val="00A8369C"/>
    <w:rsid w:val="00A85361"/>
    <w:rsid w:val="00A8569B"/>
    <w:rsid w:val="00A86579"/>
    <w:rsid w:val="00A8769C"/>
    <w:rsid w:val="00A90212"/>
    <w:rsid w:val="00A90CC4"/>
    <w:rsid w:val="00A91DB2"/>
    <w:rsid w:val="00A928F9"/>
    <w:rsid w:val="00A930E0"/>
    <w:rsid w:val="00A93C9B"/>
    <w:rsid w:val="00A9401D"/>
    <w:rsid w:val="00A94024"/>
    <w:rsid w:val="00A94A4B"/>
    <w:rsid w:val="00A9502B"/>
    <w:rsid w:val="00A95427"/>
    <w:rsid w:val="00A96BDA"/>
    <w:rsid w:val="00A97C99"/>
    <w:rsid w:val="00AA07DE"/>
    <w:rsid w:val="00AA1689"/>
    <w:rsid w:val="00AA1BC8"/>
    <w:rsid w:val="00AA2AEB"/>
    <w:rsid w:val="00AA30EF"/>
    <w:rsid w:val="00AA3353"/>
    <w:rsid w:val="00AA496F"/>
    <w:rsid w:val="00AA4A29"/>
    <w:rsid w:val="00AA4C5A"/>
    <w:rsid w:val="00AA4CF8"/>
    <w:rsid w:val="00AA574F"/>
    <w:rsid w:val="00AA5770"/>
    <w:rsid w:val="00AA5871"/>
    <w:rsid w:val="00AA5B73"/>
    <w:rsid w:val="00AA5F85"/>
    <w:rsid w:val="00AA70DB"/>
    <w:rsid w:val="00AB0B96"/>
    <w:rsid w:val="00AB18F0"/>
    <w:rsid w:val="00AB2E70"/>
    <w:rsid w:val="00AB33C1"/>
    <w:rsid w:val="00AB341D"/>
    <w:rsid w:val="00AB3E03"/>
    <w:rsid w:val="00AB412F"/>
    <w:rsid w:val="00AB54DC"/>
    <w:rsid w:val="00AC10F0"/>
    <w:rsid w:val="00AC1D07"/>
    <w:rsid w:val="00AC1D15"/>
    <w:rsid w:val="00AC24E1"/>
    <w:rsid w:val="00AC3DBF"/>
    <w:rsid w:val="00AD03E3"/>
    <w:rsid w:val="00AD0542"/>
    <w:rsid w:val="00AD1A8B"/>
    <w:rsid w:val="00AD2A2E"/>
    <w:rsid w:val="00AD2BBB"/>
    <w:rsid w:val="00AD38F0"/>
    <w:rsid w:val="00AD395B"/>
    <w:rsid w:val="00AD4071"/>
    <w:rsid w:val="00AD44C6"/>
    <w:rsid w:val="00AD5B30"/>
    <w:rsid w:val="00AD5C3D"/>
    <w:rsid w:val="00AD6292"/>
    <w:rsid w:val="00AD7243"/>
    <w:rsid w:val="00AD749C"/>
    <w:rsid w:val="00AE0514"/>
    <w:rsid w:val="00AE070A"/>
    <w:rsid w:val="00AE0A27"/>
    <w:rsid w:val="00AE1469"/>
    <w:rsid w:val="00AE2974"/>
    <w:rsid w:val="00AE2B1A"/>
    <w:rsid w:val="00AE3CA7"/>
    <w:rsid w:val="00AE41C8"/>
    <w:rsid w:val="00AE460D"/>
    <w:rsid w:val="00AE7062"/>
    <w:rsid w:val="00AE764A"/>
    <w:rsid w:val="00AE7F82"/>
    <w:rsid w:val="00AF1177"/>
    <w:rsid w:val="00AF269D"/>
    <w:rsid w:val="00AF43A8"/>
    <w:rsid w:val="00AF67C4"/>
    <w:rsid w:val="00AF67F3"/>
    <w:rsid w:val="00AF71E9"/>
    <w:rsid w:val="00AF7AEF"/>
    <w:rsid w:val="00B01352"/>
    <w:rsid w:val="00B0428A"/>
    <w:rsid w:val="00B05C7B"/>
    <w:rsid w:val="00B06049"/>
    <w:rsid w:val="00B0725E"/>
    <w:rsid w:val="00B0760E"/>
    <w:rsid w:val="00B07B0C"/>
    <w:rsid w:val="00B107EE"/>
    <w:rsid w:val="00B10A25"/>
    <w:rsid w:val="00B10D3E"/>
    <w:rsid w:val="00B11381"/>
    <w:rsid w:val="00B120F9"/>
    <w:rsid w:val="00B126A7"/>
    <w:rsid w:val="00B135DE"/>
    <w:rsid w:val="00B141AB"/>
    <w:rsid w:val="00B20962"/>
    <w:rsid w:val="00B21EA5"/>
    <w:rsid w:val="00B23401"/>
    <w:rsid w:val="00B23CDB"/>
    <w:rsid w:val="00B243C2"/>
    <w:rsid w:val="00B25563"/>
    <w:rsid w:val="00B26D48"/>
    <w:rsid w:val="00B2789F"/>
    <w:rsid w:val="00B303FB"/>
    <w:rsid w:val="00B3136C"/>
    <w:rsid w:val="00B31DD3"/>
    <w:rsid w:val="00B33199"/>
    <w:rsid w:val="00B33B7C"/>
    <w:rsid w:val="00B345FF"/>
    <w:rsid w:val="00B35F4E"/>
    <w:rsid w:val="00B3789E"/>
    <w:rsid w:val="00B406C8"/>
    <w:rsid w:val="00B40949"/>
    <w:rsid w:val="00B40D80"/>
    <w:rsid w:val="00B41F7B"/>
    <w:rsid w:val="00B42A6C"/>
    <w:rsid w:val="00B42EE1"/>
    <w:rsid w:val="00B4302B"/>
    <w:rsid w:val="00B43A57"/>
    <w:rsid w:val="00B45A28"/>
    <w:rsid w:val="00B465F8"/>
    <w:rsid w:val="00B47A59"/>
    <w:rsid w:val="00B47B26"/>
    <w:rsid w:val="00B523BE"/>
    <w:rsid w:val="00B52A61"/>
    <w:rsid w:val="00B52C22"/>
    <w:rsid w:val="00B52D95"/>
    <w:rsid w:val="00B53412"/>
    <w:rsid w:val="00B5349B"/>
    <w:rsid w:val="00B55F3D"/>
    <w:rsid w:val="00B5649C"/>
    <w:rsid w:val="00B56B55"/>
    <w:rsid w:val="00B56D61"/>
    <w:rsid w:val="00B57995"/>
    <w:rsid w:val="00B579B2"/>
    <w:rsid w:val="00B57FBF"/>
    <w:rsid w:val="00B6184E"/>
    <w:rsid w:val="00B636B0"/>
    <w:rsid w:val="00B64D2C"/>
    <w:rsid w:val="00B67BAB"/>
    <w:rsid w:val="00B7138A"/>
    <w:rsid w:val="00B71641"/>
    <w:rsid w:val="00B71A50"/>
    <w:rsid w:val="00B76926"/>
    <w:rsid w:val="00B77462"/>
    <w:rsid w:val="00B775BE"/>
    <w:rsid w:val="00B81083"/>
    <w:rsid w:val="00B8293D"/>
    <w:rsid w:val="00B84597"/>
    <w:rsid w:val="00B87A49"/>
    <w:rsid w:val="00B9000F"/>
    <w:rsid w:val="00B91101"/>
    <w:rsid w:val="00B9128B"/>
    <w:rsid w:val="00B91CCA"/>
    <w:rsid w:val="00B91ECE"/>
    <w:rsid w:val="00B91F70"/>
    <w:rsid w:val="00B9239E"/>
    <w:rsid w:val="00B92478"/>
    <w:rsid w:val="00B943FB"/>
    <w:rsid w:val="00B947CD"/>
    <w:rsid w:val="00B95ED2"/>
    <w:rsid w:val="00B97463"/>
    <w:rsid w:val="00B97884"/>
    <w:rsid w:val="00BA0977"/>
    <w:rsid w:val="00BA1363"/>
    <w:rsid w:val="00BA13A1"/>
    <w:rsid w:val="00BA25B4"/>
    <w:rsid w:val="00BA2D48"/>
    <w:rsid w:val="00BA2F03"/>
    <w:rsid w:val="00BA46B3"/>
    <w:rsid w:val="00BA485E"/>
    <w:rsid w:val="00BA6188"/>
    <w:rsid w:val="00BB125B"/>
    <w:rsid w:val="00BB2D85"/>
    <w:rsid w:val="00BB35C2"/>
    <w:rsid w:val="00BB3850"/>
    <w:rsid w:val="00BB3BEF"/>
    <w:rsid w:val="00BB608E"/>
    <w:rsid w:val="00BB6851"/>
    <w:rsid w:val="00BB6C48"/>
    <w:rsid w:val="00BB7567"/>
    <w:rsid w:val="00BB7A62"/>
    <w:rsid w:val="00BC1CC3"/>
    <w:rsid w:val="00BC2080"/>
    <w:rsid w:val="00BC20EB"/>
    <w:rsid w:val="00BC2EA1"/>
    <w:rsid w:val="00BC361A"/>
    <w:rsid w:val="00BC3948"/>
    <w:rsid w:val="00BC3D09"/>
    <w:rsid w:val="00BC3EF1"/>
    <w:rsid w:val="00BC5C78"/>
    <w:rsid w:val="00BC61B5"/>
    <w:rsid w:val="00BC6731"/>
    <w:rsid w:val="00BC68C2"/>
    <w:rsid w:val="00BC71E8"/>
    <w:rsid w:val="00BC793C"/>
    <w:rsid w:val="00BC79F7"/>
    <w:rsid w:val="00BC7AFC"/>
    <w:rsid w:val="00BD2045"/>
    <w:rsid w:val="00BD24D7"/>
    <w:rsid w:val="00BD3450"/>
    <w:rsid w:val="00BD35A6"/>
    <w:rsid w:val="00BD3D7D"/>
    <w:rsid w:val="00BD46D3"/>
    <w:rsid w:val="00BD49F7"/>
    <w:rsid w:val="00BD5013"/>
    <w:rsid w:val="00BD5C94"/>
    <w:rsid w:val="00BD61A2"/>
    <w:rsid w:val="00BD6796"/>
    <w:rsid w:val="00BD721C"/>
    <w:rsid w:val="00BD7385"/>
    <w:rsid w:val="00BE12D3"/>
    <w:rsid w:val="00BE19B7"/>
    <w:rsid w:val="00BE2366"/>
    <w:rsid w:val="00BE2AB4"/>
    <w:rsid w:val="00BE47EE"/>
    <w:rsid w:val="00BE484D"/>
    <w:rsid w:val="00BE4DDF"/>
    <w:rsid w:val="00BE4FE1"/>
    <w:rsid w:val="00BE6042"/>
    <w:rsid w:val="00BE6FEF"/>
    <w:rsid w:val="00BE7044"/>
    <w:rsid w:val="00BF0AA6"/>
    <w:rsid w:val="00BF220C"/>
    <w:rsid w:val="00BF2596"/>
    <w:rsid w:val="00BF2861"/>
    <w:rsid w:val="00BF35C8"/>
    <w:rsid w:val="00BF3931"/>
    <w:rsid w:val="00BF3A1E"/>
    <w:rsid w:val="00BF560F"/>
    <w:rsid w:val="00BF5689"/>
    <w:rsid w:val="00BF6697"/>
    <w:rsid w:val="00BF7466"/>
    <w:rsid w:val="00BF7CBE"/>
    <w:rsid w:val="00C00B11"/>
    <w:rsid w:val="00C00FF7"/>
    <w:rsid w:val="00C01124"/>
    <w:rsid w:val="00C029A4"/>
    <w:rsid w:val="00C02A7B"/>
    <w:rsid w:val="00C0333A"/>
    <w:rsid w:val="00C03A04"/>
    <w:rsid w:val="00C04D43"/>
    <w:rsid w:val="00C068F3"/>
    <w:rsid w:val="00C07960"/>
    <w:rsid w:val="00C11231"/>
    <w:rsid w:val="00C12998"/>
    <w:rsid w:val="00C138DE"/>
    <w:rsid w:val="00C151BA"/>
    <w:rsid w:val="00C15DD3"/>
    <w:rsid w:val="00C16A4A"/>
    <w:rsid w:val="00C173AB"/>
    <w:rsid w:val="00C20E2C"/>
    <w:rsid w:val="00C213A0"/>
    <w:rsid w:val="00C2158F"/>
    <w:rsid w:val="00C21BE7"/>
    <w:rsid w:val="00C22697"/>
    <w:rsid w:val="00C22B14"/>
    <w:rsid w:val="00C22DC7"/>
    <w:rsid w:val="00C24515"/>
    <w:rsid w:val="00C24EDE"/>
    <w:rsid w:val="00C25B40"/>
    <w:rsid w:val="00C260C6"/>
    <w:rsid w:val="00C26DB8"/>
    <w:rsid w:val="00C32BBA"/>
    <w:rsid w:val="00C33F73"/>
    <w:rsid w:val="00C343EE"/>
    <w:rsid w:val="00C34D9B"/>
    <w:rsid w:val="00C3597D"/>
    <w:rsid w:val="00C35FBB"/>
    <w:rsid w:val="00C37E05"/>
    <w:rsid w:val="00C40A6B"/>
    <w:rsid w:val="00C4270A"/>
    <w:rsid w:val="00C42A7F"/>
    <w:rsid w:val="00C42BA7"/>
    <w:rsid w:val="00C44161"/>
    <w:rsid w:val="00C4723C"/>
    <w:rsid w:val="00C47789"/>
    <w:rsid w:val="00C50544"/>
    <w:rsid w:val="00C51974"/>
    <w:rsid w:val="00C51D73"/>
    <w:rsid w:val="00C5202B"/>
    <w:rsid w:val="00C52172"/>
    <w:rsid w:val="00C52D58"/>
    <w:rsid w:val="00C552BE"/>
    <w:rsid w:val="00C5554A"/>
    <w:rsid w:val="00C55D29"/>
    <w:rsid w:val="00C561E0"/>
    <w:rsid w:val="00C56614"/>
    <w:rsid w:val="00C56F2E"/>
    <w:rsid w:val="00C57D4C"/>
    <w:rsid w:val="00C601CC"/>
    <w:rsid w:val="00C603BE"/>
    <w:rsid w:val="00C610A9"/>
    <w:rsid w:val="00C62B3A"/>
    <w:rsid w:val="00C6465C"/>
    <w:rsid w:val="00C66A86"/>
    <w:rsid w:val="00C67CAE"/>
    <w:rsid w:val="00C67F89"/>
    <w:rsid w:val="00C71265"/>
    <w:rsid w:val="00C73B22"/>
    <w:rsid w:val="00C73B7B"/>
    <w:rsid w:val="00C74414"/>
    <w:rsid w:val="00C765AD"/>
    <w:rsid w:val="00C80F10"/>
    <w:rsid w:val="00C8274C"/>
    <w:rsid w:val="00C83BF0"/>
    <w:rsid w:val="00C83DB6"/>
    <w:rsid w:val="00C848DF"/>
    <w:rsid w:val="00C84FA0"/>
    <w:rsid w:val="00C85EF0"/>
    <w:rsid w:val="00C86724"/>
    <w:rsid w:val="00C86F6D"/>
    <w:rsid w:val="00C87664"/>
    <w:rsid w:val="00C90DE6"/>
    <w:rsid w:val="00C90F18"/>
    <w:rsid w:val="00C92815"/>
    <w:rsid w:val="00C93F9D"/>
    <w:rsid w:val="00C948D8"/>
    <w:rsid w:val="00C95A7C"/>
    <w:rsid w:val="00CA0456"/>
    <w:rsid w:val="00CA0696"/>
    <w:rsid w:val="00CA0BE9"/>
    <w:rsid w:val="00CA0D7A"/>
    <w:rsid w:val="00CA138D"/>
    <w:rsid w:val="00CA1394"/>
    <w:rsid w:val="00CA23F3"/>
    <w:rsid w:val="00CA27B4"/>
    <w:rsid w:val="00CA52E2"/>
    <w:rsid w:val="00CA57C7"/>
    <w:rsid w:val="00CA57D9"/>
    <w:rsid w:val="00CA5D67"/>
    <w:rsid w:val="00CB0217"/>
    <w:rsid w:val="00CB151E"/>
    <w:rsid w:val="00CB2222"/>
    <w:rsid w:val="00CB3734"/>
    <w:rsid w:val="00CB39B7"/>
    <w:rsid w:val="00CB5611"/>
    <w:rsid w:val="00CB684F"/>
    <w:rsid w:val="00CB6E78"/>
    <w:rsid w:val="00CC03E3"/>
    <w:rsid w:val="00CC0FDF"/>
    <w:rsid w:val="00CC1851"/>
    <w:rsid w:val="00CC220F"/>
    <w:rsid w:val="00CC24E6"/>
    <w:rsid w:val="00CC2AFE"/>
    <w:rsid w:val="00CC39DE"/>
    <w:rsid w:val="00CC3F31"/>
    <w:rsid w:val="00CC4D38"/>
    <w:rsid w:val="00CC53D8"/>
    <w:rsid w:val="00CC5B06"/>
    <w:rsid w:val="00CC7641"/>
    <w:rsid w:val="00CC7945"/>
    <w:rsid w:val="00CD09C9"/>
    <w:rsid w:val="00CD3C05"/>
    <w:rsid w:val="00CD4146"/>
    <w:rsid w:val="00CD5622"/>
    <w:rsid w:val="00CD5A2B"/>
    <w:rsid w:val="00CD6578"/>
    <w:rsid w:val="00CD6A91"/>
    <w:rsid w:val="00CD79F2"/>
    <w:rsid w:val="00CE00FC"/>
    <w:rsid w:val="00CE0B46"/>
    <w:rsid w:val="00CE1105"/>
    <w:rsid w:val="00CE1812"/>
    <w:rsid w:val="00CE1BA5"/>
    <w:rsid w:val="00CE2853"/>
    <w:rsid w:val="00CE2C27"/>
    <w:rsid w:val="00CE495B"/>
    <w:rsid w:val="00CE4E71"/>
    <w:rsid w:val="00CE4EFB"/>
    <w:rsid w:val="00CE525E"/>
    <w:rsid w:val="00CE53EB"/>
    <w:rsid w:val="00CE5B3C"/>
    <w:rsid w:val="00CE65F1"/>
    <w:rsid w:val="00CE6AA9"/>
    <w:rsid w:val="00CE789D"/>
    <w:rsid w:val="00CE7D19"/>
    <w:rsid w:val="00CE7F34"/>
    <w:rsid w:val="00CF0681"/>
    <w:rsid w:val="00CF2515"/>
    <w:rsid w:val="00CF28B0"/>
    <w:rsid w:val="00CF2C23"/>
    <w:rsid w:val="00CF2FFE"/>
    <w:rsid w:val="00CF3E79"/>
    <w:rsid w:val="00CF5BCA"/>
    <w:rsid w:val="00D00E80"/>
    <w:rsid w:val="00D01C5A"/>
    <w:rsid w:val="00D03217"/>
    <w:rsid w:val="00D040D2"/>
    <w:rsid w:val="00D04596"/>
    <w:rsid w:val="00D058CE"/>
    <w:rsid w:val="00D0608A"/>
    <w:rsid w:val="00D074A2"/>
    <w:rsid w:val="00D1106F"/>
    <w:rsid w:val="00D1264E"/>
    <w:rsid w:val="00D13107"/>
    <w:rsid w:val="00D13794"/>
    <w:rsid w:val="00D13F4C"/>
    <w:rsid w:val="00D14DCD"/>
    <w:rsid w:val="00D15B05"/>
    <w:rsid w:val="00D218E7"/>
    <w:rsid w:val="00D22C3D"/>
    <w:rsid w:val="00D2305A"/>
    <w:rsid w:val="00D235C0"/>
    <w:rsid w:val="00D24052"/>
    <w:rsid w:val="00D2415E"/>
    <w:rsid w:val="00D24386"/>
    <w:rsid w:val="00D256DB"/>
    <w:rsid w:val="00D2622F"/>
    <w:rsid w:val="00D26937"/>
    <w:rsid w:val="00D275E3"/>
    <w:rsid w:val="00D30CC8"/>
    <w:rsid w:val="00D31575"/>
    <w:rsid w:val="00D31A89"/>
    <w:rsid w:val="00D34626"/>
    <w:rsid w:val="00D34FB4"/>
    <w:rsid w:val="00D359BA"/>
    <w:rsid w:val="00D36676"/>
    <w:rsid w:val="00D407C2"/>
    <w:rsid w:val="00D41B0D"/>
    <w:rsid w:val="00D4227D"/>
    <w:rsid w:val="00D4257A"/>
    <w:rsid w:val="00D431A3"/>
    <w:rsid w:val="00D456A9"/>
    <w:rsid w:val="00D50341"/>
    <w:rsid w:val="00D52798"/>
    <w:rsid w:val="00D52D55"/>
    <w:rsid w:val="00D52D61"/>
    <w:rsid w:val="00D53559"/>
    <w:rsid w:val="00D544F4"/>
    <w:rsid w:val="00D5468A"/>
    <w:rsid w:val="00D54AF4"/>
    <w:rsid w:val="00D5717B"/>
    <w:rsid w:val="00D61745"/>
    <w:rsid w:val="00D6197D"/>
    <w:rsid w:val="00D6201D"/>
    <w:rsid w:val="00D6209C"/>
    <w:rsid w:val="00D62500"/>
    <w:rsid w:val="00D62665"/>
    <w:rsid w:val="00D626F1"/>
    <w:rsid w:val="00D629F6"/>
    <w:rsid w:val="00D6398C"/>
    <w:rsid w:val="00D64155"/>
    <w:rsid w:val="00D643DA"/>
    <w:rsid w:val="00D645AC"/>
    <w:rsid w:val="00D64E7F"/>
    <w:rsid w:val="00D65545"/>
    <w:rsid w:val="00D66141"/>
    <w:rsid w:val="00D66392"/>
    <w:rsid w:val="00D66C71"/>
    <w:rsid w:val="00D66D7C"/>
    <w:rsid w:val="00D70205"/>
    <w:rsid w:val="00D71F8D"/>
    <w:rsid w:val="00D735EF"/>
    <w:rsid w:val="00D74193"/>
    <w:rsid w:val="00D7441B"/>
    <w:rsid w:val="00D75D6A"/>
    <w:rsid w:val="00D75EFC"/>
    <w:rsid w:val="00D7609F"/>
    <w:rsid w:val="00D76E5F"/>
    <w:rsid w:val="00D77085"/>
    <w:rsid w:val="00D80B17"/>
    <w:rsid w:val="00D80C6D"/>
    <w:rsid w:val="00D81AA7"/>
    <w:rsid w:val="00D82E47"/>
    <w:rsid w:val="00D83E94"/>
    <w:rsid w:val="00D84511"/>
    <w:rsid w:val="00D84A01"/>
    <w:rsid w:val="00D8691F"/>
    <w:rsid w:val="00D91492"/>
    <w:rsid w:val="00D9384F"/>
    <w:rsid w:val="00D955E6"/>
    <w:rsid w:val="00D95FDD"/>
    <w:rsid w:val="00D9637C"/>
    <w:rsid w:val="00D96C68"/>
    <w:rsid w:val="00D96F2A"/>
    <w:rsid w:val="00D977EA"/>
    <w:rsid w:val="00DA1BFE"/>
    <w:rsid w:val="00DA208F"/>
    <w:rsid w:val="00DA3A92"/>
    <w:rsid w:val="00DA5F53"/>
    <w:rsid w:val="00DA6D6A"/>
    <w:rsid w:val="00DA7C3B"/>
    <w:rsid w:val="00DB148C"/>
    <w:rsid w:val="00DB1A31"/>
    <w:rsid w:val="00DB1BE2"/>
    <w:rsid w:val="00DB202E"/>
    <w:rsid w:val="00DB250B"/>
    <w:rsid w:val="00DB49C0"/>
    <w:rsid w:val="00DB4F78"/>
    <w:rsid w:val="00DC027B"/>
    <w:rsid w:val="00DC0CDE"/>
    <w:rsid w:val="00DC1A85"/>
    <w:rsid w:val="00DC1C51"/>
    <w:rsid w:val="00DC2019"/>
    <w:rsid w:val="00DC3763"/>
    <w:rsid w:val="00DC3D6B"/>
    <w:rsid w:val="00DC470C"/>
    <w:rsid w:val="00DC498E"/>
    <w:rsid w:val="00DC4D72"/>
    <w:rsid w:val="00DC5080"/>
    <w:rsid w:val="00DC6525"/>
    <w:rsid w:val="00DC7018"/>
    <w:rsid w:val="00DD033E"/>
    <w:rsid w:val="00DD12B0"/>
    <w:rsid w:val="00DD290C"/>
    <w:rsid w:val="00DD31B1"/>
    <w:rsid w:val="00DD3851"/>
    <w:rsid w:val="00DD4719"/>
    <w:rsid w:val="00DD4F48"/>
    <w:rsid w:val="00DD5610"/>
    <w:rsid w:val="00DD6058"/>
    <w:rsid w:val="00DD668C"/>
    <w:rsid w:val="00DD6CDA"/>
    <w:rsid w:val="00DE191D"/>
    <w:rsid w:val="00DE3B4D"/>
    <w:rsid w:val="00DE40DB"/>
    <w:rsid w:val="00DE42EA"/>
    <w:rsid w:val="00DE4985"/>
    <w:rsid w:val="00DE5B0A"/>
    <w:rsid w:val="00DE6469"/>
    <w:rsid w:val="00DE740C"/>
    <w:rsid w:val="00DF0CB3"/>
    <w:rsid w:val="00DF1681"/>
    <w:rsid w:val="00DF23A4"/>
    <w:rsid w:val="00DF2697"/>
    <w:rsid w:val="00DF2D84"/>
    <w:rsid w:val="00DF494C"/>
    <w:rsid w:val="00DF6D0B"/>
    <w:rsid w:val="00DF7E0D"/>
    <w:rsid w:val="00E01DC8"/>
    <w:rsid w:val="00E02546"/>
    <w:rsid w:val="00E02CF9"/>
    <w:rsid w:val="00E046DD"/>
    <w:rsid w:val="00E0624D"/>
    <w:rsid w:val="00E063E9"/>
    <w:rsid w:val="00E07031"/>
    <w:rsid w:val="00E108FB"/>
    <w:rsid w:val="00E15404"/>
    <w:rsid w:val="00E16661"/>
    <w:rsid w:val="00E179D4"/>
    <w:rsid w:val="00E17D72"/>
    <w:rsid w:val="00E20023"/>
    <w:rsid w:val="00E20A34"/>
    <w:rsid w:val="00E2141D"/>
    <w:rsid w:val="00E21F0B"/>
    <w:rsid w:val="00E2221B"/>
    <w:rsid w:val="00E2324E"/>
    <w:rsid w:val="00E23277"/>
    <w:rsid w:val="00E24AF6"/>
    <w:rsid w:val="00E255F2"/>
    <w:rsid w:val="00E25BF8"/>
    <w:rsid w:val="00E269BA"/>
    <w:rsid w:val="00E269EE"/>
    <w:rsid w:val="00E2718F"/>
    <w:rsid w:val="00E275A1"/>
    <w:rsid w:val="00E30C88"/>
    <w:rsid w:val="00E313F9"/>
    <w:rsid w:val="00E32034"/>
    <w:rsid w:val="00E353A3"/>
    <w:rsid w:val="00E35C9D"/>
    <w:rsid w:val="00E365A0"/>
    <w:rsid w:val="00E365CE"/>
    <w:rsid w:val="00E37FF7"/>
    <w:rsid w:val="00E40300"/>
    <w:rsid w:val="00E40982"/>
    <w:rsid w:val="00E41289"/>
    <w:rsid w:val="00E42DA9"/>
    <w:rsid w:val="00E43348"/>
    <w:rsid w:val="00E43960"/>
    <w:rsid w:val="00E4427A"/>
    <w:rsid w:val="00E4438C"/>
    <w:rsid w:val="00E457F3"/>
    <w:rsid w:val="00E46974"/>
    <w:rsid w:val="00E4748D"/>
    <w:rsid w:val="00E476D3"/>
    <w:rsid w:val="00E47D41"/>
    <w:rsid w:val="00E47DFB"/>
    <w:rsid w:val="00E47E1F"/>
    <w:rsid w:val="00E47E28"/>
    <w:rsid w:val="00E50384"/>
    <w:rsid w:val="00E50663"/>
    <w:rsid w:val="00E508C5"/>
    <w:rsid w:val="00E508FF"/>
    <w:rsid w:val="00E515C0"/>
    <w:rsid w:val="00E51AE9"/>
    <w:rsid w:val="00E5374A"/>
    <w:rsid w:val="00E53F04"/>
    <w:rsid w:val="00E542D8"/>
    <w:rsid w:val="00E54BE3"/>
    <w:rsid w:val="00E557E4"/>
    <w:rsid w:val="00E55A48"/>
    <w:rsid w:val="00E55F9B"/>
    <w:rsid w:val="00E566D8"/>
    <w:rsid w:val="00E576F5"/>
    <w:rsid w:val="00E57A6A"/>
    <w:rsid w:val="00E57B9C"/>
    <w:rsid w:val="00E61BD2"/>
    <w:rsid w:val="00E632BD"/>
    <w:rsid w:val="00E6392A"/>
    <w:rsid w:val="00E647C3"/>
    <w:rsid w:val="00E6506C"/>
    <w:rsid w:val="00E65B33"/>
    <w:rsid w:val="00E6703A"/>
    <w:rsid w:val="00E71BAA"/>
    <w:rsid w:val="00E725A8"/>
    <w:rsid w:val="00E73CC1"/>
    <w:rsid w:val="00E74C5C"/>
    <w:rsid w:val="00E778A0"/>
    <w:rsid w:val="00E805C0"/>
    <w:rsid w:val="00E81EF5"/>
    <w:rsid w:val="00E83B89"/>
    <w:rsid w:val="00E84468"/>
    <w:rsid w:val="00E86357"/>
    <w:rsid w:val="00E86488"/>
    <w:rsid w:val="00E86824"/>
    <w:rsid w:val="00E86E12"/>
    <w:rsid w:val="00E86F1F"/>
    <w:rsid w:val="00E87284"/>
    <w:rsid w:val="00E877AF"/>
    <w:rsid w:val="00E87BD7"/>
    <w:rsid w:val="00E90FEB"/>
    <w:rsid w:val="00E913B8"/>
    <w:rsid w:val="00E91918"/>
    <w:rsid w:val="00E91A52"/>
    <w:rsid w:val="00E925FB"/>
    <w:rsid w:val="00E95C0F"/>
    <w:rsid w:val="00E97664"/>
    <w:rsid w:val="00E97FBB"/>
    <w:rsid w:val="00EA1633"/>
    <w:rsid w:val="00EA1807"/>
    <w:rsid w:val="00EA27E8"/>
    <w:rsid w:val="00EA2AB9"/>
    <w:rsid w:val="00EA2C00"/>
    <w:rsid w:val="00EA2C07"/>
    <w:rsid w:val="00EA31DD"/>
    <w:rsid w:val="00EA46D7"/>
    <w:rsid w:val="00EA4BF5"/>
    <w:rsid w:val="00EA4DD8"/>
    <w:rsid w:val="00EA521B"/>
    <w:rsid w:val="00EA53E7"/>
    <w:rsid w:val="00EA5655"/>
    <w:rsid w:val="00EA63D3"/>
    <w:rsid w:val="00EA683F"/>
    <w:rsid w:val="00EA77A7"/>
    <w:rsid w:val="00EA7959"/>
    <w:rsid w:val="00EA7EEF"/>
    <w:rsid w:val="00EB1E66"/>
    <w:rsid w:val="00EB2AEF"/>
    <w:rsid w:val="00EB2BED"/>
    <w:rsid w:val="00EB35CC"/>
    <w:rsid w:val="00EB36C3"/>
    <w:rsid w:val="00EB5DDE"/>
    <w:rsid w:val="00EB61AE"/>
    <w:rsid w:val="00EB6C29"/>
    <w:rsid w:val="00EB7E71"/>
    <w:rsid w:val="00EC039E"/>
    <w:rsid w:val="00EC0536"/>
    <w:rsid w:val="00EC1331"/>
    <w:rsid w:val="00EC1F57"/>
    <w:rsid w:val="00EC430E"/>
    <w:rsid w:val="00EC4B0D"/>
    <w:rsid w:val="00EC5766"/>
    <w:rsid w:val="00EC7476"/>
    <w:rsid w:val="00ED0CB6"/>
    <w:rsid w:val="00ED123E"/>
    <w:rsid w:val="00ED1F15"/>
    <w:rsid w:val="00ED216B"/>
    <w:rsid w:val="00ED2F7F"/>
    <w:rsid w:val="00ED3162"/>
    <w:rsid w:val="00ED3168"/>
    <w:rsid w:val="00ED3D96"/>
    <w:rsid w:val="00ED48D7"/>
    <w:rsid w:val="00ED56A2"/>
    <w:rsid w:val="00ED6985"/>
    <w:rsid w:val="00ED75B6"/>
    <w:rsid w:val="00EE37EE"/>
    <w:rsid w:val="00EE4A1C"/>
    <w:rsid w:val="00EE4B38"/>
    <w:rsid w:val="00EE5102"/>
    <w:rsid w:val="00EE5883"/>
    <w:rsid w:val="00EE5E33"/>
    <w:rsid w:val="00EE6104"/>
    <w:rsid w:val="00EF229D"/>
    <w:rsid w:val="00EF2788"/>
    <w:rsid w:val="00EF307F"/>
    <w:rsid w:val="00EF3103"/>
    <w:rsid w:val="00EF36A7"/>
    <w:rsid w:val="00EF431C"/>
    <w:rsid w:val="00EF6532"/>
    <w:rsid w:val="00EF6E9B"/>
    <w:rsid w:val="00EF7714"/>
    <w:rsid w:val="00F0060C"/>
    <w:rsid w:val="00F009B7"/>
    <w:rsid w:val="00F00F6A"/>
    <w:rsid w:val="00F01313"/>
    <w:rsid w:val="00F01AE6"/>
    <w:rsid w:val="00F01EC0"/>
    <w:rsid w:val="00F023DB"/>
    <w:rsid w:val="00F03A11"/>
    <w:rsid w:val="00F056D2"/>
    <w:rsid w:val="00F068C5"/>
    <w:rsid w:val="00F109D4"/>
    <w:rsid w:val="00F109DE"/>
    <w:rsid w:val="00F10A6F"/>
    <w:rsid w:val="00F11DE4"/>
    <w:rsid w:val="00F1276D"/>
    <w:rsid w:val="00F13C87"/>
    <w:rsid w:val="00F15EE9"/>
    <w:rsid w:val="00F167E2"/>
    <w:rsid w:val="00F169BA"/>
    <w:rsid w:val="00F16D34"/>
    <w:rsid w:val="00F2027E"/>
    <w:rsid w:val="00F2381C"/>
    <w:rsid w:val="00F23A7A"/>
    <w:rsid w:val="00F245AB"/>
    <w:rsid w:val="00F24736"/>
    <w:rsid w:val="00F24908"/>
    <w:rsid w:val="00F25040"/>
    <w:rsid w:val="00F27344"/>
    <w:rsid w:val="00F27488"/>
    <w:rsid w:val="00F27FF0"/>
    <w:rsid w:val="00F3028C"/>
    <w:rsid w:val="00F31CA4"/>
    <w:rsid w:val="00F32338"/>
    <w:rsid w:val="00F32C21"/>
    <w:rsid w:val="00F33E5F"/>
    <w:rsid w:val="00F343AA"/>
    <w:rsid w:val="00F34E88"/>
    <w:rsid w:val="00F356D2"/>
    <w:rsid w:val="00F37BF6"/>
    <w:rsid w:val="00F4138F"/>
    <w:rsid w:val="00F4241B"/>
    <w:rsid w:val="00F45924"/>
    <w:rsid w:val="00F46704"/>
    <w:rsid w:val="00F46C17"/>
    <w:rsid w:val="00F4753D"/>
    <w:rsid w:val="00F47585"/>
    <w:rsid w:val="00F51210"/>
    <w:rsid w:val="00F53C76"/>
    <w:rsid w:val="00F54B57"/>
    <w:rsid w:val="00F55A4A"/>
    <w:rsid w:val="00F56932"/>
    <w:rsid w:val="00F6106E"/>
    <w:rsid w:val="00F61528"/>
    <w:rsid w:val="00F61E94"/>
    <w:rsid w:val="00F6249C"/>
    <w:rsid w:val="00F630FB"/>
    <w:rsid w:val="00F65ADD"/>
    <w:rsid w:val="00F66DA9"/>
    <w:rsid w:val="00F66FF3"/>
    <w:rsid w:val="00F678B8"/>
    <w:rsid w:val="00F67C45"/>
    <w:rsid w:val="00F7053A"/>
    <w:rsid w:val="00F7078E"/>
    <w:rsid w:val="00F71489"/>
    <w:rsid w:val="00F71FD7"/>
    <w:rsid w:val="00F74485"/>
    <w:rsid w:val="00F75BDB"/>
    <w:rsid w:val="00F7622C"/>
    <w:rsid w:val="00F809F4"/>
    <w:rsid w:val="00F81232"/>
    <w:rsid w:val="00F81293"/>
    <w:rsid w:val="00F8291C"/>
    <w:rsid w:val="00F82CFD"/>
    <w:rsid w:val="00F8356B"/>
    <w:rsid w:val="00F83C5B"/>
    <w:rsid w:val="00F85E62"/>
    <w:rsid w:val="00F85E6F"/>
    <w:rsid w:val="00F86233"/>
    <w:rsid w:val="00F86824"/>
    <w:rsid w:val="00F877C9"/>
    <w:rsid w:val="00F90720"/>
    <w:rsid w:val="00F90BC5"/>
    <w:rsid w:val="00F9110D"/>
    <w:rsid w:val="00F91A5A"/>
    <w:rsid w:val="00F91E65"/>
    <w:rsid w:val="00F932CA"/>
    <w:rsid w:val="00F934A2"/>
    <w:rsid w:val="00F937A6"/>
    <w:rsid w:val="00F95449"/>
    <w:rsid w:val="00F955E9"/>
    <w:rsid w:val="00F970FB"/>
    <w:rsid w:val="00FA169D"/>
    <w:rsid w:val="00FA1942"/>
    <w:rsid w:val="00FA380A"/>
    <w:rsid w:val="00FA3C79"/>
    <w:rsid w:val="00FA4E63"/>
    <w:rsid w:val="00FA5439"/>
    <w:rsid w:val="00FA6A2D"/>
    <w:rsid w:val="00FA7EB8"/>
    <w:rsid w:val="00FB0DEE"/>
    <w:rsid w:val="00FB4ACF"/>
    <w:rsid w:val="00FB4DCA"/>
    <w:rsid w:val="00FB502E"/>
    <w:rsid w:val="00FB5948"/>
    <w:rsid w:val="00FB5B61"/>
    <w:rsid w:val="00FB607E"/>
    <w:rsid w:val="00FC00F2"/>
    <w:rsid w:val="00FC2CB5"/>
    <w:rsid w:val="00FC37FD"/>
    <w:rsid w:val="00FC38D9"/>
    <w:rsid w:val="00FC3A8F"/>
    <w:rsid w:val="00FC4BE9"/>
    <w:rsid w:val="00FC595E"/>
    <w:rsid w:val="00FC77DF"/>
    <w:rsid w:val="00FD0B7E"/>
    <w:rsid w:val="00FD19F7"/>
    <w:rsid w:val="00FD1AFF"/>
    <w:rsid w:val="00FD24EF"/>
    <w:rsid w:val="00FD3C9F"/>
    <w:rsid w:val="00FD5824"/>
    <w:rsid w:val="00FD5EEB"/>
    <w:rsid w:val="00FD7402"/>
    <w:rsid w:val="00FD796A"/>
    <w:rsid w:val="00FE04E4"/>
    <w:rsid w:val="00FE0519"/>
    <w:rsid w:val="00FE0686"/>
    <w:rsid w:val="00FE2AAA"/>
    <w:rsid w:val="00FE2DD7"/>
    <w:rsid w:val="00FE4B4A"/>
    <w:rsid w:val="00FE70EB"/>
    <w:rsid w:val="00FE73F9"/>
    <w:rsid w:val="00FF0BB2"/>
    <w:rsid w:val="00FF1057"/>
    <w:rsid w:val="00FF1378"/>
    <w:rsid w:val="00FF39D4"/>
    <w:rsid w:val="00FF3E25"/>
    <w:rsid w:val="00FF4CAF"/>
    <w:rsid w:val="00FF5FD8"/>
    <w:rsid w:val="00FF6014"/>
    <w:rsid w:val="00FF622F"/>
    <w:rsid w:val="00FF7A93"/>
    <w:rsid w:val="0D4E37F4"/>
    <w:rsid w:val="1EBCFD50"/>
    <w:rsid w:val="225A35A8"/>
    <w:rsid w:val="37223C32"/>
    <w:rsid w:val="3B474F28"/>
    <w:rsid w:val="546284A3"/>
    <w:rsid w:val="64705D7E"/>
    <w:rsid w:val="68C92520"/>
    <w:rsid w:val="68FF61C6"/>
    <w:rsid w:val="7B5FC2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0AE28"/>
  <w15:docId w15:val="{1AACFF4D-FFB9-4AF6-B2B8-35738D69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Strong">
    <w:name w:val="Strong"/>
    <w:basedOn w:val="DefaultParagraphFont"/>
    <w:uiPriority w:val="22"/>
    <w:qFormat/>
    <w:rsid w:val="00537C5E"/>
    <w:rPr>
      <w:b/>
      <w:bCs/>
    </w:rPr>
  </w:style>
  <w:style w:type="paragraph" w:customStyle="1" w:styleId="listparagraph0">
    <w:name w:val="listparagraph"/>
    <w:basedOn w:val="Normal"/>
    <w:rsid w:val="00C83BF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61">
      <w:bodyDiv w:val="1"/>
      <w:marLeft w:val="0"/>
      <w:marRight w:val="0"/>
      <w:marTop w:val="0"/>
      <w:marBottom w:val="0"/>
      <w:divBdr>
        <w:top w:val="none" w:sz="0" w:space="0" w:color="auto"/>
        <w:left w:val="none" w:sz="0" w:space="0" w:color="auto"/>
        <w:bottom w:val="none" w:sz="0" w:space="0" w:color="auto"/>
        <w:right w:val="none" w:sz="0" w:space="0" w:color="auto"/>
      </w:divBdr>
      <w:divsChild>
        <w:div w:id="617876765">
          <w:marLeft w:val="0"/>
          <w:marRight w:val="0"/>
          <w:marTop w:val="0"/>
          <w:marBottom w:val="0"/>
          <w:divBdr>
            <w:top w:val="none" w:sz="0" w:space="0" w:color="auto"/>
            <w:left w:val="none" w:sz="0" w:space="0" w:color="auto"/>
            <w:bottom w:val="none" w:sz="0" w:space="0" w:color="auto"/>
            <w:right w:val="none" w:sz="0" w:space="0" w:color="auto"/>
          </w:divBdr>
          <w:divsChild>
            <w:div w:id="657685924">
              <w:marLeft w:val="0"/>
              <w:marRight w:val="0"/>
              <w:marTop w:val="0"/>
              <w:marBottom w:val="0"/>
              <w:divBdr>
                <w:top w:val="none" w:sz="0" w:space="0" w:color="auto"/>
                <w:left w:val="none" w:sz="0" w:space="0" w:color="auto"/>
                <w:bottom w:val="none" w:sz="0" w:space="0" w:color="auto"/>
                <w:right w:val="none" w:sz="0" w:space="0" w:color="auto"/>
              </w:divBdr>
              <w:divsChild>
                <w:div w:id="274020127">
                  <w:marLeft w:val="0"/>
                  <w:marRight w:val="0"/>
                  <w:marTop w:val="0"/>
                  <w:marBottom w:val="0"/>
                  <w:divBdr>
                    <w:top w:val="none" w:sz="0" w:space="0" w:color="auto"/>
                    <w:left w:val="none" w:sz="0" w:space="0" w:color="auto"/>
                    <w:bottom w:val="none" w:sz="0" w:space="0" w:color="auto"/>
                    <w:right w:val="none" w:sz="0" w:space="0" w:color="auto"/>
                  </w:divBdr>
                </w:div>
              </w:divsChild>
            </w:div>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 w:id="869296592">
          <w:marLeft w:val="0"/>
          <w:marRight w:val="0"/>
          <w:marTop w:val="0"/>
          <w:marBottom w:val="0"/>
          <w:divBdr>
            <w:top w:val="none" w:sz="0" w:space="0" w:color="auto"/>
            <w:left w:val="none" w:sz="0" w:space="0" w:color="auto"/>
            <w:bottom w:val="none" w:sz="0" w:space="0" w:color="auto"/>
            <w:right w:val="none" w:sz="0" w:space="0" w:color="auto"/>
          </w:divBdr>
          <w:divsChild>
            <w:div w:id="486671384">
              <w:marLeft w:val="0"/>
              <w:marRight w:val="0"/>
              <w:marTop w:val="0"/>
              <w:marBottom w:val="0"/>
              <w:divBdr>
                <w:top w:val="none" w:sz="0" w:space="0" w:color="auto"/>
                <w:left w:val="none" w:sz="0" w:space="0" w:color="auto"/>
                <w:bottom w:val="none" w:sz="0" w:space="0" w:color="auto"/>
                <w:right w:val="none" w:sz="0" w:space="0" w:color="auto"/>
              </w:divBdr>
              <w:divsChild>
                <w:div w:id="18284958">
                  <w:marLeft w:val="0"/>
                  <w:marRight w:val="0"/>
                  <w:marTop w:val="0"/>
                  <w:marBottom w:val="0"/>
                  <w:divBdr>
                    <w:top w:val="none" w:sz="0" w:space="0" w:color="auto"/>
                    <w:left w:val="none" w:sz="0" w:space="0" w:color="auto"/>
                    <w:bottom w:val="none" w:sz="0" w:space="0" w:color="auto"/>
                    <w:right w:val="none" w:sz="0" w:space="0" w:color="auto"/>
                  </w:divBdr>
                </w:div>
              </w:divsChild>
            </w:div>
            <w:div w:id="1602957950">
              <w:marLeft w:val="0"/>
              <w:marRight w:val="0"/>
              <w:marTop w:val="0"/>
              <w:marBottom w:val="0"/>
              <w:divBdr>
                <w:top w:val="none" w:sz="0" w:space="0" w:color="auto"/>
                <w:left w:val="none" w:sz="0" w:space="0" w:color="auto"/>
                <w:bottom w:val="none" w:sz="0" w:space="0" w:color="auto"/>
                <w:right w:val="none" w:sz="0" w:space="0" w:color="auto"/>
              </w:divBdr>
              <w:divsChild>
                <w:div w:id="1734885566">
                  <w:marLeft w:val="0"/>
                  <w:marRight w:val="0"/>
                  <w:marTop w:val="0"/>
                  <w:marBottom w:val="0"/>
                  <w:divBdr>
                    <w:top w:val="none" w:sz="0" w:space="0" w:color="auto"/>
                    <w:left w:val="none" w:sz="0" w:space="0" w:color="auto"/>
                    <w:bottom w:val="none" w:sz="0" w:space="0" w:color="auto"/>
                    <w:right w:val="none" w:sz="0" w:space="0" w:color="auto"/>
                  </w:divBdr>
                  <w:divsChild>
                    <w:div w:id="337343585">
                      <w:marLeft w:val="0"/>
                      <w:marRight w:val="0"/>
                      <w:marTop w:val="0"/>
                      <w:marBottom w:val="0"/>
                      <w:divBdr>
                        <w:top w:val="none" w:sz="0" w:space="0" w:color="auto"/>
                        <w:left w:val="none" w:sz="0" w:space="0" w:color="auto"/>
                        <w:bottom w:val="none" w:sz="0" w:space="0" w:color="auto"/>
                        <w:right w:val="none" w:sz="0" w:space="0" w:color="auto"/>
                      </w:divBdr>
                    </w:div>
                    <w:div w:id="911231218">
                      <w:marLeft w:val="0"/>
                      <w:marRight w:val="0"/>
                      <w:marTop w:val="0"/>
                      <w:marBottom w:val="0"/>
                      <w:divBdr>
                        <w:top w:val="none" w:sz="0" w:space="0" w:color="auto"/>
                        <w:left w:val="none" w:sz="0" w:space="0" w:color="auto"/>
                        <w:bottom w:val="none" w:sz="0" w:space="0" w:color="auto"/>
                        <w:right w:val="none" w:sz="0" w:space="0" w:color="auto"/>
                      </w:divBdr>
                      <w:divsChild>
                        <w:div w:id="1347563418">
                          <w:marLeft w:val="0"/>
                          <w:marRight w:val="0"/>
                          <w:marTop w:val="0"/>
                          <w:marBottom w:val="0"/>
                          <w:divBdr>
                            <w:top w:val="none" w:sz="0" w:space="0" w:color="auto"/>
                            <w:left w:val="none" w:sz="0" w:space="0" w:color="auto"/>
                            <w:bottom w:val="none" w:sz="0" w:space="0" w:color="auto"/>
                            <w:right w:val="none" w:sz="0" w:space="0" w:color="auto"/>
                          </w:divBdr>
                          <w:divsChild>
                            <w:div w:id="441657501">
                              <w:marLeft w:val="0"/>
                              <w:marRight w:val="0"/>
                              <w:marTop w:val="0"/>
                              <w:marBottom w:val="0"/>
                              <w:divBdr>
                                <w:top w:val="none" w:sz="0" w:space="0" w:color="auto"/>
                                <w:left w:val="none" w:sz="0" w:space="0" w:color="auto"/>
                                <w:bottom w:val="none" w:sz="0" w:space="0" w:color="auto"/>
                                <w:right w:val="none" w:sz="0" w:space="0" w:color="auto"/>
                              </w:divBdr>
                              <w:divsChild>
                                <w:div w:id="129635136">
                                  <w:marLeft w:val="0"/>
                                  <w:marRight w:val="0"/>
                                  <w:marTop w:val="0"/>
                                  <w:marBottom w:val="0"/>
                                  <w:divBdr>
                                    <w:top w:val="none" w:sz="0" w:space="0" w:color="auto"/>
                                    <w:left w:val="none" w:sz="0" w:space="0" w:color="auto"/>
                                    <w:bottom w:val="none" w:sz="0" w:space="0" w:color="auto"/>
                                    <w:right w:val="none" w:sz="0" w:space="0" w:color="auto"/>
                                  </w:divBdr>
                                </w:div>
                              </w:divsChild>
                            </w:div>
                            <w:div w:id="1140539198">
                              <w:marLeft w:val="0"/>
                              <w:marRight w:val="0"/>
                              <w:marTop w:val="0"/>
                              <w:marBottom w:val="0"/>
                              <w:divBdr>
                                <w:top w:val="none" w:sz="0" w:space="0" w:color="auto"/>
                                <w:left w:val="none" w:sz="0" w:space="0" w:color="auto"/>
                                <w:bottom w:val="none" w:sz="0" w:space="0" w:color="auto"/>
                                <w:right w:val="none" w:sz="0" w:space="0" w:color="auto"/>
                              </w:divBdr>
                              <w:divsChild>
                                <w:div w:id="3113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26381">
          <w:marLeft w:val="0"/>
          <w:marRight w:val="0"/>
          <w:marTop w:val="0"/>
          <w:marBottom w:val="0"/>
          <w:divBdr>
            <w:top w:val="none" w:sz="0" w:space="0" w:color="auto"/>
            <w:left w:val="none" w:sz="0" w:space="0" w:color="auto"/>
            <w:bottom w:val="none" w:sz="0" w:space="0" w:color="auto"/>
            <w:right w:val="none" w:sz="0" w:space="0" w:color="auto"/>
          </w:divBdr>
          <w:divsChild>
            <w:div w:id="1396973425">
              <w:marLeft w:val="0"/>
              <w:marRight w:val="0"/>
              <w:marTop w:val="0"/>
              <w:marBottom w:val="0"/>
              <w:divBdr>
                <w:top w:val="none" w:sz="0" w:space="0" w:color="auto"/>
                <w:left w:val="none" w:sz="0" w:space="0" w:color="auto"/>
                <w:bottom w:val="none" w:sz="0" w:space="0" w:color="auto"/>
                <w:right w:val="none" w:sz="0" w:space="0" w:color="auto"/>
              </w:divBdr>
            </w:div>
          </w:divsChild>
        </w:div>
        <w:div w:id="1775514027">
          <w:marLeft w:val="0"/>
          <w:marRight w:val="0"/>
          <w:marTop w:val="0"/>
          <w:marBottom w:val="0"/>
          <w:divBdr>
            <w:top w:val="none" w:sz="0" w:space="0" w:color="auto"/>
            <w:left w:val="none" w:sz="0" w:space="0" w:color="auto"/>
            <w:bottom w:val="none" w:sz="0" w:space="0" w:color="auto"/>
            <w:right w:val="none" w:sz="0" w:space="0" w:color="auto"/>
          </w:divBdr>
          <w:divsChild>
            <w:div w:id="1828009890">
              <w:marLeft w:val="0"/>
              <w:marRight w:val="0"/>
              <w:marTop w:val="0"/>
              <w:marBottom w:val="0"/>
              <w:divBdr>
                <w:top w:val="none" w:sz="0" w:space="0" w:color="auto"/>
                <w:left w:val="none" w:sz="0" w:space="0" w:color="auto"/>
                <w:bottom w:val="none" w:sz="0" w:space="0" w:color="auto"/>
                <w:right w:val="none" w:sz="0" w:space="0" w:color="auto"/>
              </w:divBdr>
              <w:divsChild>
                <w:div w:id="2136171460">
                  <w:marLeft w:val="0"/>
                  <w:marRight w:val="0"/>
                  <w:marTop w:val="0"/>
                  <w:marBottom w:val="0"/>
                  <w:divBdr>
                    <w:top w:val="none" w:sz="0" w:space="0" w:color="auto"/>
                    <w:left w:val="none" w:sz="0" w:space="0" w:color="auto"/>
                    <w:bottom w:val="none" w:sz="0" w:space="0" w:color="auto"/>
                    <w:right w:val="none" w:sz="0" w:space="0" w:color="auto"/>
                  </w:divBdr>
                  <w:divsChild>
                    <w:div w:id="2318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1589">
      <w:bodyDiv w:val="1"/>
      <w:marLeft w:val="0"/>
      <w:marRight w:val="0"/>
      <w:marTop w:val="0"/>
      <w:marBottom w:val="0"/>
      <w:divBdr>
        <w:top w:val="none" w:sz="0" w:space="0" w:color="auto"/>
        <w:left w:val="none" w:sz="0" w:space="0" w:color="auto"/>
        <w:bottom w:val="none" w:sz="0" w:space="0" w:color="auto"/>
        <w:right w:val="none" w:sz="0" w:space="0" w:color="auto"/>
      </w:divBdr>
    </w:div>
    <w:div w:id="55932017">
      <w:bodyDiv w:val="1"/>
      <w:marLeft w:val="0"/>
      <w:marRight w:val="0"/>
      <w:marTop w:val="0"/>
      <w:marBottom w:val="0"/>
      <w:divBdr>
        <w:top w:val="none" w:sz="0" w:space="0" w:color="auto"/>
        <w:left w:val="none" w:sz="0" w:space="0" w:color="auto"/>
        <w:bottom w:val="none" w:sz="0" w:space="0" w:color="auto"/>
        <w:right w:val="none" w:sz="0" w:space="0" w:color="auto"/>
      </w:divBdr>
    </w:div>
    <w:div w:id="179008944">
      <w:bodyDiv w:val="1"/>
      <w:marLeft w:val="0"/>
      <w:marRight w:val="0"/>
      <w:marTop w:val="0"/>
      <w:marBottom w:val="0"/>
      <w:divBdr>
        <w:top w:val="none" w:sz="0" w:space="0" w:color="auto"/>
        <w:left w:val="none" w:sz="0" w:space="0" w:color="auto"/>
        <w:bottom w:val="none" w:sz="0" w:space="0" w:color="auto"/>
        <w:right w:val="none" w:sz="0" w:space="0" w:color="auto"/>
      </w:divBdr>
    </w:div>
    <w:div w:id="944919288">
      <w:bodyDiv w:val="1"/>
      <w:marLeft w:val="0"/>
      <w:marRight w:val="0"/>
      <w:marTop w:val="0"/>
      <w:marBottom w:val="0"/>
      <w:divBdr>
        <w:top w:val="none" w:sz="0" w:space="0" w:color="auto"/>
        <w:left w:val="none" w:sz="0" w:space="0" w:color="auto"/>
        <w:bottom w:val="none" w:sz="0" w:space="0" w:color="auto"/>
        <w:right w:val="none" w:sz="0" w:space="0" w:color="auto"/>
      </w:divBdr>
    </w:div>
    <w:div w:id="970403626">
      <w:bodyDiv w:val="1"/>
      <w:marLeft w:val="0"/>
      <w:marRight w:val="0"/>
      <w:marTop w:val="0"/>
      <w:marBottom w:val="0"/>
      <w:divBdr>
        <w:top w:val="none" w:sz="0" w:space="0" w:color="auto"/>
        <w:left w:val="none" w:sz="0" w:space="0" w:color="auto"/>
        <w:bottom w:val="none" w:sz="0" w:space="0" w:color="auto"/>
        <w:right w:val="none" w:sz="0" w:space="0" w:color="auto"/>
      </w:divBdr>
    </w:div>
    <w:div w:id="1071003316">
      <w:bodyDiv w:val="1"/>
      <w:marLeft w:val="0"/>
      <w:marRight w:val="0"/>
      <w:marTop w:val="0"/>
      <w:marBottom w:val="0"/>
      <w:divBdr>
        <w:top w:val="none" w:sz="0" w:space="0" w:color="auto"/>
        <w:left w:val="none" w:sz="0" w:space="0" w:color="auto"/>
        <w:bottom w:val="none" w:sz="0" w:space="0" w:color="auto"/>
        <w:right w:val="none" w:sz="0" w:space="0" w:color="auto"/>
      </w:divBdr>
    </w:div>
    <w:div w:id="1088119472">
      <w:bodyDiv w:val="1"/>
      <w:marLeft w:val="0"/>
      <w:marRight w:val="0"/>
      <w:marTop w:val="0"/>
      <w:marBottom w:val="0"/>
      <w:divBdr>
        <w:top w:val="none" w:sz="0" w:space="0" w:color="auto"/>
        <w:left w:val="none" w:sz="0" w:space="0" w:color="auto"/>
        <w:bottom w:val="none" w:sz="0" w:space="0" w:color="auto"/>
        <w:right w:val="none" w:sz="0" w:space="0" w:color="auto"/>
      </w:divBdr>
    </w:div>
    <w:div w:id="1332759781">
      <w:bodyDiv w:val="1"/>
      <w:marLeft w:val="0"/>
      <w:marRight w:val="0"/>
      <w:marTop w:val="0"/>
      <w:marBottom w:val="0"/>
      <w:divBdr>
        <w:top w:val="none" w:sz="0" w:space="0" w:color="auto"/>
        <w:left w:val="none" w:sz="0" w:space="0" w:color="auto"/>
        <w:bottom w:val="none" w:sz="0" w:space="0" w:color="auto"/>
        <w:right w:val="none" w:sz="0" w:space="0" w:color="auto"/>
      </w:divBdr>
    </w:div>
    <w:div w:id="1446386893">
      <w:bodyDiv w:val="1"/>
      <w:marLeft w:val="0"/>
      <w:marRight w:val="0"/>
      <w:marTop w:val="0"/>
      <w:marBottom w:val="0"/>
      <w:divBdr>
        <w:top w:val="none" w:sz="0" w:space="0" w:color="auto"/>
        <w:left w:val="none" w:sz="0" w:space="0" w:color="auto"/>
        <w:bottom w:val="none" w:sz="0" w:space="0" w:color="auto"/>
        <w:right w:val="none" w:sz="0" w:space="0" w:color="auto"/>
      </w:divBdr>
    </w:div>
    <w:div w:id="1583373655">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74500477">
      <w:bodyDiv w:val="1"/>
      <w:marLeft w:val="0"/>
      <w:marRight w:val="0"/>
      <w:marTop w:val="0"/>
      <w:marBottom w:val="0"/>
      <w:divBdr>
        <w:top w:val="none" w:sz="0" w:space="0" w:color="auto"/>
        <w:left w:val="none" w:sz="0" w:space="0" w:color="auto"/>
        <w:bottom w:val="none" w:sz="0" w:space="0" w:color="auto"/>
        <w:right w:val="none" w:sz="0" w:space="0" w:color="auto"/>
      </w:divBdr>
    </w:div>
    <w:div w:id="2095471987">
      <w:bodyDiv w:val="1"/>
      <w:marLeft w:val="0"/>
      <w:marRight w:val="0"/>
      <w:marTop w:val="0"/>
      <w:marBottom w:val="0"/>
      <w:divBdr>
        <w:top w:val="none" w:sz="0" w:space="0" w:color="auto"/>
        <w:left w:val="none" w:sz="0" w:space="0" w:color="auto"/>
        <w:bottom w:val="none" w:sz="0" w:space="0" w:color="auto"/>
        <w:right w:val="none" w:sz="0" w:space="0" w:color="auto"/>
      </w:divBdr>
    </w:div>
    <w:div w:id="21135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82E67BD814CD5B077F6CC7EB19362"/>
        <w:category>
          <w:name w:val="General"/>
          <w:gallery w:val="placeholder"/>
        </w:category>
        <w:types>
          <w:type w:val="bbPlcHdr"/>
        </w:types>
        <w:behaviors>
          <w:behavior w:val="content"/>
        </w:behaviors>
        <w:guid w:val="{E47586D4-20B2-4D4A-A6D8-21358FA09D35}"/>
      </w:docPartPr>
      <w:docPartBody>
        <w:p w:rsidR="00CC07C7" w:rsidRDefault="0053525A">
          <w:pPr>
            <w:pStyle w:val="7FB82E67BD814CD5B077F6CC7EB19362"/>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C7"/>
    <w:rsid w:val="00352716"/>
    <w:rsid w:val="00435607"/>
    <w:rsid w:val="004B3497"/>
    <w:rsid w:val="004F7C86"/>
    <w:rsid w:val="0053525A"/>
    <w:rsid w:val="005B5FC7"/>
    <w:rsid w:val="00682C45"/>
    <w:rsid w:val="006C1E5B"/>
    <w:rsid w:val="007344DF"/>
    <w:rsid w:val="007468BD"/>
    <w:rsid w:val="008B1359"/>
    <w:rsid w:val="008F560B"/>
    <w:rsid w:val="00945BD7"/>
    <w:rsid w:val="00976B9D"/>
    <w:rsid w:val="00980491"/>
    <w:rsid w:val="00A9210E"/>
    <w:rsid w:val="00A9704D"/>
    <w:rsid w:val="00B56D61"/>
    <w:rsid w:val="00B93393"/>
    <w:rsid w:val="00BC190D"/>
    <w:rsid w:val="00C107B5"/>
    <w:rsid w:val="00C4126A"/>
    <w:rsid w:val="00CC07C7"/>
    <w:rsid w:val="00CE7A4E"/>
    <w:rsid w:val="00EC4B0D"/>
    <w:rsid w:val="00FC55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B82E67BD814CD5B077F6CC7EB19362">
    <w:name w:val="7FB82E67BD814CD5B077F6CC7EB19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S574FYTY5PW6-349572302-1484</_dlc_DocId>
    <_dlc_DocIdUrl xmlns="fe39d773-a83d-4623-ae74-f25711a76616">
      <Url>https://austreasury.sharepoint.com/sites/leg-cord-function/_layouts/15/DocIdRedir.aspx?ID=S574FYTY5PW6-349572302-1484</Url>
      <Description>S574FYTY5PW6-349572302-1484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c7bbcaf0a6d7c0b8aa46808b7f75e65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2c906357d4d6df88eac30bb1045a569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documentManagement/types"/>
    <ds:schemaRef ds:uri="http://purl.org/dc/terms/"/>
    <ds:schemaRef ds:uri="ff38c824-6e29-4496-8487-69f397e7ed29"/>
    <ds:schemaRef ds:uri="http://schemas.openxmlformats.org/package/2006/metadata/core-properties"/>
    <ds:schemaRef ds:uri="http://purl.org/dc/dcmitype/"/>
    <ds:schemaRef ds:uri="http://purl.org/dc/elements/1.1/"/>
    <ds:schemaRef ds:uri="http://schemas.microsoft.com/office/infopath/2007/PartnerControls"/>
    <ds:schemaRef ds:uri="9a91be02-49fe-4568-a0ce-30550d2c0542"/>
    <ds:schemaRef ds:uri="http://www.w3.org/XML/1998/namespace"/>
    <ds:schemaRef ds:uri="fe39d773-a83d-4623-ae74-f25711a76616"/>
    <ds:schemaRef ds:uri="42f4cb5a-261c-4c59-b165-7132460581a3"/>
    <ds:schemaRef ds:uri="http://schemas.microsoft.com/office/2006/metadata/properties"/>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85412A84-81FD-4331-B2FF-52BE7E26E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10</Pages>
  <Words>3526</Words>
  <Characters>20099</Characters>
  <Application>Microsoft Office Word</Application>
  <DocSecurity>0</DocSecurity>
  <Lines>167</Lines>
  <Paragraphs>47</Paragraphs>
  <ScaleCrop>false</ScaleCrop>
  <Company>Treasury</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De Piero, Lisa</dc:creator>
  <cp:keywords/>
  <dc:description/>
  <cp:lastModifiedBy>Cuming, Anita</cp:lastModifiedBy>
  <cp:revision>2</cp:revision>
  <cp:lastPrinted>2019-02-20T08:23:00Z</cp:lastPrinted>
  <dcterms:created xsi:type="dcterms:W3CDTF">2025-02-20T02:53:00Z</dcterms:created>
  <dcterms:modified xsi:type="dcterms:W3CDTF">2025-02-20T02:53:00Z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47a54213-2f18-4b21-be27-ebd00edb1f88</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MSIP_Label_4f932d64-9ab1-4d9b-81d2-a3a8b82dd47d_Enabled">
    <vt:lpwstr>true</vt:lpwstr>
  </property>
  <property fmtid="{D5CDD505-2E9C-101B-9397-08002B2CF9AE}" pid="17" name="MSIP_Label_4f932d64-9ab1-4d9b-81d2-a3a8b82dd47d_SetDate">
    <vt:lpwstr>2025-01-23T00:38:47Z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72ce4c92-322b-4e23-91cb-82e6bc644610</vt:lpwstr>
  </property>
  <property fmtid="{D5CDD505-2E9C-101B-9397-08002B2CF9AE}" pid="22" name="MSIP_Label_4f932d64-9ab1-4d9b-81d2-a3a8b82dd47d_ContentBits">
    <vt:lpwstr>0</vt:lpwstr>
  </property>
  <property fmtid="{D5CDD505-2E9C-101B-9397-08002B2CF9AE}" pid="23" name="Theme">
    <vt:lpwstr>1;#Law Design|318dd2d2-18da-4b8e-a458-14db2c1af95f</vt:lpwstr>
  </property>
</Properties>
</file>