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3307" w14:textId="0A7E339B"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Auditing Standard"/>
        <w:tblDescription w:val="Identification that the document is an AUASB Auditing Standard, ASA number and month of issue"/>
      </w:tblPr>
      <w:tblGrid>
        <w:gridCol w:w="4536"/>
        <w:gridCol w:w="4536"/>
      </w:tblGrid>
      <w:tr w:rsidR="004D4D03" w14:paraId="2FF163EA" w14:textId="77777777" w:rsidTr="005E2BAF">
        <w:tc>
          <w:tcPr>
            <w:tcW w:w="4536" w:type="dxa"/>
          </w:tcPr>
          <w:p w14:paraId="5C5657BA" w14:textId="77777777" w:rsidR="004D4D03" w:rsidRDefault="004D4D03">
            <w:pPr>
              <w:pStyle w:val="Heading6"/>
            </w:pPr>
          </w:p>
        </w:tc>
        <w:tc>
          <w:tcPr>
            <w:tcW w:w="4536" w:type="dxa"/>
          </w:tcPr>
          <w:p w14:paraId="77705FA5" w14:textId="6B790EC9" w:rsidR="004D4D03" w:rsidRDefault="000F7563">
            <w:pPr>
              <w:pStyle w:val="CoverNumber"/>
            </w:pPr>
            <w:fldSimple w:instr=" REF DocType \* charformat " w:fldLock="1">
              <w:r>
                <w:t>A</w:t>
              </w:r>
              <w:r w:rsidRPr="000D243E">
                <w:t>S</w:t>
              </w:r>
              <w:r>
                <w:t>SA</w:t>
              </w:r>
            </w:fldSimple>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7B449F">
              <w:fldChar w:fldCharType="separate"/>
            </w:r>
            <w:r w:rsidRPr="000F7563">
              <w:t>5010</w:t>
            </w:r>
            <w:r w:rsidR="007B449F">
              <w:fldChar w:fldCharType="end"/>
            </w:r>
          </w:p>
          <w:p w14:paraId="2D123E6B" w14:textId="61D3FD7C" w:rsidR="004D4D03" w:rsidRDefault="004D4D03">
            <w:pPr>
              <w:pStyle w:val="CoverDate"/>
            </w:pPr>
            <w:r>
              <w:t>(</w:t>
            </w:r>
            <w:bookmarkStart w:id="0" w:name="DocDate"/>
            <w:sdt>
              <w:sdtPr>
                <w:id w:val="962620300"/>
                <w:lock w:val="contentLocked"/>
                <w:placeholder>
                  <w:docPart w:val="DefaultPlaceholder_-1854013440"/>
                </w:placeholder>
                <w:group/>
              </w:sdtPr>
              <w:sdtEndPr/>
              <w:sdtContent>
                <w:r w:rsidR="000F7563">
                  <w:t>January 2025</w:t>
                </w:r>
                <w:bookmarkEnd w:id="0"/>
              </w:sdtContent>
            </w:sdt>
            <w:r>
              <w:t>)</w:t>
            </w:r>
          </w:p>
        </w:tc>
      </w:tr>
    </w:tbl>
    <w:p w14:paraId="5A92E811" w14:textId="05B02FE9" w:rsidR="004D4D03" w:rsidRDefault="00F731EB">
      <w:pPr>
        <w:pStyle w:val="CoverTitle"/>
      </w:pPr>
      <w:bookmarkStart w:id="1" w:name="DocTypeLong"/>
      <w:r w:rsidRPr="00F731EB">
        <w:rPr>
          <w:i w:val="0"/>
        </w:rPr>
        <w:t>Australian</w:t>
      </w:r>
      <w:r w:rsidR="00D61FF9" w:rsidRPr="00F731EB">
        <w:rPr>
          <w:i w:val="0"/>
        </w:rPr>
        <w:t xml:space="preserve"> Standard</w:t>
      </w:r>
      <w:bookmarkEnd w:id="1"/>
      <w:r w:rsidRPr="00F731EB">
        <w:rPr>
          <w:i w:val="0"/>
        </w:rPr>
        <w:t xml:space="preserve"> on Sustainability Assurance</w:t>
      </w:r>
      <w:r w:rsidR="006E419A" w:rsidRPr="00F731EB">
        <w:rPr>
          <w:i w:val="0"/>
        </w:rPr>
        <w:t xml:space="preserve"> </w:t>
      </w:r>
      <w:bookmarkStart w:id="2" w:name="DocType"/>
      <w:r w:rsidR="00D61FF9" w:rsidRPr="00F731EB">
        <w:rPr>
          <w:i w:val="0"/>
        </w:rPr>
        <w:t>A</w:t>
      </w:r>
      <w:r w:rsidRPr="00F731EB">
        <w:rPr>
          <w:i w:val="0"/>
        </w:rPr>
        <w:t>S</w:t>
      </w:r>
      <w:r w:rsidR="00A13EDD" w:rsidRPr="00F731EB">
        <w:rPr>
          <w:i w:val="0"/>
        </w:rPr>
        <w:t>S</w:t>
      </w:r>
      <w:r w:rsidR="00D61FF9" w:rsidRPr="00F731EB">
        <w:rPr>
          <w:i w:val="0"/>
        </w:rPr>
        <w:t>A</w:t>
      </w:r>
      <w:bookmarkEnd w:id="2"/>
      <w:r w:rsidR="004D4D03" w:rsidRPr="00F731EB">
        <w:rPr>
          <w:i w:val="0"/>
        </w:rPr>
        <w:t> </w:t>
      </w:r>
      <w:bookmarkStart w:id="3" w:name="DocNo"/>
      <w:r w:rsidR="000F7563" w:rsidRPr="00F731EB">
        <w:rPr>
          <w:i w:val="0"/>
        </w:rPr>
        <w:t>5010</w:t>
      </w:r>
      <w:bookmarkEnd w:id="3"/>
      <w:r w:rsidR="004D4D03" w:rsidRPr="000D243E">
        <w:br/>
      </w:r>
      <w:bookmarkStart w:id="4" w:name="DocTitle"/>
      <w:sdt>
        <w:sdtPr>
          <w:id w:val="-546991519"/>
          <w:lock w:val="contentLocked"/>
          <w:placeholder>
            <w:docPart w:val="DefaultPlaceholder_-1854013440"/>
          </w:placeholder>
          <w:group/>
        </w:sdtPr>
        <w:sdtEndPr/>
        <w:sdtContent>
          <w:r w:rsidR="000F7563">
            <w:t>Timeline for Audits and Reviews of Information in Sustainability Reports under the Corporations Act 2001</w:t>
          </w:r>
          <w:bookmarkEnd w:id="4"/>
        </w:sdtContent>
      </w:sdt>
    </w:p>
    <w:p w14:paraId="50DDA8C5" w14:textId="77777777" w:rsidR="004D4D03" w:rsidRDefault="004D4D03">
      <w:pPr>
        <w:pStyle w:val="CoverSubTitle"/>
        <w:ind w:right="-142"/>
      </w:pPr>
      <w:r>
        <w:t xml:space="preserve">Issued by the </w:t>
      </w:r>
      <w:r>
        <w:rPr>
          <w:b/>
          <w:bCs/>
        </w:rPr>
        <w:t>Auditing and Assurance Standards Board</w:t>
      </w:r>
    </w:p>
    <w:p w14:paraId="62A06A2D" w14:textId="77777777" w:rsidR="004D4D03" w:rsidRDefault="004D4D03">
      <w:pPr>
        <w:sectPr w:rsidR="004D4D03" w:rsidSect="002921BB">
          <w:headerReference w:type="default" r:id="rId11"/>
          <w:headerReference w:type="first" r:id="rId12"/>
          <w:footerReference w:type="first" r:id="rId13"/>
          <w:pgSz w:w="11907" w:h="16840" w:code="9"/>
          <w:pgMar w:top="2268" w:right="1418" w:bottom="1701" w:left="1418" w:header="992" w:footer="992" w:gutter="0"/>
          <w:cols w:space="720"/>
          <w:titlePg/>
        </w:sectPr>
      </w:pPr>
    </w:p>
    <w:p w14:paraId="3F162DAB" w14:textId="1160B11E" w:rsidR="004D4D03" w:rsidRDefault="004D4D03" w:rsidP="009960AD">
      <w:pPr>
        <w:pStyle w:val="Heading5"/>
        <w:ind w:right="-284"/>
      </w:pPr>
      <w:r>
        <w:lastRenderedPageBreak/>
        <w:t xml:space="preserve">Obtaining a Copy of this </w:t>
      </w:r>
      <w:r w:rsidR="00531B02">
        <w:t>Standard</w:t>
      </w:r>
    </w:p>
    <w:p w14:paraId="50E2D37C" w14:textId="45777DE0" w:rsidR="004D4D03" w:rsidRDefault="004D4D03" w:rsidP="006014A0">
      <w:pPr>
        <w:pStyle w:val="ParaPlain"/>
      </w:pPr>
      <w:r>
        <w:t xml:space="preserve">This </w:t>
      </w:r>
      <w:r w:rsidR="00531B02">
        <w:t>Standard</w:t>
      </w:r>
      <w:r w:rsidR="006E419A">
        <w:t xml:space="preserve"> </w:t>
      </w:r>
      <w:r>
        <w:t xml:space="preserve">is available on the </w:t>
      </w:r>
      <w:r w:rsidR="007B449F">
        <w:t>Auditing and Assurance Standards Board (</w:t>
      </w:r>
      <w:r>
        <w:t>AUASB</w:t>
      </w:r>
      <w:r w:rsidR="007B449F">
        <w:t>)</w:t>
      </w:r>
      <w:r w:rsidR="00790084">
        <w:t xml:space="preserve"> website: www.auasb.gov.au</w:t>
      </w:r>
    </w:p>
    <w:p w14:paraId="28D81823"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690B1791" w14:textId="77777777" w:rsidTr="00A02FE2">
        <w:tc>
          <w:tcPr>
            <w:tcW w:w="4536" w:type="dxa"/>
            <w:tcMar>
              <w:right w:w="28" w:type="dxa"/>
            </w:tcMar>
          </w:tcPr>
          <w:p w14:paraId="0522B343" w14:textId="77777777" w:rsidR="004D4D03" w:rsidRDefault="004D4D03">
            <w:r>
              <w:t>Auditing and Assurance Standards Board</w:t>
            </w:r>
          </w:p>
          <w:p w14:paraId="4E98FF1C" w14:textId="77777777" w:rsidR="000F7563" w:rsidRDefault="000F7563" w:rsidP="000F7563">
            <w:pPr>
              <w:tabs>
                <w:tab w:val="left" w:pos="743"/>
              </w:tabs>
            </w:pPr>
            <w:r>
              <w:t>Phone:</w:t>
            </w:r>
            <w:r>
              <w:tab/>
              <w:t>(03) 8080 7400</w:t>
            </w:r>
          </w:p>
          <w:p w14:paraId="5E7FC0A8" w14:textId="77777777" w:rsidR="000F7563" w:rsidRDefault="000F7563" w:rsidP="000F7563">
            <w:pPr>
              <w:tabs>
                <w:tab w:val="left" w:pos="743"/>
              </w:tabs>
            </w:pPr>
            <w:r>
              <w:t>E-mail:</w:t>
            </w:r>
            <w:r>
              <w:tab/>
              <w:t>enquiries@auasb.gov.au</w:t>
            </w:r>
          </w:p>
          <w:p w14:paraId="660EC957" w14:textId="77777777" w:rsidR="000F7563" w:rsidRDefault="000F7563" w:rsidP="000F7563">
            <w:pPr>
              <w:spacing w:before="240"/>
              <w:rPr>
                <w:b/>
                <w:bCs/>
              </w:rPr>
            </w:pPr>
            <w:r>
              <w:rPr>
                <w:b/>
                <w:bCs/>
              </w:rPr>
              <w:t>Postal Address:</w:t>
            </w:r>
          </w:p>
          <w:p w14:paraId="604F066A" w14:textId="77777777" w:rsidR="000F7563" w:rsidRDefault="000F7563" w:rsidP="000F7563">
            <w:r>
              <w:t>PO Box 204, Collins Street West</w:t>
            </w:r>
          </w:p>
          <w:p w14:paraId="52B5FB5B" w14:textId="77777777" w:rsidR="000F7563" w:rsidRDefault="000F7563" w:rsidP="000F7563">
            <w:r>
              <w:t>Melbourne   Victoria   8007</w:t>
            </w:r>
          </w:p>
          <w:p w14:paraId="2645BF18" w14:textId="2A78ACA6" w:rsidR="004D4D03" w:rsidRDefault="000F7563" w:rsidP="000F7563">
            <w:r>
              <w:t>AUSTRALIA</w:t>
            </w:r>
          </w:p>
        </w:tc>
        <w:tc>
          <w:tcPr>
            <w:tcW w:w="4536" w:type="dxa"/>
          </w:tcPr>
          <w:p w14:paraId="15DA0C00" w14:textId="2E3BFE56" w:rsidR="004D4D03" w:rsidRDefault="004D4D03" w:rsidP="007038FF"/>
        </w:tc>
      </w:tr>
    </w:tbl>
    <w:p w14:paraId="6993FF06" w14:textId="77777777" w:rsidR="004D4D03" w:rsidRDefault="004D4D03" w:rsidP="000F7563">
      <w:pPr>
        <w:pStyle w:val="Heading5"/>
        <w:spacing w:before="6600"/>
      </w:pPr>
      <w:r>
        <w:t>COPYRIGHT</w:t>
      </w:r>
    </w:p>
    <w:p w14:paraId="6DAB71DA" w14:textId="4BF55058" w:rsidR="00A12929" w:rsidRPr="00F740E2" w:rsidRDefault="004D4D03">
      <w:pPr>
        <w:pStyle w:val="ParaPlain"/>
        <w:rPr>
          <w:sz w:val="18"/>
          <w:szCs w:val="18"/>
        </w:rPr>
      </w:pPr>
      <w:bookmarkStart w:id="5" w:name="CopyrightNoIntl"/>
      <w:r w:rsidRPr="00F740E2">
        <w:rPr>
          <w:sz w:val="18"/>
          <w:szCs w:val="18"/>
        </w:rPr>
        <w:t xml:space="preserve">© </w:t>
      </w:r>
      <w:bookmarkStart w:id="6" w:name="Year"/>
      <w:r w:rsidR="000F7563">
        <w:rPr>
          <w:sz w:val="18"/>
          <w:szCs w:val="18"/>
        </w:rPr>
        <w:t>2025</w:t>
      </w:r>
      <w:bookmarkEnd w:id="6"/>
      <w:r w:rsidRPr="00F740E2">
        <w:rPr>
          <w:sz w:val="18"/>
          <w:szCs w:val="18"/>
        </w:rPr>
        <w:t xml:space="preserve"> </w:t>
      </w:r>
      <w:bookmarkStart w:id="7" w:name="Copyright"/>
      <w:r w:rsidR="000F7563">
        <w:rPr>
          <w:sz w:val="18"/>
          <w:szCs w:val="18"/>
        </w:rPr>
        <w:t>Commonwealth of Australia</w:t>
      </w:r>
      <w:bookmarkEnd w:id="7"/>
      <w:r w:rsidRPr="00F740E2">
        <w:rPr>
          <w:sz w:val="18"/>
          <w:szCs w:val="18"/>
        </w:rPr>
        <w:t xml:space="preserve">.  </w:t>
      </w:r>
      <w:r w:rsidR="00A5777C" w:rsidRPr="00F740E2">
        <w:rPr>
          <w:sz w:val="18"/>
          <w:szCs w:val="18"/>
        </w:rPr>
        <w:t xml:space="preserve">The text, graphics and layout of this </w:t>
      </w:r>
      <w:r w:rsidR="00531B02">
        <w:rPr>
          <w:sz w:val="18"/>
          <w:szCs w:val="18"/>
        </w:rPr>
        <w:t xml:space="preserve">Standard </w:t>
      </w:r>
      <w:r w:rsidR="00A5777C" w:rsidRPr="00F740E2">
        <w:rPr>
          <w:sz w:val="18"/>
          <w:szCs w:val="18"/>
        </w:rPr>
        <w:t xml:space="preserve">are protected by Australian copyright law and the comparable law of other countries.  </w:t>
      </w:r>
      <w:r w:rsidR="00BD67FE" w:rsidRPr="00F740E2">
        <w:rPr>
          <w:sz w:val="18"/>
          <w:szCs w:val="18"/>
        </w:rPr>
        <w:t>Reproduction within Australia in unaltered form (retaining this notice) is permitted for personal and non</w:t>
      </w:r>
      <w:r w:rsidR="00BD67FE" w:rsidRPr="00F740E2">
        <w:rPr>
          <w:sz w:val="18"/>
          <w:szCs w:val="18"/>
        </w:rPr>
        <w:noBreakHyphen/>
        <w:t>commercial use subject to the inclusion of an acknowledgment of the source</w:t>
      </w:r>
      <w:r w:rsidR="00A12929" w:rsidRPr="00F740E2">
        <w:rPr>
          <w:sz w:val="18"/>
          <w:szCs w:val="18"/>
        </w:rPr>
        <w:t xml:space="preserve"> as being the </w:t>
      </w:r>
      <w:bookmarkStart w:id="8" w:name="AUASBFull"/>
      <w:r w:rsidR="00A12929" w:rsidRPr="00F740E2">
        <w:rPr>
          <w:sz w:val="18"/>
          <w:szCs w:val="18"/>
        </w:rPr>
        <w:t>Australian Auditing and Assurance Standards Board (AUASB)</w:t>
      </w:r>
      <w:bookmarkEnd w:id="8"/>
      <w:r w:rsidR="00BD67FE" w:rsidRPr="00F740E2">
        <w:rPr>
          <w:sz w:val="18"/>
          <w:szCs w:val="18"/>
        </w:rPr>
        <w:t>.</w:t>
      </w:r>
    </w:p>
    <w:p w14:paraId="653BAEE1" w14:textId="18B56D2E" w:rsidR="004D4D03" w:rsidRPr="00F740E2" w:rsidRDefault="00BD67FE">
      <w:pPr>
        <w:pStyle w:val="ParaPlain"/>
        <w:rPr>
          <w:sz w:val="18"/>
          <w:szCs w:val="18"/>
        </w:rPr>
      </w:pPr>
      <w:r w:rsidRPr="00F740E2">
        <w:rPr>
          <w:sz w:val="18"/>
          <w:szCs w:val="18"/>
        </w:rPr>
        <w:t>Requests and enquiries concerning reproduction and rights for commercial purposes should be addressed to the Director</w:t>
      </w:r>
      <w:r w:rsidR="00397085">
        <w:rPr>
          <w:sz w:val="18"/>
          <w:szCs w:val="18"/>
        </w:rPr>
        <w:t xml:space="preserve"> - National</w:t>
      </w:r>
      <w:r w:rsidRPr="00F740E2">
        <w:rPr>
          <w:sz w:val="18"/>
          <w:szCs w:val="18"/>
        </w:rPr>
        <w:t>, Auditing and Assurance Standards Board, PO Box 204, Collins Street West, Melbourne</w:t>
      </w:r>
      <w:r w:rsidR="00D14EA9">
        <w:rPr>
          <w:sz w:val="18"/>
          <w:szCs w:val="18"/>
        </w:rPr>
        <w:t>, Victoria </w:t>
      </w:r>
      <w:r w:rsidRPr="00F740E2">
        <w:rPr>
          <w:sz w:val="18"/>
          <w:szCs w:val="18"/>
        </w:rPr>
        <w:t>8007</w:t>
      </w:r>
      <w:r w:rsidR="00A12929" w:rsidRPr="00F740E2">
        <w:rPr>
          <w:sz w:val="18"/>
          <w:szCs w:val="18"/>
        </w:rPr>
        <w:t xml:space="preserve"> or sent to </w:t>
      </w:r>
      <w:r w:rsidR="00C618B1" w:rsidRPr="00C618B1">
        <w:rPr>
          <w:sz w:val="18"/>
          <w:szCs w:val="18"/>
        </w:rPr>
        <w:t>enquiries@auasb.gov.au</w:t>
      </w:r>
      <w:r w:rsidR="00A5777C" w:rsidRPr="00F740E2">
        <w:rPr>
          <w:sz w:val="18"/>
          <w:szCs w:val="18"/>
        </w:rPr>
        <w:t>.  Otherwise, no part of th</w:t>
      </w:r>
      <w:r w:rsidR="0027683F" w:rsidRPr="00F740E2">
        <w:rPr>
          <w:sz w:val="18"/>
          <w:szCs w:val="18"/>
        </w:rPr>
        <w:t>is</w:t>
      </w:r>
      <w:r w:rsidR="00531B02">
        <w:rPr>
          <w:sz w:val="18"/>
          <w:szCs w:val="18"/>
        </w:rPr>
        <w:t xml:space="preserve"> Standard</w:t>
      </w:r>
      <w:r w:rsidRPr="00F740E2">
        <w:rPr>
          <w:sz w:val="18"/>
          <w:szCs w:val="18"/>
        </w:rPr>
        <w:t xml:space="preserve"> </w:t>
      </w:r>
      <w:r w:rsidR="00A5777C" w:rsidRPr="00F740E2">
        <w:rPr>
          <w:sz w:val="18"/>
          <w:szCs w:val="18"/>
        </w:rPr>
        <w:t>may be reproduced, stored or transmitted in any form or by any means without the prior written permission of the AUASB except as permitted by law.</w:t>
      </w:r>
    </w:p>
    <w:bookmarkEnd w:id="5"/>
    <w:p w14:paraId="3DB0E327" w14:textId="77777777" w:rsidR="004D4D03" w:rsidRDefault="004D4D03" w:rsidP="00623CAE">
      <w:r>
        <w:t xml:space="preserve">ISSN </w:t>
      </w:r>
      <w:bookmarkStart w:id="9" w:name="ISSN"/>
      <w:r w:rsidR="008E386B">
        <w:t>1</w:t>
      </w:r>
      <w:r w:rsidR="00A5777C">
        <w:t>030</w:t>
      </w:r>
      <w:r w:rsidR="00A13EDD">
        <w:t>-</w:t>
      </w:r>
      <w:r w:rsidR="00A5777C">
        <w:t>603X</w:t>
      </w:r>
      <w:bookmarkEnd w:id="9"/>
    </w:p>
    <w:p w14:paraId="46071AD8" w14:textId="77777777" w:rsidR="004D4D03" w:rsidRDefault="004D4D03" w:rsidP="002D5EC1">
      <w:pPr>
        <w:pStyle w:val="Heading1"/>
        <w:keepNext w:val="0"/>
        <w:pageBreakBefore/>
      </w:pPr>
      <w:r>
        <w:lastRenderedPageBreak/>
        <w:t>CONTENTS</w:t>
      </w:r>
    </w:p>
    <w:p w14:paraId="199DBBD8" w14:textId="77777777" w:rsidR="00470C0A" w:rsidRDefault="00470C0A" w:rsidP="00470C0A">
      <w:pPr>
        <w:pStyle w:val="ParaPlain"/>
      </w:pPr>
      <w:r>
        <w:t>PREFACE</w:t>
      </w:r>
    </w:p>
    <w:p w14:paraId="533C0C1C" w14:textId="77777777" w:rsidR="004D4D03" w:rsidRDefault="004D4D03" w:rsidP="00F018EB">
      <w:pPr>
        <w:pStyle w:val="ParaPlain"/>
      </w:pPr>
      <w:r>
        <w:t>AUTHORITY STATEMENT</w:t>
      </w:r>
    </w:p>
    <w:p w14:paraId="41A96251" w14:textId="3402BCF8" w:rsidR="00F018EB" w:rsidRPr="00470C0A" w:rsidRDefault="00F018EB" w:rsidP="006504F5">
      <w:pPr>
        <w:pStyle w:val="ParaPlain"/>
      </w:pPr>
      <w:r w:rsidRPr="00470C0A">
        <w:t xml:space="preserve">CONFORMITY WITH INTERNATIONAL </w:t>
      </w:r>
      <w:r>
        <w:t xml:space="preserve">STANDARDS ON </w:t>
      </w:r>
      <w:fldSimple w:instr=" REF DocTypeIntlLong \* Upper \* charformat " w:fldLock="1">
        <w:r w:rsidR="000F7563">
          <w:t>AUDITING</w:t>
        </w:r>
      </w:fldSimple>
    </w:p>
    <w:p w14:paraId="1A2D9698" w14:textId="77777777" w:rsidR="004D4D03" w:rsidRDefault="004D4D03" w:rsidP="00590D81">
      <w:pPr>
        <w:jc w:val="right"/>
        <w:rPr>
          <w:i/>
          <w:iCs/>
        </w:rPr>
      </w:pPr>
      <w:r>
        <w:rPr>
          <w:i/>
          <w:iCs/>
        </w:rPr>
        <w:t>Paragraphs</w:t>
      </w:r>
    </w:p>
    <w:p w14:paraId="289F1933" w14:textId="41AC8FEE" w:rsidR="00585EA3" w:rsidRDefault="00585EA3" w:rsidP="00585EA3">
      <w:pPr>
        <w:pStyle w:val="TOC2"/>
      </w:pPr>
      <w:bookmarkStart w:id="10" w:name="TOCRange"/>
      <w:r w:rsidRPr="00585EA3">
        <w:rPr>
          <w:b/>
        </w:rPr>
        <w:t>Application</w:t>
      </w:r>
      <w:r>
        <w:tab/>
        <w:t>1</w:t>
      </w:r>
    </w:p>
    <w:p w14:paraId="7DBD0D86" w14:textId="0D5A95EC" w:rsidR="00585EA3" w:rsidRDefault="00030701" w:rsidP="00585EA3">
      <w:pPr>
        <w:pStyle w:val="TOC2"/>
      </w:pPr>
      <w:r>
        <w:rPr>
          <w:b/>
        </w:rPr>
        <w:t>Effective</w:t>
      </w:r>
      <w:r w:rsidRPr="00585EA3">
        <w:rPr>
          <w:b/>
        </w:rPr>
        <w:t xml:space="preserve"> </w:t>
      </w:r>
      <w:r w:rsidR="00585EA3" w:rsidRPr="00585EA3">
        <w:rPr>
          <w:b/>
        </w:rPr>
        <w:t>Date</w:t>
      </w:r>
      <w:r w:rsidR="00585EA3">
        <w:tab/>
        <w:t>2</w:t>
      </w:r>
    </w:p>
    <w:p w14:paraId="5DB4AE8A" w14:textId="3E256F25" w:rsidR="00585EA3" w:rsidRDefault="00585EA3" w:rsidP="00585EA3">
      <w:pPr>
        <w:pStyle w:val="TOC2"/>
      </w:pPr>
      <w:r w:rsidRPr="00585EA3">
        <w:rPr>
          <w:b/>
        </w:rPr>
        <w:t>Introduction</w:t>
      </w:r>
    </w:p>
    <w:p w14:paraId="392471FC" w14:textId="77777777" w:rsidR="00585EA3" w:rsidRDefault="00585EA3" w:rsidP="00585EA3">
      <w:pPr>
        <w:pStyle w:val="TOC2"/>
      </w:pPr>
      <w:r>
        <w:t>Contents of Sustainability Report</w:t>
      </w:r>
      <w:r>
        <w:tab/>
        <w:t>3-5</w:t>
      </w:r>
    </w:p>
    <w:p w14:paraId="1204BE97" w14:textId="563CC8CB" w:rsidR="00585EA3" w:rsidRDefault="00585EA3" w:rsidP="00585EA3">
      <w:pPr>
        <w:pStyle w:val="TOC2"/>
      </w:pPr>
      <w:r>
        <w:t>Audit/review of Information in Sustainability Report</w:t>
      </w:r>
      <w:r>
        <w:tab/>
        <w:t>6-</w:t>
      </w:r>
      <w:r w:rsidR="00507F41">
        <w:t>7</w:t>
      </w:r>
    </w:p>
    <w:p w14:paraId="1FA526B0" w14:textId="74EFE4E2" w:rsidR="00585EA3" w:rsidRDefault="00585EA3" w:rsidP="00585EA3">
      <w:pPr>
        <w:pStyle w:val="TOC2"/>
      </w:pPr>
      <w:r w:rsidRPr="00585EA3">
        <w:rPr>
          <w:b/>
        </w:rPr>
        <w:t>Objective</w:t>
      </w:r>
      <w:r>
        <w:tab/>
      </w:r>
      <w:r w:rsidR="00507F41">
        <w:t>8</w:t>
      </w:r>
    </w:p>
    <w:p w14:paraId="67BF0FD0" w14:textId="322C9828" w:rsidR="00585EA3" w:rsidRDefault="00585EA3" w:rsidP="00585EA3">
      <w:pPr>
        <w:pStyle w:val="TOC2"/>
      </w:pPr>
      <w:r w:rsidRPr="00585EA3">
        <w:rPr>
          <w:b/>
        </w:rPr>
        <w:t>Definitions</w:t>
      </w:r>
      <w:r>
        <w:tab/>
      </w:r>
      <w:r w:rsidR="00507F41">
        <w:t>9</w:t>
      </w:r>
    </w:p>
    <w:p w14:paraId="388046FC" w14:textId="72C98603" w:rsidR="00585EA3" w:rsidRDefault="00585EA3" w:rsidP="00585EA3">
      <w:pPr>
        <w:pStyle w:val="TOC2"/>
      </w:pPr>
      <w:r w:rsidRPr="00585EA3">
        <w:rPr>
          <w:b/>
        </w:rPr>
        <w:t>Requirements</w:t>
      </w:r>
      <w:r>
        <w:tab/>
        <w:t>1</w:t>
      </w:r>
      <w:r w:rsidR="00507F41">
        <w:t>0</w:t>
      </w:r>
      <w:r>
        <w:t>-1</w:t>
      </w:r>
      <w:r w:rsidR="00507F41">
        <w:t>1</w:t>
      </w:r>
    </w:p>
    <w:bookmarkEnd w:id="10"/>
    <w:p w14:paraId="2F14B234" w14:textId="37C17917" w:rsidR="00BD62C1" w:rsidRDefault="005061E4" w:rsidP="00BD62C1">
      <w:pPr>
        <w:pStyle w:val="TOC2"/>
      </w:pPr>
      <w:r w:rsidRPr="005061E4">
        <w:rPr>
          <w:b/>
          <w:bCs/>
        </w:rPr>
        <w:t>Appendix</w:t>
      </w:r>
      <w:r w:rsidR="00BD62C1">
        <w:rPr>
          <w:b/>
          <w:bCs/>
        </w:rPr>
        <w:t xml:space="preserve"> – Diagrammatic representation of assurance phasing</w:t>
      </w:r>
    </w:p>
    <w:p w14:paraId="61F6FE8A" w14:textId="48055074" w:rsidR="004D4D03" w:rsidRDefault="004D4D03" w:rsidP="00D060D8">
      <w:pPr>
        <w:pStyle w:val="ContentsItem"/>
        <w:tabs>
          <w:tab w:val="clear" w:pos="8278"/>
        </w:tabs>
        <w:ind w:right="140"/>
        <w:rPr>
          <w:b/>
          <w:bCs/>
        </w:rPr>
      </w:pPr>
    </w:p>
    <w:p w14:paraId="2F1345B9" w14:textId="77777777" w:rsidR="00BD62C1" w:rsidRDefault="00BD62C1" w:rsidP="002D5EC1">
      <w:pPr>
        <w:pStyle w:val="ContentsItem"/>
        <w:rPr>
          <w:b/>
          <w:bCs/>
        </w:rPr>
      </w:pPr>
    </w:p>
    <w:p w14:paraId="49B00C03" w14:textId="77777777" w:rsidR="00BD62C1" w:rsidRPr="005061E4" w:rsidRDefault="00BD62C1" w:rsidP="002D5EC1">
      <w:pPr>
        <w:pStyle w:val="ContentsItem"/>
        <w:rPr>
          <w:b/>
          <w:bCs/>
        </w:rPr>
      </w:pPr>
    </w:p>
    <w:p w14:paraId="5B8FCC3F" w14:textId="77777777" w:rsidR="00DD6627" w:rsidRDefault="00DD6627">
      <w:pPr>
        <w:pStyle w:val="ContentsItem"/>
      </w:pPr>
    </w:p>
    <w:p w14:paraId="369B7E1B" w14:textId="77777777" w:rsidR="00237187" w:rsidRDefault="004D4D03" w:rsidP="00237187">
      <w:pPr>
        <w:pStyle w:val="ParaPlain"/>
      </w:pPr>
      <w:r>
        <w:br w:type="page"/>
      </w:r>
    </w:p>
    <w:p w14:paraId="064196E5" w14:textId="77777777" w:rsidR="00237187" w:rsidRDefault="00237187" w:rsidP="00237187">
      <w:pPr>
        <w:pStyle w:val="Heading1"/>
      </w:pPr>
      <w:r>
        <w:lastRenderedPageBreak/>
        <w:t>preface</w:t>
      </w:r>
    </w:p>
    <w:p w14:paraId="1D4694CD" w14:textId="034740A0" w:rsidR="00237187" w:rsidRDefault="004D3084" w:rsidP="004D3084">
      <w:pPr>
        <w:pStyle w:val="Heading4"/>
      </w:pPr>
      <w:r>
        <w:t xml:space="preserve">Reasons for Issuing </w:t>
      </w:r>
      <w:fldSimple w:instr=" REF DocType \* charformat " w:fldLock="1">
        <w:r w:rsidR="000F7563">
          <w:t>A</w:t>
        </w:r>
        <w:r w:rsidR="000F7563" w:rsidRPr="000D243E">
          <w:t>S</w:t>
        </w:r>
        <w:r w:rsidR="000F7563">
          <w:t>SA</w:t>
        </w:r>
      </w:fldSimple>
      <w:r>
        <w:t xml:space="preserve"> </w:t>
      </w:r>
      <w:r>
        <w:fldChar w:fldCharType="begin" w:fldLock="1"/>
      </w:r>
      <w:r>
        <w:instrText xml:space="preserve"> REF </w:instrText>
      </w:r>
      <w:r w:rsidR="00547B70">
        <w:instrText>Doc</w:instrText>
      </w:r>
      <w:r>
        <w:instrText xml:space="preserve">No \* charformat </w:instrText>
      </w:r>
      <w:r>
        <w:fldChar w:fldCharType="separate"/>
      </w:r>
      <w:r w:rsidR="000F7563" w:rsidRPr="000F7563">
        <w:t>5010</w:t>
      </w:r>
      <w:r>
        <w:fldChar w:fldCharType="end"/>
      </w:r>
    </w:p>
    <w:p w14:paraId="2400A168" w14:textId="6B3B67ED" w:rsidR="000F7563" w:rsidRDefault="000F7563" w:rsidP="004D3084">
      <w:pPr>
        <w:pStyle w:val="ParaPlain"/>
      </w:pPr>
      <w:r>
        <w:t>The A</w:t>
      </w:r>
      <w:bookmarkStart w:id="11" w:name="CorpsAct"/>
      <w:bookmarkEnd w:id="11"/>
      <w:r>
        <w:t xml:space="preserve">UASB issues </w:t>
      </w:r>
      <w:fldSimple w:instr=" REF DocTypeLong \* charformat " w:fldLock="1">
        <w:r w:rsidR="00190752">
          <w:t>Australian</w:t>
        </w:r>
        <w:r>
          <w:t xml:space="preserve"> Standard</w:t>
        </w:r>
      </w:fldSimple>
      <w:r w:rsidR="00190752">
        <w:t xml:space="preserve"> on Sustainability Assurance</w:t>
      </w:r>
      <w:r>
        <w:t xml:space="preserve"> </w:t>
      </w:r>
      <w:fldSimple w:instr=" REF DocType \* charformat " w:fldLock="1">
        <w:r>
          <w:t>A</w:t>
        </w:r>
        <w:r w:rsidR="00190752">
          <w:t>S</w:t>
        </w:r>
        <w:r w:rsidRPr="000D243E">
          <w:t>S</w:t>
        </w:r>
        <w:r>
          <w:t>A</w:t>
        </w:r>
      </w:fldSimple>
      <w:r>
        <w:t> </w:t>
      </w:r>
      <w:fldSimple w:instr=" REF DocNo \* charformat " w:fldLock="1">
        <w:r w:rsidRPr="000F7563">
          <w:t>5010</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0F7563">
        <w:rPr>
          <w:i/>
        </w:rPr>
        <w:t>Timeline for Audits and Reviews of Information in Sustainability Reports under the Corporations Act 2001</w:t>
      </w:r>
      <w:r w:rsidRPr="001133B4">
        <w:rPr>
          <w:i/>
        </w:rPr>
        <w:fldChar w:fldCharType="end"/>
      </w:r>
      <w:r>
        <w:t xml:space="preserve"> </w:t>
      </w:r>
      <w:r w:rsidR="00F039D7">
        <w:t xml:space="preserve">as required by s1707E(2) of the </w:t>
      </w:r>
      <w:r w:rsidR="00F039D7" w:rsidRPr="00F039D7">
        <w:rPr>
          <w:i/>
          <w:iCs/>
        </w:rPr>
        <w:t>Corporations Act 2001</w:t>
      </w:r>
      <w:r w:rsidR="00F039D7">
        <w:t xml:space="preserve"> (the Act).</w:t>
      </w:r>
    </w:p>
    <w:p w14:paraId="473CD445" w14:textId="1627B2D1" w:rsidR="000F7563" w:rsidRPr="00781DFF" w:rsidRDefault="000F7563" w:rsidP="004D3084">
      <w:pPr>
        <w:pStyle w:val="ParaPlain"/>
      </w:pPr>
      <w:r>
        <w:t xml:space="preserve">The AUASB is a </w:t>
      </w:r>
      <w:r w:rsidR="00F039D7">
        <w:t>non-corporate</w:t>
      </w:r>
      <w:r>
        <w:t xml:space="preserve"> Commonwealth entity of the Australian Government</w:t>
      </w:r>
      <w:r w:rsidR="00F039D7">
        <w:t>,</w:t>
      </w:r>
      <w:r>
        <w:t xml:space="preserve"> established under section 227A of the </w:t>
      </w:r>
      <w:r w:rsidRPr="004D3084">
        <w:rPr>
          <w:i/>
        </w:rPr>
        <w:t>Australian Securities</w:t>
      </w:r>
      <w:r>
        <w:rPr>
          <w:i/>
        </w:rPr>
        <w:t xml:space="preserve"> and Investments Commission Act </w:t>
      </w:r>
      <w:r w:rsidRPr="004D3084">
        <w:rPr>
          <w:i/>
        </w:rPr>
        <w:t>2001</w:t>
      </w:r>
      <w:r>
        <w:t xml:space="preserve">, as amended (ASIC Act).  </w:t>
      </w:r>
      <w:r w:rsidRPr="00781DFF">
        <w:t xml:space="preserve">Under </w:t>
      </w:r>
      <w:r w:rsidR="00397085">
        <w:t xml:space="preserve">paragraph 227B(1)(a) of the ASIC Act and </w:t>
      </w:r>
      <w:r w:rsidRPr="00781DFF">
        <w:t xml:space="preserve">section 336 of the </w:t>
      </w:r>
      <w:r w:rsidR="00397085">
        <w:t>Act</w:t>
      </w:r>
      <w:r w:rsidRPr="00781DFF">
        <w:t xml:space="preserve">, the AUASB may make Auditing Standards for the purposes of the </w:t>
      </w:r>
      <w:proofErr w:type="gramStart"/>
      <w:r w:rsidRPr="00781DFF">
        <w:t>corporations</w:t>
      </w:r>
      <w:proofErr w:type="gramEnd"/>
      <w:r w:rsidRPr="00781DFF">
        <w:t xml:space="preserve"> legislation.  These Auditing Standards are legislative instruments under the </w:t>
      </w:r>
      <w:r w:rsidRPr="00781DFF">
        <w:rPr>
          <w:i/>
        </w:rPr>
        <w:t>Legislation Act 2003</w:t>
      </w:r>
      <w:r w:rsidRPr="00781DFF">
        <w:t>.</w:t>
      </w:r>
    </w:p>
    <w:p w14:paraId="03A82B78" w14:textId="77777777" w:rsidR="000F7563" w:rsidRDefault="000F7563" w:rsidP="0000664A">
      <w:pPr>
        <w:pStyle w:val="ParaPlain"/>
      </w:pPr>
      <w:r w:rsidRPr="00781DFF">
        <w:t>Under the Strategic Direction given to the AUASB by the Financial Reporting Council (FRC), the AUASB is required, inter alia, to develop auditing standards that have a clear public interest focus and are of the highest quality.</w:t>
      </w:r>
    </w:p>
    <w:p w14:paraId="73CE7DAC" w14:textId="77777777" w:rsidR="00FB492A" w:rsidRDefault="00FB492A" w:rsidP="00A513B3">
      <w:pPr>
        <w:pStyle w:val="Heading4"/>
        <w:keepNext w:val="0"/>
      </w:pPr>
      <w:r>
        <w:t xml:space="preserve">Main </w:t>
      </w:r>
      <w:r w:rsidR="007B449F">
        <w:t>Features</w:t>
      </w:r>
    </w:p>
    <w:p w14:paraId="53B83202" w14:textId="72FAE436" w:rsidR="00FB492A" w:rsidRDefault="004F682F" w:rsidP="00FB492A">
      <w:pPr>
        <w:pStyle w:val="ParaPlain"/>
      </w:pPr>
      <w:bookmarkStart w:id="12" w:name="MainFeaturesStandard"/>
      <w:r>
        <w:t>This Australian Standard on Sustainability Assurance (ASSA) specifies the timeline for information in a sustainability report for a financial year prepared in accordance with Chapter 2M of the Act to be subject to audit and/or review</w:t>
      </w:r>
      <w:r w:rsidR="005319E4">
        <w:t xml:space="preserve"> for financial years commencing </w:t>
      </w:r>
      <w:r w:rsidR="00122F96">
        <w:t xml:space="preserve">from 1 January 2025 to 30 June </w:t>
      </w:r>
      <w:r w:rsidR="005319E4">
        <w:t>2030</w:t>
      </w:r>
      <w:r>
        <w:t>.</w:t>
      </w:r>
    </w:p>
    <w:p w14:paraId="2EE2341B" w14:textId="54E6C9E1" w:rsidR="00692654" w:rsidRDefault="00692654" w:rsidP="00692654">
      <w:pPr>
        <w:pStyle w:val="Heading4"/>
      </w:pPr>
      <w:bookmarkStart w:id="13" w:name="AutoTextNew"/>
      <w:bookmarkStart w:id="14" w:name="_Hlk187840479"/>
      <w:bookmarkEnd w:id="12"/>
      <w:r>
        <w:t xml:space="preserve">New </w:t>
      </w:r>
      <w:fldSimple w:instr=" REF DocTypeLong \* charformat " w:fldLock="1">
        <w:r w:rsidR="000F7563">
          <w:t>Standard</w:t>
        </w:r>
      </w:fldSimple>
      <w:r w:rsidR="004A4B0A">
        <w:t xml:space="preserve"> on Assurance over Sustainability Information</w:t>
      </w:r>
    </w:p>
    <w:p w14:paraId="36F5C24E" w14:textId="6764FEB8" w:rsidR="00692654" w:rsidRDefault="00692654" w:rsidP="00692654">
      <w:pPr>
        <w:pStyle w:val="ParaPlain"/>
      </w:pPr>
      <w:r>
        <w:t xml:space="preserve">This </w:t>
      </w:r>
      <w:r w:rsidR="00B62140">
        <w:t xml:space="preserve">Standard </w:t>
      </w:r>
      <w:r>
        <w:t xml:space="preserve">is a new pronouncement of the AUASB and does not supersede a pre-existing </w:t>
      </w:r>
      <w:fldSimple w:instr=" REF DocTypeLong \* charformat " w:fldLock="1">
        <w:r w:rsidR="000F7563">
          <w:t>Standard</w:t>
        </w:r>
      </w:fldSimple>
      <w:r>
        <w:t>.</w:t>
      </w:r>
    </w:p>
    <w:bookmarkEnd w:id="13"/>
    <w:p w14:paraId="714D4735" w14:textId="77777777" w:rsidR="00CD7588" w:rsidRDefault="00CD7588" w:rsidP="003B0290">
      <w:pPr>
        <w:pStyle w:val="ParaPlain"/>
      </w:pPr>
    </w:p>
    <w:bookmarkEnd w:id="14"/>
    <w:p w14:paraId="3CB1AE98" w14:textId="77777777" w:rsidR="00237187" w:rsidRDefault="00237187" w:rsidP="003B0290">
      <w:pPr>
        <w:pStyle w:val="ParaPlain"/>
      </w:pPr>
      <w:r>
        <w:br w:type="page"/>
      </w:r>
    </w:p>
    <w:p w14:paraId="0783DE41" w14:textId="77777777" w:rsidR="004D4D03" w:rsidRDefault="004D4D03">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5" w:name="AuthStmt"/>
      <w:bookmarkEnd w:id="15"/>
      <w:r>
        <w:t>THORITY STATEMENT</w:t>
      </w:r>
    </w:p>
    <w:p w14:paraId="440A74CB" w14:textId="7B7F9EB1" w:rsidR="000F7563" w:rsidRDefault="000F7563">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t>Standard</w:t>
        </w:r>
      </w:fldSimple>
      <w:r>
        <w:t xml:space="preserve"> </w:t>
      </w:r>
      <w:r w:rsidR="002C54F4">
        <w:t xml:space="preserve">on Sustainability Assurance </w:t>
      </w:r>
      <w:fldSimple w:instr=" REF DocType \* charformat " w:fldLock="1">
        <w:r>
          <w:t>A</w:t>
        </w:r>
        <w:r w:rsidRPr="000D243E">
          <w:t>S</w:t>
        </w:r>
        <w:r w:rsidR="002C54F4">
          <w:t>S</w:t>
        </w:r>
        <w:r>
          <w:t>A</w:t>
        </w:r>
      </w:fldSimple>
      <w:r>
        <w:t> </w:t>
      </w:r>
      <w:fldSimple w:instr=" REF DocNo \* charformat " w:fldLock="1">
        <w:r w:rsidRPr="000F7563">
          <w:t>5010</w:t>
        </w:r>
      </w:fldSimple>
      <w:r>
        <w:t xml:space="preserve"> </w:t>
      </w:r>
      <w:r>
        <w:rPr>
          <w:i/>
          <w:iCs/>
        </w:rPr>
        <w:fldChar w:fldCharType="begin" w:fldLock="1"/>
      </w:r>
      <w:r>
        <w:rPr>
          <w:i/>
          <w:iCs/>
        </w:rPr>
        <w:instrText xml:space="preserve"> REF DocTitle \* charformat </w:instrText>
      </w:r>
      <w:r>
        <w:rPr>
          <w:i/>
          <w:iCs/>
        </w:rPr>
        <w:fldChar w:fldCharType="separate"/>
      </w:r>
      <w:r w:rsidRPr="000F7563">
        <w:rPr>
          <w:i/>
          <w:iCs/>
        </w:rPr>
        <w:t>Timeline for Audits and Reviews of Information in Sustainability Reports under the Corporations Act 2001</w:t>
      </w:r>
      <w:r>
        <w:rPr>
          <w:i/>
          <w:iCs/>
        </w:rPr>
        <w:fldChar w:fldCharType="end"/>
      </w:r>
      <w:r>
        <w:t xml:space="preserve"> </w:t>
      </w:r>
      <w:r w:rsidR="002C54F4">
        <w:t xml:space="preserve">as an auditing standard </w:t>
      </w:r>
      <w:r>
        <w:t>pursuant to section 227B</w:t>
      </w:r>
      <w:r w:rsidR="002C54F4">
        <w:t>(1)(a)</w:t>
      </w:r>
      <w:r>
        <w:t xml:space="preserve"> of the </w:t>
      </w:r>
      <w:r>
        <w:rPr>
          <w:i/>
          <w:iCs/>
        </w:rPr>
        <w:t>Australian Securities and Investments Commission Act 2001</w:t>
      </w:r>
      <w:r>
        <w:t xml:space="preserve"> and </w:t>
      </w:r>
      <w:r w:rsidR="002C54F4">
        <w:t xml:space="preserve">subsection 1707E(2) of the </w:t>
      </w:r>
      <w:r w:rsidR="002C54F4" w:rsidRPr="00A20DBA">
        <w:rPr>
          <w:i/>
          <w:iCs/>
        </w:rPr>
        <w:t>Corporations Act 2001</w:t>
      </w:r>
      <w:r w:rsidR="002C54F4">
        <w:t xml:space="preserve"> (the Act) for the purposes of </w:t>
      </w:r>
      <w:r>
        <w:t xml:space="preserve">section 336 of the </w:t>
      </w:r>
      <w:r w:rsidR="002C54F4">
        <w:rPr>
          <w:iCs/>
        </w:rPr>
        <w:t>Act</w:t>
      </w:r>
      <w:r>
        <w:t>.</w:t>
      </w:r>
    </w:p>
    <w:p w14:paraId="00F79AD9" w14:textId="608868E3" w:rsidR="00E066DC" w:rsidRDefault="00D91790">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bookmarkStart w:id="16" w:name="InsertHere"/>
      <w:bookmarkEnd w:id="16"/>
      <w:r>
        <w:t xml:space="preserve">This Standard on Sustainability Assurance </w:t>
      </w:r>
      <w:r w:rsidR="0022127A">
        <w:t xml:space="preserve">is to be read in conjunction with ASA 101 </w:t>
      </w:r>
      <w:r w:rsidR="0022127A" w:rsidRPr="0022127A">
        <w:rPr>
          <w:i/>
          <w:iCs/>
        </w:rPr>
        <w:t>Preamble to AUASB Standards</w:t>
      </w:r>
      <w:r w:rsidR="0022127A">
        <w:t>, which sets out how AUASB Standards are to be understood, interpreted and applied.</w:t>
      </w:r>
    </w:p>
    <w:p w14:paraId="752308CB" w14:textId="59E15360" w:rsidR="000F7563" w:rsidRDefault="000F7563" w:rsidP="00B877B1">
      <w:pPr>
        <w:pStyle w:val="ParaPlain"/>
        <w:tabs>
          <w:tab w:val="right" w:pos="9072"/>
        </w:tabs>
        <w:spacing w:before="1800"/>
      </w:pPr>
      <w:r w:rsidRPr="00596655">
        <w:t>Dated:</w:t>
      </w:r>
      <w:bookmarkStart w:id="17" w:name="MakeDate"/>
      <w:r w:rsidRPr="00596655">
        <w:t xml:space="preserve"> </w:t>
      </w:r>
      <w:bookmarkEnd w:id="17"/>
      <w:r w:rsidR="00122F96">
        <w:t>28 January 2025</w:t>
      </w:r>
      <w:r w:rsidRPr="000F7563">
        <w:tab/>
        <w:t>D Niven</w:t>
      </w:r>
      <w:r w:rsidRPr="000F7563">
        <w:br/>
      </w:r>
      <w:r w:rsidRPr="000F7563">
        <w:tab/>
        <w:t>Chair - AUASB</w:t>
      </w:r>
    </w:p>
    <w:p w14:paraId="2DBF3A5C" w14:textId="77777777" w:rsidR="00097BDA" w:rsidRDefault="00097BDA"/>
    <w:p w14:paraId="1C2EAE5F" w14:textId="153D2216" w:rsidR="00F018EB" w:rsidRDefault="00F018EB" w:rsidP="00F018EB">
      <w:pPr>
        <w:pStyle w:val="Heading5"/>
        <w:pageBreakBefore/>
      </w:pPr>
      <w:r>
        <w:lastRenderedPageBreak/>
        <w:t>Conformity with International S</w:t>
      </w:r>
      <w:r w:rsidR="00A63AA8">
        <w:t>ustainability Assurance S</w:t>
      </w:r>
      <w:r>
        <w:t>tandards</w:t>
      </w:r>
    </w:p>
    <w:p w14:paraId="5D024789" w14:textId="0843B36A" w:rsidR="002321A7" w:rsidRDefault="00FB267F">
      <w:r>
        <w:t xml:space="preserve">This standard has been made to specify the </w:t>
      </w:r>
      <w:r w:rsidR="00A63AA8">
        <w:t xml:space="preserve">extent and </w:t>
      </w:r>
      <w:r>
        <w:t>timing of audits and reviews of information in sustainability reports as required by Australian legislation.  There is no equivalent International Auditing and Assurance Standards Board standard.</w:t>
      </w:r>
    </w:p>
    <w:p w14:paraId="3B7F4B41" w14:textId="77777777" w:rsidR="004D4D03" w:rsidRDefault="004D4D03">
      <w:pPr>
        <w:sectPr w:rsidR="004D4D03" w:rsidSect="0033215A">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pPr>
    </w:p>
    <w:p w14:paraId="1D76D974" w14:textId="10FD8CEF" w:rsidR="004D4D03" w:rsidRDefault="007458C5">
      <w:pPr>
        <w:pStyle w:val="Heading2"/>
      </w:pPr>
      <w:fldSimple w:instr=" REF DocTypeLong * charformat " w:fldLock="1">
        <w:r>
          <w:t>AUSTRALIAN</w:t>
        </w:r>
        <w:r w:rsidR="000F7563">
          <w:t xml:space="preserve"> Standard</w:t>
        </w:r>
      </w:fldSimple>
      <w:r>
        <w:t xml:space="preserve"> ON SUSTAINABILITY ASSURANCE</w:t>
      </w:r>
      <w:r w:rsidR="00880310">
        <w:t xml:space="preserve"> </w:t>
      </w:r>
      <w:r>
        <w:t>ASSA</w:t>
      </w:r>
      <w:r w:rsidR="00995437">
        <w:t> </w:t>
      </w:r>
      <w:fldSimple w:instr=" REF DocNo \* charformat " w:fldLock="1">
        <w:r w:rsidR="000F7563" w:rsidRPr="000F7563">
          <w:t>5010</w:t>
        </w:r>
      </w:fldSimple>
    </w:p>
    <w:p w14:paraId="7380ECA3" w14:textId="3A85F8FE" w:rsidR="004D4D03" w:rsidRDefault="000F7563">
      <w:pPr>
        <w:pStyle w:val="Heading3"/>
      </w:pPr>
      <w:fldSimple w:instr=" REF DocTitle  \* charformat " w:fldLock="1">
        <w:r>
          <w:t>Timeline for Audits and Reviews of Information in Sustainability Reports under the Corporations Act 2001</w:t>
        </w:r>
      </w:fldSimple>
    </w:p>
    <w:p w14:paraId="34031D94" w14:textId="77777777" w:rsidR="004D4D03" w:rsidRDefault="00301C19">
      <w:pPr>
        <w:pStyle w:val="Heading5"/>
      </w:pPr>
      <w:bookmarkStart w:id="18" w:name="TOCStart"/>
      <w:bookmarkEnd w:id="18"/>
      <w:r>
        <w:t>Application</w:t>
      </w:r>
    </w:p>
    <w:p w14:paraId="45F151C3" w14:textId="1AF478BB" w:rsidR="000F7563" w:rsidRDefault="000F7563" w:rsidP="00933BCE">
      <w:pPr>
        <w:pStyle w:val="ParaLevel1"/>
      </w:pPr>
      <w:r>
        <w:t xml:space="preserve">This </w:t>
      </w:r>
      <w:r w:rsidR="00933BCE">
        <w:t xml:space="preserve">standard applies </w:t>
      </w:r>
      <w:r w:rsidR="00B86D72">
        <w:t xml:space="preserve">to assurance engagements on sustainability information </w:t>
      </w:r>
      <w:r w:rsidR="0021391A">
        <w:t xml:space="preserve">in </w:t>
      </w:r>
      <w:r w:rsidR="00933BCE">
        <w:t xml:space="preserve">a sustainability report for a financial year under Chapter 2M of the </w:t>
      </w:r>
      <w:r w:rsidR="00933BCE" w:rsidRPr="00933BCE">
        <w:rPr>
          <w:i/>
          <w:iCs/>
        </w:rPr>
        <w:t>Corporations Act 2001</w:t>
      </w:r>
      <w:r w:rsidR="00933BCE">
        <w:t xml:space="preserve"> (the Act).</w:t>
      </w:r>
    </w:p>
    <w:p w14:paraId="70469607" w14:textId="357D1D13" w:rsidR="004D4D03" w:rsidRDefault="00CE4FD7">
      <w:pPr>
        <w:pStyle w:val="Heading5"/>
      </w:pPr>
      <w:r>
        <w:t xml:space="preserve">Effective </w:t>
      </w:r>
      <w:r w:rsidR="004D4D03">
        <w:t>Date</w:t>
      </w:r>
    </w:p>
    <w:p w14:paraId="4C07B838" w14:textId="50431355" w:rsidR="000F7563" w:rsidRDefault="000F7563" w:rsidP="000F7563">
      <w:pPr>
        <w:pStyle w:val="ParaLevel1"/>
      </w:pPr>
      <w:r>
        <w:t>This</w:t>
      </w:r>
      <w:r w:rsidR="00933BCE">
        <w:t xml:space="preserve"> standard</w:t>
      </w:r>
      <w:r>
        <w:t xml:space="preserve"> is operative for </w:t>
      </w:r>
      <w:bookmarkStart w:id="19" w:name="OpDateText"/>
      <w:r w:rsidRPr="000F7563">
        <w:rPr>
          <w:bCs/>
          <w:lang w:val="en-US"/>
        </w:rPr>
        <w:t xml:space="preserve">financial </w:t>
      </w:r>
      <w:r w:rsidR="0044719F">
        <w:rPr>
          <w:bCs/>
          <w:lang w:val="en-US"/>
        </w:rPr>
        <w:t xml:space="preserve">years </w:t>
      </w:r>
      <w:r w:rsidRPr="000F7563">
        <w:rPr>
          <w:bCs/>
          <w:lang w:val="en-US"/>
        </w:rPr>
        <w:t xml:space="preserve">commencing </w:t>
      </w:r>
      <w:bookmarkEnd w:id="19"/>
      <w:r w:rsidR="00933BCE">
        <w:rPr>
          <w:bCs/>
          <w:lang w:val="en-US"/>
        </w:rPr>
        <w:t>from</w:t>
      </w:r>
      <w:r>
        <w:t xml:space="preserve"> </w:t>
      </w:r>
      <w:bookmarkStart w:id="20" w:name="OpDate"/>
      <w:r>
        <w:t>1 January 2025</w:t>
      </w:r>
      <w:bookmarkEnd w:id="20"/>
      <w:r w:rsidR="00933BCE">
        <w:t xml:space="preserve"> to 30 June 2030</w:t>
      </w:r>
      <w:r>
        <w:t>.</w:t>
      </w:r>
    </w:p>
    <w:p w14:paraId="337A9008" w14:textId="77777777" w:rsidR="008809E8" w:rsidRPr="0008431E" w:rsidRDefault="008809E8" w:rsidP="0008431E">
      <w:pPr>
        <w:pStyle w:val="Heading5"/>
      </w:pPr>
      <w:r>
        <w:t>Introduction</w:t>
      </w:r>
    </w:p>
    <w:p w14:paraId="7FF44D15" w14:textId="1FC6A3C3" w:rsidR="0008431E" w:rsidRPr="0008431E" w:rsidRDefault="00933BCE" w:rsidP="0008431E">
      <w:pPr>
        <w:pStyle w:val="Heading6"/>
      </w:pPr>
      <w:r>
        <w:t>Contents of Sustainability Report</w:t>
      </w:r>
    </w:p>
    <w:p w14:paraId="5A3E1816" w14:textId="1ACC8C1D" w:rsidR="008809E8" w:rsidRDefault="00643E4E" w:rsidP="001C671A">
      <w:pPr>
        <w:pStyle w:val="ParaLevel1"/>
      </w:pPr>
      <w:r>
        <w:t xml:space="preserve">The Act requires certain entities that prepare annual financial reports under Chapter 2M of the Act to also prepare an annual sustainability report to accompany the financial report. </w:t>
      </w:r>
    </w:p>
    <w:p w14:paraId="229D7D5A" w14:textId="47AEEC3B" w:rsidR="00643E4E" w:rsidRDefault="00643E4E" w:rsidP="001C671A">
      <w:pPr>
        <w:pStyle w:val="ParaLevel1"/>
      </w:pPr>
      <w:r>
        <w:t>The sustainability report for a financial year consists of:</w:t>
      </w:r>
    </w:p>
    <w:p w14:paraId="2922BB81" w14:textId="3FE599BC" w:rsidR="00643E4E" w:rsidRDefault="00A9201E" w:rsidP="00643E4E">
      <w:pPr>
        <w:pStyle w:val="ParaLevel2"/>
      </w:pPr>
      <w:r>
        <w:t xml:space="preserve">the climate statement for the year required by the Sustainability </w:t>
      </w:r>
      <w:proofErr w:type="gramStart"/>
      <w:r>
        <w:t>Standards;</w:t>
      </w:r>
      <w:proofErr w:type="gramEnd"/>
    </w:p>
    <w:p w14:paraId="6202B32D" w14:textId="7760AFBB" w:rsidR="00A9201E" w:rsidRDefault="00A9201E" w:rsidP="00643E4E">
      <w:pPr>
        <w:pStyle w:val="ParaLevel2"/>
      </w:pPr>
      <w:r>
        <w:t>any notes to the climate statements required by the Sustainability Standards or a legislative instrument made by the Minister under subsection 296</w:t>
      </w:r>
      <w:proofErr w:type="gramStart"/>
      <w:r>
        <w:t>A(</w:t>
      </w:r>
      <w:proofErr w:type="gramEnd"/>
      <w:r>
        <w:t>4);</w:t>
      </w:r>
    </w:p>
    <w:p w14:paraId="27308F2B" w14:textId="5E445B4F" w:rsidR="00A9201E" w:rsidRPr="00D319DC" w:rsidRDefault="00A9201E" w:rsidP="00643E4E">
      <w:pPr>
        <w:pStyle w:val="ParaLevel2"/>
      </w:pPr>
      <w:r>
        <w:t xml:space="preserve">any statements and notes relating to other financial matters concerning environmental sustainability required by a legislative instrument made by the Minister under </w:t>
      </w:r>
      <w:r w:rsidRPr="00D319DC">
        <w:t>subsection 296</w:t>
      </w:r>
      <w:proofErr w:type="gramStart"/>
      <w:r w:rsidRPr="00D319DC">
        <w:t>A(</w:t>
      </w:r>
      <w:proofErr w:type="gramEnd"/>
      <w:r w:rsidRPr="00D319DC">
        <w:t>5); and</w:t>
      </w:r>
    </w:p>
    <w:p w14:paraId="5B1E43F8" w14:textId="0E6DA9D6" w:rsidR="00A9201E" w:rsidRPr="00D319DC" w:rsidRDefault="00A9201E" w:rsidP="00643E4E">
      <w:pPr>
        <w:pStyle w:val="ParaLevel2"/>
      </w:pPr>
      <w:r w:rsidRPr="00D319DC">
        <w:t>the directors’ declaration about the statements and the notes</w:t>
      </w:r>
      <w:r w:rsidR="00D319DC" w:rsidRPr="00D319DC">
        <w:t>.</w:t>
      </w:r>
      <w:r w:rsidR="00146A0D">
        <w:rPr>
          <w:rStyle w:val="FootnoteReference"/>
        </w:rPr>
        <w:footnoteReference w:id="2"/>
      </w:r>
    </w:p>
    <w:p w14:paraId="0B3B5DE1" w14:textId="28F5922C" w:rsidR="00276EFC" w:rsidRDefault="00276EFC" w:rsidP="00276EFC">
      <w:pPr>
        <w:pStyle w:val="ParaLevel1"/>
      </w:pPr>
      <w:r>
        <w:t xml:space="preserve">Paragraph C3 in Appendix C of the Australian Sustainability Reporting Standard AASB S2 </w:t>
      </w:r>
      <w:r w:rsidRPr="00276EFC">
        <w:rPr>
          <w:i/>
          <w:iCs/>
        </w:rPr>
        <w:t>Climate-related Disclosures</w:t>
      </w:r>
      <w:r>
        <w:t xml:space="preserve"> (AASB S2) provides that an entity is not required to provide comparative information in the first annual reporting period that it applies that standard.</w:t>
      </w:r>
    </w:p>
    <w:p w14:paraId="1B2EEEC4" w14:textId="73C2284C" w:rsidR="0008431E" w:rsidRDefault="00276EFC" w:rsidP="0008431E">
      <w:pPr>
        <w:pStyle w:val="Heading6"/>
      </w:pPr>
      <w:r>
        <w:t xml:space="preserve">Audit/review of Information in </w:t>
      </w:r>
      <w:r w:rsidR="00A20DBA">
        <w:t xml:space="preserve">the </w:t>
      </w:r>
      <w:r>
        <w:t>Sustainability Report</w:t>
      </w:r>
    </w:p>
    <w:p w14:paraId="728AA8D2" w14:textId="32214F60" w:rsidR="0008431E" w:rsidRDefault="00276EFC" w:rsidP="0008431E">
      <w:pPr>
        <w:pStyle w:val="ParaLevel1"/>
      </w:pPr>
      <w:r>
        <w:t>The Act requires:</w:t>
      </w:r>
    </w:p>
    <w:p w14:paraId="631E94C6" w14:textId="7642FB2F" w:rsidR="00276EFC" w:rsidRDefault="00503EFC" w:rsidP="00276EFC">
      <w:pPr>
        <w:pStyle w:val="ParaLevel2"/>
      </w:pPr>
      <w:r>
        <w:t>Sustainability reports for financial years commencing on or after 1 July 2030 to be audited.</w:t>
      </w:r>
      <w:r w:rsidR="00826964">
        <w:rPr>
          <w:rStyle w:val="FootnoteReference"/>
        </w:rPr>
        <w:footnoteReference w:id="3"/>
      </w:r>
    </w:p>
    <w:p w14:paraId="7E6185DD" w14:textId="73C9A2F8" w:rsidR="00503EFC" w:rsidRDefault="00503EFC" w:rsidP="00276EFC">
      <w:pPr>
        <w:pStyle w:val="ParaLevel2"/>
      </w:pPr>
      <w:r>
        <w:t xml:space="preserve">The Auditing and Assurance Standards Board (AUASB) to make auditing standards for financial years commencing </w:t>
      </w:r>
      <w:r w:rsidR="004C0948">
        <w:t xml:space="preserve">1 January 2025 to 30 June </w:t>
      </w:r>
      <w:r>
        <w:t>2030 that specify the extent to which information in the sustainability report must be audited and/or reviewed.</w:t>
      </w:r>
      <w:r w:rsidR="00365E39">
        <w:rPr>
          <w:rStyle w:val="FootnoteReference"/>
        </w:rPr>
        <w:footnoteReference w:id="4"/>
      </w:r>
    </w:p>
    <w:p w14:paraId="661B9C8A" w14:textId="5824D86C" w:rsidR="00365E39" w:rsidRDefault="00365E39" w:rsidP="00365E39">
      <w:pPr>
        <w:pStyle w:val="ParaLevel1"/>
      </w:pPr>
      <w:r>
        <w:lastRenderedPageBreak/>
        <w:t xml:space="preserve">This </w:t>
      </w:r>
      <w:r w:rsidR="009506E5">
        <w:t>standard uses the terms auditor, audit and review which are consistent with the Act. For the avoidance of doubt, the following terms used in the AUASB’s Standards are to be read as having the same meaning as the terms used in the Act shown in the table below when conducting an audit or review of information in a sustainability report:</w:t>
      </w:r>
    </w:p>
    <w:tbl>
      <w:tblPr>
        <w:tblStyle w:val="TableGrid"/>
        <w:tblW w:w="0" w:type="auto"/>
        <w:tblInd w:w="709" w:type="dxa"/>
        <w:tblLook w:val="04A0" w:firstRow="1" w:lastRow="0" w:firstColumn="1" w:lastColumn="0" w:noHBand="0" w:noVBand="1"/>
        <w:tblCaption w:val="Table"/>
        <w:tblDescription w:val="Term(s) in the Act and Term(s) in AUASB standards"/>
      </w:tblPr>
      <w:tblGrid>
        <w:gridCol w:w="4159"/>
        <w:gridCol w:w="4193"/>
      </w:tblGrid>
      <w:tr w:rsidR="009506E5" w14:paraId="1FB8FFD7" w14:textId="77777777" w:rsidTr="009506E5">
        <w:trPr>
          <w:trHeight w:val="328"/>
        </w:trPr>
        <w:tc>
          <w:tcPr>
            <w:tcW w:w="4530" w:type="dxa"/>
            <w:shd w:val="clear" w:color="auto" w:fill="F2F2F2" w:themeFill="background1" w:themeFillShade="F2"/>
            <w:vAlign w:val="center"/>
          </w:tcPr>
          <w:p w14:paraId="6B8D6D47" w14:textId="71326C0F" w:rsidR="009506E5" w:rsidRPr="009506E5" w:rsidRDefault="009506E5" w:rsidP="00DD7D8F">
            <w:pPr>
              <w:pStyle w:val="ParaLevel3"/>
              <w:numPr>
                <w:ilvl w:val="0"/>
                <w:numId w:val="0"/>
              </w:numPr>
              <w:spacing w:before="60" w:after="60"/>
              <w:rPr>
                <w:b/>
                <w:bCs/>
              </w:rPr>
            </w:pPr>
            <w:r w:rsidRPr="009506E5">
              <w:rPr>
                <w:b/>
                <w:bCs/>
              </w:rPr>
              <w:t>Term(s) in th</w:t>
            </w:r>
            <w:r w:rsidR="0044719F">
              <w:rPr>
                <w:b/>
                <w:bCs/>
              </w:rPr>
              <w:t>e</w:t>
            </w:r>
            <w:r w:rsidRPr="009506E5">
              <w:rPr>
                <w:b/>
                <w:bCs/>
              </w:rPr>
              <w:t xml:space="preserve"> </w:t>
            </w:r>
            <w:r w:rsidR="0044719F">
              <w:rPr>
                <w:b/>
                <w:bCs/>
              </w:rPr>
              <w:t>Act</w:t>
            </w:r>
          </w:p>
        </w:tc>
        <w:tc>
          <w:tcPr>
            <w:tcW w:w="4531" w:type="dxa"/>
            <w:shd w:val="clear" w:color="auto" w:fill="F2F2F2" w:themeFill="background1" w:themeFillShade="F2"/>
            <w:vAlign w:val="center"/>
          </w:tcPr>
          <w:p w14:paraId="2BA623D2" w14:textId="724F290B" w:rsidR="009506E5" w:rsidRPr="009506E5" w:rsidRDefault="009506E5" w:rsidP="00DD7D8F">
            <w:pPr>
              <w:pStyle w:val="ParaLevel3"/>
              <w:numPr>
                <w:ilvl w:val="0"/>
                <w:numId w:val="0"/>
              </w:numPr>
              <w:spacing w:before="60" w:after="60"/>
              <w:rPr>
                <w:b/>
                <w:bCs/>
              </w:rPr>
            </w:pPr>
            <w:r w:rsidRPr="009506E5">
              <w:rPr>
                <w:b/>
                <w:bCs/>
              </w:rPr>
              <w:t>Term(s) in AUASB standards</w:t>
            </w:r>
          </w:p>
        </w:tc>
      </w:tr>
      <w:tr w:rsidR="009506E5" w14:paraId="7D285819" w14:textId="77777777" w:rsidTr="009506E5">
        <w:tc>
          <w:tcPr>
            <w:tcW w:w="4530" w:type="dxa"/>
            <w:vAlign w:val="center"/>
          </w:tcPr>
          <w:p w14:paraId="173B98B3" w14:textId="186FE11E" w:rsidR="009506E5" w:rsidRDefault="009506E5" w:rsidP="00DD7D8F">
            <w:pPr>
              <w:pStyle w:val="ParaLevel3"/>
              <w:numPr>
                <w:ilvl w:val="0"/>
                <w:numId w:val="0"/>
              </w:numPr>
              <w:spacing w:before="60" w:after="60"/>
            </w:pPr>
            <w:r>
              <w:t>Review (noun)</w:t>
            </w:r>
          </w:p>
        </w:tc>
        <w:tc>
          <w:tcPr>
            <w:tcW w:w="4531" w:type="dxa"/>
            <w:vAlign w:val="center"/>
          </w:tcPr>
          <w:p w14:paraId="645DCA57" w14:textId="091155FF" w:rsidR="009506E5" w:rsidRDefault="009506E5" w:rsidP="00DD7D8F">
            <w:pPr>
              <w:pStyle w:val="ParaLevel3"/>
              <w:numPr>
                <w:ilvl w:val="0"/>
                <w:numId w:val="0"/>
              </w:numPr>
              <w:spacing w:before="60" w:after="60"/>
            </w:pPr>
            <w:r>
              <w:t>Limited assurance engagement</w:t>
            </w:r>
          </w:p>
        </w:tc>
      </w:tr>
      <w:tr w:rsidR="009506E5" w14:paraId="086A8931" w14:textId="77777777" w:rsidTr="009506E5">
        <w:tc>
          <w:tcPr>
            <w:tcW w:w="4530" w:type="dxa"/>
            <w:vAlign w:val="center"/>
          </w:tcPr>
          <w:p w14:paraId="0FC8B7E3" w14:textId="6AB9BAB6" w:rsidR="009506E5" w:rsidRDefault="009506E5" w:rsidP="00DD7D8F">
            <w:pPr>
              <w:pStyle w:val="ParaLevel3"/>
              <w:numPr>
                <w:ilvl w:val="0"/>
                <w:numId w:val="0"/>
              </w:numPr>
              <w:spacing w:before="60" w:after="60"/>
            </w:pPr>
            <w:r>
              <w:t>Audit (noun)</w:t>
            </w:r>
          </w:p>
        </w:tc>
        <w:tc>
          <w:tcPr>
            <w:tcW w:w="4531" w:type="dxa"/>
            <w:vAlign w:val="center"/>
          </w:tcPr>
          <w:p w14:paraId="22433C3C" w14:textId="543CEB9E" w:rsidR="009506E5" w:rsidRDefault="009506E5" w:rsidP="00DD7D8F">
            <w:pPr>
              <w:pStyle w:val="ParaLevel3"/>
              <w:numPr>
                <w:ilvl w:val="0"/>
                <w:numId w:val="0"/>
              </w:numPr>
              <w:spacing w:before="60" w:after="60"/>
            </w:pPr>
            <w:r>
              <w:t>Reasonable assurance engagement</w:t>
            </w:r>
          </w:p>
        </w:tc>
      </w:tr>
      <w:tr w:rsidR="009506E5" w14:paraId="47382E35" w14:textId="77777777" w:rsidTr="009506E5">
        <w:tc>
          <w:tcPr>
            <w:tcW w:w="4530" w:type="dxa"/>
            <w:vAlign w:val="center"/>
          </w:tcPr>
          <w:p w14:paraId="7A1DC389" w14:textId="14B88591" w:rsidR="009506E5" w:rsidRDefault="009506E5" w:rsidP="00DD7D8F">
            <w:pPr>
              <w:pStyle w:val="ParaLevel3"/>
              <w:numPr>
                <w:ilvl w:val="0"/>
                <w:numId w:val="0"/>
              </w:numPr>
              <w:spacing w:before="60" w:after="60"/>
            </w:pPr>
            <w:r>
              <w:t>Audit (noun) or review (noun), as applicable</w:t>
            </w:r>
          </w:p>
        </w:tc>
        <w:tc>
          <w:tcPr>
            <w:tcW w:w="4531" w:type="dxa"/>
            <w:vAlign w:val="center"/>
          </w:tcPr>
          <w:p w14:paraId="62E35B73" w14:textId="12FD8373" w:rsidR="009506E5" w:rsidRDefault="009506E5" w:rsidP="00DD7D8F">
            <w:pPr>
              <w:pStyle w:val="ParaLevel3"/>
              <w:numPr>
                <w:ilvl w:val="0"/>
                <w:numId w:val="0"/>
              </w:numPr>
              <w:spacing w:before="60" w:after="60"/>
            </w:pPr>
            <w:r>
              <w:t>Sustainability assurance engagement</w:t>
            </w:r>
          </w:p>
        </w:tc>
      </w:tr>
    </w:tbl>
    <w:p w14:paraId="58317B37" w14:textId="77777777" w:rsidR="009506E5" w:rsidRDefault="009506E5" w:rsidP="009506E5">
      <w:pPr>
        <w:pStyle w:val="ParaLevel3"/>
        <w:numPr>
          <w:ilvl w:val="0"/>
          <w:numId w:val="0"/>
        </w:numPr>
        <w:ind w:left="709"/>
      </w:pPr>
    </w:p>
    <w:p w14:paraId="3FBD6147" w14:textId="27F57A24" w:rsidR="0008431E" w:rsidRDefault="0008431E" w:rsidP="0008431E">
      <w:pPr>
        <w:pStyle w:val="Heading5"/>
      </w:pPr>
      <w:bookmarkStart w:id="21" w:name="ClausesStandard"/>
      <w:r>
        <w:t>Objective</w:t>
      </w:r>
    </w:p>
    <w:p w14:paraId="29EB91A3" w14:textId="2BE212B5" w:rsidR="0008431E" w:rsidRPr="0008431E" w:rsidRDefault="00CF7264" w:rsidP="009506E5">
      <w:pPr>
        <w:pStyle w:val="ParaLevel1"/>
      </w:pPr>
      <w:r>
        <w:t xml:space="preserve">The objective of </w:t>
      </w:r>
      <w:r w:rsidR="00D7748F">
        <w:t xml:space="preserve">this standard is to specify </w:t>
      </w:r>
      <w:r w:rsidR="00037CDF">
        <w:t xml:space="preserve">the </w:t>
      </w:r>
      <w:r>
        <w:t xml:space="preserve">information in </w:t>
      </w:r>
      <w:r w:rsidR="00BF0397">
        <w:t>a</w:t>
      </w:r>
      <w:r>
        <w:t xml:space="preserve"> sustainability report </w:t>
      </w:r>
      <w:r w:rsidR="00BF0397">
        <w:t xml:space="preserve">that is required to be audited and/or reviewed in accordance with Australian Standard on Sustainability Assurance ASSA 5000 </w:t>
      </w:r>
      <w:r w:rsidR="0060049F">
        <w:rPr>
          <w:i/>
          <w:iCs/>
        </w:rPr>
        <w:t xml:space="preserve">General Requirements for Sustainability Assurance Engagements </w:t>
      </w:r>
      <w:r w:rsidR="0060049F">
        <w:t>for each relevant financial year</w:t>
      </w:r>
      <w:r>
        <w:t>.</w:t>
      </w:r>
    </w:p>
    <w:p w14:paraId="4D3EF015" w14:textId="0BEBE41B" w:rsidR="00DD6627" w:rsidRDefault="0008431E" w:rsidP="00DD6627">
      <w:pPr>
        <w:pStyle w:val="Heading5"/>
      </w:pPr>
      <w:r>
        <w:t>Definition</w:t>
      </w:r>
      <w:r w:rsidR="00803D03">
        <w:t>s</w:t>
      </w:r>
    </w:p>
    <w:p w14:paraId="028D359E" w14:textId="6D637973" w:rsidR="00DD6627" w:rsidRDefault="00803D03" w:rsidP="008809E8">
      <w:pPr>
        <w:pStyle w:val="ParaLevel1"/>
      </w:pPr>
      <w:bookmarkStart w:id="22" w:name="AutoTextDefn"/>
      <w:bookmarkEnd w:id="22"/>
      <w:r>
        <w:t xml:space="preserve">Unless otherwise stated, terms used in this standard have the same meaning as those terms have for the purposes of Chapter 2M of the Act. </w:t>
      </w:r>
      <w:r w:rsidR="00CF7264">
        <w:t>T</w:t>
      </w:r>
      <w:r w:rsidR="000F7563">
        <w:t>he following term</w:t>
      </w:r>
      <w:r>
        <w:t>s have</w:t>
      </w:r>
      <w:r w:rsidR="000F7563">
        <w:t xml:space="preserve"> the meaning</w:t>
      </w:r>
      <w:r>
        <w:t xml:space="preserve">s </w:t>
      </w:r>
      <w:r w:rsidR="000F7563">
        <w:t>attributed below:</w:t>
      </w:r>
    </w:p>
    <w:p w14:paraId="0EC02A49" w14:textId="2DBEF609" w:rsidR="00803D03" w:rsidRDefault="00803D03" w:rsidP="00803D03">
      <w:pPr>
        <w:pStyle w:val="ParaLevel2"/>
      </w:pPr>
      <w:r>
        <w:t xml:space="preserve">AASB S2 – Australian Sustainability Reporting Standard AASB S2 </w:t>
      </w:r>
      <w:r w:rsidRPr="00803D03">
        <w:rPr>
          <w:i/>
          <w:iCs/>
        </w:rPr>
        <w:t>Climate-related Disclosures</w:t>
      </w:r>
      <w:r>
        <w:t>.</w:t>
      </w:r>
    </w:p>
    <w:p w14:paraId="783F5489" w14:textId="598D3691" w:rsidR="00803D03" w:rsidRDefault="00803D03" w:rsidP="00803D03">
      <w:pPr>
        <w:pStyle w:val="ParaLevel2"/>
      </w:pPr>
      <w:r>
        <w:t>Auditor – the audit firm, audit company or individual auditor of the entity for the purposes of Chapter 2M of the Act.</w:t>
      </w:r>
    </w:p>
    <w:p w14:paraId="29928ACC" w14:textId="62C7E31F" w:rsidR="00803D03" w:rsidRDefault="004549D3" w:rsidP="00803D03">
      <w:pPr>
        <w:pStyle w:val="ParaLevel2"/>
      </w:pPr>
      <w:r>
        <w:t>Group 1 entities – entities to which paragraph 1707B(1)(a) of the Act applies.</w:t>
      </w:r>
    </w:p>
    <w:p w14:paraId="0949840D" w14:textId="51EB88D7" w:rsidR="004549D3" w:rsidRDefault="004549D3" w:rsidP="004549D3">
      <w:pPr>
        <w:pStyle w:val="ParaLevel2"/>
      </w:pPr>
      <w:r>
        <w:t>Group 2 entities – entities to which paragraph 1707B(1)(b) of the Act applies.</w:t>
      </w:r>
    </w:p>
    <w:p w14:paraId="57805531" w14:textId="3D47C484" w:rsidR="004549D3" w:rsidRDefault="004549D3" w:rsidP="004549D3">
      <w:pPr>
        <w:pStyle w:val="ParaLevel2"/>
      </w:pPr>
      <w:r>
        <w:t>Group 3 entities – entities to which paragraph 1707B(1)(c) of the Act applies.</w:t>
      </w:r>
    </w:p>
    <w:p w14:paraId="231B1CDE" w14:textId="1634C8BD" w:rsidR="004549D3" w:rsidRDefault="006F188C" w:rsidP="004549D3">
      <w:pPr>
        <w:pStyle w:val="ParaLevel2"/>
      </w:pPr>
      <w:r>
        <w:t>First year of reporting –</w:t>
      </w:r>
      <w:r w:rsidR="005977CA">
        <w:t xml:space="preserve"> </w:t>
      </w:r>
      <w:r>
        <w:t xml:space="preserve">the first financial year commencing: </w:t>
      </w:r>
    </w:p>
    <w:p w14:paraId="20109F7F" w14:textId="373E5B2B" w:rsidR="006F188C" w:rsidRDefault="006F188C" w:rsidP="006F188C">
      <w:pPr>
        <w:pStyle w:val="ParaLevel3"/>
      </w:pPr>
      <w:r>
        <w:t xml:space="preserve">For Group 1 entities – from 1 January 2025 to 30 June </w:t>
      </w:r>
      <w:proofErr w:type="gramStart"/>
      <w:r>
        <w:t>2026;</w:t>
      </w:r>
      <w:proofErr w:type="gramEnd"/>
      <w:r w:rsidR="00843E00">
        <w:t xml:space="preserve"> </w:t>
      </w:r>
    </w:p>
    <w:p w14:paraId="20E97BCC" w14:textId="434C7422" w:rsidR="006F188C" w:rsidRDefault="005977CA" w:rsidP="006F188C">
      <w:pPr>
        <w:pStyle w:val="ParaLevel3"/>
      </w:pPr>
      <w:r>
        <w:t xml:space="preserve">For Group 2 entities – 1 July 2026 to 30 June </w:t>
      </w:r>
      <w:proofErr w:type="gramStart"/>
      <w:r>
        <w:t>2027;</w:t>
      </w:r>
      <w:proofErr w:type="gramEnd"/>
      <w:r w:rsidR="003C4D0D">
        <w:t xml:space="preserve"> </w:t>
      </w:r>
    </w:p>
    <w:p w14:paraId="67CF0A9E" w14:textId="7E1C01B8" w:rsidR="005977CA" w:rsidRDefault="005977CA" w:rsidP="006F188C">
      <w:pPr>
        <w:pStyle w:val="ParaLevel3"/>
      </w:pPr>
      <w:r>
        <w:t>For Group 3 entities – 1 July 2027 to 30 June 2028.</w:t>
      </w:r>
    </w:p>
    <w:p w14:paraId="0E9A2A4D" w14:textId="71BA4BA3" w:rsidR="005977CA" w:rsidRDefault="005977CA" w:rsidP="005977CA">
      <w:pPr>
        <w:pStyle w:val="ParaLevel2"/>
      </w:pPr>
      <w:r>
        <w:t xml:space="preserve">Second year of reporting – the first financial year commencing: </w:t>
      </w:r>
    </w:p>
    <w:p w14:paraId="369E4B44" w14:textId="7390B280" w:rsidR="005977CA" w:rsidRDefault="007336A1" w:rsidP="007336A1">
      <w:pPr>
        <w:pStyle w:val="ParaLevel3"/>
      </w:pPr>
      <w:r>
        <w:t xml:space="preserve">For Group 1 entities – 1 July 2026 to 30 June </w:t>
      </w:r>
      <w:proofErr w:type="gramStart"/>
      <w:r>
        <w:t>2027;</w:t>
      </w:r>
      <w:proofErr w:type="gramEnd"/>
      <w:r w:rsidR="00843E00">
        <w:t xml:space="preserve"> </w:t>
      </w:r>
    </w:p>
    <w:p w14:paraId="0D7B28F6" w14:textId="172E8BB2" w:rsidR="007336A1" w:rsidRDefault="007336A1" w:rsidP="007336A1">
      <w:pPr>
        <w:pStyle w:val="ParaLevel3"/>
      </w:pPr>
      <w:r>
        <w:t xml:space="preserve">For Group 2 entities – 1 July 2027 to 30 June </w:t>
      </w:r>
      <w:proofErr w:type="gramStart"/>
      <w:r>
        <w:t>2028;</w:t>
      </w:r>
      <w:proofErr w:type="gramEnd"/>
      <w:r w:rsidR="003C4D0D">
        <w:t xml:space="preserve"> </w:t>
      </w:r>
    </w:p>
    <w:p w14:paraId="12495904" w14:textId="4F8146A5" w:rsidR="007336A1" w:rsidRDefault="007336A1" w:rsidP="007336A1">
      <w:pPr>
        <w:pStyle w:val="ParaLevel3"/>
      </w:pPr>
      <w:r>
        <w:t>For Group 3 entities – 1 July 2028 to 30 June 2029.</w:t>
      </w:r>
    </w:p>
    <w:p w14:paraId="1D2CA988" w14:textId="0602B18A" w:rsidR="003C4D0D" w:rsidRDefault="003C4D0D" w:rsidP="003C4D0D">
      <w:pPr>
        <w:pStyle w:val="ParaLevel2"/>
      </w:pPr>
      <w:r>
        <w:t xml:space="preserve">Third year of reporting – the first financial year </w:t>
      </w:r>
      <w:proofErr w:type="gramStart"/>
      <w:r>
        <w:t>commencing;</w:t>
      </w:r>
      <w:proofErr w:type="gramEnd"/>
    </w:p>
    <w:p w14:paraId="2D6BF43E" w14:textId="7DC907FD" w:rsidR="003C4D0D" w:rsidRDefault="00843E00" w:rsidP="003C4D0D">
      <w:pPr>
        <w:pStyle w:val="ParaLevel3"/>
      </w:pPr>
      <w:r>
        <w:t xml:space="preserve">For Group 1 entities – 1 July 2027 to 30 June </w:t>
      </w:r>
      <w:proofErr w:type="gramStart"/>
      <w:r>
        <w:t>2028;</w:t>
      </w:r>
      <w:proofErr w:type="gramEnd"/>
    </w:p>
    <w:p w14:paraId="152A0816" w14:textId="79C9BE82" w:rsidR="00843E00" w:rsidRDefault="00565D76" w:rsidP="003C4D0D">
      <w:pPr>
        <w:pStyle w:val="ParaLevel3"/>
      </w:pPr>
      <w:r>
        <w:t xml:space="preserve">For Group 2 entities – 1 July 2028 to 30 June </w:t>
      </w:r>
      <w:proofErr w:type="gramStart"/>
      <w:r>
        <w:t>2029;</w:t>
      </w:r>
      <w:proofErr w:type="gramEnd"/>
    </w:p>
    <w:p w14:paraId="39AF89A6" w14:textId="5539D081" w:rsidR="00565D76" w:rsidRDefault="00565D76" w:rsidP="003C4D0D">
      <w:pPr>
        <w:pStyle w:val="ParaLevel3"/>
      </w:pPr>
      <w:r>
        <w:lastRenderedPageBreak/>
        <w:t>For Group 3 entities – 1 July 2029 to 30 June 2030.</w:t>
      </w:r>
    </w:p>
    <w:p w14:paraId="17970B1A" w14:textId="72A83882" w:rsidR="00565D76" w:rsidRDefault="00565D76" w:rsidP="00565D76">
      <w:pPr>
        <w:pStyle w:val="ParaLevel2"/>
      </w:pPr>
      <w:r>
        <w:t>Fourth year of reporting – the first financial year commencing on or after:</w:t>
      </w:r>
    </w:p>
    <w:p w14:paraId="74C8D3EF" w14:textId="35230C43" w:rsidR="00565D76" w:rsidRDefault="00565D76" w:rsidP="00565D76">
      <w:pPr>
        <w:pStyle w:val="ParaLevel3"/>
      </w:pPr>
      <w:r>
        <w:t xml:space="preserve">For Group 1 entities – 1 July </w:t>
      </w:r>
      <w:proofErr w:type="gramStart"/>
      <w:r>
        <w:t>2028;</w:t>
      </w:r>
      <w:proofErr w:type="gramEnd"/>
    </w:p>
    <w:p w14:paraId="375E7EA1" w14:textId="6342E1E7" w:rsidR="00565D76" w:rsidRDefault="00565D76" w:rsidP="00565D76">
      <w:pPr>
        <w:pStyle w:val="ParaLevel3"/>
      </w:pPr>
      <w:r>
        <w:t xml:space="preserve">For Group 2 entities – 1 July </w:t>
      </w:r>
      <w:proofErr w:type="gramStart"/>
      <w:r>
        <w:t>2029;</w:t>
      </w:r>
      <w:proofErr w:type="gramEnd"/>
    </w:p>
    <w:p w14:paraId="09FD28C1" w14:textId="60697599" w:rsidR="00565D76" w:rsidRDefault="00565D76" w:rsidP="00565D76">
      <w:pPr>
        <w:pStyle w:val="ParaLevel3"/>
      </w:pPr>
      <w:r>
        <w:t>For Group 3 entities – 1 July 2030.</w:t>
      </w:r>
    </w:p>
    <w:p w14:paraId="24B3B0C8" w14:textId="0545ABAD" w:rsidR="00565D76" w:rsidRDefault="00565D76" w:rsidP="00565D76">
      <w:pPr>
        <w:pStyle w:val="ParaLevel2"/>
      </w:pPr>
      <w:r>
        <w:t xml:space="preserve">Sustainability Report – A sustainability report required under section 292A of the Act (see section 9 of the Act). </w:t>
      </w:r>
    </w:p>
    <w:p w14:paraId="396ED365" w14:textId="10CB185E" w:rsidR="00565D76" w:rsidRDefault="007A377A" w:rsidP="00565D76">
      <w:pPr>
        <w:pStyle w:val="ParaLevel2"/>
      </w:pPr>
      <w:r>
        <w:t>Sustainability Standards – those standards made for the purposes of the Act pursuant to section 336A of the Act.</w:t>
      </w:r>
    </w:p>
    <w:p w14:paraId="7E4E95A8" w14:textId="77777777" w:rsidR="0000664A" w:rsidRDefault="0000664A" w:rsidP="0000664A">
      <w:pPr>
        <w:pStyle w:val="Heading5"/>
      </w:pPr>
      <w:r>
        <w:t>Requirements</w:t>
      </w:r>
    </w:p>
    <w:p w14:paraId="27D05522" w14:textId="13691BF5" w:rsidR="00B275CD" w:rsidRDefault="006030C5" w:rsidP="007A377A">
      <w:pPr>
        <w:pStyle w:val="ParaLevel1"/>
      </w:pPr>
      <w:r>
        <w:t>Subject to paragraph 11, information in the sustainability report shall be subject to audit and / or review as follows:</w:t>
      </w:r>
    </w:p>
    <w:p w14:paraId="6EC8FC88" w14:textId="5BF6F659" w:rsidR="006030C5" w:rsidRDefault="006030C5" w:rsidP="006030C5">
      <w:pPr>
        <w:pStyle w:val="ParaLevel2"/>
      </w:pPr>
      <w:r>
        <w:t xml:space="preserve">For the First Year of Reporting the auditor shall conduct a review over the disclosures (including related general disclosures in Appendix D to AASB S2) relating to: </w:t>
      </w:r>
    </w:p>
    <w:p w14:paraId="02E025A2" w14:textId="477DEDEF" w:rsidR="006030C5" w:rsidRPr="0038199D" w:rsidRDefault="006030C5" w:rsidP="006030C5">
      <w:pPr>
        <w:pStyle w:val="ParaLevel3"/>
      </w:pPr>
      <w:r w:rsidRPr="0038199D">
        <w:t xml:space="preserve">Governance in accordance with paragraph 6 of AASB </w:t>
      </w:r>
      <w:proofErr w:type="gramStart"/>
      <w:r w:rsidRPr="0038199D">
        <w:t>S2;</w:t>
      </w:r>
      <w:proofErr w:type="gramEnd"/>
    </w:p>
    <w:p w14:paraId="20B1B066" w14:textId="310098B4" w:rsidR="006030C5" w:rsidRPr="0038199D" w:rsidRDefault="00DA76A2" w:rsidP="006030C5">
      <w:pPr>
        <w:pStyle w:val="ParaLevel3"/>
      </w:pPr>
      <w:r w:rsidRPr="0038199D">
        <w:t>Strategy (risks and opportunities) in accordance with subparagraphs 9(a)</w:t>
      </w:r>
      <w:r w:rsidR="0038199D" w:rsidRPr="0038199D">
        <w:t xml:space="preserve">, </w:t>
      </w:r>
      <w:r w:rsidRPr="0038199D">
        <w:t xml:space="preserve">10(a) </w:t>
      </w:r>
      <w:r w:rsidR="0038199D" w:rsidRPr="0038199D">
        <w:t>and</w:t>
      </w:r>
      <w:r w:rsidRPr="0038199D">
        <w:t xml:space="preserve"> </w:t>
      </w:r>
      <w:r w:rsidR="0038199D" w:rsidRPr="0038199D">
        <w:t>10</w:t>
      </w:r>
      <w:r w:rsidRPr="0038199D">
        <w:t xml:space="preserve">(b) of AASB </w:t>
      </w:r>
      <w:proofErr w:type="gramStart"/>
      <w:r w:rsidRPr="0038199D">
        <w:t>S2;</w:t>
      </w:r>
      <w:proofErr w:type="gramEnd"/>
      <w:r w:rsidRPr="0038199D">
        <w:t xml:space="preserve"> </w:t>
      </w:r>
    </w:p>
    <w:p w14:paraId="33819A29" w14:textId="52AE3350" w:rsidR="001B4F43" w:rsidRPr="0038199D" w:rsidRDefault="001B4F43" w:rsidP="006030C5">
      <w:pPr>
        <w:pStyle w:val="ParaLevel3"/>
      </w:pPr>
      <w:r w:rsidRPr="0038199D">
        <w:t>Scope 1 and Scope 2 greenhouse gas emissions in accordance with subparagraphs 29(a)(</w:t>
      </w:r>
      <w:proofErr w:type="spellStart"/>
      <w:r w:rsidRPr="0038199D">
        <w:t>i</w:t>
      </w:r>
      <w:proofErr w:type="spellEnd"/>
      <w:r w:rsidRPr="0038199D">
        <w:t>)(1) to (2) and 29(a)(ii) to (v) of AASB S2; and</w:t>
      </w:r>
    </w:p>
    <w:p w14:paraId="656D8584" w14:textId="37A4C949" w:rsidR="0017180E" w:rsidRPr="0038199D" w:rsidRDefault="0017180E" w:rsidP="006030C5">
      <w:pPr>
        <w:pStyle w:val="ParaLevel3"/>
      </w:pPr>
      <w:r w:rsidRPr="0038199D">
        <w:t xml:space="preserve">Any statement that there are no material risks or opportunities relating to climate and how that applies to the entity under s296B(1)(c) and (d) of the Act or any similar statement otherwise made in the sustainability report. </w:t>
      </w:r>
    </w:p>
    <w:p w14:paraId="78056EF9" w14:textId="49C8C9BA" w:rsidR="0017180E" w:rsidRPr="0038199D" w:rsidRDefault="0017180E" w:rsidP="0017180E">
      <w:pPr>
        <w:pStyle w:val="ParaLevel2"/>
      </w:pPr>
      <w:r w:rsidRPr="0038199D">
        <w:t>For the Second and Third Year</w:t>
      </w:r>
      <w:r w:rsidR="006D310F" w:rsidRPr="0038199D">
        <w:t>s</w:t>
      </w:r>
      <w:r w:rsidRPr="0038199D">
        <w:t xml:space="preserve"> of Reporting, the auditor shall conduct a review of all disclosures in the sustainability report</w:t>
      </w:r>
      <w:r w:rsidR="00E23A2E" w:rsidRPr="0038199D">
        <w:t xml:space="preserve"> (including related general disclosures in Appendix D to AASB S2)</w:t>
      </w:r>
      <w:r w:rsidR="006D310F" w:rsidRPr="0038199D">
        <w:t>.</w:t>
      </w:r>
    </w:p>
    <w:p w14:paraId="0582C4EF" w14:textId="187854EA" w:rsidR="006D310F" w:rsidRDefault="006D310F" w:rsidP="0017180E">
      <w:pPr>
        <w:pStyle w:val="ParaLevel2"/>
      </w:pPr>
      <w:r w:rsidRPr="0038199D">
        <w:t xml:space="preserve">From the Fourth </w:t>
      </w:r>
      <w:r w:rsidR="00C93382">
        <w:t>Y</w:t>
      </w:r>
      <w:r w:rsidRPr="0038199D">
        <w:t>ear of</w:t>
      </w:r>
      <w:r w:rsidR="00C93382">
        <w:t xml:space="preserve"> R</w:t>
      </w:r>
      <w:r w:rsidRPr="0038199D">
        <w:t>eporting onwards</w:t>
      </w:r>
      <w:r>
        <w:t xml:space="preserve"> the auditor shall conduct an audit over all disclosures in the sustainability report.</w:t>
      </w:r>
    </w:p>
    <w:p w14:paraId="48428B00" w14:textId="655A8FC8" w:rsidR="006D310F" w:rsidRDefault="00246A08" w:rsidP="0017180E">
      <w:pPr>
        <w:pStyle w:val="ParaLevel2"/>
      </w:pPr>
      <w:r>
        <w:t>The auditor is not prevented by (a) and (b) from:</w:t>
      </w:r>
    </w:p>
    <w:p w14:paraId="1D204D79" w14:textId="7897024E" w:rsidR="00246A08" w:rsidRDefault="00246A08" w:rsidP="00246A08">
      <w:pPr>
        <w:pStyle w:val="ParaLevel3"/>
      </w:pPr>
      <w:r>
        <w:t>conducting an audit of any information in the sustainability report for a financial year in which a review of that information is otherwise required; and/or</w:t>
      </w:r>
    </w:p>
    <w:p w14:paraId="6905C190" w14:textId="7F5F5E48" w:rsidR="00246A08" w:rsidRDefault="00246A08" w:rsidP="00246A08">
      <w:pPr>
        <w:pStyle w:val="ParaLevel3"/>
      </w:pPr>
      <w:r>
        <w:t>conducting an audit or review of any information in the sustainability report for a financial year in which an audit or review of that information is not required.</w:t>
      </w:r>
    </w:p>
    <w:p w14:paraId="358FB4F4" w14:textId="13C52B0F" w:rsidR="00246A08" w:rsidRDefault="00415A27" w:rsidP="00246A08">
      <w:pPr>
        <w:pStyle w:val="ParaLevel1"/>
      </w:pPr>
      <w:r>
        <w:t>Where the sustainability report is required to, or does, include comparative information and, subject to the provisions of other ASSAs on comparative information:</w:t>
      </w:r>
    </w:p>
    <w:p w14:paraId="5C0A0EE3" w14:textId="0435310A" w:rsidR="00415A27" w:rsidRDefault="00415A27" w:rsidP="00415A27">
      <w:pPr>
        <w:pStyle w:val="ParaLevel2"/>
      </w:pPr>
      <w:r>
        <w:t>That information was not required to be, and was not, subject to assurance for the purposes of a publicly available report for the previous financial year, that comparative information is not required to be subject to assurance in the current year; and</w:t>
      </w:r>
    </w:p>
    <w:p w14:paraId="37A0FA51" w14:textId="174CBB2C" w:rsidR="00415A27" w:rsidRDefault="00415A27" w:rsidP="00415A27">
      <w:pPr>
        <w:pStyle w:val="ParaLevel2"/>
      </w:pPr>
      <w:r>
        <w:lastRenderedPageBreak/>
        <w:t>That information was required to be, or was, subject to limited assurance for the purposes of a publicly available report for the previous financial year, that comparative information is not required to be subject to reasonable assurance in the current year.</w:t>
      </w:r>
    </w:p>
    <w:bookmarkEnd w:id="21"/>
    <w:p w14:paraId="7E5EB092" w14:textId="253CAC7F" w:rsidR="009C334D" w:rsidRDefault="0000664A" w:rsidP="0000664A">
      <w:pPr>
        <w:pStyle w:val="Divider"/>
      </w:pPr>
      <w:r>
        <w:t>* * *</w:t>
      </w:r>
    </w:p>
    <w:p w14:paraId="23B2379D" w14:textId="77777777" w:rsidR="009C334D" w:rsidRDefault="009C334D">
      <w:pPr>
        <w:spacing w:line="240" w:lineRule="auto"/>
      </w:pPr>
      <w:r>
        <w:br w:type="page"/>
      </w:r>
    </w:p>
    <w:p w14:paraId="342E4167" w14:textId="07E66120" w:rsidR="009C334D" w:rsidRPr="009C334D" w:rsidRDefault="009C334D" w:rsidP="00A20DBA">
      <w:pPr>
        <w:pStyle w:val="Heading4"/>
      </w:pPr>
      <w:bookmarkStart w:id="23" w:name="TOCEnd"/>
      <w:bookmarkEnd w:id="23"/>
      <w:r w:rsidRPr="009C334D">
        <w:lastRenderedPageBreak/>
        <w:t xml:space="preserve">Appendix - Diagrammatic </w:t>
      </w:r>
      <w:r w:rsidR="00531B02">
        <w:t>r</w:t>
      </w:r>
      <w:r w:rsidRPr="009C334D">
        <w:t xml:space="preserve">epresentation of </w:t>
      </w:r>
      <w:r w:rsidR="00531B02">
        <w:t>a</w:t>
      </w:r>
      <w:r w:rsidRPr="009C334D">
        <w:t xml:space="preserve">ssurance </w:t>
      </w:r>
      <w:r w:rsidR="00531B02">
        <w:t>p</w:t>
      </w:r>
      <w:r w:rsidRPr="009C334D">
        <w:t>hasing</w:t>
      </w:r>
    </w:p>
    <w:p w14:paraId="16FD5775" w14:textId="308BF20D" w:rsidR="000F7563" w:rsidRPr="00DC0A7D" w:rsidRDefault="000F7563" w:rsidP="00A20DBA">
      <w:pPr>
        <w:pStyle w:val="AppendixTop"/>
        <w:jc w:val="left"/>
      </w:pPr>
      <w:r w:rsidRPr="00A20DBA">
        <w:rPr>
          <w:bCs/>
          <w:sz w:val="22"/>
          <w:szCs w:val="22"/>
        </w:rPr>
        <w:t xml:space="preserve">(Ref: Para. </w:t>
      </w:r>
      <w:r w:rsidR="00A20FFC" w:rsidRPr="00A20DBA">
        <w:rPr>
          <w:bCs/>
          <w:sz w:val="22"/>
          <w:szCs w:val="22"/>
        </w:rPr>
        <w:t>1</w:t>
      </w:r>
      <w:r w:rsidR="00A20DBA">
        <w:rPr>
          <w:bCs/>
          <w:sz w:val="22"/>
          <w:szCs w:val="22"/>
        </w:rPr>
        <w:t>0</w:t>
      </w:r>
      <w:r w:rsidRPr="00A20DBA">
        <w:rPr>
          <w:bCs/>
          <w:sz w:val="22"/>
          <w:szCs w:val="22"/>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w:tblDescription w:val="Appendix - Diagrammatic representation of assurance phasing&#10;(Ref: Para. 10)&#10;"/>
      </w:tblPr>
      <w:tblGrid>
        <w:gridCol w:w="2548"/>
        <w:gridCol w:w="1080"/>
        <w:gridCol w:w="1080"/>
        <w:gridCol w:w="1080"/>
        <w:gridCol w:w="1079"/>
        <w:gridCol w:w="1079"/>
        <w:gridCol w:w="1079"/>
      </w:tblGrid>
      <w:tr w:rsidR="00182C11" w:rsidRPr="00182C11" w14:paraId="014F122F" w14:textId="77777777" w:rsidTr="0038199D">
        <w:trPr>
          <w:trHeight w:val="360"/>
        </w:trPr>
        <w:tc>
          <w:tcPr>
            <w:tcW w:w="1411" w:type="pct"/>
            <w:tcBorders>
              <w:top w:val="single" w:sz="18" w:space="0" w:color="000000"/>
              <w:left w:val="single" w:sz="18" w:space="0" w:color="000000"/>
              <w:bottom w:val="single" w:sz="6" w:space="0" w:color="000000"/>
              <w:right w:val="single" w:sz="18" w:space="0" w:color="000000"/>
            </w:tcBorders>
            <w:hideMark/>
          </w:tcPr>
          <w:p w14:paraId="129004CF"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Years commencing</w:t>
            </w:r>
          </w:p>
        </w:tc>
        <w:tc>
          <w:tcPr>
            <w:tcW w:w="598" w:type="pct"/>
            <w:tcBorders>
              <w:top w:val="single" w:sz="18" w:space="0" w:color="000000"/>
              <w:left w:val="single" w:sz="6" w:space="0" w:color="000000"/>
              <w:bottom w:val="single" w:sz="6" w:space="0" w:color="000000"/>
              <w:right w:val="single" w:sz="6" w:space="0" w:color="000000"/>
            </w:tcBorders>
            <w:hideMark/>
          </w:tcPr>
          <w:p w14:paraId="3A153AC3" w14:textId="77777777" w:rsidR="00182C11" w:rsidRPr="00182C11" w:rsidRDefault="00182C11" w:rsidP="00182C11">
            <w:pPr>
              <w:spacing w:line="240" w:lineRule="auto"/>
              <w:textAlignment w:val="baseline"/>
              <w:rPr>
                <w:rFonts w:eastAsia="Aptos"/>
                <w:b/>
                <w:bCs/>
                <w:sz w:val="18"/>
                <w:szCs w:val="18"/>
                <w:lang w:eastAsia="en-AU"/>
                <w14:ligatures w14:val="standardContextual"/>
              </w:rPr>
            </w:pPr>
            <w:r w:rsidRPr="00182C11">
              <w:rPr>
                <w:rFonts w:eastAsia="Aptos"/>
                <w:b/>
                <w:bCs/>
                <w:sz w:val="18"/>
                <w:szCs w:val="18"/>
                <w:lang w:eastAsia="en-AU"/>
                <w14:ligatures w14:val="standardContextual"/>
              </w:rPr>
              <w:t xml:space="preserve"> Year 1*</w:t>
            </w:r>
          </w:p>
        </w:tc>
        <w:tc>
          <w:tcPr>
            <w:tcW w:w="598" w:type="pct"/>
            <w:tcBorders>
              <w:top w:val="single" w:sz="18" w:space="0" w:color="000000"/>
              <w:left w:val="single" w:sz="6" w:space="0" w:color="000000"/>
              <w:bottom w:val="single" w:sz="6" w:space="0" w:color="000000"/>
              <w:right w:val="single" w:sz="6" w:space="0" w:color="000000"/>
            </w:tcBorders>
            <w:hideMark/>
          </w:tcPr>
          <w:p w14:paraId="5B7C2234" w14:textId="77777777" w:rsidR="00182C11" w:rsidRPr="00182C11" w:rsidRDefault="00182C11" w:rsidP="00182C11">
            <w:pPr>
              <w:spacing w:line="240" w:lineRule="auto"/>
              <w:ind w:left="60"/>
              <w:textAlignment w:val="baseline"/>
              <w:rPr>
                <w:rFonts w:eastAsia="Aptos"/>
                <w:b/>
                <w:bCs/>
                <w:sz w:val="18"/>
                <w:szCs w:val="18"/>
                <w:lang w:eastAsia="en-AU"/>
                <w14:ligatures w14:val="standardContextual"/>
              </w:rPr>
            </w:pPr>
            <w:r w:rsidRPr="00182C11">
              <w:rPr>
                <w:rFonts w:eastAsia="Aptos"/>
                <w:b/>
                <w:bCs/>
                <w:sz w:val="18"/>
                <w:szCs w:val="18"/>
                <w:lang w:val="en-US" w:eastAsia="en-AU"/>
                <w14:ligatures w14:val="standardContextual"/>
              </w:rPr>
              <w:t>Year 2</w:t>
            </w:r>
            <w:r w:rsidRPr="00182C11">
              <w:rPr>
                <w:rFonts w:eastAsia="Aptos"/>
                <w:b/>
                <w:bCs/>
                <w:sz w:val="18"/>
                <w:szCs w:val="18"/>
                <w:lang w:eastAsia="en-AU"/>
                <w14:ligatures w14:val="standardContextual"/>
              </w:rPr>
              <w:t> </w:t>
            </w:r>
          </w:p>
        </w:tc>
        <w:tc>
          <w:tcPr>
            <w:tcW w:w="598" w:type="pct"/>
            <w:tcBorders>
              <w:top w:val="single" w:sz="18" w:space="0" w:color="000000"/>
              <w:left w:val="single" w:sz="6" w:space="0" w:color="000000"/>
              <w:bottom w:val="single" w:sz="6" w:space="0" w:color="000000"/>
              <w:right w:val="single" w:sz="6" w:space="0" w:color="000000"/>
            </w:tcBorders>
            <w:hideMark/>
          </w:tcPr>
          <w:p w14:paraId="44391D27" w14:textId="77777777" w:rsidR="00182C11" w:rsidRPr="00182C11" w:rsidRDefault="00182C11" w:rsidP="00182C11">
            <w:pPr>
              <w:spacing w:line="240" w:lineRule="auto"/>
              <w:ind w:left="60"/>
              <w:textAlignment w:val="baseline"/>
              <w:rPr>
                <w:rFonts w:eastAsia="Aptos"/>
                <w:b/>
                <w:bCs/>
                <w:sz w:val="18"/>
                <w:szCs w:val="18"/>
                <w:lang w:eastAsia="en-AU"/>
                <w14:ligatures w14:val="standardContextual"/>
              </w:rPr>
            </w:pPr>
            <w:r w:rsidRPr="00182C11">
              <w:rPr>
                <w:rFonts w:eastAsia="Aptos"/>
                <w:b/>
                <w:bCs/>
                <w:sz w:val="18"/>
                <w:szCs w:val="18"/>
                <w:lang w:val="en-US" w:eastAsia="en-AU"/>
                <w14:ligatures w14:val="standardContextual"/>
              </w:rPr>
              <w:t>Year 3</w:t>
            </w:r>
            <w:r w:rsidRPr="00182C11">
              <w:rPr>
                <w:rFonts w:eastAsia="Aptos"/>
                <w:b/>
                <w:bCs/>
                <w:sz w:val="18"/>
                <w:szCs w:val="18"/>
                <w:lang w:eastAsia="en-AU"/>
                <w14:ligatures w14:val="standardContextual"/>
              </w:rPr>
              <w:t> </w:t>
            </w:r>
          </w:p>
        </w:tc>
        <w:tc>
          <w:tcPr>
            <w:tcW w:w="598" w:type="pct"/>
            <w:tcBorders>
              <w:top w:val="single" w:sz="18" w:space="0" w:color="000000"/>
              <w:left w:val="single" w:sz="6" w:space="0" w:color="000000"/>
              <w:bottom w:val="single" w:sz="6" w:space="0" w:color="000000"/>
              <w:right w:val="single" w:sz="6" w:space="0" w:color="000000"/>
            </w:tcBorders>
            <w:hideMark/>
          </w:tcPr>
          <w:p w14:paraId="5E202919" w14:textId="77777777" w:rsidR="00182C11" w:rsidRPr="00182C11" w:rsidRDefault="00182C11" w:rsidP="00182C11">
            <w:pPr>
              <w:spacing w:line="240" w:lineRule="auto"/>
              <w:ind w:left="60"/>
              <w:textAlignment w:val="baseline"/>
              <w:rPr>
                <w:rFonts w:eastAsia="Aptos"/>
                <w:b/>
                <w:bCs/>
                <w:sz w:val="18"/>
                <w:szCs w:val="18"/>
                <w:lang w:eastAsia="en-AU"/>
                <w14:ligatures w14:val="standardContextual"/>
              </w:rPr>
            </w:pPr>
            <w:r w:rsidRPr="00182C11">
              <w:rPr>
                <w:rFonts w:eastAsia="Aptos"/>
                <w:b/>
                <w:bCs/>
                <w:sz w:val="18"/>
                <w:szCs w:val="18"/>
                <w:lang w:val="en-US" w:eastAsia="en-AU"/>
                <w14:ligatures w14:val="standardContextual"/>
              </w:rPr>
              <w:t>Year 4**</w:t>
            </w:r>
            <w:r w:rsidRPr="00182C11">
              <w:rPr>
                <w:rFonts w:eastAsia="Aptos"/>
                <w:b/>
                <w:bCs/>
                <w:sz w:val="18"/>
                <w:szCs w:val="18"/>
                <w:lang w:eastAsia="en-AU"/>
                <w14:ligatures w14:val="standardContextual"/>
              </w:rPr>
              <w:t> </w:t>
            </w:r>
          </w:p>
        </w:tc>
        <w:tc>
          <w:tcPr>
            <w:tcW w:w="598" w:type="pct"/>
            <w:tcBorders>
              <w:top w:val="single" w:sz="18" w:space="0" w:color="000000"/>
              <w:left w:val="single" w:sz="6" w:space="0" w:color="000000"/>
              <w:bottom w:val="single" w:sz="6" w:space="0" w:color="000000"/>
              <w:right w:val="single" w:sz="6" w:space="0" w:color="000000"/>
            </w:tcBorders>
            <w:hideMark/>
          </w:tcPr>
          <w:p w14:paraId="12D58C4F" w14:textId="77777777" w:rsidR="00182C11" w:rsidRPr="00182C11" w:rsidRDefault="00182C11" w:rsidP="00182C11">
            <w:pPr>
              <w:spacing w:line="240" w:lineRule="auto"/>
              <w:ind w:left="60"/>
              <w:textAlignment w:val="baseline"/>
              <w:rPr>
                <w:rFonts w:eastAsia="Aptos"/>
                <w:b/>
                <w:bCs/>
                <w:sz w:val="18"/>
                <w:szCs w:val="18"/>
                <w:lang w:eastAsia="en-AU"/>
                <w14:ligatures w14:val="standardContextual"/>
              </w:rPr>
            </w:pPr>
            <w:r w:rsidRPr="00182C11">
              <w:rPr>
                <w:rFonts w:eastAsia="Aptos"/>
                <w:b/>
                <w:bCs/>
                <w:sz w:val="18"/>
                <w:szCs w:val="18"/>
                <w:lang w:val="en-US" w:eastAsia="en-AU"/>
                <w14:ligatures w14:val="standardContextual"/>
              </w:rPr>
              <w:t>Year 5</w:t>
            </w:r>
            <w:r w:rsidRPr="00182C11">
              <w:rPr>
                <w:rFonts w:eastAsia="Aptos"/>
                <w:b/>
                <w:bCs/>
                <w:sz w:val="18"/>
                <w:szCs w:val="18"/>
                <w:lang w:eastAsia="en-AU"/>
                <w14:ligatures w14:val="standardContextual"/>
              </w:rPr>
              <w:t> </w:t>
            </w:r>
          </w:p>
        </w:tc>
        <w:tc>
          <w:tcPr>
            <w:tcW w:w="598" w:type="pct"/>
            <w:tcBorders>
              <w:top w:val="single" w:sz="18" w:space="0" w:color="000000"/>
              <w:left w:val="single" w:sz="6" w:space="0" w:color="000000"/>
              <w:bottom w:val="single" w:sz="6" w:space="0" w:color="000000"/>
              <w:right w:val="single" w:sz="18" w:space="0" w:color="000000"/>
            </w:tcBorders>
            <w:hideMark/>
          </w:tcPr>
          <w:p w14:paraId="25747F94" w14:textId="77777777" w:rsidR="00182C11" w:rsidRPr="00182C11" w:rsidRDefault="00182C11" w:rsidP="00182C11">
            <w:pPr>
              <w:spacing w:line="240" w:lineRule="auto"/>
              <w:ind w:left="60"/>
              <w:textAlignment w:val="baseline"/>
              <w:rPr>
                <w:rFonts w:eastAsia="Aptos"/>
                <w:b/>
                <w:bCs/>
                <w:sz w:val="18"/>
                <w:szCs w:val="18"/>
                <w:lang w:eastAsia="en-AU"/>
                <w14:ligatures w14:val="standardContextual"/>
              </w:rPr>
            </w:pPr>
            <w:r w:rsidRPr="00182C11">
              <w:rPr>
                <w:rFonts w:eastAsia="Aptos"/>
                <w:b/>
                <w:bCs/>
                <w:sz w:val="18"/>
                <w:szCs w:val="18"/>
                <w:lang w:val="en-US" w:eastAsia="en-AU"/>
                <w14:ligatures w14:val="standardContextual"/>
              </w:rPr>
              <w:t>Year 6</w:t>
            </w:r>
          </w:p>
        </w:tc>
      </w:tr>
      <w:tr w:rsidR="00182C11" w:rsidRPr="00182C11" w14:paraId="713B21CE" w14:textId="77777777" w:rsidTr="0038199D">
        <w:trPr>
          <w:trHeight w:val="405"/>
        </w:trPr>
        <w:tc>
          <w:tcPr>
            <w:tcW w:w="1411" w:type="pct"/>
            <w:tcBorders>
              <w:top w:val="single" w:sz="6" w:space="0" w:color="000000"/>
              <w:left w:val="single" w:sz="18" w:space="0" w:color="000000"/>
              <w:bottom w:val="single" w:sz="6" w:space="0" w:color="000000"/>
              <w:right w:val="single" w:sz="18" w:space="0" w:color="000000"/>
            </w:tcBorders>
            <w:vAlign w:val="center"/>
            <w:hideMark/>
          </w:tcPr>
          <w:p w14:paraId="51793824"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Group 1 </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326B9738"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1/1/25</w:t>
            </w:r>
            <w:r w:rsidRPr="00182C11">
              <w:rPr>
                <w:rFonts w:eastAsia="Aptos"/>
                <w:sz w:val="18"/>
                <w:szCs w:val="18"/>
                <w:lang w:eastAsia="en-AU"/>
                <w14:ligatures w14:val="standardContextual"/>
              </w:rPr>
              <w:t> </w:t>
            </w:r>
            <w:r w:rsidRPr="00182C11">
              <w:rPr>
                <w:rFonts w:eastAsia="Aptos"/>
                <w:b/>
                <w:bCs/>
                <w:sz w:val="18"/>
                <w:szCs w:val="18"/>
                <w:lang w:val="en-US" w:eastAsia="en-AU"/>
                <w14:ligatures w14:val="standardContextual"/>
              </w:rPr>
              <w:t>to 30/6/26</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649511FD"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1/7/26 to</w:t>
            </w:r>
            <w:r w:rsidRPr="00182C11">
              <w:rPr>
                <w:rFonts w:eastAsia="Aptos"/>
                <w:sz w:val="18"/>
                <w:szCs w:val="18"/>
                <w:lang w:eastAsia="en-AU"/>
                <w14:ligatures w14:val="standardContextual"/>
              </w:rPr>
              <w:t> </w:t>
            </w:r>
          </w:p>
          <w:p w14:paraId="45DFFE2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30/6/27</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3D265046"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1/7/27 to</w:t>
            </w:r>
            <w:r w:rsidRPr="00182C11">
              <w:rPr>
                <w:rFonts w:eastAsia="Aptos"/>
                <w:sz w:val="18"/>
                <w:szCs w:val="18"/>
                <w:lang w:eastAsia="en-AU"/>
                <w14:ligatures w14:val="standardContextual"/>
              </w:rPr>
              <w:t> </w:t>
            </w:r>
          </w:p>
          <w:p w14:paraId="01E25E0F"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30/6/28</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643F03A5"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1/7/28 to</w:t>
            </w:r>
            <w:r w:rsidRPr="00182C11">
              <w:rPr>
                <w:rFonts w:eastAsia="Aptos"/>
                <w:sz w:val="18"/>
                <w:szCs w:val="18"/>
                <w:lang w:eastAsia="en-AU"/>
                <w14:ligatures w14:val="standardContextual"/>
              </w:rPr>
              <w:t> </w:t>
            </w:r>
          </w:p>
          <w:p w14:paraId="607BB280"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30/6/29</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047BB604"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1/7/29 to</w:t>
            </w:r>
            <w:r w:rsidRPr="00182C11">
              <w:rPr>
                <w:rFonts w:eastAsia="Aptos"/>
                <w:sz w:val="18"/>
                <w:szCs w:val="18"/>
                <w:lang w:eastAsia="en-AU"/>
                <w14:ligatures w14:val="standardContextual"/>
              </w:rPr>
              <w:t> </w:t>
            </w:r>
          </w:p>
          <w:p w14:paraId="19025EF1"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30/6/30</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000000"/>
            </w:tcBorders>
            <w:shd w:val="clear" w:color="auto" w:fill="F6C5AC"/>
            <w:hideMark/>
          </w:tcPr>
          <w:p w14:paraId="0B0112D4"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1/7/30 to</w:t>
            </w:r>
            <w:r w:rsidRPr="00182C11">
              <w:rPr>
                <w:rFonts w:eastAsia="Aptos"/>
                <w:sz w:val="18"/>
                <w:szCs w:val="18"/>
                <w:lang w:eastAsia="en-AU"/>
                <w14:ligatures w14:val="standardContextual"/>
              </w:rPr>
              <w:t> </w:t>
            </w:r>
          </w:p>
          <w:p w14:paraId="433C093C"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30/6/31</w:t>
            </w:r>
            <w:r w:rsidRPr="00182C11">
              <w:rPr>
                <w:rFonts w:eastAsia="Aptos"/>
                <w:sz w:val="18"/>
                <w:szCs w:val="18"/>
                <w:lang w:eastAsia="en-AU"/>
                <w14:ligatures w14:val="standardContextual"/>
              </w:rPr>
              <w:t> </w:t>
            </w:r>
          </w:p>
        </w:tc>
      </w:tr>
      <w:tr w:rsidR="00182C11" w:rsidRPr="00182C11" w14:paraId="36079F78" w14:textId="77777777" w:rsidTr="0038199D">
        <w:trPr>
          <w:trHeight w:val="405"/>
        </w:trPr>
        <w:tc>
          <w:tcPr>
            <w:tcW w:w="1411" w:type="pct"/>
            <w:tcBorders>
              <w:top w:val="single" w:sz="6" w:space="0" w:color="000000"/>
              <w:left w:val="single" w:sz="18" w:space="0" w:color="000000"/>
              <w:bottom w:val="single" w:sz="6" w:space="0" w:color="000000"/>
              <w:right w:val="single" w:sz="18" w:space="0" w:color="000000"/>
            </w:tcBorders>
            <w:vAlign w:val="center"/>
            <w:hideMark/>
          </w:tcPr>
          <w:p w14:paraId="048CC1F8"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Group 2</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26F9EA63"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1/7/26 to</w:t>
            </w:r>
            <w:r w:rsidRPr="00182C11">
              <w:rPr>
                <w:rFonts w:eastAsia="Aptos"/>
                <w:sz w:val="18"/>
                <w:szCs w:val="18"/>
                <w:lang w:eastAsia="en-AU"/>
                <w14:ligatures w14:val="standardContextual"/>
              </w:rPr>
              <w:t> </w:t>
            </w:r>
          </w:p>
          <w:p w14:paraId="5CA1A0A5"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30/6/27</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3F9CBB20"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1/7/27 to</w:t>
            </w:r>
            <w:r w:rsidRPr="00182C11">
              <w:rPr>
                <w:rFonts w:eastAsia="Aptos"/>
                <w:sz w:val="18"/>
                <w:szCs w:val="18"/>
                <w:lang w:eastAsia="en-AU"/>
                <w14:ligatures w14:val="standardContextual"/>
              </w:rPr>
              <w:t> </w:t>
            </w:r>
          </w:p>
          <w:p w14:paraId="7AC384A7"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30/6/28</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39C4E631"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1/7/28 to</w:t>
            </w:r>
            <w:r w:rsidRPr="00182C11">
              <w:rPr>
                <w:rFonts w:eastAsia="Aptos"/>
                <w:sz w:val="18"/>
                <w:szCs w:val="18"/>
                <w:lang w:eastAsia="en-AU"/>
                <w14:ligatures w14:val="standardContextual"/>
              </w:rPr>
              <w:t> </w:t>
            </w:r>
          </w:p>
          <w:p w14:paraId="51BFB274"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30/6/29</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hideMark/>
          </w:tcPr>
          <w:p w14:paraId="422DDF03"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1/7/29 to</w:t>
            </w:r>
            <w:r w:rsidRPr="00182C11">
              <w:rPr>
                <w:rFonts w:eastAsia="Aptos"/>
                <w:sz w:val="18"/>
                <w:szCs w:val="18"/>
                <w:lang w:eastAsia="en-AU"/>
                <w14:ligatures w14:val="standardContextual"/>
              </w:rPr>
              <w:t> </w:t>
            </w:r>
          </w:p>
          <w:p w14:paraId="74D14BE1"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30/6/30</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shd w:val="clear" w:color="auto" w:fill="F6C5AC"/>
            <w:hideMark/>
          </w:tcPr>
          <w:p w14:paraId="1C58F61E"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1/7/30 to</w:t>
            </w:r>
            <w:r w:rsidRPr="00182C11">
              <w:rPr>
                <w:rFonts w:eastAsia="Aptos"/>
                <w:sz w:val="18"/>
                <w:szCs w:val="18"/>
                <w:lang w:eastAsia="en-AU"/>
                <w14:ligatures w14:val="standardContextual"/>
              </w:rPr>
              <w:t> </w:t>
            </w:r>
          </w:p>
          <w:p w14:paraId="1BE6AEA6"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30/6/31</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000000"/>
            </w:tcBorders>
            <w:hideMark/>
          </w:tcPr>
          <w:p w14:paraId="7BC6D04C"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w:t>
            </w:r>
            <w:proofErr w:type="gramStart"/>
            <w:r w:rsidRPr="00182C11">
              <w:rPr>
                <w:rFonts w:eastAsia="Aptos"/>
                <w:b/>
                <w:bCs/>
                <w:sz w:val="18"/>
                <w:szCs w:val="18"/>
                <w:lang w:val="en-US" w:eastAsia="en-AU"/>
                <w14:ligatures w14:val="standardContextual"/>
              </w:rPr>
              <w:t>31 to</w:t>
            </w:r>
            <w:proofErr w:type="gramEnd"/>
            <w:r w:rsidRPr="00182C11">
              <w:rPr>
                <w:rFonts w:eastAsia="Aptos"/>
                <w:sz w:val="18"/>
                <w:szCs w:val="18"/>
                <w:lang w:eastAsia="en-AU"/>
                <w14:ligatures w14:val="standardContextual"/>
              </w:rPr>
              <w:t> </w:t>
            </w:r>
          </w:p>
          <w:p w14:paraId="1531E414"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30/6/32</w:t>
            </w:r>
            <w:r w:rsidRPr="00182C11">
              <w:rPr>
                <w:rFonts w:eastAsia="Aptos"/>
                <w:sz w:val="18"/>
                <w:szCs w:val="18"/>
                <w:lang w:eastAsia="en-AU"/>
                <w14:ligatures w14:val="standardContextual"/>
              </w:rPr>
              <w:t> </w:t>
            </w:r>
          </w:p>
        </w:tc>
      </w:tr>
      <w:tr w:rsidR="00182C11" w:rsidRPr="00182C11" w14:paraId="69BBE78B" w14:textId="77777777" w:rsidTr="0038199D">
        <w:trPr>
          <w:trHeight w:val="375"/>
        </w:trPr>
        <w:tc>
          <w:tcPr>
            <w:tcW w:w="1411" w:type="pct"/>
            <w:tcBorders>
              <w:top w:val="single" w:sz="6" w:space="0" w:color="000000"/>
              <w:left w:val="single" w:sz="18" w:space="0" w:color="000000"/>
              <w:bottom w:val="single" w:sz="18" w:space="0" w:color="000000"/>
              <w:right w:val="single" w:sz="18" w:space="0" w:color="000000"/>
            </w:tcBorders>
            <w:vAlign w:val="center"/>
            <w:hideMark/>
          </w:tcPr>
          <w:p w14:paraId="5D7D8E04"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Group 3</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6" w:space="0" w:color="000000"/>
            </w:tcBorders>
            <w:hideMark/>
          </w:tcPr>
          <w:p w14:paraId="34BE1DF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1/7/27 to</w:t>
            </w:r>
            <w:r w:rsidRPr="00182C11">
              <w:rPr>
                <w:rFonts w:eastAsia="Aptos"/>
                <w:sz w:val="18"/>
                <w:szCs w:val="18"/>
                <w:lang w:eastAsia="en-AU"/>
                <w14:ligatures w14:val="standardContextual"/>
              </w:rPr>
              <w:t> </w:t>
            </w:r>
          </w:p>
          <w:p w14:paraId="7C90B038"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30/6/28</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6" w:space="0" w:color="000000"/>
            </w:tcBorders>
            <w:hideMark/>
          </w:tcPr>
          <w:p w14:paraId="55C56195"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1/7/28 to</w:t>
            </w:r>
            <w:r w:rsidRPr="00182C11">
              <w:rPr>
                <w:rFonts w:eastAsia="Aptos"/>
                <w:sz w:val="18"/>
                <w:szCs w:val="18"/>
                <w:lang w:eastAsia="en-AU"/>
                <w14:ligatures w14:val="standardContextual"/>
              </w:rPr>
              <w:t> </w:t>
            </w:r>
          </w:p>
          <w:p w14:paraId="103D7A1B"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30/6/29</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6" w:space="0" w:color="000000"/>
            </w:tcBorders>
            <w:hideMark/>
          </w:tcPr>
          <w:p w14:paraId="218223A5"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1/7/29 to</w:t>
            </w:r>
            <w:r w:rsidRPr="00182C11">
              <w:rPr>
                <w:rFonts w:eastAsia="Aptos"/>
                <w:sz w:val="18"/>
                <w:szCs w:val="18"/>
                <w:lang w:eastAsia="en-AU"/>
                <w14:ligatures w14:val="standardContextual"/>
              </w:rPr>
              <w:t> </w:t>
            </w:r>
          </w:p>
          <w:p w14:paraId="189E2F82"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30/6/30</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6" w:space="0" w:color="000000"/>
            </w:tcBorders>
            <w:shd w:val="clear" w:color="auto" w:fill="F6C5AC"/>
            <w:hideMark/>
          </w:tcPr>
          <w:p w14:paraId="07915B68"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1/7/30 to</w:t>
            </w:r>
            <w:r w:rsidRPr="00182C11">
              <w:rPr>
                <w:rFonts w:eastAsia="Aptos"/>
                <w:sz w:val="18"/>
                <w:szCs w:val="18"/>
                <w:lang w:eastAsia="en-AU"/>
                <w14:ligatures w14:val="standardContextual"/>
              </w:rPr>
              <w:t> </w:t>
            </w:r>
          </w:p>
          <w:p w14:paraId="6E6C5BB4"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30/6/31</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6" w:space="0" w:color="000000"/>
            </w:tcBorders>
            <w:hideMark/>
          </w:tcPr>
          <w:p w14:paraId="4E06E7B3"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w:t>
            </w:r>
            <w:proofErr w:type="gramStart"/>
            <w:r w:rsidRPr="00182C11">
              <w:rPr>
                <w:rFonts w:eastAsia="Aptos"/>
                <w:b/>
                <w:bCs/>
                <w:sz w:val="18"/>
                <w:szCs w:val="18"/>
                <w:lang w:val="en-US" w:eastAsia="en-AU"/>
                <w14:ligatures w14:val="standardContextual"/>
              </w:rPr>
              <w:t>31 to</w:t>
            </w:r>
            <w:proofErr w:type="gramEnd"/>
            <w:r w:rsidRPr="00182C11">
              <w:rPr>
                <w:rFonts w:eastAsia="Aptos"/>
                <w:sz w:val="18"/>
                <w:szCs w:val="18"/>
                <w:lang w:eastAsia="en-AU"/>
                <w14:ligatures w14:val="standardContextual"/>
              </w:rPr>
              <w:t> </w:t>
            </w:r>
          </w:p>
          <w:p w14:paraId="79F399A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30/6/32</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18" w:space="0" w:color="000000"/>
            </w:tcBorders>
            <w:hideMark/>
          </w:tcPr>
          <w:p w14:paraId="115AEE38"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1/7/32 to</w:t>
            </w:r>
            <w:r w:rsidRPr="00182C11">
              <w:rPr>
                <w:rFonts w:eastAsia="Aptos"/>
                <w:sz w:val="18"/>
                <w:szCs w:val="18"/>
                <w:lang w:eastAsia="en-AU"/>
                <w14:ligatures w14:val="standardContextual"/>
              </w:rPr>
              <w:t> </w:t>
            </w:r>
          </w:p>
          <w:p w14:paraId="68719DB4"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b/>
                <w:bCs/>
                <w:sz w:val="18"/>
                <w:szCs w:val="18"/>
                <w:lang w:val="en-US" w:eastAsia="en-AU"/>
                <w14:ligatures w14:val="standardContextual"/>
              </w:rPr>
              <w:t>30/6/33</w:t>
            </w:r>
            <w:r w:rsidRPr="00182C11">
              <w:rPr>
                <w:rFonts w:eastAsia="Aptos"/>
                <w:sz w:val="18"/>
                <w:szCs w:val="18"/>
                <w:lang w:eastAsia="en-AU"/>
                <w14:ligatures w14:val="standardContextual"/>
              </w:rPr>
              <w:t> </w:t>
            </w:r>
          </w:p>
        </w:tc>
      </w:tr>
      <w:tr w:rsidR="00182C11" w:rsidRPr="00182C11" w14:paraId="03509902" w14:textId="77777777" w:rsidTr="0038199D">
        <w:trPr>
          <w:trHeight w:val="420"/>
        </w:trPr>
        <w:tc>
          <w:tcPr>
            <w:tcW w:w="1411" w:type="pct"/>
            <w:tcBorders>
              <w:top w:val="single" w:sz="18" w:space="0" w:color="000000"/>
              <w:left w:val="single" w:sz="18" w:space="0" w:color="000000"/>
              <w:bottom w:val="single" w:sz="6" w:space="0" w:color="000000"/>
              <w:right w:val="single" w:sz="18" w:space="0" w:color="auto"/>
            </w:tcBorders>
            <w:vAlign w:val="center"/>
            <w:hideMark/>
          </w:tcPr>
          <w:p w14:paraId="68AEA193"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Governance</w:t>
            </w:r>
            <w:r w:rsidRPr="00182C11">
              <w:rPr>
                <w:rFonts w:eastAsia="Aptos"/>
                <w:sz w:val="18"/>
                <w:szCs w:val="18"/>
                <w:lang w:eastAsia="en-AU"/>
                <w14:ligatures w14:val="standardContextual"/>
              </w:rPr>
              <w:t> </w:t>
            </w:r>
          </w:p>
        </w:tc>
        <w:tc>
          <w:tcPr>
            <w:tcW w:w="598" w:type="pct"/>
            <w:tcBorders>
              <w:top w:val="single" w:sz="18" w:space="0" w:color="auto"/>
              <w:left w:val="single" w:sz="4" w:space="0" w:color="auto"/>
              <w:bottom w:val="single" w:sz="4" w:space="0" w:color="auto"/>
              <w:right w:val="single" w:sz="4" w:space="0" w:color="auto"/>
            </w:tcBorders>
            <w:shd w:val="clear" w:color="auto" w:fill="EBF0DE"/>
            <w:vAlign w:val="center"/>
            <w:hideMark/>
          </w:tcPr>
          <w:p w14:paraId="0E797BB1"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p>
        </w:tc>
        <w:tc>
          <w:tcPr>
            <w:tcW w:w="598" w:type="pct"/>
            <w:tcBorders>
              <w:top w:val="single" w:sz="18" w:space="0" w:color="auto"/>
              <w:left w:val="single" w:sz="4" w:space="0" w:color="auto"/>
              <w:bottom w:val="single" w:sz="4" w:space="0" w:color="auto"/>
              <w:right w:val="single" w:sz="4" w:space="0" w:color="auto"/>
            </w:tcBorders>
            <w:shd w:val="clear" w:color="auto" w:fill="EBF0DE"/>
            <w:vAlign w:val="center"/>
            <w:hideMark/>
          </w:tcPr>
          <w:p w14:paraId="658AEF5E"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18" w:space="0" w:color="auto"/>
              <w:left w:val="single" w:sz="4" w:space="0" w:color="auto"/>
              <w:bottom w:val="single" w:sz="4" w:space="0" w:color="auto"/>
              <w:right w:val="single" w:sz="4" w:space="0" w:color="auto"/>
            </w:tcBorders>
            <w:shd w:val="clear" w:color="auto" w:fill="EBF0DE"/>
            <w:vAlign w:val="center"/>
            <w:hideMark/>
          </w:tcPr>
          <w:p w14:paraId="1E0DE096"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18" w:space="0" w:color="auto"/>
              <w:left w:val="single" w:sz="4" w:space="0" w:color="auto"/>
              <w:bottom w:val="single" w:sz="6" w:space="0" w:color="000000"/>
              <w:right w:val="single" w:sz="6" w:space="0" w:color="000000"/>
            </w:tcBorders>
            <w:shd w:val="clear" w:color="auto" w:fill="DCE6F1"/>
            <w:vAlign w:val="center"/>
          </w:tcPr>
          <w:p w14:paraId="156DA280"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18" w:space="0" w:color="auto"/>
              <w:left w:val="single" w:sz="6" w:space="0" w:color="000000"/>
              <w:bottom w:val="single" w:sz="6" w:space="0" w:color="000000"/>
              <w:right w:val="single" w:sz="6" w:space="0" w:color="000000"/>
            </w:tcBorders>
            <w:shd w:val="clear" w:color="auto" w:fill="DCE6F1"/>
            <w:vAlign w:val="center"/>
            <w:hideMark/>
          </w:tcPr>
          <w:p w14:paraId="29FFD155"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18" w:space="0" w:color="auto"/>
              <w:left w:val="single" w:sz="6" w:space="0" w:color="000000"/>
              <w:bottom w:val="single" w:sz="6" w:space="0" w:color="000000"/>
              <w:right w:val="single" w:sz="18" w:space="0" w:color="auto"/>
            </w:tcBorders>
            <w:shd w:val="clear" w:color="auto" w:fill="DCE6F1"/>
            <w:vAlign w:val="center"/>
            <w:hideMark/>
          </w:tcPr>
          <w:p w14:paraId="560E72A2"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r w:rsidR="00182C11" w:rsidRPr="00182C11" w14:paraId="1F320568" w14:textId="77777777" w:rsidTr="0038199D">
        <w:trPr>
          <w:trHeight w:val="420"/>
        </w:trPr>
        <w:tc>
          <w:tcPr>
            <w:tcW w:w="1411" w:type="pct"/>
            <w:tcBorders>
              <w:top w:val="single" w:sz="6" w:space="0" w:color="000000"/>
              <w:left w:val="single" w:sz="18" w:space="0" w:color="000000"/>
              <w:bottom w:val="single" w:sz="6" w:space="0" w:color="000000"/>
              <w:right w:val="single" w:sz="18" w:space="0" w:color="auto"/>
            </w:tcBorders>
            <w:vAlign w:val="center"/>
            <w:hideMark/>
          </w:tcPr>
          <w:p w14:paraId="460A8145"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Strategy – Risks and Opportunities ***</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1C0E1FF8"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64ED26C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78F5E7F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6" w:space="0" w:color="000000"/>
              <w:left w:val="single" w:sz="4" w:space="0" w:color="auto"/>
              <w:bottom w:val="single" w:sz="6" w:space="0" w:color="000000"/>
              <w:right w:val="single" w:sz="6" w:space="0" w:color="000000"/>
            </w:tcBorders>
            <w:shd w:val="clear" w:color="auto" w:fill="DCE6F1"/>
            <w:vAlign w:val="center"/>
          </w:tcPr>
          <w:p w14:paraId="0CD13E6F"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shd w:val="clear" w:color="auto" w:fill="DCE6F1"/>
            <w:vAlign w:val="center"/>
            <w:hideMark/>
          </w:tcPr>
          <w:p w14:paraId="5254EF48"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auto"/>
            </w:tcBorders>
            <w:shd w:val="clear" w:color="auto" w:fill="DCE6F1"/>
            <w:vAlign w:val="center"/>
            <w:hideMark/>
          </w:tcPr>
          <w:p w14:paraId="1F6C7786"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r w:rsidR="00182C11" w:rsidRPr="00182C11" w14:paraId="0AF36E85" w14:textId="77777777" w:rsidTr="0038199D">
        <w:trPr>
          <w:trHeight w:val="420"/>
        </w:trPr>
        <w:tc>
          <w:tcPr>
            <w:tcW w:w="1411" w:type="pct"/>
            <w:tcBorders>
              <w:top w:val="single" w:sz="6" w:space="0" w:color="000000"/>
              <w:left w:val="single" w:sz="18" w:space="0" w:color="000000"/>
              <w:bottom w:val="single" w:sz="6" w:space="0" w:color="000000"/>
              <w:right w:val="single" w:sz="18" w:space="0" w:color="auto"/>
            </w:tcBorders>
            <w:vAlign w:val="center"/>
            <w:hideMark/>
          </w:tcPr>
          <w:p w14:paraId="5D062352"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Climate Resilience Assessments/ Scenario Analysis</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4F85F800"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None</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6187F176"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3747376D"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6" w:space="0" w:color="000000"/>
              <w:left w:val="single" w:sz="4" w:space="0" w:color="auto"/>
              <w:bottom w:val="single" w:sz="6" w:space="0" w:color="000000"/>
              <w:right w:val="single" w:sz="6" w:space="0" w:color="000000"/>
            </w:tcBorders>
            <w:shd w:val="clear" w:color="auto" w:fill="DCE6F1"/>
            <w:vAlign w:val="center"/>
          </w:tcPr>
          <w:p w14:paraId="4226183B"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shd w:val="clear" w:color="auto" w:fill="DCE6F1"/>
            <w:vAlign w:val="center"/>
            <w:hideMark/>
          </w:tcPr>
          <w:p w14:paraId="4A7C5BC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auto"/>
            </w:tcBorders>
            <w:shd w:val="clear" w:color="auto" w:fill="DCE6F1"/>
            <w:vAlign w:val="center"/>
            <w:hideMark/>
          </w:tcPr>
          <w:p w14:paraId="1FDA0B62"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r w:rsidR="00182C11" w:rsidRPr="00182C11" w14:paraId="7D10354F" w14:textId="77777777" w:rsidTr="0038199D">
        <w:trPr>
          <w:trHeight w:val="420"/>
        </w:trPr>
        <w:tc>
          <w:tcPr>
            <w:tcW w:w="1411" w:type="pct"/>
            <w:tcBorders>
              <w:top w:val="single" w:sz="6" w:space="0" w:color="000000"/>
              <w:left w:val="single" w:sz="18" w:space="0" w:color="000000"/>
              <w:bottom w:val="single" w:sz="6" w:space="0" w:color="000000"/>
              <w:right w:val="single" w:sz="18" w:space="0" w:color="auto"/>
            </w:tcBorders>
            <w:vAlign w:val="center"/>
            <w:hideMark/>
          </w:tcPr>
          <w:p w14:paraId="37E39578"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Transition Plans</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30E9FC6E"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None</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1B85C7A7"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76491447"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6" w:space="0" w:color="000000"/>
              <w:left w:val="single" w:sz="4" w:space="0" w:color="auto"/>
              <w:bottom w:val="single" w:sz="6" w:space="0" w:color="000000"/>
              <w:right w:val="single" w:sz="6" w:space="0" w:color="000000"/>
            </w:tcBorders>
            <w:shd w:val="clear" w:color="auto" w:fill="DCE6F1"/>
            <w:vAlign w:val="center"/>
          </w:tcPr>
          <w:p w14:paraId="6C9BD3FD"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shd w:val="clear" w:color="auto" w:fill="DCE6F1"/>
            <w:vAlign w:val="center"/>
            <w:hideMark/>
          </w:tcPr>
          <w:p w14:paraId="312075D7"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auto"/>
            </w:tcBorders>
            <w:shd w:val="clear" w:color="auto" w:fill="DCE6F1"/>
            <w:vAlign w:val="center"/>
            <w:hideMark/>
          </w:tcPr>
          <w:p w14:paraId="4555865B"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r w:rsidR="00182C11" w:rsidRPr="00182C11" w14:paraId="7B49981A" w14:textId="77777777" w:rsidTr="0038199D">
        <w:trPr>
          <w:trHeight w:val="420"/>
        </w:trPr>
        <w:tc>
          <w:tcPr>
            <w:tcW w:w="1411" w:type="pct"/>
            <w:tcBorders>
              <w:top w:val="single" w:sz="6" w:space="0" w:color="000000"/>
              <w:left w:val="single" w:sz="18" w:space="0" w:color="000000"/>
              <w:bottom w:val="single" w:sz="6" w:space="0" w:color="000000"/>
              <w:right w:val="single" w:sz="18" w:space="0" w:color="auto"/>
            </w:tcBorders>
            <w:vAlign w:val="center"/>
            <w:hideMark/>
          </w:tcPr>
          <w:p w14:paraId="71DA193F"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Risk Management</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57078856"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None</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57062E3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23281886"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6" w:space="0" w:color="000000"/>
              <w:left w:val="single" w:sz="4" w:space="0" w:color="auto"/>
              <w:bottom w:val="single" w:sz="6" w:space="0" w:color="000000"/>
              <w:right w:val="single" w:sz="6" w:space="0" w:color="000000"/>
            </w:tcBorders>
            <w:shd w:val="clear" w:color="auto" w:fill="DCE6F1"/>
            <w:vAlign w:val="center"/>
          </w:tcPr>
          <w:p w14:paraId="5441A206"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shd w:val="clear" w:color="auto" w:fill="DCE6F1"/>
            <w:vAlign w:val="center"/>
            <w:hideMark/>
          </w:tcPr>
          <w:p w14:paraId="74F195BF"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auto"/>
            </w:tcBorders>
            <w:shd w:val="clear" w:color="auto" w:fill="DCE6F1"/>
            <w:vAlign w:val="center"/>
            <w:hideMark/>
          </w:tcPr>
          <w:p w14:paraId="730AAADB"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r w:rsidR="00182C11" w:rsidRPr="00182C11" w14:paraId="2F886B11" w14:textId="77777777" w:rsidTr="0038199D">
        <w:trPr>
          <w:trHeight w:val="420"/>
        </w:trPr>
        <w:tc>
          <w:tcPr>
            <w:tcW w:w="1411" w:type="pct"/>
            <w:tcBorders>
              <w:top w:val="single" w:sz="6" w:space="0" w:color="000000"/>
              <w:left w:val="single" w:sz="18" w:space="0" w:color="000000"/>
              <w:bottom w:val="single" w:sz="6" w:space="0" w:color="000000"/>
              <w:right w:val="single" w:sz="18" w:space="0" w:color="auto"/>
            </w:tcBorders>
            <w:vAlign w:val="center"/>
            <w:hideMark/>
          </w:tcPr>
          <w:p w14:paraId="515D2A16"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Scope 1 and 2 Emissions</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7E246594"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5559EBEE"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75BCEB64"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p>
        </w:tc>
        <w:tc>
          <w:tcPr>
            <w:tcW w:w="598" w:type="pct"/>
            <w:tcBorders>
              <w:top w:val="single" w:sz="6" w:space="0" w:color="000000"/>
              <w:left w:val="single" w:sz="4" w:space="0" w:color="auto"/>
              <w:bottom w:val="single" w:sz="6" w:space="0" w:color="000000"/>
              <w:right w:val="single" w:sz="6" w:space="0" w:color="000000"/>
            </w:tcBorders>
            <w:shd w:val="clear" w:color="auto" w:fill="DCE6F1"/>
            <w:vAlign w:val="center"/>
          </w:tcPr>
          <w:p w14:paraId="6B9F44AD"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shd w:val="clear" w:color="auto" w:fill="DCE6F1"/>
            <w:vAlign w:val="center"/>
            <w:hideMark/>
          </w:tcPr>
          <w:p w14:paraId="581A89AC"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auto"/>
            </w:tcBorders>
            <w:shd w:val="clear" w:color="auto" w:fill="DCE6F1"/>
            <w:vAlign w:val="center"/>
            <w:hideMark/>
          </w:tcPr>
          <w:p w14:paraId="0D2069D3"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r w:rsidR="00182C11" w:rsidRPr="00182C11" w14:paraId="0E6E02CE" w14:textId="77777777" w:rsidTr="0038199D">
        <w:trPr>
          <w:trHeight w:val="420"/>
        </w:trPr>
        <w:tc>
          <w:tcPr>
            <w:tcW w:w="1411" w:type="pct"/>
            <w:tcBorders>
              <w:top w:val="single" w:sz="6" w:space="0" w:color="000000"/>
              <w:left w:val="single" w:sz="18" w:space="0" w:color="000000"/>
              <w:bottom w:val="single" w:sz="6" w:space="0" w:color="000000"/>
              <w:right w:val="single" w:sz="18" w:space="0" w:color="auto"/>
            </w:tcBorders>
            <w:vAlign w:val="center"/>
            <w:hideMark/>
          </w:tcPr>
          <w:p w14:paraId="1F80337C"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Scope 3 Emissions</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vAlign w:val="center"/>
            <w:hideMark/>
          </w:tcPr>
          <w:p w14:paraId="1443DA64"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N/A</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0A1DE69A"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p>
        </w:tc>
        <w:tc>
          <w:tcPr>
            <w:tcW w:w="598" w:type="pct"/>
            <w:tcBorders>
              <w:top w:val="single" w:sz="4" w:space="0" w:color="auto"/>
              <w:left w:val="single" w:sz="4" w:space="0" w:color="auto"/>
              <w:bottom w:val="single" w:sz="4" w:space="0" w:color="auto"/>
              <w:right w:val="single" w:sz="4" w:space="0" w:color="auto"/>
            </w:tcBorders>
            <w:shd w:val="clear" w:color="auto" w:fill="EBF0DE"/>
            <w:vAlign w:val="center"/>
            <w:hideMark/>
          </w:tcPr>
          <w:p w14:paraId="3824653B"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p>
        </w:tc>
        <w:tc>
          <w:tcPr>
            <w:tcW w:w="598" w:type="pct"/>
            <w:tcBorders>
              <w:top w:val="single" w:sz="6" w:space="0" w:color="000000"/>
              <w:left w:val="single" w:sz="4" w:space="0" w:color="auto"/>
              <w:bottom w:val="single" w:sz="6" w:space="0" w:color="000000"/>
              <w:right w:val="single" w:sz="6" w:space="0" w:color="000000"/>
            </w:tcBorders>
            <w:shd w:val="clear" w:color="auto" w:fill="DCE6F1"/>
            <w:vAlign w:val="center"/>
          </w:tcPr>
          <w:p w14:paraId="674C669E"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6" w:space="0" w:color="000000"/>
            </w:tcBorders>
            <w:shd w:val="clear" w:color="auto" w:fill="DCE6F1"/>
            <w:vAlign w:val="center"/>
            <w:hideMark/>
          </w:tcPr>
          <w:p w14:paraId="7909A199"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6" w:space="0" w:color="000000"/>
              <w:right w:val="single" w:sz="18" w:space="0" w:color="auto"/>
            </w:tcBorders>
            <w:shd w:val="clear" w:color="auto" w:fill="DCE6F1"/>
            <w:vAlign w:val="center"/>
            <w:hideMark/>
          </w:tcPr>
          <w:p w14:paraId="0189617F"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r w:rsidR="00182C11" w:rsidRPr="00182C11" w14:paraId="7E294F0F" w14:textId="77777777" w:rsidTr="0038199D">
        <w:trPr>
          <w:trHeight w:val="420"/>
        </w:trPr>
        <w:tc>
          <w:tcPr>
            <w:tcW w:w="1411" w:type="pct"/>
            <w:tcBorders>
              <w:top w:val="single" w:sz="6" w:space="0" w:color="000000"/>
              <w:left w:val="single" w:sz="18" w:space="0" w:color="000000"/>
              <w:bottom w:val="single" w:sz="18" w:space="0" w:color="000000"/>
              <w:right w:val="single" w:sz="18" w:space="0" w:color="auto"/>
            </w:tcBorders>
            <w:vAlign w:val="center"/>
            <w:hideMark/>
          </w:tcPr>
          <w:p w14:paraId="2D6E5F1F" w14:textId="77777777" w:rsidR="00182C11" w:rsidRPr="00182C11" w:rsidRDefault="00182C11" w:rsidP="00182C11">
            <w:pPr>
              <w:spacing w:line="240" w:lineRule="auto"/>
              <w:ind w:left="45" w:right="18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Climate-related Metrics and Targets</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18" w:space="0" w:color="auto"/>
              <w:right w:val="single" w:sz="4" w:space="0" w:color="auto"/>
            </w:tcBorders>
            <w:vAlign w:val="center"/>
            <w:hideMark/>
          </w:tcPr>
          <w:p w14:paraId="7E43F5C6" w14:textId="77777777" w:rsidR="00182C11" w:rsidRPr="00182C11" w:rsidRDefault="00182C11" w:rsidP="00182C11">
            <w:pPr>
              <w:spacing w:line="240" w:lineRule="auto"/>
              <w:ind w:left="45"/>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None</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18" w:space="0" w:color="auto"/>
              <w:right w:val="single" w:sz="4" w:space="0" w:color="auto"/>
            </w:tcBorders>
            <w:shd w:val="clear" w:color="auto" w:fill="EBF0DE"/>
            <w:vAlign w:val="center"/>
            <w:hideMark/>
          </w:tcPr>
          <w:p w14:paraId="10389665"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4" w:space="0" w:color="auto"/>
              <w:left w:val="single" w:sz="4" w:space="0" w:color="auto"/>
              <w:bottom w:val="single" w:sz="18" w:space="0" w:color="auto"/>
              <w:right w:val="single" w:sz="4" w:space="0" w:color="auto"/>
            </w:tcBorders>
            <w:shd w:val="clear" w:color="auto" w:fill="EBF0DE"/>
            <w:vAlign w:val="center"/>
            <w:hideMark/>
          </w:tcPr>
          <w:p w14:paraId="65EE5A4F"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Limited</w:t>
            </w:r>
            <w:r w:rsidRPr="00182C11">
              <w:rPr>
                <w:rFonts w:eastAsia="Aptos"/>
                <w:sz w:val="18"/>
                <w:szCs w:val="18"/>
                <w:lang w:eastAsia="en-AU"/>
                <w14:ligatures w14:val="standardContextual"/>
              </w:rPr>
              <w:t> </w:t>
            </w:r>
          </w:p>
        </w:tc>
        <w:tc>
          <w:tcPr>
            <w:tcW w:w="598" w:type="pct"/>
            <w:tcBorders>
              <w:top w:val="single" w:sz="6" w:space="0" w:color="000000"/>
              <w:left w:val="single" w:sz="4" w:space="0" w:color="auto"/>
              <w:bottom w:val="single" w:sz="18" w:space="0" w:color="auto"/>
              <w:right w:val="single" w:sz="6" w:space="0" w:color="000000"/>
            </w:tcBorders>
            <w:shd w:val="clear" w:color="auto" w:fill="DCE6F1"/>
            <w:vAlign w:val="center"/>
          </w:tcPr>
          <w:p w14:paraId="040B7CB1"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6" w:space="0" w:color="000000"/>
            </w:tcBorders>
            <w:shd w:val="clear" w:color="auto" w:fill="DCE6F1"/>
            <w:vAlign w:val="center"/>
            <w:hideMark/>
          </w:tcPr>
          <w:p w14:paraId="47BB4CAB"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c>
          <w:tcPr>
            <w:tcW w:w="598" w:type="pct"/>
            <w:tcBorders>
              <w:top w:val="single" w:sz="6" w:space="0" w:color="000000"/>
              <w:left w:val="single" w:sz="6" w:space="0" w:color="000000"/>
              <w:bottom w:val="single" w:sz="18" w:space="0" w:color="auto"/>
              <w:right w:val="single" w:sz="18" w:space="0" w:color="auto"/>
            </w:tcBorders>
            <w:shd w:val="clear" w:color="auto" w:fill="DCE6F1"/>
            <w:vAlign w:val="center"/>
            <w:hideMark/>
          </w:tcPr>
          <w:p w14:paraId="77792910" w14:textId="77777777" w:rsidR="00182C11" w:rsidRPr="00182C11" w:rsidRDefault="00182C11" w:rsidP="00182C11">
            <w:pPr>
              <w:spacing w:line="240" w:lineRule="auto"/>
              <w:ind w:left="60"/>
              <w:textAlignment w:val="baseline"/>
              <w:rPr>
                <w:rFonts w:eastAsia="Aptos"/>
                <w:sz w:val="18"/>
                <w:szCs w:val="18"/>
                <w:lang w:eastAsia="en-AU"/>
                <w14:ligatures w14:val="standardContextual"/>
              </w:rPr>
            </w:pPr>
            <w:r w:rsidRPr="00182C11">
              <w:rPr>
                <w:rFonts w:eastAsia="Aptos"/>
                <w:sz w:val="18"/>
                <w:szCs w:val="18"/>
                <w:lang w:val="en-US" w:eastAsia="en-AU"/>
                <w14:ligatures w14:val="standardContextual"/>
              </w:rPr>
              <w:t>Reasonable</w:t>
            </w:r>
            <w:r w:rsidRPr="00182C11">
              <w:rPr>
                <w:rFonts w:eastAsia="Aptos"/>
                <w:sz w:val="18"/>
                <w:szCs w:val="18"/>
                <w:lang w:eastAsia="en-AU"/>
                <w14:ligatures w14:val="standardContextual"/>
              </w:rPr>
              <w:t> </w:t>
            </w:r>
          </w:p>
        </w:tc>
      </w:tr>
    </w:tbl>
    <w:p w14:paraId="6949F796" w14:textId="4EDBC78D" w:rsidR="0038199D" w:rsidRPr="0038199D" w:rsidRDefault="0038199D" w:rsidP="0038199D">
      <w:pPr>
        <w:spacing w:before="120" w:line="240" w:lineRule="auto"/>
        <w:ind w:left="426" w:hanging="426"/>
        <w:textAlignment w:val="baseline"/>
        <w:rPr>
          <w:rFonts w:eastAsia="Aptos"/>
          <w:sz w:val="16"/>
          <w:szCs w:val="16"/>
          <w:lang w:eastAsia="en-AU"/>
          <w14:ligatures w14:val="standardContextual"/>
        </w:rPr>
      </w:pPr>
      <w:r w:rsidRPr="0038199D">
        <w:rPr>
          <w:rFonts w:eastAsia="Aptos"/>
          <w:sz w:val="16"/>
          <w:szCs w:val="16"/>
          <w:lang w:eastAsia="en-AU"/>
          <w14:ligatures w14:val="standardContextual"/>
        </w:rPr>
        <w:t xml:space="preserve">* </w:t>
      </w:r>
      <w:r w:rsidRPr="0038199D">
        <w:rPr>
          <w:rFonts w:eastAsia="Aptos"/>
          <w:sz w:val="16"/>
          <w:szCs w:val="16"/>
          <w:lang w:eastAsia="en-AU"/>
          <w14:ligatures w14:val="standardContextual"/>
        </w:rPr>
        <w:tab/>
        <w:t xml:space="preserve">Group 1 entities with years commencing 1 January to 30 June will </w:t>
      </w:r>
      <w:r w:rsidR="00BD3762">
        <w:rPr>
          <w:rFonts w:eastAsia="Aptos"/>
          <w:sz w:val="16"/>
          <w:szCs w:val="16"/>
          <w:lang w:eastAsia="en-AU"/>
          <w14:ligatures w14:val="standardContextual"/>
        </w:rPr>
        <w:t xml:space="preserve">be subject to the Year 1 </w:t>
      </w:r>
      <w:r w:rsidR="005B70CE">
        <w:rPr>
          <w:rFonts w:eastAsia="Aptos"/>
          <w:sz w:val="16"/>
          <w:szCs w:val="16"/>
          <w:lang w:eastAsia="en-AU"/>
          <w14:ligatures w14:val="standardContextual"/>
        </w:rPr>
        <w:t>provisions twice (e.g. years commencing 1/1/25 and 1/1/26)</w:t>
      </w:r>
      <w:r w:rsidRPr="0038199D">
        <w:rPr>
          <w:rFonts w:eastAsia="Aptos"/>
          <w:sz w:val="16"/>
          <w:szCs w:val="16"/>
          <w:lang w:eastAsia="en-AU"/>
          <w14:ligatures w14:val="standardContextual"/>
        </w:rPr>
        <w:t>.</w:t>
      </w:r>
      <w:r w:rsidR="0045083C">
        <w:rPr>
          <w:rFonts w:eastAsia="Aptos"/>
          <w:sz w:val="16"/>
          <w:szCs w:val="16"/>
          <w:lang w:eastAsia="en-AU"/>
          <w14:ligatures w14:val="standardContextual"/>
        </w:rPr>
        <w:t xml:space="preserve"> Reporting of Scope 3 emissions is required for years commencing 1/1/26 to 30/6/26 for these Group 1 entities.</w:t>
      </w:r>
      <w:r w:rsidRPr="0038199D">
        <w:rPr>
          <w:rFonts w:eastAsia="Aptos"/>
          <w:sz w:val="16"/>
          <w:szCs w:val="16"/>
          <w:lang w:eastAsia="en-AU"/>
          <w14:ligatures w14:val="standardContextual"/>
        </w:rPr>
        <w:t> </w:t>
      </w:r>
    </w:p>
    <w:p w14:paraId="55AC1F5D" w14:textId="77777777" w:rsidR="0038199D" w:rsidRPr="0038199D" w:rsidRDefault="0038199D" w:rsidP="0038199D">
      <w:pPr>
        <w:spacing w:line="240" w:lineRule="auto"/>
        <w:ind w:left="426" w:hanging="426"/>
        <w:textAlignment w:val="baseline"/>
        <w:rPr>
          <w:rFonts w:eastAsia="Aptos"/>
          <w:sz w:val="16"/>
          <w:szCs w:val="16"/>
          <w:lang w:eastAsia="en-AU"/>
          <w14:ligatures w14:val="standardContextual"/>
        </w:rPr>
      </w:pPr>
      <w:r w:rsidRPr="0038199D">
        <w:rPr>
          <w:rFonts w:eastAsia="Aptos"/>
          <w:sz w:val="16"/>
          <w:szCs w:val="16"/>
          <w:lang w:eastAsia="en-AU"/>
          <w14:ligatures w14:val="standardContextual"/>
        </w:rPr>
        <w:t xml:space="preserve">** </w:t>
      </w:r>
      <w:r w:rsidRPr="0038199D">
        <w:rPr>
          <w:rFonts w:eastAsia="Aptos"/>
          <w:sz w:val="16"/>
          <w:szCs w:val="16"/>
          <w:lang w:eastAsia="en-AU"/>
          <w14:ligatures w14:val="standardContextual"/>
        </w:rPr>
        <w:tab/>
      </w:r>
      <w:r w:rsidRPr="0038199D">
        <w:rPr>
          <w:rFonts w:eastAsia="Aptos"/>
          <w:sz w:val="16"/>
          <w:szCs w:val="16"/>
          <w:lang w:val="en-US" w:eastAsia="en-AU"/>
          <w14:ligatures w14:val="standardContextual"/>
        </w:rPr>
        <w:t>Years commencing from 1/7/30 to 30/6/31 for Group 3 entities. From that time reasonable assurance is required by the Act for all mandatory climate disclosures.</w:t>
      </w:r>
      <w:r w:rsidRPr="0038199D">
        <w:rPr>
          <w:rFonts w:eastAsia="Aptos"/>
          <w:sz w:val="16"/>
          <w:szCs w:val="16"/>
          <w:lang w:eastAsia="en-AU"/>
          <w14:ligatures w14:val="standardContextual"/>
        </w:rPr>
        <w:t> </w:t>
      </w:r>
    </w:p>
    <w:p w14:paraId="473C25E0" w14:textId="77777777" w:rsidR="0038199D" w:rsidRPr="0038199D" w:rsidRDefault="0038199D" w:rsidP="0038199D">
      <w:pPr>
        <w:spacing w:line="240" w:lineRule="auto"/>
        <w:ind w:left="426" w:hanging="426"/>
        <w:textAlignment w:val="baseline"/>
        <w:rPr>
          <w:rFonts w:eastAsia="Aptos"/>
          <w:sz w:val="16"/>
          <w:szCs w:val="16"/>
          <w:lang w:eastAsia="en-AU"/>
          <w14:ligatures w14:val="standardContextual"/>
        </w:rPr>
      </w:pPr>
      <w:r w:rsidRPr="0038199D">
        <w:rPr>
          <w:rFonts w:eastAsia="Aptos"/>
          <w:sz w:val="16"/>
          <w:szCs w:val="16"/>
          <w:lang w:eastAsia="en-AU"/>
          <w14:ligatures w14:val="standardContextual"/>
        </w:rPr>
        <w:t xml:space="preserve">*** </w:t>
      </w:r>
      <w:r w:rsidRPr="0038199D">
        <w:rPr>
          <w:rFonts w:eastAsia="Aptos"/>
          <w:sz w:val="16"/>
          <w:szCs w:val="16"/>
          <w:lang w:eastAsia="en-AU"/>
          <w14:ligatures w14:val="standardContextual"/>
        </w:rPr>
        <w:tab/>
      </w:r>
      <w:r w:rsidRPr="0038199D">
        <w:rPr>
          <w:rFonts w:eastAsia="Aptos"/>
          <w:sz w:val="16"/>
          <w:szCs w:val="16"/>
          <w:lang w:val="en-US" w:eastAsia="en-AU"/>
          <w14:ligatures w14:val="standardContextual"/>
        </w:rPr>
        <w:t>The phasing for assurance on statements that there are no material climate-related risks and opportunities would be the same as for ‘Strategy – Risks and Opportunities’.</w:t>
      </w:r>
      <w:r w:rsidRPr="0038199D">
        <w:rPr>
          <w:rFonts w:eastAsia="Aptos"/>
          <w:sz w:val="16"/>
          <w:szCs w:val="16"/>
          <w:lang w:eastAsia="en-AU"/>
          <w14:ligatures w14:val="standardContextual"/>
        </w:rPr>
        <w:t> </w:t>
      </w:r>
    </w:p>
    <w:p w14:paraId="6985DC36" w14:textId="77777777" w:rsidR="0038199D" w:rsidRPr="0038199D" w:rsidRDefault="0038199D" w:rsidP="0038199D">
      <w:pPr>
        <w:spacing w:line="240" w:lineRule="auto"/>
        <w:ind w:left="426" w:hanging="426"/>
        <w:textAlignment w:val="baseline"/>
        <w:rPr>
          <w:rFonts w:eastAsia="Aptos"/>
          <w:sz w:val="16"/>
          <w:szCs w:val="16"/>
          <w:lang w:eastAsia="en-AU"/>
          <w14:ligatures w14:val="standardContextual"/>
        </w:rPr>
      </w:pPr>
      <w:r w:rsidRPr="0038199D">
        <w:rPr>
          <w:rFonts w:eastAsia="Aptos"/>
          <w:b/>
          <w:bCs/>
          <w:sz w:val="16"/>
          <w:szCs w:val="16"/>
          <w:lang w:val="en-US" w:eastAsia="en-AU"/>
          <w14:ligatures w14:val="standardContextual"/>
        </w:rPr>
        <w:t>***</w:t>
      </w:r>
      <w:proofErr w:type="gramStart"/>
      <w:r w:rsidRPr="0038199D">
        <w:rPr>
          <w:rFonts w:eastAsia="Aptos"/>
          <w:b/>
          <w:bCs/>
          <w:sz w:val="16"/>
          <w:szCs w:val="16"/>
          <w:lang w:val="en-US" w:eastAsia="en-AU"/>
          <w14:ligatures w14:val="standardContextual"/>
        </w:rPr>
        <w:t xml:space="preserve">* </w:t>
      </w:r>
      <w:r w:rsidRPr="0038199D">
        <w:rPr>
          <w:rFonts w:eastAsia="Aptos"/>
          <w:sz w:val="16"/>
          <w:szCs w:val="16"/>
          <w:lang w:eastAsia="en-AU"/>
          <w14:ligatures w14:val="standardContextual"/>
        </w:rPr>
        <w:tab/>
        <w:t>Only</w:t>
      </w:r>
      <w:proofErr w:type="gramEnd"/>
      <w:r w:rsidRPr="0038199D">
        <w:rPr>
          <w:rFonts w:eastAsia="Aptos"/>
          <w:sz w:val="16"/>
          <w:szCs w:val="16"/>
          <w:lang w:eastAsia="en-AU"/>
          <w14:ligatures w14:val="standardContextual"/>
        </w:rPr>
        <w:t xml:space="preserve"> subparagraphs 9(a), 10(a) and 10(b) of AASB S2 </w:t>
      </w:r>
      <w:r w:rsidRPr="0038199D">
        <w:rPr>
          <w:rFonts w:eastAsia="Aptos"/>
          <w:i/>
          <w:iCs/>
          <w:sz w:val="16"/>
          <w:szCs w:val="16"/>
          <w:lang w:eastAsia="en-AU"/>
          <w14:ligatures w14:val="standardContextual"/>
        </w:rPr>
        <w:t>Climate-related Disclosures.</w:t>
      </w:r>
    </w:p>
    <w:p w14:paraId="2432FCD7" w14:textId="644981F7" w:rsidR="000F7563" w:rsidRDefault="000F7563" w:rsidP="004F1B43"/>
    <w:sectPr w:rsidR="000F7563" w:rsidSect="000F7563">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1D8EA" w14:textId="77777777" w:rsidR="00310E70" w:rsidRDefault="00310E70">
      <w:r>
        <w:separator/>
      </w:r>
    </w:p>
  </w:endnote>
  <w:endnote w:type="continuationSeparator" w:id="0">
    <w:p w14:paraId="4F6E8BCF" w14:textId="77777777" w:rsidR="00310E70" w:rsidRDefault="00310E70">
      <w:r>
        <w:continuationSeparator/>
      </w:r>
    </w:p>
  </w:endnote>
  <w:endnote w:type="continuationNotice" w:id="1">
    <w:p w14:paraId="2DAD69DB" w14:textId="77777777" w:rsidR="00310E70" w:rsidRDefault="00310E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7CB4" w14:textId="77777777" w:rsidR="002921BB" w:rsidRDefault="002921BB">
    <w:pPr>
      <w:pStyle w:val="Footer"/>
    </w:pPr>
    <w:r>
      <w:rPr>
        <w:noProof/>
        <w:lang w:eastAsia="en-AU"/>
      </w:rPr>
      <w:drawing>
        <wp:anchor distT="0" distB="0" distL="114300" distR="114300" simplePos="0" relativeHeight="251658240" behindDoc="0" locked="0" layoutInCell="1" allowOverlap="1" wp14:anchorId="43A2DA67" wp14:editId="59A180E0">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A929" w14:textId="028A1A39" w:rsidR="00665D70" w:rsidRDefault="000F7563" w:rsidP="00D37E2E">
    <w:pPr>
      <w:pStyle w:val="Footer"/>
      <w:spacing w:before="200"/>
      <w:rPr>
        <w:rStyle w:val="PageNumber"/>
        <w:b w:val="0"/>
      </w:rPr>
    </w:pPr>
    <w:fldSimple w:instr=" REF DocType \* charformat " w:fldLock="1">
      <w:r>
        <w:t>A</w:t>
      </w:r>
      <w:r w:rsidRPr="000D243E">
        <w:t>S</w:t>
      </w:r>
      <w:r w:rsidR="00246A08">
        <w:t>S</w:t>
      </w:r>
      <w:r>
        <w:t>A</w:t>
      </w:r>
    </w:fldSimple>
    <w:r w:rsidR="00665D70">
      <w:t xml:space="preserve"> </w:t>
    </w:r>
    <w:fldSimple w:instr=" REF DocNo \* charformat " w:fldLock="1">
      <w:r w:rsidRPr="000F7563">
        <w:t>5010</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3</w:t>
    </w:r>
    <w:r w:rsidR="00665D70">
      <w:rPr>
        <w:rStyle w:val="PageNumber"/>
        <w:b w:val="0"/>
        <w:bCs/>
      </w:rPr>
      <w:fldChar w:fldCharType="end"/>
    </w:r>
    <w:r w:rsidR="00665D70">
      <w:rPr>
        <w:rStyle w:val="PageNumber"/>
        <w:b w:val="0"/>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E6C1" w14:textId="40D07963" w:rsidR="00665D70" w:rsidRDefault="000F7563" w:rsidP="00534E88">
    <w:pPr>
      <w:pStyle w:val="Footer"/>
      <w:spacing w:before="200"/>
      <w:jc w:val="right"/>
      <w:rPr>
        <w:rStyle w:val="PageNumber"/>
        <w:b w:val="0"/>
      </w:rPr>
    </w:pPr>
    <w:fldSimple w:instr=" REF DocType \* charformat " w:fldLock="1">
      <w:r>
        <w:t>A</w:t>
      </w:r>
      <w:r w:rsidRPr="000D243E">
        <w:t>S</w:t>
      </w:r>
      <w:r w:rsidR="00531B02">
        <w:t>S</w:t>
      </w:r>
      <w:r>
        <w:t>A</w:t>
      </w:r>
    </w:fldSimple>
    <w:r w:rsidR="00665D70">
      <w:t xml:space="preserve"> </w:t>
    </w:r>
    <w:fldSimple w:instr=" REF DocNo \* charformat " w:fldLock="1">
      <w:r w:rsidRPr="000F7563">
        <w:t>5010</w:t>
      </w:r>
    </w:fldSimple>
    <w:r w:rsidR="00665D70">
      <w:rPr>
        <w:rStyle w:val="PageNumber"/>
      </w:rPr>
      <w:tab/>
    </w:r>
    <w:r w:rsidR="00665D70">
      <w:rPr>
        <w:b w:val="0"/>
        <w:bCs/>
      </w:rPr>
      <w:t xml:space="preserve">- </w:t>
    </w:r>
    <w:r w:rsidR="00665D70">
      <w:rPr>
        <w:rStyle w:val="PageNumber"/>
        <w:b w:val="0"/>
        <w:bCs/>
      </w:rPr>
      <w:fldChar w:fldCharType="begin"/>
    </w:r>
    <w:r w:rsidR="00665D70">
      <w:rPr>
        <w:rStyle w:val="PageNumber"/>
        <w:b w:val="0"/>
        <w:bCs/>
      </w:rPr>
      <w:instrText xml:space="preserve"> PAGE </w:instrText>
    </w:r>
    <w:r w:rsidR="00665D70">
      <w:rPr>
        <w:rStyle w:val="PageNumber"/>
        <w:b w:val="0"/>
        <w:bCs/>
      </w:rPr>
      <w:fldChar w:fldCharType="separate"/>
    </w:r>
    <w:r w:rsidR="002127F0">
      <w:rPr>
        <w:rStyle w:val="PageNumber"/>
        <w:b w:val="0"/>
        <w:bCs/>
        <w:noProof/>
      </w:rPr>
      <w:t>2</w:t>
    </w:r>
    <w:r w:rsidR="00665D70">
      <w:rPr>
        <w:rStyle w:val="PageNumber"/>
        <w:b w:val="0"/>
        <w:bCs/>
      </w:rPr>
      <w:fldChar w:fldCharType="end"/>
    </w:r>
    <w:r w:rsidR="00665D70">
      <w:rPr>
        <w:rStyle w:val="PageNumber"/>
        <w:b w:val="0"/>
        <w:bCs/>
      </w:rPr>
      <w:t xml:space="preserve"> -</w:t>
    </w:r>
    <w:r w:rsidR="00665D70">
      <w:rPr>
        <w:rStyle w:val="PageNumber"/>
      </w:rPr>
      <w:tab/>
    </w:r>
    <w:r w:rsidR="00BD62C1">
      <w:rPr>
        <w:rStyle w:val="PageNumber"/>
      </w:rPr>
      <w:t xml:space="preserve">SUSTAINABILITY ASSURANCE </w:t>
    </w:r>
    <w:r w:rsidR="00665D70">
      <w:rPr>
        <w:rStyle w:val="PageNumber"/>
      </w:rPr>
      <w:t>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B83D" w14:textId="77777777" w:rsidR="00310E70" w:rsidRDefault="00310E70" w:rsidP="0033215A">
      <w:pPr>
        <w:spacing w:before="240"/>
      </w:pPr>
      <w:r>
        <w:separator/>
      </w:r>
    </w:p>
  </w:footnote>
  <w:footnote w:type="continuationSeparator" w:id="0">
    <w:p w14:paraId="3268E07C" w14:textId="77777777" w:rsidR="00310E70" w:rsidRDefault="00310E70" w:rsidP="0033215A">
      <w:pPr>
        <w:spacing w:before="240"/>
      </w:pPr>
      <w:r>
        <w:continuationSeparator/>
      </w:r>
    </w:p>
  </w:footnote>
  <w:footnote w:type="continuationNotice" w:id="1">
    <w:p w14:paraId="4160AF3E" w14:textId="77777777" w:rsidR="00310E70" w:rsidRDefault="00310E70">
      <w:pPr>
        <w:spacing w:line="240" w:lineRule="auto"/>
      </w:pPr>
    </w:p>
  </w:footnote>
  <w:footnote w:id="2">
    <w:p w14:paraId="2019249A" w14:textId="1EE175B2" w:rsidR="00146A0D" w:rsidRPr="00146A0D" w:rsidRDefault="00146A0D">
      <w:pPr>
        <w:pStyle w:val="FootnoteText"/>
        <w:rPr>
          <w:lang w:val="en-US"/>
        </w:rPr>
      </w:pPr>
      <w:r>
        <w:rPr>
          <w:rStyle w:val="FootnoteReference"/>
        </w:rPr>
        <w:footnoteRef/>
      </w:r>
      <w:r>
        <w:t xml:space="preserve"> </w:t>
      </w:r>
      <w:r>
        <w:tab/>
        <w:t xml:space="preserve">Subsection 296A(1) of the Act. </w:t>
      </w:r>
    </w:p>
  </w:footnote>
  <w:footnote w:id="3">
    <w:p w14:paraId="02AB38C8" w14:textId="43EA6471" w:rsidR="00826964" w:rsidRPr="00826964" w:rsidRDefault="00826964">
      <w:pPr>
        <w:pStyle w:val="FootnoteText"/>
        <w:rPr>
          <w:lang w:val="en-US"/>
        </w:rPr>
      </w:pPr>
      <w:r>
        <w:rPr>
          <w:rStyle w:val="FootnoteReference"/>
        </w:rPr>
        <w:footnoteRef/>
      </w:r>
      <w:r>
        <w:t xml:space="preserve"> </w:t>
      </w:r>
      <w:r>
        <w:tab/>
        <w:t xml:space="preserve">Section </w:t>
      </w:r>
      <w:r w:rsidR="00365E39">
        <w:t>301A</w:t>
      </w:r>
      <w:r>
        <w:t xml:space="preserve"> of the Act.</w:t>
      </w:r>
    </w:p>
  </w:footnote>
  <w:footnote w:id="4">
    <w:p w14:paraId="59F4FADD" w14:textId="115E8D36" w:rsidR="00365E39" w:rsidRPr="00365E39" w:rsidRDefault="00365E39">
      <w:pPr>
        <w:pStyle w:val="FootnoteText"/>
        <w:rPr>
          <w:lang w:val="en-US"/>
        </w:rPr>
      </w:pPr>
      <w:r>
        <w:rPr>
          <w:rStyle w:val="FootnoteReference"/>
        </w:rPr>
        <w:footnoteRef/>
      </w:r>
      <w:r>
        <w:t xml:space="preserve"> </w:t>
      </w:r>
      <w:r>
        <w:tab/>
        <w:t>S</w:t>
      </w:r>
      <w:r w:rsidR="004C0948">
        <w:t>ubs</w:t>
      </w:r>
      <w:r>
        <w:t>ection 1707E</w:t>
      </w:r>
      <w:r w:rsidR="004C0948">
        <w:t>(2)</w:t>
      </w:r>
      <w:r>
        <w:t xml:space="preserve"> of the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1A91" w14:textId="77777777" w:rsidR="00665D70" w:rsidRDefault="00665D70">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17EE" w14:textId="77777777" w:rsidR="00665D70" w:rsidRDefault="00665D70" w:rsidP="002921BB">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7326" w14:textId="4E284D23" w:rsidR="00665D70" w:rsidRDefault="00190752">
    <w:pPr>
      <w:pStyle w:val="Header"/>
      <w:rPr>
        <w:i/>
        <w:iCs/>
      </w:rPr>
    </w:pPr>
    <w:fldSimple w:instr=" REF DocTypeLong \* charformat " w:fldLock="1">
      <w:r>
        <w:t>Australian</w:t>
      </w:r>
      <w:r w:rsidR="000F7563">
        <w:t xml:space="preserve"> Standard</w:t>
      </w:r>
    </w:fldSimple>
    <w:r>
      <w:t xml:space="preserve"> on Sustainability Assurance</w:t>
    </w:r>
    <w:r w:rsidR="00665D70" w:rsidRPr="00C649F8">
      <w:t xml:space="preserve"> </w:t>
    </w:r>
    <w:fldSimple w:instr=" REF DocType \* charformat " w:fldLock="1">
      <w:r w:rsidR="000F7563">
        <w:t>A</w:t>
      </w:r>
      <w:r w:rsidR="000F7563" w:rsidRPr="000D243E">
        <w:t>S</w:t>
      </w:r>
      <w:r>
        <w:t>S</w:t>
      </w:r>
      <w:r w:rsidR="000F7563">
        <w:t>A</w:t>
      </w:r>
    </w:fldSimple>
    <w:r w:rsidR="0033215A">
      <w:t> </w:t>
    </w:r>
    <w:fldSimple w:instr=" REF DocNo \* charformat " w:fldLock="1">
      <w:r w:rsidR="000F7563" w:rsidRPr="000F7563">
        <w:t>5010</w:t>
      </w:r>
    </w:fldSimple>
    <w:r w:rsidR="00665D70" w:rsidRPr="00C649F8">
      <w:br/>
    </w:r>
    <w:r w:rsidR="00665D70" w:rsidRPr="00C649F8">
      <w:rPr>
        <w:i/>
        <w:iCs/>
      </w:rPr>
      <w:fldChar w:fldCharType="begin" w:fldLock="1"/>
    </w:r>
    <w:r w:rsidR="00665D70" w:rsidRPr="00C649F8">
      <w:rPr>
        <w:i/>
        <w:iCs/>
      </w:rPr>
      <w:instrText xml:space="preserve"> REF DocTitle \* charformat </w:instrText>
    </w:r>
    <w:r w:rsidR="00665D70" w:rsidRPr="00C649F8">
      <w:rPr>
        <w:i/>
        <w:iCs/>
      </w:rPr>
      <w:fldChar w:fldCharType="separate"/>
    </w:r>
    <w:r w:rsidR="000F7563" w:rsidRPr="000F7563">
      <w:rPr>
        <w:i/>
        <w:iCs/>
      </w:rPr>
      <w:t>Timeline for Audits and Reviews of Information in Sustainability Reports under the Corporations Act 2001</w:t>
    </w:r>
    <w:r w:rsidR="00665D70" w:rsidRPr="00C649F8">
      <w:fldChar w:fldCharType="end"/>
    </w:r>
  </w:p>
  <w:p w14:paraId="6E0A3618" w14:textId="77777777" w:rsidR="00665D70" w:rsidRDefault="00665D70"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0CB5" w14:textId="77777777" w:rsidR="00665D70" w:rsidRDefault="00665D70">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A94668E"/>
    <w:multiLevelType w:val="multilevel"/>
    <w:tmpl w:val="CDFE2F70"/>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3" w15:restartNumberingAfterBreak="0">
    <w:nsid w:val="1ED62E04"/>
    <w:multiLevelType w:val="multilevel"/>
    <w:tmpl w:val="B738751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CDFE2F70"/>
    <w:styleLink w:val="AUASBParaLevels"/>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E2C53C7"/>
    <w:multiLevelType w:val="hybridMultilevel"/>
    <w:tmpl w:val="817E2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8D53F6"/>
    <w:multiLevelType w:val="multilevel"/>
    <w:tmpl w:val="1A8AA198"/>
    <w:numStyleLink w:val="AUASBListBullets"/>
  </w:abstractNum>
  <w:abstractNum w:abstractNumId="9" w15:restartNumberingAfterBreak="0">
    <w:nsid w:val="73223C67"/>
    <w:multiLevelType w:val="multilevel"/>
    <w:tmpl w:val="8AAEC7F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0" w15:restartNumberingAfterBreak="0">
    <w:nsid w:val="79EE603E"/>
    <w:multiLevelType w:val="multilevel"/>
    <w:tmpl w:val="30DA717E"/>
    <w:lvl w:ilvl="0">
      <w:start w:val="1"/>
      <w:numFmt w:val="decimal"/>
      <w:lvlText w:val="%1"/>
      <w:lvlJc w:val="left"/>
      <w:pPr>
        <w:tabs>
          <w:tab w:val="num" w:pos="709"/>
        </w:tabs>
        <w:ind w:left="709" w:hanging="709"/>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919419">
    <w:abstractNumId w:val="1"/>
  </w:num>
  <w:num w:numId="2" w16cid:durableId="2059165647">
    <w:abstractNumId w:val="8"/>
  </w:num>
  <w:num w:numId="3" w16cid:durableId="1787651360">
    <w:abstractNumId w:val="5"/>
  </w:num>
  <w:num w:numId="4" w16cid:durableId="75127867">
    <w:abstractNumId w:val="3"/>
  </w:num>
  <w:num w:numId="5" w16cid:durableId="398485134">
    <w:abstractNumId w:val="4"/>
  </w:num>
  <w:num w:numId="6" w16cid:durableId="51278390">
    <w:abstractNumId w:val="2"/>
  </w:num>
  <w:num w:numId="7" w16cid:durableId="82343182">
    <w:abstractNumId w:val="0"/>
  </w:num>
  <w:num w:numId="8" w16cid:durableId="1153642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3762490">
    <w:abstractNumId w:val="9"/>
  </w:num>
  <w:num w:numId="10" w16cid:durableId="1468620619">
    <w:abstractNumId w:val="2"/>
  </w:num>
  <w:num w:numId="11" w16cid:durableId="2052919726">
    <w:abstractNumId w:val="2"/>
  </w:num>
  <w:num w:numId="12" w16cid:durableId="244271136">
    <w:abstractNumId w:val="7"/>
  </w:num>
  <w:num w:numId="13" w16cid:durableId="1238863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63"/>
    <w:rsid w:val="0000664A"/>
    <w:rsid w:val="00012DB4"/>
    <w:rsid w:val="00015F83"/>
    <w:rsid w:val="00027477"/>
    <w:rsid w:val="00030701"/>
    <w:rsid w:val="00036E88"/>
    <w:rsid w:val="000373E0"/>
    <w:rsid w:val="00037CDF"/>
    <w:rsid w:val="00053515"/>
    <w:rsid w:val="00061C75"/>
    <w:rsid w:val="0008431E"/>
    <w:rsid w:val="000959EC"/>
    <w:rsid w:val="00097BDA"/>
    <w:rsid w:val="000A2BD4"/>
    <w:rsid w:val="000A2F4F"/>
    <w:rsid w:val="000B3BA4"/>
    <w:rsid w:val="000B579F"/>
    <w:rsid w:val="000C3495"/>
    <w:rsid w:val="000D119B"/>
    <w:rsid w:val="000D186B"/>
    <w:rsid w:val="000D1A44"/>
    <w:rsid w:val="000D1C37"/>
    <w:rsid w:val="000D243E"/>
    <w:rsid w:val="000D42CB"/>
    <w:rsid w:val="000E766B"/>
    <w:rsid w:val="000F5885"/>
    <w:rsid w:val="000F6CF5"/>
    <w:rsid w:val="000F7563"/>
    <w:rsid w:val="00105B19"/>
    <w:rsid w:val="001133B4"/>
    <w:rsid w:val="00115E2C"/>
    <w:rsid w:val="00120CEE"/>
    <w:rsid w:val="00122F96"/>
    <w:rsid w:val="00124665"/>
    <w:rsid w:val="00141026"/>
    <w:rsid w:val="001414B5"/>
    <w:rsid w:val="00146A0D"/>
    <w:rsid w:val="00154F8B"/>
    <w:rsid w:val="0017180E"/>
    <w:rsid w:val="00182C11"/>
    <w:rsid w:val="00184705"/>
    <w:rsid w:val="00190752"/>
    <w:rsid w:val="0019080F"/>
    <w:rsid w:val="001B27BC"/>
    <w:rsid w:val="001B4F43"/>
    <w:rsid w:val="001B5857"/>
    <w:rsid w:val="001B5858"/>
    <w:rsid w:val="001C00FE"/>
    <w:rsid w:val="001C31AF"/>
    <w:rsid w:val="001C671A"/>
    <w:rsid w:val="001C6A39"/>
    <w:rsid w:val="001D6A29"/>
    <w:rsid w:val="001F1F96"/>
    <w:rsid w:val="001F4083"/>
    <w:rsid w:val="00205313"/>
    <w:rsid w:val="00205936"/>
    <w:rsid w:val="002127F0"/>
    <w:rsid w:val="0021391A"/>
    <w:rsid w:val="0022127A"/>
    <w:rsid w:val="00222D31"/>
    <w:rsid w:val="002321A7"/>
    <w:rsid w:val="00237187"/>
    <w:rsid w:val="00246A08"/>
    <w:rsid w:val="0025349C"/>
    <w:rsid w:val="00256E05"/>
    <w:rsid w:val="00262DBD"/>
    <w:rsid w:val="00270E3E"/>
    <w:rsid w:val="00273118"/>
    <w:rsid w:val="00274FCE"/>
    <w:rsid w:val="0027683F"/>
    <w:rsid w:val="00276EFC"/>
    <w:rsid w:val="00277A56"/>
    <w:rsid w:val="00280C5F"/>
    <w:rsid w:val="00287D3A"/>
    <w:rsid w:val="002921BB"/>
    <w:rsid w:val="002A2D50"/>
    <w:rsid w:val="002C54F4"/>
    <w:rsid w:val="002D3424"/>
    <w:rsid w:val="002D5EC1"/>
    <w:rsid w:val="002E341F"/>
    <w:rsid w:val="002F0A28"/>
    <w:rsid w:val="002F1733"/>
    <w:rsid w:val="00301C19"/>
    <w:rsid w:val="00303121"/>
    <w:rsid w:val="00306690"/>
    <w:rsid w:val="003108B8"/>
    <w:rsid w:val="00310E70"/>
    <w:rsid w:val="00313115"/>
    <w:rsid w:val="00314AF8"/>
    <w:rsid w:val="00316D36"/>
    <w:rsid w:val="00321FD3"/>
    <w:rsid w:val="003239D5"/>
    <w:rsid w:val="00324E2F"/>
    <w:rsid w:val="00331C6B"/>
    <w:rsid w:val="0033215A"/>
    <w:rsid w:val="00334469"/>
    <w:rsid w:val="00334F5D"/>
    <w:rsid w:val="003522A7"/>
    <w:rsid w:val="0035524B"/>
    <w:rsid w:val="0036385A"/>
    <w:rsid w:val="0036481D"/>
    <w:rsid w:val="00365E39"/>
    <w:rsid w:val="003663DE"/>
    <w:rsid w:val="00367E50"/>
    <w:rsid w:val="003758E4"/>
    <w:rsid w:val="00375ED7"/>
    <w:rsid w:val="0038199D"/>
    <w:rsid w:val="0038251F"/>
    <w:rsid w:val="00383E62"/>
    <w:rsid w:val="00392397"/>
    <w:rsid w:val="003929D0"/>
    <w:rsid w:val="00392FBA"/>
    <w:rsid w:val="0039560C"/>
    <w:rsid w:val="00397085"/>
    <w:rsid w:val="003A03DE"/>
    <w:rsid w:val="003A0F68"/>
    <w:rsid w:val="003A1665"/>
    <w:rsid w:val="003B0087"/>
    <w:rsid w:val="003B0290"/>
    <w:rsid w:val="003B25D7"/>
    <w:rsid w:val="003B28F1"/>
    <w:rsid w:val="003B4055"/>
    <w:rsid w:val="003C47EE"/>
    <w:rsid w:val="003C4D0D"/>
    <w:rsid w:val="00404E72"/>
    <w:rsid w:val="004123DE"/>
    <w:rsid w:val="00414A16"/>
    <w:rsid w:val="00415A27"/>
    <w:rsid w:val="004230B8"/>
    <w:rsid w:val="0044719F"/>
    <w:rsid w:val="0045083C"/>
    <w:rsid w:val="00453D65"/>
    <w:rsid w:val="004545B4"/>
    <w:rsid w:val="004549D3"/>
    <w:rsid w:val="00465F73"/>
    <w:rsid w:val="00470C0A"/>
    <w:rsid w:val="00481B69"/>
    <w:rsid w:val="004A003C"/>
    <w:rsid w:val="004A0B81"/>
    <w:rsid w:val="004A4B0A"/>
    <w:rsid w:val="004A5CC0"/>
    <w:rsid w:val="004C0948"/>
    <w:rsid w:val="004C6639"/>
    <w:rsid w:val="004D3084"/>
    <w:rsid w:val="004D4D03"/>
    <w:rsid w:val="004F03E9"/>
    <w:rsid w:val="004F1B43"/>
    <w:rsid w:val="004F682F"/>
    <w:rsid w:val="00503EFC"/>
    <w:rsid w:val="005061E4"/>
    <w:rsid w:val="00507F41"/>
    <w:rsid w:val="00513949"/>
    <w:rsid w:val="005168D1"/>
    <w:rsid w:val="00517A67"/>
    <w:rsid w:val="00517A9F"/>
    <w:rsid w:val="00520EC5"/>
    <w:rsid w:val="005213D3"/>
    <w:rsid w:val="0052624B"/>
    <w:rsid w:val="00527D2B"/>
    <w:rsid w:val="005319E4"/>
    <w:rsid w:val="00531B02"/>
    <w:rsid w:val="00533E8B"/>
    <w:rsid w:val="00534832"/>
    <w:rsid w:val="00534E88"/>
    <w:rsid w:val="00546141"/>
    <w:rsid w:val="00547B70"/>
    <w:rsid w:val="005543DC"/>
    <w:rsid w:val="005553C5"/>
    <w:rsid w:val="00556317"/>
    <w:rsid w:val="00565D76"/>
    <w:rsid w:val="00566B6C"/>
    <w:rsid w:val="00575CB2"/>
    <w:rsid w:val="00575E6B"/>
    <w:rsid w:val="00585A6A"/>
    <w:rsid w:val="00585EA3"/>
    <w:rsid w:val="00590D81"/>
    <w:rsid w:val="00596655"/>
    <w:rsid w:val="005977CA"/>
    <w:rsid w:val="005A3171"/>
    <w:rsid w:val="005A5582"/>
    <w:rsid w:val="005B428F"/>
    <w:rsid w:val="005B70CE"/>
    <w:rsid w:val="005C5E54"/>
    <w:rsid w:val="005D437F"/>
    <w:rsid w:val="005E26CE"/>
    <w:rsid w:val="005E2BAF"/>
    <w:rsid w:val="005F75AD"/>
    <w:rsid w:val="0060049F"/>
    <w:rsid w:val="006014A0"/>
    <w:rsid w:val="006030C5"/>
    <w:rsid w:val="00610C7D"/>
    <w:rsid w:val="006122C3"/>
    <w:rsid w:val="00612F73"/>
    <w:rsid w:val="0061510A"/>
    <w:rsid w:val="00620712"/>
    <w:rsid w:val="00623CAE"/>
    <w:rsid w:val="006277DE"/>
    <w:rsid w:val="00627868"/>
    <w:rsid w:val="0063030B"/>
    <w:rsid w:val="0063441C"/>
    <w:rsid w:val="00635B00"/>
    <w:rsid w:val="0063639C"/>
    <w:rsid w:val="006375F2"/>
    <w:rsid w:val="00643057"/>
    <w:rsid w:val="00643692"/>
    <w:rsid w:val="00643E4E"/>
    <w:rsid w:val="006504F5"/>
    <w:rsid w:val="00660A84"/>
    <w:rsid w:val="006643D5"/>
    <w:rsid w:val="00665D70"/>
    <w:rsid w:val="006667D5"/>
    <w:rsid w:val="00667E51"/>
    <w:rsid w:val="006752E7"/>
    <w:rsid w:val="00685EE5"/>
    <w:rsid w:val="006923C1"/>
    <w:rsid w:val="00692654"/>
    <w:rsid w:val="00695FBC"/>
    <w:rsid w:val="006960CD"/>
    <w:rsid w:val="006A064B"/>
    <w:rsid w:val="006A1F8C"/>
    <w:rsid w:val="006A4C4D"/>
    <w:rsid w:val="006A5EDC"/>
    <w:rsid w:val="006B102A"/>
    <w:rsid w:val="006C48EC"/>
    <w:rsid w:val="006C5259"/>
    <w:rsid w:val="006C5E3A"/>
    <w:rsid w:val="006D310F"/>
    <w:rsid w:val="006D5353"/>
    <w:rsid w:val="006E1AA8"/>
    <w:rsid w:val="006E419A"/>
    <w:rsid w:val="006E5AC5"/>
    <w:rsid w:val="006F188C"/>
    <w:rsid w:val="00703498"/>
    <w:rsid w:val="007038FF"/>
    <w:rsid w:val="00722F13"/>
    <w:rsid w:val="007336A1"/>
    <w:rsid w:val="00741E2A"/>
    <w:rsid w:val="007449B9"/>
    <w:rsid w:val="007458C5"/>
    <w:rsid w:val="00752ECD"/>
    <w:rsid w:val="00763795"/>
    <w:rsid w:val="007715AB"/>
    <w:rsid w:val="00781DFF"/>
    <w:rsid w:val="00782360"/>
    <w:rsid w:val="0078784E"/>
    <w:rsid w:val="00790084"/>
    <w:rsid w:val="007A377A"/>
    <w:rsid w:val="007B0117"/>
    <w:rsid w:val="007B449F"/>
    <w:rsid w:val="007B5ACC"/>
    <w:rsid w:val="007B60DF"/>
    <w:rsid w:val="007B7713"/>
    <w:rsid w:val="007C1955"/>
    <w:rsid w:val="007C4C65"/>
    <w:rsid w:val="007C6E71"/>
    <w:rsid w:val="007C7989"/>
    <w:rsid w:val="007D45AA"/>
    <w:rsid w:val="007E0A1C"/>
    <w:rsid w:val="007F0BED"/>
    <w:rsid w:val="007F0D16"/>
    <w:rsid w:val="007F216D"/>
    <w:rsid w:val="00800447"/>
    <w:rsid w:val="00803D03"/>
    <w:rsid w:val="00806A9F"/>
    <w:rsid w:val="008169A2"/>
    <w:rsid w:val="008266CD"/>
    <w:rsid w:val="00826964"/>
    <w:rsid w:val="00831A2F"/>
    <w:rsid w:val="00843E00"/>
    <w:rsid w:val="008546BE"/>
    <w:rsid w:val="00857A6F"/>
    <w:rsid w:val="00867E84"/>
    <w:rsid w:val="00880310"/>
    <w:rsid w:val="008809E8"/>
    <w:rsid w:val="00881FC9"/>
    <w:rsid w:val="008844E4"/>
    <w:rsid w:val="00884A69"/>
    <w:rsid w:val="00891B79"/>
    <w:rsid w:val="0089612A"/>
    <w:rsid w:val="00896F91"/>
    <w:rsid w:val="008A5E97"/>
    <w:rsid w:val="008B40E3"/>
    <w:rsid w:val="008B6960"/>
    <w:rsid w:val="008D381D"/>
    <w:rsid w:val="008D6F93"/>
    <w:rsid w:val="008D739A"/>
    <w:rsid w:val="008E386B"/>
    <w:rsid w:val="008F418D"/>
    <w:rsid w:val="00905991"/>
    <w:rsid w:val="00911FAD"/>
    <w:rsid w:val="00916BBD"/>
    <w:rsid w:val="00920616"/>
    <w:rsid w:val="00921572"/>
    <w:rsid w:val="00926344"/>
    <w:rsid w:val="009307AE"/>
    <w:rsid w:val="00930BB8"/>
    <w:rsid w:val="00933BCE"/>
    <w:rsid w:val="0093567D"/>
    <w:rsid w:val="009506E5"/>
    <w:rsid w:val="00953674"/>
    <w:rsid w:val="0095465D"/>
    <w:rsid w:val="00960A96"/>
    <w:rsid w:val="00963076"/>
    <w:rsid w:val="0097553D"/>
    <w:rsid w:val="009842C7"/>
    <w:rsid w:val="00995437"/>
    <w:rsid w:val="009960AD"/>
    <w:rsid w:val="00996824"/>
    <w:rsid w:val="009A0F06"/>
    <w:rsid w:val="009A4297"/>
    <w:rsid w:val="009A7ECB"/>
    <w:rsid w:val="009B26CD"/>
    <w:rsid w:val="009B5D5C"/>
    <w:rsid w:val="009B7677"/>
    <w:rsid w:val="009C334D"/>
    <w:rsid w:val="009C471A"/>
    <w:rsid w:val="009F566D"/>
    <w:rsid w:val="009F6A28"/>
    <w:rsid w:val="009F71C6"/>
    <w:rsid w:val="00A02FE2"/>
    <w:rsid w:val="00A04AC3"/>
    <w:rsid w:val="00A10095"/>
    <w:rsid w:val="00A12929"/>
    <w:rsid w:val="00A134B2"/>
    <w:rsid w:val="00A13EDD"/>
    <w:rsid w:val="00A20DBA"/>
    <w:rsid w:val="00A20FFC"/>
    <w:rsid w:val="00A22168"/>
    <w:rsid w:val="00A22AC3"/>
    <w:rsid w:val="00A27462"/>
    <w:rsid w:val="00A4561B"/>
    <w:rsid w:val="00A47A38"/>
    <w:rsid w:val="00A513B3"/>
    <w:rsid w:val="00A56447"/>
    <w:rsid w:val="00A5777C"/>
    <w:rsid w:val="00A62BBB"/>
    <w:rsid w:val="00A63AA8"/>
    <w:rsid w:val="00A820FC"/>
    <w:rsid w:val="00A8621D"/>
    <w:rsid w:val="00A9201E"/>
    <w:rsid w:val="00A92C59"/>
    <w:rsid w:val="00AA46D1"/>
    <w:rsid w:val="00AB4F41"/>
    <w:rsid w:val="00AB71DE"/>
    <w:rsid w:val="00AC6505"/>
    <w:rsid w:val="00AD748A"/>
    <w:rsid w:val="00AE0A2A"/>
    <w:rsid w:val="00AF14A9"/>
    <w:rsid w:val="00AF290D"/>
    <w:rsid w:val="00AF2F98"/>
    <w:rsid w:val="00B11FDD"/>
    <w:rsid w:val="00B122D5"/>
    <w:rsid w:val="00B14CD1"/>
    <w:rsid w:val="00B204A5"/>
    <w:rsid w:val="00B2598B"/>
    <w:rsid w:val="00B275CD"/>
    <w:rsid w:val="00B314B2"/>
    <w:rsid w:val="00B37C0F"/>
    <w:rsid w:val="00B44BFE"/>
    <w:rsid w:val="00B45F3D"/>
    <w:rsid w:val="00B5032C"/>
    <w:rsid w:val="00B62140"/>
    <w:rsid w:val="00B63319"/>
    <w:rsid w:val="00B63399"/>
    <w:rsid w:val="00B72AA0"/>
    <w:rsid w:val="00B74ABB"/>
    <w:rsid w:val="00B75A60"/>
    <w:rsid w:val="00B865D4"/>
    <w:rsid w:val="00B86D72"/>
    <w:rsid w:val="00B877B1"/>
    <w:rsid w:val="00B900ED"/>
    <w:rsid w:val="00B937B7"/>
    <w:rsid w:val="00BC0414"/>
    <w:rsid w:val="00BC2136"/>
    <w:rsid w:val="00BD3762"/>
    <w:rsid w:val="00BD62C1"/>
    <w:rsid w:val="00BD67FE"/>
    <w:rsid w:val="00BD7327"/>
    <w:rsid w:val="00BE42CC"/>
    <w:rsid w:val="00BE65DA"/>
    <w:rsid w:val="00BF0397"/>
    <w:rsid w:val="00C10B14"/>
    <w:rsid w:val="00C13D0C"/>
    <w:rsid w:val="00C175F4"/>
    <w:rsid w:val="00C2414E"/>
    <w:rsid w:val="00C25B59"/>
    <w:rsid w:val="00C3760E"/>
    <w:rsid w:val="00C40E16"/>
    <w:rsid w:val="00C618B1"/>
    <w:rsid w:val="00C649F8"/>
    <w:rsid w:val="00C831E4"/>
    <w:rsid w:val="00C93382"/>
    <w:rsid w:val="00CA27DF"/>
    <w:rsid w:val="00CC1473"/>
    <w:rsid w:val="00CC7ED2"/>
    <w:rsid w:val="00CC7EFB"/>
    <w:rsid w:val="00CD535B"/>
    <w:rsid w:val="00CD7588"/>
    <w:rsid w:val="00CD7D09"/>
    <w:rsid w:val="00CE312D"/>
    <w:rsid w:val="00CE4FD7"/>
    <w:rsid w:val="00CF0797"/>
    <w:rsid w:val="00CF14C2"/>
    <w:rsid w:val="00CF42BF"/>
    <w:rsid w:val="00CF7264"/>
    <w:rsid w:val="00D0132B"/>
    <w:rsid w:val="00D057D0"/>
    <w:rsid w:val="00D060D8"/>
    <w:rsid w:val="00D14EA9"/>
    <w:rsid w:val="00D30455"/>
    <w:rsid w:val="00D319DC"/>
    <w:rsid w:val="00D37E2E"/>
    <w:rsid w:val="00D45D46"/>
    <w:rsid w:val="00D51EB7"/>
    <w:rsid w:val="00D57184"/>
    <w:rsid w:val="00D611DD"/>
    <w:rsid w:val="00D61FF9"/>
    <w:rsid w:val="00D6493A"/>
    <w:rsid w:val="00D66EEE"/>
    <w:rsid w:val="00D6750F"/>
    <w:rsid w:val="00D712D2"/>
    <w:rsid w:val="00D749E7"/>
    <w:rsid w:val="00D7748F"/>
    <w:rsid w:val="00D87097"/>
    <w:rsid w:val="00D91790"/>
    <w:rsid w:val="00D93B38"/>
    <w:rsid w:val="00DA40B6"/>
    <w:rsid w:val="00DA75CC"/>
    <w:rsid w:val="00DA76A2"/>
    <w:rsid w:val="00DB5823"/>
    <w:rsid w:val="00DC3ED7"/>
    <w:rsid w:val="00DC7F93"/>
    <w:rsid w:val="00DD26CF"/>
    <w:rsid w:val="00DD6627"/>
    <w:rsid w:val="00DD7D8F"/>
    <w:rsid w:val="00E045EE"/>
    <w:rsid w:val="00E052DD"/>
    <w:rsid w:val="00E066DC"/>
    <w:rsid w:val="00E120EF"/>
    <w:rsid w:val="00E21D3E"/>
    <w:rsid w:val="00E23A2E"/>
    <w:rsid w:val="00E23C23"/>
    <w:rsid w:val="00E45F0B"/>
    <w:rsid w:val="00E4657E"/>
    <w:rsid w:val="00E50216"/>
    <w:rsid w:val="00E53B4F"/>
    <w:rsid w:val="00E543E4"/>
    <w:rsid w:val="00E56DE2"/>
    <w:rsid w:val="00E71E3D"/>
    <w:rsid w:val="00E861E3"/>
    <w:rsid w:val="00E87FAF"/>
    <w:rsid w:val="00E90DBB"/>
    <w:rsid w:val="00E948F0"/>
    <w:rsid w:val="00E96DDE"/>
    <w:rsid w:val="00EA20B8"/>
    <w:rsid w:val="00EA4059"/>
    <w:rsid w:val="00EA541F"/>
    <w:rsid w:val="00EB6747"/>
    <w:rsid w:val="00EC19A8"/>
    <w:rsid w:val="00ED013D"/>
    <w:rsid w:val="00ED4DF4"/>
    <w:rsid w:val="00EE1F8F"/>
    <w:rsid w:val="00EE2925"/>
    <w:rsid w:val="00EF4389"/>
    <w:rsid w:val="00EF5357"/>
    <w:rsid w:val="00F018EB"/>
    <w:rsid w:val="00F02185"/>
    <w:rsid w:val="00F039D7"/>
    <w:rsid w:val="00F0700A"/>
    <w:rsid w:val="00F10F4F"/>
    <w:rsid w:val="00F154D3"/>
    <w:rsid w:val="00F211CE"/>
    <w:rsid w:val="00F257E3"/>
    <w:rsid w:val="00F260D9"/>
    <w:rsid w:val="00F27ECA"/>
    <w:rsid w:val="00F3142E"/>
    <w:rsid w:val="00F45376"/>
    <w:rsid w:val="00F46978"/>
    <w:rsid w:val="00F635D3"/>
    <w:rsid w:val="00F731EB"/>
    <w:rsid w:val="00F740E2"/>
    <w:rsid w:val="00F92639"/>
    <w:rsid w:val="00FA2F8A"/>
    <w:rsid w:val="00FB267F"/>
    <w:rsid w:val="00FB492A"/>
    <w:rsid w:val="00FB7317"/>
    <w:rsid w:val="00FC1828"/>
    <w:rsid w:val="00FC1CF2"/>
    <w:rsid w:val="00FD2480"/>
    <w:rsid w:val="00FD7138"/>
    <w:rsid w:val="00FE37FF"/>
    <w:rsid w:val="00FF7F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7C7D137E"/>
  <w15:docId w15:val="{44B956E7-79D5-47A4-9B42-CA015934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uiPriority="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1"/>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665D70"/>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665D70"/>
    <w:pPr>
      <w:keepNext/>
      <w:spacing w:after="200" w:line="260" w:lineRule="exact"/>
      <w:outlineLvl w:val="4"/>
    </w:pPr>
    <w:rPr>
      <w:b/>
      <w:bCs/>
      <w:iCs/>
      <w:sz w:val="26"/>
      <w:szCs w:val="26"/>
    </w:rPr>
  </w:style>
  <w:style w:type="paragraph" w:styleId="Heading6">
    <w:name w:val="heading 6"/>
    <w:basedOn w:val="Heading5"/>
    <w:next w:val="ParaLevel1"/>
    <w:uiPriority w:val="3"/>
    <w:qFormat/>
    <w:rsid w:val="00665D70"/>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752ECD"/>
    <w:pPr>
      <w:keepLines/>
      <w:spacing w:line="160" w:lineRule="exact"/>
      <w:ind w:left="284" w:hanging="284"/>
    </w:pPr>
    <w:rPr>
      <w:sz w:val="16"/>
    </w:rPr>
  </w:style>
  <w:style w:type="paragraph" w:customStyle="1" w:styleId="ListBullet">
    <w:name w:val="ListBullet"/>
    <w:basedOn w:val="ParaPlain"/>
    <w:uiPriority w:val="2"/>
    <w:qFormat/>
    <w:rsid w:val="00AE0A2A"/>
    <w:pPr>
      <w:numPr>
        <w:numId w:val="2"/>
      </w:numPr>
      <w:ind w:left="1418"/>
      <w:outlineLvl w:val="0"/>
    </w:pPr>
  </w:style>
  <w:style w:type="paragraph" w:customStyle="1" w:styleId="ParaLevel1">
    <w:name w:val="ParaLevel1"/>
    <w:basedOn w:val="ParaPlain"/>
    <w:uiPriority w:val="1"/>
    <w:qFormat/>
    <w:rsid w:val="00B937B7"/>
    <w:pPr>
      <w:numPr>
        <w:numId w:val="6"/>
      </w:numPr>
    </w:pPr>
  </w:style>
  <w:style w:type="paragraph" w:customStyle="1" w:styleId="ParaLevel2">
    <w:name w:val="ParaLevel2"/>
    <w:basedOn w:val="ParaPlain"/>
    <w:uiPriority w:val="1"/>
    <w:rsid w:val="00B937B7"/>
    <w:pPr>
      <w:numPr>
        <w:ilvl w:val="1"/>
        <w:numId w:val="6"/>
      </w:numPr>
    </w:pPr>
  </w:style>
  <w:style w:type="paragraph" w:customStyle="1" w:styleId="ParaLevel3">
    <w:name w:val="ParaLevel3"/>
    <w:basedOn w:val="ParaPlain"/>
    <w:uiPriority w:val="1"/>
    <w:rsid w:val="00B937B7"/>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665D70"/>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665D70"/>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99"/>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B937B7"/>
    <w:pPr>
      <w:numPr>
        <w:numId w:val="4"/>
      </w:numPr>
      <w:outlineLvl w:val="0"/>
    </w:pPr>
  </w:style>
  <w:style w:type="paragraph" w:customStyle="1" w:styleId="ContentsItem">
    <w:name w:val="ContentsItem"/>
    <w:basedOn w:val="Normal"/>
    <w:semiHidden/>
    <w:rsid w:val="002D5EC1"/>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33215A"/>
    <w:rPr>
      <w:sz w:val="22"/>
      <w:vertAlign w:val="superscript"/>
    </w:rPr>
  </w:style>
  <w:style w:type="paragraph" w:customStyle="1" w:styleId="ListBullet2">
    <w:name w:val="ListBullet2"/>
    <w:basedOn w:val="ParaPlain"/>
    <w:uiPriority w:val="2"/>
    <w:rsid w:val="00AE0A2A"/>
    <w:pPr>
      <w:numPr>
        <w:ilvl w:val="1"/>
        <w:numId w:val="2"/>
      </w:numPr>
      <w:ind w:left="2127"/>
      <w:outlineLvl w:val="1"/>
    </w:pPr>
  </w:style>
  <w:style w:type="paragraph" w:customStyle="1" w:styleId="ListBullet3">
    <w:name w:val="ListBullet3"/>
    <w:basedOn w:val="ParaPlain"/>
    <w:uiPriority w:val="2"/>
    <w:rsid w:val="00AE0A2A"/>
    <w:pPr>
      <w:numPr>
        <w:ilvl w:val="2"/>
        <w:numId w:val="2"/>
      </w:numPr>
      <w:ind w:left="2835"/>
      <w:outlineLvl w:val="2"/>
    </w:pPr>
  </w:style>
  <w:style w:type="paragraph" w:customStyle="1" w:styleId="ListBullet4">
    <w:name w:val="ListBullet4"/>
    <w:basedOn w:val="ParaPlain"/>
    <w:uiPriority w:val="2"/>
    <w:rsid w:val="00AE0A2A"/>
    <w:pPr>
      <w:numPr>
        <w:ilvl w:val="3"/>
        <w:numId w:val="2"/>
      </w:numPr>
      <w:ind w:left="3544"/>
      <w:outlineLvl w:val="3"/>
    </w:pPr>
  </w:style>
  <w:style w:type="paragraph" w:customStyle="1" w:styleId="AParaLevel2">
    <w:name w:val="AParaLevel2"/>
    <w:basedOn w:val="ParaPlain"/>
    <w:uiPriority w:val="2"/>
    <w:rsid w:val="00B937B7"/>
    <w:pPr>
      <w:numPr>
        <w:ilvl w:val="1"/>
        <w:numId w:val="4"/>
      </w:numPr>
      <w:outlineLvl w:val="1"/>
    </w:pPr>
  </w:style>
  <w:style w:type="paragraph" w:customStyle="1" w:styleId="AParaLevel3">
    <w:name w:val="AParaLevel3"/>
    <w:basedOn w:val="ParaPlain"/>
    <w:uiPriority w:val="2"/>
    <w:rsid w:val="00B937B7"/>
    <w:pPr>
      <w:numPr>
        <w:ilvl w:val="2"/>
        <w:numId w:val="4"/>
      </w:numPr>
      <w:outlineLvl w:val="2"/>
    </w:pPr>
  </w:style>
  <w:style w:type="paragraph" w:customStyle="1" w:styleId="AppendixTop">
    <w:name w:val="AppendixTop"/>
    <w:basedOn w:val="Normal"/>
    <w:uiPriority w:val="5"/>
    <w:rsid w:val="00665D70"/>
    <w:pPr>
      <w:spacing w:after="200" w:line="260" w:lineRule="exact"/>
      <w:jc w:val="right"/>
    </w:pPr>
    <w:rPr>
      <w:b/>
      <w:sz w:val="26"/>
    </w:rPr>
  </w:style>
  <w:style w:type="paragraph" w:customStyle="1" w:styleId="AppendixRef">
    <w:name w:val="AppendixRef"/>
    <w:basedOn w:val="AppendixTop"/>
    <w:uiPriority w:val="5"/>
    <w:rsid w:val="00665D70"/>
    <w:rPr>
      <w:b w:val="0"/>
      <w:sz w:val="18"/>
    </w:rPr>
  </w:style>
  <w:style w:type="paragraph" w:customStyle="1" w:styleId="AusParaLevel1">
    <w:name w:val="AusParaLevel1"/>
    <w:basedOn w:val="ParaPlain"/>
    <w:uiPriority w:val="4"/>
    <w:rsid w:val="00B937B7"/>
    <w:pPr>
      <w:ind w:left="1418" w:hanging="1418"/>
    </w:pPr>
  </w:style>
  <w:style w:type="paragraph" w:customStyle="1" w:styleId="AusParaLevel2">
    <w:name w:val="AusParaLevel2"/>
    <w:basedOn w:val="AusParaLevel1"/>
    <w:uiPriority w:val="4"/>
    <w:rsid w:val="00B937B7"/>
    <w:pPr>
      <w:ind w:left="2127" w:hanging="709"/>
    </w:pPr>
  </w:style>
  <w:style w:type="paragraph" w:customStyle="1" w:styleId="AusParaLevel3">
    <w:name w:val="AusParaLevel3"/>
    <w:basedOn w:val="AusParaLevel2"/>
    <w:uiPriority w:val="4"/>
    <w:rsid w:val="00B937B7"/>
    <w:pPr>
      <w:ind w:left="2835"/>
    </w:pPr>
  </w:style>
  <w:style w:type="character" w:customStyle="1" w:styleId="RefParas">
    <w:name w:val="RefParas"/>
    <w:basedOn w:val="DefaultParagraphFont"/>
    <w:uiPriority w:val="4"/>
    <w:rsid w:val="00665D70"/>
    <w:rPr>
      <w:rFonts w:ascii="Times New Roman" w:hAnsi="Times New Roman"/>
      <w:b w:val="0"/>
      <w:i w:val="0"/>
      <w:sz w:val="18"/>
    </w:rPr>
  </w:style>
  <w:style w:type="paragraph" w:styleId="TOC1">
    <w:name w:val="toc 1"/>
    <w:basedOn w:val="Normal"/>
    <w:next w:val="Normal"/>
    <w:autoRedefine/>
    <w:uiPriority w:val="39"/>
    <w:rsid w:val="00665D70"/>
    <w:pPr>
      <w:tabs>
        <w:tab w:val="left" w:leader="dot" w:pos="7655"/>
        <w:tab w:val="right" w:pos="9072"/>
      </w:tabs>
      <w:spacing w:before="120"/>
      <w:ind w:left="142" w:right="1417" w:hanging="142"/>
    </w:pPr>
    <w:rPr>
      <w:b/>
    </w:rPr>
  </w:style>
  <w:style w:type="paragraph" w:styleId="TOC2">
    <w:name w:val="toc 2"/>
    <w:basedOn w:val="Normal"/>
    <w:next w:val="Normal"/>
    <w:autoRedefine/>
    <w:uiPriority w:val="39"/>
    <w:rsid w:val="00E45F0B"/>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B937B7"/>
    <w:pPr>
      <w:numPr>
        <w:numId w:val="4"/>
      </w:numPr>
    </w:pPr>
  </w:style>
  <w:style w:type="numbering" w:customStyle="1" w:styleId="AUASBParaLevels">
    <w:name w:val="AUASBParaLevels"/>
    <w:uiPriority w:val="99"/>
    <w:rsid w:val="00B937B7"/>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EA20B8"/>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styleId="BalloonText">
    <w:name w:val="Balloon Text"/>
    <w:basedOn w:val="Normal"/>
    <w:link w:val="BalloonTextChar"/>
    <w:semiHidden/>
    <w:rsid w:val="009F6A2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6A28"/>
    <w:rPr>
      <w:rFonts w:ascii="Tahoma" w:hAnsi="Tahoma" w:cs="Tahoma"/>
      <w:sz w:val="16"/>
      <w:szCs w:val="16"/>
      <w:lang w:eastAsia="en-US"/>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665D70"/>
    <w:pPr>
      <w:keepNext/>
      <w:spacing w:after="200" w:line="260" w:lineRule="exact"/>
      <w:jc w:val="center"/>
    </w:pPr>
    <w:rPr>
      <w:b/>
      <w:caps/>
      <w:sz w:val="26"/>
      <w:szCs w:val="24"/>
    </w:rPr>
  </w:style>
  <w:style w:type="paragraph" w:customStyle="1" w:styleId="TableHeading">
    <w:name w:val="TableHeading"/>
    <w:basedOn w:val="Normal"/>
    <w:uiPriority w:val="5"/>
    <w:qFormat/>
    <w:rsid w:val="00610C7D"/>
    <w:pPr>
      <w:spacing w:before="60" w:after="60" w:line="240" w:lineRule="auto"/>
    </w:pPr>
    <w:rPr>
      <w:b/>
      <w:szCs w:val="24"/>
      <w:lang w:eastAsia="en-AU"/>
    </w:rPr>
  </w:style>
  <w:style w:type="paragraph" w:customStyle="1" w:styleId="TableRow">
    <w:name w:val="TableRow"/>
    <w:basedOn w:val="Normal"/>
    <w:uiPriority w:val="5"/>
    <w:qFormat/>
    <w:rsid w:val="00610C7D"/>
    <w:pPr>
      <w:spacing w:before="60" w:after="60" w:line="240" w:lineRule="auto"/>
    </w:pPr>
    <w:rPr>
      <w:szCs w:val="24"/>
      <w:lang w:eastAsia="en-AU"/>
    </w:rPr>
  </w:style>
  <w:style w:type="paragraph" w:customStyle="1" w:styleId="ParaIndent">
    <w:name w:val="ParaIndent"/>
    <w:basedOn w:val="ParaPlain"/>
    <w:uiPriority w:val="1"/>
    <w:qFormat/>
    <w:rsid w:val="00916BBD"/>
    <w:pPr>
      <w:ind w:left="709"/>
    </w:pPr>
    <w:rPr>
      <w:szCs w:val="24"/>
    </w:rPr>
  </w:style>
  <w:style w:type="paragraph" w:customStyle="1" w:styleId="TableLevel1">
    <w:name w:val="TableLevel1"/>
    <w:basedOn w:val="ParaPlain"/>
    <w:link w:val="TableLevel1Char"/>
    <w:uiPriority w:val="6"/>
    <w:qFormat/>
    <w:rsid w:val="00B937B7"/>
    <w:pPr>
      <w:numPr>
        <w:numId w:val="7"/>
      </w:numPr>
    </w:pPr>
  </w:style>
  <w:style w:type="character" w:customStyle="1" w:styleId="TableLevel1Char">
    <w:name w:val="TableLevel1 Char"/>
    <w:basedOn w:val="ParaPlainChar"/>
    <w:link w:val="TableLevel1"/>
    <w:uiPriority w:val="6"/>
    <w:rsid w:val="00B937B7"/>
    <w:rPr>
      <w:sz w:val="22"/>
      <w:lang w:eastAsia="en-US"/>
    </w:rPr>
  </w:style>
  <w:style w:type="paragraph" w:customStyle="1" w:styleId="TableLevel2">
    <w:name w:val="TableLevel2"/>
    <w:basedOn w:val="ParaPlain"/>
    <w:link w:val="TableLevel2Char"/>
    <w:uiPriority w:val="6"/>
    <w:qFormat/>
    <w:rsid w:val="00B937B7"/>
    <w:pPr>
      <w:numPr>
        <w:ilvl w:val="1"/>
        <w:numId w:val="7"/>
      </w:numPr>
    </w:pPr>
  </w:style>
  <w:style w:type="character" w:customStyle="1" w:styleId="TableLevel2Char">
    <w:name w:val="TableLevel2 Char"/>
    <w:basedOn w:val="ParaPlainChar"/>
    <w:link w:val="TableLevel2"/>
    <w:uiPriority w:val="6"/>
    <w:rsid w:val="00B937B7"/>
    <w:rPr>
      <w:sz w:val="22"/>
      <w:lang w:eastAsia="en-US"/>
    </w:rPr>
  </w:style>
  <w:style w:type="paragraph" w:customStyle="1" w:styleId="TableLevel3">
    <w:name w:val="TableLevel3"/>
    <w:basedOn w:val="ParaPlain"/>
    <w:link w:val="TableLevel3Char"/>
    <w:uiPriority w:val="6"/>
    <w:qFormat/>
    <w:rsid w:val="00B937B7"/>
    <w:pPr>
      <w:numPr>
        <w:ilvl w:val="2"/>
        <w:numId w:val="7"/>
      </w:numPr>
    </w:pPr>
  </w:style>
  <w:style w:type="character" w:customStyle="1" w:styleId="TableLevel3Char">
    <w:name w:val="TableLevel3 Char"/>
    <w:basedOn w:val="ParaPlainChar"/>
    <w:link w:val="TableLevel3"/>
    <w:uiPriority w:val="6"/>
    <w:rsid w:val="00B937B7"/>
    <w:rPr>
      <w:sz w:val="22"/>
      <w:lang w:eastAsia="en-US"/>
    </w:rPr>
  </w:style>
  <w:style w:type="numbering" w:customStyle="1" w:styleId="TableNumbers">
    <w:name w:val="TableNumbers"/>
    <w:uiPriority w:val="99"/>
    <w:rsid w:val="00B937B7"/>
    <w:pPr>
      <w:numPr>
        <w:numId w:val="7"/>
      </w:numPr>
    </w:pPr>
  </w:style>
  <w:style w:type="paragraph" w:customStyle="1" w:styleId="AParaLevel4">
    <w:name w:val="AParaLevel4"/>
    <w:basedOn w:val="AParaLevel3"/>
    <w:uiPriority w:val="2"/>
    <w:qFormat/>
    <w:rsid w:val="00B937B7"/>
    <w:pPr>
      <w:numPr>
        <w:ilvl w:val="0"/>
        <w:numId w:val="0"/>
      </w:numPr>
    </w:pPr>
  </w:style>
  <w:style w:type="paragraph" w:customStyle="1" w:styleId="AusParaLevel4">
    <w:name w:val="AusParaLevel4"/>
    <w:basedOn w:val="AusParaLevel3"/>
    <w:uiPriority w:val="4"/>
    <w:qFormat/>
    <w:rsid w:val="00B937B7"/>
    <w:pPr>
      <w:ind w:left="3544"/>
    </w:pPr>
  </w:style>
  <w:style w:type="paragraph" w:customStyle="1" w:styleId="ParaLevel4">
    <w:name w:val="ParaLevel4"/>
    <w:basedOn w:val="ParaLevel3"/>
    <w:uiPriority w:val="1"/>
    <w:qFormat/>
    <w:rsid w:val="00B937B7"/>
    <w:pPr>
      <w:numPr>
        <w:ilvl w:val="3"/>
        <w:numId w:val="5"/>
      </w:numPr>
    </w:pPr>
  </w:style>
  <w:style w:type="paragraph" w:customStyle="1" w:styleId="TableLevel4">
    <w:name w:val="TableLevel4"/>
    <w:basedOn w:val="TableLevel3"/>
    <w:uiPriority w:val="6"/>
    <w:qFormat/>
    <w:rsid w:val="00B937B7"/>
    <w:pPr>
      <w:numPr>
        <w:ilvl w:val="3"/>
      </w:numPr>
    </w:pPr>
  </w:style>
  <w:style w:type="paragraph" w:customStyle="1" w:styleId="NumPlainA">
    <w:name w:val="Num PlainA"/>
    <w:basedOn w:val="Normal"/>
    <w:rsid w:val="00B275CD"/>
    <w:pPr>
      <w:numPr>
        <w:numId w:val="8"/>
      </w:numPr>
      <w:tabs>
        <w:tab w:val="clear" w:pos="510"/>
      </w:tabs>
      <w:spacing w:after="200" w:line="200" w:lineRule="exact"/>
      <w:ind w:left="709" w:firstLine="0"/>
      <w:outlineLvl w:val="0"/>
    </w:pPr>
    <w:rPr>
      <w:sz w:val="20"/>
    </w:rPr>
  </w:style>
  <w:style w:type="paragraph" w:customStyle="1" w:styleId="NumPlainA2">
    <w:name w:val="Num PlainA2"/>
    <w:basedOn w:val="NumPlainA"/>
    <w:rsid w:val="00B275CD"/>
    <w:pPr>
      <w:numPr>
        <w:ilvl w:val="1"/>
      </w:numPr>
      <w:outlineLvl w:val="1"/>
    </w:pPr>
  </w:style>
  <w:style w:type="character" w:customStyle="1" w:styleId="Heading5Char">
    <w:name w:val="Heading 5 Char"/>
    <w:basedOn w:val="DefaultParagraphFont"/>
    <w:link w:val="Heading5"/>
    <w:uiPriority w:val="3"/>
    <w:rsid w:val="000F5885"/>
    <w:rPr>
      <w:b/>
      <w:bCs/>
      <w:iCs/>
      <w:sz w:val="26"/>
      <w:szCs w:val="26"/>
      <w:lang w:eastAsia="en-US"/>
    </w:rPr>
  </w:style>
  <w:style w:type="character" w:styleId="PlaceholderText">
    <w:name w:val="Placeholder Text"/>
    <w:basedOn w:val="DefaultParagraphFont"/>
    <w:uiPriority w:val="99"/>
    <w:semiHidden/>
    <w:rsid w:val="000F7563"/>
    <w:rPr>
      <w:color w:val="666666"/>
    </w:rPr>
  </w:style>
  <w:style w:type="character" w:styleId="CommentReference">
    <w:name w:val="annotation reference"/>
    <w:basedOn w:val="DefaultParagraphFont"/>
    <w:semiHidden/>
    <w:unhideWhenUsed/>
    <w:rsid w:val="00A56447"/>
    <w:rPr>
      <w:sz w:val="16"/>
      <w:szCs w:val="16"/>
    </w:rPr>
  </w:style>
  <w:style w:type="paragraph" w:styleId="CommentText">
    <w:name w:val="annotation text"/>
    <w:basedOn w:val="Normal"/>
    <w:link w:val="CommentTextChar"/>
    <w:unhideWhenUsed/>
    <w:rsid w:val="00A56447"/>
    <w:pPr>
      <w:spacing w:line="240" w:lineRule="auto"/>
    </w:pPr>
    <w:rPr>
      <w:kern w:val="2"/>
      <w:sz w:val="20"/>
      <w:lang w:eastAsia="en-AU"/>
      <w14:ligatures w14:val="standardContextual"/>
    </w:rPr>
  </w:style>
  <w:style w:type="character" w:customStyle="1" w:styleId="CommentTextChar">
    <w:name w:val="Comment Text Char"/>
    <w:basedOn w:val="DefaultParagraphFont"/>
    <w:link w:val="CommentText"/>
    <w:rsid w:val="00A56447"/>
    <w:rPr>
      <w:kern w:val="2"/>
      <w14:ligatures w14:val="standardContextual"/>
    </w:rPr>
  </w:style>
  <w:style w:type="paragraph" w:styleId="TOC3">
    <w:name w:val="toc 3"/>
    <w:basedOn w:val="Normal"/>
    <w:next w:val="Normal"/>
    <w:autoRedefine/>
    <w:uiPriority w:val="39"/>
    <w:unhideWhenUsed/>
    <w:rsid w:val="00A47A38"/>
    <w:pPr>
      <w:spacing w:after="100"/>
      <w:ind w:left="440"/>
    </w:pPr>
  </w:style>
  <w:style w:type="paragraph" w:styleId="CommentSubject">
    <w:name w:val="annotation subject"/>
    <w:basedOn w:val="CommentText"/>
    <w:next w:val="CommentText"/>
    <w:link w:val="CommentSubjectChar"/>
    <w:semiHidden/>
    <w:unhideWhenUsed/>
    <w:rsid w:val="000D42CB"/>
    <w:rPr>
      <w:b/>
      <w:bCs/>
      <w:kern w:val="0"/>
      <w:lang w:eastAsia="en-US"/>
      <w14:ligatures w14:val="none"/>
    </w:rPr>
  </w:style>
  <w:style w:type="character" w:customStyle="1" w:styleId="CommentSubjectChar">
    <w:name w:val="Comment Subject Char"/>
    <w:basedOn w:val="CommentTextChar"/>
    <w:link w:val="CommentSubject"/>
    <w:semiHidden/>
    <w:rsid w:val="000D42CB"/>
    <w:rPr>
      <w:b/>
      <w:bCs/>
      <w:kern w:val="2"/>
      <w:lang w:eastAsia="en-US"/>
      <w14:ligatures w14:val="standardContextual"/>
    </w:rPr>
  </w:style>
  <w:style w:type="paragraph" w:styleId="Revision">
    <w:name w:val="Revision"/>
    <w:hidden/>
    <w:uiPriority w:val="99"/>
    <w:semiHidden/>
    <w:rsid w:val="00397085"/>
    <w:rPr>
      <w:sz w:val="22"/>
      <w:lang w:eastAsia="en-US"/>
    </w:rPr>
  </w:style>
  <w:style w:type="paragraph" w:styleId="TOCHeading">
    <w:name w:val="TOC Heading"/>
    <w:basedOn w:val="Heading1"/>
    <w:next w:val="Normal"/>
    <w:uiPriority w:val="39"/>
    <w:unhideWhenUsed/>
    <w:qFormat/>
    <w:rsid w:val="00BD62C1"/>
    <w:pPr>
      <w:keepLines/>
      <w:spacing w:before="240" w:after="0" w:line="259" w:lineRule="auto"/>
      <w:jc w:val="left"/>
      <w:outlineLvl w:val="9"/>
    </w:pPr>
    <w:rPr>
      <w:rFonts w:asciiTheme="majorHAnsi" w:eastAsiaTheme="majorEastAsia" w:hAnsiTheme="majorHAnsi" w:cstheme="majorBidi"/>
      <w:bCs w:val="0"/>
      <w:caps w:val="0"/>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026C5D5-46A5-456D-8E07-7047E32B9769}"/>
      </w:docPartPr>
      <w:docPartBody>
        <w:p w:rsidR="00EB1399" w:rsidRDefault="000005F7">
          <w:r w:rsidRPr="00D311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F7"/>
    <w:rsid w:val="000005F7"/>
    <w:rsid w:val="0019080F"/>
    <w:rsid w:val="001A1D21"/>
    <w:rsid w:val="001F4083"/>
    <w:rsid w:val="00314AF8"/>
    <w:rsid w:val="003B28F1"/>
    <w:rsid w:val="004063B4"/>
    <w:rsid w:val="00465F73"/>
    <w:rsid w:val="00466805"/>
    <w:rsid w:val="00513949"/>
    <w:rsid w:val="005338D7"/>
    <w:rsid w:val="005E26CE"/>
    <w:rsid w:val="006D5353"/>
    <w:rsid w:val="00741E2A"/>
    <w:rsid w:val="007B7713"/>
    <w:rsid w:val="008266CD"/>
    <w:rsid w:val="00862947"/>
    <w:rsid w:val="00891B79"/>
    <w:rsid w:val="008D6F93"/>
    <w:rsid w:val="008F6385"/>
    <w:rsid w:val="009A0F06"/>
    <w:rsid w:val="00A27462"/>
    <w:rsid w:val="00BB0391"/>
    <w:rsid w:val="00C13D0C"/>
    <w:rsid w:val="00C7305E"/>
    <w:rsid w:val="00C831E4"/>
    <w:rsid w:val="00D3036F"/>
    <w:rsid w:val="00E412D7"/>
    <w:rsid w:val="00E6393A"/>
    <w:rsid w:val="00EB1399"/>
    <w:rsid w:val="00EF0FF6"/>
    <w:rsid w:val="00F10F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5F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0F71-A7BC-4090-9295-9B6F21011417}">
  <ds:schemaRefs>
    <ds:schemaRef ds:uri="http://schemas.microsoft.com/sharepoint/v3/contenttype/forms"/>
  </ds:schemaRefs>
</ds:datastoreItem>
</file>

<file path=customXml/itemProps2.xml><?xml version="1.0" encoding="utf-8"?>
<ds:datastoreItem xmlns:ds="http://schemas.openxmlformats.org/officeDocument/2006/customXml" ds:itemID="{4A664956-2E8F-496C-9643-C51711A5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12C5F-4C16-4809-B1A5-F369FE98F79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4.xml><?xml version="1.0" encoding="utf-8"?>
<ds:datastoreItem xmlns:ds="http://schemas.openxmlformats.org/officeDocument/2006/customXml" ds:itemID="{890B1A9D-6695-435D-B63F-75D0C8C4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145</TotalTime>
  <Pages>11</Pages>
  <Words>2004</Words>
  <Characters>11522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Auditing Standard</vt:lpstr>
    </vt:vector>
  </TitlesOfParts>
  <Company>AUABS</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Standard</dc:title>
  <dc:subject/>
  <dc:creator>Rebecca Mattocks</dc:creator>
  <cp:keywords/>
  <dc:description/>
  <cp:lastModifiedBy>See Wen Ewe</cp:lastModifiedBy>
  <cp:revision>22</cp:revision>
  <cp:lastPrinted>2025-01-22T09:57:00Z</cp:lastPrinted>
  <dcterms:created xsi:type="dcterms:W3CDTF">2025-01-29T23:39:00Z</dcterms:created>
  <dcterms:modified xsi:type="dcterms:W3CDTF">2025-02-10T05:39:00Z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829eaa24-1aaa-441e-9f6e-aefe3bbf6d87</vt:lpwstr>
  </property>
  <property fmtid="{D5CDD505-2E9C-101B-9397-08002B2CF9AE}" pid="4" name="MediaServiceImageTags">
    <vt:lpwstr/>
  </property>
  <property fmtid="{D5CDD505-2E9C-101B-9397-08002B2CF9AE}" pid="5" name="SecurityClassification">
    <vt:lpwstr>Official</vt:lpwstr>
  </property>
</Properties>
</file>