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1F" w14:textId="77777777" w:rsidR="00FA6784" w:rsidRPr="00570AA2" w:rsidRDefault="00FA6784" w:rsidP="00FA6784">
      <w:pPr>
        <w:pStyle w:val="H3"/>
        <w:jc w:val="center"/>
        <w:rPr>
          <w:sz w:val="24"/>
          <w:szCs w:val="24"/>
        </w:rPr>
      </w:pPr>
      <w:r w:rsidRPr="00570AA2">
        <w:rPr>
          <w:sz w:val="24"/>
          <w:szCs w:val="24"/>
        </w:rPr>
        <w:t>EXPLANATORY STATEMENT</w:t>
      </w:r>
    </w:p>
    <w:p w14:paraId="5BE83832" w14:textId="77777777" w:rsidR="00C23B22" w:rsidRPr="00570AA2" w:rsidRDefault="00C23B22" w:rsidP="0055529B">
      <w:pPr>
        <w:jc w:val="center"/>
        <w:rPr>
          <w:i/>
          <w:iCs/>
          <w:sz w:val="20"/>
        </w:rPr>
      </w:pPr>
    </w:p>
    <w:p w14:paraId="76C0AB94" w14:textId="77777777" w:rsidR="00C23B22" w:rsidRPr="00570AA2" w:rsidRDefault="00C23B22" w:rsidP="00C23B22">
      <w:pPr>
        <w:jc w:val="center"/>
        <w:rPr>
          <w:i/>
          <w:iCs/>
        </w:rPr>
      </w:pPr>
      <w:r w:rsidRPr="00570AA2">
        <w:rPr>
          <w:i/>
          <w:iCs/>
        </w:rPr>
        <w:t>Health Insurance Act 1973</w:t>
      </w:r>
    </w:p>
    <w:p w14:paraId="58834FAA" w14:textId="3584F477" w:rsidR="00C23B22" w:rsidRPr="00570AA2" w:rsidRDefault="00C23B22" w:rsidP="6270D379"/>
    <w:p w14:paraId="4094132F" w14:textId="4ACCC7F5" w:rsidR="76A989BF" w:rsidRPr="00570AA2" w:rsidRDefault="0055529B" w:rsidP="6270D379">
      <w:pPr>
        <w:ind w:right="84"/>
        <w:jc w:val="center"/>
        <w:rPr>
          <w:i/>
          <w:iCs/>
        </w:rPr>
      </w:pPr>
      <w:r w:rsidRPr="00570AA2">
        <w:rPr>
          <w:i/>
          <w:iCs/>
        </w:rPr>
        <w:t>Health Insurance (Section 3C Pathology Services – Respiratory Pathogen Testing) Repeal Determination 2025</w:t>
      </w:r>
    </w:p>
    <w:p w14:paraId="0BB0D788" w14:textId="76871F34" w:rsidR="6270D379" w:rsidRPr="00570AA2" w:rsidRDefault="6270D379" w:rsidP="6270D379">
      <w:pPr>
        <w:tabs>
          <w:tab w:val="left" w:pos="1008"/>
          <w:tab w:val="left" w:pos="2160"/>
          <w:tab w:val="left" w:pos="3312"/>
          <w:tab w:val="left" w:pos="4464"/>
          <w:tab w:val="left" w:pos="5616"/>
          <w:tab w:val="left" w:pos="6768"/>
          <w:tab w:val="left" w:pos="7920"/>
          <w:tab w:val="left" w:pos="9072"/>
          <w:tab w:val="right" w:pos="9504"/>
        </w:tabs>
        <w:spacing w:line="279" w:lineRule="exact"/>
      </w:pPr>
    </w:p>
    <w:p w14:paraId="1A492DA3" w14:textId="4B80FDAB" w:rsidR="00C23B22" w:rsidRPr="00570AA2"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570AA2">
        <w:rPr>
          <w:shd w:val="clear" w:color="auto" w:fill="FFFFFF"/>
        </w:rPr>
        <w:t>Subsection 3</w:t>
      </w:r>
      <w:proofErr w:type="gramStart"/>
      <w:r w:rsidRPr="00570AA2">
        <w:rPr>
          <w:shd w:val="clear" w:color="auto" w:fill="FFFFFF"/>
        </w:rPr>
        <w:t>C(</w:t>
      </w:r>
      <w:proofErr w:type="gramEnd"/>
      <w:r w:rsidRPr="00570AA2">
        <w:rPr>
          <w:shd w:val="clear" w:color="auto" w:fill="FFFFFF"/>
        </w:rPr>
        <w:t xml:space="preserve">1) of the </w:t>
      </w:r>
      <w:r w:rsidRPr="00570AA2">
        <w:rPr>
          <w:i/>
          <w:shd w:val="clear" w:color="auto" w:fill="FFFFFF"/>
        </w:rPr>
        <w:t>Health Insurance Act 1973</w:t>
      </w:r>
      <w:r w:rsidRPr="00570AA2">
        <w:rPr>
          <w:shd w:val="clear" w:color="auto" w:fill="FFFFFF"/>
        </w:rPr>
        <w:t xml:space="preserve"> (the Act) provides that the Minister may, by legislative instrument, determine that a health service not specified in an item in the pathology services table (the Table) shall, in specified circumstances and for specified statutory provisions, be treated as if it were specified in the Table. </w:t>
      </w:r>
    </w:p>
    <w:p w14:paraId="046886A8" w14:textId="77777777" w:rsidR="00C23B22" w:rsidRPr="00570AA2"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902969A" w14:textId="7DBAC11C" w:rsidR="00C23B22" w:rsidRPr="00570AA2"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570AA2">
        <w:t>The Table is set out in the regulations made under section 4A of the Act.  The most recent version of the regulations is the</w:t>
      </w:r>
      <w:r w:rsidR="00CC3578" w:rsidRPr="00570AA2">
        <w:t xml:space="preserve"> </w:t>
      </w:r>
      <w:r w:rsidR="00CC3578" w:rsidRPr="00570AA2">
        <w:rPr>
          <w:i/>
          <w:iCs/>
        </w:rPr>
        <w:t>Health Insurance (Pathology Services Table) Regulations 2020</w:t>
      </w:r>
      <w:r w:rsidR="00CC3578" w:rsidRPr="00570AA2">
        <w:t>.</w:t>
      </w:r>
      <w:r w:rsidRPr="00570AA2">
        <w:t xml:space="preserve"> </w:t>
      </w:r>
    </w:p>
    <w:p w14:paraId="335854EF" w14:textId="77777777" w:rsidR="00C23B22" w:rsidRPr="00570AA2"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EBF1722" w14:textId="77777777" w:rsidR="00C23B22" w:rsidRPr="00570AA2"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570AA2">
        <w:t xml:space="preserve">This instrument relies on subsection 33(3) of the </w:t>
      </w:r>
      <w:r w:rsidRPr="00570AA2">
        <w:rPr>
          <w:i/>
        </w:rPr>
        <w:t>Acts Interpretation Act 1901</w:t>
      </w:r>
      <w:r w:rsidRPr="00570AA2">
        <w:t xml:space="preserve"> (AIA).  Subsection 33(3) of the AIA</w:t>
      </w:r>
      <w:r w:rsidRPr="00570AA2">
        <w:rPr>
          <w:i/>
        </w:rPr>
        <w:t xml:space="preserve"> </w:t>
      </w:r>
      <w:r w:rsidRPr="00570AA2">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570AA2" w:rsidRDefault="008C5F1C" w:rsidP="00D33180">
      <w:pPr>
        <w:autoSpaceDE w:val="0"/>
        <w:autoSpaceDN w:val="0"/>
        <w:adjustRightInd w:val="0"/>
        <w:ind w:right="-483"/>
        <w:rPr>
          <w:szCs w:val="24"/>
        </w:rPr>
      </w:pPr>
    </w:p>
    <w:p w14:paraId="2412D12A" w14:textId="77777777" w:rsidR="00BB00BA" w:rsidRPr="00570AA2" w:rsidRDefault="00A1739A" w:rsidP="00BB00BA">
      <w:pPr>
        <w:rPr>
          <w:b/>
          <w:szCs w:val="24"/>
          <w:lang w:val="en-US" w:eastAsia="en-US"/>
        </w:rPr>
      </w:pPr>
      <w:r w:rsidRPr="00570AA2">
        <w:rPr>
          <w:b/>
          <w:szCs w:val="24"/>
          <w:lang w:val="en-US" w:eastAsia="en-US"/>
        </w:rPr>
        <w:t>Purpose</w:t>
      </w:r>
    </w:p>
    <w:p w14:paraId="283245C6" w14:textId="0F673329" w:rsidR="00CC3578" w:rsidRPr="00570AA2" w:rsidRDefault="00CC3578" w:rsidP="00CC3578">
      <w:pPr>
        <w:ind w:right="-483"/>
        <w:rPr>
          <w:szCs w:val="24"/>
        </w:rPr>
      </w:pPr>
      <w:r w:rsidRPr="00570AA2">
        <w:rPr>
          <w:szCs w:val="24"/>
        </w:rPr>
        <w:t xml:space="preserve">The purpose of the </w:t>
      </w:r>
      <w:r w:rsidRPr="00570AA2">
        <w:rPr>
          <w:i/>
          <w:iCs/>
          <w:szCs w:val="24"/>
        </w:rPr>
        <w:t>Health Insurance (Section 3C Pathology Services – Respiratory Pathogen Testing) Repeal Determination 2025</w:t>
      </w:r>
      <w:r w:rsidRPr="00570AA2">
        <w:rPr>
          <w:szCs w:val="24"/>
        </w:rPr>
        <w:t xml:space="preserve"> (the Repeal Determination) is to repeal the </w:t>
      </w:r>
      <w:bookmarkStart w:id="0" w:name="_Hlk187391128"/>
      <w:r w:rsidRPr="00570AA2">
        <w:rPr>
          <w:i/>
          <w:iCs/>
          <w:szCs w:val="24"/>
        </w:rPr>
        <w:t>Health Insurance (Section 3C Pathology Services – Respiratory Pathogen Testing) Determination 2024</w:t>
      </w:r>
      <w:r w:rsidRPr="00570AA2">
        <w:rPr>
          <w:szCs w:val="24"/>
        </w:rPr>
        <w:t xml:space="preserve"> </w:t>
      </w:r>
      <w:bookmarkEnd w:id="0"/>
      <w:r w:rsidRPr="00570AA2">
        <w:rPr>
          <w:szCs w:val="24"/>
        </w:rPr>
        <w:t>(the Principal Determination)</w:t>
      </w:r>
      <w:r w:rsidR="00814F2F" w:rsidRPr="00570AA2">
        <w:rPr>
          <w:szCs w:val="24"/>
        </w:rPr>
        <w:t xml:space="preserve"> from 1 March 2025.</w:t>
      </w:r>
      <w:r w:rsidRPr="00570AA2">
        <w:rPr>
          <w:szCs w:val="24"/>
        </w:rPr>
        <w:t xml:space="preserve"> </w:t>
      </w:r>
      <w:r w:rsidR="00814F2F" w:rsidRPr="00570AA2">
        <w:rPr>
          <w:szCs w:val="24"/>
        </w:rPr>
        <w:t>The Principal Determination</w:t>
      </w:r>
      <w:r w:rsidR="00814F2F" w:rsidRPr="00570AA2" w:rsidDel="00814F2F">
        <w:rPr>
          <w:szCs w:val="24"/>
        </w:rPr>
        <w:t xml:space="preserve"> </w:t>
      </w:r>
      <w:r w:rsidRPr="00570AA2">
        <w:rPr>
          <w:szCs w:val="24"/>
        </w:rPr>
        <w:t xml:space="preserve">lists </w:t>
      </w:r>
      <w:r w:rsidR="00F541B1" w:rsidRPr="00570AA2">
        <w:rPr>
          <w:szCs w:val="24"/>
        </w:rPr>
        <w:t xml:space="preserve">Medicare Benefits Schedule (MBS) </w:t>
      </w:r>
      <w:r w:rsidRPr="00570AA2">
        <w:rPr>
          <w:szCs w:val="24"/>
        </w:rPr>
        <w:t>item</w:t>
      </w:r>
      <w:r w:rsidR="00F541B1" w:rsidRPr="00570AA2">
        <w:rPr>
          <w:szCs w:val="24"/>
        </w:rPr>
        <w:t>s</w:t>
      </w:r>
      <w:r w:rsidRPr="00570AA2">
        <w:rPr>
          <w:szCs w:val="24"/>
        </w:rPr>
        <w:t xml:space="preserve"> 69421 or 69422 for the detection of respiratory pathogen nucleic acid from a nasal swab, throat swab, nasopharyngeal aspirate and/or lower respiratory tract sample. </w:t>
      </w:r>
    </w:p>
    <w:p w14:paraId="70B29603" w14:textId="77777777" w:rsidR="00CC3578" w:rsidRPr="00570AA2" w:rsidRDefault="00CC3578" w:rsidP="00CC3578">
      <w:pPr>
        <w:ind w:right="-483"/>
        <w:rPr>
          <w:szCs w:val="24"/>
        </w:rPr>
      </w:pPr>
    </w:p>
    <w:p w14:paraId="2CB9BCB5" w14:textId="779233D6" w:rsidR="00576FD5" w:rsidRPr="00570AA2" w:rsidRDefault="00CC3578" w:rsidP="00CC3578">
      <w:pPr>
        <w:ind w:right="-483"/>
        <w:rPr>
          <w:szCs w:val="24"/>
        </w:rPr>
      </w:pPr>
      <w:r w:rsidRPr="00570AA2">
        <w:rPr>
          <w:szCs w:val="24"/>
        </w:rPr>
        <w:t xml:space="preserve">From 1 March 2025, </w:t>
      </w:r>
      <w:r w:rsidR="00F541B1" w:rsidRPr="00570AA2">
        <w:rPr>
          <w:szCs w:val="24"/>
        </w:rPr>
        <w:t xml:space="preserve">MBS </w:t>
      </w:r>
      <w:r w:rsidRPr="00570AA2">
        <w:rPr>
          <w:szCs w:val="24"/>
        </w:rPr>
        <w:t>item</w:t>
      </w:r>
      <w:r w:rsidR="00576FD5" w:rsidRPr="00570AA2">
        <w:rPr>
          <w:szCs w:val="24"/>
        </w:rPr>
        <w:t>s</w:t>
      </w:r>
      <w:r w:rsidRPr="00570AA2">
        <w:rPr>
          <w:szCs w:val="24"/>
        </w:rPr>
        <w:t xml:space="preserve"> 69421 </w:t>
      </w:r>
      <w:r w:rsidR="00576FD5" w:rsidRPr="00570AA2">
        <w:rPr>
          <w:szCs w:val="24"/>
        </w:rPr>
        <w:t xml:space="preserve">and </w:t>
      </w:r>
      <w:r w:rsidRPr="00570AA2">
        <w:rPr>
          <w:szCs w:val="24"/>
        </w:rPr>
        <w:t xml:space="preserve">69422 will be incorporated into the Table by the </w:t>
      </w:r>
      <w:r w:rsidR="005B3A65" w:rsidRPr="00570AA2">
        <w:rPr>
          <w:i/>
          <w:iCs/>
          <w:szCs w:val="24"/>
        </w:rPr>
        <w:t>Health Insurance Legislation Amendment (Hospital-Only Services and Other Measures) Regulations 2025</w:t>
      </w:r>
      <w:r w:rsidRPr="00570AA2">
        <w:rPr>
          <w:szCs w:val="24"/>
        </w:rPr>
        <w:t>.</w:t>
      </w:r>
      <w:r w:rsidR="00576FD5" w:rsidRPr="00570AA2">
        <w:rPr>
          <w:szCs w:val="24"/>
        </w:rPr>
        <w:t xml:space="preserve"> </w:t>
      </w:r>
    </w:p>
    <w:p w14:paraId="7EA88858" w14:textId="77777777" w:rsidR="00576FD5" w:rsidRPr="00570AA2" w:rsidRDefault="00576FD5" w:rsidP="00CC3578">
      <w:pPr>
        <w:ind w:right="-483"/>
        <w:rPr>
          <w:szCs w:val="24"/>
        </w:rPr>
      </w:pPr>
    </w:p>
    <w:p w14:paraId="06477197" w14:textId="1176BD99" w:rsidR="007708B3" w:rsidRPr="00570AA2" w:rsidRDefault="00576FD5" w:rsidP="00CC3578">
      <w:pPr>
        <w:ind w:right="-483"/>
        <w:rPr>
          <w:szCs w:val="24"/>
        </w:rPr>
      </w:pPr>
      <w:r w:rsidRPr="00570AA2">
        <w:rPr>
          <w:szCs w:val="24"/>
        </w:rPr>
        <w:t>This change</w:t>
      </w:r>
      <w:r w:rsidR="00CC3578" w:rsidRPr="00570AA2">
        <w:rPr>
          <w:szCs w:val="24"/>
        </w:rPr>
        <w:t xml:space="preserve"> is administrative in nature and patients will continue to have access to </w:t>
      </w:r>
      <w:r w:rsidRPr="00570AA2">
        <w:rPr>
          <w:szCs w:val="24"/>
        </w:rPr>
        <w:t>the pathology services under</w:t>
      </w:r>
      <w:r w:rsidR="0062357C" w:rsidRPr="00570AA2">
        <w:rPr>
          <w:szCs w:val="24"/>
        </w:rPr>
        <w:t xml:space="preserve"> MBS</w:t>
      </w:r>
      <w:r w:rsidRPr="00570AA2">
        <w:rPr>
          <w:szCs w:val="24"/>
        </w:rPr>
        <w:t xml:space="preserve"> items 69421 and 69422.</w:t>
      </w:r>
    </w:p>
    <w:p w14:paraId="2412D131" w14:textId="27EF2D7D" w:rsidR="001865F8" w:rsidRPr="00570AA2" w:rsidRDefault="00A1739A" w:rsidP="00D46EB9">
      <w:pPr>
        <w:shd w:val="clear" w:color="auto" w:fill="FFFFFF"/>
        <w:spacing w:before="100" w:beforeAutospacing="1"/>
        <w:rPr>
          <w:rFonts w:ascii="Helvetica Neue" w:hAnsi="Helvetica Neue"/>
          <w:szCs w:val="24"/>
          <w:lang w:val="en-US"/>
        </w:rPr>
      </w:pPr>
      <w:r w:rsidRPr="00570AA2">
        <w:rPr>
          <w:b/>
        </w:rPr>
        <w:t>Consultation</w:t>
      </w:r>
    </w:p>
    <w:p w14:paraId="519E9A81" w14:textId="0965F0FE" w:rsidR="007708B3" w:rsidRPr="00570AA2" w:rsidRDefault="00CC3578" w:rsidP="00CC3578">
      <w:pPr>
        <w:shd w:val="clear" w:color="auto" w:fill="FFFFFF"/>
        <w:rPr>
          <w:szCs w:val="24"/>
        </w:rPr>
      </w:pPr>
      <w:r w:rsidRPr="00570AA2">
        <w:rPr>
          <w:szCs w:val="24"/>
        </w:rPr>
        <w:t xml:space="preserve">Consultation was not undertaken for this instrument as the </w:t>
      </w:r>
      <w:r w:rsidR="00576FD5" w:rsidRPr="00570AA2">
        <w:rPr>
          <w:szCs w:val="24"/>
        </w:rPr>
        <w:t xml:space="preserve">repeal </w:t>
      </w:r>
      <w:r w:rsidRPr="00570AA2">
        <w:rPr>
          <w:szCs w:val="24"/>
        </w:rPr>
        <w:t xml:space="preserve">of the Principal Determination is </w:t>
      </w:r>
      <w:r w:rsidR="00576FD5" w:rsidRPr="00570AA2">
        <w:rPr>
          <w:szCs w:val="24"/>
        </w:rPr>
        <w:t xml:space="preserve">administrative </w:t>
      </w:r>
      <w:r w:rsidRPr="00570AA2">
        <w:rPr>
          <w:szCs w:val="24"/>
        </w:rPr>
        <w:t xml:space="preserve">in nature. There is no change to the </w:t>
      </w:r>
      <w:r w:rsidR="008C3F02" w:rsidRPr="00570AA2">
        <w:rPr>
          <w:szCs w:val="24"/>
        </w:rPr>
        <w:t xml:space="preserve">practical </w:t>
      </w:r>
      <w:r w:rsidRPr="00570AA2">
        <w:rPr>
          <w:szCs w:val="24"/>
        </w:rPr>
        <w:t xml:space="preserve">arrangements </w:t>
      </w:r>
      <w:r w:rsidR="008C3F02" w:rsidRPr="00570AA2">
        <w:rPr>
          <w:szCs w:val="24"/>
        </w:rPr>
        <w:t xml:space="preserve">for services provided under item 69421 or 69422 </w:t>
      </w:r>
      <w:r w:rsidRPr="00570AA2">
        <w:rPr>
          <w:szCs w:val="24"/>
        </w:rPr>
        <w:t>for patients and health professionals and Medicare will continue to subsidise the</w:t>
      </w:r>
      <w:r w:rsidR="00B8757F" w:rsidRPr="00570AA2">
        <w:rPr>
          <w:szCs w:val="24"/>
        </w:rPr>
        <w:t>se</w:t>
      </w:r>
      <w:r w:rsidRPr="00570AA2">
        <w:rPr>
          <w:szCs w:val="24"/>
        </w:rPr>
        <w:t xml:space="preserve"> service</w:t>
      </w:r>
      <w:r w:rsidR="00B8757F" w:rsidRPr="00570AA2">
        <w:rPr>
          <w:szCs w:val="24"/>
        </w:rPr>
        <w:t>s</w:t>
      </w:r>
      <w:r w:rsidRPr="00570AA2">
        <w:rPr>
          <w:szCs w:val="24"/>
        </w:rPr>
        <w:t>.</w:t>
      </w:r>
    </w:p>
    <w:p w14:paraId="02264A85" w14:textId="77777777" w:rsidR="007708B3" w:rsidRPr="00570AA2" w:rsidRDefault="007708B3" w:rsidP="002806A1">
      <w:pPr>
        <w:shd w:val="clear" w:color="auto" w:fill="FFFFFF"/>
        <w:rPr>
          <w:szCs w:val="24"/>
        </w:rPr>
      </w:pPr>
    </w:p>
    <w:p w14:paraId="2412D134" w14:textId="7FAAEFD7" w:rsidR="00967E51" w:rsidRPr="00570AA2" w:rsidRDefault="005C394E" w:rsidP="000337CB">
      <w:pPr>
        <w:rPr>
          <w:szCs w:val="24"/>
        </w:rPr>
      </w:pPr>
      <w:r w:rsidRPr="00570AA2">
        <w:rPr>
          <w:szCs w:val="24"/>
        </w:rPr>
        <w:t xml:space="preserve">The </w:t>
      </w:r>
      <w:r w:rsidR="008C3F02" w:rsidRPr="00570AA2">
        <w:rPr>
          <w:szCs w:val="24"/>
        </w:rPr>
        <w:t xml:space="preserve">Repeal </w:t>
      </w:r>
      <w:r w:rsidRPr="00570AA2">
        <w:rPr>
          <w:szCs w:val="24"/>
        </w:rPr>
        <w:t xml:space="preserve">Determination is a legislative instrument for the purposes of the </w:t>
      </w:r>
      <w:r w:rsidRPr="00570AA2">
        <w:rPr>
          <w:i/>
        </w:rPr>
        <w:t>Legislation Act 2003</w:t>
      </w:r>
      <w:r w:rsidRPr="00570AA2">
        <w:rPr>
          <w:szCs w:val="24"/>
        </w:rPr>
        <w:t>.</w:t>
      </w:r>
    </w:p>
    <w:p w14:paraId="7D61677A" w14:textId="06C05DFC" w:rsidR="005C394E" w:rsidRPr="00570AA2" w:rsidRDefault="00297AD0" w:rsidP="00473742">
      <w:pPr>
        <w:widowControl w:val="0"/>
        <w:tabs>
          <w:tab w:val="left" w:pos="567"/>
        </w:tabs>
        <w:rPr>
          <w:szCs w:val="24"/>
        </w:rPr>
      </w:pPr>
      <w:r w:rsidRPr="00570AA2">
        <w:rPr>
          <w:szCs w:val="24"/>
        </w:rPr>
        <w:t xml:space="preserve">The </w:t>
      </w:r>
      <w:r w:rsidR="008C3F02" w:rsidRPr="00570AA2">
        <w:rPr>
          <w:szCs w:val="24"/>
        </w:rPr>
        <w:t xml:space="preserve">Repeal </w:t>
      </w:r>
      <w:r w:rsidR="00967E51" w:rsidRPr="00570AA2">
        <w:rPr>
          <w:szCs w:val="24"/>
        </w:rPr>
        <w:t>Determination</w:t>
      </w:r>
      <w:r w:rsidRPr="00570AA2">
        <w:rPr>
          <w:szCs w:val="24"/>
        </w:rPr>
        <w:t xml:space="preserve"> </w:t>
      </w:r>
      <w:r w:rsidR="007524B0" w:rsidRPr="00570AA2">
        <w:rPr>
          <w:szCs w:val="24"/>
        </w:rPr>
        <w:t xml:space="preserve">commences </w:t>
      </w:r>
      <w:r w:rsidR="005B3A65" w:rsidRPr="00570AA2">
        <w:rPr>
          <w:szCs w:val="24"/>
        </w:rPr>
        <w:t>on 1 March 2025.</w:t>
      </w:r>
      <w:r w:rsidR="00473742" w:rsidRPr="00570AA2">
        <w:rPr>
          <w:szCs w:val="24"/>
        </w:rPr>
        <w:t xml:space="preserve"> </w:t>
      </w:r>
    </w:p>
    <w:p w14:paraId="2412D135" w14:textId="4248D561" w:rsidR="006C138D" w:rsidRPr="00570AA2" w:rsidRDefault="005C394E" w:rsidP="00473742">
      <w:pPr>
        <w:widowControl w:val="0"/>
        <w:tabs>
          <w:tab w:val="left" w:pos="567"/>
        </w:tabs>
        <w:rPr>
          <w:szCs w:val="24"/>
        </w:rPr>
      </w:pPr>
      <w:r w:rsidRPr="00570AA2">
        <w:rPr>
          <w:szCs w:val="24"/>
        </w:rPr>
        <w:t xml:space="preserve">Details of the </w:t>
      </w:r>
      <w:r w:rsidR="008C3F02" w:rsidRPr="00570AA2">
        <w:rPr>
          <w:szCs w:val="24"/>
        </w:rPr>
        <w:t xml:space="preserve">Repeal </w:t>
      </w:r>
      <w:r w:rsidRPr="00570AA2">
        <w:rPr>
          <w:szCs w:val="24"/>
        </w:rPr>
        <w:t xml:space="preserve">Determination are set out in the </w:t>
      </w:r>
      <w:r w:rsidRPr="00570AA2">
        <w:rPr>
          <w:szCs w:val="24"/>
          <w:u w:val="single"/>
        </w:rPr>
        <w:t>Attachment</w:t>
      </w:r>
      <w:r w:rsidRPr="00570AA2">
        <w:rPr>
          <w:szCs w:val="24"/>
        </w:rPr>
        <w:t>.</w:t>
      </w:r>
      <w:r w:rsidR="00473742" w:rsidRPr="00570AA2">
        <w:rPr>
          <w:szCs w:val="24"/>
        </w:rPr>
        <w:t xml:space="preserve"> </w:t>
      </w:r>
    </w:p>
    <w:p w14:paraId="6FA5EA70" w14:textId="77777777" w:rsidR="005C394E" w:rsidRPr="00570AA2" w:rsidRDefault="005C394E" w:rsidP="00574E71">
      <w:pPr>
        <w:rPr>
          <w:szCs w:val="24"/>
        </w:rPr>
      </w:pPr>
    </w:p>
    <w:p w14:paraId="2412D139" w14:textId="21476EBD" w:rsidR="00A1739A" w:rsidRPr="00570AA2" w:rsidRDefault="00A1739A" w:rsidP="005C394E">
      <w:pPr>
        <w:rPr>
          <w:szCs w:val="24"/>
        </w:rPr>
      </w:pPr>
      <w:r w:rsidRPr="00570AA2">
        <w:rPr>
          <w:szCs w:val="24"/>
        </w:rPr>
        <w:lastRenderedPageBreak/>
        <w:t xml:space="preserve">        </w:t>
      </w:r>
    </w:p>
    <w:p w14:paraId="2412D13A" w14:textId="77777777" w:rsidR="00A1739A" w:rsidRPr="00570AA2" w:rsidRDefault="00A1739A" w:rsidP="000337CB">
      <w:pPr>
        <w:ind w:left="6663" w:hanging="3119"/>
        <w:rPr>
          <w:szCs w:val="24"/>
        </w:rPr>
      </w:pPr>
      <w:r w:rsidRPr="00570AA2">
        <w:rPr>
          <w:szCs w:val="24"/>
          <w:u w:val="single"/>
        </w:rPr>
        <w:t>Authority</w:t>
      </w:r>
      <w:r w:rsidR="00967E51" w:rsidRPr="00570AA2">
        <w:rPr>
          <w:szCs w:val="24"/>
        </w:rPr>
        <w:t xml:space="preserve">:     Subsection </w:t>
      </w:r>
      <w:r w:rsidRPr="00570AA2">
        <w:rPr>
          <w:szCs w:val="24"/>
        </w:rPr>
        <w:t>3</w:t>
      </w:r>
      <w:proofErr w:type="gramStart"/>
      <w:r w:rsidR="00967E51" w:rsidRPr="00570AA2">
        <w:rPr>
          <w:szCs w:val="24"/>
        </w:rPr>
        <w:t>C</w:t>
      </w:r>
      <w:r w:rsidRPr="00570AA2">
        <w:rPr>
          <w:szCs w:val="24"/>
        </w:rPr>
        <w:t>(</w:t>
      </w:r>
      <w:proofErr w:type="gramEnd"/>
      <w:r w:rsidRPr="00570AA2">
        <w:rPr>
          <w:szCs w:val="24"/>
        </w:rPr>
        <w:t xml:space="preserve">1) of the </w:t>
      </w:r>
    </w:p>
    <w:p w14:paraId="2412D13B" w14:textId="0596CD30" w:rsidR="00A1739A" w:rsidRPr="00570AA2" w:rsidRDefault="00A1739A" w:rsidP="000337CB">
      <w:pPr>
        <w:tabs>
          <w:tab w:val="left" w:pos="4820"/>
        </w:tabs>
        <w:rPr>
          <w:szCs w:val="24"/>
        </w:rPr>
        <w:sectPr w:rsidR="00A1739A" w:rsidRPr="00570AA2" w:rsidSect="00235B6C">
          <w:headerReference w:type="default" r:id="rId11"/>
          <w:pgSz w:w="11906" w:h="16838"/>
          <w:pgMar w:top="1440" w:right="1800" w:bottom="1135" w:left="1800" w:header="708" w:footer="708" w:gutter="0"/>
          <w:pgNumType w:start="1"/>
          <w:cols w:space="708"/>
          <w:docGrid w:linePitch="360"/>
        </w:sectPr>
      </w:pPr>
      <w:r w:rsidRPr="00570AA2">
        <w:rPr>
          <w:i/>
          <w:szCs w:val="24"/>
        </w:rPr>
        <w:tab/>
        <w:t>Health Insurance Act 1973</w:t>
      </w:r>
    </w:p>
    <w:p w14:paraId="2412D13D" w14:textId="77777777" w:rsidR="006D5816" w:rsidRPr="00570AA2" w:rsidRDefault="006D5816" w:rsidP="000337CB">
      <w:pPr>
        <w:pStyle w:val="BodyText"/>
        <w:jc w:val="right"/>
        <w:rPr>
          <w:szCs w:val="24"/>
        </w:rPr>
      </w:pPr>
      <w:r w:rsidRPr="00570AA2">
        <w:rPr>
          <w:szCs w:val="24"/>
        </w:rPr>
        <w:lastRenderedPageBreak/>
        <w:t>ATTACHMENT</w:t>
      </w:r>
    </w:p>
    <w:p w14:paraId="2412D13E" w14:textId="77777777" w:rsidR="006D5816" w:rsidRPr="00570AA2" w:rsidRDefault="006D5816" w:rsidP="000337CB">
      <w:pPr>
        <w:pStyle w:val="BodyText"/>
        <w:rPr>
          <w:b w:val="0"/>
          <w:bCs/>
          <w:szCs w:val="24"/>
          <w:u w:val="single"/>
        </w:rPr>
      </w:pPr>
    </w:p>
    <w:p w14:paraId="7BBEB147" w14:textId="4B9BD7E8" w:rsidR="00E70355" w:rsidRPr="00570AA2" w:rsidRDefault="00A41364" w:rsidP="000337CB">
      <w:pPr>
        <w:pStyle w:val="BodyText"/>
        <w:rPr>
          <w:b w:val="0"/>
          <w:szCs w:val="24"/>
        </w:rPr>
      </w:pPr>
      <w:r w:rsidRPr="00570AA2">
        <w:rPr>
          <w:szCs w:val="24"/>
        </w:rPr>
        <w:t xml:space="preserve">Details of the </w:t>
      </w:r>
      <w:r w:rsidR="0055529B" w:rsidRPr="00570AA2">
        <w:rPr>
          <w:i/>
          <w:iCs/>
        </w:rPr>
        <w:t>Health Insurance (Section 3C Pathology Services – Respiratory Pathogen Testing) Repeal Determination 20</w:t>
      </w:r>
      <w:r w:rsidR="00640885" w:rsidRPr="00570AA2">
        <w:rPr>
          <w:i/>
          <w:iCs/>
        </w:rPr>
        <w:t>25</w:t>
      </w:r>
    </w:p>
    <w:p w14:paraId="562459F4" w14:textId="77777777" w:rsidR="00640885" w:rsidRPr="00570AA2" w:rsidRDefault="00640885" w:rsidP="000337CB">
      <w:pPr>
        <w:pStyle w:val="BodyText"/>
        <w:rPr>
          <w:b w:val="0"/>
          <w:szCs w:val="24"/>
          <w:u w:val="single"/>
        </w:rPr>
      </w:pPr>
    </w:p>
    <w:p w14:paraId="2412D141" w14:textId="17D80AD5" w:rsidR="00FE02C2" w:rsidRPr="00570AA2" w:rsidRDefault="001B0111" w:rsidP="000337CB">
      <w:pPr>
        <w:pStyle w:val="BodyText"/>
        <w:rPr>
          <w:b w:val="0"/>
          <w:szCs w:val="24"/>
          <w:u w:val="single"/>
        </w:rPr>
      </w:pPr>
      <w:r w:rsidRPr="00570AA2">
        <w:rPr>
          <w:b w:val="0"/>
          <w:szCs w:val="24"/>
          <w:u w:val="single"/>
        </w:rPr>
        <w:t>Section 1 – Name</w:t>
      </w:r>
    </w:p>
    <w:p w14:paraId="2412D142" w14:textId="77777777" w:rsidR="00FE02C2" w:rsidRPr="00570AA2" w:rsidRDefault="00FE02C2" w:rsidP="000337CB">
      <w:pPr>
        <w:pStyle w:val="BodyText"/>
        <w:rPr>
          <w:b w:val="0"/>
          <w:szCs w:val="24"/>
          <w:u w:val="single"/>
        </w:rPr>
      </w:pPr>
    </w:p>
    <w:p w14:paraId="68DAA207" w14:textId="2482294C" w:rsidR="00FD602D" w:rsidRPr="00570AA2" w:rsidRDefault="00BC7397" w:rsidP="0055529B">
      <w:pPr>
        <w:pStyle w:val="BodyText"/>
        <w:rPr>
          <w:b w:val="0"/>
        </w:rPr>
      </w:pPr>
      <w:r w:rsidRPr="00570AA2">
        <w:rPr>
          <w:b w:val="0"/>
        </w:rPr>
        <w:t>S</w:t>
      </w:r>
      <w:r w:rsidR="00FE02C2" w:rsidRPr="00570AA2">
        <w:rPr>
          <w:b w:val="0"/>
        </w:rPr>
        <w:t xml:space="preserve">ection </w:t>
      </w:r>
      <w:r w:rsidRPr="00570AA2">
        <w:rPr>
          <w:b w:val="0"/>
        </w:rPr>
        <w:t xml:space="preserve">1 </w:t>
      </w:r>
      <w:r w:rsidR="00FE02C2" w:rsidRPr="00570AA2">
        <w:rPr>
          <w:b w:val="0"/>
        </w:rPr>
        <w:t>provides</w:t>
      </w:r>
      <w:r w:rsidR="008B683E" w:rsidRPr="00570AA2">
        <w:rPr>
          <w:b w:val="0"/>
        </w:rPr>
        <w:t xml:space="preserve"> for the </w:t>
      </w:r>
      <w:r w:rsidR="00576FD5" w:rsidRPr="00570AA2">
        <w:rPr>
          <w:b w:val="0"/>
        </w:rPr>
        <w:t xml:space="preserve">instrument </w:t>
      </w:r>
      <w:r w:rsidR="00FE02C2" w:rsidRPr="00570AA2">
        <w:rPr>
          <w:b w:val="0"/>
        </w:rPr>
        <w:t xml:space="preserve">to be referred to as the </w:t>
      </w:r>
      <w:r w:rsidR="0055529B" w:rsidRPr="00570AA2">
        <w:rPr>
          <w:b w:val="0"/>
          <w:i/>
          <w:iCs/>
        </w:rPr>
        <w:t>Health Insurance (Section 3C Pathology Services – Respiratory Pathogen Testing) Repeal Determination 2025</w:t>
      </w:r>
      <w:r w:rsidR="00576FD5" w:rsidRPr="00570AA2">
        <w:rPr>
          <w:b w:val="0"/>
          <w:i/>
          <w:iCs/>
        </w:rPr>
        <w:t xml:space="preserve"> </w:t>
      </w:r>
      <w:r w:rsidR="00576FD5" w:rsidRPr="00570AA2">
        <w:rPr>
          <w:b w:val="0"/>
        </w:rPr>
        <w:t>(</w:t>
      </w:r>
      <w:r w:rsidR="00576FD5" w:rsidRPr="00570AA2">
        <w:rPr>
          <w:b w:val="0"/>
          <w:szCs w:val="24"/>
        </w:rPr>
        <w:t>Repeal Determination)</w:t>
      </w:r>
      <w:r w:rsidR="0055529B" w:rsidRPr="00570AA2">
        <w:rPr>
          <w:b w:val="0"/>
        </w:rPr>
        <w:t>.</w:t>
      </w:r>
    </w:p>
    <w:p w14:paraId="1485302F" w14:textId="77777777" w:rsidR="0055529B" w:rsidRPr="00570AA2" w:rsidRDefault="0055529B" w:rsidP="0055529B">
      <w:pPr>
        <w:pStyle w:val="BodyText"/>
        <w:rPr>
          <w:b w:val="0"/>
          <w:bCs/>
        </w:rPr>
      </w:pPr>
    </w:p>
    <w:p w14:paraId="49D1E050" w14:textId="77777777" w:rsidR="007A4089" w:rsidRPr="00570AA2" w:rsidRDefault="00FE02C2" w:rsidP="000337CB">
      <w:pPr>
        <w:pStyle w:val="BodyText"/>
        <w:rPr>
          <w:b w:val="0"/>
          <w:szCs w:val="24"/>
          <w:u w:val="single"/>
        </w:rPr>
      </w:pPr>
      <w:r w:rsidRPr="00570AA2">
        <w:rPr>
          <w:b w:val="0"/>
          <w:szCs w:val="24"/>
          <w:u w:val="single"/>
        </w:rPr>
        <w:t xml:space="preserve">Section 2 – Commencement </w:t>
      </w:r>
    </w:p>
    <w:p w14:paraId="2DCE2ED0" w14:textId="77777777" w:rsidR="007A4089" w:rsidRPr="00570AA2" w:rsidRDefault="007A4089" w:rsidP="000337CB">
      <w:pPr>
        <w:pStyle w:val="BodyText"/>
        <w:rPr>
          <w:b w:val="0"/>
          <w:szCs w:val="24"/>
          <w:u w:val="single"/>
        </w:rPr>
      </w:pPr>
    </w:p>
    <w:p w14:paraId="2412D148" w14:textId="19E55CD0" w:rsidR="00510A4F" w:rsidRPr="00570AA2" w:rsidRDefault="00510A4F" w:rsidP="000337CB">
      <w:pPr>
        <w:pStyle w:val="BodyText"/>
        <w:rPr>
          <w:b w:val="0"/>
          <w:szCs w:val="24"/>
        </w:rPr>
      </w:pPr>
      <w:r w:rsidRPr="00570AA2">
        <w:rPr>
          <w:b w:val="0"/>
          <w:szCs w:val="24"/>
        </w:rPr>
        <w:t xml:space="preserve">Section 2 </w:t>
      </w:r>
      <w:r w:rsidR="00404F11" w:rsidRPr="00570AA2">
        <w:rPr>
          <w:b w:val="0"/>
        </w:rPr>
        <w:t xml:space="preserve">provides </w:t>
      </w:r>
      <w:r w:rsidR="1A4D75F3" w:rsidRPr="00570AA2">
        <w:rPr>
          <w:b w:val="0"/>
        </w:rPr>
        <w:t xml:space="preserve">for </w:t>
      </w:r>
      <w:r w:rsidR="00404F11" w:rsidRPr="00570AA2">
        <w:rPr>
          <w:b w:val="0"/>
        </w:rPr>
        <w:t xml:space="preserve">the </w:t>
      </w:r>
      <w:r w:rsidR="00576FD5" w:rsidRPr="00570AA2">
        <w:rPr>
          <w:b w:val="0"/>
          <w:szCs w:val="24"/>
        </w:rPr>
        <w:t xml:space="preserve">Repeal </w:t>
      </w:r>
      <w:r w:rsidR="008B2094" w:rsidRPr="00570AA2">
        <w:rPr>
          <w:b w:val="0"/>
          <w:szCs w:val="24"/>
        </w:rPr>
        <w:t xml:space="preserve">Determination </w:t>
      </w:r>
      <w:r w:rsidR="1A4D75F3" w:rsidRPr="00570AA2">
        <w:rPr>
          <w:b w:val="0"/>
        </w:rPr>
        <w:t xml:space="preserve">to commence </w:t>
      </w:r>
      <w:r w:rsidR="00C63FDC" w:rsidRPr="00570AA2">
        <w:rPr>
          <w:b w:val="0"/>
          <w:szCs w:val="24"/>
        </w:rPr>
        <w:t>on</w:t>
      </w:r>
      <w:r w:rsidR="0055529B" w:rsidRPr="00570AA2">
        <w:rPr>
          <w:b w:val="0"/>
          <w:szCs w:val="24"/>
        </w:rPr>
        <w:t xml:space="preserve"> 1 March 2025</w:t>
      </w:r>
      <w:r w:rsidR="00C63FDC" w:rsidRPr="00570AA2">
        <w:rPr>
          <w:b w:val="0"/>
          <w:szCs w:val="24"/>
        </w:rPr>
        <w:t xml:space="preserve">. </w:t>
      </w:r>
    </w:p>
    <w:p w14:paraId="16C03200" w14:textId="77777777" w:rsidR="007E0017" w:rsidRPr="00570AA2" w:rsidRDefault="007E0017" w:rsidP="000337CB">
      <w:pPr>
        <w:pStyle w:val="BodyText"/>
        <w:rPr>
          <w:b w:val="0"/>
          <w:szCs w:val="24"/>
        </w:rPr>
      </w:pPr>
    </w:p>
    <w:p w14:paraId="005D5660" w14:textId="77777777" w:rsidR="007A4089" w:rsidRPr="00570AA2" w:rsidRDefault="00FE02C2" w:rsidP="000337CB">
      <w:pPr>
        <w:pStyle w:val="BodyText"/>
        <w:rPr>
          <w:b w:val="0"/>
          <w:szCs w:val="24"/>
          <w:u w:val="single"/>
        </w:rPr>
      </w:pPr>
      <w:r w:rsidRPr="00570AA2">
        <w:rPr>
          <w:b w:val="0"/>
          <w:szCs w:val="24"/>
          <w:u w:val="single"/>
        </w:rPr>
        <w:t xml:space="preserve">Section 3 – </w:t>
      </w:r>
      <w:r w:rsidR="00E5798A" w:rsidRPr="00570AA2">
        <w:rPr>
          <w:b w:val="0"/>
          <w:szCs w:val="24"/>
          <w:u w:val="single"/>
        </w:rPr>
        <w:t>Authority</w:t>
      </w:r>
    </w:p>
    <w:p w14:paraId="53BFA098" w14:textId="77777777" w:rsidR="007A4089" w:rsidRPr="00570AA2" w:rsidRDefault="007A4089" w:rsidP="000337CB">
      <w:pPr>
        <w:pStyle w:val="BodyText"/>
        <w:rPr>
          <w:b w:val="0"/>
          <w:szCs w:val="24"/>
          <w:u w:val="single"/>
        </w:rPr>
      </w:pPr>
    </w:p>
    <w:p w14:paraId="2412D14B" w14:textId="3BDC1D84" w:rsidR="00FE02C2" w:rsidRPr="00570AA2" w:rsidRDefault="00F83B6F" w:rsidP="000337CB">
      <w:pPr>
        <w:pStyle w:val="BodyText"/>
        <w:rPr>
          <w:b w:val="0"/>
        </w:rPr>
      </w:pPr>
      <w:r w:rsidRPr="00570AA2">
        <w:rPr>
          <w:b w:val="0"/>
        </w:rPr>
        <w:t xml:space="preserve">Section 3 provides that the </w:t>
      </w:r>
      <w:r w:rsidR="00576FD5" w:rsidRPr="00570AA2">
        <w:rPr>
          <w:b w:val="0"/>
          <w:szCs w:val="24"/>
        </w:rPr>
        <w:t xml:space="preserve">Repeal </w:t>
      </w:r>
      <w:r w:rsidR="008B2094" w:rsidRPr="00570AA2">
        <w:rPr>
          <w:b w:val="0"/>
          <w:szCs w:val="24"/>
        </w:rPr>
        <w:t xml:space="preserve">Determination </w:t>
      </w:r>
      <w:r w:rsidR="00E5798A" w:rsidRPr="00570AA2">
        <w:rPr>
          <w:b w:val="0"/>
        </w:rPr>
        <w:t xml:space="preserve">is made under </w:t>
      </w:r>
      <w:r w:rsidR="00367440" w:rsidRPr="00570AA2">
        <w:rPr>
          <w:b w:val="0"/>
        </w:rPr>
        <w:t xml:space="preserve">subsection </w:t>
      </w:r>
      <w:r w:rsidR="00E5798A" w:rsidRPr="00570AA2">
        <w:rPr>
          <w:b w:val="0"/>
        </w:rPr>
        <w:t>3</w:t>
      </w:r>
      <w:proofErr w:type="gramStart"/>
      <w:r w:rsidR="00E5798A" w:rsidRPr="00570AA2">
        <w:rPr>
          <w:b w:val="0"/>
        </w:rPr>
        <w:t>C(</w:t>
      </w:r>
      <w:proofErr w:type="gramEnd"/>
      <w:r w:rsidR="00E5798A" w:rsidRPr="00570AA2">
        <w:rPr>
          <w:b w:val="0"/>
        </w:rPr>
        <w:t xml:space="preserve">1) of the </w:t>
      </w:r>
      <w:r w:rsidR="00E5798A" w:rsidRPr="00570AA2">
        <w:rPr>
          <w:b w:val="0"/>
          <w:i/>
        </w:rPr>
        <w:t>Health Insurance Act 1973</w:t>
      </w:r>
      <w:r w:rsidR="00E5798A" w:rsidRPr="00570AA2">
        <w:rPr>
          <w:b w:val="0"/>
        </w:rPr>
        <w:t>.</w:t>
      </w:r>
    </w:p>
    <w:p w14:paraId="0DBF1241" w14:textId="77777777" w:rsidR="00E70355" w:rsidRPr="00570AA2" w:rsidRDefault="00E70355" w:rsidP="000337CB">
      <w:pPr>
        <w:pStyle w:val="BodyText"/>
        <w:rPr>
          <w:b w:val="0"/>
        </w:rPr>
      </w:pPr>
    </w:p>
    <w:p w14:paraId="20CBF84A" w14:textId="77777777" w:rsidR="00C63FDC" w:rsidRPr="00570AA2" w:rsidRDefault="00C63FDC" w:rsidP="00C63FDC">
      <w:pPr>
        <w:pStyle w:val="BodyText"/>
        <w:rPr>
          <w:b w:val="0"/>
          <w:szCs w:val="24"/>
          <w:u w:val="single"/>
        </w:rPr>
      </w:pPr>
      <w:r w:rsidRPr="00570AA2">
        <w:rPr>
          <w:b w:val="0"/>
          <w:szCs w:val="24"/>
          <w:u w:val="single"/>
        </w:rPr>
        <w:t>Section 4 – Schedules</w:t>
      </w:r>
    </w:p>
    <w:p w14:paraId="4C010161" w14:textId="77777777" w:rsidR="00C63FDC" w:rsidRPr="00570AA2" w:rsidRDefault="00C63FDC" w:rsidP="00C63FDC">
      <w:pPr>
        <w:pStyle w:val="BodyText"/>
        <w:rPr>
          <w:b w:val="0"/>
          <w:szCs w:val="24"/>
          <w:u w:val="single"/>
        </w:rPr>
      </w:pPr>
    </w:p>
    <w:p w14:paraId="5D9EBF8D" w14:textId="52951F23" w:rsidR="00C63FDC" w:rsidRPr="00570AA2" w:rsidRDefault="00C63FDC" w:rsidP="00C63FDC">
      <w:pPr>
        <w:pStyle w:val="BodyText"/>
        <w:rPr>
          <w:b w:val="0"/>
          <w:szCs w:val="24"/>
        </w:rPr>
      </w:pPr>
      <w:r w:rsidRPr="00570AA2">
        <w:rPr>
          <w:b w:val="0"/>
          <w:szCs w:val="24"/>
        </w:rPr>
        <w:t xml:space="preserve">Section 4 provides that each instrument that is specified in a Schedule to this </w:t>
      </w:r>
      <w:r w:rsidR="00576FD5" w:rsidRPr="00570AA2">
        <w:rPr>
          <w:b w:val="0"/>
          <w:szCs w:val="24"/>
        </w:rPr>
        <w:t xml:space="preserve">Repeal </w:t>
      </w:r>
      <w:r w:rsidRPr="00570AA2">
        <w:rPr>
          <w:b w:val="0"/>
          <w:szCs w:val="24"/>
        </w:rPr>
        <w:t xml:space="preserve">Determination is amended or repealed as set out in the applicable items in the Schedule concerned, and any other item in a Schedule to this </w:t>
      </w:r>
      <w:r w:rsidR="00576FD5" w:rsidRPr="00570AA2">
        <w:rPr>
          <w:b w:val="0"/>
          <w:szCs w:val="24"/>
        </w:rPr>
        <w:t xml:space="preserve">Repeal </w:t>
      </w:r>
      <w:r w:rsidRPr="00570AA2">
        <w:rPr>
          <w:b w:val="0"/>
          <w:szCs w:val="24"/>
        </w:rPr>
        <w:t>Determination has effect according to its terms.</w:t>
      </w:r>
    </w:p>
    <w:p w14:paraId="17D2CF69" w14:textId="77777777" w:rsidR="007E0017" w:rsidRPr="00570AA2" w:rsidRDefault="007E0017" w:rsidP="00404F11">
      <w:pPr>
        <w:pStyle w:val="BodyText"/>
        <w:rPr>
          <w:b w:val="0"/>
          <w:szCs w:val="24"/>
        </w:rPr>
      </w:pPr>
    </w:p>
    <w:p w14:paraId="768D340E" w14:textId="2A59B934" w:rsidR="00C63FDC" w:rsidRPr="00570AA2" w:rsidRDefault="00C63FDC" w:rsidP="00C63FDC">
      <w:pPr>
        <w:pStyle w:val="Header"/>
        <w:tabs>
          <w:tab w:val="num" w:pos="1080"/>
        </w:tabs>
        <w:rPr>
          <w:szCs w:val="24"/>
          <w:u w:val="single"/>
        </w:rPr>
      </w:pPr>
      <w:r w:rsidRPr="00570AA2">
        <w:rPr>
          <w:szCs w:val="24"/>
          <w:u w:val="single"/>
        </w:rPr>
        <w:t xml:space="preserve">Schedule 1 – </w:t>
      </w:r>
      <w:r w:rsidR="00576FD5" w:rsidRPr="00570AA2">
        <w:rPr>
          <w:szCs w:val="24"/>
          <w:u w:val="single"/>
        </w:rPr>
        <w:t>Repeals</w:t>
      </w:r>
    </w:p>
    <w:p w14:paraId="371F01D6" w14:textId="4C939F3F" w:rsidR="007708B3" w:rsidRPr="00570AA2" w:rsidRDefault="0055529B" w:rsidP="00C63FDC">
      <w:pPr>
        <w:pStyle w:val="Header"/>
        <w:tabs>
          <w:tab w:val="num" w:pos="1080"/>
        </w:tabs>
        <w:rPr>
          <w:b/>
          <w:szCs w:val="24"/>
        </w:rPr>
      </w:pPr>
      <w:r w:rsidRPr="00570AA2">
        <w:rPr>
          <w:iCs/>
        </w:rPr>
        <w:br/>
        <w:t>Schedule 1 repeals the whole of the </w:t>
      </w:r>
      <w:r w:rsidRPr="00570AA2">
        <w:rPr>
          <w:i/>
          <w:iCs/>
        </w:rPr>
        <w:t>Health Insurance (Section 3C Pathology Services – Respiratory Pathogen Testing) Determination 2024</w:t>
      </w:r>
      <w:r w:rsidRPr="00570AA2">
        <w:rPr>
          <w:iCs/>
        </w:rPr>
        <w:t>.</w:t>
      </w:r>
    </w:p>
    <w:p w14:paraId="21DF9DDC" w14:textId="1767E1F1" w:rsidR="00331752" w:rsidRPr="00570AA2" w:rsidRDefault="00331752">
      <w:pPr>
        <w:spacing w:after="200" w:line="276" w:lineRule="auto"/>
        <w:rPr>
          <w:szCs w:val="24"/>
          <w:u w:val="single"/>
        </w:rPr>
      </w:pPr>
      <w:r w:rsidRPr="00570AA2">
        <w:rPr>
          <w:szCs w:val="24"/>
          <w:u w:val="single"/>
        </w:rPr>
        <w:br w:type="page"/>
      </w:r>
    </w:p>
    <w:p w14:paraId="2412D14E" w14:textId="632B4BE9" w:rsidR="00A17F2C" w:rsidRPr="00570AA2" w:rsidRDefault="00A17F2C" w:rsidP="008D136F">
      <w:pPr>
        <w:pStyle w:val="Header"/>
        <w:tabs>
          <w:tab w:val="num" w:pos="1080"/>
        </w:tabs>
        <w:jc w:val="center"/>
        <w:rPr>
          <w:b/>
          <w:sz w:val="28"/>
          <w:szCs w:val="28"/>
        </w:rPr>
      </w:pPr>
      <w:r w:rsidRPr="00570AA2">
        <w:rPr>
          <w:b/>
          <w:sz w:val="28"/>
          <w:szCs w:val="28"/>
        </w:rPr>
        <w:lastRenderedPageBreak/>
        <w:t>Statement of Compatibility with Human Rights</w:t>
      </w:r>
    </w:p>
    <w:p w14:paraId="2412D14F" w14:textId="77777777" w:rsidR="00A17F2C" w:rsidRPr="00570AA2" w:rsidRDefault="00A17F2C" w:rsidP="000337CB">
      <w:pPr>
        <w:spacing w:before="120" w:after="120"/>
        <w:jc w:val="center"/>
        <w:rPr>
          <w:szCs w:val="24"/>
        </w:rPr>
      </w:pPr>
      <w:r w:rsidRPr="00570AA2">
        <w:rPr>
          <w:i/>
          <w:szCs w:val="24"/>
        </w:rPr>
        <w:t>Prepared in accordance with Part 3 of the Human Rights (Parliamentary Scrutiny) Act 2011</w:t>
      </w:r>
    </w:p>
    <w:p w14:paraId="751DE726" w14:textId="77777777" w:rsidR="002A6C77" w:rsidRPr="00570AA2" w:rsidRDefault="002A6C77" w:rsidP="000337CB">
      <w:pPr>
        <w:tabs>
          <w:tab w:val="left" w:pos="1418"/>
        </w:tabs>
        <w:ind w:left="851"/>
        <w:jc w:val="center"/>
        <w:rPr>
          <w:bCs/>
        </w:rPr>
      </w:pPr>
    </w:p>
    <w:p w14:paraId="3A52A4B2" w14:textId="554C8C4F" w:rsidR="00C6094D" w:rsidRPr="00570AA2" w:rsidRDefault="00640885" w:rsidP="007708B3">
      <w:pPr>
        <w:tabs>
          <w:tab w:val="left" w:pos="1418"/>
        </w:tabs>
        <w:jc w:val="center"/>
        <w:rPr>
          <w:i/>
        </w:rPr>
      </w:pPr>
      <w:r w:rsidRPr="00570AA2">
        <w:rPr>
          <w:i/>
        </w:rPr>
        <w:t>Health Insurance (Section 3C Pathology Services – Respiratory Pathogen Testing) Repeal Determination 2025</w:t>
      </w:r>
    </w:p>
    <w:p w14:paraId="1BF56C38" w14:textId="77777777" w:rsidR="007708B3" w:rsidRPr="00570AA2" w:rsidRDefault="007708B3" w:rsidP="000337CB">
      <w:pPr>
        <w:tabs>
          <w:tab w:val="left" w:pos="1418"/>
        </w:tabs>
        <w:ind w:left="851"/>
        <w:jc w:val="center"/>
        <w:rPr>
          <w:b/>
          <w:i/>
          <w:szCs w:val="24"/>
        </w:rPr>
      </w:pPr>
    </w:p>
    <w:p w14:paraId="2412D153" w14:textId="7AFD921D" w:rsidR="00A17F2C" w:rsidRPr="00570AA2" w:rsidRDefault="00A17F2C" w:rsidP="000337CB">
      <w:pPr>
        <w:jc w:val="center"/>
        <w:rPr>
          <w:szCs w:val="24"/>
        </w:rPr>
      </w:pPr>
      <w:r w:rsidRPr="00570AA2">
        <w:rPr>
          <w:szCs w:val="24"/>
        </w:rPr>
        <w:t xml:space="preserve">This </w:t>
      </w:r>
      <w:r w:rsidR="0046022A" w:rsidRPr="00570AA2">
        <w:rPr>
          <w:szCs w:val="24"/>
        </w:rPr>
        <w:t>instrument</w:t>
      </w:r>
      <w:r w:rsidRPr="00570AA2">
        <w:rPr>
          <w:szCs w:val="24"/>
        </w:rPr>
        <w:t xml:space="preserve"> is compatible with the human rights and freedoms recognised or declared in the international instruments listed in section 3 of the </w:t>
      </w:r>
      <w:r w:rsidRPr="00570AA2">
        <w:rPr>
          <w:i/>
          <w:szCs w:val="24"/>
        </w:rPr>
        <w:t>Human Rights (Parliamentary Scrutiny) Act 2011</w:t>
      </w:r>
      <w:r w:rsidRPr="00570AA2">
        <w:rPr>
          <w:szCs w:val="24"/>
        </w:rPr>
        <w:t>.</w:t>
      </w:r>
    </w:p>
    <w:p w14:paraId="7EDA9098" w14:textId="306A78E1" w:rsidR="006E6BBF" w:rsidRPr="00570AA2" w:rsidRDefault="006E6BBF" w:rsidP="008734F5">
      <w:pPr>
        <w:spacing w:before="120" w:after="120"/>
        <w:rPr>
          <w:b/>
          <w:szCs w:val="24"/>
        </w:rPr>
      </w:pPr>
      <w:r w:rsidRPr="00570AA2">
        <w:rPr>
          <w:b/>
          <w:szCs w:val="24"/>
        </w:rPr>
        <w:t xml:space="preserve">Overview of the </w:t>
      </w:r>
      <w:r w:rsidR="00B86A9F" w:rsidRPr="00570AA2">
        <w:rPr>
          <w:b/>
          <w:szCs w:val="24"/>
        </w:rPr>
        <w:t>Determination</w:t>
      </w:r>
    </w:p>
    <w:p w14:paraId="773353EE" w14:textId="68A24F45" w:rsidR="005350E4" w:rsidRPr="00570AA2" w:rsidRDefault="005350E4" w:rsidP="005350E4">
      <w:pPr>
        <w:ind w:right="-483"/>
        <w:rPr>
          <w:szCs w:val="24"/>
        </w:rPr>
      </w:pPr>
      <w:r w:rsidRPr="00570AA2">
        <w:rPr>
          <w:szCs w:val="24"/>
        </w:rPr>
        <w:t xml:space="preserve">The purpose of the </w:t>
      </w:r>
      <w:r w:rsidRPr="00570AA2">
        <w:rPr>
          <w:i/>
          <w:iCs/>
          <w:szCs w:val="24"/>
        </w:rPr>
        <w:t>Health Insurance (Section 3C Pathology Services – Respiratory Pathogen Testing) Repeal Determination 2025</w:t>
      </w:r>
      <w:r w:rsidRPr="00570AA2">
        <w:rPr>
          <w:szCs w:val="24"/>
        </w:rPr>
        <w:t xml:space="preserve"> (the Repeal Determination) is to repeal the </w:t>
      </w:r>
      <w:r w:rsidRPr="00570AA2">
        <w:rPr>
          <w:i/>
          <w:iCs/>
          <w:szCs w:val="24"/>
        </w:rPr>
        <w:t>Health Insurance (Section 3C Pathology Services – Respiratory Pathogen Testing) Determination 2024</w:t>
      </w:r>
      <w:r w:rsidRPr="00570AA2">
        <w:rPr>
          <w:szCs w:val="24"/>
        </w:rPr>
        <w:t xml:space="preserve"> (the Principal Determination) from 1 March 2025. The Principal Determination</w:t>
      </w:r>
      <w:r w:rsidRPr="00570AA2" w:rsidDel="00814F2F">
        <w:rPr>
          <w:szCs w:val="24"/>
        </w:rPr>
        <w:t xml:space="preserve"> </w:t>
      </w:r>
      <w:r w:rsidRPr="00570AA2">
        <w:rPr>
          <w:szCs w:val="24"/>
        </w:rPr>
        <w:t xml:space="preserve">lists Medicare Benefits Schedule (MBS) items 69421 or 69422 for the detection of respiratory pathogen nucleic acid from a nasal swab, throat swab, nasopharyngeal aspirate and/or lower respiratory tract sample. </w:t>
      </w:r>
    </w:p>
    <w:p w14:paraId="0727B8A4" w14:textId="77777777" w:rsidR="005350E4" w:rsidRPr="00570AA2" w:rsidRDefault="005350E4" w:rsidP="005350E4">
      <w:pPr>
        <w:ind w:right="-483"/>
        <w:rPr>
          <w:szCs w:val="24"/>
        </w:rPr>
      </w:pPr>
    </w:p>
    <w:p w14:paraId="19E323B4" w14:textId="0C0DBB2F" w:rsidR="005350E4" w:rsidRPr="00570AA2" w:rsidRDefault="005350E4" w:rsidP="005350E4">
      <w:pPr>
        <w:ind w:right="-483"/>
        <w:rPr>
          <w:szCs w:val="24"/>
        </w:rPr>
      </w:pPr>
      <w:r w:rsidRPr="00570AA2">
        <w:rPr>
          <w:szCs w:val="24"/>
        </w:rPr>
        <w:t xml:space="preserve">From 1 March 2025, MBS items 69421 and 69422 will be incorporated into </w:t>
      </w:r>
      <w:r w:rsidR="004346A4" w:rsidRPr="00570AA2">
        <w:rPr>
          <w:szCs w:val="24"/>
        </w:rPr>
        <w:t xml:space="preserve">the </w:t>
      </w:r>
      <w:r w:rsidRPr="00570AA2">
        <w:rPr>
          <w:shd w:val="clear" w:color="auto" w:fill="FFFFFF"/>
        </w:rPr>
        <w:t xml:space="preserve">pathology services table (the Table) </w:t>
      </w:r>
      <w:r w:rsidRPr="00570AA2">
        <w:rPr>
          <w:szCs w:val="24"/>
        </w:rPr>
        <w:t xml:space="preserve">by the </w:t>
      </w:r>
      <w:bookmarkStart w:id="1" w:name="_Hlk187391659"/>
      <w:r w:rsidRPr="00570AA2">
        <w:rPr>
          <w:i/>
          <w:iCs/>
          <w:szCs w:val="24"/>
        </w:rPr>
        <w:t>Health Insurance Legislation Amendment (Hospital-Only Services and Other Measures) Regulations 2025</w:t>
      </w:r>
      <w:r w:rsidRPr="00570AA2">
        <w:rPr>
          <w:szCs w:val="24"/>
        </w:rPr>
        <w:t xml:space="preserve">. </w:t>
      </w:r>
      <w:bookmarkEnd w:id="1"/>
    </w:p>
    <w:p w14:paraId="39DD65BE" w14:textId="77777777" w:rsidR="005350E4" w:rsidRPr="00570AA2" w:rsidRDefault="005350E4" w:rsidP="005350E4">
      <w:pPr>
        <w:ind w:right="-483"/>
        <w:rPr>
          <w:szCs w:val="24"/>
        </w:rPr>
      </w:pPr>
    </w:p>
    <w:p w14:paraId="7D94EA15" w14:textId="77777777" w:rsidR="005350E4" w:rsidRPr="00570AA2" w:rsidRDefault="005350E4" w:rsidP="005350E4">
      <w:pPr>
        <w:ind w:right="-483"/>
        <w:rPr>
          <w:szCs w:val="24"/>
        </w:rPr>
      </w:pPr>
      <w:r w:rsidRPr="00570AA2">
        <w:rPr>
          <w:szCs w:val="24"/>
        </w:rPr>
        <w:t>This change is administrative in nature and patients will continue to have access to the pathology services under MBS items 69421 and 69422.</w:t>
      </w:r>
    </w:p>
    <w:p w14:paraId="2412D15C" w14:textId="50D38E8B" w:rsidR="00A17F2C" w:rsidRPr="00570AA2" w:rsidRDefault="00A17F2C" w:rsidP="00496A95">
      <w:pPr>
        <w:spacing w:before="120" w:after="120"/>
        <w:ind w:right="-482"/>
        <w:rPr>
          <w:b/>
          <w:szCs w:val="24"/>
        </w:rPr>
      </w:pPr>
      <w:r w:rsidRPr="00570AA2">
        <w:rPr>
          <w:b/>
          <w:szCs w:val="24"/>
        </w:rPr>
        <w:t>Human rights implications</w:t>
      </w:r>
    </w:p>
    <w:p w14:paraId="449665F0" w14:textId="2ED3F54B" w:rsidR="00806020" w:rsidRPr="00570AA2" w:rsidRDefault="00806020" w:rsidP="00806020">
      <w:pPr>
        <w:spacing w:before="120" w:after="120"/>
        <w:rPr>
          <w:szCs w:val="24"/>
        </w:rPr>
      </w:pPr>
      <w:r w:rsidRPr="00570AA2">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570AA2" w:rsidRDefault="00A17F2C" w:rsidP="00806020">
      <w:pPr>
        <w:spacing w:before="120" w:after="120"/>
        <w:rPr>
          <w:i/>
          <w:szCs w:val="24"/>
        </w:rPr>
      </w:pPr>
      <w:r w:rsidRPr="00570AA2">
        <w:rPr>
          <w:i/>
          <w:szCs w:val="24"/>
        </w:rPr>
        <w:t>The Right to Health</w:t>
      </w:r>
    </w:p>
    <w:p w14:paraId="2412D15F" w14:textId="77777777" w:rsidR="00A17F2C" w:rsidRPr="00570AA2" w:rsidRDefault="00A17F2C" w:rsidP="000337CB">
      <w:pPr>
        <w:spacing w:before="120" w:after="120"/>
        <w:rPr>
          <w:szCs w:val="24"/>
        </w:rPr>
      </w:pPr>
      <w:r w:rsidRPr="00570AA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570AA2">
        <w:rPr>
          <w:szCs w:val="24"/>
        </w:rPr>
        <w:t>healthy, but</w:t>
      </w:r>
      <w:proofErr w:type="gramEnd"/>
      <w:r w:rsidRPr="00570AA2">
        <w:rPr>
          <w:szCs w:val="24"/>
        </w:rPr>
        <w:t xml:space="preserve"> is a right to a system of health protection which provides equality of opportunity for people to enjoy the highest attainable level of health. </w:t>
      </w:r>
    </w:p>
    <w:p w14:paraId="2412D160" w14:textId="77777777" w:rsidR="00A17F2C" w:rsidRPr="00570AA2" w:rsidRDefault="00A17F2C" w:rsidP="000337CB">
      <w:pPr>
        <w:spacing w:before="120" w:after="120"/>
        <w:rPr>
          <w:szCs w:val="24"/>
        </w:rPr>
      </w:pPr>
      <w:r w:rsidRPr="00570AA2">
        <w:rPr>
          <w:szCs w:val="24"/>
        </w:rPr>
        <w:t xml:space="preserve">The Committee reports that the </w:t>
      </w:r>
      <w:r w:rsidRPr="00570AA2">
        <w:rPr>
          <w:i/>
          <w:szCs w:val="24"/>
        </w:rPr>
        <w:t>‘highest attainable standard of health’</w:t>
      </w:r>
      <w:r w:rsidRPr="00570AA2">
        <w:rPr>
          <w:szCs w:val="24"/>
        </w:rPr>
        <w:t xml:space="preserve"> </w:t>
      </w:r>
      <w:proofErr w:type="gramStart"/>
      <w:r w:rsidRPr="00570AA2">
        <w:rPr>
          <w:szCs w:val="24"/>
        </w:rPr>
        <w:t>takes into account</w:t>
      </w:r>
      <w:proofErr w:type="gramEnd"/>
      <w:r w:rsidRPr="00570AA2">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570AA2" w:rsidRDefault="00A17F2C" w:rsidP="000337CB">
      <w:pPr>
        <w:spacing w:before="120" w:after="120"/>
        <w:rPr>
          <w:i/>
          <w:szCs w:val="24"/>
        </w:rPr>
      </w:pPr>
      <w:r w:rsidRPr="00570AA2">
        <w:rPr>
          <w:i/>
          <w:szCs w:val="24"/>
        </w:rPr>
        <w:t xml:space="preserve">The Right to Social Security </w:t>
      </w:r>
    </w:p>
    <w:p w14:paraId="2412D162" w14:textId="77777777" w:rsidR="00A17F2C" w:rsidRPr="00570AA2" w:rsidRDefault="00A17F2C" w:rsidP="000337CB">
      <w:pPr>
        <w:spacing w:before="120" w:after="120"/>
        <w:rPr>
          <w:szCs w:val="24"/>
        </w:rPr>
      </w:pPr>
      <w:r w:rsidRPr="00570AA2">
        <w:rPr>
          <w:szCs w:val="24"/>
        </w:rPr>
        <w:t>The right to social security is contained in Article 9 of the ICESCR. It requires that a country must, within its maximum available resources, ensure access to a social security scheme that</w:t>
      </w:r>
      <w:r w:rsidR="00BA69CB" w:rsidRPr="00570AA2">
        <w:rPr>
          <w:szCs w:val="24"/>
        </w:rPr>
        <w:t xml:space="preserve"> </w:t>
      </w:r>
      <w:r w:rsidRPr="00570AA2">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570AA2">
        <w:rPr>
          <w:szCs w:val="24"/>
        </w:rPr>
        <w:t>in an effort to</w:t>
      </w:r>
      <w:proofErr w:type="gramEnd"/>
      <w:r w:rsidRPr="00570AA2">
        <w:rPr>
          <w:szCs w:val="24"/>
        </w:rPr>
        <w:t xml:space="preserve"> satisfy, as a matter of priority, this minimum obligation.</w:t>
      </w:r>
    </w:p>
    <w:p w14:paraId="0345FFEA" w14:textId="2A5A9406" w:rsidR="00A46B56" w:rsidRPr="00570AA2" w:rsidRDefault="00A17F2C" w:rsidP="000337CB">
      <w:pPr>
        <w:spacing w:before="120" w:after="120"/>
        <w:rPr>
          <w:szCs w:val="24"/>
        </w:rPr>
      </w:pPr>
      <w:r w:rsidRPr="00570AA2">
        <w:rPr>
          <w:szCs w:val="24"/>
        </w:rPr>
        <w:t xml:space="preserve">The Committee reports that there is a strong presumption that retrogressive measures taken in relation to the right to social security are prohibited under ICESCR. In this context, a </w:t>
      </w:r>
      <w:r w:rsidRPr="00570AA2">
        <w:rPr>
          <w:szCs w:val="24"/>
        </w:rPr>
        <w:lastRenderedPageBreak/>
        <w:t xml:space="preserve">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570AA2">
        <w:rPr>
          <w:szCs w:val="24"/>
        </w:rPr>
        <w:t>Government</w:t>
      </w:r>
      <w:proofErr w:type="gramEnd"/>
      <w:r w:rsidRPr="00570AA2">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570AA2" w:rsidRDefault="00A46B56" w:rsidP="00A46B56">
      <w:pPr>
        <w:shd w:val="clear" w:color="auto" w:fill="FFFFFF"/>
        <w:spacing w:before="120" w:after="120"/>
        <w:rPr>
          <w:color w:val="000000"/>
          <w:szCs w:val="24"/>
        </w:rPr>
      </w:pPr>
      <w:r w:rsidRPr="00570AA2">
        <w:rPr>
          <w:i/>
          <w:iCs/>
          <w:color w:val="000000"/>
          <w:szCs w:val="24"/>
        </w:rPr>
        <w:t>The right of equality and non-discrimination</w:t>
      </w:r>
    </w:p>
    <w:p w14:paraId="11907FD2" w14:textId="43837338" w:rsidR="00A46B56" w:rsidRPr="00570AA2" w:rsidRDefault="00A46B56" w:rsidP="00A46B56">
      <w:pPr>
        <w:spacing w:before="120" w:after="120"/>
        <w:rPr>
          <w:szCs w:val="24"/>
        </w:rPr>
      </w:pPr>
      <w:r w:rsidRPr="00570AA2">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DA789A0" w14:textId="3304ADED" w:rsidR="00640885" w:rsidRPr="00570AA2" w:rsidRDefault="00A17F2C" w:rsidP="00640885">
      <w:pPr>
        <w:spacing w:before="120" w:after="120"/>
        <w:rPr>
          <w:szCs w:val="24"/>
          <w:u w:val="single"/>
        </w:rPr>
      </w:pPr>
      <w:r w:rsidRPr="00570AA2">
        <w:rPr>
          <w:szCs w:val="24"/>
          <w:u w:val="single"/>
        </w:rPr>
        <w:t xml:space="preserve">Analysis </w:t>
      </w:r>
    </w:p>
    <w:p w14:paraId="2F578F73" w14:textId="7F79EEDA" w:rsidR="00640885" w:rsidRPr="00570AA2" w:rsidRDefault="00640885" w:rsidP="00640885">
      <w:pPr>
        <w:rPr>
          <w:szCs w:val="24"/>
        </w:rPr>
      </w:pPr>
      <w:r w:rsidRPr="00570AA2">
        <w:rPr>
          <w:szCs w:val="24"/>
        </w:rPr>
        <w:t>This instrument does not affect the rights to health and social security and the right of equality and non-discrimination</w:t>
      </w:r>
      <w:r w:rsidR="001C14DE" w:rsidRPr="00570AA2">
        <w:rPr>
          <w:szCs w:val="24"/>
        </w:rPr>
        <w:t>. Patients and medical practitioners will continue to be able to receive or render (respectively) pathology services to which</w:t>
      </w:r>
      <w:r w:rsidR="0062357C" w:rsidRPr="00570AA2">
        <w:rPr>
          <w:szCs w:val="24"/>
        </w:rPr>
        <w:t xml:space="preserve"> MBS</w:t>
      </w:r>
      <w:r w:rsidR="001C14DE" w:rsidRPr="00570AA2">
        <w:rPr>
          <w:szCs w:val="24"/>
        </w:rPr>
        <w:t xml:space="preserve"> items 69421 or 69422 apply as these will be prescribed in the </w:t>
      </w:r>
      <w:r w:rsidR="008C3F02" w:rsidRPr="00570AA2">
        <w:rPr>
          <w:szCs w:val="24"/>
        </w:rPr>
        <w:t>Table</w:t>
      </w:r>
      <w:r w:rsidR="001C14DE" w:rsidRPr="00570AA2">
        <w:rPr>
          <w:szCs w:val="24"/>
        </w:rPr>
        <w:t xml:space="preserve"> from 1 March 2025.</w:t>
      </w:r>
    </w:p>
    <w:p w14:paraId="2412D166" w14:textId="1973400E" w:rsidR="00A17F2C" w:rsidRPr="00570AA2" w:rsidRDefault="00A17F2C" w:rsidP="004B7CB9">
      <w:pPr>
        <w:spacing w:before="120" w:after="120" w:line="276" w:lineRule="auto"/>
        <w:rPr>
          <w:rFonts w:eastAsia="Calibri"/>
          <w:b/>
          <w:szCs w:val="24"/>
          <w:lang w:eastAsia="en-US"/>
        </w:rPr>
      </w:pPr>
      <w:r w:rsidRPr="00570AA2">
        <w:rPr>
          <w:rFonts w:eastAsia="Calibri"/>
          <w:b/>
          <w:szCs w:val="24"/>
          <w:lang w:eastAsia="en-US"/>
        </w:rPr>
        <w:t xml:space="preserve">Conclusion </w:t>
      </w:r>
    </w:p>
    <w:p w14:paraId="5D1D9C4E" w14:textId="77777777" w:rsidR="00640885" w:rsidRPr="00570AA2" w:rsidRDefault="00640885" w:rsidP="00640885">
      <w:pPr>
        <w:rPr>
          <w:szCs w:val="24"/>
        </w:rPr>
      </w:pPr>
      <w:r w:rsidRPr="00570AA2">
        <w:rPr>
          <w:szCs w:val="24"/>
        </w:rPr>
        <w:t>This instrument is compatible with human rights as it maintains the right to health, the right</w:t>
      </w:r>
    </w:p>
    <w:p w14:paraId="2412D168" w14:textId="54024A8E" w:rsidR="00F15284" w:rsidRPr="00570AA2" w:rsidRDefault="00640885" w:rsidP="00640885">
      <w:pPr>
        <w:rPr>
          <w:rFonts w:eastAsia="Calibri"/>
          <w:szCs w:val="24"/>
          <w:lang w:eastAsia="en-US"/>
        </w:rPr>
      </w:pPr>
      <w:r w:rsidRPr="00570AA2">
        <w:rPr>
          <w:szCs w:val="24"/>
        </w:rPr>
        <w:t>to social security and the right of equality and non-discrimination.</w:t>
      </w:r>
    </w:p>
    <w:p w14:paraId="1A4FB0F3" w14:textId="0F62D819" w:rsidR="001B6095" w:rsidRPr="00570AA2" w:rsidRDefault="001B6095" w:rsidP="00640885">
      <w:pPr>
        <w:shd w:val="clear" w:color="auto" w:fill="FFFFFF"/>
        <w:spacing w:line="240" w:lineRule="atLeast"/>
        <w:ind w:right="-23"/>
        <w:rPr>
          <w:szCs w:val="22"/>
        </w:rPr>
      </w:pPr>
    </w:p>
    <w:p w14:paraId="6987558D" w14:textId="1A3DD073" w:rsidR="00640885" w:rsidRPr="00570AA2" w:rsidRDefault="00625178" w:rsidP="00640885">
      <w:pPr>
        <w:jc w:val="center"/>
        <w:rPr>
          <w:b/>
          <w:bCs/>
        </w:rPr>
      </w:pPr>
      <w:r w:rsidRPr="00570AA2">
        <w:rPr>
          <w:b/>
          <w:bCs/>
        </w:rPr>
        <w:t>Michael Ryan</w:t>
      </w:r>
    </w:p>
    <w:p w14:paraId="07EA01D4" w14:textId="23A78C3D" w:rsidR="00640885" w:rsidRPr="00570AA2" w:rsidRDefault="00625178" w:rsidP="00640885">
      <w:pPr>
        <w:jc w:val="center"/>
        <w:rPr>
          <w:b/>
          <w:bCs/>
        </w:rPr>
      </w:pPr>
      <w:r w:rsidRPr="00570AA2">
        <w:rPr>
          <w:b/>
          <w:bCs/>
        </w:rPr>
        <w:t xml:space="preserve">Acting </w:t>
      </w:r>
      <w:r w:rsidR="00640885" w:rsidRPr="00570AA2">
        <w:rPr>
          <w:b/>
          <w:bCs/>
        </w:rPr>
        <w:t>Assistant Secretary</w:t>
      </w:r>
    </w:p>
    <w:p w14:paraId="3754E24E" w14:textId="77777777" w:rsidR="00640885" w:rsidRPr="00570AA2" w:rsidRDefault="00640885" w:rsidP="00640885">
      <w:pPr>
        <w:jc w:val="center"/>
        <w:rPr>
          <w:b/>
          <w:bCs/>
        </w:rPr>
      </w:pPr>
      <w:r w:rsidRPr="00570AA2">
        <w:rPr>
          <w:b/>
          <w:bCs/>
        </w:rPr>
        <w:t>Diagnostic Imaging and Pathology Branch</w:t>
      </w:r>
    </w:p>
    <w:p w14:paraId="4E7A9E54" w14:textId="77777777" w:rsidR="00640885" w:rsidRPr="00570AA2" w:rsidRDefault="00640885" w:rsidP="00640885">
      <w:pPr>
        <w:jc w:val="center"/>
        <w:rPr>
          <w:b/>
          <w:bCs/>
        </w:rPr>
      </w:pPr>
      <w:r w:rsidRPr="00570AA2">
        <w:rPr>
          <w:b/>
          <w:bCs/>
        </w:rPr>
        <w:t>Medicare Benefits and Digital Health Division</w:t>
      </w:r>
    </w:p>
    <w:p w14:paraId="7E442A4C" w14:textId="27C4E6C1" w:rsidR="001B6095" w:rsidRPr="00570AA2" w:rsidRDefault="00640885" w:rsidP="00640885">
      <w:pPr>
        <w:jc w:val="center"/>
        <w:rPr>
          <w:b/>
          <w:bCs/>
        </w:rPr>
      </w:pPr>
      <w:r w:rsidRPr="00570AA2">
        <w:rPr>
          <w:b/>
          <w:bCs/>
        </w:rPr>
        <w:t>Health Resourcing Group</w:t>
      </w:r>
    </w:p>
    <w:p w14:paraId="2412D16E" w14:textId="2ED9830C" w:rsidR="00636C51" w:rsidRPr="00640885" w:rsidRDefault="000F2948" w:rsidP="001B6095">
      <w:pPr>
        <w:jc w:val="center"/>
        <w:rPr>
          <w:b/>
          <w:bCs/>
        </w:rPr>
      </w:pPr>
      <w:r w:rsidRPr="00570AA2">
        <w:rPr>
          <w:b/>
          <w:bCs/>
        </w:rPr>
        <w:t>Department of Health</w:t>
      </w:r>
      <w:r w:rsidR="2ED9830C" w:rsidRPr="00570AA2">
        <w:rPr>
          <w:b/>
          <w:bCs/>
        </w:rPr>
        <w:t xml:space="preserve"> and Aged Care</w:t>
      </w:r>
    </w:p>
    <w:sectPr w:rsidR="00636C51" w:rsidRPr="00640885"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A194" w14:textId="77777777" w:rsidR="00746201" w:rsidRDefault="00746201">
      <w:r>
        <w:separator/>
      </w:r>
    </w:p>
  </w:endnote>
  <w:endnote w:type="continuationSeparator" w:id="0">
    <w:p w14:paraId="57B4807F" w14:textId="77777777" w:rsidR="00746201" w:rsidRDefault="0074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BA46" w14:textId="77777777" w:rsidR="00746201" w:rsidRDefault="00746201">
      <w:r>
        <w:separator/>
      </w:r>
    </w:p>
  </w:footnote>
  <w:footnote w:type="continuationSeparator" w:id="0">
    <w:p w14:paraId="06D929D2" w14:textId="77777777" w:rsidR="00746201" w:rsidRDefault="0074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355207">
    <w:abstractNumId w:val="23"/>
  </w:num>
  <w:num w:numId="2" w16cid:durableId="1061444269">
    <w:abstractNumId w:val="1"/>
  </w:num>
  <w:num w:numId="3" w16cid:durableId="322010786">
    <w:abstractNumId w:val="2"/>
  </w:num>
  <w:num w:numId="4" w16cid:durableId="662509835">
    <w:abstractNumId w:val="11"/>
  </w:num>
  <w:num w:numId="5" w16cid:durableId="77027094">
    <w:abstractNumId w:val="17"/>
  </w:num>
  <w:num w:numId="6" w16cid:durableId="1658724356">
    <w:abstractNumId w:val="9"/>
  </w:num>
  <w:num w:numId="7" w16cid:durableId="1997144658">
    <w:abstractNumId w:val="28"/>
  </w:num>
  <w:num w:numId="8" w16cid:durableId="16079517">
    <w:abstractNumId w:val="6"/>
  </w:num>
  <w:num w:numId="9" w16cid:durableId="2095782040">
    <w:abstractNumId w:val="5"/>
  </w:num>
  <w:num w:numId="10" w16cid:durableId="324213170">
    <w:abstractNumId w:val="30"/>
  </w:num>
  <w:num w:numId="11" w16cid:durableId="1306853818">
    <w:abstractNumId w:val="27"/>
  </w:num>
  <w:num w:numId="12" w16cid:durableId="693503320">
    <w:abstractNumId w:val="12"/>
  </w:num>
  <w:num w:numId="13" w16cid:durableId="2028748485">
    <w:abstractNumId w:val="14"/>
  </w:num>
  <w:num w:numId="14" w16cid:durableId="1599563022">
    <w:abstractNumId w:val="25"/>
  </w:num>
  <w:num w:numId="15" w16cid:durableId="490415701">
    <w:abstractNumId w:val="7"/>
  </w:num>
  <w:num w:numId="16" w16cid:durableId="2053923571">
    <w:abstractNumId w:val="19"/>
  </w:num>
  <w:num w:numId="17" w16cid:durableId="928343881">
    <w:abstractNumId w:val="22"/>
  </w:num>
  <w:num w:numId="18" w16cid:durableId="1908152402">
    <w:abstractNumId w:val="20"/>
  </w:num>
  <w:num w:numId="19" w16cid:durableId="566571056">
    <w:abstractNumId w:val="3"/>
  </w:num>
  <w:num w:numId="20" w16cid:durableId="1026098210">
    <w:abstractNumId w:val="10"/>
  </w:num>
  <w:num w:numId="21" w16cid:durableId="665406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3390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9737167">
    <w:abstractNumId w:val="0"/>
  </w:num>
  <w:num w:numId="24" w16cid:durableId="1897083698">
    <w:abstractNumId w:val="21"/>
  </w:num>
  <w:num w:numId="25" w16cid:durableId="1783185344">
    <w:abstractNumId w:val="8"/>
  </w:num>
  <w:num w:numId="26" w16cid:durableId="1732654892">
    <w:abstractNumId w:val="4"/>
  </w:num>
  <w:num w:numId="27" w16cid:durableId="572353090">
    <w:abstractNumId w:val="15"/>
  </w:num>
  <w:num w:numId="28" w16cid:durableId="1338146397">
    <w:abstractNumId w:val="29"/>
  </w:num>
  <w:num w:numId="29" w16cid:durableId="1903984214">
    <w:abstractNumId w:val="16"/>
  </w:num>
  <w:num w:numId="30" w16cid:durableId="1296713413">
    <w:abstractNumId w:val="26"/>
  </w:num>
  <w:num w:numId="31" w16cid:durableId="278679894">
    <w:abstractNumId w:val="13"/>
  </w:num>
  <w:num w:numId="32" w16cid:durableId="31132608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1B7"/>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0CF"/>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22944"/>
    <w:rsid w:val="00132087"/>
    <w:rsid w:val="00132C9C"/>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3DAB"/>
    <w:rsid w:val="0018451D"/>
    <w:rsid w:val="001865F8"/>
    <w:rsid w:val="00186752"/>
    <w:rsid w:val="001867EA"/>
    <w:rsid w:val="00187EE5"/>
    <w:rsid w:val="00190FC9"/>
    <w:rsid w:val="0019289B"/>
    <w:rsid w:val="001929C3"/>
    <w:rsid w:val="001942E4"/>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4DE"/>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35AF"/>
    <w:rsid w:val="00215191"/>
    <w:rsid w:val="00216C44"/>
    <w:rsid w:val="00217EBF"/>
    <w:rsid w:val="00220EE3"/>
    <w:rsid w:val="00221C4B"/>
    <w:rsid w:val="002227DF"/>
    <w:rsid w:val="0022342C"/>
    <w:rsid w:val="0022384B"/>
    <w:rsid w:val="00225B50"/>
    <w:rsid w:val="00225D8E"/>
    <w:rsid w:val="002264F4"/>
    <w:rsid w:val="002302F6"/>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0396"/>
    <w:rsid w:val="002C1BFE"/>
    <w:rsid w:val="002C4F5B"/>
    <w:rsid w:val="002C54A1"/>
    <w:rsid w:val="002C5DCD"/>
    <w:rsid w:val="002D03AB"/>
    <w:rsid w:val="002D2A4E"/>
    <w:rsid w:val="002D361F"/>
    <w:rsid w:val="002D5294"/>
    <w:rsid w:val="002D59E0"/>
    <w:rsid w:val="002D5DFC"/>
    <w:rsid w:val="002D5E92"/>
    <w:rsid w:val="002D6269"/>
    <w:rsid w:val="002D629A"/>
    <w:rsid w:val="002E12C3"/>
    <w:rsid w:val="002E3493"/>
    <w:rsid w:val="002E35BF"/>
    <w:rsid w:val="002E4BDC"/>
    <w:rsid w:val="002E5708"/>
    <w:rsid w:val="002E5F5C"/>
    <w:rsid w:val="002E6FD5"/>
    <w:rsid w:val="002E7D88"/>
    <w:rsid w:val="002F0434"/>
    <w:rsid w:val="002F0CC3"/>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3917"/>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3934"/>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46A4"/>
    <w:rsid w:val="00437B1B"/>
    <w:rsid w:val="004405B8"/>
    <w:rsid w:val="004417A2"/>
    <w:rsid w:val="00442F9D"/>
    <w:rsid w:val="00444782"/>
    <w:rsid w:val="00444EDF"/>
    <w:rsid w:val="004456A4"/>
    <w:rsid w:val="00445A6D"/>
    <w:rsid w:val="00446A6B"/>
    <w:rsid w:val="004510F0"/>
    <w:rsid w:val="0045189C"/>
    <w:rsid w:val="00451A88"/>
    <w:rsid w:val="004524A0"/>
    <w:rsid w:val="00456B1D"/>
    <w:rsid w:val="0046022A"/>
    <w:rsid w:val="004636B4"/>
    <w:rsid w:val="004641DC"/>
    <w:rsid w:val="00464AC7"/>
    <w:rsid w:val="004669A4"/>
    <w:rsid w:val="00466A5B"/>
    <w:rsid w:val="0046799A"/>
    <w:rsid w:val="00473742"/>
    <w:rsid w:val="0047494B"/>
    <w:rsid w:val="004752FC"/>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6A95"/>
    <w:rsid w:val="00497EC1"/>
    <w:rsid w:val="004A0313"/>
    <w:rsid w:val="004A0A89"/>
    <w:rsid w:val="004A0BE6"/>
    <w:rsid w:val="004A2249"/>
    <w:rsid w:val="004A26E0"/>
    <w:rsid w:val="004A524A"/>
    <w:rsid w:val="004A56D3"/>
    <w:rsid w:val="004A6B0F"/>
    <w:rsid w:val="004B1ECE"/>
    <w:rsid w:val="004B2822"/>
    <w:rsid w:val="004B38C8"/>
    <w:rsid w:val="004B5C2E"/>
    <w:rsid w:val="004B7CB9"/>
    <w:rsid w:val="004C10BA"/>
    <w:rsid w:val="004C27EB"/>
    <w:rsid w:val="004C33D9"/>
    <w:rsid w:val="004C357A"/>
    <w:rsid w:val="004C405B"/>
    <w:rsid w:val="004C5B35"/>
    <w:rsid w:val="004C68D1"/>
    <w:rsid w:val="004C6AE7"/>
    <w:rsid w:val="004C72E8"/>
    <w:rsid w:val="004D04DF"/>
    <w:rsid w:val="004D1A2C"/>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181A"/>
    <w:rsid w:val="0052430B"/>
    <w:rsid w:val="00525D51"/>
    <w:rsid w:val="005312B5"/>
    <w:rsid w:val="00532CD3"/>
    <w:rsid w:val="005345A9"/>
    <w:rsid w:val="00534D8A"/>
    <w:rsid w:val="005350E4"/>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4958"/>
    <w:rsid w:val="0055529B"/>
    <w:rsid w:val="005555B8"/>
    <w:rsid w:val="005567CF"/>
    <w:rsid w:val="005642D9"/>
    <w:rsid w:val="00564C2B"/>
    <w:rsid w:val="00564C37"/>
    <w:rsid w:val="00564D84"/>
    <w:rsid w:val="00570AA2"/>
    <w:rsid w:val="00570F2B"/>
    <w:rsid w:val="0057258C"/>
    <w:rsid w:val="00573651"/>
    <w:rsid w:val="00574E71"/>
    <w:rsid w:val="00576FD5"/>
    <w:rsid w:val="005811D8"/>
    <w:rsid w:val="00581904"/>
    <w:rsid w:val="00582B3F"/>
    <w:rsid w:val="00583643"/>
    <w:rsid w:val="00585309"/>
    <w:rsid w:val="005857E8"/>
    <w:rsid w:val="005858CB"/>
    <w:rsid w:val="0058699E"/>
    <w:rsid w:val="00586CE9"/>
    <w:rsid w:val="00590B04"/>
    <w:rsid w:val="00592F78"/>
    <w:rsid w:val="00594EB6"/>
    <w:rsid w:val="00597527"/>
    <w:rsid w:val="0059798F"/>
    <w:rsid w:val="00597EC9"/>
    <w:rsid w:val="005A0300"/>
    <w:rsid w:val="005A163F"/>
    <w:rsid w:val="005A3D73"/>
    <w:rsid w:val="005A3D8D"/>
    <w:rsid w:val="005A445D"/>
    <w:rsid w:val="005A6498"/>
    <w:rsid w:val="005B0EA3"/>
    <w:rsid w:val="005B1B0A"/>
    <w:rsid w:val="005B3A65"/>
    <w:rsid w:val="005B5062"/>
    <w:rsid w:val="005B6234"/>
    <w:rsid w:val="005B7596"/>
    <w:rsid w:val="005C394E"/>
    <w:rsid w:val="005C4A91"/>
    <w:rsid w:val="005C5824"/>
    <w:rsid w:val="005C6118"/>
    <w:rsid w:val="005D3575"/>
    <w:rsid w:val="005D3CED"/>
    <w:rsid w:val="005D538F"/>
    <w:rsid w:val="005D63D9"/>
    <w:rsid w:val="005D68D1"/>
    <w:rsid w:val="005E16A4"/>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57C"/>
    <w:rsid w:val="006237CC"/>
    <w:rsid w:val="00625178"/>
    <w:rsid w:val="00627C91"/>
    <w:rsid w:val="00635031"/>
    <w:rsid w:val="006369D4"/>
    <w:rsid w:val="00636C51"/>
    <w:rsid w:val="006407FA"/>
    <w:rsid w:val="00640885"/>
    <w:rsid w:val="00642537"/>
    <w:rsid w:val="006427B2"/>
    <w:rsid w:val="00642BEB"/>
    <w:rsid w:val="00647426"/>
    <w:rsid w:val="00647590"/>
    <w:rsid w:val="006526F5"/>
    <w:rsid w:val="00655E6D"/>
    <w:rsid w:val="00656275"/>
    <w:rsid w:val="00657702"/>
    <w:rsid w:val="006619F5"/>
    <w:rsid w:val="006629F9"/>
    <w:rsid w:val="006639F0"/>
    <w:rsid w:val="0066562D"/>
    <w:rsid w:val="0066727B"/>
    <w:rsid w:val="00670998"/>
    <w:rsid w:val="00672050"/>
    <w:rsid w:val="00673872"/>
    <w:rsid w:val="00674A34"/>
    <w:rsid w:val="006824C9"/>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46201"/>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24C7"/>
    <w:rsid w:val="007D3891"/>
    <w:rsid w:val="007D4584"/>
    <w:rsid w:val="007D4A14"/>
    <w:rsid w:val="007D63F1"/>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4F2F"/>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02CB"/>
    <w:rsid w:val="00852FB1"/>
    <w:rsid w:val="0085475F"/>
    <w:rsid w:val="00854DC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687E"/>
    <w:rsid w:val="008A79C6"/>
    <w:rsid w:val="008B0DF3"/>
    <w:rsid w:val="008B2094"/>
    <w:rsid w:val="008B28F2"/>
    <w:rsid w:val="008B444F"/>
    <w:rsid w:val="008B683E"/>
    <w:rsid w:val="008C0EF7"/>
    <w:rsid w:val="008C11A2"/>
    <w:rsid w:val="008C20F7"/>
    <w:rsid w:val="008C3F02"/>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0AA7"/>
    <w:rsid w:val="00921DD1"/>
    <w:rsid w:val="009225FE"/>
    <w:rsid w:val="00923D31"/>
    <w:rsid w:val="00923F94"/>
    <w:rsid w:val="00926DD3"/>
    <w:rsid w:val="00935308"/>
    <w:rsid w:val="009361FD"/>
    <w:rsid w:val="009406D2"/>
    <w:rsid w:val="00940F17"/>
    <w:rsid w:val="009414C5"/>
    <w:rsid w:val="009427F2"/>
    <w:rsid w:val="00944F64"/>
    <w:rsid w:val="009459DE"/>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6C2"/>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3FA"/>
    <w:rsid w:val="00AD1A30"/>
    <w:rsid w:val="00AD7829"/>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3FF4"/>
    <w:rsid w:val="00B34BDE"/>
    <w:rsid w:val="00B34EF9"/>
    <w:rsid w:val="00B3578F"/>
    <w:rsid w:val="00B35B2C"/>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3D98"/>
    <w:rsid w:val="00B84886"/>
    <w:rsid w:val="00B84958"/>
    <w:rsid w:val="00B86A9F"/>
    <w:rsid w:val="00B8757F"/>
    <w:rsid w:val="00B90E4C"/>
    <w:rsid w:val="00B910E8"/>
    <w:rsid w:val="00B93137"/>
    <w:rsid w:val="00B9328C"/>
    <w:rsid w:val="00B94CD8"/>
    <w:rsid w:val="00B96F16"/>
    <w:rsid w:val="00B97A54"/>
    <w:rsid w:val="00BA0974"/>
    <w:rsid w:val="00BA1526"/>
    <w:rsid w:val="00BA20B7"/>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BF6A87"/>
    <w:rsid w:val="00C0045E"/>
    <w:rsid w:val="00C00FC7"/>
    <w:rsid w:val="00C00FD8"/>
    <w:rsid w:val="00C05E84"/>
    <w:rsid w:val="00C073E4"/>
    <w:rsid w:val="00C07C34"/>
    <w:rsid w:val="00C136F7"/>
    <w:rsid w:val="00C13962"/>
    <w:rsid w:val="00C154E6"/>
    <w:rsid w:val="00C158B5"/>
    <w:rsid w:val="00C16E23"/>
    <w:rsid w:val="00C17ED8"/>
    <w:rsid w:val="00C2082B"/>
    <w:rsid w:val="00C2099C"/>
    <w:rsid w:val="00C20DBA"/>
    <w:rsid w:val="00C23920"/>
    <w:rsid w:val="00C23B22"/>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0DE9"/>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1B5B"/>
    <w:rsid w:val="00CA62C0"/>
    <w:rsid w:val="00CA6D21"/>
    <w:rsid w:val="00CA73CB"/>
    <w:rsid w:val="00CA79BB"/>
    <w:rsid w:val="00CB4161"/>
    <w:rsid w:val="00CB43A2"/>
    <w:rsid w:val="00CB6DE1"/>
    <w:rsid w:val="00CB7730"/>
    <w:rsid w:val="00CC12A0"/>
    <w:rsid w:val="00CC26A8"/>
    <w:rsid w:val="00CC3578"/>
    <w:rsid w:val="00CC4CED"/>
    <w:rsid w:val="00CC6EBB"/>
    <w:rsid w:val="00CD4A21"/>
    <w:rsid w:val="00CE3A6F"/>
    <w:rsid w:val="00CE443B"/>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140"/>
    <w:rsid w:val="00D5065B"/>
    <w:rsid w:val="00D51CBC"/>
    <w:rsid w:val="00D548E4"/>
    <w:rsid w:val="00D56338"/>
    <w:rsid w:val="00D5654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D5F48"/>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40F6"/>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378B0"/>
    <w:rsid w:val="00E4250F"/>
    <w:rsid w:val="00E44A7E"/>
    <w:rsid w:val="00E46A7E"/>
    <w:rsid w:val="00E46CE8"/>
    <w:rsid w:val="00E51559"/>
    <w:rsid w:val="00E548DB"/>
    <w:rsid w:val="00E552BD"/>
    <w:rsid w:val="00E55649"/>
    <w:rsid w:val="00E56A50"/>
    <w:rsid w:val="00E573FE"/>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278DD"/>
    <w:rsid w:val="00F3168B"/>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41B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03DA"/>
    <w:rsid w:val="00FA2611"/>
    <w:rsid w:val="00FA29C9"/>
    <w:rsid w:val="00FA2D81"/>
    <w:rsid w:val="00FA3F17"/>
    <w:rsid w:val="00FA49C5"/>
    <w:rsid w:val="00FA5BD2"/>
    <w:rsid w:val="00FA6175"/>
    <w:rsid w:val="00FA6784"/>
    <w:rsid w:val="00FA7E00"/>
    <w:rsid w:val="00FB1780"/>
    <w:rsid w:val="00FB35C6"/>
    <w:rsid w:val="00FB4C5A"/>
    <w:rsid w:val="00FB54D9"/>
    <w:rsid w:val="00FB5BFA"/>
    <w:rsid w:val="00FB6F79"/>
    <w:rsid w:val="00FC10F6"/>
    <w:rsid w:val="00FC33A2"/>
    <w:rsid w:val="00FC7C25"/>
    <w:rsid w:val="00FD1C2E"/>
    <w:rsid w:val="00FD3574"/>
    <w:rsid w:val="00FD602D"/>
    <w:rsid w:val="00FD60D2"/>
    <w:rsid w:val="00FD6A7D"/>
    <w:rsid w:val="00FD6FC9"/>
    <w:rsid w:val="00FE02C2"/>
    <w:rsid w:val="00FE2D34"/>
    <w:rsid w:val="00FF21A4"/>
    <w:rsid w:val="00FF26F6"/>
    <w:rsid w:val="00FF35E2"/>
    <w:rsid w:val="00FF7848"/>
    <w:rsid w:val="1A4D75F3"/>
    <w:rsid w:val="2B3FB57B"/>
    <w:rsid w:val="2ED9830C"/>
    <w:rsid w:val="47F77DFF"/>
    <w:rsid w:val="6270D379"/>
    <w:rsid w:val="74C12694"/>
    <w:rsid w:val="76A989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3979455">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64130134">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52630428">
      <w:bodyDiv w:val="1"/>
      <w:marLeft w:val="0"/>
      <w:marRight w:val="0"/>
      <w:marTop w:val="0"/>
      <w:marBottom w:val="0"/>
      <w:divBdr>
        <w:top w:val="none" w:sz="0" w:space="0" w:color="auto"/>
        <w:left w:val="none" w:sz="0" w:space="0" w:color="auto"/>
        <w:bottom w:val="none" w:sz="0" w:space="0" w:color="auto"/>
        <w:right w:val="none" w:sz="0" w:space="0" w:color="auto"/>
      </w:divBdr>
    </w:div>
    <w:div w:id="788159045">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6" ma:contentTypeDescription="Create a new document." ma:contentTypeScope="" ma:versionID="8d6dee2a2b281f4c86cc4c9a8745536c">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12b646de439c92b66868a64f4e531dc1"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3.xml><?xml version="1.0" encoding="utf-8"?>
<ds:datastoreItem xmlns:ds="http://schemas.openxmlformats.org/officeDocument/2006/customXml" ds:itemID="{9B76B95B-F9FE-4F36-BFF8-772C442B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Diana</cp:lastModifiedBy>
  <cp:revision>4</cp:revision>
  <cp:lastPrinted>2019-09-23T06:46:00Z</cp:lastPrinted>
  <dcterms:created xsi:type="dcterms:W3CDTF">2025-02-07T05:26:00Z</dcterms:created>
  <dcterms:modified xsi:type="dcterms:W3CDTF">2025-02-07T05:27:00Z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y fmtid="{D5CDD505-2E9C-101B-9397-08002B2CF9AE}" pid="9" name="MediaServiceImageTags">
    <vt:lpwstr/>
  </property>
</Properties>
</file>