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417FB" w14:textId="03811715" w:rsidR="00BA4F48" w:rsidRPr="00601B0E" w:rsidRDefault="006315CC" w:rsidP="00B75758">
      <w:pPr>
        <w:spacing w:before="520" w:after="1800"/>
        <w:jc w:val="center"/>
        <w:rPr>
          <w:b/>
          <w:sz w:val="40"/>
          <w:szCs w:val="40"/>
        </w:rPr>
      </w:pPr>
      <w:r w:rsidRPr="006315CC">
        <w:rPr>
          <w:b/>
          <w:sz w:val="40"/>
          <w:szCs w:val="40"/>
        </w:rPr>
        <w:t xml:space="preserve">Vehicle Standard (Australian Design Rule) </w:t>
      </w:r>
      <w:r w:rsidR="00282695">
        <w:rPr>
          <w:b/>
          <w:sz w:val="40"/>
          <w:szCs w:val="40"/>
        </w:rPr>
        <w:t>Mob</w:t>
      </w:r>
      <w:r w:rsidR="00000E4F">
        <w:rPr>
          <w:b/>
          <w:sz w:val="40"/>
          <w:szCs w:val="40"/>
        </w:rPr>
        <w:t>i</w:t>
      </w:r>
      <w:r w:rsidR="00282695">
        <w:rPr>
          <w:b/>
          <w:sz w:val="40"/>
          <w:szCs w:val="40"/>
        </w:rPr>
        <w:t>le</w:t>
      </w:r>
      <w:r w:rsidR="00B5708F">
        <w:rPr>
          <w:b/>
          <w:sz w:val="40"/>
          <w:szCs w:val="40"/>
        </w:rPr>
        <w:t> </w:t>
      </w:r>
      <w:r w:rsidR="00282695">
        <w:rPr>
          <w:b/>
          <w:sz w:val="40"/>
          <w:szCs w:val="40"/>
        </w:rPr>
        <w:t xml:space="preserve">Crane </w:t>
      </w:r>
      <w:r w:rsidR="0021755F">
        <w:rPr>
          <w:b/>
          <w:sz w:val="40"/>
          <w:szCs w:val="40"/>
        </w:rPr>
        <w:t xml:space="preserve">and Other </w:t>
      </w:r>
      <w:r w:rsidR="00282695">
        <w:rPr>
          <w:b/>
          <w:sz w:val="40"/>
          <w:szCs w:val="40"/>
        </w:rPr>
        <w:t>Amen</w:t>
      </w:r>
      <w:bookmarkStart w:id="0" w:name="_GoBack"/>
      <w:bookmarkEnd w:id="0"/>
      <w:r w:rsidR="00282695">
        <w:rPr>
          <w:b/>
          <w:sz w:val="40"/>
          <w:szCs w:val="40"/>
        </w:rPr>
        <w:t>dments</w:t>
      </w:r>
      <w:r w:rsidR="00C5670B">
        <w:rPr>
          <w:b/>
          <w:sz w:val="40"/>
          <w:szCs w:val="40"/>
        </w:rPr>
        <w:t xml:space="preserve"> 202</w:t>
      </w:r>
      <w:r w:rsidR="0056539E">
        <w:rPr>
          <w:b/>
          <w:sz w:val="40"/>
          <w:szCs w:val="40"/>
        </w:rPr>
        <w:t>5</w:t>
      </w:r>
    </w:p>
    <w:p w14:paraId="68066112" w14:textId="3E84CF82" w:rsidR="00BA4F48" w:rsidRPr="00601B0E" w:rsidRDefault="009C484B" w:rsidP="00B75758">
      <w:pPr>
        <w:spacing w:after="2160"/>
        <w:jc w:val="center"/>
      </w:pPr>
      <w:r w:rsidRPr="00E7180C">
        <w:t xml:space="preserve">Made </w:t>
      </w:r>
      <w:r w:rsidRPr="00867553">
        <w:t xml:space="preserve">under section 12 of the </w:t>
      </w:r>
      <w:r w:rsidRPr="00867553">
        <w:rPr>
          <w:i/>
        </w:rPr>
        <w:t>Road Vehicle Standards Act 2018</w:t>
      </w:r>
    </w:p>
    <w:p w14:paraId="148FAFDD" w14:textId="671FC7D2" w:rsidR="00BA4F48" w:rsidRPr="00601B0E" w:rsidRDefault="00BA4F48" w:rsidP="00B75758">
      <w:pPr>
        <w:spacing w:after="2160"/>
        <w:jc w:val="center"/>
        <w:rPr>
          <w:b/>
          <w:bCs/>
          <w:sz w:val="40"/>
        </w:rPr>
      </w:pPr>
      <w:r w:rsidRPr="00601B0E">
        <w:rPr>
          <w:b/>
          <w:bCs/>
          <w:sz w:val="40"/>
        </w:rPr>
        <w:t>Explanatory Statement</w:t>
      </w:r>
    </w:p>
    <w:p w14:paraId="3CA6A544" w14:textId="6D2A6C54" w:rsidR="00BA4F48" w:rsidRPr="00601B0E" w:rsidRDefault="005A5521" w:rsidP="00E95897">
      <w:pPr>
        <w:spacing w:after="2160"/>
        <w:jc w:val="center"/>
      </w:pPr>
      <w:r>
        <w:t xml:space="preserve">Approved by </w:t>
      </w:r>
      <w:r w:rsidR="002054A1">
        <w:t xml:space="preserve">Senator </w:t>
      </w:r>
      <w:r w:rsidR="00DD1742" w:rsidRPr="00DD1742">
        <w:t xml:space="preserve">the Hon </w:t>
      </w:r>
      <w:r w:rsidR="002054A1">
        <w:t>Anthony Chisholm</w:t>
      </w:r>
      <w:r w:rsidR="00DD1742" w:rsidRPr="00DD1742">
        <w:t xml:space="preserve">, </w:t>
      </w:r>
      <w:r w:rsidR="002054A1">
        <w:br/>
        <w:t>Assistant</w:t>
      </w:r>
      <w:r w:rsidR="00FD606A">
        <w:t> </w:t>
      </w:r>
      <w:r w:rsidR="00DD1742" w:rsidRPr="00DD1742">
        <w:t>Minister for Regional</w:t>
      </w:r>
      <w:r w:rsidR="00DD1742">
        <w:t> </w:t>
      </w:r>
      <w:r w:rsidR="00DD1742" w:rsidRPr="00DD1742">
        <w:t>Development</w:t>
      </w:r>
    </w:p>
    <w:p w14:paraId="164CC61F" w14:textId="626906BE" w:rsidR="00BA4F48" w:rsidRPr="00601B0E" w:rsidRDefault="0056539E" w:rsidP="00BA4CCD">
      <w:pPr>
        <w:jc w:val="center"/>
        <w:rPr>
          <w:b/>
          <w:bCs/>
          <w:sz w:val="40"/>
        </w:rPr>
      </w:pPr>
      <w:r>
        <w:rPr>
          <w:b/>
          <w:bCs/>
          <w:sz w:val="40"/>
        </w:rPr>
        <w:t>January 2025</w:t>
      </w:r>
    </w:p>
    <w:p w14:paraId="70C19263" w14:textId="77777777" w:rsidR="00BA4F48" w:rsidRPr="00601B0E" w:rsidRDefault="00BA4F48" w:rsidP="00D82CC0"/>
    <w:p w14:paraId="4D19CB43" w14:textId="77777777" w:rsidR="00FD272C" w:rsidRPr="00601B0E" w:rsidRDefault="00FD272C" w:rsidP="00780DE8">
      <w:pPr>
        <w:pStyle w:val="ContentsHeading"/>
        <w:sectPr w:rsidR="00FD272C" w:rsidRPr="00601B0E" w:rsidSect="00767D05">
          <w:headerReference w:type="default" r:id="rId11"/>
          <w:headerReference w:type="first" r:id="rId12"/>
          <w:pgSz w:w="11906" w:h="16838" w:code="9"/>
          <w:pgMar w:top="1440" w:right="1474" w:bottom="1440" w:left="1474" w:header="709" w:footer="709" w:gutter="0"/>
          <w:pgNumType w:start="1"/>
          <w:cols w:space="708"/>
          <w:titlePg/>
          <w:docGrid w:linePitch="360"/>
        </w:sectPr>
      </w:pPr>
    </w:p>
    <w:p w14:paraId="674F1646" w14:textId="77777777" w:rsidR="005142E1" w:rsidRDefault="005142E1" w:rsidP="005142E1">
      <w:pPr>
        <w:pStyle w:val="ContentsHeading"/>
      </w:pPr>
    </w:p>
    <w:p w14:paraId="47445B41" w14:textId="47B57A95" w:rsidR="007D5A43" w:rsidRPr="00601B0E" w:rsidRDefault="00BA4F48" w:rsidP="003A62FE">
      <w:pPr>
        <w:pStyle w:val="ContentsHeading"/>
      </w:pPr>
      <w:r w:rsidRPr="00601B0E">
        <w:t>CONTENTS</w:t>
      </w:r>
    </w:p>
    <w:p w14:paraId="413D5284" w14:textId="77F66D7B" w:rsidR="003A62FE" w:rsidRPr="00AB3507" w:rsidRDefault="003A62FE" w:rsidP="00DD1742">
      <w:pPr>
        <w:pStyle w:val="TOC1"/>
      </w:pPr>
    </w:p>
    <w:p w14:paraId="68661839" w14:textId="6CC9730B" w:rsidR="00FD2A3E" w:rsidRDefault="00B92CC2">
      <w:pPr>
        <w:pStyle w:val="TOC1"/>
        <w:rPr>
          <w:rFonts w:asciiTheme="minorHAnsi" w:eastAsiaTheme="minorEastAsia" w:hAnsiTheme="minorHAnsi" w:cstheme="minorBidi"/>
          <w:caps w:val="0"/>
          <w:noProof/>
          <w:sz w:val="22"/>
          <w:szCs w:val="22"/>
        </w:rPr>
      </w:pPr>
      <w:r>
        <w:rPr>
          <w:noProof/>
        </w:rPr>
        <w:fldChar w:fldCharType="begin"/>
      </w:r>
      <w:r>
        <w:rPr>
          <w:noProof/>
        </w:rPr>
        <w:instrText xml:space="preserve"> TOC \o "1-2" \h \z \u </w:instrText>
      </w:r>
      <w:r>
        <w:rPr>
          <w:noProof/>
        </w:rPr>
        <w:fldChar w:fldCharType="separate"/>
      </w:r>
      <w:hyperlink w:anchor="_Toc185251371" w:history="1">
        <w:r w:rsidR="00FD2A3E" w:rsidRPr="009312CB">
          <w:rPr>
            <w:rStyle w:val="Hyperlink"/>
            <w:noProof/>
          </w:rPr>
          <w:t>1.</w:t>
        </w:r>
        <w:r w:rsidR="00FD2A3E">
          <w:rPr>
            <w:rFonts w:asciiTheme="minorHAnsi" w:eastAsiaTheme="minorEastAsia" w:hAnsiTheme="minorHAnsi" w:cstheme="minorBidi"/>
            <w:caps w:val="0"/>
            <w:noProof/>
            <w:sz w:val="22"/>
            <w:szCs w:val="22"/>
          </w:rPr>
          <w:tab/>
        </w:r>
        <w:r w:rsidR="00FD2A3E" w:rsidRPr="009312CB">
          <w:rPr>
            <w:rStyle w:val="Hyperlink"/>
            <w:noProof/>
          </w:rPr>
          <w:t>LEGISLATIVE AUTHORITY</w:t>
        </w:r>
        <w:r w:rsidR="00FD2A3E">
          <w:rPr>
            <w:noProof/>
            <w:webHidden/>
          </w:rPr>
          <w:tab/>
        </w:r>
        <w:r w:rsidR="00FD2A3E">
          <w:rPr>
            <w:noProof/>
            <w:webHidden/>
          </w:rPr>
          <w:fldChar w:fldCharType="begin"/>
        </w:r>
        <w:r w:rsidR="00FD2A3E">
          <w:rPr>
            <w:noProof/>
            <w:webHidden/>
          </w:rPr>
          <w:instrText xml:space="preserve"> PAGEREF _Toc185251371 \h </w:instrText>
        </w:r>
        <w:r w:rsidR="00FD2A3E">
          <w:rPr>
            <w:noProof/>
            <w:webHidden/>
          </w:rPr>
        </w:r>
        <w:r w:rsidR="00FD2A3E">
          <w:rPr>
            <w:noProof/>
            <w:webHidden/>
          </w:rPr>
          <w:fldChar w:fldCharType="separate"/>
        </w:r>
        <w:r w:rsidR="00FD2A3E">
          <w:rPr>
            <w:noProof/>
            <w:webHidden/>
          </w:rPr>
          <w:t>3</w:t>
        </w:r>
        <w:r w:rsidR="00FD2A3E">
          <w:rPr>
            <w:noProof/>
            <w:webHidden/>
          </w:rPr>
          <w:fldChar w:fldCharType="end"/>
        </w:r>
      </w:hyperlink>
    </w:p>
    <w:p w14:paraId="2FBC3965" w14:textId="3EBAF48C" w:rsidR="00FD2A3E" w:rsidRDefault="00F55EA6">
      <w:pPr>
        <w:pStyle w:val="TOC2"/>
        <w:rPr>
          <w:rFonts w:asciiTheme="minorHAnsi" w:eastAsiaTheme="minorEastAsia" w:hAnsiTheme="minorHAnsi" w:cstheme="minorBidi"/>
          <w:noProof/>
          <w:sz w:val="22"/>
          <w:szCs w:val="22"/>
        </w:rPr>
      </w:pPr>
      <w:hyperlink w:anchor="_Toc185251372" w:history="1">
        <w:r w:rsidR="00FD2A3E" w:rsidRPr="009312CB">
          <w:rPr>
            <w:rStyle w:val="Hyperlink"/>
            <w:noProof/>
          </w:rPr>
          <w:t>1.1.</w:t>
        </w:r>
        <w:r w:rsidR="00FD2A3E">
          <w:rPr>
            <w:rFonts w:asciiTheme="minorHAnsi" w:eastAsiaTheme="minorEastAsia" w:hAnsiTheme="minorHAnsi" w:cstheme="minorBidi"/>
            <w:noProof/>
            <w:sz w:val="22"/>
            <w:szCs w:val="22"/>
          </w:rPr>
          <w:tab/>
        </w:r>
        <w:r w:rsidR="00FD2A3E" w:rsidRPr="009312CB">
          <w:rPr>
            <w:rStyle w:val="Hyperlink"/>
            <w:noProof/>
          </w:rPr>
          <w:t>National Road Vehicle Standards</w:t>
        </w:r>
        <w:r w:rsidR="00FD2A3E">
          <w:rPr>
            <w:noProof/>
            <w:webHidden/>
          </w:rPr>
          <w:tab/>
        </w:r>
        <w:r w:rsidR="00FD2A3E">
          <w:rPr>
            <w:noProof/>
            <w:webHidden/>
          </w:rPr>
          <w:fldChar w:fldCharType="begin"/>
        </w:r>
        <w:r w:rsidR="00FD2A3E">
          <w:rPr>
            <w:noProof/>
            <w:webHidden/>
          </w:rPr>
          <w:instrText xml:space="preserve"> PAGEREF _Toc185251372 \h </w:instrText>
        </w:r>
        <w:r w:rsidR="00FD2A3E">
          <w:rPr>
            <w:noProof/>
            <w:webHidden/>
          </w:rPr>
        </w:r>
        <w:r w:rsidR="00FD2A3E">
          <w:rPr>
            <w:noProof/>
            <w:webHidden/>
          </w:rPr>
          <w:fldChar w:fldCharType="separate"/>
        </w:r>
        <w:r w:rsidR="00FD2A3E">
          <w:rPr>
            <w:noProof/>
            <w:webHidden/>
          </w:rPr>
          <w:t>3</w:t>
        </w:r>
        <w:r w:rsidR="00FD2A3E">
          <w:rPr>
            <w:noProof/>
            <w:webHidden/>
          </w:rPr>
          <w:fldChar w:fldCharType="end"/>
        </w:r>
      </w:hyperlink>
    </w:p>
    <w:p w14:paraId="62F2A6BD" w14:textId="6B4CA481" w:rsidR="00FD2A3E" w:rsidRDefault="00F55EA6">
      <w:pPr>
        <w:pStyle w:val="TOC2"/>
        <w:rPr>
          <w:rFonts w:asciiTheme="minorHAnsi" w:eastAsiaTheme="minorEastAsia" w:hAnsiTheme="minorHAnsi" w:cstheme="minorBidi"/>
          <w:noProof/>
          <w:sz w:val="22"/>
          <w:szCs w:val="22"/>
        </w:rPr>
      </w:pPr>
      <w:hyperlink w:anchor="_Toc185251373" w:history="1">
        <w:r w:rsidR="00FD2A3E" w:rsidRPr="009312CB">
          <w:rPr>
            <w:rStyle w:val="Hyperlink"/>
            <w:noProof/>
          </w:rPr>
          <w:t>1.2.</w:t>
        </w:r>
        <w:r w:rsidR="00FD2A3E">
          <w:rPr>
            <w:rFonts w:asciiTheme="minorHAnsi" w:eastAsiaTheme="minorEastAsia" w:hAnsiTheme="minorHAnsi" w:cstheme="minorBidi"/>
            <w:noProof/>
            <w:sz w:val="22"/>
            <w:szCs w:val="22"/>
          </w:rPr>
          <w:tab/>
        </w:r>
        <w:r w:rsidR="00FD2A3E" w:rsidRPr="009312CB">
          <w:rPr>
            <w:rStyle w:val="Hyperlink"/>
            <w:noProof/>
          </w:rPr>
          <w:t>Exemption from Sunsetting</w:t>
        </w:r>
        <w:r w:rsidR="00FD2A3E">
          <w:rPr>
            <w:noProof/>
            <w:webHidden/>
          </w:rPr>
          <w:tab/>
        </w:r>
        <w:r w:rsidR="00FD2A3E">
          <w:rPr>
            <w:noProof/>
            <w:webHidden/>
          </w:rPr>
          <w:fldChar w:fldCharType="begin"/>
        </w:r>
        <w:r w:rsidR="00FD2A3E">
          <w:rPr>
            <w:noProof/>
            <w:webHidden/>
          </w:rPr>
          <w:instrText xml:space="preserve"> PAGEREF _Toc185251373 \h </w:instrText>
        </w:r>
        <w:r w:rsidR="00FD2A3E">
          <w:rPr>
            <w:noProof/>
            <w:webHidden/>
          </w:rPr>
        </w:r>
        <w:r w:rsidR="00FD2A3E">
          <w:rPr>
            <w:noProof/>
            <w:webHidden/>
          </w:rPr>
          <w:fldChar w:fldCharType="separate"/>
        </w:r>
        <w:r w:rsidR="00FD2A3E">
          <w:rPr>
            <w:noProof/>
            <w:webHidden/>
          </w:rPr>
          <w:t>3</w:t>
        </w:r>
        <w:r w:rsidR="00FD2A3E">
          <w:rPr>
            <w:noProof/>
            <w:webHidden/>
          </w:rPr>
          <w:fldChar w:fldCharType="end"/>
        </w:r>
      </w:hyperlink>
    </w:p>
    <w:p w14:paraId="11F392B4" w14:textId="6135882A" w:rsidR="00FD2A3E" w:rsidRDefault="00F55EA6">
      <w:pPr>
        <w:pStyle w:val="TOC1"/>
        <w:rPr>
          <w:rFonts w:asciiTheme="minorHAnsi" w:eastAsiaTheme="minorEastAsia" w:hAnsiTheme="minorHAnsi" w:cstheme="minorBidi"/>
          <w:caps w:val="0"/>
          <w:noProof/>
          <w:sz w:val="22"/>
          <w:szCs w:val="22"/>
        </w:rPr>
      </w:pPr>
      <w:hyperlink w:anchor="_Toc185251374" w:history="1">
        <w:r w:rsidR="00FD2A3E" w:rsidRPr="009312CB">
          <w:rPr>
            <w:rStyle w:val="Hyperlink"/>
            <w:noProof/>
          </w:rPr>
          <w:t>2.</w:t>
        </w:r>
        <w:r w:rsidR="00FD2A3E">
          <w:rPr>
            <w:rFonts w:asciiTheme="minorHAnsi" w:eastAsiaTheme="minorEastAsia" w:hAnsiTheme="minorHAnsi" w:cstheme="minorBidi"/>
            <w:caps w:val="0"/>
            <w:noProof/>
            <w:sz w:val="22"/>
            <w:szCs w:val="22"/>
          </w:rPr>
          <w:tab/>
        </w:r>
        <w:r w:rsidR="00FD2A3E" w:rsidRPr="009312CB">
          <w:rPr>
            <w:rStyle w:val="Hyperlink"/>
            <w:noProof/>
          </w:rPr>
          <w:t>Purpose and Operation</w:t>
        </w:r>
        <w:r w:rsidR="00FD2A3E">
          <w:rPr>
            <w:noProof/>
            <w:webHidden/>
          </w:rPr>
          <w:tab/>
        </w:r>
        <w:r w:rsidR="00FD2A3E">
          <w:rPr>
            <w:noProof/>
            <w:webHidden/>
          </w:rPr>
          <w:fldChar w:fldCharType="begin"/>
        </w:r>
        <w:r w:rsidR="00FD2A3E">
          <w:rPr>
            <w:noProof/>
            <w:webHidden/>
          </w:rPr>
          <w:instrText xml:space="preserve"> PAGEREF _Toc185251374 \h </w:instrText>
        </w:r>
        <w:r w:rsidR="00FD2A3E">
          <w:rPr>
            <w:noProof/>
            <w:webHidden/>
          </w:rPr>
        </w:r>
        <w:r w:rsidR="00FD2A3E">
          <w:rPr>
            <w:noProof/>
            <w:webHidden/>
          </w:rPr>
          <w:fldChar w:fldCharType="separate"/>
        </w:r>
        <w:r w:rsidR="00FD2A3E">
          <w:rPr>
            <w:noProof/>
            <w:webHidden/>
          </w:rPr>
          <w:t>4</w:t>
        </w:r>
        <w:r w:rsidR="00FD2A3E">
          <w:rPr>
            <w:noProof/>
            <w:webHidden/>
          </w:rPr>
          <w:fldChar w:fldCharType="end"/>
        </w:r>
      </w:hyperlink>
    </w:p>
    <w:p w14:paraId="484FC866" w14:textId="4C367B69" w:rsidR="00FD2A3E" w:rsidRDefault="00F55EA6">
      <w:pPr>
        <w:pStyle w:val="TOC2"/>
        <w:rPr>
          <w:rFonts w:asciiTheme="minorHAnsi" w:eastAsiaTheme="minorEastAsia" w:hAnsiTheme="minorHAnsi" w:cstheme="minorBidi"/>
          <w:noProof/>
          <w:sz w:val="22"/>
          <w:szCs w:val="22"/>
        </w:rPr>
      </w:pPr>
      <w:hyperlink w:anchor="_Toc185251375" w:history="1">
        <w:r w:rsidR="00FD2A3E" w:rsidRPr="009312CB">
          <w:rPr>
            <w:rStyle w:val="Hyperlink"/>
            <w:noProof/>
          </w:rPr>
          <w:t>2.1.</w:t>
        </w:r>
        <w:r w:rsidR="00FD2A3E">
          <w:rPr>
            <w:rFonts w:asciiTheme="minorHAnsi" w:eastAsiaTheme="minorEastAsia" w:hAnsiTheme="minorHAnsi" w:cstheme="minorBidi"/>
            <w:noProof/>
            <w:sz w:val="22"/>
            <w:szCs w:val="22"/>
          </w:rPr>
          <w:tab/>
        </w:r>
        <w:r w:rsidR="00FD2A3E" w:rsidRPr="009312CB">
          <w:rPr>
            <w:rStyle w:val="Hyperlink"/>
            <w:noProof/>
          </w:rPr>
          <w:t>Overview of the Regulatory Framework</w:t>
        </w:r>
        <w:r w:rsidR="00FD2A3E">
          <w:rPr>
            <w:noProof/>
            <w:webHidden/>
          </w:rPr>
          <w:tab/>
        </w:r>
        <w:r w:rsidR="00FD2A3E">
          <w:rPr>
            <w:noProof/>
            <w:webHidden/>
          </w:rPr>
          <w:fldChar w:fldCharType="begin"/>
        </w:r>
        <w:r w:rsidR="00FD2A3E">
          <w:rPr>
            <w:noProof/>
            <w:webHidden/>
          </w:rPr>
          <w:instrText xml:space="preserve"> PAGEREF _Toc185251375 \h </w:instrText>
        </w:r>
        <w:r w:rsidR="00FD2A3E">
          <w:rPr>
            <w:noProof/>
            <w:webHidden/>
          </w:rPr>
        </w:r>
        <w:r w:rsidR="00FD2A3E">
          <w:rPr>
            <w:noProof/>
            <w:webHidden/>
          </w:rPr>
          <w:fldChar w:fldCharType="separate"/>
        </w:r>
        <w:r w:rsidR="00FD2A3E">
          <w:rPr>
            <w:noProof/>
            <w:webHidden/>
          </w:rPr>
          <w:t>4</w:t>
        </w:r>
        <w:r w:rsidR="00FD2A3E">
          <w:rPr>
            <w:noProof/>
            <w:webHidden/>
          </w:rPr>
          <w:fldChar w:fldCharType="end"/>
        </w:r>
      </w:hyperlink>
    </w:p>
    <w:p w14:paraId="37C7D60F" w14:textId="49A2342C" w:rsidR="00FD2A3E" w:rsidRDefault="00F55EA6">
      <w:pPr>
        <w:pStyle w:val="TOC2"/>
        <w:rPr>
          <w:rFonts w:asciiTheme="minorHAnsi" w:eastAsiaTheme="minorEastAsia" w:hAnsiTheme="minorHAnsi" w:cstheme="minorBidi"/>
          <w:noProof/>
          <w:sz w:val="22"/>
          <w:szCs w:val="22"/>
        </w:rPr>
      </w:pPr>
      <w:hyperlink w:anchor="_Toc185251376" w:history="1">
        <w:r w:rsidR="00FD2A3E" w:rsidRPr="009312CB">
          <w:rPr>
            <w:rStyle w:val="Hyperlink"/>
            <w:noProof/>
          </w:rPr>
          <w:t>2.2.</w:t>
        </w:r>
        <w:r w:rsidR="00FD2A3E">
          <w:rPr>
            <w:rFonts w:asciiTheme="minorHAnsi" w:eastAsiaTheme="minorEastAsia" w:hAnsiTheme="minorHAnsi" w:cstheme="minorBidi"/>
            <w:noProof/>
            <w:sz w:val="22"/>
            <w:szCs w:val="22"/>
          </w:rPr>
          <w:tab/>
        </w:r>
        <w:r w:rsidR="00FD2A3E" w:rsidRPr="009312CB">
          <w:rPr>
            <w:rStyle w:val="Hyperlink"/>
            <w:noProof/>
          </w:rPr>
          <w:t>Overview of the Amending Instrument</w:t>
        </w:r>
        <w:r w:rsidR="00FD2A3E">
          <w:rPr>
            <w:noProof/>
            <w:webHidden/>
          </w:rPr>
          <w:tab/>
        </w:r>
        <w:r w:rsidR="00FD2A3E">
          <w:rPr>
            <w:noProof/>
            <w:webHidden/>
          </w:rPr>
          <w:fldChar w:fldCharType="begin"/>
        </w:r>
        <w:r w:rsidR="00FD2A3E">
          <w:rPr>
            <w:noProof/>
            <w:webHidden/>
          </w:rPr>
          <w:instrText xml:space="preserve"> PAGEREF _Toc185251376 \h </w:instrText>
        </w:r>
        <w:r w:rsidR="00FD2A3E">
          <w:rPr>
            <w:noProof/>
            <w:webHidden/>
          </w:rPr>
        </w:r>
        <w:r w:rsidR="00FD2A3E">
          <w:rPr>
            <w:noProof/>
            <w:webHidden/>
          </w:rPr>
          <w:fldChar w:fldCharType="separate"/>
        </w:r>
        <w:r w:rsidR="00FD2A3E">
          <w:rPr>
            <w:noProof/>
            <w:webHidden/>
          </w:rPr>
          <w:t>5</w:t>
        </w:r>
        <w:r w:rsidR="00FD2A3E">
          <w:rPr>
            <w:noProof/>
            <w:webHidden/>
          </w:rPr>
          <w:fldChar w:fldCharType="end"/>
        </w:r>
      </w:hyperlink>
    </w:p>
    <w:p w14:paraId="086BD199" w14:textId="62EA0FD2" w:rsidR="00FD2A3E" w:rsidRDefault="00F55EA6">
      <w:pPr>
        <w:pStyle w:val="TOC1"/>
        <w:rPr>
          <w:rFonts w:asciiTheme="minorHAnsi" w:eastAsiaTheme="minorEastAsia" w:hAnsiTheme="minorHAnsi" w:cstheme="minorBidi"/>
          <w:caps w:val="0"/>
          <w:noProof/>
          <w:sz w:val="22"/>
          <w:szCs w:val="22"/>
        </w:rPr>
      </w:pPr>
      <w:hyperlink w:anchor="_Toc185251377" w:history="1">
        <w:r w:rsidR="00FD2A3E" w:rsidRPr="009312CB">
          <w:rPr>
            <w:rStyle w:val="Hyperlink"/>
            <w:noProof/>
          </w:rPr>
          <w:t>3.</w:t>
        </w:r>
        <w:r w:rsidR="00FD2A3E">
          <w:rPr>
            <w:rFonts w:asciiTheme="minorHAnsi" w:eastAsiaTheme="minorEastAsia" w:hAnsiTheme="minorHAnsi" w:cstheme="minorBidi"/>
            <w:caps w:val="0"/>
            <w:noProof/>
            <w:sz w:val="22"/>
            <w:szCs w:val="22"/>
          </w:rPr>
          <w:tab/>
        </w:r>
        <w:r w:rsidR="00FD2A3E" w:rsidRPr="009312CB">
          <w:rPr>
            <w:rStyle w:val="Hyperlink"/>
            <w:noProof/>
          </w:rPr>
          <w:t>Matters Incorporated By Reference</w:t>
        </w:r>
        <w:r w:rsidR="00FD2A3E">
          <w:rPr>
            <w:noProof/>
            <w:webHidden/>
          </w:rPr>
          <w:tab/>
        </w:r>
        <w:r w:rsidR="00FD2A3E">
          <w:rPr>
            <w:noProof/>
            <w:webHidden/>
          </w:rPr>
          <w:fldChar w:fldCharType="begin"/>
        </w:r>
        <w:r w:rsidR="00FD2A3E">
          <w:rPr>
            <w:noProof/>
            <w:webHidden/>
          </w:rPr>
          <w:instrText xml:space="preserve"> PAGEREF _Toc185251377 \h </w:instrText>
        </w:r>
        <w:r w:rsidR="00FD2A3E">
          <w:rPr>
            <w:noProof/>
            <w:webHidden/>
          </w:rPr>
        </w:r>
        <w:r w:rsidR="00FD2A3E">
          <w:rPr>
            <w:noProof/>
            <w:webHidden/>
          </w:rPr>
          <w:fldChar w:fldCharType="separate"/>
        </w:r>
        <w:r w:rsidR="00FD2A3E">
          <w:rPr>
            <w:noProof/>
            <w:webHidden/>
          </w:rPr>
          <w:t>7</w:t>
        </w:r>
        <w:r w:rsidR="00FD2A3E">
          <w:rPr>
            <w:noProof/>
            <w:webHidden/>
          </w:rPr>
          <w:fldChar w:fldCharType="end"/>
        </w:r>
      </w:hyperlink>
    </w:p>
    <w:p w14:paraId="2B548D63" w14:textId="456692AB" w:rsidR="00FD2A3E" w:rsidRDefault="00F55EA6">
      <w:pPr>
        <w:pStyle w:val="TOC2"/>
        <w:rPr>
          <w:rFonts w:asciiTheme="minorHAnsi" w:eastAsiaTheme="minorEastAsia" w:hAnsiTheme="minorHAnsi" w:cstheme="minorBidi"/>
          <w:noProof/>
          <w:sz w:val="22"/>
          <w:szCs w:val="22"/>
        </w:rPr>
      </w:pPr>
      <w:hyperlink w:anchor="_Toc185251378" w:history="1">
        <w:r w:rsidR="00FD2A3E" w:rsidRPr="009312CB">
          <w:rPr>
            <w:rStyle w:val="Hyperlink"/>
            <w:noProof/>
          </w:rPr>
          <w:t>3.1.</w:t>
        </w:r>
        <w:r w:rsidR="00FD2A3E">
          <w:rPr>
            <w:rFonts w:asciiTheme="minorHAnsi" w:eastAsiaTheme="minorEastAsia" w:hAnsiTheme="minorHAnsi" w:cstheme="minorBidi"/>
            <w:noProof/>
            <w:sz w:val="22"/>
            <w:szCs w:val="22"/>
          </w:rPr>
          <w:tab/>
        </w:r>
        <w:r w:rsidR="00FD2A3E" w:rsidRPr="009312CB">
          <w:rPr>
            <w:rStyle w:val="Hyperlink"/>
            <w:noProof/>
          </w:rPr>
          <w:t>Legislative Instruments</w:t>
        </w:r>
        <w:r w:rsidR="00FD2A3E">
          <w:rPr>
            <w:noProof/>
            <w:webHidden/>
          </w:rPr>
          <w:tab/>
        </w:r>
        <w:r w:rsidR="00FD2A3E">
          <w:rPr>
            <w:noProof/>
            <w:webHidden/>
          </w:rPr>
          <w:fldChar w:fldCharType="begin"/>
        </w:r>
        <w:r w:rsidR="00FD2A3E">
          <w:rPr>
            <w:noProof/>
            <w:webHidden/>
          </w:rPr>
          <w:instrText xml:space="preserve"> PAGEREF _Toc185251378 \h </w:instrText>
        </w:r>
        <w:r w:rsidR="00FD2A3E">
          <w:rPr>
            <w:noProof/>
            <w:webHidden/>
          </w:rPr>
        </w:r>
        <w:r w:rsidR="00FD2A3E">
          <w:rPr>
            <w:noProof/>
            <w:webHidden/>
          </w:rPr>
          <w:fldChar w:fldCharType="separate"/>
        </w:r>
        <w:r w:rsidR="00FD2A3E">
          <w:rPr>
            <w:noProof/>
            <w:webHidden/>
          </w:rPr>
          <w:t>7</w:t>
        </w:r>
        <w:r w:rsidR="00FD2A3E">
          <w:rPr>
            <w:noProof/>
            <w:webHidden/>
          </w:rPr>
          <w:fldChar w:fldCharType="end"/>
        </w:r>
      </w:hyperlink>
    </w:p>
    <w:p w14:paraId="65C0C848" w14:textId="7BC13166" w:rsidR="00FD2A3E" w:rsidRDefault="00F55EA6">
      <w:pPr>
        <w:pStyle w:val="TOC2"/>
        <w:rPr>
          <w:rFonts w:asciiTheme="minorHAnsi" w:eastAsiaTheme="minorEastAsia" w:hAnsiTheme="minorHAnsi" w:cstheme="minorBidi"/>
          <w:noProof/>
          <w:sz w:val="22"/>
          <w:szCs w:val="22"/>
        </w:rPr>
      </w:pPr>
      <w:hyperlink w:anchor="_Toc185251379" w:history="1">
        <w:r w:rsidR="00FD2A3E" w:rsidRPr="009312CB">
          <w:rPr>
            <w:rStyle w:val="Hyperlink"/>
            <w:noProof/>
          </w:rPr>
          <w:t>3.2.</w:t>
        </w:r>
        <w:r w:rsidR="00FD2A3E">
          <w:rPr>
            <w:rFonts w:asciiTheme="minorHAnsi" w:eastAsiaTheme="minorEastAsia" w:hAnsiTheme="minorHAnsi" w:cstheme="minorBidi"/>
            <w:noProof/>
            <w:sz w:val="22"/>
            <w:szCs w:val="22"/>
          </w:rPr>
          <w:tab/>
        </w:r>
        <w:r w:rsidR="00FD2A3E" w:rsidRPr="009312CB">
          <w:rPr>
            <w:rStyle w:val="Hyperlink"/>
            <w:noProof/>
          </w:rPr>
          <w:t>Other Documents</w:t>
        </w:r>
        <w:r w:rsidR="00FD2A3E">
          <w:rPr>
            <w:noProof/>
            <w:webHidden/>
          </w:rPr>
          <w:tab/>
        </w:r>
        <w:r w:rsidR="00FD2A3E">
          <w:rPr>
            <w:noProof/>
            <w:webHidden/>
          </w:rPr>
          <w:fldChar w:fldCharType="begin"/>
        </w:r>
        <w:r w:rsidR="00FD2A3E">
          <w:rPr>
            <w:noProof/>
            <w:webHidden/>
          </w:rPr>
          <w:instrText xml:space="preserve"> PAGEREF _Toc185251379 \h </w:instrText>
        </w:r>
        <w:r w:rsidR="00FD2A3E">
          <w:rPr>
            <w:noProof/>
            <w:webHidden/>
          </w:rPr>
        </w:r>
        <w:r w:rsidR="00FD2A3E">
          <w:rPr>
            <w:noProof/>
            <w:webHidden/>
          </w:rPr>
          <w:fldChar w:fldCharType="separate"/>
        </w:r>
        <w:r w:rsidR="00FD2A3E">
          <w:rPr>
            <w:noProof/>
            <w:webHidden/>
          </w:rPr>
          <w:t>7</w:t>
        </w:r>
        <w:r w:rsidR="00FD2A3E">
          <w:rPr>
            <w:noProof/>
            <w:webHidden/>
          </w:rPr>
          <w:fldChar w:fldCharType="end"/>
        </w:r>
      </w:hyperlink>
    </w:p>
    <w:p w14:paraId="2FD070A3" w14:textId="51437C70" w:rsidR="00FD2A3E" w:rsidRDefault="00F55EA6">
      <w:pPr>
        <w:pStyle w:val="TOC1"/>
        <w:rPr>
          <w:rFonts w:asciiTheme="minorHAnsi" w:eastAsiaTheme="minorEastAsia" w:hAnsiTheme="minorHAnsi" w:cstheme="minorBidi"/>
          <w:caps w:val="0"/>
          <w:noProof/>
          <w:sz w:val="22"/>
          <w:szCs w:val="22"/>
        </w:rPr>
      </w:pPr>
      <w:hyperlink w:anchor="_Toc185251380" w:history="1">
        <w:r w:rsidR="00FD2A3E" w:rsidRPr="009312CB">
          <w:rPr>
            <w:rStyle w:val="Hyperlink"/>
            <w:noProof/>
          </w:rPr>
          <w:t>4.</w:t>
        </w:r>
        <w:r w:rsidR="00FD2A3E">
          <w:rPr>
            <w:rFonts w:asciiTheme="minorHAnsi" w:eastAsiaTheme="minorEastAsia" w:hAnsiTheme="minorHAnsi" w:cstheme="minorBidi"/>
            <w:caps w:val="0"/>
            <w:noProof/>
            <w:sz w:val="22"/>
            <w:szCs w:val="22"/>
          </w:rPr>
          <w:tab/>
        </w:r>
        <w:r w:rsidR="00FD2A3E" w:rsidRPr="009312CB">
          <w:rPr>
            <w:rStyle w:val="Hyperlink"/>
            <w:noProof/>
          </w:rPr>
          <w:t>Consultation</w:t>
        </w:r>
        <w:r w:rsidR="00FD2A3E">
          <w:rPr>
            <w:noProof/>
            <w:webHidden/>
          </w:rPr>
          <w:tab/>
        </w:r>
        <w:r w:rsidR="00FD2A3E">
          <w:rPr>
            <w:noProof/>
            <w:webHidden/>
          </w:rPr>
          <w:fldChar w:fldCharType="begin"/>
        </w:r>
        <w:r w:rsidR="00FD2A3E">
          <w:rPr>
            <w:noProof/>
            <w:webHidden/>
          </w:rPr>
          <w:instrText xml:space="preserve"> PAGEREF _Toc185251380 \h </w:instrText>
        </w:r>
        <w:r w:rsidR="00FD2A3E">
          <w:rPr>
            <w:noProof/>
            <w:webHidden/>
          </w:rPr>
        </w:r>
        <w:r w:rsidR="00FD2A3E">
          <w:rPr>
            <w:noProof/>
            <w:webHidden/>
          </w:rPr>
          <w:fldChar w:fldCharType="separate"/>
        </w:r>
        <w:r w:rsidR="00FD2A3E">
          <w:rPr>
            <w:noProof/>
            <w:webHidden/>
          </w:rPr>
          <w:t>8</w:t>
        </w:r>
        <w:r w:rsidR="00FD2A3E">
          <w:rPr>
            <w:noProof/>
            <w:webHidden/>
          </w:rPr>
          <w:fldChar w:fldCharType="end"/>
        </w:r>
      </w:hyperlink>
    </w:p>
    <w:p w14:paraId="6A7DE811" w14:textId="0CF76CEC" w:rsidR="00FD2A3E" w:rsidRDefault="00F55EA6">
      <w:pPr>
        <w:pStyle w:val="TOC2"/>
        <w:rPr>
          <w:rFonts w:asciiTheme="minorHAnsi" w:eastAsiaTheme="minorEastAsia" w:hAnsiTheme="minorHAnsi" w:cstheme="minorBidi"/>
          <w:noProof/>
          <w:sz w:val="22"/>
          <w:szCs w:val="22"/>
        </w:rPr>
      </w:pPr>
      <w:hyperlink w:anchor="_Toc185251381" w:history="1">
        <w:r w:rsidR="00FD2A3E" w:rsidRPr="009312CB">
          <w:rPr>
            <w:rStyle w:val="Hyperlink"/>
            <w:noProof/>
          </w:rPr>
          <w:t>4.1.</w:t>
        </w:r>
        <w:r w:rsidR="00FD2A3E">
          <w:rPr>
            <w:rFonts w:asciiTheme="minorHAnsi" w:eastAsiaTheme="minorEastAsia" w:hAnsiTheme="minorHAnsi" w:cstheme="minorBidi"/>
            <w:noProof/>
            <w:sz w:val="22"/>
            <w:szCs w:val="22"/>
          </w:rPr>
          <w:tab/>
        </w:r>
        <w:r w:rsidR="00FD2A3E" w:rsidRPr="009312CB">
          <w:rPr>
            <w:rStyle w:val="Hyperlink"/>
            <w:noProof/>
          </w:rPr>
          <w:t>General Consultation Arrangements</w:t>
        </w:r>
        <w:r w:rsidR="00FD2A3E">
          <w:rPr>
            <w:noProof/>
            <w:webHidden/>
          </w:rPr>
          <w:tab/>
        </w:r>
        <w:r w:rsidR="00FD2A3E">
          <w:rPr>
            <w:noProof/>
            <w:webHidden/>
          </w:rPr>
          <w:fldChar w:fldCharType="begin"/>
        </w:r>
        <w:r w:rsidR="00FD2A3E">
          <w:rPr>
            <w:noProof/>
            <w:webHidden/>
          </w:rPr>
          <w:instrText xml:space="preserve"> PAGEREF _Toc185251381 \h </w:instrText>
        </w:r>
        <w:r w:rsidR="00FD2A3E">
          <w:rPr>
            <w:noProof/>
            <w:webHidden/>
          </w:rPr>
        </w:r>
        <w:r w:rsidR="00FD2A3E">
          <w:rPr>
            <w:noProof/>
            <w:webHidden/>
          </w:rPr>
          <w:fldChar w:fldCharType="separate"/>
        </w:r>
        <w:r w:rsidR="00FD2A3E">
          <w:rPr>
            <w:noProof/>
            <w:webHidden/>
          </w:rPr>
          <w:t>8</w:t>
        </w:r>
        <w:r w:rsidR="00FD2A3E">
          <w:rPr>
            <w:noProof/>
            <w:webHidden/>
          </w:rPr>
          <w:fldChar w:fldCharType="end"/>
        </w:r>
      </w:hyperlink>
    </w:p>
    <w:p w14:paraId="7B3CBF9F" w14:textId="43F3F161" w:rsidR="00FD2A3E" w:rsidRDefault="00F55EA6">
      <w:pPr>
        <w:pStyle w:val="TOC2"/>
        <w:rPr>
          <w:rFonts w:asciiTheme="minorHAnsi" w:eastAsiaTheme="minorEastAsia" w:hAnsiTheme="minorHAnsi" w:cstheme="minorBidi"/>
          <w:noProof/>
          <w:sz w:val="22"/>
          <w:szCs w:val="22"/>
        </w:rPr>
      </w:pPr>
      <w:hyperlink w:anchor="_Toc185251382" w:history="1">
        <w:r w:rsidR="00FD2A3E" w:rsidRPr="009312CB">
          <w:rPr>
            <w:rStyle w:val="Hyperlink"/>
            <w:noProof/>
          </w:rPr>
          <w:t>4.2.</w:t>
        </w:r>
        <w:r w:rsidR="00FD2A3E">
          <w:rPr>
            <w:rFonts w:asciiTheme="minorHAnsi" w:eastAsiaTheme="minorEastAsia" w:hAnsiTheme="minorHAnsi" w:cstheme="minorBidi"/>
            <w:noProof/>
            <w:sz w:val="22"/>
            <w:szCs w:val="22"/>
          </w:rPr>
          <w:tab/>
        </w:r>
        <w:r w:rsidR="00FD2A3E" w:rsidRPr="009312CB">
          <w:rPr>
            <w:rStyle w:val="Hyperlink"/>
            <w:noProof/>
          </w:rPr>
          <w:t>Specific Consultation Arrangements</w:t>
        </w:r>
        <w:r w:rsidR="00FD2A3E">
          <w:rPr>
            <w:noProof/>
            <w:webHidden/>
          </w:rPr>
          <w:tab/>
        </w:r>
        <w:r w:rsidR="00FD2A3E">
          <w:rPr>
            <w:noProof/>
            <w:webHidden/>
          </w:rPr>
          <w:fldChar w:fldCharType="begin"/>
        </w:r>
        <w:r w:rsidR="00FD2A3E">
          <w:rPr>
            <w:noProof/>
            <w:webHidden/>
          </w:rPr>
          <w:instrText xml:space="preserve"> PAGEREF _Toc185251382 \h </w:instrText>
        </w:r>
        <w:r w:rsidR="00FD2A3E">
          <w:rPr>
            <w:noProof/>
            <w:webHidden/>
          </w:rPr>
        </w:r>
        <w:r w:rsidR="00FD2A3E">
          <w:rPr>
            <w:noProof/>
            <w:webHidden/>
          </w:rPr>
          <w:fldChar w:fldCharType="separate"/>
        </w:r>
        <w:r w:rsidR="00FD2A3E">
          <w:rPr>
            <w:noProof/>
            <w:webHidden/>
          </w:rPr>
          <w:t>8</w:t>
        </w:r>
        <w:r w:rsidR="00FD2A3E">
          <w:rPr>
            <w:noProof/>
            <w:webHidden/>
          </w:rPr>
          <w:fldChar w:fldCharType="end"/>
        </w:r>
      </w:hyperlink>
    </w:p>
    <w:p w14:paraId="649022BB" w14:textId="1DAAA89F" w:rsidR="00FD2A3E" w:rsidRDefault="00F55EA6">
      <w:pPr>
        <w:pStyle w:val="TOC1"/>
        <w:rPr>
          <w:rFonts w:asciiTheme="minorHAnsi" w:eastAsiaTheme="minorEastAsia" w:hAnsiTheme="minorHAnsi" w:cstheme="minorBidi"/>
          <w:caps w:val="0"/>
          <w:noProof/>
          <w:sz w:val="22"/>
          <w:szCs w:val="22"/>
        </w:rPr>
      </w:pPr>
      <w:hyperlink w:anchor="_Toc185251383" w:history="1">
        <w:r w:rsidR="00FD2A3E" w:rsidRPr="009312CB">
          <w:rPr>
            <w:rStyle w:val="Hyperlink"/>
            <w:noProof/>
          </w:rPr>
          <w:t>5.</w:t>
        </w:r>
        <w:r w:rsidR="00FD2A3E">
          <w:rPr>
            <w:rFonts w:asciiTheme="minorHAnsi" w:eastAsiaTheme="minorEastAsia" w:hAnsiTheme="minorHAnsi" w:cstheme="minorBidi"/>
            <w:caps w:val="0"/>
            <w:noProof/>
            <w:sz w:val="22"/>
            <w:szCs w:val="22"/>
          </w:rPr>
          <w:tab/>
        </w:r>
        <w:r w:rsidR="00FD2A3E" w:rsidRPr="009312CB">
          <w:rPr>
            <w:rStyle w:val="Hyperlink"/>
            <w:noProof/>
          </w:rPr>
          <w:t>Regulatory Impact</w:t>
        </w:r>
        <w:r w:rsidR="00FD2A3E">
          <w:rPr>
            <w:noProof/>
            <w:webHidden/>
          </w:rPr>
          <w:tab/>
        </w:r>
        <w:r w:rsidR="00FD2A3E">
          <w:rPr>
            <w:noProof/>
            <w:webHidden/>
          </w:rPr>
          <w:fldChar w:fldCharType="begin"/>
        </w:r>
        <w:r w:rsidR="00FD2A3E">
          <w:rPr>
            <w:noProof/>
            <w:webHidden/>
          </w:rPr>
          <w:instrText xml:space="preserve"> PAGEREF _Toc185251383 \h </w:instrText>
        </w:r>
        <w:r w:rsidR="00FD2A3E">
          <w:rPr>
            <w:noProof/>
            <w:webHidden/>
          </w:rPr>
        </w:r>
        <w:r w:rsidR="00FD2A3E">
          <w:rPr>
            <w:noProof/>
            <w:webHidden/>
          </w:rPr>
          <w:fldChar w:fldCharType="separate"/>
        </w:r>
        <w:r w:rsidR="00FD2A3E">
          <w:rPr>
            <w:noProof/>
            <w:webHidden/>
          </w:rPr>
          <w:t>9</w:t>
        </w:r>
        <w:r w:rsidR="00FD2A3E">
          <w:rPr>
            <w:noProof/>
            <w:webHidden/>
          </w:rPr>
          <w:fldChar w:fldCharType="end"/>
        </w:r>
      </w:hyperlink>
    </w:p>
    <w:p w14:paraId="08915666" w14:textId="68A3BA0C" w:rsidR="00FD2A3E" w:rsidRDefault="00F55EA6">
      <w:pPr>
        <w:pStyle w:val="TOC2"/>
        <w:rPr>
          <w:rFonts w:asciiTheme="minorHAnsi" w:eastAsiaTheme="minorEastAsia" w:hAnsiTheme="minorHAnsi" w:cstheme="minorBidi"/>
          <w:noProof/>
          <w:sz w:val="22"/>
          <w:szCs w:val="22"/>
        </w:rPr>
      </w:pPr>
      <w:hyperlink w:anchor="_Toc185251384" w:history="1">
        <w:r w:rsidR="00FD2A3E" w:rsidRPr="009312CB">
          <w:rPr>
            <w:rStyle w:val="Hyperlink"/>
            <w:noProof/>
          </w:rPr>
          <w:t>5.1.</w:t>
        </w:r>
        <w:r w:rsidR="00FD2A3E">
          <w:rPr>
            <w:rFonts w:asciiTheme="minorHAnsi" w:eastAsiaTheme="minorEastAsia" w:hAnsiTheme="minorHAnsi" w:cstheme="minorBidi"/>
            <w:noProof/>
            <w:sz w:val="22"/>
            <w:szCs w:val="22"/>
          </w:rPr>
          <w:tab/>
        </w:r>
        <w:r w:rsidR="00FD2A3E" w:rsidRPr="009312CB">
          <w:rPr>
            <w:rStyle w:val="Hyperlink"/>
            <w:noProof/>
          </w:rPr>
          <w:t>Impact Analysis</w:t>
        </w:r>
        <w:r w:rsidR="00FD2A3E">
          <w:rPr>
            <w:noProof/>
            <w:webHidden/>
          </w:rPr>
          <w:tab/>
        </w:r>
        <w:r w:rsidR="00FD2A3E">
          <w:rPr>
            <w:noProof/>
            <w:webHidden/>
          </w:rPr>
          <w:fldChar w:fldCharType="begin"/>
        </w:r>
        <w:r w:rsidR="00FD2A3E">
          <w:rPr>
            <w:noProof/>
            <w:webHidden/>
          </w:rPr>
          <w:instrText xml:space="preserve"> PAGEREF _Toc185251384 \h </w:instrText>
        </w:r>
        <w:r w:rsidR="00FD2A3E">
          <w:rPr>
            <w:noProof/>
            <w:webHidden/>
          </w:rPr>
        </w:r>
        <w:r w:rsidR="00FD2A3E">
          <w:rPr>
            <w:noProof/>
            <w:webHidden/>
          </w:rPr>
          <w:fldChar w:fldCharType="separate"/>
        </w:r>
        <w:r w:rsidR="00FD2A3E">
          <w:rPr>
            <w:noProof/>
            <w:webHidden/>
          </w:rPr>
          <w:t>9</w:t>
        </w:r>
        <w:r w:rsidR="00FD2A3E">
          <w:rPr>
            <w:noProof/>
            <w:webHidden/>
          </w:rPr>
          <w:fldChar w:fldCharType="end"/>
        </w:r>
      </w:hyperlink>
    </w:p>
    <w:p w14:paraId="4AAC4133" w14:textId="5FCC44EE" w:rsidR="00FD2A3E" w:rsidRDefault="00F55EA6">
      <w:pPr>
        <w:pStyle w:val="TOC2"/>
        <w:rPr>
          <w:rFonts w:asciiTheme="minorHAnsi" w:eastAsiaTheme="minorEastAsia" w:hAnsiTheme="minorHAnsi" w:cstheme="minorBidi"/>
          <w:noProof/>
          <w:sz w:val="22"/>
          <w:szCs w:val="22"/>
        </w:rPr>
      </w:pPr>
      <w:hyperlink w:anchor="_Toc185251385" w:history="1">
        <w:r w:rsidR="00FD2A3E" w:rsidRPr="009312CB">
          <w:rPr>
            <w:rStyle w:val="Hyperlink"/>
            <w:noProof/>
          </w:rPr>
          <w:t>5.2.</w:t>
        </w:r>
        <w:r w:rsidR="00FD2A3E">
          <w:rPr>
            <w:rFonts w:asciiTheme="minorHAnsi" w:eastAsiaTheme="minorEastAsia" w:hAnsiTheme="minorHAnsi" w:cstheme="minorBidi"/>
            <w:noProof/>
            <w:sz w:val="22"/>
            <w:szCs w:val="22"/>
          </w:rPr>
          <w:tab/>
        </w:r>
        <w:r w:rsidR="00FD2A3E" w:rsidRPr="009312CB">
          <w:rPr>
            <w:rStyle w:val="Hyperlink"/>
            <w:noProof/>
          </w:rPr>
          <w:t>Benefits and Costs</w:t>
        </w:r>
        <w:r w:rsidR="00FD2A3E">
          <w:rPr>
            <w:noProof/>
            <w:webHidden/>
          </w:rPr>
          <w:tab/>
        </w:r>
        <w:r w:rsidR="00FD2A3E">
          <w:rPr>
            <w:noProof/>
            <w:webHidden/>
          </w:rPr>
          <w:fldChar w:fldCharType="begin"/>
        </w:r>
        <w:r w:rsidR="00FD2A3E">
          <w:rPr>
            <w:noProof/>
            <w:webHidden/>
          </w:rPr>
          <w:instrText xml:space="preserve"> PAGEREF _Toc185251385 \h </w:instrText>
        </w:r>
        <w:r w:rsidR="00FD2A3E">
          <w:rPr>
            <w:noProof/>
            <w:webHidden/>
          </w:rPr>
        </w:r>
        <w:r w:rsidR="00FD2A3E">
          <w:rPr>
            <w:noProof/>
            <w:webHidden/>
          </w:rPr>
          <w:fldChar w:fldCharType="separate"/>
        </w:r>
        <w:r w:rsidR="00FD2A3E">
          <w:rPr>
            <w:noProof/>
            <w:webHidden/>
          </w:rPr>
          <w:t>9</w:t>
        </w:r>
        <w:r w:rsidR="00FD2A3E">
          <w:rPr>
            <w:noProof/>
            <w:webHidden/>
          </w:rPr>
          <w:fldChar w:fldCharType="end"/>
        </w:r>
      </w:hyperlink>
    </w:p>
    <w:p w14:paraId="4D4E1991" w14:textId="04CD9C8E" w:rsidR="00FD2A3E" w:rsidRDefault="00F55EA6">
      <w:pPr>
        <w:pStyle w:val="TOC1"/>
        <w:rPr>
          <w:rFonts w:asciiTheme="minorHAnsi" w:eastAsiaTheme="minorEastAsia" w:hAnsiTheme="minorHAnsi" w:cstheme="minorBidi"/>
          <w:caps w:val="0"/>
          <w:noProof/>
          <w:sz w:val="22"/>
          <w:szCs w:val="22"/>
        </w:rPr>
      </w:pPr>
      <w:hyperlink w:anchor="_Toc185251386" w:history="1">
        <w:r w:rsidR="00FD2A3E" w:rsidRPr="009312CB">
          <w:rPr>
            <w:rStyle w:val="Hyperlink"/>
            <w:noProof/>
          </w:rPr>
          <w:t>6.</w:t>
        </w:r>
        <w:r w:rsidR="00FD2A3E">
          <w:rPr>
            <w:rFonts w:asciiTheme="minorHAnsi" w:eastAsiaTheme="minorEastAsia" w:hAnsiTheme="minorHAnsi" w:cstheme="minorBidi"/>
            <w:caps w:val="0"/>
            <w:noProof/>
            <w:sz w:val="22"/>
            <w:szCs w:val="22"/>
          </w:rPr>
          <w:tab/>
        </w:r>
        <w:r w:rsidR="00FD2A3E" w:rsidRPr="009312CB">
          <w:rPr>
            <w:rStyle w:val="Hyperlink"/>
            <w:noProof/>
          </w:rPr>
          <w:t>STATEMENT OF COMPATIBILITY WITH HUMAN RIGHTS</w:t>
        </w:r>
        <w:r w:rsidR="00FD2A3E">
          <w:rPr>
            <w:noProof/>
            <w:webHidden/>
          </w:rPr>
          <w:tab/>
        </w:r>
        <w:r w:rsidR="00FD2A3E">
          <w:rPr>
            <w:noProof/>
            <w:webHidden/>
          </w:rPr>
          <w:fldChar w:fldCharType="begin"/>
        </w:r>
        <w:r w:rsidR="00FD2A3E">
          <w:rPr>
            <w:noProof/>
            <w:webHidden/>
          </w:rPr>
          <w:instrText xml:space="preserve"> PAGEREF _Toc185251386 \h </w:instrText>
        </w:r>
        <w:r w:rsidR="00FD2A3E">
          <w:rPr>
            <w:noProof/>
            <w:webHidden/>
          </w:rPr>
        </w:r>
        <w:r w:rsidR="00FD2A3E">
          <w:rPr>
            <w:noProof/>
            <w:webHidden/>
          </w:rPr>
          <w:fldChar w:fldCharType="separate"/>
        </w:r>
        <w:r w:rsidR="00FD2A3E">
          <w:rPr>
            <w:noProof/>
            <w:webHidden/>
          </w:rPr>
          <w:t>9</w:t>
        </w:r>
        <w:r w:rsidR="00FD2A3E">
          <w:rPr>
            <w:noProof/>
            <w:webHidden/>
          </w:rPr>
          <w:fldChar w:fldCharType="end"/>
        </w:r>
      </w:hyperlink>
    </w:p>
    <w:p w14:paraId="4837B9ED" w14:textId="67140318" w:rsidR="00FD2A3E" w:rsidRDefault="00F55EA6">
      <w:pPr>
        <w:pStyle w:val="TOC2"/>
        <w:rPr>
          <w:rFonts w:asciiTheme="minorHAnsi" w:eastAsiaTheme="minorEastAsia" w:hAnsiTheme="minorHAnsi" w:cstheme="minorBidi"/>
          <w:noProof/>
          <w:sz w:val="22"/>
          <w:szCs w:val="22"/>
        </w:rPr>
      </w:pPr>
      <w:hyperlink w:anchor="_Toc185251387" w:history="1">
        <w:r w:rsidR="00FD2A3E" w:rsidRPr="009312CB">
          <w:rPr>
            <w:rStyle w:val="Hyperlink"/>
            <w:noProof/>
          </w:rPr>
          <w:t>6.1.</w:t>
        </w:r>
        <w:r w:rsidR="00FD2A3E">
          <w:rPr>
            <w:rFonts w:asciiTheme="minorHAnsi" w:eastAsiaTheme="minorEastAsia" w:hAnsiTheme="minorHAnsi" w:cstheme="minorBidi"/>
            <w:noProof/>
            <w:sz w:val="22"/>
            <w:szCs w:val="22"/>
          </w:rPr>
          <w:tab/>
        </w:r>
        <w:r w:rsidR="00FD2A3E" w:rsidRPr="009312CB">
          <w:rPr>
            <w:rStyle w:val="Hyperlink"/>
            <w:noProof/>
          </w:rPr>
          <w:t>Overview</w:t>
        </w:r>
        <w:r w:rsidR="00FD2A3E">
          <w:rPr>
            <w:noProof/>
            <w:webHidden/>
          </w:rPr>
          <w:tab/>
        </w:r>
        <w:r w:rsidR="00FD2A3E">
          <w:rPr>
            <w:noProof/>
            <w:webHidden/>
          </w:rPr>
          <w:fldChar w:fldCharType="begin"/>
        </w:r>
        <w:r w:rsidR="00FD2A3E">
          <w:rPr>
            <w:noProof/>
            <w:webHidden/>
          </w:rPr>
          <w:instrText xml:space="preserve"> PAGEREF _Toc185251387 \h </w:instrText>
        </w:r>
        <w:r w:rsidR="00FD2A3E">
          <w:rPr>
            <w:noProof/>
            <w:webHidden/>
          </w:rPr>
        </w:r>
        <w:r w:rsidR="00FD2A3E">
          <w:rPr>
            <w:noProof/>
            <w:webHidden/>
          </w:rPr>
          <w:fldChar w:fldCharType="separate"/>
        </w:r>
        <w:r w:rsidR="00FD2A3E">
          <w:rPr>
            <w:noProof/>
            <w:webHidden/>
          </w:rPr>
          <w:t>9</w:t>
        </w:r>
        <w:r w:rsidR="00FD2A3E">
          <w:rPr>
            <w:noProof/>
            <w:webHidden/>
          </w:rPr>
          <w:fldChar w:fldCharType="end"/>
        </w:r>
      </w:hyperlink>
    </w:p>
    <w:p w14:paraId="1CE4824E" w14:textId="15FD5007" w:rsidR="00FD2A3E" w:rsidRDefault="00F55EA6">
      <w:pPr>
        <w:pStyle w:val="TOC2"/>
        <w:rPr>
          <w:rFonts w:asciiTheme="minorHAnsi" w:eastAsiaTheme="minorEastAsia" w:hAnsiTheme="minorHAnsi" w:cstheme="minorBidi"/>
          <w:noProof/>
          <w:sz w:val="22"/>
          <w:szCs w:val="22"/>
        </w:rPr>
      </w:pPr>
      <w:hyperlink w:anchor="_Toc185251388" w:history="1">
        <w:r w:rsidR="00FD2A3E" w:rsidRPr="009312CB">
          <w:rPr>
            <w:rStyle w:val="Hyperlink"/>
            <w:noProof/>
          </w:rPr>
          <w:t>6.2.</w:t>
        </w:r>
        <w:r w:rsidR="00FD2A3E">
          <w:rPr>
            <w:rFonts w:asciiTheme="minorHAnsi" w:eastAsiaTheme="minorEastAsia" w:hAnsiTheme="minorHAnsi" w:cstheme="minorBidi"/>
            <w:noProof/>
            <w:sz w:val="22"/>
            <w:szCs w:val="22"/>
          </w:rPr>
          <w:tab/>
        </w:r>
        <w:r w:rsidR="00FD2A3E" w:rsidRPr="009312CB">
          <w:rPr>
            <w:rStyle w:val="Hyperlink"/>
            <w:noProof/>
          </w:rPr>
          <w:t>Human Rights Implications</w:t>
        </w:r>
        <w:r w:rsidR="00FD2A3E">
          <w:rPr>
            <w:noProof/>
            <w:webHidden/>
          </w:rPr>
          <w:tab/>
        </w:r>
        <w:r w:rsidR="00FD2A3E">
          <w:rPr>
            <w:noProof/>
            <w:webHidden/>
          </w:rPr>
          <w:fldChar w:fldCharType="begin"/>
        </w:r>
        <w:r w:rsidR="00FD2A3E">
          <w:rPr>
            <w:noProof/>
            <w:webHidden/>
          </w:rPr>
          <w:instrText xml:space="preserve"> PAGEREF _Toc185251388 \h </w:instrText>
        </w:r>
        <w:r w:rsidR="00FD2A3E">
          <w:rPr>
            <w:noProof/>
            <w:webHidden/>
          </w:rPr>
        </w:r>
        <w:r w:rsidR="00FD2A3E">
          <w:rPr>
            <w:noProof/>
            <w:webHidden/>
          </w:rPr>
          <w:fldChar w:fldCharType="separate"/>
        </w:r>
        <w:r w:rsidR="00FD2A3E">
          <w:rPr>
            <w:noProof/>
            <w:webHidden/>
          </w:rPr>
          <w:t>9</w:t>
        </w:r>
        <w:r w:rsidR="00FD2A3E">
          <w:rPr>
            <w:noProof/>
            <w:webHidden/>
          </w:rPr>
          <w:fldChar w:fldCharType="end"/>
        </w:r>
      </w:hyperlink>
    </w:p>
    <w:p w14:paraId="0567AF93" w14:textId="61D97D10" w:rsidR="00FD2A3E" w:rsidRDefault="00F55EA6">
      <w:pPr>
        <w:pStyle w:val="TOC2"/>
        <w:rPr>
          <w:rFonts w:asciiTheme="minorHAnsi" w:eastAsiaTheme="minorEastAsia" w:hAnsiTheme="minorHAnsi" w:cstheme="minorBidi"/>
          <w:noProof/>
          <w:sz w:val="22"/>
          <w:szCs w:val="22"/>
        </w:rPr>
      </w:pPr>
      <w:hyperlink w:anchor="_Toc185251389" w:history="1">
        <w:r w:rsidR="00FD2A3E" w:rsidRPr="009312CB">
          <w:rPr>
            <w:rStyle w:val="Hyperlink"/>
            <w:noProof/>
          </w:rPr>
          <w:t>6.3.</w:t>
        </w:r>
        <w:r w:rsidR="00FD2A3E">
          <w:rPr>
            <w:rFonts w:asciiTheme="minorHAnsi" w:eastAsiaTheme="minorEastAsia" w:hAnsiTheme="minorHAnsi" w:cstheme="minorBidi"/>
            <w:noProof/>
            <w:sz w:val="22"/>
            <w:szCs w:val="22"/>
          </w:rPr>
          <w:tab/>
        </w:r>
        <w:r w:rsidR="00FD2A3E" w:rsidRPr="009312CB">
          <w:rPr>
            <w:rStyle w:val="Hyperlink"/>
            <w:noProof/>
          </w:rPr>
          <w:t>Conclusion</w:t>
        </w:r>
        <w:r w:rsidR="00FD2A3E">
          <w:rPr>
            <w:noProof/>
            <w:webHidden/>
          </w:rPr>
          <w:tab/>
        </w:r>
        <w:r w:rsidR="00FD2A3E">
          <w:rPr>
            <w:noProof/>
            <w:webHidden/>
          </w:rPr>
          <w:fldChar w:fldCharType="begin"/>
        </w:r>
        <w:r w:rsidR="00FD2A3E">
          <w:rPr>
            <w:noProof/>
            <w:webHidden/>
          </w:rPr>
          <w:instrText xml:space="preserve"> PAGEREF _Toc185251389 \h </w:instrText>
        </w:r>
        <w:r w:rsidR="00FD2A3E">
          <w:rPr>
            <w:noProof/>
            <w:webHidden/>
          </w:rPr>
        </w:r>
        <w:r w:rsidR="00FD2A3E">
          <w:rPr>
            <w:noProof/>
            <w:webHidden/>
          </w:rPr>
          <w:fldChar w:fldCharType="separate"/>
        </w:r>
        <w:r w:rsidR="00FD2A3E">
          <w:rPr>
            <w:noProof/>
            <w:webHidden/>
          </w:rPr>
          <w:t>9</w:t>
        </w:r>
        <w:r w:rsidR="00FD2A3E">
          <w:rPr>
            <w:noProof/>
            <w:webHidden/>
          </w:rPr>
          <w:fldChar w:fldCharType="end"/>
        </w:r>
      </w:hyperlink>
    </w:p>
    <w:p w14:paraId="4D0A808B" w14:textId="06543AF2" w:rsidR="00DD1742" w:rsidRPr="00DD1742" w:rsidRDefault="00B92CC2" w:rsidP="00E731AD">
      <w:pPr>
        <w:pStyle w:val="TOC1"/>
      </w:pPr>
      <w:r>
        <w:rPr>
          <w:noProof/>
        </w:rPr>
        <w:fldChar w:fldCharType="end"/>
      </w:r>
    </w:p>
    <w:p w14:paraId="085BD5D6" w14:textId="1AF7C501" w:rsidR="00BA4F48" w:rsidRPr="007D5A43" w:rsidRDefault="00BA4F48" w:rsidP="00D17480">
      <w:pPr>
        <w:pStyle w:val="HeadingLevel1"/>
      </w:pPr>
      <w:r w:rsidRPr="00601B0E">
        <w:rPr>
          <w:color w:val="3366FF"/>
        </w:rPr>
        <w:br w:type="page"/>
      </w:r>
      <w:bookmarkStart w:id="1" w:name="_Toc167864611"/>
      <w:bookmarkStart w:id="2" w:name="_Toc505092258"/>
      <w:bookmarkStart w:id="3" w:name="_Toc46333216"/>
      <w:bookmarkStart w:id="4" w:name="_Toc46333470"/>
      <w:bookmarkStart w:id="5" w:name="_Toc46333624"/>
      <w:bookmarkStart w:id="6" w:name="_Toc46333789"/>
      <w:bookmarkStart w:id="7" w:name="_Toc46333903"/>
      <w:bookmarkStart w:id="8" w:name="_Toc46334639"/>
      <w:bookmarkStart w:id="9" w:name="_Toc106612237"/>
      <w:bookmarkStart w:id="10" w:name="_Toc141782614"/>
      <w:bookmarkStart w:id="11" w:name="_Toc185251371"/>
      <w:r w:rsidR="00D12B4B" w:rsidRPr="004B7B18">
        <w:rPr>
          <w:caps w:val="0"/>
        </w:rPr>
        <w:lastRenderedPageBreak/>
        <w:t>L</w:t>
      </w:r>
      <w:r w:rsidR="00D12B4B" w:rsidRPr="007D5A43">
        <w:rPr>
          <w:caps w:val="0"/>
        </w:rPr>
        <w:t xml:space="preserve">EGISLATIVE </w:t>
      </w:r>
      <w:bookmarkEnd w:id="1"/>
      <w:bookmarkEnd w:id="2"/>
      <w:bookmarkEnd w:id="3"/>
      <w:bookmarkEnd w:id="4"/>
      <w:bookmarkEnd w:id="5"/>
      <w:bookmarkEnd w:id="6"/>
      <w:bookmarkEnd w:id="7"/>
      <w:bookmarkEnd w:id="8"/>
      <w:r w:rsidR="00D12B4B">
        <w:rPr>
          <w:caps w:val="0"/>
        </w:rPr>
        <w:t>AUTHORITY</w:t>
      </w:r>
      <w:bookmarkEnd w:id="9"/>
      <w:bookmarkEnd w:id="10"/>
      <w:bookmarkEnd w:id="11"/>
    </w:p>
    <w:p w14:paraId="015854DE" w14:textId="13AAA23F" w:rsidR="00CD6DCB" w:rsidRDefault="00171B88" w:rsidP="00DD1742">
      <w:pPr>
        <w:pStyle w:val="HeadingLevel2"/>
      </w:pPr>
      <w:bookmarkStart w:id="12" w:name="_Toc141782615"/>
      <w:bookmarkStart w:id="13" w:name="_Toc185251372"/>
      <w:r>
        <w:t>National Road Vehicle S</w:t>
      </w:r>
      <w:r w:rsidR="00CD6DCB">
        <w:t>tandards</w:t>
      </w:r>
      <w:bookmarkEnd w:id="12"/>
      <w:bookmarkEnd w:id="13"/>
    </w:p>
    <w:p w14:paraId="3B0E3DCF" w14:textId="631DF182" w:rsidR="00545172" w:rsidRDefault="00545172" w:rsidP="00545172">
      <w:r>
        <w:t xml:space="preserve">The </w:t>
      </w:r>
      <w:r w:rsidR="00C548A1" w:rsidRPr="00A81F4B">
        <w:t xml:space="preserve">Vehicle Standard (Australian Design Rule) </w:t>
      </w:r>
      <w:r w:rsidR="00EF06D5">
        <w:t>Mobile Crane Amendments</w:t>
      </w:r>
      <w:r w:rsidR="002849BB">
        <w:t xml:space="preserve"> 202</w:t>
      </w:r>
      <w:r w:rsidR="0056539E">
        <w:t>5</w:t>
      </w:r>
      <w:r w:rsidR="00662BF8">
        <w:t xml:space="preserve"> </w:t>
      </w:r>
      <w:r w:rsidR="002849BB">
        <w:br/>
      </w:r>
      <w:r w:rsidR="00BA16F7">
        <w:t>(</w:t>
      </w:r>
      <w:r w:rsidR="00FE328D">
        <w:t>“</w:t>
      </w:r>
      <w:r w:rsidR="00A75E40">
        <w:t xml:space="preserve">the </w:t>
      </w:r>
      <w:r w:rsidR="00BA16F7">
        <w:t>Amend</w:t>
      </w:r>
      <w:r w:rsidR="00DB31EA">
        <w:t>ing</w:t>
      </w:r>
      <w:r w:rsidR="00BA16F7">
        <w:t xml:space="preserve"> Instrument</w:t>
      </w:r>
      <w:r w:rsidR="00571566">
        <w:t>”</w:t>
      </w:r>
      <w:r w:rsidR="00BA16F7">
        <w:t xml:space="preserve">) </w:t>
      </w:r>
      <w:r w:rsidR="00861751" w:rsidRPr="00D215BC">
        <w:t xml:space="preserve">is made under section 12 of the </w:t>
      </w:r>
      <w:r w:rsidR="00861751" w:rsidRPr="00D215BC">
        <w:rPr>
          <w:i/>
        </w:rPr>
        <w:t>Road Vehicle Standards Act 2018</w:t>
      </w:r>
      <w:r w:rsidR="00861751" w:rsidRPr="00D215BC">
        <w:t xml:space="preserve"> (RVSA).</w:t>
      </w:r>
    </w:p>
    <w:p w14:paraId="4EDFCC5A" w14:textId="77777777" w:rsidR="00545172" w:rsidRDefault="00545172" w:rsidP="00545172">
      <w:r>
        <w:t>The RVSA enables the Australian Government to establish nationally uniform standards that apply to new road vehicles or road vehicle components when they are provided to the market in Australia. The RVSA applies to vehicles or components whether they are manufactured in Australia or imported.</w:t>
      </w:r>
    </w:p>
    <w:p w14:paraId="689A6081" w14:textId="40A54B1B" w:rsidR="00E47396" w:rsidRDefault="00545172" w:rsidP="00545172">
      <w:r>
        <w:t>The making of the vehicle standards necessary for the RVSA’s effective operation is provided for in section 12, which empowers the Minister to “determine standards for road vehicles or road vehicle components”.</w:t>
      </w:r>
    </w:p>
    <w:p w14:paraId="4392995D" w14:textId="25F62CDC" w:rsidR="00AD0083" w:rsidRDefault="00AD0083" w:rsidP="00545172">
      <w:r w:rsidRPr="00AD0083">
        <w:t xml:space="preserve">Subsection 33(3) of the </w:t>
      </w:r>
      <w:r w:rsidRPr="00AD0083">
        <w:rPr>
          <w:i/>
        </w:rPr>
        <w:t>Acts Interpretation Act 1901</w:t>
      </w:r>
      <w:r w:rsidRPr="00AD0083">
        <w:t xml:space="preserve"> provides, in part, that the power to amend instruments is conferred by the same power to make the instrument.</w:t>
      </w:r>
    </w:p>
    <w:p w14:paraId="7106D266" w14:textId="1EF7AFA8" w:rsidR="00CD6DCB" w:rsidRDefault="00171B88" w:rsidP="00DD1742">
      <w:pPr>
        <w:pStyle w:val="HeadingLevel2"/>
      </w:pPr>
      <w:bookmarkStart w:id="14" w:name="_Toc141782616"/>
      <w:bookmarkStart w:id="15" w:name="_Toc185251373"/>
      <w:r>
        <w:t>Exemption from S</w:t>
      </w:r>
      <w:r w:rsidR="00CD6DCB">
        <w:t>unsetting</w:t>
      </w:r>
      <w:bookmarkEnd w:id="14"/>
      <w:bookmarkEnd w:id="15"/>
    </w:p>
    <w:p w14:paraId="54C6A0D6" w14:textId="76330A46" w:rsidR="00AF23A2" w:rsidRDefault="00AF23A2" w:rsidP="00CD6DCB">
      <w:r>
        <w:t>The Australian Design Rules (ADRs) are</w:t>
      </w:r>
      <w:r w:rsidRPr="00AF23A2">
        <w:t xml:space="preserve"> exempt from the sunsetting provisions of the </w:t>
      </w:r>
      <w:r w:rsidRPr="00AF23A2">
        <w:rPr>
          <w:i/>
        </w:rPr>
        <w:t>Legislation Act 2003</w:t>
      </w:r>
      <w:r w:rsidRPr="00AF23A2">
        <w:t>.</w:t>
      </w:r>
    </w:p>
    <w:p w14:paraId="0155BCB5" w14:textId="77777777" w:rsidR="00CD6DCB" w:rsidRPr="00171B88" w:rsidRDefault="00CD6DCB" w:rsidP="00CD6DCB">
      <w:pPr>
        <w:rPr>
          <w:i/>
        </w:rPr>
      </w:pPr>
      <w:r w:rsidRPr="00171B88">
        <w:rPr>
          <w:i/>
        </w:rPr>
        <w:t>Source of the Exemption</w:t>
      </w:r>
    </w:p>
    <w:p w14:paraId="513521B4" w14:textId="7D075111" w:rsidR="00CD6DCB" w:rsidRDefault="00CD6DCB" w:rsidP="00CD6DCB">
      <w:r>
        <w:t xml:space="preserve">A standard made under section 12 of the </w:t>
      </w:r>
      <w:r w:rsidR="00171B88">
        <w:t>RVSA</w:t>
      </w:r>
      <w:r>
        <w:t xml:space="preserve"> is not subject to the sunsetting provisions of section 50 of the </w:t>
      </w:r>
      <w:r>
        <w:rPr>
          <w:i/>
        </w:rPr>
        <w:t>Legislation Act 2003</w:t>
      </w:r>
      <w:r>
        <w:t xml:space="preserve"> through section 12 of the </w:t>
      </w:r>
      <w:r w:rsidRPr="002B316E">
        <w:t>Legislation (Exemptions and Other Matters) Regulation 2015</w:t>
      </w:r>
      <w:r>
        <w:t xml:space="preserve"> (table item 56C). A</w:t>
      </w:r>
      <w:r w:rsidR="0090725B">
        <w:t> </w:t>
      </w:r>
      <w:r>
        <w:t xml:space="preserve">similar exemption was previously granted in respect of national road vehicle standards made under section 7 of the </w:t>
      </w:r>
      <w:r>
        <w:rPr>
          <w:i/>
        </w:rPr>
        <w:t>Motor Vehicle Standards Act 1989</w:t>
      </w:r>
      <w:r>
        <w:t xml:space="preserve"> (MVSA) (item 40, section 12 of the </w:t>
      </w:r>
      <w:r w:rsidRPr="009A5343">
        <w:t>Legislation (Exemptions and Other Matters) Regulation 2015</w:t>
      </w:r>
      <w:r>
        <w:t>). This exemption is im</w:t>
      </w:r>
      <w:r w:rsidR="00171B88">
        <w:t xml:space="preserve">portant to ensure that </w:t>
      </w:r>
      <w:r w:rsidR="007E6B67">
        <w:t>ADR</w:t>
      </w:r>
      <w:r w:rsidR="00AF23A2">
        <w:t>s, including those</w:t>
      </w:r>
      <w:r w:rsidR="007E6B67" w:rsidRPr="009443CB">
        <w:t xml:space="preserve"> amended by</w:t>
      </w:r>
      <w:r w:rsidR="007E6B67">
        <w:t xml:space="preserve"> </w:t>
      </w:r>
      <w:r w:rsidR="00AF23A2">
        <w:t>the Amending Instrument,</w:t>
      </w:r>
      <w:r w:rsidR="007E6B67">
        <w:t xml:space="preserve"> </w:t>
      </w:r>
      <w:r>
        <w:t>continue to remain in force and available to regulators and industry.</w:t>
      </w:r>
    </w:p>
    <w:p w14:paraId="5CCC12BB" w14:textId="5F7FD441" w:rsidR="00CD6DCB" w:rsidRPr="00171B88" w:rsidRDefault="00171B88" w:rsidP="00171B88">
      <w:pPr>
        <w:pStyle w:val="Subsubsubsection"/>
        <w:numPr>
          <w:ilvl w:val="0"/>
          <w:numId w:val="0"/>
        </w:numPr>
        <w:ind w:left="851" w:hanging="851"/>
        <w:rPr>
          <w:i/>
        </w:rPr>
      </w:pPr>
      <w:r>
        <w:rPr>
          <w:i/>
        </w:rPr>
        <w:t>Intergovernmental D</w:t>
      </w:r>
      <w:r w:rsidR="00CD6DCB" w:rsidRPr="00171B88">
        <w:rPr>
          <w:i/>
        </w:rPr>
        <w:t>ependencies</w:t>
      </w:r>
    </w:p>
    <w:p w14:paraId="1BF77743" w14:textId="2A2CEAAA" w:rsidR="00CD6DCB" w:rsidRDefault="00CD6DCB" w:rsidP="00CD6DCB">
      <w:r>
        <w:t xml:space="preserve">The exemption concerns ADRs which facilitate the establishment and operation of the intergovernmental vehicle standard regime that Commonwealth, </w:t>
      </w:r>
      <w:r w:rsidR="008D476B">
        <w:t>s</w:t>
      </w:r>
      <w:r>
        <w:t xml:space="preserve">tate and </w:t>
      </w:r>
      <w:r w:rsidR="008D476B">
        <w:t>t</w:t>
      </w:r>
      <w:r>
        <w:t xml:space="preserve">erritory governments rely on to regulate the safety of vehicles on public roads. </w:t>
      </w:r>
    </w:p>
    <w:p w14:paraId="7FA70B52" w14:textId="487F6A61" w:rsidR="00CD6DCB" w:rsidRDefault="00CD6DCB" w:rsidP="00CD6DCB">
      <w:r>
        <w:t xml:space="preserve">The Commonwealth uses the ADRs as the basis on which approvals to supply types of road vehicles to the market are granted under the </w:t>
      </w:r>
      <w:r w:rsidRPr="00B578A2">
        <w:t>Road Vehicle Standards Rules 2019</w:t>
      </w:r>
      <w:r>
        <w:t>.</w:t>
      </w:r>
      <w:r w:rsidR="00BA6364">
        <w:t xml:space="preserve"> </w:t>
      </w:r>
      <w:r>
        <w:t>States and territories</w:t>
      </w:r>
      <w:r w:rsidR="003F6441">
        <w:t xml:space="preserve"> and the National Heavy Vehicle Regulator </w:t>
      </w:r>
      <w:r>
        <w:t xml:space="preserve">use the ADRs as the primary criteria on which vehicles are assessed for road worthiness. This </w:t>
      </w:r>
      <w:r w:rsidR="00913ED3">
        <w:br/>
      </w:r>
      <w:r>
        <w:t>‘in-service’ aspect is dependent on the date of manufacture, which determines the applicable version of the ADRs against which the vehicle can be assessed.</w:t>
      </w:r>
      <w:r w:rsidR="00BA6364">
        <w:t xml:space="preserve"> </w:t>
      </w:r>
      <w:r>
        <w:t xml:space="preserve">The ability to rely on national standards is particularly relevant given the long service life of vehicles – the average age of vehicles in Australia is </w:t>
      </w:r>
      <w:r w:rsidR="00F86CF0">
        <w:t>over 10</w:t>
      </w:r>
      <w:r>
        <w:t xml:space="preserve"> years.</w:t>
      </w:r>
    </w:p>
    <w:p w14:paraId="466A3BA7" w14:textId="1C6D4291" w:rsidR="00CD6DCB" w:rsidRDefault="00CD6DCB" w:rsidP="00CD6DCB">
      <w:r>
        <w:t xml:space="preserve">While the ADRs are regularly updated to reflect changes in technology, it is not possible to apply these new standards retrospectively to vehicles that are already in use. With former ADRs kept on the Federal Register of Legislation, </w:t>
      </w:r>
      <w:r w:rsidR="008D476B">
        <w:t>s</w:t>
      </w:r>
      <w:r>
        <w:t xml:space="preserve">tate and </w:t>
      </w:r>
      <w:r w:rsidR="008D476B">
        <w:t>t</w:t>
      </w:r>
      <w:r>
        <w:t>erritory governments can use them to ensure vehicles continue to comply with the ADRs that were in force when they were first supplied to the market.</w:t>
      </w:r>
    </w:p>
    <w:p w14:paraId="747F610A" w14:textId="5B20EBF8" w:rsidR="00CD6DCB" w:rsidRDefault="00CD6DCB" w:rsidP="006B1655">
      <w:pPr>
        <w:keepLines/>
      </w:pPr>
      <w:r>
        <w:lastRenderedPageBreak/>
        <w:t xml:space="preserve">In the event that the Commonwealth could not justify the maintenance of the ADRs, </w:t>
      </w:r>
      <w:r w:rsidR="008D476B">
        <w:t>s</w:t>
      </w:r>
      <w:r>
        <w:t xml:space="preserve">tate and </w:t>
      </w:r>
      <w:r w:rsidR="008D476B">
        <w:t>t</w:t>
      </w:r>
      <w:r>
        <w:t xml:space="preserve">erritory governments would be compelled to create their own vehicle standards. Whilst this could mean adopting the substance of the lapsed ADRs as an interim measure, the differing needs and agendas of each </w:t>
      </w:r>
      <w:r w:rsidR="008D476B">
        <w:t>s</w:t>
      </w:r>
      <w:r>
        <w:t xml:space="preserve">tate and </w:t>
      </w:r>
      <w:r w:rsidR="008D476B">
        <w:t>t</w:t>
      </w:r>
      <w:r>
        <w:t xml:space="preserve">erritory government may result in variations to in-service regulations. Having different vehicle standards across the states and territories would make the scheme operate contrary to the underlying policy intent of the </w:t>
      </w:r>
      <w:r w:rsidR="00171B88">
        <w:t>RVSA</w:t>
      </w:r>
      <w:r>
        <w:t xml:space="preserve"> which is to set nationally consistent </w:t>
      </w:r>
      <w:r w:rsidR="00061D59">
        <w:t>performance-based</w:t>
      </w:r>
      <w:r>
        <w:t xml:space="preserve"> standards.</w:t>
      </w:r>
    </w:p>
    <w:p w14:paraId="55BAA1A3" w14:textId="7C4E673A" w:rsidR="00CD6DCB" w:rsidRPr="00171B88" w:rsidRDefault="00171B88" w:rsidP="00171B88">
      <w:pPr>
        <w:pStyle w:val="Subsubsubsection"/>
        <w:numPr>
          <w:ilvl w:val="0"/>
          <w:numId w:val="0"/>
        </w:numPr>
        <w:ind w:left="851" w:hanging="851"/>
        <w:rPr>
          <w:i/>
        </w:rPr>
      </w:pPr>
      <w:r>
        <w:rPr>
          <w:i/>
        </w:rPr>
        <w:t>Commercial D</w:t>
      </w:r>
      <w:r w:rsidR="00CD6DCB" w:rsidRPr="00171B88">
        <w:rPr>
          <w:i/>
        </w:rPr>
        <w:t>ependencies</w:t>
      </w:r>
    </w:p>
    <w:p w14:paraId="73D7BE5B" w14:textId="782857AA" w:rsidR="00CD6DCB" w:rsidRDefault="00CD6DCB" w:rsidP="00CD6DCB">
      <w:r>
        <w:t>The effect on vehicle manufacturers to redesign existing models to comply with new ADRs would present a burden and be a costly and onerous exercise. Manufacturers should not be expected to continually go back to redesign existing vehicle</w:t>
      </w:r>
      <w:r w:rsidR="007830D3">
        <w:t xml:space="preserve"> models that are still being newly supplied to the market</w:t>
      </w:r>
      <w:r>
        <w:t xml:space="preserve">. Furthermore, ongoing product recalls to </w:t>
      </w:r>
      <w:r w:rsidR="00B30A66">
        <w:t xml:space="preserve">update vehicles to </w:t>
      </w:r>
      <w:r>
        <w:t xml:space="preserve">comply with new ADRs </w:t>
      </w:r>
      <w:r w:rsidR="00B30A66">
        <w:t xml:space="preserve">(where such an update is feasible) </w:t>
      </w:r>
      <w:r>
        <w:t>would undermine consumer confidence with significant financial impact to manufacturers.</w:t>
      </w:r>
      <w:r w:rsidR="00BA6364">
        <w:t xml:space="preserve"> </w:t>
      </w:r>
      <w:r>
        <w:t>This exemption allows vehicle manufacturers to focus their efforts to ensure new models supplied to the market continue to comply.</w:t>
      </w:r>
    </w:p>
    <w:p w14:paraId="36AEA896" w14:textId="1B023B85" w:rsidR="00CD6DCB" w:rsidRPr="00171B88" w:rsidRDefault="00041F47" w:rsidP="00171B88">
      <w:pPr>
        <w:pStyle w:val="Subsubsection"/>
        <w:numPr>
          <w:ilvl w:val="0"/>
          <w:numId w:val="0"/>
        </w:numPr>
        <w:ind w:left="851" w:hanging="851"/>
        <w:rPr>
          <w:i/>
        </w:rPr>
      </w:pPr>
      <w:r w:rsidRPr="00041F47">
        <w:rPr>
          <w:i/>
        </w:rPr>
        <w:t>Reviews of Australian Design Rules</w:t>
      </w:r>
    </w:p>
    <w:p w14:paraId="2E86017F" w14:textId="4CB76325" w:rsidR="00CD6DCB" w:rsidRPr="00CD6DCB" w:rsidRDefault="00041F47" w:rsidP="00CD6DCB">
      <w:r w:rsidRPr="00041F47">
        <w:t>ADRs are subject to regular reviews, as resources permit, and when developments in vehicle technology necessitates updates to requirements. Reviews of the ADRs ensure the ongoing effectiveness of a nationally consistent system of technical regulations for vehicle design, which are closely aligned, wherever appropriate with leading international standards such as United Nations (UN) regulations. This method facilitates the rapid introduction of the latest safety devices and technological advances into the Australian market, while also contributing to the industry’s cost competitiveness in the domestic market. Where a review results in a new or amended ADR, these changes are subject to full parliamentary scrutiny.</w:t>
      </w:r>
    </w:p>
    <w:p w14:paraId="181EE9A1" w14:textId="4408CA31" w:rsidR="0018242E" w:rsidRPr="00E47396" w:rsidRDefault="00662BF8" w:rsidP="00E47396">
      <w:pPr>
        <w:pStyle w:val="HeadingLevel1"/>
      </w:pPr>
      <w:bookmarkStart w:id="16" w:name="_Toc46333217"/>
      <w:bookmarkStart w:id="17" w:name="_Toc46333471"/>
      <w:bookmarkStart w:id="18" w:name="_Toc46333625"/>
      <w:bookmarkStart w:id="19" w:name="_Toc46333790"/>
      <w:bookmarkStart w:id="20" w:name="_Toc46333904"/>
      <w:bookmarkStart w:id="21" w:name="_Toc46334640"/>
      <w:bookmarkStart w:id="22" w:name="_Toc106612238"/>
      <w:bookmarkStart w:id="23" w:name="_Toc141782617"/>
      <w:bookmarkStart w:id="24" w:name="_Toc185251374"/>
      <w:r w:rsidRPr="007D5A43">
        <w:t>Purpose and Operation</w:t>
      </w:r>
      <w:bookmarkStart w:id="25" w:name="_Toc167864613"/>
      <w:bookmarkStart w:id="26" w:name="_Toc505092260"/>
      <w:bookmarkStart w:id="27" w:name="_Toc46333218"/>
      <w:bookmarkStart w:id="28" w:name="_Toc46333472"/>
      <w:bookmarkStart w:id="29" w:name="_Toc46333626"/>
      <w:bookmarkStart w:id="30" w:name="_Toc46333791"/>
      <w:bookmarkStart w:id="31" w:name="_Toc46333905"/>
      <w:bookmarkStart w:id="32" w:name="_Toc46334641"/>
      <w:bookmarkEnd w:id="16"/>
      <w:bookmarkEnd w:id="17"/>
      <w:bookmarkEnd w:id="18"/>
      <w:bookmarkEnd w:id="19"/>
      <w:bookmarkEnd w:id="20"/>
      <w:bookmarkEnd w:id="21"/>
      <w:bookmarkEnd w:id="22"/>
      <w:bookmarkEnd w:id="23"/>
      <w:bookmarkEnd w:id="24"/>
    </w:p>
    <w:p w14:paraId="41BF3FD8" w14:textId="2B89E8CB" w:rsidR="00AB0CC5" w:rsidRDefault="00AB0CC5" w:rsidP="00C6692A">
      <w:pPr>
        <w:pStyle w:val="HeadingLevel2"/>
      </w:pPr>
      <w:bookmarkStart w:id="33" w:name="_Toc106612239"/>
      <w:bookmarkStart w:id="34" w:name="_Toc141782618"/>
      <w:bookmarkStart w:id="35" w:name="_Toc185251375"/>
      <w:r>
        <w:t xml:space="preserve">Overview of the </w:t>
      </w:r>
      <w:r w:rsidR="00D82557">
        <w:t>R</w:t>
      </w:r>
      <w:r>
        <w:t xml:space="preserve">egulatory </w:t>
      </w:r>
      <w:r w:rsidR="00D82557">
        <w:t>F</w:t>
      </w:r>
      <w:r>
        <w:t>ramework</w:t>
      </w:r>
      <w:bookmarkEnd w:id="33"/>
      <w:bookmarkEnd w:id="34"/>
      <w:bookmarkEnd w:id="35"/>
    </w:p>
    <w:p w14:paraId="29080F2C" w14:textId="64504319" w:rsidR="00AB0CC5" w:rsidRDefault="00AB0CC5" w:rsidP="00310C61">
      <w:r>
        <w:t>The RVSA establishes a regulatory framework to regulate the importation and first supply of road vehicles to the market in Australia.</w:t>
      </w:r>
      <w:r w:rsidR="00D43893">
        <w:t xml:space="preserve"> </w:t>
      </w:r>
      <w:r>
        <w:t>The core principle of this framework is that vehicles which comply with appropriate standards are suitable for provision to the market in Australia</w:t>
      </w:r>
      <w:r w:rsidR="00171B88">
        <w:t>. The ADRs</w:t>
      </w:r>
      <w:r>
        <w:t xml:space="preserve"> have set out those standards since the early 1970s. At that time, they were applied cooperatively by the Australian Motor Vehicle Certification Board representing the Commonwealth and state and territory governments.</w:t>
      </w:r>
      <w:r w:rsidR="00D43893">
        <w:t xml:space="preserve"> </w:t>
      </w:r>
      <w:r>
        <w:t>In 1989, this arrangement was replaced by the MVSA and the A</w:t>
      </w:r>
      <w:r w:rsidR="00C10A09">
        <w:t>DRs</w:t>
      </w:r>
      <w:r>
        <w:t xml:space="preserve"> were de</w:t>
      </w:r>
      <w:r w:rsidR="00620CD0">
        <w:t>termined as national standards.</w:t>
      </w:r>
      <w:r w:rsidR="00545172">
        <w:t xml:space="preserve"> </w:t>
      </w:r>
      <w:r w:rsidR="00545172" w:rsidRPr="00545172">
        <w:t>The RVSA commenced in full and replaced the MVSA on 1 July 2021. A two-year transition period was provided between 1</w:t>
      </w:r>
      <w:r w:rsidR="00C95491">
        <w:t> </w:t>
      </w:r>
      <w:r w:rsidR="00545172" w:rsidRPr="00545172">
        <w:t>July</w:t>
      </w:r>
      <w:r w:rsidR="00C95491">
        <w:t> </w:t>
      </w:r>
      <w:r w:rsidR="00545172" w:rsidRPr="00545172">
        <w:t>2021 and 30 June 2023.</w:t>
      </w:r>
    </w:p>
    <w:p w14:paraId="5CF6BCA5" w14:textId="44DFDB48" w:rsidR="00AB0CC5" w:rsidRDefault="00AB0CC5" w:rsidP="00826D18">
      <w:r>
        <w:t>Under the RVSA, the ADRs are National Road Vehicle Standards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Vehicles approved under these regulatory pathways can be provided to the market in Australia for use in transport.</w:t>
      </w:r>
    </w:p>
    <w:p w14:paraId="26E79CFC" w14:textId="1BD04D64" w:rsidR="00BA4F48" w:rsidRPr="00157E94" w:rsidRDefault="001F33B9" w:rsidP="00C6692A">
      <w:pPr>
        <w:pStyle w:val="HeadingLevel2"/>
      </w:pPr>
      <w:bookmarkStart w:id="36" w:name="_Toc106612240"/>
      <w:bookmarkStart w:id="37" w:name="_Toc141782619"/>
      <w:bookmarkStart w:id="38" w:name="_Toc185251376"/>
      <w:bookmarkEnd w:id="25"/>
      <w:bookmarkEnd w:id="26"/>
      <w:bookmarkEnd w:id="27"/>
      <w:bookmarkEnd w:id="28"/>
      <w:bookmarkEnd w:id="29"/>
      <w:bookmarkEnd w:id="30"/>
      <w:bookmarkEnd w:id="31"/>
      <w:bookmarkEnd w:id="32"/>
      <w:r>
        <w:lastRenderedPageBreak/>
        <w:t>Overview</w:t>
      </w:r>
      <w:r w:rsidR="00D90682">
        <w:t xml:space="preserve"> of the </w:t>
      </w:r>
      <w:bookmarkEnd w:id="36"/>
      <w:r w:rsidR="00814D25">
        <w:t xml:space="preserve">Amending </w:t>
      </w:r>
      <w:r w:rsidR="00E23EAF">
        <w:t>Instrument</w:t>
      </w:r>
      <w:bookmarkEnd w:id="37"/>
      <w:bookmarkEnd w:id="38"/>
    </w:p>
    <w:p w14:paraId="7FAF2CDF" w14:textId="1AEC1278" w:rsidR="003D152C" w:rsidRDefault="00B76E25" w:rsidP="00B54308">
      <w:r>
        <w:t xml:space="preserve">The </w:t>
      </w:r>
      <w:r w:rsidR="00781768">
        <w:t xml:space="preserve">purpose of the </w:t>
      </w:r>
      <w:r>
        <w:t xml:space="preserve">Amending Instrument </w:t>
      </w:r>
      <w:r w:rsidR="00781768">
        <w:t>is to</w:t>
      </w:r>
      <w:r w:rsidR="00B450A1">
        <w:t xml:space="preserve"> exempt </w:t>
      </w:r>
      <w:r w:rsidR="00200A9F">
        <w:t xml:space="preserve">purpose built heavy </w:t>
      </w:r>
      <w:r w:rsidR="00B450A1">
        <w:t xml:space="preserve">mobile cranes from having to comply with </w:t>
      </w:r>
      <w:r w:rsidR="00BB1AF9">
        <w:t xml:space="preserve">the current </w:t>
      </w:r>
      <w:r w:rsidR="00200A9F">
        <w:t>ADR</w:t>
      </w:r>
      <w:r w:rsidR="003C3687">
        <w:t xml:space="preserve"> </w:t>
      </w:r>
      <w:r w:rsidR="00B450A1">
        <w:t>requirements for a Vehicle Stability Function (VSF), Advanced Emergency Braking (AEB), and Lane Departure Warning Systems (LDWS)</w:t>
      </w:r>
      <w:r w:rsidR="003D152C">
        <w:t>.</w:t>
      </w:r>
    </w:p>
    <w:p w14:paraId="61A96CEA" w14:textId="543A3BE7" w:rsidR="00DF49FD" w:rsidRPr="00F2731A" w:rsidRDefault="00DF49FD" w:rsidP="00DF49FD">
      <w:r>
        <w:t xml:space="preserve">With the transition to the RVSA, </w:t>
      </w:r>
      <w:r w:rsidR="00D76DB9">
        <w:t xml:space="preserve">vehicles meeting the definition of mobile crane in the </w:t>
      </w:r>
      <w:r w:rsidRPr="00D12B4B">
        <w:rPr>
          <w:i/>
        </w:rPr>
        <w:t>Road Vehicle Standards (Classes of Vehicles that are Road Vehicles) Determination 2021</w:t>
      </w:r>
      <w:r w:rsidR="00D76DB9">
        <w:t xml:space="preserve"> are determined to be road vehicles for the purposes of the RVSA</w:t>
      </w:r>
      <w:r>
        <w:t xml:space="preserve">. The majority of these </w:t>
      </w:r>
      <w:r w:rsidR="00D76DB9">
        <w:t>mobile cranes</w:t>
      </w:r>
      <w:r>
        <w:t xml:space="preserve"> are classed as category </w:t>
      </w:r>
      <w:r w:rsidR="009507DD">
        <w:t xml:space="preserve">NC </w:t>
      </w:r>
      <w:r>
        <w:t>heavy goods vehicles, and without th</w:t>
      </w:r>
      <w:r w:rsidR="00D76DB9">
        <w:t>is</w:t>
      </w:r>
      <w:r>
        <w:t xml:space="preserve"> amendment</w:t>
      </w:r>
      <w:r w:rsidR="00D76DB9">
        <w:t xml:space="preserve"> package</w:t>
      </w:r>
      <w:r>
        <w:t xml:space="preserve">, </w:t>
      </w:r>
      <w:r w:rsidR="002A528E">
        <w:t xml:space="preserve">many mobile cranes </w:t>
      </w:r>
      <w:r w:rsidR="000E7837">
        <w:t xml:space="preserve">with not more than three axles </w:t>
      </w:r>
      <w:r>
        <w:t xml:space="preserve">would </w:t>
      </w:r>
      <w:r w:rsidR="00BB1AF9">
        <w:t xml:space="preserve">continue to </w:t>
      </w:r>
      <w:r>
        <w:t xml:space="preserve">be required to meet the ADR requirements </w:t>
      </w:r>
      <w:r w:rsidR="000E7837">
        <w:t>for VSF, AEB and LDWS</w:t>
      </w:r>
      <w:r>
        <w:t>.</w:t>
      </w:r>
    </w:p>
    <w:p w14:paraId="39E01A26" w14:textId="77777777" w:rsidR="00A65DD0" w:rsidRDefault="00D76DB9" w:rsidP="00B54308">
      <w:r>
        <w:t xml:space="preserve">The exemptions provided </w:t>
      </w:r>
      <w:r w:rsidR="00857B31">
        <w:t xml:space="preserve">for </w:t>
      </w:r>
      <w:r w:rsidR="002D330C">
        <w:t>in this Amending Instrument are</w:t>
      </w:r>
      <w:r w:rsidR="00390064">
        <w:t xml:space="preserve"> only </w:t>
      </w:r>
      <w:r w:rsidR="00BB1AF9">
        <w:t xml:space="preserve">intended </w:t>
      </w:r>
      <w:r w:rsidR="002D330C">
        <w:t>for</w:t>
      </w:r>
      <w:r w:rsidR="00390064">
        <w:t xml:space="preserve"> </w:t>
      </w:r>
      <w:r>
        <w:t xml:space="preserve">those vehicles that are </w:t>
      </w:r>
      <w:r w:rsidR="00A00792">
        <w:t>“</w:t>
      </w:r>
      <w:r>
        <w:t>princip</w:t>
      </w:r>
      <w:r w:rsidR="00A00792">
        <w:t>all</w:t>
      </w:r>
      <w:r>
        <w:t xml:space="preserve">y designed </w:t>
      </w:r>
      <w:r w:rsidR="00974E24">
        <w:t>and constructed</w:t>
      </w:r>
      <w:r w:rsidR="00A00792">
        <w:t>”</w:t>
      </w:r>
      <w:r w:rsidR="00974E24">
        <w:t xml:space="preserve"> </w:t>
      </w:r>
      <w:r>
        <w:t>to raise</w:t>
      </w:r>
      <w:r w:rsidR="009507DD">
        <w:t>, move,</w:t>
      </w:r>
      <w:r>
        <w:t xml:space="preserve"> and lower </w:t>
      </w:r>
      <w:r w:rsidR="00DD3953">
        <w:t>freely suspended</w:t>
      </w:r>
      <w:r>
        <w:t xml:space="preserve"> loads by the means of a crane</w:t>
      </w:r>
      <w:r w:rsidR="00AA09D4">
        <w:t xml:space="preserve"> that </w:t>
      </w:r>
      <w:r w:rsidR="00AA09D4" w:rsidRPr="00AA09D4">
        <w:t>has a boom with a lifting moment greater than or equal to 400</w:t>
      </w:r>
      <w:r w:rsidR="00D36D4F">
        <w:t> </w:t>
      </w:r>
      <w:r w:rsidR="00AA09D4" w:rsidRPr="00AA09D4">
        <w:t>kNm</w:t>
      </w:r>
      <w:r>
        <w:t>.</w:t>
      </w:r>
    </w:p>
    <w:p w14:paraId="0C9A6509" w14:textId="77777777" w:rsidR="00A65DD0" w:rsidRDefault="00A00792" w:rsidP="00B54308">
      <w:r>
        <w:t>Here, “p</w:t>
      </w:r>
      <w:r w:rsidR="00D76DB9">
        <w:t>rincip</w:t>
      </w:r>
      <w:r>
        <w:t>al</w:t>
      </w:r>
      <w:r w:rsidR="00D76DB9">
        <w:t>ly designed and constructed</w:t>
      </w:r>
      <w:r>
        <w:t>”</w:t>
      </w:r>
      <w:r w:rsidR="00D76DB9">
        <w:t xml:space="preserve"> </w:t>
      </w:r>
      <w:r>
        <w:t xml:space="preserve">is intended to </w:t>
      </w:r>
      <w:r w:rsidR="00217A93">
        <w:t>cover</w:t>
      </w:r>
      <w:r w:rsidR="00D76DB9">
        <w:t xml:space="preserve"> </w:t>
      </w:r>
      <w:r w:rsidR="000C597D">
        <w:t xml:space="preserve">those </w:t>
      </w:r>
      <w:r w:rsidR="00D76DB9">
        <w:t xml:space="preserve">vehicles </w:t>
      </w:r>
      <w:r w:rsidR="002D330C">
        <w:t>with a chassis purpose built for supporting</w:t>
      </w:r>
      <w:r w:rsidR="002A77E1">
        <w:t xml:space="preserve"> and operating </w:t>
      </w:r>
      <w:r w:rsidR="00D76DB9">
        <w:t>the crane system</w:t>
      </w:r>
      <w:r>
        <w:t>,</w:t>
      </w:r>
      <w:r w:rsidR="002A77E1">
        <w:t xml:space="preserve"> while also allowing for </w:t>
      </w:r>
      <w:r w:rsidR="00445671">
        <w:t xml:space="preserve">movement of the vehicle on </w:t>
      </w:r>
      <w:r w:rsidR="00857B31">
        <w:t xml:space="preserve">public </w:t>
      </w:r>
      <w:r w:rsidR="00445671">
        <w:t>roads</w:t>
      </w:r>
      <w:r w:rsidR="002A77E1">
        <w:t xml:space="preserve"> between operating sites</w:t>
      </w:r>
      <w:r w:rsidR="00D76DB9">
        <w:t xml:space="preserve">. </w:t>
      </w:r>
      <w:r w:rsidR="00BB1AF9">
        <w:t>It is not intended to</w:t>
      </w:r>
      <w:r w:rsidR="00217A93">
        <w:t xml:space="preserve"> cover </w:t>
      </w:r>
      <w:r w:rsidR="00BB1AF9">
        <w:t xml:space="preserve">any </w:t>
      </w:r>
      <w:r w:rsidR="00217A93">
        <w:t>category NC truck</w:t>
      </w:r>
      <w:r w:rsidR="00BB1AF9">
        <w:t xml:space="preserve"> </w:t>
      </w:r>
      <w:r w:rsidR="002D330C">
        <w:t xml:space="preserve">built to be suitable for a range of </w:t>
      </w:r>
      <w:r w:rsidR="00BB1AF9">
        <w:t xml:space="preserve">other </w:t>
      </w:r>
      <w:r w:rsidR="002D330C">
        <w:t>goods carrying purposes</w:t>
      </w:r>
      <w:r w:rsidR="00BB1AF9">
        <w:t xml:space="preserve"> </w:t>
      </w:r>
      <w:r w:rsidR="00285E62">
        <w:t>in addition to the option/possibility to be fitted with a crane</w:t>
      </w:r>
      <w:r w:rsidR="004802D5">
        <w:t>. For example, a</w:t>
      </w:r>
      <w:r>
        <w:t xml:space="preserve"> category </w:t>
      </w:r>
      <w:r w:rsidR="004802D5">
        <w:t xml:space="preserve">NC </w:t>
      </w:r>
      <w:r>
        <w:t>vehicle</w:t>
      </w:r>
      <w:r w:rsidR="004802D5">
        <w:t xml:space="preserve"> </w:t>
      </w:r>
      <w:r w:rsidR="00285E62">
        <w:t xml:space="preserve">that </w:t>
      </w:r>
      <w:r w:rsidR="00445671">
        <w:t>is</w:t>
      </w:r>
      <w:r w:rsidR="00285E62">
        <w:t xml:space="preserve"> equipped </w:t>
      </w:r>
      <w:r w:rsidR="004802D5">
        <w:t xml:space="preserve">with a </w:t>
      </w:r>
      <w:r w:rsidR="00285E62">
        <w:t xml:space="preserve">crane, but </w:t>
      </w:r>
      <w:r w:rsidR="00445671">
        <w:t>is built on a chassis</w:t>
      </w:r>
      <w:r w:rsidR="00285E62">
        <w:t xml:space="preserve"> designed and constructed to be suitable for any </w:t>
      </w:r>
      <w:r w:rsidR="004802D5">
        <w:t xml:space="preserve">number of other </w:t>
      </w:r>
      <w:r w:rsidR="00285E62">
        <w:t>goods carrying purposes (e.g.</w:t>
      </w:r>
      <w:r w:rsidR="004802D5">
        <w:t xml:space="preserve"> </w:t>
      </w:r>
      <w:r w:rsidR="00285E62">
        <w:t xml:space="preserve">through the fitting of </w:t>
      </w:r>
      <w:r w:rsidR="004802D5">
        <w:t xml:space="preserve">a </w:t>
      </w:r>
      <w:r w:rsidR="00045D3B">
        <w:t>flatbed</w:t>
      </w:r>
      <w:r w:rsidR="004802D5">
        <w:t xml:space="preserve"> for carrying</w:t>
      </w:r>
      <w:r>
        <w:t xml:space="preserve"> general freight/goods</w:t>
      </w:r>
      <w:r w:rsidR="004802D5">
        <w:t>, a tipper body</w:t>
      </w:r>
      <w:r>
        <w:t>,</w:t>
      </w:r>
      <w:r w:rsidR="004802D5">
        <w:t xml:space="preserve"> or a cement agitator</w:t>
      </w:r>
      <w:r w:rsidR="00285E62">
        <w:t xml:space="preserve"> etc.),</w:t>
      </w:r>
      <w:r w:rsidR="002039A6">
        <w:t xml:space="preserve"> </w:t>
      </w:r>
      <w:r w:rsidR="00285E62">
        <w:t>is not “principally designed and constructed” to raise, move, and lower freely suspended loads</w:t>
      </w:r>
      <w:r w:rsidR="00AA09D4">
        <w:t>.</w:t>
      </w:r>
    </w:p>
    <w:p w14:paraId="474995C2" w14:textId="7A93A128" w:rsidR="003D152C" w:rsidRDefault="00857B31" w:rsidP="00B54308">
      <w:r>
        <w:t>The 400</w:t>
      </w:r>
      <w:r w:rsidR="00D36D4F">
        <w:t> </w:t>
      </w:r>
      <w:r>
        <w:t>kNm lifting moment has been taken from a definition used to classify special purpose vehicles as mobile cranes in the European Union</w:t>
      </w:r>
      <w:r w:rsidR="00F01DDD">
        <w:t xml:space="preserve"> (EU)</w:t>
      </w:r>
      <w:r>
        <w:t>. This also differentiate</w:t>
      </w:r>
      <w:r w:rsidR="001B2B7A">
        <w:t>s</w:t>
      </w:r>
      <w:r>
        <w:t xml:space="preserve"> purpose built mobile cranes </w:t>
      </w:r>
      <w:r w:rsidR="001B2B7A">
        <w:t>from</w:t>
      </w:r>
      <w:r>
        <w:t xml:space="preserve"> trucks fitted with a crane in addition to other load carrying space for goods.</w:t>
      </w:r>
      <w:r w:rsidR="007D0538">
        <w:t xml:space="preserve"> The lifting moment is to be calculated for the axis around which the crane boom pivots up and down.</w:t>
      </w:r>
      <w:r w:rsidR="00246C84">
        <w:t xml:space="preserve"> Further, the 400 kNm </w:t>
      </w:r>
      <w:r w:rsidR="00B13403">
        <w:t>lifting moment</w:t>
      </w:r>
      <w:r w:rsidR="00246C84">
        <w:t xml:space="preserve"> need only be </w:t>
      </w:r>
      <w:r w:rsidR="00B13403">
        <w:t xml:space="preserve">reached or </w:t>
      </w:r>
      <w:r w:rsidR="00246C84">
        <w:t xml:space="preserve">exceeded for one design operating position of a telescopic boom (i.e. not necessarily all </w:t>
      </w:r>
      <w:r w:rsidR="00A53EB5">
        <w:t xml:space="preserve">possible </w:t>
      </w:r>
      <w:r w:rsidR="00246C84">
        <w:t xml:space="preserve">extension positions of </w:t>
      </w:r>
      <w:r w:rsidR="00B13403">
        <w:t>such a</w:t>
      </w:r>
      <w:r w:rsidR="00246C84">
        <w:t xml:space="preserve"> boom).</w:t>
      </w:r>
    </w:p>
    <w:p w14:paraId="36F256EF" w14:textId="77777777" w:rsidR="00A65DD0" w:rsidRDefault="00A65DD0" w:rsidP="00B54308">
      <w:r>
        <w:t>The braking systems comprising</w:t>
      </w:r>
      <w:r w:rsidR="000E7837">
        <w:t xml:space="preserve"> VSF, AEB, and LDWS are not mandatory for </w:t>
      </w:r>
      <w:r w:rsidR="00F01DDD">
        <w:t xml:space="preserve">purpose built heavy </w:t>
      </w:r>
      <w:r w:rsidR="000E7837">
        <w:t xml:space="preserve">mobile cranes in other markets, </w:t>
      </w:r>
      <w:r w:rsidR="00F01DDD">
        <w:t>including</w:t>
      </w:r>
      <w:r w:rsidR="000E7837">
        <w:t xml:space="preserve"> </w:t>
      </w:r>
      <w:r w:rsidR="00F01DDD">
        <w:t>the EU</w:t>
      </w:r>
      <w:r w:rsidR="000E7837">
        <w:t xml:space="preserve"> and the United States.</w:t>
      </w:r>
      <w:r w:rsidR="00F01DDD">
        <w:t xml:space="preserve"> </w:t>
      </w:r>
      <w:r w:rsidR="002A0F9F">
        <w:t>The design, development</w:t>
      </w:r>
      <w:r w:rsidR="00F9015F">
        <w:t>, certification</w:t>
      </w:r>
      <w:r w:rsidR="002A0F9F">
        <w:t xml:space="preserve"> and fitting of these systems specifically for </w:t>
      </w:r>
      <w:r w:rsidR="006E4B6E">
        <w:t xml:space="preserve">two and three axle </w:t>
      </w:r>
      <w:r w:rsidR="002A0F9F">
        <w:t>mobile cranes supplied in</w:t>
      </w:r>
      <w:r w:rsidR="00F9015F">
        <w:t>to</w:t>
      </w:r>
      <w:r w:rsidR="002A0F9F">
        <w:t xml:space="preserve"> the Australian market </w:t>
      </w:r>
      <w:r w:rsidR="009D07BA">
        <w:t>may not</w:t>
      </w:r>
      <w:r w:rsidR="002A0F9F">
        <w:t xml:space="preserve"> be viable for many models. </w:t>
      </w:r>
      <w:r w:rsidR="009A5C60">
        <w:t xml:space="preserve">These are special purpose vehicles, </w:t>
      </w:r>
      <w:r w:rsidR="00BE1029">
        <w:t>have small sales numbers, and are only designed to be used on public roads to move between worksites. This means costs would need to be recovered from the sales for a small number of vehicles sold to the Australian market, while the limited distances travelled and the conditions under which these vehicles are operated</w:t>
      </w:r>
      <w:r w:rsidR="006F51CD">
        <w:t xml:space="preserve">, </w:t>
      </w:r>
      <w:r w:rsidR="00BE1029">
        <w:t>limit exposure risks to the types of crashes addressed by a VSF, AEB, or LDWS.</w:t>
      </w:r>
      <w:r>
        <w:t xml:space="preserve"> </w:t>
      </w:r>
      <w:r w:rsidR="00BE1029">
        <w:t xml:space="preserve">It </w:t>
      </w:r>
      <w:r w:rsidR="00B77193">
        <w:t>is</w:t>
      </w:r>
      <w:r w:rsidR="00BE1029">
        <w:t xml:space="preserve"> also </w:t>
      </w:r>
      <w:r w:rsidR="00B77193">
        <w:t xml:space="preserve">likely </w:t>
      </w:r>
      <w:r w:rsidR="001C6F98">
        <w:t xml:space="preserve">to </w:t>
      </w:r>
      <w:r w:rsidR="00B77193">
        <w:t xml:space="preserve">be </w:t>
      </w:r>
      <w:r w:rsidR="00BE1029">
        <w:t xml:space="preserve">technically more difficult to install these systems </w:t>
      </w:r>
      <w:r w:rsidR="00B77193">
        <w:t>on purpose built mobile cranes than trucks, especially for articulated cranes.</w:t>
      </w:r>
    </w:p>
    <w:p w14:paraId="0091DA23" w14:textId="6969BABE" w:rsidR="000E7837" w:rsidRDefault="006E4B6E" w:rsidP="00B54308">
      <w:r>
        <w:t>Further, without this Amending Instrument, there w</w:t>
      </w:r>
      <w:r w:rsidR="00F9015F">
        <w:t>ould</w:t>
      </w:r>
      <w:r>
        <w:t xml:space="preserve"> continue to be the option for manufacturers of such </w:t>
      </w:r>
      <w:r w:rsidR="00BE1029">
        <w:t xml:space="preserve">two or three axle </w:t>
      </w:r>
      <w:r>
        <w:t xml:space="preserve">cranes to focus any re-design efforts on </w:t>
      </w:r>
      <w:r>
        <w:lastRenderedPageBreak/>
        <w:t xml:space="preserve">meeting an existing exemption in the relevant ADRs for vehicles ‘designed for off-road use’, rather than fitting a VSF, AEB and/or LDWS (which </w:t>
      </w:r>
      <w:r w:rsidR="00F9015F">
        <w:t xml:space="preserve">could </w:t>
      </w:r>
      <w:r w:rsidR="004E7D42">
        <w:t xml:space="preserve">then </w:t>
      </w:r>
      <w:r w:rsidR="00F9015F">
        <w:t>reduce safety</w:t>
      </w:r>
      <w:r w:rsidR="00B77193">
        <w:t xml:space="preserve"> – for example</w:t>
      </w:r>
      <w:r w:rsidR="00131913">
        <w:t>,</w:t>
      </w:r>
      <w:r w:rsidR="00B77193">
        <w:t xml:space="preserve"> if clearance, approach/breakover/departure angles and the centre of gravity are raised to achieve an exemption</w:t>
      </w:r>
      <w:r>
        <w:t>).</w:t>
      </w:r>
      <w:r w:rsidR="00A65DD0">
        <w:t xml:space="preserve"> </w:t>
      </w:r>
      <w:r w:rsidR="004E2792">
        <w:t xml:space="preserve">Without an exemption for purpose built mobile cranes, the market </w:t>
      </w:r>
      <w:r w:rsidR="000D4A93">
        <w:t>could</w:t>
      </w:r>
      <w:r w:rsidR="004E2792">
        <w:t xml:space="preserve"> also shift to favour </w:t>
      </w:r>
      <w:r w:rsidR="008B2FD5">
        <w:t>heavier</w:t>
      </w:r>
      <w:r w:rsidR="004E2792">
        <w:t xml:space="preserve"> four axle cranes, which would not increase VSF, AEB, and/or LDWS fitment, as these systems are currently not required for </w:t>
      </w:r>
      <w:r w:rsidR="004A4F47">
        <w:t xml:space="preserve">heavy </w:t>
      </w:r>
      <w:r w:rsidR="005723C6">
        <w:t xml:space="preserve">goods </w:t>
      </w:r>
      <w:r w:rsidR="004E2792">
        <w:t>vehicles with four or more axles.</w:t>
      </w:r>
    </w:p>
    <w:p w14:paraId="4F1810AA" w14:textId="12D6457C" w:rsidR="000043E9" w:rsidRDefault="000043E9" w:rsidP="00B54308">
      <w:r>
        <w:t>Additionally, another amendment has been included to address issues raised by air brake suppliers for heavy trailers. The amendment addressed an inconsistency between an ADR requirement and the equivalent international standard.</w:t>
      </w:r>
    </w:p>
    <w:p w14:paraId="2BD2FDFA" w14:textId="7948736B" w:rsidR="00F04065" w:rsidRPr="00F04065" w:rsidRDefault="00F04065" w:rsidP="00F9015F">
      <w:pPr>
        <w:keepNext/>
      </w:pPr>
      <w:bookmarkStart w:id="39" w:name="_Hlk141282967"/>
      <w:r>
        <w:t xml:space="preserve">The following </w:t>
      </w:r>
      <w:r w:rsidR="002A6807">
        <w:t>describes</w:t>
      </w:r>
      <w:r>
        <w:t xml:space="preserve"> the amendments made in each schedule of the Amending Instrument:</w:t>
      </w:r>
    </w:p>
    <w:p w14:paraId="5CD4170C" w14:textId="381F8235" w:rsidR="0092109F" w:rsidRPr="0075529D" w:rsidRDefault="0075529D" w:rsidP="00F9015F">
      <w:pPr>
        <w:keepNext/>
        <w:rPr>
          <w:i/>
        </w:rPr>
      </w:pPr>
      <w:r w:rsidRPr="0075529D">
        <w:rPr>
          <w:i/>
        </w:rPr>
        <w:t>Schedule 1</w:t>
      </w:r>
      <w:r>
        <w:rPr>
          <w:i/>
        </w:rPr>
        <w:t xml:space="preserve"> Amendments</w:t>
      </w:r>
    </w:p>
    <w:bookmarkEnd w:id="39"/>
    <w:p w14:paraId="20846FDB" w14:textId="7DE128DD" w:rsidR="008B5295" w:rsidRDefault="00F04065" w:rsidP="00F9015F">
      <w:pPr>
        <w:keepLines/>
      </w:pPr>
      <w:r>
        <w:t>A</w:t>
      </w:r>
      <w:r w:rsidR="001A6CB7" w:rsidRPr="001A6CB7">
        <w:t xml:space="preserve">mends </w:t>
      </w:r>
      <w:r w:rsidR="00FC249E">
        <w:t xml:space="preserve">clause 5.1.8. of </w:t>
      </w:r>
      <w:r w:rsidR="001A6CB7" w:rsidRPr="001A6CB7">
        <w:t xml:space="preserve">the Australian Design Rule </w:t>
      </w:r>
      <w:r w:rsidR="00FC249E">
        <w:t xml:space="preserve">35/07 – Commercial Vehicle Brake Systems (ADR 35/07) to exempt </w:t>
      </w:r>
      <w:r w:rsidR="00706F37">
        <w:t>any</w:t>
      </w:r>
      <w:r w:rsidR="00BC3750">
        <w:t xml:space="preserve"> category</w:t>
      </w:r>
      <w:r w:rsidR="00706F37">
        <w:t xml:space="preserve"> NC vehicles </w:t>
      </w:r>
      <w:r w:rsidR="002F0F5B">
        <w:t xml:space="preserve">which are </w:t>
      </w:r>
      <w:r w:rsidR="00706F37">
        <w:t>principally designed and constructed to raise or lower heavy loads by means of a crane, with a lifting moment greater than or equal to 400</w:t>
      </w:r>
      <w:r w:rsidR="009875EE">
        <w:t> </w:t>
      </w:r>
      <w:r w:rsidR="00706F37">
        <w:t>kNm</w:t>
      </w:r>
      <w:r w:rsidR="002F0F5B">
        <w:t>, from having a VSF</w:t>
      </w:r>
      <w:r w:rsidR="00706F37">
        <w:t>.</w:t>
      </w:r>
    </w:p>
    <w:p w14:paraId="3A849118" w14:textId="52D06A9B" w:rsidR="00C713A8" w:rsidRDefault="001A6CB7" w:rsidP="00EA71AD">
      <w:r w:rsidRPr="001A6CB7">
        <w:t>The purpose of ADR</w:t>
      </w:r>
      <w:r w:rsidR="00D47DF1">
        <w:t xml:space="preserve"> </w:t>
      </w:r>
      <w:r w:rsidR="00706F37">
        <w:t xml:space="preserve">35/07 </w:t>
      </w:r>
      <w:r w:rsidRPr="001A6CB7">
        <w:t xml:space="preserve">is to specify </w:t>
      </w:r>
      <w:r w:rsidR="00BF77E4">
        <w:t>braking requirements on commercial vehicles and large passenger vehicles to ensure safe braking under normal and emergency conditions.</w:t>
      </w:r>
    </w:p>
    <w:p w14:paraId="3102BD89" w14:textId="7EAB7C4D" w:rsidR="00C8430B" w:rsidRPr="0075529D" w:rsidRDefault="00C8430B" w:rsidP="00F04065">
      <w:pPr>
        <w:keepNext/>
        <w:rPr>
          <w:i/>
        </w:rPr>
      </w:pPr>
      <w:r w:rsidRPr="0075529D">
        <w:rPr>
          <w:i/>
        </w:rPr>
        <w:t xml:space="preserve">Schedule </w:t>
      </w:r>
      <w:r>
        <w:rPr>
          <w:i/>
        </w:rPr>
        <w:t>2 Amendments</w:t>
      </w:r>
    </w:p>
    <w:p w14:paraId="05F5DEAC" w14:textId="5607B84D" w:rsidR="00C8430B" w:rsidRPr="00C8430B" w:rsidRDefault="00F04065" w:rsidP="00C8430B">
      <w:r>
        <w:t>M</w:t>
      </w:r>
      <w:r w:rsidR="00C8430B">
        <w:t xml:space="preserve">akes the equivalent amendments to the </w:t>
      </w:r>
      <w:r w:rsidR="00C8430B" w:rsidRPr="00BB2617">
        <w:t>Australian</w:t>
      </w:r>
      <w:r w:rsidR="00C8430B">
        <w:t> </w:t>
      </w:r>
      <w:r w:rsidR="00C8430B" w:rsidRPr="00BB2617">
        <w:t xml:space="preserve">Design Rule </w:t>
      </w:r>
      <w:r w:rsidR="00A43FB4">
        <w:t>35/06 – Commercial Vehicle Brake Systems (ADR 35/06)</w:t>
      </w:r>
      <w:r w:rsidR="00C8430B">
        <w:t xml:space="preserve"> as in Schedule </w:t>
      </w:r>
      <w:r w:rsidR="00A43FB4">
        <w:t>1</w:t>
      </w:r>
      <w:r w:rsidR="00C8430B">
        <w:t xml:space="preserve"> for ADR </w:t>
      </w:r>
      <w:r w:rsidR="00A43FB4">
        <w:t>35/07</w:t>
      </w:r>
      <w:r w:rsidR="00C8430B">
        <w:t xml:space="preserve">. Vehicles that comply </w:t>
      </w:r>
      <w:r w:rsidR="00A43FB4">
        <w:t>with</w:t>
      </w:r>
      <w:r w:rsidR="00C8430B">
        <w:t xml:space="preserve"> ADR </w:t>
      </w:r>
      <w:r w:rsidR="00A43FB4">
        <w:t>35/07</w:t>
      </w:r>
      <w:r w:rsidR="00C8430B">
        <w:t xml:space="preserve"> are not required to comply with ADR </w:t>
      </w:r>
      <w:r w:rsidR="00A43FB4">
        <w:t>35/</w:t>
      </w:r>
      <w:r w:rsidR="00C8430B">
        <w:t>0</w:t>
      </w:r>
      <w:r w:rsidR="00A43FB4">
        <w:t>6</w:t>
      </w:r>
      <w:r w:rsidR="00C8430B">
        <w:t>.</w:t>
      </w:r>
    </w:p>
    <w:p w14:paraId="2F72CA12" w14:textId="41F8EF01" w:rsidR="00AD6B2B" w:rsidRPr="00AD6B2B" w:rsidRDefault="00AD6B2B" w:rsidP="00C04639">
      <w:pPr>
        <w:keepNext/>
        <w:rPr>
          <w:i/>
        </w:rPr>
      </w:pPr>
      <w:r w:rsidRPr="00AD6B2B">
        <w:rPr>
          <w:i/>
        </w:rPr>
        <w:t xml:space="preserve">Schedule </w:t>
      </w:r>
      <w:r w:rsidR="009507DD">
        <w:rPr>
          <w:i/>
        </w:rPr>
        <w:t>3</w:t>
      </w:r>
      <w:r w:rsidRPr="00AD6B2B">
        <w:rPr>
          <w:i/>
        </w:rPr>
        <w:t xml:space="preserve"> Amendments</w:t>
      </w:r>
    </w:p>
    <w:p w14:paraId="0E37CE63" w14:textId="45DBC8ED" w:rsidR="00C04639" w:rsidRDefault="00F04065" w:rsidP="000911E9">
      <w:pPr>
        <w:keepLines/>
      </w:pPr>
      <w:bookmarkStart w:id="40" w:name="_Hlk141283222"/>
      <w:r>
        <w:t>A</w:t>
      </w:r>
      <w:r w:rsidR="005B3707">
        <w:t>mends</w:t>
      </w:r>
      <w:r w:rsidR="00C953DA">
        <w:t xml:space="preserve"> </w:t>
      </w:r>
      <w:bookmarkEnd w:id="40"/>
      <w:r w:rsidR="0038417F">
        <w:t>clause</w:t>
      </w:r>
      <w:r w:rsidR="008B5295">
        <w:t xml:space="preserve">s 6.1.5.2.1.(c) and 6.1.5.2.1.(d) </w:t>
      </w:r>
      <w:r w:rsidR="0038417F">
        <w:t xml:space="preserve">of </w:t>
      </w:r>
      <w:r w:rsidR="00BB2617">
        <w:t xml:space="preserve">the </w:t>
      </w:r>
      <w:r w:rsidR="00BB2617" w:rsidRPr="00BB2617">
        <w:t>Australian</w:t>
      </w:r>
      <w:r w:rsidR="009A5726">
        <w:t> </w:t>
      </w:r>
      <w:r w:rsidR="00BB2617" w:rsidRPr="00BB2617">
        <w:t xml:space="preserve">Design Rule 43/04 – Vehicle Configuration and Dimensions (ADR 43/04) </w:t>
      </w:r>
      <w:r w:rsidR="00867617">
        <w:t xml:space="preserve">to </w:t>
      </w:r>
      <w:r w:rsidR="008B5295">
        <w:t xml:space="preserve">exempt mobile cranes </w:t>
      </w:r>
      <w:r w:rsidR="00BC3750">
        <w:t>with an ‘Overall Width’ exceeding</w:t>
      </w:r>
      <w:r w:rsidR="008B5295">
        <w:t xml:space="preserve"> 2,500</w:t>
      </w:r>
      <w:r w:rsidR="00D36D4F">
        <w:t> </w:t>
      </w:r>
      <w:r w:rsidR="008B5295">
        <w:t xml:space="preserve">mm from complying with </w:t>
      </w:r>
      <w:r w:rsidR="002D6244">
        <w:t xml:space="preserve">the </w:t>
      </w:r>
      <w:r w:rsidR="008B5295">
        <w:t>Australian Design Rule 97/00 – Advanced Emergency Braking for Omnibuses, and Medium and Heavy Goods Vehicles (ADR 97/00</w:t>
      </w:r>
      <w:r w:rsidR="00D47DF1">
        <w:t>)</w:t>
      </w:r>
      <w:r w:rsidR="002D6244">
        <w:t xml:space="preserve">, the </w:t>
      </w:r>
      <w:r w:rsidR="00D47DF1">
        <w:t>Australian Design Rule 99/00 – Lane Departure Warning Systems (ADR 99/00)</w:t>
      </w:r>
      <w:r w:rsidR="00BC3750">
        <w:t>, or</w:t>
      </w:r>
      <w:r w:rsidR="002D6244">
        <w:t xml:space="preserve"> the Australian Design Rule 99/01 – Lane Departure Warning Systems (ADR 99/01)</w:t>
      </w:r>
      <w:r w:rsidR="00D47DF1">
        <w:t>.</w:t>
      </w:r>
    </w:p>
    <w:p w14:paraId="1B83BFAC" w14:textId="128C1ED3" w:rsidR="00C51DE5" w:rsidRDefault="00C51DE5" w:rsidP="00C51DE5">
      <w:r w:rsidRPr="00C51DE5">
        <w:t xml:space="preserve">The purpose of ADR 43/04 is to </w:t>
      </w:r>
      <w:r w:rsidR="00341142" w:rsidRPr="00C51DE5">
        <w:t>specify</w:t>
      </w:r>
      <w:r w:rsidRPr="00C51DE5">
        <w:t xml:space="preserve"> requirements for vehicle configuration and dimensions, including limits on vehicle width</w:t>
      </w:r>
      <w:r w:rsidR="001A3E82">
        <w:t xml:space="preserve">, </w:t>
      </w:r>
      <w:r w:rsidRPr="00C51DE5">
        <w:t>length</w:t>
      </w:r>
      <w:r w:rsidR="001A3E82">
        <w:t>, and axle spacings</w:t>
      </w:r>
      <w:r w:rsidRPr="00C51DE5">
        <w:t>.</w:t>
      </w:r>
    </w:p>
    <w:p w14:paraId="101034C6" w14:textId="74FF62AB" w:rsidR="008A4ED7" w:rsidRPr="00AD6B2B" w:rsidRDefault="008A4ED7" w:rsidP="008A4ED7">
      <w:pPr>
        <w:keepNext/>
        <w:rPr>
          <w:i/>
        </w:rPr>
      </w:pPr>
      <w:r w:rsidRPr="00AD6B2B">
        <w:rPr>
          <w:i/>
        </w:rPr>
        <w:t xml:space="preserve">Schedule </w:t>
      </w:r>
      <w:r w:rsidR="009507DD">
        <w:rPr>
          <w:i/>
        </w:rPr>
        <w:t>4</w:t>
      </w:r>
      <w:r w:rsidRPr="00AD6B2B">
        <w:rPr>
          <w:i/>
        </w:rPr>
        <w:t xml:space="preserve"> Amendments</w:t>
      </w:r>
    </w:p>
    <w:p w14:paraId="29251E82" w14:textId="7C6FA960" w:rsidR="008A4ED7" w:rsidRDefault="00F04065" w:rsidP="00C51DE5">
      <w:r>
        <w:t>I</w:t>
      </w:r>
      <w:r w:rsidR="00D47DF1">
        <w:t>ntroduces a new clause 3.2.(e) of ADR 97/00 to exempt</w:t>
      </w:r>
      <w:r w:rsidR="00B20592">
        <w:t xml:space="preserve"> category NC vehicles which are principally designed and constructed to raise</w:t>
      </w:r>
      <w:r w:rsidR="002D6244">
        <w:t>, move,</w:t>
      </w:r>
      <w:r w:rsidR="00B20592">
        <w:t xml:space="preserve"> and lower </w:t>
      </w:r>
      <w:r w:rsidR="002D6244">
        <w:t>freely suspended</w:t>
      </w:r>
      <w:r w:rsidR="00B20592">
        <w:t xml:space="preserve"> loads by means of a crane, with a lifting moment greater than or equal to 400</w:t>
      </w:r>
      <w:r w:rsidR="00D36D4F">
        <w:t> </w:t>
      </w:r>
      <w:r w:rsidR="00B20592">
        <w:t>kNm,</w:t>
      </w:r>
      <w:r w:rsidR="00D47DF1">
        <w:t xml:space="preserve"> from </w:t>
      </w:r>
      <w:r w:rsidR="002D6244">
        <w:t>having</w:t>
      </w:r>
      <w:r w:rsidR="00D47DF1">
        <w:t xml:space="preserve"> AEB</w:t>
      </w:r>
      <w:r w:rsidR="00107C85">
        <w:t>.</w:t>
      </w:r>
    </w:p>
    <w:p w14:paraId="12AA797C" w14:textId="7BFD61E9" w:rsidR="00B20592" w:rsidRPr="00B20592" w:rsidRDefault="00B20592" w:rsidP="00C51DE5">
      <w:pPr>
        <w:rPr>
          <w:i/>
        </w:rPr>
      </w:pPr>
      <w:r>
        <w:t>The purpose of ADR 97/00 is to specify requirements for AEB systems fitted to omnibuses, and to goods vehicles over 3.5 tonnes Gross Vehicle Mass, to avoid or mitigate t</w:t>
      </w:r>
      <w:r w:rsidR="004B6447">
        <w:t>h</w:t>
      </w:r>
      <w:r>
        <w:t>e severity of rear-end in lane collisions.</w:t>
      </w:r>
    </w:p>
    <w:p w14:paraId="40A49E5D" w14:textId="37720E7D" w:rsidR="008A4ED7" w:rsidRPr="00AD6B2B" w:rsidRDefault="008A4ED7" w:rsidP="008A4ED7">
      <w:pPr>
        <w:keepNext/>
        <w:rPr>
          <w:i/>
        </w:rPr>
      </w:pPr>
      <w:r w:rsidRPr="00AD6B2B">
        <w:rPr>
          <w:i/>
        </w:rPr>
        <w:lastRenderedPageBreak/>
        <w:t xml:space="preserve">Schedule </w:t>
      </w:r>
      <w:r w:rsidR="009507DD">
        <w:rPr>
          <w:i/>
        </w:rPr>
        <w:t>5</w:t>
      </w:r>
      <w:r w:rsidRPr="00AD6B2B">
        <w:rPr>
          <w:i/>
        </w:rPr>
        <w:t xml:space="preserve"> Amendments</w:t>
      </w:r>
    </w:p>
    <w:p w14:paraId="2370221D" w14:textId="6692A339" w:rsidR="006438EE" w:rsidRDefault="00F04065" w:rsidP="006438EE">
      <w:r>
        <w:t>I</w:t>
      </w:r>
      <w:r w:rsidR="00862A3E">
        <w:t xml:space="preserve">ntroduces a new clause </w:t>
      </w:r>
      <w:r w:rsidR="006438EE">
        <w:t>3.2.(e) of ADR 99/00 to exempt category NC vehicles which are principally designed and constructed to raise</w:t>
      </w:r>
      <w:r w:rsidR="002D6244">
        <w:t>, move,</w:t>
      </w:r>
      <w:r w:rsidR="006438EE">
        <w:t xml:space="preserve"> and lower </w:t>
      </w:r>
      <w:r w:rsidR="002D6244">
        <w:t>freely suspended</w:t>
      </w:r>
      <w:r w:rsidR="006438EE">
        <w:t xml:space="preserve"> loads by means of a crane, with a lifting moment greater than or equal to 400</w:t>
      </w:r>
      <w:r w:rsidR="00D36D4F">
        <w:t> </w:t>
      </w:r>
      <w:r w:rsidR="006438EE">
        <w:t xml:space="preserve">kNm, from </w:t>
      </w:r>
      <w:r w:rsidR="002D6244">
        <w:t>having a</w:t>
      </w:r>
      <w:r w:rsidR="006438EE">
        <w:t xml:space="preserve"> LDWS.</w:t>
      </w:r>
    </w:p>
    <w:p w14:paraId="5BA60CE4" w14:textId="3691F9D7" w:rsidR="006438EE" w:rsidRDefault="006438EE" w:rsidP="006438EE">
      <w:r>
        <w:t>The purpose of ADR 99/00 is to specify requirements for LDWS fitted to omnibuses and medium and heavy goods vehicles, to warn a distracted or drowsy driver if the vehicle is unintentionally drifting out of its travel lane.</w:t>
      </w:r>
    </w:p>
    <w:p w14:paraId="17379A59" w14:textId="50F5D16F" w:rsidR="008A4ED7" w:rsidRPr="00AD6B2B" w:rsidRDefault="008A4ED7" w:rsidP="008A4ED7">
      <w:pPr>
        <w:keepNext/>
        <w:rPr>
          <w:i/>
        </w:rPr>
      </w:pPr>
      <w:r w:rsidRPr="00AD6B2B">
        <w:rPr>
          <w:i/>
        </w:rPr>
        <w:t xml:space="preserve">Schedule </w:t>
      </w:r>
      <w:r w:rsidR="009507DD">
        <w:rPr>
          <w:i/>
        </w:rPr>
        <w:t>6</w:t>
      </w:r>
      <w:r w:rsidRPr="00AD6B2B">
        <w:rPr>
          <w:i/>
        </w:rPr>
        <w:t xml:space="preserve"> Amendments</w:t>
      </w:r>
    </w:p>
    <w:p w14:paraId="1E071DA8" w14:textId="77045AA8" w:rsidR="00133D9D" w:rsidRDefault="00F04065" w:rsidP="00F9015F">
      <w:pPr>
        <w:keepLines/>
      </w:pPr>
      <w:r>
        <w:t>M</w:t>
      </w:r>
      <w:r w:rsidR="00133D9D">
        <w:t xml:space="preserve">akes the equivalent amendments to </w:t>
      </w:r>
      <w:r w:rsidR="00133D9D" w:rsidRPr="00BB2617">
        <w:t xml:space="preserve">ADR </w:t>
      </w:r>
      <w:r w:rsidR="006438EE">
        <w:t>99</w:t>
      </w:r>
      <w:r w:rsidR="00133D9D" w:rsidRPr="00BB2617">
        <w:t>/0</w:t>
      </w:r>
      <w:r w:rsidR="00133D9D">
        <w:t>1 as</w:t>
      </w:r>
      <w:r w:rsidR="004B6447">
        <w:t xml:space="preserve"> in Schedule </w:t>
      </w:r>
      <w:r w:rsidR="00C8430B">
        <w:t>5</w:t>
      </w:r>
      <w:r w:rsidR="004B6447">
        <w:t xml:space="preserve"> for</w:t>
      </w:r>
      <w:r w:rsidR="00133D9D">
        <w:t xml:space="preserve"> </w:t>
      </w:r>
      <w:r w:rsidR="006438EE">
        <w:t>ADR 99/00</w:t>
      </w:r>
      <w:r w:rsidR="00133D9D">
        <w:t xml:space="preserve">. </w:t>
      </w:r>
      <w:r w:rsidR="00456538">
        <w:t>Vehicles that comply to ADR 99/01 are not required to comply with ADR 99/00.</w:t>
      </w:r>
    </w:p>
    <w:p w14:paraId="7D16DF4E" w14:textId="777845C7" w:rsidR="00523EF6" w:rsidRDefault="00523EF6" w:rsidP="00F9015F">
      <w:pPr>
        <w:keepLines/>
      </w:pPr>
      <w:r>
        <w:t xml:space="preserve">Additionally, items 3 to 6 of this schedule </w:t>
      </w:r>
      <w:r w:rsidR="000E39CA">
        <w:t>amend</w:t>
      </w:r>
      <w:r>
        <w:t xml:space="preserve"> ADR 99/01 to properly reference UN Regulation </w:t>
      </w:r>
      <w:r w:rsidR="00CD1F6D">
        <w:t xml:space="preserve">130 incorporating the 01 series of amendments as the applicable alternative standard. </w:t>
      </w:r>
      <w:r w:rsidR="009B3335">
        <w:t xml:space="preserve">The Explanatory statement </w:t>
      </w:r>
      <w:r w:rsidR="00FD2A3E">
        <w:t xml:space="preserve">for the making of </w:t>
      </w:r>
      <w:r w:rsidR="009B3335">
        <w:t>ADR 99/01 noted that</w:t>
      </w:r>
      <w:r w:rsidR="000E39CA">
        <w:t>, at the time the instrument was made,</w:t>
      </w:r>
      <w:r w:rsidR="009B3335">
        <w:t xml:space="preserve"> the alternative standard clause was </w:t>
      </w:r>
      <w:r w:rsidR="00FD2A3E">
        <w:t xml:space="preserve">intentionally </w:t>
      </w:r>
      <w:r w:rsidR="009B3335">
        <w:t>left as ‘reserved’</w:t>
      </w:r>
      <w:r w:rsidR="00FD2A3E">
        <w:t xml:space="preserve">, as the </w:t>
      </w:r>
      <w:proofErr w:type="spellStart"/>
      <w:r w:rsidR="009B3335">
        <w:t>the</w:t>
      </w:r>
      <w:proofErr w:type="spellEnd"/>
      <w:r w:rsidR="009B3335">
        <w:t xml:space="preserve"> 01 series of amendments </w:t>
      </w:r>
      <w:r w:rsidR="00FD2A3E">
        <w:t xml:space="preserve">had not yet </w:t>
      </w:r>
      <w:proofErr w:type="gramStart"/>
      <w:r w:rsidR="009B3335">
        <w:t>came</w:t>
      </w:r>
      <w:proofErr w:type="gramEnd"/>
      <w:r w:rsidR="009B3335">
        <w:t xml:space="preserve"> into force. The UN notified contracting parties </w:t>
      </w:r>
      <w:r w:rsidR="000E39CA">
        <w:t xml:space="preserve">on the 8 October 2024 </w:t>
      </w:r>
      <w:r w:rsidR="009B3335">
        <w:t xml:space="preserve">that </w:t>
      </w:r>
      <w:r w:rsidR="000E39CA">
        <w:t>the 01 series had been adopted on 22 September 2024, which now allows for including the reference of this UN Regulation in ADR</w:t>
      </w:r>
      <w:r w:rsidR="00FD2A3E">
        <w:t xml:space="preserve"> 99/01</w:t>
      </w:r>
      <w:r w:rsidR="000E39CA">
        <w:t>.</w:t>
      </w:r>
    </w:p>
    <w:p w14:paraId="14A01BA4" w14:textId="1E2CF1F1" w:rsidR="0012087C" w:rsidRPr="00AD6B2B" w:rsidRDefault="0012087C" w:rsidP="0012087C">
      <w:pPr>
        <w:keepNext/>
        <w:rPr>
          <w:i/>
        </w:rPr>
      </w:pPr>
      <w:r w:rsidRPr="00AD6B2B">
        <w:rPr>
          <w:i/>
        </w:rPr>
        <w:t xml:space="preserve">Schedule </w:t>
      </w:r>
      <w:r>
        <w:rPr>
          <w:i/>
        </w:rPr>
        <w:t>7</w:t>
      </w:r>
      <w:r w:rsidRPr="00AD6B2B">
        <w:rPr>
          <w:i/>
        </w:rPr>
        <w:t xml:space="preserve"> Amendments</w:t>
      </w:r>
    </w:p>
    <w:p w14:paraId="002FB4B5" w14:textId="6057FFDF" w:rsidR="005B7D99" w:rsidRDefault="005B7D99" w:rsidP="0012087C">
      <w:pPr>
        <w:keepLines/>
      </w:pPr>
      <w:r>
        <w:t>Schedule 7 contains other amendments not related</w:t>
      </w:r>
      <w:r w:rsidR="00BD670B">
        <w:t xml:space="preserve"> directly</w:t>
      </w:r>
      <w:r>
        <w:t xml:space="preserve"> to mobile cranes.</w:t>
      </w:r>
    </w:p>
    <w:p w14:paraId="5D512EDB" w14:textId="4B60EE82" w:rsidR="0012087C" w:rsidRDefault="00BB6E76" w:rsidP="0012087C">
      <w:pPr>
        <w:keepLines/>
      </w:pPr>
      <w:r>
        <w:t>Amends clause 7.1.4</w:t>
      </w:r>
      <w:r w:rsidR="00AB0FC2">
        <w:t xml:space="preserve"> </w:t>
      </w:r>
      <w:r>
        <w:t xml:space="preserve">of </w:t>
      </w:r>
      <w:r w:rsidRPr="00BB6E76">
        <w:t>Australian Design Rule 38/05 – Trailer Brake Systems</w:t>
      </w:r>
      <w:r>
        <w:t xml:space="preserve"> </w:t>
      </w:r>
      <w:r w:rsidR="00D37A1F">
        <w:t xml:space="preserve">(ADR 38/05) </w:t>
      </w:r>
      <w:r>
        <w:t>to allow for rounding of the referenced response time value</w:t>
      </w:r>
      <w:r w:rsidR="0012087C">
        <w:t>.</w:t>
      </w:r>
      <w:r>
        <w:t xml:space="preserve"> This aligns with the </w:t>
      </w:r>
      <w:r w:rsidR="00BD670B">
        <w:t>equivalent</w:t>
      </w:r>
      <w:r>
        <w:t xml:space="preserve"> requirements in the international standard, United Nations Regulation 13</w:t>
      </w:r>
      <w:r w:rsidR="00D37A1F">
        <w:t xml:space="preserve"> (UN R13)</w:t>
      </w:r>
      <w:r>
        <w:t>.</w:t>
      </w:r>
    </w:p>
    <w:p w14:paraId="5C3A00A9" w14:textId="1B52D31D" w:rsidR="00040AEC" w:rsidRDefault="00040AEC" w:rsidP="0012087C">
      <w:pPr>
        <w:keepLines/>
      </w:pPr>
      <w:r>
        <w:t xml:space="preserve">The purpose of this is to ensure that there is not a barrier to </w:t>
      </w:r>
      <w:r w:rsidR="00BD670B">
        <w:t xml:space="preserve">the Australian market for </w:t>
      </w:r>
      <w:r>
        <w:t xml:space="preserve">newer air brake systems </w:t>
      </w:r>
      <w:r w:rsidR="00D37A1F">
        <w:t xml:space="preserve">originally developed to comply to UN R13. These newer systems </w:t>
      </w:r>
      <w:r w:rsidR="002A6807">
        <w:t>incorporate</w:t>
      </w:r>
      <w:r w:rsidR="00D37A1F">
        <w:t xml:space="preserve"> the roll-stability function required in both UN R13 and ADR 38/05 for new heavy trailers.</w:t>
      </w:r>
    </w:p>
    <w:p w14:paraId="5379BA21" w14:textId="6BD05CB7" w:rsidR="00BD2538" w:rsidRDefault="00BD2538" w:rsidP="0012087C">
      <w:pPr>
        <w:keepLines/>
      </w:pPr>
      <w:r>
        <w:t>Items 3 and 4 are minor amendments to italicise defined terms.</w:t>
      </w:r>
    </w:p>
    <w:p w14:paraId="19D6EBCB" w14:textId="40D46381" w:rsidR="00297D5D" w:rsidRPr="00601B0E" w:rsidRDefault="00F57F19" w:rsidP="004E2792">
      <w:pPr>
        <w:pStyle w:val="HeadingLevel1"/>
      </w:pPr>
      <w:bookmarkStart w:id="41" w:name="_Toc141782620"/>
      <w:bookmarkStart w:id="42" w:name="_Toc185251377"/>
      <w:bookmarkStart w:id="43" w:name="_Toc167864615"/>
      <w:r>
        <w:t>Matter</w:t>
      </w:r>
      <w:r w:rsidR="004B7B18">
        <w:t>s</w:t>
      </w:r>
      <w:r w:rsidR="00BC27D6">
        <w:t xml:space="preserve"> </w:t>
      </w:r>
      <w:r w:rsidR="00BC27D6" w:rsidRPr="00601B0E">
        <w:t>Incorporated</w:t>
      </w:r>
      <w:r w:rsidR="00BC27D6">
        <w:t xml:space="preserve"> By Reference</w:t>
      </w:r>
      <w:bookmarkEnd w:id="41"/>
      <w:bookmarkEnd w:id="42"/>
    </w:p>
    <w:p w14:paraId="59C1BDEB" w14:textId="1EE561CE" w:rsidR="004F64F7" w:rsidRPr="00073CDF" w:rsidRDefault="004F64F7" w:rsidP="00C6692A">
      <w:pPr>
        <w:pStyle w:val="HeadingLevel2"/>
      </w:pPr>
      <w:bookmarkStart w:id="44" w:name="_Toc106612241"/>
      <w:bookmarkStart w:id="45" w:name="_Toc141782621"/>
      <w:bookmarkStart w:id="46" w:name="_Toc185251378"/>
      <w:r w:rsidRPr="00073CDF">
        <w:t>Legislative Instruments</w:t>
      </w:r>
      <w:bookmarkEnd w:id="44"/>
      <w:bookmarkEnd w:id="45"/>
      <w:bookmarkEnd w:id="46"/>
    </w:p>
    <w:p w14:paraId="11E20BBF" w14:textId="3B0DC608" w:rsidR="00354353" w:rsidRDefault="008B60BC" w:rsidP="001B1F81">
      <w:pPr>
        <w:keepLines/>
      </w:pPr>
      <w:bookmarkStart w:id="47" w:name="_Toc106612242"/>
      <w:bookmarkStart w:id="48" w:name="_Toc107390997"/>
      <w:bookmarkStart w:id="49" w:name="_Toc139017635"/>
      <w:bookmarkStart w:id="50" w:name="_Toc139018779"/>
      <w:bookmarkStart w:id="51" w:name="_Toc139019193"/>
      <w:bookmarkStart w:id="52" w:name="_Toc139019343"/>
      <w:bookmarkStart w:id="53" w:name="_Toc139019490"/>
      <w:bookmarkStart w:id="54" w:name="_Toc139639837"/>
      <w:bookmarkStart w:id="55" w:name="_Toc141782622"/>
      <w:r w:rsidRPr="008B60BC">
        <w:t xml:space="preserve">Each </w:t>
      </w:r>
      <w:r w:rsidR="004268FD">
        <w:t xml:space="preserve">legislative </w:t>
      </w:r>
      <w:r w:rsidRPr="008B60BC">
        <w:t xml:space="preserve">instrument </w:t>
      </w:r>
      <w:r w:rsidR="00C60762">
        <w:t xml:space="preserve">(ADR) </w:t>
      </w:r>
      <w:r w:rsidRPr="008B60BC">
        <w:t xml:space="preserve">that is specified in a </w:t>
      </w:r>
      <w:r w:rsidR="003B7A63">
        <w:t>s</w:t>
      </w:r>
      <w:r w:rsidRPr="008B60BC">
        <w:t>chedule to th</w:t>
      </w:r>
      <w:r w:rsidR="004268FD">
        <w:t>e Amending Instrument</w:t>
      </w:r>
      <w:r w:rsidRPr="008B60BC">
        <w:t xml:space="preserve"> is amended as set out in the applicable items in the </w:t>
      </w:r>
      <w:r w:rsidR="003B7A63">
        <w:t>s</w:t>
      </w:r>
      <w:r w:rsidRPr="008B60BC">
        <w:t>chedule concerned</w:t>
      </w:r>
      <w:r w:rsidR="009C6751">
        <w:t>.</w:t>
      </w:r>
    </w:p>
    <w:p w14:paraId="102DB9EF" w14:textId="3ACA30F8" w:rsidR="00EA71AD" w:rsidRDefault="00EA71AD" w:rsidP="00EA71AD">
      <w:r>
        <w:t xml:space="preserve">The </w:t>
      </w:r>
      <w:r w:rsidR="000E5AE0">
        <w:t xml:space="preserve">amendments </w:t>
      </w:r>
      <w:r w:rsidR="003B7A63">
        <w:t xml:space="preserve">to the </w:t>
      </w:r>
      <w:r w:rsidR="00C60762">
        <w:t>ADRs</w:t>
      </w:r>
      <w:r w:rsidR="003B7A63">
        <w:t xml:space="preserve"> </w:t>
      </w:r>
      <w:r w:rsidR="009C6751">
        <w:t xml:space="preserve">specified </w:t>
      </w:r>
      <w:r w:rsidR="000E5AE0">
        <w:t xml:space="preserve">in </w:t>
      </w:r>
      <w:r w:rsidR="004268FD">
        <w:t xml:space="preserve">each of the </w:t>
      </w:r>
      <w:r w:rsidR="00354353">
        <w:t xml:space="preserve">two </w:t>
      </w:r>
      <w:r w:rsidR="003B7A63">
        <w:t>s</w:t>
      </w:r>
      <w:r w:rsidR="004268FD">
        <w:t>chedules to the Amending Instrument</w:t>
      </w:r>
      <w:r>
        <w:t xml:space="preserve"> do</w:t>
      </w:r>
      <w:r w:rsidR="000E5AE0">
        <w:t xml:space="preserve"> </w:t>
      </w:r>
      <w:r>
        <w:t>not incorporate any other legislative instruments by reference.</w:t>
      </w:r>
    </w:p>
    <w:p w14:paraId="79C55BCD" w14:textId="54FCDD6A" w:rsidR="0078369F" w:rsidRDefault="0078369F" w:rsidP="00EA71AD">
      <w:r w:rsidRPr="0078369F">
        <w:t xml:space="preserve">The ADRs may be freely accessed online through the Federal Register of Legislation. The website is </w:t>
      </w:r>
      <w:r w:rsidRPr="00EA058D">
        <w:rPr>
          <w:rStyle w:val="Hyperlink"/>
        </w:rPr>
        <w:t>www</w:t>
      </w:r>
      <w:r w:rsidRPr="004365A1">
        <w:rPr>
          <w:rStyle w:val="Hyperlink"/>
          <w:bCs w:val="0"/>
        </w:rPr>
        <w:t>.legislation.gov.au</w:t>
      </w:r>
      <w:r w:rsidRPr="0078369F">
        <w:t>.</w:t>
      </w:r>
    </w:p>
    <w:p w14:paraId="2062229B" w14:textId="12FBE380" w:rsidR="006975ED" w:rsidRPr="00EF7C8C" w:rsidRDefault="006975ED" w:rsidP="00D65255">
      <w:pPr>
        <w:pStyle w:val="HeadingLevel2"/>
      </w:pPr>
      <w:bookmarkStart w:id="56" w:name="_Toc185251379"/>
      <w:r w:rsidRPr="00EF7C8C">
        <w:t>Other Documents</w:t>
      </w:r>
      <w:bookmarkEnd w:id="47"/>
      <w:bookmarkEnd w:id="48"/>
      <w:bookmarkEnd w:id="49"/>
      <w:bookmarkEnd w:id="50"/>
      <w:bookmarkEnd w:id="51"/>
      <w:bookmarkEnd w:id="52"/>
      <w:bookmarkEnd w:id="53"/>
      <w:bookmarkEnd w:id="54"/>
      <w:bookmarkEnd w:id="55"/>
      <w:bookmarkEnd w:id="56"/>
    </w:p>
    <w:p w14:paraId="051C0E91" w14:textId="6B8A9976" w:rsidR="001504CD" w:rsidRDefault="001504CD" w:rsidP="001504CD">
      <w:r>
        <w:t xml:space="preserve">Item 6 of Schedule 6 amends ADR 99/01 to incorporate by reference </w:t>
      </w:r>
      <w:r>
        <w:rPr>
          <w:color w:val="000000"/>
        </w:rPr>
        <w:t xml:space="preserve">United Nations Regulation No. 130 – UNIFORM PROVISIONS CONCERNING THE APPROVAL OF MOTOR VEHICLES WITH REGARD TO THE LANE DEPARTURE </w:t>
      </w:r>
      <w:r>
        <w:rPr>
          <w:color w:val="000000"/>
        </w:rPr>
        <w:lastRenderedPageBreak/>
        <w:t>WARNING SYSTEM (LDWS) incorporating the 01 series of amendments</w:t>
      </w:r>
      <w:r>
        <w:t xml:space="preserve">. </w:t>
      </w:r>
      <w:r>
        <w:rPr>
          <w:color w:val="000000"/>
          <w:shd w:val="clear" w:color="auto" w:fill="FFFFFF"/>
        </w:rPr>
        <w:t>This is an international standard for LDWS fitted to omnibuses, and goods vehicles over 3.5 tonnes.</w:t>
      </w:r>
    </w:p>
    <w:p w14:paraId="3E739BC5" w14:textId="41F80FF9" w:rsidR="001504CD" w:rsidRDefault="001504CD" w:rsidP="001504CD">
      <w:r>
        <w:t xml:space="preserve">In accordance with paragraph 14(1)(b) and subsection 14(2) of the </w:t>
      </w:r>
      <w:r w:rsidRPr="003502B7">
        <w:rPr>
          <w:i/>
        </w:rPr>
        <w:t>Legislation Act 2003</w:t>
      </w:r>
      <w:r>
        <w:t xml:space="preserve">, this UN document is incorporated as in force on the date this </w:t>
      </w:r>
      <w:r w:rsidR="00E33FB8">
        <w:t>instrument</w:t>
      </w:r>
      <w:r>
        <w:t xml:space="preserve"> is made.</w:t>
      </w:r>
    </w:p>
    <w:p w14:paraId="4C5B4B9B" w14:textId="77777777" w:rsidR="001504CD" w:rsidRDefault="001504CD" w:rsidP="001504CD">
      <w:r>
        <w:t>UN Regulations and Resolutions may be freely accessed online through the UN World Forum for the Harmonization of Vehicle Regulations (WP.29).</w:t>
      </w:r>
    </w:p>
    <w:p w14:paraId="0B617220" w14:textId="65705971" w:rsidR="006975ED" w:rsidRDefault="001504CD" w:rsidP="001504CD">
      <w:r>
        <w:t xml:space="preserve">The WP.29 website is </w:t>
      </w:r>
      <w:r w:rsidRPr="002978B1">
        <w:rPr>
          <w:u w:val="single"/>
        </w:rPr>
        <w:t>www.unece.org/trans/main/welcwp29.html</w:t>
      </w:r>
      <w:r>
        <w:t>.</w:t>
      </w:r>
    </w:p>
    <w:p w14:paraId="29EF8BC8" w14:textId="7032C36E" w:rsidR="00BA4F48" w:rsidRPr="00601B0E" w:rsidRDefault="00132DC9" w:rsidP="00F16A72">
      <w:pPr>
        <w:pStyle w:val="HeadingLevel1"/>
      </w:pPr>
      <w:bookmarkStart w:id="57" w:name="_Toc504999786"/>
      <w:bookmarkStart w:id="58" w:name="_Toc504999787"/>
      <w:bookmarkStart w:id="59" w:name="_Toc504999788"/>
      <w:bookmarkStart w:id="60" w:name="_Toc505092263"/>
      <w:bookmarkStart w:id="61" w:name="_Toc46333221"/>
      <w:bookmarkStart w:id="62" w:name="_Toc46333475"/>
      <w:bookmarkStart w:id="63" w:name="_Toc46333629"/>
      <w:bookmarkStart w:id="64" w:name="_Toc46333794"/>
      <w:bookmarkStart w:id="65" w:name="_Toc46333908"/>
      <w:bookmarkStart w:id="66" w:name="_Toc46334644"/>
      <w:bookmarkStart w:id="67" w:name="_Toc106612243"/>
      <w:bookmarkStart w:id="68" w:name="_Toc141782623"/>
      <w:bookmarkStart w:id="69" w:name="_Toc185251380"/>
      <w:bookmarkEnd w:id="57"/>
      <w:bookmarkEnd w:id="58"/>
      <w:bookmarkEnd w:id="59"/>
      <w:r>
        <w:t>Consultation</w:t>
      </w:r>
      <w:bookmarkEnd w:id="43"/>
      <w:bookmarkEnd w:id="60"/>
      <w:bookmarkEnd w:id="61"/>
      <w:bookmarkEnd w:id="62"/>
      <w:bookmarkEnd w:id="63"/>
      <w:bookmarkEnd w:id="64"/>
      <w:bookmarkEnd w:id="65"/>
      <w:bookmarkEnd w:id="66"/>
      <w:bookmarkEnd w:id="67"/>
      <w:bookmarkEnd w:id="68"/>
      <w:bookmarkEnd w:id="69"/>
    </w:p>
    <w:p w14:paraId="76A6CDC9" w14:textId="470A590C" w:rsidR="00767207" w:rsidRPr="00C6692A" w:rsidRDefault="00626DBC" w:rsidP="00C6692A">
      <w:pPr>
        <w:pStyle w:val="HeadingLevel2"/>
      </w:pPr>
      <w:bookmarkStart w:id="70" w:name="_Toc167864617"/>
      <w:bookmarkStart w:id="71" w:name="_Toc505092265"/>
      <w:bookmarkStart w:id="72" w:name="_Toc46333223"/>
      <w:bookmarkStart w:id="73" w:name="_Toc46333477"/>
      <w:bookmarkStart w:id="74" w:name="_Toc46333631"/>
      <w:bookmarkStart w:id="75" w:name="_Toc46333796"/>
      <w:bookmarkStart w:id="76" w:name="_Toc46333910"/>
      <w:bookmarkStart w:id="77" w:name="_Toc46334646"/>
      <w:bookmarkStart w:id="78" w:name="_Toc106612244"/>
      <w:bookmarkStart w:id="79" w:name="_Toc141782624"/>
      <w:bookmarkStart w:id="80" w:name="_Toc185251381"/>
      <w:r w:rsidRPr="00C6692A">
        <w:t>General Consultation Arrangements</w:t>
      </w:r>
      <w:bookmarkEnd w:id="70"/>
      <w:bookmarkEnd w:id="71"/>
      <w:bookmarkEnd w:id="72"/>
      <w:bookmarkEnd w:id="73"/>
      <w:bookmarkEnd w:id="74"/>
      <w:bookmarkEnd w:id="75"/>
      <w:bookmarkEnd w:id="76"/>
      <w:bookmarkEnd w:id="77"/>
      <w:bookmarkEnd w:id="78"/>
      <w:bookmarkEnd w:id="79"/>
      <w:bookmarkEnd w:id="80"/>
    </w:p>
    <w:p w14:paraId="3B759C93" w14:textId="29E9CC88" w:rsidR="00861751" w:rsidRDefault="00861751" w:rsidP="00861751">
      <w:bookmarkStart w:id="81" w:name="_Toc167864618"/>
      <w:r>
        <w:t>It has been longstanding practice to consult widely on proposed new or amended vehicle standards. For many years, there has been active collaboration between the Commonwealth and the state</w:t>
      </w:r>
      <w:r w:rsidR="00A3489C">
        <w:t xml:space="preserve"> and </w:t>
      </w:r>
      <w:r>
        <w:t xml:space="preserv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w:t>
      </w:r>
      <w:r w:rsidR="007B767A">
        <w:t xml:space="preserve">(or package of new or amended standards) </w:t>
      </w:r>
      <w:r>
        <w:t>is expected to have on industry or road users.</w:t>
      </w:r>
    </w:p>
    <w:p w14:paraId="7E8D8385" w14:textId="4C9A3C63" w:rsidR="00782F7D" w:rsidRDefault="00861751" w:rsidP="00782F7D">
      <w:r>
        <w:t>Proposals that are regarded as significant need to be supported by a</w:t>
      </w:r>
      <w:r w:rsidR="004C36CB">
        <w:t>n</w:t>
      </w:r>
      <w:r>
        <w:t xml:space="preserve"> </w:t>
      </w:r>
      <w:r w:rsidR="00257FB2">
        <w:t>Impact Analysis (IA)</w:t>
      </w:r>
      <w:r>
        <w:t xml:space="preserve"> meeting the requirements of the</w:t>
      </w:r>
      <w:r w:rsidR="000E0AA9">
        <w:t xml:space="preserve"> Office of Impact Analysis</w:t>
      </w:r>
      <w:bookmarkStart w:id="82" w:name="_Ref135833766"/>
      <w:r w:rsidR="00257FB2">
        <w:t xml:space="preserve"> (OIA)</w:t>
      </w:r>
      <w:bookmarkEnd w:id="82"/>
      <w:r w:rsidR="000E0AA9">
        <w:t xml:space="preserve"> </w:t>
      </w:r>
      <w:r>
        <w:t xml:space="preserve">as published in the </w:t>
      </w:r>
      <w:r w:rsidRPr="00861751">
        <w:rPr>
          <w:i/>
        </w:rPr>
        <w:t xml:space="preserve">Australian Government Guide to </w:t>
      </w:r>
      <w:r w:rsidR="00992A55">
        <w:rPr>
          <w:i/>
        </w:rPr>
        <w:t>Policy</w:t>
      </w:r>
      <w:r w:rsidRPr="00861751">
        <w:rPr>
          <w:i/>
        </w:rPr>
        <w:t xml:space="preserve"> Impact Analysis</w:t>
      </w:r>
      <w:r>
        <w:t xml:space="preserve"> or the </w:t>
      </w:r>
      <w:r w:rsidRPr="00861751">
        <w:rPr>
          <w:i/>
        </w:rPr>
        <w:t>Regulatory Impact Analysis Guide for Ministers’ Meetings and National Standard Setting Bodies</w:t>
      </w:r>
      <w:r>
        <w:t>.</w:t>
      </w:r>
      <w:bookmarkStart w:id="83" w:name="_Toc505092266"/>
      <w:bookmarkStart w:id="84" w:name="_Toc46333224"/>
      <w:bookmarkStart w:id="85" w:name="_Toc46333478"/>
      <w:bookmarkStart w:id="86" w:name="_Toc46333632"/>
      <w:bookmarkStart w:id="87" w:name="_Toc46333797"/>
      <w:bookmarkStart w:id="88" w:name="_Toc46333911"/>
      <w:bookmarkStart w:id="89" w:name="_Toc46334647"/>
    </w:p>
    <w:p w14:paraId="4BFC7D8E" w14:textId="363D9C6A" w:rsidR="00066F93" w:rsidRPr="00EB3127" w:rsidRDefault="00BA4F48" w:rsidP="00DD1742">
      <w:pPr>
        <w:pStyle w:val="HeadingLevel2"/>
      </w:pPr>
      <w:bookmarkStart w:id="90" w:name="_Toc140162528"/>
      <w:bookmarkStart w:id="91" w:name="_Toc140761214"/>
      <w:bookmarkStart w:id="92" w:name="_Toc141370298"/>
      <w:bookmarkStart w:id="93" w:name="_Toc141782625"/>
      <w:bookmarkStart w:id="94" w:name="_Toc185251382"/>
      <w:bookmarkEnd w:id="90"/>
      <w:bookmarkEnd w:id="91"/>
      <w:bookmarkEnd w:id="92"/>
      <w:r w:rsidRPr="00EB3127">
        <w:t xml:space="preserve">Specific Consultation </w:t>
      </w:r>
      <w:r w:rsidRPr="00D328AB">
        <w:t>Arrangements</w:t>
      </w:r>
      <w:bookmarkEnd w:id="81"/>
      <w:bookmarkEnd w:id="83"/>
      <w:bookmarkEnd w:id="84"/>
      <w:bookmarkEnd w:id="85"/>
      <w:bookmarkEnd w:id="86"/>
      <w:bookmarkEnd w:id="87"/>
      <w:bookmarkEnd w:id="88"/>
      <w:bookmarkEnd w:id="89"/>
      <w:bookmarkEnd w:id="93"/>
      <w:bookmarkEnd w:id="94"/>
    </w:p>
    <w:p w14:paraId="49F6EDFD" w14:textId="628AE56A" w:rsidR="006F51D9" w:rsidRDefault="006F51D9" w:rsidP="006F51D9">
      <w:bookmarkStart w:id="95" w:name="_Toc140162530"/>
      <w:bookmarkStart w:id="96" w:name="_Toc140162531"/>
      <w:bookmarkStart w:id="97" w:name="_Toc140162532"/>
      <w:bookmarkStart w:id="98" w:name="_Toc140162533"/>
      <w:bookmarkStart w:id="99" w:name="_Toc140162534"/>
      <w:bookmarkStart w:id="100" w:name="_Toc140162535"/>
      <w:bookmarkStart w:id="101" w:name="_Toc140162536"/>
      <w:bookmarkStart w:id="102" w:name="_Hlk141281648"/>
      <w:bookmarkStart w:id="103" w:name="_Toc318271645"/>
      <w:bookmarkStart w:id="104" w:name="_Toc317171517"/>
      <w:bookmarkStart w:id="105" w:name="_Toc317171391"/>
      <w:bookmarkStart w:id="106" w:name="_Toc317158948"/>
      <w:bookmarkStart w:id="107" w:name="_Toc318272904"/>
      <w:bookmarkStart w:id="108" w:name="_Toc319402529"/>
      <w:bookmarkEnd w:id="95"/>
      <w:bookmarkEnd w:id="96"/>
      <w:bookmarkEnd w:id="97"/>
      <w:bookmarkEnd w:id="98"/>
      <w:bookmarkEnd w:id="99"/>
      <w:bookmarkEnd w:id="100"/>
      <w:bookmarkEnd w:id="101"/>
      <w:r>
        <w:t xml:space="preserve">The </w:t>
      </w:r>
      <w:r w:rsidR="00247202">
        <w:t>Commonwealth’s</w:t>
      </w:r>
      <w:r>
        <w:t xml:space="preserve"> </w:t>
      </w:r>
      <w:r w:rsidR="005A4C3E">
        <w:t xml:space="preserve">two </w:t>
      </w:r>
      <w:r w:rsidR="00247202">
        <w:t>major</w:t>
      </w:r>
      <w:r w:rsidR="005A4C3E">
        <w:t xml:space="preserve"> consultative groups </w:t>
      </w:r>
      <w:r w:rsidR="00807FFD">
        <w:t xml:space="preserve">for </w:t>
      </w:r>
      <w:r w:rsidR="005A4C3E">
        <w:t>the development and administration of the ADRs are</w:t>
      </w:r>
      <w:r>
        <w:t xml:space="preserve"> the </w:t>
      </w:r>
      <w:r w:rsidR="005A4C3E">
        <w:t xml:space="preserve">Road Vehicle </w:t>
      </w:r>
      <w:r w:rsidR="002A6807">
        <w:t>Regulators</w:t>
      </w:r>
      <w:r w:rsidR="005A4C3E">
        <w:t xml:space="preserve">’ Forum (RVRF) and the </w:t>
      </w:r>
      <w:r>
        <w:t>Vehicle Standards Consultative Forum (VSCF)</w:t>
      </w:r>
      <w:r w:rsidR="005A4C3E">
        <w:t>.</w:t>
      </w:r>
      <w:r>
        <w:t xml:space="preserve"> </w:t>
      </w:r>
      <w:r w:rsidR="005A4C3E">
        <w:t xml:space="preserve">RVRF </w:t>
      </w:r>
      <w:r>
        <w:t>consists of the Department</w:t>
      </w:r>
      <w:r w:rsidR="005A4C3E">
        <w:t xml:space="preserve"> of Infrastructure, Transport, Regional Development, Communications and the Arts as the</w:t>
      </w:r>
      <w:r>
        <w:t xml:space="preserve"> Commonwealth</w:t>
      </w:r>
      <w:r w:rsidR="005A4C3E">
        <w:t xml:space="preserve"> representative</w:t>
      </w:r>
      <w:r>
        <w:t xml:space="preserve">, state and territory governments, the New Zealand Government </w:t>
      </w:r>
      <w:r w:rsidR="005A4C3E">
        <w:t xml:space="preserve">and </w:t>
      </w:r>
      <w:r w:rsidR="00247202">
        <w:t>Australian</w:t>
      </w:r>
      <w:r>
        <w:t xml:space="preserve"> </w:t>
      </w:r>
      <w:r w:rsidR="00247202">
        <w:t>G</w:t>
      </w:r>
      <w:r>
        <w:t>overnment entities</w:t>
      </w:r>
      <w:r w:rsidR="005A4C3E">
        <w:t xml:space="preserve"> including the National Heavy Vehicle Regulator (NHVR), Austroads and the National Transport Commission. VSCF consists of the same members as the RVRF </w:t>
      </w:r>
      <w:r w:rsidR="00247202">
        <w:t xml:space="preserve">with the addition of </w:t>
      </w:r>
      <w:r>
        <w:t xml:space="preserve">peak bodies representing </w:t>
      </w:r>
      <w:r w:rsidR="00247202">
        <w:t xml:space="preserve">the vehicle </w:t>
      </w:r>
      <w:r>
        <w:t>industry, consumers and road safety.</w:t>
      </w:r>
    </w:p>
    <w:p w14:paraId="252DA8A0" w14:textId="0EC57C09" w:rsidR="00567C71" w:rsidRDefault="006F51D9" w:rsidP="006F51D9">
      <w:r>
        <w:t xml:space="preserve">The </w:t>
      </w:r>
      <w:r w:rsidR="00247202">
        <w:t xml:space="preserve">draft ADR amendments were provided for comment with </w:t>
      </w:r>
      <w:r>
        <w:t>consultation conducted in two phases. The proposed exemptions were consulted on for a one week (11 to 18 November 2024 ) with state and territory governments, including the National Heavy Vehicle Regulator. No objections were received during that period. The second consultation period ran for two weeks (19 to 3 December 2024 ) with all members of VSCF. No object</w:t>
      </w:r>
      <w:r w:rsidR="00247202">
        <w:t>ions</w:t>
      </w:r>
      <w:r>
        <w:t xml:space="preserve"> were received, and </w:t>
      </w:r>
      <w:r w:rsidR="005A4C3E">
        <w:t xml:space="preserve">the amendments were </w:t>
      </w:r>
      <w:r w:rsidR="007C0CEA">
        <w:t>agreed</w:t>
      </w:r>
      <w:r w:rsidR="005A4C3E">
        <w:t xml:space="preserve"> by  the </w:t>
      </w:r>
      <w:r w:rsidR="005A4C3E" w:rsidRPr="005A4C3E">
        <w:t xml:space="preserve">Crane Industry Council of Australia </w:t>
      </w:r>
      <w:r w:rsidR="005A4C3E">
        <w:t>(CICA), the peak industry body representing the crane industry in Australia</w:t>
      </w:r>
      <w:r w:rsidR="00773F32">
        <w:t xml:space="preserve"> whose members are directly affected by this amendment</w:t>
      </w:r>
      <w:r>
        <w:t>.</w:t>
      </w:r>
    </w:p>
    <w:p w14:paraId="6C19A228" w14:textId="45AD88B3" w:rsidR="00132DC9" w:rsidRDefault="00132DC9" w:rsidP="00D17480">
      <w:pPr>
        <w:pStyle w:val="HeadingLevel1"/>
      </w:pPr>
      <w:bookmarkStart w:id="109" w:name="_Toc106612245"/>
      <w:bookmarkStart w:id="110" w:name="_Toc141782626"/>
      <w:bookmarkStart w:id="111" w:name="_Toc185251383"/>
      <w:bookmarkStart w:id="112" w:name="_Toc505092267"/>
      <w:bookmarkStart w:id="113" w:name="_Toc46333225"/>
      <w:bookmarkStart w:id="114" w:name="_Toc46333479"/>
      <w:bookmarkStart w:id="115" w:name="_Toc46333633"/>
      <w:bookmarkStart w:id="116" w:name="_Toc46333798"/>
      <w:bookmarkStart w:id="117" w:name="_Toc46333912"/>
      <w:bookmarkStart w:id="118" w:name="_Toc46334648"/>
      <w:bookmarkEnd w:id="102"/>
      <w:r>
        <w:lastRenderedPageBreak/>
        <w:t>Regulatory I</w:t>
      </w:r>
      <w:r w:rsidR="00D929FE">
        <w:t>mpact</w:t>
      </w:r>
      <w:bookmarkEnd w:id="109"/>
      <w:bookmarkEnd w:id="110"/>
      <w:bookmarkEnd w:id="111"/>
    </w:p>
    <w:p w14:paraId="3DC50748" w14:textId="40F4D274" w:rsidR="00822357" w:rsidRDefault="00F86A9A" w:rsidP="00C6692A">
      <w:pPr>
        <w:pStyle w:val="HeadingLevel2"/>
      </w:pPr>
      <w:bookmarkStart w:id="119" w:name="_Toc141782627"/>
      <w:bookmarkStart w:id="120" w:name="_Toc185251384"/>
      <w:bookmarkStart w:id="121" w:name="_Toc167864616"/>
      <w:bookmarkStart w:id="122" w:name="_Toc505092264"/>
      <w:bookmarkStart w:id="123" w:name="_Toc46333222"/>
      <w:bookmarkStart w:id="124" w:name="_Toc46333476"/>
      <w:bookmarkStart w:id="125" w:name="_Toc46333630"/>
      <w:bookmarkStart w:id="126" w:name="_Toc46333795"/>
      <w:bookmarkStart w:id="127" w:name="_Toc46333909"/>
      <w:bookmarkStart w:id="128" w:name="_Toc46334645"/>
      <w:r>
        <w:t>Impact Analysis</w:t>
      </w:r>
      <w:bookmarkEnd w:id="119"/>
      <w:bookmarkEnd w:id="120"/>
    </w:p>
    <w:p w14:paraId="24078D86" w14:textId="253D860A" w:rsidR="00B66639" w:rsidRDefault="00B66639" w:rsidP="00B66639">
      <w:pPr>
        <w:pStyle w:val="NormalWeb"/>
        <w:spacing w:before="120" w:beforeAutospacing="0" w:after="120" w:afterAutospacing="0"/>
        <w:rPr>
          <w:color w:val="000000"/>
        </w:rPr>
      </w:pPr>
      <w:bookmarkStart w:id="129" w:name="_Toc106612247"/>
      <w:bookmarkStart w:id="130" w:name="_Toc141782628"/>
      <w:r>
        <w:rPr>
          <w:color w:val="000000"/>
        </w:rPr>
        <w:t>A Preliminary Assessment (OIA2</w:t>
      </w:r>
      <w:r w:rsidR="00343D81">
        <w:rPr>
          <w:color w:val="000000"/>
        </w:rPr>
        <w:t>4</w:t>
      </w:r>
      <w:r>
        <w:rPr>
          <w:color w:val="000000"/>
        </w:rPr>
        <w:t>-</w:t>
      </w:r>
      <w:r w:rsidR="00343D81" w:rsidRPr="00343D81">
        <w:rPr>
          <w:color w:val="000000"/>
        </w:rPr>
        <w:t>08730</w:t>
      </w:r>
      <w:r>
        <w:rPr>
          <w:color w:val="000000"/>
        </w:rPr>
        <w:t xml:space="preserve">) </w:t>
      </w:r>
      <w:r w:rsidR="0051049D">
        <w:rPr>
          <w:color w:val="000000"/>
        </w:rPr>
        <w:t xml:space="preserve">was undertaken to consider </w:t>
      </w:r>
      <w:r>
        <w:rPr>
          <w:color w:val="000000"/>
        </w:rPr>
        <w:t xml:space="preserve">the impacts of </w:t>
      </w:r>
      <w:r w:rsidR="00343D81">
        <w:rPr>
          <w:color w:val="000000"/>
        </w:rPr>
        <w:t>exempting mobile cranes from the ADR</w:t>
      </w:r>
      <w:r w:rsidR="002A6807">
        <w:rPr>
          <w:color w:val="000000"/>
        </w:rPr>
        <w:t xml:space="preserve"> </w:t>
      </w:r>
      <w:r w:rsidR="00343D81">
        <w:rPr>
          <w:color w:val="000000"/>
        </w:rPr>
        <w:t xml:space="preserve">requirements for </w:t>
      </w:r>
      <w:r w:rsidR="005A4C3E">
        <w:rPr>
          <w:color w:val="000000"/>
        </w:rPr>
        <w:t xml:space="preserve">VSF, AEB and LDWS. </w:t>
      </w:r>
      <w:r w:rsidR="00006106">
        <w:rPr>
          <w:color w:val="000000"/>
        </w:rPr>
        <w:t xml:space="preserve">The assessment identified that exempting </w:t>
      </w:r>
      <w:r w:rsidR="008A5D68">
        <w:rPr>
          <w:color w:val="000000"/>
        </w:rPr>
        <w:t xml:space="preserve">these vehicles would </w:t>
      </w:r>
      <w:r w:rsidR="00006106">
        <w:rPr>
          <w:color w:val="000000"/>
        </w:rPr>
        <w:t xml:space="preserve">likely </w:t>
      </w:r>
      <w:r w:rsidR="008A5D68">
        <w:rPr>
          <w:color w:val="000000"/>
        </w:rPr>
        <w:t xml:space="preserve">not introduce a significant risk to public safety. Exempting mobile cranes from these requirements </w:t>
      </w:r>
      <w:r w:rsidR="00CD6D0F">
        <w:rPr>
          <w:color w:val="000000"/>
        </w:rPr>
        <w:t xml:space="preserve">would </w:t>
      </w:r>
      <w:r w:rsidR="008A5D68">
        <w:rPr>
          <w:color w:val="000000"/>
        </w:rPr>
        <w:t>align with the same regulatory practices in other major markets from which these vehicles are sourced or designed</w:t>
      </w:r>
      <w:r w:rsidR="00CD6D0F">
        <w:rPr>
          <w:color w:val="000000"/>
        </w:rPr>
        <w:t>,</w:t>
      </w:r>
      <w:r w:rsidR="008A5D68">
        <w:rPr>
          <w:color w:val="000000"/>
        </w:rPr>
        <w:t xml:space="preserve"> such as the EU and the United States. </w:t>
      </w:r>
      <w:r w:rsidR="00006106">
        <w:rPr>
          <w:color w:val="000000"/>
        </w:rPr>
        <w:t>It was assessed that t</w:t>
      </w:r>
      <w:r w:rsidR="008A5D68">
        <w:rPr>
          <w:color w:val="000000"/>
        </w:rPr>
        <w:t xml:space="preserve">his will reduce regulatory burden on the mobile vehicle suppliers providing mobile cranes to Australia and reduce the administrative burden of assessing the suitability of exempting </w:t>
      </w:r>
      <w:r w:rsidR="003502B7">
        <w:rPr>
          <w:color w:val="000000"/>
        </w:rPr>
        <w:t>these</w:t>
      </w:r>
      <w:r w:rsidR="008A5D68">
        <w:rPr>
          <w:color w:val="000000"/>
        </w:rPr>
        <w:t xml:space="preserve"> vehicle braking </w:t>
      </w:r>
      <w:r w:rsidR="003502B7">
        <w:rPr>
          <w:color w:val="000000"/>
        </w:rPr>
        <w:t>technologies</w:t>
      </w:r>
      <w:r w:rsidR="008A5D68">
        <w:rPr>
          <w:color w:val="000000"/>
        </w:rPr>
        <w:t xml:space="preserve"> on a case by case basis.</w:t>
      </w:r>
    </w:p>
    <w:p w14:paraId="6A9FE61B" w14:textId="3E967CEE" w:rsidR="0051049D" w:rsidRDefault="0051049D" w:rsidP="00B66639">
      <w:pPr>
        <w:pStyle w:val="NormalWeb"/>
        <w:spacing w:before="120" w:beforeAutospacing="0" w:after="120" w:afterAutospacing="0"/>
        <w:rPr>
          <w:color w:val="000000"/>
        </w:rPr>
      </w:pPr>
      <w:r>
        <w:t xml:space="preserve">A Preliminary Assessment </w:t>
      </w:r>
      <w:r w:rsidR="000C40A8">
        <w:t>(</w:t>
      </w:r>
      <w:r>
        <w:t xml:space="preserve">OIA24-07653) was undertaken for the amendments to ADR 38/05 (Schedule 7) to address </w:t>
      </w:r>
      <w:r w:rsidR="0022318B">
        <w:t xml:space="preserve">an </w:t>
      </w:r>
      <w:r>
        <w:t>inconsistency between the ADR and the international equivalent standard</w:t>
      </w:r>
      <w:r w:rsidR="00D40717">
        <w:t xml:space="preserve">, UN R13, </w:t>
      </w:r>
      <w:r>
        <w:t xml:space="preserve">for </w:t>
      </w:r>
      <w:r w:rsidR="00D40717">
        <w:t xml:space="preserve">trailer </w:t>
      </w:r>
      <w:r>
        <w:t>brake timing</w:t>
      </w:r>
      <w:r w:rsidR="00D40717">
        <w:t xml:space="preserve"> requirements</w:t>
      </w:r>
      <w:r>
        <w:t xml:space="preserve">. The </w:t>
      </w:r>
      <w:r w:rsidR="006E2D8D">
        <w:t> </w:t>
      </w:r>
      <w:r>
        <w:t xml:space="preserve">assessment outlined </w:t>
      </w:r>
      <w:r w:rsidR="006E2D8D">
        <w:t>industry stakeholder</w:t>
      </w:r>
      <w:r>
        <w:t xml:space="preserve"> concerns of not being able to meet the regulated requirements to fit trailers with a roll stability function without aligning with the </w:t>
      </w:r>
      <w:proofErr w:type="spellStart"/>
      <w:r>
        <w:t>timeing</w:t>
      </w:r>
      <w:proofErr w:type="spellEnd"/>
      <w:r>
        <w:t xml:space="preserve"> requirements in UN R13. The assessment concluded that this change was a minor relaxation </w:t>
      </w:r>
      <w:r w:rsidR="00613CF6">
        <w:t xml:space="preserve">that aligned with international practices </w:t>
      </w:r>
      <w:r>
        <w:t xml:space="preserve">and </w:t>
      </w:r>
      <w:r w:rsidR="00613CF6">
        <w:t xml:space="preserve">was supported by brake </w:t>
      </w:r>
      <w:r w:rsidR="0022318B">
        <w:t>suppliers</w:t>
      </w:r>
      <w:r w:rsidR="00613CF6">
        <w:t xml:space="preserve"> in Australia</w:t>
      </w:r>
      <w:r>
        <w:t>.</w:t>
      </w:r>
    </w:p>
    <w:p w14:paraId="7510819A" w14:textId="5810FC4D" w:rsidR="00132DC9" w:rsidRPr="00C675F7" w:rsidRDefault="00132DC9" w:rsidP="00B66639">
      <w:pPr>
        <w:pStyle w:val="HeadingLevel2"/>
      </w:pPr>
      <w:bookmarkStart w:id="131" w:name="_Toc185251385"/>
      <w:r w:rsidRPr="00C675F7">
        <w:t>B</w:t>
      </w:r>
      <w:bookmarkEnd w:id="121"/>
      <w:r w:rsidRPr="00C675F7">
        <w:t>enefits and Costs</w:t>
      </w:r>
      <w:bookmarkEnd w:id="122"/>
      <w:bookmarkEnd w:id="123"/>
      <w:bookmarkEnd w:id="124"/>
      <w:bookmarkEnd w:id="125"/>
      <w:bookmarkEnd w:id="126"/>
      <w:bookmarkEnd w:id="127"/>
      <w:bookmarkEnd w:id="128"/>
      <w:bookmarkEnd w:id="129"/>
      <w:bookmarkEnd w:id="130"/>
      <w:bookmarkEnd w:id="131"/>
    </w:p>
    <w:p w14:paraId="636EA83C" w14:textId="5B90280B" w:rsidR="00E757B3" w:rsidRDefault="00B66639" w:rsidP="00E757B3">
      <w:bookmarkStart w:id="132" w:name="_Hlk141439600"/>
      <w:r w:rsidRPr="00B66639">
        <w:t>Based on the information provided</w:t>
      </w:r>
      <w:r w:rsidR="0051049D">
        <w:t xml:space="preserve"> in </w:t>
      </w:r>
      <w:r w:rsidR="001C05F9">
        <w:t xml:space="preserve">both </w:t>
      </w:r>
      <w:r w:rsidR="0051049D">
        <w:t>the Preliminary Assessments</w:t>
      </w:r>
      <w:r w:rsidRPr="00B66639">
        <w:t xml:space="preserve">, </w:t>
      </w:r>
      <w:r w:rsidR="00247202" w:rsidRPr="00247202">
        <w:t xml:space="preserve">the OIA determined that </w:t>
      </w:r>
      <w:r w:rsidR="00247202">
        <w:t xml:space="preserve">a </w:t>
      </w:r>
      <w:r w:rsidR="00247202" w:rsidRPr="00247202">
        <w:t xml:space="preserve">detailed analysis </w:t>
      </w:r>
      <w:r w:rsidR="00247202">
        <w:t>was</w:t>
      </w:r>
      <w:r w:rsidR="00247202" w:rsidRPr="00247202">
        <w:t xml:space="preserve"> not required under the Australian Government's Policy Impact Analysis Framework</w:t>
      </w:r>
      <w:r w:rsidR="0051049D">
        <w:t xml:space="preserve"> for either the amendments for mobile cranes (Schedules 1 to 6) or for the amendments to ADR 38/05 (Schedule 7)</w:t>
      </w:r>
      <w:r w:rsidRPr="00B66639">
        <w:t>.</w:t>
      </w:r>
      <w:bookmarkStart w:id="133" w:name="_Toc106612248"/>
      <w:bookmarkStart w:id="134" w:name="_Toc141782629"/>
      <w:bookmarkEnd w:id="132"/>
    </w:p>
    <w:p w14:paraId="36369E34" w14:textId="21F587FD" w:rsidR="00586887" w:rsidRPr="00601B0E" w:rsidRDefault="00586887" w:rsidP="00E757B3">
      <w:pPr>
        <w:pStyle w:val="HeadingLevel1"/>
      </w:pPr>
      <w:bookmarkStart w:id="135" w:name="_Toc185251386"/>
      <w:r w:rsidRPr="00601B0E">
        <w:t xml:space="preserve">STATEMENT OF COMPATIBILITY WITH </w:t>
      </w:r>
      <w:r w:rsidRPr="00D328AB">
        <w:t>HUMAN</w:t>
      </w:r>
      <w:r w:rsidRPr="00601B0E">
        <w:t xml:space="preserve"> RIGHTS</w:t>
      </w:r>
      <w:bookmarkEnd w:id="103"/>
      <w:bookmarkEnd w:id="104"/>
      <w:bookmarkEnd w:id="105"/>
      <w:bookmarkEnd w:id="106"/>
      <w:bookmarkEnd w:id="107"/>
      <w:bookmarkEnd w:id="108"/>
      <w:bookmarkEnd w:id="112"/>
      <w:bookmarkEnd w:id="113"/>
      <w:bookmarkEnd w:id="114"/>
      <w:bookmarkEnd w:id="115"/>
      <w:bookmarkEnd w:id="116"/>
      <w:bookmarkEnd w:id="117"/>
      <w:bookmarkEnd w:id="118"/>
      <w:bookmarkEnd w:id="133"/>
      <w:bookmarkEnd w:id="134"/>
      <w:bookmarkEnd w:id="135"/>
    </w:p>
    <w:p w14:paraId="68600781" w14:textId="77777777" w:rsidR="00586887" w:rsidRPr="00601B0E" w:rsidRDefault="00586887" w:rsidP="000627F5">
      <w:pPr>
        <w:keepNext/>
      </w:pPr>
      <w:r w:rsidRPr="00601B0E">
        <w:t xml:space="preserve">The following Statement is prepared in accordance with Part 3 of the </w:t>
      </w:r>
      <w:r w:rsidRPr="00601B0E">
        <w:rPr>
          <w:i/>
          <w:iCs/>
        </w:rPr>
        <w:t>Human Rights (Parliamentary Scrutiny) Act 2011.</w:t>
      </w:r>
    </w:p>
    <w:p w14:paraId="470CDF2B" w14:textId="7710FC51" w:rsidR="00586887" w:rsidRPr="00C675F7" w:rsidRDefault="00586887" w:rsidP="00C6692A">
      <w:pPr>
        <w:pStyle w:val="HeadingLevel2"/>
      </w:pPr>
      <w:bookmarkStart w:id="136" w:name="_Toc318271646"/>
      <w:bookmarkStart w:id="137" w:name="_Toc317171518"/>
      <w:bookmarkStart w:id="138" w:name="_Toc317171392"/>
      <w:bookmarkStart w:id="139" w:name="_Toc318272905"/>
      <w:bookmarkStart w:id="140" w:name="_Toc319402530"/>
      <w:bookmarkStart w:id="141" w:name="_Toc505092268"/>
      <w:bookmarkStart w:id="142" w:name="_Toc46333226"/>
      <w:bookmarkStart w:id="143" w:name="_Toc46333480"/>
      <w:bookmarkStart w:id="144" w:name="_Toc46333634"/>
      <w:bookmarkStart w:id="145" w:name="_Toc46333799"/>
      <w:bookmarkStart w:id="146" w:name="_Toc46333913"/>
      <w:bookmarkStart w:id="147" w:name="_Toc46334649"/>
      <w:bookmarkStart w:id="148" w:name="_Toc106612249"/>
      <w:bookmarkStart w:id="149" w:name="_Toc141782630"/>
      <w:bookmarkStart w:id="150" w:name="_Toc185251387"/>
      <w:r w:rsidRPr="00C675F7">
        <w:t>Overview</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6138B8F" w14:textId="6FB13F55" w:rsidR="00782F7D" w:rsidRDefault="00E436AC" w:rsidP="000627F5">
      <w:pPr>
        <w:keepLines/>
      </w:pPr>
      <w:r>
        <w:t>The Amending Instrument</w:t>
      </w:r>
      <w:r w:rsidR="00B647CF">
        <w:t xml:space="preserve"> </w:t>
      </w:r>
      <w:bookmarkStart w:id="151" w:name="_Toc318271647"/>
      <w:bookmarkStart w:id="152" w:name="_Toc317171519"/>
      <w:bookmarkStart w:id="153" w:name="_Toc317171393"/>
      <w:bookmarkStart w:id="154" w:name="_Toc318272906"/>
      <w:bookmarkStart w:id="155" w:name="_Toc319402531"/>
      <w:bookmarkStart w:id="156" w:name="_Toc505092269"/>
      <w:bookmarkStart w:id="157" w:name="_Toc46333227"/>
      <w:bookmarkStart w:id="158" w:name="_Toc46333481"/>
      <w:bookmarkStart w:id="159" w:name="_Toc46333635"/>
      <w:bookmarkStart w:id="160" w:name="_Toc46333800"/>
      <w:bookmarkStart w:id="161" w:name="_Toc46333914"/>
      <w:bookmarkStart w:id="162" w:name="_Toc46334650"/>
      <w:r w:rsidR="00BD6C4D">
        <w:t xml:space="preserve">exempts </w:t>
      </w:r>
      <w:r w:rsidR="00C30CBA">
        <w:t xml:space="preserve">purpose built heavy </w:t>
      </w:r>
      <w:r w:rsidR="00BD6C4D">
        <w:t xml:space="preserve">mobile cranes from </w:t>
      </w:r>
      <w:r w:rsidR="00C30CBA">
        <w:t>hav</w:t>
      </w:r>
      <w:r w:rsidR="00DC076C">
        <w:t xml:space="preserve">ing to comply with </w:t>
      </w:r>
      <w:r w:rsidR="00C30CBA">
        <w:t xml:space="preserve">ADR </w:t>
      </w:r>
      <w:r w:rsidR="002A2878">
        <w:t>requir</w:t>
      </w:r>
      <w:r w:rsidR="00DC076C">
        <w:t xml:space="preserve">ements for a VSF, AEB, and LDWS. </w:t>
      </w:r>
    </w:p>
    <w:p w14:paraId="76BF1088" w14:textId="5A8E6E00" w:rsidR="00586887" w:rsidRPr="00C675F7" w:rsidRDefault="00586887" w:rsidP="00DD1742">
      <w:pPr>
        <w:pStyle w:val="HeadingLevel2"/>
      </w:pPr>
      <w:bookmarkStart w:id="163" w:name="_Toc141782631"/>
      <w:bookmarkStart w:id="164" w:name="_Toc185251388"/>
      <w:r w:rsidRPr="00C675F7">
        <w:t>Human Rights Implications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AEA2180" w14:textId="29236808" w:rsidR="00586887" w:rsidRPr="00601B0E" w:rsidRDefault="00E436AC" w:rsidP="00D82CC0">
      <w:r>
        <w:t>The Amending Instrument</w:t>
      </w:r>
      <w:r w:rsidR="002D7E26" w:rsidRPr="00601B0E">
        <w:t xml:space="preserve"> does not engage any of the human rights and freedoms recognised or declared in the international instruments listed in section 3 of the </w:t>
      </w:r>
      <w:r w:rsidR="002D7E26" w:rsidRPr="00601B0E">
        <w:rPr>
          <w:i/>
          <w:iCs/>
        </w:rPr>
        <w:t>Human Rights (Parliamentary Scrutiny) Act 2011</w:t>
      </w:r>
      <w:r w:rsidR="002D7E26" w:rsidRPr="00601B0E">
        <w:t>.</w:t>
      </w:r>
    </w:p>
    <w:p w14:paraId="2313FB27" w14:textId="77777777" w:rsidR="00586887" w:rsidRPr="00C675F7" w:rsidRDefault="00586887" w:rsidP="00C6692A">
      <w:pPr>
        <w:pStyle w:val="HeadingLevel2"/>
      </w:pPr>
      <w:bookmarkStart w:id="165" w:name="_Toc319402532"/>
      <w:bookmarkStart w:id="166" w:name="_Toc505092270"/>
      <w:bookmarkStart w:id="167" w:name="_Toc46333228"/>
      <w:bookmarkStart w:id="168" w:name="_Toc46333482"/>
      <w:bookmarkStart w:id="169" w:name="_Toc46333636"/>
      <w:bookmarkStart w:id="170" w:name="_Toc46333801"/>
      <w:bookmarkStart w:id="171" w:name="_Toc46333915"/>
      <w:bookmarkStart w:id="172" w:name="_Toc46334651"/>
      <w:bookmarkStart w:id="173" w:name="_Toc106612250"/>
      <w:bookmarkStart w:id="174" w:name="_Toc141782632"/>
      <w:bookmarkStart w:id="175" w:name="_Toc185251389"/>
      <w:r w:rsidRPr="00C675F7">
        <w:t>Conclusion</w:t>
      </w:r>
      <w:bookmarkEnd w:id="165"/>
      <w:bookmarkEnd w:id="166"/>
      <w:bookmarkEnd w:id="167"/>
      <w:bookmarkEnd w:id="168"/>
      <w:bookmarkEnd w:id="169"/>
      <w:bookmarkEnd w:id="170"/>
      <w:bookmarkEnd w:id="171"/>
      <w:bookmarkEnd w:id="172"/>
      <w:bookmarkEnd w:id="173"/>
      <w:bookmarkEnd w:id="174"/>
      <w:bookmarkEnd w:id="175"/>
    </w:p>
    <w:p w14:paraId="5096BDDD" w14:textId="65C99D59" w:rsidR="002D7277" w:rsidRPr="00601B0E" w:rsidRDefault="00E436AC" w:rsidP="00D82CC0">
      <w:r>
        <w:t>The Amending Instrument</w:t>
      </w:r>
      <w:r w:rsidR="00586887" w:rsidRPr="00601B0E">
        <w:t xml:space="preserve"> is compatible with human rights</w:t>
      </w:r>
      <w:r w:rsidR="00DF5206" w:rsidRPr="00601B0E">
        <w:t>,</w:t>
      </w:r>
      <w:r w:rsidR="00586887" w:rsidRPr="00601B0E">
        <w:t xml:space="preserve"> as it does not raise any human rights issues.</w:t>
      </w:r>
    </w:p>
    <w:sectPr w:rsidR="002D7277" w:rsidRPr="00601B0E" w:rsidSect="005142E1">
      <w:headerReference w:type="even" r:id="rId13"/>
      <w:headerReference w:type="default" r:id="rId14"/>
      <w:headerReference w:type="first" r:id="rId15"/>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B2FCF" w14:textId="77777777" w:rsidR="00C162E2" w:rsidRDefault="00C162E2" w:rsidP="00D82CC0">
      <w:r>
        <w:separator/>
      </w:r>
    </w:p>
  </w:endnote>
  <w:endnote w:type="continuationSeparator" w:id="0">
    <w:p w14:paraId="67248B15" w14:textId="77777777" w:rsidR="00C162E2" w:rsidRDefault="00C162E2"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7BFED" w14:textId="77777777" w:rsidR="00C162E2" w:rsidRDefault="00C162E2" w:rsidP="00D82CC0">
      <w:r>
        <w:separator/>
      </w:r>
    </w:p>
  </w:footnote>
  <w:footnote w:type="continuationSeparator" w:id="0">
    <w:p w14:paraId="49129335" w14:textId="77777777" w:rsidR="00C162E2" w:rsidRDefault="00C162E2"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175DA" w14:textId="6D6FE39D" w:rsidR="00C162E2" w:rsidRDefault="00C45C9C" w:rsidP="00B94D48">
    <w:pPr>
      <w:pStyle w:val="Header"/>
      <w:pBdr>
        <w:bottom w:val="single" w:sz="4" w:space="1" w:color="auto"/>
      </w:pBdr>
      <w:spacing w:before="0" w:after="0"/>
    </w:pPr>
    <w:r>
      <w:rPr>
        <w:szCs w:val="20"/>
      </w:rPr>
      <w:t>Vehicle Standard (</w:t>
    </w:r>
    <w:r w:rsidRPr="00F74E75">
      <w:rPr>
        <w:szCs w:val="20"/>
      </w:rPr>
      <w:t>Australian Design Rule</w:t>
    </w:r>
    <w:r>
      <w:rPr>
        <w:szCs w:val="20"/>
      </w:rPr>
      <w:t xml:space="preserve">) </w:t>
    </w:r>
    <w:r w:rsidR="002849BB">
      <w:rPr>
        <w:szCs w:val="20"/>
      </w:rPr>
      <w:t>Twin Steer Amendments 2024</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0A908" w14:textId="77777777" w:rsidR="00F55EA6" w:rsidRDefault="00F55EA6" w:rsidP="00F55EA6">
    <w:pPr>
      <w:pStyle w:val="Header"/>
      <w:pBdr>
        <w:bottom w:val="single" w:sz="4" w:space="1" w:color="auto"/>
      </w:pBdr>
      <w:spacing w:before="0" w:after="0"/>
    </w:pPr>
    <w:r>
      <w:rPr>
        <w:szCs w:val="20"/>
      </w:rPr>
      <w:t>Vehicle Standard (</w:t>
    </w:r>
    <w:r w:rsidRPr="00F74E75">
      <w:rPr>
        <w:szCs w:val="20"/>
      </w:rPr>
      <w:t>Australian Design Rule</w:t>
    </w:r>
    <w:r>
      <w:rPr>
        <w:szCs w:val="20"/>
      </w:rPr>
      <w:t>) Mobile Crane and Other Amendments 2025</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p w14:paraId="2C4A7F89" w14:textId="450911E7" w:rsidR="0056539E" w:rsidRPr="00F55EA6" w:rsidRDefault="0056539E" w:rsidP="00F55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BF7DB" w14:textId="45C453B4" w:rsidR="00063784" w:rsidRDefault="000637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BE314" w14:textId="62F12BC0" w:rsidR="00063784" w:rsidRDefault="00D57C9A" w:rsidP="00D57C9A">
    <w:pPr>
      <w:pStyle w:val="Header"/>
      <w:pBdr>
        <w:bottom w:val="single" w:sz="4" w:space="1" w:color="auto"/>
      </w:pBdr>
      <w:spacing w:before="0" w:after="0"/>
    </w:pPr>
    <w:r>
      <w:rPr>
        <w:szCs w:val="20"/>
      </w:rPr>
      <w:t>Vehicle Standard (</w:t>
    </w:r>
    <w:r w:rsidRPr="00F74E75">
      <w:rPr>
        <w:szCs w:val="20"/>
      </w:rPr>
      <w:t>Australian Design Rule</w:t>
    </w:r>
    <w:r>
      <w:rPr>
        <w:szCs w:val="20"/>
      </w:rPr>
      <w:t xml:space="preserve">) </w:t>
    </w:r>
    <w:r w:rsidR="00000E4F">
      <w:rPr>
        <w:szCs w:val="20"/>
      </w:rPr>
      <w:t>Mobile Crane</w:t>
    </w:r>
    <w:r>
      <w:rPr>
        <w:szCs w:val="20"/>
      </w:rPr>
      <w:t xml:space="preserve"> Amendments 202</w:t>
    </w:r>
    <w:r w:rsidR="0056539E">
      <w:rPr>
        <w:szCs w:val="20"/>
      </w:rPr>
      <w:t>5</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4DD5" w14:textId="4F015564" w:rsidR="00C162E2" w:rsidRDefault="00C45C9C" w:rsidP="00B94D48">
    <w:pPr>
      <w:pStyle w:val="Header"/>
      <w:pBdr>
        <w:bottom w:val="single" w:sz="4" w:space="1" w:color="auto"/>
      </w:pBdr>
      <w:spacing w:before="0" w:after="0"/>
    </w:pPr>
    <w:r>
      <w:rPr>
        <w:szCs w:val="20"/>
      </w:rPr>
      <w:t>Vehicle Standard (</w:t>
    </w:r>
    <w:r w:rsidRPr="00F74E75">
      <w:rPr>
        <w:szCs w:val="20"/>
      </w:rPr>
      <w:t>Australian Design Rule</w:t>
    </w:r>
    <w:r>
      <w:rPr>
        <w:szCs w:val="20"/>
      </w:rPr>
      <w:t xml:space="preserve">) </w:t>
    </w:r>
    <w:r w:rsidR="00000E4F">
      <w:rPr>
        <w:szCs w:val="20"/>
      </w:rPr>
      <w:t>Mobile Crane</w:t>
    </w:r>
    <w:r w:rsidR="002849BB">
      <w:rPr>
        <w:szCs w:val="20"/>
      </w:rPr>
      <w:t xml:space="preserve"> </w:t>
    </w:r>
    <w:r w:rsidR="0021755F">
      <w:rPr>
        <w:szCs w:val="20"/>
      </w:rPr>
      <w:t xml:space="preserve">and Other </w:t>
    </w:r>
    <w:r w:rsidR="002849BB">
      <w:rPr>
        <w:szCs w:val="20"/>
      </w:rPr>
      <w:t>Amendments 202</w:t>
    </w:r>
    <w:r w:rsidR="0056539E">
      <w:rPr>
        <w:szCs w:val="20"/>
      </w:rPr>
      <w:t>5</w:t>
    </w:r>
    <w:r>
      <w:rPr>
        <w:szCs w:val="20"/>
      </w:rP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spacing w:val="-2"/>
        <w:szCs w:val="20"/>
        <w:lang w:val="x-none" w:eastAsia="x-none"/>
      </w:rPr>
      <w:t>2</w:t>
    </w:r>
    <w:r w:rsidRPr="005F7AFE">
      <w:rPr>
        <w:spacing w:val="-2"/>
        <w:szCs w:val="20"/>
        <w:lang w:val="x-none" w:eastAsia="x-none"/>
      </w:rPr>
      <w:fldChar w:fldCharType="end"/>
    </w:r>
    <w:r>
      <w:rPr>
        <w:spacing w:val="-2"/>
        <w:szCs w:val="20"/>
        <w:lang w:val="x-none" w:eastAsia="x-none"/>
      </w:rPr>
      <w:br/>
    </w:r>
    <w:r>
      <w:t>Explanatory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5B747BE"/>
    <w:multiLevelType w:val="multilevel"/>
    <w:tmpl w:val="FABE1494"/>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85258"/>
    <w:multiLevelType w:val="hybridMultilevel"/>
    <w:tmpl w:val="C4822DB4"/>
    <w:lvl w:ilvl="0" w:tplc="7FC2C66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916A97"/>
    <w:multiLevelType w:val="hybridMultilevel"/>
    <w:tmpl w:val="526A1DD0"/>
    <w:lvl w:ilvl="0" w:tplc="8536DB6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D125D9"/>
    <w:multiLevelType w:val="hybridMultilevel"/>
    <w:tmpl w:val="DE8C2228"/>
    <w:lvl w:ilvl="0" w:tplc="1B46CC4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3"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FB60D3"/>
    <w:multiLevelType w:val="hybridMultilevel"/>
    <w:tmpl w:val="3A0A135E"/>
    <w:lvl w:ilvl="0" w:tplc="94AAE510">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F7506F"/>
    <w:multiLevelType w:val="multilevel"/>
    <w:tmpl w:val="52E22D72"/>
    <w:lvl w:ilvl="0">
      <w:start w:val="1"/>
      <w:numFmt w:val="decimal"/>
      <w:pStyle w:val="MainHeading"/>
      <w:lvlText w:val="%1."/>
      <w:lvlJc w:val="left"/>
      <w:pPr>
        <w:tabs>
          <w:tab w:val="num" w:pos="851"/>
        </w:tabs>
        <w:ind w:left="851" w:hanging="851"/>
      </w:pPr>
      <w:rPr>
        <w:rFonts w:hint="default"/>
      </w:rPr>
    </w:lvl>
    <w:lvl w:ilvl="1">
      <w:start w:val="1"/>
      <w:numFmt w:val="decimal"/>
      <w:pStyle w:val="Subsection"/>
      <w:lvlText w:val="%1.%2."/>
      <w:lvlJc w:val="left"/>
      <w:pPr>
        <w:tabs>
          <w:tab w:val="num" w:pos="1418"/>
        </w:tabs>
        <w:ind w:left="1418" w:hanging="851"/>
      </w:pPr>
      <w:rPr>
        <w:rFonts w:hint="default"/>
        <w:b w:val="0"/>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D321D92"/>
    <w:multiLevelType w:val="hybridMultilevel"/>
    <w:tmpl w:val="2E90B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6B7F7E"/>
    <w:multiLevelType w:val="multilevel"/>
    <w:tmpl w:val="462C6552"/>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1"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1"/>
  </w:num>
  <w:num w:numId="3">
    <w:abstractNumId w:val="5"/>
  </w:num>
  <w:num w:numId="4">
    <w:abstractNumId w:val="20"/>
  </w:num>
  <w:num w:numId="5">
    <w:abstractNumId w:val="3"/>
  </w:num>
  <w:num w:numId="6">
    <w:abstractNumId w:val="19"/>
  </w:num>
  <w:num w:numId="7">
    <w:abstractNumId w:val="6"/>
  </w:num>
  <w:num w:numId="8">
    <w:abstractNumId w:val="14"/>
  </w:num>
  <w:num w:numId="9">
    <w:abstractNumId w:val="11"/>
  </w:num>
  <w:num w:numId="10">
    <w:abstractNumId w:val="17"/>
  </w:num>
  <w:num w:numId="11">
    <w:abstractNumId w:val="10"/>
  </w:num>
  <w:num w:numId="12">
    <w:abstractNumId w:val="13"/>
  </w:num>
  <w:num w:numId="13">
    <w:abstractNumId w:val="7"/>
  </w:num>
  <w:num w:numId="14">
    <w:abstractNumId w:val="12"/>
  </w:num>
  <w:num w:numId="15">
    <w:abstractNumId w:val="16"/>
  </w:num>
  <w:num w:numId="16">
    <w:abstractNumId w:val="16"/>
  </w:num>
  <w:num w:numId="17">
    <w:abstractNumId w:val="16"/>
  </w:num>
  <w:num w:numId="18">
    <w:abstractNumId w:val="16"/>
  </w:num>
  <w:num w:numId="19">
    <w:abstractNumId w:val="0"/>
  </w:num>
  <w:num w:numId="20">
    <w:abstractNumId w:val="16"/>
  </w:num>
  <w:num w:numId="21">
    <w:abstractNumId w:val="1"/>
  </w:num>
  <w:num w:numId="22">
    <w:abstractNumId w:val="16"/>
  </w:num>
  <w:num w:numId="23">
    <w:abstractNumId w:val="16"/>
  </w:num>
  <w:num w:numId="24">
    <w:abstractNumId w:val="2"/>
  </w:num>
  <w:num w:numId="25">
    <w:abstractNumId w:val="1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9"/>
  </w:num>
  <w:num w:numId="29">
    <w:abstractNumId w:val="8"/>
  </w:num>
  <w:num w:numId="30">
    <w:abstractNumId w:val="18"/>
  </w:num>
  <w:num w:numId="31">
    <w:abstractNumId w:val="0"/>
  </w:num>
  <w:num w:numId="32">
    <w:abstractNumId w:val="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0054"/>
    <w:rsid w:val="00000E4F"/>
    <w:rsid w:val="00002E12"/>
    <w:rsid w:val="0000350E"/>
    <w:rsid w:val="00003982"/>
    <w:rsid w:val="000040F7"/>
    <w:rsid w:val="000043E9"/>
    <w:rsid w:val="00006106"/>
    <w:rsid w:val="00006451"/>
    <w:rsid w:val="000067BC"/>
    <w:rsid w:val="00006B90"/>
    <w:rsid w:val="000071ED"/>
    <w:rsid w:val="00007C8C"/>
    <w:rsid w:val="000119C1"/>
    <w:rsid w:val="00011FA5"/>
    <w:rsid w:val="00012FF9"/>
    <w:rsid w:val="000157B0"/>
    <w:rsid w:val="000166ED"/>
    <w:rsid w:val="00016AD9"/>
    <w:rsid w:val="00017518"/>
    <w:rsid w:val="0002036E"/>
    <w:rsid w:val="00020484"/>
    <w:rsid w:val="000220C0"/>
    <w:rsid w:val="00022CA1"/>
    <w:rsid w:val="00023306"/>
    <w:rsid w:val="000241C6"/>
    <w:rsid w:val="000245BE"/>
    <w:rsid w:val="0002471C"/>
    <w:rsid w:val="00025A8A"/>
    <w:rsid w:val="000266C9"/>
    <w:rsid w:val="000275FB"/>
    <w:rsid w:val="00031993"/>
    <w:rsid w:val="00031F5E"/>
    <w:rsid w:val="000335E2"/>
    <w:rsid w:val="000346B3"/>
    <w:rsid w:val="00034FA3"/>
    <w:rsid w:val="00035887"/>
    <w:rsid w:val="00036526"/>
    <w:rsid w:val="00037045"/>
    <w:rsid w:val="00040956"/>
    <w:rsid w:val="00040AEC"/>
    <w:rsid w:val="000415C6"/>
    <w:rsid w:val="00041F47"/>
    <w:rsid w:val="00042799"/>
    <w:rsid w:val="00045D3B"/>
    <w:rsid w:val="00046972"/>
    <w:rsid w:val="00046D47"/>
    <w:rsid w:val="00047855"/>
    <w:rsid w:val="00047E7E"/>
    <w:rsid w:val="00050FB8"/>
    <w:rsid w:val="00052EF3"/>
    <w:rsid w:val="00053871"/>
    <w:rsid w:val="000539B1"/>
    <w:rsid w:val="00053BA8"/>
    <w:rsid w:val="0005416F"/>
    <w:rsid w:val="00054598"/>
    <w:rsid w:val="000545E5"/>
    <w:rsid w:val="00054966"/>
    <w:rsid w:val="00054DEF"/>
    <w:rsid w:val="00055A6A"/>
    <w:rsid w:val="000562F1"/>
    <w:rsid w:val="00056F30"/>
    <w:rsid w:val="000571CD"/>
    <w:rsid w:val="000572C2"/>
    <w:rsid w:val="0005783E"/>
    <w:rsid w:val="000604A0"/>
    <w:rsid w:val="00060FE2"/>
    <w:rsid w:val="00061D59"/>
    <w:rsid w:val="00061E00"/>
    <w:rsid w:val="000627F5"/>
    <w:rsid w:val="00063784"/>
    <w:rsid w:val="00064ADD"/>
    <w:rsid w:val="00064AFA"/>
    <w:rsid w:val="00064FA1"/>
    <w:rsid w:val="000650DA"/>
    <w:rsid w:val="000660AF"/>
    <w:rsid w:val="00066F93"/>
    <w:rsid w:val="00067219"/>
    <w:rsid w:val="0006730C"/>
    <w:rsid w:val="000713D8"/>
    <w:rsid w:val="00071B1F"/>
    <w:rsid w:val="00071E8B"/>
    <w:rsid w:val="000725BB"/>
    <w:rsid w:val="00072DF0"/>
    <w:rsid w:val="00072E73"/>
    <w:rsid w:val="00073CDF"/>
    <w:rsid w:val="00073EFE"/>
    <w:rsid w:val="000740DE"/>
    <w:rsid w:val="0007442D"/>
    <w:rsid w:val="00074D90"/>
    <w:rsid w:val="00075EC0"/>
    <w:rsid w:val="00075F45"/>
    <w:rsid w:val="000760A3"/>
    <w:rsid w:val="00077FA8"/>
    <w:rsid w:val="00080455"/>
    <w:rsid w:val="000805A5"/>
    <w:rsid w:val="000818C8"/>
    <w:rsid w:val="0008418F"/>
    <w:rsid w:val="00084718"/>
    <w:rsid w:val="00085C95"/>
    <w:rsid w:val="00085D26"/>
    <w:rsid w:val="0008652F"/>
    <w:rsid w:val="0008670D"/>
    <w:rsid w:val="00087A70"/>
    <w:rsid w:val="00087FD8"/>
    <w:rsid w:val="0009011D"/>
    <w:rsid w:val="000911E9"/>
    <w:rsid w:val="00091EDE"/>
    <w:rsid w:val="00092835"/>
    <w:rsid w:val="0009303D"/>
    <w:rsid w:val="000931F0"/>
    <w:rsid w:val="0009357A"/>
    <w:rsid w:val="000957CE"/>
    <w:rsid w:val="0009612E"/>
    <w:rsid w:val="0009658B"/>
    <w:rsid w:val="00096C35"/>
    <w:rsid w:val="000A1C07"/>
    <w:rsid w:val="000A35DD"/>
    <w:rsid w:val="000A40FB"/>
    <w:rsid w:val="000A4DC4"/>
    <w:rsid w:val="000A6135"/>
    <w:rsid w:val="000B0E53"/>
    <w:rsid w:val="000B1C73"/>
    <w:rsid w:val="000B2988"/>
    <w:rsid w:val="000B3D51"/>
    <w:rsid w:val="000B3D64"/>
    <w:rsid w:val="000B3DBE"/>
    <w:rsid w:val="000B43DE"/>
    <w:rsid w:val="000B4684"/>
    <w:rsid w:val="000B538B"/>
    <w:rsid w:val="000B7545"/>
    <w:rsid w:val="000B7E19"/>
    <w:rsid w:val="000C068A"/>
    <w:rsid w:val="000C0B71"/>
    <w:rsid w:val="000C0E62"/>
    <w:rsid w:val="000C0FA8"/>
    <w:rsid w:val="000C14D3"/>
    <w:rsid w:val="000C171E"/>
    <w:rsid w:val="000C2AF4"/>
    <w:rsid w:val="000C3C06"/>
    <w:rsid w:val="000C40A8"/>
    <w:rsid w:val="000C46B1"/>
    <w:rsid w:val="000C57AC"/>
    <w:rsid w:val="000C597D"/>
    <w:rsid w:val="000C5EBA"/>
    <w:rsid w:val="000C6098"/>
    <w:rsid w:val="000C796D"/>
    <w:rsid w:val="000D0DD0"/>
    <w:rsid w:val="000D1A08"/>
    <w:rsid w:val="000D2640"/>
    <w:rsid w:val="000D3459"/>
    <w:rsid w:val="000D4320"/>
    <w:rsid w:val="000D4924"/>
    <w:rsid w:val="000D4A93"/>
    <w:rsid w:val="000D6331"/>
    <w:rsid w:val="000D6E79"/>
    <w:rsid w:val="000D795D"/>
    <w:rsid w:val="000E0AA9"/>
    <w:rsid w:val="000E1301"/>
    <w:rsid w:val="000E2297"/>
    <w:rsid w:val="000E3161"/>
    <w:rsid w:val="000E39CA"/>
    <w:rsid w:val="000E3BAA"/>
    <w:rsid w:val="000E3CB6"/>
    <w:rsid w:val="000E46B1"/>
    <w:rsid w:val="000E4821"/>
    <w:rsid w:val="000E556E"/>
    <w:rsid w:val="000E5AE0"/>
    <w:rsid w:val="000E6E1D"/>
    <w:rsid w:val="000E6F99"/>
    <w:rsid w:val="000E7837"/>
    <w:rsid w:val="000E7A76"/>
    <w:rsid w:val="000F1573"/>
    <w:rsid w:val="000F184B"/>
    <w:rsid w:val="000F296B"/>
    <w:rsid w:val="000F4182"/>
    <w:rsid w:val="000F4F73"/>
    <w:rsid w:val="000F534E"/>
    <w:rsid w:val="000F5C03"/>
    <w:rsid w:val="000F631D"/>
    <w:rsid w:val="000F67F3"/>
    <w:rsid w:val="000F6F83"/>
    <w:rsid w:val="000F765D"/>
    <w:rsid w:val="000F7767"/>
    <w:rsid w:val="000F793B"/>
    <w:rsid w:val="0010086F"/>
    <w:rsid w:val="00100C8D"/>
    <w:rsid w:val="00101E42"/>
    <w:rsid w:val="00102B14"/>
    <w:rsid w:val="00102CCC"/>
    <w:rsid w:val="00102EE7"/>
    <w:rsid w:val="0010443C"/>
    <w:rsid w:val="00104705"/>
    <w:rsid w:val="00105209"/>
    <w:rsid w:val="00106C75"/>
    <w:rsid w:val="00107C85"/>
    <w:rsid w:val="001100FC"/>
    <w:rsid w:val="00112CA8"/>
    <w:rsid w:val="00113D84"/>
    <w:rsid w:val="001143B9"/>
    <w:rsid w:val="00117EBC"/>
    <w:rsid w:val="0012081F"/>
    <w:rsid w:val="0012087C"/>
    <w:rsid w:val="0012110B"/>
    <w:rsid w:val="001216AB"/>
    <w:rsid w:val="001216E3"/>
    <w:rsid w:val="00121CBA"/>
    <w:rsid w:val="00123535"/>
    <w:rsid w:val="0012466F"/>
    <w:rsid w:val="00127289"/>
    <w:rsid w:val="0012729E"/>
    <w:rsid w:val="00130C70"/>
    <w:rsid w:val="00130F68"/>
    <w:rsid w:val="00131492"/>
    <w:rsid w:val="00131913"/>
    <w:rsid w:val="00131A86"/>
    <w:rsid w:val="00132DC9"/>
    <w:rsid w:val="0013314B"/>
    <w:rsid w:val="00133D9D"/>
    <w:rsid w:val="0013405E"/>
    <w:rsid w:val="0013446A"/>
    <w:rsid w:val="00135E88"/>
    <w:rsid w:val="001377D1"/>
    <w:rsid w:val="0013783E"/>
    <w:rsid w:val="00137BB9"/>
    <w:rsid w:val="00137CC7"/>
    <w:rsid w:val="00141E4F"/>
    <w:rsid w:val="00141FF9"/>
    <w:rsid w:val="00142635"/>
    <w:rsid w:val="0014280B"/>
    <w:rsid w:val="00142A38"/>
    <w:rsid w:val="00143898"/>
    <w:rsid w:val="00147481"/>
    <w:rsid w:val="00147F05"/>
    <w:rsid w:val="001504CD"/>
    <w:rsid w:val="00150C04"/>
    <w:rsid w:val="0015120A"/>
    <w:rsid w:val="00152636"/>
    <w:rsid w:val="00153C61"/>
    <w:rsid w:val="00154361"/>
    <w:rsid w:val="001545E9"/>
    <w:rsid w:val="00154AE6"/>
    <w:rsid w:val="00155D59"/>
    <w:rsid w:val="00155DDC"/>
    <w:rsid w:val="00155FE4"/>
    <w:rsid w:val="00157142"/>
    <w:rsid w:val="00157631"/>
    <w:rsid w:val="00157D61"/>
    <w:rsid w:val="00157E94"/>
    <w:rsid w:val="001606BF"/>
    <w:rsid w:val="00160C84"/>
    <w:rsid w:val="0016134C"/>
    <w:rsid w:val="0016287A"/>
    <w:rsid w:val="00163D88"/>
    <w:rsid w:val="00164B53"/>
    <w:rsid w:val="00164C29"/>
    <w:rsid w:val="001661A9"/>
    <w:rsid w:val="00166322"/>
    <w:rsid w:val="001668C3"/>
    <w:rsid w:val="00166DC2"/>
    <w:rsid w:val="00167283"/>
    <w:rsid w:val="00167D2E"/>
    <w:rsid w:val="00167E68"/>
    <w:rsid w:val="00170AE8"/>
    <w:rsid w:val="001717FC"/>
    <w:rsid w:val="00171AFA"/>
    <w:rsid w:val="00171B84"/>
    <w:rsid w:val="00171B88"/>
    <w:rsid w:val="00172773"/>
    <w:rsid w:val="00175631"/>
    <w:rsid w:val="0017615C"/>
    <w:rsid w:val="00177811"/>
    <w:rsid w:val="00177ADF"/>
    <w:rsid w:val="001800CF"/>
    <w:rsid w:val="001811E9"/>
    <w:rsid w:val="00181511"/>
    <w:rsid w:val="0018242E"/>
    <w:rsid w:val="00185894"/>
    <w:rsid w:val="00186060"/>
    <w:rsid w:val="00186771"/>
    <w:rsid w:val="0018682C"/>
    <w:rsid w:val="00187070"/>
    <w:rsid w:val="001876B7"/>
    <w:rsid w:val="00187D37"/>
    <w:rsid w:val="00190975"/>
    <w:rsid w:val="00192758"/>
    <w:rsid w:val="00192F2E"/>
    <w:rsid w:val="00195BDD"/>
    <w:rsid w:val="0019630B"/>
    <w:rsid w:val="00197EE4"/>
    <w:rsid w:val="001A0762"/>
    <w:rsid w:val="001A0E75"/>
    <w:rsid w:val="001A28AB"/>
    <w:rsid w:val="001A3C8E"/>
    <w:rsid w:val="001A3E82"/>
    <w:rsid w:val="001A441C"/>
    <w:rsid w:val="001A4A7E"/>
    <w:rsid w:val="001A4C1E"/>
    <w:rsid w:val="001A6CB7"/>
    <w:rsid w:val="001A7721"/>
    <w:rsid w:val="001A7DBE"/>
    <w:rsid w:val="001B0DE1"/>
    <w:rsid w:val="001B0EFB"/>
    <w:rsid w:val="001B1F81"/>
    <w:rsid w:val="001B217D"/>
    <w:rsid w:val="001B27DA"/>
    <w:rsid w:val="001B2B7A"/>
    <w:rsid w:val="001B35BE"/>
    <w:rsid w:val="001B38AA"/>
    <w:rsid w:val="001B3B65"/>
    <w:rsid w:val="001B5F38"/>
    <w:rsid w:val="001B7A5F"/>
    <w:rsid w:val="001C05F9"/>
    <w:rsid w:val="001C14FC"/>
    <w:rsid w:val="001C1BB6"/>
    <w:rsid w:val="001C1EC8"/>
    <w:rsid w:val="001C69AE"/>
    <w:rsid w:val="001C6F98"/>
    <w:rsid w:val="001C7211"/>
    <w:rsid w:val="001D01E5"/>
    <w:rsid w:val="001D0DE6"/>
    <w:rsid w:val="001D17F3"/>
    <w:rsid w:val="001D2618"/>
    <w:rsid w:val="001D2D0B"/>
    <w:rsid w:val="001D3B0F"/>
    <w:rsid w:val="001D43CE"/>
    <w:rsid w:val="001D467A"/>
    <w:rsid w:val="001D4C8A"/>
    <w:rsid w:val="001D592B"/>
    <w:rsid w:val="001D7209"/>
    <w:rsid w:val="001E0205"/>
    <w:rsid w:val="001E0A6A"/>
    <w:rsid w:val="001E1A19"/>
    <w:rsid w:val="001E218D"/>
    <w:rsid w:val="001E46A6"/>
    <w:rsid w:val="001E478D"/>
    <w:rsid w:val="001E50F3"/>
    <w:rsid w:val="001E543A"/>
    <w:rsid w:val="001E5490"/>
    <w:rsid w:val="001E5CFB"/>
    <w:rsid w:val="001E66E7"/>
    <w:rsid w:val="001E6F6F"/>
    <w:rsid w:val="001F0A7E"/>
    <w:rsid w:val="001F128D"/>
    <w:rsid w:val="001F1322"/>
    <w:rsid w:val="001F13D5"/>
    <w:rsid w:val="001F33B9"/>
    <w:rsid w:val="001F375D"/>
    <w:rsid w:val="001F3A40"/>
    <w:rsid w:val="001F566C"/>
    <w:rsid w:val="001F56DB"/>
    <w:rsid w:val="001F5919"/>
    <w:rsid w:val="001F6B19"/>
    <w:rsid w:val="00200282"/>
    <w:rsid w:val="00200879"/>
    <w:rsid w:val="00200A9F"/>
    <w:rsid w:val="00201648"/>
    <w:rsid w:val="002019EC"/>
    <w:rsid w:val="002039A6"/>
    <w:rsid w:val="0020549D"/>
    <w:rsid w:val="002054A1"/>
    <w:rsid w:val="00205960"/>
    <w:rsid w:val="00206D51"/>
    <w:rsid w:val="00206EF3"/>
    <w:rsid w:val="00206F51"/>
    <w:rsid w:val="00207C63"/>
    <w:rsid w:val="00210266"/>
    <w:rsid w:val="00210C5E"/>
    <w:rsid w:val="0021151C"/>
    <w:rsid w:val="00212153"/>
    <w:rsid w:val="00215C84"/>
    <w:rsid w:val="00216DD3"/>
    <w:rsid w:val="002170AE"/>
    <w:rsid w:val="0021755F"/>
    <w:rsid w:val="00217A93"/>
    <w:rsid w:val="0022059A"/>
    <w:rsid w:val="002211E8"/>
    <w:rsid w:val="00221F42"/>
    <w:rsid w:val="0022318B"/>
    <w:rsid w:val="00223A33"/>
    <w:rsid w:val="0022410B"/>
    <w:rsid w:val="00225589"/>
    <w:rsid w:val="0022575C"/>
    <w:rsid w:val="00225EEA"/>
    <w:rsid w:val="00226CB6"/>
    <w:rsid w:val="0022719C"/>
    <w:rsid w:val="00227A72"/>
    <w:rsid w:val="0023125C"/>
    <w:rsid w:val="00231B30"/>
    <w:rsid w:val="002325B1"/>
    <w:rsid w:val="0023292A"/>
    <w:rsid w:val="00232FDA"/>
    <w:rsid w:val="00233431"/>
    <w:rsid w:val="00233E87"/>
    <w:rsid w:val="00233F4B"/>
    <w:rsid w:val="00234730"/>
    <w:rsid w:val="002347ED"/>
    <w:rsid w:val="00235D5D"/>
    <w:rsid w:val="00237477"/>
    <w:rsid w:val="00237831"/>
    <w:rsid w:val="00240BB9"/>
    <w:rsid w:val="00240E11"/>
    <w:rsid w:val="002411F9"/>
    <w:rsid w:val="0024155C"/>
    <w:rsid w:val="002425A0"/>
    <w:rsid w:val="00242C3C"/>
    <w:rsid w:val="00242D6F"/>
    <w:rsid w:val="00243106"/>
    <w:rsid w:val="00243A98"/>
    <w:rsid w:val="002449FF"/>
    <w:rsid w:val="0024505E"/>
    <w:rsid w:val="00246C84"/>
    <w:rsid w:val="00246F06"/>
    <w:rsid w:val="00247202"/>
    <w:rsid w:val="00247397"/>
    <w:rsid w:val="002478BF"/>
    <w:rsid w:val="00247A61"/>
    <w:rsid w:val="00247D03"/>
    <w:rsid w:val="00251F05"/>
    <w:rsid w:val="00253824"/>
    <w:rsid w:val="00253F55"/>
    <w:rsid w:val="00254F16"/>
    <w:rsid w:val="002550C2"/>
    <w:rsid w:val="00256C8A"/>
    <w:rsid w:val="002577F0"/>
    <w:rsid w:val="00257FB2"/>
    <w:rsid w:val="00260FD5"/>
    <w:rsid w:val="00261776"/>
    <w:rsid w:val="002640E7"/>
    <w:rsid w:val="00265ABF"/>
    <w:rsid w:val="00265FCF"/>
    <w:rsid w:val="002667FE"/>
    <w:rsid w:val="00266FE7"/>
    <w:rsid w:val="00267127"/>
    <w:rsid w:val="00267F4B"/>
    <w:rsid w:val="0027051E"/>
    <w:rsid w:val="002707F7"/>
    <w:rsid w:val="0027099F"/>
    <w:rsid w:val="00270FAD"/>
    <w:rsid w:val="002714C6"/>
    <w:rsid w:val="00271DCE"/>
    <w:rsid w:val="00272F94"/>
    <w:rsid w:val="00273C6D"/>
    <w:rsid w:val="00280A0E"/>
    <w:rsid w:val="00280BF0"/>
    <w:rsid w:val="00280DAF"/>
    <w:rsid w:val="00282695"/>
    <w:rsid w:val="00282AAC"/>
    <w:rsid w:val="0028346B"/>
    <w:rsid w:val="002834A5"/>
    <w:rsid w:val="00283C75"/>
    <w:rsid w:val="0028478F"/>
    <w:rsid w:val="0028498D"/>
    <w:rsid w:val="002849BB"/>
    <w:rsid w:val="00285ADA"/>
    <w:rsid w:val="00285E62"/>
    <w:rsid w:val="00287417"/>
    <w:rsid w:val="00287770"/>
    <w:rsid w:val="0029003B"/>
    <w:rsid w:val="002904A2"/>
    <w:rsid w:val="002912AC"/>
    <w:rsid w:val="002916ED"/>
    <w:rsid w:val="00291D53"/>
    <w:rsid w:val="00291DBB"/>
    <w:rsid w:val="00292652"/>
    <w:rsid w:val="00292D0D"/>
    <w:rsid w:val="002932BB"/>
    <w:rsid w:val="00294700"/>
    <w:rsid w:val="00294C4D"/>
    <w:rsid w:val="00295478"/>
    <w:rsid w:val="002968C5"/>
    <w:rsid w:val="00296E47"/>
    <w:rsid w:val="00297504"/>
    <w:rsid w:val="002975C7"/>
    <w:rsid w:val="002978B1"/>
    <w:rsid w:val="00297977"/>
    <w:rsid w:val="00297D5D"/>
    <w:rsid w:val="00297E64"/>
    <w:rsid w:val="00297FF2"/>
    <w:rsid w:val="002A005B"/>
    <w:rsid w:val="002A063C"/>
    <w:rsid w:val="002A090A"/>
    <w:rsid w:val="002A0F9F"/>
    <w:rsid w:val="002A19CC"/>
    <w:rsid w:val="002A2878"/>
    <w:rsid w:val="002A310E"/>
    <w:rsid w:val="002A36E2"/>
    <w:rsid w:val="002A394A"/>
    <w:rsid w:val="002A4357"/>
    <w:rsid w:val="002A435A"/>
    <w:rsid w:val="002A4E59"/>
    <w:rsid w:val="002A528E"/>
    <w:rsid w:val="002A6807"/>
    <w:rsid w:val="002A77E1"/>
    <w:rsid w:val="002A7A47"/>
    <w:rsid w:val="002B0075"/>
    <w:rsid w:val="002B117A"/>
    <w:rsid w:val="002B1186"/>
    <w:rsid w:val="002B14ED"/>
    <w:rsid w:val="002B1FE3"/>
    <w:rsid w:val="002B316E"/>
    <w:rsid w:val="002B4DD5"/>
    <w:rsid w:val="002B5165"/>
    <w:rsid w:val="002B574B"/>
    <w:rsid w:val="002B7491"/>
    <w:rsid w:val="002B7CA5"/>
    <w:rsid w:val="002C01D0"/>
    <w:rsid w:val="002C32DE"/>
    <w:rsid w:val="002C4578"/>
    <w:rsid w:val="002C517C"/>
    <w:rsid w:val="002C55A1"/>
    <w:rsid w:val="002C6CB2"/>
    <w:rsid w:val="002C7803"/>
    <w:rsid w:val="002C7C2B"/>
    <w:rsid w:val="002D070C"/>
    <w:rsid w:val="002D0D1B"/>
    <w:rsid w:val="002D2357"/>
    <w:rsid w:val="002D330C"/>
    <w:rsid w:val="002D3608"/>
    <w:rsid w:val="002D508E"/>
    <w:rsid w:val="002D5B95"/>
    <w:rsid w:val="002D6244"/>
    <w:rsid w:val="002D630E"/>
    <w:rsid w:val="002D65AC"/>
    <w:rsid w:val="002D7277"/>
    <w:rsid w:val="002D7D28"/>
    <w:rsid w:val="002D7E26"/>
    <w:rsid w:val="002E026C"/>
    <w:rsid w:val="002E0D61"/>
    <w:rsid w:val="002E10E0"/>
    <w:rsid w:val="002E1691"/>
    <w:rsid w:val="002E1798"/>
    <w:rsid w:val="002E1BBE"/>
    <w:rsid w:val="002E37E2"/>
    <w:rsid w:val="002E4DF6"/>
    <w:rsid w:val="002E5035"/>
    <w:rsid w:val="002E51D2"/>
    <w:rsid w:val="002E5381"/>
    <w:rsid w:val="002E60AD"/>
    <w:rsid w:val="002E67B3"/>
    <w:rsid w:val="002E6D99"/>
    <w:rsid w:val="002E6F12"/>
    <w:rsid w:val="002F0A55"/>
    <w:rsid w:val="002F0E5E"/>
    <w:rsid w:val="002F0F5B"/>
    <w:rsid w:val="002F17FE"/>
    <w:rsid w:val="002F1DB3"/>
    <w:rsid w:val="002F310C"/>
    <w:rsid w:val="002F3EEF"/>
    <w:rsid w:val="002F48AF"/>
    <w:rsid w:val="002F5749"/>
    <w:rsid w:val="002F5FF3"/>
    <w:rsid w:val="002F6C96"/>
    <w:rsid w:val="0030081B"/>
    <w:rsid w:val="003008E1"/>
    <w:rsid w:val="00300D97"/>
    <w:rsid w:val="0030182F"/>
    <w:rsid w:val="003039C0"/>
    <w:rsid w:val="00304422"/>
    <w:rsid w:val="00304CAD"/>
    <w:rsid w:val="003057C9"/>
    <w:rsid w:val="0030582F"/>
    <w:rsid w:val="00305DCA"/>
    <w:rsid w:val="00306314"/>
    <w:rsid w:val="00306A86"/>
    <w:rsid w:val="00306DEF"/>
    <w:rsid w:val="00307FD9"/>
    <w:rsid w:val="00310878"/>
    <w:rsid w:val="00310C61"/>
    <w:rsid w:val="00310E9F"/>
    <w:rsid w:val="003119C5"/>
    <w:rsid w:val="003157F6"/>
    <w:rsid w:val="00315DEA"/>
    <w:rsid w:val="00316371"/>
    <w:rsid w:val="003210C8"/>
    <w:rsid w:val="00321DC4"/>
    <w:rsid w:val="003239FE"/>
    <w:rsid w:val="003268A0"/>
    <w:rsid w:val="00326E4B"/>
    <w:rsid w:val="00326EC7"/>
    <w:rsid w:val="003319EF"/>
    <w:rsid w:val="0033287C"/>
    <w:rsid w:val="00336B65"/>
    <w:rsid w:val="0033777B"/>
    <w:rsid w:val="003378E8"/>
    <w:rsid w:val="0034024E"/>
    <w:rsid w:val="00341142"/>
    <w:rsid w:val="00341EF6"/>
    <w:rsid w:val="00343D81"/>
    <w:rsid w:val="003442F6"/>
    <w:rsid w:val="003443C2"/>
    <w:rsid w:val="0034457A"/>
    <w:rsid w:val="003446A2"/>
    <w:rsid w:val="003447E5"/>
    <w:rsid w:val="00344A42"/>
    <w:rsid w:val="0034510D"/>
    <w:rsid w:val="00345FAC"/>
    <w:rsid w:val="00346100"/>
    <w:rsid w:val="00347408"/>
    <w:rsid w:val="00347940"/>
    <w:rsid w:val="003502B7"/>
    <w:rsid w:val="003502ED"/>
    <w:rsid w:val="0035037C"/>
    <w:rsid w:val="003511FE"/>
    <w:rsid w:val="0035138A"/>
    <w:rsid w:val="0035354B"/>
    <w:rsid w:val="00353C97"/>
    <w:rsid w:val="00353DBD"/>
    <w:rsid w:val="00354353"/>
    <w:rsid w:val="003546B5"/>
    <w:rsid w:val="00356128"/>
    <w:rsid w:val="003567BF"/>
    <w:rsid w:val="00357016"/>
    <w:rsid w:val="003601AA"/>
    <w:rsid w:val="00360AC0"/>
    <w:rsid w:val="0036261D"/>
    <w:rsid w:val="003634A7"/>
    <w:rsid w:val="00365500"/>
    <w:rsid w:val="00366380"/>
    <w:rsid w:val="00366709"/>
    <w:rsid w:val="00367091"/>
    <w:rsid w:val="0036792B"/>
    <w:rsid w:val="00370173"/>
    <w:rsid w:val="00373116"/>
    <w:rsid w:val="003736E6"/>
    <w:rsid w:val="003737A4"/>
    <w:rsid w:val="00373A7D"/>
    <w:rsid w:val="00374A6D"/>
    <w:rsid w:val="00374F17"/>
    <w:rsid w:val="0037526C"/>
    <w:rsid w:val="00375F4F"/>
    <w:rsid w:val="00376103"/>
    <w:rsid w:val="00376574"/>
    <w:rsid w:val="0037674C"/>
    <w:rsid w:val="003771C7"/>
    <w:rsid w:val="00377390"/>
    <w:rsid w:val="003778A3"/>
    <w:rsid w:val="00377D42"/>
    <w:rsid w:val="0038174F"/>
    <w:rsid w:val="00382699"/>
    <w:rsid w:val="0038362C"/>
    <w:rsid w:val="0038417F"/>
    <w:rsid w:val="00384272"/>
    <w:rsid w:val="003864BF"/>
    <w:rsid w:val="003868ED"/>
    <w:rsid w:val="00386F40"/>
    <w:rsid w:val="00387750"/>
    <w:rsid w:val="00387E64"/>
    <w:rsid w:val="00390064"/>
    <w:rsid w:val="00390BB3"/>
    <w:rsid w:val="0039141F"/>
    <w:rsid w:val="003917B0"/>
    <w:rsid w:val="00391FFC"/>
    <w:rsid w:val="0039439E"/>
    <w:rsid w:val="00395DAB"/>
    <w:rsid w:val="00396C92"/>
    <w:rsid w:val="00397976"/>
    <w:rsid w:val="00397F88"/>
    <w:rsid w:val="003A2458"/>
    <w:rsid w:val="003A2B6C"/>
    <w:rsid w:val="003A2BF6"/>
    <w:rsid w:val="003A3373"/>
    <w:rsid w:val="003A3E29"/>
    <w:rsid w:val="003A4451"/>
    <w:rsid w:val="003A45FB"/>
    <w:rsid w:val="003A462D"/>
    <w:rsid w:val="003A4F94"/>
    <w:rsid w:val="003A5DDB"/>
    <w:rsid w:val="003A603B"/>
    <w:rsid w:val="003A629A"/>
    <w:rsid w:val="003A62FE"/>
    <w:rsid w:val="003A6F9C"/>
    <w:rsid w:val="003A7281"/>
    <w:rsid w:val="003A7701"/>
    <w:rsid w:val="003B0CB8"/>
    <w:rsid w:val="003B220C"/>
    <w:rsid w:val="003B2EB6"/>
    <w:rsid w:val="003B3E39"/>
    <w:rsid w:val="003B3E65"/>
    <w:rsid w:val="003B4057"/>
    <w:rsid w:val="003B4241"/>
    <w:rsid w:val="003B4482"/>
    <w:rsid w:val="003B46A6"/>
    <w:rsid w:val="003B5AE0"/>
    <w:rsid w:val="003B5BF0"/>
    <w:rsid w:val="003B6992"/>
    <w:rsid w:val="003B7123"/>
    <w:rsid w:val="003B77E3"/>
    <w:rsid w:val="003B7A63"/>
    <w:rsid w:val="003C0030"/>
    <w:rsid w:val="003C06B1"/>
    <w:rsid w:val="003C095B"/>
    <w:rsid w:val="003C0BDE"/>
    <w:rsid w:val="003C0FCE"/>
    <w:rsid w:val="003C1785"/>
    <w:rsid w:val="003C24D8"/>
    <w:rsid w:val="003C2B0E"/>
    <w:rsid w:val="003C33AE"/>
    <w:rsid w:val="003C3687"/>
    <w:rsid w:val="003C3A6B"/>
    <w:rsid w:val="003C3B0E"/>
    <w:rsid w:val="003C5C3D"/>
    <w:rsid w:val="003C6AFF"/>
    <w:rsid w:val="003C7672"/>
    <w:rsid w:val="003C7829"/>
    <w:rsid w:val="003D152C"/>
    <w:rsid w:val="003D1A38"/>
    <w:rsid w:val="003D1AB8"/>
    <w:rsid w:val="003D1BC8"/>
    <w:rsid w:val="003D1D5B"/>
    <w:rsid w:val="003D1ECC"/>
    <w:rsid w:val="003D393A"/>
    <w:rsid w:val="003D3A5C"/>
    <w:rsid w:val="003D3D19"/>
    <w:rsid w:val="003D4224"/>
    <w:rsid w:val="003D5E8F"/>
    <w:rsid w:val="003D62F4"/>
    <w:rsid w:val="003D6B97"/>
    <w:rsid w:val="003D778C"/>
    <w:rsid w:val="003D7AF3"/>
    <w:rsid w:val="003D7E2A"/>
    <w:rsid w:val="003E07EA"/>
    <w:rsid w:val="003E0A52"/>
    <w:rsid w:val="003E2102"/>
    <w:rsid w:val="003E2ACE"/>
    <w:rsid w:val="003E40C9"/>
    <w:rsid w:val="003E5643"/>
    <w:rsid w:val="003E56E7"/>
    <w:rsid w:val="003E6FFF"/>
    <w:rsid w:val="003E703C"/>
    <w:rsid w:val="003F000B"/>
    <w:rsid w:val="003F01D5"/>
    <w:rsid w:val="003F05AD"/>
    <w:rsid w:val="003F05F3"/>
    <w:rsid w:val="003F0667"/>
    <w:rsid w:val="003F0FF4"/>
    <w:rsid w:val="003F25A8"/>
    <w:rsid w:val="003F278A"/>
    <w:rsid w:val="003F43E4"/>
    <w:rsid w:val="003F51E5"/>
    <w:rsid w:val="003F584A"/>
    <w:rsid w:val="003F610F"/>
    <w:rsid w:val="003F6441"/>
    <w:rsid w:val="003F65A7"/>
    <w:rsid w:val="003F6981"/>
    <w:rsid w:val="003F6FBD"/>
    <w:rsid w:val="003F7358"/>
    <w:rsid w:val="003F7629"/>
    <w:rsid w:val="003F793E"/>
    <w:rsid w:val="00402B28"/>
    <w:rsid w:val="0040379B"/>
    <w:rsid w:val="00403E93"/>
    <w:rsid w:val="004047EF"/>
    <w:rsid w:val="00404C4E"/>
    <w:rsid w:val="00404CC7"/>
    <w:rsid w:val="00405B14"/>
    <w:rsid w:val="00406834"/>
    <w:rsid w:val="00406B4C"/>
    <w:rsid w:val="0040737C"/>
    <w:rsid w:val="00407EDD"/>
    <w:rsid w:val="00410063"/>
    <w:rsid w:val="0041043F"/>
    <w:rsid w:val="00410952"/>
    <w:rsid w:val="00410A2B"/>
    <w:rsid w:val="00410CF0"/>
    <w:rsid w:val="00411438"/>
    <w:rsid w:val="00411500"/>
    <w:rsid w:val="00411ED1"/>
    <w:rsid w:val="00411EEE"/>
    <w:rsid w:val="004120B1"/>
    <w:rsid w:val="00412A94"/>
    <w:rsid w:val="0041329A"/>
    <w:rsid w:val="004146F1"/>
    <w:rsid w:val="00414BCC"/>
    <w:rsid w:val="00415936"/>
    <w:rsid w:val="00415F5C"/>
    <w:rsid w:val="004161CF"/>
    <w:rsid w:val="00420724"/>
    <w:rsid w:val="00420BFB"/>
    <w:rsid w:val="004218AC"/>
    <w:rsid w:val="00422A41"/>
    <w:rsid w:val="00422C93"/>
    <w:rsid w:val="00423778"/>
    <w:rsid w:val="004268FD"/>
    <w:rsid w:val="00426BF7"/>
    <w:rsid w:val="0042771C"/>
    <w:rsid w:val="00431883"/>
    <w:rsid w:val="00433092"/>
    <w:rsid w:val="00433473"/>
    <w:rsid w:val="0043406E"/>
    <w:rsid w:val="00436451"/>
    <w:rsid w:val="004365A1"/>
    <w:rsid w:val="0043687C"/>
    <w:rsid w:val="00436891"/>
    <w:rsid w:val="00437142"/>
    <w:rsid w:val="00440876"/>
    <w:rsid w:val="00440BA6"/>
    <w:rsid w:val="00440DDA"/>
    <w:rsid w:val="00441C3D"/>
    <w:rsid w:val="00441D7B"/>
    <w:rsid w:val="00442EBE"/>
    <w:rsid w:val="00443380"/>
    <w:rsid w:val="004433E1"/>
    <w:rsid w:val="00443644"/>
    <w:rsid w:val="004444D0"/>
    <w:rsid w:val="00444BEB"/>
    <w:rsid w:val="004454CA"/>
    <w:rsid w:val="00445671"/>
    <w:rsid w:val="00445A77"/>
    <w:rsid w:val="00445DDA"/>
    <w:rsid w:val="00446B08"/>
    <w:rsid w:val="004472A2"/>
    <w:rsid w:val="00447F3E"/>
    <w:rsid w:val="00450F3A"/>
    <w:rsid w:val="00451400"/>
    <w:rsid w:val="004524F9"/>
    <w:rsid w:val="00453027"/>
    <w:rsid w:val="004536D3"/>
    <w:rsid w:val="004538BB"/>
    <w:rsid w:val="00454834"/>
    <w:rsid w:val="00455920"/>
    <w:rsid w:val="00455AD0"/>
    <w:rsid w:val="00456005"/>
    <w:rsid w:val="00456538"/>
    <w:rsid w:val="00457545"/>
    <w:rsid w:val="00457B3E"/>
    <w:rsid w:val="00457BD8"/>
    <w:rsid w:val="00457C83"/>
    <w:rsid w:val="004604DE"/>
    <w:rsid w:val="004619D3"/>
    <w:rsid w:val="00461CA7"/>
    <w:rsid w:val="004621A1"/>
    <w:rsid w:val="004625CE"/>
    <w:rsid w:val="00462A19"/>
    <w:rsid w:val="0046333F"/>
    <w:rsid w:val="00464A9A"/>
    <w:rsid w:val="00464BF2"/>
    <w:rsid w:val="004650C6"/>
    <w:rsid w:val="004652CD"/>
    <w:rsid w:val="00465D1F"/>
    <w:rsid w:val="004674D6"/>
    <w:rsid w:val="0047025A"/>
    <w:rsid w:val="00471762"/>
    <w:rsid w:val="0047279F"/>
    <w:rsid w:val="00472C2C"/>
    <w:rsid w:val="004767B9"/>
    <w:rsid w:val="00476B93"/>
    <w:rsid w:val="00476D9D"/>
    <w:rsid w:val="00477592"/>
    <w:rsid w:val="00477A2C"/>
    <w:rsid w:val="00477A90"/>
    <w:rsid w:val="00477BBB"/>
    <w:rsid w:val="004802D5"/>
    <w:rsid w:val="00481114"/>
    <w:rsid w:val="0048128C"/>
    <w:rsid w:val="00481ACE"/>
    <w:rsid w:val="00482F45"/>
    <w:rsid w:val="004849E0"/>
    <w:rsid w:val="00484F12"/>
    <w:rsid w:val="00485D93"/>
    <w:rsid w:val="00485E16"/>
    <w:rsid w:val="004901C9"/>
    <w:rsid w:val="0049097D"/>
    <w:rsid w:val="0049177C"/>
    <w:rsid w:val="0049228B"/>
    <w:rsid w:val="004923CD"/>
    <w:rsid w:val="004941C2"/>
    <w:rsid w:val="004954F7"/>
    <w:rsid w:val="00496C11"/>
    <w:rsid w:val="00497B0D"/>
    <w:rsid w:val="004A18DF"/>
    <w:rsid w:val="004A196C"/>
    <w:rsid w:val="004A1C14"/>
    <w:rsid w:val="004A3005"/>
    <w:rsid w:val="004A4F47"/>
    <w:rsid w:val="004A54EE"/>
    <w:rsid w:val="004A5834"/>
    <w:rsid w:val="004A68FD"/>
    <w:rsid w:val="004A7BBF"/>
    <w:rsid w:val="004B0B4E"/>
    <w:rsid w:val="004B17C6"/>
    <w:rsid w:val="004B182E"/>
    <w:rsid w:val="004B1A7B"/>
    <w:rsid w:val="004B3323"/>
    <w:rsid w:val="004B533D"/>
    <w:rsid w:val="004B6159"/>
    <w:rsid w:val="004B6447"/>
    <w:rsid w:val="004B7B18"/>
    <w:rsid w:val="004C0560"/>
    <w:rsid w:val="004C0797"/>
    <w:rsid w:val="004C3365"/>
    <w:rsid w:val="004C36CB"/>
    <w:rsid w:val="004C36F7"/>
    <w:rsid w:val="004C52F0"/>
    <w:rsid w:val="004C68B7"/>
    <w:rsid w:val="004C77FE"/>
    <w:rsid w:val="004D1C74"/>
    <w:rsid w:val="004D1F22"/>
    <w:rsid w:val="004D2791"/>
    <w:rsid w:val="004D2A87"/>
    <w:rsid w:val="004D4013"/>
    <w:rsid w:val="004D60B6"/>
    <w:rsid w:val="004D6CC1"/>
    <w:rsid w:val="004D785B"/>
    <w:rsid w:val="004E0001"/>
    <w:rsid w:val="004E2792"/>
    <w:rsid w:val="004E2A92"/>
    <w:rsid w:val="004E2B7C"/>
    <w:rsid w:val="004E3E84"/>
    <w:rsid w:val="004E4D4B"/>
    <w:rsid w:val="004E5834"/>
    <w:rsid w:val="004E5AA5"/>
    <w:rsid w:val="004E6799"/>
    <w:rsid w:val="004E7515"/>
    <w:rsid w:val="004E7D42"/>
    <w:rsid w:val="004F02F2"/>
    <w:rsid w:val="004F1623"/>
    <w:rsid w:val="004F3265"/>
    <w:rsid w:val="004F345B"/>
    <w:rsid w:val="004F44F8"/>
    <w:rsid w:val="004F56B7"/>
    <w:rsid w:val="004F5CA6"/>
    <w:rsid w:val="004F5FFC"/>
    <w:rsid w:val="004F64F7"/>
    <w:rsid w:val="004F6D36"/>
    <w:rsid w:val="004F7380"/>
    <w:rsid w:val="004F7C96"/>
    <w:rsid w:val="004F7EB7"/>
    <w:rsid w:val="00500929"/>
    <w:rsid w:val="00500E9B"/>
    <w:rsid w:val="00500F7A"/>
    <w:rsid w:val="00501A24"/>
    <w:rsid w:val="005022F7"/>
    <w:rsid w:val="0050261B"/>
    <w:rsid w:val="0050367A"/>
    <w:rsid w:val="0050367C"/>
    <w:rsid w:val="0050439A"/>
    <w:rsid w:val="005048E7"/>
    <w:rsid w:val="005066DA"/>
    <w:rsid w:val="00506C05"/>
    <w:rsid w:val="00510001"/>
    <w:rsid w:val="0051049D"/>
    <w:rsid w:val="00510C5B"/>
    <w:rsid w:val="00510E74"/>
    <w:rsid w:val="005111D7"/>
    <w:rsid w:val="005133C9"/>
    <w:rsid w:val="0051368F"/>
    <w:rsid w:val="005142E1"/>
    <w:rsid w:val="005149AF"/>
    <w:rsid w:val="00514BDD"/>
    <w:rsid w:val="005153C5"/>
    <w:rsid w:val="00515B26"/>
    <w:rsid w:val="00515D0D"/>
    <w:rsid w:val="0051772C"/>
    <w:rsid w:val="00521CE8"/>
    <w:rsid w:val="00521F04"/>
    <w:rsid w:val="00523EF6"/>
    <w:rsid w:val="005242E3"/>
    <w:rsid w:val="00525905"/>
    <w:rsid w:val="005262F9"/>
    <w:rsid w:val="00527E78"/>
    <w:rsid w:val="00530825"/>
    <w:rsid w:val="00531D5E"/>
    <w:rsid w:val="00532F57"/>
    <w:rsid w:val="005335B6"/>
    <w:rsid w:val="005338E3"/>
    <w:rsid w:val="00536F80"/>
    <w:rsid w:val="005405AD"/>
    <w:rsid w:val="005425A9"/>
    <w:rsid w:val="00542FE1"/>
    <w:rsid w:val="00543792"/>
    <w:rsid w:val="00545172"/>
    <w:rsid w:val="005455FF"/>
    <w:rsid w:val="0054596A"/>
    <w:rsid w:val="00546C16"/>
    <w:rsid w:val="0054701F"/>
    <w:rsid w:val="00550A6B"/>
    <w:rsid w:val="00553564"/>
    <w:rsid w:val="005538D3"/>
    <w:rsid w:val="005561EF"/>
    <w:rsid w:val="005565F5"/>
    <w:rsid w:val="00557504"/>
    <w:rsid w:val="00560C37"/>
    <w:rsid w:val="00561BCD"/>
    <w:rsid w:val="005625B8"/>
    <w:rsid w:val="00562C63"/>
    <w:rsid w:val="005645E1"/>
    <w:rsid w:val="00564B35"/>
    <w:rsid w:val="0056539E"/>
    <w:rsid w:val="0056575C"/>
    <w:rsid w:val="005659C5"/>
    <w:rsid w:val="00566914"/>
    <w:rsid w:val="0056701E"/>
    <w:rsid w:val="00567C71"/>
    <w:rsid w:val="0057042F"/>
    <w:rsid w:val="00570DA8"/>
    <w:rsid w:val="0057102A"/>
    <w:rsid w:val="00571229"/>
    <w:rsid w:val="00571381"/>
    <w:rsid w:val="00571566"/>
    <w:rsid w:val="00571D59"/>
    <w:rsid w:val="005723C6"/>
    <w:rsid w:val="005725C2"/>
    <w:rsid w:val="00574EEF"/>
    <w:rsid w:val="005753E3"/>
    <w:rsid w:val="00575BCE"/>
    <w:rsid w:val="00576059"/>
    <w:rsid w:val="005773AF"/>
    <w:rsid w:val="00577BF0"/>
    <w:rsid w:val="00577E51"/>
    <w:rsid w:val="00581B01"/>
    <w:rsid w:val="00581C0B"/>
    <w:rsid w:val="00581CB5"/>
    <w:rsid w:val="00582135"/>
    <w:rsid w:val="00582247"/>
    <w:rsid w:val="005831BF"/>
    <w:rsid w:val="00583CD6"/>
    <w:rsid w:val="00583F7F"/>
    <w:rsid w:val="00584BDA"/>
    <w:rsid w:val="00585F21"/>
    <w:rsid w:val="00586887"/>
    <w:rsid w:val="00586DE1"/>
    <w:rsid w:val="005872E9"/>
    <w:rsid w:val="00587A15"/>
    <w:rsid w:val="00590013"/>
    <w:rsid w:val="0059095D"/>
    <w:rsid w:val="0059192A"/>
    <w:rsid w:val="00591CFD"/>
    <w:rsid w:val="00593C3A"/>
    <w:rsid w:val="00594765"/>
    <w:rsid w:val="00595160"/>
    <w:rsid w:val="00595B2F"/>
    <w:rsid w:val="005963A1"/>
    <w:rsid w:val="00596853"/>
    <w:rsid w:val="00597FBA"/>
    <w:rsid w:val="005A243E"/>
    <w:rsid w:val="005A288C"/>
    <w:rsid w:val="005A44A1"/>
    <w:rsid w:val="005A4702"/>
    <w:rsid w:val="005A49A7"/>
    <w:rsid w:val="005A4C3E"/>
    <w:rsid w:val="005A526D"/>
    <w:rsid w:val="005A5521"/>
    <w:rsid w:val="005A5AB0"/>
    <w:rsid w:val="005A61E0"/>
    <w:rsid w:val="005A65E2"/>
    <w:rsid w:val="005A66D6"/>
    <w:rsid w:val="005A7A40"/>
    <w:rsid w:val="005B0D56"/>
    <w:rsid w:val="005B114C"/>
    <w:rsid w:val="005B1D19"/>
    <w:rsid w:val="005B31F5"/>
    <w:rsid w:val="005B36D2"/>
    <w:rsid w:val="005B3707"/>
    <w:rsid w:val="005B578B"/>
    <w:rsid w:val="005B70A8"/>
    <w:rsid w:val="005B7D99"/>
    <w:rsid w:val="005C0DEA"/>
    <w:rsid w:val="005C1161"/>
    <w:rsid w:val="005C170C"/>
    <w:rsid w:val="005C17AC"/>
    <w:rsid w:val="005C17B3"/>
    <w:rsid w:val="005C2244"/>
    <w:rsid w:val="005C36F7"/>
    <w:rsid w:val="005C4195"/>
    <w:rsid w:val="005C42CD"/>
    <w:rsid w:val="005C4618"/>
    <w:rsid w:val="005C461B"/>
    <w:rsid w:val="005C46E4"/>
    <w:rsid w:val="005C479F"/>
    <w:rsid w:val="005C48D4"/>
    <w:rsid w:val="005C5BC6"/>
    <w:rsid w:val="005C628F"/>
    <w:rsid w:val="005C6376"/>
    <w:rsid w:val="005C65A4"/>
    <w:rsid w:val="005C68F0"/>
    <w:rsid w:val="005C7895"/>
    <w:rsid w:val="005C78A2"/>
    <w:rsid w:val="005C7C4A"/>
    <w:rsid w:val="005C7CC1"/>
    <w:rsid w:val="005D0326"/>
    <w:rsid w:val="005D07F1"/>
    <w:rsid w:val="005D100B"/>
    <w:rsid w:val="005D1E81"/>
    <w:rsid w:val="005D20B2"/>
    <w:rsid w:val="005D2108"/>
    <w:rsid w:val="005D21F5"/>
    <w:rsid w:val="005D3D03"/>
    <w:rsid w:val="005D43DE"/>
    <w:rsid w:val="005D48C6"/>
    <w:rsid w:val="005D4943"/>
    <w:rsid w:val="005D79C8"/>
    <w:rsid w:val="005E0B3A"/>
    <w:rsid w:val="005E1F5F"/>
    <w:rsid w:val="005E2B4C"/>
    <w:rsid w:val="005E4E5D"/>
    <w:rsid w:val="005E7CEB"/>
    <w:rsid w:val="005E7CEF"/>
    <w:rsid w:val="005F0774"/>
    <w:rsid w:val="005F153E"/>
    <w:rsid w:val="005F1DC1"/>
    <w:rsid w:val="005F26EF"/>
    <w:rsid w:val="005F34AC"/>
    <w:rsid w:val="005F4354"/>
    <w:rsid w:val="005F51BD"/>
    <w:rsid w:val="005F610E"/>
    <w:rsid w:val="005F64A8"/>
    <w:rsid w:val="005F67B0"/>
    <w:rsid w:val="005F77E8"/>
    <w:rsid w:val="005F7F32"/>
    <w:rsid w:val="00601265"/>
    <w:rsid w:val="00601B0E"/>
    <w:rsid w:val="006029A9"/>
    <w:rsid w:val="00604430"/>
    <w:rsid w:val="00605DCE"/>
    <w:rsid w:val="006061F6"/>
    <w:rsid w:val="00606506"/>
    <w:rsid w:val="00606DC2"/>
    <w:rsid w:val="00606EA0"/>
    <w:rsid w:val="00606EC1"/>
    <w:rsid w:val="006072D5"/>
    <w:rsid w:val="006072EA"/>
    <w:rsid w:val="00607F79"/>
    <w:rsid w:val="0061046E"/>
    <w:rsid w:val="006108EA"/>
    <w:rsid w:val="00611194"/>
    <w:rsid w:val="00611327"/>
    <w:rsid w:val="00611873"/>
    <w:rsid w:val="00612E07"/>
    <w:rsid w:val="006136AA"/>
    <w:rsid w:val="00613CD3"/>
    <w:rsid w:val="00613CF6"/>
    <w:rsid w:val="0061498D"/>
    <w:rsid w:val="00614AE7"/>
    <w:rsid w:val="00614C01"/>
    <w:rsid w:val="00614FB3"/>
    <w:rsid w:val="0061509A"/>
    <w:rsid w:val="0061599F"/>
    <w:rsid w:val="0062031F"/>
    <w:rsid w:val="00620CD0"/>
    <w:rsid w:val="00621320"/>
    <w:rsid w:val="00621382"/>
    <w:rsid w:val="00621558"/>
    <w:rsid w:val="0062473A"/>
    <w:rsid w:val="00624CC0"/>
    <w:rsid w:val="00625912"/>
    <w:rsid w:val="00626433"/>
    <w:rsid w:val="00626576"/>
    <w:rsid w:val="00626922"/>
    <w:rsid w:val="00626DBC"/>
    <w:rsid w:val="00627528"/>
    <w:rsid w:val="00630795"/>
    <w:rsid w:val="00630A4B"/>
    <w:rsid w:val="00630F38"/>
    <w:rsid w:val="006315CC"/>
    <w:rsid w:val="00631AE5"/>
    <w:rsid w:val="00631CBF"/>
    <w:rsid w:val="00632196"/>
    <w:rsid w:val="0063238D"/>
    <w:rsid w:val="00633730"/>
    <w:rsid w:val="0063421C"/>
    <w:rsid w:val="00635090"/>
    <w:rsid w:val="00635AB0"/>
    <w:rsid w:val="00636136"/>
    <w:rsid w:val="006369F2"/>
    <w:rsid w:val="00636B66"/>
    <w:rsid w:val="00637000"/>
    <w:rsid w:val="00637118"/>
    <w:rsid w:val="0063768F"/>
    <w:rsid w:val="00642D3D"/>
    <w:rsid w:val="006433BD"/>
    <w:rsid w:val="006434F1"/>
    <w:rsid w:val="006438BB"/>
    <w:rsid w:val="006438EE"/>
    <w:rsid w:val="006440AF"/>
    <w:rsid w:val="00644D38"/>
    <w:rsid w:val="00645C09"/>
    <w:rsid w:val="00647AC7"/>
    <w:rsid w:val="006502B7"/>
    <w:rsid w:val="0065101D"/>
    <w:rsid w:val="006512CC"/>
    <w:rsid w:val="00651832"/>
    <w:rsid w:val="00651885"/>
    <w:rsid w:val="006534F5"/>
    <w:rsid w:val="00653E59"/>
    <w:rsid w:val="00654410"/>
    <w:rsid w:val="00654C03"/>
    <w:rsid w:val="006550CE"/>
    <w:rsid w:val="006562FA"/>
    <w:rsid w:val="00657077"/>
    <w:rsid w:val="006579D3"/>
    <w:rsid w:val="00657E7C"/>
    <w:rsid w:val="0066109A"/>
    <w:rsid w:val="00661186"/>
    <w:rsid w:val="0066147F"/>
    <w:rsid w:val="00662397"/>
    <w:rsid w:val="00662BBA"/>
    <w:rsid w:val="00662BF8"/>
    <w:rsid w:val="00663810"/>
    <w:rsid w:val="0066522D"/>
    <w:rsid w:val="0066566C"/>
    <w:rsid w:val="00665A97"/>
    <w:rsid w:val="006665C5"/>
    <w:rsid w:val="00671F15"/>
    <w:rsid w:val="00672700"/>
    <w:rsid w:val="00672997"/>
    <w:rsid w:val="00672A26"/>
    <w:rsid w:val="006746CA"/>
    <w:rsid w:val="00674CF8"/>
    <w:rsid w:val="00674E82"/>
    <w:rsid w:val="00675C3C"/>
    <w:rsid w:val="00680839"/>
    <w:rsid w:val="00680C49"/>
    <w:rsid w:val="0068132F"/>
    <w:rsid w:val="006815B3"/>
    <w:rsid w:val="00681FF3"/>
    <w:rsid w:val="00682451"/>
    <w:rsid w:val="00683139"/>
    <w:rsid w:val="00683E12"/>
    <w:rsid w:val="00684A9B"/>
    <w:rsid w:val="00684AA8"/>
    <w:rsid w:val="00684C25"/>
    <w:rsid w:val="006855FF"/>
    <w:rsid w:val="006856EE"/>
    <w:rsid w:val="006860DB"/>
    <w:rsid w:val="00690507"/>
    <w:rsid w:val="00690F70"/>
    <w:rsid w:val="006910AB"/>
    <w:rsid w:val="00691236"/>
    <w:rsid w:val="006912B6"/>
    <w:rsid w:val="0069365C"/>
    <w:rsid w:val="006940D8"/>
    <w:rsid w:val="006943CD"/>
    <w:rsid w:val="00694C9C"/>
    <w:rsid w:val="00694DD7"/>
    <w:rsid w:val="00696758"/>
    <w:rsid w:val="006971C6"/>
    <w:rsid w:val="006975ED"/>
    <w:rsid w:val="00697C3D"/>
    <w:rsid w:val="006A07B7"/>
    <w:rsid w:val="006A0D9E"/>
    <w:rsid w:val="006A3C57"/>
    <w:rsid w:val="006A48E1"/>
    <w:rsid w:val="006A5DF6"/>
    <w:rsid w:val="006A5E2A"/>
    <w:rsid w:val="006A5FCD"/>
    <w:rsid w:val="006A6C22"/>
    <w:rsid w:val="006A6CDC"/>
    <w:rsid w:val="006A700F"/>
    <w:rsid w:val="006B001A"/>
    <w:rsid w:val="006B01C8"/>
    <w:rsid w:val="006B027E"/>
    <w:rsid w:val="006B0678"/>
    <w:rsid w:val="006B1655"/>
    <w:rsid w:val="006B1D23"/>
    <w:rsid w:val="006B1D84"/>
    <w:rsid w:val="006B2A4B"/>
    <w:rsid w:val="006B306D"/>
    <w:rsid w:val="006B420D"/>
    <w:rsid w:val="006B55BE"/>
    <w:rsid w:val="006B6354"/>
    <w:rsid w:val="006B6420"/>
    <w:rsid w:val="006B7083"/>
    <w:rsid w:val="006B773D"/>
    <w:rsid w:val="006B780D"/>
    <w:rsid w:val="006B7D5F"/>
    <w:rsid w:val="006C05D6"/>
    <w:rsid w:val="006C11BB"/>
    <w:rsid w:val="006C1E06"/>
    <w:rsid w:val="006C252B"/>
    <w:rsid w:val="006C415F"/>
    <w:rsid w:val="006C4478"/>
    <w:rsid w:val="006C44F6"/>
    <w:rsid w:val="006C5A81"/>
    <w:rsid w:val="006C684E"/>
    <w:rsid w:val="006C69D9"/>
    <w:rsid w:val="006C6A77"/>
    <w:rsid w:val="006C6AFC"/>
    <w:rsid w:val="006C7137"/>
    <w:rsid w:val="006D2781"/>
    <w:rsid w:val="006D3E64"/>
    <w:rsid w:val="006D493C"/>
    <w:rsid w:val="006D497D"/>
    <w:rsid w:val="006D5556"/>
    <w:rsid w:val="006D5BB2"/>
    <w:rsid w:val="006D6283"/>
    <w:rsid w:val="006E2B73"/>
    <w:rsid w:val="006E2D8D"/>
    <w:rsid w:val="006E381D"/>
    <w:rsid w:val="006E401F"/>
    <w:rsid w:val="006E4B6E"/>
    <w:rsid w:val="006E509E"/>
    <w:rsid w:val="006E6031"/>
    <w:rsid w:val="006E6538"/>
    <w:rsid w:val="006F12A9"/>
    <w:rsid w:val="006F2BF5"/>
    <w:rsid w:val="006F51CD"/>
    <w:rsid w:val="006F51D9"/>
    <w:rsid w:val="006F5DBF"/>
    <w:rsid w:val="006F6519"/>
    <w:rsid w:val="006F6F26"/>
    <w:rsid w:val="00700027"/>
    <w:rsid w:val="0070031B"/>
    <w:rsid w:val="007011DC"/>
    <w:rsid w:val="007056DA"/>
    <w:rsid w:val="0070692D"/>
    <w:rsid w:val="00706CCA"/>
    <w:rsid w:val="00706D92"/>
    <w:rsid w:val="00706F37"/>
    <w:rsid w:val="00707003"/>
    <w:rsid w:val="00710BAF"/>
    <w:rsid w:val="0071103C"/>
    <w:rsid w:val="00712C0A"/>
    <w:rsid w:val="007136C2"/>
    <w:rsid w:val="0071541C"/>
    <w:rsid w:val="00715DAC"/>
    <w:rsid w:val="007163CE"/>
    <w:rsid w:val="0071667F"/>
    <w:rsid w:val="00717E7C"/>
    <w:rsid w:val="00720058"/>
    <w:rsid w:val="007201D4"/>
    <w:rsid w:val="00720642"/>
    <w:rsid w:val="00720D74"/>
    <w:rsid w:val="00721836"/>
    <w:rsid w:val="00721BFC"/>
    <w:rsid w:val="0072239A"/>
    <w:rsid w:val="00722C0A"/>
    <w:rsid w:val="007243F0"/>
    <w:rsid w:val="00725167"/>
    <w:rsid w:val="007253D3"/>
    <w:rsid w:val="00725705"/>
    <w:rsid w:val="00726D7C"/>
    <w:rsid w:val="007276AA"/>
    <w:rsid w:val="0073109B"/>
    <w:rsid w:val="00731996"/>
    <w:rsid w:val="00731D99"/>
    <w:rsid w:val="00734046"/>
    <w:rsid w:val="0073476E"/>
    <w:rsid w:val="007349F5"/>
    <w:rsid w:val="007358A7"/>
    <w:rsid w:val="00735933"/>
    <w:rsid w:val="007366F6"/>
    <w:rsid w:val="00740701"/>
    <w:rsid w:val="00740F06"/>
    <w:rsid w:val="00743AC9"/>
    <w:rsid w:val="00743B9A"/>
    <w:rsid w:val="00744CAF"/>
    <w:rsid w:val="007458ED"/>
    <w:rsid w:val="00746F95"/>
    <w:rsid w:val="00747D71"/>
    <w:rsid w:val="00747F6A"/>
    <w:rsid w:val="00751FBA"/>
    <w:rsid w:val="0075240B"/>
    <w:rsid w:val="0075529D"/>
    <w:rsid w:val="007573C1"/>
    <w:rsid w:val="00757931"/>
    <w:rsid w:val="00760342"/>
    <w:rsid w:val="00760426"/>
    <w:rsid w:val="00761579"/>
    <w:rsid w:val="007617B6"/>
    <w:rsid w:val="00761C3F"/>
    <w:rsid w:val="00762957"/>
    <w:rsid w:val="00762E26"/>
    <w:rsid w:val="00763CE8"/>
    <w:rsid w:val="0076466E"/>
    <w:rsid w:val="0076486F"/>
    <w:rsid w:val="00764F3E"/>
    <w:rsid w:val="007653BB"/>
    <w:rsid w:val="00765739"/>
    <w:rsid w:val="00765A16"/>
    <w:rsid w:val="00766678"/>
    <w:rsid w:val="007668B6"/>
    <w:rsid w:val="00767207"/>
    <w:rsid w:val="007672E7"/>
    <w:rsid w:val="00767D05"/>
    <w:rsid w:val="00772AC3"/>
    <w:rsid w:val="00772D7E"/>
    <w:rsid w:val="00773F32"/>
    <w:rsid w:val="007753E7"/>
    <w:rsid w:val="00776BB2"/>
    <w:rsid w:val="00780298"/>
    <w:rsid w:val="00780CC3"/>
    <w:rsid w:val="00780DE8"/>
    <w:rsid w:val="00781768"/>
    <w:rsid w:val="00781C98"/>
    <w:rsid w:val="00782F7D"/>
    <w:rsid w:val="0078303D"/>
    <w:rsid w:val="007830D3"/>
    <w:rsid w:val="0078369F"/>
    <w:rsid w:val="007837DE"/>
    <w:rsid w:val="0078449C"/>
    <w:rsid w:val="00785284"/>
    <w:rsid w:val="00785BEC"/>
    <w:rsid w:val="00785C95"/>
    <w:rsid w:val="00787252"/>
    <w:rsid w:val="007873C1"/>
    <w:rsid w:val="007879C0"/>
    <w:rsid w:val="00790656"/>
    <w:rsid w:val="007911E9"/>
    <w:rsid w:val="007918CA"/>
    <w:rsid w:val="0079257B"/>
    <w:rsid w:val="00792882"/>
    <w:rsid w:val="00792C5E"/>
    <w:rsid w:val="00793E3C"/>
    <w:rsid w:val="00795303"/>
    <w:rsid w:val="007953D5"/>
    <w:rsid w:val="0079576F"/>
    <w:rsid w:val="007960BF"/>
    <w:rsid w:val="00796570"/>
    <w:rsid w:val="007975D9"/>
    <w:rsid w:val="00797BD2"/>
    <w:rsid w:val="00797ECB"/>
    <w:rsid w:val="007A0264"/>
    <w:rsid w:val="007A08D9"/>
    <w:rsid w:val="007A0DCA"/>
    <w:rsid w:val="007A13EC"/>
    <w:rsid w:val="007A1940"/>
    <w:rsid w:val="007A1E1A"/>
    <w:rsid w:val="007A22D7"/>
    <w:rsid w:val="007A32A8"/>
    <w:rsid w:val="007A36C3"/>
    <w:rsid w:val="007A3BB4"/>
    <w:rsid w:val="007A42F2"/>
    <w:rsid w:val="007A576D"/>
    <w:rsid w:val="007A590F"/>
    <w:rsid w:val="007A5C49"/>
    <w:rsid w:val="007B068B"/>
    <w:rsid w:val="007B136E"/>
    <w:rsid w:val="007B14D6"/>
    <w:rsid w:val="007B1542"/>
    <w:rsid w:val="007B19E3"/>
    <w:rsid w:val="007B1D66"/>
    <w:rsid w:val="007B1DF0"/>
    <w:rsid w:val="007B247C"/>
    <w:rsid w:val="007B331E"/>
    <w:rsid w:val="007B5A98"/>
    <w:rsid w:val="007B68D8"/>
    <w:rsid w:val="007B6B17"/>
    <w:rsid w:val="007B710E"/>
    <w:rsid w:val="007B7678"/>
    <w:rsid w:val="007B767A"/>
    <w:rsid w:val="007B779C"/>
    <w:rsid w:val="007B7869"/>
    <w:rsid w:val="007C0CEA"/>
    <w:rsid w:val="007C196A"/>
    <w:rsid w:val="007C337C"/>
    <w:rsid w:val="007C379F"/>
    <w:rsid w:val="007C3F60"/>
    <w:rsid w:val="007C4142"/>
    <w:rsid w:val="007C454A"/>
    <w:rsid w:val="007C45EA"/>
    <w:rsid w:val="007C6571"/>
    <w:rsid w:val="007C7202"/>
    <w:rsid w:val="007D0538"/>
    <w:rsid w:val="007D0B9D"/>
    <w:rsid w:val="007D12A3"/>
    <w:rsid w:val="007D1C09"/>
    <w:rsid w:val="007D2367"/>
    <w:rsid w:val="007D28E4"/>
    <w:rsid w:val="007D34AB"/>
    <w:rsid w:val="007D458C"/>
    <w:rsid w:val="007D5170"/>
    <w:rsid w:val="007D5A43"/>
    <w:rsid w:val="007D5AE7"/>
    <w:rsid w:val="007D65A6"/>
    <w:rsid w:val="007D671C"/>
    <w:rsid w:val="007D6B3A"/>
    <w:rsid w:val="007D71E2"/>
    <w:rsid w:val="007D796C"/>
    <w:rsid w:val="007D7CA7"/>
    <w:rsid w:val="007E06C8"/>
    <w:rsid w:val="007E25A1"/>
    <w:rsid w:val="007E3392"/>
    <w:rsid w:val="007E3B53"/>
    <w:rsid w:val="007E3DA2"/>
    <w:rsid w:val="007E65DF"/>
    <w:rsid w:val="007E6B67"/>
    <w:rsid w:val="007F042A"/>
    <w:rsid w:val="007F1CA7"/>
    <w:rsid w:val="007F1DC7"/>
    <w:rsid w:val="007F21AD"/>
    <w:rsid w:val="007F2456"/>
    <w:rsid w:val="007F2A6F"/>
    <w:rsid w:val="007F2AA2"/>
    <w:rsid w:val="007F3A3C"/>
    <w:rsid w:val="007F57D9"/>
    <w:rsid w:val="007F5822"/>
    <w:rsid w:val="007F58A1"/>
    <w:rsid w:val="007F60ED"/>
    <w:rsid w:val="007F6C40"/>
    <w:rsid w:val="007F716D"/>
    <w:rsid w:val="00802062"/>
    <w:rsid w:val="00803404"/>
    <w:rsid w:val="00803F86"/>
    <w:rsid w:val="0080439B"/>
    <w:rsid w:val="00805446"/>
    <w:rsid w:val="00805CB4"/>
    <w:rsid w:val="008064A2"/>
    <w:rsid w:val="00806A59"/>
    <w:rsid w:val="00807755"/>
    <w:rsid w:val="00807FFD"/>
    <w:rsid w:val="00811950"/>
    <w:rsid w:val="00811BFA"/>
    <w:rsid w:val="0081227F"/>
    <w:rsid w:val="00812516"/>
    <w:rsid w:val="00812B11"/>
    <w:rsid w:val="0081357E"/>
    <w:rsid w:val="00813DBA"/>
    <w:rsid w:val="00814D25"/>
    <w:rsid w:val="008151DB"/>
    <w:rsid w:val="0081647F"/>
    <w:rsid w:val="00816E01"/>
    <w:rsid w:val="00816F99"/>
    <w:rsid w:val="00816FAC"/>
    <w:rsid w:val="008177AC"/>
    <w:rsid w:val="00817E2B"/>
    <w:rsid w:val="00820DA2"/>
    <w:rsid w:val="0082139D"/>
    <w:rsid w:val="008217CA"/>
    <w:rsid w:val="00822085"/>
    <w:rsid w:val="008220CE"/>
    <w:rsid w:val="00822357"/>
    <w:rsid w:val="008235EB"/>
    <w:rsid w:val="00823F39"/>
    <w:rsid w:val="0082469D"/>
    <w:rsid w:val="00825285"/>
    <w:rsid w:val="00825428"/>
    <w:rsid w:val="00826D18"/>
    <w:rsid w:val="00827FAE"/>
    <w:rsid w:val="00830EF4"/>
    <w:rsid w:val="00832A9A"/>
    <w:rsid w:val="00833446"/>
    <w:rsid w:val="00833819"/>
    <w:rsid w:val="0083404B"/>
    <w:rsid w:val="0083412D"/>
    <w:rsid w:val="008353AD"/>
    <w:rsid w:val="008356AB"/>
    <w:rsid w:val="00835B7D"/>
    <w:rsid w:val="00837335"/>
    <w:rsid w:val="00840CCB"/>
    <w:rsid w:val="008426CA"/>
    <w:rsid w:val="0084379C"/>
    <w:rsid w:val="008439FD"/>
    <w:rsid w:val="0084493D"/>
    <w:rsid w:val="00845ABF"/>
    <w:rsid w:val="00845EF7"/>
    <w:rsid w:val="00846B0F"/>
    <w:rsid w:val="008470F8"/>
    <w:rsid w:val="00847763"/>
    <w:rsid w:val="00850136"/>
    <w:rsid w:val="008511A9"/>
    <w:rsid w:val="0085194A"/>
    <w:rsid w:val="00852A9F"/>
    <w:rsid w:val="00853153"/>
    <w:rsid w:val="00854105"/>
    <w:rsid w:val="00854C95"/>
    <w:rsid w:val="00854E21"/>
    <w:rsid w:val="00854FAD"/>
    <w:rsid w:val="008553C3"/>
    <w:rsid w:val="0085695A"/>
    <w:rsid w:val="0085751C"/>
    <w:rsid w:val="00857B31"/>
    <w:rsid w:val="00860F16"/>
    <w:rsid w:val="00861751"/>
    <w:rsid w:val="00862803"/>
    <w:rsid w:val="00862A3E"/>
    <w:rsid w:val="00862B23"/>
    <w:rsid w:val="0086345F"/>
    <w:rsid w:val="00863656"/>
    <w:rsid w:val="0086380C"/>
    <w:rsid w:val="00863D7E"/>
    <w:rsid w:val="00863EF3"/>
    <w:rsid w:val="00863FD7"/>
    <w:rsid w:val="00864344"/>
    <w:rsid w:val="008656AE"/>
    <w:rsid w:val="00866749"/>
    <w:rsid w:val="00866C59"/>
    <w:rsid w:val="00867617"/>
    <w:rsid w:val="00867DB6"/>
    <w:rsid w:val="00867EFD"/>
    <w:rsid w:val="008701EA"/>
    <w:rsid w:val="0087275C"/>
    <w:rsid w:val="00872B7C"/>
    <w:rsid w:val="00874956"/>
    <w:rsid w:val="00875846"/>
    <w:rsid w:val="00876906"/>
    <w:rsid w:val="00876C74"/>
    <w:rsid w:val="00876C7D"/>
    <w:rsid w:val="008776FD"/>
    <w:rsid w:val="008807C9"/>
    <w:rsid w:val="00880C3B"/>
    <w:rsid w:val="00880D9C"/>
    <w:rsid w:val="00882145"/>
    <w:rsid w:val="0088281D"/>
    <w:rsid w:val="00883E42"/>
    <w:rsid w:val="0088400D"/>
    <w:rsid w:val="008845CA"/>
    <w:rsid w:val="008847F4"/>
    <w:rsid w:val="00884A8F"/>
    <w:rsid w:val="008853E0"/>
    <w:rsid w:val="00887A60"/>
    <w:rsid w:val="00887E8A"/>
    <w:rsid w:val="00887FC8"/>
    <w:rsid w:val="00891497"/>
    <w:rsid w:val="00892148"/>
    <w:rsid w:val="008933EB"/>
    <w:rsid w:val="008936B8"/>
    <w:rsid w:val="008947C8"/>
    <w:rsid w:val="00896B15"/>
    <w:rsid w:val="00896E0E"/>
    <w:rsid w:val="008A1132"/>
    <w:rsid w:val="008A1EBB"/>
    <w:rsid w:val="008A207F"/>
    <w:rsid w:val="008A2F24"/>
    <w:rsid w:val="008A428F"/>
    <w:rsid w:val="008A4638"/>
    <w:rsid w:val="008A4ED7"/>
    <w:rsid w:val="008A51A2"/>
    <w:rsid w:val="008A5774"/>
    <w:rsid w:val="008A5D68"/>
    <w:rsid w:val="008A5EC8"/>
    <w:rsid w:val="008A5F73"/>
    <w:rsid w:val="008A62BC"/>
    <w:rsid w:val="008A6B42"/>
    <w:rsid w:val="008A6C31"/>
    <w:rsid w:val="008A6F4C"/>
    <w:rsid w:val="008A6F7F"/>
    <w:rsid w:val="008B10C5"/>
    <w:rsid w:val="008B216D"/>
    <w:rsid w:val="008B2FD5"/>
    <w:rsid w:val="008B3D5A"/>
    <w:rsid w:val="008B457B"/>
    <w:rsid w:val="008B4847"/>
    <w:rsid w:val="008B50F6"/>
    <w:rsid w:val="008B5295"/>
    <w:rsid w:val="008B60BC"/>
    <w:rsid w:val="008C0815"/>
    <w:rsid w:val="008C1455"/>
    <w:rsid w:val="008C1BC3"/>
    <w:rsid w:val="008C23F0"/>
    <w:rsid w:val="008C3DED"/>
    <w:rsid w:val="008C40AE"/>
    <w:rsid w:val="008C59A1"/>
    <w:rsid w:val="008C605A"/>
    <w:rsid w:val="008C6C0A"/>
    <w:rsid w:val="008C6F1D"/>
    <w:rsid w:val="008C7693"/>
    <w:rsid w:val="008D0660"/>
    <w:rsid w:val="008D0AE5"/>
    <w:rsid w:val="008D2234"/>
    <w:rsid w:val="008D3424"/>
    <w:rsid w:val="008D374F"/>
    <w:rsid w:val="008D37EE"/>
    <w:rsid w:val="008D4128"/>
    <w:rsid w:val="008D474A"/>
    <w:rsid w:val="008D476B"/>
    <w:rsid w:val="008D7191"/>
    <w:rsid w:val="008D7B4E"/>
    <w:rsid w:val="008D7DD8"/>
    <w:rsid w:val="008E20EB"/>
    <w:rsid w:val="008E2AE7"/>
    <w:rsid w:val="008E3028"/>
    <w:rsid w:val="008E326F"/>
    <w:rsid w:val="008E3282"/>
    <w:rsid w:val="008E4D40"/>
    <w:rsid w:val="008E4F11"/>
    <w:rsid w:val="008F04A8"/>
    <w:rsid w:val="008F0B60"/>
    <w:rsid w:val="008F0FBE"/>
    <w:rsid w:val="008F2C8A"/>
    <w:rsid w:val="008F5E51"/>
    <w:rsid w:val="008F6DCD"/>
    <w:rsid w:val="008F74E6"/>
    <w:rsid w:val="00900694"/>
    <w:rsid w:val="00901085"/>
    <w:rsid w:val="0090191B"/>
    <w:rsid w:val="009025D1"/>
    <w:rsid w:val="009037B8"/>
    <w:rsid w:val="009043D9"/>
    <w:rsid w:val="0090564C"/>
    <w:rsid w:val="009056EC"/>
    <w:rsid w:val="0090574D"/>
    <w:rsid w:val="0090590B"/>
    <w:rsid w:val="0090725B"/>
    <w:rsid w:val="009074B5"/>
    <w:rsid w:val="00910740"/>
    <w:rsid w:val="009108C3"/>
    <w:rsid w:val="009115F7"/>
    <w:rsid w:val="00911BD4"/>
    <w:rsid w:val="0091237F"/>
    <w:rsid w:val="00913ED3"/>
    <w:rsid w:val="00915987"/>
    <w:rsid w:val="009173CE"/>
    <w:rsid w:val="0092063E"/>
    <w:rsid w:val="0092109F"/>
    <w:rsid w:val="00921439"/>
    <w:rsid w:val="00921D04"/>
    <w:rsid w:val="00923089"/>
    <w:rsid w:val="009231EC"/>
    <w:rsid w:val="00923635"/>
    <w:rsid w:val="00924700"/>
    <w:rsid w:val="009247DE"/>
    <w:rsid w:val="009250CC"/>
    <w:rsid w:val="00925A90"/>
    <w:rsid w:val="00925D8C"/>
    <w:rsid w:val="0092762D"/>
    <w:rsid w:val="00927FBE"/>
    <w:rsid w:val="0093052E"/>
    <w:rsid w:val="00931136"/>
    <w:rsid w:val="009327EF"/>
    <w:rsid w:val="0093299E"/>
    <w:rsid w:val="00932FC4"/>
    <w:rsid w:val="00933218"/>
    <w:rsid w:val="00933F3C"/>
    <w:rsid w:val="009348EC"/>
    <w:rsid w:val="00934F06"/>
    <w:rsid w:val="00935698"/>
    <w:rsid w:val="00936D7A"/>
    <w:rsid w:val="00942376"/>
    <w:rsid w:val="00943DF1"/>
    <w:rsid w:val="00944177"/>
    <w:rsid w:val="00944396"/>
    <w:rsid w:val="009443CB"/>
    <w:rsid w:val="009456E5"/>
    <w:rsid w:val="00946184"/>
    <w:rsid w:val="00946AE0"/>
    <w:rsid w:val="00947865"/>
    <w:rsid w:val="00950416"/>
    <w:rsid w:val="009507DD"/>
    <w:rsid w:val="00950BD1"/>
    <w:rsid w:val="00950F8F"/>
    <w:rsid w:val="0095143D"/>
    <w:rsid w:val="009514F9"/>
    <w:rsid w:val="009521A6"/>
    <w:rsid w:val="0095255D"/>
    <w:rsid w:val="00952828"/>
    <w:rsid w:val="00952B82"/>
    <w:rsid w:val="0095385B"/>
    <w:rsid w:val="00955411"/>
    <w:rsid w:val="0095554F"/>
    <w:rsid w:val="00956D94"/>
    <w:rsid w:val="009579C1"/>
    <w:rsid w:val="00957B66"/>
    <w:rsid w:val="009604FC"/>
    <w:rsid w:val="00960911"/>
    <w:rsid w:val="00960B82"/>
    <w:rsid w:val="009611D6"/>
    <w:rsid w:val="00961528"/>
    <w:rsid w:val="00961771"/>
    <w:rsid w:val="00961F3B"/>
    <w:rsid w:val="0096204C"/>
    <w:rsid w:val="0096345D"/>
    <w:rsid w:val="00963ABC"/>
    <w:rsid w:val="00963CB4"/>
    <w:rsid w:val="00966CDB"/>
    <w:rsid w:val="00967954"/>
    <w:rsid w:val="00967A1C"/>
    <w:rsid w:val="00970AC6"/>
    <w:rsid w:val="00971128"/>
    <w:rsid w:val="00973043"/>
    <w:rsid w:val="00973448"/>
    <w:rsid w:val="0097367F"/>
    <w:rsid w:val="00973876"/>
    <w:rsid w:val="00973B12"/>
    <w:rsid w:val="009744B3"/>
    <w:rsid w:val="00974BE3"/>
    <w:rsid w:val="00974E24"/>
    <w:rsid w:val="009758ED"/>
    <w:rsid w:val="00976110"/>
    <w:rsid w:val="00976309"/>
    <w:rsid w:val="00976613"/>
    <w:rsid w:val="00976FC2"/>
    <w:rsid w:val="00976FDA"/>
    <w:rsid w:val="0097787E"/>
    <w:rsid w:val="009806A7"/>
    <w:rsid w:val="00980B09"/>
    <w:rsid w:val="009810CE"/>
    <w:rsid w:val="00982B97"/>
    <w:rsid w:val="009835BC"/>
    <w:rsid w:val="009835D6"/>
    <w:rsid w:val="0098397F"/>
    <w:rsid w:val="009846F3"/>
    <w:rsid w:val="00984D14"/>
    <w:rsid w:val="00985846"/>
    <w:rsid w:val="00985862"/>
    <w:rsid w:val="00985AF1"/>
    <w:rsid w:val="009860B3"/>
    <w:rsid w:val="00987268"/>
    <w:rsid w:val="009875EE"/>
    <w:rsid w:val="00987D75"/>
    <w:rsid w:val="009921F4"/>
    <w:rsid w:val="009927AC"/>
    <w:rsid w:val="00992A55"/>
    <w:rsid w:val="0099479F"/>
    <w:rsid w:val="00995292"/>
    <w:rsid w:val="0099733B"/>
    <w:rsid w:val="0099738B"/>
    <w:rsid w:val="009975C1"/>
    <w:rsid w:val="00997893"/>
    <w:rsid w:val="00997900"/>
    <w:rsid w:val="00997F45"/>
    <w:rsid w:val="009A09B4"/>
    <w:rsid w:val="009A1670"/>
    <w:rsid w:val="009A269A"/>
    <w:rsid w:val="009A29B3"/>
    <w:rsid w:val="009A375F"/>
    <w:rsid w:val="009A38D2"/>
    <w:rsid w:val="009A3B5E"/>
    <w:rsid w:val="009A40C7"/>
    <w:rsid w:val="009A43D4"/>
    <w:rsid w:val="009A4682"/>
    <w:rsid w:val="009A493E"/>
    <w:rsid w:val="009A4DF7"/>
    <w:rsid w:val="009A5343"/>
    <w:rsid w:val="009A5726"/>
    <w:rsid w:val="009A5A77"/>
    <w:rsid w:val="009A5C60"/>
    <w:rsid w:val="009A5CF7"/>
    <w:rsid w:val="009A7956"/>
    <w:rsid w:val="009B04C6"/>
    <w:rsid w:val="009B0BFD"/>
    <w:rsid w:val="009B26EC"/>
    <w:rsid w:val="009B288F"/>
    <w:rsid w:val="009B3335"/>
    <w:rsid w:val="009B3EC2"/>
    <w:rsid w:val="009B43CC"/>
    <w:rsid w:val="009B4560"/>
    <w:rsid w:val="009B652D"/>
    <w:rsid w:val="009C0B8F"/>
    <w:rsid w:val="009C0F3B"/>
    <w:rsid w:val="009C1931"/>
    <w:rsid w:val="009C1BA6"/>
    <w:rsid w:val="009C1F80"/>
    <w:rsid w:val="009C3304"/>
    <w:rsid w:val="009C35C6"/>
    <w:rsid w:val="009C407C"/>
    <w:rsid w:val="009C4376"/>
    <w:rsid w:val="009C484B"/>
    <w:rsid w:val="009C6751"/>
    <w:rsid w:val="009C67B7"/>
    <w:rsid w:val="009C69B1"/>
    <w:rsid w:val="009C6FCA"/>
    <w:rsid w:val="009C70AE"/>
    <w:rsid w:val="009C7608"/>
    <w:rsid w:val="009C771D"/>
    <w:rsid w:val="009D07BA"/>
    <w:rsid w:val="009D2A73"/>
    <w:rsid w:val="009D2D3B"/>
    <w:rsid w:val="009D2E35"/>
    <w:rsid w:val="009D374F"/>
    <w:rsid w:val="009D3A0B"/>
    <w:rsid w:val="009D687F"/>
    <w:rsid w:val="009D6FB6"/>
    <w:rsid w:val="009D77EA"/>
    <w:rsid w:val="009E6091"/>
    <w:rsid w:val="009E67A7"/>
    <w:rsid w:val="009E7B22"/>
    <w:rsid w:val="009E7D0B"/>
    <w:rsid w:val="009F0022"/>
    <w:rsid w:val="009F04AC"/>
    <w:rsid w:val="009F14EC"/>
    <w:rsid w:val="009F2020"/>
    <w:rsid w:val="009F22CE"/>
    <w:rsid w:val="009F326E"/>
    <w:rsid w:val="009F374B"/>
    <w:rsid w:val="009F3A0D"/>
    <w:rsid w:val="009F5051"/>
    <w:rsid w:val="009F5065"/>
    <w:rsid w:val="009F5254"/>
    <w:rsid w:val="009F58A8"/>
    <w:rsid w:val="009F6964"/>
    <w:rsid w:val="009F75E4"/>
    <w:rsid w:val="009F76B4"/>
    <w:rsid w:val="009F7D12"/>
    <w:rsid w:val="00A0000C"/>
    <w:rsid w:val="00A00792"/>
    <w:rsid w:val="00A00FBD"/>
    <w:rsid w:val="00A01178"/>
    <w:rsid w:val="00A0295C"/>
    <w:rsid w:val="00A02E70"/>
    <w:rsid w:val="00A033A1"/>
    <w:rsid w:val="00A048CA"/>
    <w:rsid w:val="00A04951"/>
    <w:rsid w:val="00A05B39"/>
    <w:rsid w:val="00A05CE2"/>
    <w:rsid w:val="00A0637E"/>
    <w:rsid w:val="00A065ED"/>
    <w:rsid w:val="00A067B4"/>
    <w:rsid w:val="00A06C15"/>
    <w:rsid w:val="00A077A7"/>
    <w:rsid w:val="00A1063D"/>
    <w:rsid w:val="00A10B52"/>
    <w:rsid w:val="00A10D5C"/>
    <w:rsid w:val="00A10F22"/>
    <w:rsid w:val="00A1201A"/>
    <w:rsid w:val="00A12980"/>
    <w:rsid w:val="00A1461D"/>
    <w:rsid w:val="00A16B39"/>
    <w:rsid w:val="00A17CEA"/>
    <w:rsid w:val="00A20216"/>
    <w:rsid w:val="00A203D5"/>
    <w:rsid w:val="00A225E5"/>
    <w:rsid w:val="00A232F1"/>
    <w:rsid w:val="00A24EE5"/>
    <w:rsid w:val="00A26967"/>
    <w:rsid w:val="00A27335"/>
    <w:rsid w:val="00A275B2"/>
    <w:rsid w:val="00A27C77"/>
    <w:rsid w:val="00A30939"/>
    <w:rsid w:val="00A30DC9"/>
    <w:rsid w:val="00A31E20"/>
    <w:rsid w:val="00A321D7"/>
    <w:rsid w:val="00A3301E"/>
    <w:rsid w:val="00A3489C"/>
    <w:rsid w:val="00A34A31"/>
    <w:rsid w:val="00A34D24"/>
    <w:rsid w:val="00A36FAB"/>
    <w:rsid w:val="00A37BF0"/>
    <w:rsid w:val="00A37DF5"/>
    <w:rsid w:val="00A414CA"/>
    <w:rsid w:val="00A41F5B"/>
    <w:rsid w:val="00A42DDD"/>
    <w:rsid w:val="00A43237"/>
    <w:rsid w:val="00A43C6E"/>
    <w:rsid w:val="00A43FB4"/>
    <w:rsid w:val="00A4528C"/>
    <w:rsid w:val="00A45ACC"/>
    <w:rsid w:val="00A45D19"/>
    <w:rsid w:val="00A45E59"/>
    <w:rsid w:val="00A46041"/>
    <w:rsid w:val="00A501A3"/>
    <w:rsid w:val="00A50649"/>
    <w:rsid w:val="00A50768"/>
    <w:rsid w:val="00A51E84"/>
    <w:rsid w:val="00A51FD6"/>
    <w:rsid w:val="00A52B9D"/>
    <w:rsid w:val="00A53C3C"/>
    <w:rsid w:val="00A53EB5"/>
    <w:rsid w:val="00A549B4"/>
    <w:rsid w:val="00A54A7E"/>
    <w:rsid w:val="00A54C3B"/>
    <w:rsid w:val="00A55A94"/>
    <w:rsid w:val="00A57BBC"/>
    <w:rsid w:val="00A6049F"/>
    <w:rsid w:val="00A6212D"/>
    <w:rsid w:val="00A62388"/>
    <w:rsid w:val="00A635AA"/>
    <w:rsid w:val="00A637FB"/>
    <w:rsid w:val="00A63852"/>
    <w:rsid w:val="00A63A1A"/>
    <w:rsid w:val="00A63FE4"/>
    <w:rsid w:val="00A65769"/>
    <w:rsid w:val="00A65A2C"/>
    <w:rsid w:val="00A65DD0"/>
    <w:rsid w:val="00A65E15"/>
    <w:rsid w:val="00A66905"/>
    <w:rsid w:val="00A66D92"/>
    <w:rsid w:val="00A70B36"/>
    <w:rsid w:val="00A70FDD"/>
    <w:rsid w:val="00A713DD"/>
    <w:rsid w:val="00A71585"/>
    <w:rsid w:val="00A73AA4"/>
    <w:rsid w:val="00A73D37"/>
    <w:rsid w:val="00A7443E"/>
    <w:rsid w:val="00A74638"/>
    <w:rsid w:val="00A7473B"/>
    <w:rsid w:val="00A74D08"/>
    <w:rsid w:val="00A74E67"/>
    <w:rsid w:val="00A7568B"/>
    <w:rsid w:val="00A75C91"/>
    <w:rsid w:val="00A75E40"/>
    <w:rsid w:val="00A76781"/>
    <w:rsid w:val="00A811BF"/>
    <w:rsid w:val="00A81BAF"/>
    <w:rsid w:val="00A81F4B"/>
    <w:rsid w:val="00A82B4B"/>
    <w:rsid w:val="00A8398A"/>
    <w:rsid w:val="00A85336"/>
    <w:rsid w:val="00A8675A"/>
    <w:rsid w:val="00A87D8E"/>
    <w:rsid w:val="00A9118A"/>
    <w:rsid w:val="00A9172D"/>
    <w:rsid w:val="00A92AC6"/>
    <w:rsid w:val="00A939B2"/>
    <w:rsid w:val="00A943DD"/>
    <w:rsid w:val="00A954A2"/>
    <w:rsid w:val="00A9660B"/>
    <w:rsid w:val="00A96EC8"/>
    <w:rsid w:val="00A97EBD"/>
    <w:rsid w:val="00AA01F1"/>
    <w:rsid w:val="00AA029F"/>
    <w:rsid w:val="00AA0979"/>
    <w:rsid w:val="00AA09D4"/>
    <w:rsid w:val="00AA16E5"/>
    <w:rsid w:val="00AA2899"/>
    <w:rsid w:val="00AA3CAA"/>
    <w:rsid w:val="00AA4C60"/>
    <w:rsid w:val="00AA4FC8"/>
    <w:rsid w:val="00AA61C9"/>
    <w:rsid w:val="00AA72B2"/>
    <w:rsid w:val="00AB0CC5"/>
    <w:rsid w:val="00AB0D8C"/>
    <w:rsid w:val="00AB0FC2"/>
    <w:rsid w:val="00AB119D"/>
    <w:rsid w:val="00AB1873"/>
    <w:rsid w:val="00AB25F6"/>
    <w:rsid w:val="00AB3062"/>
    <w:rsid w:val="00AB3396"/>
    <w:rsid w:val="00AB3507"/>
    <w:rsid w:val="00AB3FDE"/>
    <w:rsid w:val="00AB42B4"/>
    <w:rsid w:val="00AB4A3F"/>
    <w:rsid w:val="00AB52D9"/>
    <w:rsid w:val="00AB6B47"/>
    <w:rsid w:val="00AB7541"/>
    <w:rsid w:val="00AC0E1B"/>
    <w:rsid w:val="00AC1227"/>
    <w:rsid w:val="00AC2F31"/>
    <w:rsid w:val="00AC3972"/>
    <w:rsid w:val="00AC74A7"/>
    <w:rsid w:val="00AC76FC"/>
    <w:rsid w:val="00AC7913"/>
    <w:rsid w:val="00AC7929"/>
    <w:rsid w:val="00AD0083"/>
    <w:rsid w:val="00AD12CB"/>
    <w:rsid w:val="00AD36F1"/>
    <w:rsid w:val="00AD4991"/>
    <w:rsid w:val="00AD4A22"/>
    <w:rsid w:val="00AD6B2B"/>
    <w:rsid w:val="00AE000F"/>
    <w:rsid w:val="00AE13EB"/>
    <w:rsid w:val="00AE19BF"/>
    <w:rsid w:val="00AE19C8"/>
    <w:rsid w:val="00AE29F6"/>
    <w:rsid w:val="00AE4312"/>
    <w:rsid w:val="00AE5123"/>
    <w:rsid w:val="00AE52FE"/>
    <w:rsid w:val="00AE5AB2"/>
    <w:rsid w:val="00AE5C31"/>
    <w:rsid w:val="00AE5ED3"/>
    <w:rsid w:val="00AE6EF0"/>
    <w:rsid w:val="00AE73B7"/>
    <w:rsid w:val="00AE78B1"/>
    <w:rsid w:val="00AE7B08"/>
    <w:rsid w:val="00AF0841"/>
    <w:rsid w:val="00AF23A2"/>
    <w:rsid w:val="00AF3BE4"/>
    <w:rsid w:val="00AF4288"/>
    <w:rsid w:val="00AF5477"/>
    <w:rsid w:val="00AF6452"/>
    <w:rsid w:val="00AF6B1D"/>
    <w:rsid w:val="00B00656"/>
    <w:rsid w:val="00B01F01"/>
    <w:rsid w:val="00B03FF8"/>
    <w:rsid w:val="00B044FD"/>
    <w:rsid w:val="00B047C3"/>
    <w:rsid w:val="00B06427"/>
    <w:rsid w:val="00B065D6"/>
    <w:rsid w:val="00B06BC0"/>
    <w:rsid w:val="00B07906"/>
    <w:rsid w:val="00B07B3F"/>
    <w:rsid w:val="00B07BB0"/>
    <w:rsid w:val="00B10097"/>
    <w:rsid w:val="00B129D9"/>
    <w:rsid w:val="00B13403"/>
    <w:rsid w:val="00B1441E"/>
    <w:rsid w:val="00B14E63"/>
    <w:rsid w:val="00B14F33"/>
    <w:rsid w:val="00B17607"/>
    <w:rsid w:val="00B20592"/>
    <w:rsid w:val="00B20D37"/>
    <w:rsid w:val="00B224FE"/>
    <w:rsid w:val="00B226F5"/>
    <w:rsid w:val="00B22AFC"/>
    <w:rsid w:val="00B235E5"/>
    <w:rsid w:val="00B25A3B"/>
    <w:rsid w:val="00B262E8"/>
    <w:rsid w:val="00B26D4D"/>
    <w:rsid w:val="00B27156"/>
    <w:rsid w:val="00B27AD3"/>
    <w:rsid w:val="00B27EF4"/>
    <w:rsid w:val="00B30204"/>
    <w:rsid w:val="00B30A66"/>
    <w:rsid w:val="00B30E11"/>
    <w:rsid w:val="00B31E5C"/>
    <w:rsid w:val="00B324E9"/>
    <w:rsid w:val="00B3314D"/>
    <w:rsid w:val="00B3415A"/>
    <w:rsid w:val="00B35C1D"/>
    <w:rsid w:val="00B36270"/>
    <w:rsid w:val="00B36778"/>
    <w:rsid w:val="00B369F9"/>
    <w:rsid w:val="00B41A41"/>
    <w:rsid w:val="00B42CBA"/>
    <w:rsid w:val="00B441BF"/>
    <w:rsid w:val="00B4433A"/>
    <w:rsid w:val="00B44D82"/>
    <w:rsid w:val="00B450A1"/>
    <w:rsid w:val="00B4535C"/>
    <w:rsid w:val="00B459B5"/>
    <w:rsid w:val="00B45F4C"/>
    <w:rsid w:val="00B468E6"/>
    <w:rsid w:val="00B46984"/>
    <w:rsid w:val="00B50607"/>
    <w:rsid w:val="00B50DFD"/>
    <w:rsid w:val="00B51198"/>
    <w:rsid w:val="00B51BFF"/>
    <w:rsid w:val="00B52DEA"/>
    <w:rsid w:val="00B5379B"/>
    <w:rsid w:val="00B53A9C"/>
    <w:rsid w:val="00B54308"/>
    <w:rsid w:val="00B559A6"/>
    <w:rsid w:val="00B5708F"/>
    <w:rsid w:val="00B578A2"/>
    <w:rsid w:val="00B60761"/>
    <w:rsid w:val="00B60857"/>
    <w:rsid w:val="00B60C24"/>
    <w:rsid w:val="00B62277"/>
    <w:rsid w:val="00B625FB"/>
    <w:rsid w:val="00B62AE4"/>
    <w:rsid w:val="00B62D54"/>
    <w:rsid w:val="00B633CD"/>
    <w:rsid w:val="00B64155"/>
    <w:rsid w:val="00B6445A"/>
    <w:rsid w:val="00B647CF"/>
    <w:rsid w:val="00B64F65"/>
    <w:rsid w:val="00B66219"/>
    <w:rsid w:val="00B66639"/>
    <w:rsid w:val="00B66E60"/>
    <w:rsid w:val="00B6776C"/>
    <w:rsid w:val="00B705FD"/>
    <w:rsid w:val="00B72804"/>
    <w:rsid w:val="00B74C5B"/>
    <w:rsid w:val="00B75286"/>
    <w:rsid w:val="00B75758"/>
    <w:rsid w:val="00B75982"/>
    <w:rsid w:val="00B763E1"/>
    <w:rsid w:val="00B76E25"/>
    <w:rsid w:val="00B77193"/>
    <w:rsid w:val="00B779DB"/>
    <w:rsid w:val="00B80C9D"/>
    <w:rsid w:val="00B8152D"/>
    <w:rsid w:val="00B81C0D"/>
    <w:rsid w:val="00B82B29"/>
    <w:rsid w:val="00B82F19"/>
    <w:rsid w:val="00B8310D"/>
    <w:rsid w:val="00B831FE"/>
    <w:rsid w:val="00B83C7F"/>
    <w:rsid w:val="00B8492C"/>
    <w:rsid w:val="00B862C9"/>
    <w:rsid w:val="00B865C3"/>
    <w:rsid w:val="00B87787"/>
    <w:rsid w:val="00B9033E"/>
    <w:rsid w:val="00B9045D"/>
    <w:rsid w:val="00B92CC2"/>
    <w:rsid w:val="00B94D48"/>
    <w:rsid w:val="00B94DDF"/>
    <w:rsid w:val="00B95194"/>
    <w:rsid w:val="00B955DA"/>
    <w:rsid w:val="00B9726F"/>
    <w:rsid w:val="00BA0190"/>
    <w:rsid w:val="00BA16F7"/>
    <w:rsid w:val="00BA233E"/>
    <w:rsid w:val="00BA35F3"/>
    <w:rsid w:val="00BA3EA6"/>
    <w:rsid w:val="00BA4CCD"/>
    <w:rsid w:val="00BA4F48"/>
    <w:rsid w:val="00BA5B0B"/>
    <w:rsid w:val="00BA5B73"/>
    <w:rsid w:val="00BA616C"/>
    <w:rsid w:val="00BA6364"/>
    <w:rsid w:val="00BA63B7"/>
    <w:rsid w:val="00BB05C3"/>
    <w:rsid w:val="00BB1899"/>
    <w:rsid w:val="00BB1A30"/>
    <w:rsid w:val="00BB1AF9"/>
    <w:rsid w:val="00BB25A6"/>
    <w:rsid w:val="00BB2617"/>
    <w:rsid w:val="00BB31F0"/>
    <w:rsid w:val="00BB3C00"/>
    <w:rsid w:val="00BB3D12"/>
    <w:rsid w:val="00BB3D43"/>
    <w:rsid w:val="00BB5D41"/>
    <w:rsid w:val="00BB68A6"/>
    <w:rsid w:val="00BB6E76"/>
    <w:rsid w:val="00BB76EF"/>
    <w:rsid w:val="00BC055B"/>
    <w:rsid w:val="00BC0731"/>
    <w:rsid w:val="00BC1371"/>
    <w:rsid w:val="00BC1EF8"/>
    <w:rsid w:val="00BC20B6"/>
    <w:rsid w:val="00BC2672"/>
    <w:rsid w:val="00BC27D6"/>
    <w:rsid w:val="00BC2B83"/>
    <w:rsid w:val="00BC2CD5"/>
    <w:rsid w:val="00BC2ED2"/>
    <w:rsid w:val="00BC323E"/>
    <w:rsid w:val="00BC3750"/>
    <w:rsid w:val="00BC3DB2"/>
    <w:rsid w:val="00BC3FD0"/>
    <w:rsid w:val="00BC5A17"/>
    <w:rsid w:val="00BC5CF7"/>
    <w:rsid w:val="00BC5E81"/>
    <w:rsid w:val="00BC61E3"/>
    <w:rsid w:val="00BC6AC3"/>
    <w:rsid w:val="00BC77EA"/>
    <w:rsid w:val="00BC77EE"/>
    <w:rsid w:val="00BC7E22"/>
    <w:rsid w:val="00BD0DB8"/>
    <w:rsid w:val="00BD0DDB"/>
    <w:rsid w:val="00BD170E"/>
    <w:rsid w:val="00BD187C"/>
    <w:rsid w:val="00BD2538"/>
    <w:rsid w:val="00BD3682"/>
    <w:rsid w:val="00BD4273"/>
    <w:rsid w:val="00BD453B"/>
    <w:rsid w:val="00BD4708"/>
    <w:rsid w:val="00BD4AA2"/>
    <w:rsid w:val="00BD55FF"/>
    <w:rsid w:val="00BD670B"/>
    <w:rsid w:val="00BD6C4D"/>
    <w:rsid w:val="00BD71DF"/>
    <w:rsid w:val="00BD751E"/>
    <w:rsid w:val="00BE00D9"/>
    <w:rsid w:val="00BE018B"/>
    <w:rsid w:val="00BE08F8"/>
    <w:rsid w:val="00BE1029"/>
    <w:rsid w:val="00BE1608"/>
    <w:rsid w:val="00BE1F04"/>
    <w:rsid w:val="00BE30F7"/>
    <w:rsid w:val="00BE3CE0"/>
    <w:rsid w:val="00BE409A"/>
    <w:rsid w:val="00BE4399"/>
    <w:rsid w:val="00BE44C6"/>
    <w:rsid w:val="00BE51BB"/>
    <w:rsid w:val="00BE68C7"/>
    <w:rsid w:val="00BE7974"/>
    <w:rsid w:val="00BE7980"/>
    <w:rsid w:val="00BF1416"/>
    <w:rsid w:val="00BF1E0E"/>
    <w:rsid w:val="00BF23FC"/>
    <w:rsid w:val="00BF2FD1"/>
    <w:rsid w:val="00BF381B"/>
    <w:rsid w:val="00BF5A49"/>
    <w:rsid w:val="00BF6853"/>
    <w:rsid w:val="00BF6963"/>
    <w:rsid w:val="00BF77E4"/>
    <w:rsid w:val="00C02729"/>
    <w:rsid w:val="00C02832"/>
    <w:rsid w:val="00C03605"/>
    <w:rsid w:val="00C03821"/>
    <w:rsid w:val="00C03DAD"/>
    <w:rsid w:val="00C04554"/>
    <w:rsid w:val="00C0461E"/>
    <w:rsid w:val="00C04639"/>
    <w:rsid w:val="00C056EB"/>
    <w:rsid w:val="00C061D9"/>
    <w:rsid w:val="00C06665"/>
    <w:rsid w:val="00C06C25"/>
    <w:rsid w:val="00C1029D"/>
    <w:rsid w:val="00C10A09"/>
    <w:rsid w:val="00C11D56"/>
    <w:rsid w:val="00C12E27"/>
    <w:rsid w:val="00C1417F"/>
    <w:rsid w:val="00C14345"/>
    <w:rsid w:val="00C14482"/>
    <w:rsid w:val="00C1465A"/>
    <w:rsid w:val="00C14C39"/>
    <w:rsid w:val="00C14FE4"/>
    <w:rsid w:val="00C15408"/>
    <w:rsid w:val="00C162E2"/>
    <w:rsid w:val="00C16AC9"/>
    <w:rsid w:val="00C17538"/>
    <w:rsid w:val="00C17636"/>
    <w:rsid w:val="00C20145"/>
    <w:rsid w:val="00C2041A"/>
    <w:rsid w:val="00C20AA8"/>
    <w:rsid w:val="00C22F60"/>
    <w:rsid w:val="00C23B63"/>
    <w:rsid w:val="00C24752"/>
    <w:rsid w:val="00C24B5D"/>
    <w:rsid w:val="00C24D97"/>
    <w:rsid w:val="00C25FC1"/>
    <w:rsid w:val="00C262AF"/>
    <w:rsid w:val="00C268E2"/>
    <w:rsid w:val="00C271D6"/>
    <w:rsid w:val="00C277F3"/>
    <w:rsid w:val="00C30390"/>
    <w:rsid w:val="00C3088D"/>
    <w:rsid w:val="00C30CBA"/>
    <w:rsid w:val="00C319A8"/>
    <w:rsid w:val="00C319F9"/>
    <w:rsid w:val="00C3208D"/>
    <w:rsid w:val="00C32522"/>
    <w:rsid w:val="00C32942"/>
    <w:rsid w:val="00C341FC"/>
    <w:rsid w:val="00C34914"/>
    <w:rsid w:val="00C3530A"/>
    <w:rsid w:val="00C35C89"/>
    <w:rsid w:val="00C36BB8"/>
    <w:rsid w:val="00C36EEA"/>
    <w:rsid w:val="00C37EA2"/>
    <w:rsid w:val="00C4038E"/>
    <w:rsid w:val="00C40A38"/>
    <w:rsid w:val="00C41391"/>
    <w:rsid w:val="00C414A0"/>
    <w:rsid w:val="00C42662"/>
    <w:rsid w:val="00C43AF9"/>
    <w:rsid w:val="00C43C8F"/>
    <w:rsid w:val="00C44265"/>
    <w:rsid w:val="00C449D6"/>
    <w:rsid w:val="00C449DE"/>
    <w:rsid w:val="00C44D93"/>
    <w:rsid w:val="00C451FF"/>
    <w:rsid w:val="00C4538B"/>
    <w:rsid w:val="00C45889"/>
    <w:rsid w:val="00C45C9C"/>
    <w:rsid w:val="00C474B8"/>
    <w:rsid w:val="00C476BC"/>
    <w:rsid w:val="00C50289"/>
    <w:rsid w:val="00C51114"/>
    <w:rsid w:val="00C515D5"/>
    <w:rsid w:val="00C51DE5"/>
    <w:rsid w:val="00C51E29"/>
    <w:rsid w:val="00C52421"/>
    <w:rsid w:val="00C52AD3"/>
    <w:rsid w:val="00C54034"/>
    <w:rsid w:val="00C548A1"/>
    <w:rsid w:val="00C56213"/>
    <w:rsid w:val="00C5670B"/>
    <w:rsid w:val="00C56894"/>
    <w:rsid w:val="00C57CBB"/>
    <w:rsid w:val="00C60762"/>
    <w:rsid w:val="00C64033"/>
    <w:rsid w:val="00C65070"/>
    <w:rsid w:val="00C651A7"/>
    <w:rsid w:val="00C6582D"/>
    <w:rsid w:val="00C65A65"/>
    <w:rsid w:val="00C662AE"/>
    <w:rsid w:val="00C667DD"/>
    <w:rsid w:val="00C6692A"/>
    <w:rsid w:val="00C675F7"/>
    <w:rsid w:val="00C67E77"/>
    <w:rsid w:val="00C70B84"/>
    <w:rsid w:val="00C70EE3"/>
    <w:rsid w:val="00C713A8"/>
    <w:rsid w:val="00C72868"/>
    <w:rsid w:val="00C72D5D"/>
    <w:rsid w:val="00C72D86"/>
    <w:rsid w:val="00C73560"/>
    <w:rsid w:val="00C73A82"/>
    <w:rsid w:val="00C7407A"/>
    <w:rsid w:val="00C74150"/>
    <w:rsid w:val="00C749DA"/>
    <w:rsid w:val="00C76BCF"/>
    <w:rsid w:val="00C77983"/>
    <w:rsid w:val="00C80926"/>
    <w:rsid w:val="00C8144A"/>
    <w:rsid w:val="00C818D7"/>
    <w:rsid w:val="00C82D36"/>
    <w:rsid w:val="00C8301C"/>
    <w:rsid w:val="00C83072"/>
    <w:rsid w:val="00C83E99"/>
    <w:rsid w:val="00C8430B"/>
    <w:rsid w:val="00C847AA"/>
    <w:rsid w:val="00C85B8C"/>
    <w:rsid w:val="00C87C30"/>
    <w:rsid w:val="00C90D80"/>
    <w:rsid w:val="00C915AB"/>
    <w:rsid w:val="00C91D0F"/>
    <w:rsid w:val="00C92559"/>
    <w:rsid w:val="00C931EC"/>
    <w:rsid w:val="00C937E6"/>
    <w:rsid w:val="00C93A9D"/>
    <w:rsid w:val="00C940D9"/>
    <w:rsid w:val="00C94C86"/>
    <w:rsid w:val="00C953DA"/>
    <w:rsid w:val="00C95491"/>
    <w:rsid w:val="00C9681B"/>
    <w:rsid w:val="00C96DCD"/>
    <w:rsid w:val="00C971FE"/>
    <w:rsid w:val="00CA0624"/>
    <w:rsid w:val="00CA0ACF"/>
    <w:rsid w:val="00CA0B88"/>
    <w:rsid w:val="00CA0C4A"/>
    <w:rsid w:val="00CA1826"/>
    <w:rsid w:val="00CA1D08"/>
    <w:rsid w:val="00CA25DB"/>
    <w:rsid w:val="00CA283F"/>
    <w:rsid w:val="00CA46B8"/>
    <w:rsid w:val="00CA5201"/>
    <w:rsid w:val="00CA5C25"/>
    <w:rsid w:val="00CA6875"/>
    <w:rsid w:val="00CA6AD4"/>
    <w:rsid w:val="00CA6F29"/>
    <w:rsid w:val="00CA70D7"/>
    <w:rsid w:val="00CA7778"/>
    <w:rsid w:val="00CA7F62"/>
    <w:rsid w:val="00CA7FA6"/>
    <w:rsid w:val="00CB0314"/>
    <w:rsid w:val="00CB101B"/>
    <w:rsid w:val="00CB1379"/>
    <w:rsid w:val="00CB1589"/>
    <w:rsid w:val="00CB2CAE"/>
    <w:rsid w:val="00CB30AC"/>
    <w:rsid w:val="00CB3A64"/>
    <w:rsid w:val="00CB49F8"/>
    <w:rsid w:val="00CB5631"/>
    <w:rsid w:val="00CB5A16"/>
    <w:rsid w:val="00CB5E63"/>
    <w:rsid w:val="00CB6168"/>
    <w:rsid w:val="00CB6542"/>
    <w:rsid w:val="00CB73CD"/>
    <w:rsid w:val="00CB7787"/>
    <w:rsid w:val="00CB7C18"/>
    <w:rsid w:val="00CC0798"/>
    <w:rsid w:val="00CC0A3F"/>
    <w:rsid w:val="00CC28A7"/>
    <w:rsid w:val="00CC2FEB"/>
    <w:rsid w:val="00CC4E80"/>
    <w:rsid w:val="00CC4F01"/>
    <w:rsid w:val="00CC5AE4"/>
    <w:rsid w:val="00CC7988"/>
    <w:rsid w:val="00CD02EB"/>
    <w:rsid w:val="00CD085E"/>
    <w:rsid w:val="00CD0BD6"/>
    <w:rsid w:val="00CD1530"/>
    <w:rsid w:val="00CD1E30"/>
    <w:rsid w:val="00CD1F6D"/>
    <w:rsid w:val="00CD2A42"/>
    <w:rsid w:val="00CD3030"/>
    <w:rsid w:val="00CD3644"/>
    <w:rsid w:val="00CD3BF9"/>
    <w:rsid w:val="00CD4BC8"/>
    <w:rsid w:val="00CD4C7F"/>
    <w:rsid w:val="00CD5CEA"/>
    <w:rsid w:val="00CD69BA"/>
    <w:rsid w:val="00CD6D0F"/>
    <w:rsid w:val="00CD6DCB"/>
    <w:rsid w:val="00CD7B08"/>
    <w:rsid w:val="00CE162C"/>
    <w:rsid w:val="00CE191B"/>
    <w:rsid w:val="00CE20B8"/>
    <w:rsid w:val="00CE2FD0"/>
    <w:rsid w:val="00CE354C"/>
    <w:rsid w:val="00CE61C8"/>
    <w:rsid w:val="00CE7CEC"/>
    <w:rsid w:val="00CF0DE5"/>
    <w:rsid w:val="00CF1817"/>
    <w:rsid w:val="00CF1B87"/>
    <w:rsid w:val="00CF1DAF"/>
    <w:rsid w:val="00CF28E3"/>
    <w:rsid w:val="00CF2C5C"/>
    <w:rsid w:val="00CF2E29"/>
    <w:rsid w:val="00CF3248"/>
    <w:rsid w:val="00CF3BAD"/>
    <w:rsid w:val="00CF4601"/>
    <w:rsid w:val="00CF5DA9"/>
    <w:rsid w:val="00CF5E43"/>
    <w:rsid w:val="00CF6651"/>
    <w:rsid w:val="00CF6DAA"/>
    <w:rsid w:val="00CF7B2E"/>
    <w:rsid w:val="00D0021C"/>
    <w:rsid w:val="00D00247"/>
    <w:rsid w:val="00D00750"/>
    <w:rsid w:val="00D00F46"/>
    <w:rsid w:val="00D02685"/>
    <w:rsid w:val="00D029FD"/>
    <w:rsid w:val="00D03FBA"/>
    <w:rsid w:val="00D03FF9"/>
    <w:rsid w:val="00D0411B"/>
    <w:rsid w:val="00D045E3"/>
    <w:rsid w:val="00D0517D"/>
    <w:rsid w:val="00D05929"/>
    <w:rsid w:val="00D05B3A"/>
    <w:rsid w:val="00D0611E"/>
    <w:rsid w:val="00D065C8"/>
    <w:rsid w:val="00D06B4D"/>
    <w:rsid w:val="00D102E2"/>
    <w:rsid w:val="00D1082F"/>
    <w:rsid w:val="00D10B4E"/>
    <w:rsid w:val="00D10E77"/>
    <w:rsid w:val="00D12B4B"/>
    <w:rsid w:val="00D13401"/>
    <w:rsid w:val="00D160C9"/>
    <w:rsid w:val="00D17126"/>
    <w:rsid w:val="00D1718C"/>
    <w:rsid w:val="00D17480"/>
    <w:rsid w:val="00D2039E"/>
    <w:rsid w:val="00D20477"/>
    <w:rsid w:val="00D218AE"/>
    <w:rsid w:val="00D21C2F"/>
    <w:rsid w:val="00D21F10"/>
    <w:rsid w:val="00D2209E"/>
    <w:rsid w:val="00D2220E"/>
    <w:rsid w:val="00D22DA8"/>
    <w:rsid w:val="00D259FA"/>
    <w:rsid w:val="00D26848"/>
    <w:rsid w:val="00D2796E"/>
    <w:rsid w:val="00D3037D"/>
    <w:rsid w:val="00D304A9"/>
    <w:rsid w:val="00D30707"/>
    <w:rsid w:val="00D309EF"/>
    <w:rsid w:val="00D3110E"/>
    <w:rsid w:val="00D320C8"/>
    <w:rsid w:val="00D328AB"/>
    <w:rsid w:val="00D3344C"/>
    <w:rsid w:val="00D34AD2"/>
    <w:rsid w:val="00D35DF7"/>
    <w:rsid w:val="00D36368"/>
    <w:rsid w:val="00D369C4"/>
    <w:rsid w:val="00D36D4F"/>
    <w:rsid w:val="00D37728"/>
    <w:rsid w:val="00D37A1F"/>
    <w:rsid w:val="00D40717"/>
    <w:rsid w:val="00D40EF3"/>
    <w:rsid w:val="00D42718"/>
    <w:rsid w:val="00D4281E"/>
    <w:rsid w:val="00D435E8"/>
    <w:rsid w:val="00D43893"/>
    <w:rsid w:val="00D43A16"/>
    <w:rsid w:val="00D452A5"/>
    <w:rsid w:val="00D45F6C"/>
    <w:rsid w:val="00D45FC0"/>
    <w:rsid w:val="00D464FE"/>
    <w:rsid w:val="00D46733"/>
    <w:rsid w:val="00D46B41"/>
    <w:rsid w:val="00D46FA2"/>
    <w:rsid w:val="00D47093"/>
    <w:rsid w:val="00D47DF1"/>
    <w:rsid w:val="00D50541"/>
    <w:rsid w:val="00D514DB"/>
    <w:rsid w:val="00D5348F"/>
    <w:rsid w:val="00D53600"/>
    <w:rsid w:val="00D5709E"/>
    <w:rsid w:val="00D57C9A"/>
    <w:rsid w:val="00D57D2B"/>
    <w:rsid w:val="00D57FB1"/>
    <w:rsid w:val="00D600BE"/>
    <w:rsid w:val="00D605FA"/>
    <w:rsid w:val="00D647E7"/>
    <w:rsid w:val="00D64E59"/>
    <w:rsid w:val="00D65255"/>
    <w:rsid w:val="00D6570D"/>
    <w:rsid w:val="00D6618A"/>
    <w:rsid w:val="00D66306"/>
    <w:rsid w:val="00D66883"/>
    <w:rsid w:val="00D673A6"/>
    <w:rsid w:val="00D7047C"/>
    <w:rsid w:val="00D71B6E"/>
    <w:rsid w:val="00D71CF3"/>
    <w:rsid w:val="00D723CB"/>
    <w:rsid w:val="00D72F01"/>
    <w:rsid w:val="00D73005"/>
    <w:rsid w:val="00D73BC7"/>
    <w:rsid w:val="00D7457A"/>
    <w:rsid w:val="00D75CD6"/>
    <w:rsid w:val="00D75FE4"/>
    <w:rsid w:val="00D7635A"/>
    <w:rsid w:val="00D769DF"/>
    <w:rsid w:val="00D76B38"/>
    <w:rsid w:val="00D76DB9"/>
    <w:rsid w:val="00D77391"/>
    <w:rsid w:val="00D803FA"/>
    <w:rsid w:val="00D804EA"/>
    <w:rsid w:val="00D8139A"/>
    <w:rsid w:val="00D818D2"/>
    <w:rsid w:val="00D81A4E"/>
    <w:rsid w:val="00D821C1"/>
    <w:rsid w:val="00D82557"/>
    <w:rsid w:val="00D82CC0"/>
    <w:rsid w:val="00D842AD"/>
    <w:rsid w:val="00D848EB"/>
    <w:rsid w:val="00D850AF"/>
    <w:rsid w:val="00D85D41"/>
    <w:rsid w:val="00D85DE4"/>
    <w:rsid w:val="00D86FE4"/>
    <w:rsid w:val="00D86FF6"/>
    <w:rsid w:val="00D903B1"/>
    <w:rsid w:val="00D90404"/>
    <w:rsid w:val="00D90682"/>
    <w:rsid w:val="00D91886"/>
    <w:rsid w:val="00D929FE"/>
    <w:rsid w:val="00D92FE3"/>
    <w:rsid w:val="00D93B61"/>
    <w:rsid w:val="00D94FF8"/>
    <w:rsid w:val="00D952C5"/>
    <w:rsid w:val="00D95684"/>
    <w:rsid w:val="00D96789"/>
    <w:rsid w:val="00D97173"/>
    <w:rsid w:val="00D97232"/>
    <w:rsid w:val="00DA0618"/>
    <w:rsid w:val="00DA0BC0"/>
    <w:rsid w:val="00DA1DB9"/>
    <w:rsid w:val="00DA2B5F"/>
    <w:rsid w:val="00DA3878"/>
    <w:rsid w:val="00DA4154"/>
    <w:rsid w:val="00DA45D5"/>
    <w:rsid w:val="00DA5969"/>
    <w:rsid w:val="00DA663F"/>
    <w:rsid w:val="00DA76B7"/>
    <w:rsid w:val="00DB053E"/>
    <w:rsid w:val="00DB26F0"/>
    <w:rsid w:val="00DB3101"/>
    <w:rsid w:val="00DB31EA"/>
    <w:rsid w:val="00DB33A9"/>
    <w:rsid w:val="00DB348A"/>
    <w:rsid w:val="00DB47E9"/>
    <w:rsid w:val="00DB4EB7"/>
    <w:rsid w:val="00DB53E7"/>
    <w:rsid w:val="00DB7024"/>
    <w:rsid w:val="00DC076C"/>
    <w:rsid w:val="00DC20A9"/>
    <w:rsid w:val="00DC233D"/>
    <w:rsid w:val="00DC354A"/>
    <w:rsid w:val="00DC4200"/>
    <w:rsid w:val="00DC4474"/>
    <w:rsid w:val="00DC53A0"/>
    <w:rsid w:val="00DC6202"/>
    <w:rsid w:val="00DC6A07"/>
    <w:rsid w:val="00DC7136"/>
    <w:rsid w:val="00DD1742"/>
    <w:rsid w:val="00DD1D67"/>
    <w:rsid w:val="00DD1E62"/>
    <w:rsid w:val="00DD24B1"/>
    <w:rsid w:val="00DD2DB0"/>
    <w:rsid w:val="00DD2E5F"/>
    <w:rsid w:val="00DD2FF5"/>
    <w:rsid w:val="00DD375E"/>
    <w:rsid w:val="00DD3953"/>
    <w:rsid w:val="00DD3D05"/>
    <w:rsid w:val="00DD42F2"/>
    <w:rsid w:val="00DD51BB"/>
    <w:rsid w:val="00DD5A80"/>
    <w:rsid w:val="00DD6420"/>
    <w:rsid w:val="00DD6F4A"/>
    <w:rsid w:val="00DD714D"/>
    <w:rsid w:val="00DE0385"/>
    <w:rsid w:val="00DE09D4"/>
    <w:rsid w:val="00DE17F6"/>
    <w:rsid w:val="00DE1C49"/>
    <w:rsid w:val="00DE1C75"/>
    <w:rsid w:val="00DE4658"/>
    <w:rsid w:val="00DE550D"/>
    <w:rsid w:val="00DE57E6"/>
    <w:rsid w:val="00DE7B48"/>
    <w:rsid w:val="00DF02AF"/>
    <w:rsid w:val="00DF0AF6"/>
    <w:rsid w:val="00DF0E66"/>
    <w:rsid w:val="00DF2398"/>
    <w:rsid w:val="00DF2525"/>
    <w:rsid w:val="00DF31B1"/>
    <w:rsid w:val="00DF437C"/>
    <w:rsid w:val="00DF49FD"/>
    <w:rsid w:val="00DF4EB8"/>
    <w:rsid w:val="00DF4F8A"/>
    <w:rsid w:val="00DF5137"/>
    <w:rsid w:val="00DF5206"/>
    <w:rsid w:val="00DF536E"/>
    <w:rsid w:val="00DF5443"/>
    <w:rsid w:val="00DF580F"/>
    <w:rsid w:val="00DF639C"/>
    <w:rsid w:val="00DF7C51"/>
    <w:rsid w:val="00E00ED1"/>
    <w:rsid w:val="00E02091"/>
    <w:rsid w:val="00E03095"/>
    <w:rsid w:val="00E03457"/>
    <w:rsid w:val="00E0481B"/>
    <w:rsid w:val="00E0625B"/>
    <w:rsid w:val="00E069A2"/>
    <w:rsid w:val="00E10F6F"/>
    <w:rsid w:val="00E12716"/>
    <w:rsid w:val="00E132F4"/>
    <w:rsid w:val="00E13FD9"/>
    <w:rsid w:val="00E150BA"/>
    <w:rsid w:val="00E15A1E"/>
    <w:rsid w:val="00E20518"/>
    <w:rsid w:val="00E20882"/>
    <w:rsid w:val="00E20A7A"/>
    <w:rsid w:val="00E20C5B"/>
    <w:rsid w:val="00E2383A"/>
    <w:rsid w:val="00E23931"/>
    <w:rsid w:val="00E23EAF"/>
    <w:rsid w:val="00E24BEA"/>
    <w:rsid w:val="00E24EFB"/>
    <w:rsid w:val="00E25C3E"/>
    <w:rsid w:val="00E25F87"/>
    <w:rsid w:val="00E31D06"/>
    <w:rsid w:val="00E32662"/>
    <w:rsid w:val="00E326EA"/>
    <w:rsid w:val="00E33FB8"/>
    <w:rsid w:val="00E356E3"/>
    <w:rsid w:val="00E3785E"/>
    <w:rsid w:val="00E40BBB"/>
    <w:rsid w:val="00E413AF"/>
    <w:rsid w:val="00E43053"/>
    <w:rsid w:val="00E436AC"/>
    <w:rsid w:val="00E43E64"/>
    <w:rsid w:val="00E446AB"/>
    <w:rsid w:val="00E44B37"/>
    <w:rsid w:val="00E44BDA"/>
    <w:rsid w:val="00E452CA"/>
    <w:rsid w:val="00E4548F"/>
    <w:rsid w:val="00E458FD"/>
    <w:rsid w:val="00E45F19"/>
    <w:rsid w:val="00E460F4"/>
    <w:rsid w:val="00E46FAF"/>
    <w:rsid w:val="00E4712A"/>
    <w:rsid w:val="00E47396"/>
    <w:rsid w:val="00E47843"/>
    <w:rsid w:val="00E47F7E"/>
    <w:rsid w:val="00E50EC0"/>
    <w:rsid w:val="00E51405"/>
    <w:rsid w:val="00E516D6"/>
    <w:rsid w:val="00E524EA"/>
    <w:rsid w:val="00E532C7"/>
    <w:rsid w:val="00E54B21"/>
    <w:rsid w:val="00E5549B"/>
    <w:rsid w:val="00E560DE"/>
    <w:rsid w:val="00E5721E"/>
    <w:rsid w:val="00E57ACF"/>
    <w:rsid w:val="00E60568"/>
    <w:rsid w:val="00E61E45"/>
    <w:rsid w:val="00E62372"/>
    <w:rsid w:val="00E62678"/>
    <w:rsid w:val="00E62757"/>
    <w:rsid w:val="00E63D47"/>
    <w:rsid w:val="00E641F6"/>
    <w:rsid w:val="00E64E18"/>
    <w:rsid w:val="00E65835"/>
    <w:rsid w:val="00E65CC5"/>
    <w:rsid w:val="00E65EAB"/>
    <w:rsid w:val="00E670A5"/>
    <w:rsid w:val="00E708DE"/>
    <w:rsid w:val="00E71C90"/>
    <w:rsid w:val="00E71CF4"/>
    <w:rsid w:val="00E72837"/>
    <w:rsid w:val="00E731AD"/>
    <w:rsid w:val="00E73E02"/>
    <w:rsid w:val="00E757B3"/>
    <w:rsid w:val="00E757F0"/>
    <w:rsid w:val="00E80FD7"/>
    <w:rsid w:val="00E82C94"/>
    <w:rsid w:val="00E8374D"/>
    <w:rsid w:val="00E83CAF"/>
    <w:rsid w:val="00E84AE4"/>
    <w:rsid w:val="00E86850"/>
    <w:rsid w:val="00E90191"/>
    <w:rsid w:val="00E9029F"/>
    <w:rsid w:val="00E904DD"/>
    <w:rsid w:val="00E919FA"/>
    <w:rsid w:val="00E932EE"/>
    <w:rsid w:val="00E93563"/>
    <w:rsid w:val="00E9460A"/>
    <w:rsid w:val="00E952CB"/>
    <w:rsid w:val="00E95897"/>
    <w:rsid w:val="00E95E60"/>
    <w:rsid w:val="00EA058D"/>
    <w:rsid w:val="00EA0A5F"/>
    <w:rsid w:val="00EA0D24"/>
    <w:rsid w:val="00EA0E9E"/>
    <w:rsid w:val="00EA14F1"/>
    <w:rsid w:val="00EA1536"/>
    <w:rsid w:val="00EA16EF"/>
    <w:rsid w:val="00EA1A5B"/>
    <w:rsid w:val="00EA29E9"/>
    <w:rsid w:val="00EA57A3"/>
    <w:rsid w:val="00EA6769"/>
    <w:rsid w:val="00EA71AD"/>
    <w:rsid w:val="00EA7370"/>
    <w:rsid w:val="00EB037C"/>
    <w:rsid w:val="00EB07AF"/>
    <w:rsid w:val="00EB0B49"/>
    <w:rsid w:val="00EB1C77"/>
    <w:rsid w:val="00EB1C82"/>
    <w:rsid w:val="00EB1EAC"/>
    <w:rsid w:val="00EB293D"/>
    <w:rsid w:val="00EB3127"/>
    <w:rsid w:val="00EB3DE0"/>
    <w:rsid w:val="00EB4CDB"/>
    <w:rsid w:val="00EB6085"/>
    <w:rsid w:val="00EB6888"/>
    <w:rsid w:val="00EB6B8D"/>
    <w:rsid w:val="00EB6FF1"/>
    <w:rsid w:val="00EB7372"/>
    <w:rsid w:val="00EB7D96"/>
    <w:rsid w:val="00EC0DDB"/>
    <w:rsid w:val="00EC1B82"/>
    <w:rsid w:val="00EC1D26"/>
    <w:rsid w:val="00EC1F61"/>
    <w:rsid w:val="00EC1FA0"/>
    <w:rsid w:val="00EC209B"/>
    <w:rsid w:val="00EC3D0C"/>
    <w:rsid w:val="00EC3D10"/>
    <w:rsid w:val="00EC4EC1"/>
    <w:rsid w:val="00EC514A"/>
    <w:rsid w:val="00EC5A21"/>
    <w:rsid w:val="00EC5E6A"/>
    <w:rsid w:val="00EC6915"/>
    <w:rsid w:val="00EC6C15"/>
    <w:rsid w:val="00EC7758"/>
    <w:rsid w:val="00ED03E5"/>
    <w:rsid w:val="00ED22C7"/>
    <w:rsid w:val="00ED3152"/>
    <w:rsid w:val="00ED3A54"/>
    <w:rsid w:val="00ED3E7E"/>
    <w:rsid w:val="00ED5C06"/>
    <w:rsid w:val="00ED69E0"/>
    <w:rsid w:val="00ED6B58"/>
    <w:rsid w:val="00EE025D"/>
    <w:rsid w:val="00EE02BB"/>
    <w:rsid w:val="00EE0623"/>
    <w:rsid w:val="00EE0782"/>
    <w:rsid w:val="00EE0CA2"/>
    <w:rsid w:val="00EE109D"/>
    <w:rsid w:val="00EE19DC"/>
    <w:rsid w:val="00EE276D"/>
    <w:rsid w:val="00EE32E7"/>
    <w:rsid w:val="00EE6384"/>
    <w:rsid w:val="00EF06D5"/>
    <w:rsid w:val="00EF15CE"/>
    <w:rsid w:val="00EF1A71"/>
    <w:rsid w:val="00EF1E7E"/>
    <w:rsid w:val="00EF1F5F"/>
    <w:rsid w:val="00EF1FCB"/>
    <w:rsid w:val="00EF3750"/>
    <w:rsid w:val="00EF414D"/>
    <w:rsid w:val="00EF41BB"/>
    <w:rsid w:val="00EF4403"/>
    <w:rsid w:val="00EF5B3D"/>
    <w:rsid w:val="00EF7A48"/>
    <w:rsid w:val="00EF7AEA"/>
    <w:rsid w:val="00F002B2"/>
    <w:rsid w:val="00F00724"/>
    <w:rsid w:val="00F01DDD"/>
    <w:rsid w:val="00F03200"/>
    <w:rsid w:val="00F04065"/>
    <w:rsid w:val="00F04103"/>
    <w:rsid w:val="00F048B6"/>
    <w:rsid w:val="00F060C9"/>
    <w:rsid w:val="00F061F9"/>
    <w:rsid w:val="00F06AF9"/>
    <w:rsid w:val="00F06EBB"/>
    <w:rsid w:val="00F10914"/>
    <w:rsid w:val="00F10EE1"/>
    <w:rsid w:val="00F11530"/>
    <w:rsid w:val="00F122DA"/>
    <w:rsid w:val="00F12511"/>
    <w:rsid w:val="00F135DF"/>
    <w:rsid w:val="00F13936"/>
    <w:rsid w:val="00F13D83"/>
    <w:rsid w:val="00F14473"/>
    <w:rsid w:val="00F1554D"/>
    <w:rsid w:val="00F157F1"/>
    <w:rsid w:val="00F16A43"/>
    <w:rsid w:val="00F16A72"/>
    <w:rsid w:val="00F16C2A"/>
    <w:rsid w:val="00F1730F"/>
    <w:rsid w:val="00F17DD0"/>
    <w:rsid w:val="00F204DE"/>
    <w:rsid w:val="00F20ADC"/>
    <w:rsid w:val="00F22A2A"/>
    <w:rsid w:val="00F22DE6"/>
    <w:rsid w:val="00F231F5"/>
    <w:rsid w:val="00F247CA"/>
    <w:rsid w:val="00F24B9A"/>
    <w:rsid w:val="00F24E76"/>
    <w:rsid w:val="00F24FF0"/>
    <w:rsid w:val="00F25A34"/>
    <w:rsid w:val="00F26A21"/>
    <w:rsid w:val="00F2731A"/>
    <w:rsid w:val="00F30892"/>
    <w:rsid w:val="00F31D2F"/>
    <w:rsid w:val="00F31F31"/>
    <w:rsid w:val="00F31FD3"/>
    <w:rsid w:val="00F33118"/>
    <w:rsid w:val="00F334F1"/>
    <w:rsid w:val="00F34566"/>
    <w:rsid w:val="00F36588"/>
    <w:rsid w:val="00F37121"/>
    <w:rsid w:val="00F3765E"/>
    <w:rsid w:val="00F37DB9"/>
    <w:rsid w:val="00F40626"/>
    <w:rsid w:val="00F40DF9"/>
    <w:rsid w:val="00F42FBB"/>
    <w:rsid w:val="00F44541"/>
    <w:rsid w:val="00F445CB"/>
    <w:rsid w:val="00F452BF"/>
    <w:rsid w:val="00F45D54"/>
    <w:rsid w:val="00F46F7A"/>
    <w:rsid w:val="00F4754C"/>
    <w:rsid w:val="00F503A0"/>
    <w:rsid w:val="00F51B92"/>
    <w:rsid w:val="00F51DE9"/>
    <w:rsid w:val="00F51F5C"/>
    <w:rsid w:val="00F52A23"/>
    <w:rsid w:val="00F52DBC"/>
    <w:rsid w:val="00F53CDB"/>
    <w:rsid w:val="00F553C0"/>
    <w:rsid w:val="00F55BA4"/>
    <w:rsid w:val="00F55EA6"/>
    <w:rsid w:val="00F569A1"/>
    <w:rsid w:val="00F56CF0"/>
    <w:rsid w:val="00F56EDC"/>
    <w:rsid w:val="00F572C5"/>
    <w:rsid w:val="00F573AA"/>
    <w:rsid w:val="00F57937"/>
    <w:rsid w:val="00F57C9C"/>
    <w:rsid w:val="00F57DFC"/>
    <w:rsid w:val="00F57F19"/>
    <w:rsid w:val="00F6076A"/>
    <w:rsid w:val="00F6085C"/>
    <w:rsid w:val="00F6319A"/>
    <w:rsid w:val="00F63CE3"/>
    <w:rsid w:val="00F64443"/>
    <w:rsid w:val="00F644A1"/>
    <w:rsid w:val="00F648B2"/>
    <w:rsid w:val="00F65091"/>
    <w:rsid w:val="00F66D49"/>
    <w:rsid w:val="00F670C8"/>
    <w:rsid w:val="00F67361"/>
    <w:rsid w:val="00F7011B"/>
    <w:rsid w:val="00F716F2"/>
    <w:rsid w:val="00F71B4E"/>
    <w:rsid w:val="00F72C31"/>
    <w:rsid w:val="00F731FA"/>
    <w:rsid w:val="00F7387B"/>
    <w:rsid w:val="00F7536E"/>
    <w:rsid w:val="00F7564C"/>
    <w:rsid w:val="00F7683B"/>
    <w:rsid w:val="00F76B96"/>
    <w:rsid w:val="00F808FB"/>
    <w:rsid w:val="00F80A33"/>
    <w:rsid w:val="00F81154"/>
    <w:rsid w:val="00F81332"/>
    <w:rsid w:val="00F82781"/>
    <w:rsid w:val="00F82B48"/>
    <w:rsid w:val="00F8343B"/>
    <w:rsid w:val="00F8524C"/>
    <w:rsid w:val="00F85838"/>
    <w:rsid w:val="00F8665A"/>
    <w:rsid w:val="00F86A9A"/>
    <w:rsid w:val="00F86CF0"/>
    <w:rsid w:val="00F86D59"/>
    <w:rsid w:val="00F875AE"/>
    <w:rsid w:val="00F9015F"/>
    <w:rsid w:val="00F90262"/>
    <w:rsid w:val="00F90A19"/>
    <w:rsid w:val="00F91529"/>
    <w:rsid w:val="00F92159"/>
    <w:rsid w:val="00F93CEB"/>
    <w:rsid w:val="00F94400"/>
    <w:rsid w:val="00F946B9"/>
    <w:rsid w:val="00F94AFB"/>
    <w:rsid w:val="00F971B3"/>
    <w:rsid w:val="00FA0135"/>
    <w:rsid w:val="00FA49BE"/>
    <w:rsid w:val="00FA4BB6"/>
    <w:rsid w:val="00FA6A12"/>
    <w:rsid w:val="00FA6A3F"/>
    <w:rsid w:val="00FA6E0C"/>
    <w:rsid w:val="00FA7ABA"/>
    <w:rsid w:val="00FB06DA"/>
    <w:rsid w:val="00FB08E8"/>
    <w:rsid w:val="00FB293D"/>
    <w:rsid w:val="00FB2B9A"/>
    <w:rsid w:val="00FB3168"/>
    <w:rsid w:val="00FB600A"/>
    <w:rsid w:val="00FC0F02"/>
    <w:rsid w:val="00FC1CA3"/>
    <w:rsid w:val="00FC222E"/>
    <w:rsid w:val="00FC231F"/>
    <w:rsid w:val="00FC249E"/>
    <w:rsid w:val="00FC25FB"/>
    <w:rsid w:val="00FC2C6A"/>
    <w:rsid w:val="00FC3F44"/>
    <w:rsid w:val="00FC512C"/>
    <w:rsid w:val="00FC5652"/>
    <w:rsid w:val="00FC6C50"/>
    <w:rsid w:val="00FC7C4B"/>
    <w:rsid w:val="00FD0DE3"/>
    <w:rsid w:val="00FD12B2"/>
    <w:rsid w:val="00FD1A00"/>
    <w:rsid w:val="00FD1A19"/>
    <w:rsid w:val="00FD1C92"/>
    <w:rsid w:val="00FD2103"/>
    <w:rsid w:val="00FD272C"/>
    <w:rsid w:val="00FD2A3E"/>
    <w:rsid w:val="00FD4156"/>
    <w:rsid w:val="00FD548B"/>
    <w:rsid w:val="00FD59BF"/>
    <w:rsid w:val="00FD5ECD"/>
    <w:rsid w:val="00FD606A"/>
    <w:rsid w:val="00FD6C2B"/>
    <w:rsid w:val="00FD6ED5"/>
    <w:rsid w:val="00FD6EEA"/>
    <w:rsid w:val="00FD77F2"/>
    <w:rsid w:val="00FD79D3"/>
    <w:rsid w:val="00FE0084"/>
    <w:rsid w:val="00FE05F0"/>
    <w:rsid w:val="00FE1BF2"/>
    <w:rsid w:val="00FE328D"/>
    <w:rsid w:val="00FE36E8"/>
    <w:rsid w:val="00FE4754"/>
    <w:rsid w:val="00FE5281"/>
    <w:rsid w:val="00FE5EEC"/>
    <w:rsid w:val="00FE666D"/>
    <w:rsid w:val="00FE6D3B"/>
    <w:rsid w:val="00FE73BF"/>
    <w:rsid w:val="00FE76FD"/>
    <w:rsid w:val="00FE7826"/>
    <w:rsid w:val="00FF09B0"/>
    <w:rsid w:val="00FF0BDD"/>
    <w:rsid w:val="00FF11A4"/>
    <w:rsid w:val="00FF12A4"/>
    <w:rsid w:val="00FF14E5"/>
    <w:rsid w:val="00FF3129"/>
    <w:rsid w:val="00FF3931"/>
    <w:rsid w:val="00FF4895"/>
    <w:rsid w:val="00FF614A"/>
    <w:rsid w:val="00FF6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o:shapelayout v:ext="edit">
      <o:idmap v:ext="edit" data="1"/>
    </o:shapelayout>
  </w:shapeDefaults>
  <w:decimalSymbol w:val="."/>
  <w:listSeparator w:val=","/>
  <w14:docId w14:val="01A3D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761"/>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Subsection">
    <w:name w:val="Sub section"/>
    <w:basedOn w:val="Normal"/>
    <w:next w:val="Normal"/>
    <w:link w:val="SubsectionChar"/>
    <w:rsid w:val="00BA4CCD"/>
    <w:pPr>
      <w:numPr>
        <w:ilvl w:val="1"/>
        <w:numId w:val="1"/>
      </w:numPr>
      <w:tabs>
        <w:tab w:val="clear" w:pos="1418"/>
        <w:tab w:val="num" w:pos="851"/>
      </w:tabs>
      <w:ind w:left="851"/>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DD1742"/>
    <w:pPr>
      <w:tabs>
        <w:tab w:val="left" w:pos="851"/>
        <w:tab w:val="left" w:leader="dot" w:pos="8051"/>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EA058D"/>
    <w:rPr>
      <w:bCs/>
      <w:u w:val="single"/>
    </w:rPr>
  </w:style>
  <w:style w:type="paragraph" w:styleId="TOC2">
    <w:name w:val="toc 2"/>
    <w:basedOn w:val="Normal"/>
    <w:next w:val="Normal"/>
    <w:autoRedefine/>
    <w:uiPriority w:val="39"/>
    <w:rsid w:val="00DD1742"/>
    <w:pPr>
      <w:tabs>
        <w:tab w:val="left" w:pos="851"/>
        <w:tab w:val="left" w:leader="dot" w:pos="8051"/>
      </w:tabs>
    </w:pPr>
  </w:style>
  <w:style w:type="paragraph" w:styleId="TOC3">
    <w:name w:val="toc 3"/>
    <w:basedOn w:val="Normal"/>
    <w:next w:val="Normal"/>
    <w:autoRedefine/>
    <w:uiPriority w:val="39"/>
    <w:rsid w:val="003A3373"/>
    <w:pPr>
      <w:ind w:left="480"/>
    </w:pPr>
  </w:style>
  <w:style w:type="paragraph" w:customStyle="1" w:styleId="MainHeading">
    <w:name w:val="Main Heading"/>
    <w:basedOn w:val="Normal"/>
    <w:next w:val="Body"/>
    <w:rsid w:val="007D5A43"/>
    <w:pPr>
      <w:numPr>
        <w:numId w:val="1"/>
      </w:numPr>
      <w:spacing w:before="240"/>
      <w:outlineLvl w:val="0"/>
    </w:pPr>
    <w:rPr>
      <w:b/>
      <w:caps/>
    </w:rPr>
  </w:style>
  <w:style w:type="paragraph" w:customStyle="1" w:styleId="Subheading">
    <w:name w:val="Sub heading"/>
    <w:basedOn w:val="MainHeading"/>
    <w:next w:val="Body"/>
    <w:rsid w:val="003A3373"/>
    <w:pPr>
      <w:numPr>
        <w:numId w:val="0"/>
      </w:numPr>
      <w:tabs>
        <w:tab w:val="num" w:pos="851"/>
      </w:tabs>
      <w:ind w:left="851" w:hanging="851"/>
    </w:pPr>
  </w:style>
  <w:style w:type="paragraph" w:customStyle="1" w:styleId="Subheadingx2">
    <w:name w:val="Sub heading x2"/>
    <w:basedOn w:val="Subheading"/>
    <w:next w:val="Body"/>
    <w:rsid w:val="003A3373"/>
    <w:pPr>
      <w:numPr>
        <w:ilvl w:val="2"/>
      </w:numPr>
      <w:tabs>
        <w:tab w:val="num" w:pos="851"/>
      </w:tabs>
      <w:ind w:left="851" w:hanging="851"/>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ing"/>
    <w:link w:val="HeadingLevel1Char"/>
    <w:qFormat/>
    <w:rsid w:val="00D12B4B"/>
    <w:pPr>
      <w:keepNext/>
    </w:pPr>
  </w:style>
  <w:style w:type="paragraph" w:customStyle="1" w:styleId="HeadingLevel2">
    <w:name w:val="Heading Level 2"/>
    <w:basedOn w:val="Subsection"/>
    <w:link w:val="HeadingLevel2Char"/>
    <w:qFormat/>
    <w:rsid w:val="00C6692A"/>
    <w:pPr>
      <w:keepNext/>
      <w:tabs>
        <w:tab w:val="clear" w:pos="851"/>
        <w:tab w:val="num" w:pos="1418"/>
      </w:tabs>
    </w:pPr>
  </w:style>
  <w:style w:type="paragraph" w:styleId="TOC5">
    <w:name w:val="toc 5"/>
    <w:basedOn w:val="Normal"/>
    <w:next w:val="Normal"/>
    <w:autoRedefine/>
    <w:uiPriority w:val="39"/>
    <w:semiHidden/>
    <w:unhideWhenUsed/>
    <w:rsid w:val="007D5A43"/>
    <w:pPr>
      <w:spacing w:after="100"/>
      <w:ind w:left="960"/>
    </w:pPr>
  </w:style>
  <w:style w:type="character" w:customStyle="1" w:styleId="HeadingLevel1Char">
    <w:name w:val="Heading Level 1 Char"/>
    <w:basedOn w:val="DefaultParagraphFont"/>
    <w:link w:val="HeadingLevel1"/>
    <w:rsid w:val="00D12B4B"/>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C6692A"/>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5142E1"/>
    <w:pPr>
      <w:tabs>
        <w:tab w:val="left" w:pos="900"/>
      </w:tabs>
      <w:spacing w:before="0" w:after="0"/>
      <w:jc w:val="center"/>
    </w:pPr>
    <w:rPr>
      <w:b/>
    </w:rPr>
  </w:style>
  <w:style w:type="character" w:customStyle="1" w:styleId="ContentsHeadingChar">
    <w:name w:val="Contents Heading Char"/>
    <w:link w:val="ContentsHeading"/>
    <w:rsid w:val="005142E1"/>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DD1742"/>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semiHidden/>
    <w:unhideWhenUsed/>
    <w:rsid w:val="00D821C1"/>
    <w:rPr>
      <w:sz w:val="20"/>
      <w:szCs w:val="20"/>
    </w:rPr>
  </w:style>
  <w:style w:type="character" w:customStyle="1" w:styleId="CommentTextChar">
    <w:name w:val="Comment Text Char"/>
    <w:basedOn w:val="DefaultParagraphFont"/>
    <w:link w:val="CommentText"/>
    <w:uiPriority w:val="99"/>
    <w:semiHidden/>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unhideWhenUsed/>
    <w:rsid w:val="004C0560"/>
    <w:rPr>
      <w:vertAlign w:val="superscript"/>
    </w:rPr>
  </w:style>
  <w:style w:type="paragraph" w:styleId="EndnoteText">
    <w:name w:val="endnote text"/>
    <w:basedOn w:val="Normal"/>
    <w:link w:val="EndnoteTextChar"/>
    <w:uiPriority w:val="99"/>
    <w:semiHidden/>
    <w:unhideWhenUsed/>
    <w:rsid w:val="002D2357"/>
    <w:pPr>
      <w:spacing w:before="0" w:after="0"/>
    </w:pPr>
    <w:rPr>
      <w:sz w:val="20"/>
      <w:szCs w:val="20"/>
    </w:rPr>
  </w:style>
  <w:style w:type="character" w:customStyle="1" w:styleId="EndnoteTextChar">
    <w:name w:val="Endnote Text Char"/>
    <w:basedOn w:val="DefaultParagraphFont"/>
    <w:link w:val="EndnoteText"/>
    <w:uiPriority w:val="99"/>
    <w:semiHidden/>
    <w:rsid w:val="002D2357"/>
  </w:style>
  <w:style w:type="character" w:styleId="EndnoteReference">
    <w:name w:val="endnote reference"/>
    <w:basedOn w:val="DefaultParagraphFont"/>
    <w:uiPriority w:val="99"/>
    <w:semiHidden/>
    <w:unhideWhenUsed/>
    <w:rsid w:val="002D2357"/>
    <w:rPr>
      <w:vertAlign w:val="superscript"/>
    </w:rPr>
  </w:style>
  <w:style w:type="paragraph" w:customStyle="1" w:styleId="MainHeadding">
    <w:name w:val="Main Headding"/>
    <w:basedOn w:val="Normal"/>
    <w:next w:val="Normal"/>
    <w:rsid w:val="00CD6DCB"/>
    <w:pPr>
      <w:tabs>
        <w:tab w:val="num" w:pos="851"/>
      </w:tabs>
      <w:spacing w:before="240"/>
      <w:ind w:left="851" w:hanging="851"/>
      <w:outlineLvl w:val="0"/>
    </w:pPr>
    <w:rPr>
      <w:b/>
      <w:caps/>
    </w:rPr>
  </w:style>
  <w:style w:type="paragraph" w:styleId="TOCHeading">
    <w:name w:val="TOC Heading"/>
    <w:basedOn w:val="Heading1"/>
    <w:next w:val="Normal"/>
    <w:uiPriority w:val="39"/>
    <w:unhideWhenUsed/>
    <w:qFormat/>
    <w:rsid w:val="00782F7D"/>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character" w:styleId="UnresolvedMention">
    <w:name w:val="Unresolved Mention"/>
    <w:basedOn w:val="DefaultParagraphFont"/>
    <w:uiPriority w:val="99"/>
    <w:semiHidden/>
    <w:unhideWhenUsed/>
    <w:rsid w:val="00DA3878"/>
    <w:rPr>
      <w:color w:val="605E5C"/>
      <w:shd w:val="clear" w:color="auto" w:fill="E1DFDD"/>
    </w:rPr>
  </w:style>
  <w:style w:type="character" w:styleId="FollowedHyperlink">
    <w:name w:val="FollowedHyperlink"/>
    <w:basedOn w:val="DefaultParagraphFont"/>
    <w:uiPriority w:val="99"/>
    <w:semiHidden/>
    <w:unhideWhenUsed/>
    <w:rsid w:val="00077FA8"/>
    <w:rPr>
      <w:color w:val="954F72" w:themeColor="followedHyperlink"/>
      <w:u w:val="single"/>
    </w:rPr>
  </w:style>
  <w:style w:type="paragraph" w:styleId="Revision">
    <w:name w:val="Revision"/>
    <w:hidden/>
    <w:uiPriority w:val="99"/>
    <w:semiHidden/>
    <w:rsid w:val="000805A5"/>
    <w:rPr>
      <w:sz w:val="24"/>
      <w:szCs w:val="24"/>
    </w:rPr>
  </w:style>
  <w:style w:type="paragraph" w:styleId="NormalWeb">
    <w:name w:val="Normal (Web)"/>
    <w:basedOn w:val="Normal"/>
    <w:uiPriority w:val="99"/>
    <w:semiHidden/>
    <w:unhideWhenUsed/>
    <w:rsid w:val="00B666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888">
      <w:bodyDiv w:val="1"/>
      <w:marLeft w:val="0"/>
      <w:marRight w:val="0"/>
      <w:marTop w:val="0"/>
      <w:marBottom w:val="0"/>
      <w:divBdr>
        <w:top w:val="none" w:sz="0" w:space="0" w:color="auto"/>
        <w:left w:val="none" w:sz="0" w:space="0" w:color="auto"/>
        <w:bottom w:val="none" w:sz="0" w:space="0" w:color="auto"/>
        <w:right w:val="none" w:sz="0" w:space="0" w:color="auto"/>
      </w:divBdr>
    </w:div>
    <w:div w:id="562642030">
      <w:bodyDiv w:val="1"/>
      <w:marLeft w:val="0"/>
      <w:marRight w:val="0"/>
      <w:marTop w:val="0"/>
      <w:marBottom w:val="0"/>
      <w:divBdr>
        <w:top w:val="none" w:sz="0" w:space="0" w:color="auto"/>
        <w:left w:val="none" w:sz="0" w:space="0" w:color="auto"/>
        <w:bottom w:val="none" w:sz="0" w:space="0" w:color="auto"/>
        <w:right w:val="none" w:sz="0" w:space="0" w:color="auto"/>
      </w:divBdr>
    </w:div>
    <w:div w:id="1292901459">
      <w:bodyDiv w:val="1"/>
      <w:marLeft w:val="0"/>
      <w:marRight w:val="0"/>
      <w:marTop w:val="0"/>
      <w:marBottom w:val="0"/>
      <w:divBdr>
        <w:top w:val="none" w:sz="0" w:space="0" w:color="auto"/>
        <w:left w:val="none" w:sz="0" w:space="0" w:color="auto"/>
        <w:bottom w:val="none" w:sz="0" w:space="0" w:color="auto"/>
        <w:right w:val="none" w:sz="0" w:space="0" w:color="auto"/>
      </w:divBdr>
    </w:div>
    <w:div w:id="1295259123">
      <w:bodyDiv w:val="1"/>
      <w:marLeft w:val="0"/>
      <w:marRight w:val="0"/>
      <w:marTop w:val="0"/>
      <w:marBottom w:val="0"/>
      <w:divBdr>
        <w:top w:val="none" w:sz="0" w:space="0" w:color="auto"/>
        <w:left w:val="none" w:sz="0" w:space="0" w:color="auto"/>
        <w:bottom w:val="none" w:sz="0" w:space="0" w:color="auto"/>
        <w:right w:val="none" w:sz="0" w:space="0" w:color="auto"/>
      </w:divBdr>
    </w:div>
    <w:div w:id="145417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E8E1C6D-8CAA-4EA8-B54C-C2F08F2AC3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D1265E62427748940AC514DF7B028F" ma:contentTypeVersion="" ma:contentTypeDescription="PDMS Document Site Content Type" ma:contentTypeScope="" ma:versionID="81bbcd025d3224fa783fc00e0d8db8c2">
  <xsd:schema xmlns:xsd="http://www.w3.org/2001/XMLSchema" xmlns:xs="http://www.w3.org/2001/XMLSchema" xmlns:p="http://schemas.microsoft.com/office/2006/metadata/properties" xmlns:ns2="CE8E1C6D-8CAA-4EA8-B54C-C2F08F2AC310" targetNamespace="http://schemas.microsoft.com/office/2006/metadata/properties" ma:root="true" ma:fieldsID="703cf07ab86d5fe04a3017308977130e" ns2:_="">
    <xsd:import namespace="CE8E1C6D-8CAA-4EA8-B54C-C2F08F2AC31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E1C6D-8CAA-4EA8-B54C-C2F08F2AC31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B41C5-C3F9-4D66-873C-57312C11EE12}">
  <ds:schemaRefs>
    <ds:schemaRef ds:uri="http://schemas.microsoft.com/sharepoint/v3/contenttype/forms"/>
  </ds:schemaRefs>
</ds:datastoreItem>
</file>

<file path=customXml/itemProps2.xml><?xml version="1.0" encoding="utf-8"?>
<ds:datastoreItem xmlns:ds="http://schemas.openxmlformats.org/officeDocument/2006/customXml" ds:itemID="{A11E3866-4471-422C-823C-C45B6DC8C57C}">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CE8E1C6D-8CAA-4EA8-B54C-C2F08F2AC310"/>
    <ds:schemaRef ds:uri="http://www.w3.org/XML/1998/namespace"/>
    <ds:schemaRef ds:uri="http://purl.org/dc/dcmitype/"/>
  </ds:schemaRefs>
</ds:datastoreItem>
</file>

<file path=customXml/itemProps3.xml><?xml version="1.0" encoding="utf-8"?>
<ds:datastoreItem xmlns:ds="http://schemas.openxmlformats.org/officeDocument/2006/customXml" ds:itemID="{F06DBD79-3A0A-4FFA-8AD2-FFE478CE7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E1C6D-8CAA-4EA8-B54C-C2F08F2AC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1E3CBF-0CDB-4111-A832-5ADBAEC9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3377</Words>
  <Characters>19493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2025-01-24T03:15:00Z</dcterms:created>
  <dcterms:modified xsi:type="dcterms:W3CDTF">2025-01-27T00:48:00Z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0x010100266966F133664895A6EE3632470D45F500CBD1265E62427748940AC514DF7B028F</vt:lpwstr>
  </property>
</Properties>
</file>