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BB5" w:rsidRPr="00231A23" w:rsidRDefault="00160BB5" w:rsidP="00160BB5">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bookmarkStart w:id="0" w:name="_GoBack"/>
      <w:r w:rsidRPr="00231A23">
        <w:rPr>
          <w:rFonts w:ascii="Times New Roman" w:eastAsia="Times New Roman" w:hAnsi="Times New Roman" w:cs="Times New Roman"/>
          <w:b/>
          <w:bCs/>
          <w:i/>
          <w:iCs/>
          <w:color w:val="000000"/>
          <w:spacing w:val="-2"/>
          <w:kern w:val="36"/>
          <w:sz w:val="28"/>
          <w:szCs w:val="28"/>
          <w:lang w:val="en-AU" w:eastAsia="en-AU"/>
        </w:rPr>
        <w:t>Legislation (Deferral of Sunsetting—Passports Instruments) Certificate 202</w:t>
      </w:r>
      <w:bookmarkStart w:id="1" w:name="_Hlk142482684"/>
      <w:r w:rsidRPr="00231A23">
        <w:rPr>
          <w:rFonts w:ascii="Times New Roman" w:eastAsia="Times New Roman" w:hAnsi="Times New Roman" w:cs="Times New Roman"/>
          <w:b/>
          <w:bCs/>
          <w:i/>
          <w:iCs/>
          <w:color w:val="000000"/>
          <w:spacing w:val="-2"/>
          <w:kern w:val="36"/>
          <w:sz w:val="28"/>
          <w:szCs w:val="28"/>
          <w:lang w:val="en-AU" w:eastAsia="en-AU"/>
        </w:rPr>
        <w:t>5</w:t>
      </w:r>
      <w:bookmarkEnd w:id="1"/>
    </w:p>
    <w:bookmarkEnd w:id="0"/>
    <w:p w:rsidR="00160BB5" w:rsidRPr="00231A23" w:rsidRDefault="00160BB5" w:rsidP="00160BB5">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160BB5" w:rsidRPr="00231A23" w:rsidRDefault="00160BB5" w:rsidP="00160BB5">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160BB5" w:rsidRPr="00231A23" w:rsidRDefault="00160BB5" w:rsidP="00160BB5">
      <w:pPr>
        <w:pBdr>
          <w:bottom w:val="single" w:sz="12" w:space="1" w:color="auto"/>
        </w:pBdr>
        <w:spacing w:after="360" w:line="360" w:lineRule="auto"/>
        <w:jc w:val="both"/>
        <w:rPr>
          <w:rFonts w:ascii="Times New Roman" w:hAnsi="Times New Roman" w:cs="Times New Roman"/>
          <w:lang w:val="en-AU"/>
        </w:rPr>
      </w:pPr>
      <w:bookmarkStart w:id="2" w:name="_Hlk148003041"/>
      <w:bookmarkStart w:id="3" w:name="_Hlk148003019"/>
    </w:p>
    <w:bookmarkEnd w:id="2"/>
    <w:p w:rsidR="00160BB5" w:rsidRPr="00231A23" w:rsidRDefault="00160BB5" w:rsidP="00160BB5">
      <w:pPr>
        <w:spacing w:line="360" w:lineRule="auto"/>
        <w:contextualSpacing/>
        <w:rPr>
          <w:rFonts w:ascii="Times New Roman" w:hAnsi="Times New Roman" w:cs="Times New Roman"/>
          <w:b/>
          <w:bCs/>
        </w:rPr>
      </w:pPr>
      <w:r w:rsidRPr="00231A23">
        <w:rPr>
          <w:rFonts w:ascii="Times New Roman" w:hAnsi="Times New Roman" w:cs="Times New Roman"/>
          <w:b/>
          <w:bCs/>
        </w:rPr>
        <w:t>I</w:t>
      </w:r>
      <w:bookmarkEnd w:id="3"/>
      <w:r w:rsidRPr="00231A23">
        <w:rPr>
          <w:rFonts w:ascii="Times New Roman" w:hAnsi="Times New Roman" w:cs="Times New Roman"/>
          <w:b/>
          <w:bCs/>
        </w:rPr>
        <w:t>NTRODUCTION</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Legislation (Deferral of Sunsetting—</w:t>
      </w:r>
      <w:bookmarkStart w:id="4" w:name="_Hlk142053726"/>
      <w:r w:rsidRPr="00231A23">
        <w:rPr>
          <w:rFonts w:ascii="Times New Roman" w:hAnsi="Times New Roman" w:cs="Times New Roman"/>
          <w:i/>
        </w:rPr>
        <w:t>Passports Instruments</w:t>
      </w:r>
      <w:bookmarkEnd w:id="4"/>
      <w:r w:rsidRPr="00231A23">
        <w:rPr>
          <w:rFonts w:ascii="Times New Roman" w:hAnsi="Times New Roman" w:cs="Times New Roman"/>
          <w:i/>
        </w:rPr>
        <w:t xml:space="preserve">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after the date on which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lastRenderedPageBreak/>
        <w:t>The Certificate defers the sunsetting date of the following instruments by 24 months from 1 October 2025 to 1 October 2027 (together, the ‘Passports Instruments’):</w:t>
      </w:r>
    </w:p>
    <w:p w:rsidR="00160BB5" w:rsidRPr="00231A23" w:rsidRDefault="00160BB5" w:rsidP="00160BB5">
      <w:pPr>
        <w:numPr>
          <w:ilvl w:val="0"/>
          <w:numId w:val="1"/>
        </w:numPr>
        <w:spacing w:line="360" w:lineRule="auto"/>
        <w:contextualSpacing/>
        <w:rPr>
          <w:rFonts w:ascii="Times New Roman" w:hAnsi="Times New Roman" w:cs="Times New Roman"/>
        </w:rPr>
      </w:pPr>
      <w:r w:rsidRPr="00231A23">
        <w:rPr>
          <w:rFonts w:ascii="Times New Roman" w:hAnsi="Times New Roman" w:cs="Times New Roman"/>
          <w:i/>
        </w:rPr>
        <w:t xml:space="preserve">Australian Passports (Application Fees) Determination 2015 </w:t>
      </w:r>
    </w:p>
    <w:p w:rsidR="00160BB5" w:rsidRPr="00231A23" w:rsidRDefault="00160BB5" w:rsidP="00160BB5">
      <w:pPr>
        <w:numPr>
          <w:ilvl w:val="0"/>
          <w:numId w:val="1"/>
        </w:numPr>
        <w:spacing w:line="360" w:lineRule="auto"/>
        <w:contextualSpacing/>
        <w:rPr>
          <w:rFonts w:ascii="Times New Roman" w:hAnsi="Times New Roman" w:cs="Times New Roman"/>
        </w:rPr>
      </w:pPr>
      <w:r w:rsidRPr="00231A23">
        <w:rPr>
          <w:rFonts w:ascii="Times New Roman" w:hAnsi="Times New Roman" w:cs="Times New Roman"/>
          <w:i/>
        </w:rPr>
        <w:t>Australian Passports Determination 2015</w:t>
      </w:r>
    </w:p>
    <w:p w:rsidR="00160BB5" w:rsidRPr="00231A23" w:rsidRDefault="00160BB5" w:rsidP="00160BB5">
      <w:pPr>
        <w:numPr>
          <w:ilvl w:val="0"/>
          <w:numId w:val="1"/>
        </w:numPr>
        <w:spacing w:line="360" w:lineRule="auto"/>
        <w:contextualSpacing/>
        <w:rPr>
          <w:rFonts w:ascii="Times New Roman" w:hAnsi="Times New Roman" w:cs="Times New Roman"/>
        </w:rPr>
      </w:pPr>
      <w:r w:rsidRPr="00231A23">
        <w:rPr>
          <w:rFonts w:ascii="Times New Roman" w:hAnsi="Times New Roman" w:cs="Times New Roman"/>
          <w:i/>
        </w:rPr>
        <w:t>Foreign Passports (Law Enforcement and Security) Determination 2015.</w:t>
      </w:r>
    </w:p>
    <w:p w:rsidR="00160BB5" w:rsidRPr="00231A23" w:rsidRDefault="00160BB5" w:rsidP="00160BB5">
      <w:pPr>
        <w:pStyle w:val="NoSpacing"/>
        <w:spacing w:line="360" w:lineRule="auto"/>
        <w:contextualSpacing/>
        <w:rPr>
          <w:rFonts w:ascii="Times New Roman" w:hAnsi="Times New Roman" w:cs="Times New Roman"/>
        </w:rPr>
      </w:pPr>
      <w:r w:rsidRPr="00231A23">
        <w:rPr>
          <w:rFonts w:ascii="Times New Roman" w:hAnsi="Times New Roman" w:cs="Times New Roman"/>
        </w:rPr>
        <w:t>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Passports Instruments are expected to be remade within 24 months of the sunsetting date as a result of a review by the Department of Foreign Affairs and Trade (DFAT). If the Certificate were to be disallowed, there would not be enough time to review and remake the Instruments prior to the sunsetting day.</w:t>
      </w:r>
    </w:p>
    <w:p w:rsidR="00160BB5" w:rsidRPr="00231A23" w:rsidRDefault="00160BB5" w:rsidP="00160BB5">
      <w:pPr>
        <w:spacing w:line="360" w:lineRule="auto"/>
        <w:contextualSpacing/>
        <w:rPr>
          <w:rFonts w:ascii="Times New Roman" w:hAnsi="Times New Roman" w:cs="Times New Roman"/>
          <w:b/>
          <w:bCs/>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160BB5" w:rsidRPr="00231A23" w:rsidRDefault="00160BB5" w:rsidP="00160BB5">
      <w:pPr>
        <w:spacing w:line="360" w:lineRule="auto"/>
        <w:contextualSpacing/>
        <w:rPr>
          <w:rFonts w:ascii="Times New Roman" w:hAnsi="Times New Roman" w:cs="Times New Roman"/>
          <w:b/>
          <w:bCs/>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bookmarkStart w:id="5" w:name="_Hlk142053959"/>
      <w:r w:rsidRPr="00231A23">
        <w:rPr>
          <w:rFonts w:ascii="Times New Roman" w:hAnsi="Times New Roman" w:cs="Times New Roman"/>
        </w:rPr>
        <w:t>.</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bookmarkStart w:id="6" w:name="_Hlk181782458"/>
      <w:r w:rsidRPr="00231A23">
        <w:rPr>
          <w:rFonts w:ascii="Times New Roman" w:hAnsi="Times New Roman" w:cs="Times New Roman"/>
        </w:rPr>
        <w:t xml:space="preserve">The </w:t>
      </w:r>
      <w:r w:rsidRPr="00231A23">
        <w:rPr>
          <w:rFonts w:ascii="Times New Roman" w:hAnsi="Times New Roman" w:cs="Times New Roman"/>
          <w:i/>
        </w:rPr>
        <w:t>Australian Passports (Application Fees) Determination 2015, Australian Passports Determination 2015,</w:t>
      </w:r>
      <w:r w:rsidRPr="00231A23">
        <w:rPr>
          <w:rFonts w:ascii="Times New Roman" w:hAnsi="Times New Roman" w:cs="Times New Roman"/>
        </w:rPr>
        <w:t xml:space="preserve"> and </w:t>
      </w:r>
      <w:r w:rsidRPr="00231A23">
        <w:rPr>
          <w:rFonts w:ascii="Times New Roman" w:hAnsi="Times New Roman" w:cs="Times New Roman"/>
          <w:i/>
        </w:rPr>
        <w:t>Foreign Passports (Law Enforcement and Security) Determination 2015</w:t>
      </w:r>
      <w:r w:rsidRPr="00231A23">
        <w:rPr>
          <w:rFonts w:ascii="Times New Roman" w:hAnsi="Times New Roman" w:cs="Times New Roman"/>
        </w:rPr>
        <w:t xml:space="preserve"> are made under the </w:t>
      </w:r>
      <w:r w:rsidRPr="00231A23">
        <w:rPr>
          <w:rFonts w:ascii="Times New Roman" w:hAnsi="Times New Roman" w:cs="Times New Roman"/>
          <w:i/>
        </w:rPr>
        <w:t>Australian Passports (Application Fees) Act 2005</w:t>
      </w:r>
      <w:r w:rsidRPr="00231A23">
        <w:rPr>
          <w:rFonts w:ascii="Times New Roman" w:hAnsi="Times New Roman" w:cs="Times New Roman"/>
        </w:rPr>
        <w:t xml:space="preserve">, the </w:t>
      </w:r>
      <w:r w:rsidRPr="00231A23">
        <w:rPr>
          <w:rFonts w:ascii="Times New Roman" w:hAnsi="Times New Roman" w:cs="Times New Roman"/>
          <w:i/>
        </w:rPr>
        <w:t>Australian Passports Act 2005,</w:t>
      </w:r>
      <w:r w:rsidRPr="00231A23">
        <w:rPr>
          <w:rFonts w:ascii="Times New Roman" w:hAnsi="Times New Roman" w:cs="Times New Roman"/>
        </w:rPr>
        <w:t xml:space="preserve"> and the </w:t>
      </w:r>
      <w:r w:rsidRPr="00231A23">
        <w:rPr>
          <w:rFonts w:ascii="Times New Roman" w:hAnsi="Times New Roman" w:cs="Times New Roman"/>
          <w:i/>
        </w:rPr>
        <w:t>Foreign Passports (Law Enforcement and Security) Act 2005</w:t>
      </w:r>
      <w:r w:rsidRPr="00231A23">
        <w:rPr>
          <w:rFonts w:ascii="Times New Roman" w:hAnsi="Times New Roman" w:cs="Times New Roman"/>
        </w:rPr>
        <w:t xml:space="preserve">, respectively.  </w:t>
      </w:r>
    </w:p>
    <w:bookmarkEnd w:id="6"/>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afterLines="200" w:after="48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Australian Passports Act 2005</w:t>
      </w:r>
      <w:r w:rsidRPr="00231A23">
        <w:rPr>
          <w:rFonts w:ascii="Times New Roman" w:hAnsi="Times New Roman" w:cs="Times New Roman"/>
        </w:rPr>
        <w:t xml:space="preserve"> (the Passports Act) provides for the issue and administration of Australian passports, to be used as evidence of identity and citizenship by Australian citizens who are travelling internationally. The </w:t>
      </w:r>
      <w:r w:rsidRPr="00231A23">
        <w:rPr>
          <w:rFonts w:ascii="Times New Roman" w:hAnsi="Times New Roman" w:cs="Times New Roman"/>
          <w:i/>
        </w:rPr>
        <w:t>Australian Passports Determination 2015</w:t>
      </w:r>
      <w:r w:rsidRPr="00231A23">
        <w:rPr>
          <w:rFonts w:ascii="Times New Roman" w:hAnsi="Times New Roman" w:cs="Times New Roman"/>
        </w:rPr>
        <w:t xml:space="preserve"> (the Passports Determination) specifies matters provided in the Passports Act, such as the issue of travel-related documents, including non-citizen travel documents; special circumstances under which an Australian travel document may be issued to a child; circumstances in which the Minister may refuse to issue an Australian travel document related to law enforcement matters; maximum validity for passports and </w:t>
      </w:r>
      <w:r w:rsidRPr="00231A23">
        <w:rPr>
          <w:rFonts w:ascii="Times New Roman" w:hAnsi="Times New Roman" w:cs="Times New Roman"/>
        </w:rPr>
        <w:lastRenderedPageBreak/>
        <w:t>travel-related documents, and when concurrent documents may be issued; circumstances in which travel documents cease to be valid; disclosure of information by and to the Minister; names to appear on travel documents; circumstances under which a fee may be waived or refunded; and delegations and reviewability of decisions.</w:t>
      </w:r>
    </w:p>
    <w:p w:rsidR="00160BB5" w:rsidRPr="00231A23" w:rsidRDefault="00160BB5" w:rsidP="00160BB5">
      <w:pPr>
        <w:spacing w:afterLines="200" w:after="480" w:line="360" w:lineRule="auto"/>
        <w:contextualSpacing/>
        <w:rPr>
          <w:rFonts w:ascii="Times New Roman" w:hAnsi="Times New Roman" w:cs="Times New Roman"/>
        </w:rPr>
      </w:pPr>
    </w:p>
    <w:p w:rsidR="00160BB5" w:rsidRPr="00231A23" w:rsidRDefault="00160BB5" w:rsidP="00160BB5">
      <w:pPr>
        <w:spacing w:afterLines="200" w:after="48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Australian Passports (Application Fees) Act 2005</w:t>
      </w:r>
      <w:r w:rsidRPr="00231A23">
        <w:rPr>
          <w:rFonts w:ascii="Times New Roman" w:hAnsi="Times New Roman" w:cs="Times New Roman"/>
        </w:rPr>
        <w:t xml:space="preserve"> (the Fees Act) provides for the imposition of fees, as taxes, for applications for Australian travel documents. The </w:t>
      </w:r>
      <w:r w:rsidRPr="00231A23">
        <w:rPr>
          <w:rFonts w:ascii="Times New Roman" w:hAnsi="Times New Roman" w:cs="Times New Roman"/>
          <w:i/>
        </w:rPr>
        <w:t>Australian Passports (Application Fees) Determination 2015</w:t>
      </w:r>
      <w:r w:rsidRPr="00231A23">
        <w:rPr>
          <w:rFonts w:ascii="Times New Roman" w:hAnsi="Times New Roman" w:cs="Times New Roman"/>
        </w:rPr>
        <w:t xml:space="preserve"> lists the fees to apply for Australian passports and the various travel</w:t>
      </w:r>
      <w:r w:rsidRPr="00231A23">
        <w:rPr>
          <w:rFonts w:ascii="Times New Roman" w:hAnsi="Times New Roman" w:cs="Times New Roman"/>
        </w:rPr>
        <w:noBreakHyphen/>
        <w:t>related documents administered by the Australian Passport Office (APO).</w:t>
      </w:r>
    </w:p>
    <w:p w:rsidR="00160BB5" w:rsidRPr="00231A23" w:rsidRDefault="00160BB5" w:rsidP="00160BB5">
      <w:pPr>
        <w:spacing w:afterLines="200" w:after="480" w:line="360" w:lineRule="auto"/>
        <w:contextualSpacing/>
        <w:rPr>
          <w:rFonts w:ascii="Times New Roman" w:hAnsi="Times New Roman" w:cs="Times New Roman"/>
        </w:rPr>
      </w:pPr>
    </w:p>
    <w:p w:rsidR="00160BB5" w:rsidRPr="00231A23" w:rsidRDefault="00160BB5" w:rsidP="00160BB5">
      <w:pPr>
        <w:spacing w:afterLines="200" w:after="48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Foreign Passports (Law Enforcement and Security) Act 2005</w:t>
      </w:r>
      <w:r w:rsidRPr="00231A23">
        <w:rPr>
          <w:rFonts w:ascii="Times New Roman" w:hAnsi="Times New Roman" w:cs="Times New Roman"/>
        </w:rPr>
        <w:t xml:space="preserve"> (the Foreign Passports Act) provides powers for responding to law enforcement matters that involve foreign travel documents, including the ability to demand surrender of a foreign passport related to law enforcement, security, or potential for harmful conduct provisions. The </w:t>
      </w:r>
      <w:r w:rsidRPr="00231A23">
        <w:rPr>
          <w:rFonts w:ascii="Times New Roman" w:hAnsi="Times New Roman" w:cs="Times New Roman"/>
          <w:i/>
        </w:rPr>
        <w:t>Foreign Passports (Law Enforcement and Security) Determination 2015</w:t>
      </w:r>
      <w:r w:rsidRPr="00231A23">
        <w:rPr>
          <w:rFonts w:ascii="Times New Roman" w:hAnsi="Times New Roman" w:cs="Times New Roman"/>
        </w:rPr>
        <w:t xml:space="preserve"> specifies certain persons as being ‘competent authorities’ for the purposes of various powers under the Foreign Passports Act.</w:t>
      </w:r>
    </w:p>
    <w:p w:rsidR="00160BB5" w:rsidRPr="00231A23" w:rsidRDefault="00160BB5" w:rsidP="00160BB5">
      <w:pPr>
        <w:spacing w:afterLines="200" w:after="480" w:line="360" w:lineRule="auto"/>
        <w:contextualSpacing/>
        <w:rPr>
          <w:rFonts w:ascii="Times New Roman" w:hAnsi="Times New Roman" w:cs="Times New Roman"/>
        </w:rPr>
      </w:pPr>
    </w:p>
    <w:p w:rsidR="00160BB5" w:rsidRPr="00231A23" w:rsidRDefault="00160BB5" w:rsidP="00160BB5">
      <w:pPr>
        <w:spacing w:afterLines="200" w:after="480" w:line="360" w:lineRule="auto"/>
        <w:contextualSpacing/>
        <w:rPr>
          <w:rFonts w:ascii="Times New Roman" w:hAnsi="Times New Roman" w:cs="Times New Roman"/>
        </w:rPr>
      </w:pPr>
      <w:r w:rsidRPr="00231A23">
        <w:rPr>
          <w:rFonts w:ascii="Times New Roman" w:hAnsi="Times New Roman" w:cs="Times New Roman"/>
        </w:rPr>
        <w:t>DFAT is undertaking a review of primary passport legislation to ensure its continued effectiveness in the context of a changing society and modernisation. Any changes to primary passport legislation will be reflected in remade Passports Instruments.</w:t>
      </w:r>
      <w:bookmarkEnd w:id="5"/>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u w:val="single"/>
        </w:rPr>
      </w:pPr>
      <w:r w:rsidRPr="00231A23">
        <w:rPr>
          <w:rFonts w:ascii="Times New Roman" w:hAnsi="Times New Roman" w:cs="Times New Roman"/>
        </w:rPr>
        <w:t>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instruments will be subject to further consultation and parliamentary oversight, including oversight of whether adequate consultation occurred with persons likely to be affected by the replacement instruments.</w:t>
      </w:r>
    </w:p>
    <w:p w:rsidR="00160BB5" w:rsidRPr="00231A23" w:rsidRDefault="00160BB5" w:rsidP="00160BB5">
      <w:pPr>
        <w:spacing w:line="360" w:lineRule="auto"/>
        <w:contextualSpacing/>
        <w:rPr>
          <w:rFonts w:ascii="Times New Roman" w:hAnsi="Times New Roman" w:cs="Times New Roman"/>
          <w:u w:val="single"/>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A 24-month deferral will allow sufficient time for DFAT to conduct the review and will avoid the need to remake the Passports Instruments in their current form for the short period of time before they are repealed and replacement instruments are made. As such, given that deferral of the sunsetting date of the Passports Instruments is consistent with the policy intent of the sunsetting regime and does not significantly alter existing arrangements, appropriate consultation has occurred for the purposes of section 17 of the Legislation Act.</w:t>
      </w:r>
    </w:p>
    <w:p w:rsidR="00160BB5" w:rsidRPr="00231A23" w:rsidRDefault="00160BB5" w:rsidP="00160BB5">
      <w:pPr>
        <w:rPr>
          <w:rFonts w:ascii="Times New Roman" w:hAnsi="Times New Roman" w:cs="Times New Roman"/>
        </w:rPr>
      </w:pPr>
      <w:r w:rsidRPr="00231A23">
        <w:rPr>
          <w:rFonts w:ascii="Times New Roman" w:hAnsi="Times New Roman" w:cs="Times New Roman"/>
        </w:rPr>
        <w:br w:type="page"/>
      </w:r>
    </w:p>
    <w:p w:rsidR="00160BB5" w:rsidRPr="00231A23" w:rsidRDefault="00160BB5" w:rsidP="00160BB5">
      <w:pPr>
        <w:spacing w:line="360" w:lineRule="auto"/>
        <w:contextualSpacing/>
        <w:rPr>
          <w:rFonts w:ascii="Times New Roman" w:hAnsi="Times New Roman" w:cs="Times New Roman"/>
          <w:b/>
          <w:lang w:val="en-AU"/>
        </w:rPr>
      </w:pPr>
      <w:r w:rsidRPr="00231A23">
        <w:rPr>
          <w:rFonts w:ascii="Times New Roman" w:hAnsi="Times New Roman" w:cs="Times New Roman"/>
          <w:b/>
        </w:rPr>
        <w:lastRenderedPageBreak/>
        <w:t>Statutory preconditions relevant to the Certificate</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160BB5" w:rsidRPr="00231A23" w:rsidRDefault="00160BB5" w:rsidP="00160BB5">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160BB5" w:rsidRPr="00231A23" w:rsidRDefault="00160BB5" w:rsidP="00160BB5">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160BB5" w:rsidRPr="00231A23" w:rsidRDefault="00160BB5" w:rsidP="00160BB5">
      <w:pPr>
        <w:numPr>
          <w:ilvl w:val="1"/>
          <w:numId w:val="3"/>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160BB5" w:rsidRPr="00231A23" w:rsidRDefault="00160BB5" w:rsidP="00160BB5">
      <w:pPr>
        <w:numPr>
          <w:ilvl w:val="1"/>
          <w:numId w:val="3"/>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160BB5" w:rsidRPr="00231A23" w:rsidRDefault="00160BB5" w:rsidP="00160BB5">
      <w:pPr>
        <w:numPr>
          <w:ilvl w:val="1"/>
          <w:numId w:val="3"/>
        </w:numPr>
        <w:spacing w:line="360" w:lineRule="auto"/>
        <w:contextualSpacing/>
        <w:rPr>
          <w:rFonts w:ascii="Times New Roman" w:hAnsi="Times New Roman" w:cs="Times New Roman"/>
        </w:rPr>
      </w:pPr>
      <w:r w:rsidRPr="00231A23">
        <w:rPr>
          <w:rFonts w:ascii="Times New Roman" w:hAnsi="Times New Roman" w:cs="Times New Roman"/>
        </w:rPr>
        <w:t>the dissolution or expiration of the House of Representatives or the prorogation of the Parliament renders it inappropriate to make a replacement instrument before a new government is formed, or</w:t>
      </w:r>
    </w:p>
    <w:p w:rsidR="00160BB5" w:rsidRPr="00231A23" w:rsidRDefault="00160BB5" w:rsidP="00160BB5">
      <w:pPr>
        <w:numPr>
          <w:ilvl w:val="1"/>
          <w:numId w:val="3"/>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160BB5" w:rsidRPr="00231A23" w:rsidRDefault="00160BB5" w:rsidP="00160BB5">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bookmarkStart w:id="7" w:name="_Hlk142562750"/>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 rule-maker for the Passports Instruments, the Minister for Foreign Affairs, Senator the Hon Penny Wong, provided a written application to the Attorney</w:t>
      </w:r>
      <w:r w:rsidRPr="00231A23">
        <w:rPr>
          <w:rFonts w:ascii="Times New Roman" w:hAnsi="Times New Roman" w:cs="Times New Roman"/>
        </w:rPr>
        <w:noBreakHyphen/>
        <w:t>General seeking a certificate of deferral of sunsetting for the Passports Instruments.</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w:t>
      </w:r>
      <w:r w:rsidRPr="00231A23">
        <w:rPr>
          <w:rFonts w:ascii="Times New Roman" w:hAnsi="Times New Roman" w:cs="Times New Roman"/>
        </w:rPr>
        <w:noBreakHyphen/>
        <w:t>General is satisfied that the Passports Instruments would, apart from the operation of Part 4 of Chapter 3 of the Legislation Act, be likely to cease to be in force within 24 months after their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bookmarkEnd w:id="7"/>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Statement of Reasons for issuing of the Certificate</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rPr>
        <w:t xml:space="preserve">The Certificate defers the sunsetting date of the Passports Instruments by 24 months to 1 October 2027 to enable the DFAT to conduct a review of primary passport legislation to ensure its continued effectiveness in the context of a changing society and modernisation. </w:t>
      </w:r>
      <w:bookmarkStart w:id="8" w:name="_Hlk142057304"/>
      <w:bookmarkStart w:id="9" w:name="_Hlk142057351"/>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after="0" w:line="360" w:lineRule="auto"/>
        <w:contextualSpacing/>
        <w:rPr>
          <w:rFonts w:ascii="Times New Roman" w:hAnsi="Times New Roman" w:cs="Times New Roman"/>
        </w:rPr>
      </w:pPr>
      <w:r w:rsidRPr="00231A23">
        <w:rPr>
          <w:rFonts w:ascii="Times New Roman" w:hAnsi="Times New Roman" w:cs="Times New Roman"/>
        </w:rPr>
        <w:t xml:space="preserve">DFAT has commenced this review of primary passport legislation, which has involved engaging an independent consultancy firm to undertake a First Principles and Thematic Review (the Review) of the Australian Passport Office (APO) administered legislation. The Review identified 21 themes with </w:t>
      </w:r>
      <w:r w:rsidRPr="00231A23">
        <w:rPr>
          <w:rFonts w:ascii="Times New Roman" w:hAnsi="Times New Roman" w:cs="Times New Roman"/>
        </w:rPr>
        <w:lastRenderedPageBreak/>
        <w:t xml:space="preserve">the final report identifying 13 key areas within existing legislation that impact the effective operation of the passport system and directly impact the APO’s modernisation agenda. </w:t>
      </w:r>
    </w:p>
    <w:p w:rsidR="00160BB5" w:rsidRPr="00231A23" w:rsidRDefault="00160BB5" w:rsidP="00160BB5">
      <w:pPr>
        <w:spacing w:after="0" w:line="360" w:lineRule="auto"/>
        <w:contextualSpacing/>
        <w:rPr>
          <w:rFonts w:ascii="Times New Roman" w:hAnsi="Times New Roman" w:cs="Times New Roman"/>
        </w:rPr>
      </w:pPr>
    </w:p>
    <w:p w:rsidR="00160BB5" w:rsidRPr="00231A23" w:rsidRDefault="00160BB5" w:rsidP="00160BB5">
      <w:pPr>
        <w:spacing w:after="0" w:line="360" w:lineRule="auto"/>
        <w:contextualSpacing/>
        <w:rPr>
          <w:rFonts w:ascii="Times New Roman" w:hAnsi="Times New Roman" w:cs="Times New Roman"/>
        </w:rPr>
      </w:pPr>
      <w:r w:rsidRPr="00231A23">
        <w:rPr>
          <w:rFonts w:ascii="Times New Roman" w:hAnsi="Times New Roman" w:cs="Times New Roman"/>
        </w:rPr>
        <w:t xml:space="preserve">The independent consultants have provided a selection of options against each of the 13 areas and have recommended that DFAT undertake additional analysis, investigation, and consultation. DFAT will, therefore, undertake further investigation and consultation, in line with the review recommendations, before preparing amending legislation. </w:t>
      </w:r>
    </w:p>
    <w:p w:rsidR="00160BB5" w:rsidRPr="00231A23" w:rsidRDefault="00160BB5" w:rsidP="00160BB5">
      <w:pPr>
        <w:spacing w:after="0" w:line="360" w:lineRule="auto"/>
        <w:contextualSpacing/>
        <w:rPr>
          <w:rFonts w:ascii="Times New Roman" w:hAnsi="Times New Roman" w:cs="Times New Roman"/>
        </w:rPr>
      </w:pPr>
    </w:p>
    <w:p w:rsidR="00160BB5" w:rsidRPr="00231A23" w:rsidRDefault="00160BB5" w:rsidP="00160BB5">
      <w:pPr>
        <w:spacing w:after="0" w:line="360" w:lineRule="auto"/>
        <w:contextualSpacing/>
        <w:rPr>
          <w:rFonts w:ascii="Times New Roman" w:hAnsi="Times New Roman" w:cs="Times New Roman"/>
        </w:rPr>
      </w:pPr>
      <w:r w:rsidRPr="00231A23">
        <w:rPr>
          <w:rFonts w:ascii="Times New Roman" w:eastAsia="Times New Roman" w:hAnsi="Times New Roman" w:cs="Times New Roman"/>
          <w:lang w:eastAsia="en-AU"/>
        </w:rPr>
        <w:t xml:space="preserve">A deferral of sunsetting will provide sufficient time to undertake this additional work and prepare for amendments to passport legislation. It is anticipated amendments to primary legislation will result in </w:t>
      </w:r>
      <w:r w:rsidRPr="00231A23">
        <w:rPr>
          <w:rFonts w:ascii="Times New Roman" w:hAnsi="Times New Roman" w:cs="Times New Roman"/>
        </w:rPr>
        <w:t>the need to remake the existing legislative instruments.</w:t>
      </w:r>
      <w:bookmarkStart w:id="10" w:name="_Hlk142057951"/>
      <w:bookmarkEnd w:id="8"/>
      <w:bookmarkEnd w:id="9"/>
    </w:p>
    <w:p w:rsidR="00160BB5" w:rsidRPr="00231A23" w:rsidRDefault="00160BB5" w:rsidP="00160BB5">
      <w:pPr>
        <w:spacing w:after="0" w:line="360" w:lineRule="auto"/>
        <w:contextualSpacing/>
        <w:rPr>
          <w:rFonts w:ascii="Times New Roman" w:hAnsi="Times New Roman" w:cs="Times New Roman"/>
        </w:rPr>
      </w:pPr>
    </w:p>
    <w:p w:rsidR="00160BB5" w:rsidRPr="00231A23" w:rsidRDefault="00160BB5" w:rsidP="00160BB5">
      <w:pPr>
        <w:spacing w:after="0" w:line="360" w:lineRule="auto"/>
        <w:contextualSpacing/>
        <w:rPr>
          <w:rFonts w:ascii="Times New Roman" w:eastAsia="Times New Roman" w:hAnsi="Times New Roman" w:cs="Times New Roman"/>
          <w:lang w:eastAsia="en-AU"/>
        </w:rPr>
      </w:pPr>
      <w:r w:rsidRPr="00231A23">
        <w:rPr>
          <w:rFonts w:ascii="Times New Roman" w:hAnsi="Times New Roman" w:cs="Times New Roman"/>
        </w:rPr>
        <w:t>Accordingly, the Passports Instruments will likely cease to be in force in their current form within 24 months of their original sunsetting date.</w:t>
      </w:r>
      <w:bookmarkEnd w:id="10"/>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160BB5" w:rsidRPr="00231A23" w:rsidRDefault="00160BB5" w:rsidP="00160BB5">
      <w:pPr>
        <w:spacing w:line="360" w:lineRule="auto"/>
        <w:contextualSpacing/>
        <w:rPr>
          <w:rFonts w:ascii="Times New Roman" w:hAnsi="Times New Roman" w:cs="Times New Roman"/>
          <w:u w:val="single"/>
        </w:rPr>
      </w:pPr>
      <w:r w:rsidRPr="00231A23">
        <w:rPr>
          <w:rFonts w:ascii="Times New Roman" w:hAnsi="Times New Roman" w:cs="Times New Roman"/>
        </w:rPr>
        <w:t xml:space="preserve">Further details on the provisions of the Certificate are provided in </w:t>
      </w:r>
      <w:r w:rsidRPr="00231A23">
        <w:rPr>
          <w:rFonts w:ascii="Times New Roman" w:hAnsi="Times New Roman" w:cs="Times New Roman"/>
          <w:u w:val="single"/>
        </w:rPr>
        <w:t>Attachment A</w:t>
      </w:r>
      <w:r w:rsidRPr="00231A23">
        <w:rPr>
          <w:rFonts w:ascii="Times New Roman" w:hAnsi="Times New Roman" w:cs="Times New Roman"/>
        </w:rPr>
        <w:t>.</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rPr>
      </w:pPr>
      <w:bookmarkStart w:id="11" w:name="_Hlk142057426"/>
      <w:r w:rsidRPr="00231A23">
        <w:rPr>
          <w:rFonts w:ascii="Times New Roman" w:hAnsi="Times New Roman" w:cs="Times New Roman"/>
        </w:rPr>
        <w:t>The Passports Instruments which are subject to the Certificate, and which will now sunset at a later day as specified in the Certificate, are available on the Federal Register of Legislation.</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Further information may be requested from the Attorney</w:t>
      </w:r>
      <w:r w:rsidRPr="00231A23">
        <w:rPr>
          <w:rFonts w:ascii="Times New Roman" w:hAnsi="Times New Roman" w:cs="Times New Roman"/>
        </w:rPr>
        <w:noBreakHyphen/>
        <w:t>General’s Department about the operation of the Certificate, and from the Department of Foreign Affairs and Trade about the Instruments to which the Certificate applies.</w:t>
      </w:r>
      <w:bookmarkEnd w:id="11"/>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Sunsetting—Passports Instruments)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w:t>
      </w:r>
    </w:p>
    <w:p w:rsidR="00160BB5" w:rsidRPr="00231A23" w:rsidRDefault="00160BB5" w:rsidP="00160BB5">
      <w:pPr>
        <w:spacing w:line="360" w:lineRule="auto"/>
        <w:contextualSpacing/>
        <w:rPr>
          <w:rFonts w:ascii="Times New Roman" w:hAnsi="Times New Roman" w:cs="Times New Roman"/>
          <w:b/>
          <w:lang w:val="en"/>
        </w:rPr>
      </w:pPr>
    </w:p>
    <w:p w:rsidR="00160BB5" w:rsidRPr="00231A23" w:rsidRDefault="00160BB5" w:rsidP="00160BB5">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Instruments</w:t>
      </w:r>
      <w:r w:rsidRPr="00231A23">
        <w:rPr>
          <w:rFonts w:ascii="Times New Roman" w:hAnsi="Times New Roman" w:cs="Times New Roman"/>
          <w:lang w:val="en"/>
        </w:rPr>
        <w:t xml:space="preserve"> specified in the Certificate are </w:t>
      </w:r>
      <w:r w:rsidRPr="00231A23">
        <w:rPr>
          <w:rFonts w:ascii="Times New Roman" w:hAnsi="Times New Roman" w:cs="Times New Roman"/>
        </w:rPr>
        <w:t>(together, the ‘Passport Instruments’):</w:t>
      </w:r>
    </w:p>
    <w:p w:rsidR="00160BB5" w:rsidRPr="00231A23" w:rsidRDefault="00160BB5" w:rsidP="00160BB5">
      <w:pPr>
        <w:numPr>
          <w:ilvl w:val="0"/>
          <w:numId w:val="4"/>
        </w:numPr>
        <w:spacing w:line="360" w:lineRule="auto"/>
        <w:contextualSpacing/>
        <w:rPr>
          <w:rFonts w:ascii="Times New Roman" w:hAnsi="Times New Roman" w:cs="Times New Roman"/>
        </w:rPr>
      </w:pPr>
      <w:r w:rsidRPr="00231A23">
        <w:rPr>
          <w:rFonts w:ascii="Times New Roman" w:hAnsi="Times New Roman" w:cs="Times New Roman"/>
          <w:i/>
        </w:rPr>
        <w:lastRenderedPageBreak/>
        <w:t xml:space="preserve">Australian Passports (Application Fees) Determination 2015 </w:t>
      </w:r>
    </w:p>
    <w:p w:rsidR="00160BB5" w:rsidRPr="00231A23" w:rsidRDefault="00160BB5" w:rsidP="00160BB5">
      <w:pPr>
        <w:numPr>
          <w:ilvl w:val="0"/>
          <w:numId w:val="4"/>
        </w:numPr>
        <w:spacing w:line="360" w:lineRule="auto"/>
        <w:contextualSpacing/>
        <w:rPr>
          <w:rFonts w:ascii="Times New Roman" w:hAnsi="Times New Roman" w:cs="Times New Roman"/>
        </w:rPr>
      </w:pPr>
      <w:r w:rsidRPr="00231A23">
        <w:rPr>
          <w:rFonts w:ascii="Times New Roman" w:hAnsi="Times New Roman" w:cs="Times New Roman"/>
          <w:i/>
        </w:rPr>
        <w:t>Australian Passports Determination 2015</w:t>
      </w:r>
    </w:p>
    <w:p w:rsidR="00160BB5" w:rsidRPr="00231A23" w:rsidRDefault="00160BB5" w:rsidP="00160BB5">
      <w:pPr>
        <w:numPr>
          <w:ilvl w:val="0"/>
          <w:numId w:val="4"/>
        </w:numPr>
        <w:spacing w:line="360" w:lineRule="auto"/>
        <w:contextualSpacing/>
        <w:rPr>
          <w:rFonts w:ascii="Times New Roman" w:hAnsi="Times New Roman" w:cs="Times New Roman"/>
        </w:rPr>
      </w:pPr>
      <w:r w:rsidRPr="00231A23">
        <w:rPr>
          <w:rFonts w:ascii="Times New Roman" w:hAnsi="Times New Roman" w:cs="Times New Roman"/>
          <w:i/>
        </w:rPr>
        <w:t>Foreign Passports (Law Enforcement and Security) Determination 2015.</w:t>
      </w:r>
    </w:p>
    <w:p w:rsidR="00160BB5" w:rsidRPr="00231A23" w:rsidRDefault="00160BB5" w:rsidP="00160BB5">
      <w:pPr>
        <w:spacing w:line="360" w:lineRule="auto"/>
        <w:contextualSpacing/>
        <w:rPr>
          <w:rFonts w:ascii="Times New Roman" w:hAnsi="Times New Roman" w:cs="Times New Roman"/>
          <w:b/>
          <w:lang w:val="e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The Passport Instruments </w:t>
      </w:r>
      <w:r w:rsidRPr="00231A23">
        <w:rPr>
          <w:rFonts w:ascii="Times New Roman" w:hAnsi="Times New Roman" w:cs="Times New Roman"/>
          <w:lang w:val="en"/>
        </w:rPr>
        <w:t>are</w:t>
      </w:r>
      <w:r w:rsidRPr="00231A23">
        <w:rPr>
          <w:rFonts w:ascii="Times New Roman" w:hAnsi="Times New Roman" w:cs="Times New Roman"/>
        </w:rPr>
        <w:t xml:space="preserve"> expected to be repealed and replaced within 24 months of their scheduled </w:t>
      </w:r>
      <w:r w:rsidRPr="00231A23">
        <w:rPr>
          <w:rFonts w:ascii="Times New Roman" w:hAnsi="Times New Roman" w:cs="Times New Roman"/>
          <w:lang w:val="en"/>
        </w:rPr>
        <w:t>sunsetting day as part of the review of the legislative framework</w:t>
      </w:r>
      <w:r w:rsidRPr="00231A23">
        <w:rPr>
          <w:rFonts w:ascii="Times New Roman" w:hAnsi="Times New Roman" w:cs="Times New Roman"/>
        </w:rPr>
        <w:t>.</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Passport Instruments to continue to be in force </w:t>
      </w:r>
      <w:r w:rsidRPr="00231A23">
        <w:rPr>
          <w:rFonts w:ascii="Times New Roman" w:hAnsi="Times New Roman" w:cs="Times New Roman"/>
          <w:lang w:val="en"/>
        </w:rPr>
        <w:t xml:space="preserve">for a further, but limited, period of time when they would otherwise sunset. This removes the administrative burden of remaking the </w:t>
      </w:r>
      <w:r w:rsidRPr="00231A23">
        <w:rPr>
          <w:rFonts w:ascii="Times New Roman" w:hAnsi="Times New Roman" w:cs="Times New Roman"/>
        </w:rPr>
        <w:t>Instruments</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their</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lang w:val="en"/>
        </w:rPr>
      </w:pPr>
      <w:r w:rsidRPr="00231A23">
        <w:rPr>
          <w:rFonts w:ascii="Times New Roman" w:hAnsi="Times New Roman" w:cs="Times New Roman"/>
          <w:b/>
          <w:lang w:val="en"/>
        </w:rPr>
        <w:t>Human Rights Implications</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rPr>
      </w:pPr>
      <w:bookmarkStart w:id="12" w:name="_Hlk142312728"/>
      <w:r w:rsidRPr="00231A23">
        <w:rPr>
          <w:rFonts w:ascii="Times New Roman" w:hAnsi="Times New Roman" w:cs="Times New Roman"/>
          <w:lang w:val="en"/>
        </w:rPr>
        <w:t>The</w:t>
      </w:r>
      <w:r w:rsidRPr="00231A23">
        <w:rPr>
          <w:rFonts w:ascii="Times New Roman" w:hAnsi="Times New Roman" w:cs="Times New Roman"/>
        </w:rPr>
        <w:t xml:space="preserve"> Passports Instruments engage certain rights and freedoms declared by the international instruments set out in section 3 of the Human Rights Act.</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 Passports Instruments engage the following rights and freedoms as set out in section 3 of the Human Rights Act:</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u w:val="single"/>
        </w:rPr>
      </w:pPr>
      <w:r w:rsidRPr="00231A23">
        <w:rPr>
          <w:rFonts w:ascii="Times New Roman" w:hAnsi="Times New Roman" w:cs="Times New Roman"/>
          <w:u w:val="single"/>
        </w:rPr>
        <w:t>The Right to Freedom of Movement</w:t>
      </w:r>
    </w:p>
    <w:p w:rsidR="00160BB5" w:rsidRPr="00231A23" w:rsidRDefault="00160BB5" w:rsidP="00160BB5">
      <w:pPr>
        <w:pStyle w:val="Basetext"/>
        <w:spacing w:before="0" w:line="360" w:lineRule="auto"/>
        <w:contextualSpacing/>
        <w:rPr>
          <w:color w:val="FF0000"/>
        </w:rPr>
      </w:pPr>
      <w:r w:rsidRPr="00231A23">
        <w:t xml:space="preserve">Article 12(2) of the International Covenant on Civil and Political Rights (ICCPR) provides that everyone be free to leave any country, including their own. Article 12(4) provides that none shall be arbitrarily deprived of the right to enter their own country. Division 1 of Part 2 of the </w:t>
      </w:r>
      <w:r w:rsidRPr="00231A23">
        <w:rPr>
          <w:i/>
        </w:rPr>
        <w:t xml:space="preserve">Australian Passports Determination 2015 </w:t>
      </w:r>
      <w:r w:rsidRPr="00231A23">
        <w:t xml:space="preserve">(Passports Determination), which sets out the type of travel-related documents the Minister may issue under sections 8 and 9 of the </w:t>
      </w:r>
      <w:r w:rsidRPr="00231A23">
        <w:rPr>
          <w:i/>
        </w:rPr>
        <w:t>Australian</w:t>
      </w:r>
      <w:r w:rsidRPr="00231A23">
        <w:t xml:space="preserve"> </w:t>
      </w:r>
      <w:r w:rsidRPr="00231A23">
        <w:rPr>
          <w:i/>
        </w:rPr>
        <w:t xml:space="preserve">Passports Act 2005 </w:t>
      </w:r>
      <w:r w:rsidRPr="00231A23">
        <w:t>(Passports Act), engages this right. The provisions under this Division promote the right of freedom of movement, by allowing the Minister to provide travel-related documents to persons who might not otherwise have access to them. Where the Minister decides to not issue a travel document, the right to freedom of movement is limited. However, this decision to limit the right will not be made unless the restriction is necessary, reasonable and proportionate, as outlined below.</w:t>
      </w:r>
    </w:p>
    <w:p w:rsidR="00160BB5" w:rsidRPr="00231A23" w:rsidRDefault="00160BB5" w:rsidP="00160BB5">
      <w:pPr>
        <w:pStyle w:val="Basetext"/>
        <w:spacing w:before="0" w:line="360" w:lineRule="auto"/>
        <w:contextualSpacing/>
      </w:pPr>
    </w:p>
    <w:p w:rsidR="00160BB5" w:rsidRPr="00231A23" w:rsidRDefault="00160BB5" w:rsidP="00160BB5">
      <w:pPr>
        <w:pStyle w:val="Basetext"/>
        <w:spacing w:before="0" w:line="360" w:lineRule="auto"/>
        <w:contextualSpacing/>
      </w:pPr>
      <w:r w:rsidRPr="00231A23">
        <w:t xml:space="preserve">Sections 6 and 7 allow the Minister to issue travel-related documents to non-citizen refugees </w:t>
      </w:r>
      <w:r w:rsidRPr="00231A23">
        <w:lastRenderedPageBreak/>
        <w:t>(convention travel documents) and to non-citizens who are about to leave Australia and are stateless or unable to obtain travel documents from the country of which they claim to be a national (certificates of identity). These sections implement Australia’s international obligations under Article 28 of the Convention Relating to the Status of Refugees and Article 28 of the Convention relation to the Status of Stateless Persons, which relate to the issuing of travel documents. These provisions promote the right in Article 12(2) of any person to be free to leave any country, by allowing the Minister to provide travel-related documents to persons who might not otherwise have access to them.</w:t>
      </w:r>
    </w:p>
    <w:p w:rsidR="00160BB5" w:rsidRPr="00231A23" w:rsidRDefault="00160BB5" w:rsidP="00160BB5">
      <w:pPr>
        <w:pStyle w:val="Basetext"/>
        <w:spacing w:before="0" w:line="360" w:lineRule="auto"/>
        <w:contextualSpacing/>
      </w:pPr>
    </w:p>
    <w:p w:rsidR="00160BB5" w:rsidRPr="00231A23" w:rsidRDefault="00160BB5" w:rsidP="00160BB5">
      <w:pPr>
        <w:pStyle w:val="Basetext"/>
        <w:spacing w:before="0" w:line="360" w:lineRule="auto"/>
        <w:contextualSpacing/>
      </w:pPr>
      <w:r w:rsidRPr="00231A23">
        <w:t>The Minister’s powers under the Division are discretionary. This is appropriate as there is no entitlement under the Passports Act for a person to be issued a travel-related document. There are sound reasons why the Minister should be able to refuse the grant of a travel-related document to non</w:t>
      </w:r>
      <w:r w:rsidRPr="00231A23">
        <w:noBreakHyphen/>
        <w:t>citizens and to Australian citizens who are unable to obtain a passport.</w:t>
      </w:r>
    </w:p>
    <w:p w:rsidR="00160BB5" w:rsidRPr="00231A23" w:rsidRDefault="00160BB5" w:rsidP="00160BB5">
      <w:pPr>
        <w:pStyle w:val="Basetext"/>
        <w:spacing w:before="0" w:line="360" w:lineRule="auto"/>
        <w:contextualSpacing/>
      </w:pPr>
    </w:p>
    <w:p w:rsidR="00160BB5" w:rsidRPr="00231A23" w:rsidRDefault="00160BB5" w:rsidP="00160BB5">
      <w:pPr>
        <w:pStyle w:val="Basetext"/>
        <w:spacing w:before="0" w:line="360" w:lineRule="auto"/>
        <w:contextualSpacing/>
      </w:pPr>
      <w:r w:rsidRPr="00231A23">
        <w:t>The International Civil Aviation Organization (ICAO) standards require Contracting States to issue their citizens a travel document, in most cases it is appropriate that a person apply to their own country of citizenship for a travel document. In the case of a person who is not an Australia citizen, is not a refugee or stateless, and no other compelling reasons apply, the Minister may refuse to issue an Australian travel document if the person has not attempted to obtain a document from their country of citizenship.</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 xml:space="preserve">The </w:t>
      </w:r>
      <w:r w:rsidRPr="00231A23">
        <w:rPr>
          <w:i/>
        </w:rPr>
        <w:t>Australian Passports (Application Fees) Act 2005</w:t>
      </w:r>
      <w:r w:rsidRPr="00231A23">
        <w:t xml:space="preserve"> (Fees Act) and </w:t>
      </w:r>
      <w:r w:rsidRPr="00231A23">
        <w:rPr>
          <w:i/>
        </w:rPr>
        <w:t>Australian Passports (Application Fees) Determination 2015</w:t>
      </w:r>
      <w:r w:rsidRPr="00231A23">
        <w:t xml:space="preserve"> (Fees Determination) engage the right to freedom of movement because the imposition of fees to obtain an Australian travel document could limit the freedom of an Australian citizen or resident to leave Australia, as found in Article 12(2) of the ICCPR. However, section 5 of the Fees Act caps the fees to be imposed in a financial year, subject to indexation. These amounts, particularly when viewed in the context of the costs of overseas travel are generally unlikely to restrict the freedom to leave one’s own country protected by Article 12(2). In addition, sections 27 and 28 of the Determination provide for the waiver and refund of fees in certain circumstances.</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 xml:space="preserve">Section 12 of the Passports Act, with section 11 of the Passports Determination, sets out circumstances in which the Minister may refuse to issue an Australian travel document to a person for reasons relating to law enforcement. Any restrictions on movement are necessary, reasonable and proportionate to achieving the objective of supporting law enforcement measures. </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 xml:space="preserve">Part 2 of the </w:t>
      </w:r>
      <w:r w:rsidRPr="00231A23">
        <w:rPr>
          <w:i/>
        </w:rPr>
        <w:t>Foreign Passports (Law Enforcement and Security) Act</w:t>
      </w:r>
      <w:r w:rsidRPr="00231A23">
        <w:t xml:space="preserve"> 2005 (Foreign Passports Act) </w:t>
      </w:r>
      <w:r w:rsidRPr="00231A23">
        <w:lastRenderedPageBreak/>
        <w:t xml:space="preserve">sets out the circumstances in which a competent authority may request the Minister to order the surrender of a person’s foreign travel documents (Division 1) and enforcement officers may demand the surrender of foreign travel documents if authorised by the Minister (Division 2). </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 xml:space="preserve">Article 12(3) of the ICCPR, expressly provides that the right in Article 12(2) may be subject to restrictions which are provided for by law, are necessary to protect national security, public order, public health or morals, or the rights and freedoms of others, and are consistent with the other rights recognised in the ICCPR. These sections of the Passports Act, Passports Determination, Foreign Passports Act and </w:t>
      </w:r>
      <w:r w:rsidRPr="00231A23">
        <w:rPr>
          <w:i/>
        </w:rPr>
        <w:t xml:space="preserve">Foreign Passports (Law Enforcement and Security) Determination 2015 </w:t>
      </w:r>
      <w:r w:rsidRPr="00231A23">
        <w:t xml:space="preserve">(Foreign Passports Determination) are a permissible limitation on the rights protected by Article 12 of the ICCPR. The restrictions are provided by law, and are necessary to facilitate law enforcement, to protect public order and Australia’s national security. </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Section 12 of the Passports Act, with section 11 of the Passports Determination, and Section 13 of the Foreign Passports Act, with section 6 of the Foreign Passports Determination, ensure any restrictions on movement are necessary, reasonable and proportionate to achieving the objective of supporting Australian law enforcement measures. They only apply where a ‘competent authority’ believes on reasonable grounds that a person is the subject of an Australian arrest warrant for an indictable offence or is prevented from travelling internationally by reason of an Australian court order, parole or bail condition, or a law of the Commonwealth or an order or direction made under such a law (subsection 13(1) of the Foreign Passports Act).</w:t>
      </w:r>
    </w:p>
    <w:p w:rsidR="00160BB5" w:rsidRPr="00231A23" w:rsidRDefault="00160BB5" w:rsidP="00160BB5">
      <w:pPr>
        <w:pStyle w:val="Basetext"/>
        <w:spacing w:line="360" w:lineRule="auto"/>
        <w:contextualSpacing/>
      </w:pPr>
    </w:p>
    <w:p w:rsidR="00160BB5" w:rsidRPr="00231A23" w:rsidRDefault="00160BB5" w:rsidP="00160BB5">
      <w:pPr>
        <w:pStyle w:val="Basetext"/>
        <w:spacing w:line="360" w:lineRule="auto"/>
        <w:contextualSpacing/>
      </w:pPr>
      <w:r w:rsidRPr="00231A23">
        <w:t xml:space="preserve">Section 14 of the Foreign Passports Act, combined with section 7 of the Foreign Passports Determination, ensures any restrictions on movement are necessary, reasonable and proportionate to achieving the objective of supporting international law enforcement cooperation. They will only apply where a ‘competent authority’ believes on reasonable grounds that a person is the subject of a foreign arrest warrant for a serious offence or is prevented from travelling internationally by reason of a foreign court order, parole or bail condition, or a law of a foreign country, or an order or direction made under such a law (subsection 14(1) of the Foreign Passports Act). </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u w:val="single"/>
        </w:rPr>
      </w:pPr>
      <w:r w:rsidRPr="00231A23">
        <w:rPr>
          <w:rFonts w:ascii="Times New Roman" w:hAnsi="Times New Roman" w:cs="Times New Roman"/>
          <w:u w:val="single"/>
        </w:rPr>
        <w:t>The Rights of the Child</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According to Article 3 of the Convention on the Rights of the Child (CRC), in all actions concerning children, the best interests of a child shall be a primary consideration. State Parties must ensure the child such protection and care as is necessary for their well-being. Article 5 of the CRC expects State Parties to respect the responsibilities, rights, and duties of parents while Article 10 protects the right of a child to enter or leave a State Party for the purpose of family reunification. Article 18 states the </w:t>
      </w:r>
      <w:r w:rsidRPr="00231A23">
        <w:rPr>
          <w:rFonts w:ascii="Times New Roman" w:hAnsi="Times New Roman" w:cs="Times New Roman"/>
        </w:rPr>
        <w:lastRenderedPageBreak/>
        <w:t>principle that parents or legal guardians have the primary responsibility for the upbringing and development of the child.</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 Passports Determination engages the rights of the child contained in Articles 3, 5, 10 and 18 of the CRC. Section 10 of the Determination engages these rights by providing special circumstances under which the Minister may issue a passport to a child without the consent of all persons who have parental responsibility for that child or an Australian court order that permits issue of an Australian travel document or international travel. In doing so, it could limit the rights and responsibilities of persons who have parental responsibility for a child who have not consented to the child being issued a passport (non-consenting person). However, the circumstances are limited to those where it would be reasonable or necessary to limit these rights and responsibilities, and, in those circumstances, promote the child’s right to freedom of movement. For example, the provisions promote the child’s right to freedom of movement in circumstances where the non-consenting person was not contactable or was incapable of providing consent, or where a family violence order has been issued against the non-consenting person.</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 provisions also promote and protect the rights of the child by providing discretion to issue an Australian travel document without full consent to ensure the protection and care necessary for a child’s wellbeing.</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There are also important safeguards in place. The provision does not apply if there are court proceedings pending that may affect the child’s right to travel or who has parental responsibility for the child. Further, the Minister retains a discretion in relation to the issue of the passport and would not normally exercise powers under this section if it was inappropriate to do so. To the extent that section 10 limits the rights of non-consenting persons with parental responsibility, these are applied in a reasonable and proportionate manner to promote the rights of the child.</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u w:val="single"/>
        </w:rPr>
      </w:pPr>
      <w:r w:rsidRPr="00231A23">
        <w:rPr>
          <w:rFonts w:ascii="Times New Roman" w:hAnsi="Times New Roman" w:cs="Times New Roman"/>
          <w:u w:val="single"/>
        </w:rPr>
        <w:t>The Right to Privacy</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Article 17 of the ICCPR provides the right not to be subjected to arbitrary or unlawful interferences with privacy. It also provides that everyone has the right to the protection of the law against such interference or attacks.</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The Passports Determination engages the right to privacy contained in Article 17 of the ICCPR. Sections 20 to 23 of the Passports Determination specify the circumstances in which personal information may be disclosed to and by the Minister for the purposes of Division 1 of Part 5 of the Passports Act. DFAT’s disclosure and information collection activities are necessary, reasonable, and </w:t>
      </w:r>
      <w:r w:rsidRPr="00231A23">
        <w:rPr>
          <w:rFonts w:ascii="Times New Roman" w:hAnsi="Times New Roman" w:cs="Times New Roman"/>
        </w:rPr>
        <w:lastRenderedPageBreak/>
        <w:t xml:space="preserve">proportionate. They are provided for by law (sections 45 and 46 of the Passports Act) and are consistent with the </w:t>
      </w:r>
      <w:r w:rsidRPr="00231A23">
        <w:rPr>
          <w:rFonts w:ascii="Times New Roman" w:hAnsi="Times New Roman" w:cs="Times New Roman"/>
          <w:i/>
        </w:rPr>
        <w:t>Privacy Act 1988</w:t>
      </w:r>
      <w:r w:rsidRPr="00231A23">
        <w:rPr>
          <w:rFonts w:ascii="Times New Roman" w:hAnsi="Times New Roman" w:cs="Times New Roman"/>
        </w:rPr>
        <w:t xml:space="preserve"> and the Australian Privacy Principles.</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Section 24 of the Passports Determination further prescribes methods that may be used for confirming identity. This provision protects the integrity of the Australian passports system by helping to detect fraudulent travel document applications of persons who seek to have travel documents issued in multiple or false identities. </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Section 53(3) of the Passports Act specifies the name that must appear on a person’s Australian travel document. Section 25 of the Passports Determination specifies circumstances in which another name can be used. Section 25 promotes the right to privacy by increasing the choices available to a person in relation to the name by which they are identified on their Australian travel document while maintaining the integrity of the Australia passport system (including through preventing identity fraud).</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Therefore, overall, the Passports Instruments Certificate is compatible with the human rights and freedoms recognised or declared in the international instruments listed in section 3 of the Human Rights Act as, to the extent that it may limit human rights, those limitations are reasonable, necessary and proportionate in achieving a legitimate purpose. Any proposal to make a replacement instrument will be subject to parliamentary oversight and scrutiny unless exempt.</w:t>
      </w:r>
      <w:bookmarkEnd w:id="12"/>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Passports Instruments would, apart from the operation of the sunsetting provisions, cease to be in force within 24 months of their sunsetting date. Issuing a certificate of deferral therefore avoids the need to replace the </w:t>
      </w:r>
      <w:r w:rsidRPr="00231A23">
        <w:rPr>
          <w:rFonts w:ascii="Times New Roman" w:hAnsi="Times New Roman" w:cs="Times New Roman"/>
          <w:lang w:val="en"/>
        </w:rPr>
        <w:t>Instruments</w:t>
      </w:r>
      <w:r w:rsidRPr="00231A23">
        <w:rPr>
          <w:rFonts w:ascii="Times New Roman" w:hAnsi="Times New Roman" w:cs="Times New Roman"/>
        </w:rPr>
        <w:t xml:space="preserve"> in their current form for a short period of time before they are expected to be repealed and replaced.</w:t>
      </w:r>
    </w:p>
    <w:p w:rsidR="00160BB5" w:rsidRPr="00231A23" w:rsidRDefault="00160BB5" w:rsidP="00160BB5">
      <w:pPr>
        <w:spacing w:line="360" w:lineRule="auto"/>
        <w:contextualSpacing/>
        <w:rPr>
          <w:rFonts w:ascii="Times New Roman" w:hAnsi="Times New Roman" w:cs="Times New Roman"/>
        </w:rPr>
      </w:pP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Instruments that are replaced will be subject to parliamentary scrutiny and oversight through the disallowance processes unless otherwise exempt. The human rights impact of the remade Passports Instruments will be assessed at the time they are made, including through the requirement to prepare a Statement of Compatibility with Human Rights.</w:t>
      </w:r>
    </w:p>
    <w:p w:rsidR="00160BB5" w:rsidRPr="00231A23" w:rsidRDefault="00160BB5" w:rsidP="00160BB5">
      <w:pPr>
        <w:spacing w:line="360" w:lineRule="auto"/>
        <w:contextualSpacing/>
        <w:rPr>
          <w:rFonts w:ascii="Times New Roman" w:hAnsi="Times New Roman" w:cs="Times New Roman"/>
          <w:b/>
        </w:rPr>
      </w:pPr>
    </w:p>
    <w:p w:rsidR="00160BB5" w:rsidRPr="00231A23" w:rsidRDefault="00160BB5" w:rsidP="00160BB5">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160BB5" w:rsidRPr="00231A23" w:rsidRDefault="00160BB5" w:rsidP="00160BB5">
      <w:pPr>
        <w:spacing w:line="360" w:lineRule="auto"/>
        <w:contextualSpacing/>
        <w:rPr>
          <w:rFonts w:ascii="Times New Roman" w:hAnsi="Times New Roman" w:cs="Times New Roman"/>
        </w:rPr>
      </w:pPr>
      <w:r w:rsidRPr="00231A23">
        <w:rPr>
          <w:rFonts w:ascii="Times New Roman" w:hAnsi="Times New Roman" w:cs="Times New Roman"/>
        </w:rPr>
        <w:t xml:space="preserve">This Certificate is compatible with the human rights and freedoms recognised or declared in the international instruments listed in section 3 of the Human Rights Act, because it promotes the protection of human rights and to the extent that it may limit human rights, those limitations are reasonable, necessary, and proportionate. </w:t>
      </w:r>
      <w:r w:rsidRPr="00231A23">
        <w:rPr>
          <w:rFonts w:ascii="Times New Roman" w:hAnsi="Times New Roman" w:cs="Times New Roman"/>
        </w:rPr>
        <w:br w:type="page"/>
      </w:r>
    </w:p>
    <w:p w:rsidR="00160BB5" w:rsidRPr="00231A23" w:rsidRDefault="00160BB5" w:rsidP="00160BB5">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lastRenderedPageBreak/>
        <w:t>ATTACHMENT A</w:t>
      </w: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NOTES ON THE CERTIFICATE</w:t>
      </w:r>
    </w:p>
    <w:p w:rsidR="00160BB5" w:rsidRPr="00231A23" w:rsidRDefault="00160BB5" w:rsidP="00160BB5">
      <w:pPr>
        <w:spacing w:line="360" w:lineRule="auto"/>
        <w:rPr>
          <w:rFonts w:ascii="Times New Roman" w:hAnsi="Times New Roman" w:cs="Times New Roman"/>
        </w:rPr>
      </w:pP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160BB5" w:rsidRPr="00231A23" w:rsidRDefault="00160BB5" w:rsidP="00160BB5">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Sunsetting—Passports Instruments) Certificate 202</w:t>
      </w:r>
      <w:bookmarkStart w:id="13" w:name="_Hlk156574347"/>
      <w:r w:rsidRPr="00231A23">
        <w:rPr>
          <w:rStyle w:val="Style1"/>
          <w:rFonts w:cs="Times New Roman"/>
        </w:rPr>
        <w:t>5</w:t>
      </w:r>
      <w:bookmarkEnd w:id="13"/>
      <w:r w:rsidRPr="00231A23">
        <w:rPr>
          <w:rFonts w:ascii="Times New Roman" w:hAnsi="Times New Roman" w:cs="Times New Roman"/>
        </w:rPr>
        <w:t>. The Certificate may be cited by this name.</w:t>
      </w:r>
    </w:p>
    <w:p w:rsidR="00160BB5" w:rsidRPr="00231A23" w:rsidRDefault="00160BB5" w:rsidP="00160BB5">
      <w:pPr>
        <w:spacing w:line="360" w:lineRule="auto"/>
        <w:rPr>
          <w:rFonts w:ascii="Times New Roman" w:hAnsi="Times New Roman" w:cs="Times New Roman"/>
          <w:b/>
        </w:rPr>
      </w:pP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160BB5" w:rsidRPr="00231A23" w:rsidRDefault="00160BB5" w:rsidP="00160BB5">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160BB5" w:rsidRPr="00231A23" w:rsidRDefault="00160BB5" w:rsidP="00160BB5">
      <w:pPr>
        <w:spacing w:line="360" w:lineRule="auto"/>
        <w:rPr>
          <w:rFonts w:ascii="Times New Roman" w:hAnsi="Times New Roman" w:cs="Times New Roman"/>
          <w:b/>
        </w:rPr>
      </w:pP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160BB5" w:rsidRPr="00231A23" w:rsidRDefault="00160BB5" w:rsidP="00160BB5">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160BB5" w:rsidRPr="00231A23" w:rsidRDefault="00160BB5" w:rsidP="00160BB5">
      <w:pPr>
        <w:spacing w:line="360" w:lineRule="auto"/>
        <w:rPr>
          <w:rFonts w:ascii="Times New Roman" w:hAnsi="Times New Roman" w:cs="Times New Roman"/>
          <w:b/>
        </w:rPr>
      </w:pP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160BB5" w:rsidRPr="00231A23" w:rsidRDefault="00160BB5" w:rsidP="00160BB5">
      <w:pPr>
        <w:spacing w:line="360" w:lineRule="auto"/>
        <w:rPr>
          <w:rFonts w:ascii="Times New Roman" w:hAnsi="Times New Roman" w:cs="Times New Roman"/>
        </w:rPr>
      </w:pPr>
      <w:r w:rsidRPr="00231A23">
        <w:rPr>
          <w:rFonts w:ascii="Times New Roman" w:hAnsi="Times New Roman" w:cs="Times New Roman"/>
        </w:rPr>
        <w:t xml:space="preserve">This section provides that the following instruments, for which the sunsetting day is 1 October 2025, are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October 2027:</w:t>
      </w:r>
    </w:p>
    <w:p w:rsidR="00160BB5" w:rsidRPr="00231A23" w:rsidRDefault="00160BB5" w:rsidP="00160BB5">
      <w:pPr>
        <w:numPr>
          <w:ilvl w:val="0"/>
          <w:numId w:val="5"/>
        </w:numPr>
        <w:spacing w:line="360" w:lineRule="auto"/>
        <w:contextualSpacing/>
        <w:rPr>
          <w:rFonts w:ascii="Times New Roman" w:hAnsi="Times New Roman" w:cs="Times New Roman"/>
        </w:rPr>
      </w:pPr>
      <w:r w:rsidRPr="00231A23">
        <w:rPr>
          <w:rFonts w:ascii="Times New Roman" w:hAnsi="Times New Roman" w:cs="Times New Roman"/>
          <w:i/>
        </w:rPr>
        <w:t xml:space="preserve">Australian Passports (Application Fees) Determination 2015; </w:t>
      </w:r>
    </w:p>
    <w:p w:rsidR="00160BB5" w:rsidRPr="00231A23" w:rsidRDefault="00160BB5" w:rsidP="00160BB5">
      <w:pPr>
        <w:numPr>
          <w:ilvl w:val="0"/>
          <w:numId w:val="5"/>
        </w:numPr>
        <w:spacing w:line="360" w:lineRule="auto"/>
        <w:contextualSpacing/>
        <w:rPr>
          <w:rFonts w:ascii="Times New Roman" w:hAnsi="Times New Roman" w:cs="Times New Roman"/>
        </w:rPr>
      </w:pPr>
      <w:r w:rsidRPr="00231A23">
        <w:rPr>
          <w:rFonts w:ascii="Times New Roman" w:hAnsi="Times New Roman" w:cs="Times New Roman"/>
          <w:i/>
        </w:rPr>
        <w:t>Australian Passports Determination 2015;</w:t>
      </w:r>
    </w:p>
    <w:p w:rsidR="00160BB5" w:rsidRPr="00231A23" w:rsidRDefault="00160BB5" w:rsidP="00160BB5">
      <w:pPr>
        <w:numPr>
          <w:ilvl w:val="0"/>
          <w:numId w:val="5"/>
        </w:numPr>
        <w:spacing w:line="360" w:lineRule="auto"/>
        <w:contextualSpacing/>
        <w:rPr>
          <w:rFonts w:ascii="Times New Roman" w:hAnsi="Times New Roman" w:cs="Times New Roman"/>
        </w:rPr>
      </w:pPr>
      <w:r w:rsidRPr="00231A23">
        <w:rPr>
          <w:rFonts w:ascii="Times New Roman" w:hAnsi="Times New Roman" w:cs="Times New Roman"/>
          <w:i/>
        </w:rPr>
        <w:t>Foreign Passports (Law Enforcement and Security) Determination 2015.</w:t>
      </w:r>
    </w:p>
    <w:p w:rsidR="00160BB5" w:rsidRPr="00231A23" w:rsidRDefault="00160BB5" w:rsidP="00160BB5">
      <w:pPr>
        <w:spacing w:line="360" w:lineRule="auto"/>
        <w:rPr>
          <w:rFonts w:ascii="Times New Roman" w:hAnsi="Times New Roman" w:cs="Times New Roman"/>
          <w:b/>
        </w:rPr>
      </w:pPr>
    </w:p>
    <w:p w:rsidR="00160BB5" w:rsidRPr="00231A23" w:rsidRDefault="00160BB5" w:rsidP="00160BB5">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160BB5" w:rsidRPr="00231A23" w:rsidRDefault="00160BB5" w:rsidP="00160BB5">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repealed at the start of 2 </w:t>
      </w:r>
      <w:bookmarkStart w:id="14" w:name="_Hlk142313018"/>
      <w:r w:rsidRPr="00231A23">
        <w:rPr>
          <w:rFonts w:ascii="Times New Roman" w:hAnsi="Times New Roman" w:cs="Times New Roman"/>
        </w:rPr>
        <w:t>October 2027.</w:t>
      </w:r>
      <w:bookmarkEnd w:id="14"/>
    </w:p>
    <w:p w:rsidR="00160BB5" w:rsidRDefault="00160BB5"/>
    <w:sectPr w:rsidR="00160BB5" w:rsidSect="00D12782">
      <w:footerReference w:type="default" r:id="rId5"/>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626348"/>
      <w:docPartObj>
        <w:docPartGallery w:val="Page Numbers (Bottom of Page)"/>
        <w:docPartUnique/>
      </w:docPartObj>
    </w:sdtPr>
    <w:sdtEndPr>
      <w:rPr>
        <w:noProof/>
      </w:rPr>
    </w:sdtEndPr>
    <w:sdtContent>
      <w:p w:rsidR="00231A23" w:rsidRDefault="00160B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1A23" w:rsidRDefault="00160BB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C26"/>
    <w:multiLevelType w:val="hybridMultilevel"/>
    <w:tmpl w:val="8C18E42C"/>
    <w:lvl w:ilvl="0" w:tplc="0C090017">
      <w:start w:val="1"/>
      <w:numFmt w:val="lowerLetter"/>
      <w:lvlText w:val="%1)"/>
      <w:lvlJc w:val="left"/>
      <w:pPr>
        <w:ind w:left="720" w:hanging="360"/>
      </w:pPr>
    </w:lvl>
    <w:lvl w:ilvl="1" w:tplc="0CB0F8A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C2D8E"/>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D74BA"/>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3742B9"/>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520A2"/>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22394"/>
    <w:multiLevelType w:val="hybridMultilevel"/>
    <w:tmpl w:val="2F2065D6"/>
    <w:lvl w:ilvl="0" w:tplc="83248D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91AF1"/>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B82AFB"/>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0070AD"/>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B0ECA"/>
    <w:multiLevelType w:val="hybridMultilevel"/>
    <w:tmpl w:val="2F006C5C"/>
    <w:lvl w:ilvl="0" w:tplc="A2E0D6A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25A23"/>
    <w:multiLevelType w:val="hybridMultilevel"/>
    <w:tmpl w:val="785E3D8A"/>
    <w:lvl w:ilvl="0" w:tplc="5B46F8C0">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6F1883"/>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CC15E1"/>
    <w:multiLevelType w:val="hybridMultilevel"/>
    <w:tmpl w:val="8A345EF8"/>
    <w:lvl w:ilvl="0" w:tplc="83248D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9D3DF2"/>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90793"/>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D7127"/>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25274F"/>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C77F2F"/>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34D8A"/>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E308FA"/>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AA69E5"/>
    <w:multiLevelType w:val="hybridMultilevel"/>
    <w:tmpl w:val="3B72E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033B2D"/>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7E6E10"/>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E10ACB"/>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D218F8"/>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5C3E7F"/>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760499"/>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F95B6D"/>
    <w:multiLevelType w:val="hybridMultilevel"/>
    <w:tmpl w:val="3B72E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660728"/>
    <w:multiLevelType w:val="hybridMultilevel"/>
    <w:tmpl w:val="89168E12"/>
    <w:lvl w:ilvl="0" w:tplc="CD88871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882B9D"/>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4E2109"/>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523D0C"/>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4B0430"/>
    <w:multiLevelType w:val="hybridMultilevel"/>
    <w:tmpl w:val="8C1EC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7D0024"/>
    <w:multiLevelType w:val="hybridMultilevel"/>
    <w:tmpl w:val="3B72E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CB73C7"/>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6"/>
  </w:num>
  <w:num w:numId="3">
    <w:abstractNumId w:val="0"/>
  </w:num>
  <w:num w:numId="4">
    <w:abstractNumId w:val="13"/>
  </w:num>
  <w:num w:numId="5">
    <w:abstractNumId w:val="7"/>
  </w:num>
  <w:num w:numId="6">
    <w:abstractNumId w:val="9"/>
  </w:num>
  <w:num w:numId="7">
    <w:abstractNumId w:val="18"/>
  </w:num>
  <w:num w:numId="8">
    <w:abstractNumId w:val="33"/>
  </w:num>
  <w:num w:numId="9">
    <w:abstractNumId w:val="15"/>
  </w:num>
  <w:num w:numId="10">
    <w:abstractNumId w:val="22"/>
  </w:num>
  <w:num w:numId="11">
    <w:abstractNumId w:val="31"/>
  </w:num>
  <w:num w:numId="12">
    <w:abstractNumId w:val="3"/>
  </w:num>
  <w:num w:numId="13">
    <w:abstractNumId w:val="10"/>
  </w:num>
  <w:num w:numId="14">
    <w:abstractNumId w:val="19"/>
  </w:num>
  <w:num w:numId="15">
    <w:abstractNumId w:val="30"/>
  </w:num>
  <w:num w:numId="16">
    <w:abstractNumId w:val="17"/>
  </w:num>
  <w:num w:numId="17">
    <w:abstractNumId w:val="12"/>
  </w:num>
  <w:num w:numId="18">
    <w:abstractNumId w:val="5"/>
  </w:num>
  <w:num w:numId="19">
    <w:abstractNumId w:val="32"/>
  </w:num>
  <w:num w:numId="20">
    <w:abstractNumId w:val="21"/>
  </w:num>
  <w:num w:numId="21">
    <w:abstractNumId w:val="29"/>
  </w:num>
  <w:num w:numId="22">
    <w:abstractNumId w:val="23"/>
  </w:num>
  <w:num w:numId="23">
    <w:abstractNumId w:val="11"/>
  </w:num>
  <w:num w:numId="24">
    <w:abstractNumId w:val="6"/>
  </w:num>
  <w:num w:numId="25">
    <w:abstractNumId w:val="35"/>
  </w:num>
  <w:num w:numId="26">
    <w:abstractNumId w:val="27"/>
  </w:num>
  <w:num w:numId="27">
    <w:abstractNumId w:val="2"/>
  </w:num>
  <w:num w:numId="28">
    <w:abstractNumId w:val="24"/>
  </w:num>
  <w:num w:numId="29">
    <w:abstractNumId w:val="25"/>
  </w:num>
  <w:num w:numId="30">
    <w:abstractNumId w:val="1"/>
  </w:num>
  <w:num w:numId="31">
    <w:abstractNumId w:val="26"/>
  </w:num>
  <w:num w:numId="32">
    <w:abstractNumId w:val="20"/>
  </w:num>
  <w:num w:numId="33">
    <w:abstractNumId w:val="8"/>
  </w:num>
  <w:num w:numId="34">
    <w:abstractNumId w:val="34"/>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B5"/>
    <w:rsid w:val="00160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835E"/>
  <w15:chartTrackingRefBased/>
  <w15:docId w15:val="{D2AACA40-42CB-4CD3-BE77-1A04AF65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B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BB5"/>
    <w:rPr>
      <w:color w:val="808080"/>
    </w:rPr>
  </w:style>
  <w:style w:type="paragraph" w:styleId="Footer">
    <w:name w:val="footer"/>
    <w:basedOn w:val="Normal"/>
    <w:link w:val="FooterChar"/>
    <w:uiPriority w:val="99"/>
    <w:unhideWhenUsed/>
    <w:rsid w:val="0016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BB5"/>
    <w:rPr>
      <w:lang w:val="en-GB"/>
    </w:rPr>
  </w:style>
  <w:style w:type="character" w:styleId="CommentReference">
    <w:name w:val="annotation reference"/>
    <w:basedOn w:val="DefaultParagraphFont"/>
    <w:uiPriority w:val="99"/>
    <w:semiHidden/>
    <w:unhideWhenUsed/>
    <w:rsid w:val="00160BB5"/>
    <w:rPr>
      <w:sz w:val="16"/>
      <w:szCs w:val="16"/>
    </w:rPr>
  </w:style>
  <w:style w:type="paragraph" w:styleId="CommentText">
    <w:name w:val="annotation text"/>
    <w:basedOn w:val="Normal"/>
    <w:link w:val="CommentTextChar"/>
    <w:uiPriority w:val="99"/>
    <w:unhideWhenUsed/>
    <w:rsid w:val="00160BB5"/>
    <w:pPr>
      <w:spacing w:line="240" w:lineRule="auto"/>
    </w:pPr>
    <w:rPr>
      <w:sz w:val="20"/>
      <w:szCs w:val="20"/>
    </w:rPr>
  </w:style>
  <w:style w:type="character" w:customStyle="1" w:styleId="CommentTextChar">
    <w:name w:val="Comment Text Char"/>
    <w:basedOn w:val="DefaultParagraphFont"/>
    <w:link w:val="CommentText"/>
    <w:uiPriority w:val="99"/>
    <w:rsid w:val="00160BB5"/>
    <w:rPr>
      <w:sz w:val="20"/>
      <w:szCs w:val="20"/>
      <w:lang w:val="en-GB"/>
    </w:rPr>
  </w:style>
  <w:style w:type="paragraph" w:styleId="NoSpacing">
    <w:name w:val="No Spacing"/>
    <w:uiPriority w:val="1"/>
    <w:qFormat/>
    <w:rsid w:val="00160BB5"/>
    <w:pPr>
      <w:spacing w:after="0" w:line="240" w:lineRule="auto"/>
    </w:pPr>
    <w:rPr>
      <w:lang w:val="en-GB"/>
    </w:rPr>
  </w:style>
  <w:style w:type="character" w:customStyle="1" w:styleId="Style1">
    <w:name w:val="Style1"/>
    <w:basedOn w:val="DefaultParagraphFont"/>
    <w:uiPriority w:val="1"/>
    <w:rsid w:val="00160BB5"/>
    <w:rPr>
      <w:rFonts w:ascii="Times New Roman" w:hAnsi="Times New Roman"/>
      <w:i/>
      <w:sz w:val="22"/>
    </w:rPr>
  </w:style>
  <w:style w:type="paragraph" w:styleId="BalloonText">
    <w:name w:val="Balloon Text"/>
    <w:basedOn w:val="Normal"/>
    <w:link w:val="BalloonTextChar"/>
    <w:uiPriority w:val="99"/>
    <w:semiHidden/>
    <w:unhideWhenUsed/>
    <w:rsid w:val="0016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B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BB5"/>
    <w:rPr>
      <w:b/>
      <w:bCs/>
    </w:rPr>
  </w:style>
  <w:style w:type="character" w:customStyle="1" w:styleId="CommentSubjectChar">
    <w:name w:val="Comment Subject Char"/>
    <w:basedOn w:val="CommentTextChar"/>
    <w:link w:val="CommentSubject"/>
    <w:uiPriority w:val="99"/>
    <w:semiHidden/>
    <w:rsid w:val="00160BB5"/>
    <w:rPr>
      <w:b/>
      <w:bCs/>
      <w:sz w:val="20"/>
      <w:szCs w:val="20"/>
      <w:lang w:val="en-GB"/>
    </w:rPr>
  </w:style>
  <w:style w:type="character" w:customStyle="1" w:styleId="BasetextChar">
    <w:name w:val="Base text Char"/>
    <w:basedOn w:val="DefaultParagraphFont"/>
    <w:link w:val="Basetext"/>
    <w:locked/>
    <w:rsid w:val="00160BB5"/>
    <w:rPr>
      <w:rFonts w:ascii="Times New Roman" w:eastAsia="Times New Roman" w:hAnsi="Times New Roman" w:cs="Times New Roman"/>
    </w:rPr>
  </w:style>
  <w:style w:type="paragraph" w:customStyle="1" w:styleId="Basetext">
    <w:name w:val="Base text"/>
    <w:basedOn w:val="Normal"/>
    <w:link w:val="BasetextChar"/>
    <w:qFormat/>
    <w:rsid w:val="00160BB5"/>
    <w:pPr>
      <w:widowControl w:val="0"/>
      <w:snapToGrid w:val="0"/>
      <w:spacing w:before="180" w:after="0" w:line="276" w:lineRule="auto"/>
    </w:pPr>
    <w:rPr>
      <w:rFonts w:ascii="Times New Roman" w:eastAsia="Times New Roman" w:hAnsi="Times New Roman" w:cs="Times New Roman"/>
      <w:lang w:val="en-AU"/>
    </w:rPr>
  </w:style>
  <w:style w:type="character" w:styleId="Hyperlink">
    <w:name w:val="Hyperlink"/>
    <w:basedOn w:val="DefaultParagraphFont"/>
    <w:uiPriority w:val="99"/>
    <w:semiHidden/>
    <w:unhideWhenUsed/>
    <w:rsid w:val="00160BB5"/>
    <w:rPr>
      <w:color w:val="0000FF"/>
      <w:u w:val="single"/>
    </w:rPr>
  </w:style>
  <w:style w:type="character" w:styleId="FollowedHyperlink">
    <w:name w:val="FollowedHyperlink"/>
    <w:basedOn w:val="DefaultParagraphFont"/>
    <w:uiPriority w:val="99"/>
    <w:semiHidden/>
    <w:unhideWhenUsed/>
    <w:rsid w:val="00160BB5"/>
    <w:rPr>
      <w:color w:val="954F72" w:themeColor="followedHyperlink"/>
      <w:u w:val="single"/>
    </w:rPr>
  </w:style>
  <w:style w:type="paragraph" w:styleId="Revision">
    <w:name w:val="Revision"/>
    <w:hidden/>
    <w:uiPriority w:val="99"/>
    <w:semiHidden/>
    <w:rsid w:val="00160BB5"/>
    <w:pPr>
      <w:spacing w:after="0" w:line="240" w:lineRule="auto"/>
    </w:pPr>
    <w:rPr>
      <w:lang w:val="en-GB"/>
    </w:rPr>
  </w:style>
  <w:style w:type="paragraph" w:styleId="Header">
    <w:name w:val="header"/>
    <w:basedOn w:val="Normal"/>
    <w:link w:val="HeaderChar"/>
    <w:uiPriority w:val="99"/>
    <w:unhideWhenUsed/>
    <w:rsid w:val="0016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B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1</cp:revision>
  <dcterms:created xsi:type="dcterms:W3CDTF">2025-01-21T04:44:00Z</dcterms:created>
  <dcterms:modified xsi:type="dcterms:W3CDTF">2025-01-21T04:56:00Z</dcterms:modified>
</cp:coreProperties>
</file>