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FC9" w:rsidRPr="00231A23" w:rsidRDefault="000A7FC9" w:rsidP="000A7FC9">
      <w:pPr>
        <w:shd w:val="clear" w:color="auto" w:fill="FFFFFF"/>
        <w:spacing w:after="120" w:line="360" w:lineRule="auto"/>
        <w:jc w:val="center"/>
        <w:outlineLvl w:val="0"/>
        <w:rPr>
          <w:rFonts w:ascii="Times New Roman" w:eastAsia="Times New Roman" w:hAnsi="Times New Roman" w:cs="Times New Roman"/>
          <w:b/>
          <w:bCs/>
          <w:i/>
          <w:iCs/>
          <w:color w:val="000000"/>
          <w:spacing w:val="-2"/>
          <w:kern w:val="36"/>
          <w:sz w:val="28"/>
          <w:szCs w:val="28"/>
          <w:lang w:val="en-AU" w:eastAsia="en-AU"/>
        </w:rPr>
      </w:pPr>
      <w:r w:rsidRPr="00231A23">
        <w:rPr>
          <w:rFonts w:ascii="Times New Roman" w:eastAsia="Times New Roman" w:hAnsi="Times New Roman" w:cs="Times New Roman"/>
          <w:b/>
          <w:bCs/>
          <w:i/>
          <w:iCs/>
          <w:color w:val="000000"/>
          <w:spacing w:val="-2"/>
          <w:kern w:val="36"/>
          <w:sz w:val="28"/>
          <w:szCs w:val="28"/>
          <w:lang w:val="en-AU" w:eastAsia="en-AU"/>
        </w:rPr>
        <w:t>Legislation (Deferral of Sunsetting—Control of Naval Waters Regulation) Certificate 2025</w:t>
      </w:r>
    </w:p>
    <w:p w:rsidR="000A7FC9" w:rsidRPr="00231A23" w:rsidRDefault="000A7FC9" w:rsidP="000A7FC9">
      <w:pPr>
        <w:shd w:val="clear" w:color="auto" w:fill="FFFFFF"/>
        <w:spacing w:after="120" w:line="360" w:lineRule="auto"/>
        <w:jc w:val="center"/>
        <w:outlineLvl w:val="0"/>
        <w:rPr>
          <w:rFonts w:ascii="Times New Roman" w:hAnsi="Times New Roman" w:cs="Times New Roman"/>
          <w:b/>
          <w:sz w:val="28"/>
          <w:szCs w:val="24"/>
          <w:lang w:val="en-AU"/>
        </w:rPr>
      </w:pPr>
      <w:r w:rsidRPr="00231A23">
        <w:rPr>
          <w:rFonts w:ascii="Times New Roman" w:hAnsi="Times New Roman" w:cs="Times New Roman"/>
          <w:b/>
          <w:sz w:val="28"/>
          <w:szCs w:val="24"/>
          <w:lang w:val="en-AU"/>
        </w:rPr>
        <w:t>EXPLANATORY STATEMENT</w:t>
      </w:r>
    </w:p>
    <w:p w:rsidR="000A7FC9" w:rsidRPr="00231A23" w:rsidRDefault="000A7FC9" w:rsidP="000A7FC9">
      <w:pPr>
        <w:shd w:val="clear" w:color="auto" w:fill="FFFFFF"/>
        <w:spacing w:after="120" w:line="360" w:lineRule="auto"/>
        <w:jc w:val="center"/>
        <w:rPr>
          <w:rFonts w:ascii="Times New Roman" w:hAnsi="Times New Roman" w:cs="Times New Roman"/>
          <w:i/>
          <w:sz w:val="24"/>
          <w:lang w:val="en-AU"/>
        </w:rPr>
      </w:pPr>
      <w:r w:rsidRPr="00231A23">
        <w:rPr>
          <w:rFonts w:ascii="Times New Roman" w:eastAsia="Times New Roman" w:hAnsi="Times New Roman" w:cs="Times New Roman"/>
          <w:color w:val="000000"/>
          <w:sz w:val="24"/>
          <w:szCs w:val="24"/>
          <w:lang w:val="en-AU" w:eastAsia="en-AU"/>
        </w:rPr>
        <w:t>Issued</w:t>
      </w:r>
      <w:r w:rsidRPr="00231A23">
        <w:rPr>
          <w:rFonts w:ascii="Times New Roman" w:hAnsi="Times New Roman" w:cs="Times New Roman"/>
          <w:sz w:val="24"/>
          <w:lang w:val="en-AU"/>
        </w:rPr>
        <w:t xml:space="preserve"> by the Attorney-General in compliance with</w:t>
      </w:r>
      <w:r w:rsidRPr="00231A23">
        <w:rPr>
          <w:rFonts w:ascii="Times New Roman" w:hAnsi="Times New Roman" w:cs="Times New Roman"/>
          <w:sz w:val="24"/>
          <w:lang w:val="en-AU"/>
        </w:rPr>
        <w:br/>
        <w:t xml:space="preserve">section 15G of the </w:t>
      </w:r>
      <w:r w:rsidRPr="00231A23">
        <w:rPr>
          <w:rFonts w:ascii="Times New Roman" w:hAnsi="Times New Roman" w:cs="Times New Roman"/>
          <w:i/>
          <w:sz w:val="24"/>
          <w:lang w:val="en-AU"/>
        </w:rPr>
        <w:t>Legislation Act 2003</w:t>
      </w:r>
    </w:p>
    <w:p w:rsidR="000A7FC9" w:rsidRPr="00231A23" w:rsidRDefault="000A7FC9" w:rsidP="000A7FC9">
      <w:pPr>
        <w:pBdr>
          <w:bottom w:val="single" w:sz="12" w:space="1" w:color="auto"/>
        </w:pBdr>
        <w:spacing w:after="360" w:line="360" w:lineRule="auto"/>
        <w:jc w:val="both"/>
        <w:rPr>
          <w:rFonts w:ascii="Times New Roman" w:hAnsi="Times New Roman" w:cs="Times New Roman"/>
          <w:lang w:val="en-AU"/>
        </w:rPr>
      </w:pPr>
    </w:p>
    <w:p w:rsidR="000A7FC9" w:rsidRPr="00231A23" w:rsidRDefault="000A7FC9" w:rsidP="000A7FC9">
      <w:pPr>
        <w:spacing w:line="360" w:lineRule="auto"/>
        <w:contextualSpacing/>
        <w:rPr>
          <w:rFonts w:ascii="Times New Roman" w:hAnsi="Times New Roman" w:cs="Times New Roman"/>
          <w:b/>
          <w:bCs/>
        </w:rPr>
      </w:pPr>
      <w:r w:rsidRPr="00231A23">
        <w:rPr>
          <w:rFonts w:ascii="Times New Roman" w:hAnsi="Times New Roman" w:cs="Times New Roman"/>
          <w:b/>
          <w:bCs/>
        </w:rPr>
        <w:t>INTRODUCTION</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bCs/>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Sunsetting—Control of Naval Waters Regulation) Certificate 2025 </w:t>
      </w:r>
      <w:r w:rsidRPr="00231A23">
        <w:rPr>
          <w:rFonts w:ascii="Times New Roman" w:hAnsi="Times New Roman" w:cs="Times New Roman"/>
        </w:rPr>
        <w:t xml:space="preserve">(the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 xml:space="preserve"> (the Legislation Act)</w:t>
      </w:r>
      <w:r w:rsidRPr="00231A23">
        <w:rPr>
          <w:rFonts w:ascii="Times New Roman" w:hAnsi="Times New Roman" w:cs="Times New Roman"/>
          <w:i/>
        </w:rPr>
        <w:t xml:space="preserve">. </w:t>
      </w:r>
      <w:r w:rsidRPr="00231A23">
        <w:rPr>
          <w:rFonts w:ascii="Times New Roman" w:hAnsi="Times New Roman" w:cs="Times New Roman"/>
        </w:rPr>
        <w:t>It is a legislative instrument for the purposes of the Legislation Act and must be registered on the Federal Register of Legislation. 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b/>
          <w:bCs/>
        </w:rPr>
      </w:pPr>
      <w:r w:rsidRPr="00231A23">
        <w:rPr>
          <w:rFonts w:ascii="Times New Roman" w:hAnsi="Times New Roman" w:cs="Times New Roman"/>
          <w:b/>
          <w:bCs/>
        </w:rPr>
        <w:t>OUTLINE</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Under paragraph 51(1</w:t>
      </w:r>
      <w:bookmarkStart w:id="0" w:name="_GoBack"/>
      <w:bookmarkEnd w:id="0"/>
      <w:r w:rsidRPr="00231A23">
        <w:rPr>
          <w:rFonts w:ascii="Times New Roman" w:hAnsi="Times New Roman" w:cs="Times New Roman"/>
        </w:rPr>
        <w:t>)(c) of the Legislation Act the Attorney-General can issue a certificate to defer the sunsetting day of an instrument for a period of either 6, 12, 18 or 24 months.</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The instrument will then be repealed on the day specified in the certificate instead of the previously scheduled sunsetting day. This allows instruments to continue to be in force for a further but limited period of time after the date on which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lastRenderedPageBreak/>
        <w:t xml:space="preserve">The Certificate defers the sunsetting date of </w:t>
      </w:r>
      <w:r w:rsidRPr="00231A23">
        <w:rPr>
          <w:rFonts w:ascii="Times New Roman" w:hAnsi="Times New Roman" w:cs="Times New Roman"/>
          <w:i/>
        </w:rPr>
        <w:t>Control of Naval Waters Regulation 2015</w:t>
      </w:r>
      <w:r w:rsidRPr="00231A23">
        <w:rPr>
          <w:rFonts w:ascii="Times New Roman" w:hAnsi="Times New Roman" w:cs="Times New Roman"/>
        </w:rPr>
        <w:t xml:space="preserve"> (CNW Regulation) by 24 months from 1 April 2025 to 1 April 2027.</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In this case, the CNW Regulation is expected to be remade within 24 months of the sunsetting date as a result of a review by the Department of Defence (Defence). If the Certificate were to be disallowed, there would not be enough time to review and remake the Instrument prior to the sunsetting day.</w:t>
      </w:r>
    </w:p>
    <w:p w:rsidR="000A7FC9" w:rsidRPr="00231A23" w:rsidRDefault="000A7FC9" w:rsidP="000A7FC9">
      <w:pPr>
        <w:spacing w:line="360" w:lineRule="auto"/>
        <w:contextualSpacing/>
        <w:rPr>
          <w:rFonts w:ascii="Times New Roman" w:hAnsi="Times New Roman" w:cs="Times New Roman"/>
          <w:b/>
          <w:bCs/>
        </w:rPr>
      </w:pPr>
    </w:p>
    <w:p w:rsidR="000A7FC9" w:rsidRPr="00231A23" w:rsidRDefault="000A7FC9" w:rsidP="000A7FC9">
      <w:pPr>
        <w:spacing w:line="360" w:lineRule="auto"/>
        <w:contextualSpacing/>
        <w:rPr>
          <w:rFonts w:ascii="Times New Roman" w:hAnsi="Times New Roman" w:cs="Times New Roman"/>
          <w:b/>
        </w:rPr>
      </w:pPr>
      <w:r w:rsidRPr="00231A23">
        <w:rPr>
          <w:rFonts w:ascii="Times New Roman" w:hAnsi="Times New Roman" w:cs="Times New Roman"/>
          <w:b/>
          <w:bCs/>
        </w:rPr>
        <w:t>PROCESS BEFORE CERTIFICATE WAS MADE</w:t>
      </w:r>
    </w:p>
    <w:p w:rsidR="000A7FC9" w:rsidRPr="00231A23" w:rsidRDefault="000A7FC9" w:rsidP="000A7FC9">
      <w:pPr>
        <w:spacing w:line="360" w:lineRule="auto"/>
        <w:contextualSpacing/>
        <w:rPr>
          <w:rFonts w:ascii="Times New Roman" w:hAnsi="Times New Roman" w:cs="Times New Roman"/>
          <w:b/>
          <w:bCs/>
        </w:rPr>
      </w:pPr>
    </w:p>
    <w:p w:rsidR="000A7FC9" w:rsidRPr="00231A23" w:rsidRDefault="000A7FC9" w:rsidP="000A7FC9">
      <w:pPr>
        <w:spacing w:line="360" w:lineRule="auto"/>
        <w:contextualSpacing/>
        <w:rPr>
          <w:rFonts w:ascii="Times New Roman" w:hAnsi="Times New Roman" w:cs="Times New Roman"/>
          <w:b/>
        </w:rPr>
      </w:pPr>
      <w:r w:rsidRPr="00231A23">
        <w:rPr>
          <w:rFonts w:ascii="Times New Roman" w:hAnsi="Times New Roman" w:cs="Times New Roman"/>
          <w:b/>
        </w:rPr>
        <w:t>Regulatory impact analysis</w:t>
      </w: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b/>
        </w:rPr>
      </w:pPr>
      <w:r w:rsidRPr="00231A23">
        <w:rPr>
          <w:rFonts w:ascii="Times New Roman" w:hAnsi="Times New Roman" w:cs="Times New Roman"/>
          <w:b/>
        </w:rPr>
        <w:t>Consultation before making</w:t>
      </w: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Before the Certificate was issued, the Attorney-General considered the general obligation to consult imposed by section 17 of the Legislation Act.</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lang w:val="en-US"/>
        </w:rPr>
      </w:pPr>
      <w:r w:rsidRPr="00231A23">
        <w:rPr>
          <w:rFonts w:ascii="Times New Roman" w:hAnsi="Times New Roman" w:cs="Times New Roman"/>
        </w:rPr>
        <w:t xml:space="preserve">The CNW Regulation is made under the </w:t>
      </w:r>
      <w:r w:rsidRPr="00231A23">
        <w:rPr>
          <w:rFonts w:ascii="Times New Roman" w:hAnsi="Times New Roman" w:cs="Times New Roman"/>
          <w:i/>
          <w:iCs/>
          <w:snapToGrid w:val="0"/>
          <w:szCs w:val="24"/>
        </w:rPr>
        <w:t>Control of Naval Waters Act 1918</w:t>
      </w:r>
      <w:r w:rsidRPr="00231A23">
        <w:rPr>
          <w:rFonts w:ascii="Times New Roman" w:hAnsi="Times New Roman" w:cs="Times New Roman"/>
        </w:rPr>
        <w:t xml:space="preserve"> (CNW Act). The CNW Regulation provides for the control of the passage, anchorage, mooring, manning, cleaning and loitering of vessels in naval waters and the entry onto and construction on foreshores of naval waters by people. It creates offences for persons failing to comply with these controls and provides certain control mechanisms for practical enforcement of naval water restrictions. </w:t>
      </w:r>
    </w:p>
    <w:p w:rsidR="000A7FC9" w:rsidRPr="00231A23" w:rsidRDefault="000A7FC9" w:rsidP="000A7FC9">
      <w:pPr>
        <w:spacing w:afterLines="200" w:after="480" w:line="360" w:lineRule="auto"/>
        <w:contextualSpacing/>
        <w:rPr>
          <w:rFonts w:ascii="Times New Roman" w:hAnsi="Times New Roman" w:cs="Times New Roman"/>
          <w:b/>
          <w:u w:val="single"/>
        </w:rPr>
      </w:pPr>
    </w:p>
    <w:p w:rsidR="000A7FC9" w:rsidRPr="00231A23" w:rsidRDefault="000A7FC9" w:rsidP="000A7FC9">
      <w:pPr>
        <w:spacing w:afterLines="200" w:after="480" w:line="360" w:lineRule="auto"/>
        <w:contextualSpacing/>
        <w:rPr>
          <w:rFonts w:ascii="Times New Roman" w:hAnsi="Times New Roman" w:cs="Times New Roman"/>
          <w:b/>
          <w:u w:val="single"/>
        </w:rPr>
      </w:pPr>
      <w:r w:rsidRPr="00231A23">
        <w:rPr>
          <w:rFonts w:ascii="Times New Roman" w:hAnsi="Times New Roman" w:cs="Times New Roman"/>
        </w:rPr>
        <w:t xml:space="preserve">Defence is currently undertaking a nationwide review of naval waters. External consultation will commence in early 2025, with the completion of the review expected by the end of 2025. </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u w:val="single"/>
        </w:rPr>
      </w:pPr>
      <w:r w:rsidRPr="00231A23">
        <w:rPr>
          <w:rFonts w:ascii="Times New Roman" w:hAnsi="Times New Roman" w:cs="Times New Roman"/>
        </w:rPr>
        <w:t>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Any replacement instrument will be subject to further consultation and parliamentary oversight, including oversight of whether adequate consultation occurred with persons likely to be affected by the replacement instruments.</w:t>
      </w:r>
    </w:p>
    <w:p w:rsidR="000A7FC9" w:rsidRPr="00231A23" w:rsidRDefault="000A7FC9" w:rsidP="000A7FC9">
      <w:pPr>
        <w:spacing w:line="360" w:lineRule="auto"/>
        <w:contextualSpacing/>
        <w:rPr>
          <w:rFonts w:ascii="Times New Roman" w:hAnsi="Times New Roman" w:cs="Times New Roman"/>
          <w:u w:val="single"/>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A 24 month deferral will allow sufficient time for Defence to complete the review, allow government to consider options, and to develop a replacement instrument that is fit for purpose. This will avoid the need to remake the CNW Regulation in its current form for the short period of time before it is repealed and a replacement instrument is made. As such, given that deferral of the sunsetting date of the CNW Regulation is consistent with the policy intent of the sunsetting regime and does not significantly alter existing arrangements, appropriate consultation has occurred for the purposes of section 17 of the Legislation Act.</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b/>
          <w:lang w:val="en-AU"/>
        </w:rPr>
      </w:pPr>
      <w:r w:rsidRPr="00231A23">
        <w:rPr>
          <w:rFonts w:ascii="Times New Roman" w:hAnsi="Times New Roman" w:cs="Times New Roman"/>
          <w:b/>
        </w:rPr>
        <w:t>Statutory preconditions relevant to the Certificate</w:t>
      </w: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If the statutory conditions in section 51 of the Legislation Act are met, an instrument’s sunsetting day can be deferred for 6, 12, 18 or 24 months by means of a certificate made under that section. In terms of process, the Legislation Act requires:</w:t>
      </w:r>
    </w:p>
    <w:p w:rsidR="000A7FC9" w:rsidRPr="00231A23" w:rsidRDefault="000A7FC9" w:rsidP="000A7FC9">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the responsible rule-maker to apply to the Attorney-General in writing, and</w:t>
      </w:r>
    </w:p>
    <w:p w:rsidR="000A7FC9" w:rsidRPr="00231A23" w:rsidRDefault="000A7FC9" w:rsidP="000A7FC9">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the Attorney-General to be satisfied that:</w:t>
      </w:r>
    </w:p>
    <w:p w:rsidR="000A7FC9" w:rsidRPr="00231A23" w:rsidRDefault="000A7FC9" w:rsidP="000A7FC9">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instrument would (apart from the operation of the sunsetting provisions) be likely to cease to be in force within 24 months after its sunsetting day</w:t>
      </w:r>
    </w:p>
    <w:p w:rsidR="000A7FC9" w:rsidRPr="00231A23" w:rsidRDefault="000A7FC9" w:rsidP="000A7FC9">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proposed replacement instrument will not be able to be completed before the sunsetting day for reasons that the rule-maker could not have foreseen and avoided</w:t>
      </w:r>
    </w:p>
    <w:p w:rsidR="000A7FC9" w:rsidRPr="00231A23" w:rsidRDefault="000A7FC9" w:rsidP="000A7FC9">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dissolution or expiration of the House of Representatives or the prorogation of the Parliament renders it inappropriate to make a replacement instrument before a new government is formed, or</w:t>
      </w:r>
    </w:p>
    <w:p w:rsidR="000A7FC9" w:rsidRPr="00231A23" w:rsidRDefault="000A7FC9" w:rsidP="000A7FC9">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Attorney-General has approved Part 4 of Chapter 3 of the Legislation Act (Sunsetting) not applying to that instrument, and</w:t>
      </w:r>
    </w:p>
    <w:p w:rsidR="000A7FC9" w:rsidRPr="00231A23" w:rsidRDefault="000A7FC9" w:rsidP="000A7FC9">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the Attorney-General to issue a certificate. The explanatory statement for the certificate must include a statement of reasons for the issue of the certificate.</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The rule-maker for the CNW Regulation, the Deputy Prime Minister and Minister for Defence, the Hon Richard Marles MP, provided a written application to the Attorney</w:t>
      </w:r>
      <w:r w:rsidRPr="00231A23">
        <w:rPr>
          <w:rFonts w:ascii="Times New Roman" w:hAnsi="Times New Roman" w:cs="Times New Roman"/>
        </w:rPr>
        <w:noBreakHyphen/>
        <w:t>General seeking a certificate of deferral of sunsetting for the Instrument.</w:t>
      </w:r>
      <w:r w:rsidRPr="00231A23">
        <w:rPr>
          <w:rFonts w:ascii="Times New Roman" w:hAnsi="Times New Roman" w:cs="Times New Roman"/>
          <w:i/>
        </w:rPr>
        <w:t xml:space="preserve"> </w:t>
      </w:r>
      <w:r w:rsidRPr="00231A23">
        <w:rPr>
          <w:rFonts w:ascii="Times New Roman" w:hAnsi="Times New Roman" w:cs="Times New Roman"/>
        </w:rPr>
        <w:t>On the basis of the information contained in the statement of reasons below, the Attorney</w:t>
      </w:r>
      <w:r w:rsidRPr="00231A23">
        <w:rPr>
          <w:rFonts w:ascii="Times New Roman" w:hAnsi="Times New Roman" w:cs="Times New Roman"/>
        </w:rPr>
        <w:noBreakHyphen/>
        <w:t>General is satisfied that the CNW Regulation would, apart from the operation of Part 4 of Chapter 3 of the Legislation Act, be likely to cease to be in force within 24 months after its sunsetting day.</w:t>
      </w:r>
      <w:r w:rsidRPr="00231A23">
        <w:rPr>
          <w:rFonts w:ascii="Times New Roman" w:hAnsi="Times New Roman" w:cs="Times New Roman"/>
          <w:i/>
        </w:rPr>
        <w:t xml:space="preserve"> </w:t>
      </w:r>
      <w:r w:rsidRPr="00231A23">
        <w:rPr>
          <w:rFonts w:ascii="Times New Roman" w:hAnsi="Times New Roman" w:cs="Times New Roman"/>
        </w:rPr>
        <w:t>As such, the criterion in subparagraph 51(1)(b)(i) of the Legislation Act is met.</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keepNext/>
        <w:spacing w:line="360" w:lineRule="auto"/>
        <w:contextualSpacing/>
        <w:rPr>
          <w:rFonts w:ascii="Times New Roman" w:hAnsi="Times New Roman" w:cs="Times New Roman"/>
          <w:b/>
        </w:rPr>
      </w:pPr>
      <w:r w:rsidRPr="00231A23">
        <w:rPr>
          <w:rFonts w:ascii="Times New Roman" w:hAnsi="Times New Roman" w:cs="Times New Roman"/>
          <w:b/>
        </w:rPr>
        <w:lastRenderedPageBreak/>
        <w:t>Statement of Reasons for issuing of the Certificate</w:t>
      </w: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For the purposes of subsection 51(5) of the Legislation Act this section sets out the statement of reasons for issuing the Certificate.</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 xml:space="preserve">The Certificate defers the sunsetting date of the CNW Regulation by 24 months to 1 April 2027 to enable Defence to complete the review, put options to government and develop a replacement instrument.  </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 xml:space="preserve">Defence is currently undertaking a nationwide review of naval waters. The last major review of naval waters was in 2009. This review included 23 areas of naval waters across 5 States and Territories. A number of the existing areas need to be modified and expanded (due to increased security requirements and/or new infrastructure development) and a small number revoked as they are no longer needed. There is also a requirement for new naval waters to be created in certain locations of key importance to Defence, including both Defence establishments and civil port facilities. </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 xml:space="preserve">The intent is to complete the review by the end of 2025, allowing sufficient time for government consideration of options, and to develop a replacement instrument that is fit for purpose before 1 April 2027. </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 xml:space="preserve">A 24 month deferral of the sunsetting day will allow sufficient time for the amendments to the CNW Regulation to be made, as well as to principal legislation, if required, and avoid the need to remake the CNW Regulation in its current form for the short period of time before it is repealed and replaced following completion of the review. </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Accordingly, the CNW Regulation  will likely cease to be in force in its current form within 24 months of its original sunsetting date.</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b/>
        </w:rPr>
      </w:pPr>
      <w:r w:rsidRPr="00231A23">
        <w:rPr>
          <w:rFonts w:ascii="Times New Roman" w:hAnsi="Times New Roman" w:cs="Times New Roman"/>
          <w:b/>
        </w:rPr>
        <w:t>More information</w:t>
      </w:r>
    </w:p>
    <w:p w:rsidR="000A7FC9" w:rsidRPr="00231A23" w:rsidRDefault="000A7FC9" w:rsidP="000A7FC9">
      <w:pPr>
        <w:spacing w:line="360" w:lineRule="auto"/>
        <w:contextualSpacing/>
        <w:rPr>
          <w:rFonts w:ascii="Times New Roman" w:hAnsi="Times New Roman" w:cs="Times New Roman"/>
          <w:u w:val="single"/>
        </w:rPr>
      </w:pPr>
      <w:r w:rsidRPr="00231A23">
        <w:rPr>
          <w:rFonts w:ascii="Times New Roman" w:hAnsi="Times New Roman" w:cs="Times New Roman"/>
        </w:rPr>
        <w:t xml:space="preserve">Further details on the provisions of the Certificate are provided in </w:t>
      </w:r>
      <w:r w:rsidRPr="00231A23">
        <w:rPr>
          <w:rFonts w:ascii="Times New Roman" w:hAnsi="Times New Roman" w:cs="Times New Roman"/>
          <w:u w:val="single"/>
        </w:rPr>
        <w:t>Attachment A</w:t>
      </w:r>
      <w:r w:rsidRPr="00231A23">
        <w:rPr>
          <w:rFonts w:ascii="Times New Roman" w:hAnsi="Times New Roman" w:cs="Times New Roman"/>
        </w:rPr>
        <w:t>.</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The CNW Regulation which is subject to the Certificate, and which will now sunset at a later day as specified in the Certificate, is available on the Federal Register of Legislation.</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Further information may be requested from the Attorney</w:t>
      </w:r>
      <w:r w:rsidRPr="00231A23">
        <w:rPr>
          <w:rFonts w:ascii="Times New Roman" w:hAnsi="Times New Roman" w:cs="Times New Roman"/>
        </w:rPr>
        <w:noBreakHyphen/>
        <w:t>General’s Department about the operation of the Certificate, and from the Department of Defence about the Instrument to which the Certificate applies.</w:t>
      </w:r>
    </w:p>
    <w:p w:rsidR="000A7FC9" w:rsidRPr="00231A23" w:rsidRDefault="000A7FC9" w:rsidP="000A7FC9">
      <w:pPr>
        <w:rPr>
          <w:rFonts w:ascii="Times New Roman" w:hAnsi="Times New Roman" w:cs="Times New Roman"/>
          <w:b/>
        </w:rPr>
      </w:pPr>
      <w:r w:rsidRPr="00231A23">
        <w:rPr>
          <w:rFonts w:ascii="Times New Roman" w:hAnsi="Times New Roman" w:cs="Times New Roman"/>
          <w:b/>
        </w:rPr>
        <w:br w:type="page"/>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b/>
        </w:rPr>
      </w:pPr>
      <w:r w:rsidRPr="00231A23">
        <w:rPr>
          <w:rFonts w:ascii="Times New Roman" w:hAnsi="Times New Roman" w:cs="Times New Roman"/>
          <w:b/>
        </w:rPr>
        <w:t>STATEMENT OF COMPATIBILITY WITH HUMAN RIGHTS</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b/>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Sunsetting—Control of Naval Waters Regulation) Certificate 2025 </w:t>
      </w:r>
      <w:r w:rsidRPr="00231A23">
        <w:rPr>
          <w:rFonts w:ascii="Times New Roman" w:hAnsi="Times New Roman" w:cs="Times New Roman"/>
        </w:rPr>
        <w:t xml:space="preserve">(the Certificate) is compatible with human rights and freedoms recognised or declared in the international instruments listed in section 3 of the </w:t>
      </w:r>
      <w:r w:rsidRPr="00231A23">
        <w:rPr>
          <w:rFonts w:ascii="Times New Roman" w:hAnsi="Times New Roman" w:cs="Times New Roman"/>
          <w:i/>
        </w:rPr>
        <w:t>Human Rights (Parliamentary Scrutiny) Act 2011</w:t>
      </w:r>
      <w:r w:rsidRPr="00231A23">
        <w:rPr>
          <w:rFonts w:ascii="Times New Roman" w:hAnsi="Times New Roman" w:cs="Times New Roman"/>
        </w:rPr>
        <w:t xml:space="preserve"> (the Human Rights Act).</w:t>
      </w:r>
    </w:p>
    <w:p w:rsidR="000A7FC9" w:rsidRPr="00231A23" w:rsidRDefault="000A7FC9" w:rsidP="000A7FC9">
      <w:pPr>
        <w:spacing w:line="360" w:lineRule="auto"/>
        <w:contextualSpacing/>
        <w:rPr>
          <w:rFonts w:ascii="Times New Roman" w:hAnsi="Times New Roman" w:cs="Times New Roman"/>
          <w:b/>
          <w:lang w:val="en"/>
        </w:rPr>
      </w:pPr>
    </w:p>
    <w:p w:rsidR="000A7FC9" w:rsidRPr="00231A23" w:rsidRDefault="000A7FC9" w:rsidP="000A7FC9">
      <w:pPr>
        <w:spacing w:line="360" w:lineRule="auto"/>
        <w:contextualSpacing/>
        <w:rPr>
          <w:rFonts w:ascii="Times New Roman" w:hAnsi="Times New Roman" w:cs="Times New Roman"/>
          <w:b/>
          <w:lang w:val="en"/>
        </w:rPr>
      </w:pPr>
      <w:r w:rsidRPr="00231A23">
        <w:rPr>
          <w:rFonts w:ascii="Times New Roman" w:hAnsi="Times New Roman" w:cs="Times New Roman"/>
          <w:b/>
          <w:lang w:val="en"/>
        </w:rPr>
        <w:t>Overview of the Certificate</w:t>
      </w: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lang w:val="en"/>
        </w:rPr>
        <w:t xml:space="preserve">The Certificate is made under </w:t>
      </w:r>
      <w:r w:rsidRPr="00231A23">
        <w:rPr>
          <w:rFonts w:ascii="Times New Roman" w:hAnsi="Times New Roman" w:cs="Times New Roman"/>
        </w:rPr>
        <w:t xml:space="preserve">paragraph 51(1)(c) </w:t>
      </w:r>
      <w:r w:rsidRPr="00231A23">
        <w:rPr>
          <w:rFonts w:ascii="Times New Roman" w:hAnsi="Times New Roman" w:cs="Times New Roman"/>
          <w:lang w:val="en"/>
        </w:rPr>
        <w:t xml:space="preserve">of the </w:t>
      </w:r>
      <w:r w:rsidRPr="00231A23">
        <w:rPr>
          <w:rFonts w:ascii="Times New Roman" w:hAnsi="Times New Roman" w:cs="Times New Roman"/>
          <w:i/>
          <w:lang w:val="en"/>
        </w:rPr>
        <w:t>Legislation Act 2003</w:t>
      </w:r>
      <w:r w:rsidRPr="00231A23">
        <w:rPr>
          <w:rFonts w:ascii="Times New Roman" w:hAnsi="Times New Roman" w:cs="Times New Roman"/>
          <w:lang w:val="en"/>
        </w:rPr>
        <w:t xml:space="preserve">. </w:t>
      </w:r>
      <w:r w:rsidRPr="00231A23">
        <w:rPr>
          <w:rFonts w:ascii="Times New Roman" w:hAnsi="Times New Roman" w:cs="Times New Roman"/>
        </w:rPr>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231A23">
        <w:rPr>
          <w:rFonts w:ascii="Times New Roman" w:hAnsi="Times New Roman" w:cs="Times New Roman"/>
          <w:lang w:val="en"/>
        </w:rPr>
        <w:t xml:space="preserve">The </w:t>
      </w:r>
      <w:r w:rsidRPr="00231A23">
        <w:rPr>
          <w:rFonts w:ascii="Times New Roman" w:hAnsi="Times New Roman" w:cs="Times New Roman"/>
        </w:rPr>
        <w:t>Instrument</w:t>
      </w:r>
      <w:r w:rsidRPr="00231A23">
        <w:rPr>
          <w:rFonts w:ascii="Times New Roman" w:hAnsi="Times New Roman" w:cs="Times New Roman"/>
          <w:lang w:val="en"/>
        </w:rPr>
        <w:t xml:space="preserve"> specified in the Certificate is </w:t>
      </w:r>
      <w:r w:rsidRPr="00231A23">
        <w:rPr>
          <w:rFonts w:ascii="Times New Roman" w:hAnsi="Times New Roman" w:cs="Times New Roman"/>
        </w:rPr>
        <w:t xml:space="preserve">the </w:t>
      </w:r>
      <w:r w:rsidRPr="00231A23">
        <w:rPr>
          <w:rFonts w:ascii="Times New Roman" w:hAnsi="Times New Roman" w:cs="Times New Roman"/>
          <w:i/>
        </w:rPr>
        <w:t>Control Naval Waters Regulation 2015</w:t>
      </w:r>
      <w:r w:rsidRPr="00231A23">
        <w:rPr>
          <w:rFonts w:ascii="Times New Roman" w:hAnsi="Times New Roman" w:cs="Times New Roman"/>
        </w:rPr>
        <w:t xml:space="preserve"> (CNW Regulation). </w:t>
      </w:r>
    </w:p>
    <w:p w:rsidR="000A7FC9" w:rsidRPr="00231A23" w:rsidRDefault="000A7FC9" w:rsidP="000A7FC9">
      <w:pPr>
        <w:spacing w:line="360" w:lineRule="auto"/>
        <w:contextualSpacing/>
        <w:rPr>
          <w:rFonts w:ascii="Times New Roman" w:hAnsi="Times New Roman" w:cs="Times New Roman"/>
          <w:b/>
          <w:lang w:val="e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 xml:space="preserve">The CNW Regulation </w:t>
      </w:r>
      <w:r w:rsidRPr="00231A23">
        <w:rPr>
          <w:rFonts w:ascii="Times New Roman" w:hAnsi="Times New Roman" w:cs="Times New Roman"/>
          <w:lang w:val="en"/>
        </w:rPr>
        <w:t>is</w:t>
      </w:r>
      <w:r w:rsidRPr="00231A23">
        <w:rPr>
          <w:rFonts w:ascii="Times New Roman" w:hAnsi="Times New Roman" w:cs="Times New Roman"/>
        </w:rPr>
        <w:t xml:space="preserve"> expected to be repealed and replaced within 24 months of its scheduled </w:t>
      </w:r>
      <w:r w:rsidRPr="00231A23">
        <w:rPr>
          <w:rFonts w:ascii="Times New Roman" w:hAnsi="Times New Roman" w:cs="Times New Roman"/>
          <w:lang w:val="en"/>
        </w:rPr>
        <w:t xml:space="preserve">sunsetting day as a result of the review currently being undertaken. </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 xml:space="preserve">The Certificate allows the CNW Regulation to continue to be in force </w:t>
      </w:r>
      <w:r w:rsidRPr="00231A23">
        <w:rPr>
          <w:rFonts w:ascii="Times New Roman" w:hAnsi="Times New Roman" w:cs="Times New Roman"/>
          <w:lang w:val="en"/>
        </w:rPr>
        <w:t xml:space="preserve">for a further, but limited, period of time when it would otherwise sunset. This removes the administrative burden of remaking the </w:t>
      </w:r>
      <w:r w:rsidRPr="00231A23">
        <w:rPr>
          <w:rFonts w:ascii="Times New Roman" w:hAnsi="Times New Roman" w:cs="Times New Roman"/>
        </w:rPr>
        <w:t>Instrument</w:t>
      </w:r>
      <w:r w:rsidRPr="00231A23">
        <w:rPr>
          <w:rFonts w:ascii="Times New Roman" w:hAnsi="Times New Roman" w:cs="Times New Roman"/>
          <w:lang w:val="en"/>
        </w:rPr>
        <w:t xml:space="preserve"> which would have a limited duration prior to </w:t>
      </w:r>
      <w:r w:rsidRPr="00231A23">
        <w:rPr>
          <w:rFonts w:ascii="Times New Roman" w:hAnsi="Times New Roman" w:cs="Times New Roman"/>
        </w:rPr>
        <w:t>its</w:t>
      </w:r>
      <w:r w:rsidRPr="00231A23">
        <w:rPr>
          <w:rFonts w:ascii="Times New Roman" w:hAnsi="Times New Roman" w:cs="Times New Roman"/>
          <w:lang w:val="en"/>
        </w:rPr>
        <w:t xml:space="preserve"> expected repeal and replacement, or where circumstances prevent the making of a replacement instrument prior to the sunsetting day.</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b/>
          <w:lang w:val="en"/>
        </w:rPr>
      </w:pPr>
      <w:r w:rsidRPr="00231A23">
        <w:rPr>
          <w:rFonts w:ascii="Times New Roman" w:hAnsi="Times New Roman" w:cs="Times New Roman"/>
          <w:b/>
          <w:lang w:val="en"/>
        </w:rPr>
        <w:t>Human Rights Implications</w:t>
      </w: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lang w:val="en"/>
        </w:rPr>
        <w:t xml:space="preserve">A certificate of deferral of sunsetting extends the operation of the instrument but does not change or affect the rights engaged under the original instrument. </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lang w:val="en"/>
        </w:rPr>
      </w:pPr>
      <w:r w:rsidRPr="00231A23">
        <w:rPr>
          <w:rFonts w:ascii="Times New Roman" w:hAnsi="Times New Roman" w:cs="Times New Roman"/>
          <w:lang w:val="en"/>
        </w:rPr>
        <w:t>The</w:t>
      </w:r>
      <w:r w:rsidRPr="00231A23">
        <w:rPr>
          <w:rFonts w:ascii="Times New Roman" w:hAnsi="Times New Roman" w:cs="Times New Roman"/>
        </w:rPr>
        <w:t xml:space="preserve"> CNW Regulation engages certain rights and freedoms declared by the international instruments </w:t>
      </w:r>
      <w:r w:rsidRPr="00231A23">
        <w:rPr>
          <w:rFonts w:ascii="Times New Roman" w:hAnsi="Times New Roman" w:cs="Times New Roman"/>
          <w:lang w:val="en"/>
        </w:rPr>
        <w:t>set out in section 3 of the Human Rights Act.</w:t>
      </w:r>
    </w:p>
    <w:p w:rsidR="000A7FC9" w:rsidRPr="00231A23" w:rsidRDefault="000A7FC9" w:rsidP="000A7FC9">
      <w:pPr>
        <w:spacing w:line="360" w:lineRule="auto"/>
        <w:contextualSpacing/>
        <w:rPr>
          <w:rFonts w:ascii="Times New Roman" w:hAnsi="Times New Roman" w:cs="Times New Roman"/>
          <w:lang w:val="en"/>
        </w:rPr>
      </w:pPr>
    </w:p>
    <w:p w:rsidR="000A7FC9" w:rsidRPr="00231A23" w:rsidRDefault="000A7FC9" w:rsidP="000A7FC9">
      <w:pPr>
        <w:spacing w:line="360" w:lineRule="auto"/>
        <w:contextualSpacing/>
        <w:rPr>
          <w:rFonts w:ascii="Times New Roman" w:hAnsi="Times New Roman" w:cs="Times New Roman"/>
          <w:lang w:val="en"/>
        </w:rPr>
      </w:pPr>
      <w:r w:rsidRPr="00231A23">
        <w:rPr>
          <w:rFonts w:ascii="Times New Roman" w:hAnsi="Times New Roman" w:cs="Times New Roman"/>
          <w:lang w:val="en"/>
        </w:rPr>
        <w:t>The CNW Regulation engages minimally with both Article 12(3), the right to freedom of movement, and Article 14(2), the presumption of innocence, under the International Covenant on Civil and Political Rights (ICCPR).</w:t>
      </w:r>
    </w:p>
    <w:p w:rsidR="000A7FC9" w:rsidRPr="00231A23" w:rsidRDefault="000A7FC9" w:rsidP="000A7FC9">
      <w:pPr>
        <w:spacing w:line="360" w:lineRule="auto"/>
        <w:contextualSpacing/>
        <w:rPr>
          <w:rFonts w:ascii="Times New Roman" w:hAnsi="Times New Roman" w:cs="Times New Roman"/>
          <w:lang w:val="en"/>
        </w:rPr>
      </w:pPr>
    </w:p>
    <w:p w:rsidR="000A7FC9" w:rsidRPr="00231A23" w:rsidRDefault="000A7FC9" w:rsidP="000A7FC9">
      <w:pPr>
        <w:spacing w:line="360" w:lineRule="auto"/>
        <w:contextualSpacing/>
        <w:rPr>
          <w:rFonts w:ascii="Times New Roman" w:hAnsi="Times New Roman" w:cs="Times New Roman"/>
          <w:u w:val="single"/>
          <w:lang w:val="en"/>
        </w:rPr>
      </w:pPr>
      <w:r w:rsidRPr="00231A23">
        <w:rPr>
          <w:rFonts w:ascii="Times New Roman" w:hAnsi="Times New Roman" w:cs="Times New Roman"/>
          <w:u w:val="single"/>
          <w:lang w:val="en"/>
        </w:rPr>
        <w:t xml:space="preserve">Freedom of movement </w:t>
      </w:r>
    </w:p>
    <w:p w:rsidR="000A7FC9" w:rsidRPr="00231A23" w:rsidRDefault="000A7FC9" w:rsidP="000A7FC9">
      <w:pPr>
        <w:widowControl w:val="0"/>
        <w:spacing w:afterLines="200" w:after="480" w:line="360" w:lineRule="auto"/>
        <w:contextualSpacing/>
        <w:rPr>
          <w:rFonts w:ascii="Times New Roman" w:eastAsia="Times New Roman" w:hAnsi="Times New Roman" w:cs="Times New Roman"/>
          <w:snapToGrid w:val="0"/>
          <w:lang w:val="en-AU"/>
        </w:rPr>
      </w:pPr>
      <w:r w:rsidRPr="00231A23">
        <w:rPr>
          <w:rFonts w:ascii="Times New Roman" w:hAnsi="Times New Roman" w:cs="Times New Roman"/>
          <w:lang w:val="en"/>
        </w:rPr>
        <w:t xml:space="preserve">The CNW Regulation provides </w:t>
      </w:r>
      <w:r w:rsidRPr="00231A23">
        <w:rPr>
          <w:rFonts w:ascii="Times New Roman" w:eastAsia="Times New Roman" w:hAnsi="Times New Roman" w:cs="Times New Roman"/>
          <w:snapToGrid w:val="0"/>
          <w:lang w:val="en-AU"/>
        </w:rPr>
        <w:t xml:space="preserve">for the curtailment of freedom of movement within naval waters and on their foreshores. The ICCPR provides that it is permissible to interfere with the right to freedom of movement for, amongst other things, national security, public order and public health. It is in the legitimate interest of the Commonwealth to control the movement of vessels in dedicated naval waters to ensure the safety of the public, Commonwealth and private property, the security of naval vessels and the defence of the Commonwealth. </w:t>
      </w:r>
    </w:p>
    <w:p w:rsidR="000A7FC9" w:rsidRPr="00231A23" w:rsidRDefault="000A7FC9" w:rsidP="000A7FC9">
      <w:pPr>
        <w:spacing w:line="360" w:lineRule="auto"/>
        <w:contextualSpacing/>
        <w:rPr>
          <w:lang w:val="en"/>
        </w:rPr>
      </w:pPr>
      <w:r w:rsidRPr="00231A23">
        <w:rPr>
          <w:rFonts w:ascii="Times New Roman" w:hAnsi="Times New Roman" w:cs="Times New Roman"/>
        </w:rPr>
        <w:t>The CNW Regulation provides that prior to restricting the entry into naval waters, the superintendent is to be satisfied that public safety, the safety of property or the defence of the Commonwealth requires the restriction. Additionally, a superintendent shall have regard to the purpose of the Commonwealth’s use of those waters, the time of such use, the risk of injury to persons, the risk of interference with or damage to Commonwealth or other property and the forms of communication and time available for giving a notice of restriction. Superintendents are to control the naval waters in such a fashion as to have minimal impact on the right to freedom of movement.</w:t>
      </w:r>
      <w:r w:rsidRPr="00231A23">
        <w:rPr>
          <w:rFonts w:ascii="Times New Roman" w:hAnsi="Times New Roman" w:cs="Times New Roman"/>
          <w:lang w:val="en"/>
        </w:rPr>
        <w:t xml:space="preserve"> </w:t>
      </w:r>
    </w:p>
    <w:p w:rsidR="000A7FC9" w:rsidRPr="00231A23" w:rsidRDefault="000A7FC9" w:rsidP="000A7FC9">
      <w:pPr>
        <w:spacing w:line="360" w:lineRule="auto"/>
        <w:contextualSpacing/>
        <w:rPr>
          <w:rFonts w:ascii="Times New Roman" w:hAnsi="Times New Roman" w:cs="Times New Roman"/>
          <w:u w:val="single"/>
          <w:lang w:val="en"/>
        </w:rPr>
      </w:pPr>
    </w:p>
    <w:p w:rsidR="000A7FC9" w:rsidRPr="00231A23" w:rsidRDefault="000A7FC9" w:rsidP="000A7FC9">
      <w:pPr>
        <w:spacing w:line="360" w:lineRule="auto"/>
        <w:contextualSpacing/>
        <w:rPr>
          <w:rFonts w:ascii="Times New Roman" w:hAnsi="Times New Roman" w:cs="Times New Roman"/>
          <w:u w:val="single"/>
          <w:lang w:val="en"/>
        </w:rPr>
      </w:pPr>
      <w:r w:rsidRPr="00231A23">
        <w:rPr>
          <w:rFonts w:ascii="Times New Roman" w:hAnsi="Times New Roman" w:cs="Times New Roman"/>
          <w:u w:val="single"/>
          <w:lang w:val="en"/>
        </w:rPr>
        <w:t>Presumption of innocence</w:t>
      </w:r>
    </w:p>
    <w:p w:rsidR="000A7FC9" w:rsidRPr="00231A23" w:rsidRDefault="000A7FC9" w:rsidP="000A7FC9">
      <w:pPr>
        <w:widowControl w:val="0"/>
        <w:spacing w:afterLines="200" w:after="480" w:line="360" w:lineRule="auto"/>
        <w:contextualSpacing/>
        <w:rPr>
          <w:rFonts w:ascii="Times New Roman" w:eastAsia="Times New Roman" w:hAnsi="Times New Roman" w:cs="Times New Roman"/>
          <w:snapToGrid w:val="0"/>
          <w:lang w:val="en-AU"/>
        </w:rPr>
      </w:pPr>
      <w:r w:rsidRPr="00231A23">
        <w:rPr>
          <w:rFonts w:ascii="Times New Roman" w:eastAsia="Times New Roman" w:hAnsi="Times New Roman" w:cs="Times New Roman"/>
          <w:snapToGrid w:val="0"/>
          <w:lang w:val="en"/>
        </w:rPr>
        <w:t>The presumption</w:t>
      </w:r>
      <w:r w:rsidRPr="00231A23">
        <w:rPr>
          <w:rFonts w:ascii="Times New Roman" w:eastAsia="Times New Roman" w:hAnsi="Times New Roman" w:cs="Times New Roman"/>
          <w:snapToGrid w:val="0"/>
          <w:lang w:val="en-AU"/>
        </w:rPr>
        <w:t xml:space="preserve"> of innocence is affected by the CNW Regulation as subsection 9(2), 9(6), 11(2), 12(2), 13(2), 13(4), 14(2), 14(4), 15(2), 16(2), 17(2), 18(2), 21(4), 22(4), 24(2), 25(5), 25(7) and 26(2) place a burden of proof on a defendant. However, that burden is only evidential in accordance with section 13.3 of the </w:t>
      </w:r>
      <w:r w:rsidRPr="00231A23">
        <w:rPr>
          <w:rFonts w:ascii="Times New Roman" w:eastAsia="Times New Roman" w:hAnsi="Times New Roman" w:cs="Times New Roman"/>
          <w:i/>
          <w:iCs/>
          <w:snapToGrid w:val="0"/>
          <w:lang w:val="en-AU"/>
        </w:rPr>
        <w:t>Criminal Code</w:t>
      </w:r>
      <w:r w:rsidRPr="00231A23">
        <w:rPr>
          <w:rFonts w:ascii="Times New Roman" w:eastAsia="Times New Roman" w:hAnsi="Times New Roman" w:cs="Times New Roman"/>
          <w:snapToGrid w:val="0"/>
          <w:lang w:val="en-AU"/>
        </w:rPr>
        <w:t>. Each subsections 9(2), 9(6), 11(2), 12(2), 13(2), 13(4), 15(2), 16(2), 18(2), 25(5), 25(7) and 26(2) provide for a defence of reasonable excuse for the relevant conduct (which is the conduct of a vessel's master) and provides for the defendant (who is the master of the vessel) to bear the burden of proof. In each of those cases the relevant conduct will be that of the defendant and therefore it is regarded as not unreasonable in the circumstances for a defendant to carry the burden of proof for a matter that may be solely within the defendant's knowledge.</w:t>
      </w:r>
    </w:p>
    <w:p w:rsidR="000A7FC9" w:rsidRPr="00231A23" w:rsidRDefault="000A7FC9" w:rsidP="000A7FC9">
      <w:pPr>
        <w:widowControl w:val="0"/>
        <w:spacing w:afterLines="200" w:after="480" w:line="360" w:lineRule="auto"/>
        <w:contextualSpacing/>
        <w:rPr>
          <w:rFonts w:ascii="Times New Roman" w:eastAsia="Times New Roman" w:hAnsi="Times New Roman" w:cs="Times New Roman"/>
          <w:snapToGrid w:val="0"/>
          <w:lang w:val="en-AU"/>
        </w:rPr>
      </w:pPr>
    </w:p>
    <w:p w:rsidR="000A7FC9" w:rsidRPr="00231A23" w:rsidRDefault="000A7FC9" w:rsidP="000A7FC9">
      <w:pPr>
        <w:widowControl w:val="0"/>
        <w:spacing w:afterLines="200" w:after="480" w:line="360" w:lineRule="auto"/>
        <w:contextualSpacing/>
        <w:rPr>
          <w:rFonts w:ascii="Times New Roman" w:eastAsia="Times New Roman" w:hAnsi="Times New Roman" w:cs="Times New Roman"/>
          <w:snapToGrid w:val="0"/>
          <w:lang w:val="en-AU"/>
        </w:rPr>
      </w:pPr>
      <w:r w:rsidRPr="00231A23">
        <w:rPr>
          <w:rFonts w:ascii="Times New Roman" w:eastAsia="Times New Roman" w:hAnsi="Times New Roman" w:cs="Times New Roman"/>
          <w:snapToGrid w:val="0"/>
          <w:lang w:val="en-AU"/>
        </w:rPr>
        <w:t xml:space="preserve">Subsection 14(2) provides for the defendant to carry the burden of proof of the reasonableness of their excuse for entry into or remaining within naval waters, or their foreshore, within 100 metres of an installation without the written permission of the naval superintendent of those waters. The relevant conduct will be that of the defendant and therefore it is regarded as not unreasonable in the circumstances for a defendant to carry the burden of proof for a matter that may be solely within the defendant's knowledge. Subsection 14(4) makes similar provision for a person interfering with an installation. </w:t>
      </w:r>
    </w:p>
    <w:p w:rsidR="000A7FC9" w:rsidRPr="00231A23" w:rsidRDefault="000A7FC9" w:rsidP="000A7FC9">
      <w:pPr>
        <w:widowControl w:val="0"/>
        <w:spacing w:afterLines="200" w:after="480" w:line="360" w:lineRule="auto"/>
        <w:contextualSpacing/>
        <w:rPr>
          <w:rFonts w:ascii="Times New Roman" w:hAnsi="Times New Roman" w:cs="Times New Roman"/>
        </w:rPr>
      </w:pPr>
    </w:p>
    <w:p w:rsidR="000A7FC9" w:rsidRPr="00231A23" w:rsidRDefault="000A7FC9" w:rsidP="000A7FC9">
      <w:pPr>
        <w:widowControl w:val="0"/>
        <w:spacing w:afterLines="200" w:after="480" w:line="360" w:lineRule="auto"/>
        <w:contextualSpacing/>
        <w:rPr>
          <w:rFonts w:ascii="Times New Roman" w:hAnsi="Times New Roman" w:cs="Times New Roman"/>
        </w:rPr>
      </w:pPr>
      <w:r w:rsidRPr="00231A23">
        <w:rPr>
          <w:rFonts w:ascii="Times New Roman" w:hAnsi="Times New Roman" w:cs="Times New Roman"/>
        </w:rPr>
        <w:t>Subsection 21(4) provides for the defendant to carry the burden of proof of the reasonableness of their excuse for causing or permitting material to be placed in or nearby (where the material is likely to be washed into) naval waters without the naval superintendent's written permission. It is regarded as not unreasonable in the circumstances for a defendant to carry the burden of proof for a matter that may be solely within the defendant's knowledge.</w:t>
      </w:r>
    </w:p>
    <w:p w:rsidR="000A7FC9" w:rsidRPr="00231A23" w:rsidRDefault="000A7FC9" w:rsidP="000A7FC9">
      <w:pPr>
        <w:widowControl w:val="0"/>
        <w:spacing w:afterLines="200" w:after="480" w:line="360" w:lineRule="auto"/>
        <w:contextualSpacing/>
        <w:rPr>
          <w:rFonts w:ascii="Times New Roman" w:hAnsi="Times New Roman" w:cs="Times New Roman"/>
        </w:rPr>
      </w:pPr>
    </w:p>
    <w:p w:rsidR="000A7FC9" w:rsidRPr="00231A23" w:rsidRDefault="000A7FC9" w:rsidP="000A7FC9">
      <w:pPr>
        <w:widowControl w:val="0"/>
        <w:spacing w:afterLines="200" w:after="480" w:line="360" w:lineRule="auto"/>
        <w:contextualSpacing/>
        <w:rPr>
          <w:rFonts w:ascii="Times New Roman" w:hAnsi="Times New Roman" w:cs="Times New Roman"/>
        </w:rPr>
      </w:pPr>
      <w:r w:rsidRPr="00231A23">
        <w:rPr>
          <w:rFonts w:ascii="Times New Roman" w:hAnsi="Times New Roman" w:cs="Times New Roman"/>
        </w:rPr>
        <w:t>Subsection</w:t>
      </w:r>
      <w:r w:rsidRPr="00231A23">
        <w:rPr>
          <w:rFonts w:ascii="Times New Roman" w:hAnsi="Times New Roman" w:cs="Times New Roman"/>
          <w:color w:val="000000"/>
        </w:rPr>
        <w:t xml:space="preserve"> 22(4) provides for the defendant to carry the burden of proof of the reasonableness of their excuse for causing or permitting a vessel to be cleaned within naval waters without the naval superintendent's written permission. It is regarded as not unreasonable in the circumstances for a defendant to carry the burden of proof for a matter that may be solely within the defendant's </w:t>
      </w:r>
      <w:r w:rsidRPr="00231A23">
        <w:rPr>
          <w:rFonts w:ascii="Times New Roman" w:hAnsi="Times New Roman" w:cs="Times New Roman"/>
        </w:rPr>
        <w:t>knowledge.</w:t>
      </w:r>
    </w:p>
    <w:p w:rsidR="000A7FC9" w:rsidRPr="00231A23" w:rsidRDefault="000A7FC9" w:rsidP="000A7FC9">
      <w:pPr>
        <w:widowControl w:val="0"/>
        <w:spacing w:afterLines="200" w:after="480" w:line="360" w:lineRule="auto"/>
        <w:contextualSpacing/>
        <w:rPr>
          <w:rFonts w:ascii="Times New Roman" w:hAnsi="Times New Roman" w:cs="Times New Roman"/>
        </w:rPr>
      </w:pPr>
    </w:p>
    <w:p w:rsidR="000A7FC9" w:rsidRPr="00231A23" w:rsidRDefault="000A7FC9" w:rsidP="000A7FC9">
      <w:pPr>
        <w:widowControl w:val="0"/>
        <w:spacing w:before="180" w:after="0" w:line="360" w:lineRule="auto"/>
        <w:rPr>
          <w:rFonts w:ascii="Times New Roman" w:hAnsi="Times New Roman" w:cs="Times New Roman"/>
        </w:rPr>
      </w:pPr>
      <w:r w:rsidRPr="00231A23">
        <w:rPr>
          <w:rFonts w:ascii="Times New Roman" w:eastAsia="Times New Roman" w:hAnsi="Times New Roman" w:cs="Times New Roman"/>
          <w:snapToGrid w:val="0"/>
          <w:lang w:val="en-AU"/>
        </w:rPr>
        <w:t>Subsection</w:t>
      </w:r>
      <w:r w:rsidRPr="00231A23">
        <w:rPr>
          <w:rFonts w:ascii="Times New Roman" w:eastAsia="Times New Roman" w:hAnsi="Times New Roman" w:cs="Times New Roman"/>
          <w:snapToGrid w:val="0"/>
          <w:color w:val="000000"/>
          <w:lang w:val="en-AU"/>
        </w:rPr>
        <w:t xml:space="preserve"> 24(2) provides the defendant carries the burden of proof for establishing that: they are a member of the Australian Defence Force, the Australian Federal Police, or a State or Territory Police Force; or Service of a State or Territory performing duties in naval waters; and that their conduct which resulted in the discharge of a gun, firearm or air-gun over naval waters was in the course of their duties. It is regarded as not unreasonable in the circumstances for a defendant to carry the burden </w:t>
      </w:r>
      <w:r w:rsidRPr="00231A23">
        <w:rPr>
          <w:rFonts w:ascii="Times New Roman" w:eastAsia="Times New Roman" w:hAnsi="Times New Roman" w:cs="Times New Roman"/>
          <w:snapToGrid w:val="0"/>
          <w:lang w:val="en-AU"/>
        </w:rPr>
        <w:t>of proof of these matters as they may be solely within the knowledge of the defendant.</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Therefore, overall, the CNW Regulation is compatible with human rights because to the extent that the instrument limits human rights, those limitations are reasonable, necessary and proportionate.</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 xml:space="preserve">Before issuing the Certificate, the Attorney-General was satisfied that the CNW Regulation would, apart from the operation of the sunsetting provisions, cease to be in force within 24 months of its sunsetting date. Issuing a certificate of deferral therefore avoids the need to replace the </w:t>
      </w:r>
      <w:r w:rsidRPr="00231A23">
        <w:rPr>
          <w:rFonts w:ascii="Times New Roman" w:hAnsi="Times New Roman" w:cs="Times New Roman"/>
          <w:lang w:val="en"/>
        </w:rPr>
        <w:t>Instrument</w:t>
      </w:r>
      <w:r w:rsidRPr="00231A23">
        <w:rPr>
          <w:rFonts w:ascii="Times New Roman" w:hAnsi="Times New Roman" w:cs="Times New Roman"/>
        </w:rPr>
        <w:t xml:space="preserve"> in its current form for a short period of time before it is expected to be repealed and replaced.</w:t>
      </w:r>
    </w:p>
    <w:p w:rsidR="000A7FC9" w:rsidRPr="00231A23" w:rsidRDefault="000A7FC9" w:rsidP="000A7FC9">
      <w:pPr>
        <w:spacing w:line="360" w:lineRule="auto"/>
        <w:contextualSpacing/>
        <w:rPr>
          <w:rFonts w:ascii="Times New Roman" w:hAnsi="Times New Roman" w:cs="Times New Roman"/>
        </w:rPr>
      </w:pP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Instruments that are replaced will be subject to parliamentary scrutiny and oversight through the disallowance processes unless otherwise exempt. The human rights impact of the remade CNW Regulation will be assessed at the time it is made, including through the requirement to prepare a Statement of Compatibility with Human Rights.</w:t>
      </w:r>
    </w:p>
    <w:p w:rsidR="000A7FC9" w:rsidRPr="00231A23" w:rsidRDefault="000A7FC9" w:rsidP="000A7FC9">
      <w:pPr>
        <w:spacing w:line="360" w:lineRule="auto"/>
        <w:contextualSpacing/>
        <w:rPr>
          <w:rFonts w:ascii="Times New Roman" w:hAnsi="Times New Roman" w:cs="Times New Roman"/>
          <w:b/>
        </w:rPr>
      </w:pPr>
    </w:p>
    <w:p w:rsidR="000A7FC9" w:rsidRPr="00231A23" w:rsidRDefault="000A7FC9" w:rsidP="000A7FC9">
      <w:pPr>
        <w:spacing w:line="360" w:lineRule="auto"/>
        <w:contextualSpacing/>
        <w:rPr>
          <w:rFonts w:ascii="Times New Roman" w:hAnsi="Times New Roman" w:cs="Times New Roman"/>
          <w:b/>
        </w:rPr>
      </w:pPr>
      <w:r w:rsidRPr="00231A23">
        <w:rPr>
          <w:rFonts w:ascii="Times New Roman" w:hAnsi="Times New Roman" w:cs="Times New Roman"/>
          <w:b/>
        </w:rPr>
        <w:t>Conclusion</w:t>
      </w:r>
    </w:p>
    <w:p w:rsidR="000A7FC9" w:rsidRPr="00231A23" w:rsidRDefault="000A7FC9" w:rsidP="000A7FC9">
      <w:pPr>
        <w:spacing w:line="360" w:lineRule="auto"/>
        <w:contextualSpacing/>
        <w:rPr>
          <w:rFonts w:ascii="Times New Roman" w:hAnsi="Times New Roman" w:cs="Times New Roman"/>
        </w:rPr>
      </w:pPr>
      <w:r w:rsidRPr="00231A23">
        <w:rPr>
          <w:rFonts w:ascii="Times New Roman" w:hAnsi="Times New Roman" w:cs="Times New Roman"/>
        </w:rPr>
        <w:t xml:space="preserve">This Certificate is compatible with the human rights and freedoms recognised or declared in the international instruments listed in section 3 of the Human Rights Act, because it to the extent that it limits human rights, those limitations are reasonable, necessary and proportionate. </w:t>
      </w:r>
    </w:p>
    <w:p w:rsidR="000A7FC9" w:rsidRPr="00231A23" w:rsidRDefault="000A7FC9" w:rsidP="000A7FC9">
      <w:pPr>
        <w:rPr>
          <w:rFonts w:ascii="Times New Roman" w:hAnsi="Times New Roman" w:cs="Times New Roman"/>
        </w:rPr>
      </w:pPr>
      <w:r w:rsidRPr="00231A23">
        <w:rPr>
          <w:rFonts w:ascii="Times New Roman" w:hAnsi="Times New Roman" w:cs="Times New Roman"/>
        </w:rPr>
        <w:br w:type="page"/>
      </w:r>
    </w:p>
    <w:p w:rsidR="000A7FC9" w:rsidRPr="00231A23" w:rsidRDefault="000A7FC9" w:rsidP="000A7FC9">
      <w:pPr>
        <w:pageBreakBefore/>
        <w:spacing w:afterLines="200" w:after="480" w:line="360" w:lineRule="auto"/>
        <w:ind w:left="7200"/>
        <w:rPr>
          <w:rFonts w:ascii="Times New Roman" w:hAnsi="Times New Roman" w:cs="Times New Roman"/>
          <w:lang w:val="en-AU"/>
        </w:rPr>
      </w:pPr>
      <w:r w:rsidRPr="00231A23">
        <w:rPr>
          <w:rFonts w:ascii="Times New Roman" w:hAnsi="Times New Roman" w:cs="Times New Roman"/>
          <w:b/>
        </w:rPr>
        <w:t>ATTACHMENT A</w:t>
      </w:r>
    </w:p>
    <w:p w:rsidR="000A7FC9" w:rsidRPr="00231A23" w:rsidRDefault="000A7FC9" w:rsidP="000A7FC9">
      <w:pPr>
        <w:spacing w:line="360" w:lineRule="auto"/>
        <w:rPr>
          <w:rFonts w:ascii="Times New Roman" w:hAnsi="Times New Roman" w:cs="Times New Roman"/>
          <w:b/>
        </w:rPr>
      </w:pPr>
      <w:r w:rsidRPr="00231A23">
        <w:rPr>
          <w:rFonts w:ascii="Times New Roman" w:hAnsi="Times New Roman" w:cs="Times New Roman"/>
          <w:b/>
        </w:rPr>
        <w:t>NOTES ON THE CERTIFICATE</w:t>
      </w:r>
    </w:p>
    <w:p w:rsidR="000A7FC9" w:rsidRPr="00231A23" w:rsidRDefault="000A7FC9" w:rsidP="000A7FC9">
      <w:pPr>
        <w:spacing w:line="360" w:lineRule="auto"/>
        <w:rPr>
          <w:rFonts w:ascii="Times New Roman" w:hAnsi="Times New Roman" w:cs="Times New Roman"/>
        </w:rPr>
      </w:pPr>
    </w:p>
    <w:p w:rsidR="000A7FC9" w:rsidRPr="00231A23" w:rsidRDefault="000A7FC9" w:rsidP="000A7FC9">
      <w:pPr>
        <w:spacing w:line="360" w:lineRule="auto"/>
        <w:rPr>
          <w:rFonts w:ascii="Times New Roman" w:hAnsi="Times New Roman" w:cs="Times New Roman"/>
          <w:b/>
        </w:rPr>
      </w:pPr>
      <w:r w:rsidRPr="00231A23">
        <w:rPr>
          <w:rFonts w:ascii="Times New Roman" w:hAnsi="Times New Roman" w:cs="Times New Roman"/>
          <w:b/>
        </w:rPr>
        <w:t xml:space="preserve">Section 1 </w:t>
      </w:r>
      <w:r w:rsidRPr="00231A23">
        <w:rPr>
          <w:rFonts w:ascii="Times New Roman" w:hAnsi="Times New Roman" w:cs="Times New Roman"/>
          <w:b/>
        </w:rPr>
        <w:tab/>
        <w:t>Name</w:t>
      </w:r>
    </w:p>
    <w:p w:rsidR="000A7FC9" w:rsidRPr="00231A23" w:rsidRDefault="000A7FC9" w:rsidP="000A7FC9">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named the </w:t>
      </w:r>
      <w:r w:rsidRPr="00231A23">
        <w:rPr>
          <w:rFonts w:ascii="Times New Roman" w:hAnsi="Times New Roman" w:cs="Times New Roman"/>
          <w:i/>
        </w:rPr>
        <w:t>Legislation (Deferral of Sunsetting—Control of Naval Waters Regulation) Certificate 202</w:t>
      </w:r>
      <w:r w:rsidRPr="00231A23">
        <w:rPr>
          <w:rFonts w:ascii="Times New Roman" w:hAnsi="Times New Roman"/>
          <w:i/>
        </w:rPr>
        <w:t>5</w:t>
      </w:r>
      <w:r w:rsidRPr="00231A23">
        <w:rPr>
          <w:rFonts w:ascii="Times New Roman" w:hAnsi="Times New Roman" w:cs="Times New Roman"/>
        </w:rPr>
        <w:t>. The Certificate may be cited by this name.</w:t>
      </w:r>
    </w:p>
    <w:p w:rsidR="000A7FC9" w:rsidRPr="00231A23" w:rsidRDefault="000A7FC9" w:rsidP="000A7FC9">
      <w:pPr>
        <w:spacing w:line="360" w:lineRule="auto"/>
        <w:rPr>
          <w:rFonts w:ascii="Times New Roman" w:hAnsi="Times New Roman" w:cs="Times New Roman"/>
          <w:b/>
        </w:rPr>
      </w:pPr>
    </w:p>
    <w:p w:rsidR="000A7FC9" w:rsidRPr="00231A23" w:rsidRDefault="000A7FC9" w:rsidP="000A7FC9">
      <w:pPr>
        <w:spacing w:line="360" w:lineRule="auto"/>
        <w:rPr>
          <w:rFonts w:ascii="Times New Roman" w:hAnsi="Times New Roman" w:cs="Times New Roman"/>
          <w:b/>
        </w:rPr>
      </w:pPr>
      <w:r w:rsidRPr="00231A23">
        <w:rPr>
          <w:rFonts w:ascii="Times New Roman" w:hAnsi="Times New Roman" w:cs="Times New Roman"/>
          <w:b/>
        </w:rPr>
        <w:t xml:space="preserve">Section 2 </w:t>
      </w:r>
      <w:r w:rsidRPr="00231A23">
        <w:rPr>
          <w:rFonts w:ascii="Times New Roman" w:hAnsi="Times New Roman" w:cs="Times New Roman"/>
          <w:b/>
        </w:rPr>
        <w:tab/>
        <w:t>Commencement</w:t>
      </w:r>
    </w:p>
    <w:p w:rsidR="000A7FC9" w:rsidRPr="00231A23" w:rsidRDefault="000A7FC9" w:rsidP="000A7FC9">
      <w:pPr>
        <w:spacing w:line="360" w:lineRule="auto"/>
        <w:rPr>
          <w:rFonts w:ascii="Times New Roman" w:hAnsi="Times New Roman" w:cs="Times New Roman"/>
        </w:rPr>
      </w:pPr>
      <w:r w:rsidRPr="00231A23">
        <w:rPr>
          <w:rFonts w:ascii="Times New Roman" w:hAnsi="Times New Roman" w:cs="Times New Roman"/>
        </w:rPr>
        <w:t>This section provides for the Certificate to commence on the day after it is registered.</w:t>
      </w:r>
    </w:p>
    <w:p w:rsidR="000A7FC9" w:rsidRPr="00231A23" w:rsidRDefault="000A7FC9" w:rsidP="000A7FC9">
      <w:pPr>
        <w:spacing w:line="360" w:lineRule="auto"/>
        <w:rPr>
          <w:rFonts w:ascii="Times New Roman" w:hAnsi="Times New Roman" w:cs="Times New Roman"/>
          <w:b/>
        </w:rPr>
      </w:pPr>
    </w:p>
    <w:p w:rsidR="000A7FC9" w:rsidRPr="00231A23" w:rsidRDefault="000A7FC9" w:rsidP="000A7FC9">
      <w:pPr>
        <w:spacing w:line="360" w:lineRule="auto"/>
        <w:rPr>
          <w:rFonts w:ascii="Times New Roman" w:hAnsi="Times New Roman" w:cs="Times New Roman"/>
          <w:b/>
        </w:rPr>
      </w:pPr>
      <w:r w:rsidRPr="00231A23">
        <w:rPr>
          <w:rFonts w:ascii="Times New Roman" w:hAnsi="Times New Roman" w:cs="Times New Roman"/>
          <w:b/>
        </w:rPr>
        <w:t xml:space="preserve">Section 3 </w:t>
      </w:r>
      <w:r w:rsidRPr="00231A23">
        <w:rPr>
          <w:rFonts w:ascii="Times New Roman" w:hAnsi="Times New Roman" w:cs="Times New Roman"/>
          <w:b/>
        </w:rPr>
        <w:tab/>
        <w:t>Authority</w:t>
      </w:r>
    </w:p>
    <w:p w:rsidR="000A7FC9" w:rsidRPr="00231A23" w:rsidRDefault="000A7FC9" w:rsidP="000A7FC9">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w:t>
      </w:r>
    </w:p>
    <w:p w:rsidR="000A7FC9" w:rsidRPr="00231A23" w:rsidRDefault="000A7FC9" w:rsidP="000A7FC9">
      <w:pPr>
        <w:spacing w:line="360" w:lineRule="auto"/>
        <w:rPr>
          <w:rFonts w:ascii="Times New Roman" w:hAnsi="Times New Roman" w:cs="Times New Roman"/>
          <w:b/>
        </w:rPr>
      </w:pPr>
    </w:p>
    <w:p w:rsidR="000A7FC9" w:rsidRPr="00231A23" w:rsidRDefault="000A7FC9" w:rsidP="000A7FC9">
      <w:pPr>
        <w:spacing w:line="360" w:lineRule="auto"/>
        <w:rPr>
          <w:rFonts w:ascii="Times New Roman" w:hAnsi="Times New Roman" w:cs="Times New Roman"/>
          <w:b/>
        </w:rPr>
      </w:pPr>
      <w:r w:rsidRPr="00231A23">
        <w:rPr>
          <w:rFonts w:ascii="Times New Roman" w:hAnsi="Times New Roman" w:cs="Times New Roman"/>
          <w:b/>
        </w:rPr>
        <w:t xml:space="preserve">Section 4 </w:t>
      </w:r>
      <w:r w:rsidRPr="00231A23">
        <w:rPr>
          <w:rFonts w:ascii="Times New Roman" w:hAnsi="Times New Roman" w:cs="Times New Roman"/>
          <w:b/>
        </w:rPr>
        <w:tab/>
        <w:t>Deferral of sunsetting</w:t>
      </w:r>
    </w:p>
    <w:p w:rsidR="000A7FC9" w:rsidRPr="00231A23" w:rsidRDefault="000A7FC9" w:rsidP="000A7FC9">
      <w:pPr>
        <w:spacing w:line="360" w:lineRule="auto"/>
        <w:rPr>
          <w:rFonts w:ascii="Times New Roman" w:hAnsi="Times New Roman" w:cs="Times New Roman"/>
        </w:rPr>
      </w:pPr>
      <w:r w:rsidRPr="00231A23">
        <w:rPr>
          <w:rFonts w:ascii="Times New Roman" w:hAnsi="Times New Roman" w:cs="Times New Roman"/>
        </w:rPr>
        <w:t xml:space="preserve">This section provides that the </w:t>
      </w:r>
      <w:r w:rsidRPr="00231A23">
        <w:rPr>
          <w:rFonts w:ascii="Times New Roman" w:hAnsi="Times New Roman" w:cs="Times New Roman"/>
          <w:i/>
        </w:rPr>
        <w:t>Control of Naval Waters Regulation 2015</w:t>
      </w:r>
      <w:r w:rsidRPr="00231A23">
        <w:rPr>
          <w:rFonts w:ascii="Times New Roman" w:hAnsi="Times New Roman" w:cs="Times New Roman"/>
        </w:rPr>
        <w:t xml:space="preserve">, for which the sunsetting day is 1 April 2025, is repealed by section 51 of the </w:t>
      </w:r>
      <w:r w:rsidRPr="00231A23">
        <w:rPr>
          <w:rFonts w:ascii="Times New Roman" w:hAnsi="Times New Roman" w:cs="Times New Roman"/>
          <w:i/>
        </w:rPr>
        <w:t>Legislation Act 2003</w:t>
      </w:r>
      <w:r w:rsidRPr="00231A23">
        <w:rPr>
          <w:rFonts w:ascii="Times New Roman" w:hAnsi="Times New Roman" w:cs="Times New Roman"/>
        </w:rPr>
        <w:t xml:space="preserve"> on 1 April 2027.</w:t>
      </w:r>
    </w:p>
    <w:p w:rsidR="000A7FC9" w:rsidRPr="00231A23" w:rsidRDefault="000A7FC9" w:rsidP="000A7FC9">
      <w:pPr>
        <w:spacing w:line="360" w:lineRule="auto"/>
        <w:rPr>
          <w:rFonts w:ascii="Times New Roman" w:hAnsi="Times New Roman" w:cs="Times New Roman"/>
          <w:b/>
        </w:rPr>
      </w:pPr>
    </w:p>
    <w:p w:rsidR="000A7FC9" w:rsidRPr="00231A23" w:rsidRDefault="000A7FC9" w:rsidP="000A7FC9">
      <w:pPr>
        <w:spacing w:line="360" w:lineRule="auto"/>
        <w:rPr>
          <w:rFonts w:ascii="Times New Roman" w:hAnsi="Times New Roman" w:cs="Times New Roman"/>
          <w:b/>
        </w:rPr>
      </w:pPr>
      <w:r w:rsidRPr="00231A23">
        <w:rPr>
          <w:rFonts w:ascii="Times New Roman" w:hAnsi="Times New Roman" w:cs="Times New Roman"/>
          <w:b/>
        </w:rPr>
        <w:t xml:space="preserve">Section 5 </w:t>
      </w:r>
      <w:r w:rsidRPr="00231A23">
        <w:rPr>
          <w:rFonts w:ascii="Times New Roman" w:hAnsi="Times New Roman" w:cs="Times New Roman"/>
          <w:b/>
        </w:rPr>
        <w:tab/>
        <w:t>Repeal of the instrument</w:t>
      </w:r>
    </w:p>
    <w:p w:rsidR="000A7FC9" w:rsidRPr="00231A23" w:rsidRDefault="000A7FC9" w:rsidP="000A7FC9">
      <w:pPr>
        <w:spacing w:line="360" w:lineRule="auto"/>
        <w:rPr>
          <w:rFonts w:ascii="Times New Roman" w:hAnsi="Times New Roman" w:cs="Times New Roman"/>
        </w:rPr>
      </w:pPr>
      <w:r w:rsidRPr="00231A23">
        <w:rPr>
          <w:rFonts w:ascii="Times New Roman" w:hAnsi="Times New Roman" w:cs="Times New Roman"/>
        </w:rPr>
        <w:t>This section provides that the Certificate is repealed at the start of 2 April 2027.</w:t>
      </w:r>
    </w:p>
    <w:p w:rsidR="000A7FC9" w:rsidRDefault="000A7FC9"/>
    <w:sectPr w:rsidR="000A7F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D7E" w:rsidRDefault="00C20D7E" w:rsidP="00962533">
      <w:pPr>
        <w:spacing w:after="0" w:line="240" w:lineRule="auto"/>
      </w:pPr>
      <w:r>
        <w:separator/>
      </w:r>
    </w:p>
  </w:endnote>
  <w:endnote w:type="continuationSeparator" w:id="0">
    <w:p w:rsidR="00C20D7E" w:rsidRDefault="00C20D7E" w:rsidP="0096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462933"/>
      <w:docPartObj>
        <w:docPartGallery w:val="Page Numbers (Bottom of Page)"/>
        <w:docPartUnique/>
      </w:docPartObj>
    </w:sdtPr>
    <w:sdtEndPr>
      <w:rPr>
        <w:noProof/>
      </w:rPr>
    </w:sdtEndPr>
    <w:sdtContent>
      <w:p w:rsidR="00962533" w:rsidRDefault="009625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62533" w:rsidRDefault="00962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D7E" w:rsidRDefault="00C20D7E" w:rsidP="00962533">
      <w:pPr>
        <w:spacing w:after="0" w:line="240" w:lineRule="auto"/>
      </w:pPr>
      <w:r>
        <w:separator/>
      </w:r>
    </w:p>
  </w:footnote>
  <w:footnote w:type="continuationSeparator" w:id="0">
    <w:p w:rsidR="00C20D7E" w:rsidRDefault="00C20D7E" w:rsidP="00962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2D8E"/>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75C3E7F"/>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C9"/>
    <w:rsid w:val="000A7FC9"/>
    <w:rsid w:val="00962533"/>
    <w:rsid w:val="00C20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F1540-F3ED-4FCD-9BD6-74061B70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FC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533"/>
    <w:rPr>
      <w:lang w:val="en-GB"/>
    </w:rPr>
  </w:style>
  <w:style w:type="paragraph" w:styleId="Footer">
    <w:name w:val="footer"/>
    <w:basedOn w:val="Normal"/>
    <w:link w:val="FooterChar"/>
    <w:uiPriority w:val="99"/>
    <w:unhideWhenUsed/>
    <w:rsid w:val="00962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53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Arshdeep</dc:creator>
  <cp:keywords/>
  <dc:description/>
  <cp:lastModifiedBy>Kaur, Arshdeep</cp:lastModifiedBy>
  <cp:revision>2</cp:revision>
  <dcterms:created xsi:type="dcterms:W3CDTF">2025-01-23T02:42:00Z</dcterms:created>
  <dcterms:modified xsi:type="dcterms:W3CDTF">2025-01-23T03:01:00Z</dcterms:modified>
</cp:coreProperties>
</file>