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A3ACD" w14:textId="77777777" w:rsidR="00FF6E25" w:rsidRPr="006156C6" w:rsidRDefault="00FF6E25" w:rsidP="000C310A">
      <w:pPr>
        <w:pStyle w:val="Title"/>
      </w:pPr>
      <w:r w:rsidRPr="006156C6">
        <w:t>EXPLANATORY STATEMENT</w:t>
      </w:r>
    </w:p>
    <w:p w14:paraId="145EC655" w14:textId="783D17B5" w:rsidR="0088497A" w:rsidRPr="000C310A" w:rsidRDefault="0088497A" w:rsidP="000C310A">
      <w:pPr>
        <w:pStyle w:val="Subtitle"/>
        <w:rPr>
          <w:rStyle w:val="IntenseEmphasis"/>
          <w:color w:val="auto"/>
          <w:highlight w:val="yellow"/>
        </w:rPr>
      </w:pPr>
      <w:r w:rsidRPr="000C310A">
        <w:rPr>
          <w:rStyle w:val="IntenseEmphasis"/>
          <w:color w:val="auto"/>
        </w:rPr>
        <w:t xml:space="preserve">Issued by the </w:t>
      </w:r>
      <w:r w:rsidRPr="006156C6">
        <w:rPr>
          <w:rStyle w:val="IntenseEmphasis"/>
          <w:color w:val="auto"/>
        </w:rPr>
        <w:t xml:space="preserve">authority of </w:t>
      </w:r>
      <w:r w:rsidR="006156C6" w:rsidRPr="006156C6">
        <w:rPr>
          <w:rStyle w:val="IntenseEmphasis"/>
          <w:color w:val="auto"/>
        </w:rPr>
        <w:t>the Minister for Education</w:t>
      </w:r>
    </w:p>
    <w:p w14:paraId="12EB6806" w14:textId="1D7432D8" w:rsidR="00455C2A" w:rsidRPr="006156C6" w:rsidRDefault="006156C6" w:rsidP="000C310A">
      <w:pPr>
        <w:pStyle w:val="Subtitle"/>
      </w:pPr>
      <w:r w:rsidRPr="006156C6">
        <w:t>Higher Education Support Act 2003</w:t>
      </w:r>
    </w:p>
    <w:p w14:paraId="6C026A0C" w14:textId="236184A9" w:rsidR="00503218" w:rsidRPr="0088497A" w:rsidRDefault="006156C6" w:rsidP="000C310A">
      <w:pPr>
        <w:pStyle w:val="Subtitle"/>
      </w:pPr>
      <w:r>
        <w:t>Higher Education Support (Other Grants) Amendment (</w:t>
      </w:r>
      <w:r w:rsidR="005E7E78">
        <w:t>Higher Education Continuity Guarantee</w:t>
      </w:r>
      <w:r>
        <w:t>) Guidelines 202</w:t>
      </w:r>
      <w:r w:rsidR="00D87849">
        <w:t>4</w:t>
      </w:r>
    </w:p>
    <w:p w14:paraId="33AB2D38" w14:textId="77777777" w:rsidR="00455C2A" w:rsidRPr="009D0999" w:rsidRDefault="00144950" w:rsidP="000C310A">
      <w:pPr>
        <w:pStyle w:val="Heading1"/>
      </w:pPr>
      <w:bookmarkStart w:id="0" w:name="_Toc23942238"/>
      <w:bookmarkStart w:id="1" w:name="_Toc34293358"/>
      <w:r w:rsidRPr="009D0999">
        <w:t>AUTHORITY</w:t>
      </w:r>
    </w:p>
    <w:p w14:paraId="48F295AF" w14:textId="0E14EFF1" w:rsidR="00DB6247" w:rsidRPr="006156C6" w:rsidRDefault="006156C6" w:rsidP="000C310A">
      <w:pPr>
        <w:spacing w:before="120" w:after="120"/>
      </w:pPr>
      <w:r>
        <w:rPr>
          <w:rFonts w:asciiTheme="minorHAnsi" w:hAnsiTheme="minorHAnsi" w:cstheme="minorHAnsi"/>
          <w:szCs w:val="24"/>
        </w:rPr>
        <w:t xml:space="preserve">Section 238-10 of the </w:t>
      </w:r>
      <w:r>
        <w:rPr>
          <w:rFonts w:asciiTheme="minorHAnsi" w:hAnsiTheme="minorHAnsi" w:cstheme="minorHAnsi"/>
          <w:i/>
          <w:iCs/>
          <w:szCs w:val="24"/>
        </w:rPr>
        <w:t xml:space="preserve">Higher Education Support Act 2003 </w:t>
      </w:r>
      <w:r>
        <w:rPr>
          <w:rFonts w:asciiTheme="minorHAnsi" w:hAnsiTheme="minorHAnsi" w:cstheme="minorHAnsi"/>
          <w:szCs w:val="24"/>
        </w:rPr>
        <w:t xml:space="preserve">(the Act) provides that the Minister may make Other Grants Guidelines to, amongst other things, provide for matters necessary or convenient to be provided in order to carry out, or give effect to, Part 2-3 of the Act in relation to grants payable under that Part. </w:t>
      </w:r>
    </w:p>
    <w:p w14:paraId="4F7BADF6" w14:textId="54C75995" w:rsidR="00DB6247" w:rsidRPr="002B7CC4" w:rsidRDefault="00DB6247" w:rsidP="006156C6">
      <w:pPr>
        <w:spacing w:before="120" w:after="120"/>
        <w:rPr>
          <w:rFonts w:asciiTheme="minorHAnsi" w:hAnsiTheme="minorHAnsi" w:cstheme="minorHAnsi"/>
          <w:szCs w:val="24"/>
        </w:rPr>
      </w:pPr>
      <w:r w:rsidRPr="006156C6">
        <w:rPr>
          <w:rFonts w:asciiTheme="minorHAnsi" w:hAnsiTheme="minorHAnsi" w:cstheme="minorHAnsi"/>
          <w:szCs w:val="24"/>
        </w:rPr>
        <w:t>Under subsection 33(3) of the </w:t>
      </w:r>
      <w:r w:rsidRPr="006156C6">
        <w:rPr>
          <w:rFonts w:asciiTheme="minorHAnsi" w:hAnsiTheme="minorHAnsi" w:cstheme="minorHAnsi"/>
          <w:i/>
          <w:iCs/>
          <w:szCs w:val="24"/>
        </w:rPr>
        <w:t>Acts Interpretation Act 1901</w:t>
      </w:r>
      <w:r w:rsidRPr="006156C6">
        <w:rPr>
          <w:rFonts w:asciiTheme="minorHAnsi" w:hAnsiTheme="minorHAnsi" w:cstheme="minorHAnsi"/>
          <w:szCs w:val="24"/>
        </w:rPr>
        <w:t>, where an Act confers a power to make, grant or issue any instrument of a legislative or administrative character (including rules, regulations or by</w:t>
      </w:r>
      <w:r w:rsidRPr="006156C6">
        <w:rPr>
          <w:rFonts w:asciiTheme="minorHAnsi" w:hAnsiTheme="minorHAnsi" w:cstheme="minorHAnsi"/>
          <w:szCs w:val="24"/>
        </w:rPr>
        <w:noBreakHyphen/>
        <w:t>laws), the power shall be construed as including a power exercisable in the like manner and subject to the like conditions (if any) to repeal, rescind, revoke, amend, or vary any such instrument.</w:t>
      </w:r>
      <w:r w:rsidR="006156C6">
        <w:rPr>
          <w:rFonts w:asciiTheme="minorHAnsi" w:hAnsiTheme="minorHAnsi" w:cstheme="minorHAnsi"/>
          <w:szCs w:val="24"/>
        </w:rPr>
        <w:t xml:space="preserve"> The amendments to the </w:t>
      </w:r>
      <w:r w:rsidR="006156C6">
        <w:rPr>
          <w:rFonts w:asciiTheme="minorHAnsi" w:hAnsiTheme="minorHAnsi" w:cstheme="minorHAnsi"/>
          <w:i/>
          <w:iCs/>
          <w:szCs w:val="24"/>
        </w:rPr>
        <w:t xml:space="preserve">Higher Education Support (Other Grants) Guidelines 2022 </w:t>
      </w:r>
      <w:r w:rsidR="006156C6">
        <w:rPr>
          <w:rFonts w:asciiTheme="minorHAnsi" w:hAnsiTheme="minorHAnsi" w:cstheme="minorHAnsi"/>
          <w:szCs w:val="24"/>
        </w:rPr>
        <w:t>(the Principal Instrument) made by the</w:t>
      </w:r>
      <w:r w:rsidR="002B7CC4">
        <w:rPr>
          <w:rFonts w:asciiTheme="minorHAnsi" w:hAnsiTheme="minorHAnsi" w:cstheme="minorHAnsi"/>
          <w:szCs w:val="24"/>
        </w:rPr>
        <w:t xml:space="preserve"> </w:t>
      </w:r>
      <w:r w:rsidR="002B7CC4">
        <w:rPr>
          <w:rFonts w:asciiTheme="minorHAnsi" w:hAnsiTheme="minorHAnsi" w:cstheme="minorHAnsi"/>
          <w:i/>
          <w:iCs/>
          <w:szCs w:val="24"/>
        </w:rPr>
        <w:t>Higher Education Support (Other Grants) Amendment (</w:t>
      </w:r>
      <w:r w:rsidR="005E7E78">
        <w:rPr>
          <w:rFonts w:asciiTheme="minorHAnsi" w:hAnsiTheme="minorHAnsi" w:cstheme="minorHAnsi"/>
          <w:i/>
          <w:iCs/>
          <w:szCs w:val="24"/>
        </w:rPr>
        <w:t>Higher Education Continuity Guarantee</w:t>
      </w:r>
      <w:r w:rsidR="002B7CC4">
        <w:rPr>
          <w:rFonts w:asciiTheme="minorHAnsi" w:hAnsiTheme="minorHAnsi" w:cstheme="minorHAnsi"/>
          <w:i/>
          <w:iCs/>
          <w:szCs w:val="24"/>
        </w:rPr>
        <w:t>) Guidelines 202</w:t>
      </w:r>
      <w:r w:rsidR="00D87849">
        <w:rPr>
          <w:rFonts w:asciiTheme="minorHAnsi" w:hAnsiTheme="minorHAnsi" w:cstheme="minorHAnsi"/>
          <w:i/>
          <w:iCs/>
          <w:szCs w:val="24"/>
        </w:rPr>
        <w:t>4</w:t>
      </w:r>
      <w:r w:rsidR="002B7CC4">
        <w:rPr>
          <w:rFonts w:asciiTheme="minorHAnsi" w:hAnsiTheme="minorHAnsi" w:cstheme="minorHAnsi"/>
          <w:i/>
          <w:iCs/>
          <w:szCs w:val="24"/>
        </w:rPr>
        <w:t xml:space="preserve"> </w:t>
      </w:r>
      <w:r w:rsidR="002B7CC4">
        <w:rPr>
          <w:rFonts w:asciiTheme="minorHAnsi" w:hAnsiTheme="minorHAnsi" w:cstheme="minorHAnsi"/>
          <w:szCs w:val="24"/>
        </w:rPr>
        <w:t xml:space="preserve">(the Amendment Instrument) rely on this provision. </w:t>
      </w:r>
    </w:p>
    <w:bookmarkEnd w:id="0"/>
    <w:bookmarkEnd w:id="1"/>
    <w:p w14:paraId="56CDA376" w14:textId="77777777" w:rsidR="00DA552F" w:rsidRPr="008134D5" w:rsidRDefault="00144950" w:rsidP="000C310A">
      <w:pPr>
        <w:pStyle w:val="Heading1"/>
      </w:pPr>
      <w:r>
        <w:t>PURPOSE AND OPERATION</w:t>
      </w:r>
    </w:p>
    <w:p w14:paraId="282BB02B" w14:textId="75AD818A" w:rsidR="00BA6D4A" w:rsidRDefault="002B7CC4" w:rsidP="00BA6D4A">
      <w:pPr>
        <w:spacing w:before="120" w:after="120"/>
        <w:rPr>
          <w:rFonts w:asciiTheme="minorHAnsi" w:hAnsiTheme="minorHAnsi" w:cstheme="minorHAnsi"/>
          <w:iCs/>
          <w:szCs w:val="24"/>
        </w:rPr>
      </w:pPr>
      <w:r w:rsidRPr="002B7CC4">
        <w:rPr>
          <w:rFonts w:asciiTheme="minorHAnsi" w:hAnsiTheme="minorHAnsi" w:cstheme="minorHAnsi"/>
          <w:iCs/>
          <w:szCs w:val="24"/>
        </w:rPr>
        <w:t>The Ame</w:t>
      </w:r>
      <w:r>
        <w:rPr>
          <w:rFonts w:asciiTheme="minorHAnsi" w:hAnsiTheme="minorHAnsi" w:cstheme="minorHAnsi"/>
          <w:iCs/>
          <w:szCs w:val="24"/>
        </w:rPr>
        <w:t xml:space="preserve">ndment Instrument </w:t>
      </w:r>
      <w:r w:rsidR="00DE16DD">
        <w:rPr>
          <w:rFonts w:asciiTheme="minorHAnsi" w:hAnsiTheme="minorHAnsi" w:cstheme="minorHAnsi"/>
          <w:iCs/>
          <w:szCs w:val="24"/>
        </w:rPr>
        <w:t xml:space="preserve">amends </w:t>
      </w:r>
      <w:r w:rsidR="005E7E78">
        <w:rPr>
          <w:rFonts w:asciiTheme="minorHAnsi" w:hAnsiTheme="minorHAnsi" w:cstheme="minorHAnsi"/>
          <w:iCs/>
          <w:szCs w:val="24"/>
        </w:rPr>
        <w:t xml:space="preserve">Part 8 of the Principal Instrument to </w:t>
      </w:r>
      <w:r w:rsidR="003946AE">
        <w:rPr>
          <w:rFonts w:asciiTheme="minorHAnsi" w:hAnsiTheme="minorHAnsi" w:cstheme="minorHAnsi"/>
          <w:iCs/>
          <w:szCs w:val="24"/>
        </w:rPr>
        <w:t>specify</w:t>
      </w:r>
      <w:r w:rsidR="00387CD9">
        <w:rPr>
          <w:rFonts w:asciiTheme="minorHAnsi" w:hAnsiTheme="minorHAnsi" w:cstheme="minorHAnsi"/>
          <w:iCs/>
          <w:szCs w:val="24"/>
        </w:rPr>
        <w:t xml:space="preserve"> two</w:t>
      </w:r>
      <w:r w:rsidR="003946AE">
        <w:rPr>
          <w:rFonts w:asciiTheme="minorHAnsi" w:hAnsiTheme="minorHAnsi" w:cstheme="minorHAnsi"/>
          <w:iCs/>
          <w:szCs w:val="24"/>
        </w:rPr>
        <w:t xml:space="preserve"> Higher Education Continuity Guarantee</w:t>
      </w:r>
      <w:r w:rsidR="00387CD9">
        <w:rPr>
          <w:rFonts w:asciiTheme="minorHAnsi" w:hAnsiTheme="minorHAnsi" w:cstheme="minorHAnsi"/>
          <w:iCs/>
          <w:szCs w:val="24"/>
        </w:rPr>
        <w:t xml:space="preserve"> (HECG) programs</w:t>
      </w:r>
      <w:r w:rsidR="003946AE">
        <w:rPr>
          <w:rFonts w:asciiTheme="minorHAnsi" w:hAnsiTheme="minorHAnsi" w:cstheme="minorHAnsi"/>
          <w:iCs/>
          <w:szCs w:val="24"/>
        </w:rPr>
        <w:t xml:space="preserve"> – </w:t>
      </w:r>
      <w:r w:rsidR="00387CD9">
        <w:rPr>
          <w:rFonts w:asciiTheme="minorHAnsi" w:hAnsiTheme="minorHAnsi" w:cstheme="minorHAnsi"/>
          <w:iCs/>
          <w:szCs w:val="24"/>
        </w:rPr>
        <w:t xml:space="preserve">the Higher Education Continuity Guarantee – Quality program (HECG Quality) and the </w:t>
      </w:r>
      <w:r w:rsidR="00387CD9" w:rsidRPr="00387CD9">
        <w:rPr>
          <w:rFonts w:asciiTheme="minorHAnsi" w:hAnsiTheme="minorHAnsi" w:cstheme="minorHAnsi"/>
          <w:iCs/>
          <w:szCs w:val="24"/>
        </w:rPr>
        <w:t>Higher Education Continuity Guarantee –</w:t>
      </w:r>
      <w:r w:rsidR="00387CD9">
        <w:rPr>
          <w:rFonts w:asciiTheme="minorHAnsi" w:hAnsiTheme="minorHAnsi" w:cstheme="minorHAnsi"/>
          <w:iCs/>
          <w:szCs w:val="24"/>
        </w:rPr>
        <w:t xml:space="preserve"> </w:t>
      </w:r>
      <w:r w:rsidR="003946AE">
        <w:rPr>
          <w:rFonts w:asciiTheme="minorHAnsi" w:hAnsiTheme="minorHAnsi" w:cstheme="minorHAnsi"/>
          <w:iCs/>
          <w:szCs w:val="24"/>
        </w:rPr>
        <w:t>Equity program</w:t>
      </w:r>
      <w:r w:rsidR="00387CD9">
        <w:rPr>
          <w:rFonts w:asciiTheme="minorHAnsi" w:hAnsiTheme="minorHAnsi" w:cstheme="minorHAnsi"/>
          <w:iCs/>
          <w:szCs w:val="24"/>
        </w:rPr>
        <w:t xml:space="preserve"> (HECG Equity)</w:t>
      </w:r>
      <w:r w:rsidR="003946AE">
        <w:rPr>
          <w:rFonts w:asciiTheme="minorHAnsi" w:hAnsiTheme="minorHAnsi" w:cstheme="minorHAnsi"/>
          <w:iCs/>
          <w:szCs w:val="24"/>
        </w:rPr>
        <w:t xml:space="preserve">. </w:t>
      </w:r>
      <w:r w:rsidR="00387CD9">
        <w:rPr>
          <w:rFonts w:asciiTheme="minorHAnsi" w:hAnsiTheme="minorHAnsi" w:cstheme="minorHAnsi"/>
          <w:iCs/>
          <w:szCs w:val="24"/>
        </w:rPr>
        <w:t xml:space="preserve">The HECG Quality program is the existing HECG program that provided grants under Part 2-3 of the Act to higher education providers for 2021, 2022 and 2023 for the purposes of </w:t>
      </w:r>
      <w:r w:rsidR="00387CD9" w:rsidRPr="00387CD9">
        <w:rPr>
          <w:rFonts w:asciiTheme="minorHAnsi" w:hAnsiTheme="minorHAnsi" w:cstheme="minorHAnsi"/>
          <w:iCs/>
          <w:szCs w:val="24"/>
        </w:rPr>
        <w:t>assuring and enhancing the quality of Australia’s higher education sector</w:t>
      </w:r>
      <w:r w:rsidR="00387CD9">
        <w:rPr>
          <w:rFonts w:asciiTheme="minorHAnsi" w:hAnsiTheme="minorHAnsi" w:cstheme="minorHAnsi"/>
          <w:iCs/>
          <w:szCs w:val="24"/>
        </w:rPr>
        <w:t xml:space="preserve">. The HECG Equity program is the extension of the HECG for 2024 and 2025. </w:t>
      </w:r>
    </w:p>
    <w:p w14:paraId="03EE8AE5" w14:textId="7A27D347" w:rsidR="003946AE" w:rsidRDefault="000634F6" w:rsidP="000634F6">
      <w:pPr>
        <w:spacing w:before="120" w:after="120"/>
        <w:rPr>
          <w:rFonts w:asciiTheme="minorHAnsi" w:hAnsiTheme="minorHAnsi" w:cstheme="minorHAnsi"/>
          <w:iCs/>
          <w:szCs w:val="24"/>
        </w:rPr>
      </w:pPr>
      <w:r>
        <w:rPr>
          <w:rFonts w:asciiTheme="minorHAnsi" w:hAnsiTheme="minorHAnsi" w:cstheme="minorHAnsi"/>
          <w:iCs/>
          <w:szCs w:val="24"/>
        </w:rPr>
        <w:t xml:space="preserve">The amendments </w:t>
      </w:r>
      <w:r w:rsidR="00387CD9">
        <w:rPr>
          <w:rFonts w:asciiTheme="minorHAnsi" w:hAnsiTheme="minorHAnsi" w:cstheme="minorHAnsi"/>
          <w:iCs/>
          <w:szCs w:val="24"/>
        </w:rPr>
        <w:t xml:space="preserve">made to Part 8 </w:t>
      </w:r>
      <w:r w:rsidR="009F1258">
        <w:rPr>
          <w:rFonts w:asciiTheme="minorHAnsi" w:hAnsiTheme="minorHAnsi" w:cstheme="minorHAnsi"/>
          <w:iCs/>
          <w:szCs w:val="24"/>
        </w:rPr>
        <w:t xml:space="preserve">will </w:t>
      </w:r>
      <w:r w:rsidR="003946AE">
        <w:rPr>
          <w:rFonts w:asciiTheme="minorHAnsi" w:hAnsiTheme="minorHAnsi" w:cstheme="minorHAnsi"/>
          <w:iCs/>
          <w:szCs w:val="24"/>
        </w:rPr>
        <w:t xml:space="preserve">specify the </w:t>
      </w:r>
      <w:r w:rsidR="00387CD9">
        <w:rPr>
          <w:rFonts w:asciiTheme="minorHAnsi" w:hAnsiTheme="minorHAnsi" w:cstheme="minorHAnsi"/>
          <w:iCs/>
          <w:szCs w:val="24"/>
        </w:rPr>
        <w:t xml:space="preserve">HECG </w:t>
      </w:r>
      <w:r w:rsidR="003946AE">
        <w:rPr>
          <w:rFonts w:asciiTheme="minorHAnsi" w:hAnsiTheme="minorHAnsi" w:cstheme="minorHAnsi"/>
          <w:iCs/>
          <w:szCs w:val="24"/>
        </w:rPr>
        <w:t xml:space="preserve">Equity program as a program for the purpose of promoting equality of opportunity in higher education, and set out the program objectives, the extra conditions of eligibility, method by which the amount of grants under the program are determined and the conditions that apply to grants made under the program. </w:t>
      </w:r>
    </w:p>
    <w:p w14:paraId="02D2F85E" w14:textId="3393988A" w:rsidR="000809DA" w:rsidRDefault="000809DA" w:rsidP="000634F6">
      <w:pPr>
        <w:spacing w:before="120" w:after="120"/>
        <w:rPr>
          <w:rFonts w:asciiTheme="minorHAnsi" w:hAnsiTheme="minorHAnsi" w:cstheme="minorHAnsi"/>
          <w:iCs/>
          <w:szCs w:val="24"/>
        </w:rPr>
      </w:pPr>
      <w:r>
        <w:rPr>
          <w:rFonts w:asciiTheme="minorHAnsi" w:hAnsiTheme="minorHAnsi" w:cstheme="minorHAnsi"/>
          <w:iCs/>
          <w:szCs w:val="24"/>
        </w:rPr>
        <w:t>The amendments made by the Amendment Instrument have been made in response to the Interim Report released by the</w:t>
      </w:r>
      <w:r w:rsidRPr="00AF7FD8">
        <w:rPr>
          <w:rFonts w:asciiTheme="minorHAnsi" w:hAnsiTheme="minorHAnsi" w:cstheme="minorHAnsi"/>
          <w:iCs/>
          <w:szCs w:val="24"/>
        </w:rPr>
        <w:t xml:space="preserve"> Australian Universities Accord (the Accord)</w:t>
      </w:r>
      <w:r>
        <w:rPr>
          <w:rFonts w:asciiTheme="minorHAnsi" w:hAnsiTheme="minorHAnsi" w:cstheme="minorHAnsi"/>
          <w:iCs/>
          <w:szCs w:val="24"/>
        </w:rPr>
        <w:t xml:space="preserve">. The Accord </w:t>
      </w:r>
      <w:r w:rsidRPr="00AF7FD8">
        <w:rPr>
          <w:rFonts w:asciiTheme="minorHAnsi" w:hAnsiTheme="minorHAnsi" w:cstheme="minorHAnsi"/>
          <w:iCs/>
          <w:szCs w:val="24"/>
        </w:rPr>
        <w:t>was a review of the higher education sector</w:t>
      </w:r>
      <w:r>
        <w:rPr>
          <w:rFonts w:asciiTheme="minorHAnsi" w:hAnsiTheme="minorHAnsi" w:cstheme="minorHAnsi"/>
          <w:iCs/>
          <w:szCs w:val="24"/>
        </w:rPr>
        <w:t xml:space="preserve">, and its </w:t>
      </w:r>
      <w:r w:rsidRPr="00AF7FD8">
        <w:rPr>
          <w:rFonts w:asciiTheme="minorHAnsi" w:hAnsiTheme="minorHAnsi" w:cstheme="minorHAnsi"/>
          <w:iCs/>
          <w:szCs w:val="24"/>
        </w:rPr>
        <w:t xml:space="preserve">Interim Report recommended the extension of the HECG program for 2024 and 2025, to minimise the risk of unnecessary structural </w:t>
      </w:r>
      <w:r w:rsidRPr="00AF7FD8">
        <w:rPr>
          <w:rFonts w:asciiTheme="minorHAnsi" w:hAnsiTheme="minorHAnsi" w:cstheme="minorHAnsi"/>
          <w:iCs/>
          <w:szCs w:val="24"/>
        </w:rPr>
        <w:lastRenderedPageBreak/>
        <w:t xml:space="preserve">adjustment to the sector until the outcomes of the Accord are known. The Interim Report also recommended that higher education providers </w:t>
      </w:r>
      <w:r w:rsidRPr="00AF7FD8" w:rsidDel="002D65B2">
        <w:rPr>
          <w:rFonts w:asciiTheme="minorHAnsi" w:hAnsiTheme="minorHAnsi" w:cstheme="minorHAnsi"/>
          <w:iCs/>
          <w:szCs w:val="24"/>
        </w:rPr>
        <w:t>direct</w:t>
      </w:r>
      <w:r w:rsidRPr="00AF7FD8">
        <w:rPr>
          <w:rFonts w:asciiTheme="minorHAnsi" w:hAnsiTheme="minorHAnsi" w:cstheme="minorHAnsi"/>
          <w:iCs/>
          <w:szCs w:val="24"/>
        </w:rPr>
        <w:t xml:space="preserve"> the HECG grants to support greater equity outcomes.</w:t>
      </w:r>
      <w:r>
        <w:rPr>
          <w:rFonts w:asciiTheme="minorHAnsi" w:hAnsiTheme="minorHAnsi" w:cstheme="minorHAnsi"/>
          <w:iCs/>
          <w:szCs w:val="24"/>
        </w:rPr>
        <w:t xml:space="preserve"> </w:t>
      </w:r>
    </w:p>
    <w:p w14:paraId="626F1531" w14:textId="21BCA2BF" w:rsidR="00350779" w:rsidRPr="00350779" w:rsidRDefault="00144950" w:rsidP="000C310A">
      <w:pPr>
        <w:pStyle w:val="Heading1"/>
      </w:pPr>
      <w:r>
        <w:t>IMPACT</w:t>
      </w:r>
      <w:r w:rsidR="00C90E38">
        <w:t xml:space="preserve"> </w:t>
      </w:r>
      <w:r w:rsidR="00C90E38" w:rsidRPr="00C90E38">
        <w:t>ANALYSIS</w:t>
      </w:r>
    </w:p>
    <w:p w14:paraId="2E69CA4B" w14:textId="6CEB2FB0" w:rsidR="009C7CE6" w:rsidRPr="0096405D" w:rsidRDefault="0016132E" w:rsidP="004E528F">
      <w:pPr>
        <w:spacing w:before="120" w:after="120"/>
        <w:rPr>
          <w:rFonts w:asciiTheme="minorHAnsi" w:hAnsiTheme="minorHAnsi" w:cstheme="minorHAnsi"/>
          <w:iCs/>
          <w:szCs w:val="24"/>
        </w:rPr>
      </w:pPr>
      <w:r>
        <w:rPr>
          <w:rFonts w:asciiTheme="minorHAnsi" w:hAnsiTheme="minorHAnsi" w:cstheme="minorHAnsi"/>
          <w:iCs/>
          <w:szCs w:val="24"/>
        </w:rPr>
        <w:t>The Office of Impact Analysis has been consulted and advised that the Amendment Instrument does not require an Impact Analysis (ID: OIA24-07734).</w:t>
      </w:r>
    </w:p>
    <w:p w14:paraId="4818CCF0" w14:textId="77777777" w:rsidR="00696CF0" w:rsidRPr="0088497A" w:rsidRDefault="00144950" w:rsidP="000C310A">
      <w:pPr>
        <w:pStyle w:val="Heading1"/>
      </w:pPr>
      <w:r w:rsidRPr="0088497A">
        <w:t>COMMENC</w:t>
      </w:r>
      <w:r>
        <w:t>E</w:t>
      </w:r>
      <w:r w:rsidRPr="0088497A">
        <w:t>MENT</w:t>
      </w:r>
    </w:p>
    <w:p w14:paraId="7A7AF185" w14:textId="3FCB3F75" w:rsidR="00696CF0" w:rsidRPr="003B7464" w:rsidRDefault="003B7464"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commences on the day after it is registered on the Federal Register of Legislation. </w:t>
      </w:r>
    </w:p>
    <w:p w14:paraId="59906F74" w14:textId="77777777" w:rsidR="00696CF0" w:rsidRPr="008134D5" w:rsidRDefault="00144950" w:rsidP="000C310A">
      <w:pPr>
        <w:pStyle w:val="Heading1"/>
      </w:pPr>
      <w:bookmarkStart w:id="2" w:name="_Toc34293360"/>
      <w:r w:rsidRPr="008134D5">
        <w:t>CONSULTATION</w:t>
      </w:r>
      <w:bookmarkEnd w:id="2"/>
    </w:p>
    <w:p w14:paraId="6C752BE0" w14:textId="0E0D60E5" w:rsidR="00150574" w:rsidRPr="0096405D" w:rsidRDefault="001626FD" w:rsidP="00B22F73">
      <w:pPr>
        <w:spacing w:before="120" w:after="120"/>
        <w:rPr>
          <w:rFonts w:asciiTheme="minorHAnsi" w:hAnsiTheme="minorHAnsi" w:cstheme="minorHAnsi"/>
          <w:szCs w:val="24"/>
        </w:rPr>
      </w:pPr>
      <w:r w:rsidRPr="0096405D">
        <w:rPr>
          <w:rFonts w:asciiTheme="minorHAnsi" w:hAnsiTheme="minorHAnsi" w:cstheme="minorHAnsi"/>
          <w:szCs w:val="24"/>
        </w:rPr>
        <w:t>In October 202</w:t>
      </w:r>
      <w:r w:rsidR="00B531E8" w:rsidRPr="0096405D">
        <w:rPr>
          <w:rFonts w:asciiTheme="minorHAnsi" w:hAnsiTheme="minorHAnsi" w:cstheme="minorHAnsi"/>
          <w:szCs w:val="24"/>
        </w:rPr>
        <w:t>3</w:t>
      </w:r>
      <w:r w:rsidRPr="0096405D">
        <w:rPr>
          <w:rFonts w:asciiTheme="minorHAnsi" w:hAnsiTheme="minorHAnsi" w:cstheme="minorHAnsi"/>
          <w:szCs w:val="24"/>
        </w:rPr>
        <w:t xml:space="preserve">, the Department </w:t>
      </w:r>
      <w:r w:rsidR="003D79DD">
        <w:rPr>
          <w:rFonts w:asciiTheme="minorHAnsi" w:hAnsiTheme="minorHAnsi" w:cstheme="minorHAnsi"/>
          <w:szCs w:val="24"/>
        </w:rPr>
        <w:t xml:space="preserve">of Education (Department) </w:t>
      </w:r>
      <w:r w:rsidRPr="0096405D">
        <w:rPr>
          <w:rFonts w:asciiTheme="minorHAnsi" w:hAnsiTheme="minorHAnsi" w:cstheme="minorHAnsi"/>
          <w:szCs w:val="24"/>
        </w:rPr>
        <w:t xml:space="preserve">completed an initial consultation process with </w:t>
      </w:r>
      <w:r w:rsidR="00943AB8" w:rsidRPr="0096405D">
        <w:rPr>
          <w:rFonts w:asciiTheme="minorHAnsi" w:hAnsiTheme="minorHAnsi" w:cstheme="minorHAnsi"/>
          <w:szCs w:val="24"/>
        </w:rPr>
        <w:t xml:space="preserve">eight </w:t>
      </w:r>
      <w:r w:rsidRPr="0096405D">
        <w:rPr>
          <w:rFonts w:asciiTheme="minorHAnsi" w:hAnsiTheme="minorHAnsi" w:cstheme="minorHAnsi"/>
          <w:szCs w:val="24"/>
        </w:rPr>
        <w:t>higher education providers (</w:t>
      </w:r>
      <w:r w:rsidR="0016132E">
        <w:rPr>
          <w:rFonts w:asciiTheme="minorHAnsi" w:hAnsiTheme="minorHAnsi" w:cstheme="minorHAnsi"/>
          <w:szCs w:val="24"/>
        </w:rPr>
        <w:t xml:space="preserve">which were identified </w:t>
      </w:r>
      <w:r w:rsidR="0016132E" w:rsidRPr="00825522">
        <w:rPr>
          <w:rFonts w:asciiTheme="minorHAnsi" w:hAnsiTheme="minorHAnsi" w:cstheme="minorHAnsi"/>
          <w:szCs w:val="24"/>
        </w:rPr>
        <w:t xml:space="preserve">as </w:t>
      </w:r>
      <w:r w:rsidRPr="0096405D">
        <w:rPr>
          <w:rFonts w:asciiTheme="minorHAnsi" w:hAnsiTheme="minorHAnsi" w:cstheme="minorHAnsi"/>
          <w:szCs w:val="24"/>
        </w:rPr>
        <w:t>most likely to benefit from the measure)</w:t>
      </w:r>
      <w:r w:rsidR="00825522">
        <w:rPr>
          <w:rFonts w:asciiTheme="minorHAnsi" w:hAnsiTheme="minorHAnsi" w:cstheme="minorHAnsi"/>
          <w:szCs w:val="24"/>
        </w:rPr>
        <w:t xml:space="preserve"> </w:t>
      </w:r>
      <w:r w:rsidR="00825522" w:rsidRPr="001735F1">
        <w:rPr>
          <w:rFonts w:asciiTheme="minorHAnsi" w:hAnsiTheme="minorHAnsi" w:cstheme="minorHAnsi"/>
          <w:szCs w:val="24"/>
        </w:rPr>
        <w:t>and relevant peak bodies</w:t>
      </w:r>
      <w:r w:rsidRPr="0096405D">
        <w:rPr>
          <w:rFonts w:asciiTheme="minorHAnsi" w:hAnsiTheme="minorHAnsi" w:cstheme="minorHAnsi"/>
          <w:szCs w:val="24"/>
        </w:rPr>
        <w:t xml:space="preserve">. The focus of this initial consultation was to obtain feedback on the </w:t>
      </w:r>
      <w:r w:rsidR="0016132E">
        <w:rPr>
          <w:rFonts w:asciiTheme="minorHAnsi" w:hAnsiTheme="minorHAnsi" w:cstheme="minorHAnsi"/>
          <w:szCs w:val="24"/>
        </w:rPr>
        <w:t>types of initiatives that HECG Equity grants could support</w:t>
      </w:r>
      <w:r w:rsidRPr="0096405D">
        <w:rPr>
          <w:rFonts w:asciiTheme="minorHAnsi" w:hAnsiTheme="minorHAnsi" w:cstheme="minorHAnsi"/>
          <w:szCs w:val="24"/>
        </w:rPr>
        <w:t>.</w:t>
      </w:r>
      <w:r w:rsidR="00943AB8" w:rsidRPr="0096405D">
        <w:rPr>
          <w:rFonts w:asciiTheme="minorHAnsi" w:hAnsiTheme="minorHAnsi" w:cstheme="minorHAnsi"/>
          <w:szCs w:val="24"/>
        </w:rPr>
        <w:t xml:space="preserve"> </w:t>
      </w:r>
      <w:r w:rsidR="00150574" w:rsidRPr="0096405D">
        <w:rPr>
          <w:rFonts w:asciiTheme="minorHAnsi" w:hAnsiTheme="minorHAnsi" w:cstheme="minorHAnsi"/>
          <w:szCs w:val="24"/>
        </w:rPr>
        <w:t xml:space="preserve">Specific issues raised </w:t>
      </w:r>
      <w:r w:rsidR="00506B74">
        <w:rPr>
          <w:rFonts w:asciiTheme="minorHAnsi" w:hAnsiTheme="minorHAnsi" w:cstheme="minorHAnsi"/>
          <w:szCs w:val="24"/>
        </w:rPr>
        <w:t xml:space="preserve">by those higher education providers </w:t>
      </w:r>
      <w:r w:rsidR="00150574" w:rsidRPr="0096405D">
        <w:rPr>
          <w:rFonts w:asciiTheme="minorHAnsi" w:hAnsiTheme="minorHAnsi" w:cstheme="minorHAnsi"/>
          <w:szCs w:val="24"/>
        </w:rPr>
        <w:t>included:</w:t>
      </w:r>
    </w:p>
    <w:p w14:paraId="2BEAFCC5" w14:textId="7C68DBF6" w:rsidR="00150574" w:rsidRPr="0096405D" w:rsidRDefault="000809DA" w:rsidP="00150574">
      <w:pPr>
        <w:pStyle w:val="ListParagraph"/>
        <w:numPr>
          <w:ilvl w:val="0"/>
          <w:numId w:val="6"/>
        </w:numPr>
        <w:spacing w:before="120" w:after="120"/>
        <w:rPr>
          <w:rFonts w:asciiTheme="minorHAnsi" w:hAnsiTheme="minorHAnsi" w:cstheme="minorHAnsi"/>
          <w:szCs w:val="24"/>
        </w:rPr>
      </w:pPr>
      <w:r>
        <w:rPr>
          <w:rFonts w:asciiTheme="minorHAnsi" w:hAnsiTheme="minorHAnsi" w:cstheme="minorHAnsi"/>
          <w:szCs w:val="24"/>
        </w:rPr>
        <w:t>w</w:t>
      </w:r>
      <w:r w:rsidR="00506B74">
        <w:rPr>
          <w:rFonts w:asciiTheme="minorHAnsi" w:hAnsiTheme="minorHAnsi" w:cstheme="minorHAnsi"/>
          <w:szCs w:val="24"/>
        </w:rPr>
        <w:t xml:space="preserve">hether </w:t>
      </w:r>
      <w:r w:rsidR="00150574" w:rsidRPr="0096405D">
        <w:rPr>
          <w:rFonts w:asciiTheme="minorHAnsi" w:hAnsiTheme="minorHAnsi" w:cstheme="minorHAnsi"/>
          <w:szCs w:val="24"/>
        </w:rPr>
        <w:t>individual initiatives</w:t>
      </w:r>
      <w:r w:rsidR="00506B74">
        <w:rPr>
          <w:rFonts w:asciiTheme="minorHAnsi" w:hAnsiTheme="minorHAnsi" w:cstheme="minorHAnsi"/>
          <w:szCs w:val="24"/>
        </w:rPr>
        <w:t xml:space="preserve"> at the higher education provider</w:t>
      </w:r>
      <w:r w:rsidR="00150574" w:rsidRPr="0096405D">
        <w:rPr>
          <w:rFonts w:asciiTheme="minorHAnsi" w:hAnsiTheme="minorHAnsi" w:cstheme="minorHAnsi"/>
          <w:szCs w:val="24"/>
        </w:rPr>
        <w:t xml:space="preserve"> could be funded under </w:t>
      </w:r>
      <w:r w:rsidR="003D79DD">
        <w:rPr>
          <w:rFonts w:asciiTheme="minorHAnsi" w:hAnsiTheme="minorHAnsi" w:cstheme="minorHAnsi"/>
          <w:szCs w:val="24"/>
        </w:rPr>
        <w:t xml:space="preserve">the </w:t>
      </w:r>
      <w:r w:rsidR="00150574" w:rsidRPr="0096405D">
        <w:rPr>
          <w:rFonts w:asciiTheme="minorHAnsi" w:hAnsiTheme="minorHAnsi" w:cstheme="minorHAnsi"/>
          <w:szCs w:val="24"/>
        </w:rPr>
        <w:t>HECG</w:t>
      </w:r>
      <w:r w:rsidR="00506B74">
        <w:rPr>
          <w:rFonts w:asciiTheme="minorHAnsi" w:hAnsiTheme="minorHAnsi" w:cstheme="minorHAnsi"/>
          <w:szCs w:val="24"/>
        </w:rPr>
        <w:t xml:space="preserve"> Equity program;</w:t>
      </w:r>
    </w:p>
    <w:p w14:paraId="7F74D11A" w14:textId="5DCB53FE" w:rsidR="00150574" w:rsidRPr="0096405D" w:rsidRDefault="00150574" w:rsidP="00150574">
      <w:pPr>
        <w:pStyle w:val="ListParagraph"/>
        <w:numPr>
          <w:ilvl w:val="0"/>
          <w:numId w:val="6"/>
        </w:numPr>
        <w:spacing w:before="120" w:after="120"/>
        <w:rPr>
          <w:rFonts w:asciiTheme="minorHAnsi" w:hAnsiTheme="minorHAnsi" w:cstheme="minorHAnsi"/>
          <w:szCs w:val="24"/>
        </w:rPr>
      </w:pPr>
      <w:r w:rsidRPr="0096405D">
        <w:rPr>
          <w:rFonts w:asciiTheme="minorHAnsi" w:hAnsiTheme="minorHAnsi" w:cstheme="minorHAnsi"/>
          <w:szCs w:val="24"/>
        </w:rPr>
        <w:t>the potential timeframe for spending HECG</w:t>
      </w:r>
      <w:r w:rsidR="00506B74">
        <w:rPr>
          <w:rFonts w:asciiTheme="minorHAnsi" w:hAnsiTheme="minorHAnsi" w:cstheme="minorHAnsi"/>
          <w:szCs w:val="24"/>
        </w:rPr>
        <w:t xml:space="preserve"> Equity</w:t>
      </w:r>
      <w:r w:rsidRPr="0096405D">
        <w:rPr>
          <w:rFonts w:asciiTheme="minorHAnsi" w:hAnsiTheme="minorHAnsi" w:cstheme="minorHAnsi"/>
          <w:szCs w:val="24"/>
        </w:rPr>
        <w:t xml:space="preserve"> </w:t>
      </w:r>
      <w:r w:rsidR="00506B74">
        <w:rPr>
          <w:rFonts w:asciiTheme="minorHAnsi" w:hAnsiTheme="minorHAnsi" w:cstheme="minorHAnsi"/>
          <w:szCs w:val="24"/>
        </w:rPr>
        <w:t>grants</w:t>
      </w:r>
      <w:r w:rsidRPr="0096405D">
        <w:rPr>
          <w:rFonts w:asciiTheme="minorHAnsi" w:hAnsiTheme="minorHAnsi" w:cstheme="minorHAnsi"/>
          <w:szCs w:val="24"/>
        </w:rPr>
        <w:t>;</w:t>
      </w:r>
      <w:r w:rsidR="000809DA">
        <w:rPr>
          <w:rFonts w:asciiTheme="minorHAnsi" w:hAnsiTheme="minorHAnsi" w:cstheme="minorHAnsi"/>
          <w:szCs w:val="24"/>
        </w:rPr>
        <w:t xml:space="preserve"> and</w:t>
      </w:r>
    </w:p>
    <w:p w14:paraId="43FF6CBA" w14:textId="38947978" w:rsidR="00150574" w:rsidRPr="0096405D" w:rsidRDefault="00150574" w:rsidP="00150574">
      <w:pPr>
        <w:pStyle w:val="ListParagraph"/>
        <w:numPr>
          <w:ilvl w:val="0"/>
          <w:numId w:val="6"/>
        </w:numPr>
        <w:spacing w:before="120" w:after="120"/>
        <w:rPr>
          <w:rFonts w:asciiTheme="minorHAnsi" w:hAnsiTheme="minorHAnsi" w:cstheme="minorHAnsi"/>
          <w:szCs w:val="24"/>
        </w:rPr>
      </w:pPr>
      <w:r w:rsidRPr="0096405D">
        <w:rPr>
          <w:rFonts w:asciiTheme="minorHAnsi" w:hAnsiTheme="minorHAnsi" w:cstheme="minorHAnsi"/>
          <w:szCs w:val="24"/>
        </w:rPr>
        <w:t xml:space="preserve">whether </w:t>
      </w:r>
      <w:r w:rsidR="003D79DD">
        <w:rPr>
          <w:rFonts w:asciiTheme="minorHAnsi" w:hAnsiTheme="minorHAnsi" w:cstheme="minorHAnsi"/>
          <w:szCs w:val="24"/>
        </w:rPr>
        <w:t xml:space="preserve">HECG Equity grant </w:t>
      </w:r>
      <w:r w:rsidRPr="0096405D">
        <w:rPr>
          <w:rFonts w:asciiTheme="minorHAnsi" w:hAnsiTheme="minorHAnsi" w:cstheme="minorHAnsi"/>
          <w:szCs w:val="24"/>
        </w:rPr>
        <w:t xml:space="preserve">funds must be used to establish new initiatives (as opposed to </w:t>
      </w:r>
      <w:r w:rsidR="000809DA">
        <w:rPr>
          <w:rFonts w:asciiTheme="minorHAnsi" w:hAnsiTheme="minorHAnsi" w:cstheme="minorHAnsi"/>
          <w:szCs w:val="24"/>
        </w:rPr>
        <w:t xml:space="preserve">supporting </w:t>
      </w:r>
      <w:r w:rsidRPr="0096405D">
        <w:rPr>
          <w:rFonts w:asciiTheme="minorHAnsi" w:hAnsiTheme="minorHAnsi" w:cstheme="minorHAnsi"/>
          <w:szCs w:val="24"/>
        </w:rPr>
        <w:t>pre-existing initiatives).</w:t>
      </w:r>
    </w:p>
    <w:p w14:paraId="060604C3" w14:textId="50F10B41" w:rsidR="00277A10" w:rsidRPr="0096405D" w:rsidRDefault="00D63ABD" w:rsidP="00515696">
      <w:pPr>
        <w:spacing w:before="120" w:after="120"/>
        <w:rPr>
          <w:rFonts w:asciiTheme="minorHAnsi" w:hAnsiTheme="minorHAnsi" w:cstheme="minorHAnsi"/>
          <w:szCs w:val="24"/>
        </w:rPr>
      </w:pPr>
      <w:r w:rsidRPr="0096405D">
        <w:rPr>
          <w:rFonts w:asciiTheme="minorHAnsi" w:hAnsiTheme="minorHAnsi" w:cstheme="minorHAnsi"/>
          <w:szCs w:val="24"/>
        </w:rPr>
        <w:t>In March 2024, the Department engaged with the higher education sector on implementation matters relating to the HECG</w:t>
      </w:r>
      <w:r w:rsidR="000A5AEA" w:rsidRPr="0096405D">
        <w:rPr>
          <w:rFonts w:asciiTheme="minorHAnsi" w:hAnsiTheme="minorHAnsi" w:cstheme="minorHAnsi"/>
          <w:szCs w:val="24"/>
        </w:rPr>
        <w:t xml:space="preserve"> </w:t>
      </w:r>
      <w:r w:rsidR="000809DA">
        <w:rPr>
          <w:rFonts w:asciiTheme="minorHAnsi" w:hAnsiTheme="minorHAnsi" w:cstheme="minorHAnsi"/>
          <w:szCs w:val="24"/>
        </w:rPr>
        <w:t>Equity program</w:t>
      </w:r>
      <w:r w:rsidRPr="0096405D">
        <w:rPr>
          <w:rFonts w:asciiTheme="minorHAnsi" w:hAnsiTheme="minorHAnsi" w:cstheme="minorHAnsi"/>
          <w:szCs w:val="24"/>
        </w:rPr>
        <w:t>.</w:t>
      </w:r>
      <w:r w:rsidR="000A5AEA" w:rsidRPr="0096405D">
        <w:rPr>
          <w:rFonts w:asciiTheme="minorHAnsi" w:hAnsiTheme="minorHAnsi" w:cstheme="minorHAnsi"/>
          <w:szCs w:val="24"/>
        </w:rPr>
        <w:t xml:space="preserve"> An email was sent to universities and eligible higher education providers requesting feedback </w:t>
      </w:r>
      <w:r w:rsidR="000809DA">
        <w:rPr>
          <w:rFonts w:asciiTheme="minorHAnsi" w:hAnsiTheme="minorHAnsi" w:cstheme="minorHAnsi"/>
          <w:szCs w:val="24"/>
        </w:rPr>
        <w:t>on the proposed conditions to be imposed on the HECG Equity program, and on the</w:t>
      </w:r>
      <w:r w:rsidR="003D79DD">
        <w:rPr>
          <w:rFonts w:asciiTheme="minorHAnsi" w:hAnsiTheme="minorHAnsi" w:cstheme="minorHAnsi"/>
          <w:szCs w:val="24"/>
        </w:rPr>
        <w:t xml:space="preserve"> substance of the</w:t>
      </w:r>
      <w:r w:rsidR="000809DA">
        <w:rPr>
          <w:rFonts w:asciiTheme="minorHAnsi" w:hAnsiTheme="minorHAnsi" w:cstheme="minorHAnsi"/>
          <w:szCs w:val="24"/>
        </w:rPr>
        <w:t xml:space="preserve"> draft Amendment Instrument. </w:t>
      </w:r>
      <w:r w:rsidR="000A5AEA" w:rsidRPr="0096405D">
        <w:rPr>
          <w:rFonts w:asciiTheme="minorHAnsi" w:hAnsiTheme="minorHAnsi" w:cstheme="minorHAnsi"/>
          <w:szCs w:val="24"/>
        </w:rPr>
        <w:t xml:space="preserve">Providers that responded were supportive of the </w:t>
      </w:r>
      <w:r w:rsidR="000809DA">
        <w:rPr>
          <w:rFonts w:asciiTheme="minorHAnsi" w:hAnsiTheme="minorHAnsi" w:cstheme="minorHAnsi"/>
          <w:szCs w:val="24"/>
        </w:rPr>
        <w:t xml:space="preserve">HECG Equity </w:t>
      </w:r>
      <w:r w:rsidR="000A5AEA" w:rsidRPr="0096405D">
        <w:rPr>
          <w:rFonts w:asciiTheme="minorHAnsi" w:hAnsiTheme="minorHAnsi" w:cstheme="minorHAnsi"/>
          <w:szCs w:val="24"/>
        </w:rPr>
        <w:t xml:space="preserve">program. </w:t>
      </w:r>
    </w:p>
    <w:p w14:paraId="3A6EE0A5" w14:textId="5505313F" w:rsidR="00DA552F" w:rsidRPr="0096405D" w:rsidRDefault="00277A10" w:rsidP="0005478B">
      <w:pPr>
        <w:spacing w:before="120" w:after="120"/>
        <w:rPr>
          <w:rFonts w:asciiTheme="minorHAnsi" w:hAnsiTheme="minorHAnsi" w:cstheme="minorHAnsi"/>
          <w:szCs w:val="24"/>
        </w:rPr>
      </w:pPr>
      <w:r w:rsidRPr="0096405D">
        <w:rPr>
          <w:rFonts w:asciiTheme="minorHAnsi" w:hAnsiTheme="minorHAnsi" w:cstheme="minorHAnsi"/>
          <w:szCs w:val="24"/>
        </w:rPr>
        <w:t xml:space="preserve">On 30 April 2024, the department held an information session with providers to consult further on </w:t>
      </w:r>
      <w:r w:rsidR="0005478B" w:rsidRPr="0096405D">
        <w:rPr>
          <w:rFonts w:asciiTheme="minorHAnsi" w:hAnsiTheme="minorHAnsi" w:cstheme="minorHAnsi"/>
          <w:szCs w:val="24"/>
        </w:rPr>
        <w:t>the HECG Equity program</w:t>
      </w:r>
      <w:r w:rsidRPr="0096405D">
        <w:rPr>
          <w:rFonts w:asciiTheme="minorHAnsi" w:hAnsiTheme="minorHAnsi" w:cstheme="minorHAnsi"/>
          <w:szCs w:val="24"/>
        </w:rPr>
        <w:t xml:space="preserve">. The session was attended by 112 provider and stakeholder </w:t>
      </w:r>
      <w:r w:rsidRPr="00B01CEF">
        <w:rPr>
          <w:rFonts w:asciiTheme="minorHAnsi" w:hAnsiTheme="minorHAnsi" w:cstheme="minorHAnsi"/>
          <w:szCs w:val="24"/>
        </w:rPr>
        <w:t>representatives</w:t>
      </w:r>
      <w:r w:rsidR="00A80D94" w:rsidRPr="00B01CEF">
        <w:rPr>
          <w:rFonts w:asciiTheme="minorHAnsi" w:hAnsiTheme="minorHAnsi" w:cstheme="minorHAnsi"/>
          <w:szCs w:val="24"/>
        </w:rPr>
        <w:t xml:space="preserve">. Providers did not express particular views on the merits of the HECG Equity program through this </w:t>
      </w:r>
      <w:r w:rsidR="00825522" w:rsidRPr="00B01CEF">
        <w:rPr>
          <w:rFonts w:asciiTheme="minorHAnsi" w:hAnsiTheme="minorHAnsi" w:cstheme="minorHAnsi"/>
          <w:szCs w:val="24"/>
        </w:rPr>
        <w:t xml:space="preserve">particular </w:t>
      </w:r>
      <w:r w:rsidR="00A80D94" w:rsidRPr="00B01CEF">
        <w:rPr>
          <w:rFonts w:asciiTheme="minorHAnsi" w:hAnsiTheme="minorHAnsi" w:cstheme="minorHAnsi"/>
          <w:szCs w:val="24"/>
        </w:rPr>
        <w:t>forum.</w:t>
      </w:r>
      <w:r w:rsidR="00DA552F" w:rsidRPr="0096405D">
        <w:rPr>
          <w:rFonts w:asciiTheme="minorHAnsi" w:hAnsiTheme="minorHAnsi" w:cstheme="minorHAnsi"/>
          <w:szCs w:val="24"/>
        </w:rPr>
        <w:br w:type="page"/>
      </w:r>
    </w:p>
    <w:p w14:paraId="2023D52E" w14:textId="77777777" w:rsidR="00DA552F" w:rsidRPr="0080510C" w:rsidRDefault="00DA552F" w:rsidP="000C310A">
      <w:pPr>
        <w:pStyle w:val="Title"/>
      </w:pPr>
      <w:bookmarkStart w:id="3" w:name="_Toc23942241"/>
      <w:bookmarkStart w:id="4" w:name="_Toc34293362"/>
      <w:r w:rsidRPr="0080510C">
        <w:rPr>
          <w:u w:val="none"/>
        </w:rPr>
        <w:lastRenderedPageBreak/>
        <w:t>STATEMENT OF COMPATIBILITY WITH HUMAN RIGHTS</w:t>
      </w:r>
      <w:bookmarkEnd w:id="3"/>
      <w:bookmarkEnd w:id="4"/>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3878DDB8" w:rsidR="00DA552F" w:rsidRPr="000C310A" w:rsidRDefault="002B411E" w:rsidP="000C310A">
      <w:pPr>
        <w:pStyle w:val="Subtitle"/>
        <w:rPr>
          <w:bCs/>
          <w:iCs/>
          <w:u w:val="single"/>
        </w:rPr>
      </w:pPr>
      <w:r>
        <w:rPr>
          <w:b w:val="0"/>
          <w:bCs/>
          <w:i w:val="0"/>
          <w:iCs/>
          <w:u w:val="single"/>
        </w:rPr>
        <w:t>Higher Education Support (Other Grants) Amendment (</w:t>
      </w:r>
      <w:r w:rsidR="003946AE">
        <w:rPr>
          <w:b w:val="0"/>
          <w:bCs/>
          <w:i w:val="0"/>
          <w:iCs/>
          <w:u w:val="single"/>
        </w:rPr>
        <w:t>Higher Education Continuity Guarantee</w:t>
      </w:r>
      <w:r>
        <w:rPr>
          <w:b w:val="0"/>
          <w:bCs/>
          <w:i w:val="0"/>
          <w:iCs/>
          <w:u w:val="single"/>
        </w:rPr>
        <w:t>) Guidelines 202</w:t>
      </w:r>
      <w:r w:rsidR="00BA6D4A">
        <w:rPr>
          <w:b w:val="0"/>
          <w:bCs/>
          <w:i w:val="0"/>
          <w:iCs/>
          <w:u w:val="single"/>
        </w:rPr>
        <w:t>4</w:t>
      </w:r>
    </w:p>
    <w:p w14:paraId="65F6CFAB" w14:textId="7FA85C8E"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2B411E">
        <w:rPr>
          <w:rFonts w:asciiTheme="minorHAnsi" w:hAnsiTheme="minorHAnsi" w:cstheme="minorHAnsi"/>
          <w:i/>
          <w:iCs/>
          <w:szCs w:val="24"/>
        </w:rPr>
        <w:t xml:space="preserve">Higher Education Support (Other Grants) Amendment </w:t>
      </w:r>
      <w:r w:rsidR="00BA6D4A">
        <w:rPr>
          <w:rFonts w:asciiTheme="minorHAnsi" w:hAnsiTheme="minorHAnsi" w:cstheme="minorHAnsi"/>
          <w:i/>
          <w:iCs/>
          <w:szCs w:val="24"/>
        </w:rPr>
        <w:t>(</w:t>
      </w:r>
      <w:r w:rsidR="003946AE">
        <w:rPr>
          <w:rFonts w:asciiTheme="minorHAnsi" w:hAnsiTheme="minorHAnsi" w:cstheme="minorHAnsi"/>
          <w:i/>
          <w:iCs/>
          <w:szCs w:val="24"/>
        </w:rPr>
        <w:t>Higher Education Continuity Guarantee</w:t>
      </w:r>
      <w:r w:rsidR="002B411E">
        <w:rPr>
          <w:rFonts w:asciiTheme="minorHAnsi" w:hAnsiTheme="minorHAnsi" w:cstheme="minorHAnsi"/>
          <w:i/>
          <w:iCs/>
          <w:szCs w:val="24"/>
        </w:rPr>
        <w:t>) Guidelines 202</w:t>
      </w:r>
      <w:r w:rsidR="00BA6D4A">
        <w:rPr>
          <w:rFonts w:asciiTheme="minorHAnsi" w:hAnsiTheme="minorHAnsi" w:cstheme="minorHAnsi"/>
          <w:i/>
          <w:iCs/>
          <w:szCs w:val="24"/>
        </w:rPr>
        <w:t>4</w:t>
      </w:r>
      <w:r w:rsidR="001E52EB">
        <w:rPr>
          <w:rFonts w:asciiTheme="minorHAnsi" w:hAnsiTheme="minorHAnsi" w:cstheme="minorHAnsi"/>
          <w:szCs w:val="24"/>
        </w:rPr>
        <w:t xml:space="preserve"> (the </w:t>
      </w:r>
      <w:r w:rsidR="002B411E">
        <w:rPr>
          <w:rFonts w:asciiTheme="minorHAnsi" w:hAnsiTheme="minorHAnsi" w:cstheme="minorHAnsi"/>
          <w:szCs w:val="24"/>
        </w:rPr>
        <w:t xml:space="preserve">Amendment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w:t>
      </w:r>
      <w:r w:rsidR="00B531E8" w:rsidRPr="008134D5">
        <w:rPr>
          <w:rFonts w:asciiTheme="minorHAnsi" w:hAnsiTheme="minorHAnsi" w:cstheme="minorHAnsi"/>
          <w:szCs w:val="24"/>
        </w:rPr>
        <w:t>section</w:t>
      </w:r>
      <w:r w:rsidR="00B531E8">
        <w:rPr>
          <w:rFonts w:asciiTheme="minorHAnsi" w:hAnsiTheme="minorHAnsi" w:cstheme="minorHAnsi"/>
          <w:szCs w:val="24"/>
        </w:rPr>
        <w:t> </w:t>
      </w:r>
      <w:r w:rsidRPr="008134D5">
        <w:rPr>
          <w:rFonts w:asciiTheme="minorHAnsi" w:hAnsiTheme="minorHAnsi" w:cstheme="minorHAnsi"/>
          <w:szCs w:val="24"/>
        </w:rPr>
        <w:t xml:space="preserve">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2A03E527" w14:textId="5ABCE5FA" w:rsidR="00387CD9" w:rsidRDefault="00387CD9" w:rsidP="00387CD9">
      <w:pPr>
        <w:spacing w:before="120" w:after="120"/>
        <w:rPr>
          <w:rFonts w:asciiTheme="minorHAnsi" w:hAnsiTheme="minorHAnsi" w:cstheme="minorHAnsi"/>
          <w:iCs/>
          <w:szCs w:val="24"/>
        </w:rPr>
      </w:pPr>
      <w:r w:rsidRPr="002B7CC4">
        <w:rPr>
          <w:rFonts w:asciiTheme="minorHAnsi" w:hAnsiTheme="minorHAnsi" w:cstheme="minorHAnsi"/>
          <w:iCs/>
          <w:szCs w:val="24"/>
        </w:rPr>
        <w:t>The Ame</w:t>
      </w:r>
      <w:r>
        <w:rPr>
          <w:rFonts w:asciiTheme="minorHAnsi" w:hAnsiTheme="minorHAnsi" w:cstheme="minorHAnsi"/>
          <w:iCs/>
          <w:szCs w:val="24"/>
        </w:rPr>
        <w:t xml:space="preserve">ndment Instrument amends Part 8 of the </w:t>
      </w:r>
      <w:r w:rsidR="00E91353">
        <w:rPr>
          <w:rFonts w:asciiTheme="minorHAnsi" w:hAnsiTheme="minorHAnsi" w:cstheme="minorHAnsi"/>
          <w:i/>
          <w:szCs w:val="24"/>
        </w:rPr>
        <w:t xml:space="preserve">Higher Education Support (Other Grants) Guidelines 2022 </w:t>
      </w:r>
      <w:r w:rsidR="00E91353">
        <w:rPr>
          <w:rFonts w:asciiTheme="minorHAnsi" w:hAnsiTheme="minorHAnsi" w:cstheme="minorHAnsi"/>
          <w:iCs/>
          <w:szCs w:val="24"/>
        </w:rPr>
        <w:t xml:space="preserve">(the </w:t>
      </w:r>
      <w:r>
        <w:rPr>
          <w:rFonts w:asciiTheme="minorHAnsi" w:hAnsiTheme="minorHAnsi" w:cstheme="minorHAnsi"/>
          <w:iCs/>
          <w:szCs w:val="24"/>
        </w:rPr>
        <w:t>Principal Instrument</w:t>
      </w:r>
      <w:r w:rsidR="00E91353">
        <w:rPr>
          <w:rFonts w:asciiTheme="minorHAnsi" w:hAnsiTheme="minorHAnsi" w:cstheme="minorHAnsi"/>
          <w:iCs/>
          <w:szCs w:val="24"/>
        </w:rPr>
        <w:t>)</w:t>
      </w:r>
      <w:r>
        <w:rPr>
          <w:rFonts w:asciiTheme="minorHAnsi" w:hAnsiTheme="minorHAnsi" w:cstheme="minorHAnsi"/>
          <w:iCs/>
          <w:szCs w:val="24"/>
        </w:rPr>
        <w:t xml:space="preserve"> to specify two Higher Education Continuity Guarantee (HECG) programs – the Higher Education Continuity Guarantee – Quality program (HECG Quality) and the </w:t>
      </w:r>
      <w:r w:rsidRPr="00387CD9">
        <w:rPr>
          <w:rFonts w:asciiTheme="minorHAnsi" w:hAnsiTheme="minorHAnsi" w:cstheme="minorHAnsi"/>
          <w:iCs/>
          <w:szCs w:val="24"/>
        </w:rPr>
        <w:t>Higher Education Continuity Guarantee –</w:t>
      </w:r>
      <w:r>
        <w:rPr>
          <w:rFonts w:asciiTheme="minorHAnsi" w:hAnsiTheme="minorHAnsi" w:cstheme="minorHAnsi"/>
          <w:iCs/>
          <w:szCs w:val="24"/>
        </w:rPr>
        <w:t xml:space="preserve"> Equity program (HECG Equity). The HECG Quality program is the existing HECG program that provided grants under Part 2-3 of the </w:t>
      </w:r>
      <w:r w:rsidRPr="00387CD9">
        <w:rPr>
          <w:rFonts w:asciiTheme="minorHAnsi" w:hAnsiTheme="minorHAnsi" w:cstheme="minorHAnsi"/>
          <w:i/>
          <w:szCs w:val="24"/>
        </w:rPr>
        <w:t>Higher Education Support Act 2003</w:t>
      </w:r>
      <w:r>
        <w:rPr>
          <w:rFonts w:asciiTheme="minorHAnsi" w:hAnsiTheme="minorHAnsi" w:cstheme="minorHAnsi"/>
          <w:iCs/>
          <w:szCs w:val="24"/>
        </w:rPr>
        <w:t xml:space="preserve"> (the Act) to higher education providers for 2021, 2022 and 2023 for the purposes of </w:t>
      </w:r>
      <w:r w:rsidRPr="00387CD9">
        <w:rPr>
          <w:rFonts w:asciiTheme="minorHAnsi" w:hAnsiTheme="minorHAnsi" w:cstheme="minorHAnsi"/>
          <w:iCs/>
          <w:szCs w:val="24"/>
        </w:rPr>
        <w:t>assuring and enhancing the quality of Australia’s higher education sector</w:t>
      </w:r>
      <w:r>
        <w:rPr>
          <w:rFonts w:asciiTheme="minorHAnsi" w:hAnsiTheme="minorHAnsi" w:cstheme="minorHAnsi"/>
          <w:iCs/>
          <w:szCs w:val="24"/>
        </w:rPr>
        <w:t xml:space="preserve">. The HECG Equity program is the extension of the HECG for 2024 and 2025. </w:t>
      </w:r>
    </w:p>
    <w:p w14:paraId="6972A25F" w14:textId="78F3BF06" w:rsidR="003946AE" w:rsidRDefault="00387CD9" w:rsidP="003946AE">
      <w:pPr>
        <w:spacing w:before="120" w:after="120"/>
        <w:rPr>
          <w:rFonts w:asciiTheme="minorHAnsi" w:hAnsiTheme="minorHAnsi" w:cstheme="minorHAnsi"/>
          <w:iCs/>
          <w:szCs w:val="24"/>
        </w:rPr>
      </w:pPr>
      <w:r>
        <w:rPr>
          <w:rFonts w:asciiTheme="minorHAnsi" w:hAnsiTheme="minorHAnsi" w:cstheme="minorHAnsi"/>
          <w:iCs/>
          <w:szCs w:val="24"/>
        </w:rPr>
        <w:t>The amendments made to Part 8 will specify the HECG Equity program as a program for the purpose of promoting equality of opportunity in higher education, and set out the program objectives, the extra conditions of eligibility, method by which the amount of grants under the program are determined and the conditions that apply to grants made under the program</w:t>
      </w:r>
      <w:r w:rsidR="003946AE">
        <w:rPr>
          <w:rFonts w:asciiTheme="minorHAnsi" w:hAnsiTheme="minorHAnsi" w:cstheme="minorHAnsi"/>
          <w:iCs/>
          <w:szCs w:val="24"/>
        </w:rPr>
        <w:t>.</w:t>
      </w:r>
    </w:p>
    <w:p w14:paraId="3FDD367E" w14:textId="6BE3C405" w:rsidR="0005478B" w:rsidRDefault="0005478B" w:rsidP="0005478B">
      <w:pPr>
        <w:spacing w:before="120" w:after="120"/>
        <w:rPr>
          <w:rFonts w:asciiTheme="minorHAnsi" w:hAnsiTheme="minorHAnsi" w:cstheme="minorHAnsi"/>
          <w:iCs/>
          <w:szCs w:val="24"/>
        </w:rPr>
      </w:pPr>
      <w:r>
        <w:rPr>
          <w:rFonts w:asciiTheme="minorHAnsi" w:hAnsiTheme="minorHAnsi" w:cstheme="minorHAnsi"/>
          <w:iCs/>
          <w:szCs w:val="24"/>
        </w:rPr>
        <w:t>The amendments made by the Amendment Instrument have been made in response to the Interim Report released by the</w:t>
      </w:r>
      <w:r w:rsidRPr="00AF7FD8">
        <w:rPr>
          <w:rFonts w:asciiTheme="minorHAnsi" w:hAnsiTheme="minorHAnsi" w:cstheme="minorHAnsi"/>
          <w:iCs/>
          <w:szCs w:val="24"/>
        </w:rPr>
        <w:t xml:space="preserve"> Australian Universities Accord (the Accord)</w:t>
      </w:r>
      <w:r>
        <w:rPr>
          <w:rFonts w:asciiTheme="minorHAnsi" w:hAnsiTheme="minorHAnsi" w:cstheme="minorHAnsi"/>
          <w:iCs/>
          <w:szCs w:val="24"/>
        </w:rPr>
        <w:t xml:space="preserve">. The Accord </w:t>
      </w:r>
      <w:r w:rsidRPr="00AF7FD8">
        <w:rPr>
          <w:rFonts w:asciiTheme="minorHAnsi" w:hAnsiTheme="minorHAnsi" w:cstheme="minorHAnsi"/>
          <w:iCs/>
          <w:szCs w:val="24"/>
        </w:rPr>
        <w:t>was a review of the higher education sector</w:t>
      </w:r>
      <w:r>
        <w:rPr>
          <w:rFonts w:asciiTheme="minorHAnsi" w:hAnsiTheme="minorHAnsi" w:cstheme="minorHAnsi"/>
          <w:iCs/>
          <w:szCs w:val="24"/>
        </w:rPr>
        <w:t xml:space="preserve">, and its </w:t>
      </w:r>
      <w:r w:rsidRPr="00AF7FD8">
        <w:rPr>
          <w:rFonts w:asciiTheme="minorHAnsi" w:hAnsiTheme="minorHAnsi" w:cstheme="minorHAnsi"/>
          <w:iCs/>
          <w:szCs w:val="24"/>
        </w:rPr>
        <w:t xml:space="preserve">Interim Report recommended the extension of the HECG program for 2024 and 2025, to minimise the risk of unnecessary structural adjustment to the sector until the outcomes of the Accord are known. The Interim Report also recommended that higher education providers </w:t>
      </w:r>
      <w:r w:rsidRPr="00AF7FD8" w:rsidDel="002D65B2">
        <w:rPr>
          <w:rFonts w:asciiTheme="minorHAnsi" w:hAnsiTheme="minorHAnsi" w:cstheme="minorHAnsi"/>
          <w:iCs/>
          <w:szCs w:val="24"/>
        </w:rPr>
        <w:t>direct</w:t>
      </w:r>
      <w:r w:rsidRPr="00AF7FD8">
        <w:rPr>
          <w:rFonts w:asciiTheme="minorHAnsi" w:hAnsiTheme="minorHAnsi" w:cstheme="minorHAnsi"/>
          <w:iCs/>
          <w:szCs w:val="24"/>
        </w:rPr>
        <w:t xml:space="preserve"> the HECG grants to support greater equity outcomes.</w:t>
      </w:r>
    </w:p>
    <w:p w14:paraId="57CC71C9" w14:textId="45BEE820" w:rsidR="00F9205E" w:rsidRPr="008134D5" w:rsidRDefault="00F9205E" w:rsidP="003946AE">
      <w:pPr>
        <w:pStyle w:val="Heading2"/>
      </w:pPr>
      <w:r w:rsidRPr="008134D5">
        <w:t>Human rights implications</w:t>
      </w:r>
    </w:p>
    <w:p w14:paraId="7EB0E968" w14:textId="46E1FA62" w:rsidR="00C97E14" w:rsidRDefault="00610AE3" w:rsidP="004D07B0">
      <w:pPr>
        <w:spacing w:before="120" w:after="120"/>
        <w:rPr>
          <w:rFonts w:asciiTheme="minorHAnsi" w:hAnsiTheme="minorHAnsi" w:cstheme="minorHAnsi"/>
        </w:rPr>
      </w:pPr>
      <w:r>
        <w:rPr>
          <w:rFonts w:asciiTheme="minorHAnsi" w:hAnsiTheme="minorHAnsi" w:cstheme="minorHAnsi"/>
        </w:rPr>
        <w:t>The Amendment Instrument engages the right to education in Article 13 of the International Covenant on Economic, Social and Cultural Rights (ICESCR</w:t>
      </w:r>
      <w:r w:rsidR="0092391D">
        <w:rPr>
          <w:rFonts w:asciiTheme="minorHAnsi" w:hAnsiTheme="minorHAnsi" w:cstheme="minorHAnsi"/>
        </w:rPr>
        <w:t>)</w:t>
      </w:r>
      <w:r>
        <w:rPr>
          <w:rFonts w:asciiTheme="minorHAnsi" w:hAnsiTheme="minorHAnsi" w:cstheme="minorHAnsi"/>
        </w:rPr>
        <w:t xml:space="preserve">. </w:t>
      </w:r>
    </w:p>
    <w:p w14:paraId="299B9698" w14:textId="1C55A936" w:rsidR="00610AE3" w:rsidRDefault="00610AE3" w:rsidP="004D07B0">
      <w:pPr>
        <w:spacing w:before="120" w:after="120"/>
        <w:rPr>
          <w:rFonts w:asciiTheme="minorHAnsi" w:hAnsiTheme="minorHAnsi" w:cstheme="minorHAnsi"/>
        </w:rPr>
      </w:pPr>
      <w:r>
        <w:rPr>
          <w:rFonts w:asciiTheme="minorHAnsi" w:hAnsiTheme="minorHAnsi" w:cstheme="minorHAnsi"/>
          <w:u w:val="single"/>
        </w:rPr>
        <w:t>Right to education</w:t>
      </w:r>
    </w:p>
    <w:p w14:paraId="1E4ABD6D" w14:textId="0DD26D15" w:rsidR="00610AE3" w:rsidRDefault="00FE6C08" w:rsidP="004D07B0">
      <w:pPr>
        <w:spacing w:before="120" w:after="120"/>
        <w:rPr>
          <w:rFonts w:ascii="Calibri" w:hAnsi="Calibri" w:cs="Calibri"/>
          <w:color w:val="000000"/>
        </w:rPr>
      </w:pPr>
      <w:r>
        <w:rPr>
          <w:rFonts w:asciiTheme="minorHAnsi" w:hAnsiTheme="minorHAnsi" w:cstheme="minorHAnsi"/>
        </w:rPr>
        <w:lastRenderedPageBreak/>
        <w:t xml:space="preserve">Article 13(2) of the ICESCR provides that ‘higher education shall be made equally accessible to all, on the basis of capacity, by every appropriate means, </w:t>
      </w:r>
      <w:r>
        <w:rPr>
          <w:rFonts w:ascii="Calibri" w:hAnsi="Calibri" w:cs="Calibri"/>
          <w:color w:val="000000"/>
        </w:rPr>
        <w:t>and in particular by the progressive introduction of free education’.</w:t>
      </w:r>
    </w:p>
    <w:p w14:paraId="29A72608" w14:textId="1CA704AD" w:rsidR="00FE6C08" w:rsidRDefault="00FE6C08" w:rsidP="004D07B0">
      <w:pPr>
        <w:spacing w:before="120" w:after="120"/>
        <w:rPr>
          <w:rFonts w:ascii="Calibri" w:hAnsi="Calibri" w:cs="Calibri"/>
          <w:color w:val="000000"/>
        </w:rPr>
      </w:pPr>
      <w:r>
        <w:rPr>
          <w:rFonts w:ascii="Calibri" w:hAnsi="Calibri" w:cs="Calibri"/>
          <w:color w:val="000000"/>
        </w:rPr>
        <w:t xml:space="preserve">The Amendment Instrument amends the Principal Instrument to specify a new grant program (the </w:t>
      </w:r>
      <w:r w:rsidR="008C6EFC">
        <w:rPr>
          <w:rFonts w:ascii="Calibri" w:hAnsi="Calibri" w:cs="Calibri"/>
          <w:color w:val="000000"/>
        </w:rPr>
        <w:t>HECG</w:t>
      </w:r>
      <w:r w:rsidR="0092391D">
        <w:rPr>
          <w:rFonts w:ascii="Calibri" w:hAnsi="Calibri" w:cs="Calibri"/>
          <w:color w:val="000000"/>
        </w:rPr>
        <w:t xml:space="preserve"> Equity program</w:t>
      </w:r>
      <w:r>
        <w:rPr>
          <w:rFonts w:ascii="Calibri" w:hAnsi="Calibri" w:cs="Calibri"/>
          <w:color w:val="000000"/>
        </w:rPr>
        <w:t xml:space="preserve">) which will </w:t>
      </w:r>
      <w:r w:rsidR="0092391D">
        <w:rPr>
          <w:rFonts w:ascii="Calibri" w:hAnsi="Calibri" w:cs="Calibri"/>
          <w:color w:val="000000"/>
        </w:rPr>
        <w:t>provide grants to assist higher education providers with attracting and providing support to under</w:t>
      </w:r>
      <w:r w:rsidR="0092391D">
        <w:rPr>
          <w:rFonts w:ascii="Calibri" w:hAnsi="Calibri" w:cs="Calibri"/>
          <w:color w:val="000000"/>
        </w:rPr>
        <w:noBreakHyphen/>
        <w:t xml:space="preserve">represented cohorts to assist them with participating and succeeding in higher education. </w:t>
      </w:r>
    </w:p>
    <w:p w14:paraId="440E7E29" w14:textId="664F4975" w:rsidR="00FE6C08" w:rsidRDefault="0092391D" w:rsidP="004D07B0">
      <w:pPr>
        <w:spacing w:before="120" w:after="120"/>
        <w:rPr>
          <w:rFonts w:ascii="Calibri" w:hAnsi="Calibri" w:cs="Calibri"/>
          <w:color w:val="000000"/>
        </w:rPr>
      </w:pPr>
      <w:r>
        <w:rPr>
          <w:rFonts w:ascii="Calibri" w:hAnsi="Calibri" w:cs="Calibri"/>
          <w:color w:val="000000"/>
        </w:rPr>
        <w:t>As such, the Amendment Instrument</w:t>
      </w:r>
      <w:r w:rsidR="00FE6C08">
        <w:rPr>
          <w:rFonts w:ascii="Calibri" w:hAnsi="Calibri" w:cs="Calibri"/>
          <w:color w:val="000000"/>
        </w:rPr>
        <w:t xml:space="preserve"> supports the right to education. </w:t>
      </w:r>
    </w:p>
    <w:p w14:paraId="0D664062" w14:textId="77777777" w:rsidR="00DA552F" w:rsidRPr="008134D5" w:rsidRDefault="00F9205E" w:rsidP="000C310A">
      <w:pPr>
        <w:pStyle w:val="Heading2"/>
      </w:pPr>
      <w:r w:rsidRPr="008134D5">
        <w:t>Conclusion</w:t>
      </w:r>
    </w:p>
    <w:p w14:paraId="26C0AF71" w14:textId="6472A22F"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 xml:space="preserve">is compatible with human rights because </w:t>
      </w:r>
      <w:r w:rsidR="0019381E">
        <w:rPr>
          <w:rFonts w:asciiTheme="minorHAnsi" w:hAnsiTheme="minorHAnsi" w:cstheme="minorHAnsi"/>
          <w:szCs w:val="24"/>
        </w:rPr>
        <w:t>i</w:t>
      </w:r>
      <w:r w:rsidR="00F7573F">
        <w:rPr>
          <w:rFonts w:asciiTheme="minorHAnsi" w:hAnsiTheme="minorHAnsi" w:cstheme="minorHAnsi"/>
          <w:szCs w:val="24"/>
        </w:rPr>
        <w:t xml:space="preserve">t </w:t>
      </w:r>
      <w:r w:rsidR="00FE6C08">
        <w:rPr>
          <w:rFonts w:asciiTheme="minorHAnsi" w:hAnsiTheme="minorHAnsi" w:cstheme="minorHAnsi"/>
          <w:szCs w:val="24"/>
        </w:rPr>
        <w:t>supports the right to education.</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5B082254"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581A71">
        <w:rPr>
          <w:rFonts w:asciiTheme="minorHAnsi" w:hAnsiTheme="minorHAnsi" w:cstheme="minorHAnsi"/>
          <w:b/>
          <w:szCs w:val="24"/>
        </w:rPr>
        <w:t>Education</w:t>
      </w:r>
      <w:r w:rsidR="00E8671C">
        <w:rPr>
          <w:rFonts w:asciiTheme="minorHAnsi" w:hAnsiTheme="minorHAnsi" w:cstheme="minorHAnsi"/>
          <w:b/>
          <w:szCs w:val="24"/>
        </w:rPr>
        <w:t xml:space="preserve">, </w:t>
      </w:r>
      <w:r w:rsidR="00581A71">
        <w:rPr>
          <w:rFonts w:asciiTheme="minorHAnsi" w:hAnsiTheme="minorHAnsi" w:cstheme="minorHAnsi"/>
          <w:b/>
          <w:szCs w:val="24"/>
        </w:rPr>
        <w:t>the Hon Jason Clare MP</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92B2E5C" w14:textId="1EFCEC1E" w:rsidR="00DA552F" w:rsidRPr="00581A71" w:rsidRDefault="00581A71" w:rsidP="000C310A">
      <w:pPr>
        <w:pStyle w:val="Title"/>
        <w:rPr>
          <w:b w:val="0"/>
        </w:rPr>
      </w:pPr>
      <w:r w:rsidRPr="00581A71">
        <w:rPr>
          <w:u w:val="none"/>
        </w:rPr>
        <w:lastRenderedPageBreak/>
        <w:t>HIGHER EDUCATION SUPPORT (OTHER GRANTS) AMENDMENT (</w:t>
      </w:r>
      <w:r w:rsidR="0092391D">
        <w:rPr>
          <w:u w:val="none"/>
        </w:rPr>
        <w:t>HIGHER EDUCATION CONTINUITY GUARANTEE</w:t>
      </w:r>
      <w:r w:rsidRPr="00581A71">
        <w:rPr>
          <w:u w:val="none"/>
        </w:rPr>
        <w:t>) GUIDELINES 202</w:t>
      </w:r>
      <w:r w:rsidR="00A92EC0">
        <w:rPr>
          <w:u w:val="none"/>
        </w:rPr>
        <w:t>4</w:t>
      </w:r>
    </w:p>
    <w:p w14:paraId="289E50B9" w14:textId="77777777"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58D431AE" w:rsidR="00DA552F" w:rsidRPr="00EF4ACB" w:rsidRDefault="00DA552F" w:rsidP="00CB24D6">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is a formal provision specifying the </w:t>
      </w:r>
      <w:r w:rsidR="00E631F9" w:rsidRPr="00EF4ACB">
        <w:rPr>
          <w:rFonts w:asciiTheme="minorHAnsi" w:hAnsiTheme="minorHAnsi" w:cstheme="minorHAnsi"/>
          <w:szCs w:val="24"/>
        </w:rPr>
        <w:t>name of the</w:t>
      </w:r>
      <w:r w:rsidR="00603D52">
        <w:rPr>
          <w:rFonts w:asciiTheme="minorHAnsi" w:hAnsiTheme="minorHAnsi" w:cstheme="minorHAnsi"/>
          <w:szCs w:val="24"/>
        </w:rPr>
        <w:t xml:space="preserve"> </w:t>
      </w:r>
      <w:r w:rsidR="00603D52">
        <w:rPr>
          <w:rFonts w:asciiTheme="minorHAnsi" w:hAnsiTheme="minorHAnsi" w:cstheme="minorHAnsi"/>
          <w:i/>
          <w:iCs/>
          <w:szCs w:val="24"/>
        </w:rPr>
        <w:t>Higher Education Support (Other Grants) Amendment (</w:t>
      </w:r>
      <w:r w:rsidR="0092391D">
        <w:rPr>
          <w:rFonts w:asciiTheme="minorHAnsi" w:hAnsiTheme="minorHAnsi" w:cstheme="minorHAnsi"/>
          <w:i/>
          <w:iCs/>
          <w:szCs w:val="24"/>
        </w:rPr>
        <w:t>Higher Education Continuity Guarantee</w:t>
      </w:r>
      <w:r w:rsidR="00603D52">
        <w:rPr>
          <w:rFonts w:asciiTheme="minorHAnsi" w:hAnsiTheme="minorHAnsi" w:cstheme="minorHAnsi"/>
          <w:i/>
          <w:iCs/>
          <w:szCs w:val="24"/>
        </w:rPr>
        <w:t>) Guidelines 202</w:t>
      </w:r>
      <w:r w:rsidR="00A92EC0">
        <w:rPr>
          <w:rFonts w:asciiTheme="minorHAnsi" w:hAnsiTheme="minorHAnsi" w:cstheme="minorHAnsi"/>
          <w:i/>
          <w:iCs/>
          <w:szCs w:val="24"/>
        </w:rPr>
        <w:t>4</w:t>
      </w:r>
      <w:r w:rsidR="00603D52">
        <w:rPr>
          <w:rFonts w:asciiTheme="minorHAnsi" w:hAnsiTheme="minorHAnsi" w:cstheme="minorHAnsi"/>
          <w:i/>
          <w:iCs/>
          <w:szCs w:val="24"/>
        </w:rPr>
        <w:t xml:space="preserve"> </w:t>
      </w:r>
      <w:r w:rsidR="00603D52">
        <w:rPr>
          <w:rFonts w:asciiTheme="minorHAnsi" w:hAnsiTheme="minorHAnsi" w:cstheme="minorHAnsi"/>
          <w:szCs w:val="24"/>
        </w:rPr>
        <w:t>(the Amendment I</w:t>
      </w:r>
      <w:r w:rsidR="00E631F9" w:rsidRPr="00EF4ACB">
        <w:rPr>
          <w:rFonts w:asciiTheme="minorHAnsi" w:hAnsiTheme="minorHAnsi" w:cstheme="minorHAnsi"/>
          <w:szCs w:val="24"/>
        </w:rPr>
        <w:t>nstrument</w:t>
      </w:r>
      <w:r w:rsidR="00603D52">
        <w:rPr>
          <w:rFonts w:asciiTheme="minorHAnsi" w:hAnsiTheme="minorHAnsi" w:cstheme="minorHAnsi"/>
          <w:szCs w:val="24"/>
        </w:rPr>
        <w:t>)</w:t>
      </w:r>
      <w:r w:rsidR="00E631F9" w:rsidRPr="00EF4ACB">
        <w:rPr>
          <w:rFonts w:asciiTheme="minorHAnsi" w:hAnsiTheme="minorHAnsi" w:cstheme="minorHAnsi"/>
          <w:szCs w:val="24"/>
        </w:rPr>
        <w:t>.</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1DC53B7C" w14:textId="7A4D9704" w:rsidR="00E631F9" w:rsidRPr="00581A71" w:rsidRDefault="00581A71" w:rsidP="00CB24D6">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provision provides that the </w:t>
      </w:r>
      <w:r w:rsidR="00603D52">
        <w:rPr>
          <w:rFonts w:asciiTheme="minorHAnsi" w:hAnsiTheme="minorHAnsi" w:cstheme="minorHAnsi"/>
          <w:iCs/>
        </w:rPr>
        <w:t xml:space="preserve">Amendment </w:t>
      </w:r>
      <w:r w:rsidR="00603D52" w:rsidRPr="00745376">
        <w:rPr>
          <w:rFonts w:asciiTheme="minorHAnsi" w:hAnsiTheme="minorHAnsi" w:cstheme="minorHAnsi"/>
          <w:iCs/>
        </w:rPr>
        <w:t>Instrument</w:t>
      </w:r>
      <w:r>
        <w:rPr>
          <w:rFonts w:asciiTheme="minorHAnsi" w:hAnsiTheme="minorHAnsi" w:cstheme="minorHAnsi"/>
          <w:iCs/>
        </w:rPr>
        <w:t xml:space="preserve"> commences on the day after the Amendment Instrument is registered on the Federal Register of Legislation. </w:t>
      </w:r>
    </w:p>
    <w:p w14:paraId="3287C071" w14:textId="77777777" w:rsidR="00E631F9" w:rsidRPr="000C310A" w:rsidRDefault="00E631F9" w:rsidP="000C310A">
      <w:pPr>
        <w:pStyle w:val="Heading3"/>
        <w:spacing w:before="240"/>
        <w:rPr>
          <w:b/>
          <w:bCs/>
        </w:rPr>
      </w:pPr>
      <w:r w:rsidRPr="000C310A">
        <w:rPr>
          <w:b/>
          <w:bCs/>
        </w:rPr>
        <w:t>Section 3: Authority</w:t>
      </w:r>
    </w:p>
    <w:p w14:paraId="1CEE71F7" w14:textId="08A0FDA4" w:rsidR="00E631F9" w:rsidRPr="00581A71" w:rsidRDefault="00581A71" w:rsidP="00CB24D6">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This provision provides that the Amendment Instrument is made under section 238</w:t>
      </w:r>
      <w:r>
        <w:rPr>
          <w:rFonts w:asciiTheme="minorHAnsi" w:hAnsiTheme="minorHAnsi" w:cstheme="minorHAnsi"/>
          <w:iCs/>
        </w:rPr>
        <w:noBreakHyphen/>
        <w:t xml:space="preserve">10 of the </w:t>
      </w:r>
      <w:r>
        <w:rPr>
          <w:rFonts w:asciiTheme="minorHAnsi" w:hAnsiTheme="minorHAnsi" w:cstheme="minorHAnsi"/>
          <w:i/>
        </w:rPr>
        <w:t xml:space="preserve">Higher Education Support Act 2003 </w:t>
      </w:r>
      <w:r>
        <w:rPr>
          <w:rFonts w:asciiTheme="minorHAnsi" w:hAnsiTheme="minorHAnsi" w:cstheme="minorHAnsi"/>
          <w:iCs/>
        </w:rPr>
        <w:t xml:space="preserve">(the Act). </w:t>
      </w:r>
    </w:p>
    <w:p w14:paraId="0296CC14" w14:textId="4050D0AE" w:rsidR="00DA552F" w:rsidRPr="000C310A" w:rsidRDefault="00E631F9" w:rsidP="000C310A">
      <w:pPr>
        <w:pStyle w:val="Heading3"/>
        <w:spacing w:before="240"/>
        <w:rPr>
          <w:b/>
          <w:bCs/>
        </w:rPr>
      </w:pPr>
      <w:r w:rsidRPr="008C5CE9">
        <w:rPr>
          <w:b/>
          <w:bCs/>
        </w:rPr>
        <w:t xml:space="preserve">Section 4: </w:t>
      </w:r>
      <w:r w:rsidR="00581A71">
        <w:rPr>
          <w:b/>
          <w:bCs/>
        </w:rPr>
        <w:t xml:space="preserve">Schedules </w:t>
      </w:r>
    </w:p>
    <w:p w14:paraId="2AB55D93" w14:textId="60C7F995" w:rsidR="00756D99" w:rsidRDefault="00581A71" w:rsidP="00581A71">
      <w:pPr>
        <w:pStyle w:val="ListParagraph"/>
        <w:numPr>
          <w:ilvl w:val="0"/>
          <w:numId w:val="1"/>
        </w:numPr>
        <w:spacing w:after="160" w:line="259" w:lineRule="auto"/>
        <w:rPr>
          <w:rFonts w:asciiTheme="minorHAnsi" w:hAnsiTheme="minorHAnsi" w:cstheme="minorHAnsi"/>
        </w:rPr>
      </w:pPr>
      <w:bookmarkStart w:id="5" w:name="_Toc23942243"/>
      <w:bookmarkEnd w:id="5"/>
      <w:r>
        <w:rPr>
          <w:rFonts w:asciiTheme="minorHAnsi" w:hAnsiTheme="minorHAnsi" w:cstheme="minorHAnsi"/>
        </w:rPr>
        <w:t>This is a technical provision that explains that the instrument that is specified in a Schedule to th</w:t>
      </w:r>
      <w:r w:rsidR="000B1B40">
        <w:rPr>
          <w:rFonts w:asciiTheme="minorHAnsi" w:hAnsiTheme="minorHAnsi" w:cstheme="minorHAnsi"/>
        </w:rPr>
        <w:t>e</w:t>
      </w:r>
      <w:r>
        <w:rPr>
          <w:rFonts w:asciiTheme="minorHAnsi" w:hAnsiTheme="minorHAnsi" w:cstheme="minorHAnsi"/>
        </w:rPr>
        <w:t xml:space="preserve"> </w:t>
      </w:r>
      <w:r w:rsidR="000B1B40">
        <w:rPr>
          <w:rFonts w:asciiTheme="minorHAnsi" w:hAnsiTheme="minorHAnsi" w:cstheme="minorHAnsi"/>
        </w:rPr>
        <w:t>Amendment I</w:t>
      </w:r>
      <w:r>
        <w:rPr>
          <w:rFonts w:asciiTheme="minorHAnsi" w:hAnsiTheme="minorHAnsi" w:cstheme="minorHAnsi"/>
        </w:rPr>
        <w:t>nstrument</w:t>
      </w:r>
      <w:r w:rsidR="00EA1428">
        <w:rPr>
          <w:rFonts w:asciiTheme="minorHAnsi" w:hAnsiTheme="minorHAnsi" w:cstheme="minorHAnsi"/>
        </w:rPr>
        <w:t xml:space="preserve">, being the </w:t>
      </w:r>
      <w:r w:rsidR="00EA1428" w:rsidRPr="00EA1428">
        <w:rPr>
          <w:rFonts w:asciiTheme="minorHAnsi" w:hAnsiTheme="minorHAnsi" w:cstheme="minorHAnsi"/>
          <w:i/>
          <w:iCs/>
        </w:rPr>
        <w:t xml:space="preserve">Higher Education Support (Other Grants) Guidelines 2022 </w:t>
      </w:r>
      <w:r w:rsidR="00EA1428">
        <w:rPr>
          <w:rFonts w:asciiTheme="minorHAnsi" w:hAnsiTheme="minorHAnsi" w:cstheme="minorHAnsi"/>
        </w:rPr>
        <w:t>(the Principal Instrument),</w:t>
      </w:r>
      <w:r>
        <w:rPr>
          <w:rFonts w:asciiTheme="minorHAnsi" w:hAnsiTheme="minorHAnsi" w:cstheme="minorHAnsi"/>
        </w:rPr>
        <w:t xml:space="preserve"> is amended or repealed as set out in the applicable items in the Schedule concerned. </w:t>
      </w:r>
    </w:p>
    <w:p w14:paraId="6BA970E5" w14:textId="33740AC0" w:rsidR="00581A71" w:rsidRDefault="00581A71" w:rsidP="00581A71">
      <w:pPr>
        <w:spacing w:after="160" w:line="259" w:lineRule="auto"/>
        <w:rPr>
          <w:rFonts w:asciiTheme="minorHAnsi" w:hAnsiTheme="minorHAnsi" w:cstheme="minorHAnsi"/>
        </w:rPr>
      </w:pPr>
      <w:r>
        <w:rPr>
          <w:rFonts w:asciiTheme="minorHAnsi" w:hAnsiTheme="minorHAnsi" w:cstheme="minorHAnsi"/>
          <w:b/>
          <w:bCs/>
          <w:u w:val="single"/>
        </w:rPr>
        <w:t xml:space="preserve">Schedule 1 – Amendments </w:t>
      </w:r>
    </w:p>
    <w:p w14:paraId="05CD46D6" w14:textId="104B0008" w:rsidR="00581A71" w:rsidRDefault="00581A71" w:rsidP="00581A71">
      <w:pPr>
        <w:spacing w:after="160" w:line="259" w:lineRule="auto"/>
        <w:rPr>
          <w:rFonts w:asciiTheme="minorHAnsi" w:hAnsiTheme="minorHAnsi" w:cstheme="minorHAnsi"/>
        </w:rPr>
      </w:pPr>
      <w:r>
        <w:rPr>
          <w:rFonts w:asciiTheme="minorHAnsi" w:hAnsiTheme="minorHAnsi" w:cstheme="minorHAnsi"/>
          <w:i/>
          <w:iCs/>
        </w:rPr>
        <w:t xml:space="preserve">Higher Education Support (Other Grants) Guidelines 2022 </w:t>
      </w:r>
    </w:p>
    <w:p w14:paraId="284CF944" w14:textId="2E317C25" w:rsidR="00581A71" w:rsidRDefault="00581A71" w:rsidP="00581A71">
      <w:pPr>
        <w:spacing w:after="160" w:line="259" w:lineRule="auto"/>
        <w:rPr>
          <w:rFonts w:asciiTheme="minorHAnsi" w:hAnsiTheme="minorHAnsi" w:cstheme="minorHAnsi"/>
        </w:rPr>
      </w:pPr>
      <w:r>
        <w:rPr>
          <w:rFonts w:asciiTheme="minorHAnsi" w:hAnsiTheme="minorHAnsi" w:cstheme="minorHAnsi"/>
          <w:u w:val="single"/>
        </w:rPr>
        <w:t>Item 1</w:t>
      </w:r>
    </w:p>
    <w:p w14:paraId="3B74679E" w14:textId="4027AAB0" w:rsidR="00581A71" w:rsidRDefault="00186D4B"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Item 1 </w:t>
      </w:r>
      <w:r w:rsidR="00A92EC0">
        <w:rPr>
          <w:rFonts w:asciiTheme="minorHAnsi" w:hAnsiTheme="minorHAnsi" w:cstheme="minorHAnsi"/>
        </w:rPr>
        <w:t xml:space="preserve">repeals </w:t>
      </w:r>
      <w:r w:rsidR="0092391D">
        <w:rPr>
          <w:rFonts w:asciiTheme="minorHAnsi" w:hAnsiTheme="minorHAnsi" w:cstheme="minorHAnsi"/>
        </w:rPr>
        <w:t>and replaces the heading to Part 8 of the Principal Instrument, to reflect that grants under that Part can be made both for the purposes of promoting equality of opportunity in higher education, and to assure and enhance the quality of Australia’s higher education sector.</w:t>
      </w:r>
    </w:p>
    <w:p w14:paraId="42269299" w14:textId="49545457" w:rsidR="00AE3A8E" w:rsidRPr="00AE3A8E" w:rsidRDefault="00AE3A8E" w:rsidP="00AE3A8E">
      <w:pPr>
        <w:spacing w:after="160" w:line="259" w:lineRule="auto"/>
        <w:rPr>
          <w:rFonts w:asciiTheme="minorHAnsi" w:hAnsiTheme="minorHAnsi" w:cstheme="minorHAnsi"/>
          <w:u w:val="single"/>
        </w:rPr>
      </w:pPr>
      <w:r w:rsidRPr="00AE3A8E">
        <w:rPr>
          <w:rFonts w:asciiTheme="minorHAnsi" w:hAnsiTheme="minorHAnsi" w:cstheme="minorHAnsi"/>
          <w:u w:val="single"/>
        </w:rPr>
        <w:t>Item 2</w:t>
      </w:r>
    </w:p>
    <w:p w14:paraId="128D2AF9" w14:textId="292BE299" w:rsidR="00134550" w:rsidRPr="00134550" w:rsidRDefault="00A92EC0" w:rsidP="00134550">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Item 2 </w:t>
      </w:r>
      <w:r w:rsidR="00134550">
        <w:rPr>
          <w:rFonts w:asciiTheme="minorHAnsi" w:hAnsiTheme="minorHAnsi" w:cstheme="minorHAnsi"/>
        </w:rPr>
        <w:t xml:space="preserve">inserts a new heading to reflect that Part 8 is now split into two divisions. Item 2 inserts a new heading to reflect that the following sections are under Division 1, and Division 1 of Part 8 will set out provisions in relation to the Higher Education Continuity Guarantee – Quality </w:t>
      </w:r>
      <w:r w:rsidR="008B5DC3">
        <w:rPr>
          <w:rFonts w:asciiTheme="minorHAnsi" w:hAnsiTheme="minorHAnsi" w:cstheme="minorHAnsi"/>
        </w:rPr>
        <w:t xml:space="preserve">(HECG </w:t>
      </w:r>
      <w:r w:rsidR="00A60EBE">
        <w:rPr>
          <w:rFonts w:asciiTheme="minorHAnsi" w:hAnsiTheme="minorHAnsi" w:cstheme="minorHAnsi"/>
        </w:rPr>
        <w:t>Quality</w:t>
      </w:r>
      <w:r w:rsidR="008B5DC3">
        <w:rPr>
          <w:rFonts w:asciiTheme="minorHAnsi" w:hAnsiTheme="minorHAnsi" w:cstheme="minorHAnsi"/>
        </w:rPr>
        <w:t xml:space="preserve">) </w:t>
      </w:r>
      <w:r w:rsidR="00134550">
        <w:rPr>
          <w:rFonts w:asciiTheme="minorHAnsi" w:hAnsiTheme="minorHAnsi" w:cstheme="minorHAnsi"/>
        </w:rPr>
        <w:t xml:space="preserve">program. </w:t>
      </w:r>
    </w:p>
    <w:p w14:paraId="423AA60D" w14:textId="689DAFBD" w:rsidR="00AE3A8E" w:rsidRDefault="00AE3A8E" w:rsidP="00134550">
      <w:pPr>
        <w:keepNext/>
        <w:spacing w:after="160" w:line="259" w:lineRule="auto"/>
        <w:rPr>
          <w:rFonts w:asciiTheme="minorHAnsi" w:hAnsiTheme="minorHAnsi" w:cstheme="minorHAnsi"/>
        </w:rPr>
      </w:pPr>
      <w:r>
        <w:rPr>
          <w:rFonts w:asciiTheme="minorHAnsi" w:hAnsiTheme="minorHAnsi" w:cstheme="minorHAnsi"/>
          <w:u w:val="single"/>
        </w:rPr>
        <w:lastRenderedPageBreak/>
        <w:t>Item</w:t>
      </w:r>
      <w:r w:rsidR="00134550">
        <w:rPr>
          <w:rFonts w:asciiTheme="minorHAnsi" w:hAnsiTheme="minorHAnsi" w:cstheme="minorHAnsi"/>
          <w:u w:val="single"/>
        </w:rPr>
        <w:t>s 3 to 5</w:t>
      </w:r>
    </w:p>
    <w:p w14:paraId="6F769445" w14:textId="7B245B79" w:rsidR="00A92EC0" w:rsidRDefault="00A92EC0" w:rsidP="00134550">
      <w:pPr>
        <w:pStyle w:val="ListParagraph"/>
        <w:keepNext/>
        <w:numPr>
          <w:ilvl w:val="0"/>
          <w:numId w:val="1"/>
        </w:numPr>
        <w:spacing w:after="160" w:line="259" w:lineRule="auto"/>
        <w:rPr>
          <w:rFonts w:asciiTheme="minorHAnsi" w:hAnsiTheme="minorHAnsi" w:cstheme="minorHAnsi"/>
        </w:rPr>
      </w:pPr>
      <w:r>
        <w:rPr>
          <w:rFonts w:asciiTheme="minorHAnsi" w:hAnsiTheme="minorHAnsi" w:cstheme="minorHAnsi"/>
        </w:rPr>
        <w:t>Item</w:t>
      </w:r>
      <w:r w:rsidR="00134550">
        <w:rPr>
          <w:rFonts w:asciiTheme="minorHAnsi" w:hAnsiTheme="minorHAnsi" w:cstheme="minorHAnsi"/>
        </w:rPr>
        <w:t>s</w:t>
      </w:r>
      <w:r>
        <w:rPr>
          <w:rFonts w:asciiTheme="minorHAnsi" w:hAnsiTheme="minorHAnsi" w:cstheme="minorHAnsi"/>
        </w:rPr>
        <w:t xml:space="preserve"> 3</w:t>
      </w:r>
      <w:r w:rsidR="00134550">
        <w:rPr>
          <w:rFonts w:asciiTheme="minorHAnsi" w:hAnsiTheme="minorHAnsi" w:cstheme="minorHAnsi"/>
        </w:rPr>
        <w:t xml:space="preserve"> to 5</w:t>
      </w:r>
      <w:r>
        <w:rPr>
          <w:rFonts w:asciiTheme="minorHAnsi" w:hAnsiTheme="minorHAnsi" w:cstheme="minorHAnsi"/>
        </w:rPr>
        <w:t xml:space="preserve"> </w:t>
      </w:r>
      <w:r w:rsidR="00134550">
        <w:rPr>
          <w:rFonts w:asciiTheme="minorHAnsi" w:hAnsiTheme="minorHAnsi" w:cstheme="minorHAnsi"/>
        </w:rPr>
        <w:t xml:space="preserve">amend subsections 60(1) and (2) and section 62 in Division 1 of Part 8 of the Principal Instrument, to reflect that the existing ‘Higher Education Continuity Guarantee’ program has been renamed to the ‘Higher Education Continuity Guarantee – Quality’ program. </w:t>
      </w:r>
      <w:r w:rsidR="00A60EBE">
        <w:rPr>
          <w:rFonts w:asciiTheme="minorHAnsi" w:hAnsiTheme="minorHAnsi" w:cstheme="minorHAnsi"/>
        </w:rPr>
        <w:t xml:space="preserve">There have been no other changes made to the HECG Quality program. </w:t>
      </w:r>
    </w:p>
    <w:p w14:paraId="12979417" w14:textId="050C83A5" w:rsidR="0000037B" w:rsidRDefault="0000037B" w:rsidP="0000037B">
      <w:pPr>
        <w:spacing w:after="160" w:line="259" w:lineRule="auto"/>
        <w:rPr>
          <w:rFonts w:asciiTheme="minorHAnsi" w:hAnsiTheme="minorHAnsi" w:cstheme="minorHAnsi"/>
        </w:rPr>
      </w:pPr>
      <w:r>
        <w:rPr>
          <w:rFonts w:asciiTheme="minorHAnsi" w:hAnsiTheme="minorHAnsi" w:cstheme="minorHAnsi"/>
          <w:u w:val="single"/>
        </w:rPr>
        <w:t xml:space="preserve">Item </w:t>
      </w:r>
      <w:r w:rsidR="00134550">
        <w:rPr>
          <w:rFonts w:asciiTheme="minorHAnsi" w:hAnsiTheme="minorHAnsi" w:cstheme="minorHAnsi"/>
          <w:u w:val="single"/>
        </w:rPr>
        <w:t>6</w:t>
      </w:r>
    </w:p>
    <w:p w14:paraId="778E16FE" w14:textId="53D1098C" w:rsidR="00AE4909" w:rsidRDefault="0000037B"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Item </w:t>
      </w:r>
      <w:r w:rsidR="00D92005">
        <w:rPr>
          <w:rFonts w:asciiTheme="minorHAnsi" w:hAnsiTheme="minorHAnsi" w:cstheme="minorHAnsi"/>
        </w:rPr>
        <w:t>6</w:t>
      </w:r>
      <w:r>
        <w:rPr>
          <w:rFonts w:asciiTheme="minorHAnsi" w:hAnsiTheme="minorHAnsi" w:cstheme="minorHAnsi"/>
        </w:rPr>
        <w:t xml:space="preserve"> </w:t>
      </w:r>
      <w:r w:rsidR="00AE4909">
        <w:rPr>
          <w:rFonts w:asciiTheme="minorHAnsi" w:hAnsiTheme="minorHAnsi" w:cstheme="minorHAnsi"/>
        </w:rPr>
        <w:t xml:space="preserve">inserts a new Division </w:t>
      </w:r>
      <w:r w:rsidR="00134550">
        <w:rPr>
          <w:rFonts w:asciiTheme="minorHAnsi" w:hAnsiTheme="minorHAnsi" w:cstheme="minorHAnsi"/>
        </w:rPr>
        <w:t>2 in Part 8 of the Principal Instrument.</w:t>
      </w:r>
      <w:r w:rsidR="00AE4909">
        <w:rPr>
          <w:rFonts w:asciiTheme="minorHAnsi" w:hAnsiTheme="minorHAnsi" w:cstheme="minorHAnsi"/>
        </w:rPr>
        <w:t xml:space="preserve"> </w:t>
      </w:r>
    </w:p>
    <w:p w14:paraId="3EDD3E5F" w14:textId="0EF789B3" w:rsidR="0000037B" w:rsidRDefault="00AE4909"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Division </w:t>
      </w:r>
      <w:r w:rsidR="00134550">
        <w:rPr>
          <w:rFonts w:asciiTheme="minorHAnsi" w:hAnsiTheme="minorHAnsi" w:cstheme="minorHAnsi"/>
        </w:rPr>
        <w:t>2</w:t>
      </w:r>
      <w:r>
        <w:rPr>
          <w:rFonts w:asciiTheme="minorHAnsi" w:hAnsiTheme="minorHAnsi" w:cstheme="minorHAnsi"/>
        </w:rPr>
        <w:t xml:space="preserve"> </w:t>
      </w:r>
      <w:r w:rsidR="00915A94">
        <w:rPr>
          <w:rFonts w:asciiTheme="minorHAnsi" w:hAnsiTheme="minorHAnsi" w:cstheme="minorHAnsi"/>
        </w:rPr>
        <w:t xml:space="preserve">specifies </w:t>
      </w:r>
      <w:r w:rsidR="00134550">
        <w:rPr>
          <w:rFonts w:asciiTheme="minorHAnsi" w:hAnsiTheme="minorHAnsi" w:cstheme="minorHAnsi"/>
        </w:rPr>
        <w:t xml:space="preserve">the Higher Education Continuity Guarantee – Equity </w:t>
      </w:r>
      <w:r w:rsidR="00A60EBE">
        <w:rPr>
          <w:rFonts w:asciiTheme="minorHAnsi" w:hAnsiTheme="minorHAnsi" w:cstheme="minorHAnsi"/>
        </w:rPr>
        <w:t xml:space="preserve">(HECG Equity) </w:t>
      </w:r>
      <w:r w:rsidR="00134550">
        <w:rPr>
          <w:rFonts w:asciiTheme="minorHAnsi" w:hAnsiTheme="minorHAnsi" w:cstheme="minorHAnsi"/>
        </w:rPr>
        <w:t>program</w:t>
      </w:r>
      <w:r w:rsidR="00915A94">
        <w:rPr>
          <w:rFonts w:asciiTheme="minorHAnsi" w:hAnsiTheme="minorHAnsi" w:cstheme="minorHAnsi"/>
        </w:rPr>
        <w:t xml:space="preserve">, and outlines the program objectives, the method by which the amount of grants under the program are determined, </w:t>
      </w:r>
      <w:r w:rsidR="00657BAA">
        <w:rPr>
          <w:rFonts w:asciiTheme="minorHAnsi" w:hAnsiTheme="minorHAnsi" w:cstheme="minorHAnsi"/>
        </w:rPr>
        <w:t xml:space="preserve">the conditions that apply to grants under the program, </w:t>
      </w:r>
      <w:r w:rsidR="00915A94">
        <w:rPr>
          <w:rFonts w:asciiTheme="minorHAnsi" w:hAnsiTheme="minorHAnsi" w:cstheme="minorHAnsi"/>
        </w:rPr>
        <w:t xml:space="preserve">and other details about the grant. </w:t>
      </w:r>
    </w:p>
    <w:p w14:paraId="2E62AB0B" w14:textId="749FAD0A" w:rsidR="00E43E1D" w:rsidRDefault="00915A94"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section </w:t>
      </w:r>
      <w:r w:rsidR="00657BAA">
        <w:rPr>
          <w:rFonts w:asciiTheme="minorHAnsi" w:hAnsiTheme="minorHAnsi" w:cstheme="minorHAnsi"/>
        </w:rPr>
        <w:t>63A</w:t>
      </w:r>
      <w:r>
        <w:rPr>
          <w:rFonts w:asciiTheme="minorHAnsi" w:hAnsiTheme="minorHAnsi" w:cstheme="minorHAnsi"/>
        </w:rPr>
        <w:t xml:space="preserve"> sets out the program objectives. Subsection </w:t>
      </w:r>
      <w:r w:rsidR="00657BAA">
        <w:rPr>
          <w:rFonts w:asciiTheme="minorHAnsi" w:hAnsiTheme="minorHAnsi" w:cstheme="minorHAnsi"/>
        </w:rPr>
        <w:t>63</w:t>
      </w:r>
      <w:r>
        <w:rPr>
          <w:rFonts w:asciiTheme="minorHAnsi" w:hAnsiTheme="minorHAnsi" w:cstheme="minorHAnsi"/>
        </w:rPr>
        <w:t xml:space="preserve">A(1) </w:t>
      </w:r>
      <w:r w:rsidR="00EA1428">
        <w:rPr>
          <w:rFonts w:asciiTheme="minorHAnsi" w:hAnsiTheme="minorHAnsi" w:cstheme="minorHAnsi"/>
        </w:rPr>
        <w:t>provides</w:t>
      </w:r>
      <w:r>
        <w:rPr>
          <w:rFonts w:asciiTheme="minorHAnsi" w:hAnsiTheme="minorHAnsi" w:cstheme="minorHAnsi"/>
        </w:rPr>
        <w:t xml:space="preserve"> that the </w:t>
      </w:r>
      <w:r w:rsidR="00A60EBE">
        <w:rPr>
          <w:rFonts w:asciiTheme="minorHAnsi" w:hAnsiTheme="minorHAnsi" w:cstheme="minorHAnsi"/>
        </w:rPr>
        <w:t>HECG</w:t>
      </w:r>
      <w:r w:rsidR="00657BAA">
        <w:rPr>
          <w:rFonts w:asciiTheme="minorHAnsi" w:hAnsiTheme="minorHAnsi" w:cstheme="minorHAnsi"/>
        </w:rPr>
        <w:t xml:space="preserve"> Equity program</w:t>
      </w:r>
      <w:r>
        <w:rPr>
          <w:rFonts w:asciiTheme="minorHAnsi" w:hAnsiTheme="minorHAnsi" w:cstheme="minorHAnsi"/>
        </w:rPr>
        <w:t xml:space="preserve"> is specified as a program for the purposes of promoting equality of opportunity in higher education under item 1 of the table in subsection 41-10(1) of the Act. </w:t>
      </w:r>
    </w:p>
    <w:p w14:paraId="0BB7F443" w14:textId="27D380A4" w:rsidR="00915A94" w:rsidRDefault="00915A94"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Subsection </w:t>
      </w:r>
      <w:r w:rsidR="00657BAA">
        <w:rPr>
          <w:rFonts w:asciiTheme="minorHAnsi" w:hAnsiTheme="minorHAnsi" w:cstheme="minorHAnsi"/>
        </w:rPr>
        <w:t>63</w:t>
      </w:r>
      <w:r>
        <w:rPr>
          <w:rFonts w:asciiTheme="minorHAnsi" w:hAnsiTheme="minorHAnsi" w:cstheme="minorHAnsi"/>
        </w:rPr>
        <w:t xml:space="preserve">A(2) </w:t>
      </w:r>
      <w:r w:rsidR="00EA1428">
        <w:rPr>
          <w:rFonts w:asciiTheme="minorHAnsi" w:hAnsiTheme="minorHAnsi" w:cstheme="minorHAnsi"/>
        </w:rPr>
        <w:t>provides</w:t>
      </w:r>
      <w:r>
        <w:rPr>
          <w:rFonts w:asciiTheme="minorHAnsi" w:hAnsiTheme="minorHAnsi" w:cstheme="minorHAnsi"/>
        </w:rPr>
        <w:t xml:space="preserve"> that the objective of the </w:t>
      </w:r>
      <w:r w:rsidR="00FE1921">
        <w:rPr>
          <w:rFonts w:asciiTheme="minorHAnsi" w:hAnsiTheme="minorHAnsi" w:cstheme="minorHAnsi"/>
        </w:rPr>
        <w:t>HECG</w:t>
      </w:r>
      <w:r w:rsidR="00657BAA">
        <w:rPr>
          <w:rFonts w:asciiTheme="minorHAnsi" w:hAnsiTheme="minorHAnsi" w:cstheme="minorHAnsi"/>
        </w:rPr>
        <w:t xml:space="preserve"> Equity program</w:t>
      </w:r>
      <w:r>
        <w:rPr>
          <w:rFonts w:asciiTheme="minorHAnsi" w:hAnsiTheme="minorHAnsi" w:cstheme="minorHAnsi"/>
        </w:rPr>
        <w:t xml:space="preserve"> is to </w:t>
      </w:r>
      <w:r w:rsidR="00657BAA">
        <w:rPr>
          <w:rFonts w:asciiTheme="minorHAnsi" w:hAnsiTheme="minorHAnsi" w:cstheme="minorHAnsi"/>
        </w:rPr>
        <w:t>provide grants to assist higher education providers with attracting and providing support to students from low socio-economic backgrounds, students from regional and remote areas of Australia, students who are the first in their family to access higher education, Indigenous persons, and students with disability, to support those students with participating and succeeding in higher education.</w:t>
      </w:r>
    </w:p>
    <w:p w14:paraId="2DE216D0" w14:textId="1E2D2B50" w:rsidR="00E43E1D" w:rsidRDefault="00915A94"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section </w:t>
      </w:r>
      <w:r w:rsidR="00657BAA">
        <w:rPr>
          <w:rFonts w:asciiTheme="minorHAnsi" w:hAnsiTheme="minorHAnsi" w:cstheme="minorHAnsi"/>
        </w:rPr>
        <w:t>63</w:t>
      </w:r>
      <w:r>
        <w:rPr>
          <w:rFonts w:asciiTheme="minorHAnsi" w:hAnsiTheme="minorHAnsi" w:cstheme="minorHAnsi"/>
        </w:rPr>
        <w:t xml:space="preserve">B </w:t>
      </w:r>
      <w:r w:rsidR="00657BAA">
        <w:rPr>
          <w:rFonts w:asciiTheme="minorHAnsi" w:hAnsiTheme="minorHAnsi" w:cstheme="minorHAnsi"/>
        </w:rPr>
        <w:t xml:space="preserve">sets out the specified bodies corporate who are eligible for grants under the </w:t>
      </w:r>
      <w:r w:rsidR="00554102">
        <w:rPr>
          <w:rFonts w:asciiTheme="minorHAnsi" w:hAnsiTheme="minorHAnsi" w:cstheme="minorHAnsi"/>
        </w:rPr>
        <w:t>HECG</w:t>
      </w:r>
      <w:r w:rsidR="00657BAA">
        <w:rPr>
          <w:rFonts w:asciiTheme="minorHAnsi" w:hAnsiTheme="minorHAnsi" w:cstheme="minorHAnsi"/>
        </w:rPr>
        <w:t xml:space="preserve"> Equity program, and the extra conditions of eligibility for the program. Subsection 63B(1)</w:t>
      </w:r>
      <w:r>
        <w:rPr>
          <w:rFonts w:asciiTheme="minorHAnsi" w:hAnsiTheme="minorHAnsi" w:cstheme="minorHAnsi"/>
        </w:rPr>
        <w:t xml:space="preserve"> </w:t>
      </w:r>
      <w:r w:rsidR="00D92005">
        <w:rPr>
          <w:rFonts w:asciiTheme="minorHAnsi" w:hAnsiTheme="minorHAnsi" w:cstheme="minorHAnsi"/>
        </w:rPr>
        <w:t>provides that bodies corporate that have entered into a funding agreement under section 30-25 of Part 2</w:t>
      </w:r>
      <w:r w:rsidR="00554102">
        <w:rPr>
          <w:rFonts w:asciiTheme="minorHAnsi" w:hAnsiTheme="minorHAnsi" w:cstheme="minorHAnsi"/>
        </w:rPr>
        <w:t>-</w:t>
      </w:r>
      <w:r w:rsidR="00D92005">
        <w:rPr>
          <w:rFonts w:asciiTheme="minorHAnsi" w:hAnsiTheme="minorHAnsi" w:cstheme="minorHAnsi"/>
        </w:rPr>
        <w:t xml:space="preserve">2 of the Act are specified as a body corporate eligible </w:t>
      </w:r>
      <w:r w:rsidR="0044000C">
        <w:rPr>
          <w:rFonts w:asciiTheme="minorHAnsi" w:hAnsiTheme="minorHAnsi" w:cstheme="minorHAnsi"/>
        </w:rPr>
        <w:t>f</w:t>
      </w:r>
      <w:r w:rsidR="00D92005">
        <w:rPr>
          <w:rFonts w:asciiTheme="minorHAnsi" w:hAnsiTheme="minorHAnsi" w:cstheme="minorHAnsi"/>
        </w:rPr>
        <w:t xml:space="preserve">or a grant under this program. </w:t>
      </w:r>
    </w:p>
    <w:p w14:paraId="7CDD08F8" w14:textId="77525DB6" w:rsidR="00E43E1D" w:rsidRDefault="00D92005"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Subsection </w:t>
      </w:r>
      <w:r w:rsidR="0044000C" w:rsidRPr="0044000C">
        <w:rPr>
          <w:rFonts w:asciiTheme="minorHAnsi" w:hAnsiTheme="minorHAnsi" w:cstheme="minorHAnsi"/>
        </w:rPr>
        <w:t>63B</w:t>
      </w:r>
      <w:r>
        <w:rPr>
          <w:rFonts w:asciiTheme="minorHAnsi" w:hAnsiTheme="minorHAnsi" w:cstheme="minorHAnsi"/>
        </w:rPr>
        <w:t xml:space="preserve">(2) provides that a Table A provider must have entered into a funding agreement under section 30-25 of Part 2-2 of the Act for 2024 and 2025, to be eligible for a grant under the program. </w:t>
      </w:r>
    </w:p>
    <w:p w14:paraId="107767CE" w14:textId="1941656F" w:rsidR="00915A94" w:rsidRDefault="00D92005"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Subsection </w:t>
      </w:r>
      <w:r w:rsidR="0044000C" w:rsidRPr="0044000C">
        <w:rPr>
          <w:rFonts w:asciiTheme="minorHAnsi" w:hAnsiTheme="minorHAnsi" w:cstheme="minorHAnsi"/>
        </w:rPr>
        <w:t>63B</w:t>
      </w:r>
      <w:r>
        <w:rPr>
          <w:rFonts w:asciiTheme="minorHAnsi" w:hAnsiTheme="minorHAnsi" w:cstheme="minorHAnsi"/>
        </w:rPr>
        <w:t xml:space="preserve">(3) provides that a Table A provider, or a body corporate referred to in subsection </w:t>
      </w:r>
      <w:r w:rsidR="0044000C" w:rsidRPr="0044000C">
        <w:rPr>
          <w:rFonts w:asciiTheme="minorHAnsi" w:hAnsiTheme="minorHAnsi" w:cstheme="minorHAnsi"/>
        </w:rPr>
        <w:t>63B</w:t>
      </w:r>
      <w:r>
        <w:rPr>
          <w:rFonts w:asciiTheme="minorHAnsi" w:hAnsiTheme="minorHAnsi" w:cstheme="minorHAnsi"/>
        </w:rPr>
        <w:t xml:space="preserve">(1), must have developed an ‘Equity Plan’ as described in the relevant funding agreements referred to in subsections </w:t>
      </w:r>
      <w:r w:rsidR="00FA6DC2" w:rsidRPr="00FA6DC2">
        <w:rPr>
          <w:rFonts w:asciiTheme="minorHAnsi" w:hAnsiTheme="minorHAnsi" w:cstheme="minorHAnsi"/>
        </w:rPr>
        <w:t>63B</w:t>
      </w:r>
      <w:r>
        <w:rPr>
          <w:rFonts w:asciiTheme="minorHAnsi" w:hAnsiTheme="minorHAnsi" w:cstheme="minorHAnsi"/>
        </w:rPr>
        <w:t xml:space="preserve">(1) and (2).  </w:t>
      </w:r>
    </w:p>
    <w:p w14:paraId="59A84BEB" w14:textId="6C3A5F72" w:rsidR="00D92005" w:rsidRDefault="00D92005"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section 63C sets out that grants under the </w:t>
      </w:r>
      <w:r w:rsidR="00FA6DC2">
        <w:rPr>
          <w:rFonts w:asciiTheme="minorHAnsi" w:hAnsiTheme="minorHAnsi" w:cstheme="minorHAnsi"/>
        </w:rPr>
        <w:t xml:space="preserve">HECG </w:t>
      </w:r>
      <w:r>
        <w:rPr>
          <w:rFonts w:asciiTheme="minorHAnsi" w:hAnsiTheme="minorHAnsi" w:cstheme="minorHAnsi"/>
        </w:rPr>
        <w:t>Equity program are made in respect of projects.</w:t>
      </w:r>
    </w:p>
    <w:p w14:paraId="01FEF510" w14:textId="2CFDABF4" w:rsidR="00F80A8E" w:rsidRDefault="00F80A8E"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New section 63D sets out the method by which the amount of grants under the program are determined</w:t>
      </w:r>
      <w:r w:rsidR="00FA6DC2">
        <w:rPr>
          <w:rFonts w:asciiTheme="minorHAnsi" w:hAnsiTheme="minorHAnsi" w:cstheme="minorHAnsi"/>
        </w:rPr>
        <w:t>;</w:t>
      </w:r>
      <w:r>
        <w:rPr>
          <w:rFonts w:asciiTheme="minorHAnsi" w:hAnsiTheme="minorHAnsi" w:cstheme="minorHAnsi"/>
        </w:rPr>
        <w:t xml:space="preserve"> provid</w:t>
      </w:r>
      <w:r w:rsidR="00FA6DC2">
        <w:rPr>
          <w:rFonts w:asciiTheme="minorHAnsi" w:hAnsiTheme="minorHAnsi" w:cstheme="minorHAnsi"/>
        </w:rPr>
        <w:t>ing</w:t>
      </w:r>
      <w:r>
        <w:rPr>
          <w:rFonts w:asciiTheme="minorHAnsi" w:hAnsiTheme="minorHAnsi" w:cstheme="minorHAnsi"/>
        </w:rPr>
        <w:t xml:space="preserve"> that the Minister will determine the grant</w:t>
      </w:r>
      <w:r w:rsidR="00D61D12">
        <w:rPr>
          <w:rFonts w:asciiTheme="minorHAnsi" w:hAnsiTheme="minorHAnsi" w:cstheme="minorHAnsi"/>
        </w:rPr>
        <w:t xml:space="preserve"> amount for a higher education provider in writing under paragraph 41-30(b) of the Act.</w:t>
      </w:r>
    </w:p>
    <w:p w14:paraId="0A6C600E" w14:textId="59338834" w:rsidR="00F9019D" w:rsidRDefault="00915A94"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section </w:t>
      </w:r>
      <w:r w:rsidR="00D92005">
        <w:rPr>
          <w:rFonts w:asciiTheme="minorHAnsi" w:hAnsiTheme="minorHAnsi" w:cstheme="minorHAnsi"/>
        </w:rPr>
        <w:t>63</w:t>
      </w:r>
      <w:r w:rsidR="00D61D12">
        <w:rPr>
          <w:rFonts w:asciiTheme="minorHAnsi" w:hAnsiTheme="minorHAnsi" w:cstheme="minorHAnsi"/>
        </w:rPr>
        <w:t xml:space="preserve">E sets out the conditions that apply to grants under the </w:t>
      </w:r>
      <w:r w:rsidR="001A3C43">
        <w:rPr>
          <w:rFonts w:asciiTheme="minorHAnsi" w:hAnsiTheme="minorHAnsi" w:cstheme="minorHAnsi"/>
        </w:rPr>
        <w:t>HECG</w:t>
      </w:r>
      <w:r w:rsidR="00D61D12">
        <w:rPr>
          <w:rFonts w:asciiTheme="minorHAnsi" w:hAnsiTheme="minorHAnsi" w:cstheme="minorHAnsi"/>
        </w:rPr>
        <w:t xml:space="preserve"> Equity program. Subsections </w:t>
      </w:r>
      <w:r w:rsidR="001A3C43">
        <w:rPr>
          <w:rFonts w:asciiTheme="minorHAnsi" w:hAnsiTheme="minorHAnsi" w:cstheme="minorHAnsi"/>
        </w:rPr>
        <w:t>63E</w:t>
      </w:r>
      <w:r w:rsidR="00D61D12">
        <w:rPr>
          <w:rFonts w:asciiTheme="minorHAnsi" w:hAnsiTheme="minorHAnsi" w:cstheme="minorHAnsi"/>
        </w:rPr>
        <w:t xml:space="preserve">(1) and (2) provide that the grant must be used to achieve the program objectives set out in subsection 63A(2) and must be used to support </w:t>
      </w:r>
      <w:r w:rsidR="00D61D12">
        <w:rPr>
          <w:rFonts w:asciiTheme="minorHAnsi" w:hAnsiTheme="minorHAnsi" w:cstheme="minorHAnsi"/>
        </w:rPr>
        <w:lastRenderedPageBreak/>
        <w:t xml:space="preserve">and fund initiatives that support equity cohorts. Subsection </w:t>
      </w:r>
      <w:r w:rsidR="001A3C43">
        <w:rPr>
          <w:rFonts w:asciiTheme="minorHAnsi" w:hAnsiTheme="minorHAnsi" w:cstheme="minorHAnsi"/>
        </w:rPr>
        <w:t>63E</w:t>
      </w:r>
      <w:r w:rsidR="00D61D12">
        <w:rPr>
          <w:rFonts w:asciiTheme="minorHAnsi" w:hAnsiTheme="minorHAnsi" w:cstheme="minorHAnsi"/>
        </w:rPr>
        <w:t xml:space="preserve">(3) provides that for the purposes of subsection </w:t>
      </w:r>
      <w:r w:rsidR="001A3C43">
        <w:rPr>
          <w:rFonts w:asciiTheme="minorHAnsi" w:hAnsiTheme="minorHAnsi" w:cstheme="minorHAnsi"/>
        </w:rPr>
        <w:t>63E</w:t>
      </w:r>
      <w:r w:rsidR="00D61D12">
        <w:rPr>
          <w:rFonts w:asciiTheme="minorHAnsi" w:hAnsiTheme="minorHAnsi" w:cstheme="minorHAnsi"/>
        </w:rPr>
        <w:t xml:space="preserve">(2), the initiatives that support equity cohorts include but are not limited to the initiatives outlined in that subsection. </w:t>
      </w:r>
    </w:p>
    <w:p w14:paraId="1D43989A" w14:textId="0883C411" w:rsidR="00F9019D" w:rsidRPr="0005478B" w:rsidRDefault="00D61D12"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One of the initiatives listed in subsection </w:t>
      </w:r>
      <w:r w:rsidR="00F9019D">
        <w:rPr>
          <w:rFonts w:asciiTheme="minorHAnsi" w:hAnsiTheme="minorHAnsi" w:cstheme="minorHAnsi"/>
        </w:rPr>
        <w:t>63E</w:t>
      </w:r>
      <w:r>
        <w:rPr>
          <w:rFonts w:asciiTheme="minorHAnsi" w:hAnsiTheme="minorHAnsi" w:cstheme="minorHAnsi"/>
        </w:rPr>
        <w:t xml:space="preserve">(3), as an initiative that supports equity cohorts, is outreach and pre-access activities aimed at attracting equity cohorts to enrol and participate in higher education. Pre-access activities </w:t>
      </w:r>
      <w:r w:rsidRPr="0005478B">
        <w:rPr>
          <w:rFonts w:asciiTheme="minorHAnsi" w:hAnsiTheme="minorHAnsi" w:cstheme="minorHAnsi"/>
        </w:rPr>
        <w:t xml:space="preserve">refer to </w:t>
      </w:r>
      <w:r w:rsidR="0005478B" w:rsidRPr="0005478B">
        <w:rPr>
          <w:rFonts w:asciiTheme="minorHAnsi" w:hAnsiTheme="minorHAnsi" w:cstheme="minorHAnsi"/>
        </w:rPr>
        <w:t>activities with communities and schools with the purpose of</w:t>
      </w:r>
      <w:r w:rsidR="00515696" w:rsidRPr="0096405D">
        <w:rPr>
          <w:rStyle w:val="cf01"/>
          <w:rFonts w:asciiTheme="minorHAnsi" w:hAnsiTheme="minorHAnsi" w:cstheme="minorHAnsi"/>
          <w:sz w:val="24"/>
          <w:szCs w:val="24"/>
        </w:rPr>
        <w:t xml:space="preserve"> building a pipeline of higher education students</w:t>
      </w:r>
      <w:r w:rsidR="00E66464" w:rsidRPr="0096405D">
        <w:rPr>
          <w:rStyle w:val="cf01"/>
          <w:rFonts w:asciiTheme="minorHAnsi" w:hAnsiTheme="minorHAnsi" w:cstheme="minorHAnsi"/>
          <w:sz w:val="24"/>
          <w:szCs w:val="24"/>
        </w:rPr>
        <w:t>.</w:t>
      </w:r>
      <w:r w:rsidR="00E66464" w:rsidRPr="0005478B">
        <w:rPr>
          <w:rFonts w:asciiTheme="minorHAnsi" w:hAnsiTheme="minorHAnsi"/>
        </w:rPr>
        <w:t xml:space="preserve"> </w:t>
      </w:r>
    </w:p>
    <w:p w14:paraId="285BABC5" w14:textId="77777777" w:rsidR="009C1F8C" w:rsidRDefault="00D61D12"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Subsection </w:t>
      </w:r>
      <w:r w:rsidR="00F9019D">
        <w:rPr>
          <w:rFonts w:asciiTheme="minorHAnsi" w:hAnsiTheme="minorHAnsi" w:cstheme="minorHAnsi"/>
        </w:rPr>
        <w:t>63E</w:t>
      </w:r>
      <w:r>
        <w:rPr>
          <w:rFonts w:asciiTheme="minorHAnsi" w:hAnsiTheme="minorHAnsi" w:cstheme="minorHAnsi"/>
        </w:rPr>
        <w:t xml:space="preserve">(4) clarifies that an initiative is not an initiative that supports equity cohorts if the initiative has been funded using grant amounts received by the grant recipient under Part 2-3 of the Act. </w:t>
      </w:r>
    </w:p>
    <w:p w14:paraId="6AA455A8" w14:textId="03BC2D7B" w:rsidR="00B2232B" w:rsidRDefault="00D61D12"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Subsection </w:t>
      </w:r>
      <w:r w:rsidR="009C1F8C">
        <w:rPr>
          <w:rFonts w:asciiTheme="minorHAnsi" w:hAnsiTheme="minorHAnsi" w:cstheme="minorHAnsi"/>
        </w:rPr>
        <w:t>63E</w:t>
      </w:r>
      <w:r>
        <w:rPr>
          <w:rFonts w:asciiTheme="minorHAnsi" w:hAnsiTheme="minorHAnsi" w:cstheme="minorHAnsi"/>
        </w:rPr>
        <w:t xml:space="preserve">(5) requires that the grant recipient seek approval from the Department if the recipient is seeking to use funds for initiatives that support equity cohorts that are not listed in subsection </w:t>
      </w:r>
      <w:r w:rsidR="00B2232B">
        <w:rPr>
          <w:rFonts w:asciiTheme="minorHAnsi" w:hAnsiTheme="minorHAnsi" w:cstheme="minorHAnsi"/>
        </w:rPr>
        <w:t>63E</w:t>
      </w:r>
      <w:r>
        <w:rPr>
          <w:rFonts w:asciiTheme="minorHAnsi" w:hAnsiTheme="minorHAnsi" w:cstheme="minorHAnsi"/>
        </w:rPr>
        <w:t xml:space="preserve">(3). </w:t>
      </w:r>
    </w:p>
    <w:p w14:paraId="1AE7EC74" w14:textId="0D42D673" w:rsidR="00915A94" w:rsidRDefault="00D61D12"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Subsection </w:t>
      </w:r>
      <w:r w:rsidR="00B2232B">
        <w:rPr>
          <w:rFonts w:asciiTheme="minorHAnsi" w:hAnsiTheme="minorHAnsi" w:cstheme="minorHAnsi"/>
        </w:rPr>
        <w:t>63E</w:t>
      </w:r>
      <w:r>
        <w:rPr>
          <w:rFonts w:asciiTheme="minorHAnsi" w:hAnsiTheme="minorHAnsi" w:cstheme="minorHAnsi"/>
        </w:rPr>
        <w:t xml:space="preserve">(6) provides that grant funds for a project under the program must be fully expended by the grant recipient on the initiatives by the end of the following calendar year after the last grant payment for the project was made. </w:t>
      </w:r>
    </w:p>
    <w:p w14:paraId="6790F72F" w14:textId="37782422" w:rsidR="00AC4631" w:rsidRPr="0000037B" w:rsidRDefault="00AC4631"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Subsection 63E(7)</w:t>
      </w:r>
      <w:r w:rsidR="0086596A">
        <w:rPr>
          <w:rFonts w:asciiTheme="minorHAnsi" w:hAnsiTheme="minorHAnsi" w:cstheme="minorHAnsi"/>
        </w:rPr>
        <w:t xml:space="preserve"> provides that the grant recipient must provide reports to the Department, if required by conditions imposed under subsection 41-25(2) of the Act</w:t>
      </w:r>
      <w:r>
        <w:rPr>
          <w:rFonts w:asciiTheme="minorHAnsi" w:hAnsiTheme="minorHAnsi" w:cstheme="minorHAnsi"/>
        </w:rPr>
        <w:t>.</w:t>
      </w:r>
      <w:r w:rsidR="0086596A">
        <w:rPr>
          <w:rFonts w:asciiTheme="minorHAnsi" w:hAnsiTheme="minorHAnsi" w:cstheme="minorHAnsi"/>
        </w:rPr>
        <w:t xml:space="preserve"> The note to this subsection provides that the Minister has the power under subsection 41-25(2) of the Act to impose further conditions on grant, including conditions on reporting.</w:t>
      </w:r>
      <w:r>
        <w:rPr>
          <w:rFonts w:asciiTheme="minorHAnsi" w:hAnsiTheme="minorHAnsi" w:cstheme="minorHAnsi"/>
        </w:rPr>
        <w:t xml:space="preserve"> </w:t>
      </w:r>
    </w:p>
    <w:sectPr w:rsidR="00AC4631" w:rsidRPr="000003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801D9" w14:textId="77777777" w:rsidR="007A523A" w:rsidRDefault="007A523A" w:rsidP="00783FAB">
      <w:pPr>
        <w:spacing w:after="0" w:line="240" w:lineRule="auto"/>
      </w:pPr>
      <w:r>
        <w:separator/>
      </w:r>
    </w:p>
  </w:endnote>
  <w:endnote w:type="continuationSeparator" w:id="0">
    <w:p w14:paraId="7EF9ED9C" w14:textId="77777777" w:rsidR="007A523A" w:rsidRDefault="007A523A" w:rsidP="00783FAB">
      <w:pPr>
        <w:spacing w:after="0" w:line="240" w:lineRule="auto"/>
      </w:pPr>
      <w:r>
        <w:continuationSeparator/>
      </w:r>
    </w:p>
  </w:endnote>
  <w:endnote w:type="continuationNotice" w:id="1">
    <w:p w14:paraId="66454EBE" w14:textId="77777777" w:rsidR="007A523A" w:rsidRDefault="007A5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3F217" w14:textId="77777777" w:rsidR="007A523A" w:rsidRDefault="007A523A" w:rsidP="00783FAB">
      <w:pPr>
        <w:spacing w:after="0" w:line="240" w:lineRule="auto"/>
      </w:pPr>
      <w:r>
        <w:separator/>
      </w:r>
    </w:p>
  </w:footnote>
  <w:footnote w:type="continuationSeparator" w:id="0">
    <w:p w14:paraId="2A4DB2C0" w14:textId="77777777" w:rsidR="007A523A" w:rsidRDefault="007A523A" w:rsidP="00783FAB">
      <w:pPr>
        <w:spacing w:after="0" w:line="240" w:lineRule="auto"/>
      </w:pPr>
      <w:r>
        <w:continuationSeparator/>
      </w:r>
    </w:p>
  </w:footnote>
  <w:footnote w:type="continuationNotice" w:id="1">
    <w:p w14:paraId="08AE72E0" w14:textId="77777777" w:rsidR="007A523A" w:rsidRDefault="007A52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253B"/>
    <w:multiLevelType w:val="hybridMultilevel"/>
    <w:tmpl w:val="232CBA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8C626C1"/>
    <w:multiLevelType w:val="multilevel"/>
    <w:tmpl w:val="C612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EEB55E2"/>
    <w:multiLevelType w:val="hybridMultilevel"/>
    <w:tmpl w:val="F3268A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6C831B4F"/>
    <w:multiLevelType w:val="hybridMultilevel"/>
    <w:tmpl w:val="974A6E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8690668">
    <w:abstractNumId w:val="2"/>
  </w:num>
  <w:num w:numId="2" w16cid:durableId="1372879744">
    <w:abstractNumId w:val="7"/>
  </w:num>
  <w:num w:numId="3" w16cid:durableId="116682397">
    <w:abstractNumId w:val="3"/>
  </w:num>
  <w:num w:numId="4" w16cid:durableId="1758986503">
    <w:abstractNumId w:val="4"/>
  </w:num>
  <w:num w:numId="5" w16cid:durableId="1517233233">
    <w:abstractNumId w:val="1"/>
  </w:num>
  <w:num w:numId="6" w16cid:durableId="1571696068">
    <w:abstractNumId w:val="0"/>
  </w:num>
  <w:num w:numId="7" w16cid:durableId="528644350">
    <w:abstractNumId w:val="6"/>
  </w:num>
  <w:num w:numId="8" w16cid:durableId="192579688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37B"/>
    <w:rsid w:val="000009D4"/>
    <w:rsid w:val="00000F56"/>
    <w:rsid w:val="0000257D"/>
    <w:rsid w:val="00003184"/>
    <w:rsid w:val="000036EB"/>
    <w:rsid w:val="0000395C"/>
    <w:rsid w:val="00011E4D"/>
    <w:rsid w:val="000138CF"/>
    <w:rsid w:val="000140D5"/>
    <w:rsid w:val="000146FA"/>
    <w:rsid w:val="0001554B"/>
    <w:rsid w:val="00016AFF"/>
    <w:rsid w:val="00017F54"/>
    <w:rsid w:val="00030249"/>
    <w:rsid w:val="000305EA"/>
    <w:rsid w:val="00031E3C"/>
    <w:rsid w:val="00032CB3"/>
    <w:rsid w:val="00036FAE"/>
    <w:rsid w:val="00044508"/>
    <w:rsid w:val="00047561"/>
    <w:rsid w:val="00047668"/>
    <w:rsid w:val="00047A2A"/>
    <w:rsid w:val="0005020B"/>
    <w:rsid w:val="0005478B"/>
    <w:rsid w:val="00057815"/>
    <w:rsid w:val="00057A1E"/>
    <w:rsid w:val="000614A1"/>
    <w:rsid w:val="000615A3"/>
    <w:rsid w:val="00062794"/>
    <w:rsid w:val="000634F6"/>
    <w:rsid w:val="0006484E"/>
    <w:rsid w:val="000668B0"/>
    <w:rsid w:val="00073CF8"/>
    <w:rsid w:val="00076E76"/>
    <w:rsid w:val="000809DA"/>
    <w:rsid w:val="00083F41"/>
    <w:rsid w:val="000846B7"/>
    <w:rsid w:val="000A2A28"/>
    <w:rsid w:val="000A2D3A"/>
    <w:rsid w:val="000A3124"/>
    <w:rsid w:val="000A3351"/>
    <w:rsid w:val="000A35D6"/>
    <w:rsid w:val="000A5AEA"/>
    <w:rsid w:val="000B0C6C"/>
    <w:rsid w:val="000B1B40"/>
    <w:rsid w:val="000B1BE1"/>
    <w:rsid w:val="000B3914"/>
    <w:rsid w:val="000B4558"/>
    <w:rsid w:val="000B6430"/>
    <w:rsid w:val="000C224C"/>
    <w:rsid w:val="000C310A"/>
    <w:rsid w:val="000C34FD"/>
    <w:rsid w:val="000C4D6B"/>
    <w:rsid w:val="000C5211"/>
    <w:rsid w:val="000D1472"/>
    <w:rsid w:val="000D5E6D"/>
    <w:rsid w:val="000E3516"/>
    <w:rsid w:val="000E57DB"/>
    <w:rsid w:val="000E6FD6"/>
    <w:rsid w:val="000E77C9"/>
    <w:rsid w:val="000F1811"/>
    <w:rsid w:val="000F7A8C"/>
    <w:rsid w:val="00103015"/>
    <w:rsid w:val="00103253"/>
    <w:rsid w:val="001042BA"/>
    <w:rsid w:val="00105198"/>
    <w:rsid w:val="00111226"/>
    <w:rsid w:val="00120A34"/>
    <w:rsid w:val="00121E65"/>
    <w:rsid w:val="00124260"/>
    <w:rsid w:val="00125A8E"/>
    <w:rsid w:val="00127CD8"/>
    <w:rsid w:val="001301AD"/>
    <w:rsid w:val="001334D9"/>
    <w:rsid w:val="00134550"/>
    <w:rsid w:val="001346AC"/>
    <w:rsid w:val="001377D9"/>
    <w:rsid w:val="00137ACD"/>
    <w:rsid w:val="00140DAD"/>
    <w:rsid w:val="00140E3D"/>
    <w:rsid w:val="001421FE"/>
    <w:rsid w:val="00142B2D"/>
    <w:rsid w:val="001437EA"/>
    <w:rsid w:val="00144950"/>
    <w:rsid w:val="00145BE1"/>
    <w:rsid w:val="00150574"/>
    <w:rsid w:val="0015276C"/>
    <w:rsid w:val="00152947"/>
    <w:rsid w:val="00154C9F"/>
    <w:rsid w:val="0015508C"/>
    <w:rsid w:val="001561EC"/>
    <w:rsid w:val="00160153"/>
    <w:rsid w:val="00160C86"/>
    <w:rsid w:val="0016132E"/>
    <w:rsid w:val="00161A1F"/>
    <w:rsid w:val="00161DF5"/>
    <w:rsid w:val="001626FD"/>
    <w:rsid w:val="001667B4"/>
    <w:rsid w:val="0017006A"/>
    <w:rsid w:val="001735F1"/>
    <w:rsid w:val="00173A64"/>
    <w:rsid w:val="00173E0C"/>
    <w:rsid w:val="00185491"/>
    <w:rsid w:val="00186D4B"/>
    <w:rsid w:val="0019381E"/>
    <w:rsid w:val="00195030"/>
    <w:rsid w:val="00197C3F"/>
    <w:rsid w:val="001A2FE9"/>
    <w:rsid w:val="001A3C43"/>
    <w:rsid w:val="001A4389"/>
    <w:rsid w:val="001B3C7A"/>
    <w:rsid w:val="001B5F2A"/>
    <w:rsid w:val="001C48B7"/>
    <w:rsid w:val="001D00E3"/>
    <w:rsid w:val="001D0AF3"/>
    <w:rsid w:val="001D1D8A"/>
    <w:rsid w:val="001D36EE"/>
    <w:rsid w:val="001E07CE"/>
    <w:rsid w:val="001E52EB"/>
    <w:rsid w:val="001E5A0B"/>
    <w:rsid w:val="001F127D"/>
    <w:rsid w:val="001F3626"/>
    <w:rsid w:val="001F7336"/>
    <w:rsid w:val="00200358"/>
    <w:rsid w:val="002005CD"/>
    <w:rsid w:val="00201B79"/>
    <w:rsid w:val="00201F75"/>
    <w:rsid w:val="00202EC1"/>
    <w:rsid w:val="00204283"/>
    <w:rsid w:val="00204EEF"/>
    <w:rsid w:val="002058CE"/>
    <w:rsid w:val="00205DBD"/>
    <w:rsid w:val="00207297"/>
    <w:rsid w:val="00211CAC"/>
    <w:rsid w:val="0021337D"/>
    <w:rsid w:val="0021390C"/>
    <w:rsid w:val="00216A1C"/>
    <w:rsid w:val="00220A36"/>
    <w:rsid w:val="00223F82"/>
    <w:rsid w:val="00224C52"/>
    <w:rsid w:val="00232304"/>
    <w:rsid w:val="002378EE"/>
    <w:rsid w:val="00241FF8"/>
    <w:rsid w:val="002445E3"/>
    <w:rsid w:val="00247EBF"/>
    <w:rsid w:val="002526AA"/>
    <w:rsid w:val="00261499"/>
    <w:rsid w:val="002672A4"/>
    <w:rsid w:val="002747E8"/>
    <w:rsid w:val="00274EEA"/>
    <w:rsid w:val="002759C4"/>
    <w:rsid w:val="0027686D"/>
    <w:rsid w:val="00277A10"/>
    <w:rsid w:val="002808A9"/>
    <w:rsid w:val="00284C9D"/>
    <w:rsid w:val="00284D7C"/>
    <w:rsid w:val="00292863"/>
    <w:rsid w:val="002935C6"/>
    <w:rsid w:val="00294430"/>
    <w:rsid w:val="00296CA7"/>
    <w:rsid w:val="00296FAF"/>
    <w:rsid w:val="00297CEB"/>
    <w:rsid w:val="00297EAB"/>
    <w:rsid w:val="002A15F1"/>
    <w:rsid w:val="002A4961"/>
    <w:rsid w:val="002B313C"/>
    <w:rsid w:val="002B411E"/>
    <w:rsid w:val="002B5C28"/>
    <w:rsid w:val="002B7CC4"/>
    <w:rsid w:val="002C08CD"/>
    <w:rsid w:val="002C1F84"/>
    <w:rsid w:val="002C293D"/>
    <w:rsid w:val="002C40FB"/>
    <w:rsid w:val="002C69B1"/>
    <w:rsid w:val="002D1504"/>
    <w:rsid w:val="002D4EA4"/>
    <w:rsid w:val="002D564A"/>
    <w:rsid w:val="002D65B2"/>
    <w:rsid w:val="002E12E6"/>
    <w:rsid w:val="002F0FD2"/>
    <w:rsid w:val="002F76C6"/>
    <w:rsid w:val="0030256D"/>
    <w:rsid w:val="00304A88"/>
    <w:rsid w:val="00304E64"/>
    <w:rsid w:val="00307358"/>
    <w:rsid w:val="0031070C"/>
    <w:rsid w:val="00313612"/>
    <w:rsid w:val="00316053"/>
    <w:rsid w:val="003170AC"/>
    <w:rsid w:val="00326C24"/>
    <w:rsid w:val="0033070E"/>
    <w:rsid w:val="003440C7"/>
    <w:rsid w:val="00350779"/>
    <w:rsid w:val="00353D81"/>
    <w:rsid w:val="00354743"/>
    <w:rsid w:val="00365D2C"/>
    <w:rsid w:val="00367C2D"/>
    <w:rsid w:val="0037028F"/>
    <w:rsid w:val="003719BF"/>
    <w:rsid w:val="00372D85"/>
    <w:rsid w:val="00375010"/>
    <w:rsid w:val="0037728A"/>
    <w:rsid w:val="00377427"/>
    <w:rsid w:val="00383ABF"/>
    <w:rsid w:val="00384B05"/>
    <w:rsid w:val="00386B68"/>
    <w:rsid w:val="00386E17"/>
    <w:rsid w:val="0038758C"/>
    <w:rsid w:val="00387CD9"/>
    <w:rsid w:val="003913F1"/>
    <w:rsid w:val="003926BB"/>
    <w:rsid w:val="00393A61"/>
    <w:rsid w:val="00394454"/>
    <w:rsid w:val="003946AE"/>
    <w:rsid w:val="00395655"/>
    <w:rsid w:val="003A0965"/>
    <w:rsid w:val="003A373E"/>
    <w:rsid w:val="003A3D0E"/>
    <w:rsid w:val="003A4424"/>
    <w:rsid w:val="003A530C"/>
    <w:rsid w:val="003A5841"/>
    <w:rsid w:val="003A7B17"/>
    <w:rsid w:val="003B29B0"/>
    <w:rsid w:val="003B2DA8"/>
    <w:rsid w:val="003B3044"/>
    <w:rsid w:val="003B6C2D"/>
    <w:rsid w:val="003B7464"/>
    <w:rsid w:val="003C0D20"/>
    <w:rsid w:val="003C16A9"/>
    <w:rsid w:val="003C202D"/>
    <w:rsid w:val="003D47C4"/>
    <w:rsid w:val="003D79DD"/>
    <w:rsid w:val="003D7CE2"/>
    <w:rsid w:val="003E4413"/>
    <w:rsid w:val="003E4724"/>
    <w:rsid w:val="003E5B26"/>
    <w:rsid w:val="003F09F7"/>
    <w:rsid w:val="003F1AA1"/>
    <w:rsid w:val="003F24BC"/>
    <w:rsid w:val="003F4385"/>
    <w:rsid w:val="003F6CD5"/>
    <w:rsid w:val="003F79EA"/>
    <w:rsid w:val="00401B80"/>
    <w:rsid w:val="00402CC7"/>
    <w:rsid w:val="00402D70"/>
    <w:rsid w:val="00403CE4"/>
    <w:rsid w:val="00404952"/>
    <w:rsid w:val="004075A3"/>
    <w:rsid w:val="00410A3F"/>
    <w:rsid w:val="0041144F"/>
    <w:rsid w:val="004143B1"/>
    <w:rsid w:val="00415A55"/>
    <w:rsid w:val="004228EE"/>
    <w:rsid w:val="00425A1E"/>
    <w:rsid w:val="00425FCB"/>
    <w:rsid w:val="00426B3B"/>
    <w:rsid w:val="00426FC2"/>
    <w:rsid w:val="00430F1B"/>
    <w:rsid w:val="004327E1"/>
    <w:rsid w:val="00433A04"/>
    <w:rsid w:val="00434240"/>
    <w:rsid w:val="00434641"/>
    <w:rsid w:val="00434CDD"/>
    <w:rsid w:val="00434EE3"/>
    <w:rsid w:val="004355D0"/>
    <w:rsid w:val="004355E8"/>
    <w:rsid w:val="00436435"/>
    <w:rsid w:val="0043716A"/>
    <w:rsid w:val="0044000C"/>
    <w:rsid w:val="00442200"/>
    <w:rsid w:val="00445460"/>
    <w:rsid w:val="00446B03"/>
    <w:rsid w:val="0044797F"/>
    <w:rsid w:val="00455C2A"/>
    <w:rsid w:val="00472F61"/>
    <w:rsid w:val="00481DE1"/>
    <w:rsid w:val="00484DBC"/>
    <w:rsid w:val="00490BA0"/>
    <w:rsid w:val="00494834"/>
    <w:rsid w:val="0049486C"/>
    <w:rsid w:val="004A2F70"/>
    <w:rsid w:val="004A409F"/>
    <w:rsid w:val="004A48D9"/>
    <w:rsid w:val="004A6B2D"/>
    <w:rsid w:val="004B2C3F"/>
    <w:rsid w:val="004B3D95"/>
    <w:rsid w:val="004B6C70"/>
    <w:rsid w:val="004C0D69"/>
    <w:rsid w:val="004C35AB"/>
    <w:rsid w:val="004D07B0"/>
    <w:rsid w:val="004D5695"/>
    <w:rsid w:val="004D665B"/>
    <w:rsid w:val="004D7B86"/>
    <w:rsid w:val="004E3131"/>
    <w:rsid w:val="004E528F"/>
    <w:rsid w:val="004E7193"/>
    <w:rsid w:val="004F53E6"/>
    <w:rsid w:val="004F54FF"/>
    <w:rsid w:val="00503218"/>
    <w:rsid w:val="00505873"/>
    <w:rsid w:val="00506B74"/>
    <w:rsid w:val="00506F28"/>
    <w:rsid w:val="00511342"/>
    <w:rsid w:val="0051145E"/>
    <w:rsid w:val="005146EC"/>
    <w:rsid w:val="00515008"/>
    <w:rsid w:val="0051513C"/>
    <w:rsid w:val="00515696"/>
    <w:rsid w:val="00515BBE"/>
    <w:rsid w:val="005169CB"/>
    <w:rsid w:val="00517337"/>
    <w:rsid w:val="005173FC"/>
    <w:rsid w:val="00520AD1"/>
    <w:rsid w:val="00524226"/>
    <w:rsid w:val="0052516E"/>
    <w:rsid w:val="00527330"/>
    <w:rsid w:val="00533613"/>
    <w:rsid w:val="00536596"/>
    <w:rsid w:val="005366FF"/>
    <w:rsid w:val="00537A32"/>
    <w:rsid w:val="00542B59"/>
    <w:rsid w:val="0054602B"/>
    <w:rsid w:val="00546375"/>
    <w:rsid w:val="00554102"/>
    <w:rsid w:val="005620CA"/>
    <w:rsid w:val="00572401"/>
    <w:rsid w:val="005732E6"/>
    <w:rsid w:val="00576596"/>
    <w:rsid w:val="00577C30"/>
    <w:rsid w:val="005812FF"/>
    <w:rsid w:val="005819C8"/>
    <w:rsid w:val="00581A71"/>
    <w:rsid w:val="0058422E"/>
    <w:rsid w:val="00584B84"/>
    <w:rsid w:val="005905A0"/>
    <w:rsid w:val="005910FD"/>
    <w:rsid w:val="00591EC0"/>
    <w:rsid w:val="005929E5"/>
    <w:rsid w:val="00593568"/>
    <w:rsid w:val="00597535"/>
    <w:rsid w:val="005A54B4"/>
    <w:rsid w:val="005A7050"/>
    <w:rsid w:val="005B3CBC"/>
    <w:rsid w:val="005B510A"/>
    <w:rsid w:val="005B5771"/>
    <w:rsid w:val="005C0740"/>
    <w:rsid w:val="005C108B"/>
    <w:rsid w:val="005C18D0"/>
    <w:rsid w:val="005E2026"/>
    <w:rsid w:val="005E3513"/>
    <w:rsid w:val="005E75E1"/>
    <w:rsid w:val="005E7E78"/>
    <w:rsid w:val="005F4914"/>
    <w:rsid w:val="005F5DF6"/>
    <w:rsid w:val="005F5FA1"/>
    <w:rsid w:val="005F7D42"/>
    <w:rsid w:val="0060088C"/>
    <w:rsid w:val="006032E0"/>
    <w:rsid w:val="00603D52"/>
    <w:rsid w:val="00604F05"/>
    <w:rsid w:val="00607F99"/>
    <w:rsid w:val="00610AE3"/>
    <w:rsid w:val="00611D31"/>
    <w:rsid w:val="00615007"/>
    <w:rsid w:val="006156C6"/>
    <w:rsid w:val="006160C4"/>
    <w:rsid w:val="006202A1"/>
    <w:rsid w:val="0062118C"/>
    <w:rsid w:val="0062319E"/>
    <w:rsid w:val="00625432"/>
    <w:rsid w:val="00626E42"/>
    <w:rsid w:val="00627EDA"/>
    <w:rsid w:val="00636200"/>
    <w:rsid w:val="00645DC7"/>
    <w:rsid w:val="0064724F"/>
    <w:rsid w:val="006507CB"/>
    <w:rsid w:val="00651D68"/>
    <w:rsid w:val="00652D30"/>
    <w:rsid w:val="00656314"/>
    <w:rsid w:val="00657BAA"/>
    <w:rsid w:val="00661BE8"/>
    <w:rsid w:val="00667B6F"/>
    <w:rsid w:val="00667F82"/>
    <w:rsid w:val="006700AA"/>
    <w:rsid w:val="00671007"/>
    <w:rsid w:val="00677A0D"/>
    <w:rsid w:val="00683087"/>
    <w:rsid w:val="00685653"/>
    <w:rsid w:val="006930D1"/>
    <w:rsid w:val="006931AD"/>
    <w:rsid w:val="006940BB"/>
    <w:rsid w:val="00696CF0"/>
    <w:rsid w:val="00697001"/>
    <w:rsid w:val="006A1788"/>
    <w:rsid w:val="006A666D"/>
    <w:rsid w:val="006B2427"/>
    <w:rsid w:val="006B2D99"/>
    <w:rsid w:val="006B457E"/>
    <w:rsid w:val="006B6E38"/>
    <w:rsid w:val="006C1CE3"/>
    <w:rsid w:val="006D3958"/>
    <w:rsid w:val="006D58E2"/>
    <w:rsid w:val="006D7B6B"/>
    <w:rsid w:val="006E3838"/>
    <w:rsid w:val="006E3C40"/>
    <w:rsid w:val="006E610B"/>
    <w:rsid w:val="006E7699"/>
    <w:rsid w:val="006F09BD"/>
    <w:rsid w:val="006F27AC"/>
    <w:rsid w:val="006F3E5C"/>
    <w:rsid w:val="006F627D"/>
    <w:rsid w:val="0070009D"/>
    <w:rsid w:val="00701544"/>
    <w:rsid w:val="00701CB8"/>
    <w:rsid w:val="00701E47"/>
    <w:rsid w:val="00706A99"/>
    <w:rsid w:val="00707E57"/>
    <w:rsid w:val="00707F49"/>
    <w:rsid w:val="007103B5"/>
    <w:rsid w:val="00717D94"/>
    <w:rsid w:val="007213BB"/>
    <w:rsid w:val="0072758F"/>
    <w:rsid w:val="007314EF"/>
    <w:rsid w:val="00731A1C"/>
    <w:rsid w:val="00732C89"/>
    <w:rsid w:val="0073763E"/>
    <w:rsid w:val="00740B4B"/>
    <w:rsid w:val="007427F1"/>
    <w:rsid w:val="007452A0"/>
    <w:rsid w:val="00745376"/>
    <w:rsid w:val="00745FCA"/>
    <w:rsid w:val="00747943"/>
    <w:rsid w:val="00751139"/>
    <w:rsid w:val="00752BD5"/>
    <w:rsid w:val="00753090"/>
    <w:rsid w:val="0075573F"/>
    <w:rsid w:val="00756861"/>
    <w:rsid w:val="00756D99"/>
    <w:rsid w:val="00756F20"/>
    <w:rsid w:val="00760772"/>
    <w:rsid w:val="00760DDE"/>
    <w:rsid w:val="007620AE"/>
    <w:rsid w:val="00763679"/>
    <w:rsid w:val="00764948"/>
    <w:rsid w:val="00772715"/>
    <w:rsid w:val="00774144"/>
    <w:rsid w:val="0077536C"/>
    <w:rsid w:val="00780809"/>
    <w:rsid w:val="00782538"/>
    <w:rsid w:val="007828DD"/>
    <w:rsid w:val="00783FAB"/>
    <w:rsid w:val="0078587F"/>
    <w:rsid w:val="00785B13"/>
    <w:rsid w:val="00791AAC"/>
    <w:rsid w:val="00795969"/>
    <w:rsid w:val="0079787B"/>
    <w:rsid w:val="007A0558"/>
    <w:rsid w:val="007A523A"/>
    <w:rsid w:val="007A6AF0"/>
    <w:rsid w:val="007B44CD"/>
    <w:rsid w:val="007B4836"/>
    <w:rsid w:val="007C3355"/>
    <w:rsid w:val="007C5020"/>
    <w:rsid w:val="007C7175"/>
    <w:rsid w:val="007D12B2"/>
    <w:rsid w:val="007D1F16"/>
    <w:rsid w:val="007D4E08"/>
    <w:rsid w:val="007E00A8"/>
    <w:rsid w:val="007E16D6"/>
    <w:rsid w:val="007E2197"/>
    <w:rsid w:val="007E3446"/>
    <w:rsid w:val="007E3447"/>
    <w:rsid w:val="007E36E5"/>
    <w:rsid w:val="007E6EC6"/>
    <w:rsid w:val="007E7C33"/>
    <w:rsid w:val="007F51C0"/>
    <w:rsid w:val="007F563E"/>
    <w:rsid w:val="00803447"/>
    <w:rsid w:val="008035CF"/>
    <w:rsid w:val="0080510C"/>
    <w:rsid w:val="0080584E"/>
    <w:rsid w:val="00805FEB"/>
    <w:rsid w:val="00811D66"/>
    <w:rsid w:val="00811E34"/>
    <w:rsid w:val="00812C37"/>
    <w:rsid w:val="008134D5"/>
    <w:rsid w:val="00813A38"/>
    <w:rsid w:val="00823B66"/>
    <w:rsid w:val="00824A98"/>
    <w:rsid w:val="00825522"/>
    <w:rsid w:val="00830939"/>
    <w:rsid w:val="008310AA"/>
    <w:rsid w:val="00834114"/>
    <w:rsid w:val="00836B85"/>
    <w:rsid w:val="00843812"/>
    <w:rsid w:val="00844D23"/>
    <w:rsid w:val="0084584D"/>
    <w:rsid w:val="00846E34"/>
    <w:rsid w:val="008517D8"/>
    <w:rsid w:val="00855239"/>
    <w:rsid w:val="00856BC4"/>
    <w:rsid w:val="008576C8"/>
    <w:rsid w:val="0086596A"/>
    <w:rsid w:val="0086669D"/>
    <w:rsid w:val="00867101"/>
    <w:rsid w:val="008755D8"/>
    <w:rsid w:val="0088497A"/>
    <w:rsid w:val="00892714"/>
    <w:rsid w:val="00897AFA"/>
    <w:rsid w:val="008A1C12"/>
    <w:rsid w:val="008A1F97"/>
    <w:rsid w:val="008A6224"/>
    <w:rsid w:val="008B478B"/>
    <w:rsid w:val="008B5DC3"/>
    <w:rsid w:val="008B61B7"/>
    <w:rsid w:val="008C38BA"/>
    <w:rsid w:val="008C48EF"/>
    <w:rsid w:val="008C497B"/>
    <w:rsid w:val="008C5CE9"/>
    <w:rsid w:val="008C6EFC"/>
    <w:rsid w:val="008C76FD"/>
    <w:rsid w:val="008C77E1"/>
    <w:rsid w:val="008D72EA"/>
    <w:rsid w:val="008D7625"/>
    <w:rsid w:val="008E30D6"/>
    <w:rsid w:val="008E30D9"/>
    <w:rsid w:val="008E54BF"/>
    <w:rsid w:val="008E68D3"/>
    <w:rsid w:val="008E79DF"/>
    <w:rsid w:val="008F002D"/>
    <w:rsid w:val="008F43E8"/>
    <w:rsid w:val="00902A26"/>
    <w:rsid w:val="00903257"/>
    <w:rsid w:val="009048A2"/>
    <w:rsid w:val="00905C61"/>
    <w:rsid w:val="00907D61"/>
    <w:rsid w:val="00910064"/>
    <w:rsid w:val="009114DC"/>
    <w:rsid w:val="00911D92"/>
    <w:rsid w:val="009121D3"/>
    <w:rsid w:val="00915A94"/>
    <w:rsid w:val="009176F5"/>
    <w:rsid w:val="0092391D"/>
    <w:rsid w:val="00931ED7"/>
    <w:rsid w:val="00933AD6"/>
    <w:rsid w:val="00935960"/>
    <w:rsid w:val="009421AA"/>
    <w:rsid w:val="00943AB8"/>
    <w:rsid w:val="0094476A"/>
    <w:rsid w:val="0094774B"/>
    <w:rsid w:val="00951019"/>
    <w:rsid w:val="00954698"/>
    <w:rsid w:val="0096405D"/>
    <w:rsid w:val="00970AAB"/>
    <w:rsid w:val="00974504"/>
    <w:rsid w:val="00975A4A"/>
    <w:rsid w:val="00976413"/>
    <w:rsid w:val="009767B4"/>
    <w:rsid w:val="00977D37"/>
    <w:rsid w:val="009807AE"/>
    <w:rsid w:val="00990334"/>
    <w:rsid w:val="00991158"/>
    <w:rsid w:val="0099199E"/>
    <w:rsid w:val="0099258B"/>
    <w:rsid w:val="00995C44"/>
    <w:rsid w:val="009A04A5"/>
    <w:rsid w:val="009A359E"/>
    <w:rsid w:val="009A35A0"/>
    <w:rsid w:val="009A717F"/>
    <w:rsid w:val="009A7CFA"/>
    <w:rsid w:val="009B0C51"/>
    <w:rsid w:val="009B2183"/>
    <w:rsid w:val="009B29AC"/>
    <w:rsid w:val="009B4B7F"/>
    <w:rsid w:val="009C0911"/>
    <w:rsid w:val="009C0B21"/>
    <w:rsid w:val="009C0F35"/>
    <w:rsid w:val="009C10C1"/>
    <w:rsid w:val="009C1F8C"/>
    <w:rsid w:val="009C4F55"/>
    <w:rsid w:val="009C5E5D"/>
    <w:rsid w:val="009C7CE6"/>
    <w:rsid w:val="009D0999"/>
    <w:rsid w:val="009D23FB"/>
    <w:rsid w:val="009D7562"/>
    <w:rsid w:val="009E0803"/>
    <w:rsid w:val="009E0A3A"/>
    <w:rsid w:val="009E7C1C"/>
    <w:rsid w:val="009F1258"/>
    <w:rsid w:val="009F13BF"/>
    <w:rsid w:val="009F1D34"/>
    <w:rsid w:val="009F40B6"/>
    <w:rsid w:val="009F4C47"/>
    <w:rsid w:val="009F528F"/>
    <w:rsid w:val="009F6AC9"/>
    <w:rsid w:val="00A105DA"/>
    <w:rsid w:val="00A11CE8"/>
    <w:rsid w:val="00A146DF"/>
    <w:rsid w:val="00A20031"/>
    <w:rsid w:val="00A202D5"/>
    <w:rsid w:val="00A23CDC"/>
    <w:rsid w:val="00A23F8D"/>
    <w:rsid w:val="00A24596"/>
    <w:rsid w:val="00A24B24"/>
    <w:rsid w:val="00A25E6C"/>
    <w:rsid w:val="00A30900"/>
    <w:rsid w:val="00A40E3D"/>
    <w:rsid w:val="00A40EA6"/>
    <w:rsid w:val="00A43C61"/>
    <w:rsid w:val="00A46B61"/>
    <w:rsid w:val="00A47C4E"/>
    <w:rsid w:val="00A52753"/>
    <w:rsid w:val="00A538A7"/>
    <w:rsid w:val="00A550E8"/>
    <w:rsid w:val="00A556D1"/>
    <w:rsid w:val="00A56E8B"/>
    <w:rsid w:val="00A60EBE"/>
    <w:rsid w:val="00A71133"/>
    <w:rsid w:val="00A7209C"/>
    <w:rsid w:val="00A737A4"/>
    <w:rsid w:val="00A761C7"/>
    <w:rsid w:val="00A768B4"/>
    <w:rsid w:val="00A77D42"/>
    <w:rsid w:val="00A80D94"/>
    <w:rsid w:val="00A82E17"/>
    <w:rsid w:val="00A8391C"/>
    <w:rsid w:val="00A85075"/>
    <w:rsid w:val="00A871B2"/>
    <w:rsid w:val="00A90245"/>
    <w:rsid w:val="00A92D2D"/>
    <w:rsid w:val="00A92EC0"/>
    <w:rsid w:val="00A93F1F"/>
    <w:rsid w:val="00AA12F7"/>
    <w:rsid w:val="00AA3173"/>
    <w:rsid w:val="00AA3A3E"/>
    <w:rsid w:val="00AA3F84"/>
    <w:rsid w:val="00AB19B6"/>
    <w:rsid w:val="00AB1D41"/>
    <w:rsid w:val="00AB1D5C"/>
    <w:rsid w:val="00AC4631"/>
    <w:rsid w:val="00AC6ABA"/>
    <w:rsid w:val="00AC767D"/>
    <w:rsid w:val="00AD1C80"/>
    <w:rsid w:val="00AD2E24"/>
    <w:rsid w:val="00AD5627"/>
    <w:rsid w:val="00AD65C9"/>
    <w:rsid w:val="00AD6639"/>
    <w:rsid w:val="00AE3A8E"/>
    <w:rsid w:val="00AE4909"/>
    <w:rsid w:val="00AE4A25"/>
    <w:rsid w:val="00AE5CCB"/>
    <w:rsid w:val="00AE7179"/>
    <w:rsid w:val="00AE7602"/>
    <w:rsid w:val="00AF58D0"/>
    <w:rsid w:val="00AF6215"/>
    <w:rsid w:val="00AF6F6E"/>
    <w:rsid w:val="00B00A18"/>
    <w:rsid w:val="00B01CEF"/>
    <w:rsid w:val="00B0725F"/>
    <w:rsid w:val="00B11323"/>
    <w:rsid w:val="00B13A2F"/>
    <w:rsid w:val="00B145D2"/>
    <w:rsid w:val="00B178D3"/>
    <w:rsid w:val="00B20F86"/>
    <w:rsid w:val="00B2232B"/>
    <w:rsid w:val="00B22F73"/>
    <w:rsid w:val="00B30E95"/>
    <w:rsid w:val="00B339F8"/>
    <w:rsid w:val="00B4065C"/>
    <w:rsid w:val="00B43512"/>
    <w:rsid w:val="00B52CD8"/>
    <w:rsid w:val="00B531E8"/>
    <w:rsid w:val="00B55520"/>
    <w:rsid w:val="00B57098"/>
    <w:rsid w:val="00B604EB"/>
    <w:rsid w:val="00B6108C"/>
    <w:rsid w:val="00B67F7B"/>
    <w:rsid w:val="00B739E2"/>
    <w:rsid w:val="00B8151D"/>
    <w:rsid w:val="00B819AA"/>
    <w:rsid w:val="00B91A2D"/>
    <w:rsid w:val="00B926BF"/>
    <w:rsid w:val="00B968DE"/>
    <w:rsid w:val="00BA1A52"/>
    <w:rsid w:val="00BA30BD"/>
    <w:rsid w:val="00BA54AA"/>
    <w:rsid w:val="00BA6D4A"/>
    <w:rsid w:val="00BA7A46"/>
    <w:rsid w:val="00BB2109"/>
    <w:rsid w:val="00BB2C6B"/>
    <w:rsid w:val="00BB38D4"/>
    <w:rsid w:val="00BB4D85"/>
    <w:rsid w:val="00BB61E4"/>
    <w:rsid w:val="00BB631E"/>
    <w:rsid w:val="00BB71A8"/>
    <w:rsid w:val="00BC3462"/>
    <w:rsid w:val="00BC4BD5"/>
    <w:rsid w:val="00BC50A3"/>
    <w:rsid w:val="00BD0D73"/>
    <w:rsid w:val="00BD2ED2"/>
    <w:rsid w:val="00BD41D4"/>
    <w:rsid w:val="00BD465A"/>
    <w:rsid w:val="00BD47A9"/>
    <w:rsid w:val="00BD5316"/>
    <w:rsid w:val="00BD5A86"/>
    <w:rsid w:val="00BD6AC2"/>
    <w:rsid w:val="00BD7CDC"/>
    <w:rsid w:val="00BE1A7A"/>
    <w:rsid w:val="00BE214C"/>
    <w:rsid w:val="00BE3046"/>
    <w:rsid w:val="00BE68F9"/>
    <w:rsid w:val="00BE78BA"/>
    <w:rsid w:val="00BF2A9B"/>
    <w:rsid w:val="00BF3425"/>
    <w:rsid w:val="00BF3DAE"/>
    <w:rsid w:val="00C02595"/>
    <w:rsid w:val="00C12197"/>
    <w:rsid w:val="00C13110"/>
    <w:rsid w:val="00C1330A"/>
    <w:rsid w:val="00C145EB"/>
    <w:rsid w:val="00C15B0A"/>
    <w:rsid w:val="00C1638A"/>
    <w:rsid w:val="00C2416A"/>
    <w:rsid w:val="00C30704"/>
    <w:rsid w:val="00C30E45"/>
    <w:rsid w:val="00C325A5"/>
    <w:rsid w:val="00C36A15"/>
    <w:rsid w:val="00C3701B"/>
    <w:rsid w:val="00C37043"/>
    <w:rsid w:val="00C3773A"/>
    <w:rsid w:val="00C4300F"/>
    <w:rsid w:val="00C45661"/>
    <w:rsid w:val="00C5010C"/>
    <w:rsid w:val="00C62BC1"/>
    <w:rsid w:val="00C64879"/>
    <w:rsid w:val="00C66953"/>
    <w:rsid w:val="00C712E2"/>
    <w:rsid w:val="00C72E9B"/>
    <w:rsid w:val="00C73133"/>
    <w:rsid w:val="00C731FA"/>
    <w:rsid w:val="00C73A91"/>
    <w:rsid w:val="00C7617C"/>
    <w:rsid w:val="00C818AB"/>
    <w:rsid w:val="00C82C91"/>
    <w:rsid w:val="00C846A2"/>
    <w:rsid w:val="00C90E38"/>
    <w:rsid w:val="00C90EFC"/>
    <w:rsid w:val="00C90FC4"/>
    <w:rsid w:val="00C954B7"/>
    <w:rsid w:val="00C9591A"/>
    <w:rsid w:val="00C97E14"/>
    <w:rsid w:val="00CA1549"/>
    <w:rsid w:val="00CA249F"/>
    <w:rsid w:val="00CA46AC"/>
    <w:rsid w:val="00CA4C51"/>
    <w:rsid w:val="00CA4F71"/>
    <w:rsid w:val="00CB24D6"/>
    <w:rsid w:val="00CB337B"/>
    <w:rsid w:val="00CB45D5"/>
    <w:rsid w:val="00CB7A83"/>
    <w:rsid w:val="00CC3AE0"/>
    <w:rsid w:val="00CC3C0B"/>
    <w:rsid w:val="00CC3CD3"/>
    <w:rsid w:val="00CC4C6D"/>
    <w:rsid w:val="00CD20F8"/>
    <w:rsid w:val="00CD3705"/>
    <w:rsid w:val="00CD6E72"/>
    <w:rsid w:val="00CE3EA5"/>
    <w:rsid w:val="00CF1C96"/>
    <w:rsid w:val="00CF5A8C"/>
    <w:rsid w:val="00CF64D1"/>
    <w:rsid w:val="00D010D3"/>
    <w:rsid w:val="00D05A8C"/>
    <w:rsid w:val="00D1147B"/>
    <w:rsid w:val="00D1156E"/>
    <w:rsid w:val="00D119DD"/>
    <w:rsid w:val="00D14A9D"/>
    <w:rsid w:val="00D1589C"/>
    <w:rsid w:val="00D17A67"/>
    <w:rsid w:val="00D17FC6"/>
    <w:rsid w:val="00D217D1"/>
    <w:rsid w:val="00D2517F"/>
    <w:rsid w:val="00D33281"/>
    <w:rsid w:val="00D3758C"/>
    <w:rsid w:val="00D4142D"/>
    <w:rsid w:val="00D46134"/>
    <w:rsid w:val="00D468A9"/>
    <w:rsid w:val="00D47C18"/>
    <w:rsid w:val="00D502B7"/>
    <w:rsid w:val="00D50946"/>
    <w:rsid w:val="00D5387E"/>
    <w:rsid w:val="00D56A3B"/>
    <w:rsid w:val="00D61A73"/>
    <w:rsid w:val="00D61D12"/>
    <w:rsid w:val="00D63270"/>
    <w:rsid w:val="00D63ABD"/>
    <w:rsid w:val="00D63CDD"/>
    <w:rsid w:val="00D6472B"/>
    <w:rsid w:val="00D65EDC"/>
    <w:rsid w:val="00D66B65"/>
    <w:rsid w:val="00D70EAE"/>
    <w:rsid w:val="00D73415"/>
    <w:rsid w:val="00D73548"/>
    <w:rsid w:val="00D74B9B"/>
    <w:rsid w:val="00D773CB"/>
    <w:rsid w:val="00D8103E"/>
    <w:rsid w:val="00D818BA"/>
    <w:rsid w:val="00D842A2"/>
    <w:rsid w:val="00D84946"/>
    <w:rsid w:val="00D87849"/>
    <w:rsid w:val="00D902D3"/>
    <w:rsid w:val="00D90C2E"/>
    <w:rsid w:val="00D90F37"/>
    <w:rsid w:val="00D92005"/>
    <w:rsid w:val="00D93741"/>
    <w:rsid w:val="00D97F55"/>
    <w:rsid w:val="00DA1AC0"/>
    <w:rsid w:val="00DA552F"/>
    <w:rsid w:val="00DA7F52"/>
    <w:rsid w:val="00DB1C9E"/>
    <w:rsid w:val="00DB2434"/>
    <w:rsid w:val="00DB461B"/>
    <w:rsid w:val="00DB4D35"/>
    <w:rsid w:val="00DB6247"/>
    <w:rsid w:val="00DB6E9C"/>
    <w:rsid w:val="00DC1795"/>
    <w:rsid w:val="00DC3E8C"/>
    <w:rsid w:val="00DC4A82"/>
    <w:rsid w:val="00DC4B5E"/>
    <w:rsid w:val="00DD1234"/>
    <w:rsid w:val="00DD408F"/>
    <w:rsid w:val="00DD5F43"/>
    <w:rsid w:val="00DD651A"/>
    <w:rsid w:val="00DD7496"/>
    <w:rsid w:val="00DD7749"/>
    <w:rsid w:val="00DD7B03"/>
    <w:rsid w:val="00DE02BB"/>
    <w:rsid w:val="00DE1334"/>
    <w:rsid w:val="00DE16DD"/>
    <w:rsid w:val="00DE41A4"/>
    <w:rsid w:val="00DE5F92"/>
    <w:rsid w:val="00DE715E"/>
    <w:rsid w:val="00DE7C37"/>
    <w:rsid w:val="00DF13F3"/>
    <w:rsid w:val="00DF220F"/>
    <w:rsid w:val="00DF3683"/>
    <w:rsid w:val="00DF46B2"/>
    <w:rsid w:val="00DF61B7"/>
    <w:rsid w:val="00DF7D06"/>
    <w:rsid w:val="00E01C32"/>
    <w:rsid w:val="00E01F85"/>
    <w:rsid w:val="00E1257E"/>
    <w:rsid w:val="00E20197"/>
    <w:rsid w:val="00E24885"/>
    <w:rsid w:val="00E24E50"/>
    <w:rsid w:val="00E251EE"/>
    <w:rsid w:val="00E302D5"/>
    <w:rsid w:val="00E33927"/>
    <w:rsid w:val="00E33FED"/>
    <w:rsid w:val="00E37AF2"/>
    <w:rsid w:val="00E43542"/>
    <w:rsid w:val="00E43E1D"/>
    <w:rsid w:val="00E5541C"/>
    <w:rsid w:val="00E55D04"/>
    <w:rsid w:val="00E60A2A"/>
    <w:rsid w:val="00E62C51"/>
    <w:rsid w:val="00E631F9"/>
    <w:rsid w:val="00E662FD"/>
    <w:rsid w:val="00E66464"/>
    <w:rsid w:val="00E721CE"/>
    <w:rsid w:val="00E72FD0"/>
    <w:rsid w:val="00E757D0"/>
    <w:rsid w:val="00E767BE"/>
    <w:rsid w:val="00E81357"/>
    <w:rsid w:val="00E83BBC"/>
    <w:rsid w:val="00E8671C"/>
    <w:rsid w:val="00E90298"/>
    <w:rsid w:val="00E91353"/>
    <w:rsid w:val="00E916A2"/>
    <w:rsid w:val="00E91930"/>
    <w:rsid w:val="00E97BC9"/>
    <w:rsid w:val="00EA1428"/>
    <w:rsid w:val="00EA6D4F"/>
    <w:rsid w:val="00EA705C"/>
    <w:rsid w:val="00EA716A"/>
    <w:rsid w:val="00EA7EA8"/>
    <w:rsid w:val="00EB3CAE"/>
    <w:rsid w:val="00EC0A15"/>
    <w:rsid w:val="00EE0DF5"/>
    <w:rsid w:val="00EE412B"/>
    <w:rsid w:val="00EF4ACB"/>
    <w:rsid w:val="00EF68C3"/>
    <w:rsid w:val="00F00674"/>
    <w:rsid w:val="00F034F1"/>
    <w:rsid w:val="00F03635"/>
    <w:rsid w:val="00F0455E"/>
    <w:rsid w:val="00F0609A"/>
    <w:rsid w:val="00F06562"/>
    <w:rsid w:val="00F1230D"/>
    <w:rsid w:val="00F14BCE"/>
    <w:rsid w:val="00F16322"/>
    <w:rsid w:val="00F16C61"/>
    <w:rsid w:val="00F21042"/>
    <w:rsid w:val="00F21FAC"/>
    <w:rsid w:val="00F229BF"/>
    <w:rsid w:val="00F3264E"/>
    <w:rsid w:val="00F36014"/>
    <w:rsid w:val="00F36E18"/>
    <w:rsid w:val="00F37BC2"/>
    <w:rsid w:val="00F43DAD"/>
    <w:rsid w:val="00F45857"/>
    <w:rsid w:val="00F459C0"/>
    <w:rsid w:val="00F513EB"/>
    <w:rsid w:val="00F5236B"/>
    <w:rsid w:val="00F5252A"/>
    <w:rsid w:val="00F54266"/>
    <w:rsid w:val="00F552D2"/>
    <w:rsid w:val="00F5679F"/>
    <w:rsid w:val="00F60D6A"/>
    <w:rsid w:val="00F60F15"/>
    <w:rsid w:val="00F62708"/>
    <w:rsid w:val="00F63A00"/>
    <w:rsid w:val="00F645F6"/>
    <w:rsid w:val="00F6460E"/>
    <w:rsid w:val="00F64CB4"/>
    <w:rsid w:val="00F65889"/>
    <w:rsid w:val="00F72398"/>
    <w:rsid w:val="00F748E4"/>
    <w:rsid w:val="00F74CC9"/>
    <w:rsid w:val="00F7573F"/>
    <w:rsid w:val="00F77106"/>
    <w:rsid w:val="00F80A8E"/>
    <w:rsid w:val="00F8338A"/>
    <w:rsid w:val="00F85B48"/>
    <w:rsid w:val="00F861AE"/>
    <w:rsid w:val="00F86E01"/>
    <w:rsid w:val="00F871D7"/>
    <w:rsid w:val="00F87FB6"/>
    <w:rsid w:val="00F90098"/>
    <w:rsid w:val="00F9019D"/>
    <w:rsid w:val="00F9205E"/>
    <w:rsid w:val="00F92FA5"/>
    <w:rsid w:val="00F935BD"/>
    <w:rsid w:val="00F96889"/>
    <w:rsid w:val="00F97BF3"/>
    <w:rsid w:val="00FA6309"/>
    <w:rsid w:val="00FA6319"/>
    <w:rsid w:val="00FA6DC2"/>
    <w:rsid w:val="00FB14CA"/>
    <w:rsid w:val="00FB46DD"/>
    <w:rsid w:val="00FB656A"/>
    <w:rsid w:val="00FB7019"/>
    <w:rsid w:val="00FC522B"/>
    <w:rsid w:val="00FD0A30"/>
    <w:rsid w:val="00FD1A80"/>
    <w:rsid w:val="00FE1921"/>
    <w:rsid w:val="00FE2F0A"/>
    <w:rsid w:val="00FE6C08"/>
    <w:rsid w:val="00FF2A10"/>
    <w:rsid w:val="00FF3968"/>
    <w:rsid w:val="00FF557B"/>
    <w:rsid w:val="00FF57B7"/>
    <w:rsid w:val="00FF6E25"/>
    <w:rsid w:val="0E4C9BB9"/>
    <w:rsid w:val="4A4B34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 w:type="paragraph" w:customStyle="1" w:styleId="paragraph">
    <w:name w:val="paragraph"/>
    <w:basedOn w:val="Normal"/>
    <w:rsid w:val="00CA249F"/>
    <w:pPr>
      <w:spacing w:before="100" w:beforeAutospacing="1" w:after="100" w:afterAutospacing="1" w:line="240" w:lineRule="auto"/>
    </w:pPr>
    <w:rPr>
      <w:rFonts w:eastAsia="Times New Roman" w:cs="Times New Roman"/>
      <w:szCs w:val="24"/>
      <w:lang w:eastAsia="en-AU"/>
    </w:rPr>
  </w:style>
  <w:style w:type="character" w:customStyle="1" w:styleId="normaltextrun">
    <w:name w:val="normaltextrun"/>
    <w:basedOn w:val="DefaultParagraphFont"/>
    <w:rsid w:val="00CA249F"/>
  </w:style>
  <w:style w:type="character" w:customStyle="1" w:styleId="eop">
    <w:name w:val="eop"/>
    <w:basedOn w:val="DefaultParagraphFont"/>
    <w:rsid w:val="00CA249F"/>
  </w:style>
  <w:style w:type="character" w:customStyle="1" w:styleId="cf01">
    <w:name w:val="cf01"/>
    <w:basedOn w:val="DefaultParagraphFont"/>
    <w:rsid w:val="00E664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533157324">
      <w:bodyDiv w:val="1"/>
      <w:marLeft w:val="0"/>
      <w:marRight w:val="0"/>
      <w:marTop w:val="0"/>
      <w:marBottom w:val="0"/>
      <w:divBdr>
        <w:top w:val="none" w:sz="0" w:space="0" w:color="auto"/>
        <w:left w:val="none" w:sz="0" w:space="0" w:color="auto"/>
        <w:bottom w:val="none" w:sz="0" w:space="0" w:color="auto"/>
        <w:right w:val="none" w:sz="0" w:space="0" w:color="auto"/>
      </w:divBdr>
      <w:divsChild>
        <w:div w:id="1767656924">
          <w:marLeft w:val="0"/>
          <w:marRight w:val="0"/>
          <w:marTop w:val="0"/>
          <w:marBottom w:val="0"/>
          <w:divBdr>
            <w:top w:val="none" w:sz="0" w:space="0" w:color="auto"/>
            <w:left w:val="none" w:sz="0" w:space="0" w:color="auto"/>
            <w:bottom w:val="none" w:sz="0" w:space="0" w:color="auto"/>
            <w:right w:val="none" w:sz="0" w:space="0" w:color="auto"/>
          </w:divBdr>
        </w:div>
        <w:div w:id="1963883963">
          <w:marLeft w:val="0"/>
          <w:marRight w:val="0"/>
          <w:marTop w:val="0"/>
          <w:marBottom w:val="0"/>
          <w:divBdr>
            <w:top w:val="none" w:sz="0" w:space="0" w:color="auto"/>
            <w:left w:val="none" w:sz="0" w:space="0" w:color="auto"/>
            <w:bottom w:val="none" w:sz="0" w:space="0" w:color="auto"/>
            <w:right w:val="none" w:sz="0" w:space="0" w:color="auto"/>
          </w:divBdr>
        </w:div>
        <w:div w:id="625233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943A7E8-8762-43E7-8D7A-B992B333BD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C2F73683BEA014888D963D41A80BDD2" ma:contentTypeVersion="" ma:contentTypeDescription="PDMS Document Site Content Type" ma:contentTypeScope="" ma:versionID="c8a98da6174107e14d61d4888d690927">
  <xsd:schema xmlns:xsd="http://www.w3.org/2001/XMLSchema" xmlns:xs="http://www.w3.org/2001/XMLSchema" xmlns:p="http://schemas.microsoft.com/office/2006/metadata/properties" xmlns:ns2="9943A7E8-8762-43E7-8D7A-B992B333BD15" targetNamespace="http://schemas.microsoft.com/office/2006/metadata/properties" ma:root="true" ma:fieldsID="0ad157053d972ce46454ff2acbbe0881" ns2:_="">
    <xsd:import namespace="9943A7E8-8762-43E7-8D7A-B992B333BD1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3A7E8-8762-43E7-8D7A-B992B333BD1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2F429-4198-4ECD-8E59-23F01B09005A}">
  <ds:schemaRefs>
    <ds:schemaRef ds:uri="9943A7E8-8762-43E7-8D7A-B992B333BD15"/>
    <ds:schemaRef ds:uri="http://purl.org/dc/term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4.xml><?xml version="1.0" encoding="utf-8"?>
<ds:datastoreItem xmlns:ds="http://schemas.openxmlformats.org/officeDocument/2006/customXml" ds:itemID="{35472C13-CCE4-4606-A4E2-727F81142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3A7E8-8762-43E7-8D7A-B992B333B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2075</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BRAID,James</cp:lastModifiedBy>
  <cp:revision>5</cp:revision>
  <cp:lastPrinted>2019-11-17T23:12:00Z</cp:lastPrinted>
  <dcterms:created xsi:type="dcterms:W3CDTF">2024-09-13T07:46:00Z</dcterms:created>
  <dcterms:modified xsi:type="dcterms:W3CDTF">2024-11-25T05:39:00Z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0x010100266966F133664895A6EE3632470D45F5009C2F73683BEA014888D963D41A80BDD2</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ies>
</file>