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3D5F7" w14:textId="77777777" w:rsidR="007445F0" w:rsidRDefault="007445F0" w:rsidP="007445F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EXPLANATORY STATEMENT</w:t>
      </w:r>
    </w:p>
    <w:p w14:paraId="48F16F2A" w14:textId="21DB05E4" w:rsidR="004A2558" w:rsidRDefault="004A2558" w:rsidP="002B15BB">
      <w:pPr>
        <w:autoSpaceDE w:val="0"/>
        <w:autoSpaceDN w:val="0"/>
        <w:adjustRightInd w:val="0"/>
        <w:spacing w:after="0" w:line="240" w:lineRule="auto"/>
        <w:rPr>
          <w:rFonts w:ascii="Times New Roman" w:hAnsi="Times New Roman" w:cs="Times New Roman"/>
          <w:b/>
          <w:bCs/>
          <w:sz w:val="24"/>
          <w:szCs w:val="24"/>
        </w:rPr>
      </w:pPr>
    </w:p>
    <w:p w14:paraId="6A7DC794" w14:textId="77777777" w:rsidR="00C6393C" w:rsidRDefault="00C6393C" w:rsidP="002B15BB">
      <w:pPr>
        <w:autoSpaceDE w:val="0"/>
        <w:autoSpaceDN w:val="0"/>
        <w:adjustRightInd w:val="0"/>
        <w:spacing w:after="0" w:line="240" w:lineRule="auto"/>
        <w:rPr>
          <w:rFonts w:ascii="Times New Roman" w:hAnsi="Times New Roman" w:cs="Times New Roman"/>
          <w:b/>
          <w:bCs/>
          <w:sz w:val="24"/>
          <w:szCs w:val="24"/>
        </w:rPr>
      </w:pPr>
    </w:p>
    <w:p w14:paraId="60A04DC5" w14:textId="77777777" w:rsidR="00A213F9" w:rsidRDefault="00A213F9" w:rsidP="00FB16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Issued by the Authority of the Minister for Foreign Affairs (the Minister)</w:t>
      </w:r>
    </w:p>
    <w:p w14:paraId="0D4360DC" w14:textId="77777777" w:rsidR="00A213F9" w:rsidRDefault="00A213F9" w:rsidP="00FB16C8">
      <w:pPr>
        <w:autoSpaceDE w:val="0"/>
        <w:autoSpaceDN w:val="0"/>
        <w:adjustRightInd w:val="0"/>
        <w:spacing w:after="0" w:line="240" w:lineRule="auto"/>
        <w:jc w:val="center"/>
        <w:rPr>
          <w:rFonts w:ascii="Times New Roman" w:hAnsi="Times New Roman" w:cs="Times New Roman"/>
          <w:sz w:val="24"/>
          <w:szCs w:val="24"/>
          <w:u w:val="single"/>
        </w:rPr>
      </w:pPr>
    </w:p>
    <w:p w14:paraId="17E31119" w14:textId="2E6D3C9F" w:rsidR="00FB16C8" w:rsidRPr="00FB16C8" w:rsidRDefault="00FB16C8" w:rsidP="00FB16C8">
      <w:pPr>
        <w:autoSpaceDE w:val="0"/>
        <w:autoSpaceDN w:val="0"/>
        <w:adjustRightInd w:val="0"/>
        <w:spacing w:after="0" w:line="240" w:lineRule="auto"/>
        <w:jc w:val="center"/>
        <w:rPr>
          <w:rFonts w:ascii="Times New Roman" w:hAnsi="Times New Roman" w:cs="Times New Roman"/>
          <w:i/>
          <w:iCs/>
          <w:sz w:val="24"/>
          <w:szCs w:val="24"/>
        </w:rPr>
      </w:pPr>
      <w:r w:rsidRPr="00FB16C8">
        <w:rPr>
          <w:rFonts w:ascii="Times New Roman" w:hAnsi="Times New Roman" w:cs="Times New Roman"/>
          <w:i/>
          <w:iCs/>
          <w:sz w:val="24"/>
          <w:szCs w:val="24"/>
        </w:rPr>
        <w:t>Diplomatic Privileges and Immunities Act 1967</w:t>
      </w:r>
    </w:p>
    <w:p w14:paraId="47234079" w14:textId="77777777" w:rsidR="00FB16C8" w:rsidRDefault="00FB16C8" w:rsidP="00FB16C8">
      <w:pPr>
        <w:autoSpaceDE w:val="0"/>
        <w:autoSpaceDN w:val="0"/>
        <w:adjustRightInd w:val="0"/>
        <w:spacing w:after="0" w:line="240" w:lineRule="auto"/>
        <w:jc w:val="center"/>
        <w:rPr>
          <w:rFonts w:ascii="Times New Roman" w:hAnsi="Times New Roman" w:cs="Times New Roman"/>
          <w:sz w:val="24"/>
          <w:szCs w:val="24"/>
          <w:u w:val="single"/>
        </w:rPr>
      </w:pPr>
    </w:p>
    <w:p w14:paraId="71427240" w14:textId="3F650D36" w:rsidR="002B15BB" w:rsidRPr="00FB16C8" w:rsidRDefault="002B15BB" w:rsidP="00FB16C8">
      <w:pPr>
        <w:autoSpaceDE w:val="0"/>
        <w:autoSpaceDN w:val="0"/>
        <w:adjustRightInd w:val="0"/>
        <w:spacing w:after="0" w:line="240" w:lineRule="auto"/>
        <w:jc w:val="center"/>
        <w:rPr>
          <w:rFonts w:ascii="Times New Roman" w:hAnsi="Times New Roman" w:cs="Times New Roman"/>
          <w:b/>
          <w:bCs/>
          <w:i/>
          <w:iCs/>
          <w:sz w:val="24"/>
          <w:szCs w:val="24"/>
        </w:rPr>
      </w:pPr>
      <w:r w:rsidRPr="00FB16C8">
        <w:rPr>
          <w:rFonts w:ascii="Times New Roman" w:hAnsi="Times New Roman" w:cs="Times New Roman"/>
          <w:b/>
          <w:bCs/>
          <w:i/>
          <w:iCs/>
          <w:sz w:val="24"/>
          <w:szCs w:val="24"/>
        </w:rPr>
        <w:t>Diplomatic Privileges and Immunities (Indirect Tax Concession Scheme)</w:t>
      </w:r>
      <w:r w:rsidR="00101307">
        <w:rPr>
          <w:rFonts w:ascii="Times New Roman" w:hAnsi="Times New Roman" w:cs="Times New Roman"/>
          <w:b/>
          <w:bCs/>
          <w:i/>
          <w:iCs/>
          <w:sz w:val="24"/>
          <w:szCs w:val="24"/>
        </w:rPr>
        <w:br/>
      </w:r>
      <w:r w:rsidRPr="00FB16C8">
        <w:rPr>
          <w:rFonts w:ascii="Times New Roman" w:hAnsi="Times New Roman" w:cs="Times New Roman"/>
          <w:b/>
          <w:bCs/>
          <w:i/>
          <w:iCs/>
          <w:sz w:val="24"/>
          <w:szCs w:val="24"/>
        </w:rPr>
        <w:t>Amendment (</w:t>
      </w:r>
      <w:r w:rsidR="00AA13B5">
        <w:rPr>
          <w:rFonts w:ascii="Times New Roman" w:hAnsi="Times New Roman" w:cs="Times New Roman"/>
          <w:b/>
          <w:bCs/>
          <w:i/>
          <w:iCs/>
          <w:sz w:val="24"/>
          <w:szCs w:val="24"/>
        </w:rPr>
        <w:t>Oman</w:t>
      </w:r>
      <w:r w:rsidRPr="00FB16C8">
        <w:rPr>
          <w:rFonts w:ascii="Times New Roman" w:hAnsi="Times New Roman" w:cs="Times New Roman"/>
          <w:b/>
          <w:bCs/>
          <w:i/>
          <w:iCs/>
          <w:sz w:val="24"/>
          <w:szCs w:val="24"/>
        </w:rPr>
        <w:t>) Determination </w:t>
      </w:r>
      <w:r w:rsidR="00954DEB" w:rsidRPr="00E471E3">
        <w:rPr>
          <w:rFonts w:ascii="Times New Roman" w:hAnsi="Times New Roman" w:cs="Times New Roman"/>
          <w:b/>
          <w:bCs/>
          <w:i/>
          <w:iCs/>
          <w:sz w:val="24"/>
          <w:szCs w:val="24"/>
        </w:rPr>
        <w:t>202</w:t>
      </w:r>
      <w:r w:rsidR="007042B8">
        <w:rPr>
          <w:rFonts w:ascii="Times New Roman" w:hAnsi="Times New Roman" w:cs="Times New Roman"/>
          <w:b/>
          <w:bCs/>
          <w:i/>
          <w:iCs/>
          <w:sz w:val="24"/>
          <w:szCs w:val="24"/>
        </w:rPr>
        <w:t>4</w:t>
      </w:r>
      <w:r w:rsidR="00D72443">
        <w:rPr>
          <w:rFonts w:ascii="Times New Roman" w:hAnsi="Times New Roman" w:cs="Times New Roman"/>
          <w:b/>
          <w:bCs/>
          <w:i/>
          <w:iCs/>
          <w:sz w:val="24"/>
          <w:szCs w:val="24"/>
        </w:rPr>
        <w:t xml:space="preserve"> </w:t>
      </w:r>
      <w:r w:rsidR="00D72443" w:rsidRPr="00493A2C">
        <w:rPr>
          <w:rFonts w:ascii="Times New Roman" w:hAnsi="Times New Roman" w:cs="Times New Roman"/>
          <w:b/>
          <w:bCs/>
          <w:sz w:val="24"/>
          <w:szCs w:val="24"/>
        </w:rPr>
        <w:t>(</w:t>
      </w:r>
      <w:r w:rsidR="00D72443">
        <w:rPr>
          <w:rFonts w:ascii="Times New Roman" w:hAnsi="Times New Roman" w:cs="Times New Roman"/>
          <w:b/>
          <w:bCs/>
          <w:sz w:val="24"/>
          <w:szCs w:val="24"/>
        </w:rPr>
        <w:t xml:space="preserve">the </w:t>
      </w:r>
      <w:r w:rsidR="00D72443" w:rsidRPr="00493A2C">
        <w:rPr>
          <w:rFonts w:ascii="Times New Roman" w:hAnsi="Times New Roman" w:cs="Times New Roman"/>
          <w:b/>
          <w:bCs/>
          <w:sz w:val="24"/>
          <w:szCs w:val="24"/>
        </w:rPr>
        <w:t>Amendment)</w:t>
      </w:r>
    </w:p>
    <w:p w14:paraId="1D25F2D8" w14:textId="77777777" w:rsidR="004A2558" w:rsidRDefault="004A2558" w:rsidP="002B15BB">
      <w:pPr>
        <w:autoSpaceDE w:val="0"/>
        <w:autoSpaceDN w:val="0"/>
        <w:adjustRightInd w:val="0"/>
        <w:spacing w:after="0" w:line="240" w:lineRule="auto"/>
        <w:rPr>
          <w:rFonts w:ascii="Times New Roman" w:hAnsi="Times New Roman" w:cs="Times New Roman"/>
          <w:sz w:val="24"/>
          <w:szCs w:val="24"/>
          <w:u w:val="single"/>
        </w:rPr>
      </w:pPr>
    </w:p>
    <w:p w14:paraId="21A7AC46" w14:textId="77777777" w:rsidR="004A2558" w:rsidRDefault="004A2558" w:rsidP="002B15BB">
      <w:pPr>
        <w:autoSpaceDE w:val="0"/>
        <w:autoSpaceDN w:val="0"/>
        <w:adjustRightInd w:val="0"/>
        <w:spacing w:after="0" w:line="240" w:lineRule="auto"/>
        <w:rPr>
          <w:rFonts w:ascii="Times New Roman" w:hAnsi="Times New Roman" w:cs="Times New Roman"/>
          <w:sz w:val="24"/>
          <w:szCs w:val="24"/>
        </w:rPr>
      </w:pPr>
    </w:p>
    <w:p w14:paraId="76551738" w14:textId="77777777" w:rsidR="00E86BAC" w:rsidRPr="003A4DD8" w:rsidRDefault="00E86BAC" w:rsidP="00E86BA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Legislative Authority</w:t>
      </w:r>
    </w:p>
    <w:p w14:paraId="19933FCA" w14:textId="42E60715" w:rsidR="002B15BB" w:rsidRDefault="002B15BB" w:rsidP="002B15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10B of the </w:t>
      </w:r>
      <w:r>
        <w:rPr>
          <w:rFonts w:ascii="Times New Roman" w:hAnsi="Times New Roman" w:cs="Times New Roman"/>
          <w:i/>
          <w:iCs/>
          <w:sz w:val="24"/>
          <w:szCs w:val="24"/>
        </w:rPr>
        <w:t xml:space="preserve">Diplomatic Privileges and Immunities Act 1967 </w:t>
      </w:r>
      <w:r w:rsidR="00C71239">
        <w:rPr>
          <w:rFonts w:ascii="Times New Roman" w:hAnsi="Times New Roman" w:cs="Times New Roman"/>
          <w:sz w:val="24"/>
          <w:szCs w:val="24"/>
        </w:rPr>
        <w:t xml:space="preserve">(the Act) </w:t>
      </w:r>
      <w:r>
        <w:rPr>
          <w:rFonts w:ascii="Times New Roman" w:hAnsi="Times New Roman" w:cs="Times New Roman"/>
          <w:sz w:val="24"/>
          <w:szCs w:val="24"/>
        </w:rPr>
        <w:t xml:space="preserve">provides that the Minister may make Determinations </w:t>
      </w:r>
      <w:r w:rsidR="00C05D0F">
        <w:rPr>
          <w:rFonts w:ascii="Times New Roman" w:hAnsi="Times New Roman" w:cs="Times New Roman"/>
          <w:sz w:val="24"/>
          <w:szCs w:val="24"/>
        </w:rPr>
        <w:t>for</w:t>
      </w:r>
      <w:r>
        <w:rPr>
          <w:rFonts w:ascii="Times New Roman" w:hAnsi="Times New Roman" w:cs="Times New Roman"/>
          <w:sz w:val="24"/>
          <w:szCs w:val="24"/>
        </w:rPr>
        <w:t xml:space="preserve"> the Commissioner of</w:t>
      </w:r>
      <w:r w:rsidR="0058112B">
        <w:rPr>
          <w:rFonts w:ascii="Times New Roman" w:hAnsi="Times New Roman" w:cs="Times New Roman"/>
          <w:sz w:val="24"/>
          <w:szCs w:val="24"/>
        </w:rPr>
        <w:t xml:space="preserve"> Taxation to pay the head of a</w:t>
      </w:r>
      <w:r>
        <w:rPr>
          <w:rFonts w:ascii="Times New Roman" w:hAnsi="Times New Roman" w:cs="Times New Roman"/>
          <w:sz w:val="24"/>
          <w:szCs w:val="24"/>
        </w:rPr>
        <w:t xml:space="preserve"> </w:t>
      </w:r>
      <w:r w:rsidR="00786F68">
        <w:rPr>
          <w:rFonts w:ascii="Times New Roman" w:hAnsi="Times New Roman" w:cs="Times New Roman"/>
          <w:sz w:val="24"/>
          <w:szCs w:val="24"/>
        </w:rPr>
        <w:t xml:space="preserve">diplomatic </w:t>
      </w:r>
      <w:r>
        <w:rPr>
          <w:rFonts w:ascii="Times New Roman" w:hAnsi="Times New Roman" w:cs="Times New Roman"/>
          <w:sz w:val="24"/>
          <w:szCs w:val="24"/>
        </w:rPr>
        <w:t>mission (or</w:t>
      </w:r>
      <w:r w:rsidR="00C6393C">
        <w:rPr>
          <w:rFonts w:ascii="Times New Roman" w:hAnsi="Times New Roman" w:cs="Times New Roman"/>
          <w:sz w:val="24"/>
          <w:szCs w:val="24"/>
        </w:rPr>
        <w:t> </w:t>
      </w:r>
      <w:r>
        <w:rPr>
          <w:rFonts w:ascii="Times New Roman" w:hAnsi="Times New Roman" w:cs="Times New Roman"/>
          <w:sz w:val="24"/>
          <w:szCs w:val="24"/>
        </w:rPr>
        <w:t>a</w:t>
      </w:r>
      <w:r w:rsidR="00C6393C">
        <w:rPr>
          <w:rFonts w:ascii="Times New Roman" w:hAnsi="Times New Roman" w:cs="Times New Roman"/>
          <w:sz w:val="24"/>
          <w:szCs w:val="24"/>
        </w:rPr>
        <w:t> </w:t>
      </w:r>
      <w:r>
        <w:rPr>
          <w:rFonts w:ascii="Times New Roman" w:hAnsi="Times New Roman" w:cs="Times New Roman"/>
          <w:sz w:val="24"/>
          <w:szCs w:val="24"/>
        </w:rPr>
        <w:t xml:space="preserve">person in a class of persons determined by the Minister) an amount equal to the indirect tax payable (if any) in respect of </w:t>
      </w:r>
      <w:r w:rsidR="0058112B">
        <w:rPr>
          <w:rFonts w:ascii="Times New Roman" w:hAnsi="Times New Roman" w:cs="Times New Roman"/>
          <w:sz w:val="24"/>
          <w:szCs w:val="24"/>
        </w:rPr>
        <w:t>an</w:t>
      </w:r>
      <w:r>
        <w:rPr>
          <w:rFonts w:ascii="Times New Roman" w:hAnsi="Times New Roman" w:cs="Times New Roman"/>
          <w:sz w:val="24"/>
          <w:szCs w:val="24"/>
        </w:rPr>
        <w:t xml:space="preserve"> acquisition</w:t>
      </w:r>
      <w:r w:rsidR="0058112B">
        <w:rPr>
          <w:rFonts w:ascii="Times New Roman" w:hAnsi="Times New Roman" w:cs="Times New Roman"/>
          <w:sz w:val="24"/>
          <w:szCs w:val="24"/>
        </w:rPr>
        <w:t xml:space="preserve"> covered by the Minister’s Determination</w:t>
      </w:r>
      <w:r>
        <w:rPr>
          <w:rFonts w:ascii="Times New Roman" w:hAnsi="Times New Roman" w:cs="Times New Roman"/>
          <w:sz w:val="24"/>
          <w:szCs w:val="24"/>
        </w:rPr>
        <w:t>.</w:t>
      </w:r>
    </w:p>
    <w:p w14:paraId="43D0DBC0" w14:textId="77777777" w:rsidR="004A08F3" w:rsidRDefault="004A08F3" w:rsidP="002B15BB">
      <w:pPr>
        <w:autoSpaceDE w:val="0"/>
        <w:autoSpaceDN w:val="0"/>
        <w:adjustRightInd w:val="0"/>
        <w:spacing w:after="0" w:line="240" w:lineRule="auto"/>
        <w:rPr>
          <w:rFonts w:ascii="Times New Roman" w:hAnsi="Times New Roman" w:cs="Times New Roman"/>
          <w:sz w:val="24"/>
          <w:szCs w:val="24"/>
        </w:rPr>
      </w:pPr>
    </w:p>
    <w:p w14:paraId="700466E6" w14:textId="6A43F064" w:rsidR="004A08F3" w:rsidRPr="0064211F" w:rsidRDefault="004A08F3" w:rsidP="004A08F3">
      <w:pPr>
        <w:autoSpaceDE w:val="0"/>
        <w:autoSpaceDN w:val="0"/>
        <w:adjustRightInd w:val="0"/>
        <w:spacing w:after="0" w:line="240" w:lineRule="auto"/>
        <w:rPr>
          <w:rFonts w:ascii="Times New Roman" w:hAnsi="Times New Roman" w:cs="Times New Roman"/>
          <w:sz w:val="24"/>
          <w:szCs w:val="24"/>
        </w:rPr>
      </w:pPr>
      <w:r w:rsidRPr="0064211F">
        <w:rPr>
          <w:rFonts w:ascii="Times New Roman" w:hAnsi="Times New Roman" w:cs="Times New Roman"/>
          <w:sz w:val="24"/>
          <w:szCs w:val="24"/>
        </w:rPr>
        <w:t xml:space="preserve">The </w:t>
      </w:r>
      <w:r>
        <w:rPr>
          <w:rFonts w:ascii="Times New Roman" w:hAnsi="Times New Roman" w:cs="Times New Roman"/>
          <w:i/>
          <w:sz w:val="24"/>
          <w:szCs w:val="24"/>
        </w:rPr>
        <w:t>Diplomatic</w:t>
      </w:r>
      <w:r w:rsidRPr="0064211F">
        <w:rPr>
          <w:rFonts w:ascii="Times New Roman" w:hAnsi="Times New Roman" w:cs="Times New Roman"/>
          <w:i/>
          <w:iCs/>
          <w:sz w:val="24"/>
          <w:szCs w:val="24"/>
        </w:rPr>
        <w:t xml:space="preserve"> Privileges and Immunities (Indirect Tax Concession Scheme) Determination</w:t>
      </w:r>
      <w:r w:rsidR="00786F68">
        <w:rPr>
          <w:rFonts w:ascii="Times New Roman" w:hAnsi="Times New Roman" w:cs="Times New Roman"/>
          <w:i/>
          <w:iCs/>
          <w:sz w:val="24"/>
          <w:szCs w:val="24"/>
        </w:rPr>
        <w:t> </w:t>
      </w:r>
      <w:r w:rsidRPr="0064211F">
        <w:rPr>
          <w:rFonts w:ascii="Times New Roman" w:hAnsi="Times New Roman" w:cs="Times New Roman"/>
          <w:i/>
          <w:iCs/>
          <w:sz w:val="24"/>
          <w:szCs w:val="24"/>
        </w:rPr>
        <w:t>2000</w:t>
      </w:r>
      <w:r w:rsidRPr="0064211F">
        <w:rPr>
          <w:rFonts w:ascii="Times New Roman" w:hAnsi="Times New Roman" w:cs="Times New Roman"/>
          <w:sz w:val="24"/>
          <w:szCs w:val="24"/>
        </w:rPr>
        <w:t xml:space="preserve"> (the Determination), determines acquisitions and persons for the purpose of section 10A of the Act. </w:t>
      </w:r>
    </w:p>
    <w:p w14:paraId="4102EDB1" w14:textId="77777777" w:rsidR="004A2558" w:rsidRDefault="004A2558" w:rsidP="002B15BB">
      <w:pPr>
        <w:autoSpaceDE w:val="0"/>
        <w:autoSpaceDN w:val="0"/>
        <w:adjustRightInd w:val="0"/>
        <w:spacing w:after="0" w:line="240" w:lineRule="auto"/>
        <w:rPr>
          <w:rFonts w:ascii="Times New Roman" w:hAnsi="Times New Roman" w:cs="Times New Roman"/>
          <w:sz w:val="24"/>
          <w:szCs w:val="24"/>
        </w:rPr>
      </w:pPr>
    </w:p>
    <w:p w14:paraId="0977AFA4" w14:textId="77777777" w:rsidR="0044256A" w:rsidRPr="003A4DD8" w:rsidRDefault="0044256A" w:rsidP="0044256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Purpose</w:t>
      </w:r>
    </w:p>
    <w:p w14:paraId="286579D1" w14:textId="76905CCE" w:rsidR="002B15BB" w:rsidRDefault="002B15BB" w:rsidP="00C643EA">
      <w:pPr>
        <w:autoSpaceDE w:val="0"/>
        <w:autoSpaceDN w:val="0"/>
        <w:adjustRightInd w:val="0"/>
        <w:spacing w:after="0" w:line="240" w:lineRule="auto"/>
        <w:rPr>
          <w:rFonts w:ascii="Times New Roman" w:hAnsi="Times New Roman" w:cs="Times New Roman"/>
          <w:sz w:val="24"/>
          <w:szCs w:val="24"/>
        </w:rPr>
      </w:pPr>
      <w:r w:rsidRPr="1ADBBA46">
        <w:rPr>
          <w:rFonts w:ascii="Times New Roman" w:hAnsi="Times New Roman" w:cs="Times New Roman"/>
          <w:sz w:val="24"/>
          <w:szCs w:val="24"/>
        </w:rPr>
        <w:t xml:space="preserve">The purpose of </w:t>
      </w:r>
      <w:r w:rsidR="00F313FC" w:rsidRPr="1ADBBA46">
        <w:rPr>
          <w:rFonts w:ascii="Times New Roman" w:hAnsi="Times New Roman" w:cs="Times New Roman"/>
          <w:sz w:val="24"/>
          <w:szCs w:val="24"/>
        </w:rPr>
        <w:t xml:space="preserve">the Amendment </w:t>
      </w:r>
      <w:r w:rsidRPr="1ADBBA46">
        <w:rPr>
          <w:rFonts w:ascii="Times New Roman" w:hAnsi="Times New Roman" w:cs="Times New Roman"/>
          <w:sz w:val="24"/>
          <w:szCs w:val="24"/>
        </w:rPr>
        <w:t xml:space="preserve">is to amend </w:t>
      </w:r>
      <w:r w:rsidR="00786F68">
        <w:rPr>
          <w:rFonts w:ascii="Times New Roman" w:hAnsi="Times New Roman" w:cs="Times New Roman"/>
          <w:sz w:val="24"/>
          <w:szCs w:val="24"/>
        </w:rPr>
        <w:t xml:space="preserve">the </w:t>
      </w:r>
      <w:r w:rsidR="00F313FC" w:rsidRPr="1ADBBA46">
        <w:rPr>
          <w:rFonts w:ascii="Times New Roman" w:hAnsi="Times New Roman" w:cs="Times New Roman"/>
          <w:sz w:val="24"/>
          <w:szCs w:val="24"/>
        </w:rPr>
        <w:t xml:space="preserve">Determination </w:t>
      </w:r>
      <w:r w:rsidR="0058112B" w:rsidRPr="1ADBBA46">
        <w:rPr>
          <w:rFonts w:ascii="Times New Roman" w:hAnsi="Times New Roman" w:cs="Times New Roman"/>
          <w:sz w:val="24"/>
          <w:szCs w:val="24"/>
        </w:rPr>
        <w:t>to create</w:t>
      </w:r>
      <w:r w:rsidR="00050BB6" w:rsidRPr="1ADBBA46">
        <w:rPr>
          <w:rFonts w:ascii="Times New Roman" w:hAnsi="Times New Roman" w:cs="Times New Roman"/>
          <w:sz w:val="24"/>
          <w:szCs w:val="24"/>
        </w:rPr>
        <w:t xml:space="preserve"> </w:t>
      </w:r>
      <w:r w:rsidRPr="1ADBBA46">
        <w:rPr>
          <w:rFonts w:ascii="Times New Roman" w:hAnsi="Times New Roman" w:cs="Times New Roman"/>
          <w:sz w:val="24"/>
          <w:szCs w:val="24"/>
        </w:rPr>
        <w:t xml:space="preserve">new Indirect Tax Concession Scheme (ITCS) </w:t>
      </w:r>
      <w:r w:rsidR="00C05D0F" w:rsidRPr="1ADBBA46">
        <w:rPr>
          <w:rFonts w:ascii="Times New Roman" w:hAnsi="Times New Roman" w:cs="Times New Roman"/>
          <w:sz w:val="24"/>
          <w:szCs w:val="24"/>
        </w:rPr>
        <w:t>package</w:t>
      </w:r>
      <w:r w:rsidR="000135F1">
        <w:rPr>
          <w:rFonts w:ascii="Times New Roman" w:hAnsi="Times New Roman" w:cs="Times New Roman"/>
          <w:sz w:val="24"/>
          <w:szCs w:val="24"/>
        </w:rPr>
        <w:t>s</w:t>
      </w:r>
      <w:r w:rsidR="00C05D0F" w:rsidRPr="1ADBBA46">
        <w:rPr>
          <w:rFonts w:ascii="Times New Roman" w:hAnsi="Times New Roman" w:cs="Times New Roman"/>
          <w:sz w:val="24"/>
          <w:szCs w:val="24"/>
        </w:rPr>
        <w:t xml:space="preserve"> </w:t>
      </w:r>
      <w:r w:rsidR="00F7162E" w:rsidRPr="1ADBBA46">
        <w:rPr>
          <w:rFonts w:ascii="Times New Roman" w:hAnsi="Times New Roman" w:cs="Times New Roman"/>
          <w:sz w:val="24"/>
          <w:szCs w:val="24"/>
        </w:rPr>
        <w:t xml:space="preserve">for </w:t>
      </w:r>
      <w:r w:rsidR="00356B35">
        <w:rPr>
          <w:rFonts w:ascii="Times New Roman" w:hAnsi="Times New Roman" w:cs="Times New Roman"/>
          <w:sz w:val="24"/>
          <w:szCs w:val="24"/>
        </w:rPr>
        <w:t>Oman</w:t>
      </w:r>
      <w:r w:rsidR="00A54B60">
        <w:rPr>
          <w:rFonts w:ascii="Times New Roman" w:hAnsi="Times New Roman" w:cs="Times New Roman"/>
          <w:sz w:val="24"/>
          <w:szCs w:val="24"/>
        </w:rPr>
        <w:t xml:space="preserve"> </w:t>
      </w:r>
      <w:r w:rsidR="00EF54F3" w:rsidRPr="00504175">
        <w:rPr>
          <w:rFonts w:ascii="Times New Roman" w:hAnsi="Times New Roman" w:cs="Times New Roman"/>
          <w:sz w:val="24"/>
          <w:szCs w:val="24"/>
        </w:rPr>
        <w:t>by providing indirect tax concessions to</w:t>
      </w:r>
      <w:r w:rsidR="00786F68">
        <w:rPr>
          <w:rFonts w:ascii="Times New Roman" w:hAnsi="Times New Roman" w:cs="Times New Roman"/>
          <w:sz w:val="24"/>
          <w:szCs w:val="24"/>
        </w:rPr>
        <w:t xml:space="preserve"> </w:t>
      </w:r>
      <w:r w:rsidR="000135F1">
        <w:rPr>
          <w:rFonts w:ascii="Times New Roman" w:hAnsi="Times New Roman" w:cs="Times New Roman"/>
          <w:sz w:val="24"/>
          <w:szCs w:val="24"/>
        </w:rPr>
        <w:t xml:space="preserve">their </w:t>
      </w:r>
      <w:r w:rsidR="000C6AAB" w:rsidRPr="1ADBBA46">
        <w:rPr>
          <w:rFonts w:ascii="Times New Roman" w:hAnsi="Times New Roman" w:cs="Times New Roman"/>
          <w:sz w:val="24"/>
          <w:szCs w:val="24"/>
        </w:rPr>
        <w:t>diplomatic mission</w:t>
      </w:r>
      <w:r w:rsidR="000135F1">
        <w:rPr>
          <w:rFonts w:ascii="Times New Roman" w:hAnsi="Times New Roman" w:cs="Times New Roman"/>
          <w:sz w:val="24"/>
          <w:szCs w:val="24"/>
        </w:rPr>
        <w:t>s</w:t>
      </w:r>
      <w:r w:rsidRPr="1ADBBA46">
        <w:rPr>
          <w:rFonts w:ascii="Times New Roman" w:hAnsi="Times New Roman" w:cs="Times New Roman"/>
          <w:sz w:val="24"/>
          <w:szCs w:val="24"/>
        </w:rPr>
        <w:t xml:space="preserve"> </w:t>
      </w:r>
      <w:r w:rsidR="00EF54F3">
        <w:rPr>
          <w:rFonts w:ascii="Times New Roman" w:hAnsi="Times New Roman" w:cs="Times New Roman"/>
          <w:sz w:val="24"/>
          <w:szCs w:val="24"/>
        </w:rPr>
        <w:t xml:space="preserve">in Australia </w:t>
      </w:r>
      <w:r w:rsidRPr="1ADBBA46">
        <w:rPr>
          <w:rFonts w:ascii="Times New Roman" w:hAnsi="Times New Roman" w:cs="Times New Roman"/>
          <w:sz w:val="24"/>
          <w:szCs w:val="24"/>
        </w:rPr>
        <w:t xml:space="preserve">and accredited staff.  The effect of the </w:t>
      </w:r>
      <w:r w:rsidR="006901BA" w:rsidRPr="1ADBBA46">
        <w:rPr>
          <w:rFonts w:ascii="Times New Roman" w:hAnsi="Times New Roman" w:cs="Times New Roman"/>
          <w:sz w:val="24"/>
          <w:szCs w:val="24"/>
        </w:rPr>
        <w:t xml:space="preserve">Amendment </w:t>
      </w:r>
      <w:r w:rsidRPr="1ADBBA46">
        <w:rPr>
          <w:rFonts w:ascii="Times New Roman" w:hAnsi="Times New Roman" w:cs="Times New Roman"/>
          <w:sz w:val="24"/>
          <w:szCs w:val="24"/>
        </w:rPr>
        <w:t xml:space="preserve">is to </w:t>
      </w:r>
      <w:r w:rsidR="00786F68">
        <w:rPr>
          <w:rFonts w:ascii="Times New Roman" w:hAnsi="Times New Roman" w:cs="Times New Roman"/>
          <w:sz w:val="24"/>
          <w:szCs w:val="24"/>
        </w:rPr>
        <w:t xml:space="preserve">update </w:t>
      </w:r>
      <w:r w:rsidR="00C05D0F" w:rsidRPr="1ADBBA46">
        <w:rPr>
          <w:rFonts w:ascii="Times New Roman" w:hAnsi="Times New Roman" w:cs="Times New Roman"/>
          <w:sz w:val="24"/>
          <w:szCs w:val="24"/>
        </w:rPr>
        <w:t>item</w:t>
      </w:r>
      <w:r w:rsidR="0026562B">
        <w:rPr>
          <w:rFonts w:ascii="Times New Roman" w:hAnsi="Times New Roman" w:cs="Times New Roman"/>
          <w:sz w:val="24"/>
          <w:szCs w:val="24"/>
        </w:rPr>
        <w:t>s</w:t>
      </w:r>
      <w:r w:rsidR="00786F68">
        <w:rPr>
          <w:rFonts w:ascii="Times New Roman" w:hAnsi="Times New Roman" w:cs="Times New Roman"/>
          <w:sz w:val="24"/>
          <w:szCs w:val="24"/>
        </w:rPr>
        <w:t xml:space="preserve"> in</w:t>
      </w:r>
      <w:r w:rsidR="00F313FC" w:rsidRPr="1ADBBA46">
        <w:rPr>
          <w:rFonts w:ascii="Times New Roman" w:hAnsi="Times New Roman" w:cs="Times New Roman"/>
          <w:sz w:val="24"/>
          <w:szCs w:val="24"/>
        </w:rPr>
        <w:t xml:space="preserve"> Schedule 1 of the Determination, which </w:t>
      </w:r>
      <w:r w:rsidR="00C05D0F" w:rsidRPr="1ADBBA46">
        <w:rPr>
          <w:rFonts w:ascii="Times New Roman" w:hAnsi="Times New Roman" w:cs="Times New Roman"/>
          <w:sz w:val="24"/>
          <w:szCs w:val="24"/>
        </w:rPr>
        <w:t>list</w:t>
      </w:r>
      <w:r w:rsidR="00F313FC" w:rsidRPr="1ADBBA46">
        <w:rPr>
          <w:rFonts w:ascii="Times New Roman" w:hAnsi="Times New Roman" w:cs="Times New Roman"/>
          <w:sz w:val="24"/>
          <w:szCs w:val="24"/>
        </w:rPr>
        <w:t>s</w:t>
      </w:r>
      <w:r w:rsidRPr="1ADBBA46">
        <w:rPr>
          <w:rFonts w:ascii="Times New Roman" w:hAnsi="Times New Roman" w:cs="Times New Roman"/>
          <w:sz w:val="24"/>
          <w:szCs w:val="24"/>
        </w:rPr>
        <w:t xml:space="preserve"> the ITCS package</w:t>
      </w:r>
      <w:r w:rsidR="00F313FC" w:rsidRPr="1ADBBA46">
        <w:rPr>
          <w:rFonts w:ascii="Times New Roman" w:hAnsi="Times New Roman" w:cs="Times New Roman"/>
          <w:sz w:val="24"/>
          <w:szCs w:val="24"/>
        </w:rPr>
        <w:t>s</w:t>
      </w:r>
      <w:r w:rsidRPr="1ADBBA46">
        <w:rPr>
          <w:rFonts w:ascii="Times New Roman" w:hAnsi="Times New Roman" w:cs="Times New Roman"/>
          <w:sz w:val="24"/>
          <w:szCs w:val="24"/>
        </w:rPr>
        <w:t xml:space="preserve"> available to </w:t>
      </w:r>
      <w:proofErr w:type="gramStart"/>
      <w:r w:rsidRPr="1ADBBA46">
        <w:rPr>
          <w:rFonts w:ascii="Times New Roman" w:hAnsi="Times New Roman" w:cs="Times New Roman"/>
          <w:sz w:val="24"/>
          <w:szCs w:val="24"/>
        </w:rPr>
        <w:t xml:space="preserve">particular </w:t>
      </w:r>
      <w:r w:rsidR="00C643EA" w:rsidRPr="1ADBBA46">
        <w:rPr>
          <w:rFonts w:ascii="Times New Roman" w:hAnsi="Times New Roman" w:cs="Times New Roman"/>
          <w:sz w:val="24"/>
          <w:szCs w:val="24"/>
        </w:rPr>
        <w:t>diplomatic</w:t>
      </w:r>
      <w:proofErr w:type="gramEnd"/>
      <w:r w:rsidR="00C643EA" w:rsidRPr="1ADBBA46">
        <w:rPr>
          <w:rFonts w:ascii="Times New Roman" w:hAnsi="Times New Roman" w:cs="Times New Roman"/>
          <w:sz w:val="24"/>
          <w:szCs w:val="24"/>
        </w:rPr>
        <w:t xml:space="preserve"> missions</w:t>
      </w:r>
      <w:r w:rsidRPr="1ADBBA46">
        <w:rPr>
          <w:rFonts w:ascii="Times New Roman" w:hAnsi="Times New Roman" w:cs="Times New Roman"/>
          <w:sz w:val="24"/>
          <w:szCs w:val="24"/>
        </w:rPr>
        <w:t xml:space="preserve">. </w:t>
      </w:r>
    </w:p>
    <w:p w14:paraId="57FF0A96" w14:textId="77777777" w:rsidR="004A2558" w:rsidRDefault="004A2558" w:rsidP="002B15BB">
      <w:pPr>
        <w:autoSpaceDE w:val="0"/>
        <w:autoSpaceDN w:val="0"/>
        <w:adjustRightInd w:val="0"/>
        <w:spacing w:after="0" w:line="240" w:lineRule="auto"/>
        <w:rPr>
          <w:rFonts w:ascii="Times New Roman" w:hAnsi="Times New Roman" w:cs="Times New Roman"/>
          <w:sz w:val="24"/>
          <w:szCs w:val="24"/>
        </w:rPr>
      </w:pPr>
    </w:p>
    <w:p w14:paraId="6E45F727" w14:textId="0328CEF3" w:rsidR="002B15BB" w:rsidRDefault="002B15BB" w:rsidP="0009278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Diplomatic missions and accredited staff are exempt from paying direct taxes under the </w:t>
      </w:r>
      <w:r w:rsidRPr="0071501B">
        <w:rPr>
          <w:rFonts w:ascii="Times New Roman" w:hAnsi="Times New Roman" w:cs="Times New Roman"/>
          <w:i/>
          <w:sz w:val="24"/>
          <w:szCs w:val="24"/>
        </w:rPr>
        <w:t>Vienna</w:t>
      </w:r>
      <w:r w:rsidR="00C6393C">
        <w:rPr>
          <w:rFonts w:ascii="Times New Roman" w:hAnsi="Times New Roman" w:cs="Times New Roman"/>
          <w:i/>
          <w:sz w:val="24"/>
          <w:szCs w:val="24"/>
        </w:rPr>
        <w:t> </w:t>
      </w:r>
      <w:r w:rsidRPr="0071501B">
        <w:rPr>
          <w:rFonts w:ascii="Times New Roman" w:hAnsi="Times New Roman" w:cs="Times New Roman"/>
          <w:i/>
          <w:sz w:val="24"/>
          <w:szCs w:val="24"/>
        </w:rPr>
        <w:t>Convention on Diplomatic Relations</w:t>
      </w:r>
      <w:r w:rsidR="005C5F06" w:rsidRPr="0071501B">
        <w:rPr>
          <w:rFonts w:ascii="Times New Roman" w:hAnsi="Times New Roman" w:cs="Times New Roman"/>
          <w:i/>
          <w:sz w:val="24"/>
          <w:szCs w:val="24"/>
        </w:rPr>
        <w:t xml:space="preserve"> 1961</w:t>
      </w:r>
      <w:r>
        <w:rPr>
          <w:rFonts w:ascii="Times New Roman" w:hAnsi="Times New Roman" w:cs="Times New Roman"/>
          <w:sz w:val="24"/>
          <w:szCs w:val="24"/>
        </w:rPr>
        <w:t xml:space="preserve"> (Articles 23, 34</w:t>
      </w:r>
      <w:r w:rsidR="00927F04">
        <w:rPr>
          <w:rFonts w:ascii="Times New Roman" w:hAnsi="Times New Roman" w:cs="Times New Roman"/>
          <w:sz w:val="24"/>
          <w:szCs w:val="24"/>
        </w:rPr>
        <w:t>, 36</w:t>
      </w:r>
      <w:r>
        <w:rPr>
          <w:rFonts w:ascii="Times New Roman" w:hAnsi="Times New Roman" w:cs="Times New Roman"/>
          <w:sz w:val="24"/>
          <w:szCs w:val="24"/>
        </w:rPr>
        <w:t xml:space="preserve"> and 37). </w:t>
      </w:r>
      <w:r w:rsidR="00C6393C">
        <w:rPr>
          <w:rFonts w:ascii="Times New Roman" w:hAnsi="Times New Roman" w:cs="Times New Roman"/>
          <w:sz w:val="24"/>
          <w:szCs w:val="24"/>
        </w:rPr>
        <w:t xml:space="preserve"> </w:t>
      </w:r>
      <w:r>
        <w:rPr>
          <w:rFonts w:ascii="Times New Roman" w:hAnsi="Times New Roman" w:cs="Times New Roman"/>
          <w:sz w:val="24"/>
          <w:szCs w:val="24"/>
        </w:rPr>
        <w:t xml:space="preserve">In line with international practice, </w:t>
      </w:r>
      <w:r w:rsidR="0009278A">
        <w:rPr>
          <w:rFonts w:ascii="Times New Roman" w:hAnsi="Times New Roman" w:cs="Times New Roman"/>
          <w:sz w:val="24"/>
          <w:szCs w:val="24"/>
        </w:rPr>
        <w:t>indirect tax concessions</w:t>
      </w:r>
      <w:r>
        <w:rPr>
          <w:rFonts w:ascii="Times New Roman" w:hAnsi="Times New Roman" w:cs="Times New Roman"/>
          <w:sz w:val="24"/>
          <w:szCs w:val="24"/>
        </w:rPr>
        <w:t xml:space="preserve"> are also </w:t>
      </w:r>
      <w:r w:rsidR="009C7A4C">
        <w:rPr>
          <w:rFonts w:ascii="Times New Roman" w:hAnsi="Times New Roman" w:cs="Times New Roman"/>
          <w:sz w:val="24"/>
          <w:szCs w:val="24"/>
        </w:rPr>
        <w:t>extended to d</w:t>
      </w:r>
      <w:r>
        <w:rPr>
          <w:rFonts w:ascii="Times New Roman" w:hAnsi="Times New Roman" w:cs="Times New Roman"/>
          <w:sz w:val="24"/>
          <w:szCs w:val="24"/>
        </w:rPr>
        <w:t xml:space="preserve">iplomatic missions and accredited staff. </w:t>
      </w:r>
      <w:r w:rsidR="00C6393C">
        <w:rPr>
          <w:rFonts w:ascii="Times New Roman" w:hAnsi="Times New Roman" w:cs="Times New Roman"/>
          <w:sz w:val="24"/>
          <w:szCs w:val="24"/>
        </w:rPr>
        <w:t xml:space="preserve"> </w:t>
      </w:r>
      <w:r>
        <w:rPr>
          <w:rFonts w:ascii="Times New Roman" w:hAnsi="Times New Roman" w:cs="Times New Roman"/>
          <w:sz w:val="24"/>
          <w:szCs w:val="24"/>
        </w:rPr>
        <w:t xml:space="preserve">In Australia, indirect tax concessions are provided </w:t>
      </w:r>
      <w:r w:rsidR="009C7A4C">
        <w:rPr>
          <w:rFonts w:ascii="Times New Roman" w:hAnsi="Times New Roman" w:cs="Times New Roman"/>
          <w:sz w:val="24"/>
          <w:szCs w:val="24"/>
        </w:rPr>
        <w:t xml:space="preserve">for </w:t>
      </w:r>
      <w:r>
        <w:rPr>
          <w:rFonts w:ascii="Times New Roman" w:hAnsi="Times New Roman" w:cs="Times New Roman"/>
          <w:sz w:val="24"/>
          <w:szCs w:val="24"/>
        </w:rPr>
        <w:t xml:space="preserve">under the ITCS. </w:t>
      </w:r>
      <w:r w:rsidR="00C6393C">
        <w:rPr>
          <w:rFonts w:ascii="Times New Roman" w:hAnsi="Times New Roman" w:cs="Times New Roman"/>
          <w:sz w:val="24"/>
          <w:szCs w:val="24"/>
        </w:rPr>
        <w:t xml:space="preserve"> </w:t>
      </w:r>
      <w:r>
        <w:rPr>
          <w:rFonts w:ascii="Times New Roman" w:hAnsi="Times New Roman" w:cs="Times New Roman"/>
          <w:sz w:val="24"/>
          <w:szCs w:val="24"/>
        </w:rPr>
        <w:t xml:space="preserve">Individual packages are negotiated with each country, and the level of concessions provided </w:t>
      </w:r>
      <w:r w:rsidR="0009278A">
        <w:rPr>
          <w:rFonts w:ascii="Times New Roman" w:hAnsi="Times New Roman" w:cs="Times New Roman"/>
          <w:sz w:val="24"/>
          <w:szCs w:val="24"/>
        </w:rPr>
        <w:t>is</w:t>
      </w:r>
      <w:r w:rsidR="00C6393C">
        <w:rPr>
          <w:rFonts w:ascii="Times New Roman" w:hAnsi="Times New Roman" w:cs="Times New Roman"/>
          <w:sz w:val="24"/>
          <w:szCs w:val="24"/>
        </w:rPr>
        <w:t> </w:t>
      </w:r>
      <w:r>
        <w:rPr>
          <w:rFonts w:ascii="Times New Roman" w:hAnsi="Times New Roman" w:cs="Times New Roman"/>
          <w:sz w:val="24"/>
          <w:szCs w:val="24"/>
        </w:rPr>
        <w:t xml:space="preserve">broadly based on reciprocity. </w:t>
      </w:r>
    </w:p>
    <w:p w14:paraId="0D278B22" w14:textId="77777777" w:rsidR="004A2558" w:rsidRDefault="004A2558" w:rsidP="002B15BB">
      <w:pPr>
        <w:autoSpaceDE w:val="0"/>
        <w:autoSpaceDN w:val="0"/>
        <w:adjustRightInd w:val="0"/>
        <w:spacing w:after="0" w:line="240" w:lineRule="auto"/>
        <w:rPr>
          <w:rFonts w:ascii="Times New Roman" w:hAnsi="Times New Roman" w:cs="Times New Roman"/>
          <w:sz w:val="24"/>
          <w:szCs w:val="24"/>
        </w:rPr>
      </w:pPr>
    </w:p>
    <w:p w14:paraId="2C2A14D1" w14:textId="17F38ED2" w:rsidR="00826EBC" w:rsidRDefault="00826EBC" w:rsidP="00826E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Commencement dates for individual packages form part of the negotiations for tax concessions. </w:t>
      </w:r>
      <w:r w:rsidR="00C6393C">
        <w:rPr>
          <w:rFonts w:ascii="Times New Roman" w:hAnsi="Times New Roman" w:cs="Times New Roman"/>
          <w:sz w:val="24"/>
          <w:szCs w:val="24"/>
        </w:rPr>
        <w:t xml:space="preserve"> </w:t>
      </w:r>
      <w:r w:rsidR="00A51F7A">
        <w:rPr>
          <w:rFonts w:ascii="Times New Roman" w:hAnsi="Times New Roman" w:cs="Times New Roman"/>
          <w:sz w:val="24"/>
          <w:szCs w:val="24"/>
        </w:rPr>
        <w:t xml:space="preserve">In some cases, the commencement date reflects the date when the agreement was reached. </w:t>
      </w:r>
      <w:r w:rsidR="00C6393C">
        <w:rPr>
          <w:rFonts w:ascii="Times New Roman" w:hAnsi="Times New Roman" w:cs="Times New Roman"/>
          <w:sz w:val="24"/>
          <w:szCs w:val="24"/>
        </w:rPr>
        <w:t xml:space="preserve"> </w:t>
      </w:r>
      <w:r w:rsidR="00A51F7A">
        <w:rPr>
          <w:rFonts w:ascii="Times New Roman" w:hAnsi="Times New Roman" w:cs="Times New Roman"/>
          <w:sz w:val="24"/>
          <w:szCs w:val="24"/>
        </w:rPr>
        <w:t>In</w:t>
      </w:r>
      <w:r w:rsidR="00C6393C">
        <w:rPr>
          <w:rFonts w:ascii="Times New Roman" w:hAnsi="Times New Roman" w:cs="Times New Roman"/>
          <w:sz w:val="24"/>
          <w:szCs w:val="24"/>
        </w:rPr>
        <w:t> </w:t>
      </w:r>
      <w:r w:rsidR="00A51F7A">
        <w:rPr>
          <w:rFonts w:ascii="Times New Roman" w:hAnsi="Times New Roman" w:cs="Times New Roman"/>
          <w:sz w:val="24"/>
          <w:szCs w:val="24"/>
        </w:rPr>
        <w:t>other cases, the commencement date allows access to concessions for purchases of goods and</w:t>
      </w:r>
      <w:r w:rsidR="00C6393C">
        <w:rPr>
          <w:rFonts w:ascii="Times New Roman" w:hAnsi="Times New Roman" w:cs="Times New Roman"/>
          <w:sz w:val="24"/>
          <w:szCs w:val="24"/>
        </w:rPr>
        <w:t> </w:t>
      </w:r>
      <w:r w:rsidR="00A51F7A">
        <w:rPr>
          <w:rFonts w:ascii="Times New Roman" w:hAnsi="Times New Roman" w:cs="Times New Roman"/>
          <w:sz w:val="24"/>
          <w:szCs w:val="24"/>
        </w:rPr>
        <w:t xml:space="preserve">services already made, including by our overseas missions. </w:t>
      </w:r>
      <w:r w:rsidR="00C6393C">
        <w:rPr>
          <w:rFonts w:ascii="Times New Roman" w:hAnsi="Times New Roman" w:cs="Times New Roman"/>
          <w:sz w:val="24"/>
          <w:szCs w:val="24"/>
        </w:rPr>
        <w:t xml:space="preserve"> </w:t>
      </w:r>
      <w:r>
        <w:rPr>
          <w:rFonts w:ascii="Times New Roman" w:hAnsi="Times New Roman" w:cs="Times New Roman"/>
          <w:sz w:val="24"/>
          <w:szCs w:val="24"/>
        </w:rPr>
        <w:t xml:space="preserve">As concession packages are usually agreed before they come into force under Australian legislation, they need to be made retrospective. </w:t>
      </w:r>
      <w:r w:rsidR="00C6393C">
        <w:rPr>
          <w:rFonts w:ascii="Times New Roman" w:hAnsi="Times New Roman" w:cs="Times New Roman"/>
          <w:sz w:val="24"/>
          <w:szCs w:val="24"/>
        </w:rPr>
        <w:t xml:space="preserve"> </w:t>
      </w:r>
      <w:r>
        <w:rPr>
          <w:rFonts w:ascii="Times New Roman" w:hAnsi="Times New Roman" w:cs="Times New Roman"/>
          <w:sz w:val="24"/>
          <w:szCs w:val="24"/>
        </w:rPr>
        <w:t xml:space="preserve">This retrospectivity is not to the detriment of any person or organisation; rather it extends concessions to </w:t>
      </w:r>
      <w:r w:rsidR="00183785">
        <w:rPr>
          <w:rFonts w:ascii="Times New Roman" w:hAnsi="Times New Roman" w:cs="Times New Roman"/>
          <w:sz w:val="24"/>
          <w:szCs w:val="24"/>
        </w:rPr>
        <w:t>missions</w:t>
      </w:r>
      <w:r>
        <w:rPr>
          <w:rFonts w:ascii="Times New Roman" w:hAnsi="Times New Roman" w:cs="Times New Roman"/>
          <w:sz w:val="24"/>
          <w:szCs w:val="24"/>
        </w:rPr>
        <w:t xml:space="preserve"> and accredited staff from either the date the</w:t>
      </w:r>
      <w:r w:rsidR="00183785">
        <w:rPr>
          <w:rFonts w:ascii="Times New Roman" w:hAnsi="Times New Roman" w:cs="Times New Roman"/>
          <w:sz w:val="24"/>
          <w:szCs w:val="24"/>
        </w:rPr>
        <w:t xml:space="preserve"> mission</w:t>
      </w:r>
      <w:r>
        <w:rPr>
          <w:rFonts w:ascii="Times New Roman" w:hAnsi="Times New Roman" w:cs="Times New Roman"/>
          <w:sz w:val="24"/>
          <w:szCs w:val="24"/>
        </w:rPr>
        <w:t xml:space="preserve"> </w:t>
      </w:r>
      <w:proofErr w:type="gramStart"/>
      <w:r>
        <w:rPr>
          <w:rFonts w:ascii="Times New Roman" w:hAnsi="Times New Roman" w:cs="Times New Roman"/>
          <w:sz w:val="24"/>
          <w:szCs w:val="24"/>
        </w:rPr>
        <w:t>opened</w:t>
      </w:r>
      <w:proofErr w:type="gramEnd"/>
      <w:r>
        <w:rPr>
          <w:rFonts w:ascii="Times New Roman" w:hAnsi="Times New Roman" w:cs="Times New Roman"/>
          <w:sz w:val="24"/>
          <w:szCs w:val="24"/>
        </w:rPr>
        <w:t xml:space="preserve"> or a</w:t>
      </w:r>
      <w:r w:rsidR="00C6393C">
        <w:rPr>
          <w:rFonts w:ascii="Times New Roman" w:hAnsi="Times New Roman" w:cs="Times New Roman"/>
          <w:sz w:val="24"/>
          <w:szCs w:val="24"/>
        </w:rPr>
        <w:t> </w:t>
      </w:r>
      <w:r>
        <w:rPr>
          <w:rFonts w:ascii="Times New Roman" w:hAnsi="Times New Roman" w:cs="Times New Roman"/>
          <w:sz w:val="24"/>
          <w:szCs w:val="24"/>
        </w:rPr>
        <w:t xml:space="preserve">date agreed during negotiations.  Reciprocity in terms of the date of effect means that relevant Australian diplomatic missions </w:t>
      </w:r>
      <w:r w:rsidRPr="00504175">
        <w:rPr>
          <w:rFonts w:ascii="Times New Roman" w:hAnsi="Times New Roman" w:cs="Times New Roman"/>
          <w:sz w:val="24"/>
          <w:szCs w:val="24"/>
        </w:rPr>
        <w:t xml:space="preserve">overseas will </w:t>
      </w:r>
      <w:r>
        <w:rPr>
          <w:rFonts w:ascii="Times New Roman" w:hAnsi="Times New Roman" w:cs="Times New Roman"/>
          <w:sz w:val="24"/>
          <w:szCs w:val="24"/>
        </w:rPr>
        <w:t xml:space="preserve">also have access to the same or similar benefits in the relevant overseas country.  </w:t>
      </w:r>
    </w:p>
    <w:p w14:paraId="71DE480A" w14:textId="1570EF7D" w:rsidR="002B15BB" w:rsidRDefault="002B15BB" w:rsidP="003260E7">
      <w:pPr>
        <w:rPr>
          <w:rFonts w:ascii="Times New Roman" w:hAnsi="Times New Roman" w:cs="Times New Roman"/>
          <w:sz w:val="24"/>
          <w:szCs w:val="24"/>
        </w:rPr>
      </w:pPr>
      <w:r w:rsidRPr="37B24DB5">
        <w:rPr>
          <w:rFonts w:ascii="Times New Roman" w:hAnsi="Times New Roman" w:cs="Times New Roman"/>
          <w:sz w:val="24"/>
          <w:szCs w:val="24"/>
        </w:rPr>
        <w:lastRenderedPageBreak/>
        <w:t xml:space="preserve">The </w:t>
      </w:r>
      <w:r w:rsidR="00CB1CA4" w:rsidRPr="37B24DB5">
        <w:rPr>
          <w:rFonts w:ascii="Times New Roman" w:hAnsi="Times New Roman" w:cs="Times New Roman"/>
          <w:sz w:val="24"/>
          <w:szCs w:val="24"/>
        </w:rPr>
        <w:t>ITCS</w:t>
      </w:r>
      <w:r w:rsidR="009D7254">
        <w:rPr>
          <w:rFonts w:ascii="Times New Roman" w:hAnsi="Times New Roman" w:cs="Times New Roman"/>
          <w:sz w:val="24"/>
          <w:szCs w:val="24"/>
        </w:rPr>
        <w:t>,</w:t>
      </w:r>
      <w:r w:rsidR="00CB1CA4" w:rsidRPr="37B24DB5">
        <w:rPr>
          <w:rFonts w:ascii="Times New Roman" w:hAnsi="Times New Roman" w:cs="Times New Roman"/>
          <w:sz w:val="24"/>
          <w:szCs w:val="24"/>
        </w:rPr>
        <w:t xml:space="preserve"> and its extension to new </w:t>
      </w:r>
      <w:r w:rsidR="00ED1C12">
        <w:rPr>
          <w:rFonts w:ascii="Times New Roman" w:hAnsi="Times New Roman" w:cs="Times New Roman"/>
          <w:sz w:val="24"/>
          <w:szCs w:val="24"/>
        </w:rPr>
        <w:t>or</w:t>
      </w:r>
      <w:r w:rsidR="00A51F7A" w:rsidRPr="37B24DB5">
        <w:rPr>
          <w:rFonts w:ascii="Times New Roman" w:hAnsi="Times New Roman" w:cs="Times New Roman"/>
          <w:sz w:val="24"/>
          <w:szCs w:val="24"/>
        </w:rPr>
        <w:t xml:space="preserve"> existing </w:t>
      </w:r>
      <w:r w:rsidR="00CB1CA4" w:rsidRPr="37B24DB5">
        <w:rPr>
          <w:rFonts w:ascii="Times New Roman" w:hAnsi="Times New Roman" w:cs="Times New Roman"/>
          <w:sz w:val="24"/>
          <w:szCs w:val="24"/>
        </w:rPr>
        <w:t>diplomatic missions in Australia by way of</w:t>
      </w:r>
      <w:r w:rsidR="00C6393C" w:rsidRPr="37B24DB5">
        <w:rPr>
          <w:rFonts w:ascii="Times New Roman" w:hAnsi="Times New Roman" w:cs="Times New Roman"/>
          <w:sz w:val="24"/>
          <w:szCs w:val="24"/>
        </w:rPr>
        <w:t> </w:t>
      </w:r>
      <w:r w:rsidR="00CB1CA4" w:rsidRPr="37B24DB5">
        <w:rPr>
          <w:rFonts w:ascii="Times New Roman" w:hAnsi="Times New Roman" w:cs="Times New Roman"/>
          <w:sz w:val="24"/>
          <w:szCs w:val="24"/>
        </w:rPr>
        <w:t>periodic amendments to Schedule 1 of the Determina</w:t>
      </w:r>
      <w:r w:rsidR="0009278A" w:rsidRPr="37B24DB5">
        <w:rPr>
          <w:rFonts w:ascii="Times New Roman" w:hAnsi="Times New Roman" w:cs="Times New Roman"/>
          <w:sz w:val="24"/>
          <w:szCs w:val="24"/>
        </w:rPr>
        <w:t xml:space="preserve">tion (such as this Amendment), </w:t>
      </w:r>
      <w:r w:rsidR="00291EE4" w:rsidRPr="37B24DB5">
        <w:rPr>
          <w:rFonts w:ascii="Times New Roman" w:hAnsi="Times New Roman" w:cs="Times New Roman"/>
          <w:sz w:val="24"/>
          <w:szCs w:val="24"/>
        </w:rPr>
        <w:t xml:space="preserve">are </w:t>
      </w:r>
      <w:r w:rsidRPr="37B24DB5">
        <w:rPr>
          <w:rFonts w:ascii="Times New Roman" w:hAnsi="Times New Roman" w:cs="Times New Roman"/>
          <w:sz w:val="24"/>
          <w:szCs w:val="24"/>
        </w:rPr>
        <w:t>beneficial to Australia.</w:t>
      </w:r>
      <w:r w:rsidR="00C6393C" w:rsidRPr="37B24DB5">
        <w:rPr>
          <w:rFonts w:ascii="Times New Roman" w:hAnsi="Times New Roman" w:cs="Times New Roman"/>
          <w:sz w:val="24"/>
          <w:szCs w:val="24"/>
        </w:rPr>
        <w:t xml:space="preserve"> </w:t>
      </w:r>
      <w:r w:rsidRPr="37B24DB5">
        <w:rPr>
          <w:rFonts w:ascii="Times New Roman" w:hAnsi="Times New Roman" w:cs="Times New Roman"/>
          <w:sz w:val="24"/>
          <w:szCs w:val="24"/>
        </w:rPr>
        <w:t xml:space="preserve"> In determining the scope of the economic benefit to Australia, </w:t>
      </w:r>
      <w:r w:rsidR="007C1325" w:rsidRPr="37B24DB5">
        <w:rPr>
          <w:rFonts w:ascii="Times New Roman" w:hAnsi="Times New Roman" w:cs="Times New Roman"/>
          <w:sz w:val="24"/>
          <w:szCs w:val="24"/>
        </w:rPr>
        <w:t xml:space="preserve">the Department of Treasury confirmed </w:t>
      </w:r>
      <w:r w:rsidRPr="37B24DB5">
        <w:rPr>
          <w:rFonts w:ascii="Times New Roman" w:hAnsi="Times New Roman" w:cs="Times New Roman"/>
          <w:sz w:val="24"/>
          <w:szCs w:val="24"/>
        </w:rPr>
        <w:t xml:space="preserve">that the estimated net benefit to Australia in pursuing reciprocal agreements </w:t>
      </w:r>
      <w:r w:rsidR="003E3A04">
        <w:rPr>
          <w:rFonts w:ascii="Times New Roman" w:hAnsi="Times New Roman" w:cs="Times New Roman"/>
          <w:sz w:val="24"/>
          <w:szCs w:val="24"/>
        </w:rPr>
        <w:t xml:space="preserve">under the ITCS </w:t>
      </w:r>
      <w:r w:rsidRPr="37B24DB5">
        <w:rPr>
          <w:rFonts w:ascii="Times New Roman" w:hAnsi="Times New Roman" w:cs="Times New Roman"/>
          <w:sz w:val="24"/>
          <w:szCs w:val="24"/>
        </w:rPr>
        <w:t>would be several million dollars, and that the most practical means of assessing the financial benefit to Australia would be to take a global approach, rather than an approach based on individual agreements.</w:t>
      </w:r>
      <w:r w:rsidR="00C6393C" w:rsidRPr="37B24DB5">
        <w:rPr>
          <w:rFonts w:ascii="Times New Roman" w:hAnsi="Times New Roman" w:cs="Times New Roman"/>
          <w:sz w:val="24"/>
          <w:szCs w:val="24"/>
        </w:rPr>
        <w:t xml:space="preserve"> </w:t>
      </w:r>
      <w:r w:rsidRPr="37B24DB5">
        <w:rPr>
          <w:rFonts w:ascii="Times New Roman" w:hAnsi="Times New Roman" w:cs="Times New Roman"/>
          <w:sz w:val="24"/>
          <w:szCs w:val="24"/>
        </w:rPr>
        <w:t xml:space="preserve"> </w:t>
      </w:r>
      <w:r w:rsidR="0058112B" w:rsidRPr="37B24DB5">
        <w:rPr>
          <w:rFonts w:ascii="Times New Roman" w:hAnsi="Times New Roman" w:cs="Times New Roman"/>
          <w:sz w:val="24"/>
          <w:szCs w:val="24"/>
        </w:rPr>
        <w:t xml:space="preserve">In the current instance, </w:t>
      </w:r>
      <w:r w:rsidRPr="37B24DB5">
        <w:rPr>
          <w:rFonts w:ascii="Times New Roman" w:hAnsi="Times New Roman" w:cs="Times New Roman"/>
          <w:sz w:val="24"/>
          <w:szCs w:val="24"/>
        </w:rPr>
        <w:t xml:space="preserve">Treasury has advised the </w:t>
      </w:r>
      <w:r w:rsidR="0058112B" w:rsidRPr="37B24DB5">
        <w:rPr>
          <w:rFonts w:ascii="Times New Roman" w:hAnsi="Times New Roman" w:cs="Times New Roman"/>
          <w:sz w:val="24"/>
          <w:szCs w:val="24"/>
        </w:rPr>
        <w:t xml:space="preserve">concessions covered by the </w:t>
      </w:r>
      <w:r w:rsidR="00CB1CA4" w:rsidRPr="37B24DB5">
        <w:rPr>
          <w:rFonts w:ascii="Times New Roman" w:hAnsi="Times New Roman" w:cs="Times New Roman"/>
          <w:sz w:val="24"/>
          <w:szCs w:val="24"/>
        </w:rPr>
        <w:t>Amendment</w:t>
      </w:r>
      <w:r w:rsidRPr="37B24DB5">
        <w:rPr>
          <w:rFonts w:ascii="Times New Roman" w:hAnsi="Times New Roman" w:cs="Times New Roman"/>
          <w:sz w:val="24"/>
          <w:szCs w:val="24"/>
        </w:rPr>
        <w:t xml:space="preserve"> will have a </w:t>
      </w:r>
      <w:r w:rsidR="008450C6" w:rsidRPr="007D4DD8">
        <w:rPr>
          <w:rFonts w:ascii="Times New Roman" w:hAnsi="Times New Roman" w:cs="Times New Roman"/>
          <w:sz w:val="24"/>
          <w:szCs w:val="24"/>
        </w:rPr>
        <w:t>n</w:t>
      </w:r>
      <w:r w:rsidRPr="007D4DD8">
        <w:rPr>
          <w:rFonts w:ascii="Times New Roman" w:hAnsi="Times New Roman" w:cs="Times New Roman"/>
          <w:sz w:val="24"/>
          <w:szCs w:val="24"/>
        </w:rPr>
        <w:t>egligible</w:t>
      </w:r>
      <w:r w:rsidRPr="37B24DB5">
        <w:rPr>
          <w:rFonts w:ascii="Times New Roman" w:hAnsi="Times New Roman" w:cs="Times New Roman"/>
          <w:sz w:val="24"/>
          <w:szCs w:val="24"/>
        </w:rPr>
        <w:t xml:space="preserve"> impact on revenue.</w:t>
      </w:r>
      <w:r w:rsidR="00C6393C" w:rsidRPr="37B24DB5">
        <w:rPr>
          <w:rFonts w:ascii="Times New Roman" w:hAnsi="Times New Roman" w:cs="Times New Roman"/>
          <w:sz w:val="24"/>
          <w:szCs w:val="24"/>
        </w:rPr>
        <w:t xml:space="preserve"> </w:t>
      </w:r>
      <w:r w:rsidR="320D76A0" w:rsidRPr="37B24DB5">
        <w:rPr>
          <w:rFonts w:ascii="Times New Roman" w:hAnsi="Times New Roman" w:cs="Times New Roman"/>
          <w:sz w:val="24"/>
          <w:szCs w:val="24"/>
        </w:rPr>
        <w:t xml:space="preserve"> </w:t>
      </w:r>
      <w:r w:rsidRPr="37B24DB5">
        <w:rPr>
          <w:rFonts w:ascii="Times New Roman" w:hAnsi="Times New Roman" w:cs="Times New Roman"/>
          <w:sz w:val="24"/>
          <w:szCs w:val="24"/>
        </w:rPr>
        <w:t>In</w:t>
      </w:r>
      <w:r w:rsidR="00C6393C" w:rsidRPr="37B24DB5">
        <w:rPr>
          <w:rFonts w:ascii="Times New Roman" w:hAnsi="Times New Roman" w:cs="Times New Roman"/>
          <w:sz w:val="24"/>
          <w:szCs w:val="24"/>
        </w:rPr>
        <w:t> </w:t>
      </w:r>
      <w:r w:rsidRPr="37B24DB5">
        <w:rPr>
          <w:rFonts w:ascii="Times New Roman" w:hAnsi="Times New Roman" w:cs="Times New Roman"/>
          <w:sz w:val="24"/>
          <w:szCs w:val="24"/>
        </w:rPr>
        <w:t xml:space="preserve">addition, the provision of tax concessions encourages diplomatic missions and accredited staff to purchase goods in Australia rather than directly importing them, which further assists the Australian economy. </w:t>
      </w:r>
    </w:p>
    <w:p w14:paraId="777E9DDE" w14:textId="77777777" w:rsidR="004A2558" w:rsidRDefault="004A2558" w:rsidP="002B15BB">
      <w:pPr>
        <w:autoSpaceDE w:val="0"/>
        <w:autoSpaceDN w:val="0"/>
        <w:adjustRightInd w:val="0"/>
        <w:spacing w:after="0" w:line="240" w:lineRule="auto"/>
        <w:rPr>
          <w:rFonts w:ascii="Times New Roman" w:hAnsi="Times New Roman" w:cs="Times New Roman"/>
          <w:sz w:val="24"/>
          <w:szCs w:val="24"/>
        </w:rPr>
      </w:pPr>
    </w:p>
    <w:p w14:paraId="4F7B3FC3" w14:textId="5DE502DC" w:rsidR="002B15BB" w:rsidRDefault="00CB1CA4" w:rsidP="00291EE4">
      <w:pPr>
        <w:autoSpaceDE w:val="0"/>
        <w:autoSpaceDN w:val="0"/>
        <w:adjustRightInd w:val="0"/>
        <w:spacing w:after="0" w:line="240" w:lineRule="auto"/>
        <w:rPr>
          <w:rFonts w:ascii="Times New Roman" w:hAnsi="Times New Roman" w:cs="Times New Roman"/>
          <w:sz w:val="24"/>
          <w:szCs w:val="24"/>
        </w:rPr>
      </w:pPr>
      <w:r w:rsidRPr="00CB1CA4">
        <w:rPr>
          <w:rFonts w:ascii="Times New Roman" w:hAnsi="Times New Roman" w:cs="Times New Roman"/>
          <w:sz w:val="24"/>
          <w:szCs w:val="24"/>
        </w:rPr>
        <w:t xml:space="preserve">The Office of </w:t>
      </w:r>
      <w:r w:rsidR="007144AB" w:rsidRPr="1ADBBA46">
        <w:rPr>
          <w:rFonts w:ascii="Times New Roman" w:hAnsi="Times New Roman" w:cs="Times New Roman"/>
          <w:sz w:val="24"/>
          <w:szCs w:val="24"/>
        </w:rPr>
        <w:t>Impact Analysis</w:t>
      </w:r>
      <w:r w:rsidR="00A9637E">
        <w:rPr>
          <w:rFonts w:ascii="Times New Roman" w:hAnsi="Times New Roman" w:cs="Times New Roman"/>
          <w:sz w:val="24"/>
          <w:szCs w:val="24"/>
        </w:rPr>
        <w:t xml:space="preserve"> (OIA)</w:t>
      </w:r>
      <w:r w:rsidR="007144AB" w:rsidRPr="1ADBBA46">
        <w:rPr>
          <w:rFonts w:ascii="Times New Roman" w:hAnsi="Times New Roman" w:cs="Times New Roman"/>
          <w:sz w:val="24"/>
          <w:szCs w:val="24"/>
        </w:rPr>
        <w:t xml:space="preserve"> </w:t>
      </w:r>
      <w:r w:rsidRPr="00CB1CA4">
        <w:rPr>
          <w:rFonts w:ascii="Times New Roman" w:hAnsi="Times New Roman" w:cs="Times New Roman"/>
          <w:sz w:val="24"/>
          <w:szCs w:val="24"/>
        </w:rPr>
        <w:t xml:space="preserve">has </w:t>
      </w:r>
      <w:r>
        <w:rPr>
          <w:rFonts w:ascii="Times New Roman" w:hAnsi="Times New Roman" w:cs="Times New Roman"/>
          <w:sz w:val="24"/>
          <w:szCs w:val="24"/>
        </w:rPr>
        <w:t>confirmed</w:t>
      </w:r>
      <w:r w:rsidR="00291EE4">
        <w:rPr>
          <w:rFonts w:ascii="Times New Roman" w:hAnsi="Times New Roman" w:cs="Times New Roman"/>
          <w:sz w:val="24"/>
          <w:szCs w:val="24"/>
        </w:rPr>
        <w:t xml:space="preserve"> that </w:t>
      </w:r>
      <w:r w:rsidR="0058112B">
        <w:rPr>
          <w:rFonts w:ascii="Times New Roman" w:hAnsi="Times New Roman" w:cs="Times New Roman"/>
          <w:sz w:val="24"/>
          <w:szCs w:val="24"/>
        </w:rPr>
        <w:t>a</w:t>
      </w:r>
      <w:r w:rsidRPr="00CB1CA4">
        <w:rPr>
          <w:rFonts w:ascii="Times New Roman" w:hAnsi="Times New Roman" w:cs="Times New Roman"/>
          <w:sz w:val="24"/>
          <w:szCs w:val="24"/>
        </w:rPr>
        <w:t>mendment</w:t>
      </w:r>
      <w:r w:rsidR="00291EE4">
        <w:rPr>
          <w:rFonts w:ascii="Times New Roman" w:hAnsi="Times New Roman" w:cs="Times New Roman"/>
          <w:sz w:val="24"/>
          <w:szCs w:val="24"/>
        </w:rPr>
        <w:t>s to Schedule 1 of the Determination are</w:t>
      </w:r>
      <w:r w:rsidRPr="00CB1CA4">
        <w:rPr>
          <w:rFonts w:ascii="Times New Roman" w:hAnsi="Times New Roman" w:cs="Times New Roman"/>
          <w:sz w:val="24"/>
          <w:szCs w:val="24"/>
        </w:rPr>
        <w:t xml:space="preserve"> not likely to have regulatory impacts on business, individ</w:t>
      </w:r>
      <w:r w:rsidR="00291EE4">
        <w:rPr>
          <w:rFonts w:ascii="Times New Roman" w:hAnsi="Times New Roman" w:cs="Times New Roman"/>
          <w:sz w:val="24"/>
          <w:szCs w:val="24"/>
        </w:rPr>
        <w:t>uals or community organisations, and do not require the preparation of a</w:t>
      </w:r>
      <w:r w:rsidR="00334894">
        <w:rPr>
          <w:rFonts w:ascii="Times New Roman" w:hAnsi="Times New Roman" w:cs="Times New Roman"/>
          <w:sz w:val="24"/>
          <w:szCs w:val="24"/>
        </w:rPr>
        <w:t>n</w:t>
      </w:r>
      <w:r w:rsidR="00291EE4">
        <w:rPr>
          <w:rFonts w:ascii="Times New Roman" w:hAnsi="Times New Roman" w:cs="Times New Roman"/>
          <w:sz w:val="24"/>
          <w:szCs w:val="24"/>
        </w:rPr>
        <w:t xml:space="preserve"> </w:t>
      </w:r>
      <w:r w:rsidR="00192FF2">
        <w:rPr>
          <w:rFonts w:ascii="Times New Roman" w:hAnsi="Times New Roman" w:cs="Times New Roman"/>
          <w:sz w:val="24"/>
          <w:szCs w:val="24"/>
        </w:rPr>
        <w:t>Impact</w:t>
      </w:r>
      <w:r w:rsidR="00665AF8">
        <w:rPr>
          <w:rFonts w:ascii="Times New Roman" w:hAnsi="Times New Roman" w:cs="Times New Roman"/>
          <w:sz w:val="24"/>
          <w:szCs w:val="24"/>
        </w:rPr>
        <w:t xml:space="preserve"> Analysis (</w:t>
      </w:r>
      <w:r w:rsidR="00A9637E">
        <w:rPr>
          <w:rFonts w:ascii="Times New Roman" w:hAnsi="Times New Roman" w:cs="Times New Roman"/>
          <w:sz w:val="24"/>
          <w:szCs w:val="24"/>
        </w:rPr>
        <w:t xml:space="preserve">OIA </w:t>
      </w:r>
      <w:r w:rsidR="00665AF8">
        <w:rPr>
          <w:rFonts w:ascii="Times New Roman" w:hAnsi="Times New Roman" w:cs="Times New Roman"/>
          <w:sz w:val="24"/>
          <w:szCs w:val="24"/>
        </w:rPr>
        <w:t>Reference Number</w:t>
      </w:r>
      <w:r w:rsidR="00A9637E">
        <w:rPr>
          <w:rFonts w:ascii="Times New Roman" w:hAnsi="Times New Roman" w:cs="Times New Roman"/>
          <w:sz w:val="24"/>
          <w:szCs w:val="24"/>
        </w:rPr>
        <w:t>: 22459</w:t>
      </w:r>
      <w:r w:rsidR="00665AF8">
        <w:rPr>
          <w:rFonts w:ascii="Times New Roman" w:hAnsi="Times New Roman" w:cs="Times New Roman"/>
          <w:sz w:val="24"/>
          <w:szCs w:val="24"/>
        </w:rPr>
        <w:t>)</w:t>
      </w:r>
      <w:r w:rsidR="00291EE4">
        <w:rPr>
          <w:rFonts w:ascii="Times New Roman" w:hAnsi="Times New Roman" w:cs="Times New Roman"/>
          <w:sz w:val="24"/>
          <w:szCs w:val="24"/>
        </w:rPr>
        <w:t>.</w:t>
      </w:r>
    </w:p>
    <w:p w14:paraId="464A0E41" w14:textId="77777777" w:rsidR="004A2558" w:rsidRDefault="004A2558" w:rsidP="002B15BB">
      <w:pPr>
        <w:autoSpaceDE w:val="0"/>
        <w:autoSpaceDN w:val="0"/>
        <w:adjustRightInd w:val="0"/>
        <w:spacing w:after="0" w:line="240" w:lineRule="auto"/>
        <w:rPr>
          <w:rFonts w:ascii="Times New Roman" w:hAnsi="Times New Roman" w:cs="Times New Roman"/>
          <w:sz w:val="24"/>
          <w:szCs w:val="24"/>
        </w:rPr>
      </w:pPr>
    </w:p>
    <w:p w14:paraId="3D1DB53B" w14:textId="2480A1EA" w:rsidR="00B32AF2" w:rsidRPr="00B32AF2" w:rsidRDefault="00B32AF2" w:rsidP="00BF2A69">
      <w:pPr>
        <w:autoSpaceDE w:val="0"/>
        <w:autoSpaceDN w:val="0"/>
        <w:adjustRightInd w:val="0"/>
        <w:spacing w:after="0" w:line="240" w:lineRule="auto"/>
        <w:rPr>
          <w:rFonts w:ascii="Times New Roman" w:hAnsi="Times New Roman" w:cs="Times New Roman"/>
          <w:b/>
          <w:bCs/>
          <w:sz w:val="24"/>
          <w:szCs w:val="24"/>
        </w:rPr>
      </w:pPr>
      <w:r w:rsidRPr="00B32AF2">
        <w:rPr>
          <w:rFonts w:ascii="Times New Roman" w:hAnsi="Times New Roman" w:cs="Times New Roman"/>
          <w:b/>
          <w:bCs/>
          <w:sz w:val="24"/>
          <w:szCs w:val="24"/>
        </w:rPr>
        <w:t>Consultation</w:t>
      </w:r>
    </w:p>
    <w:p w14:paraId="1FB43ECB" w14:textId="2E04993D" w:rsidR="00B32AF2" w:rsidRPr="00B32AF2" w:rsidRDefault="009F2542" w:rsidP="00B32AF2">
      <w:pPr>
        <w:autoSpaceDE w:val="0"/>
        <w:autoSpaceDN w:val="0"/>
        <w:adjustRightInd w:val="0"/>
        <w:spacing w:after="0" w:line="240" w:lineRule="auto"/>
        <w:rPr>
          <w:rFonts w:ascii="Times New Roman" w:hAnsi="Times New Roman" w:cs="Times New Roman"/>
          <w:sz w:val="24"/>
          <w:szCs w:val="24"/>
        </w:rPr>
      </w:pPr>
      <w:r w:rsidRPr="00E471E3">
        <w:rPr>
          <w:rFonts w:ascii="Times New Roman" w:hAnsi="Times New Roman" w:cs="Times New Roman"/>
          <w:sz w:val="24"/>
          <w:szCs w:val="24"/>
        </w:rPr>
        <w:t xml:space="preserve">The Department of </w:t>
      </w:r>
      <w:r w:rsidR="00B32AF2" w:rsidRPr="00E471E3">
        <w:rPr>
          <w:rFonts w:ascii="Times New Roman" w:hAnsi="Times New Roman" w:cs="Times New Roman"/>
          <w:sz w:val="24"/>
          <w:szCs w:val="24"/>
        </w:rPr>
        <w:t xml:space="preserve">Treasury </w:t>
      </w:r>
      <w:r w:rsidR="00E471E3" w:rsidRPr="00E471E3">
        <w:rPr>
          <w:rFonts w:ascii="Times New Roman" w:hAnsi="Times New Roman" w:cs="Times New Roman"/>
          <w:sz w:val="24"/>
          <w:szCs w:val="24"/>
        </w:rPr>
        <w:t>was</w:t>
      </w:r>
      <w:r w:rsidR="00BB0C3C" w:rsidRPr="00E471E3">
        <w:rPr>
          <w:rFonts w:ascii="Times New Roman" w:hAnsi="Times New Roman" w:cs="Times New Roman"/>
          <w:sz w:val="24"/>
          <w:szCs w:val="24"/>
        </w:rPr>
        <w:t xml:space="preserve"> consulted in relation to this Amendment</w:t>
      </w:r>
      <w:r w:rsidR="00B32AF2" w:rsidRPr="00E471E3">
        <w:rPr>
          <w:rFonts w:ascii="Times New Roman" w:hAnsi="Times New Roman" w:cs="Times New Roman"/>
          <w:sz w:val="24"/>
          <w:szCs w:val="24"/>
        </w:rPr>
        <w:t>.</w:t>
      </w:r>
    </w:p>
    <w:p w14:paraId="60D9C0A5" w14:textId="77777777" w:rsidR="00B32AF2" w:rsidRPr="00B32AF2" w:rsidRDefault="00B32AF2" w:rsidP="00B32AF2">
      <w:pPr>
        <w:autoSpaceDE w:val="0"/>
        <w:autoSpaceDN w:val="0"/>
        <w:adjustRightInd w:val="0"/>
        <w:spacing w:after="0" w:line="240" w:lineRule="auto"/>
        <w:rPr>
          <w:rFonts w:ascii="Times New Roman" w:hAnsi="Times New Roman" w:cs="Times New Roman"/>
          <w:sz w:val="24"/>
          <w:szCs w:val="24"/>
        </w:rPr>
      </w:pPr>
    </w:p>
    <w:p w14:paraId="1CC05E0C" w14:textId="2A33805D" w:rsidR="00B32AF2" w:rsidRPr="00B32AF2" w:rsidRDefault="00CE01D3" w:rsidP="00B32AF2">
      <w:pPr>
        <w:autoSpaceDE w:val="0"/>
        <w:autoSpaceDN w:val="0"/>
        <w:adjustRightInd w:val="0"/>
        <w:spacing w:after="0" w:line="240" w:lineRule="auto"/>
        <w:rPr>
          <w:rFonts w:ascii="Times New Roman" w:hAnsi="Times New Roman" w:cs="Times New Roman"/>
          <w:sz w:val="24"/>
          <w:szCs w:val="24"/>
        </w:rPr>
      </w:pPr>
      <w:r w:rsidRPr="40DF31BA">
        <w:rPr>
          <w:rFonts w:ascii="Times New Roman" w:hAnsi="Times New Roman" w:cs="Times New Roman"/>
          <w:sz w:val="24"/>
          <w:szCs w:val="24"/>
        </w:rPr>
        <w:t>C</w:t>
      </w:r>
      <w:r w:rsidR="00B32AF2" w:rsidRPr="40DF31BA">
        <w:rPr>
          <w:rFonts w:ascii="Times New Roman" w:hAnsi="Times New Roman" w:cs="Times New Roman"/>
          <w:sz w:val="24"/>
          <w:szCs w:val="24"/>
        </w:rPr>
        <w:t>onsultation via diplomatic correspondence took place with the Embass</w:t>
      </w:r>
      <w:r w:rsidR="00201C34">
        <w:rPr>
          <w:rFonts w:ascii="Times New Roman" w:hAnsi="Times New Roman" w:cs="Times New Roman"/>
          <w:sz w:val="24"/>
          <w:szCs w:val="24"/>
        </w:rPr>
        <w:t>ies</w:t>
      </w:r>
      <w:r w:rsidR="00B32AF2" w:rsidRPr="40DF31BA">
        <w:rPr>
          <w:rFonts w:ascii="Times New Roman" w:hAnsi="Times New Roman" w:cs="Times New Roman"/>
          <w:sz w:val="24"/>
          <w:szCs w:val="24"/>
        </w:rPr>
        <w:t xml:space="preserve"> </w:t>
      </w:r>
      <w:r w:rsidR="007465E0">
        <w:rPr>
          <w:rFonts w:ascii="Times New Roman" w:hAnsi="Times New Roman" w:cs="Times New Roman"/>
          <w:sz w:val="24"/>
          <w:szCs w:val="24"/>
        </w:rPr>
        <w:t>and Consulate</w:t>
      </w:r>
      <w:r w:rsidR="00201C34">
        <w:rPr>
          <w:rFonts w:ascii="Times New Roman" w:hAnsi="Times New Roman" w:cs="Times New Roman"/>
          <w:sz w:val="24"/>
          <w:szCs w:val="24"/>
        </w:rPr>
        <w:t>s</w:t>
      </w:r>
      <w:r w:rsidR="00201C34">
        <w:rPr>
          <w:rFonts w:ascii="Times New Roman" w:hAnsi="Times New Roman" w:cs="Times New Roman"/>
          <w:sz w:val="24"/>
          <w:szCs w:val="24"/>
        </w:rPr>
        <w:noBreakHyphen/>
      </w:r>
      <w:r w:rsidR="007465E0">
        <w:rPr>
          <w:rFonts w:ascii="Times New Roman" w:hAnsi="Times New Roman" w:cs="Times New Roman"/>
          <w:sz w:val="24"/>
          <w:szCs w:val="24"/>
        </w:rPr>
        <w:t>General</w:t>
      </w:r>
      <w:r w:rsidR="007465E0" w:rsidRPr="6210617F">
        <w:rPr>
          <w:rFonts w:ascii="Times New Roman" w:hAnsi="Times New Roman" w:cs="Times New Roman"/>
          <w:sz w:val="24"/>
          <w:szCs w:val="24"/>
        </w:rPr>
        <w:t xml:space="preserve"> </w:t>
      </w:r>
      <w:r w:rsidR="00B32AF2" w:rsidRPr="40DF31BA">
        <w:rPr>
          <w:rFonts w:ascii="Times New Roman" w:hAnsi="Times New Roman" w:cs="Times New Roman"/>
          <w:sz w:val="24"/>
          <w:szCs w:val="24"/>
        </w:rPr>
        <w:t xml:space="preserve">of </w:t>
      </w:r>
      <w:r w:rsidR="00356B35">
        <w:rPr>
          <w:rFonts w:ascii="Times New Roman" w:hAnsi="Times New Roman" w:cs="Times New Roman"/>
          <w:sz w:val="24"/>
          <w:szCs w:val="24"/>
        </w:rPr>
        <w:t>Oman</w:t>
      </w:r>
      <w:r w:rsidR="00201C34">
        <w:rPr>
          <w:rFonts w:ascii="Times New Roman" w:hAnsi="Times New Roman" w:cs="Times New Roman"/>
          <w:sz w:val="24"/>
          <w:szCs w:val="24"/>
        </w:rPr>
        <w:t xml:space="preserve"> </w:t>
      </w:r>
      <w:r w:rsidR="00B32AF2" w:rsidRPr="40DF31BA">
        <w:rPr>
          <w:rFonts w:ascii="Times New Roman" w:hAnsi="Times New Roman" w:cs="Times New Roman"/>
          <w:sz w:val="24"/>
          <w:szCs w:val="24"/>
        </w:rPr>
        <w:t>in Australia</w:t>
      </w:r>
      <w:r w:rsidRPr="40DF31BA">
        <w:rPr>
          <w:rFonts w:ascii="Times New Roman" w:hAnsi="Times New Roman" w:cs="Times New Roman"/>
          <w:sz w:val="24"/>
          <w:szCs w:val="24"/>
        </w:rPr>
        <w:t xml:space="preserve"> in relation to </w:t>
      </w:r>
      <w:r w:rsidRPr="0095358A">
        <w:rPr>
          <w:rFonts w:ascii="Times New Roman" w:hAnsi="Times New Roman" w:cs="Times New Roman"/>
          <w:sz w:val="24"/>
          <w:szCs w:val="24"/>
        </w:rPr>
        <w:t>each</w:t>
      </w:r>
      <w:r w:rsidRPr="40DF31BA">
        <w:rPr>
          <w:rFonts w:ascii="Times New Roman" w:hAnsi="Times New Roman" w:cs="Times New Roman"/>
          <w:sz w:val="24"/>
          <w:szCs w:val="24"/>
        </w:rPr>
        <w:t xml:space="preserve"> package of tax concessions</w:t>
      </w:r>
      <w:r w:rsidR="00B32AF2" w:rsidRPr="40DF31BA">
        <w:rPr>
          <w:rFonts w:ascii="Times New Roman" w:hAnsi="Times New Roman" w:cs="Times New Roman"/>
          <w:sz w:val="24"/>
          <w:szCs w:val="24"/>
        </w:rPr>
        <w:t xml:space="preserve">. This consultation was straightforward and uncontroversial </w:t>
      </w:r>
      <w:r w:rsidR="7B06F61B" w:rsidRPr="40DF31BA">
        <w:rPr>
          <w:rFonts w:ascii="Times New Roman" w:hAnsi="Times New Roman" w:cs="Times New Roman"/>
          <w:sz w:val="24"/>
          <w:szCs w:val="24"/>
        </w:rPr>
        <w:t>as</w:t>
      </w:r>
      <w:r w:rsidR="00B32AF2" w:rsidRPr="40DF31BA">
        <w:rPr>
          <w:rFonts w:ascii="Times New Roman" w:hAnsi="Times New Roman" w:cs="Times New Roman"/>
          <w:sz w:val="24"/>
          <w:szCs w:val="24"/>
        </w:rPr>
        <w:t xml:space="preserve"> </w:t>
      </w:r>
      <w:r w:rsidR="006D4775" w:rsidRPr="40DF31BA">
        <w:rPr>
          <w:rFonts w:ascii="Times New Roman" w:hAnsi="Times New Roman" w:cs="Times New Roman"/>
          <w:sz w:val="24"/>
          <w:szCs w:val="24"/>
        </w:rPr>
        <w:t>concessions were</w:t>
      </w:r>
      <w:r w:rsidR="00B32AF2" w:rsidRPr="40DF31BA">
        <w:rPr>
          <w:rFonts w:ascii="Times New Roman" w:hAnsi="Times New Roman" w:cs="Times New Roman"/>
          <w:sz w:val="24"/>
          <w:szCs w:val="24"/>
        </w:rPr>
        <w:t xml:space="preserve"> based on clear guidelines and reciprocity for Australian officials. To the extent that issues may arise during consultations of this nature, it is longstanding policy of the Department</w:t>
      </w:r>
      <w:r w:rsidR="00D30D70" w:rsidRPr="40DF31BA">
        <w:rPr>
          <w:rFonts w:ascii="Times New Roman" w:hAnsi="Times New Roman" w:cs="Times New Roman"/>
          <w:sz w:val="24"/>
          <w:szCs w:val="24"/>
        </w:rPr>
        <w:t xml:space="preserve"> of Foreign Affairs</w:t>
      </w:r>
      <w:r w:rsidR="00B32AF2" w:rsidRPr="40DF31BA">
        <w:rPr>
          <w:rFonts w:ascii="Times New Roman" w:hAnsi="Times New Roman" w:cs="Times New Roman"/>
          <w:sz w:val="24"/>
          <w:szCs w:val="24"/>
        </w:rPr>
        <w:t xml:space="preserve"> not to make public the detail of bilateral discussions and negotiations with foreign governments. </w:t>
      </w:r>
    </w:p>
    <w:p w14:paraId="1F164FAA" w14:textId="77777777" w:rsidR="00B32AF2" w:rsidRDefault="00B32AF2" w:rsidP="002B15BB">
      <w:pPr>
        <w:autoSpaceDE w:val="0"/>
        <w:autoSpaceDN w:val="0"/>
        <w:adjustRightInd w:val="0"/>
        <w:spacing w:after="0" w:line="240" w:lineRule="auto"/>
        <w:rPr>
          <w:rFonts w:ascii="Times New Roman" w:hAnsi="Times New Roman" w:cs="Times New Roman"/>
          <w:sz w:val="24"/>
          <w:szCs w:val="24"/>
        </w:rPr>
      </w:pPr>
    </w:p>
    <w:p w14:paraId="2211BB77" w14:textId="14A2C617" w:rsidR="002B15BB" w:rsidRDefault="003B4BBD" w:rsidP="002B15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Further consultation was considered to be unnecessary, as t</w:t>
      </w:r>
      <w:r w:rsidR="002B15BB" w:rsidRPr="47B9AE74">
        <w:rPr>
          <w:rFonts w:ascii="Times New Roman" w:hAnsi="Times New Roman" w:cs="Times New Roman"/>
          <w:sz w:val="24"/>
          <w:szCs w:val="24"/>
        </w:rPr>
        <w:t xml:space="preserve">he Amendment does not alter the way the </w:t>
      </w:r>
      <w:r w:rsidR="00FF33A5" w:rsidRPr="47B9AE74">
        <w:rPr>
          <w:rFonts w:ascii="Times New Roman" w:hAnsi="Times New Roman" w:cs="Times New Roman"/>
          <w:sz w:val="24"/>
          <w:szCs w:val="24"/>
        </w:rPr>
        <w:t xml:space="preserve">ITCS </w:t>
      </w:r>
      <w:proofErr w:type="gramStart"/>
      <w:r w:rsidR="002B15BB" w:rsidRPr="47B9AE74">
        <w:rPr>
          <w:rFonts w:ascii="Times New Roman" w:hAnsi="Times New Roman" w:cs="Times New Roman"/>
          <w:sz w:val="24"/>
          <w:szCs w:val="24"/>
        </w:rPr>
        <w:t>works, but</w:t>
      </w:r>
      <w:proofErr w:type="gramEnd"/>
      <w:r w:rsidR="002B15BB" w:rsidRPr="47B9AE74">
        <w:rPr>
          <w:rFonts w:ascii="Times New Roman" w:hAnsi="Times New Roman" w:cs="Times New Roman"/>
          <w:sz w:val="24"/>
          <w:szCs w:val="24"/>
        </w:rPr>
        <w:t xml:space="preserve"> extends tax concessions to </w:t>
      </w:r>
      <w:r w:rsidR="00667779">
        <w:rPr>
          <w:rFonts w:ascii="Times New Roman" w:hAnsi="Times New Roman" w:cs="Times New Roman"/>
          <w:sz w:val="24"/>
          <w:szCs w:val="24"/>
        </w:rPr>
        <w:t xml:space="preserve">a </w:t>
      </w:r>
      <w:r w:rsidR="002B15BB" w:rsidRPr="47B9AE74">
        <w:rPr>
          <w:rFonts w:ascii="Times New Roman" w:hAnsi="Times New Roman" w:cs="Times New Roman"/>
          <w:sz w:val="24"/>
          <w:szCs w:val="24"/>
        </w:rPr>
        <w:t xml:space="preserve">specific diplomatic mission. </w:t>
      </w:r>
      <w:r w:rsidR="00C6393C" w:rsidRPr="47B9AE74">
        <w:rPr>
          <w:rFonts w:ascii="Times New Roman" w:hAnsi="Times New Roman" w:cs="Times New Roman"/>
          <w:sz w:val="24"/>
          <w:szCs w:val="24"/>
        </w:rPr>
        <w:t xml:space="preserve"> </w:t>
      </w:r>
    </w:p>
    <w:p w14:paraId="49C55228" w14:textId="77777777" w:rsidR="006237F1" w:rsidRDefault="006237F1" w:rsidP="002B15BB">
      <w:pPr>
        <w:autoSpaceDE w:val="0"/>
        <w:autoSpaceDN w:val="0"/>
        <w:adjustRightInd w:val="0"/>
        <w:spacing w:after="0" w:line="240" w:lineRule="auto"/>
        <w:rPr>
          <w:rFonts w:ascii="Times New Roman" w:hAnsi="Times New Roman" w:cs="Times New Roman"/>
          <w:sz w:val="24"/>
          <w:szCs w:val="24"/>
        </w:rPr>
      </w:pPr>
    </w:p>
    <w:p w14:paraId="4A977EA1" w14:textId="4EB8EECC" w:rsidR="006237F1" w:rsidRPr="006237F1" w:rsidRDefault="006237F1" w:rsidP="00BF2A69">
      <w:pPr>
        <w:spacing w:after="0" w:line="240" w:lineRule="auto"/>
        <w:rPr>
          <w:rFonts w:ascii="Times New Roman" w:hAnsi="Times New Roman" w:cs="Times New Roman"/>
          <w:b/>
          <w:bCs/>
          <w:sz w:val="24"/>
          <w:szCs w:val="24"/>
        </w:rPr>
      </w:pPr>
      <w:r w:rsidRPr="006237F1">
        <w:rPr>
          <w:rFonts w:ascii="Times New Roman" w:hAnsi="Times New Roman" w:cs="Times New Roman"/>
          <w:b/>
          <w:bCs/>
          <w:sz w:val="24"/>
          <w:szCs w:val="24"/>
        </w:rPr>
        <w:t>Exemption from Sunsetting</w:t>
      </w:r>
    </w:p>
    <w:p w14:paraId="73D2FDE2" w14:textId="03983FB8" w:rsidR="006237F1" w:rsidRPr="006237F1" w:rsidRDefault="005119D1" w:rsidP="006237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Amendment and the Determination</w:t>
      </w:r>
      <w:r w:rsidR="006237F1" w:rsidRPr="006237F1">
        <w:rPr>
          <w:rFonts w:ascii="Times New Roman" w:hAnsi="Times New Roman" w:cs="Times New Roman"/>
          <w:sz w:val="24"/>
          <w:szCs w:val="24"/>
        </w:rPr>
        <w:t xml:space="preserve"> are exempt from sunsetting by virtue of section 11 table</w:t>
      </w:r>
      <w:r w:rsidR="007A7D13">
        <w:rPr>
          <w:rFonts w:ascii="Times New Roman" w:hAnsi="Times New Roman" w:cs="Times New Roman"/>
          <w:sz w:val="24"/>
          <w:szCs w:val="24"/>
        </w:rPr>
        <w:t> </w:t>
      </w:r>
      <w:r w:rsidR="006237F1" w:rsidRPr="006237F1">
        <w:rPr>
          <w:rFonts w:ascii="Times New Roman" w:hAnsi="Times New Roman" w:cs="Times New Roman"/>
          <w:sz w:val="24"/>
          <w:szCs w:val="24"/>
        </w:rPr>
        <w:t xml:space="preserve">item 1 of the </w:t>
      </w:r>
      <w:r w:rsidR="006237F1" w:rsidRPr="006237F1">
        <w:rPr>
          <w:rFonts w:ascii="Times New Roman" w:hAnsi="Times New Roman" w:cs="Times New Roman"/>
          <w:i/>
          <w:iCs/>
          <w:sz w:val="24"/>
          <w:szCs w:val="24"/>
        </w:rPr>
        <w:t>Legislation Exemption and Other Matters Regulation 2015</w:t>
      </w:r>
      <w:r w:rsidR="006237F1" w:rsidRPr="006237F1">
        <w:rPr>
          <w:rFonts w:ascii="Times New Roman" w:hAnsi="Times New Roman" w:cs="Times New Roman"/>
          <w:sz w:val="24"/>
          <w:szCs w:val="24"/>
        </w:rPr>
        <w:t>, which exempts “An instrument the sole purpose of which, or a primary purpose of which, is to give effect to an international obligation of Australia”. The giving of effect to international obligations has long been recognised as justification for exemption from sunsetting. These instruments implement an agreement between the Australian Government and the Government</w:t>
      </w:r>
      <w:r w:rsidR="0074622C">
        <w:rPr>
          <w:rFonts w:ascii="Times New Roman" w:hAnsi="Times New Roman" w:cs="Times New Roman"/>
          <w:sz w:val="24"/>
          <w:szCs w:val="24"/>
        </w:rPr>
        <w:t>s</w:t>
      </w:r>
      <w:r w:rsidR="006237F1" w:rsidRPr="006237F1">
        <w:rPr>
          <w:rFonts w:ascii="Times New Roman" w:hAnsi="Times New Roman" w:cs="Times New Roman"/>
          <w:sz w:val="24"/>
          <w:szCs w:val="24"/>
        </w:rPr>
        <w:t xml:space="preserve"> of </w:t>
      </w:r>
      <w:r w:rsidR="00356B35">
        <w:rPr>
          <w:rFonts w:ascii="Times New Roman" w:hAnsi="Times New Roman" w:cs="Times New Roman"/>
          <w:sz w:val="24"/>
          <w:szCs w:val="24"/>
        </w:rPr>
        <w:t>Oman</w:t>
      </w:r>
      <w:r w:rsidR="0074622C">
        <w:rPr>
          <w:rFonts w:ascii="Times New Roman" w:hAnsi="Times New Roman" w:cs="Times New Roman"/>
          <w:sz w:val="24"/>
          <w:szCs w:val="24"/>
        </w:rPr>
        <w:t xml:space="preserve"> </w:t>
      </w:r>
      <w:r w:rsidR="006237F1" w:rsidRPr="006237F1">
        <w:rPr>
          <w:rFonts w:ascii="Times New Roman" w:hAnsi="Times New Roman" w:cs="Times New Roman"/>
          <w:sz w:val="24"/>
          <w:szCs w:val="24"/>
        </w:rPr>
        <w:t xml:space="preserve">as to the privileges and immunities to be accorded to </w:t>
      </w:r>
      <w:r w:rsidR="00E4017F">
        <w:rPr>
          <w:rFonts w:ascii="Times New Roman" w:hAnsi="Times New Roman" w:cs="Times New Roman"/>
          <w:sz w:val="24"/>
          <w:szCs w:val="24"/>
        </w:rPr>
        <w:t>Omanis</w:t>
      </w:r>
      <w:r w:rsidR="0074622C">
        <w:rPr>
          <w:rFonts w:ascii="Times New Roman" w:hAnsi="Times New Roman" w:cs="Times New Roman"/>
          <w:sz w:val="24"/>
          <w:szCs w:val="24"/>
        </w:rPr>
        <w:t xml:space="preserve"> </w:t>
      </w:r>
      <w:r w:rsidR="006237F1" w:rsidRPr="006237F1">
        <w:rPr>
          <w:rFonts w:ascii="Times New Roman" w:hAnsi="Times New Roman" w:cs="Times New Roman"/>
          <w:sz w:val="24"/>
          <w:szCs w:val="24"/>
        </w:rPr>
        <w:t xml:space="preserve">officials. </w:t>
      </w:r>
    </w:p>
    <w:p w14:paraId="79E200E0" w14:textId="77777777" w:rsidR="00E91A11" w:rsidRPr="006237F1" w:rsidRDefault="00E91A11" w:rsidP="006237F1">
      <w:pPr>
        <w:autoSpaceDE w:val="0"/>
        <w:autoSpaceDN w:val="0"/>
        <w:adjustRightInd w:val="0"/>
        <w:spacing w:after="0" w:line="240" w:lineRule="auto"/>
        <w:rPr>
          <w:rFonts w:ascii="Times New Roman" w:hAnsi="Times New Roman" w:cs="Times New Roman"/>
          <w:sz w:val="24"/>
          <w:szCs w:val="24"/>
        </w:rPr>
      </w:pPr>
    </w:p>
    <w:p w14:paraId="52CF79A7" w14:textId="764EECCB" w:rsidR="06238B21" w:rsidRPr="00EB23C4" w:rsidRDefault="06238B21" w:rsidP="00322F2B">
      <w:pPr>
        <w:keepNext/>
        <w:spacing w:after="0" w:line="240" w:lineRule="auto"/>
        <w:rPr>
          <w:rFonts w:ascii="Times New Roman" w:hAnsi="Times New Roman" w:cs="Times New Roman"/>
          <w:b/>
          <w:bCs/>
          <w:sz w:val="24"/>
          <w:szCs w:val="24"/>
        </w:rPr>
      </w:pPr>
      <w:r w:rsidRPr="00EB23C4">
        <w:rPr>
          <w:rFonts w:ascii="Times New Roman" w:hAnsi="Times New Roman" w:cs="Times New Roman"/>
          <w:b/>
          <w:bCs/>
          <w:sz w:val="24"/>
          <w:szCs w:val="24"/>
        </w:rPr>
        <w:t>Statement of Compatibility with Human Rights</w:t>
      </w:r>
    </w:p>
    <w:p w14:paraId="56E038F5" w14:textId="1FEB1A94" w:rsidR="003F6D2C" w:rsidRPr="000D6240" w:rsidRDefault="003F6D2C" w:rsidP="000D6240">
      <w:pPr>
        <w:shd w:val="clear" w:color="auto" w:fill="FFFFFF"/>
        <w:spacing w:line="260" w:lineRule="atLeast"/>
        <w:ind w:right="26"/>
        <w:rPr>
          <w:rFonts w:ascii="Times New Roman" w:eastAsia="Times New Roman" w:hAnsi="Times New Roman" w:cs="Times New Roman"/>
          <w:color w:val="000000"/>
          <w:lang w:eastAsia="en-AU"/>
        </w:rPr>
      </w:pPr>
      <w:r w:rsidRPr="0064211F">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64211F">
        <w:rPr>
          <w:rFonts w:ascii="Times New Roman" w:hAnsi="Times New Roman" w:cs="Times New Roman"/>
          <w:i/>
          <w:iCs/>
          <w:sz w:val="24"/>
          <w:szCs w:val="24"/>
        </w:rPr>
        <w:t>Human Rights (Parliamentary Scrutiny) Act 2011</w:t>
      </w:r>
      <w:r w:rsidRPr="0064211F">
        <w:rPr>
          <w:rFonts w:ascii="Times New Roman" w:hAnsi="Times New Roman" w:cs="Times New Roman"/>
          <w:sz w:val="24"/>
          <w:szCs w:val="24"/>
        </w:rPr>
        <w:t xml:space="preserve">. The Statement of Compatibility with Human Rights is at </w:t>
      </w:r>
      <w:r w:rsidRPr="0064211F">
        <w:rPr>
          <w:rFonts w:ascii="Times New Roman" w:hAnsi="Times New Roman" w:cs="Times New Roman"/>
          <w:sz w:val="24"/>
          <w:szCs w:val="24"/>
          <w:u w:val="single"/>
        </w:rPr>
        <w:t xml:space="preserve">Attachment </w:t>
      </w:r>
      <w:r>
        <w:rPr>
          <w:rFonts w:ascii="Times New Roman" w:hAnsi="Times New Roman" w:cs="Times New Roman"/>
          <w:sz w:val="24"/>
          <w:szCs w:val="24"/>
          <w:u w:val="single"/>
        </w:rPr>
        <w:t>A</w:t>
      </w:r>
      <w:r w:rsidRPr="0064211F">
        <w:rPr>
          <w:rFonts w:ascii="Times New Roman" w:hAnsi="Times New Roman" w:cs="Times New Roman"/>
          <w:sz w:val="24"/>
          <w:szCs w:val="24"/>
        </w:rPr>
        <w:t xml:space="preserve">. </w:t>
      </w:r>
      <w:r>
        <w:rPr>
          <w:rFonts w:ascii="Times New Roman" w:hAnsi="Times New Roman" w:cs="Times New Roman"/>
          <w:b/>
          <w:bCs/>
          <w:sz w:val="24"/>
          <w:szCs w:val="24"/>
          <w:u w:val="single"/>
        </w:rPr>
        <w:br w:type="page"/>
      </w:r>
    </w:p>
    <w:p w14:paraId="71BC8397" w14:textId="6D0ACF0F" w:rsidR="00C000DA" w:rsidRPr="003A4DD8" w:rsidRDefault="00C000DA" w:rsidP="00C000DA">
      <w:pPr>
        <w:spacing w:after="0" w:line="240" w:lineRule="auto"/>
        <w:jc w:val="righ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ATTACHMENT A</w:t>
      </w:r>
    </w:p>
    <w:p w14:paraId="7A87637D" w14:textId="77777777" w:rsidR="00203D33" w:rsidRPr="00EB23C4" w:rsidRDefault="00203D33" w:rsidP="00203D33">
      <w:pPr>
        <w:keepNext/>
        <w:spacing w:after="0" w:line="240" w:lineRule="auto"/>
        <w:jc w:val="center"/>
        <w:rPr>
          <w:rFonts w:ascii="Times New Roman" w:hAnsi="Times New Roman" w:cs="Times New Roman"/>
          <w:b/>
          <w:bCs/>
          <w:sz w:val="24"/>
          <w:szCs w:val="24"/>
        </w:rPr>
      </w:pPr>
      <w:r w:rsidRPr="00EB23C4">
        <w:rPr>
          <w:rFonts w:ascii="Times New Roman" w:hAnsi="Times New Roman" w:cs="Times New Roman"/>
          <w:b/>
          <w:bCs/>
          <w:sz w:val="24"/>
          <w:szCs w:val="24"/>
        </w:rPr>
        <w:t>Statement of Compatibility with Human Rights</w:t>
      </w:r>
    </w:p>
    <w:p w14:paraId="767EFDBC" w14:textId="1A668DB9" w:rsidR="06238B21" w:rsidRPr="00763B2B" w:rsidRDefault="06238B21" w:rsidP="00203D33">
      <w:pPr>
        <w:spacing w:after="0" w:line="240" w:lineRule="auto"/>
        <w:jc w:val="center"/>
        <w:rPr>
          <w:i/>
          <w:iCs/>
        </w:rPr>
      </w:pPr>
      <w:r w:rsidRPr="00763B2B">
        <w:rPr>
          <w:rFonts w:ascii="Times New Roman" w:hAnsi="Times New Roman" w:cs="Times New Roman"/>
          <w:i/>
          <w:iCs/>
          <w:sz w:val="24"/>
          <w:szCs w:val="24"/>
        </w:rPr>
        <w:t>Prepared in accordance with Part 3 of the Human Rights (Parliamentary Scrutiny) Act 2011</w:t>
      </w:r>
    </w:p>
    <w:p w14:paraId="36B72393" w14:textId="67D80296" w:rsidR="06238B21" w:rsidRDefault="06238B21" w:rsidP="47B9AE74">
      <w:pPr>
        <w:spacing w:after="0" w:line="240" w:lineRule="auto"/>
      </w:pPr>
      <w:r w:rsidRPr="47B9AE74">
        <w:rPr>
          <w:rFonts w:ascii="Times New Roman" w:hAnsi="Times New Roman" w:cs="Times New Roman"/>
          <w:sz w:val="24"/>
          <w:szCs w:val="24"/>
        </w:rPr>
        <w:t xml:space="preserve"> </w:t>
      </w:r>
    </w:p>
    <w:p w14:paraId="5EED1B5F" w14:textId="600E7C0B" w:rsidR="06238B21" w:rsidRPr="00396990" w:rsidRDefault="00144589" w:rsidP="00396990">
      <w:pPr>
        <w:spacing w:after="0" w:line="240" w:lineRule="auto"/>
        <w:jc w:val="center"/>
        <w:rPr>
          <w:b/>
          <w:bCs/>
          <w:i/>
          <w:iCs/>
        </w:rPr>
      </w:pPr>
      <w:r w:rsidRPr="00396990">
        <w:rPr>
          <w:rFonts w:ascii="Times New Roman" w:hAnsi="Times New Roman" w:cs="Times New Roman"/>
          <w:b/>
          <w:bCs/>
          <w:i/>
          <w:iCs/>
          <w:sz w:val="24"/>
          <w:szCs w:val="24"/>
        </w:rPr>
        <w:t>Diplomatic Privileges and Immunities (Indirect Tax Concession Scheme)</w:t>
      </w:r>
      <w:r w:rsidR="00F06C77">
        <w:rPr>
          <w:rFonts w:ascii="Times New Roman" w:hAnsi="Times New Roman" w:cs="Times New Roman"/>
          <w:b/>
          <w:bCs/>
          <w:i/>
          <w:iCs/>
          <w:sz w:val="24"/>
          <w:szCs w:val="24"/>
        </w:rPr>
        <w:br/>
      </w:r>
      <w:r w:rsidRPr="00396990">
        <w:rPr>
          <w:rFonts w:ascii="Times New Roman" w:hAnsi="Times New Roman" w:cs="Times New Roman"/>
          <w:b/>
          <w:bCs/>
          <w:i/>
          <w:iCs/>
          <w:sz w:val="24"/>
          <w:szCs w:val="24"/>
        </w:rPr>
        <w:t>Amendment (</w:t>
      </w:r>
      <w:r w:rsidR="00F44270">
        <w:rPr>
          <w:rFonts w:ascii="Times New Roman" w:hAnsi="Times New Roman" w:cs="Times New Roman"/>
          <w:b/>
          <w:bCs/>
          <w:i/>
          <w:iCs/>
          <w:sz w:val="24"/>
          <w:szCs w:val="24"/>
        </w:rPr>
        <w:t>Oman</w:t>
      </w:r>
      <w:r w:rsidRPr="00396990">
        <w:rPr>
          <w:rFonts w:ascii="Times New Roman" w:hAnsi="Times New Roman" w:cs="Times New Roman"/>
          <w:b/>
          <w:bCs/>
          <w:i/>
          <w:iCs/>
          <w:sz w:val="24"/>
          <w:szCs w:val="24"/>
        </w:rPr>
        <w:t>) Determination 202</w:t>
      </w:r>
      <w:r w:rsidR="001B5AAE">
        <w:rPr>
          <w:rFonts w:ascii="Times New Roman" w:hAnsi="Times New Roman" w:cs="Times New Roman"/>
          <w:b/>
          <w:bCs/>
          <w:i/>
          <w:iCs/>
          <w:sz w:val="24"/>
          <w:szCs w:val="24"/>
        </w:rPr>
        <w:t>4</w:t>
      </w:r>
      <w:r w:rsidRPr="00396990">
        <w:rPr>
          <w:rFonts w:ascii="Times New Roman" w:hAnsi="Times New Roman" w:cs="Times New Roman"/>
          <w:b/>
          <w:bCs/>
          <w:i/>
          <w:iCs/>
          <w:sz w:val="24"/>
          <w:szCs w:val="24"/>
        </w:rPr>
        <w:t xml:space="preserve"> </w:t>
      </w:r>
      <w:r w:rsidR="00745218" w:rsidRPr="005C7BAA">
        <w:rPr>
          <w:rFonts w:ascii="Times New Roman" w:hAnsi="Times New Roman" w:cs="Times New Roman"/>
          <w:b/>
          <w:bCs/>
          <w:sz w:val="24"/>
          <w:szCs w:val="24"/>
        </w:rPr>
        <w:t>(the Amendment)</w:t>
      </w:r>
    </w:p>
    <w:p w14:paraId="62899C33" w14:textId="77777777" w:rsidR="00396990" w:rsidRDefault="00396990" w:rsidP="47B9AE74">
      <w:pPr>
        <w:spacing w:after="0" w:line="240" w:lineRule="auto"/>
        <w:rPr>
          <w:rFonts w:ascii="Times New Roman" w:hAnsi="Times New Roman" w:cs="Times New Roman"/>
          <w:sz w:val="24"/>
          <w:szCs w:val="24"/>
        </w:rPr>
      </w:pPr>
    </w:p>
    <w:p w14:paraId="2D138F55" w14:textId="1ECE11B2" w:rsidR="06238B21" w:rsidRDefault="06238B21" w:rsidP="47B9AE74">
      <w:pPr>
        <w:spacing w:after="0" w:line="240" w:lineRule="auto"/>
      </w:pPr>
      <w:r w:rsidRPr="47B9AE74">
        <w:rPr>
          <w:rFonts w:ascii="Times New Roman" w:hAnsi="Times New Roman" w:cs="Times New Roman"/>
          <w:sz w:val="24"/>
          <w:szCs w:val="24"/>
        </w:rPr>
        <w:t xml:space="preserve">This </w:t>
      </w:r>
      <w:r w:rsidR="00D10956">
        <w:rPr>
          <w:rFonts w:ascii="Times New Roman" w:hAnsi="Times New Roman" w:cs="Times New Roman"/>
          <w:sz w:val="24"/>
          <w:szCs w:val="24"/>
        </w:rPr>
        <w:t xml:space="preserve">Disallowable </w:t>
      </w:r>
      <w:r w:rsidRPr="47B9AE74">
        <w:rPr>
          <w:rFonts w:ascii="Times New Roman" w:hAnsi="Times New Roman" w:cs="Times New Roman"/>
          <w:sz w:val="24"/>
          <w:szCs w:val="24"/>
        </w:rPr>
        <w:t xml:space="preserve">Legislative Instrument is compatible with the human rights and freedoms recognised or declared in the international instruments listed in section 3 of the </w:t>
      </w:r>
      <w:r w:rsidRPr="00D10956">
        <w:rPr>
          <w:rFonts w:ascii="Times New Roman" w:hAnsi="Times New Roman" w:cs="Times New Roman"/>
          <w:i/>
          <w:iCs/>
          <w:sz w:val="24"/>
          <w:szCs w:val="24"/>
        </w:rPr>
        <w:t>Human Rights (Parliamentary Scrutiny) Act 2011</w:t>
      </w:r>
      <w:r w:rsidRPr="47B9AE74">
        <w:rPr>
          <w:rFonts w:ascii="Times New Roman" w:hAnsi="Times New Roman" w:cs="Times New Roman"/>
          <w:sz w:val="24"/>
          <w:szCs w:val="24"/>
        </w:rPr>
        <w:t>.</w:t>
      </w:r>
    </w:p>
    <w:p w14:paraId="36D533C0" w14:textId="71FD6D2F" w:rsidR="06238B21" w:rsidRDefault="06238B21" w:rsidP="47B9AE74">
      <w:pPr>
        <w:spacing w:after="0" w:line="240" w:lineRule="auto"/>
      </w:pPr>
      <w:r w:rsidRPr="47B9AE74">
        <w:rPr>
          <w:rFonts w:ascii="Times New Roman" w:hAnsi="Times New Roman" w:cs="Times New Roman"/>
          <w:sz w:val="24"/>
          <w:szCs w:val="24"/>
        </w:rPr>
        <w:t xml:space="preserve"> </w:t>
      </w:r>
    </w:p>
    <w:p w14:paraId="607857D7" w14:textId="28A7BC2B" w:rsidR="06238B21" w:rsidRPr="00D10956" w:rsidRDefault="06238B21" w:rsidP="47B9AE74">
      <w:pPr>
        <w:spacing w:after="0" w:line="240" w:lineRule="auto"/>
        <w:rPr>
          <w:b/>
          <w:bCs/>
        </w:rPr>
      </w:pPr>
      <w:r w:rsidRPr="00B50CA1">
        <w:rPr>
          <w:rFonts w:ascii="Times New Roman" w:hAnsi="Times New Roman" w:cs="Times New Roman"/>
          <w:b/>
          <w:bCs/>
          <w:sz w:val="24"/>
          <w:szCs w:val="24"/>
        </w:rPr>
        <w:t xml:space="preserve">Overview </w:t>
      </w:r>
      <w:r w:rsidRPr="00D10956">
        <w:rPr>
          <w:rFonts w:ascii="Times New Roman" w:hAnsi="Times New Roman" w:cs="Times New Roman"/>
          <w:b/>
          <w:bCs/>
          <w:sz w:val="24"/>
          <w:szCs w:val="24"/>
        </w:rPr>
        <w:t xml:space="preserve">of the </w:t>
      </w:r>
      <w:r w:rsidR="00D10956">
        <w:rPr>
          <w:rFonts w:ascii="Times New Roman" w:hAnsi="Times New Roman" w:cs="Times New Roman"/>
          <w:b/>
          <w:bCs/>
          <w:sz w:val="24"/>
          <w:szCs w:val="24"/>
        </w:rPr>
        <w:t xml:space="preserve">Disallowable </w:t>
      </w:r>
      <w:r w:rsidRPr="00D10956">
        <w:rPr>
          <w:rFonts w:ascii="Times New Roman" w:hAnsi="Times New Roman" w:cs="Times New Roman"/>
          <w:b/>
          <w:bCs/>
          <w:sz w:val="24"/>
          <w:szCs w:val="24"/>
        </w:rPr>
        <w:t>Legislative Instrument</w:t>
      </w:r>
    </w:p>
    <w:p w14:paraId="262855AD" w14:textId="7AFB5295" w:rsidR="06238B21" w:rsidRDefault="06238B21" w:rsidP="47B9AE74">
      <w:pPr>
        <w:spacing w:after="0" w:line="240" w:lineRule="auto"/>
        <w:rPr>
          <w:rFonts w:ascii="Times New Roman" w:hAnsi="Times New Roman" w:cs="Times New Roman"/>
          <w:sz w:val="24"/>
          <w:szCs w:val="24"/>
        </w:rPr>
      </w:pPr>
      <w:r w:rsidRPr="40DF31BA">
        <w:rPr>
          <w:rFonts w:ascii="Times New Roman" w:hAnsi="Times New Roman" w:cs="Times New Roman"/>
          <w:sz w:val="24"/>
          <w:szCs w:val="24"/>
        </w:rPr>
        <w:t>This</w:t>
      </w:r>
      <w:r w:rsidR="00B800CB" w:rsidRPr="40DF31BA">
        <w:rPr>
          <w:rFonts w:ascii="Times New Roman" w:hAnsi="Times New Roman" w:cs="Times New Roman"/>
          <w:sz w:val="24"/>
          <w:szCs w:val="24"/>
        </w:rPr>
        <w:t xml:space="preserve"> disallowable</w:t>
      </w:r>
      <w:r w:rsidRPr="40DF31BA">
        <w:rPr>
          <w:rFonts w:ascii="Times New Roman" w:hAnsi="Times New Roman" w:cs="Times New Roman"/>
          <w:sz w:val="24"/>
          <w:szCs w:val="24"/>
        </w:rPr>
        <w:t xml:space="preserve"> legislative instrument will amend Schedule 1 within the </w:t>
      </w:r>
      <w:r w:rsidRPr="001844DA">
        <w:rPr>
          <w:rFonts w:ascii="Times New Roman" w:hAnsi="Times New Roman" w:cs="Times New Roman"/>
          <w:i/>
          <w:iCs/>
          <w:sz w:val="24"/>
          <w:szCs w:val="24"/>
        </w:rPr>
        <w:t>Diplomatic Privileges and Immunities (Indirect Tax Concession Scheme) Determination 2000</w:t>
      </w:r>
      <w:r w:rsidR="00E12B4C">
        <w:rPr>
          <w:rFonts w:ascii="Times New Roman" w:hAnsi="Times New Roman" w:cs="Times New Roman"/>
          <w:i/>
          <w:iCs/>
          <w:sz w:val="24"/>
          <w:szCs w:val="24"/>
        </w:rPr>
        <w:t xml:space="preserve"> </w:t>
      </w:r>
      <w:r w:rsidR="00E12B4C">
        <w:rPr>
          <w:rFonts w:ascii="Times New Roman" w:hAnsi="Times New Roman" w:cs="Times New Roman"/>
          <w:sz w:val="24"/>
          <w:szCs w:val="24"/>
        </w:rPr>
        <w:t>(</w:t>
      </w:r>
      <w:r w:rsidR="006273E4">
        <w:rPr>
          <w:rFonts w:ascii="Times New Roman" w:hAnsi="Times New Roman" w:cs="Times New Roman"/>
          <w:sz w:val="24"/>
          <w:szCs w:val="24"/>
        </w:rPr>
        <w:t xml:space="preserve">the </w:t>
      </w:r>
      <w:r w:rsidR="00E12B4C">
        <w:rPr>
          <w:rFonts w:ascii="Times New Roman" w:hAnsi="Times New Roman" w:cs="Times New Roman"/>
          <w:sz w:val="24"/>
          <w:szCs w:val="24"/>
        </w:rPr>
        <w:t>Determination)</w:t>
      </w:r>
      <w:r w:rsidRPr="40DF31BA">
        <w:rPr>
          <w:rFonts w:ascii="Times New Roman" w:hAnsi="Times New Roman" w:cs="Times New Roman"/>
          <w:sz w:val="24"/>
          <w:szCs w:val="24"/>
        </w:rPr>
        <w:t>. These amendments will reflect all new and upgraded Indirect Tax Concession Scheme arrangements that have been negotiated since the last amending determination in</w:t>
      </w:r>
      <w:r w:rsidR="00503BBF" w:rsidRPr="40DF31BA">
        <w:rPr>
          <w:rFonts w:ascii="Times New Roman" w:hAnsi="Times New Roman" w:cs="Times New Roman"/>
          <w:sz w:val="24"/>
          <w:szCs w:val="24"/>
        </w:rPr>
        <w:t xml:space="preserve"> </w:t>
      </w:r>
      <w:r w:rsidR="00976B3D">
        <w:rPr>
          <w:rFonts w:ascii="Times New Roman" w:hAnsi="Times New Roman" w:cs="Times New Roman"/>
          <w:sz w:val="24"/>
          <w:szCs w:val="24"/>
        </w:rPr>
        <w:t>202</w:t>
      </w:r>
      <w:r w:rsidR="00A663FD">
        <w:rPr>
          <w:rFonts w:ascii="Times New Roman" w:hAnsi="Times New Roman" w:cs="Times New Roman"/>
          <w:sz w:val="24"/>
          <w:szCs w:val="24"/>
        </w:rPr>
        <w:t>3</w:t>
      </w:r>
      <w:r w:rsidRPr="40DF31BA">
        <w:rPr>
          <w:rFonts w:ascii="Times New Roman" w:hAnsi="Times New Roman" w:cs="Times New Roman"/>
          <w:sz w:val="24"/>
          <w:szCs w:val="24"/>
        </w:rPr>
        <w:t>.</w:t>
      </w:r>
    </w:p>
    <w:p w14:paraId="0485426D" w14:textId="77777777" w:rsidR="00C83D87" w:rsidRDefault="00C83D87" w:rsidP="47B9AE74">
      <w:pPr>
        <w:spacing w:after="0" w:line="240" w:lineRule="auto"/>
        <w:rPr>
          <w:rFonts w:ascii="Times New Roman" w:hAnsi="Times New Roman" w:cs="Times New Roman"/>
          <w:sz w:val="24"/>
          <w:szCs w:val="24"/>
        </w:rPr>
      </w:pPr>
    </w:p>
    <w:p w14:paraId="10606310" w14:textId="77706446" w:rsidR="0057646B" w:rsidRDefault="0057646B" w:rsidP="0057646B">
      <w:pPr>
        <w:autoSpaceDE w:val="0"/>
        <w:autoSpaceDN w:val="0"/>
        <w:adjustRightInd w:val="0"/>
        <w:spacing w:after="0" w:line="240" w:lineRule="auto"/>
        <w:rPr>
          <w:rFonts w:ascii="Times New Roman" w:hAnsi="Times New Roman" w:cs="Times New Roman"/>
          <w:sz w:val="24"/>
          <w:szCs w:val="24"/>
        </w:rPr>
      </w:pPr>
      <w:r w:rsidRPr="1ADBBA46">
        <w:rPr>
          <w:rFonts w:ascii="Times New Roman" w:hAnsi="Times New Roman" w:cs="Times New Roman"/>
          <w:sz w:val="24"/>
          <w:szCs w:val="24"/>
        </w:rPr>
        <w:t xml:space="preserve">The purpose of the Amendment is to amend </w:t>
      </w:r>
      <w:r>
        <w:rPr>
          <w:rFonts w:ascii="Times New Roman" w:hAnsi="Times New Roman" w:cs="Times New Roman"/>
          <w:sz w:val="24"/>
          <w:szCs w:val="24"/>
        </w:rPr>
        <w:t xml:space="preserve">the </w:t>
      </w:r>
      <w:r w:rsidRPr="1ADBBA46">
        <w:rPr>
          <w:rFonts w:ascii="Times New Roman" w:hAnsi="Times New Roman" w:cs="Times New Roman"/>
          <w:sz w:val="24"/>
          <w:szCs w:val="24"/>
        </w:rPr>
        <w:t>Determination to create new Indirect Tax Concession Scheme (ITCS) package</w:t>
      </w:r>
      <w:r>
        <w:rPr>
          <w:rFonts w:ascii="Times New Roman" w:hAnsi="Times New Roman" w:cs="Times New Roman"/>
          <w:sz w:val="24"/>
          <w:szCs w:val="24"/>
        </w:rPr>
        <w:t>s</w:t>
      </w:r>
      <w:r w:rsidRPr="1ADBBA46">
        <w:rPr>
          <w:rFonts w:ascii="Times New Roman" w:hAnsi="Times New Roman" w:cs="Times New Roman"/>
          <w:sz w:val="24"/>
          <w:szCs w:val="24"/>
        </w:rPr>
        <w:t xml:space="preserve"> for </w:t>
      </w:r>
      <w:r w:rsidR="00F44270">
        <w:rPr>
          <w:rFonts w:ascii="Times New Roman" w:hAnsi="Times New Roman" w:cs="Times New Roman"/>
          <w:sz w:val="24"/>
          <w:szCs w:val="24"/>
        </w:rPr>
        <w:t xml:space="preserve">Oman </w:t>
      </w:r>
      <w:r w:rsidRPr="00504175">
        <w:rPr>
          <w:rFonts w:ascii="Times New Roman" w:hAnsi="Times New Roman" w:cs="Times New Roman"/>
          <w:sz w:val="24"/>
          <w:szCs w:val="24"/>
        </w:rPr>
        <w:t>by providing indirect tax concessions to</w:t>
      </w:r>
      <w:r>
        <w:rPr>
          <w:rFonts w:ascii="Times New Roman" w:hAnsi="Times New Roman" w:cs="Times New Roman"/>
          <w:sz w:val="24"/>
          <w:szCs w:val="24"/>
        </w:rPr>
        <w:t xml:space="preserve"> their </w:t>
      </w:r>
      <w:r w:rsidRPr="1ADBBA46">
        <w:rPr>
          <w:rFonts w:ascii="Times New Roman" w:hAnsi="Times New Roman" w:cs="Times New Roman"/>
          <w:sz w:val="24"/>
          <w:szCs w:val="24"/>
        </w:rPr>
        <w:t>diplomatic mission</w:t>
      </w:r>
      <w:r>
        <w:rPr>
          <w:rFonts w:ascii="Times New Roman" w:hAnsi="Times New Roman" w:cs="Times New Roman"/>
          <w:sz w:val="24"/>
          <w:szCs w:val="24"/>
        </w:rPr>
        <w:t>s</w:t>
      </w:r>
      <w:r w:rsidRPr="1ADBBA46">
        <w:rPr>
          <w:rFonts w:ascii="Times New Roman" w:hAnsi="Times New Roman" w:cs="Times New Roman"/>
          <w:sz w:val="24"/>
          <w:szCs w:val="24"/>
        </w:rPr>
        <w:t xml:space="preserve"> </w:t>
      </w:r>
      <w:r>
        <w:rPr>
          <w:rFonts w:ascii="Times New Roman" w:hAnsi="Times New Roman" w:cs="Times New Roman"/>
          <w:sz w:val="24"/>
          <w:szCs w:val="24"/>
        </w:rPr>
        <w:t xml:space="preserve">in Australia </w:t>
      </w:r>
      <w:r w:rsidRPr="1ADBBA46">
        <w:rPr>
          <w:rFonts w:ascii="Times New Roman" w:hAnsi="Times New Roman" w:cs="Times New Roman"/>
          <w:sz w:val="24"/>
          <w:szCs w:val="24"/>
        </w:rPr>
        <w:t xml:space="preserve">and accredited staff.  The effect of the Amendment is to </w:t>
      </w:r>
      <w:r>
        <w:rPr>
          <w:rFonts w:ascii="Times New Roman" w:hAnsi="Times New Roman" w:cs="Times New Roman"/>
          <w:sz w:val="24"/>
          <w:szCs w:val="24"/>
        </w:rPr>
        <w:t xml:space="preserve">update two </w:t>
      </w:r>
      <w:r w:rsidRPr="1ADBBA46">
        <w:rPr>
          <w:rFonts w:ascii="Times New Roman" w:hAnsi="Times New Roman" w:cs="Times New Roman"/>
          <w:sz w:val="24"/>
          <w:szCs w:val="24"/>
        </w:rPr>
        <w:t>item</w:t>
      </w:r>
      <w:r>
        <w:rPr>
          <w:rFonts w:ascii="Times New Roman" w:hAnsi="Times New Roman" w:cs="Times New Roman"/>
          <w:sz w:val="24"/>
          <w:szCs w:val="24"/>
        </w:rPr>
        <w:t>s in</w:t>
      </w:r>
      <w:r w:rsidRPr="1ADBBA46">
        <w:rPr>
          <w:rFonts w:ascii="Times New Roman" w:hAnsi="Times New Roman" w:cs="Times New Roman"/>
          <w:sz w:val="24"/>
          <w:szCs w:val="24"/>
        </w:rPr>
        <w:t xml:space="preserve"> Schedule 1 of the Determination, which lists the ITCS packages available to </w:t>
      </w:r>
      <w:proofErr w:type="gramStart"/>
      <w:r w:rsidRPr="1ADBBA46">
        <w:rPr>
          <w:rFonts w:ascii="Times New Roman" w:hAnsi="Times New Roman" w:cs="Times New Roman"/>
          <w:sz w:val="24"/>
          <w:szCs w:val="24"/>
        </w:rPr>
        <w:t>particular diplomatic</w:t>
      </w:r>
      <w:proofErr w:type="gramEnd"/>
      <w:r w:rsidRPr="1ADBBA46">
        <w:rPr>
          <w:rFonts w:ascii="Times New Roman" w:hAnsi="Times New Roman" w:cs="Times New Roman"/>
          <w:sz w:val="24"/>
          <w:szCs w:val="24"/>
        </w:rPr>
        <w:t xml:space="preserve"> missions. </w:t>
      </w:r>
    </w:p>
    <w:p w14:paraId="1E67D4EE" w14:textId="77777777" w:rsidR="0057646B" w:rsidRDefault="0057646B" w:rsidP="47B9AE74">
      <w:pPr>
        <w:spacing w:after="0" w:line="240" w:lineRule="auto"/>
        <w:rPr>
          <w:rFonts w:ascii="Times New Roman" w:hAnsi="Times New Roman" w:cs="Times New Roman"/>
          <w:sz w:val="24"/>
          <w:szCs w:val="24"/>
        </w:rPr>
      </w:pPr>
    </w:p>
    <w:p w14:paraId="71BA134E" w14:textId="77777777" w:rsidR="00C83D87" w:rsidRDefault="00C83D87" w:rsidP="00C83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Diplomatic missions and accredited staff are exempt from paying direct taxes under the </w:t>
      </w:r>
      <w:r w:rsidRPr="0071501B">
        <w:rPr>
          <w:rFonts w:ascii="Times New Roman" w:hAnsi="Times New Roman" w:cs="Times New Roman"/>
          <w:i/>
          <w:sz w:val="24"/>
          <w:szCs w:val="24"/>
        </w:rPr>
        <w:t>Vienna</w:t>
      </w:r>
      <w:r>
        <w:rPr>
          <w:rFonts w:ascii="Times New Roman" w:hAnsi="Times New Roman" w:cs="Times New Roman"/>
          <w:i/>
          <w:sz w:val="24"/>
          <w:szCs w:val="24"/>
        </w:rPr>
        <w:t> </w:t>
      </w:r>
      <w:r w:rsidRPr="0071501B">
        <w:rPr>
          <w:rFonts w:ascii="Times New Roman" w:hAnsi="Times New Roman" w:cs="Times New Roman"/>
          <w:i/>
          <w:sz w:val="24"/>
          <w:szCs w:val="24"/>
        </w:rPr>
        <w:t>Convention on Diplomatic Relations 1961</w:t>
      </w:r>
      <w:r>
        <w:rPr>
          <w:rFonts w:ascii="Times New Roman" w:hAnsi="Times New Roman" w:cs="Times New Roman"/>
          <w:sz w:val="24"/>
          <w:szCs w:val="24"/>
        </w:rPr>
        <w:t xml:space="preserve"> (Articles 23, 34, 36 and 37).  In line with international practice, indirect tax concessions are also extended to diplomatic missions and accredited staff.  In Australia, indirect tax concessions are provided for under the ITCS.  Individual packages are negotiated with each country, and the level of concessions provided is broadly based on reciprocity. </w:t>
      </w:r>
    </w:p>
    <w:p w14:paraId="0A839119" w14:textId="77777777" w:rsidR="00C83D87" w:rsidRDefault="00C83D87" w:rsidP="00C83D87">
      <w:pPr>
        <w:autoSpaceDE w:val="0"/>
        <w:autoSpaceDN w:val="0"/>
        <w:adjustRightInd w:val="0"/>
        <w:spacing w:after="0" w:line="240" w:lineRule="auto"/>
        <w:rPr>
          <w:rFonts w:ascii="Times New Roman" w:hAnsi="Times New Roman" w:cs="Times New Roman"/>
          <w:sz w:val="24"/>
          <w:szCs w:val="24"/>
        </w:rPr>
      </w:pPr>
    </w:p>
    <w:p w14:paraId="74622600" w14:textId="77777777" w:rsidR="00C83D87" w:rsidRDefault="00C83D87" w:rsidP="00C83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Commencement dates for individual packages form part of the negotiations for tax concessions.  In some cases, the commencement date reflects the date when the agreement was reached.  In other cases, the commencement date allows access to concessions for purchases of goods and services already made, including by our overseas missions.  As concession packages are usually agreed before they come into force under Australian legislation, they need to be made retrospective.  This retrospectivity is not to the detriment of any person or organisation; rather it extends concessions to missions and accredited staff from either the date the mission </w:t>
      </w:r>
      <w:proofErr w:type="gramStart"/>
      <w:r>
        <w:rPr>
          <w:rFonts w:ascii="Times New Roman" w:hAnsi="Times New Roman" w:cs="Times New Roman"/>
          <w:sz w:val="24"/>
          <w:szCs w:val="24"/>
        </w:rPr>
        <w:t>opened</w:t>
      </w:r>
      <w:proofErr w:type="gramEnd"/>
      <w:r>
        <w:rPr>
          <w:rFonts w:ascii="Times New Roman" w:hAnsi="Times New Roman" w:cs="Times New Roman"/>
          <w:sz w:val="24"/>
          <w:szCs w:val="24"/>
        </w:rPr>
        <w:t xml:space="preserve"> or a date agreed during negotiations.  Reciprocity in terms of the date of effect means that relevant Australian diplomatic missions </w:t>
      </w:r>
      <w:r w:rsidRPr="00504175">
        <w:rPr>
          <w:rFonts w:ascii="Times New Roman" w:hAnsi="Times New Roman" w:cs="Times New Roman"/>
          <w:sz w:val="24"/>
          <w:szCs w:val="24"/>
        </w:rPr>
        <w:t xml:space="preserve">overseas will </w:t>
      </w:r>
      <w:r>
        <w:rPr>
          <w:rFonts w:ascii="Times New Roman" w:hAnsi="Times New Roman" w:cs="Times New Roman"/>
          <w:sz w:val="24"/>
          <w:szCs w:val="24"/>
        </w:rPr>
        <w:t xml:space="preserve">also have access to the same or similar benefits in the relevant overseas country.  </w:t>
      </w:r>
    </w:p>
    <w:p w14:paraId="7458B77F" w14:textId="77777777" w:rsidR="00C83D87" w:rsidRDefault="00C83D87" w:rsidP="00C83D87">
      <w:pPr>
        <w:rPr>
          <w:rFonts w:ascii="Times New Roman" w:hAnsi="Times New Roman" w:cs="Times New Roman"/>
          <w:sz w:val="24"/>
          <w:szCs w:val="24"/>
        </w:rPr>
      </w:pPr>
    </w:p>
    <w:p w14:paraId="0A8479C0" w14:textId="6BA0CE0B" w:rsidR="00C83D87" w:rsidRDefault="00C83D87" w:rsidP="00C83D87">
      <w:pPr>
        <w:rPr>
          <w:rFonts w:ascii="Times New Roman" w:hAnsi="Times New Roman" w:cs="Times New Roman"/>
          <w:sz w:val="24"/>
          <w:szCs w:val="24"/>
        </w:rPr>
      </w:pPr>
      <w:r w:rsidRPr="37B24DB5">
        <w:rPr>
          <w:rFonts w:ascii="Times New Roman" w:hAnsi="Times New Roman" w:cs="Times New Roman"/>
          <w:sz w:val="24"/>
          <w:szCs w:val="24"/>
        </w:rPr>
        <w:t xml:space="preserve">The ITCS and its extension to new and existing diplomatic missions in Australia by way of periodic amendments to Schedule 1 of the Determination (such as this Amendment), are beneficial to Australia.  In determining the scope of the economic benefit to Australia, the Department of Treasury confirmed that the estimated net benefit to Australia in pursuing reciprocal agreements covering GST would be several million dollars, and that the most practical </w:t>
      </w:r>
      <w:r w:rsidRPr="37B24DB5">
        <w:rPr>
          <w:rFonts w:ascii="Times New Roman" w:hAnsi="Times New Roman" w:cs="Times New Roman"/>
          <w:sz w:val="24"/>
          <w:szCs w:val="24"/>
        </w:rPr>
        <w:lastRenderedPageBreak/>
        <w:t xml:space="preserve">means of assessing the financial benefit to Australia would be to take a global approach, rather than an approach based on individual agreements.  In the current instance, Treasury has advised the concessions covered by the Amendment will have a </w:t>
      </w:r>
      <w:r w:rsidRPr="007D4DD8">
        <w:rPr>
          <w:rFonts w:ascii="Times New Roman" w:hAnsi="Times New Roman" w:cs="Times New Roman"/>
          <w:sz w:val="24"/>
          <w:szCs w:val="24"/>
        </w:rPr>
        <w:t>negligible</w:t>
      </w:r>
      <w:r w:rsidRPr="37B24DB5">
        <w:rPr>
          <w:rFonts w:ascii="Times New Roman" w:hAnsi="Times New Roman" w:cs="Times New Roman"/>
          <w:sz w:val="24"/>
          <w:szCs w:val="24"/>
        </w:rPr>
        <w:t xml:space="preserve"> impact on revenue.  In addition, the provision of tax concessions encourages diplomatic missions and accredited staff to purchase goods in Australia rather than directly importing them, which further assists the Australian economy. </w:t>
      </w:r>
    </w:p>
    <w:p w14:paraId="2768F7A1" w14:textId="342C6063" w:rsidR="06238B21" w:rsidRDefault="06238B21" w:rsidP="47B9AE74">
      <w:pPr>
        <w:spacing w:after="0" w:line="240" w:lineRule="auto"/>
      </w:pPr>
      <w:r w:rsidRPr="47B9AE74">
        <w:rPr>
          <w:rFonts w:ascii="Times New Roman" w:hAnsi="Times New Roman" w:cs="Times New Roman"/>
          <w:sz w:val="24"/>
          <w:szCs w:val="24"/>
        </w:rPr>
        <w:t xml:space="preserve"> </w:t>
      </w:r>
    </w:p>
    <w:p w14:paraId="1027C44A" w14:textId="65BBBB38" w:rsidR="06238B21" w:rsidRPr="00503BBF" w:rsidRDefault="06238B21" w:rsidP="47B9AE74">
      <w:pPr>
        <w:spacing w:after="0" w:line="240" w:lineRule="auto"/>
        <w:rPr>
          <w:b/>
          <w:bCs/>
        </w:rPr>
      </w:pPr>
      <w:r w:rsidRPr="00503BBF">
        <w:rPr>
          <w:rFonts w:ascii="Times New Roman" w:hAnsi="Times New Roman" w:cs="Times New Roman"/>
          <w:b/>
          <w:bCs/>
          <w:sz w:val="24"/>
          <w:szCs w:val="24"/>
        </w:rPr>
        <w:t>Human rights implications</w:t>
      </w:r>
    </w:p>
    <w:p w14:paraId="21D23447" w14:textId="1CA10AFF" w:rsidR="06238B21" w:rsidRDefault="06238B21" w:rsidP="47B9AE74">
      <w:pPr>
        <w:spacing w:after="0" w:line="240" w:lineRule="auto"/>
      </w:pPr>
      <w:r w:rsidRPr="47B9AE74">
        <w:rPr>
          <w:rFonts w:ascii="Times New Roman" w:hAnsi="Times New Roman" w:cs="Times New Roman"/>
          <w:sz w:val="24"/>
          <w:szCs w:val="24"/>
        </w:rPr>
        <w:t xml:space="preserve">This </w:t>
      </w:r>
      <w:r w:rsidR="00503BBF">
        <w:rPr>
          <w:rFonts w:ascii="Times New Roman" w:hAnsi="Times New Roman" w:cs="Times New Roman"/>
          <w:sz w:val="24"/>
          <w:szCs w:val="24"/>
        </w:rPr>
        <w:t xml:space="preserve">Disallowable </w:t>
      </w:r>
      <w:r w:rsidRPr="47B9AE74">
        <w:rPr>
          <w:rFonts w:ascii="Times New Roman" w:hAnsi="Times New Roman" w:cs="Times New Roman"/>
          <w:sz w:val="24"/>
          <w:szCs w:val="24"/>
        </w:rPr>
        <w:t>Legislative Instrument does not engage any of the applicable rights or freedoms.</w:t>
      </w:r>
    </w:p>
    <w:p w14:paraId="3C8B4AC6" w14:textId="6B674B95" w:rsidR="06238B21" w:rsidRDefault="06238B21" w:rsidP="47B9AE74">
      <w:pPr>
        <w:spacing w:after="0" w:line="240" w:lineRule="auto"/>
      </w:pPr>
      <w:r w:rsidRPr="47B9AE74">
        <w:rPr>
          <w:rFonts w:ascii="Times New Roman" w:hAnsi="Times New Roman" w:cs="Times New Roman"/>
          <w:sz w:val="24"/>
          <w:szCs w:val="24"/>
        </w:rPr>
        <w:t xml:space="preserve"> </w:t>
      </w:r>
    </w:p>
    <w:p w14:paraId="5C3462E7" w14:textId="4FAAFE12" w:rsidR="06238B21" w:rsidRPr="00503BBF" w:rsidRDefault="06238B21" w:rsidP="47B9AE74">
      <w:pPr>
        <w:spacing w:after="0" w:line="240" w:lineRule="auto"/>
        <w:rPr>
          <w:b/>
          <w:bCs/>
        </w:rPr>
      </w:pPr>
      <w:r w:rsidRPr="00503BBF">
        <w:rPr>
          <w:rFonts w:ascii="Times New Roman" w:hAnsi="Times New Roman" w:cs="Times New Roman"/>
          <w:b/>
          <w:bCs/>
          <w:sz w:val="24"/>
          <w:szCs w:val="24"/>
        </w:rPr>
        <w:t>Conclusion</w:t>
      </w:r>
    </w:p>
    <w:p w14:paraId="403AA15A" w14:textId="7F373CDB" w:rsidR="06238B21" w:rsidRDefault="06238B21" w:rsidP="47B9AE74">
      <w:pPr>
        <w:spacing w:after="0" w:line="240" w:lineRule="auto"/>
      </w:pPr>
      <w:r w:rsidRPr="47B9AE74">
        <w:rPr>
          <w:rFonts w:ascii="Times New Roman" w:hAnsi="Times New Roman" w:cs="Times New Roman"/>
          <w:sz w:val="24"/>
          <w:szCs w:val="24"/>
        </w:rPr>
        <w:t xml:space="preserve">This </w:t>
      </w:r>
      <w:r w:rsidR="00503BBF">
        <w:rPr>
          <w:rFonts w:ascii="Times New Roman" w:hAnsi="Times New Roman" w:cs="Times New Roman"/>
          <w:sz w:val="24"/>
          <w:szCs w:val="24"/>
        </w:rPr>
        <w:t xml:space="preserve">Disallowable </w:t>
      </w:r>
      <w:r w:rsidRPr="47B9AE74">
        <w:rPr>
          <w:rFonts w:ascii="Times New Roman" w:hAnsi="Times New Roman" w:cs="Times New Roman"/>
          <w:sz w:val="24"/>
          <w:szCs w:val="24"/>
        </w:rPr>
        <w:t>Legislative Instrument is compatible with human rights as it does not raise any human rights issues.</w:t>
      </w:r>
    </w:p>
    <w:p w14:paraId="5892C2EF" w14:textId="6844884B" w:rsidR="47B9AE74" w:rsidRDefault="47B9AE74" w:rsidP="47B9AE74">
      <w:pPr>
        <w:spacing w:after="0" w:line="240" w:lineRule="auto"/>
        <w:rPr>
          <w:rFonts w:ascii="Times New Roman" w:hAnsi="Times New Roman" w:cs="Times New Roman"/>
          <w:sz w:val="24"/>
          <w:szCs w:val="24"/>
        </w:rPr>
      </w:pPr>
    </w:p>
    <w:p w14:paraId="1D5194A2" w14:textId="77777777" w:rsidR="00613356" w:rsidRDefault="00613356" w:rsidP="002B15BB">
      <w:pPr>
        <w:autoSpaceDE w:val="0"/>
        <w:autoSpaceDN w:val="0"/>
        <w:adjustRightInd w:val="0"/>
        <w:spacing w:after="0" w:line="240" w:lineRule="auto"/>
        <w:rPr>
          <w:rFonts w:ascii="Times New Roman" w:hAnsi="Times New Roman" w:cs="Times New Roman"/>
          <w:sz w:val="24"/>
          <w:szCs w:val="24"/>
        </w:rPr>
      </w:pPr>
    </w:p>
    <w:p w14:paraId="1F62D4C9" w14:textId="77777777" w:rsidR="004A2558" w:rsidRDefault="004A2558" w:rsidP="002B15BB">
      <w:pPr>
        <w:autoSpaceDE w:val="0"/>
        <w:autoSpaceDN w:val="0"/>
        <w:adjustRightInd w:val="0"/>
        <w:spacing w:after="0" w:line="240" w:lineRule="auto"/>
        <w:rPr>
          <w:rFonts w:ascii="Times New Roman" w:hAnsi="Times New Roman" w:cs="Times New Roman"/>
          <w:sz w:val="24"/>
          <w:szCs w:val="24"/>
        </w:rPr>
      </w:pPr>
    </w:p>
    <w:p w14:paraId="2D89E868" w14:textId="7A6E8542" w:rsidR="000614F5" w:rsidRDefault="000614F5"/>
    <w:sectPr w:rsidR="000614F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28BDC" w14:textId="77777777" w:rsidR="009E3299" w:rsidRDefault="009E3299" w:rsidP="00303D1A">
      <w:pPr>
        <w:spacing w:after="0" w:line="240" w:lineRule="auto"/>
      </w:pPr>
      <w:r>
        <w:separator/>
      </w:r>
    </w:p>
  </w:endnote>
  <w:endnote w:type="continuationSeparator" w:id="0">
    <w:p w14:paraId="69CC6C6A" w14:textId="77777777" w:rsidR="009E3299" w:rsidRDefault="009E3299" w:rsidP="00303D1A">
      <w:pPr>
        <w:spacing w:after="0" w:line="240" w:lineRule="auto"/>
      </w:pPr>
      <w:r>
        <w:continuationSeparator/>
      </w:r>
    </w:p>
  </w:endnote>
  <w:endnote w:type="continuationNotice" w:id="1">
    <w:p w14:paraId="4B4A4D83" w14:textId="77777777" w:rsidR="009E3299" w:rsidRDefault="009E3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5B826" w14:textId="77777777" w:rsidR="009E3299" w:rsidRDefault="009E3299" w:rsidP="00303D1A">
      <w:pPr>
        <w:spacing w:after="0" w:line="240" w:lineRule="auto"/>
      </w:pPr>
      <w:r>
        <w:separator/>
      </w:r>
    </w:p>
  </w:footnote>
  <w:footnote w:type="continuationSeparator" w:id="0">
    <w:p w14:paraId="22A3CD47" w14:textId="77777777" w:rsidR="009E3299" w:rsidRDefault="009E3299" w:rsidP="00303D1A">
      <w:pPr>
        <w:spacing w:after="0" w:line="240" w:lineRule="auto"/>
      </w:pPr>
      <w:r>
        <w:continuationSeparator/>
      </w:r>
    </w:p>
  </w:footnote>
  <w:footnote w:type="continuationNotice" w:id="1">
    <w:p w14:paraId="7EF4C747" w14:textId="77777777" w:rsidR="009E3299" w:rsidRDefault="009E32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51CA5"/>
    <w:multiLevelType w:val="hybridMultilevel"/>
    <w:tmpl w:val="3764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109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BB"/>
    <w:rsid w:val="000135F1"/>
    <w:rsid w:val="00045372"/>
    <w:rsid w:val="00050BB6"/>
    <w:rsid w:val="000614F5"/>
    <w:rsid w:val="0009278A"/>
    <w:rsid w:val="0009424C"/>
    <w:rsid w:val="000A59EA"/>
    <w:rsid w:val="000C5CD9"/>
    <w:rsid w:val="000C6AAB"/>
    <w:rsid w:val="000D6240"/>
    <w:rsid w:val="000E0E4D"/>
    <w:rsid w:val="00101307"/>
    <w:rsid w:val="00106880"/>
    <w:rsid w:val="00112A39"/>
    <w:rsid w:val="0011305F"/>
    <w:rsid w:val="00114E30"/>
    <w:rsid w:val="00144589"/>
    <w:rsid w:val="00145D9F"/>
    <w:rsid w:val="00152C05"/>
    <w:rsid w:val="001560D0"/>
    <w:rsid w:val="00157470"/>
    <w:rsid w:val="00163DC0"/>
    <w:rsid w:val="0017035C"/>
    <w:rsid w:val="00180987"/>
    <w:rsid w:val="00183785"/>
    <w:rsid w:val="001844DA"/>
    <w:rsid w:val="00192FF2"/>
    <w:rsid w:val="00194951"/>
    <w:rsid w:val="001B5AAE"/>
    <w:rsid w:val="001F6641"/>
    <w:rsid w:val="00201C34"/>
    <w:rsid w:val="00203D33"/>
    <w:rsid w:val="00215890"/>
    <w:rsid w:val="002327AA"/>
    <w:rsid w:val="0025272B"/>
    <w:rsid w:val="0026562B"/>
    <w:rsid w:val="00291EE4"/>
    <w:rsid w:val="002B15BB"/>
    <w:rsid w:val="002F305C"/>
    <w:rsid w:val="00303D1A"/>
    <w:rsid w:val="00316084"/>
    <w:rsid w:val="00322F2B"/>
    <w:rsid w:val="003260E7"/>
    <w:rsid w:val="0033059D"/>
    <w:rsid w:val="00332BF7"/>
    <w:rsid w:val="00334894"/>
    <w:rsid w:val="00341340"/>
    <w:rsid w:val="003426A6"/>
    <w:rsid w:val="00356B35"/>
    <w:rsid w:val="00366EA5"/>
    <w:rsid w:val="0037142D"/>
    <w:rsid w:val="00375FC4"/>
    <w:rsid w:val="00380435"/>
    <w:rsid w:val="00396990"/>
    <w:rsid w:val="003A1C2D"/>
    <w:rsid w:val="003A20E3"/>
    <w:rsid w:val="003B154B"/>
    <w:rsid w:val="003B4BBD"/>
    <w:rsid w:val="003C1F2E"/>
    <w:rsid w:val="003E2D62"/>
    <w:rsid w:val="003E3A04"/>
    <w:rsid w:val="003F6D2C"/>
    <w:rsid w:val="00406515"/>
    <w:rsid w:val="004277A5"/>
    <w:rsid w:val="0044256A"/>
    <w:rsid w:val="0047697F"/>
    <w:rsid w:val="004A08F3"/>
    <w:rsid w:val="004A2558"/>
    <w:rsid w:val="004B4429"/>
    <w:rsid w:val="004C7DC9"/>
    <w:rsid w:val="004E2568"/>
    <w:rsid w:val="004E60B7"/>
    <w:rsid w:val="00501C9C"/>
    <w:rsid w:val="00503BBF"/>
    <w:rsid w:val="005119D1"/>
    <w:rsid w:val="005277F3"/>
    <w:rsid w:val="00540B7D"/>
    <w:rsid w:val="00551857"/>
    <w:rsid w:val="00555F28"/>
    <w:rsid w:val="0055659C"/>
    <w:rsid w:val="0057646B"/>
    <w:rsid w:val="0058112B"/>
    <w:rsid w:val="00582672"/>
    <w:rsid w:val="005C01E9"/>
    <w:rsid w:val="005C562D"/>
    <w:rsid w:val="005C5F06"/>
    <w:rsid w:val="005C7BAA"/>
    <w:rsid w:val="005D3F2A"/>
    <w:rsid w:val="005D721E"/>
    <w:rsid w:val="005E10CF"/>
    <w:rsid w:val="005E17AC"/>
    <w:rsid w:val="005F7643"/>
    <w:rsid w:val="00600F16"/>
    <w:rsid w:val="00602DF7"/>
    <w:rsid w:val="00613356"/>
    <w:rsid w:val="006237F1"/>
    <w:rsid w:val="006273E4"/>
    <w:rsid w:val="006329A0"/>
    <w:rsid w:val="00634B25"/>
    <w:rsid w:val="00637E55"/>
    <w:rsid w:val="00665AF8"/>
    <w:rsid w:val="00667779"/>
    <w:rsid w:val="006745AE"/>
    <w:rsid w:val="00682956"/>
    <w:rsid w:val="006901BA"/>
    <w:rsid w:val="006962D6"/>
    <w:rsid w:val="006B7A56"/>
    <w:rsid w:val="006D4775"/>
    <w:rsid w:val="007042B8"/>
    <w:rsid w:val="00707DD7"/>
    <w:rsid w:val="00711B9B"/>
    <w:rsid w:val="007144AB"/>
    <w:rsid w:val="0071501B"/>
    <w:rsid w:val="007445F0"/>
    <w:rsid w:val="00745218"/>
    <w:rsid w:val="0074622C"/>
    <w:rsid w:val="007465E0"/>
    <w:rsid w:val="007605BE"/>
    <w:rsid w:val="00763B2B"/>
    <w:rsid w:val="0076616B"/>
    <w:rsid w:val="00782FF1"/>
    <w:rsid w:val="007853A3"/>
    <w:rsid w:val="00786F68"/>
    <w:rsid w:val="00796346"/>
    <w:rsid w:val="007A7D13"/>
    <w:rsid w:val="007C0BD6"/>
    <w:rsid w:val="007C1325"/>
    <w:rsid w:val="007D4DD8"/>
    <w:rsid w:val="007F0999"/>
    <w:rsid w:val="007F2167"/>
    <w:rsid w:val="007F6BCC"/>
    <w:rsid w:val="00805A89"/>
    <w:rsid w:val="00826EBC"/>
    <w:rsid w:val="008450C6"/>
    <w:rsid w:val="00863A02"/>
    <w:rsid w:val="008754B2"/>
    <w:rsid w:val="0088241C"/>
    <w:rsid w:val="00882769"/>
    <w:rsid w:val="00886742"/>
    <w:rsid w:val="008A457C"/>
    <w:rsid w:val="008B2935"/>
    <w:rsid w:val="008E1C7A"/>
    <w:rsid w:val="0090778A"/>
    <w:rsid w:val="00927F04"/>
    <w:rsid w:val="00931B2B"/>
    <w:rsid w:val="00934822"/>
    <w:rsid w:val="00946F79"/>
    <w:rsid w:val="0095358A"/>
    <w:rsid w:val="00954DEB"/>
    <w:rsid w:val="0097408A"/>
    <w:rsid w:val="00974CCA"/>
    <w:rsid w:val="00976B3D"/>
    <w:rsid w:val="009906FE"/>
    <w:rsid w:val="00996E3A"/>
    <w:rsid w:val="009C7A4C"/>
    <w:rsid w:val="009D2587"/>
    <w:rsid w:val="009D59E1"/>
    <w:rsid w:val="009D7254"/>
    <w:rsid w:val="009E3299"/>
    <w:rsid w:val="009F2542"/>
    <w:rsid w:val="00A213F9"/>
    <w:rsid w:val="00A24481"/>
    <w:rsid w:val="00A51F7A"/>
    <w:rsid w:val="00A54B60"/>
    <w:rsid w:val="00A663FD"/>
    <w:rsid w:val="00A856E4"/>
    <w:rsid w:val="00A930D0"/>
    <w:rsid w:val="00A9637E"/>
    <w:rsid w:val="00AA13B5"/>
    <w:rsid w:val="00AB3646"/>
    <w:rsid w:val="00AC7C37"/>
    <w:rsid w:val="00AE09B6"/>
    <w:rsid w:val="00B262A9"/>
    <w:rsid w:val="00B32AF2"/>
    <w:rsid w:val="00B47FAC"/>
    <w:rsid w:val="00B50CA1"/>
    <w:rsid w:val="00B71D2D"/>
    <w:rsid w:val="00B800CB"/>
    <w:rsid w:val="00BB0C3C"/>
    <w:rsid w:val="00BD4D0E"/>
    <w:rsid w:val="00BE6DDA"/>
    <w:rsid w:val="00BF2A69"/>
    <w:rsid w:val="00BF5668"/>
    <w:rsid w:val="00C000DA"/>
    <w:rsid w:val="00C05D0F"/>
    <w:rsid w:val="00C05EB7"/>
    <w:rsid w:val="00C1306B"/>
    <w:rsid w:val="00C34593"/>
    <w:rsid w:val="00C6393C"/>
    <w:rsid w:val="00C643EA"/>
    <w:rsid w:val="00C71239"/>
    <w:rsid w:val="00C83D87"/>
    <w:rsid w:val="00CB1CA4"/>
    <w:rsid w:val="00CC5139"/>
    <w:rsid w:val="00CD10EC"/>
    <w:rsid w:val="00CE01D3"/>
    <w:rsid w:val="00CE380C"/>
    <w:rsid w:val="00D05A87"/>
    <w:rsid w:val="00D06FBD"/>
    <w:rsid w:val="00D10956"/>
    <w:rsid w:val="00D30D70"/>
    <w:rsid w:val="00D316F9"/>
    <w:rsid w:val="00D3563F"/>
    <w:rsid w:val="00D4342E"/>
    <w:rsid w:val="00D50A74"/>
    <w:rsid w:val="00D56D31"/>
    <w:rsid w:val="00D72443"/>
    <w:rsid w:val="00D81F85"/>
    <w:rsid w:val="00D85892"/>
    <w:rsid w:val="00D9399C"/>
    <w:rsid w:val="00DB1126"/>
    <w:rsid w:val="00DB7470"/>
    <w:rsid w:val="00DD7767"/>
    <w:rsid w:val="00E12B4C"/>
    <w:rsid w:val="00E175BB"/>
    <w:rsid w:val="00E223BE"/>
    <w:rsid w:val="00E4017F"/>
    <w:rsid w:val="00E40A48"/>
    <w:rsid w:val="00E41315"/>
    <w:rsid w:val="00E4305A"/>
    <w:rsid w:val="00E471E3"/>
    <w:rsid w:val="00E6164D"/>
    <w:rsid w:val="00E71791"/>
    <w:rsid w:val="00E86BAC"/>
    <w:rsid w:val="00E91A11"/>
    <w:rsid w:val="00E9406F"/>
    <w:rsid w:val="00EB23C4"/>
    <w:rsid w:val="00ED1C12"/>
    <w:rsid w:val="00EE3DCA"/>
    <w:rsid w:val="00EE72DE"/>
    <w:rsid w:val="00EF54F3"/>
    <w:rsid w:val="00F0177F"/>
    <w:rsid w:val="00F06C77"/>
    <w:rsid w:val="00F2578A"/>
    <w:rsid w:val="00F31148"/>
    <w:rsid w:val="00F313FC"/>
    <w:rsid w:val="00F3260D"/>
    <w:rsid w:val="00F44270"/>
    <w:rsid w:val="00F7162E"/>
    <w:rsid w:val="00F77F1B"/>
    <w:rsid w:val="00F818B4"/>
    <w:rsid w:val="00FA1599"/>
    <w:rsid w:val="00FB16C8"/>
    <w:rsid w:val="00FF33A5"/>
    <w:rsid w:val="06238B21"/>
    <w:rsid w:val="0CE6CE5C"/>
    <w:rsid w:val="101E6F1E"/>
    <w:rsid w:val="1ADBBA46"/>
    <w:rsid w:val="2446CE40"/>
    <w:rsid w:val="2AB60FC4"/>
    <w:rsid w:val="2C51E025"/>
    <w:rsid w:val="320D76A0"/>
    <w:rsid w:val="325F0749"/>
    <w:rsid w:val="37B24DB5"/>
    <w:rsid w:val="395AF6A2"/>
    <w:rsid w:val="40DF31BA"/>
    <w:rsid w:val="47B9AE74"/>
    <w:rsid w:val="56647BE0"/>
    <w:rsid w:val="56FDF4B4"/>
    <w:rsid w:val="5D80F4FB"/>
    <w:rsid w:val="67FEF1CC"/>
    <w:rsid w:val="69268D6B"/>
    <w:rsid w:val="791FBF50"/>
    <w:rsid w:val="79911C49"/>
    <w:rsid w:val="7B06F6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EEA66"/>
  <w15:chartTrackingRefBased/>
  <w15:docId w15:val="{E45E5817-A958-4B53-B707-ABD9E6F2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1BA"/>
    <w:rPr>
      <w:rFonts w:ascii="Segoe UI" w:hAnsi="Segoe UI" w:cs="Segoe UI"/>
      <w:sz w:val="18"/>
      <w:szCs w:val="18"/>
    </w:rPr>
  </w:style>
  <w:style w:type="character" w:styleId="CommentReference">
    <w:name w:val="annotation reference"/>
    <w:basedOn w:val="DefaultParagraphFont"/>
    <w:uiPriority w:val="99"/>
    <w:semiHidden/>
    <w:unhideWhenUsed/>
    <w:rsid w:val="000C5CD9"/>
    <w:rPr>
      <w:sz w:val="16"/>
      <w:szCs w:val="16"/>
    </w:rPr>
  </w:style>
  <w:style w:type="paragraph" w:styleId="CommentText">
    <w:name w:val="annotation text"/>
    <w:basedOn w:val="Normal"/>
    <w:link w:val="CommentTextChar"/>
    <w:uiPriority w:val="99"/>
    <w:unhideWhenUsed/>
    <w:rsid w:val="000C5CD9"/>
    <w:pPr>
      <w:spacing w:line="240" w:lineRule="auto"/>
    </w:pPr>
    <w:rPr>
      <w:sz w:val="20"/>
      <w:szCs w:val="20"/>
    </w:rPr>
  </w:style>
  <w:style w:type="character" w:customStyle="1" w:styleId="CommentTextChar">
    <w:name w:val="Comment Text Char"/>
    <w:basedOn w:val="DefaultParagraphFont"/>
    <w:link w:val="CommentText"/>
    <w:uiPriority w:val="99"/>
    <w:rsid w:val="000C5CD9"/>
    <w:rPr>
      <w:sz w:val="20"/>
      <w:szCs w:val="20"/>
    </w:rPr>
  </w:style>
  <w:style w:type="paragraph" w:styleId="CommentSubject">
    <w:name w:val="annotation subject"/>
    <w:basedOn w:val="CommentText"/>
    <w:next w:val="CommentText"/>
    <w:link w:val="CommentSubjectChar"/>
    <w:uiPriority w:val="99"/>
    <w:semiHidden/>
    <w:unhideWhenUsed/>
    <w:rsid w:val="000C5CD9"/>
    <w:rPr>
      <w:b/>
      <w:bCs/>
    </w:rPr>
  </w:style>
  <w:style w:type="character" w:customStyle="1" w:styleId="CommentSubjectChar">
    <w:name w:val="Comment Subject Char"/>
    <w:basedOn w:val="CommentTextChar"/>
    <w:link w:val="CommentSubject"/>
    <w:uiPriority w:val="99"/>
    <w:semiHidden/>
    <w:rsid w:val="000C5CD9"/>
    <w:rPr>
      <w:b/>
      <w:bCs/>
      <w:sz w:val="20"/>
      <w:szCs w:val="20"/>
    </w:rPr>
  </w:style>
  <w:style w:type="paragraph" w:styleId="NormalWeb">
    <w:name w:val="Normal (Web)"/>
    <w:basedOn w:val="Normal"/>
    <w:uiPriority w:val="99"/>
    <w:semiHidden/>
    <w:unhideWhenUsed/>
    <w:rsid w:val="000C5CD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D9399C"/>
    <w:pPr>
      <w:spacing w:after="0" w:line="240" w:lineRule="auto"/>
    </w:pPr>
  </w:style>
  <w:style w:type="paragraph" w:styleId="Header">
    <w:name w:val="header"/>
    <w:basedOn w:val="Normal"/>
    <w:link w:val="HeaderChar"/>
    <w:uiPriority w:val="99"/>
    <w:semiHidden/>
    <w:unhideWhenUsed/>
    <w:rsid w:val="003305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059D"/>
  </w:style>
  <w:style w:type="paragraph" w:styleId="Footer">
    <w:name w:val="footer"/>
    <w:basedOn w:val="Normal"/>
    <w:link w:val="FooterChar"/>
    <w:uiPriority w:val="99"/>
    <w:semiHidden/>
    <w:unhideWhenUsed/>
    <w:rsid w:val="003305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3059D"/>
  </w:style>
  <w:style w:type="paragraph" w:styleId="ListParagraph">
    <w:name w:val="List Paragraph"/>
    <w:basedOn w:val="Normal"/>
    <w:uiPriority w:val="34"/>
    <w:qFormat/>
    <w:rsid w:val="000D6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3031">
      <w:bodyDiv w:val="1"/>
      <w:marLeft w:val="0"/>
      <w:marRight w:val="0"/>
      <w:marTop w:val="0"/>
      <w:marBottom w:val="0"/>
      <w:divBdr>
        <w:top w:val="none" w:sz="0" w:space="0" w:color="auto"/>
        <w:left w:val="none" w:sz="0" w:space="0" w:color="auto"/>
        <w:bottom w:val="none" w:sz="0" w:space="0" w:color="auto"/>
        <w:right w:val="none" w:sz="0" w:space="0" w:color="auto"/>
      </w:divBdr>
    </w:div>
    <w:div w:id="302202879">
      <w:bodyDiv w:val="1"/>
      <w:marLeft w:val="0"/>
      <w:marRight w:val="0"/>
      <w:marTop w:val="0"/>
      <w:marBottom w:val="0"/>
      <w:divBdr>
        <w:top w:val="none" w:sz="0" w:space="0" w:color="auto"/>
        <w:left w:val="none" w:sz="0" w:space="0" w:color="auto"/>
        <w:bottom w:val="none" w:sz="0" w:space="0" w:color="auto"/>
        <w:right w:val="none" w:sz="0" w:space="0" w:color="auto"/>
      </w:divBdr>
    </w:div>
    <w:div w:id="400640229">
      <w:bodyDiv w:val="1"/>
      <w:marLeft w:val="0"/>
      <w:marRight w:val="0"/>
      <w:marTop w:val="0"/>
      <w:marBottom w:val="0"/>
      <w:divBdr>
        <w:top w:val="none" w:sz="0" w:space="0" w:color="auto"/>
        <w:left w:val="none" w:sz="0" w:space="0" w:color="auto"/>
        <w:bottom w:val="none" w:sz="0" w:space="0" w:color="auto"/>
        <w:right w:val="none" w:sz="0" w:space="0" w:color="auto"/>
      </w:divBdr>
    </w:div>
    <w:div w:id="1191265153">
      <w:bodyDiv w:val="1"/>
      <w:marLeft w:val="0"/>
      <w:marRight w:val="0"/>
      <w:marTop w:val="0"/>
      <w:marBottom w:val="0"/>
      <w:divBdr>
        <w:top w:val="none" w:sz="0" w:space="0" w:color="auto"/>
        <w:left w:val="none" w:sz="0" w:space="0" w:color="auto"/>
        <w:bottom w:val="none" w:sz="0" w:space="0" w:color="auto"/>
        <w:right w:val="none" w:sz="0" w:space="0" w:color="auto"/>
      </w:divBdr>
    </w:div>
    <w:div w:id="19206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3A06BA2-9D35-45CB-96F0-3A26A02571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29B7C3A017AA440948EE447FC95BB8E" ma:contentTypeVersion="" ma:contentTypeDescription="PDMS Document Site Content Type" ma:contentTypeScope="" ma:versionID="fd453e9e6d9699aff292dbf452bd8ab7">
  <xsd:schema xmlns:xsd="http://www.w3.org/2001/XMLSchema" xmlns:xs="http://www.w3.org/2001/XMLSchema" xmlns:p="http://schemas.microsoft.com/office/2006/metadata/properties" xmlns:ns2="C3A06BA2-9D35-45CB-96F0-3A26A02571AB" targetNamespace="http://schemas.microsoft.com/office/2006/metadata/properties" ma:root="true" ma:fieldsID="13ad22c47abb8b6b712abcea9a0c9b4f" ns2:_="">
    <xsd:import namespace="C3A06BA2-9D35-45CB-96F0-3A26A02571A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06BA2-9D35-45CB-96F0-3A26A02571A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C25FB-B847-4001-8C1B-BE430467A86D}">
  <ds:schemaRefs>
    <ds:schemaRef ds:uri="http://schemas.microsoft.com/sharepoint/v3/contenttype/forms"/>
  </ds:schemaRefs>
</ds:datastoreItem>
</file>

<file path=customXml/itemProps2.xml><?xml version="1.0" encoding="utf-8"?>
<ds:datastoreItem xmlns:ds="http://schemas.openxmlformats.org/officeDocument/2006/customXml" ds:itemID="{900DCD69-5B59-46A1-8E1E-22E1A0790253}">
  <ds:schemaRefs>
    <ds:schemaRef ds:uri="http://schemas.microsoft.com/office/2006/metadata/properties"/>
    <ds:schemaRef ds:uri="http://schemas.microsoft.com/office/infopath/2007/PartnerControls"/>
    <ds:schemaRef ds:uri="C3A06BA2-9D35-45CB-96F0-3A26A02571AB"/>
  </ds:schemaRefs>
</ds:datastoreItem>
</file>

<file path=customXml/itemProps3.xml><?xml version="1.0" encoding="utf-8"?>
<ds:datastoreItem xmlns:ds="http://schemas.openxmlformats.org/officeDocument/2006/customXml" ds:itemID="{4D9AEED5-E89A-4C00-9F90-0F60F6D1E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06BA2-9D35-45CB-96F0-3A26A0257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1402</Words>
  <Characters>8073</Characters>
  <Application>Microsoft Office Word</Application>
  <DocSecurity>4</DocSecurity>
  <Lines>153</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Thean, Natalie</dc:creator>
  <cp:keywords>[SEC=OFFICIAL]</cp:keywords>
  <dc:description/>
  <cp:lastModifiedBy>Ally Perry</cp:lastModifiedBy>
  <cp:revision>2</cp:revision>
  <cp:lastPrinted>2018-08-17T17:24:00Z</cp:lastPrinted>
  <dcterms:created xsi:type="dcterms:W3CDTF">2025-01-06T03:13:00Z</dcterms:created>
  <dcterms:modified xsi:type="dcterms:W3CDTF">2025-01-06T03:13:00Z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ca376863-7bfd-4dc1-afd9-0e0f586493f7</vt:lpwstr>
  </property>
  <property fmtid="{D5CDD505-2E9C-101B-9397-08002B2CF9AE}" pid="3" name="hptrimdataset">
    <vt:lpwstr>CH</vt:lpwstr>
  </property>
  <property fmtid="{D5CDD505-2E9C-101B-9397-08002B2CF9AE}" pid="4" name="hptrimfileref">
    <vt:lpwstr>16/31863</vt:lpwstr>
  </property>
  <property fmtid="{D5CDD505-2E9C-101B-9397-08002B2CF9AE}" pid="5" name="hptrimrecordref">
    <vt:lpwstr/>
  </property>
  <property fmtid="{D5CDD505-2E9C-101B-9397-08002B2CF9AE}" pid="6" name="ContentTypeId">
    <vt:lpwstr>0x010100266966F133664895A6EE3632470D45F500C29B7C3A017AA440948EE447FC95BB8E</vt:lpwstr>
  </property>
  <property fmtid="{D5CDD505-2E9C-101B-9397-08002B2CF9AE}" pid="7" name="SEC">
    <vt:lpwstr>UNCLASSIFIED</vt:lpwstr>
  </property>
  <property fmtid="{D5CDD505-2E9C-101B-9397-08002B2CF9AE}" pid="8" name="DLM">
    <vt:lpwstr>No DLM</vt:lpwstr>
  </property>
  <property fmtid="{D5CDD505-2E9C-101B-9397-08002B2CF9AE}" pid="9" name="PM_ProtectiveMarkingImage_Header">
    <vt:lpwstr>C:\Program Files\Common Files\janusNET Shared\janusSEAL\Images\DocumentSlashBlue.png</vt:lpwstr>
  </property>
  <property fmtid="{D5CDD505-2E9C-101B-9397-08002B2CF9AE}" pid="10" name="PM_Caveats_Count">
    <vt:lpwstr>0</vt:lpwstr>
  </property>
  <property fmtid="{D5CDD505-2E9C-101B-9397-08002B2CF9AE}" pid="11" name="PM_DisplayValueSecClassificationWithQualifier">
    <vt:lpwstr>OFFICIAL</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InsertionValue">
    <vt:lpwstr>OFFICIAL</vt:lpwstr>
  </property>
  <property fmtid="{D5CDD505-2E9C-101B-9397-08002B2CF9AE}" pid="15" name="PM_Originating_FileId">
    <vt:lpwstr>FD60F974410C4F9DBAFB382E6FBC3714</vt:lpwstr>
  </property>
  <property fmtid="{D5CDD505-2E9C-101B-9397-08002B2CF9AE}" pid="16" name="PM_ProtectiveMarkingValue_Footer">
    <vt:lpwstr>OFFICIAL</vt:lpwstr>
  </property>
  <property fmtid="{D5CDD505-2E9C-101B-9397-08002B2CF9AE}" pid="17" name="PM_Originator_Hash_SHA1">
    <vt:lpwstr>7B816402ED1B4FF361675E8290F03EDE0E68A76B</vt:lpwstr>
  </property>
  <property fmtid="{D5CDD505-2E9C-101B-9397-08002B2CF9AE}" pid="18" name="PM_OriginationTimeStamp">
    <vt:lpwstr>2023-05-01T02:40:44Z</vt:lpwstr>
  </property>
  <property fmtid="{D5CDD505-2E9C-101B-9397-08002B2CF9AE}" pid="19" name="PM_ProtectiveMarkingValue_Header">
    <vt:lpwstr>OFFICIAL</vt:lpwstr>
  </property>
  <property fmtid="{D5CDD505-2E9C-101B-9397-08002B2CF9AE}" pid="20" name="PM_ProtectiveMarkingImage_Footer">
    <vt:lpwstr>C:\Program Files\Common Files\janusNET Shared\janusSEAL\Images\DocumentSlashBlue.png</vt:lpwstr>
  </property>
  <property fmtid="{D5CDD505-2E9C-101B-9397-08002B2CF9AE}" pid="21" name="PM_Namespace">
    <vt:lpwstr>gov.au</vt:lpwstr>
  </property>
  <property fmtid="{D5CDD505-2E9C-101B-9397-08002B2CF9AE}" pid="22" name="PM_Version">
    <vt:lpwstr>2018.4</vt:lpwstr>
  </property>
  <property fmtid="{D5CDD505-2E9C-101B-9397-08002B2CF9AE}" pid="23" name="PM_Note">
    <vt:lpwstr/>
  </property>
  <property fmtid="{D5CDD505-2E9C-101B-9397-08002B2CF9AE}" pid="24" name="PM_Markers">
    <vt:lpwstr/>
  </property>
  <property fmtid="{D5CDD505-2E9C-101B-9397-08002B2CF9AE}" pid="25" name="PM_Hash_Version">
    <vt:lpwstr>2022.1</vt:lpwstr>
  </property>
  <property fmtid="{D5CDD505-2E9C-101B-9397-08002B2CF9AE}" pid="26" name="PM_Hash_Salt_Prev">
    <vt:lpwstr>B85D88676A0FA606C5D9181E0955270A</vt:lpwstr>
  </property>
  <property fmtid="{D5CDD505-2E9C-101B-9397-08002B2CF9AE}" pid="27" name="PM_Hash_Salt">
    <vt:lpwstr>25FF65F209EB0CC8695C7157D813FBC1</vt:lpwstr>
  </property>
  <property fmtid="{D5CDD505-2E9C-101B-9397-08002B2CF9AE}" pid="28" name="PM_Hash_SHA1">
    <vt:lpwstr>2D3ED5D710252566C8FA132BC8C03E628944870D</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_Display">
    <vt:lpwstr>OFFICIAL</vt:lpwstr>
  </property>
  <property fmtid="{D5CDD505-2E9C-101B-9397-08002B2CF9AE}" pid="32" name="PMUuid">
    <vt:lpwstr>v=2022.2;d=gov.au;g=46DD6D7C-8107-577B-BC6E-F348953B2E44</vt:lpwstr>
  </property>
  <property fmtid="{D5CDD505-2E9C-101B-9397-08002B2CF9AE}" pid="33" name="PM_OriginatorUserAccountName_SHA256">
    <vt:lpwstr>CBC32CCC53BD5869F79A1BE5F95138F0AD342B9561754B398988CD8B4973B648</vt:lpwstr>
  </property>
  <property fmtid="{D5CDD505-2E9C-101B-9397-08002B2CF9AE}" pid="34" name="PM_OriginatorDomainName_SHA256">
    <vt:lpwstr>6F3591835F3B2A8A025B00B5BA6418010DA3A17C9C26EA9C049FFD28039489A2</vt:lpwstr>
  </property>
  <property fmtid="{D5CDD505-2E9C-101B-9397-08002B2CF9AE}" pid="35" name="PMHMAC">
    <vt:lpwstr>v=2022.1;a=SHA256;h=3FFC0C1B9DEF4D8A907CE0E308248FC92F3D8835505AC77A29A8BCA3EB22FCAE</vt:lpwstr>
  </property>
</Properties>
</file>