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01444" w14:textId="6251B278" w:rsidR="00F76EA3" w:rsidRPr="001C7377" w:rsidRDefault="00361408" w:rsidP="002913B9">
      <w:pPr>
        <w:keepNext/>
        <w:spacing w:after="120"/>
        <w:jc w:val="center"/>
        <w:outlineLvl w:val="4"/>
      </w:pPr>
      <w:r w:rsidRPr="001C7377">
        <w:rPr>
          <w:noProof/>
        </w:rPr>
        <w:drawing>
          <wp:inline distT="0" distB="0" distL="0" distR="0" wp14:anchorId="796482AE" wp14:editId="59991F46">
            <wp:extent cx="1065530" cy="906145"/>
            <wp:effectExtent l="0" t="0" r="0" b="0"/>
            <wp:docPr id="20"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5530" cy="906145"/>
                    </a:xfrm>
                    <a:prstGeom prst="rect">
                      <a:avLst/>
                    </a:prstGeom>
                    <a:noFill/>
                    <a:ln>
                      <a:noFill/>
                    </a:ln>
                  </pic:spPr>
                </pic:pic>
              </a:graphicData>
            </a:graphic>
          </wp:inline>
        </w:drawing>
      </w:r>
    </w:p>
    <w:p w14:paraId="6D9644A6" w14:textId="77777777" w:rsidR="00F76EA3" w:rsidRPr="001C7377" w:rsidRDefault="00F76EA3" w:rsidP="002526E9">
      <w:pPr>
        <w:keepNext/>
        <w:spacing w:after="240"/>
        <w:jc w:val="center"/>
        <w:outlineLvl w:val="4"/>
        <w:rPr>
          <w:b/>
          <w:bCs/>
        </w:rPr>
      </w:pPr>
      <w:r w:rsidRPr="001C7377">
        <w:rPr>
          <w:b/>
          <w:bCs/>
        </w:rPr>
        <w:t>COMMONWEALTH OF AUSTRALIA</w:t>
      </w:r>
    </w:p>
    <w:p w14:paraId="17CE2B5D" w14:textId="4BF43CF2" w:rsidR="00F605A2" w:rsidRPr="004247A0" w:rsidRDefault="00F76EA3" w:rsidP="004247A0">
      <w:pPr>
        <w:pStyle w:val="Heading5"/>
        <w:spacing w:after="360"/>
        <w:ind w:left="0"/>
        <w:jc w:val="center"/>
        <w:rPr>
          <w:b/>
          <w:sz w:val="24"/>
        </w:rPr>
      </w:pPr>
      <w:r w:rsidRPr="001C7377">
        <w:rPr>
          <w:b/>
          <w:sz w:val="24"/>
        </w:rPr>
        <w:t>Environment Protection and Biodiversity Conservation Act</w:t>
      </w:r>
      <w:r w:rsidR="002B2F4B" w:rsidRPr="001C7377">
        <w:rPr>
          <w:b/>
          <w:sz w:val="24"/>
        </w:rPr>
        <w:t> </w:t>
      </w:r>
      <w:r w:rsidRPr="001C7377">
        <w:rPr>
          <w:b/>
          <w:sz w:val="24"/>
        </w:rPr>
        <w:t>1999</w:t>
      </w:r>
    </w:p>
    <w:p w14:paraId="67F5E393" w14:textId="0CE054FD" w:rsidR="00F605A2" w:rsidRPr="004247A0" w:rsidRDefault="00BC3821" w:rsidP="004247A0">
      <w:pPr>
        <w:pStyle w:val="Heading6"/>
        <w:spacing w:after="360"/>
        <w:jc w:val="center"/>
        <w:rPr>
          <w:snapToGrid w:val="0"/>
          <w:sz w:val="24"/>
          <w:szCs w:val="24"/>
        </w:rPr>
      </w:pPr>
      <w:r w:rsidRPr="001C7377">
        <w:rPr>
          <w:snapToGrid w:val="0"/>
          <w:sz w:val="24"/>
          <w:szCs w:val="24"/>
        </w:rPr>
        <w:t>DECLARATION OF AN APPROVED WILDLIFE TRADE OPERATION</w:t>
      </w:r>
      <w:r w:rsidR="001437D5" w:rsidRPr="001C7377">
        <w:rPr>
          <w:snapToGrid w:val="0"/>
          <w:sz w:val="24"/>
          <w:szCs w:val="24"/>
        </w:rPr>
        <w:t xml:space="preserve"> – </w:t>
      </w:r>
      <w:r w:rsidR="00A61234">
        <w:rPr>
          <w:snapToGrid w:val="0"/>
          <w:sz w:val="24"/>
          <w:szCs w:val="24"/>
        </w:rPr>
        <w:t xml:space="preserve">QUEENSLAND </w:t>
      </w:r>
      <w:r w:rsidR="008C746E">
        <w:rPr>
          <w:snapToGrid w:val="0"/>
          <w:sz w:val="24"/>
          <w:szCs w:val="24"/>
        </w:rPr>
        <w:t>EAST COAST OTTER TRAWL FISHERY,</w:t>
      </w:r>
      <w:r w:rsidR="00A01E78" w:rsidRPr="00F72BF6">
        <w:rPr>
          <w:snapToGrid w:val="0"/>
          <w:sz w:val="24"/>
          <w:szCs w:val="24"/>
        </w:rPr>
        <w:t xml:space="preserve"> </w:t>
      </w:r>
      <w:r w:rsidR="008C746E">
        <w:rPr>
          <w:snapToGrid w:val="0"/>
          <w:sz w:val="24"/>
          <w:szCs w:val="24"/>
        </w:rPr>
        <w:t>DECEMBER</w:t>
      </w:r>
      <w:r w:rsidR="009903ED" w:rsidRPr="00F72BF6">
        <w:rPr>
          <w:snapToGrid w:val="0"/>
          <w:sz w:val="24"/>
          <w:szCs w:val="24"/>
        </w:rPr>
        <w:t xml:space="preserve"> </w:t>
      </w:r>
      <w:r w:rsidR="00DA081D" w:rsidRPr="00F72BF6">
        <w:rPr>
          <w:snapToGrid w:val="0"/>
          <w:sz w:val="24"/>
          <w:szCs w:val="24"/>
        </w:rPr>
        <w:t>202</w:t>
      </w:r>
      <w:r w:rsidR="00F81F0C">
        <w:rPr>
          <w:snapToGrid w:val="0"/>
          <w:sz w:val="24"/>
          <w:szCs w:val="24"/>
        </w:rPr>
        <w:t>4</w:t>
      </w:r>
    </w:p>
    <w:p w14:paraId="601FA952" w14:textId="3548BAAC" w:rsidR="00C50485" w:rsidRPr="001C7377" w:rsidRDefault="008C5634" w:rsidP="00D63143">
      <w:pPr>
        <w:pStyle w:val="Heading6"/>
        <w:spacing w:after="60"/>
        <w:rPr>
          <w:b w:val="0"/>
          <w:bCs/>
          <w:snapToGrid w:val="0"/>
          <w:sz w:val="22"/>
          <w:szCs w:val="22"/>
        </w:rPr>
      </w:pPr>
      <w:r w:rsidRPr="001C7377">
        <w:rPr>
          <w:b w:val="0"/>
          <w:bCs/>
          <w:sz w:val="22"/>
          <w:szCs w:val="22"/>
        </w:rPr>
        <w:t xml:space="preserve">I, </w:t>
      </w:r>
      <w:r w:rsidR="0048602D" w:rsidRPr="0048602D">
        <w:rPr>
          <w:b w:val="0"/>
          <w:bCs/>
          <w:color w:val="242424"/>
          <w:sz w:val="22"/>
          <w:szCs w:val="22"/>
          <w:shd w:val="clear" w:color="auto" w:fill="FFFFFF"/>
        </w:rPr>
        <w:t xml:space="preserve">BELINDA JAGO, </w:t>
      </w:r>
      <w:r w:rsidR="00551B4E">
        <w:rPr>
          <w:b w:val="0"/>
          <w:bCs/>
          <w:color w:val="242424"/>
          <w:sz w:val="22"/>
          <w:szCs w:val="22"/>
          <w:shd w:val="clear" w:color="auto" w:fill="FFFFFF"/>
        </w:rPr>
        <w:t>Branch Head</w:t>
      </w:r>
      <w:r w:rsidR="0048602D" w:rsidRPr="0048602D">
        <w:rPr>
          <w:b w:val="0"/>
          <w:bCs/>
          <w:color w:val="242424"/>
          <w:sz w:val="22"/>
          <w:szCs w:val="22"/>
          <w:shd w:val="clear" w:color="auto" w:fill="FFFFFF"/>
        </w:rPr>
        <w:t xml:space="preserve">, Ocean and Wildlife Branch, </w:t>
      </w:r>
      <w:r w:rsidRPr="0048602D">
        <w:rPr>
          <w:b w:val="0"/>
          <w:bCs/>
          <w:sz w:val="22"/>
          <w:szCs w:val="22"/>
        </w:rPr>
        <w:t>as Delegate of the Minister for the Environment and Water,</w:t>
      </w:r>
      <w:r w:rsidRPr="0048602D">
        <w:rPr>
          <w:b w:val="0"/>
          <w:bCs/>
          <w:snapToGrid w:val="0"/>
          <w:sz w:val="22"/>
          <w:szCs w:val="22"/>
        </w:rPr>
        <w:t xml:space="preserve"> </w:t>
      </w:r>
      <w:r w:rsidRPr="0048602D">
        <w:rPr>
          <w:b w:val="0"/>
          <w:bCs/>
          <w:sz w:val="22"/>
          <w:szCs w:val="22"/>
        </w:rPr>
        <w:t>have considered in accordance with section</w:t>
      </w:r>
      <w:r w:rsidRPr="001C7377">
        <w:rPr>
          <w:b w:val="0"/>
          <w:bCs/>
          <w:sz w:val="22"/>
          <w:szCs w:val="22"/>
        </w:rPr>
        <w:t xml:space="preserve"> 303FN of the </w:t>
      </w:r>
      <w:r w:rsidRPr="001C7377">
        <w:rPr>
          <w:b w:val="0"/>
          <w:bCs/>
          <w:i/>
          <w:sz w:val="22"/>
          <w:szCs w:val="22"/>
        </w:rPr>
        <w:t>Environment</w:t>
      </w:r>
      <w:r w:rsidR="0054330B">
        <w:rPr>
          <w:b w:val="0"/>
          <w:bCs/>
          <w:i/>
          <w:sz w:val="22"/>
          <w:szCs w:val="22"/>
        </w:rPr>
        <w:t> </w:t>
      </w:r>
      <w:r w:rsidRPr="001C7377">
        <w:rPr>
          <w:b w:val="0"/>
          <w:bCs/>
          <w:i/>
          <w:sz w:val="22"/>
          <w:szCs w:val="22"/>
        </w:rPr>
        <w:t>Protection and</w:t>
      </w:r>
      <w:r w:rsidRPr="001C7377">
        <w:rPr>
          <w:b w:val="0"/>
          <w:bCs/>
          <w:sz w:val="22"/>
          <w:szCs w:val="22"/>
        </w:rPr>
        <w:t xml:space="preserve"> </w:t>
      </w:r>
      <w:r w:rsidRPr="001C7377">
        <w:rPr>
          <w:b w:val="0"/>
          <w:bCs/>
          <w:i/>
          <w:sz w:val="22"/>
          <w:szCs w:val="22"/>
        </w:rPr>
        <w:t xml:space="preserve">Biodiversity Conservation Act 1999 </w:t>
      </w:r>
      <w:r w:rsidRPr="001C7377">
        <w:rPr>
          <w:b w:val="0"/>
          <w:bCs/>
          <w:sz w:val="22"/>
          <w:szCs w:val="22"/>
        </w:rPr>
        <w:t xml:space="preserve">(EPBC Act) the application from the </w:t>
      </w:r>
      <w:r w:rsidR="00104F63">
        <w:rPr>
          <w:b w:val="0"/>
          <w:bCs/>
          <w:sz w:val="22"/>
          <w:szCs w:val="22"/>
        </w:rPr>
        <w:t xml:space="preserve">Queensland Department of Agriculture and </w:t>
      </w:r>
      <w:r w:rsidR="00104F63" w:rsidRPr="00A702F8">
        <w:rPr>
          <w:b w:val="0"/>
          <w:bCs/>
          <w:sz w:val="22"/>
          <w:szCs w:val="22"/>
        </w:rPr>
        <w:t>Fisheries</w:t>
      </w:r>
      <w:r w:rsidR="005060F8" w:rsidRPr="00A702F8">
        <w:rPr>
          <w:b w:val="0"/>
          <w:bCs/>
          <w:sz w:val="22"/>
          <w:szCs w:val="22"/>
        </w:rPr>
        <w:t xml:space="preserve"> (now </w:t>
      </w:r>
      <w:r w:rsidR="00792124" w:rsidRPr="00A702F8">
        <w:rPr>
          <w:b w:val="0"/>
          <w:bCs/>
          <w:sz w:val="22"/>
          <w:szCs w:val="22"/>
        </w:rPr>
        <w:t>Department of Primary Industries)</w:t>
      </w:r>
      <w:r w:rsidR="00A22DE8" w:rsidRPr="00A702F8">
        <w:rPr>
          <w:b w:val="0"/>
          <w:bCs/>
          <w:sz w:val="22"/>
          <w:szCs w:val="22"/>
        </w:rPr>
        <w:t>,</w:t>
      </w:r>
      <w:r w:rsidR="00A22DE8">
        <w:rPr>
          <w:b w:val="0"/>
          <w:bCs/>
          <w:sz w:val="22"/>
          <w:szCs w:val="22"/>
        </w:rPr>
        <w:t xml:space="preserve"> public comments on the proposal as required under section 303FR</w:t>
      </w:r>
      <w:r w:rsidR="00566031">
        <w:rPr>
          <w:b w:val="0"/>
          <w:bCs/>
          <w:sz w:val="22"/>
          <w:szCs w:val="22"/>
        </w:rPr>
        <w:t>,</w:t>
      </w:r>
      <w:r w:rsidRPr="001C7377">
        <w:rPr>
          <w:b w:val="0"/>
          <w:bCs/>
          <w:sz w:val="22"/>
          <w:szCs w:val="22"/>
        </w:rPr>
        <w:t xml:space="preserve"> and advice on the ecological sustainability of the operation. I am satisfied on those matters specified in section 303FN of the EPBC Act.</w:t>
      </w:r>
      <w:r w:rsidRPr="001C7377">
        <w:rPr>
          <w:sz w:val="22"/>
          <w:szCs w:val="22"/>
        </w:rPr>
        <w:t xml:space="preserve"> </w:t>
      </w:r>
      <w:r w:rsidR="00BC3821" w:rsidRPr="001C7377">
        <w:rPr>
          <w:b w:val="0"/>
          <w:bCs/>
          <w:sz w:val="22"/>
          <w:szCs w:val="22"/>
        </w:rPr>
        <w:t>I</w:t>
      </w:r>
      <w:r w:rsidR="009B0E50" w:rsidRPr="001C7377">
        <w:rPr>
          <w:b w:val="0"/>
          <w:bCs/>
          <w:sz w:val="22"/>
          <w:szCs w:val="22"/>
        </w:rPr>
        <w:t> </w:t>
      </w:r>
      <w:r w:rsidR="00BC3821" w:rsidRPr="001C7377">
        <w:rPr>
          <w:b w:val="0"/>
          <w:bCs/>
          <w:sz w:val="22"/>
          <w:szCs w:val="22"/>
        </w:rPr>
        <w:t xml:space="preserve">hereby declare the operations for the harvesting of </w:t>
      </w:r>
      <w:r w:rsidR="004C3DEE" w:rsidRPr="001C7377">
        <w:rPr>
          <w:b w:val="0"/>
          <w:bCs/>
          <w:sz w:val="22"/>
          <w:szCs w:val="22"/>
        </w:rPr>
        <w:t xml:space="preserve">specimens that are or are derived from fish or invertebrates, taken in the </w:t>
      </w:r>
      <w:r w:rsidR="00744669">
        <w:rPr>
          <w:b w:val="0"/>
          <w:bCs/>
          <w:sz w:val="22"/>
          <w:szCs w:val="22"/>
        </w:rPr>
        <w:t>Queensland East Coast Otter Trawl Fishery</w:t>
      </w:r>
      <w:r w:rsidR="007F33A5">
        <w:rPr>
          <w:b w:val="0"/>
          <w:bCs/>
          <w:sz w:val="22"/>
          <w:szCs w:val="22"/>
        </w:rPr>
        <w:t xml:space="preserve"> </w:t>
      </w:r>
      <w:r w:rsidR="007F33A5" w:rsidRPr="001C7377">
        <w:rPr>
          <w:b w:val="0"/>
          <w:bCs/>
          <w:sz w:val="22"/>
          <w:szCs w:val="22"/>
        </w:rPr>
        <w:t>as</w:t>
      </w:r>
      <w:r w:rsidR="004C3DEE" w:rsidRPr="001C7377">
        <w:rPr>
          <w:b w:val="0"/>
          <w:bCs/>
          <w:sz w:val="22"/>
          <w:szCs w:val="22"/>
        </w:rPr>
        <w:t xml:space="preserve"> defined </w:t>
      </w:r>
      <w:r w:rsidR="00C50485" w:rsidRPr="001C7377">
        <w:rPr>
          <w:b w:val="0"/>
          <w:bCs/>
          <w:sz w:val="22"/>
          <w:szCs w:val="22"/>
        </w:rPr>
        <w:t>in the management regime in force under the:</w:t>
      </w:r>
    </w:p>
    <w:p w14:paraId="2BFE0E23" w14:textId="54179B85" w:rsidR="00997FED" w:rsidRDefault="00997FED" w:rsidP="00DC5E24">
      <w:pPr>
        <w:pStyle w:val="Default"/>
        <w:numPr>
          <w:ilvl w:val="0"/>
          <w:numId w:val="4"/>
        </w:numPr>
        <w:spacing w:line="276" w:lineRule="auto"/>
        <w:ind w:left="714" w:hanging="357"/>
        <w:rPr>
          <w:rFonts w:eastAsia="Times New Roman"/>
          <w:bCs/>
          <w:color w:val="auto"/>
          <w:sz w:val="22"/>
          <w:szCs w:val="22"/>
        </w:rPr>
      </w:pPr>
      <w:r w:rsidRPr="00BC330D">
        <w:rPr>
          <w:rFonts w:eastAsia="Times New Roman"/>
          <w:bCs/>
          <w:i/>
          <w:iCs/>
          <w:color w:val="auto"/>
          <w:sz w:val="22"/>
          <w:szCs w:val="22"/>
        </w:rPr>
        <w:t>Fisheries Act 1994</w:t>
      </w:r>
      <w:r w:rsidRPr="00997FED">
        <w:rPr>
          <w:rFonts w:eastAsia="Times New Roman"/>
          <w:bCs/>
          <w:color w:val="auto"/>
          <w:sz w:val="22"/>
          <w:szCs w:val="22"/>
        </w:rPr>
        <w:t xml:space="preserve"> (Qld) </w:t>
      </w:r>
    </w:p>
    <w:p w14:paraId="6EB6F346" w14:textId="428BF6E5" w:rsidR="00B35805" w:rsidRDefault="00B35805" w:rsidP="00DC5E24">
      <w:pPr>
        <w:pStyle w:val="Default"/>
        <w:numPr>
          <w:ilvl w:val="0"/>
          <w:numId w:val="4"/>
        </w:numPr>
        <w:spacing w:line="276" w:lineRule="auto"/>
        <w:ind w:left="714" w:hanging="357"/>
        <w:rPr>
          <w:rFonts w:eastAsia="Times New Roman"/>
          <w:bCs/>
          <w:color w:val="auto"/>
          <w:sz w:val="22"/>
          <w:szCs w:val="22"/>
        </w:rPr>
      </w:pPr>
      <w:r w:rsidRPr="00B35805">
        <w:rPr>
          <w:rFonts w:eastAsia="Times New Roman"/>
          <w:bCs/>
          <w:i/>
          <w:iCs/>
          <w:color w:val="auto"/>
          <w:sz w:val="22"/>
          <w:szCs w:val="22"/>
        </w:rPr>
        <w:t>Marine Parks Act 2004</w:t>
      </w:r>
      <w:r w:rsidRPr="00997FED">
        <w:rPr>
          <w:rFonts w:eastAsia="Times New Roman"/>
          <w:bCs/>
          <w:color w:val="auto"/>
          <w:sz w:val="22"/>
          <w:szCs w:val="22"/>
        </w:rPr>
        <w:t xml:space="preserve"> (Qld) </w:t>
      </w:r>
    </w:p>
    <w:p w14:paraId="53D2768B" w14:textId="4554BB89" w:rsidR="00B35805" w:rsidRPr="00B35805" w:rsidRDefault="00B35805" w:rsidP="00DC5E24">
      <w:pPr>
        <w:pStyle w:val="Default"/>
        <w:numPr>
          <w:ilvl w:val="0"/>
          <w:numId w:val="4"/>
        </w:numPr>
        <w:spacing w:line="276" w:lineRule="auto"/>
        <w:ind w:left="714" w:hanging="357"/>
        <w:rPr>
          <w:rFonts w:eastAsia="Times New Roman"/>
          <w:bCs/>
          <w:color w:val="auto"/>
          <w:sz w:val="22"/>
          <w:szCs w:val="22"/>
        </w:rPr>
      </w:pPr>
      <w:r w:rsidRPr="00B35805">
        <w:rPr>
          <w:rFonts w:eastAsia="Times New Roman"/>
          <w:bCs/>
          <w:i/>
          <w:iCs/>
          <w:color w:val="auto"/>
          <w:sz w:val="22"/>
          <w:szCs w:val="22"/>
        </w:rPr>
        <w:t>Great Barrier Reef Marine Park Act 1975</w:t>
      </w:r>
      <w:r w:rsidRPr="00997FED">
        <w:rPr>
          <w:rFonts w:eastAsia="Times New Roman"/>
          <w:bCs/>
          <w:color w:val="auto"/>
          <w:sz w:val="22"/>
          <w:szCs w:val="22"/>
        </w:rPr>
        <w:t xml:space="preserve"> (</w:t>
      </w:r>
      <w:r>
        <w:rPr>
          <w:rFonts w:eastAsia="Times New Roman"/>
          <w:bCs/>
          <w:color w:val="auto"/>
          <w:sz w:val="22"/>
          <w:szCs w:val="22"/>
        </w:rPr>
        <w:t>Cth)</w:t>
      </w:r>
    </w:p>
    <w:p w14:paraId="7839EB00" w14:textId="60F94A85" w:rsidR="00D73446" w:rsidRDefault="00D73446" w:rsidP="00DC5E24">
      <w:pPr>
        <w:pStyle w:val="Default"/>
        <w:numPr>
          <w:ilvl w:val="0"/>
          <w:numId w:val="4"/>
        </w:numPr>
        <w:spacing w:line="276" w:lineRule="auto"/>
        <w:ind w:left="714" w:hanging="357"/>
        <w:rPr>
          <w:rFonts w:eastAsia="Times New Roman"/>
          <w:bCs/>
          <w:color w:val="auto"/>
          <w:sz w:val="22"/>
          <w:szCs w:val="22"/>
        </w:rPr>
      </w:pPr>
      <w:r w:rsidRPr="00D73446">
        <w:rPr>
          <w:rFonts w:eastAsia="Times New Roman"/>
          <w:bCs/>
          <w:i/>
          <w:iCs/>
          <w:color w:val="auto"/>
          <w:sz w:val="22"/>
          <w:szCs w:val="22"/>
        </w:rPr>
        <w:t>Environment Protection and Biodiversity Conservation Act 1999</w:t>
      </w:r>
      <w:r>
        <w:rPr>
          <w:rFonts w:eastAsia="Times New Roman"/>
          <w:bCs/>
          <w:color w:val="auto"/>
          <w:sz w:val="22"/>
          <w:szCs w:val="22"/>
        </w:rPr>
        <w:t xml:space="preserve"> (Cth)</w:t>
      </w:r>
    </w:p>
    <w:p w14:paraId="4C711A06" w14:textId="5780834C" w:rsidR="00997FED" w:rsidRPr="00997FED" w:rsidRDefault="00997FED" w:rsidP="00DC5E24">
      <w:pPr>
        <w:pStyle w:val="Default"/>
        <w:numPr>
          <w:ilvl w:val="0"/>
          <w:numId w:val="4"/>
        </w:numPr>
        <w:spacing w:line="276" w:lineRule="auto"/>
        <w:ind w:left="714" w:hanging="357"/>
        <w:rPr>
          <w:rFonts w:eastAsia="Times New Roman"/>
          <w:bCs/>
          <w:color w:val="auto"/>
          <w:sz w:val="22"/>
          <w:szCs w:val="22"/>
        </w:rPr>
      </w:pPr>
      <w:r w:rsidRPr="00997FED">
        <w:rPr>
          <w:rFonts w:eastAsia="Times New Roman"/>
          <w:bCs/>
          <w:color w:val="auto"/>
          <w:sz w:val="22"/>
          <w:szCs w:val="22"/>
        </w:rPr>
        <w:t xml:space="preserve">Fisheries (General) Regulation 2019 (Qld) </w:t>
      </w:r>
    </w:p>
    <w:p w14:paraId="2A0032B2" w14:textId="77777777" w:rsidR="00997FED" w:rsidRPr="00997FED" w:rsidRDefault="00997FED" w:rsidP="00DC5E24">
      <w:pPr>
        <w:pStyle w:val="Default"/>
        <w:numPr>
          <w:ilvl w:val="0"/>
          <w:numId w:val="4"/>
        </w:numPr>
        <w:spacing w:line="276" w:lineRule="auto"/>
        <w:ind w:left="714" w:hanging="357"/>
        <w:rPr>
          <w:rFonts w:eastAsia="Times New Roman"/>
          <w:bCs/>
          <w:color w:val="auto"/>
          <w:sz w:val="22"/>
          <w:szCs w:val="22"/>
        </w:rPr>
      </w:pPr>
      <w:r w:rsidRPr="00997FED">
        <w:rPr>
          <w:rFonts w:eastAsia="Times New Roman"/>
          <w:bCs/>
          <w:color w:val="auto"/>
          <w:sz w:val="22"/>
          <w:szCs w:val="22"/>
        </w:rPr>
        <w:t xml:space="preserve">Fisheries (Commercial Fisheries) Regulation 2019 (Qld) </w:t>
      </w:r>
    </w:p>
    <w:p w14:paraId="64A59A53" w14:textId="77777777" w:rsidR="00997FED" w:rsidRPr="00997FED" w:rsidRDefault="00997FED" w:rsidP="00DC5E24">
      <w:pPr>
        <w:pStyle w:val="Default"/>
        <w:numPr>
          <w:ilvl w:val="0"/>
          <w:numId w:val="4"/>
        </w:numPr>
        <w:spacing w:line="276" w:lineRule="auto"/>
        <w:ind w:left="714" w:hanging="357"/>
        <w:rPr>
          <w:rFonts w:eastAsia="Times New Roman"/>
          <w:bCs/>
          <w:color w:val="auto"/>
          <w:sz w:val="22"/>
          <w:szCs w:val="22"/>
        </w:rPr>
      </w:pPr>
      <w:r w:rsidRPr="00997FED">
        <w:rPr>
          <w:rFonts w:eastAsia="Times New Roman"/>
          <w:bCs/>
          <w:color w:val="auto"/>
          <w:sz w:val="22"/>
          <w:szCs w:val="22"/>
        </w:rPr>
        <w:t xml:space="preserve">Fisheries Declaration 2019 (Qld) </w:t>
      </w:r>
    </w:p>
    <w:p w14:paraId="401E3CD1" w14:textId="77777777" w:rsidR="00997FED" w:rsidRDefault="00997FED" w:rsidP="00DC5E24">
      <w:pPr>
        <w:pStyle w:val="Default"/>
        <w:numPr>
          <w:ilvl w:val="0"/>
          <w:numId w:val="4"/>
        </w:numPr>
        <w:spacing w:line="276" w:lineRule="auto"/>
        <w:ind w:left="714" w:hanging="357"/>
        <w:rPr>
          <w:rFonts w:eastAsia="Times New Roman"/>
          <w:bCs/>
          <w:color w:val="auto"/>
          <w:sz w:val="22"/>
          <w:szCs w:val="22"/>
        </w:rPr>
      </w:pPr>
      <w:r w:rsidRPr="00997FED">
        <w:rPr>
          <w:rFonts w:eastAsia="Times New Roman"/>
          <w:bCs/>
          <w:color w:val="auto"/>
          <w:sz w:val="22"/>
          <w:szCs w:val="22"/>
        </w:rPr>
        <w:t xml:space="preserve">Fisheries Quota Declaration 2019 (Qld) </w:t>
      </w:r>
    </w:p>
    <w:p w14:paraId="749B2058" w14:textId="21D896DC" w:rsidR="005F767C" w:rsidRPr="00997FED" w:rsidRDefault="005F767C" w:rsidP="00DC5E24">
      <w:pPr>
        <w:pStyle w:val="Default"/>
        <w:numPr>
          <w:ilvl w:val="0"/>
          <w:numId w:val="4"/>
        </w:numPr>
        <w:spacing w:line="276" w:lineRule="auto"/>
        <w:ind w:left="714" w:hanging="357"/>
        <w:rPr>
          <w:rFonts w:eastAsia="Times New Roman"/>
          <w:bCs/>
          <w:color w:val="auto"/>
          <w:sz w:val="22"/>
          <w:szCs w:val="22"/>
        </w:rPr>
      </w:pPr>
      <w:r>
        <w:rPr>
          <w:rFonts w:eastAsia="Times New Roman"/>
          <w:bCs/>
          <w:color w:val="auto"/>
          <w:sz w:val="22"/>
          <w:szCs w:val="22"/>
        </w:rPr>
        <w:t>Fisheries (Saucer Scallops) Amendment Declaration 2021 (Qld)</w:t>
      </w:r>
    </w:p>
    <w:p w14:paraId="344449CB" w14:textId="2A9228A8" w:rsidR="00997FED" w:rsidRPr="00B35805" w:rsidRDefault="00997FED" w:rsidP="00DC5E24">
      <w:pPr>
        <w:pStyle w:val="Default"/>
        <w:numPr>
          <w:ilvl w:val="0"/>
          <w:numId w:val="4"/>
        </w:numPr>
        <w:spacing w:line="276" w:lineRule="auto"/>
        <w:ind w:left="714" w:hanging="357"/>
        <w:rPr>
          <w:rFonts w:eastAsia="Times New Roman"/>
          <w:bCs/>
          <w:color w:val="auto"/>
          <w:sz w:val="22"/>
          <w:szCs w:val="22"/>
        </w:rPr>
      </w:pPr>
      <w:r w:rsidRPr="00997FED">
        <w:rPr>
          <w:rFonts w:eastAsia="Times New Roman"/>
          <w:bCs/>
          <w:color w:val="auto"/>
          <w:sz w:val="22"/>
          <w:szCs w:val="22"/>
        </w:rPr>
        <w:t xml:space="preserve">Marine Parks Regulations 2019 (Qld) </w:t>
      </w:r>
    </w:p>
    <w:p w14:paraId="668B535F" w14:textId="77777777" w:rsidR="00D73446" w:rsidRDefault="00997FED" w:rsidP="00835176">
      <w:pPr>
        <w:pStyle w:val="Default"/>
        <w:numPr>
          <w:ilvl w:val="0"/>
          <w:numId w:val="4"/>
        </w:numPr>
        <w:spacing w:line="276" w:lineRule="auto"/>
        <w:ind w:left="714" w:hanging="357"/>
        <w:rPr>
          <w:rFonts w:eastAsia="Times New Roman"/>
          <w:bCs/>
          <w:color w:val="auto"/>
          <w:sz w:val="22"/>
          <w:szCs w:val="22"/>
        </w:rPr>
      </w:pPr>
      <w:r w:rsidRPr="00997FED">
        <w:rPr>
          <w:rFonts w:eastAsia="Times New Roman"/>
          <w:bCs/>
          <w:color w:val="auto"/>
          <w:sz w:val="22"/>
          <w:szCs w:val="22"/>
        </w:rPr>
        <w:t>Great Barrier Reef Marine Park Regulations 2019 (Cth)</w:t>
      </w:r>
    </w:p>
    <w:p w14:paraId="46CC64E8" w14:textId="77777777" w:rsidR="00B41C9D" w:rsidRDefault="00D73446" w:rsidP="00B41C9D">
      <w:pPr>
        <w:pStyle w:val="Default"/>
        <w:numPr>
          <w:ilvl w:val="0"/>
          <w:numId w:val="4"/>
        </w:numPr>
        <w:spacing w:line="276" w:lineRule="auto"/>
        <w:ind w:left="714" w:hanging="357"/>
        <w:rPr>
          <w:rFonts w:eastAsia="Times New Roman"/>
          <w:bCs/>
          <w:color w:val="auto"/>
          <w:sz w:val="22"/>
          <w:szCs w:val="22"/>
        </w:rPr>
      </w:pPr>
      <w:r>
        <w:rPr>
          <w:rFonts w:eastAsia="Times New Roman"/>
          <w:bCs/>
          <w:color w:val="auto"/>
          <w:sz w:val="22"/>
          <w:szCs w:val="22"/>
        </w:rPr>
        <w:t>Environment Protection and Biodiversity Conservation Regulations 2000 (Cth)</w:t>
      </w:r>
    </w:p>
    <w:p w14:paraId="3ACFBC33" w14:textId="1D39A704" w:rsidR="00997FED" w:rsidRPr="00B41C9D" w:rsidRDefault="00B41C9D" w:rsidP="00B41C9D">
      <w:pPr>
        <w:pStyle w:val="Default"/>
        <w:numPr>
          <w:ilvl w:val="0"/>
          <w:numId w:val="4"/>
        </w:numPr>
        <w:spacing w:after="120" w:line="276" w:lineRule="auto"/>
        <w:ind w:left="714" w:hanging="357"/>
        <w:rPr>
          <w:rFonts w:eastAsia="Times New Roman"/>
          <w:bCs/>
          <w:color w:val="auto"/>
          <w:sz w:val="22"/>
          <w:szCs w:val="22"/>
        </w:rPr>
      </w:pPr>
      <w:r w:rsidRPr="00B41C9D">
        <w:rPr>
          <w:rFonts w:eastAsia="Times New Roman"/>
          <w:bCs/>
          <w:color w:val="auto"/>
          <w:sz w:val="22"/>
          <w:szCs w:val="22"/>
        </w:rPr>
        <w:t>Coral Sea Marine Park Management Plan 2018 (Cth)</w:t>
      </w:r>
    </w:p>
    <w:p w14:paraId="1AA70425" w14:textId="77777777" w:rsidR="00777266" w:rsidRPr="001C7377" w:rsidRDefault="00777266" w:rsidP="002913B9">
      <w:pPr>
        <w:spacing w:after="80"/>
        <w:rPr>
          <w:snapToGrid w:val="0"/>
          <w:sz w:val="22"/>
          <w:szCs w:val="22"/>
        </w:rPr>
      </w:pPr>
      <w:r w:rsidRPr="001C7377">
        <w:rPr>
          <w:snapToGrid w:val="0"/>
          <w:sz w:val="22"/>
          <w:szCs w:val="22"/>
        </w:rPr>
        <w:t>but not including:</w:t>
      </w:r>
    </w:p>
    <w:p w14:paraId="1456C700" w14:textId="77777777" w:rsidR="00777266" w:rsidRPr="001C7377" w:rsidRDefault="00777266" w:rsidP="00DC5E24">
      <w:pPr>
        <w:pStyle w:val="Stylea"/>
        <w:numPr>
          <w:ilvl w:val="0"/>
          <w:numId w:val="3"/>
        </w:numPr>
        <w:ind w:left="357" w:hanging="357"/>
        <w:rPr>
          <w:color w:val="auto"/>
          <w:sz w:val="22"/>
          <w:szCs w:val="22"/>
        </w:rPr>
      </w:pPr>
      <w:r w:rsidRPr="001C7377">
        <w:rPr>
          <w:color w:val="auto"/>
          <w:sz w:val="22"/>
          <w:szCs w:val="22"/>
        </w:rPr>
        <w:t xml:space="preserve">specimens that belong to taxa listed under section 209 of the EPBC Act (Australia’s List of Migratory Species), or </w:t>
      </w:r>
    </w:p>
    <w:p w14:paraId="601D1062" w14:textId="77777777" w:rsidR="00777266" w:rsidRPr="001C7377" w:rsidRDefault="00777266" w:rsidP="00DC5E24">
      <w:pPr>
        <w:pStyle w:val="Stylea"/>
        <w:numPr>
          <w:ilvl w:val="0"/>
          <w:numId w:val="3"/>
        </w:numPr>
        <w:ind w:left="357" w:hanging="357"/>
        <w:rPr>
          <w:color w:val="auto"/>
          <w:sz w:val="22"/>
          <w:szCs w:val="22"/>
        </w:rPr>
      </w:pPr>
      <w:r w:rsidRPr="001C7377">
        <w:rPr>
          <w:color w:val="auto"/>
          <w:sz w:val="22"/>
          <w:szCs w:val="22"/>
        </w:rPr>
        <w:t>specimens that belong to taxa listed under section 248 of the EPBC Act (Australia’s List of Marine Species), or</w:t>
      </w:r>
    </w:p>
    <w:p w14:paraId="560A6115" w14:textId="77777777" w:rsidR="00777266" w:rsidRPr="001C7377" w:rsidRDefault="00777266" w:rsidP="00DC5E24">
      <w:pPr>
        <w:pStyle w:val="Stylea"/>
        <w:numPr>
          <w:ilvl w:val="0"/>
          <w:numId w:val="3"/>
        </w:numPr>
        <w:ind w:left="357" w:hanging="357"/>
        <w:rPr>
          <w:color w:val="auto"/>
          <w:sz w:val="22"/>
          <w:szCs w:val="22"/>
        </w:rPr>
      </w:pPr>
      <w:r w:rsidRPr="001C7377">
        <w:rPr>
          <w:color w:val="auto"/>
          <w:sz w:val="22"/>
          <w:szCs w:val="22"/>
        </w:rPr>
        <w:t>specimens that belong to eligible listed threatened species, as defined under section 303BC of the EPBC Act, or</w:t>
      </w:r>
    </w:p>
    <w:p w14:paraId="673B4888" w14:textId="77777777" w:rsidR="00777266" w:rsidRPr="001C7377" w:rsidRDefault="00777266" w:rsidP="00D63143">
      <w:pPr>
        <w:pStyle w:val="Stylea"/>
        <w:numPr>
          <w:ilvl w:val="0"/>
          <w:numId w:val="3"/>
        </w:numPr>
        <w:spacing w:after="60"/>
        <w:ind w:left="357" w:hanging="357"/>
        <w:rPr>
          <w:color w:val="auto"/>
          <w:sz w:val="22"/>
          <w:szCs w:val="22"/>
        </w:rPr>
      </w:pPr>
      <w:r w:rsidRPr="001C7377">
        <w:rPr>
          <w:color w:val="auto"/>
          <w:sz w:val="22"/>
          <w:szCs w:val="22"/>
        </w:rPr>
        <w:t>specimens that belong to taxa listed under section 303CA of the EPBC Act (Australia’s CITES List),</w:t>
      </w:r>
    </w:p>
    <w:p w14:paraId="32E21264" w14:textId="77777777" w:rsidR="00486384" w:rsidRPr="001C7377" w:rsidRDefault="00486384" w:rsidP="00D63143">
      <w:pPr>
        <w:spacing w:after="120"/>
        <w:rPr>
          <w:snapToGrid w:val="0"/>
          <w:sz w:val="22"/>
          <w:szCs w:val="22"/>
        </w:rPr>
      </w:pPr>
      <w:r w:rsidRPr="001C7377">
        <w:rPr>
          <w:snapToGrid w:val="0"/>
          <w:sz w:val="22"/>
          <w:szCs w:val="22"/>
        </w:rPr>
        <w:t>to be an approved wildlife trade operation, in accordance with subsection 303</w:t>
      </w:r>
      <w:proofErr w:type="gramStart"/>
      <w:r w:rsidRPr="001C7377">
        <w:rPr>
          <w:snapToGrid w:val="0"/>
          <w:sz w:val="22"/>
          <w:szCs w:val="22"/>
        </w:rPr>
        <w:t>FN(</w:t>
      </w:r>
      <w:proofErr w:type="gramEnd"/>
      <w:r w:rsidRPr="001C7377">
        <w:rPr>
          <w:snapToGrid w:val="0"/>
          <w:sz w:val="22"/>
          <w:szCs w:val="22"/>
        </w:rPr>
        <w:t>2) and paragraph 303FN(10)(d), for the purposes of the EPBC Act.</w:t>
      </w:r>
    </w:p>
    <w:p w14:paraId="25E857C7" w14:textId="77777777" w:rsidR="00486384" w:rsidRPr="00F72BF6" w:rsidRDefault="00486384" w:rsidP="002913B9">
      <w:pPr>
        <w:spacing w:after="80"/>
        <w:rPr>
          <w:snapToGrid w:val="0"/>
          <w:sz w:val="22"/>
          <w:szCs w:val="22"/>
        </w:rPr>
      </w:pPr>
      <w:r w:rsidRPr="001C7377">
        <w:rPr>
          <w:snapToGrid w:val="0"/>
          <w:sz w:val="22"/>
          <w:szCs w:val="22"/>
        </w:rPr>
        <w:t xml:space="preserve">Unless </w:t>
      </w:r>
      <w:r w:rsidRPr="00F72BF6">
        <w:rPr>
          <w:snapToGrid w:val="0"/>
          <w:sz w:val="22"/>
          <w:szCs w:val="22"/>
        </w:rPr>
        <w:t>amended or revoked, this declaration:</w:t>
      </w:r>
    </w:p>
    <w:p w14:paraId="5D7C31C7" w14:textId="141516B1" w:rsidR="00486384" w:rsidRPr="00F72BF6" w:rsidRDefault="00486384" w:rsidP="00EB7B72">
      <w:pPr>
        <w:numPr>
          <w:ilvl w:val="0"/>
          <w:numId w:val="1"/>
        </w:numPr>
        <w:tabs>
          <w:tab w:val="num" w:pos="567"/>
        </w:tabs>
        <w:ind w:left="0" w:firstLine="0"/>
        <w:rPr>
          <w:sz w:val="22"/>
          <w:szCs w:val="22"/>
        </w:rPr>
      </w:pPr>
      <w:r w:rsidRPr="00F72BF6">
        <w:rPr>
          <w:sz w:val="22"/>
          <w:szCs w:val="22"/>
        </w:rPr>
        <w:t xml:space="preserve">is valid until </w:t>
      </w:r>
      <w:r w:rsidR="005A3DD1">
        <w:rPr>
          <w:sz w:val="22"/>
          <w:szCs w:val="22"/>
        </w:rPr>
        <w:t>17</w:t>
      </w:r>
      <w:r w:rsidR="00B22DD8">
        <w:rPr>
          <w:sz w:val="22"/>
          <w:szCs w:val="22"/>
        </w:rPr>
        <w:t xml:space="preserve"> </w:t>
      </w:r>
      <w:r w:rsidR="005A3DD1">
        <w:rPr>
          <w:sz w:val="22"/>
          <w:szCs w:val="22"/>
        </w:rPr>
        <w:t>December</w:t>
      </w:r>
      <w:r w:rsidR="00B22DD8">
        <w:rPr>
          <w:sz w:val="22"/>
          <w:szCs w:val="22"/>
        </w:rPr>
        <w:t xml:space="preserve"> </w:t>
      </w:r>
      <w:r w:rsidRPr="00F72BF6">
        <w:rPr>
          <w:sz w:val="22"/>
          <w:szCs w:val="22"/>
        </w:rPr>
        <w:t>202</w:t>
      </w:r>
      <w:r w:rsidR="00A61234">
        <w:rPr>
          <w:sz w:val="22"/>
          <w:szCs w:val="22"/>
        </w:rPr>
        <w:t>7</w:t>
      </w:r>
      <w:r w:rsidRPr="00F72BF6">
        <w:rPr>
          <w:sz w:val="22"/>
          <w:szCs w:val="22"/>
        </w:rPr>
        <w:t>, and</w:t>
      </w:r>
    </w:p>
    <w:p w14:paraId="008E79E3" w14:textId="0BCA95A3" w:rsidR="00486384" w:rsidRPr="001C7377" w:rsidRDefault="00486384" w:rsidP="00537B02">
      <w:pPr>
        <w:numPr>
          <w:ilvl w:val="0"/>
          <w:numId w:val="1"/>
        </w:numPr>
        <w:tabs>
          <w:tab w:val="num" w:pos="567"/>
        </w:tabs>
        <w:spacing w:after="240"/>
        <w:ind w:left="0" w:firstLine="0"/>
        <w:rPr>
          <w:sz w:val="22"/>
          <w:szCs w:val="22"/>
        </w:rPr>
      </w:pPr>
      <w:r w:rsidRPr="001C7377">
        <w:rPr>
          <w:sz w:val="22"/>
          <w:szCs w:val="22"/>
        </w:rPr>
        <w:lastRenderedPageBreak/>
        <w:t>is subject to the conditions applied under section 303FT specified in Schedule 1.</w:t>
      </w:r>
    </w:p>
    <w:p w14:paraId="04C41392" w14:textId="2223F1A4" w:rsidR="00CF40C8" w:rsidRPr="00A53ABD" w:rsidRDefault="00CF40C8" w:rsidP="007F25CA">
      <w:pPr>
        <w:pStyle w:val="Heading1"/>
        <w:spacing w:after="0"/>
      </w:pPr>
      <w:r w:rsidRPr="00A53ABD">
        <w:t xml:space="preserve">Dated this </w:t>
      </w:r>
      <w:r w:rsidR="007F25CA">
        <w:t>13</w:t>
      </w:r>
      <w:r w:rsidR="007F25CA" w:rsidRPr="007F25CA">
        <w:rPr>
          <w:vertAlign w:val="superscript"/>
        </w:rPr>
        <w:t>th</w:t>
      </w:r>
      <w:r w:rsidR="007F25CA">
        <w:t xml:space="preserve"> </w:t>
      </w:r>
      <w:r w:rsidRPr="00A53ABD">
        <w:t xml:space="preserve">day of </w:t>
      </w:r>
      <w:r w:rsidR="007F25CA">
        <w:t xml:space="preserve">December </w:t>
      </w:r>
      <w:r w:rsidRPr="00A53ABD">
        <w:t>202</w:t>
      </w:r>
      <w:r w:rsidR="00A61234" w:rsidRPr="00A53ABD">
        <w:t>4</w:t>
      </w:r>
    </w:p>
    <w:p w14:paraId="405A73DB" w14:textId="77777777" w:rsidR="007F25CA" w:rsidRDefault="007F25CA" w:rsidP="00537B02">
      <w:pPr>
        <w:spacing w:before="120"/>
        <w:jc w:val="center"/>
        <w:rPr>
          <w:sz w:val="22"/>
          <w:szCs w:val="22"/>
        </w:rPr>
      </w:pPr>
    </w:p>
    <w:p w14:paraId="5C9BE940" w14:textId="37596577" w:rsidR="007F25CA" w:rsidRDefault="007F25CA" w:rsidP="00537B02">
      <w:pPr>
        <w:spacing w:before="120"/>
        <w:jc w:val="center"/>
        <w:rPr>
          <w:sz w:val="22"/>
          <w:szCs w:val="22"/>
        </w:rPr>
      </w:pPr>
      <w:r>
        <w:rPr>
          <w:sz w:val="22"/>
          <w:szCs w:val="22"/>
        </w:rPr>
        <w:t>SIGNED</w:t>
      </w:r>
    </w:p>
    <w:p w14:paraId="30CA6B14" w14:textId="691B6FC6" w:rsidR="007E7481" w:rsidRPr="001C7377" w:rsidRDefault="007E7481" w:rsidP="00537B02">
      <w:pPr>
        <w:spacing w:before="120"/>
        <w:jc w:val="center"/>
        <w:rPr>
          <w:sz w:val="22"/>
          <w:szCs w:val="22"/>
        </w:rPr>
      </w:pPr>
      <w:r w:rsidRPr="001C7377">
        <w:rPr>
          <w:sz w:val="22"/>
          <w:szCs w:val="22"/>
        </w:rPr>
        <w:t>………….…….…………………………………</w:t>
      </w:r>
    </w:p>
    <w:p w14:paraId="607AB781" w14:textId="77777777" w:rsidR="007E7481" w:rsidRPr="001C7377" w:rsidRDefault="007E7481" w:rsidP="002526E9">
      <w:pPr>
        <w:spacing w:after="240"/>
        <w:jc w:val="center"/>
        <w:rPr>
          <w:snapToGrid w:val="0"/>
          <w:sz w:val="22"/>
          <w:szCs w:val="22"/>
        </w:rPr>
      </w:pPr>
      <w:bookmarkStart w:id="0" w:name="_Hlk40258754"/>
      <w:r w:rsidRPr="001C7377">
        <w:rPr>
          <w:snapToGrid w:val="0"/>
          <w:sz w:val="22"/>
          <w:szCs w:val="22"/>
        </w:rPr>
        <w:t xml:space="preserve">Delegate of the Minister for </w:t>
      </w:r>
      <w:r w:rsidRPr="001C7377">
        <w:rPr>
          <w:sz w:val="22"/>
          <w:szCs w:val="22"/>
        </w:rPr>
        <w:t>the Environment and Water</w:t>
      </w:r>
    </w:p>
    <w:bookmarkEnd w:id="0"/>
    <w:p w14:paraId="7DB6CFA0" w14:textId="77777777" w:rsidR="005C035B" w:rsidRDefault="00B85719" w:rsidP="005C035B">
      <w:pPr>
        <w:spacing w:after="240"/>
        <w:rPr>
          <w:sz w:val="18"/>
          <w:szCs w:val="18"/>
        </w:rPr>
      </w:pPr>
      <w:r w:rsidRPr="001C7377">
        <w:rPr>
          <w:sz w:val="18"/>
          <w:szCs w:val="18"/>
        </w:rPr>
        <w:t xml:space="preserve">Notes: </w:t>
      </w:r>
    </w:p>
    <w:p w14:paraId="2CC23C39" w14:textId="0ED7C8BD" w:rsidR="001039DA" w:rsidRPr="001C7377" w:rsidRDefault="0054330B" w:rsidP="00DC5E24">
      <w:pPr>
        <w:pStyle w:val="ListParagraph"/>
        <w:numPr>
          <w:ilvl w:val="0"/>
          <w:numId w:val="5"/>
        </w:numPr>
        <w:spacing w:after="600"/>
      </w:pPr>
      <w:r w:rsidRPr="0054330B">
        <w:rPr>
          <w:sz w:val="18"/>
          <w:szCs w:val="18"/>
          <w:lang w:val="en-US"/>
        </w:rPr>
        <w:t xml:space="preserve">Under the </w:t>
      </w:r>
      <w:r w:rsidRPr="0054330B">
        <w:rPr>
          <w:i/>
          <w:iCs/>
          <w:sz w:val="18"/>
          <w:szCs w:val="18"/>
          <w:lang w:val="en-US"/>
        </w:rPr>
        <w:t>Administrative Review Tribunal Act 2024</w:t>
      </w:r>
      <w:r w:rsidRPr="0054330B">
        <w:rPr>
          <w:sz w:val="18"/>
          <w:szCs w:val="18"/>
          <w:lang w:val="en-US"/>
        </w:rPr>
        <w:t>, a person whose interests are affected by this decision may apply for a statement of reasons and for independent review of the decision. An application for a statement of reasons may be made in writing to the Department of Climate Change, Energy, the Environment and Water within 28 days of the date of the declaration. An application for independent review may be made to the Administrative Review Tribunal on payment of the relevant fee within 28 days of the date of the declaration, or if reasons are sought, within 28 days of receipt of reasons. Further information may be obtained from the Director, Sustainable Fisheries Section, Department of Climate Change, Energy, the Environment and Water, Email: sustainablefisheries@dcceew.gov.au.</w:t>
      </w:r>
    </w:p>
    <w:p w14:paraId="1A97868E" w14:textId="3F4F84C0" w:rsidR="00A0575C" w:rsidRPr="00BD1B07" w:rsidRDefault="00AF08E8" w:rsidP="0060069C">
      <w:pPr>
        <w:pageBreakBefore/>
        <w:spacing w:after="360"/>
        <w:jc w:val="right"/>
        <w:rPr>
          <w:rFonts w:asciiTheme="majorBidi" w:hAnsiTheme="majorBidi" w:cstheme="majorBidi"/>
          <w:b/>
          <w:bCs/>
          <w:sz w:val="22"/>
          <w:szCs w:val="22"/>
        </w:rPr>
      </w:pPr>
      <w:r w:rsidRPr="00BD1B07">
        <w:rPr>
          <w:rFonts w:asciiTheme="majorBidi" w:hAnsiTheme="majorBidi" w:cstheme="majorBidi"/>
          <w:b/>
          <w:bCs/>
          <w:sz w:val="22"/>
          <w:szCs w:val="22"/>
        </w:rPr>
        <w:lastRenderedPageBreak/>
        <w:t>Schedule 1</w:t>
      </w:r>
    </w:p>
    <w:p w14:paraId="2FBE8BA6" w14:textId="35069F24" w:rsidR="00DF70F6" w:rsidRPr="00BD1B07" w:rsidRDefault="00BC3821" w:rsidP="0060069C">
      <w:pPr>
        <w:spacing w:after="360"/>
        <w:jc w:val="center"/>
        <w:rPr>
          <w:rFonts w:asciiTheme="majorBidi" w:hAnsiTheme="majorBidi" w:cstheme="majorBidi"/>
          <w:b/>
          <w:bCs/>
          <w:sz w:val="22"/>
          <w:szCs w:val="22"/>
        </w:rPr>
      </w:pPr>
      <w:r w:rsidRPr="00BD1B07">
        <w:rPr>
          <w:rFonts w:asciiTheme="majorBidi" w:hAnsiTheme="majorBidi" w:cstheme="majorBidi"/>
          <w:b/>
          <w:bCs/>
          <w:sz w:val="22"/>
          <w:szCs w:val="22"/>
        </w:rPr>
        <w:t xml:space="preserve">Declaration of the </w:t>
      </w:r>
      <w:r w:rsidR="00D63915" w:rsidRPr="00BD1B07">
        <w:rPr>
          <w:rFonts w:asciiTheme="majorBidi" w:hAnsiTheme="majorBidi" w:cstheme="majorBidi"/>
          <w:b/>
          <w:bCs/>
          <w:sz w:val="22"/>
          <w:szCs w:val="22"/>
        </w:rPr>
        <w:t>h</w:t>
      </w:r>
      <w:r w:rsidRPr="00BD1B07">
        <w:rPr>
          <w:rFonts w:asciiTheme="majorBidi" w:hAnsiTheme="majorBidi" w:cstheme="majorBidi"/>
          <w:b/>
          <w:bCs/>
          <w:sz w:val="22"/>
          <w:szCs w:val="22"/>
        </w:rPr>
        <w:t xml:space="preserve">arvest </w:t>
      </w:r>
      <w:r w:rsidR="00D63915" w:rsidRPr="00BD1B07">
        <w:rPr>
          <w:rFonts w:asciiTheme="majorBidi" w:hAnsiTheme="majorBidi" w:cstheme="majorBidi"/>
          <w:b/>
          <w:bCs/>
          <w:sz w:val="22"/>
          <w:szCs w:val="22"/>
        </w:rPr>
        <w:t>o</w:t>
      </w:r>
      <w:r w:rsidRPr="00BD1B07">
        <w:rPr>
          <w:rFonts w:asciiTheme="majorBidi" w:hAnsiTheme="majorBidi" w:cstheme="majorBidi"/>
          <w:b/>
          <w:bCs/>
          <w:sz w:val="22"/>
          <w:szCs w:val="22"/>
        </w:rPr>
        <w:t xml:space="preserve">perations of the </w:t>
      </w:r>
      <w:bookmarkStart w:id="1" w:name="_Hlk116891536"/>
      <w:r w:rsidR="00A61234">
        <w:rPr>
          <w:rFonts w:asciiTheme="majorBidi" w:hAnsiTheme="majorBidi" w:cstheme="majorBidi"/>
          <w:b/>
          <w:bCs/>
          <w:sz w:val="22"/>
          <w:szCs w:val="22"/>
        </w:rPr>
        <w:t xml:space="preserve">Queensland </w:t>
      </w:r>
      <w:bookmarkEnd w:id="1"/>
      <w:r w:rsidR="005A3DD1">
        <w:rPr>
          <w:rFonts w:asciiTheme="majorBidi" w:hAnsiTheme="majorBidi" w:cstheme="majorBidi"/>
          <w:b/>
          <w:bCs/>
          <w:sz w:val="22"/>
          <w:szCs w:val="22"/>
        </w:rPr>
        <w:t xml:space="preserve">East Coast Otter Trawl Fishery </w:t>
      </w:r>
      <w:r w:rsidR="007F33A5" w:rsidRPr="00BD1B07">
        <w:rPr>
          <w:rFonts w:asciiTheme="majorBidi" w:hAnsiTheme="majorBidi" w:cstheme="majorBidi"/>
          <w:b/>
          <w:bCs/>
          <w:sz w:val="22"/>
          <w:szCs w:val="22"/>
        </w:rPr>
        <w:t>as</w:t>
      </w:r>
      <w:r w:rsidRPr="00BD1B07">
        <w:rPr>
          <w:rFonts w:asciiTheme="majorBidi" w:hAnsiTheme="majorBidi" w:cstheme="majorBidi"/>
          <w:b/>
          <w:bCs/>
          <w:sz w:val="22"/>
          <w:szCs w:val="22"/>
        </w:rPr>
        <w:t xml:space="preserve"> an approved </w:t>
      </w:r>
      <w:r w:rsidR="00C665C2" w:rsidRPr="00BD1B07">
        <w:rPr>
          <w:rFonts w:asciiTheme="majorBidi" w:hAnsiTheme="majorBidi" w:cstheme="majorBidi"/>
          <w:b/>
          <w:bCs/>
          <w:sz w:val="22"/>
          <w:szCs w:val="22"/>
        </w:rPr>
        <w:t>w</w:t>
      </w:r>
      <w:r w:rsidRPr="00BD1B07">
        <w:rPr>
          <w:rFonts w:asciiTheme="majorBidi" w:hAnsiTheme="majorBidi" w:cstheme="majorBidi"/>
          <w:b/>
          <w:bCs/>
          <w:sz w:val="22"/>
          <w:szCs w:val="22"/>
        </w:rPr>
        <w:t xml:space="preserve">ildlife </w:t>
      </w:r>
      <w:r w:rsidR="00C665C2" w:rsidRPr="00BD1B07">
        <w:rPr>
          <w:rFonts w:asciiTheme="majorBidi" w:hAnsiTheme="majorBidi" w:cstheme="majorBidi"/>
          <w:b/>
          <w:bCs/>
          <w:sz w:val="22"/>
          <w:szCs w:val="22"/>
        </w:rPr>
        <w:t>t</w:t>
      </w:r>
      <w:r w:rsidRPr="00BD1B07">
        <w:rPr>
          <w:rFonts w:asciiTheme="majorBidi" w:hAnsiTheme="majorBidi" w:cstheme="majorBidi"/>
          <w:b/>
          <w:bCs/>
          <w:sz w:val="22"/>
          <w:szCs w:val="22"/>
        </w:rPr>
        <w:t xml:space="preserve">rade </w:t>
      </w:r>
      <w:r w:rsidR="00C665C2" w:rsidRPr="00BD1B07">
        <w:rPr>
          <w:rFonts w:asciiTheme="majorBidi" w:hAnsiTheme="majorBidi" w:cstheme="majorBidi"/>
          <w:b/>
          <w:bCs/>
          <w:sz w:val="22"/>
          <w:szCs w:val="22"/>
        </w:rPr>
        <w:t>o</w:t>
      </w:r>
      <w:r w:rsidRPr="00BD1B07">
        <w:rPr>
          <w:rFonts w:asciiTheme="majorBidi" w:hAnsiTheme="majorBidi" w:cstheme="majorBidi"/>
          <w:b/>
          <w:bCs/>
          <w:sz w:val="22"/>
          <w:szCs w:val="22"/>
        </w:rPr>
        <w:t xml:space="preserve">peration, </w:t>
      </w:r>
      <w:r w:rsidR="005A3DD1">
        <w:rPr>
          <w:rFonts w:asciiTheme="majorBidi" w:hAnsiTheme="majorBidi" w:cstheme="majorBidi"/>
          <w:b/>
          <w:bCs/>
          <w:sz w:val="22"/>
          <w:szCs w:val="22"/>
        </w:rPr>
        <w:t>December</w:t>
      </w:r>
      <w:r w:rsidR="00356876" w:rsidRPr="00BD1B07">
        <w:rPr>
          <w:rFonts w:asciiTheme="majorBidi" w:hAnsiTheme="majorBidi" w:cstheme="majorBidi"/>
          <w:b/>
          <w:bCs/>
          <w:sz w:val="22"/>
          <w:szCs w:val="22"/>
        </w:rPr>
        <w:t> </w:t>
      </w:r>
      <w:r w:rsidR="003653C3" w:rsidRPr="00BD1B07">
        <w:rPr>
          <w:rFonts w:asciiTheme="majorBidi" w:hAnsiTheme="majorBidi" w:cstheme="majorBidi"/>
          <w:b/>
          <w:bCs/>
          <w:sz w:val="22"/>
          <w:szCs w:val="22"/>
        </w:rPr>
        <w:t>202</w:t>
      </w:r>
      <w:r w:rsidR="00A61234">
        <w:rPr>
          <w:rFonts w:asciiTheme="majorBidi" w:hAnsiTheme="majorBidi" w:cstheme="majorBidi"/>
          <w:b/>
          <w:bCs/>
          <w:sz w:val="22"/>
          <w:szCs w:val="22"/>
        </w:rPr>
        <w:t>4</w:t>
      </w:r>
    </w:p>
    <w:p w14:paraId="719DD416" w14:textId="77777777" w:rsidR="009C723A" w:rsidRPr="009C723A" w:rsidRDefault="009C723A" w:rsidP="009C723A">
      <w:pPr>
        <w:spacing w:after="120" w:line="276" w:lineRule="auto"/>
        <w:rPr>
          <w:b/>
          <w:sz w:val="22"/>
          <w:szCs w:val="22"/>
          <w:lang w:val="en-AU"/>
        </w:rPr>
      </w:pPr>
      <w:r w:rsidRPr="009C723A">
        <w:rPr>
          <w:b/>
          <w:bCs/>
          <w:sz w:val="22"/>
          <w:szCs w:val="22"/>
          <w:lang w:val="en-AU"/>
        </w:rPr>
        <w:t>ADDITIONAL PROVISIONS (section 303FT)</w:t>
      </w:r>
    </w:p>
    <w:p w14:paraId="0BD65D12" w14:textId="6D2A6746" w:rsidR="00DC5E24" w:rsidRPr="00DC5E24" w:rsidRDefault="009C723A" w:rsidP="005060F8">
      <w:pPr>
        <w:spacing w:after="240" w:line="276" w:lineRule="auto"/>
        <w:rPr>
          <w:b/>
          <w:sz w:val="22"/>
          <w:szCs w:val="22"/>
        </w:rPr>
      </w:pPr>
      <w:r w:rsidRPr="009C723A">
        <w:rPr>
          <w:bCs/>
          <w:sz w:val="22"/>
          <w:szCs w:val="22"/>
          <w:lang w:val="en-AU"/>
        </w:rPr>
        <w:t>Relating to the harvesting of fish specimens that are, or are derived from, fish or invertebrates, other than specimens of species listed under Part 13 and Part 13A of the </w:t>
      </w:r>
      <w:r w:rsidRPr="009C723A">
        <w:rPr>
          <w:bCs/>
          <w:i/>
          <w:iCs/>
          <w:sz w:val="22"/>
          <w:szCs w:val="22"/>
          <w:lang w:val="en-AU"/>
        </w:rPr>
        <w:t>Environment Protection and Biodiversity Conservation Act 1999</w:t>
      </w:r>
      <w:r w:rsidRPr="009C723A">
        <w:rPr>
          <w:bCs/>
          <w:sz w:val="22"/>
          <w:szCs w:val="22"/>
          <w:lang w:val="en-AU"/>
        </w:rPr>
        <w:t> (EPBC Act), taken in the Queensland East Coast Otter Trawl Fishery:</w:t>
      </w:r>
    </w:p>
    <w:p w14:paraId="6EC8077C" w14:textId="77777777" w:rsidR="0060069C" w:rsidRPr="0060069C" w:rsidRDefault="0060069C" w:rsidP="0060069C">
      <w:pPr>
        <w:spacing w:before="140" w:line="276" w:lineRule="auto"/>
        <w:rPr>
          <w:b/>
          <w:bCs/>
          <w:sz w:val="22"/>
          <w:szCs w:val="22"/>
        </w:rPr>
      </w:pPr>
      <w:r w:rsidRPr="0060069C">
        <w:rPr>
          <w:b/>
          <w:bCs/>
          <w:sz w:val="22"/>
          <w:szCs w:val="22"/>
        </w:rPr>
        <w:t>Condition 1</w:t>
      </w:r>
    </w:p>
    <w:p w14:paraId="0AD40A00" w14:textId="77777777" w:rsidR="0060069C" w:rsidRPr="0060069C" w:rsidRDefault="0060069C" w:rsidP="0060069C">
      <w:pPr>
        <w:pStyle w:val="Default"/>
        <w:spacing w:before="120" w:after="120" w:line="276" w:lineRule="auto"/>
        <w:rPr>
          <w:rFonts w:eastAsia="Times New Roman"/>
          <w:bCs/>
          <w:color w:val="auto"/>
          <w:sz w:val="22"/>
          <w:szCs w:val="22"/>
        </w:rPr>
      </w:pPr>
      <w:r w:rsidRPr="0060069C">
        <w:rPr>
          <w:color w:val="auto"/>
          <w:sz w:val="22"/>
          <w:szCs w:val="22"/>
        </w:rPr>
        <w:t>The Queensland Department of Primary Industries must ensure that operation of the Queensland East Coast Otter Trawl Fishery is carried out in accordance with management regime specified in Queensland Department of Primary Industries, and Great Barrier Reef Marine Park Authority issued permits, as well as in the following:</w:t>
      </w:r>
    </w:p>
    <w:p w14:paraId="03904F7C" w14:textId="77777777" w:rsidR="0060069C" w:rsidRPr="0060069C" w:rsidRDefault="0060069C" w:rsidP="0060069C">
      <w:pPr>
        <w:pStyle w:val="Default"/>
        <w:numPr>
          <w:ilvl w:val="0"/>
          <w:numId w:val="4"/>
        </w:numPr>
        <w:spacing w:before="120" w:after="120" w:line="276" w:lineRule="auto"/>
        <w:ind w:left="714" w:hanging="357"/>
        <w:rPr>
          <w:rFonts w:eastAsia="Times New Roman"/>
          <w:bCs/>
          <w:color w:val="auto"/>
          <w:sz w:val="22"/>
          <w:szCs w:val="22"/>
        </w:rPr>
      </w:pPr>
      <w:r w:rsidRPr="0060069C">
        <w:rPr>
          <w:rFonts w:eastAsia="Times New Roman"/>
          <w:bCs/>
          <w:i/>
          <w:iCs/>
          <w:color w:val="auto"/>
          <w:sz w:val="22"/>
          <w:szCs w:val="22"/>
        </w:rPr>
        <w:t>Fisheries Act 1994</w:t>
      </w:r>
      <w:r w:rsidRPr="0060069C">
        <w:rPr>
          <w:rFonts w:eastAsia="Times New Roman"/>
          <w:bCs/>
          <w:color w:val="auto"/>
          <w:sz w:val="22"/>
          <w:szCs w:val="22"/>
        </w:rPr>
        <w:t xml:space="preserve"> (Qld) </w:t>
      </w:r>
    </w:p>
    <w:p w14:paraId="52460556" w14:textId="77777777" w:rsidR="0060069C" w:rsidRPr="0060069C" w:rsidRDefault="0060069C" w:rsidP="0060069C">
      <w:pPr>
        <w:pStyle w:val="Default"/>
        <w:numPr>
          <w:ilvl w:val="0"/>
          <w:numId w:val="4"/>
        </w:numPr>
        <w:spacing w:before="120" w:after="120" w:line="276" w:lineRule="auto"/>
        <w:ind w:left="714" w:hanging="357"/>
        <w:rPr>
          <w:rFonts w:eastAsia="Times New Roman"/>
          <w:bCs/>
          <w:color w:val="auto"/>
          <w:sz w:val="22"/>
          <w:szCs w:val="22"/>
        </w:rPr>
      </w:pPr>
      <w:r w:rsidRPr="0060069C">
        <w:rPr>
          <w:rFonts w:eastAsia="Times New Roman"/>
          <w:bCs/>
          <w:i/>
          <w:iCs/>
          <w:color w:val="auto"/>
          <w:sz w:val="22"/>
          <w:szCs w:val="22"/>
        </w:rPr>
        <w:t>Marine Parks Act 2004</w:t>
      </w:r>
      <w:r w:rsidRPr="0060069C">
        <w:rPr>
          <w:rFonts w:eastAsia="Times New Roman"/>
          <w:bCs/>
          <w:color w:val="auto"/>
          <w:sz w:val="22"/>
          <w:szCs w:val="22"/>
        </w:rPr>
        <w:t xml:space="preserve"> (Qld) </w:t>
      </w:r>
    </w:p>
    <w:p w14:paraId="6347A468" w14:textId="77777777" w:rsidR="0060069C" w:rsidRDefault="0060069C" w:rsidP="0060069C">
      <w:pPr>
        <w:pStyle w:val="Default"/>
        <w:numPr>
          <w:ilvl w:val="0"/>
          <w:numId w:val="4"/>
        </w:numPr>
        <w:spacing w:before="120" w:after="120" w:line="276" w:lineRule="auto"/>
        <w:ind w:left="714" w:hanging="357"/>
        <w:rPr>
          <w:rFonts w:eastAsia="Times New Roman"/>
          <w:bCs/>
          <w:color w:val="auto"/>
          <w:sz w:val="22"/>
          <w:szCs w:val="22"/>
        </w:rPr>
      </w:pPr>
      <w:r w:rsidRPr="0060069C">
        <w:rPr>
          <w:rFonts w:eastAsia="Times New Roman"/>
          <w:bCs/>
          <w:i/>
          <w:iCs/>
          <w:color w:val="auto"/>
          <w:sz w:val="22"/>
          <w:szCs w:val="22"/>
        </w:rPr>
        <w:t>Great Barrier Reef Marine Park Act 1975</w:t>
      </w:r>
      <w:r w:rsidRPr="0060069C">
        <w:rPr>
          <w:rFonts w:eastAsia="Times New Roman"/>
          <w:bCs/>
          <w:color w:val="auto"/>
          <w:sz w:val="22"/>
          <w:szCs w:val="22"/>
        </w:rPr>
        <w:t xml:space="preserve"> (Cth)</w:t>
      </w:r>
    </w:p>
    <w:p w14:paraId="7F68D10A" w14:textId="77777777" w:rsidR="000B7D71" w:rsidRDefault="000B7D71" w:rsidP="000B7D71">
      <w:pPr>
        <w:pStyle w:val="Default"/>
        <w:numPr>
          <w:ilvl w:val="0"/>
          <w:numId w:val="4"/>
        </w:numPr>
        <w:spacing w:line="276" w:lineRule="auto"/>
        <w:ind w:left="714" w:hanging="357"/>
        <w:rPr>
          <w:rFonts w:eastAsia="Times New Roman"/>
          <w:bCs/>
          <w:color w:val="auto"/>
          <w:sz w:val="22"/>
          <w:szCs w:val="22"/>
        </w:rPr>
      </w:pPr>
      <w:r w:rsidRPr="00D73446">
        <w:rPr>
          <w:rFonts w:eastAsia="Times New Roman"/>
          <w:bCs/>
          <w:i/>
          <w:iCs/>
          <w:color w:val="auto"/>
          <w:sz w:val="22"/>
          <w:szCs w:val="22"/>
        </w:rPr>
        <w:t>Environment Protection and Biodiversity Conservation Act 1999</w:t>
      </w:r>
      <w:r>
        <w:rPr>
          <w:rFonts w:eastAsia="Times New Roman"/>
          <w:bCs/>
          <w:color w:val="auto"/>
          <w:sz w:val="22"/>
          <w:szCs w:val="22"/>
        </w:rPr>
        <w:t xml:space="preserve"> (Cth)</w:t>
      </w:r>
    </w:p>
    <w:p w14:paraId="4E7B26C3" w14:textId="77777777" w:rsidR="0060069C" w:rsidRPr="0060069C" w:rsidRDefault="0060069C" w:rsidP="0060069C">
      <w:pPr>
        <w:pStyle w:val="Default"/>
        <w:numPr>
          <w:ilvl w:val="0"/>
          <w:numId w:val="4"/>
        </w:numPr>
        <w:spacing w:before="120" w:after="120" w:line="276" w:lineRule="auto"/>
        <w:ind w:left="714" w:hanging="357"/>
        <w:rPr>
          <w:rFonts w:eastAsia="Times New Roman"/>
          <w:bCs/>
          <w:color w:val="auto"/>
          <w:sz w:val="22"/>
          <w:szCs w:val="22"/>
        </w:rPr>
      </w:pPr>
      <w:r w:rsidRPr="0060069C">
        <w:rPr>
          <w:rFonts w:eastAsia="Times New Roman"/>
          <w:bCs/>
          <w:color w:val="auto"/>
          <w:sz w:val="22"/>
          <w:szCs w:val="22"/>
        </w:rPr>
        <w:t xml:space="preserve">Fisheries (General) Regulation 2019 (Qld) </w:t>
      </w:r>
    </w:p>
    <w:p w14:paraId="658ADFC7" w14:textId="77777777" w:rsidR="0060069C" w:rsidRPr="0060069C" w:rsidRDefault="0060069C" w:rsidP="0060069C">
      <w:pPr>
        <w:pStyle w:val="Default"/>
        <w:numPr>
          <w:ilvl w:val="0"/>
          <w:numId w:val="4"/>
        </w:numPr>
        <w:spacing w:before="120" w:after="120" w:line="276" w:lineRule="auto"/>
        <w:ind w:left="714" w:hanging="357"/>
        <w:rPr>
          <w:rFonts w:eastAsia="Times New Roman"/>
          <w:bCs/>
          <w:color w:val="auto"/>
          <w:sz w:val="22"/>
          <w:szCs w:val="22"/>
        </w:rPr>
      </w:pPr>
      <w:r w:rsidRPr="0060069C">
        <w:rPr>
          <w:rFonts w:eastAsia="Times New Roman"/>
          <w:bCs/>
          <w:color w:val="auto"/>
          <w:sz w:val="22"/>
          <w:szCs w:val="22"/>
        </w:rPr>
        <w:t xml:space="preserve">Fisheries (Commercial Fisheries) Regulation 2019 (Qld) </w:t>
      </w:r>
    </w:p>
    <w:p w14:paraId="1BB7C670" w14:textId="77777777" w:rsidR="0060069C" w:rsidRPr="0060069C" w:rsidRDefault="0060069C" w:rsidP="0060069C">
      <w:pPr>
        <w:pStyle w:val="Default"/>
        <w:numPr>
          <w:ilvl w:val="0"/>
          <w:numId w:val="4"/>
        </w:numPr>
        <w:spacing w:before="120" w:after="120" w:line="276" w:lineRule="auto"/>
        <w:ind w:left="714" w:hanging="357"/>
        <w:rPr>
          <w:rFonts w:eastAsia="Times New Roman"/>
          <w:bCs/>
          <w:color w:val="auto"/>
          <w:sz w:val="22"/>
          <w:szCs w:val="22"/>
        </w:rPr>
      </w:pPr>
      <w:r w:rsidRPr="0060069C">
        <w:rPr>
          <w:rFonts w:eastAsia="Times New Roman"/>
          <w:bCs/>
          <w:color w:val="auto"/>
          <w:sz w:val="22"/>
          <w:szCs w:val="22"/>
        </w:rPr>
        <w:t xml:space="preserve">Fisheries Declaration 2019 (Qld) </w:t>
      </w:r>
    </w:p>
    <w:p w14:paraId="744474CD" w14:textId="77777777" w:rsidR="0060069C" w:rsidRPr="0060069C" w:rsidRDefault="0060069C" w:rsidP="0060069C">
      <w:pPr>
        <w:pStyle w:val="Default"/>
        <w:numPr>
          <w:ilvl w:val="0"/>
          <w:numId w:val="4"/>
        </w:numPr>
        <w:spacing w:before="120" w:after="120" w:line="276" w:lineRule="auto"/>
        <w:ind w:left="714" w:hanging="357"/>
        <w:rPr>
          <w:rFonts w:eastAsia="Times New Roman"/>
          <w:bCs/>
          <w:color w:val="auto"/>
          <w:sz w:val="22"/>
          <w:szCs w:val="22"/>
        </w:rPr>
      </w:pPr>
      <w:r w:rsidRPr="0060069C">
        <w:rPr>
          <w:rFonts w:eastAsia="Times New Roman"/>
          <w:bCs/>
          <w:color w:val="auto"/>
          <w:sz w:val="22"/>
          <w:szCs w:val="22"/>
        </w:rPr>
        <w:t xml:space="preserve">Fisheries Quota Declaration 2019 (Qld) </w:t>
      </w:r>
    </w:p>
    <w:p w14:paraId="0141CC92" w14:textId="77777777" w:rsidR="0060069C" w:rsidRPr="0060069C" w:rsidRDefault="0060069C" w:rsidP="0060069C">
      <w:pPr>
        <w:pStyle w:val="Default"/>
        <w:numPr>
          <w:ilvl w:val="0"/>
          <w:numId w:val="4"/>
        </w:numPr>
        <w:spacing w:before="120" w:after="120" w:line="276" w:lineRule="auto"/>
        <w:ind w:left="714" w:hanging="357"/>
        <w:rPr>
          <w:rFonts w:eastAsia="Times New Roman"/>
          <w:bCs/>
          <w:color w:val="auto"/>
          <w:sz w:val="22"/>
          <w:szCs w:val="22"/>
        </w:rPr>
      </w:pPr>
      <w:r w:rsidRPr="0060069C">
        <w:rPr>
          <w:rFonts w:eastAsia="Times New Roman"/>
          <w:bCs/>
          <w:color w:val="auto"/>
          <w:sz w:val="22"/>
          <w:szCs w:val="22"/>
        </w:rPr>
        <w:t>Fisheries (Saucer Scallops) Amendment Declaration 2021 (Qld)</w:t>
      </w:r>
    </w:p>
    <w:p w14:paraId="5451A653" w14:textId="77777777" w:rsidR="0060069C" w:rsidRPr="0060069C" w:rsidRDefault="0060069C" w:rsidP="0060069C">
      <w:pPr>
        <w:pStyle w:val="Default"/>
        <w:numPr>
          <w:ilvl w:val="0"/>
          <w:numId w:val="4"/>
        </w:numPr>
        <w:spacing w:before="120" w:after="120" w:line="276" w:lineRule="auto"/>
        <w:ind w:left="714" w:hanging="357"/>
        <w:rPr>
          <w:rFonts w:eastAsia="Times New Roman"/>
          <w:bCs/>
          <w:color w:val="auto"/>
          <w:sz w:val="22"/>
          <w:szCs w:val="22"/>
        </w:rPr>
      </w:pPr>
      <w:r w:rsidRPr="0060069C">
        <w:rPr>
          <w:rFonts w:eastAsia="Times New Roman"/>
          <w:bCs/>
          <w:color w:val="auto"/>
          <w:sz w:val="22"/>
          <w:szCs w:val="22"/>
        </w:rPr>
        <w:t xml:space="preserve">Marine Parks Regulations 2019 (Qld) </w:t>
      </w:r>
    </w:p>
    <w:p w14:paraId="5ADA3505" w14:textId="77777777" w:rsidR="000B7D71" w:rsidRDefault="0060069C" w:rsidP="000B7D71">
      <w:pPr>
        <w:pStyle w:val="Default"/>
        <w:numPr>
          <w:ilvl w:val="0"/>
          <w:numId w:val="4"/>
        </w:numPr>
        <w:spacing w:before="120" w:after="120" w:line="276" w:lineRule="auto"/>
        <w:ind w:left="714" w:hanging="357"/>
        <w:rPr>
          <w:rFonts w:eastAsia="Times New Roman"/>
          <w:bCs/>
          <w:color w:val="auto"/>
          <w:sz w:val="22"/>
          <w:szCs w:val="22"/>
        </w:rPr>
      </w:pPr>
      <w:r w:rsidRPr="0060069C">
        <w:rPr>
          <w:rFonts w:eastAsia="Times New Roman"/>
          <w:bCs/>
          <w:color w:val="auto"/>
          <w:sz w:val="22"/>
          <w:szCs w:val="22"/>
        </w:rPr>
        <w:t>Great Barrier Reef Marine Park Regulations 2019 (Cth)</w:t>
      </w:r>
    </w:p>
    <w:p w14:paraId="18883894" w14:textId="0AA9BE6C" w:rsidR="00B41C9D" w:rsidRPr="00B41C9D" w:rsidRDefault="00B41C9D" w:rsidP="00B41C9D">
      <w:pPr>
        <w:pStyle w:val="ListParagraph"/>
        <w:numPr>
          <w:ilvl w:val="0"/>
          <w:numId w:val="4"/>
        </w:numPr>
        <w:rPr>
          <w:rFonts w:eastAsia="Times New Roman"/>
          <w:bCs/>
          <w:snapToGrid/>
        </w:rPr>
      </w:pPr>
      <w:r w:rsidRPr="00B41C9D">
        <w:rPr>
          <w:rFonts w:eastAsia="Times New Roman"/>
          <w:bCs/>
          <w:snapToGrid/>
        </w:rPr>
        <w:t>Coral Sea Marine Park Management Plan 2018</w:t>
      </w:r>
      <w:r>
        <w:rPr>
          <w:rFonts w:eastAsia="Times New Roman"/>
          <w:bCs/>
          <w:snapToGrid/>
        </w:rPr>
        <w:t xml:space="preserve"> (Cth)</w:t>
      </w:r>
    </w:p>
    <w:p w14:paraId="5B669B37" w14:textId="7DEA635D" w:rsidR="0060069C" w:rsidRPr="000B7D71" w:rsidRDefault="000B7D71" w:rsidP="000B7D71">
      <w:pPr>
        <w:pStyle w:val="Default"/>
        <w:numPr>
          <w:ilvl w:val="0"/>
          <w:numId w:val="4"/>
        </w:numPr>
        <w:spacing w:before="120" w:after="120" w:line="276" w:lineRule="auto"/>
        <w:ind w:left="714" w:hanging="357"/>
        <w:rPr>
          <w:rFonts w:eastAsia="Times New Roman"/>
          <w:bCs/>
          <w:color w:val="auto"/>
          <w:sz w:val="22"/>
          <w:szCs w:val="22"/>
        </w:rPr>
      </w:pPr>
      <w:r>
        <w:rPr>
          <w:rFonts w:eastAsia="Times New Roman"/>
          <w:bCs/>
          <w:color w:val="auto"/>
          <w:sz w:val="22"/>
          <w:szCs w:val="22"/>
        </w:rPr>
        <w:t>Environment Protection and Biodiversity Conservation Regulations 2000 (Cth).</w:t>
      </w:r>
    </w:p>
    <w:p w14:paraId="0A5D62DA" w14:textId="77777777" w:rsidR="0060069C" w:rsidRPr="0060069C" w:rsidRDefault="0060069C" w:rsidP="0060069C">
      <w:pPr>
        <w:spacing w:before="140" w:line="276" w:lineRule="auto"/>
        <w:rPr>
          <w:b/>
          <w:bCs/>
          <w:sz w:val="22"/>
          <w:szCs w:val="22"/>
        </w:rPr>
      </w:pPr>
      <w:r w:rsidRPr="0060069C">
        <w:rPr>
          <w:b/>
          <w:bCs/>
          <w:sz w:val="22"/>
          <w:szCs w:val="22"/>
        </w:rPr>
        <w:t>Condition 2</w:t>
      </w:r>
    </w:p>
    <w:p w14:paraId="3BA5FED1" w14:textId="77777777" w:rsidR="0060069C" w:rsidRPr="0060069C" w:rsidRDefault="0060069C" w:rsidP="0060069C">
      <w:pPr>
        <w:spacing w:after="120" w:line="276" w:lineRule="auto"/>
        <w:rPr>
          <w:sz w:val="22"/>
          <w:szCs w:val="22"/>
        </w:rPr>
      </w:pPr>
      <w:r w:rsidRPr="0060069C">
        <w:rPr>
          <w:sz w:val="22"/>
          <w:szCs w:val="22"/>
        </w:rPr>
        <w:t xml:space="preserve">The Queensland Department of Primary Industries must inform the Department of Climate Change, Energy, the Environment and Water of any intended material changes to the Queensland East Coast Otter Trawl Fishery management arrangements that may affect the assessment against which </w:t>
      </w:r>
      <w:r w:rsidRPr="0060069C">
        <w:rPr>
          <w:i/>
          <w:iCs/>
          <w:sz w:val="22"/>
          <w:szCs w:val="22"/>
        </w:rPr>
        <w:t>Environment Protection and Biodiversity Conservation Act 1999</w:t>
      </w:r>
      <w:r w:rsidRPr="0060069C">
        <w:rPr>
          <w:sz w:val="22"/>
          <w:szCs w:val="22"/>
        </w:rPr>
        <w:t xml:space="preserve"> decisions are made.</w:t>
      </w:r>
    </w:p>
    <w:p w14:paraId="6A2D658D" w14:textId="77777777" w:rsidR="0060069C" w:rsidRPr="0060069C" w:rsidRDefault="0060069C" w:rsidP="0060069C">
      <w:pPr>
        <w:spacing w:before="140" w:line="276" w:lineRule="auto"/>
        <w:rPr>
          <w:b/>
          <w:bCs/>
          <w:sz w:val="22"/>
          <w:szCs w:val="22"/>
        </w:rPr>
      </w:pPr>
      <w:r w:rsidRPr="0060069C">
        <w:rPr>
          <w:b/>
          <w:bCs/>
          <w:sz w:val="22"/>
          <w:szCs w:val="22"/>
        </w:rPr>
        <w:t>Condition 3</w:t>
      </w:r>
    </w:p>
    <w:p w14:paraId="6A9DB2F4" w14:textId="77777777" w:rsidR="0060069C" w:rsidRPr="0060069C" w:rsidRDefault="0060069C" w:rsidP="0060069C">
      <w:pPr>
        <w:spacing w:after="120" w:line="276" w:lineRule="auto"/>
        <w:rPr>
          <w:sz w:val="22"/>
          <w:szCs w:val="22"/>
        </w:rPr>
      </w:pPr>
      <w:r w:rsidRPr="0060069C">
        <w:rPr>
          <w:sz w:val="22"/>
          <w:szCs w:val="22"/>
        </w:rPr>
        <w:t>The Queensland Department of Primary Industries must inform the Department of Climate Change, Energy, the Environment and Water of any intended changes to fisheries legislation that may affect the legislative instruments relevant to this approval.</w:t>
      </w:r>
    </w:p>
    <w:p w14:paraId="3EE72796" w14:textId="77777777" w:rsidR="0060069C" w:rsidRPr="0060069C" w:rsidRDefault="0060069C" w:rsidP="0060069C">
      <w:pPr>
        <w:spacing w:before="140" w:line="276" w:lineRule="auto"/>
        <w:rPr>
          <w:b/>
          <w:sz w:val="22"/>
          <w:szCs w:val="22"/>
        </w:rPr>
      </w:pPr>
      <w:r w:rsidRPr="0060069C">
        <w:rPr>
          <w:b/>
          <w:bCs/>
          <w:sz w:val="22"/>
          <w:szCs w:val="22"/>
        </w:rPr>
        <w:t>Condition 4</w:t>
      </w:r>
    </w:p>
    <w:p w14:paraId="44E68361" w14:textId="77777777" w:rsidR="0060069C" w:rsidRPr="0060069C" w:rsidRDefault="0060069C" w:rsidP="0060069C">
      <w:pPr>
        <w:spacing w:after="120" w:line="276" w:lineRule="auto"/>
        <w:rPr>
          <w:sz w:val="22"/>
          <w:szCs w:val="22"/>
        </w:rPr>
      </w:pPr>
      <w:r w:rsidRPr="0060069C">
        <w:rPr>
          <w:sz w:val="22"/>
          <w:szCs w:val="22"/>
        </w:rPr>
        <w:t xml:space="preserve">The Queensland Department of Primary Industries must produce and present reports on the Queensland East Coast Otter Trawl Fishery to the Department of Climate Change, Energy, the </w:t>
      </w:r>
      <w:r w:rsidRPr="0060069C">
        <w:rPr>
          <w:sz w:val="22"/>
          <w:szCs w:val="22"/>
        </w:rPr>
        <w:lastRenderedPageBreak/>
        <w:t>Environment and Water by 30 September each year, commencing September 2025, as per Appendix B of the Guidelines for the Ecologically Sustainable Management of Fisheries – 2nd Edition.</w:t>
      </w:r>
    </w:p>
    <w:p w14:paraId="5A4AEA91" w14:textId="77777777" w:rsidR="0060069C" w:rsidRPr="0060069C" w:rsidRDefault="0060069C" w:rsidP="0060069C">
      <w:pPr>
        <w:spacing w:before="140" w:line="276" w:lineRule="auto"/>
        <w:rPr>
          <w:b/>
          <w:bCs/>
          <w:sz w:val="22"/>
          <w:szCs w:val="22"/>
        </w:rPr>
      </w:pPr>
      <w:r w:rsidRPr="0060069C">
        <w:rPr>
          <w:b/>
          <w:bCs/>
          <w:sz w:val="22"/>
          <w:szCs w:val="22"/>
        </w:rPr>
        <w:t>Condition 5</w:t>
      </w:r>
    </w:p>
    <w:p w14:paraId="07159DB6" w14:textId="77777777" w:rsidR="0060069C" w:rsidRPr="0060069C" w:rsidRDefault="0060069C" w:rsidP="0060069C">
      <w:pPr>
        <w:spacing w:after="120" w:line="276" w:lineRule="auto"/>
        <w:rPr>
          <w:sz w:val="22"/>
          <w:szCs w:val="22"/>
        </w:rPr>
      </w:pPr>
      <w:r w:rsidRPr="0060069C">
        <w:rPr>
          <w:sz w:val="22"/>
          <w:szCs w:val="22"/>
        </w:rPr>
        <w:t>By 1 December 2025, the Queensland Department of Primary Industries must:</w:t>
      </w:r>
    </w:p>
    <w:p w14:paraId="63500B35" w14:textId="77777777" w:rsidR="0060069C" w:rsidRPr="0060069C" w:rsidRDefault="0060069C" w:rsidP="0060069C">
      <w:pPr>
        <w:pStyle w:val="ListParagraph"/>
        <w:numPr>
          <w:ilvl w:val="0"/>
          <w:numId w:val="6"/>
        </w:numPr>
        <w:tabs>
          <w:tab w:val="clear" w:pos="1096"/>
        </w:tabs>
        <w:spacing w:before="120" w:after="120" w:line="276" w:lineRule="auto"/>
      </w:pPr>
      <w:r w:rsidRPr="0060069C">
        <w:t>review the strategies in place for recovery of the identified depleted stock of saucer scallops (</w:t>
      </w:r>
      <w:proofErr w:type="spellStart"/>
      <w:r w:rsidRPr="0060069C">
        <w:rPr>
          <w:i/>
          <w:iCs/>
        </w:rPr>
        <w:t>Ylistrum</w:t>
      </w:r>
      <w:proofErr w:type="spellEnd"/>
      <w:r w:rsidRPr="0060069C">
        <w:rPr>
          <w:i/>
          <w:iCs/>
        </w:rPr>
        <w:t xml:space="preserve"> </w:t>
      </w:r>
      <w:proofErr w:type="spellStart"/>
      <w:r w:rsidRPr="0060069C">
        <w:rPr>
          <w:i/>
          <w:iCs/>
        </w:rPr>
        <w:t>balloti</w:t>
      </w:r>
      <w:proofErr w:type="spellEnd"/>
      <w:r w:rsidRPr="0060069C">
        <w:t>) that occurs south of latitude 22 degrees south; and</w:t>
      </w:r>
    </w:p>
    <w:p w14:paraId="10CAE405" w14:textId="77777777" w:rsidR="0060069C" w:rsidRPr="0060069C" w:rsidRDefault="0060069C" w:rsidP="0060069C">
      <w:pPr>
        <w:numPr>
          <w:ilvl w:val="0"/>
          <w:numId w:val="6"/>
        </w:numPr>
        <w:spacing w:before="120" w:after="120" w:line="276" w:lineRule="auto"/>
        <w:rPr>
          <w:sz w:val="22"/>
          <w:szCs w:val="22"/>
        </w:rPr>
      </w:pPr>
      <w:r w:rsidRPr="0060069C">
        <w:rPr>
          <w:sz w:val="22"/>
          <w:szCs w:val="22"/>
        </w:rPr>
        <w:t>publish and implement a formal rebuilding strategy for this identified depleted stock in accordance with the Queensland harvest strategy policy and ensure there are mechanisms to monitor and manage the ongoing performance of the strategy to facilitate recovery of the depleted stock.</w:t>
      </w:r>
    </w:p>
    <w:p w14:paraId="529A5FA5" w14:textId="77777777" w:rsidR="0060069C" w:rsidRPr="0060069C" w:rsidRDefault="0060069C" w:rsidP="0060069C">
      <w:pPr>
        <w:spacing w:line="276" w:lineRule="auto"/>
        <w:rPr>
          <w:b/>
          <w:bCs/>
          <w:sz w:val="22"/>
          <w:szCs w:val="22"/>
        </w:rPr>
      </w:pPr>
      <w:r w:rsidRPr="0060069C">
        <w:rPr>
          <w:b/>
          <w:bCs/>
          <w:sz w:val="22"/>
          <w:szCs w:val="22"/>
        </w:rPr>
        <w:t>Condition 6</w:t>
      </w:r>
    </w:p>
    <w:p w14:paraId="07540FE4" w14:textId="77777777" w:rsidR="0060069C" w:rsidRPr="0060069C" w:rsidRDefault="0060069C" w:rsidP="0060069C">
      <w:pPr>
        <w:spacing w:after="120" w:line="276" w:lineRule="auto"/>
        <w:rPr>
          <w:b/>
          <w:bCs/>
          <w:sz w:val="22"/>
          <w:szCs w:val="22"/>
        </w:rPr>
      </w:pPr>
      <w:r w:rsidRPr="0060069C">
        <w:rPr>
          <w:sz w:val="22"/>
          <w:szCs w:val="22"/>
        </w:rPr>
        <w:t>The Queensland Department of Primary Industries must not allow the harvest of saucer scallops (</w:t>
      </w:r>
      <w:proofErr w:type="spellStart"/>
      <w:r w:rsidRPr="0060069C">
        <w:rPr>
          <w:i/>
          <w:iCs/>
          <w:sz w:val="22"/>
          <w:szCs w:val="22"/>
        </w:rPr>
        <w:t>Ylistrum</w:t>
      </w:r>
      <w:proofErr w:type="spellEnd"/>
      <w:r w:rsidRPr="0060069C">
        <w:rPr>
          <w:i/>
          <w:iCs/>
          <w:sz w:val="22"/>
          <w:szCs w:val="22"/>
        </w:rPr>
        <w:t xml:space="preserve"> </w:t>
      </w:r>
      <w:proofErr w:type="spellStart"/>
      <w:r w:rsidRPr="0060069C">
        <w:rPr>
          <w:i/>
          <w:iCs/>
          <w:sz w:val="22"/>
          <w:szCs w:val="22"/>
        </w:rPr>
        <w:t>balloti</w:t>
      </w:r>
      <w:proofErr w:type="spellEnd"/>
      <w:r w:rsidRPr="0060069C">
        <w:rPr>
          <w:sz w:val="22"/>
          <w:szCs w:val="22"/>
        </w:rPr>
        <w:t>) from any area of the East Coast Otter Trawl Fishery other than the Southern Offshore Trawl Management Region unless evidence is provided to demonstrate the stock(s) can support a level of take that will not contribute to overfishing and depletion of the saucer scallop stock(s).</w:t>
      </w:r>
    </w:p>
    <w:p w14:paraId="3EF2543A" w14:textId="77777777" w:rsidR="0060069C" w:rsidRPr="0060069C" w:rsidRDefault="0060069C" w:rsidP="0060069C">
      <w:pPr>
        <w:spacing w:before="140" w:line="276" w:lineRule="auto"/>
        <w:rPr>
          <w:b/>
          <w:bCs/>
          <w:sz w:val="22"/>
          <w:szCs w:val="22"/>
        </w:rPr>
      </w:pPr>
      <w:r w:rsidRPr="0060069C">
        <w:rPr>
          <w:b/>
          <w:bCs/>
          <w:sz w:val="22"/>
          <w:szCs w:val="22"/>
        </w:rPr>
        <w:t>Condition 7</w:t>
      </w:r>
    </w:p>
    <w:p w14:paraId="719609F6" w14:textId="77777777" w:rsidR="0060069C" w:rsidRPr="0060069C" w:rsidRDefault="0060069C" w:rsidP="0060069C">
      <w:pPr>
        <w:spacing w:after="120" w:line="276" w:lineRule="auto"/>
        <w:rPr>
          <w:sz w:val="22"/>
          <w:szCs w:val="22"/>
        </w:rPr>
      </w:pPr>
      <w:r w:rsidRPr="0060069C">
        <w:rPr>
          <w:sz w:val="22"/>
          <w:szCs w:val="22"/>
        </w:rPr>
        <w:t>The Queensland Department of Primary Industries must:</w:t>
      </w:r>
    </w:p>
    <w:p w14:paraId="24091ADB" w14:textId="565A39BF" w:rsidR="0060069C" w:rsidRPr="0060069C" w:rsidRDefault="0060069C" w:rsidP="0060069C">
      <w:pPr>
        <w:numPr>
          <w:ilvl w:val="0"/>
          <w:numId w:val="10"/>
        </w:numPr>
        <w:spacing w:before="120" w:after="120" w:line="276" w:lineRule="auto"/>
        <w:rPr>
          <w:sz w:val="22"/>
          <w:szCs w:val="22"/>
        </w:rPr>
      </w:pPr>
      <w:r w:rsidRPr="0060069C">
        <w:rPr>
          <w:sz w:val="22"/>
          <w:szCs w:val="22"/>
        </w:rPr>
        <w:t>By 30 June 2025, provide an implementation plan to the Department for the establishment of an ongoing independent monitoring and validation program across the East Coast Otter Trawl Fishery. The plan must demonstrate how the ongoing program will:</w:t>
      </w:r>
    </w:p>
    <w:p w14:paraId="0C57FA09" w14:textId="77777777" w:rsidR="0060069C" w:rsidRPr="0060069C" w:rsidRDefault="0060069C" w:rsidP="0060069C">
      <w:pPr>
        <w:numPr>
          <w:ilvl w:val="0"/>
          <w:numId w:val="11"/>
        </w:numPr>
        <w:spacing w:before="120" w:after="120" w:line="276" w:lineRule="auto"/>
        <w:rPr>
          <w:sz w:val="22"/>
          <w:szCs w:val="22"/>
        </w:rPr>
      </w:pPr>
      <w:r w:rsidRPr="0060069C">
        <w:rPr>
          <w:sz w:val="22"/>
          <w:szCs w:val="22"/>
        </w:rPr>
        <w:t>provide independent data that is reliable and representative across all regions of the fishery; and</w:t>
      </w:r>
    </w:p>
    <w:p w14:paraId="261FE0C5" w14:textId="77777777" w:rsidR="0060069C" w:rsidRPr="0060069C" w:rsidRDefault="0060069C" w:rsidP="0060069C">
      <w:pPr>
        <w:numPr>
          <w:ilvl w:val="0"/>
          <w:numId w:val="11"/>
        </w:numPr>
        <w:spacing w:before="120" w:after="120" w:line="276" w:lineRule="auto"/>
        <w:rPr>
          <w:sz w:val="22"/>
          <w:szCs w:val="22"/>
        </w:rPr>
      </w:pPr>
      <w:r w:rsidRPr="0060069C">
        <w:rPr>
          <w:sz w:val="22"/>
          <w:szCs w:val="22"/>
        </w:rPr>
        <w:t>independently monitor and validate data collected via protected species logbooks, with a particular focus on protected species interactions demonstrated within this Wildlife Trade Operation approval period.</w:t>
      </w:r>
    </w:p>
    <w:p w14:paraId="2FFEB391" w14:textId="5E6626F5" w:rsidR="0060069C" w:rsidRPr="0060069C" w:rsidRDefault="0060069C" w:rsidP="0060069C">
      <w:pPr>
        <w:numPr>
          <w:ilvl w:val="0"/>
          <w:numId w:val="10"/>
        </w:numPr>
        <w:spacing w:before="120" w:after="120" w:line="276" w:lineRule="auto"/>
        <w:rPr>
          <w:sz w:val="22"/>
          <w:szCs w:val="22"/>
        </w:rPr>
      </w:pPr>
      <w:r w:rsidRPr="0060069C">
        <w:rPr>
          <w:sz w:val="22"/>
          <w:szCs w:val="22"/>
        </w:rPr>
        <w:t>By 15 December 2025 commence implementation of the independent monitoring and validation program, this may involve the use of electronic monitoring, independent onboard observers, or other means.</w:t>
      </w:r>
    </w:p>
    <w:p w14:paraId="593B9EE3" w14:textId="77777777" w:rsidR="0060069C" w:rsidRPr="0060069C" w:rsidRDefault="0060069C" w:rsidP="0060069C">
      <w:pPr>
        <w:numPr>
          <w:ilvl w:val="0"/>
          <w:numId w:val="10"/>
        </w:numPr>
        <w:spacing w:before="120" w:after="120" w:line="276" w:lineRule="auto"/>
        <w:rPr>
          <w:sz w:val="22"/>
          <w:szCs w:val="22"/>
        </w:rPr>
      </w:pPr>
      <w:r w:rsidRPr="0060069C">
        <w:rPr>
          <w:sz w:val="22"/>
          <w:szCs w:val="22"/>
        </w:rPr>
        <w:t>As part of annual reporting under Wildlife Trade Operation Condition 4, provide a summary of the level of independent monitoring coverage across the fishery, protected species interactions and the validation of protected species logbooks with independent data.</w:t>
      </w:r>
    </w:p>
    <w:p w14:paraId="5F4B42CE" w14:textId="77777777" w:rsidR="0060069C" w:rsidRPr="0060069C" w:rsidRDefault="0060069C" w:rsidP="0060069C">
      <w:pPr>
        <w:spacing w:before="140" w:line="276" w:lineRule="auto"/>
        <w:rPr>
          <w:b/>
          <w:bCs/>
          <w:sz w:val="22"/>
          <w:szCs w:val="22"/>
        </w:rPr>
      </w:pPr>
      <w:r w:rsidRPr="0060069C">
        <w:rPr>
          <w:b/>
          <w:bCs/>
          <w:sz w:val="22"/>
          <w:szCs w:val="22"/>
        </w:rPr>
        <w:t>Condition 8</w:t>
      </w:r>
    </w:p>
    <w:p w14:paraId="654EB898" w14:textId="77777777" w:rsidR="0060069C" w:rsidRPr="0060069C" w:rsidRDefault="0060069C" w:rsidP="0060069C">
      <w:pPr>
        <w:spacing w:after="120" w:line="276" w:lineRule="auto"/>
        <w:rPr>
          <w:sz w:val="22"/>
          <w:szCs w:val="22"/>
        </w:rPr>
      </w:pPr>
      <w:r w:rsidRPr="0060069C">
        <w:rPr>
          <w:sz w:val="22"/>
          <w:szCs w:val="22"/>
        </w:rPr>
        <w:t>By 30 June 2027, the Queensland Department of Primary Industries to review the outputs of Fisheries Research and Development Corporation project 2023-009 to determine how it may guide the reduction of ecological impacts, including through the approval of additional bycatch reduction devices for the East Coast Otter Trawl Fishery.</w:t>
      </w:r>
    </w:p>
    <w:p w14:paraId="180C7E4E" w14:textId="77777777" w:rsidR="0060069C" w:rsidRPr="0060069C" w:rsidRDefault="0060069C" w:rsidP="0060069C">
      <w:pPr>
        <w:spacing w:before="140" w:line="276" w:lineRule="auto"/>
        <w:rPr>
          <w:b/>
          <w:bCs/>
          <w:sz w:val="22"/>
          <w:szCs w:val="22"/>
        </w:rPr>
      </w:pPr>
      <w:r w:rsidRPr="0060069C">
        <w:rPr>
          <w:b/>
          <w:bCs/>
          <w:sz w:val="22"/>
          <w:szCs w:val="22"/>
        </w:rPr>
        <w:t>Condition 9</w:t>
      </w:r>
    </w:p>
    <w:p w14:paraId="32563D12" w14:textId="77777777" w:rsidR="0060069C" w:rsidRPr="0060069C" w:rsidRDefault="0060069C" w:rsidP="0060069C">
      <w:pPr>
        <w:spacing w:after="120" w:line="276" w:lineRule="auto"/>
        <w:rPr>
          <w:sz w:val="22"/>
          <w:szCs w:val="22"/>
        </w:rPr>
      </w:pPr>
      <w:r w:rsidRPr="0060069C">
        <w:rPr>
          <w:sz w:val="22"/>
          <w:szCs w:val="22"/>
        </w:rPr>
        <w:t>By 30 June 2027, the Queensland Department of Primary Industries (QDPI) must provide an updated bycatch composition report for the East Coast Otter Trawl Fishery that:</w:t>
      </w:r>
    </w:p>
    <w:p w14:paraId="3171A100" w14:textId="77777777" w:rsidR="0060069C" w:rsidRPr="0060069C" w:rsidRDefault="0060069C" w:rsidP="0060069C">
      <w:pPr>
        <w:numPr>
          <w:ilvl w:val="0"/>
          <w:numId w:val="9"/>
        </w:numPr>
        <w:spacing w:before="120" w:after="120" w:line="276" w:lineRule="auto"/>
        <w:rPr>
          <w:sz w:val="22"/>
          <w:szCs w:val="22"/>
        </w:rPr>
      </w:pPr>
      <w:r w:rsidRPr="0060069C">
        <w:rPr>
          <w:sz w:val="22"/>
          <w:szCs w:val="22"/>
        </w:rPr>
        <w:t>considers available information on bycatch and provides updated information on bycatch composition and estimates of bycatch volumes; and</w:t>
      </w:r>
    </w:p>
    <w:p w14:paraId="6F3A3F16" w14:textId="77777777" w:rsidR="0060069C" w:rsidRPr="0060069C" w:rsidRDefault="0060069C" w:rsidP="0060069C">
      <w:pPr>
        <w:numPr>
          <w:ilvl w:val="0"/>
          <w:numId w:val="9"/>
        </w:numPr>
        <w:spacing w:before="120" w:after="120" w:line="276" w:lineRule="auto"/>
        <w:rPr>
          <w:sz w:val="22"/>
          <w:szCs w:val="22"/>
        </w:rPr>
      </w:pPr>
      <w:r w:rsidRPr="0060069C">
        <w:rPr>
          <w:sz w:val="22"/>
          <w:szCs w:val="22"/>
        </w:rPr>
        <w:lastRenderedPageBreak/>
        <w:t>considers options for how QDPI will work towards providing representative bycatch data across all regions of the fishery; and</w:t>
      </w:r>
    </w:p>
    <w:p w14:paraId="289310C6" w14:textId="77777777" w:rsidR="0060069C" w:rsidRPr="0060069C" w:rsidRDefault="0060069C" w:rsidP="0060069C">
      <w:pPr>
        <w:numPr>
          <w:ilvl w:val="0"/>
          <w:numId w:val="9"/>
        </w:numPr>
        <w:spacing w:before="120" w:after="120" w:line="276" w:lineRule="auto"/>
        <w:rPr>
          <w:sz w:val="22"/>
          <w:szCs w:val="22"/>
        </w:rPr>
      </w:pPr>
      <w:r w:rsidRPr="0060069C">
        <w:rPr>
          <w:sz w:val="22"/>
          <w:szCs w:val="22"/>
        </w:rPr>
        <w:t>considers options and feasibility of ongoing monitoring of bycatch.</w:t>
      </w:r>
    </w:p>
    <w:p w14:paraId="27E17565" w14:textId="77777777" w:rsidR="0060069C" w:rsidRPr="0060069C" w:rsidRDefault="0060069C" w:rsidP="0060069C">
      <w:pPr>
        <w:spacing w:before="140" w:line="276" w:lineRule="auto"/>
        <w:rPr>
          <w:b/>
          <w:bCs/>
          <w:sz w:val="22"/>
          <w:szCs w:val="22"/>
        </w:rPr>
      </w:pPr>
      <w:r w:rsidRPr="0060069C">
        <w:rPr>
          <w:b/>
          <w:bCs/>
          <w:sz w:val="22"/>
          <w:szCs w:val="22"/>
        </w:rPr>
        <w:t>Condition 10</w:t>
      </w:r>
    </w:p>
    <w:p w14:paraId="0F616F26" w14:textId="77777777" w:rsidR="0060069C" w:rsidRPr="0060069C" w:rsidRDefault="0060069C" w:rsidP="0060069C">
      <w:pPr>
        <w:spacing w:after="120" w:line="276" w:lineRule="auto"/>
        <w:rPr>
          <w:b/>
          <w:bCs/>
          <w:sz w:val="22"/>
          <w:szCs w:val="22"/>
        </w:rPr>
      </w:pPr>
      <w:r w:rsidRPr="0060069C">
        <w:rPr>
          <w:sz w:val="22"/>
          <w:szCs w:val="22"/>
        </w:rPr>
        <w:t>By 30 November 2026, the Queensland Department of Primary Industries must review the harvest strategies for the East Coast Otter Trawl Fishery.</w:t>
      </w:r>
    </w:p>
    <w:p w14:paraId="27F1B4E9" w14:textId="77777777" w:rsidR="0060069C" w:rsidRPr="0060069C" w:rsidRDefault="0060069C" w:rsidP="0060069C">
      <w:pPr>
        <w:spacing w:before="140" w:line="276" w:lineRule="auto"/>
        <w:rPr>
          <w:b/>
          <w:bCs/>
          <w:sz w:val="22"/>
          <w:szCs w:val="22"/>
        </w:rPr>
      </w:pPr>
      <w:r w:rsidRPr="0060069C">
        <w:rPr>
          <w:b/>
          <w:bCs/>
          <w:sz w:val="22"/>
          <w:szCs w:val="22"/>
        </w:rPr>
        <w:t>Condition 11</w:t>
      </w:r>
    </w:p>
    <w:p w14:paraId="2CFC684B" w14:textId="7EB619A5" w:rsidR="004F1D16" w:rsidRPr="0060069C" w:rsidRDefault="0060069C" w:rsidP="0060069C">
      <w:pPr>
        <w:spacing w:line="276" w:lineRule="auto"/>
        <w:rPr>
          <w:b/>
          <w:sz w:val="22"/>
          <w:szCs w:val="22"/>
        </w:rPr>
      </w:pPr>
      <w:r w:rsidRPr="0060069C">
        <w:rPr>
          <w:sz w:val="22"/>
          <w:szCs w:val="22"/>
        </w:rPr>
        <w:t xml:space="preserve">By 30 June 2026, the Queensland Department of Primary Industries must consider the outcomes and implications from the Fisheries Research and Development Corporation project 2020-026 (Habitat ecological risk assessment for eco-regions with high trawl footprints, in southern Queensland and northern New South Wales) for the East Coast Otter Trawl </w:t>
      </w:r>
      <w:proofErr w:type="gramStart"/>
      <w:r w:rsidRPr="0060069C">
        <w:rPr>
          <w:sz w:val="22"/>
          <w:szCs w:val="22"/>
        </w:rPr>
        <w:t>Fishery, and</w:t>
      </w:r>
      <w:proofErr w:type="gramEnd"/>
      <w:r w:rsidRPr="0060069C">
        <w:rPr>
          <w:sz w:val="22"/>
          <w:szCs w:val="22"/>
        </w:rPr>
        <w:t xml:space="preserve"> provide summary advice to the Department of Climate Change, Energy, the Environment and Water on any actions to address identified risks.</w:t>
      </w:r>
    </w:p>
    <w:sectPr w:rsidR="004F1D16" w:rsidRPr="0060069C" w:rsidSect="0084723E">
      <w:headerReference w:type="even" r:id="rId12"/>
      <w:footerReference w:type="even" r:id="rId13"/>
      <w:headerReference w:type="first" r:id="rId14"/>
      <w:footerReference w:type="first" r:id="rId15"/>
      <w:pgSz w:w="11909" w:h="16834"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E4793" w14:textId="77777777" w:rsidR="00AF78E7" w:rsidRDefault="00AF78E7" w:rsidP="001039DA">
      <w:r>
        <w:separator/>
      </w:r>
    </w:p>
  </w:endnote>
  <w:endnote w:type="continuationSeparator" w:id="0">
    <w:p w14:paraId="7BFD73FB" w14:textId="77777777" w:rsidR="00AF78E7" w:rsidRDefault="00AF78E7" w:rsidP="001039DA">
      <w:r>
        <w:continuationSeparator/>
      </w:r>
    </w:p>
  </w:endnote>
  <w:endnote w:type="continuationNotice" w:id="1">
    <w:p w14:paraId="442EC1A9" w14:textId="77777777" w:rsidR="00AF78E7" w:rsidRDefault="00AF7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3D7D1" w14:textId="5420C6CE" w:rsidR="00425680" w:rsidRDefault="00425680">
    <w:pPr>
      <w:pStyle w:val="Footer"/>
    </w:pPr>
    <w:r>
      <w:rPr>
        <w:noProof/>
      </w:rPr>
      <mc:AlternateContent>
        <mc:Choice Requires="wps">
          <w:drawing>
            <wp:anchor distT="0" distB="0" distL="0" distR="0" simplePos="0" relativeHeight="251658242" behindDoc="0" locked="0" layoutInCell="1" allowOverlap="1" wp14:anchorId="0877BE5B" wp14:editId="391669BC">
              <wp:simplePos x="635" y="635"/>
              <wp:positionH relativeFrom="page">
                <wp:align>center</wp:align>
              </wp:positionH>
              <wp:positionV relativeFrom="page">
                <wp:align>bottom</wp:align>
              </wp:positionV>
              <wp:extent cx="551815" cy="376555"/>
              <wp:effectExtent l="0" t="0" r="635" b="0"/>
              <wp:wrapNone/>
              <wp:docPr id="10975882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84A522" w14:textId="40BFB569" w:rsidR="00425680" w:rsidRPr="00425680" w:rsidRDefault="00425680" w:rsidP="00425680">
                          <w:pPr>
                            <w:rPr>
                              <w:rFonts w:ascii="Calibri" w:eastAsia="Calibri" w:hAnsi="Calibri" w:cs="Calibri"/>
                              <w:noProof/>
                              <w:color w:val="FF0000"/>
                            </w:rPr>
                          </w:pPr>
                          <w:r w:rsidRPr="00425680">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77BE5B"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0984A522" w14:textId="40BFB569" w:rsidR="00425680" w:rsidRPr="00425680" w:rsidRDefault="00425680" w:rsidP="00425680">
                    <w:pPr>
                      <w:rPr>
                        <w:rFonts w:ascii="Calibri" w:eastAsia="Calibri" w:hAnsi="Calibri" w:cs="Calibri"/>
                        <w:noProof/>
                        <w:color w:val="FF0000"/>
                      </w:rPr>
                    </w:pPr>
                    <w:r w:rsidRPr="00425680">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9D67" w14:textId="7B031349" w:rsidR="00425680" w:rsidRDefault="00425680">
    <w:pPr>
      <w:pStyle w:val="Footer"/>
    </w:pPr>
    <w:r>
      <w:rPr>
        <w:noProof/>
      </w:rPr>
      <mc:AlternateContent>
        <mc:Choice Requires="wps">
          <w:drawing>
            <wp:anchor distT="0" distB="0" distL="0" distR="0" simplePos="0" relativeHeight="251658245" behindDoc="0" locked="0" layoutInCell="1" allowOverlap="1" wp14:anchorId="4007E044" wp14:editId="7F368FA1">
              <wp:simplePos x="635" y="635"/>
              <wp:positionH relativeFrom="page">
                <wp:align>center</wp:align>
              </wp:positionH>
              <wp:positionV relativeFrom="page">
                <wp:align>bottom</wp:align>
              </wp:positionV>
              <wp:extent cx="551815" cy="376555"/>
              <wp:effectExtent l="0" t="0" r="635" b="0"/>
              <wp:wrapNone/>
              <wp:docPr id="166029172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9A1B39" w14:textId="31131401" w:rsidR="00425680" w:rsidRPr="00425680" w:rsidRDefault="00425680" w:rsidP="00425680">
                          <w:pPr>
                            <w:rPr>
                              <w:rFonts w:ascii="Calibri" w:eastAsia="Calibri" w:hAnsi="Calibri" w:cs="Calibri"/>
                              <w:noProof/>
                              <w:color w:val="FF0000"/>
                            </w:rPr>
                          </w:pPr>
                          <w:r w:rsidRPr="00425680">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07E044"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69A1B39" w14:textId="31131401" w:rsidR="00425680" w:rsidRPr="00425680" w:rsidRDefault="00425680" w:rsidP="00425680">
                    <w:pPr>
                      <w:rPr>
                        <w:rFonts w:ascii="Calibri" w:eastAsia="Calibri" w:hAnsi="Calibri" w:cs="Calibri"/>
                        <w:noProof/>
                        <w:color w:val="FF0000"/>
                      </w:rPr>
                    </w:pPr>
                    <w:r w:rsidRPr="00425680">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6AF62" w14:textId="77777777" w:rsidR="00AF78E7" w:rsidRDefault="00AF78E7" w:rsidP="001039DA">
      <w:r>
        <w:separator/>
      </w:r>
    </w:p>
  </w:footnote>
  <w:footnote w:type="continuationSeparator" w:id="0">
    <w:p w14:paraId="73489384" w14:textId="77777777" w:rsidR="00AF78E7" w:rsidRDefault="00AF78E7" w:rsidP="001039DA">
      <w:r>
        <w:continuationSeparator/>
      </w:r>
    </w:p>
  </w:footnote>
  <w:footnote w:type="continuationNotice" w:id="1">
    <w:p w14:paraId="1A6A150E" w14:textId="77777777" w:rsidR="00AF78E7" w:rsidRDefault="00AF7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3BB03" w14:textId="752FC31C" w:rsidR="00425680" w:rsidRDefault="00425680">
    <w:pPr>
      <w:pStyle w:val="Header"/>
    </w:pPr>
    <w:r>
      <w:rPr>
        <w:noProof/>
      </w:rPr>
      <mc:AlternateContent>
        <mc:Choice Requires="wps">
          <w:drawing>
            <wp:anchor distT="0" distB="0" distL="0" distR="0" simplePos="0" relativeHeight="251658240" behindDoc="0" locked="0" layoutInCell="1" allowOverlap="1" wp14:anchorId="445CEC9A" wp14:editId="2CCEF739">
              <wp:simplePos x="635" y="635"/>
              <wp:positionH relativeFrom="page">
                <wp:align>center</wp:align>
              </wp:positionH>
              <wp:positionV relativeFrom="page">
                <wp:align>top</wp:align>
              </wp:positionV>
              <wp:extent cx="551815" cy="376555"/>
              <wp:effectExtent l="0" t="0" r="635" b="4445"/>
              <wp:wrapNone/>
              <wp:docPr id="190545009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3F8682" w14:textId="4D17D895" w:rsidR="00425680" w:rsidRPr="00425680" w:rsidRDefault="00425680" w:rsidP="00425680">
                          <w:pPr>
                            <w:rPr>
                              <w:rFonts w:ascii="Calibri" w:eastAsia="Calibri" w:hAnsi="Calibri" w:cs="Calibri"/>
                              <w:noProof/>
                              <w:color w:val="FF0000"/>
                            </w:rPr>
                          </w:pPr>
                          <w:r w:rsidRPr="0042568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5CEC9A"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13F8682" w14:textId="4D17D895" w:rsidR="00425680" w:rsidRPr="00425680" w:rsidRDefault="00425680" w:rsidP="00425680">
                    <w:pPr>
                      <w:rPr>
                        <w:rFonts w:ascii="Calibri" w:eastAsia="Calibri" w:hAnsi="Calibri" w:cs="Calibri"/>
                        <w:noProof/>
                        <w:color w:val="FF0000"/>
                      </w:rPr>
                    </w:pPr>
                    <w:r w:rsidRPr="00425680">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57A17" w14:textId="17769779" w:rsidR="00425680" w:rsidRDefault="00425680">
    <w:pPr>
      <w:pStyle w:val="Header"/>
    </w:pPr>
    <w:r>
      <w:rPr>
        <w:noProof/>
      </w:rPr>
      <mc:AlternateContent>
        <mc:Choice Requires="wps">
          <w:drawing>
            <wp:anchor distT="0" distB="0" distL="0" distR="0" simplePos="0" relativeHeight="251658244" behindDoc="0" locked="0" layoutInCell="1" allowOverlap="1" wp14:anchorId="3B9DC530" wp14:editId="04415412">
              <wp:simplePos x="635" y="635"/>
              <wp:positionH relativeFrom="page">
                <wp:align>center</wp:align>
              </wp:positionH>
              <wp:positionV relativeFrom="page">
                <wp:align>top</wp:align>
              </wp:positionV>
              <wp:extent cx="551815" cy="376555"/>
              <wp:effectExtent l="0" t="0" r="635" b="4445"/>
              <wp:wrapNone/>
              <wp:docPr id="9116938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282DEF" w14:textId="17770B89" w:rsidR="00425680" w:rsidRPr="00425680" w:rsidRDefault="00425680" w:rsidP="00425680">
                          <w:pPr>
                            <w:rPr>
                              <w:rFonts w:ascii="Calibri" w:eastAsia="Calibri" w:hAnsi="Calibri" w:cs="Calibri"/>
                              <w:noProof/>
                              <w:color w:val="FF0000"/>
                            </w:rPr>
                          </w:pPr>
                          <w:r w:rsidRPr="0042568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9DC530"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63282DEF" w14:textId="17770B89" w:rsidR="00425680" w:rsidRPr="00425680" w:rsidRDefault="00425680" w:rsidP="00425680">
                    <w:pPr>
                      <w:rPr>
                        <w:rFonts w:ascii="Calibri" w:eastAsia="Calibri" w:hAnsi="Calibri" w:cs="Calibri"/>
                        <w:noProof/>
                        <w:color w:val="FF0000"/>
                      </w:rPr>
                    </w:pPr>
                    <w:r w:rsidRPr="00425680">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306CE"/>
    <w:multiLevelType w:val="hybridMultilevel"/>
    <w:tmpl w:val="834C6452"/>
    <w:lvl w:ilvl="0" w:tplc="0C09001B">
      <w:start w:val="1"/>
      <w:numFmt w:val="lowerRoman"/>
      <w:lvlText w:val="%1."/>
      <w:lvlJc w:val="right"/>
      <w:pPr>
        <w:ind w:left="1080" w:hanging="360"/>
      </w:pPr>
      <w:rPr>
        <w:rFonts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C7004A7"/>
    <w:multiLevelType w:val="hybridMultilevel"/>
    <w:tmpl w:val="34FC1698"/>
    <w:lvl w:ilvl="0" w:tplc="43BCECB6">
      <w:start w:val="1"/>
      <w:numFmt w:val="lowerLetter"/>
      <w:lvlText w:val="(%1)"/>
      <w:lvlJc w:val="left"/>
      <w:pPr>
        <w:ind w:left="360" w:hanging="360"/>
      </w:pPr>
      <w:rPr>
        <w:rFonts w:hint="default"/>
      </w:rPr>
    </w:lvl>
    <w:lvl w:ilvl="1" w:tplc="0C090019" w:tentative="1">
      <w:start w:val="1"/>
      <w:numFmt w:val="lowerLetter"/>
      <w:lvlText w:val="%2."/>
      <w:lvlJc w:val="left"/>
      <w:pPr>
        <w:ind w:left="1956" w:hanging="360"/>
      </w:pPr>
    </w:lvl>
    <w:lvl w:ilvl="2" w:tplc="0C09001B" w:tentative="1">
      <w:start w:val="1"/>
      <w:numFmt w:val="lowerRoman"/>
      <w:lvlText w:val="%3."/>
      <w:lvlJc w:val="right"/>
      <w:pPr>
        <w:ind w:left="2676" w:hanging="180"/>
      </w:pPr>
    </w:lvl>
    <w:lvl w:ilvl="3" w:tplc="0C09000F" w:tentative="1">
      <w:start w:val="1"/>
      <w:numFmt w:val="decimal"/>
      <w:lvlText w:val="%4."/>
      <w:lvlJc w:val="left"/>
      <w:pPr>
        <w:ind w:left="3396" w:hanging="360"/>
      </w:pPr>
    </w:lvl>
    <w:lvl w:ilvl="4" w:tplc="0C090019" w:tentative="1">
      <w:start w:val="1"/>
      <w:numFmt w:val="lowerLetter"/>
      <w:lvlText w:val="%5."/>
      <w:lvlJc w:val="left"/>
      <w:pPr>
        <w:ind w:left="4116" w:hanging="360"/>
      </w:pPr>
    </w:lvl>
    <w:lvl w:ilvl="5" w:tplc="0C09001B" w:tentative="1">
      <w:start w:val="1"/>
      <w:numFmt w:val="lowerRoman"/>
      <w:lvlText w:val="%6."/>
      <w:lvlJc w:val="right"/>
      <w:pPr>
        <w:ind w:left="4836" w:hanging="180"/>
      </w:pPr>
    </w:lvl>
    <w:lvl w:ilvl="6" w:tplc="0C09000F" w:tentative="1">
      <w:start w:val="1"/>
      <w:numFmt w:val="decimal"/>
      <w:lvlText w:val="%7."/>
      <w:lvlJc w:val="left"/>
      <w:pPr>
        <w:ind w:left="5556" w:hanging="360"/>
      </w:pPr>
    </w:lvl>
    <w:lvl w:ilvl="7" w:tplc="0C090019" w:tentative="1">
      <w:start w:val="1"/>
      <w:numFmt w:val="lowerLetter"/>
      <w:lvlText w:val="%8."/>
      <w:lvlJc w:val="left"/>
      <w:pPr>
        <w:ind w:left="6276" w:hanging="360"/>
      </w:pPr>
    </w:lvl>
    <w:lvl w:ilvl="8" w:tplc="0C09001B" w:tentative="1">
      <w:start w:val="1"/>
      <w:numFmt w:val="lowerRoman"/>
      <w:lvlText w:val="%9."/>
      <w:lvlJc w:val="right"/>
      <w:pPr>
        <w:ind w:left="6996" w:hanging="180"/>
      </w:pPr>
    </w:lvl>
  </w:abstractNum>
  <w:abstractNum w:abstractNumId="2" w15:restartNumberingAfterBreak="0">
    <w:nsid w:val="2E692424"/>
    <w:multiLevelType w:val="hybridMultilevel"/>
    <w:tmpl w:val="59CEC7EE"/>
    <w:lvl w:ilvl="0" w:tplc="16287A9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777181"/>
    <w:multiLevelType w:val="multilevel"/>
    <w:tmpl w:val="626C2D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AD34E08"/>
    <w:multiLevelType w:val="multilevel"/>
    <w:tmpl w:val="AB4CFE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6" w15:restartNumberingAfterBreak="0">
    <w:nsid w:val="552406F8"/>
    <w:multiLevelType w:val="hybridMultilevel"/>
    <w:tmpl w:val="FA10F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D03E48"/>
    <w:multiLevelType w:val="multilevel"/>
    <w:tmpl w:val="146E0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9" w15:restartNumberingAfterBreak="0">
    <w:nsid w:val="6C954EB6"/>
    <w:multiLevelType w:val="hybridMultilevel"/>
    <w:tmpl w:val="1482073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5A122C"/>
    <w:multiLevelType w:val="hybridMultilevel"/>
    <w:tmpl w:val="A3DCC22C"/>
    <w:lvl w:ilvl="0" w:tplc="85E632D6">
      <w:start w:val="1"/>
      <w:numFmt w:val="lowerLetter"/>
      <w:lvlText w:val="%1)"/>
      <w:lvlJc w:val="left"/>
      <w:pPr>
        <w:ind w:left="720" w:hanging="360"/>
      </w:pPr>
      <w:rPr>
        <w:rFonts w:asciiTheme="minorHAnsi" w:hAnsiTheme="minorHAnsi" w:cstheme="minorHAns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7372461">
    <w:abstractNumId w:val="5"/>
  </w:num>
  <w:num w:numId="2" w16cid:durableId="1697123420">
    <w:abstractNumId w:val="8"/>
  </w:num>
  <w:num w:numId="3" w16cid:durableId="843907452">
    <w:abstractNumId w:val="1"/>
  </w:num>
  <w:num w:numId="4" w16cid:durableId="192572418">
    <w:abstractNumId w:val="6"/>
  </w:num>
  <w:num w:numId="5" w16cid:durableId="1117331567">
    <w:abstractNumId w:val="2"/>
  </w:num>
  <w:num w:numId="6" w16cid:durableId="1077359843">
    <w:abstractNumId w:val="7"/>
  </w:num>
  <w:num w:numId="7" w16cid:durableId="929891377">
    <w:abstractNumId w:val="9"/>
  </w:num>
  <w:num w:numId="8" w16cid:durableId="1173371915">
    <w:abstractNumId w:val="4"/>
  </w:num>
  <w:num w:numId="9" w16cid:durableId="1513687405">
    <w:abstractNumId w:val="3"/>
  </w:num>
  <w:num w:numId="10" w16cid:durableId="40247481">
    <w:abstractNumId w:val="10"/>
  </w:num>
  <w:num w:numId="11" w16cid:durableId="107062128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11"/>
    <w:rsid w:val="00000CC6"/>
    <w:rsid w:val="00007269"/>
    <w:rsid w:val="000114FE"/>
    <w:rsid w:val="000229BC"/>
    <w:rsid w:val="00030BA2"/>
    <w:rsid w:val="00035CDE"/>
    <w:rsid w:val="00037C13"/>
    <w:rsid w:val="00041484"/>
    <w:rsid w:val="0004177C"/>
    <w:rsid w:val="0005193A"/>
    <w:rsid w:val="000646CC"/>
    <w:rsid w:val="00086539"/>
    <w:rsid w:val="0009559B"/>
    <w:rsid w:val="000B573B"/>
    <w:rsid w:val="000B5CD8"/>
    <w:rsid w:val="000B7D71"/>
    <w:rsid w:val="000C7728"/>
    <w:rsid w:val="000C7FD3"/>
    <w:rsid w:val="000D30AC"/>
    <w:rsid w:val="000D42AB"/>
    <w:rsid w:val="000D5255"/>
    <w:rsid w:val="001039DA"/>
    <w:rsid w:val="00104F63"/>
    <w:rsid w:val="0011299B"/>
    <w:rsid w:val="0012410D"/>
    <w:rsid w:val="00124D82"/>
    <w:rsid w:val="001324B8"/>
    <w:rsid w:val="00135A54"/>
    <w:rsid w:val="00137A53"/>
    <w:rsid w:val="001437D5"/>
    <w:rsid w:val="00147FDE"/>
    <w:rsid w:val="001504BB"/>
    <w:rsid w:val="00153E95"/>
    <w:rsid w:val="00156F90"/>
    <w:rsid w:val="00163F56"/>
    <w:rsid w:val="00164BB5"/>
    <w:rsid w:val="0016697D"/>
    <w:rsid w:val="001754B3"/>
    <w:rsid w:val="001903F6"/>
    <w:rsid w:val="001955B7"/>
    <w:rsid w:val="00197436"/>
    <w:rsid w:val="001A2537"/>
    <w:rsid w:val="001A5FDB"/>
    <w:rsid w:val="001A708F"/>
    <w:rsid w:val="001B13BE"/>
    <w:rsid w:val="001B30E9"/>
    <w:rsid w:val="001B4AC1"/>
    <w:rsid w:val="001C1983"/>
    <w:rsid w:val="001C41AD"/>
    <w:rsid w:val="001C6CA5"/>
    <w:rsid w:val="001C7377"/>
    <w:rsid w:val="001C7554"/>
    <w:rsid w:val="001D1440"/>
    <w:rsid w:val="001D1AB5"/>
    <w:rsid w:val="001D7FD0"/>
    <w:rsid w:val="001E4B10"/>
    <w:rsid w:val="001E6657"/>
    <w:rsid w:val="0021243A"/>
    <w:rsid w:val="00213B58"/>
    <w:rsid w:val="0021418A"/>
    <w:rsid w:val="00224018"/>
    <w:rsid w:val="00227832"/>
    <w:rsid w:val="00237DD0"/>
    <w:rsid w:val="00245A67"/>
    <w:rsid w:val="00251E45"/>
    <w:rsid w:val="002526E9"/>
    <w:rsid w:val="0025518C"/>
    <w:rsid w:val="00255E3B"/>
    <w:rsid w:val="00261225"/>
    <w:rsid w:val="00270AD3"/>
    <w:rsid w:val="00281A75"/>
    <w:rsid w:val="00282352"/>
    <w:rsid w:val="0028562D"/>
    <w:rsid w:val="002913B9"/>
    <w:rsid w:val="00291D6B"/>
    <w:rsid w:val="002B2F4B"/>
    <w:rsid w:val="002B3DD8"/>
    <w:rsid w:val="002B5461"/>
    <w:rsid w:val="002B7A0A"/>
    <w:rsid w:val="002D2CBA"/>
    <w:rsid w:val="002D43A6"/>
    <w:rsid w:val="002D67D5"/>
    <w:rsid w:val="002F27F5"/>
    <w:rsid w:val="002F313A"/>
    <w:rsid w:val="00302767"/>
    <w:rsid w:val="0031215C"/>
    <w:rsid w:val="00312E92"/>
    <w:rsid w:val="003225A8"/>
    <w:rsid w:val="00325F2D"/>
    <w:rsid w:val="003338AD"/>
    <w:rsid w:val="00333B2D"/>
    <w:rsid w:val="003342E2"/>
    <w:rsid w:val="00335ECB"/>
    <w:rsid w:val="0034188A"/>
    <w:rsid w:val="00355355"/>
    <w:rsid w:val="003562D8"/>
    <w:rsid w:val="00356876"/>
    <w:rsid w:val="00361131"/>
    <w:rsid w:val="00361408"/>
    <w:rsid w:val="0036450D"/>
    <w:rsid w:val="003653C3"/>
    <w:rsid w:val="00365C85"/>
    <w:rsid w:val="00367867"/>
    <w:rsid w:val="0038211E"/>
    <w:rsid w:val="003907CC"/>
    <w:rsid w:val="003979A3"/>
    <w:rsid w:val="00397B00"/>
    <w:rsid w:val="003B1186"/>
    <w:rsid w:val="003B62C4"/>
    <w:rsid w:val="003B7508"/>
    <w:rsid w:val="003C1F35"/>
    <w:rsid w:val="003C4539"/>
    <w:rsid w:val="003D1F18"/>
    <w:rsid w:val="003D57C8"/>
    <w:rsid w:val="003E2D2D"/>
    <w:rsid w:val="003E3C6B"/>
    <w:rsid w:val="003E5293"/>
    <w:rsid w:val="003E5BC9"/>
    <w:rsid w:val="00407537"/>
    <w:rsid w:val="00414D52"/>
    <w:rsid w:val="0041574D"/>
    <w:rsid w:val="004247A0"/>
    <w:rsid w:val="00425680"/>
    <w:rsid w:val="004426DB"/>
    <w:rsid w:val="004440C2"/>
    <w:rsid w:val="00451158"/>
    <w:rsid w:val="00470017"/>
    <w:rsid w:val="004757F1"/>
    <w:rsid w:val="0048602D"/>
    <w:rsid w:val="00486384"/>
    <w:rsid w:val="004962EC"/>
    <w:rsid w:val="004A18B5"/>
    <w:rsid w:val="004A21DD"/>
    <w:rsid w:val="004A75B0"/>
    <w:rsid w:val="004B2385"/>
    <w:rsid w:val="004C3DEE"/>
    <w:rsid w:val="004D4471"/>
    <w:rsid w:val="004D640C"/>
    <w:rsid w:val="004D79A6"/>
    <w:rsid w:val="004D7FD0"/>
    <w:rsid w:val="004E2E06"/>
    <w:rsid w:val="004E4D67"/>
    <w:rsid w:val="004E7573"/>
    <w:rsid w:val="004F1A16"/>
    <w:rsid w:val="004F1D16"/>
    <w:rsid w:val="005060F8"/>
    <w:rsid w:val="005173D5"/>
    <w:rsid w:val="00524C63"/>
    <w:rsid w:val="00530158"/>
    <w:rsid w:val="0053389E"/>
    <w:rsid w:val="0053719F"/>
    <w:rsid w:val="00537B02"/>
    <w:rsid w:val="0054283C"/>
    <w:rsid w:val="0054330B"/>
    <w:rsid w:val="00544BC3"/>
    <w:rsid w:val="00551B4E"/>
    <w:rsid w:val="00565F72"/>
    <w:rsid w:val="00566031"/>
    <w:rsid w:val="00574904"/>
    <w:rsid w:val="00576154"/>
    <w:rsid w:val="005803E3"/>
    <w:rsid w:val="00581628"/>
    <w:rsid w:val="00586F2E"/>
    <w:rsid w:val="00591970"/>
    <w:rsid w:val="005945FE"/>
    <w:rsid w:val="00595C59"/>
    <w:rsid w:val="005A3DD1"/>
    <w:rsid w:val="005A3DE7"/>
    <w:rsid w:val="005A7288"/>
    <w:rsid w:val="005B7C01"/>
    <w:rsid w:val="005C035B"/>
    <w:rsid w:val="005C6193"/>
    <w:rsid w:val="005C7C36"/>
    <w:rsid w:val="005D12D4"/>
    <w:rsid w:val="005E1D2B"/>
    <w:rsid w:val="005F13B2"/>
    <w:rsid w:val="005F5DF1"/>
    <w:rsid w:val="005F767C"/>
    <w:rsid w:val="0060069C"/>
    <w:rsid w:val="0060503C"/>
    <w:rsid w:val="00611A0D"/>
    <w:rsid w:val="00614914"/>
    <w:rsid w:val="00616EAE"/>
    <w:rsid w:val="0061715A"/>
    <w:rsid w:val="0062178C"/>
    <w:rsid w:val="00622DF5"/>
    <w:rsid w:val="006321AC"/>
    <w:rsid w:val="006424F4"/>
    <w:rsid w:val="00645297"/>
    <w:rsid w:val="00645729"/>
    <w:rsid w:val="00657FF0"/>
    <w:rsid w:val="00665A1F"/>
    <w:rsid w:val="0067129A"/>
    <w:rsid w:val="006712CC"/>
    <w:rsid w:val="00672EDD"/>
    <w:rsid w:val="00674AEC"/>
    <w:rsid w:val="006836BC"/>
    <w:rsid w:val="00693DD6"/>
    <w:rsid w:val="00695A9C"/>
    <w:rsid w:val="006A1AFC"/>
    <w:rsid w:val="006B1565"/>
    <w:rsid w:val="006B5AC2"/>
    <w:rsid w:val="006C17EF"/>
    <w:rsid w:val="006C4A5D"/>
    <w:rsid w:val="006C4AA2"/>
    <w:rsid w:val="006C4BC9"/>
    <w:rsid w:val="006C76ED"/>
    <w:rsid w:val="006F1595"/>
    <w:rsid w:val="006F7D75"/>
    <w:rsid w:val="00701D33"/>
    <w:rsid w:val="00704CDB"/>
    <w:rsid w:val="007064E8"/>
    <w:rsid w:val="00710F60"/>
    <w:rsid w:val="007164D2"/>
    <w:rsid w:val="007176B9"/>
    <w:rsid w:val="00717939"/>
    <w:rsid w:val="00736E6C"/>
    <w:rsid w:val="00737C9F"/>
    <w:rsid w:val="007416F5"/>
    <w:rsid w:val="00744669"/>
    <w:rsid w:val="00746284"/>
    <w:rsid w:val="00754A73"/>
    <w:rsid w:val="007556B5"/>
    <w:rsid w:val="00757AE3"/>
    <w:rsid w:val="00762F32"/>
    <w:rsid w:val="007637CF"/>
    <w:rsid w:val="00764CE5"/>
    <w:rsid w:val="00766970"/>
    <w:rsid w:val="0077623D"/>
    <w:rsid w:val="00776ECC"/>
    <w:rsid w:val="00777266"/>
    <w:rsid w:val="007774A1"/>
    <w:rsid w:val="007865B3"/>
    <w:rsid w:val="00792124"/>
    <w:rsid w:val="00795573"/>
    <w:rsid w:val="00795881"/>
    <w:rsid w:val="00795D59"/>
    <w:rsid w:val="007975D2"/>
    <w:rsid w:val="007A43ED"/>
    <w:rsid w:val="007B4BE3"/>
    <w:rsid w:val="007C1164"/>
    <w:rsid w:val="007C3586"/>
    <w:rsid w:val="007C43FE"/>
    <w:rsid w:val="007C7700"/>
    <w:rsid w:val="007D0924"/>
    <w:rsid w:val="007D2285"/>
    <w:rsid w:val="007D433C"/>
    <w:rsid w:val="007D4A6B"/>
    <w:rsid w:val="007D51EA"/>
    <w:rsid w:val="007E085C"/>
    <w:rsid w:val="007E1CDC"/>
    <w:rsid w:val="007E4467"/>
    <w:rsid w:val="007E7481"/>
    <w:rsid w:val="007F1696"/>
    <w:rsid w:val="007F25CA"/>
    <w:rsid w:val="007F33A5"/>
    <w:rsid w:val="007F7ECD"/>
    <w:rsid w:val="008137DF"/>
    <w:rsid w:val="00816CB9"/>
    <w:rsid w:val="00820264"/>
    <w:rsid w:val="00820EC3"/>
    <w:rsid w:val="00822319"/>
    <w:rsid w:val="008258E5"/>
    <w:rsid w:val="00835176"/>
    <w:rsid w:val="00837A5B"/>
    <w:rsid w:val="00845ED0"/>
    <w:rsid w:val="00846EAD"/>
    <w:rsid w:val="008471A3"/>
    <w:rsid w:val="0084723E"/>
    <w:rsid w:val="00854659"/>
    <w:rsid w:val="00863830"/>
    <w:rsid w:val="008716A9"/>
    <w:rsid w:val="00874A78"/>
    <w:rsid w:val="00881248"/>
    <w:rsid w:val="00884247"/>
    <w:rsid w:val="0088705D"/>
    <w:rsid w:val="00894EFC"/>
    <w:rsid w:val="008A6615"/>
    <w:rsid w:val="008A6E2C"/>
    <w:rsid w:val="008B57A5"/>
    <w:rsid w:val="008C5634"/>
    <w:rsid w:val="008C746E"/>
    <w:rsid w:val="008C7592"/>
    <w:rsid w:val="008C7A10"/>
    <w:rsid w:val="008D2206"/>
    <w:rsid w:val="008E0CF5"/>
    <w:rsid w:val="008E0F58"/>
    <w:rsid w:val="008E5553"/>
    <w:rsid w:val="008E68FF"/>
    <w:rsid w:val="008F2EEC"/>
    <w:rsid w:val="008F35A1"/>
    <w:rsid w:val="00911FA3"/>
    <w:rsid w:val="009132FA"/>
    <w:rsid w:val="009145F9"/>
    <w:rsid w:val="00916954"/>
    <w:rsid w:val="009207C0"/>
    <w:rsid w:val="00923C5D"/>
    <w:rsid w:val="00923EB2"/>
    <w:rsid w:val="0093186A"/>
    <w:rsid w:val="00931A56"/>
    <w:rsid w:val="00940045"/>
    <w:rsid w:val="00947876"/>
    <w:rsid w:val="009500FD"/>
    <w:rsid w:val="00952C75"/>
    <w:rsid w:val="00954478"/>
    <w:rsid w:val="00984647"/>
    <w:rsid w:val="009855CA"/>
    <w:rsid w:val="00986255"/>
    <w:rsid w:val="00987AF4"/>
    <w:rsid w:val="009903ED"/>
    <w:rsid w:val="009924FB"/>
    <w:rsid w:val="00995733"/>
    <w:rsid w:val="00995E72"/>
    <w:rsid w:val="00997FED"/>
    <w:rsid w:val="009A0FF7"/>
    <w:rsid w:val="009A1D98"/>
    <w:rsid w:val="009A2E3E"/>
    <w:rsid w:val="009A4A31"/>
    <w:rsid w:val="009A51F4"/>
    <w:rsid w:val="009B0E50"/>
    <w:rsid w:val="009B366A"/>
    <w:rsid w:val="009B5891"/>
    <w:rsid w:val="009C5305"/>
    <w:rsid w:val="009C723A"/>
    <w:rsid w:val="009E2C42"/>
    <w:rsid w:val="009F3BDC"/>
    <w:rsid w:val="009F7B3C"/>
    <w:rsid w:val="00A01E78"/>
    <w:rsid w:val="00A0575C"/>
    <w:rsid w:val="00A14830"/>
    <w:rsid w:val="00A151A9"/>
    <w:rsid w:val="00A1569D"/>
    <w:rsid w:val="00A168CE"/>
    <w:rsid w:val="00A20612"/>
    <w:rsid w:val="00A2144A"/>
    <w:rsid w:val="00A21A3F"/>
    <w:rsid w:val="00A22DE8"/>
    <w:rsid w:val="00A242EC"/>
    <w:rsid w:val="00A33DED"/>
    <w:rsid w:val="00A37422"/>
    <w:rsid w:val="00A37E29"/>
    <w:rsid w:val="00A52C02"/>
    <w:rsid w:val="00A53980"/>
    <w:rsid w:val="00A53ABD"/>
    <w:rsid w:val="00A543A4"/>
    <w:rsid w:val="00A61234"/>
    <w:rsid w:val="00A702F8"/>
    <w:rsid w:val="00A717B3"/>
    <w:rsid w:val="00A71B00"/>
    <w:rsid w:val="00A76FC0"/>
    <w:rsid w:val="00A82EE6"/>
    <w:rsid w:val="00A834C5"/>
    <w:rsid w:val="00A873C8"/>
    <w:rsid w:val="00A906BE"/>
    <w:rsid w:val="00AA5D94"/>
    <w:rsid w:val="00AB0CD0"/>
    <w:rsid w:val="00AB2BCA"/>
    <w:rsid w:val="00AB47EA"/>
    <w:rsid w:val="00AC2591"/>
    <w:rsid w:val="00AC2E2D"/>
    <w:rsid w:val="00AC6259"/>
    <w:rsid w:val="00AC6749"/>
    <w:rsid w:val="00AD16C1"/>
    <w:rsid w:val="00AD3D71"/>
    <w:rsid w:val="00AD5D3C"/>
    <w:rsid w:val="00AD7C4A"/>
    <w:rsid w:val="00AE2D58"/>
    <w:rsid w:val="00AF08E8"/>
    <w:rsid w:val="00AF78E7"/>
    <w:rsid w:val="00B03ECB"/>
    <w:rsid w:val="00B06522"/>
    <w:rsid w:val="00B0659D"/>
    <w:rsid w:val="00B10622"/>
    <w:rsid w:val="00B11A13"/>
    <w:rsid w:val="00B22DD8"/>
    <w:rsid w:val="00B232A9"/>
    <w:rsid w:val="00B236F9"/>
    <w:rsid w:val="00B25C91"/>
    <w:rsid w:val="00B261A9"/>
    <w:rsid w:val="00B30B7E"/>
    <w:rsid w:val="00B30EFE"/>
    <w:rsid w:val="00B35805"/>
    <w:rsid w:val="00B364D4"/>
    <w:rsid w:val="00B41C9D"/>
    <w:rsid w:val="00B446D5"/>
    <w:rsid w:val="00B45ECF"/>
    <w:rsid w:val="00B62905"/>
    <w:rsid w:val="00B65E85"/>
    <w:rsid w:val="00B66F11"/>
    <w:rsid w:val="00B85719"/>
    <w:rsid w:val="00B8676A"/>
    <w:rsid w:val="00B86CAA"/>
    <w:rsid w:val="00B96998"/>
    <w:rsid w:val="00B976B4"/>
    <w:rsid w:val="00B97CCC"/>
    <w:rsid w:val="00BA0380"/>
    <w:rsid w:val="00BA4D49"/>
    <w:rsid w:val="00BB2D51"/>
    <w:rsid w:val="00BB5E9A"/>
    <w:rsid w:val="00BB7F4A"/>
    <w:rsid w:val="00BC021D"/>
    <w:rsid w:val="00BC330D"/>
    <w:rsid w:val="00BC3821"/>
    <w:rsid w:val="00BC4563"/>
    <w:rsid w:val="00BC64C4"/>
    <w:rsid w:val="00BD1B07"/>
    <w:rsid w:val="00BD40F7"/>
    <w:rsid w:val="00BE4733"/>
    <w:rsid w:val="00BF005E"/>
    <w:rsid w:val="00BF062B"/>
    <w:rsid w:val="00BF533B"/>
    <w:rsid w:val="00BF7406"/>
    <w:rsid w:val="00BF7A83"/>
    <w:rsid w:val="00C00DA8"/>
    <w:rsid w:val="00C06FCD"/>
    <w:rsid w:val="00C116D9"/>
    <w:rsid w:val="00C11C1E"/>
    <w:rsid w:val="00C123E7"/>
    <w:rsid w:val="00C1325A"/>
    <w:rsid w:val="00C166C2"/>
    <w:rsid w:val="00C16B6C"/>
    <w:rsid w:val="00C26434"/>
    <w:rsid w:val="00C30237"/>
    <w:rsid w:val="00C30F8D"/>
    <w:rsid w:val="00C36CFD"/>
    <w:rsid w:val="00C40170"/>
    <w:rsid w:val="00C50485"/>
    <w:rsid w:val="00C569B6"/>
    <w:rsid w:val="00C57A9A"/>
    <w:rsid w:val="00C646AF"/>
    <w:rsid w:val="00C665C2"/>
    <w:rsid w:val="00C66D65"/>
    <w:rsid w:val="00C67248"/>
    <w:rsid w:val="00C811D7"/>
    <w:rsid w:val="00C83053"/>
    <w:rsid w:val="00C8489C"/>
    <w:rsid w:val="00C97B2F"/>
    <w:rsid w:val="00CA04C1"/>
    <w:rsid w:val="00CB1C3E"/>
    <w:rsid w:val="00CB4DE2"/>
    <w:rsid w:val="00CC523B"/>
    <w:rsid w:val="00CD137A"/>
    <w:rsid w:val="00CD2B51"/>
    <w:rsid w:val="00CE2818"/>
    <w:rsid w:val="00CE3D72"/>
    <w:rsid w:val="00CE65B5"/>
    <w:rsid w:val="00CE7045"/>
    <w:rsid w:val="00CF40C8"/>
    <w:rsid w:val="00CF5312"/>
    <w:rsid w:val="00CF72FD"/>
    <w:rsid w:val="00D020DB"/>
    <w:rsid w:val="00D11883"/>
    <w:rsid w:val="00D24602"/>
    <w:rsid w:val="00D26973"/>
    <w:rsid w:val="00D33D7E"/>
    <w:rsid w:val="00D40227"/>
    <w:rsid w:val="00D4394D"/>
    <w:rsid w:val="00D43A3C"/>
    <w:rsid w:val="00D50118"/>
    <w:rsid w:val="00D50212"/>
    <w:rsid w:val="00D51917"/>
    <w:rsid w:val="00D51BE3"/>
    <w:rsid w:val="00D534B4"/>
    <w:rsid w:val="00D63143"/>
    <w:rsid w:val="00D63915"/>
    <w:rsid w:val="00D73446"/>
    <w:rsid w:val="00D75ACB"/>
    <w:rsid w:val="00D81DC8"/>
    <w:rsid w:val="00D83793"/>
    <w:rsid w:val="00D85785"/>
    <w:rsid w:val="00DA081D"/>
    <w:rsid w:val="00DA6600"/>
    <w:rsid w:val="00DA68A5"/>
    <w:rsid w:val="00DB4260"/>
    <w:rsid w:val="00DC2C9E"/>
    <w:rsid w:val="00DC5E24"/>
    <w:rsid w:val="00DC6851"/>
    <w:rsid w:val="00DC7EF1"/>
    <w:rsid w:val="00DD274E"/>
    <w:rsid w:val="00DE0212"/>
    <w:rsid w:val="00DE49D1"/>
    <w:rsid w:val="00DF60EE"/>
    <w:rsid w:val="00DF62E6"/>
    <w:rsid w:val="00DF70F6"/>
    <w:rsid w:val="00E10680"/>
    <w:rsid w:val="00E21F2F"/>
    <w:rsid w:val="00E26245"/>
    <w:rsid w:val="00E442CE"/>
    <w:rsid w:val="00E46010"/>
    <w:rsid w:val="00E46B14"/>
    <w:rsid w:val="00E54D2E"/>
    <w:rsid w:val="00E67602"/>
    <w:rsid w:val="00E91B91"/>
    <w:rsid w:val="00E96CD7"/>
    <w:rsid w:val="00EA05D0"/>
    <w:rsid w:val="00EB7B72"/>
    <w:rsid w:val="00EC3F76"/>
    <w:rsid w:val="00EC4B36"/>
    <w:rsid w:val="00ED1E08"/>
    <w:rsid w:val="00ED36EB"/>
    <w:rsid w:val="00EE769A"/>
    <w:rsid w:val="00EE77C5"/>
    <w:rsid w:val="00EF0D4C"/>
    <w:rsid w:val="00EF270C"/>
    <w:rsid w:val="00EF748C"/>
    <w:rsid w:val="00F0528E"/>
    <w:rsid w:val="00F10DF4"/>
    <w:rsid w:val="00F11BA4"/>
    <w:rsid w:val="00F20B3D"/>
    <w:rsid w:val="00F275B7"/>
    <w:rsid w:val="00F36AE8"/>
    <w:rsid w:val="00F3752D"/>
    <w:rsid w:val="00F45D85"/>
    <w:rsid w:val="00F51467"/>
    <w:rsid w:val="00F54B8A"/>
    <w:rsid w:val="00F5569C"/>
    <w:rsid w:val="00F605A2"/>
    <w:rsid w:val="00F61F6A"/>
    <w:rsid w:val="00F72BF6"/>
    <w:rsid w:val="00F76EA3"/>
    <w:rsid w:val="00F81F0C"/>
    <w:rsid w:val="00F8381C"/>
    <w:rsid w:val="00F86017"/>
    <w:rsid w:val="00F91495"/>
    <w:rsid w:val="00F96DC0"/>
    <w:rsid w:val="00FA278A"/>
    <w:rsid w:val="00FB2200"/>
    <w:rsid w:val="00FB22DE"/>
    <w:rsid w:val="00FB3199"/>
    <w:rsid w:val="00FB3997"/>
    <w:rsid w:val="00FC27B1"/>
    <w:rsid w:val="00FC7AA8"/>
    <w:rsid w:val="00FE054D"/>
    <w:rsid w:val="00FF5929"/>
    <w:rsid w:val="00FF68F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6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537B02"/>
    <w:pPr>
      <w:keepNext/>
      <w:spacing w:after="600"/>
      <w:jc w:val="center"/>
      <w:outlineLvl w:val="0"/>
    </w:pPr>
    <w:rPr>
      <w:bCs/>
      <w:sz w:val="22"/>
      <w:szCs w:val="22"/>
    </w:rPr>
  </w:style>
  <w:style w:type="paragraph" w:styleId="Heading3">
    <w:name w:val="heading 3"/>
    <w:basedOn w:val="Normal"/>
    <w:next w:val="Normal"/>
    <w:link w:val="Heading3Char"/>
    <w:semiHidden/>
    <w:unhideWhenUsed/>
    <w:qFormat/>
    <w:rsid w:val="006F7D75"/>
    <w:pPr>
      <w:keepNext/>
      <w:spacing w:before="240" w:after="60"/>
      <w:outlineLvl w:val="2"/>
    </w:pPr>
    <w:rPr>
      <w:rFonts w:ascii="Cambria" w:hAnsi="Cambria"/>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uiPriority w:val="99"/>
    <w:semiHidden/>
    <w:rsid w:val="0034188A"/>
    <w:rPr>
      <w:sz w:val="16"/>
      <w:szCs w:val="16"/>
    </w:rPr>
  </w:style>
  <w:style w:type="paragraph" w:styleId="CommentText">
    <w:name w:val="annotation text"/>
    <w:basedOn w:val="Normal"/>
    <w:link w:val="CommentTextChar"/>
    <w:uiPriority w:val="99"/>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link w:val="CommentText"/>
    <w:uiPriority w:val="99"/>
    <w:rsid w:val="006F1595"/>
    <w:rPr>
      <w:lang w:val="en-US" w:eastAsia="en-US"/>
    </w:rPr>
  </w:style>
  <w:style w:type="character" w:styleId="Hyperlink">
    <w:name w:val="Hyperlink"/>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hAnsi="Arial" w:cs="Arial"/>
      <w:b w:val="0"/>
      <w:sz w:val="22"/>
      <w:lang w:val="en-AU" w:eastAsia="en-AU"/>
    </w:rPr>
  </w:style>
  <w:style w:type="character" w:customStyle="1" w:styleId="Heading3Char">
    <w:name w:val="Heading 3 Char"/>
    <w:link w:val="Heading3"/>
    <w:semiHidden/>
    <w:rsid w:val="006F7D75"/>
    <w:rPr>
      <w:rFonts w:ascii="Cambria" w:eastAsia="Times New Roman" w:hAnsi="Cambria" w:cs="Times New Roman"/>
      <w:b/>
      <w:bCs/>
      <w:sz w:val="26"/>
      <w:szCs w:val="26"/>
      <w:lang w:val="en-US" w:eastAsia="en-US"/>
    </w:rPr>
  </w:style>
  <w:style w:type="paragraph" w:customStyle="1" w:styleId="Stylea">
    <w:name w:val="Style (a)"/>
    <w:basedOn w:val="Normal"/>
    <w:qFormat/>
    <w:rsid w:val="004C3DEE"/>
    <w:rPr>
      <w:snapToGrid w:val="0"/>
      <w:color w:val="FF0000"/>
      <w:lang w:val="en-AU"/>
    </w:rPr>
  </w:style>
  <w:style w:type="paragraph" w:styleId="ListParagraph">
    <w:name w:val="List Paragraph"/>
    <w:aliases w:val="AFMA List Paragraph,List Paragraph1,Recommendation,List Paragraph11,DDM Gen Text,Bullet Level 1,List Paragraph111,L,F5 List Paragraph,Dot pt,CV text,Medium Grid 1 - Accent 21,Numbered Paragraph,List Paragraph2,Bulleted Para"/>
    <w:basedOn w:val="Normal"/>
    <w:link w:val="ListParagraphChar"/>
    <w:uiPriority w:val="34"/>
    <w:qFormat/>
    <w:rsid w:val="00D63915"/>
    <w:pPr>
      <w:tabs>
        <w:tab w:val="left" w:pos="1096"/>
      </w:tabs>
      <w:spacing w:before="60" w:after="60"/>
      <w:ind w:firstLine="181"/>
    </w:pPr>
    <w:rPr>
      <w:rFonts w:eastAsia="Calibri"/>
      <w:snapToGrid w:val="0"/>
      <w:sz w:val="22"/>
      <w:szCs w:val="22"/>
      <w:lang w:val="en-AU"/>
    </w:rPr>
  </w:style>
  <w:style w:type="character" w:customStyle="1" w:styleId="ListParagraphChar">
    <w:name w:val="List Paragraph Char"/>
    <w:aliases w:val="AFMA List Paragraph Char,List Paragraph1 Char,Recommendation Char,List Paragraph11 Char,DDM Gen Text Char,Bullet Level 1 Char,List Paragraph111 Char,L Char,F5 List Paragraph Char,Dot pt Char,CV text Char,Numbered Paragraph Char"/>
    <w:link w:val="ListParagraph"/>
    <w:uiPriority w:val="34"/>
    <w:qFormat/>
    <w:rsid w:val="00C50485"/>
    <w:rPr>
      <w:rFonts w:eastAsia="Calibri"/>
      <w:snapToGrid w:val="0"/>
      <w:sz w:val="22"/>
      <w:szCs w:val="22"/>
      <w:lang w:eastAsia="en-US"/>
    </w:rPr>
  </w:style>
  <w:style w:type="paragraph" w:styleId="Revision">
    <w:name w:val="Revision"/>
    <w:hidden/>
    <w:uiPriority w:val="99"/>
    <w:semiHidden/>
    <w:rsid w:val="006836BC"/>
    <w:rPr>
      <w:sz w:val="24"/>
      <w:szCs w:val="24"/>
      <w:lang w:val="en-US" w:eastAsia="en-US"/>
    </w:rPr>
  </w:style>
  <w:style w:type="paragraph" w:styleId="Header">
    <w:name w:val="header"/>
    <w:basedOn w:val="Normal"/>
    <w:link w:val="HeaderChar"/>
    <w:unhideWhenUsed/>
    <w:rsid w:val="001039DA"/>
    <w:pPr>
      <w:tabs>
        <w:tab w:val="center" w:pos="4513"/>
        <w:tab w:val="right" w:pos="9026"/>
      </w:tabs>
    </w:pPr>
  </w:style>
  <w:style w:type="character" w:customStyle="1" w:styleId="HeaderChar">
    <w:name w:val="Header Char"/>
    <w:basedOn w:val="DefaultParagraphFont"/>
    <w:link w:val="Header"/>
    <w:rsid w:val="001039DA"/>
    <w:rPr>
      <w:sz w:val="24"/>
      <w:szCs w:val="24"/>
      <w:lang w:val="en-US" w:eastAsia="en-US"/>
    </w:rPr>
  </w:style>
  <w:style w:type="paragraph" w:styleId="Footer">
    <w:name w:val="footer"/>
    <w:basedOn w:val="Normal"/>
    <w:link w:val="FooterChar"/>
    <w:unhideWhenUsed/>
    <w:rsid w:val="001039DA"/>
    <w:pPr>
      <w:tabs>
        <w:tab w:val="center" w:pos="4513"/>
        <w:tab w:val="right" w:pos="9026"/>
      </w:tabs>
    </w:pPr>
  </w:style>
  <w:style w:type="character" w:customStyle="1" w:styleId="FooterChar">
    <w:name w:val="Footer Char"/>
    <w:basedOn w:val="DefaultParagraphFont"/>
    <w:link w:val="Footer"/>
    <w:rsid w:val="001039DA"/>
    <w:rPr>
      <w:sz w:val="24"/>
      <w:szCs w:val="24"/>
      <w:lang w:val="en-US" w:eastAsia="en-US"/>
    </w:rPr>
  </w:style>
  <w:style w:type="character" w:styleId="UnresolvedMention">
    <w:name w:val="Unresolved Mention"/>
    <w:basedOn w:val="DefaultParagraphFont"/>
    <w:uiPriority w:val="99"/>
    <w:semiHidden/>
    <w:unhideWhenUsed/>
    <w:rsid w:val="001039DA"/>
    <w:rPr>
      <w:color w:val="605E5C"/>
      <w:shd w:val="clear" w:color="auto" w:fill="E1DFDD"/>
    </w:rPr>
  </w:style>
  <w:style w:type="paragraph" w:customStyle="1" w:styleId="Default">
    <w:name w:val="Default"/>
    <w:rsid w:val="00997FED"/>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4861">
      <w:bodyDiv w:val="1"/>
      <w:marLeft w:val="0"/>
      <w:marRight w:val="0"/>
      <w:marTop w:val="0"/>
      <w:marBottom w:val="0"/>
      <w:divBdr>
        <w:top w:val="none" w:sz="0" w:space="0" w:color="auto"/>
        <w:left w:val="none" w:sz="0" w:space="0" w:color="auto"/>
        <w:bottom w:val="none" w:sz="0" w:space="0" w:color="auto"/>
        <w:right w:val="none" w:sz="0" w:space="0" w:color="auto"/>
      </w:divBdr>
    </w:div>
    <w:div w:id="503593080">
      <w:bodyDiv w:val="1"/>
      <w:marLeft w:val="0"/>
      <w:marRight w:val="0"/>
      <w:marTop w:val="0"/>
      <w:marBottom w:val="0"/>
      <w:divBdr>
        <w:top w:val="none" w:sz="0" w:space="0" w:color="auto"/>
        <w:left w:val="none" w:sz="0" w:space="0" w:color="auto"/>
        <w:bottom w:val="none" w:sz="0" w:space="0" w:color="auto"/>
        <w:right w:val="none" w:sz="0" w:space="0" w:color="auto"/>
      </w:divBdr>
    </w:div>
    <w:div w:id="893199232">
      <w:bodyDiv w:val="1"/>
      <w:marLeft w:val="0"/>
      <w:marRight w:val="0"/>
      <w:marTop w:val="0"/>
      <w:marBottom w:val="0"/>
      <w:divBdr>
        <w:top w:val="none" w:sz="0" w:space="0" w:color="auto"/>
        <w:left w:val="none" w:sz="0" w:space="0" w:color="auto"/>
        <w:bottom w:val="none" w:sz="0" w:space="0" w:color="auto"/>
        <w:right w:val="none" w:sz="0" w:space="0" w:color="auto"/>
      </w:divBdr>
    </w:div>
    <w:div w:id="1187787750">
      <w:bodyDiv w:val="1"/>
      <w:marLeft w:val="0"/>
      <w:marRight w:val="0"/>
      <w:marTop w:val="0"/>
      <w:marBottom w:val="0"/>
      <w:divBdr>
        <w:top w:val="none" w:sz="0" w:space="0" w:color="auto"/>
        <w:left w:val="none" w:sz="0" w:space="0" w:color="auto"/>
        <w:bottom w:val="none" w:sz="0" w:space="0" w:color="auto"/>
        <w:right w:val="none" w:sz="0" w:space="0" w:color="auto"/>
      </w:divBdr>
    </w:div>
    <w:div w:id="1584558872">
      <w:bodyDiv w:val="1"/>
      <w:marLeft w:val="0"/>
      <w:marRight w:val="0"/>
      <w:marTop w:val="0"/>
      <w:marBottom w:val="0"/>
      <w:divBdr>
        <w:top w:val="none" w:sz="0" w:space="0" w:color="auto"/>
        <w:left w:val="none" w:sz="0" w:space="0" w:color="auto"/>
        <w:bottom w:val="none" w:sz="0" w:space="0" w:color="auto"/>
        <w:right w:val="none" w:sz="0" w:space="0" w:color="auto"/>
      </w:divBdr>
    </w:div>
    <w:div w:id="186909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C5F77D3-5041-455F-A8EF-4F2D0A758F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20C23D3F7407B4182726F2225E9E3E0" ma:contentTypeVersion="" ma:contentTypeDescription="PDMS Document Site Content Type" ma:contentTypeScope="" ma:versionID="a8d9f8afc3ac0fbb23e1143b7d664673">
  <xsd:schema xmlns:xsd="http://www.w3.org/2001/XMLSchema" xmlns:xs="http://www.w3.org/2001/XMLSchema" xmlns:p="http://schemas.microsoft.com/office/2006/metadata/properties" xmlns:ns2="FC5F77D3-5041-455F-A8EF-4F2D0A758F55" targetNamespace="http://schemas.microsoft.com/office/2006/metadata/properties" ma:root="true" ma:fieldsID="19db8d735e46a375974720a2b678d42a" ns2:_="">
    <xsd:import namespace="FC5F77D3-5041-455F-A8EF-4F2D0A758F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77D3-5041-455F-A8EF-4F2D0A758F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EA0E8-224F-415B-9722-D87540D08AB0}">
  <ds:schemaRefs>
    <ds:schemaRef ds:uri="http://schemas.openxmlformats.org/officeDocument/2006/bibliography"/>
  </ds:schemaRefs>
</ds:datastoreItem>
</file>

<file path=customXml/itemProps2.xml><?xml version="1.0" encoding="utf-8"?>
<ds:datastoreItem xmlns:ds="http://schemas.openxmlformats.org/officeDocument/2006/customXml" ds:itemID="{E8E12550-49B7-4E35-9C5C-FAD1E483AF95}">
  <ds:schemaRefs>
    <ds:schemaRef ds:uri="http://schemas.microsoft.com/sharepoint/v3/contenttype/forms"/>
  </ds:schemaRefs>
</ds:datastoreItem>
</file>

<file path=customXml/itemProps3.xml><?xml version="1.0" encoding="utf-8"?>
<ds:datastoreItem xmlns:ds="http://schemas.openxmlformats.org/officeDocument/2006/customXml" ds:itemID="{234215C1-E13A-4D70-BAD4-209A7307CEEA}">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FC5F77D3-5041-455F-A8EF-4F2D0A758F55"/>
    <ds:schemaRef ds:uri="http://www.w3.org/XML/1998/namespace"/>
  </ds:schemaRefs>
</ds:datastoreItem>
</file>

<file path=customXml/itemProps4.xml><?xml version="1.0" encoding="utf-8"?>
<ds:datastoreItem xmlns:ds="http://schemas.openxmlformats.org/officeDocument/2006/customXml" ds:itemID="{AF88798F-AD8A-4827-9CD9-7DB409BFE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77D3-5041-455F-A8EF-4F2D0A758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2024-12-13T04:51:00Z</dcterms:created>
  <dcterms:modified xsi:type="dcterms:W3CDTF">2024-12-13T04:51:00Z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0x010100266966F133664895A6EE3632470D45F500C20C23D3F7407B4182726F2225E9E3E0</vt:lpwstr>
  </property>
</Properties>
</file>