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EE1B9" w14:textId="6A577003" w:rsidR="00FA06CA" w:rsidRPr="005F1388" w:rsidRDefault="00FA06CA" w:rsidP="00FA06CA">
      <w:pPr>
        <w:rPr>
          <w:sz w:val="28"/>
        </w:rPr>
      </w:pPr>
      <w:r>
        <w:rPr>
          <w:noProof/>
          <w:lang w:eastAsia="en-AU"/>
        </w:rPr>
        <w:drawing>
          <wp:inline distT="0" distB="0" distL="0" distR="0" wp14:anchorId="608D117B" wp14:editId="3115AEFF">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6D6506B" w14:textId="77777777" w:rsidR="00FA06CA" w:rsidRPr="00E500D4" w:rsidRDefault="00FA06CA" w:rsidP="00FA06CA">
      <w:pPr>
        <w:rPr>
          <w:sz w:val="19"/>
        </w:rPr>
      </w:pPr>
    </w:p>
    <w:p w14:paraId="16D80D63" w14:textId="51856223" w:rsidR="00FA06CA" w:rsidRPr="00E500D4" w:rsidRDefault="00F83F91" w:rsidP="00FA06CA">
      <w:pPr>
        <w:pStyle w:val="ShortT"/>
      </w:pPr>
      <w:r w:rsidRPr="009960AE">
        <w:t>Federal Financial Relations (GST Revenue for 20</w:t>
      </w:r>
      <w:r>
        <w:t>2</w:t>
      </w:r>
      <w:r w:rsidR="00A25574">
        <w:t>3</w:t>
      </w:r>
      <w:r>
        <w:noBreakHyphen/>
        <w:t>2</w:t>
      </w:r>
      <w:r w:rsidR="00A25574">
        <w:t>4</w:t>
      </w:r>
      <w:r w:rsidRPr="009960AE">
        <w:t>) Determination 20</w:t>
      </w:r>
      <w:r>
        <w:t>2</w:t>
      </w:r>
      <w:r w:rsidR="00D0746D">
        <w:t>4</w:t>
      </w:r>
    </w:p>
    <w:p w14:paraId="798653D2" w14:textId="05B3FB6B" w:rsidR="00FA06CA" w:rsidRPr="00BC5754" w:rsidRDefault="00FA06CA" w:rsidP="00FA06CA">
      <w:pPr>
        <w:pStyle w:val="SignCoverPageStart"/>
        <w:spacing w:before="240"/>
        <w:rPr>
          <w:szCs w:val="22"/>
        </w:rPr>
      </w:pPr>
      <w:r w:rsidRPr="00BC5754">
        <w:rPr>
          <w:szCs w:val="22"/>
        </w:rPr>
        <w:t xml:space="preserve">I, </w:t>
      </w:r>
      <w:r w:rsidR="00D70749">
        <w:rPr>
          <w:szCs w:val="22"/>
        </w:rPr>
        <w:t>Andrew Leigh</w:t>
      </w:r>
      <w:r w:rsidR="00F83F91">
        <w:rPr>
          <w:szCs w:val="22"/>
        </w:rPr>
        <w:t xml:space="preserve">, </w:t>
      </w:r>
      <w:r w:rsidR="00422C5B">
        <w:rPr>
          <w:szCs w:val="22"/>
        </w:rPr>
        <w:t>Assistant Minister for Competition, Charities and Treasury</w:t>
      </w:r>
      <w:r w:rsidR="00F83F91">
        <w:rPr>
          <w:szCs w:val="22"/>
        </w:rPr>
        <w:t xml:space="preserve">, make </w:t>
      </w:r>
      <w:r w:rsidRPr="00BC5754">
        <w:rPr>
          <w:szCs w:val="22"/>
        </w:rPr>
        <w:t xml:space="preserve">the following </w:t>
      </w:r>
      <w:r w:rsidR="00E3204D">
        <w:rPr>
          <w:szCs w:val="22"/>
        </w:rPr>
        <w:t>determination</w:t>
      </w:r>
      <w:r w:rsidRPr="00BC5754">
        <w:rPr>
          <w:szCs w:val="22"/>
        </w:rPr>
        <w:t>.</w:t>
      </w:r>
    </w:p>
    <w:p w14:paraId="314A9CB8" w14:textId="4586555C" w:rsidR="00FA06CA" w:rsidRPr="00BC5754" w:rsidRDefault="00FA06CA" w:rsidP="00FA06CA">
      <w:pPr>
        <w:keepNext/>
        <w:spacing w:before="720" w:line="240" w:lineRule="atLeast"/>
        <w:ind w:right="397"/>
        <w:jc w:val="both"/>
        <w:rPr>
          <w:szCs w:val="22"/>
        </w:rPr>
      </w:pPr>
      <w:r w:rsidRPr="00BC5754">
        <w:rPr>
          <w:szCs w:val="22"/>
        </w:rPr>
        <w:t xml:space="preserve">Dated </w:t>
      </w:r>
      <w:r w:rsidRPr="00BC5754">
        <w:rPr>
          <w:szCs w:val="22"/>
        </w:rPr>
        <w:tab/>
      </w:r>
      <w:r w:rsidRPr="00BC5754">
        <w:rPr>
          <w:szCs w:val="22"/>
        </w:rPr>
        <w:tab/>
      </w:r>
      <w:r w:rsidR="009A675C">
        <w:rPr>
          <w:szCs w:val="22"/>
        </w:rPr>
        <w:t xml:space="preserve">24 October </w:t>
      </w:r>
      <w:r w:rsidR="00F83F91">
        <w:rPr>
          <w:szCs w:val="22"/>
        </w:rPr>
        <w:t>202</w:t>
      </w:r>
      <w:r w:rsidR="00A25574">
        <w:rPr>
          <w:szCs w:val="22"/>
        </w:rPr>
        <w:t>4</w:t>
      </w:r>
    </w:p>
    <w:p w14:paraId="26063E98" w14:textId="01A9A7AA" w:rsidR="00FA06CA" w:rsidRPr="00BC5754" w:rsidRDefault="00FA06CA" w:rsidP="00E3204D">
      <w:pPr>
        <w:keepNext/>
        <w:tabs>
          <w:tab w:val="left" w:pos="3402"/>
        </w:tabs>
        <w:spacing w:before="1080" w:line="300" w:lineRule="atLeast"/>
        <w:ind w:right="397"/>
        <w:rPr>
          <w:szCs w:val="22"/>
        </w:rPr>
      </w:pPr>
    </w:p>
    <w:p w14:paraId="7485B651" w14:textId="577FC7D9" w:rsidR="00FA06CA" w:rsidRPr="00E3204D" w:rsidRDefault="00422C5B" w:rsidP="00FA06CA">
      <w:pPr>
        <w:keepNext/>
        <w:tabs>
          <w:tab w:val="left" w:pos="3402"/>
        </w:tabs>
        <w:spacing w:before="480" w:line="300" w:lineRule="atLeast"/>
        <w:ind w:right="397"/>
        <w:rPr>
          <w:szCs w:val="22"/>
          <w:highlight w:val="yellow"/>
        </w:rPr>
      </w:pPr>
      <w:r>
        <w:rPr>
          <w:szCs w:val="22"/>
        </w:rPr>
        <w:t>Dr Andrew Leigh</w:t>
      </w:r>
    </w:p>
    <w:p w14:paraId="48B027DA" w14:textId="48116EAD" w:rsidR="00FA06CA" w:rsidRPr="00BC5754" w:rsidRDefault="00B42E37" w:rsidP="00FA06CA">
      <w:pPr>
        <w:pStyle w:val="SignCoverPageEnd"/>
        <w:rPr>
          <w:szCs w:val="22"/>
        </w:rPr>
      </w:pPr>
      <w:r>
        <w:rPr>
          <w:szCs w:val="22"/>
        </w:rPr>
        <w:t xml:space="preserve">Assistant </w:t>
      </w:r>
      <w:r w:rsidRPr="008A64CB">
        <w:rPr>
          <w:szCs w:val="22"/>
        </w:rPr>
        <w:t>Minister for Competition, Charities and Treasury</w:t>
      </w:r>
      <w:r w:rsidR="00E3204D" w:rsidRPr="00E3204D">
        <w:rPr>
          <w:szCs w:val="22"/>
        </w:rPr>
        <w:br/>
      </w:r>
      <w:r w:rsidR="00E51538">
        <w:rPr>
          <w:szCs w:val="22"/>
        </w:rPr>
        <w:t>Parliamentary Secretary to the Treasurer</w:t>
      </w:r>
    </w:p>
    <w:p w14:paraId="28F5BBBA" w14:textId="77777777" w:rsidR="00FA06CA" w:rsidRPr="00BC5754" w:rsidRDefault="00FA06CA" w:rsidP="00FA06CA">
      <w:pPr>
        <w:rPr>
          <w:rStyle w:val="CharAmSchNo"/>
        </w:rPr>
      </w:pPr>
    </w:p>
    <w:p w14:paraId="762F86C3" w14:textId="77777777" w:rsidR="00FA06CA" w:rsidRPr="00ED79B6" w:rsidRDefault="00FA06CA" w:rsidP="00FA06CA">
      <w:pPr>
        <w:pStyle w:val="Header"/>
        <w:tabs>
          <w:tab w:val="clear" w:pos="4150"/>
          <w:tab w:val="clear" w:pos="8307"/>
        </w:tabs>
      </w:pPr>
      <w:r w:rsidRPr="00ED79B6">
        <w:rPr>
          <w:rStyle w:val="CharChapNo"/>
        </w:rPr>
        <w:t xml:space="preserve"> </w:t>
      </w:r>
      <w:r w:rsidRPr="00ED79B6">
        <w:rPr>
          <w:rStyle w:val="CharChapText"/>
        </w:rPr>
        <w:t xml:space="preserve"> </w:t>
      </w:r>
    </w:p>
    <w:p w14:paraId="1851EFE3" w14:textId="77777777" w:rsidR="00FA06CA" w:rsidRPr="00ED79B6" w:rsidRDefault="00FA06CA" w:rsidP="00FA06CA">
      <w:pPr>
        <w:pStyle w:val="Header"/>
        <w:tabs>
          <w:tab w:val="clear" w:pos="4150"/>
          <w:tab w:val="clear" w:pos="8307"/>
        </w:tabs>
      </w:pPr>
      <w:r w:rsidRPr="00ED79B6">
        <w:rPr>
          <w:rStyle w:val="CharPartNo"/>
        </w:rPr>
        <w:t xml:space="preserve"> </w:t>
      </w:r>
      <w:r w:rsidRPr="00ED79B6">
        <w:rPr>
          <w:rStyle w:val="CharPartText"/>
        </w:rPr>
        <w:t xml:space="preserve"> </w:t>
      </w:r>
    </w:p>
    <w:p w14:paraId="1A6C937C" w14:textId="77777777" w:rsidR="00FA06CA" w:rsidRPr="00ED79B6" w:rsidRDefault="00FA06CA" w:rsidP="00FA06CA">
      <w:pPr>
        <w:pStyle w:val="Header"/>
        <w:tabs>
          <w:tab w:val="clear" w:pos="4150"/>
          <w:tab w:val="clear" w:pos="8307"/>
        </w:tabs>
      </w:pPr>
      <w:r w:rsidRPr="00ED79B6">
        <w:rPr>
          <w:rStyle w:val="CharDivNo"/>
        </w:rPr>
        <w:t xml:space="preserve"> </w:t>
      </w:r>
      <w:r w:rsidRPr="00ED79B6">
        <w:rPr>
          <w:rStyle w:val="CharDivText"/>
        </w:rPr>
        <w:t xml:space="preserve"> </w:t>
      </w:r>
    </w:p>
    <w:p w14:paraId="5262C27B" w14:textId="77777777" w:rsidR="00FA06CA" w:rsidRDefault="00FA06CA" w:rsidP="00FA06CA">
      <w:pPr>
        <w:sectPr w:rsidR="00FA06CA">
          <w:headerReference w:type="even" r:id="rId13"/>
          <w:footerReference w:type="even"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14:paraId="31CBB8A2" w14:textId="5E8B4074" w:rsidR="00FA06CA" w:rsidRDefault="00FA06CA" w:rsidP="00FA06CA">
      <w:pPr>
        <w:outlineLvl w:val="0"/>
        <w:rPr>
          <w:sz w:val="36"/>
        </w:rPr>
      </w:pPr>
      <w:r w:rsidRPr="007A1328">
        <w:rPr>
          <w:sz w:val="36"/>
        </w:rPr>
        <w:lastRenderedPageBreak/>
        <w:t>Contents</w:t>
      </w:r>
    </w:p>
    <w:p w14:paraId="2731A8BC" w14:textId="2CA3C369" w:rsidR="000225CE" w:rsidRDefault="00FA06CA">
      <w:pPr>
        <w:pStyle w:val="TOC2"/>
        <w:rPr>
          <w:rFonts w:asciiTheme="minorHAnsi" w:eastAsiaTheme="minorEastAsia" w:hAnsiTheme="minorHAnsi" w:cstheme="minorBidi"/>
          <w:b w:val="0"/>
          <w:noProof/>
          <w:kern w:val="2"/>
          <w:sz w:val="22"/>
          <w:szCs w:val="22"/>
          <w14:ligatures w14:val="standardContextual"/>
        </w:rPr>
      </w:pPr>
      <w:r w:rsidRPr="000225CE">
        <w:fldChar w:fldCharType="begin"/>
      </w:r>
      <w:r>
        <w:instrText xml:space="preserve"> TOC \o "1-9" </w:instrText>
      </w:r>
      <w:r w:rsidRPr="000225CE">
        <w:fldChar w:fldCharType="separate"/>
      </w:r>
      <w:r w:rsidR="000225CE">
        <w:rPr>
          <w:noProof/>
        </w:rPr>
        <w:t>Part 1—Preliminary</w:t>
      </w:r>
      <w:r w:rsidR="000225CE">
        <w:rPr>
          <w:noProof/>
        </w:rPr>
        <w:tab/>
      </w:r>
      <w:r w:rsidR="000225CE" w:rsidRPr="000225CE">
        <w:rPr>
          <w:b w:val="0"/>
          <w:noProof/>
          <w:sz w:val="18"/>
        </w:rPr>
        <w:fldChar w:fldCharType="begin"/>
      </w:r>
      <w:r w:rsidR="000225CE" w:rsidRPr="000225CE">
        <w:rPr>
          <w:b w:val="0"/>
          <w:noProof/>
          <w:sz w:val="18"/>
        </w:rPr>
        <w:instrText xml:space="preserve"> PAGEREF _Toc180056649 \h </w:instrText>
      </w:r>
      <w:r w:rsidR="000225CE" w:rsidRPr="000225CE">
        <w:rPr>
          <w:b w:val="0"/>
          <w:noProof/>
          <w:sz w:val="18"/>
        </w:rPr>
      </w:r>
      <w:r w:rsidR="000225CE" w:rsidRPr="000225CE">
        <w:rPr>
          <w:b w:val="0"/>
          <w:noProof/>
          <w:sz w:val="18"/>
        </w:rPr>
        <w:fldChar w:fldCharType="separate"/>
      </w:r>
      <w:r w:rsidR="00F00C01">
        <w:rPr>
          <w:b w:val="0"/>
          <w:noProof/>
          <w:sz w:val="18"/>
        </w:rPr>
        <w:t>1</w:t>
      </w:r>
      <w:r w:rsidR="000225CE" w:rsidRPr="000225CE">
        <w:rPr>
          <w:b w:val="0"/>
          <w:noProof/>
          <w:sz w:val="18"/>
        </w:rPr>
        <w:fldChar w:fldCharType="end"/>
      </w:r>
    </w:p>
    <w:p w14:paraId="3723030C" w14:textId="20C56DAC" w:rsidR="000225CE" w:rsidRDefault="000225CE">
      <w:pPr>
        <w:pStyle w:val="TOC5"/>
        <w:rPr>
          <w:rFonts w:asciiTheme="minorHAnsi" w:eastAsiaTheme="minorEastAsia" w:hAnsiTheme="minorHAnsi" w:cstheme="minorBidi"/>
          <w:noProof/>
          <w:kern w:val="2"/>
          <w:sz w:val="22"/>
          <w:szCs w:val="22"/>
          <w14:ligatures w14:val="standardContextual"/>
        </w:rPr>
      </w:pPr>
      <w:r>
        <w:rPr>
          <w:noProof/>
        </w:rPr>
        <w:t>1  Name</w:t>
      </w:r>
      <w:r>
        <w:rPr>
          <w:noProof/>
        </w:rPr>
        <w:tab/>
      </w:r>
      <w:r>
        <w:rPr>
          <w:noProof/>
        </w:rPr>
        <w:tab/>
      </w:r>
      <w:r w:rsidRPr="000225CE">
        <w:rPr>
          <w:noProof/>
        </w:rPr>
        <w:fldChar w:fldCharType="begin"/>
      </w:r>
      <w:r w:rsidRPr="000225CE">
        <w:rPr>
          <w:noProof/>
        </w:rPr>
        <w:instrText xml:space="preserve"> PAGEREF _Toc180056650 \h </w:instrText>
      </w:r>
      <w:r w:rsidRPr="000225CE">
        <w:rPr>
          <w:noProof/>
        </w:rPr>
      </w:r>
      <w:r w:rsidRPr="000225CE">
        <w:rPr>
          <w:noProof/>
        </w:rPr>
        <w:fldChar w:fldCharType="separate"/>
      </w:r>
      <w:r w:rsidR="00F00C01">
        <w:rPr>
          <w:noProof/>
        </w:rPr>
        <w:t>1</w:t>
      </w:r>
      <w:r w:rsidRPr="000225CE">
        <w:rPr>
          <w:noProof/>
        </w:rPr>
        <w:fldChar w:fldCharType="end"/>
      </w:r>
    </w:p>
    <w:p w14:paraId="5538B987" w14:textId="012F4FEB" w:rsidR="000225CE" w:rsidRDefault="000225CE">
      <w:pPr>
        <w:pStyle w:val="TOC5"/>
        <w:rPr>
          <w:rFonts w:asciiTheme="minorHAnsi" w:eastAsiaTheme="minorEastAsia" w:hAnsiTheme="minorHAnsi" w:cstheme="minorBidi"/>
          <w:noProof/>
          <w:kern w:val="2"/>
          <w:sz w:val="22"/>
          <w:szCs w:val="22"/>
          <w14:ligatures w14:val="standardContextual"/>
        </w:rPr>
      </w:pPr>
      <w:r>
        <w:rPr>
          <w:noProof/>
        </w:rPr>
        <w:t>2  Commencement</w:t>
      </w:r>
      <w:r>
        <w:rPr>
          <w:noProof/>
        </w:rPr>
        <w:tab/>
      </w:r>
      <w:r w:rsidRPr="000225CE">
        <w:rPr>
          <w:noProof/>
        </w:rPr>
        <w:fldChar w:fldCharType="begin"/>
      </w:r>
      <w:r w:rsidRPr="000225CE">
        <w:rPr>
          <w:noProof/>
        </w:rPr>
        <w:instrText xml:space="preserve"> PAGEREF _Toc180056651 \h </w:instrText>
      </w:r>
      <w:r w:rsidRPr="000225CE">
        <w:rPr>
          <w:noProof/>
        </w:rPr>
      </w:r>
      <w:r w:rsidRPr="000225CE">
        <w:rPr>
          <w:noProof/>
        </w:rPr>
        <w:fldChar w:fldCharType="separate"/>
      </w:r>
      <w:r w:rsidR="00F00C01">
        <w:rPr>
          <w:noProof/>
        </w:rPr>
        <w:t>1</w:t>
      </w:r>
      <w:r w:rsidRPr="000225CE">
        <w:rPr>
          <w:noProof/>
        </w:rPr>
        <w:fldChar w:fldCharType="end"/>
      </w:r>
    </w:p>
    <w:p w14:paraId="7C324588" w14:textId="63CC6AE2" w:rsidR="000225CE" w:rsidRDefault="000225CE">
      <w:pPr>
        <w:pStyle w:val="TOC5"/>
        <w:rPr>
          <w:rFonts w:asciiTheme="minorHAnsi" w:eastAsiaTheme="minorEastAsia" w:hAnsiTheme="minorHAnsi" w:cstheme="minorBidi"/>
          <w:noProof/>
          <w:kern w:val="2"/>
          <w:sz w:val="22"/>
          <w:szCs w:val="22"/>
          <w14:ligatures w14:val="standardContextual"/>
        </w:rPr>
      </w:pPr>
      <w:r>
        <w:rPr>
          <w:noProof/>
        </w:rPr>
        <w:t>3  Authority</w:t>
      </w:r>
      <w:r>
        <w:rPr>
          <w:noProof/>
        </w:rPr>
        <w:tab/>
      </w:r>
      <w:r w:rsidRPr="000225CE">
        <w:rPr>
          <w:noProof/>
        </w:rPr>
        <w:fldChar w:fldCharType="begin"/>
      </w:r>
      <w:r w:rsidRPr="000225CE">
        <w:rPr>
          <w:noProof/>
        </w:rPr>
        <w:instrText xml:space="preserve"> PAGEREF _Toc180056652 \h </w:instrText>
      </w:r>
      <w:r w:rsidRPr="000225CE">
        <w:rPr>
          <w:noProof/>
        </w:rPr>
      </w:r>
      <w:r w:rsidRPr="000225CE">
        <w:rPr>
          <w:noProof/>
        </w:rPr>
        <w:fldChar w:fldCharType="separate"/>
      </w:r>
      <w:r w:rsidR="00F00C01">
        <w:rPr>
          <w:noProof/>
        </w:rPr>
        <w:t>1</w:t>
      </w:r>
      <w:r w:rsidRPr="000225CE">
        <w:rPr>
          <w:noProof/>
        </w:rPr>
        <w:fldChar w:fldCharType="end"/>
      </w:r>
    </w:p>
    <w:p w14:paraId="2FA27C47" w14:textId="4A57832E" w:rsidR="000225CE" w:rsidRDefault="000225CE">
      <w:pPr>
        <w:pStyle w:val="TOC5"/>
        <w:rPr>
          <w:rFonts w:asciiTheme="minorHAnsi" w:eastAsiaTheme="minorEastAsia" w:hAnsiTheme="minorHAnsi" w:cstheme="minorBidi"/>
          <w:noProof/>
          <w:kern w:val="2"/>
          <w:sz w:val="22"/>
          <w:szCs w:val="22"/>
          <w14:ligatures w14:val="standardContextual"/>
        </w:rPr>
      </w:pPr>
      <w:r>
        <w:rPr>
          <w:noProof/>
        </w:rPr>
        <w:t>4  Definitions</w:t>
      </w:r>
      <w:r>
        <w:rPr>
          <w:noProof/>
        </w:rPr>
        <w:tab/>
      </w:r>
      <w:r w:rsidRPr="000225CE">
        <w:rPr>
          <w:noProof/>
        </w:rPr>
        <w:fldChar w:fldCharType="begin"/>
      </w:r>
      <w:r w:rsidRPr="000225CE">
        <w:rPr>
          <w:noProof/>
        </w:rPr>
        <w:instrText xml:space="preserve"> PAGEREF _Toc180056653 \h </w:instrText>
      </w:r>
      <w:r w:rsidRPr="000225CE">
        <w:rPr>
          <w:noProof/>
        </w:rPr>
      </w:r>
      <w:r w:rsidRPr="000225CE">
        <w:rPr>
          <w:noProof/>
        </w:rPr>
        <w:fldChar w:fldCharType="separate"/>
      </w:r>
      <w:r w:rsidR="00F00C01">
        <w:rPr>
          <w:noProof/>
        </w:rPr>
        <w:t>1</w:t>
      </w:r>
      <w:r w:rsidRPr="000225CE">
        <w:rPr>
          <w:noProof/>
        </w:rPr>
        <w:fldChar w:fldCharType="end"/>
      </w:r>
    </w:p>
    <w:p w14:paraId="07866BAA" w14:textId="18BABF35" w:rsidR="000225CE" w:rsidRDefault="000225CE">
      <w:pPr>
        <w:pStyle w:val="TOC2"/>
        <w:rPr>
          <w:rFonts w:asciiTheme="minorHAnsi" w:eastAsiaTheme="minorEastAsia" w:hAnsiTheme="minorHAnsi" w:cstheme="minorBidi"/>
          <w:b w:val="0"/>
          <w:noProof/>
          <w:kern w:val="2"/>
          <w:sz w:val="22"/>
          <w:szCs w:val="22"/>
          <w14:ligatures w14:val="standardContextual"/>
        </w:rPr>
      </w:pPr>
      <w:r>
        <w:rPr>
          <w:noProof/>
        </w:rPr>
        <w:t>Part 2—GST revenue determination for 2023-24</w:t>
      </w:r>
      <w:r>
        <w:rPr>
          <w:noProof/>
        </w:rPr>
        <w:tab/>
      </w:r>
      <w:r w:rsidRPr="000225CE">
        <w:rPr>
          <w:b w:val="0"/>
          <w:noProof/>
          <w:sz w:val="18"/>
        </w:rPr>
        <w:fldChar w:fldCharType="begin"/>
      </w:r>
      <w:r w:rsidRPr="000225CE">
        <w:rPr>
          <w:b w:val="0"/>
          <w:noProof/>
          <w:sz w:val="18"/>
        </w:rPr>
        <w:instrText xml:space="preserve"> PAGEREF _Toc180056654 \h </w:instrText>
      </w:r>
      <w:r w:rsidRPr="000225CE">
        <w:rPr>
          <w:b w:val="0"/>
          <w:noProof/>
          <w:sz w:val="18"/>
        </w:rPr>
      </w:r>
      <w:r w:rsidRPr="000225CE">
        <w:rPr>
          <w:b w:val="0"/>
          <w:noProof/>
          <w:sz w:val="18"/>
        </w:rPr>
        <w:fldChar w:fldCharType="separate"/>
      </w:r>
      <w:r w:rsidR="00F00C01">
        <w:rPr>
          <w:b w:val="0"/>
          <w:noProof/>
          <w:sz w:val="18"/>
        </w:rPr>
        <w:t>2</w:t>
      </w:r>
      <w:r w:rsidRPr="000225CE">
        <w:rPr>
          <w:b w:val="0"/>
          <w:noProof/>
          <w:sz w:val="18"/>
        </w:rPr>
        <w:fldChar w:fldCharType="end"/>
      </w:r>
    </w:p>
    <w:p w14:paraId="4ADD1141" w14:textId="4B7E2FCC" w:rsidR="000225CE" w:rsidRDefault="000225CE">
      <w:pPr>
        <w:pStyle w:val="TOC5"/>
        <w:rPr>
          <w:rFonts w:asciiTheme="minorHAnsi" w:eastAsiaTheme="minorEastAsia" w:hAnsiTheme="minorHAnsi" w:cstheme="minorBidi"/>
          <w:noProof/>
          <w:kern w:val="2"/>
          <w:sz w:val="22"/>
          <w:szCs w:val="22"/>
          <w14:ligatures w14:val="standardContextual"/>
        </w:rPr>
      </w:pPr>
      <w:r>
        <w:rPr>
          <w:noProof/>
        </w:rPr>
        <w:t>5  GST revenue for the 2023-24 payment year</w:t>
      </w:r>
      <w:r>
        <w:rPr>
          <w:noProof/>
        </w:rPr>
        <w:tab/>
      </w:r>
      <w:r w:rsidRPr="000225CE">
        <w:rPr>
          <w:noProof/>
        </w:rPr>
        <w:fldChar w:fldCharType="begin"/>
      </w:r>
      <w:r w:rsidRPr="000225CE">
        <w:rPr>
          <w:noProof/>
        </w:rPr>
        <w:instrText xml:space="preserve"> PAGEREF _Toc180056655 \h </w:instrText>
      </w:r>
      <w:r w:rsidRPr="000225CE">
        <w:rPr>
          <w:noProof/>
        </w:rPr>
      </w:r>
      <w:r w:rsidRPr="000225CE">
        <w:rPr>
          <w:noProof/>
        </w:rPr>
        <w:fldChar w:fldCharType="separate"/>
      </w:r>
      <w:r w:rsidR="00F00C01">
        <w:rPr>
          <w:noProof/>
        </w:rPr>
        <w:t>2</w:t>
      </w:r>
      <w:r w:rsidRPr="000225CE">
        <w:rPr>
          <w:noProof/>
        </w:rPr>
        <w:fldChar w:fldCharType="end"/>
      </w:r>
    </w:p>
    <w:p w14:paraId="1DEBC2CE" w14:textId="6B4E8591" w:rsidR="000225CE" w:rsidRPr="000225CE" w:rsidRDefault="000225CE">
      <w:pPr>
        <w:pStyle w:val="TOC5"/>
        <w:rPr>
          <w:rFonts w:asciiTheme="minorHAnsi" w:eastAsiaTheme="minorEastAsia" w:hAnsiTheme="minorHAnsi" w:cstheme="minorBidi"/>
          <w:noProof/>
          <w:kern w:val="2"/>
          <w:szCs w:val="22"/>
          <w14:ligatures w14:val="standardContextual"/>
        </w:rPr>
      </w:pPr>
      <w:r>
        <w:rPr>
          <w:noProof/>
        </w:rPr>
        <w:t>6  Determination of amounts used to calculate GST revenue for the 2023</w:t>
      </w:r>
      <w:r>
        <w:rPr>
          <w:noProof/>
        </w:rPr>
        <w:noBreakHyphen/>
        <w:t>24 payment year</w:t>
      </w:r>
      <w:r>
        <w:rPr>
          <w:noProof/>
        </w:rPr>
        <w:tab/>
      </w:r>
      <w:r w:rsidRPr="000225CE">
        <w:rPr>
          <w:noProof/>
        </w:rPr>
        <w:fldChar w:fldCharType="begin"/>
      </w:r>
      <w:r w:rsidRPr="000225CE">
        <w:rPr>
          <w:noProof/>
        </w:rPr>
        <w:instrText xml:space="preserve"> PAGEREF _Toc180056656 \h </w:instrText>
      </w:r>
      <w:r w:rsidRPr="000225CE">
        <w:rPr>
          <w:noProof/>
        </w:rPr>
      </w:r>
      <w:r w:rsidRPr="000225CE">
        <w:rPr>
          <w:noProof/>
        </w:rPr>
        <w:fldChar w:fldCharType="separate"/>
      </w:r>
      <w:r w:rsidR="00F00C01">
        <w:rPr>
          <w:noProof/>
        </w:rPr>
        <w:t>2</w:t>
      </w:r>
      <w:r w:rsidRPr="000225CE">
        <w:rPr>
          <w:noProof/>
        </w:rPr>
        <w:fldChar w:fldCharType="end"/>
      </w:r>
    </w:p>
    <w:p w14:paraId="7AFD2338" w14:textId="789D2AA8" w:rsidR="00FA06CA" w:rsidRDefault="00FA06CA" w:rsidP="00FA06CA">
      <w:r w:rsidRPr="000225CE">
        <w:rPr>
          <w:sz w:val="18"/>
        </w:rPr>
        <w:fldChar w:fldCharType="end"/>
      </w:r>
    </w:p>
    <w:p w14:paraId="5C3D09DD" w14:textId="77777777" w:rsidR="00FA06CA" w:rsidRDefault="00FA06CA" w:rsidP="00FA06CA">
      <w:pPr>
        <w:sectPr w:rsidR="00FA06CA">
          <w:headerReference w:type="even" r:id="rId18"/>
          <w:headerReference w:type="default" r:id="rId19"/>
          <w:footerReference w:type="even" r:id="rId20"/>
          <w:footerReference w:type="default" r:id="rId21"/>
          <w:headerReference w:type="first" r:id="rId22"/>
          <w:pgSz w:w="11907" w:h="16839"/>
          <w:pgMar w:top="2099" w:right="1797" w:bottom="1440" w:left="1797" w:header="720" w:footer="709" w:gutter="0"/>
          <w:pgNumType w:fmt="lowerRoman" w:start="1"/>
          <w:cols w:space="708"/>
          <w:docGrid w:linePitch="360"/>
        </w:sectPr>
      </w:pPr>
    </w:p>
    <w:p w14:paraId="7FB2CB77" w14:textId="7E4D2C91" w:rsidR="00FA06CA" w:rsidRDefault="008A53E0" w:rsidP="008A53E0">
      <w:pPr>
        <w:pStyle w:val="ActHead2"/>
        <w:pageBreakBefore/>
        <w:rPr>
          <w:lang w:eastAsia="en-US"/>
        </w:rPr>
      </w:pPr>
      <w:bookmarkStart w:id="16" w:name="_Toc180056649"/>
      <w:bookmarkStart w:id="17" w:name="_Hlk116287786"/>
      <w:r w:rsidRPr="008A53E0">
        <w:rPr>
          <w:rStyle w:val="CharPartNo"/>
        </w:rPr>
        <w:lastRenderedPageBreak/>
        <w:t>Part 1</w:t>
      </w:r>
      <w:r>
        <w:t>—</w:t>
      </w:r>
      <w:r w:rsidRPr="008A53E0">
        <w:rPr>
          <w:rStyle w:val="CharPartText"/>
        </w:rPr>
        <w:t>Preliminary</w:t>
      </w:r>
      <w:bookmarkEnd w:id="16"/>
    </w:p>
    <w:p w14:paraId="09349F60" w14:textId="77777777" w:rsidR="00FA06CA" w:rsidRDefault="00FA06CA" w:rsidP="00FA06CA">
      <w:pPr>
        <w:pStyle w:val="ActHead5"/>
      </w:pPr>
      <w:bookmarkStart w:id="18" w:name="_Toc180056650"/>
      <w:r w:rsidRPr="00C2746F">
        <w:rPr>
          <w:rStyle w:val="CharSectno"/>
        </w:rPr>
        <w:t>1</w:t>
      </w:r>
      <w:r>
        <w:t xml:space="preserve">  Name</w:t>
      </w:r>
      <w:bookmarkEnd w:id="18"/>
    </w:p>
    <w:p w14:paraId="42D2E531" w14:textId="084FF0CF" w:rsidR="00FA06CA" w:rsidRPr="009A038B" w:rsidRDefault="00FA06CA" w:rsidP="00FA06CA">
      <w:pPr>
        <w:pStyle w:val="subsection"/>
      </w:pPr>
      <w:r w:rsidRPr="009A038B">
        <w:tab/>
      </w:r>
      <w:r w:rsidRPr="009A038B">
        <w:tab/>
      </w:r>
      <w:r>
        <w:t xml:space="preserve">This instrument is the </w:t>
      </w:r>
      <w:r w:rsidR="00E3204D" w:rsidRPr="00E3204D">
        <w:rPr>
          <w:i/>
          <w:noProof/>
        </w:rPr>
        <w:t>Federal Financial Relations (GST Revenue for 202</w:t>
      </w:r>
      <w:r w:rsidR="00D0746D">
        <w:rPr>
          <w:i/>
          <w:noProof/>
        </w:rPr>
        <w:t>3</w:t>
      </w:r>
      <w:r w:rsidR="00E3204D" w:rsidRPr="00E3204D">
        <w:rPr>
          <w:i/>
          <w:noProof/>
        </w:rPr>
        <w:t>-2</w:t>
      </w:r>
      <w:r w:rsidR="00D0746D">
        <w:rPr>
          <w:i/>
          <w:noProof/>
        </w:rPr>
        <w:t>4</w:t>
      </w:r>
      <w:r w:rsidR="00E3204D" w:rsidRPr="00E3204D">
        <w:rPr>
          <w:i/>
          <w:noProof/>
        </w:rPr>
        <w:t>) Determination 202</w:t>
      </w:r>
      <w:r w:rsidR="00D0746D">
        <w:rPr>
          <w:i/>
          <w:noProof/>
        </w:rPr>
        <w:t>4</w:t>
      </w:r>
      <w:r w:rsidR="00E3204D" w:rsidRPr="00E3204D">
        <w:rPr>
          <w:i/>
          <w:noProof/>
        </w:rPr>
        <w:t>.</w:t>
      </w:r>
    </w:p>
    <w:p w14:paraId="2FAF4EEF" w14:textId="77777777" w:rsidR="00FA06CA" w:rsidRDefault="00FA06CA" w:rsidP="00FA06CA">
      <w:pPr>
        <w:pStyle w:val="ActHead5"/>
      </w:pPr>
      <w:bookmarkStart w:id="19" w:name="_Toc180056651"/>
      <w:r w:rsidRPr="009A038B">
        <w:rPr>
          <w:rStyle w:val="CharSectno"/>
        </w:rPr>
        <w:t>2</w:t>
      </w:r>
      <w:r w:rsidRPr="009A038B">
        <w:t xml:space="preserve">  Commencement</w:t>
      </w:r>
      <w:bookmarkEnd w:id="19"/>
    </w:p>
    <w:p w14:paraId="73740143" w14:textId="158293A5" w:rsidR="00FA06CA" w:rsidRDefault="00FA06CA" w:rsidP="00FA06CA">
      <w:pPr>
        <w:pStyle w:val="subsection"/>
      </w:pPr>
      <w:r>
        <w:tab/>
        <w:t>(1)</w:t>
      </w:r>
      <w:r>
        <w:tab/>
        <w:t xml:space="preserve">Each provision of </w:t>
      </w:r>
      <w:r w:rsidR="00F97E06">
        <w:t xml:space="preserve">this </w:t>
      </w:r>
      <w:r>
        <w:t>instrument specified in column 1 of the table commences, or is taken to have commenced, in accordance with column 2 of the table. Any other statement in column 2 has effect according to its terms.</w:t>
      </w:r>
    </w:p>
    <w:p w14:paraId="44614A65" w14:textId="77777777" w:rsidR="00FA06CA" w:rsidRDefault="00FA06CA" w:rsidP="00FA06CA">
      <w:pPr>
        <w:pStyle w:val="Tabletext"/>
      </w:pPr>
    </w:p>
    <w:tbl>
      <w:tblPr>
        <w:tblW w:w="8364" w:type="dxa"/>
        <w:tblInd w:w="107" w:type="dxa"/>
        <w:tblLayout w:type="fixed"/>
        <w:tblCellMar>
          <w:left w:w="107" w:type="dxa"/>
          <w:right w:w="107" w:type="dxa"/>
        </w:tblCellMar>
        <w:tblLook w:val="04A0" w:firstRow="1" w:lastRow="0" w:firstColumn="1" w:lastColumn="0" w:noHBand="0" w:noVBand="1"/>
      </w:tblPr>
      <w:tblGrid>
        <w:gridCol w:w="2127"/>
        <w:gridCol w:w="4394"/>
        <w:gridCol w:w="1843"/>
      </w:tblGrid>
      <w:tr w:rsidR="00FA06CA" w14:paraId="567C5048" w14:textId="77777777" w:rsidTr="00237C24">
        <w:trPr>
          <w:cantSplit/>
          <w:tblHeader/>
        </w:trPr>
        <w:tc>
          <w:tcPr>
            <w:tcW w:w="8364" w:type="dxa"/>
            <w:gridSpan w:val="3"/>
            <w:tcBorders>
              <w:top w:val="single" w:sz="12" w:space="0" w:color="auto"/>
              <w:left w:val="nil"/>
              <w:bottom w:val="single" w:sz="6" w:space="0" w:color="auto"/>
              <w:right w:val="nil"/>
            </w:tcBorders>
            <w:hideMark/>
          </w:tcPr>
          <w:p w14:paraId="636FE3A0" w14:textId="77777777" w:rsidR="00FA06CA" w:rsidRPr="00416235" w:rsidRDefault="00FA06CA">
            <w:pPr>
              <w:pStyle w:val="TableHeading"/>
            </w:pPr>
            <w:r w:rsidRPr="00416235">
              <w:t>Commencement information</w:t>
            </w:r>
          </w:p>
        </w:tc>
      </w:tr>
      <w:tr w:rsidR="00FA06CA" w:rsidRPr="00416235" w14:paraId="16F29E8D" w14:textId="77777777" w:rsidTr="00237C24">
        <w:trPr>
          <w:cantSplit/>
          <w:tblHeader/>
        </w:trPr>
        <w:tc>
          <w:tcPr>
            <w:tcW w:w="2127" w:type="dxa"/>
            <w:tcBorders>
              <w:top w:val="single" w:sz="6" w:space="0" w:color="auto"/>
              <w:left w:val="nil"/>
              <w:bottom w:val="single" w:sz="6" w:space="0" w:color="auto"/>
              <w:right w:val="nil"/>
            </w:tcBorders>
            <w:hideMark/>
          </w:tcPr>
          <w:p w14:paraId="7A20CE38" w14:textId="77777777" w:rsidR="00FA06CA" w:rsidRPr="00416235" w:rsidRDefault="00FA06CA">
            <w:pPr>
              <w:pStyle w:val="TableHeading"/>
            </w:pPr>
            <w:r w:rsidRPr="00416235">
              <w:t>Column 1</w:t>
            </w:r>
          </w:p>
        </w:tc>
        <w:tc>
          <w:tcPr>
            <w:tcW w:w="4394" w:type="dxa"/>
            <w:tcBorders>
              <w:top w:val="single" w:sz="6" w:space="0" w:color="auto"/>
              <w:left w:val="nil"/>
              <w:bottom w:val="single" w:sz="6" w:space="0" w:color="auto"/>
              <w:right w:val="nil"/>
            </w:tcBorders>
            <w:hideMark/>
          </w:tcPr>
          <w:p w14:paraId="5794220B" w14:textId="77777777" w:rsidR="00FA06CA" w:rsidRPr="00416235" w:rsidRDefault="00FA06CA">
            <w:pPr>
              <w:pStyle w:val="TableHeading"/>
            </w:pPr>
            <w:r w:rsidRPr="00416235">
              <w:t>Column 2</w:t>
            </w:r>
          </w:p>
        </w:tc>
        <w:tc>
          <w:tcPr>
            <w:tcW w:w="1843" w:type="dxa"/>
            <w:tcBorders>
              <w:top w:val="single" w:sz="6" w:space="0" w:color="auto"/>
              <w:left w:val="nil"/>
              <w:bottom w:val="single" w:sz="6" w:space="0" w:color="auto"/>
              <w:right w:val="nil"/>
            </w:tcBorders>
            <w:hideMark/>
          </w:tcPr>
          <w:p w14:paraId="68EAE8D2" w14:textId="77777777" w:rsidR="00FA06CA" w:rsidRPr="00416235" w:rsidRDefault="00FA06CA">
            <w:pPr>
              <w:pStyle w:val="TableHeading"/>
            </w:pPr>
            <w:r w:rsidRPr="00416235">
              <w:t>Column 3</w:t>
            </w:r>
          </w:p>
        </w:tc>
      </w:tr>
      <w:tr w:rsidR="00FA06CA" w14:paraId="6C190D68" w14:textId="77777777" w:rsidTr="00237C24">
        <w:trPr>
          <w:cantSplit/>
          <w:tblHeader/>
        </w:trPr>
        <w:tc>
          <w:tcPr>
            <w:tcW w:w="2127" w:type="dxa"/>
            <w:tcBorders>
              <w:top w:val="single" w:sz="6" w:space="0" w:color="auto"/>
              <w:left w:val="nil"/>
              <w:bottom w:val="single" w:sz="12" w:space="0" w:color="auto"/>
              <w:right w:val="nil"/>
            </w:tcBorders>
            <w:hideMark/>
          </w:tcPr>
          <w:p w14:paraId="74B94E07" w14:textId="77777777" w:rsidR="00FA06CA" w:rsidRPr="00416235" w:rsidRDefault="00FA06CA">
            <w:pPr>
              <w:pStyle w:val="TableHeading"/>
            </w:pPr>
            <w:r w:rsidRPr="00416235">
              <w:t>Provisions</w:t>
            </w:r>
          </w:p>
        </w:tc>
        <w:tc>
          <w:tcPr>
            <w:tcW w:w="4394" w:type="dxa"/>
            <w:tcBorders>
              <w:top w:val="single" w:sz="6" w:space="0" w:color="auto"/>
              <w:left w:val="nil"/>
              <w:bottom w:val="single" w:sz="12" w:space="0" w:color="auto"/>
              <w:right w:val="nil"/>
            </w:tcBorders>
            <w:hideMark/>
          </w:tcPr>
          <w:p w14:paraId="03F35556" w14:textId="77777777" w:rsidR="00FA06CA" w:rsidRPr="00416235" w:rsidRDefault="00FA06CA">
            <w:pPr>
              <w:pStyle w:val="TableHeading"/>
            </w:pPr>
            <w:r w:rsidRPr="00416235">
              <w:t>Commencement</w:t>
            </w:r>
          </w:p>
        </w:tc>
        <w:tc>
          <w:tcPr>
            <w:tcW w:w="1843" w:type="dxa"/>
            <w:tcBorders>
              <w:top w:val="single" w:sz="6" w:space="0" w:color="auto"/>
              <w:left w:val="nil"/>
              <w:bottom w:val="single" w:sz="12" w:space="0" w:color="auto"/>
              <w:right w:val="nil"/>
            </w:tcBorders>
            <w:hideMark/>
          </w:tcPr>
          <w:p w14:paraId="291D8236" w14:textId="77777777" w:rsidR="00FA06CA" w:rsidRPr="00416235" w:rsidRDefault="00FA06CA">
            <w:pPr>
              <w:pStyle w:val="TableHeading"/>
            </w:pPr>
            <w:r w:rsidRPr="00416235">
              <w:t>Date/Details</w:t>
            </w:r>
          </w:p>
        </w:tc>
      </w:tr>
      <w:tr w:rsidR="00FA06CA" w14:paraId="02B5DA6F" w14:textId="77777777" w:rsidTr="00237C24">
        <w:trPr>
          <w:cantSplit/>
        </w:trPr>
        <w:tc>
          <w:tcPr>
            <w:tcW w:w="2127" w:type="dxa"/>
            <w:tcBorders>
              <w:top w:val="single" w:sz="2" w:space="0" w:color="auto"/>
              <w:left w:val="nil"/>
              <w:bottom w:val="single" w:sz="12" w:space="0" w:color="auto"/>
              <w:right w:val="nil"/>
            </w:tcBorders>
            <w:hideMark/>
          </w:tcPr>
          <w:p w14:paraId="18F84A0E" w14:textId="0A8A9591" w:rsidR="00FA06CA" w:rsidRDefault="00237C24">
            <w:pPr>
              <w:pStyle w:val="Tabletext"/>
            </w:pPr>
            <w:r>
              <w:t xml:space="preserve">1. </w:t>
            </w:r>
            <w:r w:rsidR="00FA06CA">
              <w:t xml:space="preserve"> </w:t>
            </w:r>
            <w:r>
              <w:t>The whole of this instrument</w:t>
            </w:r>
          </w:p>
        </w:tc>
        <w:tc>
          <w:tcPr>
            <w:tcW w:w="4394" w:type="dxa"/>
            <w:tcBorders>
              <w:top w:val="single" w:sz="2" w:space="0" w:color="auto"/>
              <w:left w:val="nil"/>
              <w:bottom w:val="single" w:sz="12" w:space="0" w:color="auto"/>
              <w:right w:val="nil"/>
            </w:tcBorders>
          </w:tcPr>
          <w:p w14:paraId="083DBEAD" w14:textId="11D816C4" w:rsidR="00FA06CA" w:rsidRDefault="00237C24">
            <w:pPr>
              <w:pStyle w:val="Tabletext"/>
            </w:pPr>
            <w:r>
              <w:t>The day after this instrument is registered.</w:t>
            </w:r>
          </w:p>
        </w:tc>
        <w:tc>
          <w:tcPr>
            <w:tcW w:w="1843" w:type="dxa"/>
            <w:tcBorders>
              <w:top w:val="single" w:sz="2" w:space="0" w:color="auto"/>
              <w:left w:val="nil"/>
              <w:bottom w:val="single" w:sz="12" w:space="0" w:color="auto"/>
              <w:right w:val="nil"/>
            </w:tcBorders>
          </w:tcPr>
          <w:p w14:paraId="43C8A02E" w14:textId="77777777" w:rsidR="00FA06CA" w:rsidRDefault="00FA06CA">
            <w:pPr>
              <w:pStyle w:val="Tabletext"/>
            </w:pPr>
          </w:p>
        </w:tc>
      </w:tr>
    </w:tbl>
    <w:p w14:paraId="15898003" w14:textId="77777777" w:rsidR="00FA06CA" w:rsidRPr="001E6DD6" w:rsidRDefault="00FA06CA" w:rsidP="00FA06CA">
      <w:pPr>
        <w:pStyle w:val="notetext"/>
      </w:pPr>
      <w:r w:rsidRPr="005F477A">
        <w:rPr>
          <w:snapToGrid w:val="0"/>
          <w:lang w:eastAsia="en-US"/>
        </w:rPr>
        <w:t>Note:</w:t>
      </w:r>
      <w:r w:rsidRPr="005F477A">
        <w:rPr>
          <w:snapToGrid w:val="0"/>
          <w:lang w:eastAsia="en-US"/>
        </w:rPr>
        <w:tab/>
        <w:t xml:space="preserve">This table relates only to the provisions of this </w:t>
      </w:r>
      <w:r>
        <w:t xml:space="preserve">instrument </w:t>
      </w:r>
      <w:r w:rsidRPr="005F477A">
        <w:rPr>
          <w:snapToGrid w:val="0"/>
          <w:lang w:eastAsia="en-US"/>
        </w:rPr>
        <w:t xml:space="preserve">as originally </w:t>
      </w:r>
      <w:r>
        <w:rPr>
          <w:snapToGrid w:val="0"/>
          <w:lang w:eastAsia="en-US"/>
        </w:rPr>
        <w:t>made</w:t>
      </w:r>
      <w:r w:rsidRPr="005F477A">
        <w:rPr>
          <w:snapToGrid w:val="0"/>
          <w:lang w:eastAsia="en-US"/>
        </w:rPr>
        <w:t xml:space="preserve">. It will not be amended to deal with any later amendments of this </w:t>
      </w:r>
      <w:r>
        <w:rPr>
          <w:snapToGrid w:val="0"/>
          <w:lang w:eastAsia="en-US"/>
        </w:rPr>
        <w:t>instrument</w:t>
      </w:r>
      <w:r w:rsidRPr="005F477A">
        <w:rPr>
          <w:snapToGrid w:val="0"/>
          <w:lang w:eastAsia="en-US"/>
        </w:rPr>
        <w:t>.</w:t>
      </w:r>
    </w:p>
    <w:p w14:paraId="5700A298" w14:textId="77777777" w:rsidR="00FA06CA" w:rsidRPr="00FB7638" w:rsidRDefault="00FA06CA" w:rsidP="00FA06CA">
      <w:pPr>
        <w:pStyle w:val="subsection"/>
      </w:pPr>
      <w:r>
        <w:tab/>
        <w:t>(2)</w:t>
      </w:r>
      <w:r>
        <w:tab/>
      </w:r>
      <w:r w:rsidRPr="005F477A">
        <w:t xml:space="preserve">Any information in </w:t>
      </w:r>
      <w:r>
        <w:t>c</w:t>
      </w:r>
      <w:r w:rsidRPr="005F477A">
        <w:t xml:space="preserve">olumn 3 of the table is not part of this </w:t>
      </w:r>
      <w:r>
        <w:t>instrument</w:t>
      </w:r>
      <w:r w:rsidRPr="005F477A">
        <w:t xml:space="preserve">. Information may be inserted in this column, or information in it may be edited, in any published version of this </w:t>
      </w:r>
      <w:r>
        <w:t>instrument</w:t>
      </w:r>
      <w:r w:rsidRPr="005F477A">
        <w:t>.</w:t>
      </w:r>
    </w:p>
    <w:p w14:paraId="4E6A9834" w14:textId="77777777" w:rsidR="00FA06CA" w:rsidRDefault="00FA06CA" w:rsidP="00FA06CA">
      <w:pPr>
        <w:pStyle w:val="ActHead5"/>
      </w:pPr>
      <w:bookmarkStart w:id="20" w:name="_Toc180056652"/>
      <w:r w:rsidRPr="00C2746F">
        <w:rPr>
          <w:rStyle w:val="CharSectno"/>
        </w:rPr>
        <w:t>3</w:t>
      </w:r>
      <w:r>
        <w:t xml:space="preserve">  Authority</w:t>
      </w:r>
      <w:bookmarkEnd w:id="20"/>
    </w:p>
    <w:p w14:paraId="6A5DEDD0" w14:textId="6F6D585D" w:rsidR="00FA06CA" w:rsidRDefault="00FA06CA" w:rsidP="00FA06CA">
      <w:pPr>
        <w:pStyle w:val="subsection"/>
      </w:pPr>
      <w:r>
        <w:tab/>
      </w:r>
      <w:r>
        <w:tab/>
        <w:t>This instrument is made under the</w:t>
      </w:r>
      <w:r w:rsidRPr="00FD30C3">
        <w:t xml:space="preserve"> </w:t>
      </w:r>
      <w:r w:rsidR="00237C24" w:rsidRPr="009960AE">
        <w:rPr>
          <w:i/>
        </w:rPr>
        <w:t>Federal Financial Relations Act 2009</w:t>
      </w:r>
      <w:r w:rsidR="00237C24" w:rsidRPr="009960AE">
        <w:t>.</w:t>
      </w:r>
    </w:p>
    <w:p w14:paraId="50E3DA33" w14:textId="74AD871A" w:rsidR="00237C24" w:rsidRDefault="00237C24" w:rsidP="00237C24">
      <w:pPr>
        <w:pStyle w:val="ActHead5"/>
      </w:pPr>
      <w:bookmarkStart w:id="21" w:name="_Toc180056653"/>
      <w:r w:rsidRPr="00237C24">
        <w:rPr>
          <w:rStyle w:val="CharSectno"/>
        </w:rPr>
        <w:t>4</w:t>
      </w:r>
      <w:r>
        <w:t xml:space="preserve">  Definitions</w:t>
      </w:r>
      <w:bookmarkEnd w:id="21"/>
    </w:p>
    <w:p w14:paraId="0DCA8CC5" w14:textId="77777777" w:rsidR="00237C24" w:rsidRPr="008A54EE" w:rsidRDefault="00237C24" w:rsidP="00237C24">
      <w:pPr>
        <w:pStyle w:val="notemargin"/>
      </w:pPr>
      <w:r w:rsidRPr="008A54EE">
        <w:t>Note:</w:t>
      </w:r>
      <w:r w:rsidRPr="008A54EE">
        <w:tab/>
        <w:t xml:space="preserve">Paragraph 13(1)(b) of the </w:t>
      </w:r>
      <w:r w:rsidRPr="008A54EE">
        <w:rPr>
          <w:i/>
        </w:rPr>
        <w:t>Legislation Act 2003</w:t>
      </w:r>
      <w:r w:rsidRPr="008A54EE">
        <w:t xml:space="preserve"> has the effect that expressions have the same meaning in this instrument as in the </w:t>
      </w:r>
      <w:r>
        <w:rPr>
          <w:i/>
        </w:rPr>
        <w:t>Federal Financial Relations Act 2009</w:t>
      </w:r>
      <w:r w:rsidRPr="00963CCC">
        <w:t xml:space="preserve"> </w:t>
      </w:r>
      <w:r w:rsidRPr="008A54EE">
        <w:t>as in force from time to time.</w:t>
      </w:r>
    </w:p>
    <w:p w14:paraId="2E8716FE" w14:textId="77777777" w:rsidR="00237C24" w:rsidRDefault="00237C24" w:rsidP="00237C24">
      <w:pPr>
        <w:pStyle w:val="subsection"/>
      </w:pPr>
      <w:r w:rsidRPr="00117B37">
        <w:tab/>
      </w:r>
      <w:r w:rsidRPr="00117B37">
        <w:tab/>
      </w:r>
      <w:r>
        <w:t>In this instrument:</w:t>
      </w:r>
    </w:p>
    <w:p w14:paraId="0F89D54F" w14:textId="77777777" w:rsidR="00237C24" w:rsidRDefault="00237C24" w:rsidP="00237C24">
      <w:pPr>
        <w:pStyle w:val="Definition"/>
        <w:rPr>
          <w:b/>
          <w:i/>
        </w:rPr>
      </w:pPr>
      <w:r>
        <w:rPr>
          <w:b/>
          <w:i/>
        </w:rPr>
        <w:t>Commissioner</w:t>
      </w:r>
      <w:r>
        <w:t xml:space="preserve"> means the Commissioner of Taxation.</w:t>
      </w:r>
    </w:p>
    <w:p w14:paraId="35C8F2AB" w14:textId="77777777" w:rsidR="00237C24" w:rsidRPr="00843746" w:rsidRDefault="00237C24" w:rsidP="00237C24">
      <w:pPr>
        <w:pStyle w:val="Definition"/>
      </w:pPr>
      <w:r w:rsidRPr="00843746">
        <w:rPr>
          <w:b/>
          <w:i/>
        </w:rPr>
        <w:t>the Act</w:t>
      </w:r>
      <w:r>
        <w:t xml:space="preserve"> means the </w:t>
      </w:r>
      <w:r>
        <w:rPr>
          <w:i/>
        </w:rPr>
        <w:t>Federal Financial Relations Act 2009</w:t>
      </w:r>
      <w:r w:rsidRPr="00117B37">
        <w:t>.</w:t>
      </w:r>
    </w:p>
    <w:p w14:paraId="349BA398" w14:textId="223AE40E" w:rsidR="00237C24" w:rsidRPr="008A53E0" w:rsidRDefault="008A53E0" w:rsidP="008A53E0">
      <w:pPr>
        <w:pStyle w:val="ActHead2"/>
        <w:pageBreakBefore/>
        <w:rPr>
          <w:lang w:eastAsia="en-US"/>
        </w:rPr>
      </w:pPr>
      <w:bookmarkStart w:id="22" w:name="_Toc180056654"/>
      <w:r w:rsidRPr="008A53E0">
        <w:rPr>
          <w:rStyle w:val="CharPartNo"/>
        </w:rPr>
        <w:lastRenderedPageBreak/>
        <w:t>Part 2</w:t>
      </w:r>
      <w:r>
        <w:t>—</w:t>
      </w:r>
      <w:r w:rsidRPr="008A53E0">
        <w:rPr>
          <w:rStyle w:val="CharPartText"/>
        </w:rPr>
        <w:t>GST revenue determination for 202</w:t>
      </w:r>
      <w:r w:rsidR="00D0746D">
        <w:rPr>
          <w:rStyle w:val="CharPartText"/>
        </w:rPr>
        <w:t>3</w:t>
      </w:r>
      <w:r w:rsidRPr="008A53E0">
        <w:rPr>
          <w:rStyle w:val="CharPartText"/>
        </w:rPr>
        <w:t>-2</w:t>
      </w:r>
      <w:r w:rsidR="00D0746D">
        <w:rPr>
          <w:rStyle w:val="CharPartText"/>
        </w:rPr>
        <w:t>4</w:t>
      </w:r>
      <w:bookmarkEnd w:id="22"/>
    </w:p>
    <w:p w14:paraId="1BA05D95" w14:textId="4B15446B" w:rsidR="008A53E0" w:rsidRDefault="008A53E0" w:rsidP="008A53E0">
      <w:pPr>
        <w:pStyle w:val="ActHead5"/>
      </w:pPr>
      <w:bookmarkStart w:id="23" w:name="_Toc180056655"/>
      <w:r w:rsidRPr="008A53E0">
        <w:rPr>
          <w:rStyle w:val="CharSectno"/>
        </w:rPr>
        <w:t>5</w:t>
      </w:r>
      <w:r>
        <w:t xml:space="preserve">  GST revenue for the 202</w:t>
      </w:r>
      <w:r w:rsidR="00D0746D">
        <w:t>3</w:t>
      </w:r>
      <w:r>
        <w:t>-2</w:t>
      </w:r>
      <w:r w:rsidR="00D0746D">
        <w:t>4</w:t>
      </w:r>
      <w:r>
        <w:t xml:space="preserve"> payment year</w:t>
      </w:r>
      <w:bookmarkEnd w:id="23"/>
    </w:p>
    <w:p w14:paraId="2D5171A2" w14:textId="5221AEA8" w:rsidR="008A53E0" w:rsidRDefault="008A53E0" w:rsidP="008A53E0">
      <w:pPr>
        <w:pStyle w:val="subsection"/>
      </w:pPr>
      <w:r>
        <w:tab/>
      </w:r>
      <w:r>
        <w:tab/>
        <w:t>The GST revenue for the 202</w:t>
      </w:r>
      <w:r w:rsidR="00D0746D">
        <w:t>3</w:t>
      </w:r>
      <w:r>
        <w:t>-2</w:t>
      </w:r>
      <w:r w:rsidR="00D0746D">
        <w:t>4</w:t>
      </w:r>
      <w:r>
        <w:t xml:space="preserve"> payment year is </w:t>
      </w:r>
      <w:r w:rsidR="007C0EE7" w:rsidRPr="007C0EE7">
        <w:t>$84,918,175,858.59</w:t>
      </w:r>
      <w:r>
        <w:t>.</w:t>
      </w:r>
    </w:p>
    <w:p w14:paraId="28812D3E" w14:textId="77777777" w:rsidR="008A53E0" w:rsidRDefault="008A53E0" w:rsidP="008A53E0">
      <w:pPr>
        <w:pStyle w:val="notetext"/>
      </w:pPr>
      <w:r>
        <w:t>Note 1:</w:t>
      </w:r>
      <w:r>
        <w:tab/>
        <w:t>The GST revenue has been calculated in accordance with subsection 6(2) of the Act using the amounts determined under section 6 of this instrument.</w:t>
      </w:r>
    </w:p>
    <w:p w14:paraId="7EB171BF" w14:textId="55234BC2" w:rsidR="008A53E0" w:rsidRDefault="008A53E0" w:rsidP="008A53E0">
      <w:pPr>
        <w:pStyle w:val="notetext"/>
      </w:pPr>
      <w:r>
        <w:t>Note 2:</w:t>
      </w:r>
      <w:r>
        <w:tab/>
      </w:r>
      <w:r w:rsidRPr="00EA4FC2">
        <w:t xml:space="preserve">Under subsection 5(1) of the Act, each State is entitled to a payment, by way of financial assistance, for a payment year, of a portion of the GST revenue determined for that payment year as well as a portion of the pool top-up. Each State’s entitlement is calculated in accordance with the formula in subsection 5(1). Applying that formula, each State’s entitlement to the GST revenue </w:t>
      </w:r>
      <w:r w:rsidR="00415B55" w:rsidRPr="00EA4FC2">
        <w:t xml:space="preserve">(ignoring the pool top-up) </w:t>
      </w:r>
      <w:r w:rsidRPr="00EA4FC2">
        <w:t>for 202</w:t>
      </w:r>
      <w:r w:rsidR="00EA4FC2" w:rsidRPr="00EA4FC2">
        <w:t>3</w:t>
      </w:r>
      <w:r w:rsidRPr="00EA4FC2">
        <w:t>-2</w:t>
      </w:r>
      <w:r w:rsidR="00EA4FC2" w:rsidRPr="00EA4FC2">
        <w:t>4</w:t>
      </w:r>
      <w:r w:rsidRPr="00EA4FC2">
        <w:t xml:space="preserve"> is as follows:</w:t>
      </w:r>
    </w:p>
    <w:p w14:paraId="78659E80" w14:textId="026A8648" w:rsidR="008A53E0" w:rsidRPr="00D7792A" w:rsidRDefault="008A53E0" w:rsidP="00D7792A">
      <w:pPr>
        <w:pStyle w:val="Tabletext"/>
      </w:pPr>
    </w:p>
    <w:tbl>
      <w:tblPr>
        <w:tblW w:w="6441" w:type="dxa"/>
        <w:tblInd w:w="1985"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3260"/>
        <w:gridCol w:w="3181"/>
      </w:tblGrid>
      <w:tr w:rsidR="008A53E0" w:rsidRPr="00865CDF" w14:paraId="75B2F643" w14:textId="77777777">
        <w:trPr>
          <w:tblHeader/>
        </w:trPr>
        <w:tc>
          <w:tcPr>
            <w:tcW w:w="3260" w:type="dxa"/>
            <w:tcBorders>
              <w:top w:val="single" w:sz="12" w:space="0" w:color="auto"/>
              <w:bottom w:val="single" w:sz="12" w:space="0" w:color="auto"/>
            </w:tcBorders>
            <w:shd w:val="clear" w:color="auto" w:fill="auto"/>
          </w:tcPr>
          <w:p w14:paraId="6D7E86EA" w14:textId="77777777" w:rsidR="008A53E0" w:rsidRDefault="008A53E0">
            <w:pPr>
              <w:pStyle w:val="TableHeading"/>
            </w:pPr>
            <w:r>
              <w:t>State</w:t>
            </w:r>
          </w:p>
        </w:tc>
        <w:tc>
          <w:tcPr>
            <w:tcW w:w="3181" w:type="dxa"/>
            <w:tcBorders>
              <w:top w:val="single" w:sz="12" w:space="0" w:color="auto"/>
              <w:bottom w:val="single" w:sz="12" w:space="0" w:color="auto"/>
            </w:tcBorders>
            <w:shd w:val="clear" w:color="auto" w:fill="auto"/>
          </w:tcPr>
          <w:p w14:paraId="2A0AA6EF" w14:textId="2C54131B" w:rsidR="008A53E0" w:rsidRPr="00865CDF" w:rsidRDefault="008A53E0">
            <w:pPr>
              <w:pStyle w:val="TableHeading"/>
            </w:pPr>
            <w:r w:rsidRPr="00865CDF">
              <w:t>Portion of 202</w:t>
            </w:r>
            <w:r w:rsidR="009F0A9C">
              <w:t>3</w:t>
            </w:r>
            <w:r w:rsidRPr="00865CDF">
              <w:t>-2</w:t>
            </w:r>
            <w:r w:rsidR="009F0A9C">
              <w:t>4</w:t>
            </w:r>
            <w:r w:rsidRPr="00865CDF">
              <w:t xml:space="preserve"> GST revenue </w:t>
            </w:r>
          </w:p>
        </w:tc>
      </w:tr>
      <w:tr w:rsidR="009F0A9C" w14:paraId="778AA03F" w14:textId="77777777">
        <w:tc>
          <w:tcPr>
            <w:tcW w:w="3260" w:type="dxa"/>
            <w:tcBorders>
              <w:top w:val="single" w:sz="12" w:space="0" w:color="auto"/>
            </w:tcBorders>
            <w:shd w:val="clear" w:color="auto" w:fill="auto"/>
          </w:tcPr>
          <w:p w14:paraId="6D9E6791" w14:textId="77777777" w:rsidR="009F0A9C" w:rsidRDefault="009F0A9C" w:rsidP="009F0A9C">
            <w:pPr>
              <w:pStyle w:val="Tabletext"/>
            </w:pPr>
            <w:r>
              <w:t>New South Wales</w:t>
            </w:r>
          </w:p>
        </w:tc>
        <w:tc>
          <w:tcPr>
            <w:tcW w:w="3181" w:type="dxa"/>
            <w:tcBorders>
              <w:top w:val="single" w:sz="12" w:space="0" w:color="auto"/>
            </w:tcBorders>
            <w:shd w:val="clear" w:color="auto" w:fill="auto"/>
          </w:tcPr>
          <w:p w14:paraId="70F80FFF" w14:textId="51183ED4" w:rsidR="009F0A9C" w:rsidRPr="008B48EC" w:rsidRDefault="009F0A9C" w:rsidP="009F0A9C">
            <w:pPr>
              <w:pStyle w:val="Tabletext"/>
              <w:rPr>
                <w:iCs/>
              </w:rPr>
            </w:pPr>
            <w:r w:rsidRPr="00CF16F3">
              <w:t>$24,607,800,655.82</w:t>
            </w:r>
          </w:p>
        </w:tc>
      </w:tr>
      <w:tr w:rsidR="009F0A9C" w14:paraId="58E8B49B" w14:textId="77777777">
        <w:tc>
          <w:tcPr>
            <w:tcW w:w="3260" w:type="dxa"/>
            <w:shd w:val="clear" w:color="auto" w:fill="auto"/>
          </w:tcPr>
          <w:p w14:paraId="1C327F69" w14:textId="77777777" w:rsidR="009F0A9C" w:rsidRDefault="009F0A9C" w:rsidP="009F0A9C">
            <w:pPr>
              <w:pStyle w:val="Tabletext"/>
            </w:pPr>
            <w:r>
              <w:t>Victoria</w:t>
            </w:r>
          </w:p>
        </w:tc>
        <w:tc>
          <w:tcPr>
            <w:tcW w:w="3181" w:type="dxa"/>
            <w:shd w:val="clear" w:color="auto" w:fill="auto"/>
          </w:tcPr>
          <w:p w14:paraId="584E8F9F" w14:textId="2A2F399D" w:rsidR="009F0A9C" w:rsidRPr="008B48EC" w:rsidRDefault="009F0A9C" w:rsidP="009F0A9C">
            <w:pPr>
              <w:pStyle w:val="Tabletext"/>
              <w:rPr>
                <w:iCs/>
              </w:rPr>
            </w:pPr>
            <w:r w:rsidRPr="00CF16F3">
              <w:t>$18,581,048,541.42</w:t>
            </w:r>
          </w:p>
        </w:tc>
      </w:tr>
      <w:tr w:rsidR="009F0A9C" w14:paraId="57B654BF" w14:textId="77777777">
        <w:tc>
          <w:tcPr>
            <w:tcW w:w="3260" w:type="dxa"/>
            <w:shd w:val="clear" w:color="auto" w:fill="auto"/>
          </w:tcPr>
          <w:p w14:paraId="72658316" w14:textId="77777777" w:rsidR="009F0A9C" w:rsidRDefault="009F0A9C" w:rsidP="009F0A9C">
            <w:pPr>
              <w:pStyle w:val="Tabletext"/>
            </w:pPr>
            <w:r>
              <w:t>Queensland</w:t>
            </w:r>
          </w:p>
        </w:tc>
        <w:tc>
          <w:tcPr>
            <w:tcW w:w="3181" w:type="dxa"/>
            <w:shd w:val="clear" w:color="auto" w:fill="auto"/>
          </w:tcPr>
          <w:p w14:paraId="3B62C898" w14:textId="70C1F368" w:rsidR="009F0A9C" w:rsidRPr="008B48EC" w:rsidRDefault="009F0A9C" w:rsidP="009F0A9C">
            <w:pPr>
              <w:pStyle w:val="Tabletext"/>
              <w:rPr>
                <w:iCs/>
              </w:rPr>
            </w:pPr>
            <w:r w:rsidRPr="00CF16F3">
              <w:t>$18,008,972,485.41</w:t>
            </w:r>
          </w:p>
        </w:tc>
      </w:tr>
      <w:tr w:rsidR="009F0A9C" w14:paraId="63AE4086" w14:textId="77777777">
        <w:tc>
          <w:tcPr>
            <w:tcW w:w="3260" w:type="dxa"/>
            <w:shd w:val="clear" w:color="auto" w:fill="auto"/>
          </w:tcPr>
          <w:p w14:paraId="08DE01F3" w14:textId="77777777" w:rsidR="009F0A9C" w:rsidRDefault="009F0A9C" w:rsidP="009F0A9C">
            <w:pPr>
              <w:pStyle w:val="Tabletext"/>
            </w:pPr>
            <w:r>
              <w:t>Western Australia</w:t>
            </w:r>
          </w:p>
        </w:tc>
        <w:tc>
          <w:tcPr>
            <w:tcW w:w="3181" w:type="dxa"/>
            <w:shd w:val="clear" w:color="auto" w:fill="auto"/>
          </w:tcPr>
          <w:p w14:paraId="47FD8398" w14:textId="5BA3BF89" w:rsidR="009F0A9C" w:rsidRPr="008B48EC" w:rsidRDefault="009F0A9C" w:rsidP="009F0A9C">
            <w:pPr>
              <w:pStyle w:val="Tabletext"/>
              <w:rPr>
                <w:iCs/>
              </w:rPr>
            </w:pPr>
            <w:r w:rsidRPr="00CF16F3">
              <w:t>$6,474,645,263.55</w:t>
            </w:r>
          </w:p>
        </w:tc>
      </w:tr>
      <w:tr w:rsidR="009F0A9C" w14:paraId="416C72CE" w14:textId="77777777">
        <w:tc>
          <w:tcPr>
            <w:tcW w:w="3260" w:type="dxa"/>
            <w:shd w:val="clear" w:color="auto" w:fill="auto"/>
          </w:tcPr>
          <w:p w14:paraId="2EEE3A82" w14:textId="77777777" w:rsidR="009F0A9C" w:rsidRDefault="009F0A9C" w:rsidP="009F0A9C">
            <w:pPr>
              <w:pStyle w:val="Tabletext"/>
            </w:pPr>
            <w:r>
              <w:t>South Australia</w:t>
            </w:r>
          </w:p>
        </w:tc>
        <w:tc>
          <w:tcPr>
            <w:tcW w:w="3181" w:type="dxa"/>
            <w:shd w:val="clear" w:color="auto" w:fill="auto"/>
          </w:tcPr>
          <w:p w14:paraId="0447614D" w14:textId="33F7D432" w:rsidR="009F0A9C" w:rsidRPr="008B48EC" w:rsidRDefault="009F0A9C" w:rsidP="009F0A9C">
            <w:pPr>
              <w:pStyle w:val="Tabletext"/>
              <w:rPr>
                <w:iCs/>
              </w:rPr>
            </w:pPr>
            <w:r w:rsidRPr="00CF16F3">
              <w:t>$8,222,580,370.55</w:t>
            </w:r>
          </w:p>
        </w:tc>
      </w:tr>
      <w:tr w:rsidR="009F0A9C" w14:paraId="5D56833D" w14:textId="77777777">
        <w:tc>
          <w:tcPr>
            <w:tcW w:w="3260" w:type="dxa"/>
            <w:shd w:val="clear" w:color="auto" w:fill="auto"/>
          </w:tcPr>
          <w:p w14:paraId="787D2CA3" w14:textId="77777777" w:rsidR="009F0A9C" w:rsidRDefault="009F0A9C" w:rsidP="009F0A9C">
            <w:pPr>
              <w:pStyle w:val="Tabletext"/>
            </w:pPr>
            <w:r>
              <w:t>Tasmania</w:t>
            </w:r>
          </w:p>
        </w:tc>
        <w:tc>
          <w:tcPr>
            <w:tcW w:w="3181" w:type="dxa"/>
            <w:shd w:val="clear" w:color="auto" w:fill="auto"/>
          </w:tcPr>
          <w:p w14:paraId="75266751" w14:textId="45944B72" w:rsidR="009F0A9C" w:rsidRPr="008B48EC" w:rsidRDefault="009F0A9C" w:rsidP="009F0A9C">
            <w:pPr>
              <w:pStyle w:val="Tabletext"/>
              <w:rPr>
                <w:iCs/>
              </w:rPr>
            </w:pPr>
            <w:r w:rsidRPr="00CF16F3">
              <w:t>$3,251,288,744.59</w:t>
            </w:r>
          </w:p>
        </w:tc>
      </w:tr>
      <w:tr w:rsidR="009F0A9C" w14:paraId="5BF597D0" w14:textId="77777777">
        <w:tc>
          <w:tcPr>
            <w:tcW w:w="3260" w:type="dxa"/>
            <w:shd w:val="clear" w:color="auto" w:fill="auto"/>
          </w:tcPr>
          <w:p w14:paraId="5AF59BE4" w14:textId="77777777" w:rsidR="009F0A9C" w:rsidRDefault="009F0A9C" w:rsidP="009F0A9C">
            <w:pPr>
              <w:pStyle w:val="Tabletext"/>
            </w:pPr>
            <w:r>
              <w:t>Australian Capital Territory</w:t>
            </w:r>
          </w:p>
        </w:tc>
        <w:tc>
          <w:tcPr>
            <w:tcW w:w="3181" w:type="dxa"/>
            <w:shd w:val="clear" w:color="auto" w:fill="auto"/>
          </w:tcPr>
          <w:p w14:paraId="1B6A66C7" w14:textId="651F209D" w:rsidR="009F0A9C" w:rsidRPr="008B48EC" w:rsidRDefault="009F0A9C" w:rsidP="009F0A9C">
            <w:pPr>
              <w:pStyle w:val="Tabletext"/>
              <w:rPr>
                <w:iCs/>
              </w:rPr>
            </w:pPr>
            <w:r w:rsidRPr="00CF16F3">
              <w:t>$1,775,778,980.36</w:t>
            </w:r>
          </w:p>
        </w:tc>
      </w:tr>
      <w:tr w:rsidR="009F0A9C" w14:paraId="36E2F179" w14:textId="77777777">
        <w:tc>
          <w:tcPr>
            <w:tcW w:w="3260" w:type="dxa"/>
            <w:tcBorders>
              <w:bottom w:val="single" w:sz="2" w:space="0" w:color="auto"/>
            </w:tcBorders>
            <w:shd w:val="clear" w:color="auto" w:fill="auto"/>
          </w:tcPr>
          <w:p w14:paraId="77CDF740" w14:textId="77777777" w:rsidR="009F0A9C" w:rsidRDefault="009F0A9C" w:rsidP="009F0A9C">
            <w:pPr>
              <w:pStyle w:val="Tabletext"/>
            </w:pPr>
            <w:r>
              <w:t>Northern Territory</w:t>
            </w:r>
          </w:p>
        </w:tc>
        <w:tc>
          <w:tcPr>
            <w:tcW w:w="3181" w:type="dxa"/>
            <w:tcBorders>
              <w:bottom w:val="single" w:sz="2" w:space="0" w:color="auto"/>
            </w:tcBorders>
            <w:shd w:val="clear" w:color="auto" w:fill="auto"/>
          </w:tcPr>
          <w:p w14:paraId="339359A6" w14:textId="76331CD2" w:rsidR="009F0A9C" w:rsidRPr="008B48EC" w:rsidRDefault="009F0A9C" w:rsidP="009F0A9C">
            <w:pPr>
              <w:pStyle w:val="Tabletext"/>
              <w:rPr>
                <w:iCs/>
              </w:rPr>
            </w:pPr>
            <w:r w:rsidRPr="00CF16F3">
              <w:t>$3,996,060,816.89</w:t>
            </w:r>
          </w:p>
        </w:tc>
      </w:tr>
      <w:tr w:rsidR="009F0A9C" w14:paraId="69E45F06" w14:textId="77777777">
        <w:tc>
          <w:tcPr>
            <w:tcW w:w="3260" w:type="dxa"/>
            <w:tcBorders>
              <w:top w:val="single" w:sz="2" w:space="0" w:color="auto"/>
              <w:bottom w:val="single" w:sz="12" w:space="0" w:color="auto"/>
            </w:tcBorders>
            <w:shd w:val="clear" w:color="auto" w:fill="auto"/>
          </w:tcPr>
          <w:p w14:paraId="3B568354" w14:textId="77777777" w:rsidR="009F0A9C" w:rsidRPr="008667FE" w:rsidRDefault="009F0A9C" w:rsidP="009F0A9C">
            <w:pPr>
              <w:pStyle w:val="Tabletext"/>
              <w:rPr>
                <w:b/>
              </w:rPr>
            </w:pPr>
            <w:r w:rsidRPr="008667FE">
              <w:rPr>
                <w:b/>
              </w:rPr>
              <w:t>Total</w:t>
            </w:r>
          </w:p>
        </w:tc>
        <w:tc>
          <w:tcPr>
            <w:tcW w:w="3181" w:type="dxa"/>
            <w:tcBorders>
              <w:top w:val="single" w:sz="2" w:space="0" w:color="auto"/>
              <w:bottom w:val="single" w:sz="12" w:space="0" w:color="auto"/>
            </w:tcBorders>
            <w:shd w:val="clear" w:color="auto" w:fill="auto"/>
          </w:tcPr>
          <w:p w14:paraId="00F8F53A" w14:textId="21E592CF" w:rsidR="009F0A9C" w:rsidRPr="009F0A9C" w:rsidRDefault="009F0A9C" w:rsidP="009F0A9C">
            <w:pPr>
              <w:pStyle w:val="Tabletext"/>
              <w:rPr>
                <w:b/>
                <w:bCs/>
              </w:rPr>
            </w:pPr>
            <w:r w:rsidRPr="009F0A9C">
              <w:rPr>
                <w:b/>
                <w:bCs/>
              </w:rPr>
              <w:t>$84,918,175,858.59</w:t>
            </w:r>
          </w:p>
        </w:tc>
      </w:tr>
    </w:tbl>
    <w:p w14:paraId="646DF873" w14:textId="77777777" w:rsidR="00157FEE" w:rsidRPr="00523FCF" w:rsidRDefault="00157FEE" w:rsidP="00523FCF">
      <w:pPr>
        <w:pStyle w:val="Tabletext"/>
      </w:pPr>
      <w:bookmarkStart w:id="24" w:name="_Toc85109025"/>
      <w:bookmarkStart w:id="25" w:name="_Toc180056656"/>
      <w:bookmarkEnd w:id="17"/>
    </w:p>
    <w:p w14:paraId="663360C1" w14:textId="0386C631" w:rsidR="005300C5" w:rsidRPr="009960AE" w:rsidRDefault="005300C5" w:rsidP="005300C5">
      <w:pPr>
        <w:pStyle w:val="ActHead5"/>
      </w:pPr>
      <w:r w:rsidRPr="009960AE">
        <w:rPr>
          <w:rStyle w:val="CharSectno"/>
        </w:rPr>
        <w:t>6</w:t>
      </w:r>
      <w:r w:rsidRPr="009960AE">
        <w:t xml:space="preserve">  Determination of amounts used to calculate GST revenue for the 20</w:t>
      </w:r>
      <w:r>
        <w:t>2</w:t>
      </w:r>
      <w:r w:rsidR="00CC051F">
        <w:t>3</w:t>
      </w:r>
      <w:r>
        <w:noBreakHyphen/>
        <w:t>2</w:t>
      </w:r>
      <w:r w:rsidR="00CC051F">
        <w:t>4</w:t>
      </w:r>
      <w:r w:rsidRPr="009960AE">
        <w:t xml:space="preserve"> payment year</w:t>
      </w:r>
      <w:bookmarkEnd w:id="24"/>
      <w:bookmarkEnd w:id="25"/>
    </w:p>
    <w:p w14:paraId="5C13B623" w14:textId="0BFBD51E" w:rsidR="005300C5" w:rsidRDefault="005300C5" w:rsidP="005300C5">
      <w:pPr>
        <w:pStyle w:val="subsection"/>
      </w:pPr>
      <w:r>
        <w:tab/>
        <w:t>(1)</w:t>
      </w:r>
      <w:r>
        <w:tab/>
        <w:t>Further to subsection 6(1) of the Act, each item of the following table determines the amount described in the provision specified in the item, for the 202</w:t>
      </w:r>
      <w:r w:rsidR="00CC051F">
        <w:t>3</w:t>
      </w:r>
      <w:r>
        <w:t>-2</w:t>
      </w:r>
      <w:r w:rsidR="00CC051F">
        <w:t>4</w:t>
      </w:r>
      <w:r>
        <w:t xml:space="preserve"> payment year.</w:t>
      </w:r>
    </w:p>
    <w:p w14:paraId="7B3F3760" w14:textId="77777777" w:rsidR="005300C5" w:rsidRDefault="005300C5" w:rsidP="005300C5">
      <w:pPr>
        <w:pStyle w:val="Tabletext"/>
      </w:pPr>
    </w:p>
    <w:tbl>
      <w:tblPr>
        <w:tblW w:w="831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851"/>
        <w:gridCol w:w="1701"/>
        <w:gridCol w:w="2047"/>
      </w:tblGrid>
      <w:tr w:rsidR="005300C5" w14:paraId="2526EEA4" w14:textId="77777777">
        <w:trPr>
          <w:tblHeader/>
        </w:trPr>
        <w:tc>
          <w:tcPr>
            <w:tcW w:w="714" w:type="dxa"/>
            <w:tcBorders>
              <w:top w:val="single" w:sz="12" w:space="0" w:color="auto"/>
              <w:bottom w:val="single" w:sz="12" w:space="0" w:color="auto"/>
            </w:tcBorders>
            <w:shd w:val="clear" w:color="auto" w:fill="auto"/>
          </w:tcPr>
          <w:p w14:paraId="433C55D6" w14:textId="77777777" w:rsidR="005300C5" w:rsidRDefault="005300C5">
            <w:pPr>
              <w:pStyle w:val="TableHeading"/>
            </w:pPr>
            <w:r>
              <w:t>Item</w:t>
            </w:r>
          </w:p>
        </w:tc>
        <w:tc>
          <w:tcPr>
            <w:tcW w:w="3851" w:type="dxa"/>
            <w:tcBorders>
              <w:top w:val="single" w:sz="12" w:space="0" w:color="auto"/>
              <w:bottom w:val="single" w:sz="12" w:space="0" w:color="auto"/>
            </w:tcBorders>
            <w:shd w:val="clear" w:color="auto" w:fill="auto"/>
          </w:tcPr>
          <w:p w14:paraId="7CB5C53C" w14:textId="77777777" w:rsidR="005300C5" w:rsidRDefault="005300C5">
            <w:pPr>
              <w:pStyle w:val="TableHeading"/>
            </w:pPr>
            <w:r>
              <w:t>Description of the amount being determined</w:t>
            </w:r>
          </w:p>
        </w:tc>
        <w:tc>
          <w:tcPr>
            <w:tcW w:w="1701" w:type="dxa"/>
            <w:tcBorders>
              <w:top w:val="single" w:sz="12" w:space="0" w:color="auto"/>
              <w:bottom w:val="single" w:sz="12" w:space="0" w:color="auto"/>
            </w:tcBorders>
            <w:shd w:val="clear" w:color="auto" w:fill="auto"/>
          </w:tcPr>
          <w:p w14:paraId="645C8E79" w14:textId="77777777" w:rsidR="005300C5" w:rsidRDefault="005300C5">
            <w:pPr>
              <w:pStyle w:val="TableHeading"/>
            </w:pPr>
            <w:r>
              <w:t>Provision</w:t>
            </w:r>
          </w:p>
        </w:tc>
        <w:tc>
          <w:tcPr>
            <w:tcW w:w="2047" w:type="dxa"/>
            <w:tcBorders>
              <w:top w:val="single" w:sz="12" w:space="0" w:color="auto"/>
              <w:bottom w:val="single" w:sz="12" w:space="0" w:color="auto"/>
            </w:tcBorders>
            <w:shd w:val="clear" w:color="auto" w:fill="auto"/>
          </w:tcPr>
          <w:p w14:paraId="4DD2A594" w14:textId="77777777" w:rsidR="005300C5" w:rsidRDefault="005300C5">
            <w:pPr>
              <w:pStyle w:val="TableHeading"/>
            </w:pPr>
            <w:r>
              <w:t>Determined amount</w:t>
            </w:r>
          </w:p>
        </w:tc>
      </w:tr>
      <w:tr w:rsidR="005300C5" w:rsidRPr="0093335D" w14:paraId="41DCAA5E" w14:textId="77777777">
        <w:tc>
          <w:tcPr>
            <w:tcW w:w="714" w:type="dxa"/>
            <w:tcBorders>
              <w:top w:val="single" w:sz="12" w:space="0" w:color="auto"/>
            </w:tcBorders>
            <w:shd w:val="clear" w:color="auto" w:fill="auto"/>
          </w:tcPr>
          <w:p w14:paraId="619DD52E" w14:textId="77777777" w:rsidR="005300C5" w:rsidRDefault="005300C5">
            <w:pPr>
              <w:pStyle w:val="Tabletext"/>
            </w:pPr>
            <w:r>
              <w:t>1</w:t>
            </w:r>
          </w:p>
        </w:tc>
        <w:tc>
          <w:tcPr>
            <w:tcW w:w="3851" w:type="dxa"/>
            <w:tcBorders>
              <w:top w:val="single" w:sz="12" w:space="0" w:color="auto"/>
            </w:tcBorders>
            <w:shd w:val="clear" w:color="auto" w:fill="auto"/>
          </w:tcPr>
          <w:p w14:paraId="7F082A1C" w14:textId="77777777" w:rsidR="005300C5" w:rsidRDefault="005300C5">
            <w:pPr>
              <w:pStyle w:val="Tabletext"/>
            </w:pPr>
            <w:r>
              <w:t>The amount that is the total of the following:</w:t>
            </w:r>
          </w:p>
          <w:p w14:paraId="774483A8" w14:textId="77777777" w:rsidR="005300C5" w:rsidRPr="00D94C22" w:rsidRDefault="005300C5">
            <w:pPr>
              <w:pStyle w:val="Tablea"/>
            </w:pPr>
            <w:r w:rsidRPr="00D94C22">
              <w:t>(a) the GST that was collected;</w:t>
            </w:r>
          </w:p>
          <w:p w14:paraId="1A7BBE3E" w14:textId="77777777" w:rsidR="005300C5" w:rsidRPr="00D94C22" w:rsidRDefault="005300C5">
            <w:pPr>
              <w:pStyle w:val="Tablea"/>
            </w:pPr>
            <w:r w:rsidRPr="00D94C22">
              <w:t xml:space="preserve">(b) the payments made to the Commissioner representing amounts of GST that would have been payable if the Constitution did not prevent tax from being imposed on property of any kind belonging to a State and section 5 of </w:t>
            </w:r>
            <w:r>
              <w:t xml:space="preserve">each of </w:t>
            </w:r>
            <w:r w:rsidRPr="00D94C22">
              <w:t>the GST Imposition Acts had not been enacted;</w:t>
            </w:r>
          </w:p>
          <w:p w14:paraId="183E0DE4" w14:textId="77777777" w:rsidR="005300C5" w:rsidRDefault="005300C5">
            <w:pPr>
              <w:pStyle w:val="Tablea"/>
            </w:pPr>
            <w:r w:rsidRPr="00D94C22">
              <w:t xml:space="preserve">(c) the additional GST that would have been collected if the Commonwealth and Commonwealth entities could be made </w:t>
            </w:r>
            <w:r w:rsidRPr="00D94C22">
              <w:lastRenderedPageBreak/>
              <w:t>subject to taxation by a Commonwealth law and section 177-1 of the GST Act made those entities actually l</w:t>
            </w:r>
            <w:r>
              <w:t>iable, rather than notionally liable</w:t>
            </w:r>
            <w:r w:rsidRPr="00D94C22">
              <w:t>.</w:t>
            </w:r>
          </w:p>
        </w:tc>
        <w:tc>
          <w:tcPr>
            <w:tcW w:w="1701" w:type="dxa"/>
            <w:tcBorders>
              <w:top w:val="single" w:sz="12" w:space="0" w:color="auto"/>
            </w:tcBorders>
            <w:shd w:val="clear" w:color="auto" w:fill="auto"/>
          </w:tcPr>
          <w:p w14:paraId="1FA7B49A" w14:textId="77777777" w:rsidR="005300C5" w:rsidRPr="008345D1" w:rsidRDefault="005300C5">
            <w:pPr>
              <w:pStyle w:val="Tabletext"/>
            </w:pPr>
            <w:r w:rsidRPr="008345D1">
              <w:lastRenderedPageBreak/>
              <w:t>Paragraph 6(3)(a) of the Act</w:t>
            </w:r>
          </w:p>
        </w:tc>
        <w:tc>
          <w:tcPr>
            <w:tcW w:w="2047" w:type="dxa"/>
            <w:tcBorders>
              <w:top w:val="single" w:sz="12" w:space="0" w:color="auto"/>
            </w:tcBorders>
            <w:shd w:val="clear" w:color="auto" w:fill="auto"/>
          </w:tcPr>
          <w:p w14:paraId="7FC84A70" w14:textId="7D3459FC" w:rsidR="005300C5" w:rsidRPr="0093335D" w:rsidRDefault="005300C5">
            <w:pPr>
              <w:pStyle w:val="Tabletext"/>
            </w:pPr>
            <w:r w:rsidRPr="0093335D">
              <w:t>$</w:t>
            </w:r>
            <w:r w:rsidR="00CC051F" w:rsidRPr="00CC051F">
              <w:t>181,266,741,006.52</w:t>
            </w:r>
          </w:p>
        </w:tc>
      </w:tr>
      <w:tr w:rsidR="005300C5" w:rsidRPr="0093335D" w14:paraId="4258D3CC" w14:textId="77777777">
        <w:tc>
          <w:tcPr>
            <w:tcW w:w="714" w:type="dxa"/>
            <w:shd w:val="clear" w:color="auto" w:fill="auto"/>
          </w:tcPr>
          <w:p w14:paraId="49809F68" w14:textId="77777777" w:rsidR="005300C5" w:rsidRPr="0093335D" w:rsidRDefault="005300C5">
            <w:pPr>
              <w:pStyle w:val="Tabletext"/>
            </w:pPr>
            <w:r w:rsidRPr="0093335D">
              <w:t>2</w:t>
            </w:r>
          </w:p>
        </w:tc>
        <w:tc>
          <w:tcPr>
            <w:tcW w:w="3851" w:type="dxa"/>
            <w:shd w:val="clear" w:color="auto" w:fill="auto"/>
          </w:tcPr>
          <w:p w14:paraId="667028A7" w14:textId="1AB4C698" w:rsidR="005300C5" w:rsidRPr="0093335D" w:rsidRDefault="005300C5">
            <w:pPr>
              <w:pStyle w:val="Tabletext"/>
            </w:pPr>
            <w:r w:rsidRPr="0093335D">
              <w:t xml:space="preserve">The amount of general interest charge that was collected to the extent that </w:t>
            </w:r>
            <w:r w:rsidR="00563943">
              <w:t xml:space="preserve">it </w:t>
            </w:r>
            <w:r w:rsidRPr="0093335D">
              <w:t>is attributable to:</w:t>
            </w:r>
          </w:p>
          <w:p w14:paraId="77D480A1" w14:textId="77777777" w:rsidR="005300C5" w:rsidRPr="0093335D" w:rsidRDefault="005300C5">
            <w:pPr>
              <w:pStyle w:val="Tablea"/>
            </w:pPr>
            <w:r w:rsidRPr="0093335D">
              <w:t>(a) unpaid GST; or</w:t>
            </w:r>
          </w:p>
          <w:p w14:paraId="2E57AB42" w14:textId="77777777" w:rsidR="005300C5" w:rsidRPr="0093335D" w:rsidRDefault="005300C5">
            <w:pPr>
              <w:pStyle w:val="Tablea"/>
            </w:pPr>
            <w:r w:rsidRPr="0093335D">
              <w:t>(b) unpaid general interest charge payable in respect of unpaid GST.</w:t>
            </w:r>
          </w:p>
        </w:tc>
        <w:tc>
          <w:tcPr>
            <w:tcW w:w="1701" w:type="dxa"/>
            <w:shd w:val="clear" w:color="auto" w:fill="auto"/>
          </w:tcPr>
          <w:p w14:paraId="7451C5BC" w14:textId="77777777" w:rsidR="005300C5" w:rsidRPr="0093335D" w:rsidRDefault="005300C5">
            <w:pPr>
              <w:pStyle w:val="Tabletext"/>
            </w:pPr>
            <w:r w:rsidRPr="0093335D">
              <w:t>Paragraph 6(3)(b) of the Act</w:t>
            </w:r>
          </w:p>
        </w:tc>
        <w:tc>
          <w:tcPr>
            <w:tcW w:w="2047" w:type="dxa"/>
            <w:shd w:val="clear" w:color="auto" w:fill="auto"/>
          </w:tcPr>
          <w:p w14:paraId="001BB76F" w14:textId="5BA4E97C" w:rsidR="005300C5" w:rsidRPr="0093335D" w:rsidRDefault="005300C5">
            <w:pPr>
              <w:pStyle w:val="Tabletext"/>
            </w:pPr>
            <w:r w:rsidRPr="0093335D">
              <w:t>$</w:t>
            </w:r>
            <w:r w:rsidR="006D40DF" w:rsidRPr="006D40DF">
              <w:t>384,395,558.86</w:t>
            </w:r>
          </w:p>
        </w:tc>
      </w:tr>
      <w:tr w:rsidR="005300C5" w:rsidRPr="008345D1" w14:paraId="447869FB" w14:textId="77777777">
        <w:tc>
          <w:tcPr>
            <w:tcW w:w="714" w:type="dxa"/>
            <w:shd w:val="clear" w:color="auto" w:fill="auto"/>
          </w:tcPr>
          <w:p w14:paraId="64C214F9" w14:textId="77777777" w:rsidR="005300C5" w:rsidRPr="0093335D" w:rsidRDefault="005300C5">
            <w:pPr>
              <w:pStyle w:val="Tabletext"/>
            </w:pPr>
            <w:r w:rsidRPr="0093335D">
              <w:t>3</w:t>
            </w:r>
          </w:p>
        </w:tc>
        <w:tc>
          <w:tcPr>
            <w:tcW w:w="3851" w:type="dxa"/>
            <w:shd w:val="clear" w:color="auto" w:fill="auto"/>
          </w:tcPr>
          <w:p w14:paraId="04AB70D9" w14:textId="77777777" w:rsidR="005300C5" w:rsidRPr="0093335D" w:rsidRDefault="005300C5">
            <w:pPr>
              <w:pStyle w:val="Tabletext"/>
            </w:pPr>
            <w:r w:rsidRPr="0093335D">
              <w:t>The amount, determined in the manner agreed by the Commonwealth and all the States, that represents amounts of voluntary GST payments that should have, but have not, been paid by local government bodies.</w:t>
            </w:r>
          </w:p>
        </w:tc>
        <w:tc>
          <w:tcPr>
            <w:tcW w:w="1701" w:type="dxa"/>
            <w:shd w:val="clear" w:color="auto" w:fill="auto"/>
          </w:tcPr>
          <w:p w14:paraId="4014E6E2" w14:textId="77777777" w:rsidR="005300C5" w:rsidRPr="0093335D" w:rsidRDefault="005300C5">
            <w:pPr>
              <w:pStyle w:val="Tabletext"/>
            </w:pPr>
            <w:r w:rsidRPr="0093335D">
              <w:t>Paragraph 6(3)(c) of the Act</w:t>
            </w:r>
          </w:p>
        </w:tc>
        <w:tc>
          <w:tcPr>
            <w:tcW w:w="2047" w:type="dxa"/>
            <w:shd w:val="clear" w:color="auto" w:fill="auto"/>
          </w:tcPr>
          <w:p w14:paraId="7CEA52D3" w14:textId="7605B525" w:rsidR="005300C5" w:rsidRPr="0093335D" w:rsidRDefault="005300C5">
            <w:pPr>
              <w:pStyle w:val="Tabletext"/>
            </w:pPr>
            <w:r w:rsidRPr="0093335D">
              <w:t>$</w:t>
            </w:r>
            <w:r w:rsidR="003C42F8" w:rsidRPr="00BF6152">
              <w:t>0.00</w:t>
            </w:r>
          </w:p>
        </w:tc>
      </w:tr>
      <w:tr w:rsidR="005300C5" w:rsidRPr="006D40DF" w14:paraId="58F25608" w14:textId="77777777">
        <w:tc>
          <w:tcPr>
            <w:tcW w:w="714" w:type="dxa"/>
            <w:tcBorders>
              <w:top w:val="single" w:sz="2" w:space="0" w:color="auto"/>
              <w:bottom w:val="single" w:sz="2" w:space="0" w:color="auto"/>
            </w:tcBorders>
            <w:shd w:val="clear" w:color="auto" w:fill="auto"/>
          </w:tcPr>
          <w:p w14:paraId="5A868970" w14:textId="77777777" w:rsidR="005300C5" w:rsidRPr="008345D1" w:rsidRDefault="005300C5">
            <w:pPr>
              <w:pStyle w:val="Tabletext"/>
            </w:pPr>
          </w:p>
        </w:tc>
        <w:tc>
          <w:tcPr>
            <w:tcW w:w="3851" w:type="dxa"/>
            <w:tcBorders>
              <w:top w:val="single" w:sz="2" w:space="0" w:color="auto"/>
              <w:bottom w:val="single" w:sz="2" w:space="0" w:color="auto"/>
            </w:tcBorders>
            <w:shd w:val="clear" w:color="auto" w:fill="auto"/>
          </w:tcPr>
          <w:p w14:paraId="765383EC" w14:textId="77777777" w:rsidR="005300C5" w:rsidRPr="008345D1" w:rsidRDefault="005300C5">
            <w:pPr>
              <w:pStyle w:val="Tabletext"/>
              <w:rPr>
                <w:i/>
              </w:rPr>
            </w:pPr>
            <w:r w:rsidRPr="008345D1">
              <w:rPr>
                <w:i/>
              </w:rPr>
              <w:t>Sum of items 1, 2 and 3</w:t>
            </w:r>
          </w:p>
        </w:tc>
        <w:tc>
          <w:tcPr>
            <w:tcW w:w="1701" w:type="dxa"/>
            <w:tcBorders>
              <w:top w:val="single" w:sz="2" w:space="0" w:color="auto"/>
              <w:bottom w:val="single" w:sz="2" w:space="0" w:color="auto"/>
            </w:tcBorders>
            <w:shd w:val="clear" w:color="auto" w:fill="auto"/>
          </w:tcPr>
          <w:p w14:paraId="7CF8E6B2" w14:textId="77777777" w:rsidR="005300C5" w:rsidRPr="008345D1" w:rsidRDefault="005300C5">
            <w:pPr>
              <w:pStyle w:val="Tabletext"/>
            </w:pPr>
          </w:p>
        </w:tc>
        <w:tc>
          <w:tcPr>
            <w:tcW w:w="2047" w:type="dxa"/>
            <w:tcBorders>
              <w:top w:val="single" w:sz="2" w:space="0" w:color="auto"/>
              <w:bottom w:val="single" w:sz="2" w:space="0" w:color="auto"/>
            </w:tcBorders>
            <w:shd w:val="clear" w:color="auto" w:fill="auto"/>
          </w:tcPr>
          <w:p w14:paraId="73B74581" w14:textId="4BF2A619" w:rsidR="005300C5" w:rsidRPr="006D40DF" w:rsidRDefault="004D4719">
            <w:pPr>
              <w:pStyle w:val="Tabletext"/>
              <w:rPr>
                <w:highlight w:val="yellow"/>
              </w:rPr>
            </w:pPr>
            <w:r w:rsidRPr="000B250C">
              <w:rPr>
                <w:i/>
              </w:rPr>
              <w:t>$</w:t>
            </w:r>
            <w:r w:rsidR="000B250C" w:rsidRPr="000B250C">
              <w:rPr>
                <w:i/>
              </w:rPr>
              <w:t>181,651,136,565.38</w:t>
            </w:r>
          </w:p>
        </w:tc>
      </w:tr>
      <w:tr w:rsidR="005300C5" w14:paraId="74184E9C" w14:textId="77777777">
        <w:tc>
          <w:tcPr>
            <w:tcW w:w="714" w:type="dxa"/>
            <w:tcBorders>
              <w:top w:val="single" w:sz="2" w:space="0" w:color="auto"/>
              <w:bottom w:val="single" w:sz="2" w:space="0" w:color="auto"/>
            </w:tcBorders>
            <w:shd w:val="clear" w:color="auto" w:fill="auto"/>
          </w:tcPr>
          <w:p w14:paraId="63DB4799" w14:textId="77777777" w:rsidR="005300C5" w:rsidRPr="008345D1" w:rsidRDefault="005300C5">
            <w:pPr>
              <w:pStyle w:val="Tabletext"/>
            </w:pPr>
            <w:r w:rsidRPr="008345D1">
              <w:t>4</w:t>
            </w:r>
          </w:p>
        </w:tc>
        <w:tc>
          <w:tcPr>
            <w:tcW w:w="3851" w:type="dxa"/>
            <w:tcBorders>
              <w:top w:val="single" w:sz="2" w:space="0" w:color="auto"/>
              <w:bottom w:val="single" w:sz="2" w:space="0" w:color="auto"/>
            </w:tcBorders>
            <w:shd w:val="clear" w:color="auto" w:fill="auto"/>
          </w:tcPr>
          <w:p w14:paraId="6E56987D" w14:textId="77777777" w:rsidR="005300C5" w:rsidRPr="008345D1" w:rsidRDefault="005300C5">
            <w:pPr>
              <w:pStyle w:val="Tabletext"/>
            </w:pPr>
            <w:r w:rsidRPr="008345D1">
              <w:t>The amount that is the total of the following, so far as each of them is attributable to GST:</w:t>
            </w:r>
          </w:p>
          <w:p w14:paraId="0B24E06F" w14:textId="77777777" w:rsidR="005300C5" w:rsidRPr="008345D1" w:rsidRDefault="005300C5">
            <w:pPr>
              <w:pStyle w:val="Tablea"/>
            </w:pPr>
            <w:r w:rsidRPr="008345D1">
              <w:t>(a) payments under the GST refund provisions;</w:t>
            </w:r>
          </w:p>
          <w:p w14:paraId="20C2C0E4" w14:textId="77777777" w:rsidR="005300C5" w:rsidRPr="008345D1" w:rsidRDefault="005300C5">
            <w:pPr>
              <w:pStyle w:val="Tablea"/>
            </w:pPr>
            <w:r w:rsidRPr="008345D1">
              <w:t xml:space="preserve">(b) what was payable under the GST refund provisions and was (rather than being paid directly under those provisions) allocated, applied or refunded in accordance with Part IIB of the </w:t>
            </w:r>
            <w:r w:rsidRPr="008345D1">
              <w:rPr>
                <w:i/>
              </w:rPr>
              <w:t>Taxation Administration Act 1953</w:t>
            </w:r>
            <w:r w:rsidRPr="008345D1">
              <w:t>.</w:t>
            </w:r>
          </w:p>
        </w:tc>
        <w:tc>
          <w:tcPr>
            <w:tcW w:w="1701" w:type="dxa"/>
            <w:tcBorders>
              <w:top w:val="single" w:sz="2" w:space="0" w:color="auto"/>
              <w:bottom w:val="single" w:sz="2" w:space="0" w:color="auto"/>
            </w:tcBorders>
            <w:shd w:val="clear" w:color="auto" w:fill="auto"/>
          </w:tcPr>
          <w:p w14:paraId="6A6EB801" w14:textId="77777777" w:rsidR="005300C5" w:rsidRPr="008345D1" w:rsidRDefault="005300C5">
            <w:pPr>
              <w:pStyle w:val="Tabletext"/>
            </w:pPr>
            <w:r w:rsidRPr="008345D1">
              <w:t>Subsection 6(4)</w:t>
            </w:r>
            <w:r>
              <w:t xml:space="preserve"> of the Act</w:t>
            </w:r>
          </w:p>
        </w:tc>
        <w:tc>
          <w:tcPr>
            <w:tcW w:w="2047" w:type="dxa"/>
            <w:tcBorders>
              <w:top w:val="single" w:sz="2" w:space="0" w:color="auto"/>
              <w:bottom w:val="single" w:sz="2" w:space="0" w:color="auto"/>
            </w:tcBorders>
            <w:shd w:val="clear" w:color="auto" w:fill="auto"/>
          </w:tcPr>
          <w:p w14:paraId="3495DBA6" w14:textId="27004D8A" w:rsidR="005300C5" w:rsidRPr="00D3312D" w:rsidRDefault="005300C5">
            <w:pPr>
              <w:pStyle w:val="Tabletext"/>
              <w:rPr>
                <w:highlight w:val="yellow"/>
              </w:rPr>
            </w:pPr>
            <w:r w:rsidRPr="004D4719">
              <w:t>$</w:t>
            </w:r>
            <w:r w:rsidR="005A614A" w:rsidRPr="005A614A">
              <w:t>96,732,960,706.79</w:t>
            </w:r>
          </w:p>
        </w:tc>
      </w:tr>
      <w:tr w:rsidR="005300C5" w14:paraId="722A3CA1" w14:textId="77777777">
        <w:tc>
          <w:tcPr>
            <w:tcW w:w="714" w:type="dxa"/>
            <w:tcBorders>
              <w:top w:val="single" w:sz="2" w:space="0" w:color="auto"/>
              <w:bottom w:val="single" w:sz="12" w:space="0" w:color="auto"/>
            </w:tcBorders>
            <w:shd w:val="clear" w:color="auto" w:fill="auto"/>
          </w:tcPr>
          <w:p w14:paraId="638CB8AC" w14:textId="77777777" w:rsidR="005300C5" w:rsidRPr="008345D1" w:rsidRDefault="005300C5">
            <w:pPr>
              <w:pStyle w:val="Tabletext"/>
            </w:pPr>
          </w:p>
        </w:tc>
        <w:tc>
          <w:tcPr>
            <w:tcW w:w="3851" w:type="dxa"/>
            <w:tcBorders>
              <w:top w:val="single" w:sz="2" w:space="0" w:color="auto"/>
              <w:bottom w:val="single" w:sz="12" w:space="0" w:color="auto"/>
            </w:tcBorders>
            <w:shd w:val="clear" w:color="auto" w:fill="auto"/>
          </w:tcPr>
          <w:p w14:paraId="28957E05" w14:textId="77777777" w:rsidR="005300C5" w:rsidRPr="008345D1" w:rsidRDefault="005300C5">
            <w:pPr>
              <w:pStyle w:val="Tabletext"/>
            </w:pPr>
            <w:r w:rsidRPr="008345D1">
              <w:rPr>
                <w:i/>
              </w:rPr>
              <w:t>Sum of items 1, 2 and 3</w:t>
            </w:r>
            <w:r>
              <w:rPr>
                <w:i/>
              </w:rPr>
              <w:t>, less item 4</w:t>
            </w:r>
          </w:p>
        </w:tc>
        <w:tc>
          <w:tcPr>
            <w:tcW w:w="1701" w:type="dxa"/>
            <w:tcBorders>
              <w:top w:val="single" w:sz="2" w:space="0" w:color="auto"/>
              <w:bottom w:val="single" w:sz="12" w:space="0" w:color="auto"/>
            </w:tcBorders>
            <w:shd w:val="clear" w:color="auto" w:fill="auto"/>
          </w:tcPr>
          <w:p w14:paraId="0A105000" w14:textId="77777777" w:rsidR="005300C5" w:rsidRPr="008345D1" w:rsidRDefault="005300C5">
            <w:pPr>
              <w:pStyle w:val="Tabletext"/>
            </w:pPr>
          </w:p>
        </w:tc>
        <w:tc>
          <w:tcPr>
            <w:tcW w:w="2047" w:type="dxa"/>
            <w:tcBorders>
              <w:top w:val="single" w:sz="2" w:space="0" w:color="auto"/>
              <w:bottom w:val="single" w:sz="12" w:space="0" w:color="auto"/>
            </w:tcBorders>
            <w:shd w:val="clear" w:color="auto" w:fill="auto"/>
          </w:tcPr>
          <w:p w14:paraId="2ED9BCBC" w14:textId="5C4C2049" w:rsidR="005300C5" w:rsidRPr="00D3312D" w:rsidRDefault="005E5223">
            <w:pPr>
              <w:pStyle w:val="Tabletext"/>
              <w:rPr>
                <w:highlight w:val="yellow"/>
              </w:rPr>
            </w:pPr>
            <w:r w:rsidRPr="005E5223">
              <w:rPr>
                <w:i/>
              </w:rPr>
              <w:t>$</w:t>
            </w:r>
            <w:r w:rsidR="005A614A" w:rsidRPr="005A614A">
              <w:rPr>
                <w:i/>
              </w:rPr>
              <w:t>84,918,175,858.59</w:t>
            </w:r>
          </w:p>
        </w:tc>
      </w:tr>
    </w:tbl>
    <w:p w14:paraId="1901015A" w14:textId="5378BAF3" w:rsidR="00B51EC7" w:rsidRPr="00B51EC7" w:rsidRDefault="005300C5" w:rsidP="005300C5">
      <w:pPr>
        <w:pStyle w:val="notemargin"/>
      </w:pPr>
      <w:r>
        <w:t>Note:</w:t>
      </w:r>
      <w:r w:rsidRPr="003C6753">
        <w:tab/>
      </w:r>
      <w:r w:rsidRPr="00FA4637">
        <w:t>In determining the amounts set out in each item of this table, adjustments have been made as required by subsection 6(5) of the Act to ensure that the effect that the luxury car tax law and wine equalisation tax law would otherwise have on the amounts of GST</w:t>
      </w:r>
      <w:r w:rsidR="003B52C4" w:rsidRPr="00FA4637">
        <w:t>, and the amounts attributable to GST, was removed.</w:t>
      </w:r>
    </w:p>
    <w:sectPr w:rsidR="00B51EC7" w:rsidRPr="00B51EC7">
      <w:headerReference w:type="even" r:id="rId23"/>
      <w:headerReference w:type="default" r:id="rId24"/>
      <w:footerReference w:type="even" r:id="rId25"/>
      <w:footerReference w:type="default" r:id="rId26"/>
      <w:headerReference w:type="first" r:id="rId27"/>
      <w:footerReference w:type="first" r:id="rId28"/>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8DECA" w14:textId="77777777" w:rsidR="009E7366" w:rsidRDefault="009E7366" w:rsidP="00FA06CA">
      <w:pPr>
        <w:spacing w:line="240" w:lineRule="auto"/>
      </w:pPr>
      <w:r>
        <w:separator/>
      </w:r>
    </w:p>
  </w:endnote>
  <w:endnote w:type="continuationSeparator" w:id="0">
    <w:p w14:paraId="7E5389E2" w14:textId="77777777" w:rsidR="009E7366" w:rsidRDefault="009E7366" w:rsidP="00FA06CA">
      <w:pPr>
        <w:spacing w:line="240" w:lineRule="auto"/>
      </w:pPr>
      <w:r>
        <w:continuationSeparator/>
      </w:r>
    </w:p>
  </w:endnote>
  <w:endnote w:type="continuationNotice" w:id="1">
    <w:p w14:paraId="03501331" w14:textId="77777777" w:rsidR="009E7366" w:rsidRDefault="009E736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FA06CA" w14:paraId="7A27D334" w14:textId="77777777">
      <w:tc>
        <w:tcPr>
          <w:tcW w:w="8472" w:type="dxa"/>
        </w:tcPr>
        <w:p w14:paraId="141163A1" w14:textId="49A6EC4B" w:rsidR="00FA06CA" w:rsidRDefault="00FA06CA">
          <w:pPr>
            <w:jc w:val="right"/>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F00C01">
            <w:rPr>
              <w:i/>
              <w:noProof/>
              <w:sz w:val="18"/>
            </w:rPr>
            <w:t>https://austreasury.sharepoint.com/sites/leg-meas-function/measure13/GST revenue determination 2023-24/241017-NI-TSY_47_0539-GST_Rev_Determination_23-24.master.docx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9A675C">
            <w:rPr>
              <w:i/>
              <w:noProof/>
              <w:sz w:val="18"/>
            </w:rPr>
            <w:t>24/10/2024 4:24 PM</w:t>
          </w:r>
          <w:r w:rsidRPr="00ED79B6">
            <w:rPr>
              <w:i/>
              <w:sz w:val="18"/>
            </w:rPr>
            <w:fldChar w:fldCharType="end"/>
          </w:r>
        </w:p>
      </w:tc>
    </w:tr>
  </w:tbl>
  <w:p w14:paraId="64DE692D" w14:textId="77777777" w:rsidR="00FA06CA" w:rsidRPr="007500C8" w:rsidRDefault="00FA06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4A0BB" w14:textId="0C170CCA" w:rsidR="00FA06CA" w:rsidRDefault="00FA06CA">
    <w:pPr>
      <w:pStyle w:val="Footer"/>
    </w:pPr>
    <w:bookmarkStart w:id="0" w:name="_Hlk26286429"/>
    <w:bookmarkStart w:id="1" w:name="_Hlk26286430"/>
    <w:bookmarkStart w:id="2" w:name="_Hlk26286433"/>
    <w:bookmarkStart w:id="3" w:name="_Hlk2628643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FA06CA" w14:paraId="7412FF61" w14:textId="77777777">
      <w:tc>
        <w:tcPr>
          <w:tcW w:w="8472" w:type="dxa"/>
        </w:tcPr>
        <w:p w14:paraId="38F6EDF1" w14:textId="1182080E" w:rsidR="00FA06CA" w:rsidRDefault="00FA06CA">
          <w:pPr>
            <w:rPr>
              <w:sz w:val="18"/>
            </w:rPr>
          </w:pPr>
        </w:p>
      </w:tc>
    </w:tr>
    <w:bookmarkEnd w:id="0"/>
    <w:bookmarkEnd w:id="1"/>
    <w:bookmarkEnd w:id="2"/>
    <w:bookmarkEnd w:id="3"/>
  </w:tbl>
  <w:p w14:paraId="17DC1B5C" w14:textId="77777777" w:rsidR="00FA06CA" w:rsidRPr="007500C8" w:rsidRDefault="00FA06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84DC4" w14:textId="77777777" w:rsidR="00FA06CA" w:rsidRPr="00ED79B6" w:rsidRDefault="00FA06CA">
    <w:pPr>
      <w:pStyle w:val="Footer"/>
      <w:tabs>
        <w:tab w:val="clear" w:pos="4153"/>
        <w:tab w:val="clear" w:pos="8306"/>
        <w:tab w:val="center" w:pos="4150"/>
        <w:tab w:val="right" w:pos="8307"/>
      </w:tabs>
      <w:spacing w:before="120"/>
    </w:pPr>
    <w:bookmarkStart w:id="6" w:name="_Hlk26286431"/>
    <w:bookmarkStart w:id="7" w:name="_Hlk26286432"/>
    <w:bookmarkStart w:id="8" w:name="_Hlk26286443"/>
    <w:bookmarkStart w:id="9" w:name="_Hlk26286444"/>
    <w:bookmarkEnd w:id="6"/>
    <w:bookmarkEnd w:id="7"/>
    <w:bookmarkEnd w:id="8"/>
    <w:bookmarkEnd w:id="9"/>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8A91C" w14:textId="57CFD2F6" w:rsidR="00FA06CA" w:rsidRPr="00E33C1C" w:rsidRDefault="00FA06C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FA06CA" w14:paraId="74B1B8C6" w14:textId="77777777">
      <w:tc>
        <w:tcPr>
          <w:tcW w:w="709" w:type="dxa"/>
          <w:tcBorders>
            <w:top w:val="nil"/>
            <w:left w:val="nil"/>
            <w:bottom w:val="nil"/>
            <w:right w:val="nil"/>
          </w:tcBorders>
        </w:tcPr>
        <w:p w14:paraId="15FC5674" w14:textId="77777777" w:rsidR="00FA06CA" w:rsidRDefault="00FA06C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0C8D4F9C" w14:textId="4D0F1A0F" w:rsidR="00FA06CA" w:rsidRDefault="00FA06CA">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F00C01">
            <w:rPr>
              <w:i/>
              <w:noProof/>
              <w:sz w:val="18"/>
            </w:rPr>
            <w:t>Federal Financial Relations (GST Revenue for 2023-24) Determination 2024</w:t>
          </w:r>
          <w:r>
            <w:rPr>
              <w:i/>
              <w:sz w:val="18"/>
            </w:rPr>
            <w:fldChar w:fldCharType="end"/>
          </w:r>
        </w:p>
      </w:tc>
      <w:tc>
        <w:tcPr>
          <w:tcW w:w="1383" w:type="dxa"/>
          <w:tcBorders>
            <w:top w:val="nil"/>
            <w:left w:val="nil"/>
            <w:bottom w:val="nil"/>
            <w:right w:val="nil"/>
          </w:tcBorders>
        </w:tcPr>
        <w:p w14:paraId="2433DCFE" w14:textId="77777777" w:rsidR="00FA06CA" w:rsidRDefault="00FA06CA">
          <w:pPr>
            <w:spacing w:line="0" w:lineRule="atLeast"/>
            <w:jc w:val="right"/>
            <w:rPr>
              <w:sz w:val="18"/>
            </w:rPr>
          </w:pPr>
        </w:p>
      </w:tc>
    </w:tr>
    <w:tr w:rsidR="00FA06CA" w14:paraId="6C7D22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10A8AD6" w14:textId="452DDF86" w:rsidR="00FA06CA" w:rsidRDefault="00FA06CA">
          <w:pPr>
            <w:jc w:val="right"/>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F00C01">
            <w:rPr>
              <w:i/>
              <w:noProof/>
              <w:sz w:val="18"/>
            </w:rPr>
            <w:t>https://austreasury.sharepoint.com/sites/leg-meas-function/measure13/GST revenue determination 2023-24/241017-NI-TSY_47_0539-GST_Rev_Determination_23-24.master.docx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9A675C">
            <w:rPr>
              <w:i/>
              <w:noProof/>
              <w:sz w:val="18"/>
            </w:rPr>
            <w:t>24/10/2024 4:24 PM</w:t>
          </w:r>
          <w:r w:rsidRPr="00ED79B6">
            <w:rPr>
              <w:i/>
              <w:sz w:val="18"/>
            </w:rPr>
            <w:fldChar w:fldCharType="end"/>
          </w:r>
        </w:p>
      </w:tc>
    </w:tr>
  </w:tbl>
  <w:p w14:paraId="17A3BA98" w14:textId="77777777" w:rsidR="00FA06CA" w:rsidRPr="00ED79B6" w:rsidRDefault="00FA06CA">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76006" w14:textId="769C6831" w:rsidR="00FA06CA" w:rsidRPr="00E33C1C" w:rsidRDefault="00FA06CA">
    <w:pPr>
      <w:pBdr>
        <w:top w:val="single" w:sz="6" w:space="1" w:color="auto"/>
      </w:pBdr>
      <w:spacing w:before="120" w:line="0" w:lineRule="atLeast"/>
      <w:rPr>
        <w:sz w:val="16"/>
        <w:szCs w:val="16"/>
      </w:rPr>
    </w:pPr>
    <w:bookmarkStart w:id="10" w:name="_Hlk26286441"/>
    <w:bookmarkStart w:id="11" w:name="_Hlk26286442"/>
    <w:bookmarkStart w:id="12" w:name="_Hlk26286445"/>
    <w:bookmarkStart w:id="13" w:name="_Hlk26286446"/>
  </w:p>
  <w:tbl>
    <w:tblPr>
      <w:tblStyle w:val="TableGrid"/>
      <w:tblW w:w="8472" w:type="dxa"/>
      <w:tblLayout w:type="fixed"/>
      <w:tblLook w:val="04A0" w:firstRow="1" w:lastRow="0" w:firstColumn="1" w:lastColumn="0" w:noHBand="0" w:noVBand="1"/>
    </w:tblPr>
    <w:tblGrid>
      <w:gridCol w:w="1383"/>
      <w:gridCol w:w="6380"/>
      <w:gridCol w:w="709"/>
    </w:tblGrid>
    <w:tr w:rsidR="00FA06CA" w14:paraId="1DB3F835" w14:textId="77777777">
      <w:tc>
        <w:tcPr>
          <w:tcW w:w="1383" w:type="dxa"/>
          <w:tcBorders>
            <w:top w:val="nil"/>
            <w:left w:val="nil"/>
            <w:bottom w:val="nil"/>
            <w:right w:val="nil"/>
          </w:tcBorders>
        </w:tcPr>
        <w:p w14:paraId="147BBB98" w14:textId="77777777" w:rsidR="00FA06CA" w:rsidRDefault="00FA06CA">
          <w:pPr>
            <w:spacing w:line="0" w:lineRule="atLeast"/>
            <w:rPr>
              <w:sz w:val="18"/>
            </w:rPr>
          </w:pPr>
        </w:p>
      </w:tc>
      <w:tc>
        <w:tcPr>
          <w:tcW w:w="6380" w:type="dxa"/>
          <w:tcBorders>
            <w:top w:val="nil"/>
            <w:left w:val="nil"/>
            <w:bottom w:val="nil"/>
            <w:right w:val="nil"/>
          </w:tcBorders>
        </w:tcPr>
        <w:p w14:paraId="69D881F8" w14:textId="0484EC58" w:rsidR="00FA06CA" w:rsidRDefault="00FA06CA">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9A675C">
            <w:rPr>
              <w:i/>
              <w:noProof/>
              <w:sz w:val="18"/>
            </w:rPr>
            <w:t>Federal Financial Relations (GST Revenue for 2023-24) Determination 2024</w:t>
          </w:r>
          <w:r>
            <w:rPr>
              <w:i/>
              <w:sz w:val="18"/>
            </w:rPr>
            <w:fldChar w:fldCharType="end"/>
          </w:r>
        </w:p>
      </w:tc>
      <w:tc>
        <w:tcPr>
          <w:tcW w:w="709" w:type="dxa"/>
          <w:tcBorders>
            <w:top w:val="nil"/>
            <w:left w:val="nil"/>
            <w:bottom w:val="nil"/>
            <w:right w:val="nil"/>
          </w:tcBorders>
        </w:tcPr>
        <w:p w14:paraId="31FEF96F" w14:textId="77777777" w:rsidR="00FA06CA" w:rsidRDefault="00FA06C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FA06CA" w14:paraId="3F59CA9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C45DDC7" w14:textId="321A4F05" w:rsidR="00FA06CA" w:rsidRDefault="00FA06CA">
          <w:pPr>
            <w:rPr>
              <w:sz w:val="18"/>
            </w:rPr>
          </w:pPr>
        </w:p>
      </w:tc>
    </w:tr>
    <w:bookmarkEnd w:id="10"/>
    <w:bookmarkEnd w:id="11"/>
    <w:bookmarkEnd w:id="12"/>
    <w:bookmarkEnd w:id="13"/>
  </w:tbl>
  <w:p w14:paraId="72BD347A" w14:textId="77777777" w:rsidR="00FA06CA" w:rsidRPr="00ED79B6" w:rsidRDefault="00FA06CA">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73E03" w14:textId="14DF2528" w:rsidR="00B86235" w:rsidRPr="00E33C1C" w:rsidRDefault="00B86235">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8B5080" w14:paraId="707C5AF2" w14:textId="77777777">
      <w:tc>
        <w:tcPr>
          <w:tcW w:w="709" w:type="dxa"/>
          <w:tcBorders>
            <w:top w:val="nil"/>
            <w:left w:val="nil"/>
            <w:bottom w:val="nil"/>
            <w:right w:val="nil"/>
          </w:tcBorders>
        </w:tcPr>
        <w:p w14:paraId="79B2C18B" w14:textId="77777777" w:rsidR="00B86235" w:rsidRDefault="0063607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59B7E423" w14:textId="7E25FCE7" w:rsidR="00B86235" w:rsidRDefault="00636078">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9A675C">
            <w:rPr>
              <w:i/>
              <w:noProof/>
              <w:sz w:val="18"/>
            </w:rPr>
            <w:t>Federal Financial Relations (GST Revenue for 2023-24) Determination 2024</w:t>
          </w:r>
          <w:r>
            <w:rPr>
              <w:i/>
              <w:sz w:val="18"/>
            </w:rPr>
            <w:fldChar w:fldCharType="end"/>
          </w:r>
        </w:p>
      </w:tc>
      <w:tc>
        <w:tcPr>
          <w:tcW w:w="1383" w:type="dxa"/>
          <w:tcBorders>
            <w:top w:val="nil"/>
            <w:left w:val="nil"/>
            <w:bottom w:val="nil"/>
            <w:right w:val="nil"/>
          </w:tcBorders>
        </w:tcPr>
        <w:p w14:paraId="7EB7E941" w14:textId="77777777" w:rsidR="00B86235" w:rsidRDefault="00B86235">
          <w:pPr>
            <w:spacing w:line="0" w:lineRule="atLeast"/>
            <w:jc w:val="right"/>
            <w:rPr>
              <w:sz w:val="18"/>
            </w:rPr>
          </w:pPr>
        </w:p>
      </w:tc>
    </w:tr>
    <w:tr w:rsidR="008B5080" w14:paraId="1085C14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DB9EB53" w14:textId="15F0FE36" w:rsidR="00B86235" w:rsidRDefault="00B86235">
          <w:pPr>
            <w:jc w:val="right"/>
            <w:rPr>
              <w:sz w:val="18"/>
            </w:rPr>
          </w:pPr>
        </w:p>
      </w:tc>
    </w:tr>
  </w:tbl>
  <w:p w14:paraId="7654401E" w14:textId="77777777" w:rsidR="00B86235" w:rsidRPr="00ED79B6" w:rsidRDefault="00B8623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5E44C" w14:textId="752C932C" w:rsidR="00B86235" w:rsidRPr="00E33C1C" w:rsidRDefault="00B86235">
    <w:pPr>
      <w:pBdr>
        <w:top w:val="single" w:sz="6" w:space="1" w:color="auto"/>
      </w:pBdr>
      <w:spacing w:before="120" w:line="0" w:lineRule="atLeast"/>
      <w:rPr>
        <w:sz w:val="16"/>
        <w:szCs w:val="16"/>
      </w:rPr>
    </w:pPr>
    <w:bookmarkStart w:id="30" w:name="_Hlk26286453"/>
    <w:bookmarkStart w:id="31" w:name="_Hlk26286454"/>
    <w:bookmarkStart w:id="32" w:name="_Hlk26286457"/>
    <w:bookmarkStart w:id="33" w:name="_Hlk26286458"/>
  </w:p>
  <w:tbl>
    <w:tblPr>
      <w:tblStyle w:val="TableGrid"/>
      <w:tblW w:w="0" w:type="auto"/>
      <w:tblLook w:val="04A0" w:firstRow="1" w:lastRow="0" w:firstColumn="1" w:lastColumn="0" w:noHBand="0" w:noVBand="1"/>
    </w:tblPr>
    <w:tblGrid>
      <w:gridCol w:w="1357"/>
      <w:gridCol w:w="6257"/>
      <w:gridCol w:w="699"/>
    </w:tblGrid>
    <w:tr w:rsidR="008B5080" w14:paraId="293AB639" w14:textId="77777777">
      <w:tc>
        <w:tcPr>
          <w:tcW w:w="1384" w:type="dxa"/>
          <w:tcBorders>
            <w:top w:val="nil"/>
            <w:left w:val="nil"/>
            <w:bottom w:val="nil"/>
            <w:right w:val="nil"/>
          </w:tcBorders>
        </w:tcPr>
        <w:p w14:paraId="3A141B90" w14:textId="77777777" w:rsidR="00B86235" w:rsidRDefault="00B86235">
          <w:pPr>
            <w:spacing w:line="0" w:lineRule="atLeast"/>
            <w:rPr>
              <w:sz w:val="18"/>
            </w:rPr>
          </w:pPr>
        </w:p>
      </w:tc>
      <w:tc>
        <w:tcPr>
          <w:tcW w:w="6379" w:type="dxa"/>
          <w:tcBorders>
            <w:top w:val="nil"/>
            <w:left w:val="nil"/>
            <w:bottom w:val="nil"/>
            <w:right w:val="nil"/>
          </w:tcBorders>
        </w:tcPr>
        <w:p w14:paraId="307248FE" w14:textId="6090E107" w:rsidR="00B86235" w:rsidRDefault="00636078">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9A675C">
            <w:rPr>
              <w:i/>
              <w:noProof/>
              <w:sz w:val="18"/>
            </w:rPr>
            <w:t>Federal Financial Relations (GST Revenue for 2023-24) Determination 2024</w:t>
          </w:r>
          <w:r>
            <w:rPr>
              <w:i/>
              <w:sz w:val="18"/>
            </w:rPr>
            <w:fldChar w:fldCharType="end"/>
          </w:r>
        </w:p>
      </w:tc>
      <w:tc>
        <w:tcPr>
          <w:tcW w:w="709" w:type="dxa"/>
          <w:tcBorders>
            <w:top w:val="nil"/>
            <w:left w:val="nil"/>
            <w:bottom w:val="nil"/>
            <w:right w:val="nil"/>
          </w:tcBorders>
        </w:tcPr>
        <w:p w14:paraId="2B66FE68" w14:textId="77777777" w:rsidR="00B86235" w:rsidRDefault="0063607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8B5080" w14:paraId="1BD7D8D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C6D6566" w14:textId="1E8CF9E9" w:rsidR="00B86235" w:rsidRDefault="00B86235">
          <w:pPr>
            <w:rPr>
              <w:sz w:val="18"/>
            </w:rPr>
          </w:pPr>
        </w:p>
      </w:tc>
    </w:tr>
    <w:bookmarkEnd w:id="30"/>
    <w:bookmarkEnd w:id="31"/>
    <w:bookmarkEnd w:id="32"/>
    <w:bookmarkEnd w:id="33"/>
  </w:tbl>
  <w:p w14:paraId="42A68154" w14:textId="77777777" w:rsidR="00B86235" w:rsidRPr="00ED79B6" w:rsidRDefault="00B86235">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A8BD5" w14:textId="77777777" w:rsidR="00B86235" w:rsidRPr="00E33C1C" w:rsidRDefault="00B86235">
    <w:pPr>
      <w:pBdr>
        <w:top w:val="single" w:sz="6" w:space="1" w:color="auto"/>
      </w:pBdr>
      <w:spacing w:line="0" w:lineRule="atLeast"/>
      <w:rPr>
        <w:sz w:val="16"/>
        <w:szCs w:val="16"/>
      </w:rPr>
    </w:pPr>
    <w:bookmarkStart w:id="36" w:name="_Hlk26286455"/>
    <w:bookmarkStart w:id="37" w:name="_Hlk26286456"/>
  </w:p>
  <w:tbl>
    <w:tblPr>
      <w:tblStyle w:val="TableGrid"/>
      <w:tblW w:w="0" w:type="auto"/>
      <w:tblLook w:val="04A0" w:firstRow="1" w:lastRow="0" w:firstColumn="1" w:lastColumn="0" w:noHBand="0" w:noVBand="1"/>
    </w:tblPr>
    <w:tblGrid>
      <w:gridCol w:w="1364"/>
      <w:gridCol w:w="6246"/>
      <w:gridCol w:w="703"/>
    </w:tblGrid>
    <w:tr w:rsidR="008B5080" w14:paraId="1CD8E4C3" w14:textId="77777777">
      <w:tc>
        <w:tcPr>
          <w:tcW w:w="1384" w:type="dxa"/>
          <w:tcBorders>
            <w:top w:val="nil"/>
            <w:left w:val="nil"/>
            <w:bottom w:val="nil"/>
            <w:right w:val="nil"/>
          </w:tcBorders>
        </w:tcPr>
        <w:p w14:paraId="0D6353CE" w14:textId="77777777" w:rsidR="00B86235" w:rsidRDefault="00B86235">
          <w:pPr>
            <w:spacing w:line="0" w:lineRule="atLeast"/>
            <w:rPr>
              <w:sz w:val="18"/>
            </w:rPr>
          </w:pPr>
        </w:p>
      </w:tc>
      <w:tc>
        <w:tcPr>
          <w:tcW w:w="6379" w:type="dxa"/>
          <w:tcBorders>
            <w:top w:val="nil"/>
            <w:left w:val="nil"/>
            <w:bottom w:val="nil"/>
            <w:right w:val="nil"/>
          </w:tcBorders>
        </w:tcPr>
        <w:p w14:paraId="3692CF31" w14:textId="413A5D63" w:rsidR="00B86235" w:rsidRDefault="0063607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00C01">
            <w:rPr>
              <w:i/>
              <w:sz w:val="18"/>
            </w:rPr>
            <w:t>[title] 2017</w:t>
          </w:r>
          <w:r w:rsidRPr="007A1328">
            <w:rPr>
              <w:i/>
              <w:sz w:val="18"/>
            </w:rPr>
            <w:fldChar w:fldCharType="end"/>
          </w:r>
        </w:p>
      </w:tc>
      <w:tc>
        <w:tcPr>
          <w:tcW w:w="709" w:type="dxa"/>
          <w:tcBorders>
            <w:top w:val="nil"/>
            <w:left w:val="nil"/>
            <w:bottom w:val="nil"/>
            <w:right w:val="nil"/>
          </w:tcBorders>
        </w:tcPr>
        <w:p w14:paraId="39235DF9" w14:textId="77777777" w:rsidR="00B86235" w:rsidRDefault="0063607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8B5080" w14:paraId="182270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7CCD55F" w14:textId="52AE5929" w:rsidR="00B86235" w:rsidRDefault="0063607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F00C01">
            <w:rPr>
              <w:i/>
              <w:noProof/>
              <w:sz w:val="18"/>
            </w:rPr>
            <w:t>https://austreasury.sharepoint.com/sites/leg-meas-function/measure13/GST revenue determination 2023-24/241017-NI-TSY_47_0539-GST_Rev_Determination_23-24.master.docx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9A675C">
            <w:rPr>
              <w:i/>
              <w:noProof/>
              <w:sz w:val="18"/>
            </w:rPr>
            <w:t>24/10/2024 4:24 PM</w:t>
          </w:r>
          <w:r w:rsidRPr="00ED79B6">
            <w:rPr>
              <w:i/>
              <w:sz w:val="18"/>
            </w:rPr>
            <w:fldChar w:fldCharType="end"/>
          </w:r>
        </w:p>
      </w:tc>
    </w:tr>
    <w:bookmarkEnd w:id="36"/>
    <w:bookmarkEnd w:id="37"/>
  </w:tbl>
  <w:p w14:paraId="7C4C94BF" w14:textId="77777777" w:rsidR="00B86235" w:rsidRPr="00ED79B6" w:rsidRDefault="00B8623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37E34" w14:textId="77777777" w:rsidR="009E7366" w:rsidRDefault="009E7366" w:rsidP="00FA06CA">
      <w:pPr>
        <w:spacing w:line="240" w:lineRule="auto"/>
      </w:pPr>
      <w:r>
        <w:separator/>
      </w:r>
    </w:p>
  </w:footnote>
  <w:footnote w:type="continuationSeparator" w:id="0">
    <w:p w14:paraId="7AFD4A15" w14:textId="77777777" w:rsidR="009E7366" w:rsidRDefault="009E7366" w:rsidP="00FA06CA">
      <w:pPr>
        <w:spacing w:line="240" w:lineRule="auto"/>
      </w:pPr>
      <w:r>
        <w:continuationSeparator/>
      </w:r>
    </w:p>
  </w:footnote>
  <w:footnote w:type="continuationNotice" w:id="1">
    <w:p w14:paraId="1C9901A9" w14:textId="77777777" w:rsidR="009E7366" w:rsidRDefault="009E736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E5FC" w14:textId="7639CC44" w:rsidR="00FA06CA" w:rsidRPr="005F1388" w:rsidRDefault="00FA06CA">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E6F65" w14:textId="77777777" w:rsidR="00FA06CA" w:rsidRPr="005F1388" w:rsidRDefault="00FA06CA">
    <w:pPr>
      <w:pStyle w:val="Header"/>
      <w:tabs>
        <w:tab w:val="clear" w:pos="4150"/>
        <w:tab w:val="clear" w:pos="8307"/>
      </w:tabs>
    </w:pPr>
    <w:bookmarkStart w:id="4" w:name="_Hlk26286425"/>
    <w:bookmarkStart w:id="5" w:name="_Hlk26286426"/>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7EF61" w14:textId="4D5031ED" w:rsidR="00FA06CA" w:rsidRPr="00ED79B6" w:rsidRDefault="00FA06CA">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A9853" w14:textId="1CD9A736" w:rsidR="00FA06CA" w:rsidRPr="00ED79B6" w:rsidRDefault="00FA06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5A22B" w14:textId="77777777" w:rsidR="00FA06CA" w:rsidRPr="00ED79B6" w:rsidRDefault="00FA06CA">
    <w:pPr>
      <w:pStyle w:val="Header"/>
      <w:tabs>
        <w:tab w:val="clear" w:pos="4150"/>
        <w:tab w:val="clear" w:pos="8307"/>
      </w:tabs>
    </w:pPr>
    <w:bookmarkStart w:id="14" w:name="_Hlk26286437"/>
    <w:bookmarkStart w:id="15" w:name="_Hlk26286438"/>
    <w:bookmarkEnd w:id="14"/>
    <w:bookmarkEnd w:id="15"/>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D484" w14:textId="213ACFB6" w:rsidR="00B86235" w:rsidRDefault="00636078">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52B39109" w14:textId="7328A790" w:rsidR="00B86235" w:rsidRDefault="00636078">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9A675C">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9A675C">
      <w:rPr>
        <w:noProof/>
        <w:sz w:val="20"/>
      </w:rPr>
      <w:t>GST revenue determination for 2023-24</w:t>
    </w:r>
    <w:r>
      <w:rPr>
        <w:sz w:val="20"/>
      </w:rPr>
      <w:fldChar w:fldCharType="end"/>
    </w:r>
  </w:p>
  <w:p w14:paraId="4DCFF23E" w14:textId="54330988" w:rsidR="00B86235" w:rsidRPr="007A1328" w:rsidRDefault="00636078">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3D8D048C" w14:textId="77777777" w:rsidR="00B86235" w:rsidRPr="007A1328" w:rsidRDefault="00B86235">
    <w:pPr>
      <w:rPr>
        <w:b/>
        <w:sz w:val="24"/>
      </w:rPr>
    </w:pPr>
  </w:p>
  <w:p w14:paraId="65F44866" w14:textId="644E91D1" w:rsidR="00B86235" w:rsidRPr="007A1328" w:rsidRDefault="00636078">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F00C01">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A675C">
      <w:rPr>
        <w:noProof/>
        <w:sz w:val="24"/>
      </w:rPr>
      <w:t>5</w:t>
    </w:r>
    <w:r w:rsidRPr="007A1328">
      <w:rPr>
        <w:sz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6" w:name="_Hlk26286447"/>
  <w:bookmarkStart w:id="27" w:name="_Hlk26286448"/>
  <w:bookmarkStart w:id="28" w:name="_Hlk26286451"/>
  <w:bookmarkStart w:id="29" w:name="_Hlk26286452"/>
  <w:p w14:paraId="3FC120DB" w14:textId="444D9BD7" w:rsidR="00B86235" w:rsidRPr="007A1328" w:rsidRDefault="00636078">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6F163E48" w14:textId="47DBFAE8" w:rsidR="00B86235" w:rsidRPr="007A1328" w:rsidRDefault="00636078">
    <w:pPr>
      <w:jc w:val="right"/>
      <w:rPr>
        <w:sz w:val="20"/>
      </w:rPr>
    </w:pPr>
    <w:r w:rsidRPr="007A1328">
      <w:rPr>
        <w:sz w:val="20"/>
      </w:rPr>
      <w:fldChar w:fldCharType="begin"/>
    </w:r>
    <w:r w:rsidRPr="007A1328">
      <w:rPr>
        <w:sz w:val="20"/>
      </w:rPr>
      <w:instrText xml:space="preserve"> STYLEREF CharPartText </w:instrText>
    </w:r>
    <w:r w:rsidR="009A675C">
      <w:rPr>
        <w:sz w:val="20"/>
      </w:rPr>
      <w:fldChar w:fldCharType="separate"/>
    </w:r>
    <w:r w:rsidR="009A675C">
      <w:rPr>
        <w:noProof/>
        <w:sz w:val="20"/>
      </w:rPr>
      <w:t>GST revenue determination for 2023-24</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9A675C">
      <w:rPr>
        <w:b/>
        <w:sz w:val="20"/>
      </w:rPr>
      <w:fldChar w:fldCharType="separate"/>
    </w:r>
    <w:r w:rsidR="009A675C">
      <w:rPr>
        <w:b/>
        <w:noProof/>
        <w:sz w:val="20"/>
      </w:rPr>
      <w:t>Part 2</w:t>
    </w:r>
    <w:r>
      <w:rPr>
        <w:b/>
        <w:sz w:val="20"/>
      </w:rPr>
      <w:fldChar w:fldCharType="end"/>
    </w:r>
  </w:p>
  <w:p w14:paraId="4360505C" w14:textId="1D9EA91D" w:rsidR="00B86235" w:rsidRPr="007A1328" w:rsidRDefault="00636078">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60F7AB2B" w14:textId="77777777" w:rsidR="00B86235" w:rsidRPr="007A1328" w:rsidRDefault="00B86235">
    <w:pPr>
      <w:jc w:val="right"/>
      <w:rPr>
        <w:b/>
        <w:sz w:val="24"/>
      </w:rPr>
    </w:pPr>
  </w:p>
  <w:p w14:paraId="186E70FB" w14:textId="72F116AC" w:rsidR="00B86235" w:rsidRPr="007A1328" w:rsidRDefault="00636078">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F00C01">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A675C">
      <w:rPr>
        <w:noProof/>
        <w:sz w:val="24"/>
      </w:rPr>
      <w:t>6</w:t>
    </w:r>
    <w:r w:rsidRPr="007A1328">
      <w:rPr>
        <w:sz w:val="24"/>
      </w:rPr>
      <w:fldChar w:fldCharType="end"/>
    </w:r>
    <w:bookmarkEnd w:id="26"/>
    <w:bookmarkEnd w:id="27"/>
    <w:bookmarkEnd w:id="28"/>
    <w:bookmarkEnd w:id="29"/>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AF475" w14:textId="77777777" w:rsidR="00B86235" w:rsidRPr="007A1328" w:rsidRDefault="00B86235">
    <w:bookmarkStart w:id="34" w:name="_Hlk26286449"/>
    <w:bookmarkStart w:id="35" w:name="_Hlk26286450"/>
    <w:bookmarkEnd w:id="34"/>
    <w:bookmarkEnd w:id="3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7CF7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E438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F607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E2C4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2BD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2C0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8E6C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CAE6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5A7F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5056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64549B"/>
    <w:multiLevelType w:val="hybridMultilevel"/>
    <w:tmpl w:val="7936AADC"/>
    <w:lvl w:ilvl="0" w:tplc="0EA6574C">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57244316">
    <w:abstractNumId w:val="9"/>
  </w:num>
  <w:num w:numId="2" w16cid:durableId="1676690968">
    <w:abstractNumId w:val="7"/>
  </w:num>
  <w:num w:numId="3" w16cid:durableId="1537546237">
    <w:abstractNumId w:val="6"/>
  </w:num>
  <w:num w:numId="4" w16cid:durableId="1897936652">
    <w:abstractNumId w:val="5"/>
  </w:num>
  <w:num w:numId="5" w16cid:durableId="1883320782">
    <w:abstractNumId w:val="4"/>
  </w:num>
  <w:num w:numId="6" w16cid:durableId="1387341592">
    <w:abstractNumId w:val="8"/>
  </w:num>
  <w:num w:numId="7" w16cid:durableId="1994941646">
    <w:abstractNumId w:val="3"/>
  </w:num>
  <w:num w:numId="8" w16cid:durableId="923344734">
    <w:abstractNumId w:val="2"/>
  </w:num>
  <w:num w:numId="9" w16cid:durableId="811797839">
    <w:abstractNumId w:val="1"/>
  </w:num>
  <w:num w:numId="10" w16cid:durableId="2068602335">
    <w:abstractNumId w:val="0"/>
  </w:num>
  <w:num w:numId="11" w16cid:durableId="1404718799">
    <w:abstractNumId w:val="12"/>
  </w:num>
  <w:num w:numId="12" w16cid:durableId="1116214489">
    <w:abstractNumId w:val="10"/>
  </w:num>
  <w:num w:numId="13" w16cid:durableId="10784011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F91"/>
    <w:rsid w:val="00001DB4"/>
    <w:rsid w:val="00001FF9"/>
    <w:rsid w:val="000225CE"/>
    <w:rsid w:val="000557B8"/>
    <w:rsid w:val="00073029"/>
    <w:rsid w:val="000B250C"/>
    <w:rsid w:val="000D1D4B"/>
    <w:rsid w:val="000D7A0B"/>
    <w:rsid w:val="00111762"/>
    <w:rsid w:val="00152AC0"/>
    <w:rsid w:val="00157FEE"/>
    <w:rsid w:val="00192360"/>
    <w:rsid w:val="001F386F"/>
    <w:rsid w:val="00237C24"/>
    <w:rsid w:val="00247E01"/>
    <w:rsid w:val="00255A02"/>
    <w:rsid w:val="002671A9"/>
    <w:rsid w:val="0027452B"/>
    <w:rsid w:val="002758DE"/>
    <w:rsid w:val="00292D6F"/>
    <w:rsid w:val="00313D61"/>
    <w:rsid w:val="003345C1"/>
    <w:rsid w:val="00346EB4"/>
    <w:rsid w:val="003615D5"/>
    <w:rsid w:val="00373BAC"/>
    <w:rsid w:val="00374D17"/>
    <w:rsid w:val="003817C4"/>
    <w:rsid w:val="003953D0"/>
    <w:rsid w:val="003B2CA1"/>
    <w:rsid w:val="003B52C4"/>
    <w:rsid w:val="003C2816"/>
    <w:rsid w:val="003C42F8"/>
    <w:rsid w:val="003C5135"/>
    <w:rsid w:val="003D0B92"/>
    <w:rsid w:val="003D7AB7"/>
    <w:rsid w:val="00415B55"/>
    <w:rsid w:val="00422C5B"/>
    <w:rsid w:val="00457245"/>
    <w:rsid w:val="004D4719"/>
    <w:rsid w:val="004E60E8"/>
    <w:rsid w:val="004E6868"/>
    <w:rsid w:val="00523FCF"/>
    <w:rsid w:val="005300C5"/>
    <w:rsid w:val="00553821"/>
    <w:rsid w:val="00562464"/>
    <w:rsid w:val="00563943"/>
    <w:rsid w:val="0056652D"/>
    <w:rsid w:val="0056771F"/>
    <w:rsid w:val="00595BB8"/>
    <w:rsid w:val="005A614A"/>
    <w:rsid w:val="005B0862"/>
    <w:rsid w:val="005B0F20"/>
    <w:rsid w:val="005E5223"/>
    <w:rsid w:val="00636078"/>
    <w:rsid w:val="0064241F"/>
    <w:rsid w:val="006624EB"/>
    <w:rsid w:val="006D40DF"/>
    <w:rsid w:val="006F5185"/>
    <w:rsid w:val="00725939"/>
    <w:rsid w:val="00744740"/>
    <w:rsid w:val="007630BC"/>
    <w:rsid w:val="007927CB"/>
    <w:rsid w:val="007947FB"/>
    <w:rsid w:val="007C0EE7"/>
    <w:rsid w:val="007C4AC4"/>
    <w:rsid w:val="007E581D"/>
    <w:rsid w:val="007F7691"/>
    <w:rsid w:val="00810866"/>
    <w:rsid w:val="00851D61"/>
    <w:rsid w:val="00865CDF"/>
    <w:rsid w:val="00884E3C"/>
    <w:rsid w:val="008A53E0"/>
    <w:rsid w:val="008B48EC"/>
    <w:rsid w:val="008B5080"/>
    <w:rsid w:val="0098259B"/>
    <w:rsid w:val="009A675C"/>
    <w:rsid w:val="009C078F"/>
    <w:rsid w:val="009D6EA1"/>
    <w:rsid w:val="009E7366"/>
    <w:rsid w:val="009F0A9C"/>
    <w:rsid w:val="00A07AC4"/>
    <w:rsid w:val="00A174FF"/>
    <w:rsid w:val="00A24522"/>
    <w:rsid w:val="00A25574"/>
    <w:rsid w:val="00A31D0F"/>
    <w:rsid w:val="00A361A7"/>
    <w:rsid w:val="00AB47BA"/>
    <w:rsid w:val="00B17C63"/>
    <w:rsid w:val="00B22309"/>
    <w:rsid w:val="00B42E37"/>
    <w:rsid w:val="00B43005"/>
    <w:rsid w:val="00B51EC7"/>
    <w:rsid w:val="00B5270A"/>
    <w:rsid w:val="00B56FBE"/>
    <w:rsid w:val="00B74984"/>
    <w:rsid w:val="00B86235"/>
    <w:rsid w:val="00BF6152"/>
    <w:rsid w:val="00C50D52"/>
    <w:rsid w:val="00C53081"/>
    <w:rsid w:val="00C733D3"/>
    <w:rsid w:val="00C9209D"/>
    <w:rsid w:val="00C93CB1"/>
    <w:rsid w:val="00C9500F"/>
    <w:rsid w:val="00CC051F"/>
    <w:rsid w:val="00D014D3"/>
    <w:rsid w:val="00D0746D"/>
    <w:rsid w:val="00D2173F"/>
    <w:rsid w:val="00D3312D"/>
    <w:rsid w:val="00D344A5"/>
    <w:rsid w:val="00D42F02"/>
    <w:rsid w:val="00D7046B"/>
    <w:rsid w:val="00D70749"/>
    <w:rsid w:val="00D7792A"/>
    <w:rsid w:val="00DC41C2"/>
    <w:rsid w:val="00E3204D"/>
    <w:rsid w:val="00E51538"/>
    <w:rsid w:val="00E56416"/>
    <w:rsid w:val="00EA4FC2"/>
    <w:rsid w:val="00F00C01"/>
    <w:rsid w:val="00F16FBE"/>
    <w:rsid w:val="00F510F4"/>
    <w:rsid w:val="00F72971"/>
    <w:rsid w:val="00F75717"/>
    <w:rsid w:val="00F83F91"/>
    <w:rsid w:val="00F97E06"/>
    <w:rsid w:val="00FA06CA"/>
    <w:rsid w:val="00FA4637"/>
    <w:rsid w:val="00FC391E"/>
    <w:rsid w:val="00FE1C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201A0"/>
  <w15:chartTrackingRefBased/>
  <w15:docId w15:val="{63E382F2-70D2-4D8C-BBBB-AAAB2944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A06CA"/>
    <w:pPr>
      <w:spacing w:after="0" w:line="260" w:lineRule="atLeast"/>
    </w:pPr>
    <w:rPr>
      <w:rFonts w:ascii="Times New Roman" w:hAnsi="Times New Roman"/>
      <w:szCs w:val="20"/>
    </w:rPr>
  </w:style>
  <w:style w:type="paragraph" w:styleId="Heading1">
    <w:name w:val="heading 1"/>
    <w:basedOn w:val="Normal"/>
    <w:next w:val="Normal"/>
    <w:link w:val="Heading1Char"/>
    <w:uiPriority w:val="9"/>
    <w:qFormat/>
    <w:rsid w:val="00FA06C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FA06CA"/>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FA06CA"/>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FA06CA"/>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FA06CA"/>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A06CA"/>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FA06C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A06C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A06C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6CA"/>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FA06C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FA06CA"/>
    <w:rPr>
      <w:rFonts w:asciiTheme="majorHAnsi" w:eastAsiaTheme="majorEastAsia" w:hAnsiTheme="majorHAnsi" w:cstheme="majorBidi"/>
      <w:b/>
      <w:bCs/>
      <w:color w:val="4472C4" w:themeColor="accent1"/>
      <w:szCs w:val="20"/>
    </w:rPr>
  </w:style>
  <w:style w:type="character" w:customStyle="1" w:styleId="Heading4Char">
    <w:name w:val="Heading 4 Char"/>
    <w:basedOn w:val="DefaultParagraphFont"/>
    <w:link w:val="Heading4"/>
    <w:uiPriority w:val="9"/>
    <w:semiHidden/>
    <w:rsid w:val="00FA06CA"/>
    <w:rPr>
      <w:rFonts w:asciiTheme="majorHAnsi" w:eastAsiaTheme="majorEastAsia" w:hAnsiTheme="majorHAnsi" w:cstheme="majorBidi"/>
      <w:b/>
      <w:bCs/>
      <w:i/>
      <w:iCs/>
      <w:color w:val="4472C4" w:themeColor="accent1"/>
      <w:szCs w:val="20"/>
    </w:rPr>
  </w:style>
  <w:style w:type="character" w:customStyle="1" w:styleId="Heading5Char">
    <w:name w:val="Heading 5 Char"/>
    <w:basedOn w:val="DefaultParagraphFont"/>
    <w:link w:val="Heading5"/>
    <w:uiPriority w:val="9"/>
    <w:semiHidden/>
    <w:rsid w:val="00FA06CA"/>
    <w:rPr>
      <w:rFonts w:asciiTheme="majorHAnsi" w:eastAsiaTheme="majorEastAsia" w:hAnsiTheme="majorHAnsi" w:cstheme="majorBidi"/>
      <w:color w:val="1F3763" w:themeColor="accent1" w:themeShade="7F"/>
      <w:szCs w:val="20"/>
    </w:rPr>
  </w:style>
  <w:style w:type="character" w:customStyle="1" w:styleId="Heading6Char">
    <w:name w:val="Heading 6 Char"/>
    <w:basedOn w:val="DefaultParagraphFont"/>
    <w:link w:val="Heading6"/>
    <w:uiPriority w:val="9"/>
    <w:semiHidden/>
    <w:rsid w:val="00FA06CA"/>
    <w:rPr>
      <w:rFonts w:asciiTheme="majorHAnsi" w:eastAsiaTheme="majorEastAsia" w:hAnsiTheme="majorHAnsi" w:cstheme="majorBidi"/>
      <w:i/>
      <w:iCs/>
      <w:color w:val="1F3763" w:themeColor="accent1" w:themeShade="7F"/>
      <w:szCs w:val="20"/>
    </w:rPr>
  </w:style>
  <w:style w:type="character" w:customStyle="1" w:styleId="Heading7Char">
    <w:name w:val="Heading 7 Char"/>
    <w:basedOn w:val="DefaultParagraphFont"/>
    <w:link w:val="Heading7"/>
    <w:uiPriority w:val="9"/>
    <w:semiHidden/>
    <w:rsid w:val="00FA06CA"/>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semiHidden/>
    <w:rsid w:val="00FA06C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A06CA"/>
    <w:rPr>
      <w:rFonts w:asciiTheme="majorHAnsi" w:eastAsiaTheme="majorEastAsia" w:hAnsiTheme="majorHAnsi" w:cstheme="majorBidi"/>
      <w:i/>
      <w:iCs/>
      <w:color w:val="404040" w:themeColor="text1" w:themeTint="BF"/>
      <w:sz w:val="20"/>
      <w:szCs w:val="20"/>
    </w:rPr>
  </w:style>
  <w:style w:type="character" w:customStyle="1" w:styleId="OPCCharBase">
    <w:name w:val="OPCCharBase"/>
    <w:uiPriority w:val="1"/>
    <w:qFormat/>
    <w:rsid w:val="00FA06CA"/>
  </w:style>
  <w:style w:type="paragraph" w:customStyle="1" w:styleId="OPCParaBase">
    <w:name w:val="OPCParaBase"/>
    <w:qFormat/>
    <w:rsid w:val="00FA06CA"/>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FA06CA"/>
    <w:pPr>
      <w:spacing w:line="240" w:lineRule="auto"/>
    </w:pPr>
    <w:rPr>
      <w:b/>
      <w:sz w:val="40"/>
    </w:rPr>
  </w:style>
  <w:style w:type="paragraph" w:customStyle="1" w:styleId="ActHead1">
    <w:name w:val="ActHead 1"/>
    <w:aliases w:val="c"/>
    <w:basedOn w:val="OPCParaBase"/>
    <w:next w:val="Normal"/>
    <w:qFormat/>
    <w:rsid w:val="00FA06C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A06C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A06C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A06C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A06C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A06C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A06C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A06C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A06C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A06CA"/>
  </w:style>
  <w:style w:type="paragraph" w:customStyle="1" w:styleId="Blocks">
    <w:name w:val="Blocks"/>
    <w:aliases w:val="bb"/>
    <w:basedOn w:val="OPCParaBase"/>
    <w:qFormat/>
    <w:rsid w:val="00FA06CA"/>
    <w:pPr>
      <w:spacing w:line="240" w:lineRule="auto"/>
    </w:pPr>
    <w:rPr>
      <w:sz w:val="24"/>
    </w:rPr>
  </w:style>
  <w:style w:type="paragraph" w:customStyle="1" w:styleId="BoxText">
    <w:name w:val="BoxText"/>
    <w:aliases w:val="bt"/>
    <w:basedOn w:val="OPCParaBase"/>
    <w:qFormat/>
    <w:rsid w:val="00FA06C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A06CA"/>
    <w:rPr>
      <w:b/>
    </w:rPr>
  </w:style>
  <w:style w:type="paragraph" w:customStyle="1" w:styleId="BoxHeadItalic">
    <w:name w:val="BoxHeadItalic"/>
    <w:aliases w:val="bhi"/>
    <w:basedOn w:val="BoxText"/>
    <w:next w:val="BoxStep"/>
    <w:qFormat/>
    <w:rsid w:val="00FA06CA"/>
    <w:rPr>
      <w:i/>
    </w:rPr>
  </w:style>
  <w:style w:type="paragraph" w:customStyle="1" w:styleId="BoxList">
    <w:name w:val="BoxList"/>
    <w:aliases w:val="bl"/>
    <w:basedOn w:val="BoxText"/>
    <w:qFormat/>
    <w:rsid w:val="00FA06CA"/>
    <w:pPr>
      <w:ind w:left="1559" w:hanging="425"/>
    </w:pPr>
  </w:style>
  <w:style w:type="paragraph" w:customStyle="1" w:styleId="BoxNote">
    <w:name w:val="BoxNote"/>
    <w:aliases w:val="bn"/>
    <w:basedOn w:val="BoxText"/>
    <w:qFormat/>
    <w:rsid w:val="00FA06CA"/>
    <w:pPr>
      <w:tabs>
        <w:tab w:val="left" w:pos="1985"/>
      </w:tabs>
      <w:spacing w:before="122" w:line="198" w:lineRule="exact"/>
      <w:ind w:left="2948" w:hanging="1814"/>
    </w:pPr>
    <w:rPr>
      <w:sz w:val="18"/>
    </w:rPr>
  </w:style>
  <w:style w:type="paragraph" w:customStyle="1" w:styleId="BoxPara">
    <w:name w:val="BoxPara"/>
    <w:aliases w:val="bp"/>
    <w:basedOn w:val="BoxText"/>
    <w:qFormat/>
    <w:rsid w:val="00FA06CA"/>
    <w:pPr>
      <w:tabs>
        <w:tab w:val="right" w:pos="2268"/>
      </w:tabs>
      <w:ind w:left="2552" w:hanging="1418"/>
    </w:pPr>
  </w:style>
  <w:style w:type="paragraph" w:customStyle="1" w:styleId="BoxStep">
    <w:name w:val="BoxStep"/>
    <w:aliases w:val="bs"/>
    <w:basedOn w:val="BoxText"/>
    <w:qFormat/>
    <w:rsid w:val="00FA06CA"/>
    <w:pPr>
      <w:ind w:left="1985" w:hanging="851"/>
    </w:pPr>
  </w:style>
  <w:style w:type="character" w:customStyle="1" w:styleId="CharAmPartNo">
    <w:name w:val="CharAmPartNo"/>
    <w:basedOn w:val="OPCCharBase"/>
    <w:uiPriority w:val="1"/>
    <w:qFormat/>
    <w:rsid w:val="00FA06CA"/>
  </w:style>
  <w:style w:type="character" w:customStyle="1" w:styleId="CharAmPartText">
    <w:name w:val="CharAmPartText"/>
    <w:basedOn w:val="OPCCharBase"/>
    <w:uiPriority w:val="1"/>
    <w:qFormat/>
    <w:rsid w:val="00FA06CA"/>
  </w:style>
  <w:style w:type="character" w:customStyle="1" w:styleId="CharAmSchNo">
    <w:name w:val="CharAmSchNo"/>
    <w:basedOn w:val="OPCCharBase"/>
    <w:uiPriority w:val="1"/>
    <w:qFormat/>
    <w:rsid w:val="00FA06CA"/>
  </w:style>
  <w:style w:type="character" w:customStyle="1" w:styleId="CharAmSchText">
    <w:name w:val="CharAmSchText"/>
    <w:basedOn w:val="OPCCharBase"/>
    <w:uiPriority w:val="1"/>
    <w:qFormat/>
    <w:rsid w:val="00FA06CA"/>
  </w:style>
  <w:style w:type="character" w:customStyle="1" w:styleId="CharBoldItalic">
    <w:name w:val="CharBoldItalic"/>
    <w:basedOn w:val="OPCCharBase"/>
    <w:uiPriority w:val="1"/>
    <w:qFormat/>
    <w:rsid w:val="00FA06CA"/>
    <w:rPr>
      <w:b/>
      <w:i/>
    </w:rPr>
  </w:style>
  <w:style w:type="character" w:customStyle="1" w:styleId="CharChapNo">
    <w:name w:val="CharChapNo"/>
    <w:basedOn w:val="OPCCharBase"/>
    <w:qFormat/>
    <w:rsid w:val="00FA06CA"/>
  </w:style>
  <w:style w:type="character" w:customStyle="1" w:styleId="CharChapText">
    <w:name w:val="CharChapText"/>
    <w:basedOn w:val="OPCCharBase"/>
    <w:qFormat/>
    <w:rsid w:val="00FA06CA"/>
  </w:style>
  <w:style w:type="character" w:customStyle="1" w:styleId="CharDivNo">
    <w:name w:val="CharDivNo"/>
    <w:basedOn w:val="OPCCharBase"/>
    <w:qFormat/>
    <w:rsid w:val="00FA06CA"/>
  </w:style>
  <w:style w:type="character" w:customStyle="1" w:styleId="CharDivText">
    <w:name w:val="CharDivText"/>
    <w:basedOn w:val="OPCCharBase"/>
    <w:qFormat/>
    <w:rsid w:val="00FA06CA"/>
  </w:style>
  <w:style w:type="character" w:customStyle="1" w:styleId="CharItalic">
    <w:name w:val="CharItalic"/>
    <w:basedOn w:val="OPCCharBase"/>
    <w:uiPriority w:val="1"/>
    <w:qFormat/>
    <w:rsid w:val="00FA06CA"/>
    <w:rPr>
      <w:i/>
    </w:rPr>
  </w:style>
  <w:style w:type="character" w:customStyle="1" w:styleId="CharPartNo">
    <w:name w:val="CharPartNo"/>
    <w:basedOn w:val="OPCCharBase"/>
    <w:qFormat/>
    <w:rsid w:val="00FA06CA"/>
  </w:style>
  <w:style w:type="character" w:customStyle="1" w:styleId="CharPartText">
    <w:name w:val="CharPartText"/>
    <w:basedOn w:val="OPCCharBase"/>
    <w:qFormat/>
    <w:rsid w:val="00FA06CA"/>
  </w:style>
  <w:style w:type="character" w:customStyle="1" w:styleId="CharSectno">
    <w:name w:val="CharSectno"/>
    <w:basedOn w:val="OPCCharBase"/>
    <w:qFormat/>
    <w:rsid w:val="00FA06CA"/>
  </w:style>
  <w:style w:type="character" w:customStyle="1" w:styleId="CharSubdNo">
    <w:name w:val="CharSubdNo"/>
    <w:basedOn w:val="OPCCharBase"/>
    <w:uiPriority w:val="1"/>
    <w:qFormat/>
    <w:rsid w:val="00FA06CA"/>
  </w:style>
  <w:style w:type="character" w:customStyle="1" w:styleId="CharSubdText">
    <w:name w:val="CharSubdText"/>
    <w:basedOn w:val="OPCCharBase"/>
    <w:uiPriority w:val="1"/>
    <w:qFormat/>
    <w:rsid w:val="00FA06CA"/>
  </w:style>
  <w:style w:type="paragraph" w:customStyle="1" w:styleId="CTA--">
    <w:name w:val="CTA --"/>
    <w:basedOn w:val="OPCParaBase"/>
    <w:next w:val="Normal"/>
    <w:rsid w:val="00FA06CA"/>
    <w:pPr>
      <w:spacing w:before="60" w:line="240" w:lineRule="atLeast"/>
      <w:ind w:left="142" w:hanging="142"/>
    </w:pPr>
    <w:rPr>
      <w:sz w:val="20"/>
    </w:rPr>
  </w:style>
  <w:style w:type="paragraph" w:customStyle="1" w:styleId="CTA-">
    <w:name w:val="CTA -"/>
    <w:basedOn w:val="OPCParaBase"/>
    <w:rsid w:val="00FA06CA"/>
    <w:pPr>
      <w:spacing w:before="60" w:line="240" w:lineRule="atLeast"/>
      <w:ind w:left="85" w:hanging="85"/>
    </w:pPr>
    <w:rPr>
      <w:sz w:val="20"/>
    </w:rPr>
  </w:style>
  <w:style w:type="paragraph" w:customStyle="1" w:styleId="CTA---">
    <w:name w:val="CTA ---"/>
    <w:basedOn w:val="OPCParaBase"/>
    <w:next w:val="Normal"/>
    <w:rsid w:val="00FA06CA"/>
    <w:pPr>
      <w:spacing w:before="60" w:line="240" w:lineRule="atLeast"/>
      <w:ind w:left="198" w:hanging="198"/>
    </w:pPr>
    <w:rPr>
      <w:sz w:val="20"/>
    </w:rPr>
  </w:style>
  <w:style w:type="paragraph" w:customStyle="1" w:styleId="CTA----">
    <w:name w:val="CTA ----"/>
    <w:basedOn w:val="OPCParaBase"/>
    <w:next w:val="Normal"/>
    <w:rsid w:val="00FA06CA"/>
    <w:pPr>
      <w:spacing w:before="60" w:line="240" w:lineRule="atLeast"/>
      <w:ind w:left="255" w:hanging="255"/>
    </w:pPr>
    <w:rPr>
      <w:sz w:val="20"/>
    </w:rPr>
  </w:style>
  <w:style w:type="paragraph" w:customStyle="1" w:styleId="CTA1a">
    <w:name w:val="CTA 1(a)"/>
    <w:basedOn w:val="OPCParaBase"/>
    <w:rsid w:val="00FA06CA"/>
    <w:pPr>
      <w:tabs>
        <w:tab w:val="right" w:pos="414"/>
      </w:tabs>
      <w:spacing w:before="40" w:line="240" w:lineRule="atLeast"/>
      <w:ind w:left="675" w:hanging="675"/>
    </w:pPr>
    <w:rPr>
      <w:sz w:val="20"/>
    </w:rPr>
  </w:style>
  <w:style w:type="paragraph" w:customStyle="1" w:styleId="CTA1ai">
    <w:name w:val="CTA 1(a)(i)"/>
    <w:basedOn w:val="OPCParaBase"/>
    <w:rsid w:val="00FA06CA"/>
    <w:pPr>
      <w:tabs>
        <w:tab w:val="right" w:pos="1004"/>
      </w:tabs>
      <w:spacing w:before="40" w:line="240" w:lineRule="atLeast"/>
      <w:ind w:left="1253" w:hanging="1253"/>
    </w:pPr>
    <w:rPr>
      <w:sz w:val="20"/>
    </w:rPr>
  </w:style>
  <w:style w:type="paragraph" w:customStyle="1" w:styleId="CTA2a">
    <w:name w:val="CTA 2(a)"/>
    <w:basedOn w:val="OPCParaBase"/>
    <w:rsid w:val="00FA06CA"/>
    <w:pPr>
      <w:tabs>
        <w:tab w:val="right" w:pos="482"/>
      </w:tabs>
      <w:spacing w:before="40" w:line="240" w:lineRule="atLeast"/>
      <w:ind w:left="748" w:hanging="748"/>
    </w:pPr>
    <w:rPr>
      <w:sz w:val="20"/>
    </w:rPr>
  </w:style>
  <w:style w:type="paragraph" w:customStyle="1" w:styleId="CTA2ai">
    <w:name w:val="CTA 2(a)(i)"/>
    <w:basedOn w:val="OPCParaBase"/>
    <w:rsid w:val="00FA06CA"/>
    <w:pPr>
      <w:tabs>
        <w:tab w:val="right" w:pos="1089"/>
      </w:tabs>
      <w:spacing w:before="40" w:line="240" w:lineRule="atLeast"/>
      <w:ind w:left="1327" w:hanging="1327"/>
    </w:pPr>
    <w:rPr>
      <w:sz w:val="20"/>
    </w:rPr>
  </w:style>
  <w:style w:type="paragraph" w:customStyle="1" w:styleId="CTA3a">
    <w:name w:val="CTA 3(a)"/>
    <w:basedOn w:val="OPCParaBase"/>
    <w:rsid w:val="00FA06CA"/>
    <w:pPr>
      <w:tabs>
        <w:tab w:val="right" w:pos="556"/>
      </w:tabs>
      <w:spacing w:before="40" w:line="240" w:lineRule="atLeast"/>
      <w:ind w:left="805" w:hanging="805"/>
    </w:pPr>
    <w:rPr>
      <w:sz w:val="20"/>
    </w:rPr>
  </w:style>
  <w:style w:type="paragraph" w:customStyle="1" w:styleId="CTA3ai">
    <w:name w:val="CTA 3(a)(i)"/>
    <w:basedOn w:val="OPCParaBase"/>
    <w:rsid w:val="00FA06CA"/>
    <w:pPr>
      <w:tabs>
        <w:tab w:val="right" w:pos="1140"/>
      </w:tabs>
      <w:spacing w:before="40" w:line="240" w:lineRule="atLeast"/>
      <w:ind w:left="1361" w:hanging="1361"/>
    </w:pPr>
    <w:rPr>
      <w:sz w:val="20"/>
    </w:rPr>
  </w:style>
  <w:style w:type="paragraph" w:customStyle="1" w:styleId="CTA4a">
    <w:name w:val="CTA 4(a)"/>
    <w:basedOn w:val="OPCParaBase"/>
    <w:rsid w:val="00FA06CA"/>
    <w:pPr>
      <w:tabs>
        <w:tab w:val="right" w:pos="624"/>
      </w:tabs>
      <w:spacing w:before="40" w:line="240" w:lineRule="atLeast"/>
      <w:ind w:left="873" w:hanging="873"/>
    </w:pPr>
    <w:rPr>
      <w:sz w:val="20"/>
    </w:rPr>
  </w:style>
  <w:style w:type="paragraph" w:customStyle="1" w:styleId="CTA4ai">
    <w:name w:val="CTA 4(a)(i)"/>
    <w:basedOn w:val="OPCParaBase"/>
    <w:rsid w:val="00FA06CA"/>
    <w:pPr>
      <w:tabs>
        <w:tab w:val="right" w:pos="1213"/>
      </w:tabs>
      <w:spacing w:before="40" w:line="240" w:lineRule="atLeast"/>
      <w:ind w:left="1452" w:hanging="1452"/>
    </w:pPr>
    <w:rPr>
      <w:sz w:val="20"/>
    </w:rPr>
  </w:style>
  <w:style w:type="paragraph" w:customStyle="1" w:styleId="CTACAPS">
    <w:name w:val="CTA CAPS"/>
    <w:basedOn w:val="OPCParaBase"/>
    <w:rsid w:val="00FA06CA"/>
    <w:pPr>
      <w:spacing w:before="60" w:line="240" w:lineRule="atLeast"/>
    </w:pPr>
    <w:rPr>
      <w:sz w:val="20"/>
    </w:rPr>
  </w:style>
  <w:style w:type="paragraph" w:customStyle="1" w:styleId="CTAright">
    <w:name w:val="CTA right"/>
    <w:basedOn w:val="OPCParaBase"/>
    <w:rsid w:val="00FA06CA"/>
    <w:pPr>
      <w:spacing w:before="60" w:line="240" w:lineRule="auto"/>
      <w:jc w:val="right"/>
    </w:pPr>
    <w:rPr>
      <w:sz w:val="20"/>
    </w:rPr>
  </w:style>
  <w:style w:type="paragraph" w:customStyle="1" w:styleId="subsection">
    <w:name w:val="subsection"/>
    <w:aliases w:val="ss"/>
    <w:basedOn w:val="OPCParaBase"/>
    <w:link w:val="subsectionChar"/>
    <w:rsid w:val="00FA06CA"/>
    <w:pPr>
      <w:tabs>
        <w:tab w:val="right" w:pos="1021"/>
      </w:tabs>
      <w:spacing w:before="180" w:line="240" w:lineRule="auto"/>
      <w:ind w:left="1134" w:hanging="1134"/>
    </w:pPr>
  </w:style>
  <w:style w:type="paragraph" w:customStyle="1" w:styleId="Definition">
    <w:name w:val="Definition"/>
    <w:aliases w:val="dd"/>
    <w:basedOn w:val="OPCParaBase"/>
    <w:rsid w:val="00FA06CA"/>
    <w:pPr>
      <w:spacing w:before="180" w:line="240" w:lineRule="auto"/>
      <w:ind w:left="1134"/>
    </w:pPr>
  </w:style>
  <w:style w:type="paragraph" w:customStyle="1" w:styleId="EndNotespara">
    <w:name w:val="EndNotes(para)"/>
    <w:aliases w:val="eta"/>
    <w:basedOn w:val="OPCParaBase"/>
    <w:next w:val="EndNotessubpara"/>
    <w:rsid w:val="00FA06C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A06C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A06C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A06CA"/>
    <w:pPr>
      <w:tabs>
        <w:tab w:val="right" w:pos="1412"/>
      </w:tabs>
      <w:spacing w:before="60" w:line="240" w:lineRule="auto"/>
      <w:ind w:left="1525" w:hanging="1525"/>
    </w:pPr>
    <w:rPr>
      <w:sz w:val="20"/>
    </w:rPr>
  </w:style>
  <w:style w:type="paragraph" w:customStyle="1" w:styleId="Formula">
    <w:name w:val="Formula"/>
    <w:basedOn w:val="OPCParaBase"/>
    <w:rsid w:val="00FA06CA"/>
    <w:pPr>
      <w:spacing w:line="240" w:lineRule="auto"/>
      <w:ind w:left="1134"/>
    </w:pPr>
    <w:rPr>
      <w:sz w:val="20"/>
    </w:rPr>
  </w:style>
  <w:style w:type="paragraph" w:styleId="Header">
    <w:name w:val="header"/>
    <w:basedOn w:val="OPCParaBase"/>
    <w:link w:val="HeaderChar"/>
    <w:unhideWhenUsed/>
    <w:rsid w:val="00FA06C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FA06CA"/>
    <w:rPr>
      <w:rFonts w:ascii="Times New Roman" w:eastAsia="Times New Roman" w:hAnsi="Times New Roman" w:cs="Times New Roman"/>
      <w:sz w:val="16"/>
      <w:szCs w:val="20"/>
      <w:lang w:eastAsia="en-AU"/>
    </w:rPr>
  </w:style>
  <w:style w:type="paragraph" w:customStyle="1" w:styleId="House">
    <w:name w:val="House"/>
    <w:basedOn w:val="OPCParaBase"/>
    <w:rsid w:val="00FA06CA"/>
    <w:pPr>
      <w:spacing w:line="240" w:lineRule="auto"/>
    </w:pPr>
    <w:rPr>
      <w:sz w:val="28"/>
    </w:rPr>
  </w:style>
  <w:style w:type="paragraph" w:customStyle="1" w:styleId="Item">
    <w:name w:val="Item"/>
    <w:aliases w:val="i"/>
    <w:basedOn w:val="OPCParaBase"/>
    <w:next w:val="ItemHead"/>
    <w:rsid w:val="00FA06CA"/>
    <w:pPr>
      <w:keepLines/>
      <w:spacing w:before="80" w:line="240" w:lineRule="auto"/>
      <w:ind w:left="709"/>
    </w:pPr>
  </w:style>
  <w:style w:type="paragraph" w:customStyle="1" w:styleId="ItemHead">
    <w:name w:val="ItemHead"/>
    <w:aliases w:val="ih"/>
    <w:basedOn w:val="OPCParaBase"/>
    <w:next w:val="Item"/>
    <w:rsid w:val="00FA06C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A06CA"/>
    <w:pPr>
      <w:spacing w:line="240" w:lineRule="auto"/>
    </w:pPr>
    <w:rPr>
      <w:b/>
      <w:sz w:val="32"/>
    </w:rPr>
  </w:style>
  <w:style w:type="paragraph" w:customStyle="1" w:styleId="notedraft">
    <w:name w:val="note(draft)"/>
    <w:aliases w:val="nd"/>
    <w:basedOn w:val="OPCParaBase"/>
    <w:rsid w:val="00FA06CA"/>
    <w:pPr>
      <w:spacing w:before="240" w:line="240" w:lineRule="auto"/>
      <w:ind w:left="284" w:hanging="284"/>
    </w:pPr>
    <w:rPr>
      <w:i/>
      <w:sz w:val="24"/>
    </w:rPr>
  </w:style>
  <w:style w:type="paragraph" w:customStyle="1" w:styleId="notemargin">
    <w:name w:val="note(margin)"/>
    <w:aliases w:val="nm"/>
    <w:basedOn w:val="OPCParaBase"/>
    <w:rsid w:val="00FA06CA"/>
    <w:pPr>
      <w:tabs>
        <w:tab w:val="left" w:pos="709"/>
      </w:tabs>
      <w:spacing w:before="122" w:line="198" w:lineRule="exact"/>
      <w:ind w:left="709" w:hanging="709"/>
    </w:pPr>
    <w:rPr>
      <w:sz w:val="18"/>
    </w:rPr>
  </w:style>
  <w:style w:type="paragraph" w:customStyle="1" w:styleId="noteToPara">
    <w:name w:val="noteToPara"/>
    <w:aliases w:val="ntp"/>
    <w:basedOn w:val="OPCParaBase"/>
    <w:rsid w:val="00FA06CA"/>
    <w:pPr>
      <w:spacing w:before="122" w:line="198" w:lineRule="exact"/>
      <w:ind w:left="2353" w:hanging="709"/>
    </w:pPr>
    <w:rPr>
      <w:sz w:val="18"/>
    </w:rPr>
  </w:style>
  <w:style w:type="paragraph" w:customStyle="1" w:styleId="noteParlAmend">
    <w:name w:val="note(ParlAmend)"/>
    <w:aliases w:val="npp"/>
    <w:basedOn w:val="OPCParaBase"/>
    <w:next w:val="ParlAmend"/>
    <w:rsid w:val="00FA06CA"/>
    <w:pPr>
      <w:spacing w:line="240" w:lineRule="auto"/>
      <w:jc w:val="right"/>
    </w:pPr>
    <w:rPr>
      <w:rFonts w:ascii="Arial" w:hAnsi="Arial"/>
      <w:b/>
      <w:i/>
    </w:rPr>
  </w:style>
  <w:style w:type="paragraph" w:customStyle="1" w:styleId="Page1">
    <w:name w:val="Page1"/>
    <w:basedOn w:val="OPCParaBase"/>
    <w:rsid w:val="00FA06CA"/>
    <w:pPr>
      <w:spacing w:before="5600" w:line="240" w:lineRule="auto"/>
    </w:pPr>
    <w:rPr>
      <w:b/>
      <w:sz w:val="32"/>
    </w:rPr>
  </w:style>
  <w:style w:type="paragraph" w:customStyle="1" w:styleId="PageBreak">
    <w:name w:val="PageBreak"/>
    <w:aliases w:val="pb"/>
    <w:basedOn w:val="OPCParaBase"/>
    <w:rsid w:val="00FA06CA"/>
    <w:pPr>
      <w:spacing w:line="240" w:lineRule="auto"/>
    </w:pPr>
    <w:rPr>
      <w:sz w:val="20"/>
    </w:rPr>
  </w:style>
  <w:style w:type="paragraph" w:customStyle="1" w:styleId="paragraphsub">
    <w:name w:val="paragraph(sub)"/>
    <w:aliases w:val="aa"/>
    <w:basedOn w:val="OPCParaBase"/>
    <w:rsid w:val="00FA06CA"/>
    <w:pPr>
      <w:tabs>
        <w:tab w:val="right" w:pos="1985"/>
      </w:tabs>
      <w:spacing w:before="40" w:line="240" w:lineRule="auto"/>
      <w:ind w:left="2098" w:hanging="2098"/>
    </w:pPr>
  </w:style>
  <w:style w:type="paragraph" w:customStyle="1" w:styleId="paragraphsub-sub">
    <w:name w:val="paragraph(sub-sub)"/>
    <w:aliases w:val="aaa"/>
    <w:basedOn w:val="OPCParaBase"/>
    <w:rsid w:val="00FA06CA"/>
    <w:pPr>
      <w:tabs>
        <w:tab w:val="right" w:pos="2722"/>
      </w:tabs>
      <w:spacing w:before="40" w:line="240" w:lineRule="auto"/>
      <w:ind w:left="2835" w:hanging="2835"/>
    </w:pPr>
  </w:style>
  <w:style w:type="paragraph" w:customStyle="1" w:styleId="paragraph">
    <w:name w:val="paragraph"/>
    <w:aliases w:val="a"/>
    <w:basedOn w:val="OPCParaBase"/>
    <w:rsid w:val="00FA06CA"/>
    <w:pPr>
      <w:tabs>
        <w:tab w:val="right" w:pos="1531"/>
      </w:tabs>
      <w:spacing w:before="40" w:line="240" w:lineRule="auto"/>
      <w:ind w:left="1644" w:hanging="1644"/>
    </w:pPr>
  </w:style>
  <w:style w:type="paragraph" w:customStyle="1" w:styleId="ParlAmend">
    <w:name w:val="ParlAmend"/>
    <w:aliases w:val="pp"/>
    <w:basedOn w:val="OPCParaBase"/>
    <w:rsid w:val="00FA06CA"/>
    <w:pPr>
      <w:spacing w:before="240" w:line="240" w:lineRule="atLeast"/>
      <w:ind w:hanging="567"/>
    </w:pPr>
    <w:rPr>
      <w:sz w:val="24"/>
    </w:rPr>
  </w:style>
  <w:style w:type="paragraph" w:customStyle="1" w:styleId="Penalty">
    <w:name w:val="Penalty"/>
    <w:basedOn w:val="OPCParaBase"/>
    <w:rsid w:val="00FA06CA"/>
    <w:pPr>
      <w:tabs>
        <w:tab w:val="left" w:pos="2977"/>
      </w:tabs>
      <w:spacing w:before="180" w:line="240" w:lineRule="auto"/>
      <w:ind w:left="1985" w:hanging="851"/>
    </w:pPr>
  </w:style>
  <w:style w:type="paragraph" w:customStyle="1" w:styleId="Portfolio">
    <w:name w:val="Portfolio"/>
    <w:basedOn w:val="OPCParaBase"/>
    <w:rsid w:val="00FA06CA"/>
    <w:pPr>
      <w:spacing w:line="240" w:lineRule="auto"/>
    </w:pPr>
    <w:rPr>
      <w:i/>
      <w:sz w:val="20"/>
    </w:rPr>
  </w:style>
  <w:style w:type="paragraph" w:customStyle="1" w:styleId="Preamble">
    <w:name w:val="Preamble"/>
    <w:basedOn w:val="OPCParaBase"/>
    <w:next w:val="Normal"/>
    <w:rsid w:val="00FA06C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A06CA"/>
    <w:pPr>
      <w:spacing w:line="240" w:lineRule="auto"/>
    </w:pPr>
    <w:rPr>
      <w:i/>
      <w:sz w:val="20"/>
    </w:rPr>
  </w:style>
  <w:style w:type="paragraph" w:customStyle="1" w:styleId="Session">
    <w:name w:val="Session"/>
    <w:basedOn w:val="OPCParaBase"/>
    <w:rsid w:val="00FA06CA"/>
    <w:pPr>
      <w:spacing w:line="240" w:lineRule="auto"/>
    </w:pPr>
    <w:rPr>
      <w:sz w:val="28"/>
    </w:rPr>
  </w:style>
  <w:style w:type="paragraph" w:customStyle="1" w:styleId="Sponsor">
    <w:name w:val="Sponsor"/>
    <w:basedOn w:val="OPCParaBase"/>
    <w:rsid w:val="00FA06CA"/>
    <w:pPr>
      <w:spacing w:line="240" w:lineRule="auto"/>
    </w:pPr>
    <w:rPr>
      <w:i/>
    </w:rPr>
  </w:style>
  <w:style w:type="paragraph" w:customStyle="1" w:styleId="Subitem">
    <w:name w:val="Subitem"/>
    <w:aliases w:val="iss"/>
    <w:basedOn w:val="OPCParaBase"/>
    <w:rsid w:val="00FA06CA"/>
    <w:pPr>
      <w:spacing w:before="180" w:line="240" w:lineRule="auto"/>
      <w:ind w:left="709" w:hanging="709"/>
    </w:pPr>
  </w:style>
  <w:style w:type="paragraph" w:customStyle="1" w:styleId="SubitemHead">
    <w:name w:val="SubitemHead"/>
    <w:aliases w:val="issh"/>
    <w:basedOn w:val="OPCParaBase"/>
    <w:rsid w:val="00FA06C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A06CA"/>
    <w:pPr>
      <w:spacing w:before="40" w:line="240" w:lineRule="auto"/>
      <w:ind w:left="1134"/>
    </w:pPr>
  </w:style>
  <w:style w:type="paragraph" w:customStyle="1" w:styleId="SubsectionHead">
    <w:name w:val="SubsectionHead"/>
    <w:aliases w:val="ssh"/>
    <w:basedOn w:val="OPCParaBase"/>
    <w:next w:val="subsection"/>
    <w:rsid w:val="00FA06CA"/>
    <w:pPr>
      <w:keepNext/>
      <w:keepLines/>
      <w:spacing w:before="240" w:line="240" w:lineRule="auto"/>
      <w:ind w:left="1134"/>
    </w:pPr>
    <w:rPr>
      <w:i/>
    </w:rPr>
  </w:style>
  <w:style w:type="paragraph" w:customStyle="1" w:styleId="Tablea">
    <w:name w:val="Table(a)"/>
    <w:aliases w:val="ta"/>
    <w:basedOn w:val="OPCParaBase"/>
    <w:rsid w:val="00FA06CA"/>
    <w:pPr>
      <w:spacing w:before="60" w:line="240" w:lineRule="auto"/>
      <w:ind w:left="284" w:hanging="284"/>
    </w:pPr>
    <w:rPr>
      <w:sz w:val="20"/>
    </w:rPr>
  </w:style>
  <w:style w:type="paragraph" w:customStyle="1" w:styleId="TableAA">
    <w:name w:val="Table(AA)"/>
    <w:aliases w:val="taaa"/>
    <w:basedOn w:val="OPCParaBase"/>
    <w:rsid w:val="00FA06C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A06C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A06CA"/>
    <w:pPr>
      <w:spacing w:before="60" w:line="240" w:lineRule="atLeast"/>
    </w:pPr>
    <w:rPr>
      <w:sz w:val="20"/>
    </w:rPr>
  </w:style>
  <w:style w:type="paragraph" w:customStyle="1" w:styleId="TLPBoxTextnote">
    <w:name w:val="TLPBoxText(note"/>
    <w:aliases w:val="right)"/>
    <w:basedOn w:val="OPCParaBase"/>
    <w:rsid w:val="00FA06C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A06C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A06CA"/>
    <w:pPr>
      <w:spacing w:before="122" w:line="198" w:lineRule="exact"/>
      <w:ind w:left="1985" w:hanging="851"/>
      <w:jc w:val="right"/>
    </w:pPr>
    <w:rPr>
      <w:sz w:val="18"/>
    </w:rPr>
  </w:style>
  <w:style w:type="paragraph" w:customStyle="1" w:styleId="TLPTableBullet">
    <w:name w:val="TLPTableBullet"/>
    <w:aliases w:val="ttb"/>
    <w:basedOn w:val="OPCParaBase"/>
    <w:rsid w:val="00FA06CA"/>
    <w:pPr>
      <w:spacing w:line="240" w:lineRule="exact"/>
      <w:ind w:left="284" w:hanging="284"/>
    </w:pPr>
    <w:rPr>
      <w:sz w:val="20"/>
    </w:rPr>
  </w:style>
  <w:style w:type="paragraph" w:styleId="TOC1">
    <w:name w:val="toc 1"/>
    <w:basedOn w:val="OPCParaBase"/>
    <w:next w:val="Normal"/>
    <w:uiPriority w:val="39"/>
    <w:semiHidden/>
    <w:unhideWhenUsed/>
    <w:rsid w:val="00FA06CA"/>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FA06CA"/>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FA06CA"/>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A06CA"/>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A06CA"/>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A06CA"/>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A06CA"/>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A06CA"/>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A06CA"/>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A06CA"/>
    <w:pPr>
      <w:keepLines/>
      <w:spacing w:before="240" w:after="120" w:line="240" w:lineRule="auto"/>
      <w:ind w:left="794"/>
    </w:pPr>
    <w:rPr>
      <w:b/>
      <w:kern w:val="28"/>
      <w:sz w:val="20"/>
    </w:rPr>
  </w:style>
  <w:style w:type="paragraph" w:customStyle="1" w:styleId="TofSectsHeading">
    <w:name w:val="TofSects(Heading)"/>
    <w:basedOn w:val="OPCParaBase"/>
    <w:rsid w:val="00FA06CA"/>
    <w:pPr>
      <w:spacing w:before="240" w:after="120" w:line="240" w:lineRule="auto"/>
    </w:pPr>
    <w:rPr>
      <w:b/>
      <w:sz w:val="24"/>
    </w:rPr>
  </w:style>
  <w:style w:type="paragraph" w:customStyle="1" w:styleId="TofSectsSection">
    <w:name w:val="TofSects(Section)"/>
    <w:basedOn w:val="OPCParaBase"/>
    <w:rsid w:val="00FA06CA"/>
    <w:pPr>
      <w:keepLines/>
      <w:spacing w:before="40" w:line="240" w:lineRule="auto"/>
      <w:ind w:left="1588" w:hanging="794"/>
    </w:pPr>
    <w:rPr>
      <w:kern w:val="28"/>
      <w:sz w:val="18"/>
    </w:rPr>
  </w:style>
  <w:style w:type="paragraph" w:customStyle="1" w:styleId="TofSectsSubdiv">
    <w:name w:val="TofSects(Subdiv)"/>
    <w:basedOn w:val="OPCParaBase"/>
    <w:rsid w:val="00FA06CA"/>
    <w:pPr>
      <w:keepLines/>
      <w:spacing w:before="80" w:line="240" w:lineRule="auto"/>
      <w:ind w:left="1588" w:hanging="794"/>
    </w:pPr>
    <w:rPr>
      <w:kern w:val="28"/>
    </w:rPr>
  </w:style>
  <w:style w:type="paragraph" w:customStyle="1" w:styleId="WRStyle">
    <w:name w:val="WR Style"/>
    <w:aliases w:val="WR"/>
    <w:basedOn w:val="OPCParaBase"/>
    <w:rsid w:val="00FA06CA"/>
    <w:pPr>
      <w:spacing w:before="240" w:line="240" w:lineRule="auto"/>
      <w:ind w:left="284" w:hanging="284"/>
    </w:pPr>
    <w:rPr>
      <w:b/>
      <w:i/>
      <w:kern w:val="28"/>
      <w:sz w:val="24"/>
    </w:rPr>
  </w:style>
  <w:style w:type="paragraph" w:customStyle="1" w:styleId="notepara">
    <w:name w:val="note(para)"/>
    <w:aliases w:val="na"/>
    <w:basedOn w:val="OPCParaBase"/>
    <w:rsid w:val="00FA06CA"/>
    <w:pPr>
      <w:spacing w:before="40" w:line="198" w:lineRule="exact"/>
      <w:ind w:left="2354" w:hanging="369"/>
    </w:pPr>
    <w:rPr>
      <w:sz w:val="18"/>
    </w:rPr>
  </w:style>
  <w:style w:type="paragraph" w:styleId="Footer">
    <w:name w:val="footer"/>
    <w:link w:val="FooterChar"/>
    <w:rsid w:val="00FA06CA"/>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FA06CA"/>
    <w:rPr>
      <w:rFonts w:ascii="Times New Roman" w:eastAsia="Times New Roman" w:hAnsi="Times New Roman" w:cs="Times New Roman"/>
      <w:szCs w:val="24"/>
      <w:lang w:eastAsia="en-AU"/>
    </w:rPr>
  </w:style>
  <w:style w:type="character" w:styleId="LineNumber">
    <w:name w:val="line number"/>
    <w:basedOn w:val="OPCCharBase"/>
    <w:uiPriority w:val="99"/>
    <w:semiHidden/>
    <w:unhideWhenUsed/>
    <w:rsid w:val="00FA06CA"/>
    <w:rPr>
      <w:sz w:val="16"/>
    </w:rPr>
  </w:style>
  <w:style w:type="table" w:customStyle="1" w:styleId="CFlag">
    <w:name w:val="CFlag"/>
    <w:basedOn w:val="TableNormal"/>
    <w:uiPriority w:val="99"/>
    <w:rsid w:val="00FA06CA"/>
    <w:pPr>
      <w:spacing w:after="0" w:line="240" w:lineRule="auto"/>
    </w:pPr>
    <w:rPr>
      <w:rFonts w:ascii="Times New Roman" w:eastAsia="Times New Roman" w:hAnsi="Times New Roman" w:cs="Times New Roman"/>
      <w:sz w:val="20"/>
      <w:szCs w:val="20"/>
      <w:lang w:eastAsia="en-AU"/>
    </w:rPr>
    <w:tblPr/>
  </w:style>
  <w:style w:type="paragraph" w:styleId="BalloonText">
    <w:name w:val="Balloon Text"/>
    <w:basedOn w:val="Normal"/>
    <w:link w:val="BalloonTextChar"/>
    <w:uiPriority w:val="99"/>
    <w:semiHidden/>
    <w:unhideWhenUsed/>
    <w:rsid w:val="00FA06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6CA"/>
    <w:rPr>
      <w:rFonts w:ascii="Tahoma" w:hAnsi="Tahoma" w:cs="Tahoma"/>
      <w:sz w:val="16"/>
      <w:szCs w:val="16"/>
    </w:rPr>
  </w:style>
  <w:style w:type="table" w:styleId="TableGrid">
    <w:name w:val="Table Grid"/>
    <w:basedOn w:val="TableNormal"/>
    <w:uiPriority w:val="59"/>
    <w:rsid w:val="00FA06CA"/>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A06CA"/>
    <w:rPr>
      <w:b/>
      <w:sz w:val="28"/>
      <w:szCs w:val="32"/>
    </w:rPr>
  </w:style>
  <w:style w:type="paragraph" w:customStyle="1" w:styleId="LegislationMadeUnder">
    <w:name w:val="LegislationMadeUnder"/>
    <w:basedOn w:val="OPCParaBase"/>
    <w:next w:val="Normal"/>
    <w:rsid w:val="00FA06CA"/>
    <w:rPr>
      <w:i/>
      <w:sz w:val="32"/>
      <w:szCs w:val="32"/>
    </w:rPr>
  </w:style>
  <w:style w:type="paragraph" w:customStyle="1" w:styleId="SignCoverPageEnd">
    <w:name w:val="SignCoverPageEnd"/>
    <w:basedOn w:val="OPCParaBase"/>
    <w:next w:val="Normal"/>
    <w:rsid w:val="00FA06CA"/>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FA06CA"/>
    <w:pPr>
      <w:pBdr>
        <w:top w:val="single" w:sz="4" w:space="1" w:color="auto"/>
      </w:pBdr>
      <w:spacing w:before="360"/>
      <w:ind w:right="397"/>
      <w:jc w:val="both"/>
    </w:pPr>
  </w:style>
  <w:style w:type="paragraph" w:customStyle="1" w:styleId="NotesHeading1">
    <w:name w:val="NotesHeading 1"/>
    <w:basedOn w:val="OPCParaBase"/>
    <w:next w:val="Normal"/>
    <w:rsid w:val="00FA06CA"/>
    <w:pPr>
      <w:outlineLvl w:val="0"/>
    </w:pPr>
    <w:rPr>
      <w:b/>
      <w:sz w:val="28"/>
      <w:szCs w:val="28"/>
    </w:rPr>
  </w:style>
  <w:style w:type="paragraph" w:customStyle="1" w:styleId="NotesHeading2">
    <w:name w:val="NotesHeading 2"/>
    <w:basedOn w:val="OPCParaBase"/>
    <w:next w:val="Normal"/>
    <w:rsid w:val="00FA06CA"/>
    <w:rPr>
      <w:b/>
      <w:sz w:val="28"/>
      <w:szCs w:val="28"/>
    </w:rPr>
  </w:style>
  <w:style w:type="paragraph" w:customStyle="1" w:styleId="CompiledActNo">
    <w:name w:val="CompiledActNo"/>
    <w:basedOn w:val="OPCParaBase"/>
    <w:next w:val="Normal"/>
    <w:rsid w:val="00FA06CA"/>
    <w:rPr>
      <w:b/>
      <w:sz w:val="24"/>
      <w:szCs w:val="24"/>
    </w:rPr>
  </w:style>
  <w:style w:type="paragraph" w:customStyle="1" w:styleId="ENotesText">
    <w:name w:val="ENotesText"/>
    <w:aliases w:val="Ent"/>
    <w:basedOn w:val="OPCParaBase"/>
    <w:next w:val="Normal"/>
    <w:rsid w:val="00FA06CA"/>
    <w:pPr>
      <w:spacing w:before="120"/>
    </w:pPr>
  </w:style>
  <w:style w:type="paragraph" w:customStyle="1" w:styleId="CompiledMadeUnder">
    <w:name w:val="CompiledMadeUnder"/>
    <w:basedOn w:val="OPCParaBase"/>
    <w:next w:val="Normal"/>
    <w:rsid w:val="00FA06CA"/>
    <w:rPr>
      <w:i/>
      <w:sz w:val="24"/>
      <w:szCs w:val="24"/>
    </w:rPr>
  </w:style>
  <w:style w:type="paragraph" w:customStyle="1" w:styleId="Paragraphsub-sub-sub">
    <w:name w:val="Paragraph(sub-sub-sub)"/>
    <w:aliases w:val="aaaa"/>
    <w:basedOn w:val="OPCParaBase"/>
    <w:rsid w:val="00FA06CA"/>
    <w:pPr>
      <w:tabs>
        <w:tab w:val="right" w:pos="3402"/>
      </w:tabs>
      <w:spacing w:before="40" w:line="240" w:lineRule="auto"/>
      <w:ind w:left="3402" w:hanging="3402"/>
    </w:pPr>
  </w:style>
  <w:style w:type="paragraph" w:customStyle="1" w:styleId="TableTextEndNotes">
    <w:name w:val="TableTextEndNotes"/>
    <w:aliases w:val="Tten"/>
    <w:basedOn w:val="Normal"/>
    <w:rsid w:val="00FA06CA"/>
    <w:pPr>
      <w:spacing w:before="60" w:line="240" w:lineRule="auto"/>
    </w:pPr>
    <w:rPr>
      <w:rFonts w:cs="Arial"/>
      <w:sz w:val="20"/>
      <w:szCs w:val="22"/>
    </w:rPr>
  </w:style>
  <w:style w:type="paragraph" w:customStyle="1" w:styleId="NoteToSubpara">
    <w:name w:val="NoteToSubpara"/>
    <w:aliases w:val="nts"/>
    <w:basedOn w:val="OPCParaBase"/>
    <w:rsid w:val="00FA06CA"/>
    <w:pPr>
      <w:spacing w:before="40" w:line="198" w:lineRule="exact"/>
      <w:ind w:left="2835" w:hanging="709"/>
    </w:pPr>
    <w:rPr>
      <w:sz w:val="18"/>
    </w:rPr>
  </w:style>
  <w:style w:type="paragraph" w:customStyle="1" w:styleId="ENoteTableHeading">
    <w:name w:val="ENoteTableHeading"/>
    <w:aliases w:val="enth"/>
    <w:basedOn w:val="OPCParaBase"/>
    <w:rsid w:val="00FA06CA"/>
    <w:pPr>
      <w:keepNext/>
      <w:spacing w:before="60" w:line="240" w:lineRule="atLeast"/>
    </w:pPr>
    <w:rPr>
      <w:rFonts w:ascii="Arial" w:hAnsi="Arial"/>
      <w:b/>
      <w:sz w:val="16"/>
    </w:rPr>
  </w:style>
  <w:style w:type="paragraph" w:customStyle="1" w:styleId="ENoteTTi">
    <w:name w:val="ENoteTTi"/>
    <w:aliases w:val="entti"/>
    <w:basedOn w:val="OPCParaBase"/>
    <w:rsid w:val="00FA06CA"/>
    <w:pPr>
      <w:keepNext/>
      <w:spacing w:before="60" w:line="240" w:lineRule="atLeast"/>
      <w:ind w:left="170"/>
    </w:pPr>
    <w:rPr>
      <w:sz w:val="16"/>
    </w:rPr>
  </w:style>
  <w:style w:type="paragraph" w:customStyle="1" w:styleId="ENotesHeading1">
    <w:name w:val="ENotesHeading 1"/>
    <w:aliases w:val="Enh1"/>
    <w:basedOn w:val="OPCParaBase"/>
    <w:next w:val="Normal"/>
    <w:rsid w:val="00FA06CA"/>
    <w:pPr>
      <w:spacing w:before="120"/>
      <w:outlineLvl w:val="1"/>
    </w:pPr>
    <w:rPr>
      <w:b/>
      <w:sz w:val="28"/>
      <w:szCs w:val="28"/>
    </w:rPr>
  </w:style>
  <w:style w:type="paragraph" w:customStyle="1" w:styleId="ENotesHeading2">
    <w:name w:val="ENotesHeading 2"/>
    <w:aliases w:val="Enh2"/>
    <w:basedOn w:val="OPCParaBase"/>
    <w:next w:val="Normal"/>
    <w:rsid w:val="00FA06CA"/>
    <w:pPr>
      <w:spacing w:before="120" w:after="120"/>
      <w:outlineLvl w:val="2"/>
    </w:pPr>
    <w:rPr>
      <w:b/>
      <w:sz w:val="24"/>
      <w:szCs w:val="28"/>
    </w:rPr>
  </w:style>
  <w:style w:type="paragraph" w:customStyle="1" w:styleId="ENoteTTIndentHeading">
    <w:name w:val="ENoteTTIndentHeading"/>
    <w:aliases w:val="enTTHi"/>
    <w:basedOn w:val="OPCParaBase"/>
    <w:rsid w:val="00FA06C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A06CA"/>
    <w:pPr>
      <w:spacing w:before="60" w:line="240" w:lineRule="atLeast"/>
    </w:pPr>
    <w:rPr>
      <w:sz w:val="16"/>
    </w:rPr>
  </w:style>
  <w:style w:type="paragraph" w:customStyle="1" w:styleId="MadeunderText">
    <w:name w:val="MadeunderText"/>
    <w:basedOn w:val="OPCParaBase"/>
    <w:next w:val="CompiledMadeUnder"/>
    <w:rsid w:val="00FA06CA"/>
    <w:pPr>
      <w:spacing w:before="240"/>
    </w:pPr>
    <w:rPr>
      <w:sz w:val="24"/>
      <w:szCs w:val="24"/>
    </w:rPr>
  </w:style>
  <w:style w:type="paragraph" w:customStyle="1" w:styleId="ENotesHeading3">
    <w:name w:val="ENotesHeading 3"/>
    <w:aliases w:val="Enh3"/>
    <w:basedOn w:val="OPCParaBase"/>
    <w:next w:val="Normal"/>
    <w:rsid w:val="00FA06CA"/>
    <w:pPr>
      <w:keepNext/>
      <w:spacing w:before="120" w:line="240" w:lineRule="auto"/>
      <w:outlineLvl w:val="4"/>
    </w:pPr>
    <w:rPr>
      <w:b/>
      <w:szCs w:val="24"/>
    </w:rPr>
  </w:style>
  <w:style w:type="character" w:customStyle="1" w:styleId="CharSubPartTextCASA">
    <w:name w:val="CharSubPartText(CASA)"/>
    <w:basedOn w:val="OPCCharBase"/>
    <w:uiPriority w:val="1"/>
    <w:rsid w:val="00FA06CA"/>
  </w:style>
  <w:style w:type="character" w:customStyle="1" w:styleId="CharSubPartNoCASA">
    <w:name w:val="CharSubPartNo(CASA)"/>
    <w:basedOn w:val="OPCCharBase"/>
    <w:uiPriority w:val="1"/>
    <w:rsid w:val="00FA06CA"/>
  </w:style>
  <w:style w:type="paragraph" w:customStyle="1" w:styleId="ENoteTTIndentHeadingSub">
    <w:name w:val="ENoteTTIndentHeadingSub"/>
    <w:aliases w:val="enTTHis"/>
    <w:basedOn w:val="OPCParaBase"/>
    <w:rsid w:val="00FA06CA"/>
    <w:pPr>
      <w:keepNext/>
      <w:spacing w:before="60" w:line="240" w:lineRule="atLeast"/>
      <w:ind w:left="340"/>
    </w:pPr>
    <w:rPr>
      <w:b/>
      <w:sz w:val="16"/>
    </w:rPr>
  </w:style>
  <w:style w:type="paragraph" w:customStyle="1" w:styleId="ENoteTTiSub">
    <w:name w:val="ENoteTTiSub"/>
    <w:aliases w:val="enttis"/>
    <w:basedOn w:val="OPCParaBase"/>
    <w:rsid w:val="00FA06CA"/>
    <w:pPr>
      <w:keepNext/>
      <w:spacing w:before="60" w:line="240" w:lineRule="atLeast"/>
      <w:ind w:left="340"/>
    </w:pPr>
    <w:rPr>
      <w:sz w:val="16"/>
    </w:rPr>
  </w:style>
  <w:style w:type="paragraph" w:customStyle="1" w:styleId="SubDivisionMigration">
    <w:name w:val="SubDivisionMigration"/>
    <w:aliases w:val="sdm"/>
    <w:basedOn w:val="OPCParaBase"/>
    <w:rsid w:val="00FA06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A06C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A06CA"/>
    <w:pPr>
      <w:spacing w:before="122" w:line="240" w:lineRule="auto"/>
      <w:ind w:left="1985" w:hanging="851"/>
    </w:pPr>
    <w:rPr>
      <w:sz w:val="18"/>
    </w:rPr>
  </w:style>
  <w:style w:type="paragraph" w:customStyle="1" w:styleId="FreeForm">
    <w:name w:val="FreeForm"/>
    <w:rsid w:val="00FA06CA"/>
    <w:pPr>
      <w:spacing w:after="0" w:line="240" w:lineRule="auto"/>
    </w:pPr>
    <w:rPr>
      <w:rFonts w:ascii="Arial" w:hAnsi="Arial"/>
      <w:szCs w:val="20"/>
    </w:rPr>
  </w:style>
  <w:style w:type="paragraph" w:customStyle="1" w:styleId="SOText">
    <w:name w:val="SO Text"/>
    <w:aliases w:val="sot"/>
    <w:link w:val="SOTextChar"/>
    <w:rsid w:val="00FA06CA"/>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FA06CA"/>
    <w:rPr>
      <w:rFonts w:ascii="Times New Roman" w:hAnsi="Times New Roman"/>
      <w:szCs w:val="20"/>
    </w:rPr>
  </w:style>
  <w:style w:type="paragraph" w:customStyle="1" w:styleId="SOTextNote">
    <w:name w:val="SO TextNote"/>
    <w:aliases w:val="sont"/>
    <w:basedOn w:val="SOText"/>
    <w:qFormat/>
    <w:rsid w:val="00FA06CA"/>
    <w:pPr>
      <w:spacing w:before="122" w:line="198" w:lineRule="exact"/>
      <w:ind w:left="1843" w:hanging="709"/>
    </w:pPr>
    <w:rPr>
      <w:sz w:val="18"/>
    </w:rPr>
  </w:style>
  <w:style w:type="paragraph" w:customStyle="1" w:styleId="SOPara">
    <w:name w:val="SO Para"/>
    <w:aliases w:val="soa"/>
    <w:basedOn w:val="SOText"/>
    <w:link w:val="SOParaChar"/>
    <w:qFormat/>
    <w:rsid w:val="00FA06CA"/>
    <w:pPr>
      <w:tabs>
        <w:tab w:val="right" w:pos="1786"/>
      </w:tabs>
      <w:spacing w:before="40"/>
      <w:ind w:left="2070" w:hanging="936"/>
    </w:pPr>
  </w:style>
  <w:style w:type="character" w:customStyle="1" w:styleId="SOParaChar">
    <w:name w:val="SO Para Char"/>
    <w:aliases w:val="soa Char"/>
    <w:basedOn w:val="DefaultParagraphFont"/>
    <w:link w:val="SOPara"/>
    <w:rsid w:val="00FA06CA"/>
    <w:rPr>
      <w:rFonts w:ascii="Times New Roman" w:hAnsi="Times New Roman"/>
      <w:szCs w:val="20"/>
    </w:rPr>
  </w:style>
  <w:style w:type="paragraph" w:customStyle="1" w:styleId="FileName">
    <w:name w:val="FileName"/>
    <w:basedOn w:val="Normal"/>
    <w:rsid w:val="00FA06CA"/>
  </w:style>
  <w:style w:type="paragraph" w:customStyle="1" w:styleId="TableHeading">
    <w:name w:val="TableHeading"/>
    <w:aliases w:val="th"/>
    <w:basedOn w:val="OPCParaBase"/>
    <w:next w:val="Tabletext"/>
    <w:rsid w:val="00FA06CA"/>
    <w:pPr>
      <w:keepNext/>
      <w:spacing w:before="60" w:line="240" w:lineRule="atLeast"/>
    </w:pPr>
    <w:rPr>
      <w:b/>
      <w:sz w:val="20"/>
    </w:rPr>
  </w:style>
  <w:style w:type="paragraph" w:customStyle="1" w:styleId="SOHeadBold">
    <w:name w:val="SO HeadBold"/>
    <w:aliases w:val="sohb"/>
    <w:basedOn w:val="SOText"/>
    <w:next w:val="SOText"/>
    <w:link w:val="SOHeadBoldChar"/>
    <w:qFormat/>
    <w:rsid w:val="00FA06CA"/>
    <w:rPr>
      <w:b/>
    </w:rPr>
  </w:style>
  <w:style w:type="character" w:customStyle="1" w:styleId="SOHeadBoldChar">
    <w:name w:val="SO HeadBold Char"/>
    <w:aliases w:val="sohb Char"/>
    <w:basedOn w:val="DefaultParagraphFont"/>
    <w:link w:val="SOHeadBold"/>
    <w:rsid w:val="00FA06CA"/>
    <w:rPr>
      <w:rFonts w:ascii="Times New Roman" w:hAnsi="Times New Roman"/>
      <w:b/>
      <w:szCs w:val="20"/>
    </w:rPr>
  </w:style>
  <w:style w:type="paragraph" w:customStyle="1" w:styleId="SOHeadItalic">
    <w:name w:val="SO HeadItalic"/>
    <w:aliases w:val="sohi"/>
    <w:basedOn w:val="SOText"/>
    <w:next w:val="SOText"/>
    <w:link w:val="SOHeadItalicChar"/>
    <w:qFormat/>
    <w:rsid w:val="00FA06CA"/>
    <w:rPr>
      <w:i/>
    </w:rPr>
  </w:style>
  <w:style w:type="character" w:customStyle="1" w:styleId="SOHeadItalicChar">
    <w:name w:val="SO HeadItalic Char"/>
    <w:aliases w:val="sohi Char"/>
    <w:basedOn w:val="DefaultParagraphFont"/>
    <w:link w:val="SOHeadItalic"/>
    <w:rsid w:val="00FA06CA"/>
    <w:rPr>
      <w:rFonts w:ascii="Times New Roman" w:hAnsi="Times New Roman"/>
      <w:i/>
      <w:szCs w:val="20"/>
    </w:rPr>
  </w:style>
  <w:style w:type="paragraph" w:customStyle="1" w:styleId="SOBullet">
    <w:name w:val="SO Bullet"/>
    <w:aliases w:val="sotb"/>
    <w:basedOn w:val="SOText"/>
    <w:link w:val="SOBulletChar"/>
    <w:qFormat/>
    <w:rsid w:val="00FA06CA"/>
    <w:pPr>
      <w:ind w:left="1559" w:hanging="425"/>
    </w:pPr>
  </w:style>
  <w:style w:type="character" w:customStyle="1" w:styleId="SOBulletChar">
    <w:name w:val="SO Bullet Char"/>
    <w:aliases w:val="sotb Char"/>
    <w:basedOn w:val="DefaultParagraphFont"/>
    <w:link w:val="SOBullet"/>
    <w:rsid w:val="00FA06CA"/>
    <w:rPr>
      <w:rFonts w:ascii="Times New Roman" w:hAnsi="Times New Roman"/>
      <w:szCs w:val="20"/>
    </w:rPr>
  </w:style>
  <w:style w:type="paragraph" w:customStyle="1" w:styleId="SOBulletNote">
    <w:name w:val="SO BulletNote"/>
    <w:aliases w:val="sonb"/>
    <w:basedOn w:val="SOTextNote"/>
    <w:link w:val="SOBulletNoteChar"/>
    <w:qFormat/>
    <w:rsid w:val="00FA06CA"/>
    <w:pPr>
      <w:tabs>
        <w:tab w:val="left" w:pos="1560"/>
      </w:tabs>
      <w:ind w:left="2268" w:hanging="1134"/>
    </w:pPr>
  </w:style>
  <w:style w:type="character" w:customStyle="1" w:styleId="SOBulletNoteChar">
    <w:name w:val="SO BulletNote Char"/>
    <w:aliases w:val="sonb Char"/>
    <w:basedOn w:val="DefaultParagraphFont"/>
    <w:link w:val="SOBulletNote"/>
    <w:rsid w:val="00FA06CA"/>
    <w:rPr>
      <w:rFonts w:ascii="Times New Roman" w:hAnsi="Times New Roman"/>
      <w:sz w:val="18"/>
      <w:szCs w:val="20"/>
    </w:rPr>
  </w:style>
  <w:style w:type="paragraph" w:customStyle="1" w:styleId="SOText2">
    <w:name w:val="SO Text2"/>
    <w:aliases w:val="sot2"/>
    <w:basedOn w:val="Normal"/>
    <w:next w:val="SOText"/>
    <w:link w:val="SOText2Char"/>
    <w:rsid w:val="00FA06C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A06CA"/>
    <w:rPr>
      <w:rFonts w:ascii="Times New Roman" w:hAnsi="Times New Roman"/>
      <w:szCs w:val="20"/>
    </w:rPr>
  </w:style>
  <w:style w:type="paragraph" w:customStyle="1" w:styleId="SubPartCASA">
    <w:name w:val="SubPart(CASA)"/>
    <w:aliases w:val="csp"/>
    <w:basedOn w:val="OPCParaBase"/>
    <w:next w:val="ActHead3"/>
    <w:rsid w:val="00FA06C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A06CA"/>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FA06CA"/>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semiHidden/>
    <w:unhideWhenUsed/>
    <w:rsid w:val="00E56416"/>
    <w:rPr>
      <w:sz w:val="16"/>
      <w:szCs w:val="16"/>
    </w:rPr>
  </w:style>
  <w:style w:type="paragraph" w:styleId="CommentText">
    <w:name w:val="annotation text"/>
    <w:basedOn w:val="Normal"/>
    <w:link w:val="CommentTextChar"/>
    <w:uiPriority w:val="99"/>
    <w:unhideWhenUsed/>
    <w:rsid w:val="00E56416"/>
    <w:pPr>
      <w:spacing w:line="240" w:lineRule="auto"/>
    </w:pPr>
    <w:rPr>
      <w:sz w:val="20"/>
    </w:rPr>
  </w:style>
  <w:style w:type="character" w:customStyle="1" w:styleId="CommentTextChar">
    <w:name w:val="Comment Text Char"/>
    <w:basedOn w:val="DefaultParagraphFont"/>
    <w:link w:val="CommentText"/>
    <w:uiPriority w:val="99"/>
    <w:rsid w:val="00E5641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56416"/>
    <w:rPr>
      <w:b/>
      <w:bCs/>
    </w:rPr>
  </w:style>
  <w:style w:type="character" w:customStyle="1" w:styleId="CommentSubjectChar">
    <w:name w:val="Comment Subject Char"/>
    <w:basedOn w:val="CommentTextChar"/>
    <w:link w:val="CommentSubject"/>
    <w:uiPriority w:val="99"/>
    <w:semiHidden/>
    <w:rsid w:val="00E56416"/>
    <w:rPr>
      <w:rFonts w:ascii="Times New Roman" w:hAnsi="Times New Roman"/>
      <w:b/>
      <w:bCs/>
      <w:sz w:val="20"/>
      <w:szCs w:val="20"/>
    </w:rPr>
  </w:style>
  <w:style w:type="paragraph" w:styleId="Revision">
    <w:name w:val="Revision"/>
    <w:hidden/>
    <w:uiPriority w:val="99"/>
    <w:semiHidden/>
    <w:rsid w:val="00563943"/>
    <w:pPr>
      <w:spacing w:after="0" w:line="240" w:lineRule="auto"/>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69886">
      <w:bodyDiv w:val="1"/>
      <w:marLeft w:val="0"/>
      <w:marRight w:val="0"/>
      <w:marTop w:val="0"/>
      <w:marBottom w:val="0"/>
      <w:divBdr>
        <w:top w:val="none" w:sz="0" w:space="0" w:color="auto"/>
        <w:left w:val="none" w:sz="0" w:space="0" w:color="auto"/>
        <w:bottom w:val="none" w:sz="0" w:space="0" w:color="auto"/>
        <w:right w:val="none" w:sz="0" w:space="0" w:color="auto"/>
      </w:divBdr>
    </w:div>
    <w:div w:id="45570834">
      <w:bodyDiv w:val="1"/>
      <w:marLeft w:val="0"/>
      <w:marRight w:val="0"/>
      <w:marTop w:val="0"/>
      <w:marBottom w:val="0"/>
      <w:divBdr>
        <w:top w:val="none" w:sz="0" w:space="0" w:color="auto"/>
        <w:left w:val="none" w:sz="0" w:space="0" w:color="auto"/>
        <w:bottom w:val="none" w:sz="0" w:space="0" w:color="auto"/>
        <w:right w:val="none" w:sz="0" w:space="0" w:color="auto"/>
      </w:divBdr>
    </w:div>
    <w:div w:id="71317016">
      <w:bodyDiv w:val="1"/>
      <w:marLeft w:val="0"/>
      <w:marRight w:val="0"/>
      <w:marTop w:val="0"/>
      <w:marBottom w:val="0"/>
      <w:divBdr>
        <w:top w:val="none" w:sz="0" w:space="0" w:color="auto"/>
        <w:left w:val="none" w:sz="0" w:space="0" w:color="auto"/>
        <w:bottom w:val="none" w:sz="0" w:space="0" w:color="auto"/>
        <w:right w:val="none" w:sz="0" w:space="0" w:color="auto"/>
      </w:divBdr>
    </w:div>
    <w:div w:id="422531300">
      <w:bodyDiv w:val="1"/>
      <w:marLeft w:val="0"/>
      <w:marRight w:val="0"/>
      <w:marTop w:val="0"/>
      <w:marBottom w:val="0"/>
      <w:divBdr>
        <w:top w:val="none" w:sz="0" w:space="0" w:color="auto"/>
        <w:left w:val="none" w:sz="0" w:space="0" w:color="auto"/>
        <w:bottom w:val="none" w:sz="0" w:space="0" w:color="auto"/>
        <w:right w:val="none" w:sz="0" w:space="0" w:color="auto"/>
      </w:divBdr>
    </w:div>
    <w:div w:id="430706878">
      <w:bodyDiv w:val="1"/>
      <w:marLeft w:val="0"/>
      <w:marRight w:val="0"/>
      <w:marTop w:val="0"/>
      <w:marBottom w:val="0"/>
      <w:divBdr>
        <w:top w:val="none" w:sz="0" w:space="0" w:color="auto"/>
        <w:left w:val="none" w:sz="0" w:space="0" w:color="auto"/>
        <w:bottom w:val="none" w:sz="0" w:space="0" w:color="auto"/>
        <w:right w:val="none" w:sz="0" w:space="0" w:color="auto"/>
      </w:divBdr>
    </w:div>
    <w:div w:id="537395914">
      <w:bodyDiv w:val="1"/>
      <w:marLeft w:val="0"/>
      <w:marRight w:val="0"/>
      <w:marTop w:val="0"/>
      <w:marBottom w:val="0"/>
      <w:divBdr>
        <w:top w:val="none" w:sz="0" w:space="0" w:color="auto"/>
        <w:left w:val="none" w:sz="0" w:space="0" w:color="auto"/>
        <w:bottom w:val="none" w:sz="0" w:space="0" w:color="auto"/>
        <w:right w:val="none" w:sz="0" w:space="0" w:color="auto"/>
      </w:divBdr>
    </w:div>
    <w:div w:id="567155279">
      <w:bodyDiv w:val="1"/>
      <w:marLeft w:val="0"/>
      <w:marRight w:val="0"/>
      <w:marTop w:val="0"/>
      <w:marBottom w:val="0"/>
      <w:divBdr>
        <w:top w:val="none" w:sz="0" w:space="0" w:color="auto"/>
        <w:left w:val="none" w:sz="0" w:space="0" w:color="auto"/>
        <w:bottom w:val="none" w:sz="0" w:space="0" w:color="auto"/>
        <w:right w:val="none" w:sz="0" w:space="0" w:color="auto"/>
      </w:divBdr>
    </w:div>
    <w:div w:id="623080276">
      <w:bodyDiv w:val="1"/>
      <w:marLeft w:val="0"/>
      <w:marRight w:val="0"/>
      <w:marTop w:val="0"/>
      <w:marBottom w:val="0"/>
      <w:divBdr>
        <w:top w:val="none" w:sz="0" w:space="0" w:color="auto"/>
        <w:left w:val="none" w:sz="0" w:space="0" w:color="auto"/>
        <w:bottom w:val="none" w:sz="0" w:space="0" w:color="auto"/>
        <w:right w:val="none" w:sz="0" w:space="0" w:color="auto"/>
      </w:divBdr>
    </w:div>
    <w:div w:id="640423965">
      <w:bodyDiv w:val="1"/>
      <w:marLeft w:val="0"/>
      <w:marRight w:val="0"/>
      <w:marTop w:val="0"/>
      <w:marBottom w:val="0"/>
      <w:divBdr>
        <w:top w:val="none" w:sz="0" w:space="0" w:color="auto"/>
        <w:left w:val="none" w:sz="0" w:space="0" w:color="auto"/>
        <w:bottom w:val="none" w:sz="0" w:space="0" w:color="auto"/>
        <w:right w:val="none" w:sz="0" w:space="0" w:color="auto"/>
      </w:divBdr>
    </w:div>
    <w:div w:id="734819675">
      <w:bodyDiv w:val="1"/>
      <w:marLeft w:val="0"/>
      <w:marRight w:val="0"/>
      <w:marTop w:val="0"/>
      <w:marBottom w:val="0"/>
      <w:divBdr>
        <w:top w:val="none" w:sz="0" w:space="0" w:color="auto"/>
        <w:left w:val="none" w:sz="0" w:space="0" w:color="auto"/>
        <w:bottom w:val="none" w:sz="0" w:space="0" w:color="auto"/>
        <w:right w:val="none" w:sz="0" w:space="0" w:color="auto"/>
      </w:divBdr>
    </w:div>
    <w:div w:id="932083626">
      <w:bodyDiv w:val="1"/>
      <w:marLeft w:val="0"/>
      <w:marRight w:val="0"/>
      <w:marTop w:val="0"/>
      <w:marBottom w:val="0"/>
      <w:divBdr>
        <w:top w:val="none" w:sz="0" w:space="0" w:color="auto"/>
        <w:left w:val="none" w:sz="0" w:space="0" w:color="auto"/>
        <w:bottom w:val="none" w:sz="0" w:space="0" w:color="auto"/>
        <w:right w:val="none" w:sz="0" w:space="0" w:color="auto"/>
      </w:divBdr>
    </w:div>
    <w:div w:id="1019353285">
      <w:bodyDiv w:val="1"/>
      <w:marLeft w:val="0"/>
      <w:marRight w:val="0"/>
      <w:marTop w:val="0"/>
      <w:marBottom w:val="0"/>
      <w:divBdr>
        <w:top w:val="none" w:sz="0" w:space="0" w:color="auto"/>
        <w:left w:val="none" w:sz="0" w:space="0" w:color="auto"/>
        <w:bottom w:val="none" w:sz="0" w:space="0" w:color="auto"/>
        <w:right w:val="none" w:sz="0" w:space="0" w:color="auto"/>
      </w:divBdr>
    </w:div>
    <w:div w:id="1025062025">
      <w:bodyDiv w:val="1"/>
      <w:marLeft w:val="0"/>
      <w:marRight w:val="0"/>
      <w:marTop w:val="0"/>
      <w:marBottom w:val="0"/>
      <w:divBdr>
        <w:top w:val="none" w:sz="0" w:space="0" w:color="auto"/>
        <w:left w:val="none" w:sz="0" w:space="0" w:color="auto"/>
        <w:bottom w:val="none" w:sz="0" w:space="0" w:color="auto"/>
        <w:right w:val="none" w:sz="0" w:space="0" w:color="auto"/>
      </w:divBdr>
    </w:div>
    <w:div w:id="1191846135">
      <w:bodyDiv w:val="1"/>
      <w:marLeft w:val="0"/>
      <w:marRight w:val="0"/>
      <w:marTop w:val="0"/>
      <w:marBottom w:val="0"/>
      <w:divBdr>
        <w:top w:val="none" w:sz="0" w:space="0" w:color="auto"/>
        <w:left w:val="none" w:sz="0" w:space="0" w:color="auto"/>
        <w:bottom w:val="none" w:sz="0" w:space="0" w:color="auto"/>
        <w:right w:val="none" w:sz="0" w:space="0" w:color="auto"/>
      </w:divBdr>
    </w:div>
    <w:div w:id="1374960659">
      <w:bodyDiv w:val="1"/>
      <w:marLeft w:val="0"/>
      <w:marRight w:val="0"/>
      <w:marTop w:val="0"/>
      <w:marBottom w:val="0"/>
      <w:divBdr>
        <w:top w:val="none" w:sz="0" w:space="0" w:color="auto"/>
        <w:left w:val="none" w:sz="0" w:space="0" w:color="auto"/>
        <w:bottom w:val="none" w:sz="0" w:space="0" w:color="auto"/>
        <w:right w:val="none" w:sz="0" w:space="0" w:color="auto"/>
      </w:divBdr>
    </w:div>
    <w:div w:id="1381706138">
      <w:bodyDiv w:val="1"/>
      <w:marLeft w:val="0"/>
      <w:marRight w:val="0"/>
      <w:marTop w:val="0"/>
      <w:marBottom w:val="0"/>
      <w:divBdr>
        <w:top w:val="none" w:sz="0" w:space="0" w:color="auto"/>
        <w:left w:val="none" w:sz="0" w:space="0" w:color="auto"/>
        <w:bottom w:val="none" w:sz="0" w:space="0" w:color="auto"/>
        <w:right w:val="none" w:sz="0" w:space="0" w:color="auto"/>
      </w:divBdr>
    </w:div>
    <w:div w:id="1382091955">
      <w:bodyDiv w:val="1"/>
      <w:marLeft w:val="0"/>
      <w:marRight w:val="0"/>
      <w:marTop w:val="0"/>
      <w:marBottom w:val="0"/>
      <w:divBdr>
        <w:top w:val="none" w:sz="0" w:space="0" w:color="auto"/>
        <w:left w:val="none" w:sz="0" w:space="0" w:color="auto"/>
        <w:bottom w:val="none" w:sz="0" w:space="0" w:color="auto"/>
        <w:right w:val="none" w:sz="0" w:space="0" w:color="auto"/>
      </w:divBdr>
    </w:div>
    <w:div w:id="1453090139">
      <w:bodyDiv w:val="1"/>
      <w:marLeft w:val="0"/>
      <w:marRight w:val="0"/>
      <w:marTop w:val="0"/>
      <w:marBottom w:val="0"/>
      <w:divBdr>
        <w:top w:val="none" w:sz="0" w:space="0" w:color="auto"/>
        <w:left w:val="none" w:sz="0" w:space="0" w:color="auto"/>
        <w:bottom w:val="none" w:sz="0" w:space="0" w:color="auto"/>
        <w:right w:val="none" w:sz="0" w:space="0" w:color="auto"/>
      </w:divBdr>
    </w:div>
    <w:div w:id="1864855963">
      <w:bodyDiv w:val="1"/>
      <w:marLeft w:val="0"/>
      <w:marRight w:val="0"/>
      <w:marTop w:val="0"/>
      <w:marBottom w:val="0"/>
      <w:divBdr>
        <w:top w:val="none" w:sz="0" w:space="0" w:color="auto"/>
        <w:left w:val="none" w:sz="0" w:space="0" w:color="auto"/>
        <w:bottom w:val="none" w:sz="0" w:space="0" w:color="auto"/>
        <w:right w:val="none" w:sz="0" w:space="0" w:color="auto"/>
      </w:divBdr>
    </w:div>
    <w:div w:id="206826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mail" ma:contentTypeID="0x0101003ECC5A3B3DB5EC46B1D76B9A37FC826900E969BE2F7B1AE24D9EF5D8700B1FECCB" ma:contentTypeVersion="49" ma:contentTypeDescription="" ma:contentTypeScope="" ma:versionID="1dadd02a21796adf5f95e981a54a9446">
  <xsd:schema xmlns:xsd="http://www.w3.org/2001/XMLSchema" xmlns:xs="http://www.w3.org/2001/XMLSchema" xmlns:p="http://schemas.microsoft.com/office/2006/metadata/properties" xmlns:ns2="ff38c824-6e29-4496-8487-69f397e7ed29" xmlns:ns3="fe39d773-a83d-4623-ae74-f25711a76616" xmlns:ns4="42f4cb5a-261c-4c59-b165-7132460581a3" xmlns:ns5="30b813c2-29e2-43aa-bac2-1ed67b791ce7" targetNamespace="http://schemas.microsoft.com/office/2006/metadata/properties" ma:root="true" ma:fieldsID="7333c75b25f4fe63b9948aa3c7ec179b" ns2:_="" ns3:_="" ns4:_="" ns5:_="">
    <xsd:import namespace="ff38c824-6e29-4496-8487-69f397e7ed29"/>
    <xsd:import namespace="fe39d773-a83d-4623-ae74-f25711a76616"/>
    <xsd:import namespace="42f4cb5a-261c-4c59-b165-7132460581a3"/>
    <xsd:import namespace="30b813c2-29e2-43aa-bac2-1ed67b791ce7"/>
    <xsd:element name="properties">
      <xsd:complexType>
        <xsd:sequence>
          <xsd:element name="documentManagement">
            <xsd:complexType>
              <xsd:all>
                <xsd:element ref="ns3:Cc" minOccurs="0"/>
                <xsd:element ref="ns3:Date12" minOccurs="0"/>
                <xsd:element ref="ns3:EmailAttachments" minOccurs="0"/>
                <xsd:element ref="ns3:From1" minOccurs="0"/>
                <xsd:element ref="ns3:MailIn-Reply-To" minOccurs="0"/>
                <xsd:element ref="ns3:MailReferences" minOccurs="0"/>
                <xsd:element ref="ns3:MailSubject" minOccurs="0"/>
                <xsd:element ref="ns3:MailTo" minOccurs="0"/>
                <xsd:element ref="ns3:OriginalSubject" minOccurs="0"/>
                <xsd:element ref="ns3:a48f371a4a874164b16a8c4aab488f5c"/>
                <xsd:element ref="ns3:ge25bdd0d6464e36b066695d9e81d63d" minOccurs="0"/>
                <xsd:element ref="ns3:_dlc_DocId" minOccurs="0"/>
                <xsd:element ref="ns2:TaxCatchAll" minOccurs="0"/>
                <xsd:element ref="ns3:_dlc_DocIdPersistId" minOccurs="0"/>
                <xsd:element ref="ns3:_dlc_DocIdUrl" minOccurs="0"/>
                <xsd:element ref="ns2:TaxCatchAllLabel" minOccurs="0"/>
                <xsd:element ref="ns3:oae75e2df9d943898d59cb03ca0993c5" minOccurs="0"/>
                <xsd:element ref="ns4:a922f8bb565746e594dfd9759c83997b" minOccurs="0"/>
                <xsd:element ref="ns5:n354c18657b04d3aab7a0b7552b22c2a" minOccurs="0"/>
                <xsd:element ref="ns5:k5702ebc2d804f54815653409837d9c5"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Cc" ma:index="4" nillable="true" ma:displayName="Cc" ma:internalName="Cc" ma:readOnly="false">
      <xsd:simpleType>
        <xsd:restriction base="dms:Note">
          <xsd:maxLength value="255"/>
        </xsd:restriction>
      </xsd:simpleType>
    </xsd:element>
    <xsd:element name="Date12" ma:index="5" nillable="true" ma:displayName="Date" ma:description="The date and time when the message was sent" ma:format="DateTime" ma:internalName="Date12" ma:readOnly="false">
      <xsd:simpleType>
        <xsd:restriction base="dms:DateTime"/>
      </xsd:simpleType>
    </xsd:element>
    <xsd:element name="EmailAttachments" ma:index="6" nillable="true" ma:displayName="EmailAttachments" ma:default="0" ma:description="Indicates if the e-mail message contains one or more attachments" ma:internalName="EmailAttachments" ma:readOnly="false">
      <xsd:simpleType>
        <xsd:restriction base="dms:Boolean"/>
      </xsd:simpleType>
    </xsd:element>
    <xsd:element name="From1" ma:index="7" nillable="true" ma:displayName="From" ma:description="The identity of the person who sent the message." ma:internalName="From1" ma:readOnly="false">
      <xsd:simpleType>
        <xsd:restriction base="dms:Text">
          <xsd:maxLength value="255"/>
        </xsd:restriction>
      </xsd:simpleType>
    </xsd:element>
    <xsd:element name="MailIn-Reply-To" ma:index="8" nillable="true" ma:displayName="MailIn-Reply-To" ma:description="The contents of this field identify previous correspondence that this message answers" ma:internalName="MailIn_x002d_Reply_x002d_To" ma:readOnly="false">
      <xsd:simpleType>
        <xsd:restriction base="dms:Text">
          <xsd:maxLength value="255"/>
        </xsd:restriction>
      </xsd:simpleType>
    </xsd:element>
    <xsd:element name="MailReferences" ma:index="9" nillable="true" ma:displayName="MailReferences" ma:description="The contents of this field identify other correspondence that this message answers" ma:internalName="MailReferences" ma:readOnly="false">
      <xsd:simpleType>
        <xsd:restriction base="dms:Text">
          <xsd:maxLength value="255"/>
        </xsd:restriction>
      </xsd:simpleType>
    </xsd:element>
    <xsd:element name="MailSubject" ma:index="10" nillable="true" ma:displayName="MailSubject" ma:description="A summary of the message" ma:internalName="MailSubject" ma:readOnly="false">
      <xsd:simpleType>
        <xsd:restriction base="dms:Text">
          <xsd:maxLength value="255"/>
        </xsd:restriction>
      </xsd:simpleType>
    </xsd:element>
    <xsd:element name="MailTo" ma:index="11" nillable="true" ma:displayName="MailTo" ma:internalName="MailTo" ma:readOnly="false">
      <xsd:simpleType>
        <xsd:restriction base="dms:Note">
          <xsd:maxLength value="255"/>
        </xsd:restriction>
      </xsd:simpleType>
    </xsd:element>
    <xsd:element name="OriginalSubject" ma:index="12" nillable="true" ma:displayName="OriginalSubject" ma:internalName="OriginalSubject" ma:readOnly="false">
      <xsd:simpleType>
        <xsd:restriction base="dms:Text">
          <xsd:maxLength value="255"/>
        </xsd:restriction>
      </xsd:simpleType>
    </xsd:element>
    <xsd:element name="a48f371a4a874164b16a8c4aab488f5c" ma:index="14"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e25bdd0d6464e36b066695d9e81d63d" ma:index="16"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PersistId" ma:index="23" nillable="true" ma:displayName="Persist ID" ma:description="Keep ID on add." ma:hidden="true" ma:internalName="_dlc_DocIdPersistId" ma:readOnly="true">
      <xsd:simpleType>
        <xsd:restriction base="dms:Boolean"/>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oae75e2df9d943898d59cb03ca0993c5" ma:index="26" nillable="true" ma:displayName="Topics_1" ma:hidden="true" ma:internalName="oae75e2df9d943898d59cb03ca0993c5"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a922f8bb565746e594dfd9759c83997b" ma:index="28" ma:taxonomy="true" ma:internalName="a922f8bb565746e594dfd9759c83997b" ma:taxonomyFieldName="Document_x0020_Type" ma:displayName="Document Type" ma:readOnly="false" ma:default="" ma:fieldId="{a922f8bb-5657-46e5-94df-d9759c83997b}" ma:sspId="218240cd-c75f-40bd-87f4-262ac964b25b" ma:termSetId="cee331ef-18f4-44e7-94b3-8f9c50e57a6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b813c2-29e2-43aa-bac2-1ed67b791ce7" elementFormDefault="qualified">
    <xsd:import namespace="http://schemas.microsoft.com/office/2006/documentManagement/types"/>
    <xsd:import namespace="http://schemas.microsoft.com/office/infopath/2007/PartnerControls"/>
    <xsd:element name="n354c18657b04d3aab7a0b7552b22c2a" ma:index="30" nillable="true" ma:taxonomy="true" ma:internalName="n354c18657b04d3aab7a0b7552b22c2a" ma:taxonomyFieldName="Activity" ma:displayName="Activity" ma:default="35;#Legislation management|cb630f2f-9155-496b-ad0f-d960eb1bf90c" ma:fieldId="{7354c186-57b0-4d3a-ab7a-0b7552b22c2a}"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k5702ebc2d804f54815653409837d9c5" ma:index="31" nillable="true" ma:displayName="Topic_0" ma:hidden="true" ma:internalName="k5702ebc2d804f54815653409837d9c5">
      <xsd:simpleType>
        <xsd:restriction base="dms:Note"/>
      </xsd:simpleType>
    </xsd:element>
    <xsd:element name="lcf76f155ced4ddcb4097134ff3c332f" ma:index="32"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f38c824-6e29-4496-8487-69f397e7ed29">
      <Value>36</Value>
      <Value>35</Value>
      <Value>1</Value>
      <Value>42</Value>
    </TaxCatchAll>
    <_dlc_DocId xmlns="fe39d773-a83d-4623-ae74-f25711a76616">S574FYTY5PW6-969949929-1906</_dlc_DocId>
    <_dlc_DocIdUrl xmlns="fe39d773-a83d-4623-ae74-f25711a76616">
      <Url>https://austreasury.sharepoint.com/sites/leg-cord-function/_layouts/15/DocIdRedir.aspx?ID=S574FYTY5PW6-969949929-1906</Url>
      <Description>S574FYTY5PW6-969949929-1906</Description>
    </_dlc_DocIdUrl>
    <MailIn-Reply-To xmlns="fe39d773-a83d-4623-ae74-f25711a76616" xsi:nil="true"/>
    <Cc xmlns="fe39d773-a83d-4623-ae74-f25711a76616" xsi:nil="true"/>
    <ge25bdd0d6464e36b066695d9e81d63d xmlns="fe39d773-a83d-4623-ae74-f25711a76616">
      <Terms xmlns="http://schemas.microsoft.com/office/infopath/2007/PartnerControls"/>
    </ge25bdd0d6464e36b066695d9e81d63d>
    <From1 xmlns="fe39d773-a83d-4623-ae74-f25711a76616" xsi:nil="true"/>
    <MailSubject xmlns="fe39d773-a83d-4623-ae74-f25711a76616" xsi:nil="true"/>
    <Date12 xmlns="fe39d773-a83d-4623-ae74-f25711a76616" xsi:nil="true"/>
    <MailReferences xmlns="fe39d773-a83d-4623-ae74-f25711a76616" xsi:nil="true"/>
    <OriginalSubject xmlns="fe39d773-a83d-4623-ae74-f25711a76616" xsi:nil="true"/>
    <oae75e2df9d943898d59cb03ca0993c5 xmlns="fe39d773-a83d-4623-ae74-f25711a76616" xsi:nil="tru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EmailAttachments xmlns="fe39d773-a83d-4623-ae74-f25711a76616">false</EmailAttachments>
    <MailTo xmlns="fe39d773-a83d-4623-ae74-f25711a76616" xsi:nil="true"/>
    <k5702ebc2d804f54815653409837d9c5 xmlns="30b813c2-29e2-43aa-bac2-1ed67b791ce7">Legislation Coordination|58c6712e-e847-48f4-81ab-b25e2bbd3986</k5702ebc2d804f54815653409837d9c5>
    <lcf76f155ced4ddcb4097134ff3c332f xmlns="30b813c2-29e2-43aa-bac2-1ed67b791ce7" xsi:nil="true"/>
    <a922f8bb565746e594dfd9759c83997b xmlns="42f4cb5a-261c-4c59-b165-7132460581a3">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25c35cca-98fe-4d3e-a63c-3dda1c39f3ec</TermId>
        </TermInfo>
      </Terms>
    </a922f8bb565746e594dfd9759c83997b>
    <n354c18657b04d3aab7a0b7552b22c2a xmlns="30b813c2-29e2-43aa-bac2-1ed67b791ce7">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n354c18657b04d3aab7a0b7552b22c2a>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F120A12-8DD5-4CC3-9A4B-CD1A435C810F}"/>
</file>

<file path=customXml/itemProps2.xml><?xml version="1.0" encoding="utf-8"?>
<ds:datastoreItem xmlns:ds="http://schemas.openxmlformats.org/officeDocument/2006/customXml" ds:itemID="{FAD96223-32D1-49EA-AA1C-BF373F3A2CE1}">
  <ds:schemaRefs>
    <ds:schemaRef ds:uri="http://schemas.openxmlformats.org/officeDocument/2006/bibliography"/>
  </ds:schemaRefs>
</ds:datastoreItem>
</file>

<file path=customXml/itemProps3.xml><?xml version="1.0" encoding="utf-8"?>
<ds:datastoreItem xmlns:ds="http://schemas.openxmlformats.org/officeDocument/2006/customXml" ds:itemID="{5AB1F405-1526-4FC0-B995-5D93E0662400}">
  <ds:schemaRefs>
    <ds:schemaRef ds:uri="http://schemas.microsoft.com/sharepoint/v3/contenttype/forms"/>
  </ds:schemaRefs>
</ds:datastoreItem>
</file>

<file path=customXml/itemProps4.xml><?xml version="1.0" encoding="utf-8"?>
<ds:datastoreItem xmlns:ds="http://schemas.openxmlformats.org/officeDocument/2006/customXml" ds:itemID="{8F98D8FD-EB32-42A2-9E9D-DB1E3F0C5BB9}">
  <ds:schemaRefs>
    <ds:schemaRef ds:uri="http://www.w3.org/XML/1998/namespace"/>
    <ds:schemaRef ds:uri="http://schemas.microsoft.com/office/2006/metadata/properties"/>
    <ds:schemaRef ds:uri="ff38c824-6e29-4496-8487-69f397e7ed29"/>
    <ds:schemaRef ds:uri="http://purl.org/dc/dcmitype/"/>
    <ds:schemaRef ds:uri="5638df64-341e-4c47-8440-b91a05a6f0ca"/>
    <ds:schemaRef ds:uri="http://purl.org/dc/elements/1.1/"/>
    <ds:schemaRef ds:uri="http://schemas.microsoft.com/office/2006/documentManagement/types"/>
    <ds:schemaRef ds:uri="http://schemas.microsoft.com/office/infopath/2007/PartnerControls"/>
    <ds:schemaRef ds:uri="fe39d773-a83d-4623-ae74-f25711a76616"/>
    <ds:schemaRef ds:uri="http://purl.org/dc/terms/"/>
    <ds:schemaRef ds:uri="http://schemas.openxmlformats.org/package/2006/metadata/core-properties"/>
    <ds:schemaRef ds:uri="http://schemas.microsoft.com/sharepoint/v3"/>
  </ds:schemaRefs>
</ds:datastoreItem>
</file>

<file path=customXml/itemProps5.xml><?xml version="1.0" encoding="utf-8"?>
<ds:datastoreItem xmlns:ds="http://schemas.openxmlformats.org/officeDocument/2006/customXml" ds:itemID="{F51150D4-2684-415A-B5B0-1BF3568D02D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Inst_New.dotx</Template>
  <TotalTime>58</TotalTime>
  <Pages>7</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Byrne, Sarah</dc:creator>
  <cp:keywords/>
  <dc:description/>
  <cp:lastModifiedBy>Leggett, Chris</cp:lastModifiedBy>
  <cp:revision>35</cp:revision>
  <cp:lastPrinted>2024-10-22T02:05:00Z</cp:lastPrinted>
  <dcterms:created xsi:type="dcterms:W3CDTF">2024-10-17T18:09:00Z</dcterms:created>
  <dcterms:modified xsi:type="dcterms:W3CDTF">2024-10-24T05:25:00Z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2017</vt:lpwstr>
  </property>
  <property fmtid="{D5CDD505-2E9C-101B-9397-08002B2CF9AE}" pid="3" name="ShortT">
    <vt:lpwstr>[title] 2017</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2017</vt:lpwstr>
  </property>
  <property fmtid="{D5CDD505-2E9C-101B-9397-08002B2CF9AE}" pid="10" name="Authority">
    <vt:lpwstr>Unk</vt:lpwstr>
  </property>
  <property fmtid="{D5CDD505-2E9C-101B-9397-08002B2CF9AE}" pid="11" name="ID">
    <vt:lpwstr> </vt:lpwstr>
  </property>
  <property fmtid="{D5CDD505-2E9C-101B-9397-08002B2CF9AE}" pid="12" name="Classification">
    <vt:lpwstr> </vt:lpwstr>
  </property>
  <property fmtid="{D5CDD505-2E9C-101B-9397-08002B2CF9AE}" pid="13" name="DLM">
    <vt:lpwstr> </vt:lpwstr>
  </property>
  <property fmtid="{D5CDD505-2E9C-101B-9397-08002B2CF9AE}" pid="14" name="ContentTypeId">
    <vt:lpwstr>0x0101003ECC5A3B3DB5EC46B1D76B9A37FC826900E969BE2F7B1AE24D9EF5D8700B1FECCB</vt:lpwstr>
  </property>
  <property fmtid="{D5CDD505-2E9C-101B-9397-08002B2CF9AE}" pid="15" name="TSYRecordClass">
    <vt:lpwstr>7;#TSY RA-9236 - Retain as national archives|c6a225b4-6b93-473e-bcbb-6bc6ab25b623</vt:lpwstr>
  </property>
  <property fmtid="{D5CDD505-2E9C-101B-9397-08002B2CF9AE}" pid="16" name="_dlc_DocIdItemGuid">
    <vt:lpwstr>52ff90f8-483d-4569-b55c-48bfb9ef2ce9</vt:lpwstr>
  </property>
  <property fmtid="{D5CDD505-2E9C-101B-9397-08002B2CF9AE}" pid="17" name="TSYTopic">
    <vt:lpwstr/>
  </property>
  <property fmtid="{D5CDD505-2E9C-101B-9397-08002B2CF9AE}" pid="18" name="k8424359e03846678cc4a99dd97e9705">
    <vt:lpwstr>Treasury Enterprise Terms|3560dc94-45bf-45bc-b3d1-89a45b093b53</vt:lpwstr>
  </property>
  <property fmtid="{D5CDD505-2E9C-101B-9397-08002B2CF9AE}" pid="19" name="eTheme">
    <vt:lpwstr>1;#Law Design|318dd2d2-18da-4b8e-a458-14db2c1af95f</vt:lpwstr>
  </property>
  <property fmtid="{D5CDD505-2E9C-101B-9397-08002B2CF9AE}" pid="20" name="eTopic">
    <vt:lpwstr>36;#Legislation Coordination|58c6712e-e847-48f4-81ab-b25e2bbd3986</vt:lpwstr>
  </property>
  <property fmtid="{D5CDD505-2E9C-101B-9397-08002B2CF9AE}" pid="21" name="eActivity">
    <vt:lpwstr>35;#Legislation management|cb630f2f-9155-496b-ad0f-d960eb1bf90c</vt:lpwstr>
  </property>
  <property fmtid="{D5CDD505-2E9C-101B-9397-08002B2CF9AE}" pid="22" name="TSYStatus">
    <vt:lpwstr/>
  </property>
  <property fmtid="{D5CDD505-2E9C-101B-9397-08002B2CF9AE}" pid="23" name="eDocumentType">
    <vt:lpwstr>68;#Legislation|bc5c492f-641e-4b74-8651-322acd553d0f</vt:lpwstr>
  </property>
  <property fmtid="{D5CDD505-2E9C-101B-9397-08002B2CF9AE}" pid="24" name="LMDivision">
    <vt:lpwstr>11;#Treasury Enterprise Terms|3560dc94-45bf-45bc-b3d1-89a45b093b53</vt:lpwstr>
  </property>
  <property fmtid="{D5CDD505-2E9C-101B-9397-08002B2CF9AE}" pid="25" name="_docset_NoMedatataSyncRequired">
    <vt:lpwstr>False</vt:lpwstr>
  </property>
  <property fmtid="{D5CDD505-2E9C-101B-9397-08002B2CF9AE}" pid="26" name="MSIP_Label_4f932d64-9ab1-4d9b-81d2-a3a8b82dd47d_Enabled">
    <vt:lpwstr>true</vt:lpwstr>
  </property>
  <property fmtid="{D5CDD505-2E9C-101B-9397-08002B2CF9AE}" pid="27" name="MSIP_Label_4f932d64-9ab1-4d9b-81d2-a3a8b82dd47d_SetDate">
    <vt:lpwstr>2024-10-17T00:09:58Z</vt:lpwstr>
  </property>
  <property fmtid="{D5CDD505-2E9C-101B-9397-08002B2CF9AE}" pid="28" name="MSIP_Label_4f932d64-9ab1-4d9b-81d2-a3a8b82dd47d_Method">
    <vt:lpwstr>Privileged</vt:lpwstr>
  </property>
  <property fmtid="{D5CDD505-2E9C-101B-9397-08002B2CF9AE}" pid="29" name="MSIP_Label_4f932d64-9ab1-4d9b-81d2-a3a8b82dd47d_Name">
    <vt:lpwstr>OFFICIAL No Visual Marking</vt:lpwstr>
  </property>
  <property fmtid="{D5CDD505-2E9C-101B-9397-08002B2CF9AE}" pid="30" name="MSIP_Label_4f932d64-9ab1-4d9b-81d2-a3a8b82dd47d_SiteId">
    <vt:lpwstr>214f1646-2021-47cc-8397-e3d3a7ba7d9d</vt:lpwstr>
  </property>
  <property fmtid="{D5CDD505-2E9C-101B-9397-08002B2CF9AE}" pid="31" name="MSIP_Label_4f932d64-9ab1-4d9b-81d2-a3a8b82dd47d_ActionId">
    <vt:lpwstr>5584c092-fae2-4e03-94d3-b05383c4e592</vt:lpwstr>
  </property>
  <property fmtid="{D5CDD505-2E9C-101B-9397-08002B2CF9AE}" pid="32" name="MSIP_Label_4f932d64-9ab1-4d9b-81d2-a3a8b82dd47d_ContentBits">
    <vt:lpwstr>0</vt:lpwstr>
  </property>
  <property fmtid="{D5CDD505-2E9C-101B-9397-08002B2CF9AE}" pid="33" name="gfba5f33532c49208d2320ce38cc3c2b">
    <vt:lpwstr>Legislation Coordination|58c6712e-e847-48f4-81ab-b25e2bbd3986</vt:lpwstr>
  </property>
  <property fmtid="{D5CDD505-2E9C-101B-9397-08002B2CF9AE}" pid="34" name="e4fe7dcdd1c0411bbf19a4de3665191f">
    <vt:lpwstr>Legislation management|cb630f2f-9155-496b-ad0f-d960eb1bf90c</vt:lpwstr>
  </property>
  <property fmtid="{D5CDD505-2E9C-101B-9397-08002B2CF9AE}" pid="35" name="Activity">
    <vt:lpwstr>35;#Legislation management|cb630f2f-9155-496b-ad0f-d960eb1bf90c</vt:lpwstr>
  </property>
  <property fmtid="{D5CDD505-2E9C-101B-9397-08002B2CF9AE}" pid="36" name="Topic">
    <vt:lpwstr>36;#Legislation Coordination|58c6712e-e847-48f4-81ab-b25e2bbd3986</vt:lpwstr>
  </property>
  <property fmtid="{D5CDD505-2E9C-101B-9397-08002B2CF9AE}" pid="37" name="Document_x0020_Type">
    <vt:lpwstr>42</vt:lpwstr>
  </property>
  <property fmtid="{D5CDD505-2E9C-101B-9397-08002B2CF9AE}" pid="38" name="MediaServiceImageTags">
    <vt:lpwstr/>
  </property>
  <property fmtid="{D5CDD505-2E9C-101B-9397-08002B2CF9AE}" pid="39" name="Document Type">
    <vt:lpwstr>42;#Legislation|25c35cca-98fe-4d3e-a63c-3dda1c39f3ec</vt:lpwstr>
  </property>
</Properties>
</file>