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3D0C769C"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00382256">
        <w:rPr>
          <w:rFonts w:cs="Arial"/>
          <w:b/>
          <w:sz w:val="28"/>
          <w:szCs w:val="28"/>
        </w:rPr>
        <w:t xml:space="preserve"> and Withdrawal of Rulings</w:t>
      </w:r>
      <w:r w:rsidRPr="00EB58D4">
        <w:rPr>
          <w:rFonts w:cs="Arial"/>
          <w:b/>
          <w:sz w:val="28"/>
          <w:szCs w:val="28"/>
        </w:rPr>
        <w:t xml:space="preserve"> </w:t>
      </w:r>
      <w:r w:rsidR="001A3C78">
        <w:rPr>
          <w:rFonts w:cs="Arial"/>
          <w:b/>
          <w:sz w:val="28"/>
          <w:szCs w:val="28"/>
        </w:rPr>
        <w:t xml:space="preserve">3 </w:t>
      </w:r>
      <w:r w:rsidR="00E41B89">
        <w:rPr>
          <w:rFonts w:cs="Arial"/>
          <w:b/>
          <w:sz w:val="28"/>
          <w:szCs w:val="28"/>
        </w:rPr>
        <w:t>Ju</w:t>
      </w:r>
      <w:r w:rsidR="007857D4">
        <w:rPr>
          <w:rFonts w:cs="Arial"/>
          <w:b/>
          <w:sz w:val="28"/>
          <w:szCs w:val="28"/>
        </w:rPr>
        <w:t>ly</w:t>
      </w:r>
      <w:r w:rsidR="00FC3007">
        <w:rPr>
          <w:rFonts w:cs="Arial"/>
          <w:b/>
          <w:sz w:val="28"/>
          <w:szCs w:val="28"/>
        </w:rPr>
        <w:t xml:space="preserve"> 2024</w:t>
      </w:r>
    </w:p>
    <w:p w14:paraId="2E87CFDE" w14:textId="33E4169A"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482F39">
        <w:rPr>
          <w:rFonts w:cs="Arial"/>
          <w:sz w:val="18"/>
          <w:szCs w:val="18"/>
        </w:rPr>
        <w:t>s</w:t>
      </w:r>
      <w:r w:rsidRPr="00EB58D4">
        <w:rPr>
          <w:rFonts w:cs="Arial"/>
          <w:sz w:val="18"/>
          <w:szCs w:val="18"/>
        </w:rPr>
        <w:t xml:space="preserve">, </w:t>
      </w:r>
      <w:r w:rsidR="00382256" w:rsidRPr="00EB58D4">
        <w:rPr>
          <w:rFonts w:cs="Arial"/>
          <w:sz w:val="18"/>
          <w:szCs w:val="18"/>
        </w:rPr>
        <w:t>, and under subsection 358-20(</w:t>
      </w:r>
      <w:r w:rsidR="00382256">
        <w:rPr>
          <w:rFonts w:cs="Arial"/>
          <w:sz w:val="18"/>
          <w:szCs w:val="18"/>
        </w:rPr>
        <w:t>1</w:t>
      </w:r>
      <w:r w:rsidR="00382256" w:rsidRPr="00EB58D4">
        <w:rPr>
          <w:rFonts w:cs="Arial"/>
          <w:sz w:val="18"/>
          <w:szCs w:val="18"/>
        </w:rPr>
        <w:t xml:space="preserve">) of Schedule 1 to the </w:t>
      </w:r>
      <w:r w:rsidR="00382256" w:rsidRPr="00EB58D4">
        <w:rPr>
          <w:rFonts w:cs="Arial"/>
          <w:i/>
          <w:iCs/>
          <w:sz w:val="18"/>
          <w:szCs w:val="18"/>
        </w:rPr>
        <w:t>Taxation Administration Act 1953</w:t>
      </w:r>
      <w:r w:rsidR="00382256" w:rsidRPr="00EB58D4">
        <w:rPr>
          <w:rFonts w:cs="Arial"/>
          <w:sz w:val="18"/>
          <w:szCs w:val="18"/>
        </w:rPr>
        <w:t xml:space="preserve"> of the withdrawal of the following public ruling,</w:t>
      </w:r>
      <w:r w:rsidR="00382256">
        <w:rPr>
          <w:rFonts w:cs="Arial"/>
          <w:sz w:val="18"/>
          <w:szCs w:val="18"/>
        </w:rPr>
        <w:t xml:space="preserve"> </w:t>
      </w:r>
      <w:r w:rsidRPr="00EB58D4">
        <w:rPr>
          <w:rFonts w:cs="Arial"/>
          <w:sz w:val="18"/>
          <w:szCs w:val="18"/>
        </w:rPr>
        <w:t xml:space="preserve">copies of which can be obtained from </w:t>
      </w:r>
      <w:hyperlink r:id="rId9" w:history="1">
        <w:r w:rsidRPr="00EB58D4">
          <w:rPr>
            <w:rStyle w:val="Hyperlink"/>
            <w:rFonts w:cs="Arial"/>
            <w:sz w:val="18"/>
            <w:szCs w:val="18"/>
          </w:rPr>
          <w:t>ato.gov.au/law</w:t>
        </w:r>
      </w:hyperlink>
    </w:p>
    <w:p w14:paraId="6491888B" w14:textId="77777777" w:rsidR="007864D9" w:rsidRDefault="007864D9" w:rsidP="00E45A56">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313526" w:rsidRPr="00EB58D4" w14:paraId="5302374B" w14:textId="77777777" w:rsidTr="00313526">
        <w:tc>
          <w:tcPr>
            <w:tcW w:w="9923" w:type="dxa"/>
            <w:gridSpan w:val="3"/>
            <w:tcBorders>
              <w:top w:val="single" w:sz="6" w:space="0" w:color="auto"/>
              <w:left w:val="single" w:sz="6" w:space="0" w:color="auto"/>
              <w:bottom w:val="single" w:sz="6" w:space="0" w:color="auto"/>
              <w:right w:val="single" w:sz="6" w:space="0" w:color="auto"/>
            </w:tcBorders>
          </w:tcPr>
          <w:p w14:paraId="23B0DC5A" w14:textId="77777777" w:rsidR="00313526" w:rsidRPr="00EB58D4" w:rsidRDefault="00313526" w:rsidP="00290790">
            <w:pPr>
              <w:pStyle w:val="Heading3"/>
              <w:keepLines/>
              <w:spacing w:before="60"/>
              <w:jc w:val="center"/>
              <w:rPr>
                <w:sz w:val="20"/>
                <w:szCs w:val="20"/>
              </w:rPr>
            </w:pPr>
            <w:r w:rsidRPr="00EB58D4">
              <w:rPr>
                <w:sz w:val="20"/>
                <w:szCs w:val="20"/>
              </w:rPr>
              <w:t xml:space="preserve">NOTICE OF </w:t>
            </w:r>
            <w:r>
              <w:rPr>
                <w:sz w:val="20"/>
                <w:szCs w:val="20"/>
              </w:rPr>
              <w:t>RULINGS</w:t>
            </w:r>
          </w:p>
        </w:tc>
      </w:tr>
      <w:tr w:rsidR="00313526" w:rsidRPr="00EB58D4" w14:paraId="59538E32" w14:textId="77777777" w:rsidTr="00691BCF">
        <w:tc>
          <w:tcPr>
            <w:tcW w:w="1984" w:type="dxa"/>
            <w:vAlign w:val="center"/>
          </w:tcPr>
          <w:p w14:paraId="171026D8" w14:textId="77777777" w:rsidR="00313526" w:rsidRPr="00EB58D4" w:rsidRDefault="00313526" w:rsidP="00290790">
            <w:pPr>
              <w:pStyle w:val="Heading3"/>
              <w:keepLines/>
              <w:spacing w:before="60"/>
              <w:jc w:val="center"/>
              <w:rPr>
                <w:sz w:val="20"/>
                <w:szCs w:val="20"/>
              </w:rPr>
            </w:pPr>
            <w:r w:rsidRPr="00EB58D4">
              <w:rPr>
                <w:sz w:val="20"/>
                <w:szCs w:val="20"/>
              </w:rPr>
              <w:t>Ruling number</w:t>
            </w:r>
          </w:p>
        </w:tc>
        <w:tc>
          <w:tcPr>
            <w:tcW w:w="3686" w:type="dxa"/>
            <w:vAlign w:val="center"/>
          </w:tcPr>
          <w:p w14:paraId="61AEE3D7" w14:textId="77777777" w:rsidR="00313526" w:rsidRPr="00EB58D4" w:rsidRDefault="00313526" w:rsidP="00290790">
            <w:pPr>
              <w:pStyle w:val="Heading3"/>
              <w:keepLines/>
              <w:spacing w:before="60"/>
              <w:jc w:val="center"/>
              <w:rPr>
                <w:sz w:val="20"/>
                <w:szCs w:val="20"/>
              </w:rPr>
            </w:pPr>
            <w:r w:rsidRPr="00EB58D4">
              <w:rPr>
                <w:sz w:val="20"/>
                <w:szCs w:val="20"/>
              </w:rPr>
              <w:t>Subject</w:t>
            </w:r>
          </w:p>
        </w:tc>
        <w:tc>
          <w:tcPr>
            <w:tcW w:w="4253" w:type="dxa"/>
            <w:vAlign w:val="center"/>
          </w:tcPr>
          <w:p w14:paraId="0D6791DD" w14:textId="77777777" w:rsidR="00313526" w:rsidRPr="00EB58D4" w:rsidRDefault="00313526" w:rsidP="00290790">
            <w:pPr>
              <w:pStyle w:val="Heading3"/>
              <w:keepLines/>
              <w:spacing w:before="60"/>
              <w:jc w:val="center"/>
              <w:rPr>
                <w:sz w:val="20"/>
                <w:szCs w:val="20"/>
              </w:rPr>
            </w:pPr>
            <w:r w:rsidRPr="00EB58D4">
              <w:rPr>
                <w:sz w:val="20"/>
                <w:szCs w:val="20"/>
              </w:rPr>
              <w:t>Brief description</w:t>
            </w:r>
          </w:p>
        </w:tc>
      </w:tr>
      <w:tr w:rsidR="001E6A0E" w:rsidRPr="001A3C78" w14:paraId="1ABC99E4" w14:textId="77777777" w:rsidTr="00691BCF">
        <w:tc>
          <w:tcPr>
            <w:tcW w:w="1984" w:type="dxa"/>
          </w:tcPr>
          <w:p w14:paraId="471213A3" w14:textId="726E1280" w:rsidR="001E6A0E" w:rsidRPr="001A3C78" w:rsidRDefault="001E6A0E" w:rsidP="001E6A0E">
            <w:pPr>
              <w:pStyle w:val="Header"/>
              <w:spacing w:before="60" w:after="60"/>
              <w:rPr>
                <w:rFonts w:cs="Arial"/>
                <w:sz w:val="20"/>
                <w:szCs w:val="20"/>
              </w:rPr>
            </w:pPr>
            <w:r>
              <w:rPr>
                <w:rFonts w:cs="Arial"/>
                <w:sz w:val="20"/>
                <w:szCs w:val="20"/>
              </w:rPr>
              <w:t>TD</w:t>
            </w:r>
            <w:r w:rsidRPr="001A3C78">
              <w:rPr>
                <w:rFonts w:cs="Arial"/>
                <w:sz w:val="20"/>
                <w:szCs w:val="20"/>
              </w:rPr>
              <w:t xml:space="preserve"> 2024/</w:t>
            </w:r>
            <w:r>
              <w:rPr>
                <w:rFonts w:cs="Arial"/>
                <w:sz w:val="20"/>
                <w:szCs w:val="20"/>
              </w:rPr>
              <w:t>4</w:t>
            </w:r>
          </w:p>
        </w:tc>
        <w:tc>
          <w:tcPr>
            <w:tcW w:w="3686" w:type="dxa"/>
          </w:tcPr>
          <w:p w14:paraId="1B881C39" w14:textId="6D962970" w:rsidR="001E6A0E" w:rsidRPr="001A3C78" w:rsidRDefault="001E6A0E" w:rsidP="001E6A0E">
            <w:pPr>
              <w:pStyle w:val="Header"/>
              <w:spacing w:before="60" w:after="60"/>
              <w:rPr>
                <w:rFonts w:cs="Arial"/>
                <w:sz w:val="20"/>
                <w:szCs w:val="20"/>
              </w:rPr>
            </w:pPr>
            <w:r>
              <w:rPr>
                <w:rFonts w:cs="Arial"/>
                <w:sz w:val="20"/>
                <w:szCs w:val="20"/>
              </w:rPr>
              <w:t>I</w:t>
            </w:r>
            <w:r w:rsidRPr="00313526">
              <w:rPr>
                <w:rFonts w:cs="Arial"/>
                <w:sz w:val="20"/>
                <w:szCs w:val="20"/>
              </w:rPr>
              <w:t xml:space="preserve">ncome tax: </w:t>
            </w:r>
            <w:r w:rsidR="00F53F7E">
              <w:rPr>
                <w:rFonts w:cs="Arial"/>
                <w:sz w:val="20"/>
                <w:szCs w:val="20"/>
              </w:rPr>
              <w:t xml:space="preserve"> </w:t>
            </w:r>
            <w:r w:rsidRPr="00313526">
              <w:rPr>
                <w:rFonts w:cs="Arial"/>
                <w:sz w:val="20"/>
                <w:szCs w:val="20"/>
              </w:rPr>
              <w:t>hybrid mismatch rules – application of certain aspects of the ‘liable entity’ and ‘hybrid payer’ definitions</w:t>
            </w:r>
          </w:p>
        </w:tc>
        <w:tc>
          <w:tcPr>
            <w:tcW w:w="4253" w:type="dxa"/>
          </w:tcPr>
          <w:p w14:paraId="45FB362E" w14:textId="77777777" w:rsidR="001E6A0E" w:rsidRPr="006B786B" w:rsidRDefault="001E6A0E" w:rsidP="001E6A0E">
            <w:pPr>
              <w:spacing w:before="60" w:after="60"/>
              <w:rPr>
                <w:rFonts w:cs="Arial"/>
                <w:color w:val="000000" w:themeColor="text1"/>
                <w:sz w:val="20"/>
                <w:szCs w:val="20"/>
              </w:rPr>
            </w:pPr>
            <w:r w:rsidRPr="006B786B">
              <w:rPr>
                <w:rFonts w:cs="Arial"/>
                <w:color w:val="000000" w:themeColor="text1"/>
                <w:sz w:val="20"/>
                <w:szCs w:val="20"/>
              </w:rPr>
              <w:t>This Determination sets out our view on 2 separate but related issues, whether:</w:t>
            </w:r>
          </w:p>
          <w:p w14:paraId="515A592D" w14:textId="77777777" w:rsidR="001E6A0E" w:rsidRPr="00B97CD7" w:rsidRDefault="001E6A0E" w:rsidP="00B97CD7">
            <w:pPr>
              <w:pStyle w:val="ListParagraph"/>
              <w:numPr>
                <w:ilvl w:val="0"/>
                <w:numId w:val="8"/>
              </w:numPr>
              <w:spacing w:before="60" w:after="60"/>
              <w:ind w:left="357" w:hanging="357"/>
              <w:rPr>
                <w:rFonts w:cs="Arial"/>
                <w:sz w:val="20"/>
                <w:szCs w:val="20"/>
              </w:rPr>
            </w:pPr>
            <w:r w:rsidRPr="00B97CD7">
              <w:rPr>
                <w:rFonts w:cs="Arial"/>
                <w:sz w:val="20"/>
                <w:szCs w:val="20"/>
              </w:rPr>
              <w:t xml:space="preserve">hypothetical income or profits within the tax base of a country can be used to identify a ‘liable entity’ or entities in the country for the purposes of section 832-325 of the </w:t>
            </w:r>
            <w:r w:rsidRPr="003024A7">
              <w:rPr>
                <w:rFonts w:cs="Arial"/>
                <w:i/>
                <w:iCs/>
                <w:sz w:val="20"/>
                <w:szCs w:val="20"/>
              </w:rPr>
              <w:t>Income Tax Assessment Act 1997</w:t>
            </w:r>
            <w:r w:rsidRPr="00B97CD7">
              <w:rPr>
                <w:rFonts w:cs="Arial"/>
                <w:sz w:val="20"/>
                <w:szCs w:val="20"/>
              </w:rPr>
              <w:t>, and</w:t>
            </w:r>
          </w:p>
          <w:p w14:paraId="121C04B8" w14:textId="77777777" w:rsidR="001E6A0E" w:rsidRPr="00B97CD7" w:rsidRDefault="001E6A0E" w:rsidP="00B97CD7">
            <w:pPr>
              <w:pStyle w:val="ListParagraph"/>
              <w:numPr>
                <w:ilvl w:val="0"/>
                <w:numId w:val="8"/>
              </w:numPr>
              <w:spacing w:before="60" w:after="60"/>
              <w:ind w:left="357" w:hanging="357"/>
              <w:rPr>
                <w:rFonts w:cs="Arial"/>
                <w:sz w:val="20"/>
                <w:szCs w:val="20"/>
              </w:rPr>
            </w:pPr>
            <w:r w:rsidRPr="00B97CD7">
              <w:rPr>
                <w:rFonts w:cs="Arial"/>
                <w:sz w:val="20"/>
                <w:szCs w:val="20"/>
              </w:rPr>
              <w:t>a ’non-including country’ for the purpose of subsection 832-320(3) of the ‘hybrid payer’ definition can be a jurisdiction other than the country where the payee of the relevant payment is located or resides.</w:t>
            </w:r>
          </w:p>
          <w:p w14:paraId="4FAF7F89" w14:textId="57EDB380" w:rsidR="001E6A0E" w:rsidRPr="001A3C78" w:rsidRDefault="001E6A0E" w:rsidP="001E6A0E">
            <w:pPr>
              <w:spacing w:before="60" w:after="60"/>
              <w:rPr>
                <w:rFonts w:cs="Arial"/>
                <w:sz w:val="20"/>
                <w:szCs w:val="20"/>
              </w:rPr>
            </w:pPr>
            <w:r w:rsidRPr="006B786B">
              <w:rPr>
                <w:rFonts w:cs="Arial"/>
                <w:color w:val="000000" w:themeColor="text1"/>
                <w:sz w:val="20"/>
                <w:szCs w:val="20"/>
              </w:rPr>
              <w:t>This Determination applies both before and after its date of issue.</w:t>
            </w:r>
          </w:p>
        </w:tc>
      </w:tr>
      <w:tr w:rsidR="00512184" w:rsidRPr="001A3C78" w14:paraId="77DBE3BB" w14:textId="77777777" w:rsidTr="00691BCF">
        <w:tc>
          <w:tcPr>
            <w:tcW w:w="1984" w:type="dxa"/>
          </w:tcPr>
          <w:p w14:paraId="75BE959D" w14:textId="4F0DB301" w:rsidR="00512184" w:rsidRDefault="00512184" w:rsidP="00512184">
            <w:pPr>
              <w:pStyle w:val="Header"/>
              <w:spacing w:before="60" w:after="60"/>
              <w:rPr>
                <w:rFonts w:cs="Arial"/>
                <w:sz w:val="20"/>
                <w:szCs w:val="20"/>
              </w:rPr>
            </w:pPr>
            <w:r w:rsidRPr="001A3C78">
              <w:rPr>
                <w:rFonts w:cs="Arial"/>
                <w:sz w:val="20"/>
                <w:szCs w:val="20"/>
              </w:rPr>
              <w:t>CR 2024/3</w:t>
            </w:r>
            <w:r>
              <w:rPr>
                <w:rFonts w:cs="Arial"/>
                <w:sz w:val="20"/>
                <w:szCs w:val="20"/>
              </w:rPr>
              <w:t>6</w:t>
            </w:r>
          </w:p>
        </w:tc>
        <w:tc>
          <w:tcPr>
            <w:tcW w:w="3686" w:type="dxa"/>
          </w:tcPr>
          <w:p w14:paraId="2B7EAC49" w14:textId="5B991DE7" w:rsidR="00512184" w:rsidRDefault="00512184" w:rsidP="00512184">
            <w:pPr>
              <w:pStyle w:val="Header"/>
              <w:spacing w:before="60" w:after="60"/>
              <w:rPr>
                <w:rFonts w:cs="Arial"/>
                <w:sz w:val="20"/>
                <w:szCs w:val="20"/>
              </w:rPr>
            </w:pPr>
            <w:r w:rsidRPr="007864D9">
              <w:rPr>
                <w:rFonts w:cs="Arial"/>
                <w:sz w:val="20"/>
                <w:szCs w:val="20"/>
              </w:rPr>
              <w:t>National Australia Bank Limited – NAB Capital Notes 8</w:t>
            </w:r>
          </w:p>
        </w:tc>
        <w:tc>
          <w:tcPr>
            <w:tcW w:w="4253" w:type="dxa"/>
          </w:tcPr>
          <w:p w14:paraId="246FED93" w14:textId="37B123FD" w:rsidR="00512184" w:rsidRPr="001A3C78" w:rsidRDefault="00512184" w:rsidP="00512184">
            <w:pPr>
              <w:spacing w:before="60" w:after="60"/>
              <w:rPr>
                <w:rFonts w:cs="Arial"/>
                <w:sz w:val="20"/>
                <w:szCs w:val="20"/>
              </w:rPr>
            </w:pPr>
            <w:r w:rsidRPr="001A3C78">
              <w:rPr>
                <w:rFonts w:cs="Arial"/>
                <w:sz w:val="20"/>
                <w:szCs w:val="20"/>
              </w:rPr>
              <w:t>This Ruling sets out the income tax consequences for entities who subscribed for an</w:t>
            </w:r>
            <w:r>
              <w:rPr>
                <w:rFonts w:cs="Arial"/>
                <w:sz w:val="20"/>
                <w:szCs w:val="20"/>
              </w:rPr>
              <w:t>d</w:t>
            </w:r>
            <w:r w:rsidRPr="001A3C78">
              <w:rPr>
                <w:rFonts w:cs="Arial"/>
                <w:sz w:val="20"/>
                <w:szCs w:val="20"/>
              </w:rPr>
              <w:t xml:space="preserve"> acquired Nat</w:t>
            </w:r>
            <w:r w:rsidR="00382256">
              <w:rPr>
                <w:rFonts w:cs="Arial"/>
                <w:sz w:val="20"/>
                <w:szCs w:val="20"/>
              </w:rPr>
              <w:t>ion</w:t>
            </w:r>
            <w:r w:rsidRPr="001A3C78">
              <w:rPr>
                <w:rFonts w:cs="Arial"/>
                <w:sz w:val="20"/>
                <w:szCs w:val="20"/>
              </w:rPr>
              <w:t>al Australia Bank Capital Notes 8 issued by National Australia Bank Limited.</w:t>
            </w:r>
          </w:p>
          <w:p w14:paraId="35A436ED" w14:textId="42670092" w:rsidR="00512184" w:rsidRPr="006B786B" w:rsidRDefault="00512184" w:rsidP="00512184">
            <w:pPr>
              <w:spacing w:before="60" w:after="60"/>
              <w:rPr>
                <w:rFonts w:cs="Arial"/>
                <w:color w:val="000000" w:themeColor="text1"/>
                <w:sz w:val="20"/>
                <w:szCs w:val="20"/>
              </w:rPr>
            </w:pPr>
            <w:r w:rsidRPr="001A3C78">
              <w:rPr>
                <w:rFonts w:cs="Arial"/>
                <w:sz w:val="20"/>
                <w:szCs w:val="20"/>
              </w:rPr>
              <w:t>This Ruling applies from 1 July 2023 to 30 June 2035.</w:t>
            </w:r>
          </w:p>
        </w:tc>
      </w:tr>
      <w:tr w:rsidR="00512184" w:rsidRPr="001A3C78" w14:paraId="28079C42" w14:textId="77777777" w:rsidTr="00691BCF">
        <w:tc>
          <w:tcPr>
            <w:tcW w:w="1984" w:type="dxa"/>
          </w:tcPr>
          <w:p w14:paraId="0946C963" w14:textId="5E98258D" w:rsidR="00512184" w:rsidRPr="001A3C78" w:rsidRDefault="00512184" w:rsidP="00512184">
            <w:pPr>
              <w:pStyle w:val="Header"/>
              <w:spacing w:before="60" w:after="60"/>
              <w:rPr>
                <w:rFonts w:cs="Arial"/>
                <w:sz w:val="20"/>
                <w:szCs w:val="20"/>
              </w:rPr>
            </w:pPr>
            <w:r>
              <w:rPr>
                <w:rFonts w:cs="Arial"/>
                <w:sz w:val="20"/>
                <w:szCs w:val="20"/>
              </w:rPr>
              <w:t>CR 2024/37</w:t>
            </w:r>
          </w:p>
        </w:tc>
        <w:tc>
          <w:tcPr>
            <w:tcW w:w="3686" w:type="dxa"/>
          </w:tcPr>
          <w:p w14:paraId="7BA89DCC" w14:textId="08EA7676" w:rsidR="00512184" w:rsidRPr="001A3C78" w:rsidRDefault="00512184" w:rsidP="00512184">
            <w:pPr>
              <w:pStyle w:val="Header"/>
              <w:spacing w:before="60" w:after="60"/>
              <w:rPr>
                <w:rFonts w:cs="Arial"/>
                <w:sz w:val="20"/>
                <w:szCs w:val="20"/>
              </w:rPr>
            </w:pPr>
            <w:proofErr w:type="spellStart"/>
            <w:r w:rsidRPr="008623D7">
              <w:rPr>
                <w:rFonts w:cs="Arial"/>
                <w:sz w:val="20"/>
                <w:szCs w:val="20"/>
              </w:rPr>
              <w:t>Calima</w:t>
            </w:r>
            <w:proofErr w:type="spellEnd"/>
            <w:r w:rsidRPr="008623D7">
              <w:rPr>
                <w:rFonts w:cs="Arial"/>
                <w:sz w:val="20"/>
                <w:szCs w:val="20"/>
              </w:rPr>
              <w:t xml:space="preserve"> Energy Limited – return of capital</w:t>
            </w:r>
          </w:p>
        </w:tc>
        <w:tc>
          <w:tcPr>
            <w:tcW w:w="4253" w:type="dxa"/>
          </w:tcPr>
          <w:p w14:paraId="2ED44F90" w14:textId="06EDE00C" w:rsidR="00512184" w:rsidRPr="001A3C78" w:rsidRDefault="00512184" w:rsidP="00512184">
            <w:pPr>
              <w:spacing w:before="60" w:after="60"/>
              <w:rPr>
                <w:rFonts w:cs="Arial"/>
                <w:sz w:val="20"/>
                <w:szCs w:val="20"/>
              </w:rPr>
            </w:pPr>
            <w:r w:rsidRPr="001A3C78">
              <w:rPr>
                <w:rFonts w:cs="Arial"/>
                <w:sz w:val="20"/>
                <w:szCs w:val="20"/>
              </w:rPr>
              <w:t xml:space="preserve">This Ruling sets out the income tax consequences for </w:t>
            </w:r>
            <w:r>
              <w:rPr>
                <w:rFonts w:cs="Arial"/>
                <w:sz w:val="20"/>
                <w:szCs w:val="20"/>
              </w:rPr>
              <w:t xml:space="preserve">shareholders of </w:t>
            </w:r>
            <w:proofErr w:type="spellStart"/>
            <w:r>
              <w:rPr>
                <w:rFonts w:cs="Arial"/>
                <w:sz w:val="20"/>
                <w:szCs w:val="20"/>
              </w:rPr>
              <w:t>Calima</w:t>
            </w:r>
            <w:proofErr w:type="spellEnd"/>
            <w:r>
              <w:rPr>
                <w:rFonts w:cs="Arial"/>
                <w:sz w:val="20"/>
                <w:szCs w:val="20"/>
              </w:rPr>
              <w:t xml:space="preserve"> Energy Limited</w:t>
            </w:r>
            <w:r w:rsidRPr="001A3C78">
              <w:rPr>
                <w:rFonts w:cs="Arial"/>
                <w:sz w:val="20"/>
                <w:szCs w:val="20"/>
              </w:rPr>
              <w:t xml:space="preserve"> who </w:t>
            </w:r>
            <w:r>
              <w:rPr>
                <w:rFonts w:cs="Arial"/>
                <w:sz w:val="20"/>
                <w:szCs w:val="20"/>
              </w:rPr>
              <w:t xml:space="preserve">received a return of capital payment of 12.63 cents per ordinary </w:t>
            </w:r>
            <w:proofErr w:type="spellStart"/>
            <w:r>
              <w:rPr>
                <w:rFonts w:cs="Arial"/>
                <w:sz w:val="20"/>
                <w:szCs w:val="20"/>
              </w:rPr>
              <w:t>Calima</w:t>
            </w:r>
            <w:proofErr w:type="spellEnd"/>
            <w:r>
              <w:rPr>
                <w:rFonts w:cs="Arial"/>
                <w:sz w:val="20"/>
                <w:szCs w:val="20"/>
              </w:rPr>
              <w:t xml:space="preserve"> share on 21 June 2024.</w:t>
            </w:r>
          </w:p>
          <w:p w14:paraId="0EBA9C37" w14:textId="40DABBA4" w:rsidR="00512184" w:rsidRPr="001A3C78" w:rsidRDefault="00512184" w:rsidP="00512184">
            <w:pPr>
              <w:spacing w:before="60" w:after="60"/>
              <w:rPr>
                <w:rFonts w:cs="Arial"/>
                <w:sz w:val="20"/>
                <w:szCs w:val="20"/>
              </w:rPr>
            </w:pPr>
            <w:r w:rsidRPr="001A3C78">
              <w:rPr>
                <w:rFonts w:cs="Arial"/>
                <w:sz w:val="20"/>
                <w:szCs w:val="20"/>
              </w:rPr>
              <w:t xml:space="preserve">This Ruling applies to </w:t>
            </w:r>
            <w:r>
              <w:rPr>
                <w:rFonts w:cs="Arial"/>
                <w:sz w:val="20"/>
                <w:szCs w:val="20"/>
              </w:rPr>
              <w:t>shareholders spe</w:t>
            </w:r>
            <w:r w:rsidRPr="001A3C78">
              <w:rPr>
                <w:rFonts w:cs="Arial"/>
                <w:sz w:val="20"/>
                <w:szCs w:val="20"/>
              </w:rPr>
              <w:t>cified in the Ruling from 1 July 2023 to 30 June 20</w:t>
            </w:r>
            <w:r>
              <w:rPr>
                <w:rFonts w:cs="Arial"/>
                <w:sz w:val="20"/>
                <w:szCs w:val="20"/>
              </w:rPr>
              <w:t>24</w:t>
            </w:r>
            <w:r w:rsidRPr="001A3C78">
              <w:rPr>
                <w:rFonts w:cs="Arial"/>
                <w:sz w:val="20"/>
                <w:szCs w:val="20"/>
              </w:rPr>
              <w:t>.</w:t>
            </w:r>
          </w:p>
        </w:tc>
      </w:tr>
      <w:tr w:rsidR="00512184" w:rsidRPr="001A3C78" w14:paraId="6C2F6D68" w14:textId="77777777" w:rsidTr="00691BCF">
        <w:tc>
          <w:tcPr>
            <w:tcW w:w="1984" w:type="dxa"/>
          </w:tcPr>
          <w:p w14:paraId="6124A800" w14:textId="0A2424AC" w:rsidR="00512184" w:rsidRDefault="00512184" w:rsidP="00512184">
            <w:pPr>
              <w:pStyle w:val="Header"/>
              <w:spacing w:before="60" w:after="60"/>
              <w:rPr>
                <w:rFonts w:cs="Arial"/>
                <w:sz w:val="20"/>
                <w:szCs w:val="20"/>
              </w:rPr>
            </w:pPr>
            <w:r>
              <w:rPr>
                <w:rFonts w:cs="Arial"/>
                <w:sz w:val="20"/>
                <w:szCs w:val="20"/>
              </w:rPr>
              <w:t>CR 2024/38</w:t>
            </w:r>
          </w:p>
        </w:tc>
        <w:tc>
          <w:tcPr>
            <w:tcW w:w="3686" w:type="dxa"/>
          </w:tcPr>
          <w:p w14:paraId="564DF279" w14:textId="28B365E4" w:rsidR="00512184" w:rsidRPr="001A3C78" w:rsidRDefault="00512184" w:rsidP="00512184">
            <w:pPr>
              <w:pStyle w:val="Header"/>
              <w:spacing w:before="60" w:after="60"/>
              <w:rPr>
                <w:rFonts w:cs="Arial"/>
                <w:sz w:val="20"/>
                <w:szCs w:val="20"/>
              </w:rPr>
            </w:pPr>
            <w:r w:rsidRPr="008623D7">
              <w:rPr>
                <w:rFonts w:cs="Arial"/>
                <w:sz w:val="20"/>
                <w:szCs w:val="20"/>
              </w:rPr>
              <w:t>Best &amp; Less Holdings</w:t>
            </w:r>
            <w:r>
              <w:rPr>
                <w:rFonts w:cs="Arial"/>
                <w:sz w:val="20"/>
                <w:szCs w:val="20"/>
              </w:rPr>
              <w:t xml:space="preserve"> Group</w:t>
            </w:r>
            <w:r w:rsidRPr="008623D7">
              <w:rPr>
                <w:rFonts w:cs="Arial"/>
                <w:sz w:val="20"/>
                <w:szCs w:val="20"/>
              </w:rPr>
              <w:t xml:space="preserve"> </w:t>
            </w:r>
            <w:r>
              <w:rPr>
                <w:rFonts w:cs="Arial"/>
                <w:sz w:val="20"/>
                <w:szCs w:val="20"/>
              </w:rPr>
              <w:t xml:space="preserve">Pty </w:t>
            </w:r>
            <w:r w:rsidRPr="008623D7">
              <w:rPr>
                <w:rFonts w:cs="Arial"/>
                <w:sz w:val="20"/>
                <w:szCs w:val="20"/>
              </w:rPr>
              <w:t>Limited – employee share scheme – disposal of shares</w:t>
            </w:r>
          </w:p>
        </w:tc>
        <w:tc>
          <w:tcPr>
            <w:tcW w:w="4253" w:type="dxa"/>
          </w:tcPr>
          <w:p w14:paraId="1FA26B61" w14:textId="146B7F89" w:rsidR="00512184" w:rsidRDefault="00512184" w:rsidP="00512184">
            <w:pPr>
              <w:spacing w:before="60" w:after="60"/>
              <w:rPr>
                <w:rFonts w:cs="Arial"/>
                <w:sz w:val="20"/>
                <w:szCs w:val="20"/>
              </w:rPr>
            </w:pPr>
            <w:r w:rsidRPr="001A3C78">
              <w:rPr>
                <w:rFonts w:cs="Arial"/>
                <w:sz w:val="20"/>
                <w:szCs w:val="20"/>
              </w:rPr>
              <w:t>This Ruling sets out the income tax consequences for</w:t>
            </w:r>
            <w:r>
              <w:rPr>
                <w:rFonts w:cs="Arial"/>
                <w:sz w:val="20"/>
                <w:szCs w:val="20"/>
              </w:rPr>
              <w:t xml:space="preserve"> employees of Best &amp; Less Group Holdings Pty Limited and its subsidiaries who participated in the Best &amp; Less Group Holdings Limited </w:t>
            </w:r>
            <w:proofErr w:type="gramStart"/>
            <w:r>
              <w:rPr>
                <w:rFonts w:cs="Arial"/>
                <w:sz w:val="20"/>
                <w:szCs w:val="20"/>
              </w:rPr>
              <w:t>Tax Exempt</w:t>
            </w:r>
            <w:proofErr w:type="gramEnd"/>
            <w:r>
              <w:rPr>
                <w:rFonts w:cs="Arial"/>
                <w:sz w:val="20"/>
                <w:szCs w:val="20"/>
              </w:rPr>
              <w:t xml:space="preserve"> Share Plan </w:t>
            </w:r>
            <w:r w:rsidR="002369AB">
              <w:rPr>
                <w:rFonts w:cs="Arial"/>
                <w:sz w:val="20"/>
                <w:szCs w:val="20"/>
              </w:rPr>
              <w:t>who were subject to</w:t>
            </w:r>
            <w:r>
              <w:rPr>
                <w:rFonts w:cs="Arial"/>
                <w:sz w:val="20"/>
                <w:szCs w:val="20"/>
              </w:rPr>
              <w:t xml:space="preserve"> an off-market takeover by BBRC Admin 1 Pty Ltd.</w:t>
            </w:r>
          </w:p>
          <w:p w14:paraId="075BEA12" w14:textId="7AA47B1B" w:rsidR="00512184" w:rsidRPr="001A3C78" w:rsidRDefault="00512184" w:rsidP="00512184">
            <w:pPr>
              <w:spacing w:before="60" w:after="60"/>
              <w:rPr>
                <w:rFonts w:cs="Arial"/>
                <w:sz w:val="20"/>
                <w:szCs w:val="20"/>
              </w:rPr>
            </w:pPr>
            <w:r w:rsidRPr="001A3C78">
              <w:rPr>
                <w:rFonts w:cs="Arial"/>
                <w:sz w:val="20"/>
                <w:szCs w:val="20"/>
              </w:rPr>
              <w:t xml:space="preserve">This Ruling applies to </w:t>
            </w:r>
            <w:r>
              <w:rPr>
                <w:rFonts w:cs="Arial"/>
                <w:sz w:val="20"/>
                <w:szCs w:val="20"/>
              </w:rPr>
              <w:t>shareholders spe</w:t>
            </w:r>
            <w:r w:rsidRPr="001A3C78">
              <w:rPr>
                <w:rFonts w:cs="Arial"/>
                <w:sz w:val="20"/>
                <w:szCs w:val="20"/>
              </w:rPr>
              <w:t>cified in the Ruling from 1 July 202</w:t>
            </w:r>
            <w:r>
              <w:rPr>
                <w:rFonts w:cs="Arial"/>
                <w:sz w:val="20"/>
                <w:szCs w:val="20"/>
              </w:rPr>
              <w:t>1</w:t>
            </w:r>
            <w:r w:rsidRPr="001A3C78">
              <w:rPr>
                <w:rFonts w:cs="Arial"/>
                <w:sz w:val="20"/>
                <w:szCs w:val="20"/>
              </w:rPr>
              <w:t xml:space="preserve"> to 30 June 20</w:t>
            </w:r>
            <w:r>
              <w:rPr>
                <w:rFonts w:cs="Arial"/>
                <w:sz w:val="20"/>
                <w:szCs w:val="20"/>
              </w:rPr>
              <w:t>24</w:t>
            </w:r>
            <w:r w:rsidRPr="001A3C78">
              <w:rPr>
                <w:rFonts w:cs="Arial"/>
                <w:sz w:val="20"/>
                <w:szCs w:val="20"/>
              </w:rPr>
              <w:t>.</w:t>
            </w:r>
          </w:p>
        </w:tc>
      </w:tr>
      <w:tr w:rsidR="00512184" w:rsidRPr="001A3C78" w14:paraId="6313331E" w14:textId="77777777" w:rsidTr="00691BCF">
        <w:tc>
          <w:tcPr>
            <w:tcW w:w="1984" w:type="dxa"/>
          </w:tcPr>
          <w:p w14:paraId="3269AB0A" w14:textId="7B0867FC" w:rsidR="00512184" w:rsidRDefault="00512184" w:rsidP="00512184">
            <w:pPr>
              <w:pStyle w:val="Header"/>
              <w:spacing w:before="60" w:after="60"/>
              <w:rPr>
                <w:rFonts w:cs="Arial"/>
                <w:sz w:val="20"/>
                <w:szCs w:val="20"/>
              </w:rPr>
            </w:pPr>
            <w:r>
              <w:rPr>
                <w:rFonts w:cs="Arial"/>
                <w:sz w:val="20"/>
                <w:szCs w:val="20"/>
              </w:rPr>
              <w:lastRenderedPageBreak/>
              <w:t>CR 2</w:t>
            </w:r>
            <w:r w:rsidR="002369AB">
              <w:rPr>
                <w:rFonts w:cs="Arial"/>
                <w:sz w:val="20"/>
                <w:szCs w:val="20"/>
              </w:rPr>
              <w:t>0</w:t>
            </w:r>
            <w:r>
              <w:rPr>
                <w:rFonts w:cs="Arial"/>
                <w:sz w:val="20"/>
                <w:szCs w:val="20"/>
              </w:rPr>
              <w:t>24/39</w:t>
            </w:r>
          </w:p>
        </w:tc>
        <w:tc>
          <w:tcPr>
            <w:tcW w:w="3686" w:type="dxa"/>
          </w:tcPr>
          <w:p w14:paraId="1AD3667E" w14:textId="417D66CD" w:rsidR="00512184" w:rsidRPr="001A3C78" w:rsidRDefault="00512184" w:rsidP="00512184">
            <w:pPr>
              <w:pStyle w:val="Header"/>
              <w:spacing w:before="60" w:after="60"/>
              <w:rPr>
                <w:rFonts w:cs="Arial"/>
                <w:sz w:val="20"/>
                <w:szCs w:val="20"/>
              </w:rPr>
            </w:pPr>
            <w:r w:rsidRPr="008623D7">
              <w:rPr>
                <w:rFonts w:cs="Arial"/>
                <w:sz w:val="20"/>
                <w:szCs w:val="20"/>
              </w:rPr>
              <w:t>EROAD Australia Pty Ltd – Fuel Tax Credits Solution</w:t>
            </w:r>
          </w:p>
        </w:tc>
        <w:tc>
          <w:tcPr>
            <w:tcW w:w="4253" w:type="dxa"/>
          </w:tcPr>
          <w:p w14:paraId="37832E6D" w14:textId="28BDD520" w:rsidR="00512184" w:rsidRPr="001A3C78" w:rsidRDefault="00512184" w:rsidP="00512184">
            <w:pPr>
              <w:spacing w:before="60" w:after="60"/>
              <w:rPr>
                <w:rFonts w:cs="Arial"/>
                <w:sz w:val="20"/>
                <w:szCs w:val="20"/>
              </w:rPr>
            </w:pPr>
            <w:r w:rsidRPr="001A3C78">
              <w:rPr>
                <w:rFonts w:cs="Arial"/>
                <w:sz w:val="20"/>
                <w:szCs w:val="20"/>
              </w:rPr>
              <w:t xml:space="preserve">This Ruling sets out </w:t>
            </w:r>
            <w:r>
              <w:rPr>
                <w:rFonts w:cs="Arial"/>
                <w:sz w:val="20"/>
                <w:szCs w:val="20"/>
              </w:rPr>
              <w:t xml:space="preserve">when the FTC Report generated from EROAD Australia Pty </w:t>
            </w:r>
            <w:proofErr w:type="spellStart"/>
            <w:r>
              <w:rPr>
                <w:rFonts w:cs="Arial"/>
                <w:sz w:val="20"/>
                <w:szCs w:val="20"/>
              </w:rPr>
              <w:t>Ltd’s</w:t>
            </w:r>
            <w:proofErr w:type="spellEnd"/>
            <w:r>
              <w:rPr>
                <w:rFonts w:cs="Arial"/>
                <w:sz w:val="20"/>
                <w:szCs w:val="20"/>
              </w:rPr>
              <w:t xml:space="preserve"> Fuel Tax Credits Solution can be used as a record (but not the only record) for fuel tax credit record-keeping purposes</w:t>
            </w:r>
            <w:r w:rsidRPr="001A3C78">
              <w:rPr>
                <w:rFonts w:cs="Arial"/>
                <w:sz w:val="20"/>
                <w:szCs w:val="20"/>
              </w:rPr>
              <w:t>.</w:t>
            </w:r>
          </w:p>
          <w:p w14:paraId="3B0FAAAB" w14:textId="74BBC784" w:rsidR="00512184" w:rsidRPr="001A3C78" w:rsidRDefault="00512184" w:rsidP="00512184">
            <w:pPr>
              <w:spacing w:before="60" w:after="60"/>
              <w:rPr>
                <w:rFonts w:cs="Arial"/>
                <w:sz w:val="20"/>
                <w:szCs w:val="20"/>
              </w:rPr>
            </w:pPr>
            <w:r w:rsidRPr="001A3C78">
              <w:rPr>
                <w:rFonts w:cs="Arial"/>
                <w:sz w:val="20"/>
                <w:szCs w:val="20"/>
              </w:rPr>
              <w:t xml:space="preserve">This Ruling applies to </w:t>
            </w:r>
            <w:r>
              <w:rPr>
                <w:rFonts w:cs="Arial"/>
                <w:sz w:val="20"/>
                <w:szCs w:val="20"/>
              </w:rPr>
              <w:t>taxable fuel acquired on or after 1 July 2024 to 30 June 2026.</w:t>
            </w:r>
          </w:p>
        </w:tc>
      </w:tr>
      <w:tr w:rsidR="00512184" w:rsidRPr="001A3C78" w14:paraId="7E43431F" w14:textId="77777777" w:rsidTr="00691BCF">
        <w:tc>
          <w:tcPr>
            <w:tcW w:w="1984" w:type="dxa"/>
          </w:tcPr>
          <w:p w14:paraId="6A764F2D" w14:textId="6645CFA5" w:rsidR="00512184" w:rsidRDefault="00512184" w:rsidP="00512184">
            <w:pPr>
              <w:pStyle w:val="Header"/>
              <w:spacing w:before="60" w:after="60"/>
              <w:rPr>
                <w:rFonts w:cs="Arial"/>
                <w:sz w:val="20"/>
                <w:szCs w:val="20"/>
              </w:rPr>
            </w:pPr>
            <w:r>
              <w:rPr>
                <w:rFonts w:cs="Arial"/>
                <w:sz w:val="20"/>
                <w:szCs w:val="20"/>
              </w:rPr>
              <w:t>PR 2024/11</w:t>
            </w:r>
          </w:p>
        </w:tc>
        <w:tc>
          <w:tcPr>
            <w:tcW w:w="3686" w:type="dxa"/>
          </w:tcPr>
          <w:p w14:paraId="57C86C61" w14:textId="25800F0E" w:rsidR="00512184" w:rsidRPr="001A3C78" w:rsidRDefault="00512184" w:rsidP="00512184">
            <w:pPr>
              <w:pStyle w:val="Header"/>
              <w:spacing w:before="60" w:after="60"/>
              <w:rPr>
                <w:rFonts w:cs="Arial"/>
                <w:sz w:val="20"/>
                <w:szCs w:val="20"/>
              </w:rPr>
            </w:pPr>
            <w:r w:rsidRPr="008623D7">
              <w:rPr>
                <w:rFonts w:cs="Arial"/>
                <w:sz w:val="20"/>
                <w:szCs w:val="20"/>
              </w:rPr>
              <w:t>Utmost Executive Investment Bond</w:t>
            </w:r>
          </w:p>
        </w:tc>
        <w:tc>
          <w:tcPr>
            <w:tcW w:w="4253" w:type="dxa"/>
          </w:tcPr>
          <w:p w14:paraId="4F6324B9" w14:textId="1D21F71A" w:rsidR="00512184" w:rsidRPr="001A3C78" w:rsidRDefault="00512184" w:rsidP="00512184">
            <w:pPr>
              <w:spacing w:before="60" w:after="60"/>
              <w:rPr>
                <w:rFonts w:cs="Arial"/>
                <w:sz w:val="20"/>
                <w:szCs w:val="20"/>
              </w:rPr>
            </w:pPr>
            <w:r w:rsidRPr="001A3C78">
              <w:rPr>
                <w:rFonts w:cs="Arial"/>
                <w:sz w:val="20"/>
                <w:szCs w:val="20"/>
              </w:rPr>
              <w:t>This Ruling sets out the income tax consequences for</w:t>
            </w:r>
            <w:r w:rsidR="00502466">
              <w:rPr>
                <w:rFonts w:cs="Arial"/>
                <w:sz w:val="20"/>
                <w:szCs w:val="20"/>
              </w:rPr>
              <w:t xml:space="preserve"> specified</w:t>
            </w:r>
            <w:r w:rsidRPr="001A3C78">
              <w:rPr>
                <w:rFonts w:cs="Arial"/>
                <w:sz w:val="20"/>
                <w:szCs w:val="20"/>
              </w:rPr>
              <w:t xml:space="preserve"> </w:t>
            </w:r>
            <w:r>
              <w:rPr>
                <w:rFonts w:cs="Arial"/>
                <w:sz w:val="20"/>
                <w:szCs w:val="20"/>
              </w:rPr>
              <w:t xml:space="preserve">entities in connection with an Executive Investment Bond issued by Utmost International Isle </w:t>
            </w:r>
            <w:r w:rsidR="00502466">
              <w:rPr>
                <w:rFonts w:cs="Arial"/>
                <w:sz w:val="20"/>
                <w:szCs w:val="20"/>
              </w:rPr>
              <w:t xml:space="preserve">of </w:t>
            </w:r>
            <w:r>
              <w:rPr>
                <w:rFonts w:cs="Arial"/>
                <w:sz w:val="20"/>
                <w:szCs w:val="20"/>
              </w:rPr>
              <w:t>Man Limited and subject to the Executive Investment Bond Policy Terms.</w:t>
            </w:r>
          </w:p>
          <w:p w14:paraId="3EF2A8D2" w14:textId="3CABE063" w:rsidR="00512184" w:rsidRPr="001A3C78" w:rsidRDefault="00512184" w:rsidP="00512184">
            <w:pPr>
              <w:spacing w:before="60" w:after="60"/>
              <w:rPr>
                <w:rFonts w:cs="Arial"/>
                <w:sz w:val="20"/>
                <w:szCs w:val="20"/>
              </w:rPr>
            </w:pPr>
            <w:r w:rsidRPr="001A3C78">
              <w:rPr>
                <w:rFonts w:cs="Arial"/>
                <w:sz w:val="20"/>
                <w:szCs w:val="20"/>
              </w:rPr>
              <w:t xml:space="preserve">This Ruling applies to </w:t>
            </w:r>
            <w:r>
              <w:rPr>
                <w:rFonts w:cs="Arial"/>
                <w:sz w:val="20"/>
                <w:szCs w:val="20"/>
              </w:rPr>
              <w:t>entities spe</w:t>
            </w:r>
            <w:r w:rsidRPr="001A3C78">
              <w:rPr>
                <w:rFonts w:cs="Arial"/>
                <w:sz w:val="20"/>
                <w:szCs w:val="20"/>
              </w:rPr>
              <w:t>cified in the Ruling from 1 July 202</w:t>
            </w:r>
            <w:r>
              <w:rPr>
                <w:rFonts w:cs="Arial"/>
                <w:sz w:val="20"/>
                <w:szCs w:val="20"/>
              </w:rPr>
              <w:t>4</w:t>
            </w:r>
            <w:r w:rsidRPr="001A3C78">
              <w:rPr>
                <w:rFonts w:cs="Arial"/>
                <w:sz w:val="20"/>
                <w:szCs w:val="20"/>
              </w:rPr>
              <w:t>.</w:t>
            </w:r>
          </w:p>
        </w:tc>
      </w:tr>
    </w:tbl>
    <w:p w14:paraId="3BEB522C" w14:textId="784EFE1E" w:rsidR="00557796" w:rsidRDefault="00557796" w:rsidP="009612DE">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290790" w:rsidRPr="00EB58D4" w14:paraId="1033DB89" w14:textId="77777777" w:rsidTr="005323DA">
        <w:tc>
          <w:tcPr>
            <w:tcW w:w="9923" w:type="dxa"/>
            <w:gridSpan w:val="3"/>
          </w:tcPr>
          <w:p w14:paraId="2A441058" w14:textId="77777777" w:rsidR="00290790" w:rsidRPr="00EB58D4" w:rsidRDefault="00290790" w:rsidP="00290790">
            <w:pPr>
              <w:pStyle w:val="Heading3"/>
              <w:keepLines/>
              <w:spacing w:before="60"/>
              <w:jc w:val="center"/>
              <w:rPr>
                <w:sz w:val="20"/>
                <w:szCs w:val="20"/>
              </w:rPr>
            </w:pPr>
            <w:r w:rsidRPr="00EB58D4">
              <w:rPr>
                <w:sz w:val="20"/>
                <w:szCs w:val="20"/>
              </w:rPr>
              <w:t xml:space="preserve">NOTICE OF </w:t>
            </w:r>
            <w:r>
              <w:rPr>
                <w:sz w:val="20"/>
                <w:szCs w:val="20"/>
              </w:rPr>
              <w:t>ERRATUM</w:t>
            </w:r>
          </w:p>
        </w:tc>
      </w:tr>
      <w:tr w:rsidR="00290790" w:rsidRPr="00EB58D4" w14:paraId="591EC32E" w14:textId="77777777" w:rsidTr="005323DA">
        <w:tc>
          <w:tcPr>
            <w:tcW w:w="1984" w:type="dxa"/>
            <w:vAlign w:val="center"/>
          </w:tcPr>
          <w:p w14:paraId="3079C8E6" w14:textId="77777777" w:rsidR="00290790" w:rsidRPr="00EB58D4" w:rsidRDefault="00290790" w:rsidP="00290790">
            <w:pPr>
              <w:pStyle w:val="Heading3"/>
              <w:keepLines/>
              <w:spacing w:before="60"/>
              <w:jc w:val="center"/>
              <w:rPr>
                <w:sz w:val="20"/>
                <w:szCs w:val="20"/>
              </w:rPr>
            </w:pPr>
            <w:r w:rsidRPr="00EB58D4">
              <w:rPr>
                <w:sz w:val="20"/>
                <w:szCs w:val="20"/>
              </w:rPr>
              <w:t>Ruling number</w:t>
            </w:r>
          </w:p>
        </w:tc>
        <w:tc>
          <w:tcPr>
            <w:tcW w:w="3686" w:type="dxa"/>
            <w:vAlign w:val="center"/>
          </w:tcPr>
          <w:p w14:paraId="4B1CE6E3" w14:textId="77777777" w:rsidR="00290790" w:rsidRPr="00EB58D4" w:rsidRDefault="00290790" w:rsidP="00290790">
            <w:pPr>
              <w:pStyle w:val="Heading3"/>
              <w:keepLines/>
              <w:spacing w:before="60"/>
              <w:jc w:val="center"/>
              <w:rPr>
                <w:sz w:val="20"/>
                <w:szCs w:val="20"/>
              </w:rPr>
            </w:pPr>
            <w:r w:rsidRPr="00EB58D4">
              <w:rPr>
                <w:sz w:val="20"/>
                <w:szCs w:val="20"/>
              </w:rPr>
              <w:t>Subject</w:t>
            </w:r>
          </w:p>
        </w:tc>
        <w:tc>
          <w:tcPr>
            <w:tcW w:w="4253" w:type="dxa"/>
            <w:vAlign w:val="center"/>
          </w:tcPr>
          <w:p w14:paraId="2ED2694F" w14:textId="77777777" w:rsidR="00290790" w:rsidRPr="00EB58D4" w:rsidRDefault="00290790" w:rsidP="00290790">
            <w:pPr>
              <w:pStyle w:val="Heading3"/>
              <w:keepLines/>
              <w:spacing w:before="60"/>
              <w:jc w:val="center"/>
              <w:rPr>
                <w:sz w:val="20"/>
                <w:szCs w:val="20"/>
              </w:rPr>
            </w:pPr>
            <w:r w:rsidRPr="00EB58D4">
              <w:rPr>
                <w:sz w:val="20"/>
                <w:szCs w:val="20"/>
              </w:rPr>
              <w:t>Brief description</w:t>
            </w:r>
          </w:p>
        </w:tc>
      </w:tr>
      <w:tr w:rsidR="00290790" w:rsidRPr="001A3C78" w14:paraId="67A6F5D5" w14:textId="77777777" w:rsidTr="005323DA">
        <w:tc>
          <w:tcPr>
            <w:tcW w:w="1984" w:type="dxa"/>
          </w:tcPr>
          <w:p w14:paraId="0C32A07E" w14:textId="77777777" w:rsidR="00290790" w:rsidRPr="001A3C78" w:rsidRDefault="00290790" w:rsidP="00290790">
            <w:pPr>
              <w:pStyle w:val="Header"/>
              <w:spacing w:before="60" w:after="60"/>
              <w:rPr>
                <w:rFonts w:cs="Arial"/>
                <w:sz w:val="20"/>
                <w:szCs w:val="20"/>
              </w:rPr>
            </w:pPr>
            <w:r w:rsidRPr="00D01771">
              <w:rPr>
                <w:rFonts w:cs="Arial"/>
                <w:sz w:val="20"/>
                <w:szCs w:val="20"/>
              </w:rPr>
              <w:t>TD 2023/3</w:t>
            </w:r>
          </w:p>
        </w:tc>
        <w:tc>
          <w:tcPr>
            <w:tcW w:w="3686" w:type="dxa"/>
          </w:tcPr>
          <w:p w14:paraId="0D43C104" w14:textId="264CDDAB" w:rsidR="00290790" w:rsidRPr="001A3C78" w:rsidRDefault="00290790" w:rsidP="00290790">
            <w:pPr>
              <w:pStyle w:val="Header"/>
              <w:spacing w:before="60" w:after="60"/>
              <w:rPr>
                <w:rFonts w:cs="Arial"/>
                <w:sz w:val="20"/>
                <w:szCs w:val="20"/>
              </w:rPr>
            </w:pPr>
            <w:r w:rsidRPr="00D01771">
              <w:rPr>
                <w:rFonts w:cs="Arial"/>
                <w:sz w:val="20"/>
                <w:szCs w:val="20"/>
              </w:rPr>
              <w:t xml:space="preserve">Income tax: </w:t>
            </w:r>
            <w:r w:rsidR="00F53F7E">
              <w:rPr>
                <w:rFonts w:cs="Arial"/>
                <w:sz w:val="20"/>
                <w:szCs w:val="20"/>
              </w:rPr>
              <w:t xml:space="preserve"> </w:t>
            </w:r>
            <w:r w:rsidRPr="00D01771">
              <w:rPr>
                <w:rFonts w:cs="Arial"/>
                <w:sz w:val="20"/>
                <w:szCs w:val="20"/>
              </w:rPr>
              <w:t>what are the reasonable travel and overtime meal allowance expenses amounts for the 202</w:t>
            </w:r>
            <w:r w:rsidR="00A07CEE">
              <w:rPr>
                <w:rFonts w:cs="Arial"/>
                <w:sz w:val="20"/>
                <w:szCs w:val="20"/>
              </w:rPr>
              <w:t>3</w:t>
            </w:r>
            <w:r w:rsidR="00F53F7E">
              <w:rPr>
                <w:rFonts w:cs="Arial"/>
                <w:sz w:val="20"/>
                <w:szCs w:val="20"/>
              </w:rPr>
              <w:t>–</w:t>
            </w:r>
            <w:r w:rsidRPr="00D01771">
              <w:rPr>
                <w:rFonts w:cs="Arial"/>
                <w:sz w:val="20"/>
                <w:szCs w:val="20"/>
              </w:rPr>
              <w:t>2</w:t>
            </w:r>
            <w:r w:rsidR="00A07CEE">
              <w:rPr>
                <w:rFonts w:cs="Arial"/>
                <w:sz w:val="20"/>
                <w:szCs w:val="20"/>
              </w:rPr>
              <w:t>4</w:t>
            </w:r>
            <w:r w:rsidRPr="00D01771">
              <w:rPr>
                <w:rFonts w:cs="Arial"/>
                <w:sz w:val="20"/>
                <w:szCs w:val="20"/>
              </w:rPr>
              <w:t xml:space="preserve"> income year?</w:t>
            </w:r>
          </w:p>
        </w:tc>
        <w:tc>
          <w:tcPr>
            <w:tcW w:w="4253" w:type="dxa"/>
          </w:tcPr>
          <w:p w14:paraId="7B50759D" w14:textId="60DBD945" w:rsidR="00290790" w:rsidRDefault="00290790" w:rsidP="00290790">
            <w:pPr>
              <w:spacing w:before="60" w:after="60"/>
              <w:rPr>
                <w:rFonts w:cs="Arial"/>
                <w:sz w:val="20"/>
                <w:szCs w:val="20"/>
              </w:rPr>
            </w:pPr>
            <w:r>
              <w:rPr>
                <w:rFonts w:cs="Arial"/>
                <w:sz w:val="20"/>
                <w:szCs w:val="20"/>
              </w:rPr>
              <w:t>This Erratum amend</w:t>
            </w:r>
            <w:r w:rsidR="00840973">
              <w:rPr>
                <w:rFonts w:cs="Arial"/>
                <w:sz w:val="20"/>
                <w:szCs w:val="20"/>
              </w:rPr>
              <w:t>s</w:t>
            </w:r>
            <w:r>
              <w:rPr>
                <w:rFonts w:cs="Arial"/>
                <w:sz w:val="20"/>
                <w:szCs w:val="20"/>
              </w:rPr>
              <w:t xml:space="preserve"> incorrect paragraph references</w:t>
            </w:r>
            <w:r w:rsidR="00840973">
              <w:rPr>
                <w:rFonts w:cs="Arial"/>
                <w:sz w:val="20"/>
                <w:szCs w:val="20"/>
              </w:rPr>
              <w:t xml:space="preserve"> in Taxation Determination TD</w:t>
            </w:r>
            <w:r w:rsidR="00A07CEE">
              <w:rPr>
                <w:rFonts w:cs="Arial"/>
                <w:sz w:val="20"/>
                <w:szCs w:val="20"/>
              </w:rPr>
              <w:t> </w:t>
            </w:r>
            <w:r w:rsidR="00840973">
              <w:rPr>
                <w:rFonts w:cs="Arial"/>
                <w:sz w:val="20"/>
                <w:szCs w:val="20"/>
              </w:rPr>
              <w:t>2023/3</w:t>
            </w:r>
            <w:r>
              <w:rPr>
                <w:rFonts w:cs="Arial"/>
                <w:sz w:val="20"/>
                <w:szCs w:val="20"/>
              </w:rPr>
              <w:t>.</w:t>
            </w:r>
          </w:p>
          <w:p w14:paraId="58BD0CF5" w14:textId="5B2B2993" w:rsidR="00290790" w:rsidRPr="001A3C78" w:rsidRDefault="00290790" w:rsidP="00290790">
            <w:pPr>
              <w:spacing w:before="60" w:after="60"/>
              <w:rPr>
                <w:rFonts w:cs="Arial"/>
                <w:sz w:val="20"/>
                <w:szCs w:val="20"/>
              </w:rPr>
            </w:pPr>
            <w:r>
              <w:rPr>
                <w:rFonts w:cs="Arial"/>
                <w:sz w:val="20"/>
                <w:szCs w:val="20"/>
              </w:rPr>
              <w:t xml:space="preserve">This Erratum applies </w:t>
            </w:r>
            <w:r w:rsidR="00502466">
              <w:rPr>
                <w:rFonts w:cs="Arial"/>
                <w:sz w:val="20"/>
                <w:szCs w:val="20"/>
              </w:rPr>
              <w:t>from 28</w:t>
            </w:r>
            <w:r w:rsidR="00A42175">
              <w:rPr>
                <w:rFonts w:cs="Arial"/>
                <w:sz w:val="20"/>
                <w:szCs w:val="20"/>
              </w:rPr>
              <w:t> </w:t>
            </w:r>
            <w:r w:rsidR="00502466">
              <w:rPr>
                <w:rFonts w:cs="Arial"/>
                <w:sz w:val="20"/>
                <w:szCs w:val="20"/>
              </w:rPr>
              <w:t>June 2023</w:t>
            </w:r>
            <w:r>
              <w:rPr>
                <w:rFonts w:cs="Arial"/>
                <w:sz w:val="20"/>
                <w:szCs w:val="20"/>
              </w:rPr>
              <w:t>.</w:t>
            </w:r>
          </w:p>
        </w:tc>
      </w:tr>
    </w:tbl>
    <w:p w14:paraId="0977B3F2" w14:textId="67C133BC" w:rsidR="00290790" w:rsidRDefault="00290790" w:rsidP="009612DE">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8A3F93" w:rsidRPr="00EB58D4" w14:paraId="2CFACCA4" w14:textId="77777777" w:rsidTr="0071036C">
        <w:tc>
          <w:tcPr>
            <w:tcW w:w="9923" w:type="dxa"/>
            <w:gridSpan w:val="3"/>
          </w:tcPr>
          <w:p w14:paraId="561CE144" w14:textId="2E4E940C" w:rsidR="008A3F93" w:rsidRPr="00EB58D4" w:rsidRDefault="008A3F93" w:rsidP="0071036C">
            <w:pPr>
              <w:pStyle w:val="Heading3"/>
              <w:keepLines/>
              <w:spacing w:before="60"/>
              <w:jc w:val="center"/>
              <w:rPr>
                <w:sz w:val="20"/>
                <w:szCs w:val="20"/>
              </w:rPr>
            </w:pPr>
            <w:r w:rsidRPr="00EB58D4">
              <w:rPr>
                <w:sz w:val="20"/>
                <w:szCs w:val="20"/>
              </w:rPr>
              <w:t xml:space="preserve">NOTICE OF </w:t>
            </w:r>
            <w:r>
              <w:rPr>
                <w:sz w:val="20"/>
                <w:szCs w:val="20"/>
              </w:rPr>
              <w:t>WITHDRAWAL</w:t>
            </w:r>
          </w:p>
        </w:tc>
      </w:tr>
      <w:tr w:rsidR="008A3F93" w:rsidRPr="00EB58D4" w14:paraId="40F35945" w14:textId="77777777" w:rsidTr="0071036C">
        <w:tc>
          <w:tcPr>
            <w:tcW w:w="1984" w:type="dxa"/>
            <w:vAlign w:val="center"/>
          </w:tcPr>
          <w:p w14:paraId="2C896860" w14:textId="77777777" w:rsidR="008A3F93" w:rsidRPr="00EB58D4" w:rsidRDefault="008A3F93" w:rsidP="0071036C">
            <w:pPr>
              <w:pStyle w:val="Heading3"/>
              <w:keepLines/>
              <w:spacing w:before="60"/>
              <w:jc w:val="center"/>
              <w:rPr>
                <w:sz w:val="20"/>
                <w:szCs w:val="20"/>
              </w:rPr>
            </w:pPr>
            <w:r w:rsidRPr="00EB58D4">
              <w:rPr>
                <w:sz w:val="20"/>
                <w:szCs w:val="20"/>
              </w:rPr>
              <w:t>Ruling number</w:t>
            </w:r>
          </w:p>
        </w:tc>
        <w:tc>
          <w:tcPr>
            <w:tcW w:w="3686" w:type="dxa"/>
            <w:vAlign w:val="center"/>
          </w:tcPr>
          <w:p w14:paraId="2E75F894" w14:textId="77777777" w:rsidR="008A3F93" w:rsidRPr="00EB58D4" w:rsidRDefault="008A3F93" w:rsidP="0071036C">
            <w:pPr>
              <w:pStyle w:val="Heading3"/>
              <w:keepLines/>
              <w:spacing w:before="60"/>
              <w:jc w:val="center"/>
              <w:rPr>
                <w:sz w:val="20"/>
                <w:szCs w:val="20"/>
              </w:rPr>
            </w:pPr>
            <w:r w:rsidRPr="00EB58D4">
              <w:rPr>
                <w:sz w:val="20"/>
                <w:szCs w:val="20"/>
              </w:rPr>
              <w:t>Subject</w:t>
            </w:r>
          </w:p>
        </w:tc>
        <w:tc>
          <w:tcPr>
            <w:tcW w:w="4253" w:type="dxa"/>
            <w:vAlign w:val="center"/>
          </w:tcPr>
          <w:p w14:paraId="7ECE0719" w14:textId="77777777" w:rsidR="008A3F93" w:rsidRPr="00EB58D4" w:rsidRDefault="008A3F93" w:rsidP="0071036C">
            <w:pPr>
              <w:pStyle w:val="Heading3"/>
              <w:keepLines/>
              <w:spacing w:before="60"/>
              <w:jc w:val="center"/>
              <w:rPr>
                <w:sz w:val="20"/>
                <w:szCs w:val="20"/>
              </w:rPr>
            </w:pPr>
            <w:r w:rsidRPr="00EB58D4">
              <w:rPr>
                <w:sz w:val="20"/>
                <w:szCs w:val="20"/>
              </w:rPr>
              <w:t>Brief description</w:t>
            </w:r>
          </w:p>
        </w:tc>
      </w:tr>
      <w:tr w:rsidR="00512184" w:rsidRPr="001A3C78" w14:paraId="63E77315" w14:textId="77777777" w:rsidTr="0071036C">
        <w:tc>
          <w:tcPr>
            <w:tcW w:w="1984" w:type="dxa"/>
          </w:tcPr>
          <w:p w14:paraId="0D423EB7" w14:textId="2F33264E" w:rsidR="00512184" w:rsidDel="00512184" w:rsidRDefault="00512184" w:rsidP="0071036C">
            <w:pPr>
              <w:pStyle w:val="Header"/>
              <w:spacing w:before="60" w:after="60"/>
              <w:rPr>
                <w:rFonts w:cs="Arial"/>
                <w:sz w:val="20"/>
                <w:szCs w:val="20"/>
              </w:rPr>
            </w:pPr>
            <w:r>
              <w:rPr>
                <w:rFonts w:cs="Arial"/>
                <w:sz w:val="20"/>
                <w:szCs w:val="20"/>
              </w:rPr>
              <w:t>TD 2018/11</w:t>
            </w:r>
          </w:p>
        </w:tc>
        <w:tc>
          <w:tcPr>
            <w:tcW w:w="3686" w:type="dxa"/>
          </w:tcPr>
          <w:p w14:paraId="416CA8CE" w14:textId="6DE0B89E" w:rsidR="00512184" w:rsidRPr="008A3F93" w:rsidDel="00512184" w:rsidRDefault="00512184" w:rsidP="0071036C">
            <w:pPr>
              <w:pStyle w:val="Header"/>
              <w:spacing w:before="60" w:after="60"/>
              <w:rPr>
                <w:rFonts w:cs="Arial"/>
                <w:sz w:val="20"/>
                <w:szCs w:val="20"/>
              </w:rPr>
            </w:pPr>
            <w:r w:rsidRPr="00A42175">
              <w:rPr>
                <w:rFonts w:cs="Arial"/>
                <w:sz w:val="20"/>
                <w:szCs w:val="20"/>
              </w:rPr>
              <w:t xml:space="preserve">Income tax: </w:t>
            </w:r>
            <w:r w:rsidR="00F53F7E">
              <w:rPr>
                <w:rFonts w:cs="Arial"/>
                <w:sz w:val="20"/>
                <w:szCs w:val="20"/>
              </w:rPr>
              <w:t xml:space="preserve"> </w:t>
            </w:r>
            <w:r w:rsidRPr="00A42175">
              <w:rPr>
                <w:rFonts w:cs="Arial"/>
                <w:sz w:val="20"/>
                <w:szCs w:val="20"/>
              </w:rPr>
              <w:t>what are the reasonable travel and overtime meal allowance expense amounts for the 2018</w:t>
            </w:r>
            <w:r w:rsidR="00F53F7E">
              <w:rPr>
                <w:rFonts w:cs="Arial"/>
                <w:sz w:val="20"/>
                <w:szCs w:val="20"/>
              </w:rPr>
              <w:t>–</w:t>
            </w:r>
            <w:r w:rsidRPr="00A42175">
              <w:rPr>
                <w:rFonts w:cs="Arial"/>
                <w:sz w:val="20"/>
                <w:szCs w:val="20"/>
              </w:rPr>
              <w:t>19 income year?</w:t>
            </w:r>
          </w:p>
        </w:tc>
        <w:tc>
          <w:tcPr>
            <w:tcW w:w="4253" w:type="dxa"/>
          </w:tcPr>
          <w:p w14:paraId="0094B4C4" w14:textId="5448E311" w:rsidR="00512184" w:rsidDel="00512184" w:rsidRDefault="00512184" w:rsidP="008A3F93">
            <w:pPr>
              <w:spacing w:before="60" w:after="60"/>
              <w:rPr>
                <w:rFonts w:cs="Arial"/>
                <w:sz w:val="20"/>
                <w:szCs w:val="20"/>
              </w:rPr>
            </w:pPr>
            <w:r>
              <w:rPr>
                <w:rFonts w:cs="Arial"/>
                <w:sz w:val="20"/>
                <w:szCs w:val="20"/>
              </w:rPr>
              <w:t xml:space="preserve">TD </w:t>
            </w:r>
            <w:r w:rsidR="00502466">
              <w:rPr>
                <w:rFonts w:cs="Arial"/>
                <w:sz w:val="20"/>
                <w:szCs w:val="20"/>
              </w:rPr>
              <w:t>2018/11 is withdrawn as its period of effect has ceased.</w:t>
            </w:r>
          </w:p>
        </w:tc>
      </w:tr>
    </w:tbl>
    <w:p w14:paraId="79EA98BF" w14:textId="77777777" w:rsidR="00290790" w:rsidRDefault="00290790" w:rsidP="009612DE">
      <w:pPr>
        <w:spacing w:after="60"/>
        <w:rPr>
          <w:sz w:val="18"/>
          <w:szCs w:val="18"/>
        </w:rPr>
      </w:pPr>
    </w:p>
    <w:sectPr w:rsidR="00290790"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AD900B2E"/>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A4858"/>
    <w:multiLevelType w:val="hybridMultilevel"/>
    <w:tmpl w:val="1D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5154FD1"/>
    <w:multiLevelType w:val="hybridMultilevel"/>
    <w:tmpl w:val="7FF8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A51761"/>
    <w:multiLevelType w:val="hybridMultilevel"/>
    <w:tmpl w:val="85D4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7"/>
  </w:num>
  <w:num w:numId="2" w16cid:durableId="176577212">
    <w:abstractNumId w:val="3"/>
  </w:num>
  <w:num w:numId="3" w16cid:durableId="1407603569">
    <w:abstractNumId w:val="5"/>
  </w:num>
  <w:num w:numId="4" w16cid:durableId="2013141901">
    <w:abstractNumId w:val="0"/>
  </w:num>
  <w:num w:numId="5" w16cid:durableId="281152630">
    <w:abstractNumId w:val="2"/>
  </w:num>
  <w:num w:numId="6" w16cid:durableId="1706711737">
    <w:abstractNumId w:val="1"/>
  </w:num>
  <w:num w:numId="7" w16cid:durableId="176162220">
    <w:abstractNumId w:val="4"/>
  </w:num>
  <w:num w:numId="8" w16cid:durableId="442305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grammar="clean"/>
  <w:documentProtection w:edit="forms" w:enforcement="0"/>
  <w:defaultTabStop w:val="720"/>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2898"/>
    <w:rsid w:val="00007360"/>
    <w:rsid w:val="00007BEE"/>
    <w:rsid w:val="00012C4D"/>
    <w:rsid w:val="00040813"/>
    <w:rsid w:val="00041366"/>
    <w:rsid w:val="00051432"/>
    <w:rsid w:val="00071777"/>
    <w:rsid w:val="00072705"/>
    <w:rsid w:val="00072757"/>
    <w:rsid w:val="00083D9D"/>
    <w:rsid w:val="00084784"/>
    <w:rsid w:val="000866D9"/>
    <w:rsid w:val="0009697D"/>
    <w:rsid w:val="000970F2"/>
    <w:rsid w:val="000B28A8"/>
    <w:rsid w:val="000D1D43"/>
    <w:rsid w:val="000E02CE"/>
    <w:rsid w:val="000E1F2B"/>
    <w:rsid w:val="000E39B7"/>
    <w:rsid w:val="000E5D61"/>
    <w:rsid w:val="000E71F0"/>
    <w:rsid w:val="000F011C"/>
    <w:rsid w:val="000F0DB1"/>
    <w:rsid w:val="000F6BF2"/>
    <w:rsid w:val="00105CCA"/>
    <w:rsid w:val="00114CB2"/>
    <w:rsid w:val="001336AA"/>
    <w:rsid w:val="00141674"/>
    <w:rsid w:val="00151647"/>
    <w:rsid w:val="00154999"/>
    <w:rsid w:val="00157BAB"/>
    <w:rsid w:val="00160BA0"/>
    <w:rsid w:val="00162794"/>
    <w:rsid w:val="00171921"/>
    <w:rsid w:val="00174BD4"/>
    <w:rsid w:val="00180A9A"/>
    <w:rsid w:val="00190C5A"/>
    <w:rsid w:val="001A3C78"/>
    <w:rsid w:val="001A7663"/>
    <w:rsid w:val="001B2475"/>
    <w:rsid w:val="001C0A45"/>
    <w:rsid w:val="001C2AAD"/>
    <w:rsid w:val="001C3060"/>
    <w:rsid w:val="001C4A7B"/>
    <w:rsid w:val="001D1F31"/>
    <w:rsid w:val="001E062D"/>
    <w:rsid w:val="001E6A0E"/>
    <w:rsid w:val="001F30A0"/>
    <w:rsid w:val="001F3F6A"/>
    <w:rsid w:val="001F6733"/>
    <w:rsid w:val="001F6E54"/>
    <w:rsid w:val="001F7130"/>
    <w:rsid w:val="0020000F"/>
    <w:rsid w:val="002074D9"/>
    <w:rsid w:val="00212459"/>
    <w:rsid w:val="00214E16"/>
    <w:rsid w:val="0023113A"/>
    <w:rsid w:val="0023133C"/>
    <w:rsid w:val="0023575A"/>
    <w:rsid w:val="002369AB"/>
    <w:rsid w:val="00237961"/>
    <w:rsid w:val="002412B8"/>
    <w:rsid w:val="00245ECE"/>
    <w:rsid w:val="00252923"/>
    <w:rsid w:val="00254158"/>
    <w:rsid w:val="00257336"/>
    <w:rsid w:val="00266BEC"/>
    <w:rsid w:val="00276144"/>
    <w:rsid w:val="00276FAE"/>
    <w:rsid w:val="002770C5"/>
    <w:rsid w:val="00280BCD"/>
    <w:rsid w:val="00281C7E"/>
    <w:rsid w:val="002843FD"/>
    <w:rsid w:val="00290790"/>
    <w:rsid w:val="00296373"/>
    <w:rsid w:val="002C0CCE"/>
    <w:rsid w:val="002C1614"/>
    <w:rsid w:val="002C65F9"/>
    <w:rsid w:val="002C7B06"/>
    <w:rsid w:val="002D414B"/>
    <w:rsid w:val="002D493C"/>
    <w:rsid w:val="002E1A8C"/>
    <w:rsid w:val="002E3208"/>
    <w:rsid w:val="002E6515"/>
    <w:rsid w:val="002F3FFB"/>
    <w:rsid w:val="003024A7"/>
    <w:rsid w:val="00304E50"/>
    <w:rsid w:val="00310825"/>
    <w:rsid w:val="00313526"/>
    <w:rsid w:val="00314F29"/>
    <w:rsid w:val="00325B6B"/>
    <w:rsid w:val="00332505"/>
    <w:rsid w:val="00335AB1"/>
    <w:rsid w:val="00337211"/>
    <w:rsid w:val="00340545"/>
    <w:rsid w:val="003551C8"/>
    <w:rsid w:val="0036599C"/>
    <w:rsid w:val="00372678"/>
    <w:rsid w:val="003772DE"/>
    <w:rsid w:val="00382256"/>
    <w:rsid w:val="00383A21"/>
    <w:rsid w:val="00394E1E"/>
    <w:rsid w:val="0039702D"/>
    <w:rsid w:val="003A0276"/>
    <w:rsid w:val="003A45F7"/>
    <w:rsid w:val="003A707F"/>
    <w:rsid w:val="003B0EC1"/>
    <w:rsid w:val="003B573B"/>
    <w:rsid w:val="003C5997"/>
    <w:rsid w:val="003C61EF"/>
    <w:rsid w:val="003C6D3F"/>
    <w:rsid w:val="003D05C0"/>
    <w:rsid w:val="003D3F32"/>
    <w:rsid w:val="003E1DB2"/>
    <w:rsid w:val="003F0986"/>
    <w:rsid w:val="003F2CBD"/>
    <w:rsid w:val="003F7FA7"/>
    <w:rsid w:val="00402808"/>
    <w:rsid w:val="00402A68"/>
    <w:rsid w:val="004066D4"/>
    <w:rsid w:val="00412EC5"/>
    <w:rsid w:val="00413DA1"/>
    <w:rsid w:val="00414173"/>
    <w:rsid w:val="00414AAF"/>
    <w:rsid w:val="00421CA6"/>
    <w:rsid w:val="00422A1A"/>
    <w:rsid w:val="004242FC"/>
    <w:rsid w:val="00424B97"/>
    <w:rsid w:val="00434104"/>
    <w:rsid w:val="00442064"/>
    <w:rsid w:val="004453CF"/>
    <w:rsid w:val="0045064C"/>
    <w:rsid w:val="00456620"/>
    <w:rsid w:val="00472314"/>
    <w:rsid w:val="00475FF1"/>
    <w:rsid w:val="00482F39"/>
    <w:rsid w:val="00492E6F"/>
    <w:rsid w:val="004B1588"/>
    <w:rsid w:val="004B2753"/>
    <w:rsid w:val="004B49C1"/>
    <w:rsid w:val="004C5A5D"/>
    <w:rsid w:val="004D6052"/>
    <w:rsid w:val="004E4D69"/>
    <w:rsid w:val="004E56BF"/>
    <w:rsid w:val="004E6157"/>
    <w:rsid w:val="004E672E"/>
    <w:rsid w:val="004F2518"/>
    <w:rsid w:val="004F5615"/>
    <w:rsid w:val="00502466"/>
    <w:rsid w:val="00512184"/>
    <w:rsid w:val="00517DF8"/>
    <w:rsid w:val="00520873"/>
    <w:rsid w:val="005238F7"/>
    <w:rsid w:val="00523B4B"/>
    <w:rsid w:val="0053476B"/>
    <w:rsid w:val="0053511E"/>
    <w:rsid w:val="005501BC"/>
    <w:rsid w:val="00555165"/>
    <w:rsid w:val="0055598A"/>
    <w:rsid w:val="00557796"/>
    <w:rsid w:val="005634B4"/>
    <w:rsid w:val="00573D44"/>
    <w:rsid w:val="00577E81"/>
    <w:rsid w:val="00577F43"/>
    <w:rsid w:val="00584C92"/>
    <w:rsid w:val="0058754D"/>
    <w:rsid w:val="0059166E"/>
    <w:rsid w:val="00591D51"/>
    <w:rsid w:val="0059270A"/>
    <w:rsid w:val="0059392B"/>
    <w:rsid w:val="005A0123"/>
    <w:rsid w:val="005A77FC"/>
    <w:rsid w:val="005B2481"/>
    <w:rsid w:val="005B3569"/>
    <w:rsid w:val="005B3694"/>
    <w:rsid w:val="005D3A51"/>
    <w:rsid w:val="005D61EA"/>
    <w:rsid w:val="005D7EFC"/>
    <w:rsid w:val="005E7AE5"/>
    <w:rsid w:val="00601B68"/>
    <w:rsid w:val="00616661"/>
    <w:rsid w:val="00616998"/>
    <w:rsid w:val="00622E61"/>
    <w:rsid w:val="006234C3"/>
    <w:rsid w:val="00625C28"/>
    <w:rsid w:val="0063183E"/>
    <w:rsid w:val="006324C1"/>
    <w:rsid w:val="00636F01"/>
    <w:rsid w:val="00637D69"/>
    <w:rsid w:val="00644A6B"/>
    <w:rsid w:val="00646143"/>
    <w:rsid w:val="006479F6"/>
    <w:rsid w:val="006539A6"/>
    <w:rsid w:val="00657F3A"/>
    <w:rsid w:val="00684600"/>
    <w:rsid w:val="006915AA"/>
    <w:rsid w:val="00693226"/>
    <w:rsid w:val="006937A0"/>
    <w:rsid w:val="006946BE"/>
    <w:rsid w:val="006A0B1F"/>
    <w:rsid w:val="006A2BB4"/>
    <w:rsid w:val="006A578F"/>
    <w:rsid w:val="006B0009"/>
    <w:rsid w:val="006B1038"/>
    <w:rsid w:val="006B1A9D"/>
    <w:rsid w:val="006B38CC"/>
    <w:rsid w:val="006B533E"/>
    <w:rsid w:val="006B61D3"/>
    <w:rsid w:val="006B786B"/>
    <w:rsid w:val="006C2351"/>
    <w:rsid w:val="006D66A7"/>
    <w:rsid w:val="006D788A"/>
    <w:rsid w:val="006E48E8"/>
    <w:rsid w:val="006F12E6"/>
    <w:rsid w:val="006F79B3"/>
    <w:rsid w:val="007075B1"/>
    <w:rsid w:val="00713E66"/>
    <w:rsid w:val="007140D2"/>
    <w:rsid w:val="0072002A"/>
    <w:rsid w:val="007343FA"/>
    <w:rsid w:val="00737A1C"/>
    <w:rsid w:val="00742951"/>
    <w:rsid w:val="007449F0"/>
    <w:rsid w:val="00745C94"/>
    <w:rsid w:val="00752230"/>
    <w:rsid w:val="007569CE"/>
    <w:rsid w:val="007637CF"/>
    <w:rsid w:val="00765AD8"/>
    <w:rsid w:val="00773255"/>
    <w:rsid w:val="00775E96"/>
    <w:rsid w:val="00783566"/>
    <w:rsid w:val="007857D4"/>
    <w:rsid w:val="007864D9"/>
    <w:rsid w:val="00792582"/>
    <w:rsid w:val="00793D58"/>
    <w:rsid w:val="007B27F4"/>
    <w:rsid w:val="007C490F"/>
    <w:rsid w:val="007D0E05"/>
    <w:rsid w:val="007D25C1"/>
    <w:rsid w:val="007D2640"/>
    <w:rsid w:val="007D3AFB"/>
    <w:rsid w:val="007D41FB"/>
    <w:rsid w:val="007E2CA6"/>
    <w:rsid w:val="007E75F8"/>
    <w:rsid w:val="007F191A"/>
    <w:rsid w:val="007F3630"/>
    <w:rsid w:val="007F47F3"/>
    <w:rsid w:val="00804121"/>
    <w:rsid w:val="008049D1"/>
    <w:rsid w:val="008061E3"/>
    <w:rsid w:val="00827D16"/>
    <w:rsid w:val="00831C85"/>
    <w:rsid w:val="00840973"/>
    <w:rsid w:val="00840A06"/>
    <w:rsid w:val="008439B7"/>
    <w:rsid w:val="008467D1"/>
    <w:rsid w:val="00847B64"/>
    <w:rsid w:val="00851B19"/>
    <w:rsid w:val="00851F51"/>
    <w:rsid w:val="008604AD"/>
    <w:rsid w:val="008623D7"/>
    <w:rsid w:val="00862E51"/>
    <w:rsid w:val="008639C6"/>
    <w:rsid w:val="008661A6"/>
    <w:rsid w:val="0087097B"/>
    <w:rsid w:val="0087253F"/>
    <w:rsid w:val="00873E5F"/>
    <w:rsid w:val="00874074"/>
    <w:rsid w:val="00874399"/>
    <w:rsid w:val="00886FC3"/>
    <w:rsid w:val="008909BE"/>
    <w:rsid w:val="00893D7A"/>
    <w:rsid w:val="008A25CE"/>
    <w:rsid w:val="008A3F93"/>
    <w:rsid w:val="008A414E"/>
    <w:rsid w:val="008D0A06"/>
    <w:rsid w:val="008D17C9"/>
    <w:rsid w:val="008D30A5"/>
    <w:rsid w:val="008E4F6C"/>
    <w:rsid w:val="008F21CD"/>
    <w:rsid w:val="008F4BCF"/>
    <w:rsid w:val="00902328"/>
    <w:rsid w:val="00910AC7"/>
    <w:rsid w:val="00911D92"/>
    <w:rsid w:val="00916ADC"/>
    <w:rsid w:val="00930E40"/>
    <w:rsid w:val="0094219E"/>
    <w:rsid w:val="00943B8D"/>
    <w:rsid w:val="0094556B"/>
    <w:rsid w:val="00953438"/>
    <w:rsid w:val="009539C7"/>
    <w:rsid w:val="009551EC"/>
    <w:rsid w:val="0095650D"/>
    <w:rsid w:val="009612DE"/>
    <w:rsid w:val="00963963"/>
    <w:rsid w:val="009641EC"/>
    <w:rsid w:val="00995840"/>
    <w:rsid w:val="009A719A"/>
    <w:rsid w:val="009B286B"/>
    <w:rsid w:val="009B3C0E"/>
    <w:rsid w:val="009B7E6D"/>
    <w:rsid w:val="009C61A2"/>
    <w:rsid w:val="009D1CB0"/>
    <w:rsid w:val="009D6AA1"/>
    <w:rsid w:val="009E0B4D"/>
    <w:rsid w:val="009F07E1"/>
    <w:rsid w:val="009F138A"/>
    <w:rsid w:val="009F72D9"/>
    <w:rsid w:val="00A00F21"/>
    <w:rsid w:val="00A07CEE"/>
    <w:rsid w:val="00A10A8C"/>
    <w:rsid w:val="00A120A5"/>
    <w:rsid w:val="00A1479A"/>
    <w:rsid w:val="00A14AE1"/>
    <w:rsid w:val="00A21862"/>
    <w:rsid w:val="00A27309"/>
    <w:rsid w:val="00A305B7"/>
    <w:rsid w:val="00A34205"/>
    <w:rsid w:val="00A4113A"/>
    <w:rsid w:val="00A41F5C"/>
    <w:rsid w:val="00A42175"/>
    <w:rsid w:val="00A45F0B"/>
    <w:rsid w:val="00A466C2"/>
    <w:rsid w:val="00A47D2C"/>
    <w:rsid w:val="00A47E4F"/>
    <w:rsid w:val="00A52674"/>
    <w:rsid w:val="00A540E3"/>
    <w:rsid w:val="00A60CE8"/>
    <w:rsid w:val="00A62E9F"/>
    <w:rsid w:val="00A729A0"/>
    <w:rsid w:val="00A73ED7"/>
    <w:rsid w:val="00A75B9B"/>
    <w:rsid w:val="00A7730B"/>
    <w:rsid w:val="00A81024"/>
    <w:rsid w:val="00A82066"/>
    <w:rsid w:val="00A83BCC"/>
    <w:rsid w:val="00A857C5"/>
    <w:rsid w:val="00A85D11"/>
    <w:rsid w:val="00A9541B"/>
    <w:rsid w:val="00AB2F03"/>
    <w:rsid w:val="00AB52AB"/>
    <w:rsid w:val="00AC1547"/>
    <w:rsid w:val="00AC2CF5"/>
    <w:rsid w:val="00AC5A00"/>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37DAC"/>
    <w:rsid w:val="00B4309A"/>
    <w:rsid w:val="00B4706B"/>
    <w:rsid w:val="00B4789B"/>
    <w:rsid w:val="00B52F82"/>
    <w:rsid w:val="00B533E7"/>
    <w:rsid w:val="00B55871"/>
    <w:rsid w:val="00B6156F"/>
    <w:rsid w:val="00B6354C"/>
    <w:rsid w:val="00B6495D"/>
    <w:rsid w:val="00B72DF8"/>
    <w:rsid w:val="00B84226"/>
    <w:rsid w:val="00B8599A"/>
    <w:rsid w:val="00B97CD7"/>
    <w:rsid w:val="00BB05B1"/>
    <w:rsid w:val="00BB4D13"/>
    <w:rsid w:val="00BC0E22"/>
    <w:rsid w:val="00BC26BC"/>
    <w:rsid w:val="00BC3F4D"/>
    <w:rsid w:val="00BC5467"/>
    <w:rsid w:val="00BC7276"/>
    <w:rsid w:val="00BE2C61"/>
    <w:rsid w:val="00BE35F3"/>
    <w:rsid w:val="00BE3600"/>
    <w:rsid w:val="00BF2DF1"/>
    <w:rsid w:val="00BF5351"/>
    <w:rsid w:val="00C01DF2"/>
    <w:rsid w:val="00C140F9"/>
    <w:rsid w:val="00C22D0C"/>
    <w:rsid w:val="00C26E41"/>
    <w:rsid w:val="00C33FB6"/>
    <w:rsid w:val="00C444AA"/>
    <w:rsid w:val="00C4464A"/>
    <w:rsid w:val="00C51D3C"/>
    <w:rsid w:val="00C54A4E"/>
    <w:rsid w:val="00C63C4E"/>
    <w:rsid w:val="00C6757F"/>
    <w:rsid w:val="00C80FFB"/>
    <w:rsid w:val="00C841ED"/>
    <w:rsid w:val="00C92A0E"/>
    <w:rsid w:val="00C92E6D"/>
    <w:rsid w:val="00C9661C"/>
    <w:rsid w:val="00CA40B6"/>
    <w:rsid w:val="00CA77E9"/>
    <w:rsid w:val="00CA7CF5"/>
    <w:rsid w:val="00CB3FEC"/>
    <w:rsid w:val="00CE1E87"/>
    <w:rsid w:val="00CE267A"/>
    <w:rsid w:val="00CE7173"/>
    <w:rsid w:val="00CF7558"/>
    <w:rsid w:val="00D01771"/>
    <w:rsid w:val="00D075CE"/>
    <w:rsid w:val="00D200AD"/>
    <w:rsid w:val="00D222D8"/>
    <w:rsid w:val="00D25524"/>
    <w:rsid w:val="00D27F4D"/>
    <w:rsid w:val="00D30C78"/>
    <w:rsid w:val="00D4639E"/>
    <w:rsid w:val="00D5675C"/>
    <w:rsid w:val="00D61839"/>
    <w:rsid w:val="00D72F7F"/>
    <w:rsid w:val="00D74EBD"/>
    <w:rsid w:val="00D77A88"/>
    <w:rsid w:val="00D8538D"/>
    <w:rsid w:val="00DA5918"/>
    <w:rsid w:val="00DA6712"/>
    <w:rsid w:val="00DB40B0"/>
    <w:rsid w:val="00DC142B"/>
    <w:rsid w:val="00DD63D9"/>
    <w:rsid w:val="00E111E4"/>
    <w:rsid w:val="00E11D4B"/>
    <w:rsid w:val="00E17ED8"/>
    <w:rsid w:val="00E21085"/>
    <w:rsid w:val="00E2427F"/>
    <w:rsid w:val="00E3086B"/>
    <w:rsid w:val="00E3794F"/>
    <w:rsid w:val="00E41B89"/>
    <w:rsid w:val="00E45A56"/>
    <w:rsid w:val="00E4608F"/>
    <w:rsid w:val="00E468D7"/>
    <w:rsid w:val="00E46CDD"/>
    <w:rsid w:val="00E5306A"/>
    <w:rsid w:val="00E5374C"/>
    <w:rsid w:val="00E547E1"/>
    <w:rsid w:val="00E62820"/>
    <w:rsid w:val="00E6384F"/>
    <w:rsid w:val="00E71E90"/>
    <w:rsid w:val="00E73E6D"/>
    <w:rsid w:val="00E823AE"/>
    <w:rsid w:val="00E82452"/>
    <w:rsid w:val="00E84708"/>
    <w:rsid w:val="00E856D7"/>
    <w:rsid w:val="00E9386A"/>
    <w:rsid w:val="00E93891"/>
    <w:rsid w:val="00EB0EA8"/>
    <w:rsid w:val="00EB3C1D"/>
    <w:rsid w:val="00EB58D4"/>
    <w:rsid w:val="00EB5CFD"/>
    <w:rsid w:val="00EB7089"/>
    <w:rsid w:val="00EB77BB"/>
    <w:rsid w:val="00ED2E52"/>
    <w:rsid w:val="00EE0763"/>
    <w:rsid w:val="00EE1A57"/>
    <w:rsid w:val="00EF15C0"/>
    <w:rsid w:val="00F0106D"/>
    <w:rsid w:val="00F033F3"/>
    <w:rsid w:val="00F05324"/>
    <w:rsid w:val="00F139EF"/>
    <w:rsid w:val="00F14519"/>
    <w:rsid w:val="00F146B1"/>
    <w:rsid w:val="00F17E13"/>
    <w:rsid w:val="00F232E7"/>
    <w:rsid w:val="00F26E3F"/>
    <w:rsid w:val="00F278A7"/>
    <w:rsid w:val="00F40885"/>
    <w:rsid w:val="00F44FF5"/>
    <w:rsid w:val="00F50771"/>
    <w:rsid w:val="00F53F7E"/>
    <w:rsid w:val="00F62A39"/>
    <w:rsid w:val="00F71461"/>
    <w:rsid w:val="00F72D25"/>
    <w:rsid w:val="00F831F5"/>
    <w:rsid w:val="00F847E2"/>
    <w:rsid w:val="00F90BD0"/>
    <w:rsid w:val="00F934BE"/>
    <w:rsid w:val="00F957F0"/>
    <w:rsid w:val="00F95869"/>
    <w:rsid w:val="00FA0A9F"/>
    <w:rsid w:val="00FA3043"/>
    <w:rsid w:val="00FA73FF"/>
    <w:rsid w:val="00FB64A0"/>
    <w:rsid w:val="00FB72F6"/>
    <w:rsid w:val="00FC16C8"/>
    <w:rsid w:val="00FC1DCD"/>
    <w:rsid w:val="00FC3007"/>
    <w:rsid w:val="00FC3C11"/>
    <w:rsid w:val="00FC4639"/>
    <w:rsid w:val="00FC4862"/>
    <w:rsid w:val="00FE1698"/>
    <w:rsid w:val="00FE2579"/>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61"/>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nhideWhenUsed/>
    <w:rsid w:val="00BE2C61"/>
    <w:rPr>
      <w:sz w:val="16"/>
      <w:szCs w:val="16"/>
    </w:rPr>
  </w:style>
  <w:style w:type="paragraph" w:styleId="CommentText">
    <w:name w:val="annotation text"/>
    <w:basedOn w:val="Normal"/>
    <w:link w:val="CommentTextChar"/>
    <w:uiPriority w:val="99"/>
    <w:unhideWhenUsed/>
    <w:rsid w:val="00BE2C61"/>
    <w:rPr>
      <w:sz w:val="20"/>
      <w:szCs w:val="20"/>
    </w:rPr>
  </w:style>
  <w:style w:type="character" w:customStyle="1" w:styleId="CommentTextChar">
    <w:name w:val="Comment Text Char"/>
    <w:basedOn w:val="DefaultParagraphFont"/>
    <w:link w:val="CommentText"/>
    <w:uiPriority w:val="99"/>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153765008">
      <w:bodyDiv w:val="1"/>
      <w:marLeft w:val="0"/>
      <w:marRight w:val="0"/>
      <w:marTop w:val="0"/>
      <w:marBottom w:val="0"/>
      <w:divBdr>
        <w:top w:val="none" w:sz="0" w:space="0" w:color="auto"/>
        <w:left w:val="none" w:sz="0" w:space="0" w:color="auto"/>
        <w:bottom w:val="none" w:sz="0" w:space="0" w:color="auto"/>
        <w:right w:val="none" w:sz="0" w:space="0" w:color="auto"/>
      </w:divBdr>
    </w:div>
    <w:div w:id="177038653">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02782853">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07962949">
      <w:bodyDiv w:val="1"/>
      <w:marLeft w:val="0"/>
      <w:marRight w:val="0"/>
      <w:marTop w:val="0"/>
      <w:marBottom w:val="0"/>
      <w:divBdr>
        <w:top w:val="none" w:sz="0" w:space="0" w:color="auto"/>
        <w:left w:val="none" w:sz="0" w:space="0" w:color="auto"/>
        <w:bottom w:val="none" w:sz="0" w:space="0" w:color="auto"/>
        <w:right w:val="none" w:sz="0" w:space="0" w:color="auto"/>
      </w:divBdr>
    </w:div>
    <w:div w:id="479226809">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0767372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63814475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795639314">
      <w:bodyDiv w:val="1"/>
      <w:marLeft w:val="0"/>
      <w:marRight w:val="0"/>
      <w:marTop w:val="0"/>
      <w:marBottom w:val="0"/>
      <w:divBdr>
        <w:top w:val="none" w:sz="0" w:space="0" w:color="auto"/>
        <w:left w:val="none" w:sz="0" w:space="0" w:color="auto"/>
        <w:bottom w:val="none" w:sz="0" w:space="0" w:color="auto"/>
        <w:right w:val="none" w:sz="0" w:space="0" w:color="auto"/>
      </w:divBdr>
    </w:div>
    <w:div w:id="845703842">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75718232">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232698382">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674449252">
      <w:bodyDiv w:val="1"/>
      <w:marLeft w:val="0"/>
      <w:marRight w:val="0"/>
      <w:marTop w:val="0"/>
      <w:marBottom w:val="0"/>
      <w:divBdr>
        <w:top w:val="none" w:sz="0" w:space="0" w:color="auto"/>
        <w:left w:val="none" w:sz="0" w:space="0" w:color="auto"/>
        <w:bottom w:val="none" w:sz="0" w:space="0" w:color="auto"/>
        <w:right w:val="none" w:sz="0" w:space="0" w:color="auto"/>
      </w:divBdr>
    </w:div>
    <w:div w:id="1682657209">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2024-06-14T00:26:00Z</dcterms:created>
  <dcterms:modified xsi:type="dcterms:W3CDTF">2024-06-28T04:54:00Z</dcterms:modified>
  <cp:category/>
</cp:coreProperties>
</file>