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C2C1D" w14:textId="77777777" w:rsidR="00D609B7" w:rsidRPr="000F06A5" w:rsidRDefault="00C24985" w:rsidP="00C24985">
      <w:pPr>
        <w:jc w:val="center"/>
        <w:rPr>
          <w:sz w:val="24"/>
          <w:szCs w:val="24"/>
        </w:rPr>
      </w:pPr>
      <w:r w:rsidRPr="000F06A5">
        <w:rPr>
          <w:noProof/>
          <w:sz w:val="24"/>
          <w:szCs w:val="24"/>
          <w:lang w:eastAsia="en-AU"/>
        </w:rPr>
        <w:drawing>
          <wp:inline distT="0" distB="0" distL="0" distR="0" wp14:anchorId="01D685CA" wp14:editId="6D5549E3">
            <wp:extent cx="1076325" cy="904875"/>
            <wp:effectExtent l="19050" t="0" r="9525" b="0"/>
            <wp:docPr id="2"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of Australia"/>
                    <pic:cNvPicPr>
                      <a:picLocks noChangeAspect="1" noChangeArrowheads="1"/>
                    </pic:cNvPicPr>
                  </pic:nvPicPr>
                  <pic:blipFill>
                    <a:blip r:embed="rId11" cstate="print"/>
                    <a:srcRect/>
                    <a:stretch>
                      <a:fillRect/>
                    </a:stretch>
                  </pic:blipFill>
                  <pic:spPr bwMode="auto">
                    <a:xfrm>
                      <a:off x="0" y="0"/>
                      <a:ext cx="1076325" cy="904875"/>
                    </a:xfrm>
                    <a:prstGeom prst="rect">
                      <a:avLst/>
                    </a:prstGeom>
                    <a:noFill/>
                    <a:ln w="9525">
                      <a:noFill/>
                      <a:miter lim="800000"/>
                      <a:headEnd/>
                      <a:tailEnd/>
                    </a:ln>
                  </pic:spPr>
                </pic:pic>
              </a:graphicData>
            </a:graphic>
          </wp:inline>
        </w:drawing>
      </w:r>
    </w:p>
    <w:p w14:paraId="14F53AD1" w14:textId="77777777" w:rsidR="009430A9" w:rsidRPr="001212C4" w:rsidRDefault="009430A9" w:rsidP="009430A9">
      <w:pPr>
        <w:pStyle w:val="Heading5"/>
        <w:spacing w:before="120"/>
        <w:ind w:left="142" w:right="425"/>
        <w:jc w:val="center"/>
        <w:rPr>
          <w:b/>
          <w:sz w:val="24"/>
          <w:szCs w:val="24"/>
        </w:rPr>
      </w:pPr>
      <w:r w:rsidRPr="001212C4">
        <w:rPr>
          <w:b/>
          <w:sz w:val="24"/>
          <w:szCs w:val="24"/>
        </w:rPr>
        <w:t>Environment Protection and Biodiversity Conservation Act 1999</w:t>
      </w:r>
    </w:p>
    <w:p w14:paraId="1EDE20B2" w14:textId="77777777" w:rsidR="009430A9" w:rsidRDefault="009430A9" w:rsidP="004D0BF9">
      <w:pPr>
        <w:keepNext/>
        <w:spacing w:after="0" w:line="240" w:lineRule="auto"/>
        <w:ind w:left="142" w:right="425"/>
        <w:jc w:val="center"/>
        <w:outlineLvl w:val="5"/>
        <w:rPr>
          <w:rFonts w:ascii="Times New Roman" w:eastAsia="Times New Roman" w:hAnsi="Times New Roman" w:cs="Times New Roman"/>
          <w:sz w:val="24"/>
          <w:szCs w:val="24"/>
        </w:rPr>
      </w:pPr>
    </w:p>
    <w:p w14:paraId="54B9C54D" w14:textId="77777777" w:rsidR="007A08AD" w:rsidRPr="001212C4" w:rsidRDefault="007A08AD" w:rsidP="004D0BF9">
      <w:pPr>
        <w:keepNext/>
        <w:spacing w:after="0" w:line="240" w:lineRule="auto"/>
        <w:ind w:left="142" w:right="425"/>
        <w:jc w:val="center"/>
        <w:outlineLvl w:val="5"/>
        <w:rPr>
          <w:rFonts w:ascii="Times New Roman" w:eastAsia="Times New Roman" w:hAnsi="Times New Roman" w:cs="Times New Roman"/>
          <w:sz w:val="24"/>
          <w:szCs w:val="24"/>
        </w:rPr>
      </w:pPr>
    </w:p>
    <w:p w14:paraId="4A990C0E" w14:textId="396FA549" w:rsidR="004D0BF9" w:rsidRPr="00953D07" w:rsidRDefault="004D0BF9" w:rsidP="004D0BF9">
      <w:pPr>
        <w:keepNext/>
        <w:spacing w:after="0" w:line="240" w:lineRule="auto"/>
        <w:ind w:left="142" w:right="425"/>
        <w:jc w:val="center"/>
        <w:outlineLvl w:val="5"/>
        <w:rPr>
          <w:rFonts w:ascii="Times New Roman" w:eastAsia="Times New Roman" w:hAnsi="Times New Roman" w:cs="Times New Roman"/>
          <w:b/>
          <w:sz w:val="24"/>
          <w:szCs w:val="24"/>
        </w:rPr>
      </w:pPr>
      <w:r w:rsidRPr="00764F14">
        <w:rPr>
          <w:rFonts w:ascii="Times New Roman" w:eastAsia="Times New Roman" w:hAnsi="Times New Roman" w:cs="Times New Roman"/>
          <w:b/>
          <w:sz w:val="24"/>
          <w:szCs w:val="24"/>
        </w:rPr>
        <w:t>DECLARATION OF AN APPROVED WILDLIFE TRADE OPERATION</w:t>
      </w:r>
      <w:r w:rsidR="00966C67" w:rsidRPr="00764F14">
        <w:rPr>
          <w:rFonts w:ascii="Times New Roman" w:eastAsia="Times New Roman" w:hAnsi="Times New Roman" w:cs="Times New Roman"/>
          <w:b/>
          <w:sz w:val="24"/>
          <w:szCs w:val="24"/>
        </w:rPr>
        <w:t xml:space="preserve"> </w:t>
      </w:r>
      <w:r w:rsidR="00966C67" w:rsidRPr="00764F14">
        <w:rPr>
          <w:rFonts w:ascii="Times New Roman" w:hAnsi="Times New Roman" w:cs="Times New Roman"/>
          <w:b/>
          <w:snapToGrid w:val="0"/>
          <w:sz w:val="24"/>
          <w:szCs w:val="24"/>
        </w:rPr>
        <w:t xml:space="preserve">– </w:t>
      </w:r>
      <w:r w:rsidR="00C97A7C">
        <w:rPr>
          <w:rFonts w:ascii="Times New Roman" w:hAnsi="Times New Roman" w:cs="Times New Roman"/>
          <w:b/>
          <w:snapToGrid w:val="0"/>
          <w:sz w:val="24"/>
          <w:szCs w:val="24"/>
          <w:lang w:val="en-US"/>
        </w:rPr>
        <w:t>COMMONWEALTH WESTERN TUNA AND BILLFISH</w:t>
      </w:r>
      <w:r w:rsidR="00C4772E" w:rsidRPr="00953D07">
        <w:rPr>
          <w:rFonts w:ascii="Times New Roman" w:hAnsi="Times New Roman" w:cs="Times New Roman"/>
          <w:b/>
          <w:snapToGrid w:val="0"/>
          <w:sz w:val="24"/>
          <w:szCs w:val="24"/>
          <w:lang w:val="en-US"/>
        </w:rPr>
        <w:t xml:space="preserve"> FISHERY, </w:t>
      </w:r>
      <w:r w:rsidR="00C97A7C">
        <w:rPr>
          <w:rFonts w:ascii="Times New Roman" w:hAnsi="Times New Roman" w:cs="Times New Roman"/>
          <w:b/>
          <w:snapToGrid w:val="0"/>
          <w:sz w:val="24"/>
          <w:szCs w:val="24"/>
          <w:lang w:val="en-US"/>
        </w:rPr>
        <w:t>JUNE</w:t>
      </w:r>
      <w:r w:rsidR="004004B8" w:rsidRPr="00953D07">
        <w:rPr>
          <w:rFonts w:ascii="Times New Roman" w:hAnsi="Times New Roman" w:cs="Times New Roman"/>
          <w:b/>
          <w:snapToGrid w:val="0"/>
          <w:sz w:val="24"/>
          <w:szCs w:val="24"/>
          <w:lang w:val="en-US"/>
        </w:rPr>
        <w:t xml:space="preserve"> 2024</w:t>
      </w:r>
    </w:p>
    <w:p w14:paraId="6C70422F" w14:textId="77777777" w:rsidR="004D0BF9" w:rsidRDefault="004D0BF9" w:rsidP="00A81CB9">
      <w:pPr>
        <w:spacing w:after="0" w:line="240" w:lineRule="auto"/>
        <w:ind w:left="142" w:right="425"/>
        <w:jc w:val="center"/>
        <w:rPr>
          <w:rFonts w:ascii="Times New Roman" w:eastAsia="Times New Roman" w:hAnsi="Times New Roman" w:cs="Times New Roman"/>
          <w:b/>
        </w:rPr>
      </w:pPr>
    </w:p>
    <w:p w14:paraId="38432A08" w14:textId="77777777" w:rsidR="007A08AD" w:rsidRPr="00953D07" w:rsidRDefault="007A08AD" w:rsidP="00A81CB9">
      <w:pPr>
        <w:spacing w:after="0" w:line="240" w:lineRule="auto"/>
        <w:ind w:left="142" w:right="425"/>
        <w:jc w:val="center"/>
        <w:rPr>
          <w:rFonts w:ascii="Times New Roman" w:eastAsia="Times New Roman" w:hAnsi="Times New Roman" w:cs="Times New Roman"/>
          <w:b/>
        </w:rPr>
      </w:pPr>
    </w:p>
    <w:p w14:paraId="1E4DDC77" w14:textId="4F37BD97" w:rsidR="00972AD9" w:rsidRPr="00953D07" w:rsidRDefault="004D0BF9" w:rsidP="00D53689">
      <w:pPr>
        <w:spacing w:after="120" w:line="240" w:lineRule="auto"/>
        <w:ind w:right="425"/>
        <w:rPr>
          <w:rFonts w:ascii="Times New Roman" w:hAnsi="Times New Roman" w:cs="Times New Roman"/>
          <w:color w:val="000000" w:themeColor="text1"/>
        </w:rPr>
      </w:pPr>
      <w:r w:rsidRPr="00953D07">
        <w:rPr>
          <w:rFonts w:ascii="Times New Roman" w:eastAsia="Times New Roman" w:hAnsi="Times New Roman" w:cs="Times New Roman"/>
        </w:rPr>
        <w:t xml:space="preserve">I, </w:t>
      </w:r>
      <w:r w:rsidR="009A30AE" w:rsidRPr="00953D07">
        <w:rPr>
          <w:rFonts w:ascii="Times New Roman" w:eastAsia="Times New Roman" w:hAnsi="Times New Roman" w:cs="Times New Roman"/>
          <w:lang w:val="en-US"/>
        </w:rPr>
        <w:t>BELINDA JAGO, Branch Head, Ocean and Wildlife Branch, as Delegate of the Minister for the Environment and Water</w:t>
      </w:r>
      <w:r w:rsidRPr="00953D07">
        <w:rPr>
          <w:rFonts w:ascii="Times New Roman" w:eastAsia="Times New Roman" w:hAnsi="Times New Roman" w:cs="Times New Roman"/>
        </w:rPr>
        <w:t>,</w:t>
      </w:r>
      <w:r w:rsidRPr="00953D07">
        <w:rPr>
          <w:rFonts w:ascii="Times New Roman" w:eastAsia="Times New Roman" w:hAnsi="Times New Roman" w:cs="Times New Roman"/>
          <w:snapToGrid w:val="0"/>
        </w:rPr>
        <w:t xml:space="preserve"> </w:t>
      </w:r>
      <w:r w:rsidR="00375716" w:rsidRPr="00953D07">
        <w:rPr>
          <w:rFonts w:ascii="Times New Roman" w:eastAsia="Times New Roman" w:hAnsi="Times New Roman" w:cs="Times New Roman"/>
          <w:snapToGrid w:val="0"/>
          <w:lang w:val="en-US"/>
        </w:rPr>
        <w:t>hereby vary under paragraph 303FT(7)(b) of</w:t>
      </w:r>
      <w:r w:rsidR="00375716" w:rsidRPr="00A81CB9">
        <w:rPr>
          <w:rFonts w:ascii="Times New Roman" w:eastAsia="Times New Roman" w:hAnsi="Times New Roman" w:cs="Times New Roman"/>
          <w:snapToGrid w:val="0"/>
          <w:lang w:val="en-US"/>
        </w:rPr>
        <w:t xml:space="preserve"> the </w:t>
      </w:r>
      <w:r w:rsidR="00375716" w:rsidRPr="00A81CB9">
        <w:rPr>
          <w:rFonts w:ascii="Times New Roman" w:eastAsia="Times New Roman" w:hAnsi="Times New Roman" w:cs="Times New Roman"/>
          <w:i/>
          <w:iCs/>
          <w:snapToGrid w:val="0"/>
          <w:lang w:val="en-US"/>
        </w:rPr>
        <w:t>Environment Protection and</w:t>
      </w:r>
      <w:r w:rsidR="00375716" w:rsidRPr="00A81CB9">
        <w:rPr>
          <w:rFonts w:ascii="Times New Roman" w:eastAsia="Times New Roman" w:hAnsi="Times New Roman" w:cs="Times New Roman"/>
          <w:snapToGrid w:val="0"/>
          <w:lang w:val="en-US"/>
        </w:rPr>
        <w:t xml:space="preserve"> </w:t>
      </w:r>
      <w:r w:rsidR="00375716" w:rsidRPr="00A81CB9">
        <w:rPr>
          <w:rFonts w:ascii="Times New Roman" w:eastAsia="Times New Roman" w:hAnsi="Times New Roman" w:cs="Times New Roman"/>
          <w:i/>
          <w:iCs/>
          <w:snapToGrid w:val="0"/>
          <w:lang w:val="en-US"/>
        </w:rPr>
        <w:t xml:space="preserve">Biodiversity Conservation Act 1999 </w:t>
      </w:r>
      <w:r w:rsidR="00375716" w:rsidRPr="00A81CB9">
        <w:rPr>
          <w:rFonts w:ascii="Times New Roman" w:eastAsia="Times New Roman" w:hAnsi="Times New Roman" w:cs="Times New Roman"/>
          <w:snapToGrid w:val="0"/>
          <w:lang w:val="en-US"/>
        </w:rPr>
        <w:t xml:space="preserve">(EPBC Act) </w:t>
      </w:r>
      <w:r w:rsidR="00375716" w:rsidRPr="00A81CB9">
        <w:rPr>
          <w:rFonts w:ascii="Times New Roman" w:eastAsia="Times New Roman" w:hAnsi="Times New Roman" w:cs="Times New Roman"/>
          <w:lang w:val="en-US"/>
        </w:rPr>
        <w:t xml:space="preserve">the declaration of an approved </w:t>
      </w:r>
      <w:r w:rsidR="008312FB" w:rsidRPr="00A81CB9">
        <w:rPr>
          <w:rFonts w:ascii="Times New Roman" w:eastAsia="Times New Roman" w:hAnsi="Times New Roman" w:cs="Times New Roman"/>
          <w:lang w:val="en-US"/>
        </w:rPr>
        <w:t xml:space="preserve">wildlife trade operation dated </w:t>
      </w:r>
      <w:r w:rsidR="00D77DC3" w:rsidRPr="002A7301">
        <w:rPr>
          <w:rFonts w:ascii="Times New Roman" w:eastAsia="Times New Roman" w:hAnsi="Times New Roman" w:cs="Times New Roman"/>
          <w:lang w:val="en-US"/>
        </w:rPr>
        <w:t>1</w:t>
      </w:r>
      <w:r w:rsidR="0024092D" w:rsidRPr="002A7301">
        <w:rPr>
          <w:rFonts w:ascii="Times New Roman" w:eastAsia="Times New Roman" w:hAnsi="Times New Roman" w:cs="Times New Roman"/>
          <w:lang w:val="en-US"/>
        </w:rPr>
        <w:t>5</w:t>
      </w:r>
      <w:r w:rsidR="00D77DC3" w:rsidRPr="002A7301">
        <w:rPr>
          <w:rFonts w:ascii="Times New Roman" w:eastAsia="Times New Roman" w:hAnsi="Times New Roman" w:cs="Times New Roman"/>
          <w:lang w:val="en-US"/>
        </w:rPr>
        <w:t xml:space="preserve"> </w:t>
      </w:r>
      <w:r w:rsidR="0024092D" w:rsidRPr="002A7301">
        <w:rPr>
          <w:rFonts w:ascii="Times New Roman" w:eastAsia="Times New Roman" w:hAnsi="Times New Roman" w:cs="Times New Roman"/>
          <w:lang w:val="en-US"/>
        </w:rPr>
        <w:t>Nove</w:t>
      </w:r>
      <w:r w:rsidR="00D77DC3" w:rsidRPr="002A7301">
        <w:rPr>
          <w:rFonts w:ascii="Times New Roman" w:eastAsia="Times New Roman" w:hAnsi="Times New Roman" w:cs="Times New Roman"/>
          <w:lang w:val="en-US"/>
        </w:rPr>
        <w:t>mber 202</w:t>
      </w:r>
      <w:r w:rsidR="0024092D" w:rsidRPr="002A7301">
        <w:rPr>
          <w:rFonts w:ascii="Times New Roman" w:eastAsia="Times New Roman" w:hAnsi="Times New Roman" w:cs="Times New Roman"/>
          <w:lang w:val="en-US"/>
        </w:rPr>
        <w:t>3</w:t>
      </w:r>
      <w:r w:rsidR="00D77DC3">
        <w:rPr>
          <w:rFonts w:ascii="Times New Roman" w:hAnsi="Times New Roman" w:cs="Times New Roman"/>
          <w:snapToGrid w:val="0"/>
        </w:rPr>
        <w:t xml:space="preserve"> </w:t>
      </w:r>
      <w:r w:rsidR="00375716" w:rsidRPr="00A81CB9">
        <w:rPr>
          <w:rFonts w:ascii="Times New Roman" w:eastAsia="Times New Roman" w:hAnsi="Times New Roman" w:cs="Times New Roman"/>
          <w:lang w:val="en-US"/>
        </w:rPr>
        <w:t xml:space="preserve">for </w:t>
      </w:r>
      <w:r w:rsidR="00966C67" w:rsidRPr="00A81CB9">
        <w:rPr>
          <w:rFonts w:ascii="Times New Roman" w:hAnsi="Times New Roman" w:cs="Times New Roman"/>
        </w:rPr>
        <w:t xml:space="preserve">the </w:t>
      </w:r>
      <w:r w:rsidR="0024092D">
        <w:rPr>
          <w:rFonts w:ascii="Times New Roman" w:hAnsi="Times New Roman" w:cs="Times New Roman"/>
          <w:lang w:val="en-US"/>
        </w:rPr>
        <w:t>Commonwealth Western Tuna and Billfish</w:t>
      </w:r>
      <w:r w:rsidR="00463C3B" w:rsidRPr="00953D07">
        <w:rPr>
          <w:rFonts w:ascii="Times New Roman" w:hAnsi="Times New Roman" w:cs="Times New Roman"/>
          <w:color w:val="000000" w:themeColor="text1"/>
          <w:lang w:val="en-US"/>
        </w:rPr>
        <w:t xml:space="preserve"> Fishery</w:t>
      </w:r>
      <w:r w:rsidR="00463C3B" w:rsidRPr="00953D07">
        <w:rPr>
          <w:rFonts w:ascii="Times New Roman" w:hAnsi="Times New Roman" w:cs="Times New Roman"/>
          <w:color w:val="000000" w:themeColor="text1"/>
        </w:rPr>
        <w:t xml:space="preserve"> </w:t>
      </w:r>
      <w:r w:rsidR="00966C67" w:rsidRPr="00953D07">
        <w:rPr>
          <w:rFonts w:ascii="Times New Roman" w:hAnsi="Times New Roman" w:cs="Times New Roman"/>
          <w:color w:val="000000" w:themeColor="text1"/>
        </w:rPr>
        <w:t xml:space="preserve">as defined in the management regime in force under </w:t>
      </w:r>
      <w:r w:rsidR="00EE6495" w:rsidRPr="00953D07">
        <w:rPr>
          <w:rFonts w:ascii="Times New Roman" w:hAnsi="Times New Roman" w:cs="Times New Roman"/>
          <w:color w:val="000000" w:themeColor="text1"/>
        </w:rPr>
        <w:t>the</w:t>
      </w:r>
      <w:r w:rsidR="00972AD9" w:rsidRPr="00953D07">
        <w:rPr>
          <w:rFonts w:ascii="Times New Roman" w:hAnsi="Times New Roman" w:cs="Times New Roman"/>
          <w:color w:val="000000" w:themeColor="text1"/>
        </w:rPr>
        <w:t>:</w:t>
      </w:r>
    </w:p>
    <w:p w14:paraId="74963F9F" w14:textId="1816231E" w:rsidR="00972AD9" w:rsidRPr="0060130D" w:rsidRDefault="00972AD9" w:rsidP="00D53689">
      <w:pPr>
        <w:numPr>
          <w:ilvl w:val="1"/>
          <w:numId w:val="10"/>
        </w:numPr>
        <w:spacing w:after="120" w:line="240" w:lineRule="auto"/>
        <w:rPr>
          <w:rFonts w:ascii="Times New Roman" w:hAnsi="Times New Roman" w:cs="Times New Roman"/>
          <w:color w:val="000000" w:themeColor="text1"/>
        </w:rPr>
      </w:pPr>
      <w:r w:rsidRPr="0060130D">
        <w:rPr>
          <w:rFonts w:ascii="Times New Roman" w:hAnsi="Times New Roman" w:cs="Times New Roman"/>
          <w:i/>
          <w:iCs/>
          <w:color w:val="000000" w:themeColor="text1"/>
        </w:rPr>
        <w:t>Fisheries</w:t>
      </w:r>
      <w:r w:rsidR="0024092D">
        <w:rPr>
          <w:rFonts w:ascii="Times New Roman" w:hAnsi="Times New Roman" w:cs="Times New Roman"/>
          <w:i/>
          <w:iCs/>
          <w:color w:val="000000" w:themeColor="text1"/>
        </w:rPr>
        <w:t xml:space="preserve"> Management</w:t>
      </w:r>
      <w:r w:rsidRPr="0060130D">
        <w:rPr>
          <w:rFonts w:ascii="Times New Roman" w:hAnsi="Times New Roman" w:cs="Times New Roman"/>
          <w:i/>
          <w:iCs/>
          <w:color w:val="000000" w:themeColor="text1"/>
        </w:rPr>
        <w:t xml:space="preserve"> Act 199</w:t>
      </w:r>
      <w:r w:rsidR="0024092D">
        <w:rPr>
          <w:rFonts w:ascii="Times New Roman" w:hAnsi="Times New Roman" w:cs="Times New Roman"/>
          <w:i/>
          <w:iCs/>
          <w:color w:val="000000" w:themeColor="text1"/>
        </w:rPr>
        <w:t>1</w:t>
      </w:r>
      <w:r w:rsidRPr="0060130D">
        <w:rPr>
          <w:rFonts w:ascii="Times New Roman" w:hAnsi="Times New Roman" w:cs="Times New Roman"/>
          <w:color w:val="000000" w:themeColor="text1"/>
        </w:rPr>
        <w:t xml:space="preserve"> (</w:t>
      </w:r>
      <w:r w:rsidR="0024092D">
        <w:rPr>
          <w:rFonts w:ascii="Times New Roman" w:hAnsi="Times New Roman" w:cs="Times New Roman"/>
          <w:color w:val="000000" w:themeColor="text1"/>
        </w:rPr>
        <w:t>Cth</w:t>
      </w:r>
      <w:r w:rsidRPr="0060130D">
        <w:rPr>
          <w:rFonts w:ascii="Times New Roman" w:hAnsi="Times New Roman" w:cs="Times New Roman"/>
          <w:color w:val="000000" w:themeColor="text1"/>
        </w:rPr>
        <w:t>)</w:t>
      </w:r>
    </w:p>
    <w:p w14:paraId="4313A73B" w14:textId="0AF2EBA0" w:rsidR="00972AD9" w:rsidRPr="0060130D" w:rsidRDefault="00972AD9" w:rsidP="00D53689">
      <w:pPr>
        <w:numPr>
          <w:ilvl w:val="1"/>
          <w:numId w:val="10"/>
        </w:numPr>
        <w:spacing w:after="120" w:line="240" w:lineRule="auto"/>
        <w:rPr>
          <w:rFonts w:ascii="Times New Roman" w:hAnsi="Times New Roman" w:cs="Times New Roman"/>
        </w:rPr>
      </w:pPr>
      <w:r w:rsidRPr="0060130D">
        <w:rPr>
          <w:rFonts w:ascii="Times New Roman" w:hAnsi="Times New Roman" w:cs="Times New Roman"/>
        </w:rPr>
        <w:t xml:space="preserve">Fisheries </w:t>
      </w:r>
      <w:r w:rsidR="00857B02">
        <w:rPr>
          <w:rFonts w:ascii="Times New Roman" w:hAnsi="Times New Roman" w:cs="Times New Roman"/>
        </w:rPr>
        <w:t xml:space="preserve">Management </w:t>
      </w:r>
      <w:r w:rsidRPr="0060130D">
        <w:rPr>
          <w:rFonts w:ascii="Times New Roman" w:hAnsi="Times New Roman" w:cs="Times New Roman"/>
        </w:rPr>
        <w:t>Regulation</w:t>
      </w:r>
      <w:r w:rsidR="0024092D">
        <w:rPr>
          <w:rFonts w:ascii="Times New Roman" w:hAnsi="Times New Roman" w:cs="Times New Roman"/>
        </w:rPr>
        <w:t>s</w:t>
      </w:r>
      <w:r w:rsidRPr="0060130D">
        <w:rPr>
          <w:rFonts w:ascii="Times New Roman" w:hAnsi="Times New Roman" w:cs="Times New Roman"/>
        </w:rPr>
        <w:t xml:space="preserve"> 2019 (</w:t>
      </w:r>
      <w:r w:rsidR="0024092D">
        <w:rPr>
          <w:rFonts w:ascii="Times New Roman" w:hAnsi="Times New Roman" w:cs="Times New Roman"/>
        </w:rPr>
        <w:t>Cth</w:t>
      </w:r>
      <w:r w:rsidRPr="0060130D">
        <w:rPr>
          <w:rFonts w:ascii="Times New Roman" w:hAnsi="Times New Roman" w:cs="Times New Roman"/>
        </w:rPr>
        <w:t>)</w:t>
      </w:r>
    </w:p>
    <w:p w14:paraId="64034EA2" w14:textId="2642A0F0" w:rsidR="00972AD9" w:rsidRPr="0060130D" w:rsidRDefault="0024092D" w:rsidP="00D53689">
      <w:pPr>
        <w:numPr>
          <w:ilvl w:val="1"/>
          <w:numId w:val="10"/>
        </w:numPr>
        <w:spacing w:after="120" w:line="240" w:lineRule="auto"/>
        <w:rPr>
          <w:rFonts w:ascii="Times New Roman" w:hAnsi="Times New Roman" w:cs="Times New Roman"/>
        </w:rPr>
      </w:pPr>
      <w:r>
        <w:rPr>
          <w:rFonts w:ascii="Times New Roman" w:hAnsi="Times New Roman" w:cs="Times New Roman"/>
        </w:rPr>
        <w:t>Western Tuna and Billfish Fishery Management Plan</w:t>
      </w:r>
      <w:r w:rsidR="00972AD9" w:rsidRPr="0060130D">
        <w:rPr>
          <w:rFonts w:ascii="Times New Roman" w:hAnsi="Times New Roman" w:cs="Times New Roman"/>
        </w:rPr>
        <w:t xml:space="preserve"> 20</w:t>
      </w:r>
      <w:r w:rsidR="00F64332">
        <w:rPr>
          <w:rFonts w:ascii="Times New Roman" w:hAnsi="Times New Roman" w:cs="Times New Roman"/>
        </w:rPr>
        <w:t>05,</w:t>
      </w:r>
    </w:p>
    <w:p w14:paraId="29A801C2" w14:textId="2E60E617" w:rsidR="00375716" w:rsidRPr="00A81CB9" w:rsidRDefault="000F06A5" w:rsidP="00D53689">
      <w:pPr>
        <w:spacing w:after="120" w:line="240" w:lineRule="auto"/>
        <w:ind w:right="425"/>
        <w:rPr>
          <w:rFonts w:ascii="Times New Roman" w:eastAsia="Times New Roman" w:hAnsi="Times New Roman" w:cs="Times New Roman"/>
        </w:rPr>
      </w:pPr>
      <w:r w:rsidRPr="00A81CB9">
        <w:rPr>
          <w:rFonts w:ascii="Times New Roman" w:hAnsi="Times New Roman" w:cs="Times New Roman"/>
          <w:lang w:val="en-US"/>
        </w:rPr>
        <w:t>such that the condition</w:t>
      </w:r>
      <w:r w:rsidR="00375716" w:rsidRPr="00A81CB9">
        <w:rPr>
          <w:rFonts w:ascii="Times New Roman" w:hAnsi="Times New Roman" w:cs="Times New Roman"/>
          <w:lang w:val="en-US"/>
        </w:rPr>
        <w:t xml:space="preserve"> specified in</w:t>
      </w:r>
      <w:r w:rsidR="00BA7FC2" w:rsidRPr="00A81CB9">
        <w:rPr>
          <w:rFonts w:ascii="Times New Roman" w:hAnsi="Times New Roman" w:cs="Times New Roman"/>
          <w:lang w:val="en-US"/>
        </w:rPr>
        <w:t xml:space="preserve"> the Schedule</w:t>
      </w:r>
      <w:r w:rsidR="00375716" w:rsidRPr="00A81CB9">
        <w:rPr>
          <w:rFonts w:ascii="Times New Roman" w:hAnsi="Times New Roman" w:cs="Times New Roman"/>
          <w:lang w:val="en-US"/>
        </w:rPr>
        <w:t xml:space="preserve"> to that declar</w:t>
      </w:r>
      <w:r w:rsidR="00EE6E86" w:rsidRPr="00A81CB9">
        <w:rPr>
          <w:rFonts w:ascii="Times New Roman" w:hAnsi="Times New Roman" w:cs="Times New Roman"/>
          <w:lang w:val="en-US"/>
        </w:rPr>
        <w:t>ation is</w:t>
      </w:r>
      <w:r w:rsidR="00375716" w:rsidRPr="00A81CB9">
        <w:rPr>
          <w:rFonts w:ascii="Times New Roman" w:hAnsi="Times New Roman" w:cs="Times New Roman"/>
          <w:lang w:val="en-US"/>
        </w:rPr>
        <w:t xml:space="preserve"> varied as follows:</w:t>
      </w:r>
    </w:p>
    <w:p w14:paraId="2AB1ABC3" w14:textId="31F785B0" w:rsidR="000F06A5" w:rsidRDefault="00953D07" w:rsidP="00D53689">
      <w:pPr>
        <w:spacing w:after="120" w:line="240" w:lineRule="auto"/>
        <w:ind w:right="851"/>
        <w:rPr>
          <w:rFonts w:ascii="Times New Roman" w:eastAsia="Times New Roman" w:hAnsi="Times New Roman" w:cs="Times New Roman"/>
        </w:rPr>
      </w:pPr>
      <w:r>
        <w:rPr>
          <w:rFonts w:ascii="Times New Roman" w:eastAsia="Times New Roman" w:hAnsi="Times New Roman" w:cs="Times New Roman"/>
        </w:rPr>
        <w:t>D</w:t>
      </w:r>
      <w:r w:rsidR="000F06A5" w:rsidRPr="00A81CB9">
        <w:rPr>
          <w:rFonts w:ascii="Times New Roman" w:eastAsia="Times New Roman" w:hAnsi="Times New Roman" w:cs="Times New Roman"/>
        </w:rPr>
        <w:t>elete the words</w:t>
      </w:r>
      <w:r w:rsidR="00A46857">
        <w:rPr>
          <w:rFonts w:ascii="Times New Roman" w:eastAsia="Times New Roman" w:hAnsi="Times New Roman" w:cs="Times New Roman"/>
        </w:rPr>
        <w:t>:</w:t>
      </w:r>
    </w:p>
    <w:p w14:paraId="5012B14B" w14:textId="77777777" w:rsidR="007A08AD" w:rsidRDefault="007A08AD" w:rsidP="00D53689">
      <w:pPr>
        <w:spacing w:after="120" w:line="240" w:lineRule="auto"/>
        <w:ind w:right="851"/>
        <w:rPr>
          <w:rFonts w:ascii="Times New Roman" w:eastAsia="Times New Roman" w:hAnsi="Times New Roman" w:cs="Times New Roman"/>
        </w:rPr>
      </w:pPr>
    </w:p>
    <w:p w14:paraId="50E96424" w14:textId="1AD30A17" w:rsidR="00A46857" w:rsidRPr="00953D07" w:rsidRDefault="00A46857" w:rsidP="00953D07">
      <w:pPr>
        <w:spacing w:after="120" w:line="240" w:lineRule="auto"/>
        <w:ind w:left="720"/>
        <w:rPr>
          <w:rFonts w:ascii="Times New Roman" w:eastAsia="Calibri" w:hAnsi="Times New Roman" w:cs="Times New Roman"/>
          <w:b/>
          <w:bCs/>
        </w:rPr>
      </w:pPr>
      <w:r w:rsidRPr="00953D07">
        <w:rPr>
          <w:rFonts w:ascii="Times New Roman" w:eastAsia="Calibri" w:hAnsi="Times New Roman" w:cs="Times New Roman"/>
          <w:b/>
          <w:bCs/>
        </w:rPr>
        <w:t xml:space="preserve">Condition </w:t>
      </w:r>
      <w:r w:rsidR="00F64332">
        <w:rPr>
          <w:rFonts w:ascii="Times New Roman" w:eastAsia="Calibri" w:hAnsi="Times New Roman" w:cs="Times New Roman"/>
          <w:b/>
          <w:bCs/>
        </w:rPr>
        <w:t>6</w:t>
      </w:r>
    </w:p>
    <w:p w14:paraId="625C4241" w14:textId="194703E2" w:rsidR="00A46857" w:rsidRDefault="00F64332" w:rsidP="00F64332">
      <w:pPr>
        <w:spacing w:after="120" w:line="240" w:lineRule="auto"/>
        <w:ind w:left="720"/>
        <w:rPr>
          <w:rFonts w:ascii="Times New Roman" w:hAnsi="Times New Roman" w:cs="Times New Roman"/>
        </w:rPr>
      </w:pPr>
      <w:r>
        <w:rPr>
          <w:rFonts w:ascii="Times New Roman" w:hAnsi="Times New Roman" w:cs="Times New Roman"/>
        </w:rPr>
        <w:t>The Australian Fisheries Management Authority must:</w:t>
      </w:r>
    </w:p>
    <w:p w14:paraId="1FBA15C0" w14:textId="025CDC6F" w:rsidR="00C97224" w:rsidRDefault="00BD05ED" w:rsidP="00C97224">
      <w:pPr>
        <w:pStyle w:val="ListParagraph"/>
        <w:numPr>
          <w:ilvl w:val="0"/>
          <w:numId w:val="11"/>
        </w:numPr>
        <w:spacing w:after="120" w:line="240" w:lineRule="auto"/>
        <w:rPr>
          <w:rFonts w:ascii="Times New Roman" w:hAnsi="Times New Roman" w:cs="Times New Roman"/>
        </w:rPr>
      </w:pPr>
      <w:r w:rsidRPr="00BD05ED">
        <w:rPr>
          <w:rFonts w:ascii="Times New Roman" w:hAnsi="Times New Roman" w:cs="Times New Roman"/>
        </w:rPr>
        <w:t>By 1 November 2024, conduct and publish an updated Ecological Risk Assessment for the Commonwealth Western Tuna and Billfish Fishery using data that best reflects the management arrangements which the fishery currently operates within. The Australian Fisheries Management Authority must ensure the data used to inform the updated Ecological Risk Assessment includes fishing operations data collected since the implementation of electronic monitoring in the fishery</w:t>
      </w:r>
    </w:p>
    <w:p w14:paraId="3AA06DCB" w14:textId="2C1BE30F" w:rsidR="00BD05ED" w:rsidRDefault="00BD05ED" w:rsidP="00C97224">
      <w:pPr>
        <w:pStyle w:val="ListParagraph"/>
        <w:numPr>
          <w:ilvl w:val="0"/>
          <w:numId w:val="11"/>
        </w:numPr>
        <w:spacing w:after="120" w:line="240" w:lineRule="auto"/>
        <w:rPr>
          <w:rFonts w:ascii="Times New Roman" w:hAnsi="Times New Roman" w:cs="Times New Roman"/>
        </w:rPr>
      </w:pPr>
      <w:r w:rsidRPr="00BD05ED">
        <w:rPr>
          <w:rFonts w:ascii="Times New Roman" w:hAnsi="Times New Roman" w:cs="Times New Roman"/>
        </w:rPr>
        <w:t>Implement risk mitigation strategies to address any high risks identified in the Ecological Risk Assessment, including for species identified as being at high risk due to a lack of available information. Progress in implementing the risk mitigation strategies should be included in annual reports provided to the Department of Climate Change, Energy, the Environment and Water (as specified at Condition 4 of the wildlife trade operation approval).</w:t>
      </w:r>
    </w:p>
    <w:p w14:paraId="19BEF59E" w14:textId="68320A2B" w:rsidR="007A08AD" w:rsidRPr="007A08AD" w:rsidRDefault="007A08AD" w:rsidP="007A08AD">
      <w:pPr>
        <w:spacing w:after="120" w:line="240" w:lineRule="auto"/>
        <w:ind w:left="1080"/>
        <w:rPr>
          <w:rFonts w:ascii="Times New Roman" w:hAnsi="Times New Roman" w:cs="Times New Roman"/>
        </w:rPr>
      </w:pPr>
    </w:p>
    <w:p w14:paraId="7978A451" w14:textId="726D2F4A" w:rsidR="004D0BF9" w:rsidRDefault="00BA7FC2" w:rsidP="00D53689">
      <w:pPr>
        <w:spacing w:after="120" w:line="240" w:lineRule="auto"/>
        <w:ind w:right="-765"/>
        <w:rPr>
          <w:rFonts w:ascii="Times New Roman" w:eastAsia="Times New Roman" w:hAnsi="Times New Roman" w:cs="Times New Roman"/>
          <w:lang w:val="en-US"/>
        </w:rPr>
      </w:pPr>
      <w:r w:rsidRPr="00953D07">
        <w:rPr>
          <w:rFonts w:ascii="Times New Roman" w:eastAsia="Times New Roman" w:hAnsi="Times New Roman" w:cs="Times New Roman"/>
          <w:lang w:val="en-US"/>
        </w:rPr>
        <w:t>and replace with the words</w:t>
      </w:r>
      <w:r w:rsidR="00D53689" w:rsidRPr="00953D07">
        <w:rPr>
          <w:rFonts w:ascii="Times New Roman" w:eastAsia="Times New Roman" w:hAnsi="Times New Roman" w:cs="Times New Roman"/>
          <w:lang w:val="en-US"/>
        </w:rPr>
        <w:t>:</w:t>
      </w:r>
    </w:p>
    <w:p w14:paraId="41242B33" w14:textId="77777777" w:rsidR="007A08AD" w:rsidRPr="00953D07" w:rsidRDefault="007A08AD" w:rsidP="00D53689">
      <w:pPr>
        <w:spacing w:after="120" w:line="240" w:lineRule="auto"/>
        <w:ind w:right="-765"/>
        <w:rPr>
          <w:rFonts w:ascii="Times New Roman" w:eastAsia="Times New Roman" w:hAnsi="Times New Roman" w:cs="Times New Roman"/>
          <w:lang w:val="en-US"/>
        </w:rPr>
      </w:pPr>
    </w:p>
    <w:p w14:paraId="0A038730" w14:textId="62B603FE" w:rsidR="00D53689" w:rsidRPr="00953D07" w:rsidRDefault="00D53689" w:rsidP="00953D07">
      <w:pPr>
        <w:spacing w:after="120" w:line="240" w:lineRule="auto"/>
        <w:ind w:left="720"/>
        <w:rPr>
          <w:rFonts w:ascii="Times New Roman" w:eastAsia="Calibri" w:hAnsi="Times New Roman" w:cs="Times New Roman"/>
          <w:b/>
          <w:bCs/>
        </w:rPr>
      </w:pPr>
      <w:r w:rsidRPr="00953D07">
        <w:rPr>
          <w:rFonts w:ascii="Times New Roman" w:eastAsia="Calibri" w:hAnsi="Times New Roman" w:cs="Times New Roman"/>
          <w:b/>
          <w:bCs/>
        </w:rPr>
        <w:t xml:space="preserve">Condition </w:t>
      </w:r>
      <w:r w:rsidR="00B65A5C">
        <w:rPr>
          <w:rFonts w:ascii="Times New Roman" w:eastAsia="Calibri" w:hAnsi="Times New Roman" w:cs="Times New Roman"/>
          <w:b/>
          <w:bCs/>
        </w:rPr>
        <w:t>6</w:t>
      </w:r>
    </w:p>
    <w:p w14:paraId="74B417DE" w14:textId="3DA55EE6" w:rsidR="00D53689" w:rsidRDefault="00D53689" w:rsidP="00FE7341">
      <w:pPr>
        <w:spacing w:after="120" w:line="240" w:lineRule="auto"/>
        <w:ind w:left="720" w:right="-766"/>
        <w:rPr>
          <w:rFonts w:ascii="Times New Roman" w:eastAsia="Times New Roman" w:hAnsi="Times New Roman" w:cs="Times New Roman"/>
          <w:lang w:val="en-US"/>
        </w:rPr>
      </w:pPr>
      <w:r w:rsidRPr="00D53689">
        <w:rPr>
          <w:rFonts w:ascii="Times New Roman" w:eastAsia="Times New Roman" w:hAnsi="Times New Roman" w:cs="Times New Roman"/>
          <w:lang w:val="en-US"/>
        </w:rPr>
        <w:t xml:space="preserve">By </w:t>
      </w:r>
      <w:r w:rsidR="00FE7341">
        <w:rPr>
          <w:rFonts w:ascii="Times New Roman" w:eastAsia="Times New Roman" w:hAnsi="Times New Roman" w:cs="Times New Roman"/>
          <w:lang w:val="en-US"/>
        </w:rPr>
        <w:t xml:space="preserve">19 February 2025, </w:t>
      </w:r>
      <w:r w:rsidR="0010148D">
        <w:rPr>
          <w:rFonts w:ascii="Times New Roman" w:eastAsia="Times New Roman" w:hAnsi="Times New Roman" w:cs="Times New Roman"/>
          <w:lang w:val="en-US"/>
        </w:rPr>
        <w:t>t</w:t>
      </w:r>
      <w:r w:rsidR="00FE7341">
        <w:rPr>
          <w:rFonts w:ascii="Times New Roman" w:eastAsia="Times New Roman" w:hAnsi="Times New Roman" w:cs="Times New Roman"/>
          <w:lang w:val="en-US"/>
        </w:rPr>
        <w:t>he Australian Fisheries Management Authority must:</w:t>
      </w:r>
    </w:p>
    <w:p w14:paraId="3F883987" w14:textId="6E454948" w:rsidR="00FE7341" w:rsidRDefault="00FE4F47" w:rsidP="00FE7341">
      <w:pPr>
        <w:pStyle w:val="ListParagraph"/>
        <w:numPr>
          <w:ilvl w:val="0"/>
          <w:numId w:val="12"/>
        </w:numPr>
        <w:spacing w:after="120" w:line="240" w:lineRule="auto"/>
        <w:ind w:right="-766"/>
        <w:rPr>
          <w:rFonts w:ascii="Times New Roman" w:eastAsia="Times New Roman" w:hAnsi="Times New Roman" w:cs="Times New Roman"/>
          <w:lang w:val="en-US"/>
        </w:rPr>
      </w:pPr>
      <w:bookmarkStart w:id="0" w:name="_Hlk167447168"/>
      <w:r w:rsidRPr="00FE4F47">
        <w:rPr>
          <w:rFonts w:ascii="Times New Roman" w:eastAsia="Times New Roman" w:hAnsi="Times New Roman" w:cs="Times New Roman"/>
          <w:lang w:val="en-US"/>
        </w:rPr>
        <w:t xml:space="preserve">conduct and complete an updated Ecological Risk Assessment for the Commonwealth Western Tuna and Billfish Fishery and provide a copy </w:t>
      </w:r>
      <w:r w:rsidR="0010148D">
        <w:rPr>
          <w:rFonts w:ascii="Times New Roman" w:eastAsia="Times New Roman" w:hAnsi="Times New Roman" w:cs="Times New Roman"/>
          <w:lang w:val="en-US"/>
        </w:rPr>
        <w:t xml:space="preserve">of the completed assessment </w:t>
      </w:r>
      <w:r w:rsidRPr="00FE4F47">
        <w:rPr>
          <w:rFonts w:ascii="Times New Roman" w:eastAsia="Times New Roman" w:hAnsi="Times New Roman" w:cs="Times New Roman"/>
          <w:lang w:val="en-US"/>
        </w:rPr>
        <w:t xml:space="preserve">to the Department of Climate Change, Energy, the Environment and Water. The Ecological Risk Assessment must use data that </w:t>
      </w:r>
      <w:r w:rsidRPr="00FE4F47">
        <w:rPr>
          <w:rFonts w:ascii="Times New Roman" w:eastAsia="Times New Roman" w:hAnsi="Times New Roman" w:cs="Times New Roman"/>
          <w:lang w:val="en-US"/>
        </w:rPr>
        <w:lastRenderedPageBreak/>
        <w:t xml:space="preserve">reflects </w:t>
      </w:r>
      <w:r w:rsidR="0010148D">
        <w:rPr>
          <w:rFonts w:ascii="Times New Roman" w:eastAsia="Times New Roman" w:hAnsi="Times New Roman" w:cs="Times New Roman"/>
          <w:lang w:val="en-US"/>
        </w:rPr>
        <w:t>current</w:t>
      </w:r>
      <w:r w:rsidRPr="00FE4F47">
        <w:rPr>
          <w:rFonts w:ascii="Times New Roman" w:eastAsia="Times New Roman" w:hAnsi="Times New Roman" w:cs="Times New Roman"/>
          <w:lang w:val="en-US"/>
        </w:rPr>
        <w:t xml:space="preserve"> management arrangements </w:t>
      </w:r>
      <w:r w:rsidR="0010148D">
        <w:rPr>
          <w:rFonts w:ascii="Times New Roman" w:eastAsia="Times New Roman" w:hAnsi="Times New Roman" w:cs="Times New Roman"/>
          <w:lang w:val="en-US"/>
        </w:rPr>
        <w:t>in</w:t>
      </w:r>
      <w:r w:rsidRPr="00FE4F47">
        <w:rPr>
          <w:rFonts w:ascii="Times New Roman" w:eastAsia="Times New Roman" w:hAnsi="Times New Roman" w:cs="Times New Roman"/>
          <w:lang w:val="en-US"/>
        </w:rPr>
        <w:t xml:space="preserve"> the fishery</w:t>
      </w:r>
      <w:r w:rsidR="0010148D">
        <w:rPr>
          <w:rFonts w:ascii="Times New Roman" w:eastAsia="Times New Roman" w:hAnsi="Times New Roman" w:cs="Times New Roman"/>
          <w:lang w:val="en-US"/>
        </w:rPr>
        <w:t>, including</w:t>
      </w:r>
      <w:r w:rsidRPr="00FE4F47">
        <w:rPr>
          <w:rFonts w:ascii="Times New Roman" w:eastAsia="Times New Roman" w:hAnsi="Times New Roman" w:cs="Times New Roman"/>
          <w:lang w:val="en-US"/>
        </w:rPr>
        <w:t xml:space="preserve"> fishing operation data collected since</w:t>
      </w:r>
      <w:r w:rsidR="00BD7E62">
        <w:rPr>
          <w:rFonts w:ascii="Times New Roman" w:eastAsia="Times New Roman" w:hAnsi="Times New Roman" w:cs="Times New Roman"/>
          <w:lang w:val="en-US"/>
        </w:rPr>
        <w:t xml:space="preserve"> the implementation of</w:t>
      </w:r>
      <w:r w:rsidRPr="00FE4F47">
        <w:rPr>
          <w:rFonts w:ascii="Times New Roman" w:eastAsia="Times New Roman" w:hAnsi="Times New Roman" w:cs="Times New Roman"/>
          <w:lang w:val="en-US"/>
        </w:rPr>
        <w:t xml:space="preserve"> electronic monitoring</w:t>
      </w:r>
      <w:r w:rsidR="0010148D">
        <w:rPr>
          <w:rFonts w:ascii="Times New Roman" w:eastAsia="Times New Roman" w:hAnsi="Times New Roman" w:cs="Times New Roman"/>
          <w:lang w:val="en-US"/>
        </w:rPr>
        <w:t xml:space="preserve"> </w:t>
      </w:r>
      <w:r w:rsidRPr="00FE4F47">
        <w:rPr>
          <w:rFonts w:ascii="Times New Roman" w:eastAsia="Times New Roman" w:hAnsi="Times New Roman" w:cs="Times New Roman"/>
          <w:lang w:val="en-US"/>
        </w:rPr>
        <w:t>in the fishery.</w:t>
      </w:r>
    </w:p>
    <w:bookmarkEnd w:id="0"/>
    <w:p w14:paraId="081D4FD6" w14:textId="1CC41DA2" w:rsidR="00FE4F47" w:rsidRPr="00FE7341" w:rsidRDefault="00FE4F47" w:rsidP="00FE7341">
      <w:pPr>
        <w:pStyle w:val="ListParagraph"/>
        <w:numPr>
          <w:ilvl w:val="0"/>
          <w:numId w:val="12"/>
        </w:numPr>
        <w:spacing w:after="120" w:line="240" w:lineRule="auto"/>
        <w:ind w:right="-766"/>
        <w:rPr>
          <w:rFonts w:ascii="Times New Roman" w:eastAsia="Times New Roman" w:hAnsi="Times New Roman" w:cs="Times New Roman"/>
          <w:lang w:val="en-US"/>
        </w:rPr>
      </w:pPr>
      <w:r w:rsidRPr="00FE4F47">
        <w:rPr>
          <w:rFonts w:ascii="Times New Roman" w:eastAsia="Times New Roman" w:hAnsi="Times New Roman" w:cs="Times New Roman"/>
          <w:lang w:val="en-US"/>
        </w:rPr>
        <w:t>continue to implement management actions to address and mitigate risks and impacts for species that are identified as high risk, including data collection for species that are assessed as high risk because of missing information.</w:t>
      </w:r>
    </w:p>
    <w:p w14:paraId="4911379E" w14:textId="77777777" w:rsidR="00426450" w:rsidRPr="00953D07" w:rsidRDefault="00426450" w:rsidP="00C96A80">
      <w:pPr>
        <w:spacing w:after="120" w:line="240" w:lineRule="auto"/>
        <w:ind w:right="-766"/>
        <w:rPr>
          <w:rFonts w:ascii="Times New Roman" w:eastAsia="Times New Roman" w:hAnsi="Times New Roman" w:cs="Times New Roman"/>
        </w:rPr>
      </w:pPr>
    </w:p>
    <w:p w14:paraId="348F95F2" w14:textId="1FF87F1B" w:rsidR="004D0BF9" w:rsidRPr="00953D07" w:rsidRDefault="004D0BF9" w:rsidP="00D67834">
      <w:pPr>
        <w:spacing w:after="360" w:line="240" w:lineRule="auto"/>
        <w:ind w:left="-567" w:right="-765"/>
        <w:jc w:val="center"/>
        <w:rPr>
          <w:rFonts w:ascii="Times New Roman" w:eastAsia="Times New Roman" w:hAnsi="Times New Roman" w:cs="Times New Roman"/>
        </w:rPr>
      </w:pPr>
      <w:r w:rsidRPr="00953D07">
        <w:rPr>
          <w:rFonts w:ascii="Times New Roman" w:eastAsia="Times New Roman" w:hAnsi="Times New Roman" w:cs="Times New Roman"/>
        </w:rPr>
        <w:t>Dated this</w:t>
      </w:r>
      <w:r w:rsidR="003F5CE5" w:rsidRPr="00953D07">
        <w:rPr>
          <w:rFonts w:ascii="Times New Roman" w:eastAsia="Times New Roman" w:hAnsi="Times New Roman" w:cs="Times New Roman"/>
        </w:rPr>
        <w:t xml:space="preserve"> </w:t>
      </w:r>
      <w:r w:rsidR="007A08AD">
        <w:rPr>
          <w:rFonts w:ascii="Times New Roman" w:eastAsia="Times New Roman" w:hAnsi="Times New Roman" w:cs="Times New Roman"/>
        </w:rPr>
        <w:t>10th</w:t>
      </w:r>
      <w:r w:rsidR="000C4069" w:rsidRPr="00953D07">
        <w:rPr>
          <w:rFonts w:ascii="Times New Roman" w:eastAsia="Times New Roman" w:hAnsi="Times New Roman" w:cs="Times New Roman"/>
        </w:rPr>
        <w:t xml:space="preserve"> </w:t>
      </w:r>
      <w:r w:rsidRPr="00953D07">
        <w:rPr>
          <w:rFonts w:ascii="Times New Roman" w:eastAsia="Times New Roman" w:hAnsi="Times New Roman" w:cs="Times New Roman"/>
        </w:rPr>
        <w:t>day of</w:t>
      </w:r>
      <w:r w:rsidR="003F5CE5" w:rsidRPr="00953D07">
        <w:rPr>
          <w:rFonts w:ascii="Times New Roman" w:eastAsia="Times New Roman" w:hAnsi="Times New Roman" w:cs="Times New Roman"/>
        </w:rPr>
        <w:t xml:space="preserve"> </w:t>
      </w:r>
      <w:r w:rsidR="00FE4F47">
        <w:rPr>
          <w:rFonts w:ascii="Times New Roman" w:eastAsia="Times New Roman" w:hAnsi="Times New Roman" w:cs="Times New Roman"/>
        </w:rPr>
        <w:t>June</w:t>
      </w:r>
      <w:r w:rsidR="0060130D">
        <w:rPr>
          <w:rFonts w:ascii="Times New Roman" w:eastAsia="Times New Roman" w:hAnsi="Times New Roman" w:cs="Times New Roman"/>
        </w:rPr>
        <w:t xml:space="preserve"> </w:t>
      </w:r>
      <w:r w:rsidR="004E2DF2">
        <w:rPr>
          <w:rFonts w:ascii="Times New Roman" w:eastAsia="Times New Roman" w:hAnsi="Times New Roman" w:cs="Times New Roman"/>
        </w:rPr>
        <w:t>2024</w:t>
      </w:r>
    </w:p>
    <w:p w14:paraId="34416F8C" w14:textId="733ADB81" w:rsidR="00426450" w:rsidRPr="00953D07" w:rsidRDefault="00D67834" w:rsidP="007A08AD">
      <w:pPr>
        <w:spacing w:after="120" w:line="240" w:lineRule="auto"/>
        <w:ind w:right="-766"/>
        <w:jc w:val="center"/>
        <w:rPr>
          <w:rFonts w:ascii="Times New Roman" w:eastAsia="Times New Roman" w:hAnsi="Times New Roman" w:cs="Times New Roman"/>
        </w:rPr>
      </w:pPr>
      <w:r>
        <w:rPr>
          <w:rFonts w:ascii="Times New Roman" w:eastAsia="Times New Roman" w:hAnsi="Times New Roman" w:cs="Times New Roman"/>
        </w:rPr>
        <w:t>Belinda Jago</w:t>
      </w:r>
    </w:p>
    <w:p w14:paraId="4D610FDF" w14:textId="77777777" w:rsidR="004D0BF9" w:rsidRPr="00953D07" w:rsidRDefault="004D0BF9" w:rsidP="00D53689">
      <w:pPr>
        <w:spacing w:after="120" w:line="240" w:lineRule="auto"/>
        <w:jc w:val="center"/>
        <w:rPr>
          <w:rFonts w:ascii="Times New Roman" w:eastAsia="Times New Roman" w:hAnsi="Times New Roman" w:cs="Times New Roman"/>
        </w:rPr>
      </w:pPr>
      <w:r w:rsidRPr="00953D07">
        <w:rPr>
          <w:rFonts w:ascii="Times New Roman" w:eastAsia="Times New Roman" w:hAnsi="Times New Roman" w:cs="Times New Roman"/>
        </w:rPr>
        <w:t xml:space="preserve"> ………….…….……</w:t>
      </w:r>
      <w:r w:rsidR="000C4069" w:rsidRPr="00953D07">
        <w:rPr>
          <w:rFonts w:ascii="Times New Roman" w:eastAsia="Times New Roman" w:hAnsi="Times New Roman" w:cs="Times New Roman"/>
        </w:rPr>
        <w:t>…</w:t>
      </w:r>
      <w:r w:rsidRPr="00953D07">
        <w:rPr>
          <w:rFonts w:ascii="Times New Roman" w:eastAsia="Times New Roman" w:hAnsi="Times New Roman" w:cs="Times New Roman"/>
        </w:rPr>
        <w:t>………………</w:t>
      </w:r>
      <w:r w:rsidR="00584B27" w:rsidRPr="00953D07">
        <w:rPr>
          <w:rFonts w:ascii="Times New Roman" w:eastAsia="Times New Roman" w:hAnsi="Times New Roman" w:cs="Times New Roman"/>
        </w:rPr>
        <w:t>.........</w:t>
      </w:r>
    </w:p>
    <w:p w14:paraId="0222D361" w14:textId="4E19ADFD" w:rsidR="00A81CB9" w:rsidRPr="00A81CB9" w:rsidRDefault="00A81CB9" w:rsidP="00D53689">
      <w:pPr>
        <w:spacing w:after="120" w:line="240" w:lineRule="auto"/>
        <w:jc w:val="center"/>
        <w:rPr>
          <w:rFonts w:ascii="Times New Roman" w:hAnsi="Times New Roman" w:cs="Times New Roman"/>
          <w:snapToGrid w:val="0"/>
        </w:rPr>
      </w:pPr>
      <w:r w:rsidRPr="004E2DF2">
        <w:rPr>
          <w:rFonts w:ascii="Times New Roman" w:hAnsi="Times New Roman" w:cs="Times New Roman"/>
          <w:snapToGrid w:val="0"/>
        </w:rPr>
        <w:t>Delegate of the Minister for</w:t>
      </w:r>
      <w:r w:rsidRPr="00A81CB9">
        <w:rPr>
          <w:rFonts w:ascii="Times New Roman" w:hAnsi="Times New Roman" w:cs="Times New Roman"/>
          <w:snapToGrid w:val="0"/>
        </w:rPr>
        <w:t xml:space="preserve"> </w:t>
      </w:r>
      <w:r w:rsidRPr="00A81CB9">
        <w:rPr>
          <w:rFonts w:ascii="Times New Roman" w:hAnsi="Times New Roman" w:cs="Times New Roman"/>
        </w:rPr>
        <w:t xml:space="preserve">the Environment </w:t>
      </w:r>
      <w:r w:rsidR="003001F7">
        <w:rPr>
          <w:rFonts w:ascii="Times New Roman" w:hAnsi="Times New Roman" w:cs="Times New Roman"/>
        </w:rPr>
        <w:t>and Water</w:t>
      </w:r>
    </w:p>
    <w:p w14:paraId="3FB335A5" w14:textId="77777777" w:rsidR="00426450" w:rsidRPr="00A81CB9" w:rsidRDefault="00426450" w:rsidP="00A81CB9">
      <w:pPr>
        <w:spacing w:after="0" w:line="240" w:lineRule="auto"/>
        <w:rPr>
          <w:rFonts w:ascii="Times New Roman" w:eastAsia="Times New Roman" w:hAnsi="Times New Roman" w:cs="Times New Roman"/>
        </w:rPr>
      </w:pPr>
    </w:p>
    <w:p w14:paraId="591DCD36" w14:textId="77777777" w:rsidR="000C4069" w:rsidRPr="00764F14" w:rsidRDefault="004D0BF9" w:rsidP="000C4069">
      <w:pPr>
        <w:spacing w:after="0" w:line="240" w:lineRule="auto"/>
        <w:rPr>
          <w:rFonts w:ascii="Times New Roman" w:eastAsia="Times New Roman" w:hAnsi="Times New Roman" w:cs="Times New Roman"/>
          <w:sz w:val="18"/>
          <w:szCs w:val="18"/>
        </w:rPr>
      </w:pPr>
      <w:r w:rsidRPr="00764F14">
        <w:rPr>
          <w:rFonts w:ascii="Times New Roman" w:eastAsia="Times New Roman" w:hAnsi="Times New Roman" w:cs="Times New Roman"/>
          <w:sz w:val="18"/>
          <w:szCs w:val="18"/>
        </w:rPr>
        <w:t>Notes:</w:t>
      </w:r>
      <w:r w:rsidR="00E971A0" w:rsidRPr="00764F14">
        <w:rPr>
          <w:rFonts w:ascii="Times New Roman" w:eastAsia="Times New Roman" w:hAnsi="Times New Roman" w:cs="Times New Roman"/>
          <w:sz w:val="18"/>
          <w:szCs w:val="18"/>
        </w:rPr>
        <w:t xml:space="preserve">                                                                                                                                                                          </w:t>
      </w:r>
      <w:r w:rsidR="000C4069" w:rsidRPr="00764F14">
        <w:rPr>
          <w:rFonts w:ascii="Times New Roman" w:eastAsia="Times New Roman" w:hAnsi="Times New Roman" w:cs="Times New Roman"/>
          <w:sz w:val="18"/>
          <w:szCs w:val="18"/>
        </w:rPr>
        <w:t xml:space="preserve"> </w:t>
      </w:r>
    </w:p>
    <w:p w14:paraId="18A568AA" w14:textId="7B7F6F5E" w:rsidR="00A81CB9" w:rsidRPr="00764F14" w:rsidRDefault="000C4069" w:rsidP="00735173">
      <w:pPr>
        <w:spacing w:after="0" w:line="240" w:lineRule="auto"/>
        <w:ind w:left="720" w:hanging="720"/>
        <w:rPr>
          <w:rFonts w:ascii="Times New Roman" w:eastAsia="Times New Roman" w:hAnsi="Times New Roman" w:cs="Times New Roman"/>
          <w:sz w:val="18"/>
          <w:szCs w:val="18"/>
        </w:rPr>
      </w:pPr>
      <w:r w:rsidRPr="00A81CB9">
        <w:rPr>
          <w:rFonts w:ascii="Times New Roman" w:eastAsia="Times New Roman" w:hAnsi="Times New Roman" w:cs="Times New Roman"/>
          <w:sz w:val="18"/>
          <w:szCs w:val="18"/>
        </w:rPr>
        <w:t>1.</w:t>
      </w:r>
      <w:r w:rsidRPr="00A81CB9">
        <w:rPr>
          <w:rFonts w:ascii="Times New Roman" w:eastAsia="Times New Roman" w:hAnsi="Times New Roman" w:cs="Times New Roman"/>
          <w:sz w:val="18"/>
          <w:szCs w:val="18"/>
        </w:rPr>
        <w:tab/>
      </w:r>
      <w:r w:rsidR="00735173" w:rsidRPr="00E036D4">
        <w:rPr>
          <w:rFonts w:asciiTheme="majorBidi" w:hAnsiTheme="majorBidi" w:cstheme="majorBidi"/>
          <w:sz w:val="18"/>
          <w:szCs w:val="18"/>
        </w:rPr>
        <w:t xml:space="preserve">Under the </w:t>
      </w:r>
      <w:r w:rsidR="00735173" w:rsidRPr="00E036D4">
        <w:rPr>
          <w:rFonts w:asciiTheme="majorBidi" w:hAnsiTheme="majorBidi" w:cstheme="majorBidi"/>
          <w:i/>
          <w:iCs/>
          <w:sz w:val="18"/>
          <w:szCs w:val="18"/>
        </w:rPr>
        <w:t>Administrative Appeals Tribunal Act 1975</w:t>
      </w:r>
      <w:r w:rsidR="00735173" w:rsidRPr="00E036D4">
        <w:rPr>
          <w:rFonts w:asciiTheme="majorBidi" w:hAnsiTheme="majorBidi" w:cstheme="majorBidi"/>
          <w:sz w:val="18"/>
          <w:szCs w:val="18"/>
        </w:rPr>
        <w:t xml:space="preserve">, a person whose interests are affected by this decision may apply for a statement of reasons and for independent review of the decision. An application for a statement of reasons may be made in writing to the </w:t>
      </w:r>
      <w:bookmarkStart w:id="1" w:name="_Hlk40258863"/>
      <w:r w:rsidR="00735173" w:rsidRPr="00E036D4">
        <w:rPr>
          <w:rFonts w:asciiTheme="majorBidi" w:hAnsiTheme="majorBidi" w:cstheme="majorBidi"/>
          <w:sz w:val="18"/>
          <w:szCs w:val="18"/>
        </w:rPr>
        <w:t xml:space="preserve">Department of Climate Change, Energy, the Environment and Water </w:t>
      </w:r>
      <w:bookmarkEnd w:id="1"/>
      <w:r w:rsidR="00735173" w:rsidRPr="00E036D4">
        <w:rPr>
          <w:rFonts w:asciiTheme="majorBidi" w:hAnsiTheme="majorBidi" w:cstheme="majorBidi"/>
          <w:sz w:val="18"/>
          <w:szCs w:val="18"/>
        </w:rPr>
        <w:t>within 28 days of the date of the declaration. An application for independent review may be made to the Administrative Appeals Tribunal on payment of the relevant fee within 28 days of the date of the declaration, or if reasons are sought, within 28 days of receipt of reasons. Further information may be obtained from the Director, Sustainable Fisheries Section</w:t>
      </w:r>
      <w:r w:rsidR="00735173" w:rsidRPr="00E036D4">
        <w:rPr>
          <w:rFonts w:asciiTheme="majorBidi" w:hAnsiTheme="majorBidi" w:cstheme="majorBidi"/>
          <w:color w:val="000000"/>
          <w:sz w:val="18"/>
          <w:szCs w:val="18"/>
        </w:rPr>
        <w:t xml:space="preserve">, </w:t>
      </w:r>
      <w:r w:rsidR="00735173" w:rsidRPr="00E036D4">
        <w:rPr>
          <w:rFonts w:asciiTheme="majorBidi" w:hAnsiTheme="majorBidi" w:cstheme="majorBidi"/>
          <w:sz w:val="18"/>
          <w:szCs w:val="18"/>
        </w:rPr>
        <w:t xml:space="preserve">Department of Climate Change, Energy, the Environment and Water, Email: </w:t>
      </w:r>
      <w:hyperlink r:id="rId12" w:history="1">
        <w:r w:rsidR="00735173" w:rsidRPr="00E036D4">
          <w:rPr>
            <w:rStyle w:val="Hyperlink"/>
            <w:rFonts w:asciiTheme="majorBidi" w:hAnsiTheme="majorBidi" w:cstheme="majorBidi"/>
            <w:sz w:val="18"/>
            <w:szCs w:val="18"/>
          </w:rPr>
          <w:t>sustainablefisheries@dcceew.gov.au</w:t>
        </w:r>
      </w:hyperlink>
      <w:r w:rsidR="00735173" w:rsidRPr="00E036D4">
        <w:rPr>
          <w:rFonts w:asciiTheme="majorBidi" w:hAnsiTheme="majorBidi" w:cstheme="majorBidi"/>
          <w:sz w:val="18"/>
          <w:szCs w:val="18"/>
        </w:rPr>
        <w:t>.</w:t>
      </w:r>
    </w:p>
    <w:sectPr w:rsidR="00A81CB9" w:rsidRPr="00764F14" w:rsidSect="007A08AD">
      <w:headerReference w:type="first" r:id="rId13"/>
      <w:type w:val="continuous"/>
      <w:pgSz w:w="11906" w:h="16838" w:code="9"/>
      <w:pgMar w:top="1134" w:right="1134" w:bottom="1560"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36F6A" w14:textId="77777777" w:rsidR="004C0163" w:rsidRDefault="004C0163" w:rsidP="003A707F">
      <w:pPr>
        <w:spacing w:after="0" w:line="240" w:lineRule="auto"/>
      </w:pPr>
      <w:r>
        <w:separator/>
      </w:r>
    </w:p>
  </w:endnote>
  <w:endnote w:type="continuationSeparator" w:id="0">
    <w:p w14:paraId="739598EF" w14:textId="77777777" w:rsidR="004C0163" w:rsidRDefault="004C0163"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08A6A" w14:textId="77777777" w:rsidR="004C0163" w:rsidRDefault="004C0163" w:rsidP="003A707F">
      <w:pPr>
        <w:spacing w:after="0" w:line="240" w:lineRule="auto"/>
      </w:pPr>
      <w:r>
        <w:separator/>
      </w:r>
    </w:p>
  </w:footnote>
  <w:footnote w:type="continuationSeparator" w:id="0">
    <w:p w14:paraId="18D3C935" w14:textId="77777777" w:rsidR="004C0163" w:rsidRDefault="004C0163"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ED366" w14:textId="77777777" w:rsidR="000F06A5" w:rsidRPr="003A707F" w:rsidRDefault="000F06A5" w:rsidP="00F40885">
    <w:pPr>
      <w:pStyle w:val="Header"/>
      <w:rPr>
        <w:sz w:val="2"/>
        <w:szCs w:val="2"/>
      </w:rPr>
    </w:pPr>
  </w:p>
  <w:p w14:paraId="7B10CEE9" w14:textId="77777777" w:rsidR="000F06A5" w:rsidRPr="00F40885" w:rsidRDefault="000F06A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D521F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46B42"/>
    <w:multiLevelType w:val="hybridMultilevel"/>
    <w:tmpl w:val="3674687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EA3077"/>
    <w:multiLevelType w:val="hybridMultilevel"/>
    <w:tmpl w:val="E1B0C3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567721"/>
    <w:multiLevelType w:val="hybridMultilevel"/>
    <w:tmpl w:val="9D5A0F2E"/>
    <w:lvl w:ilvl="0" w:tplc="0DBEA428">
      <w:start w:val="1"/>
      <w:numFmt w:val="decimal"/>
      <w:lvlText w:val="%1."/>
      <w:lvlJc w:val="left"/>
      <w:pPr>
        <w:tabs>
          <w:tab w:val="num" w:pos="360"/>
        </w:tabs>
        <w:ind w:left="360" w:hanging="360"/>
      </w:pPr>
      <w:rPr>
        <w:i w:val="0"/>
      </w:rPr>
    </w:lvl>
    <w:lvl w:ilvl="1" w:tplc="A4A00B50">
      <w:start w:val="1"/>
      <w:numFmt w:val="lowerLetter"/>
      <w:lvlText w:val="%2."/>
      <w:lvlJc w:val="left"/>
      <w:pPr>
        <w:tabs>
          <w:tab w:val="num" w:pos="1440"/>
        </w:tabs>
        <w:ind w:left="1440" w:hanging="360"/>
      </w:pPr>
      <w:rPr>
        <w:rFonts w:hint="default"/>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1518E4"/>
    <w:multiLevelType w:val="hybridMultilevel"/>
    <w:tmpl w:val="32263A9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4C2A1B49"/>
    <w:multiLevelType w:val="singleLevel"/>
    <w:tmpl w:val="03B6DC94"/>
    <w:lvl w:ilvl="0">
      <w:start w:val="1"/>
      <w:numFmt w:val="lowerLetter"/>
      <w:lvlText w:val="%1)"/>
      <w:lvlJc w:val="left"/>
      <w:pPr>
        <w:tabs>
          <w:tab w:val="num" w:pos="1440"/>
        </w:tabs>
        <w:ind w:left="1440" w:hanging="720"/>
      </w:pPr>
      <w:rPr>
        <w:rFonts w:hint="default"/>
      </w:rPr>
    </w:lvl>
  </w:abstractNum>
  <w:abstractNum w:abstractNumId="7" w15:restartNumberingAfterBreak="0">
    <w:nsid w:val="4D964441"/>
    <w:multiLevelType w:val="hybridMultilevel"/>
    <w:tmpl w:val="BC7802A0"/>
    <w:lvl w:ilvl="0" w:tplc="FFFFFFFF">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80240F"/>
    <w:multiLevelType w:val="hybridMultilevel"/>
    <w:tmpl w:val="33E087DE"/>
    <w:lvl w:ilvl="0" w:tplc="A7700058">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037D38"/>
    <w:multiLevelType w:val="hybridMultilevel"/>
    <w:tmpl w:val="8AB24EEC"/>
    <w:lvl w:ilvl="0" w:tplc="0DBEA428">
      <w:start w:val="1"/>
      <w:numFmt w:val="decimal"/>
      <w:lvlText w:val="%1."/>
      <w:lvlJc w:val="left"/>
      <w:pPr>
        <w:tabs>
          <w:tab w:val="num" w:pos="360"/>
        </w:tabs>
        <w:ind w:left="360" w:hanging="360"/>
      </w:pPr>
      <w:rPr>
        <w:i w:val="0"/>
      </w:rPr>
    </w:lvl>
    <w:lvl w:ilvl="1" w:tplc="07E8D288">
      <w:start w:val="1"/>
      <w:numFmt w:val="lowerLetter"/>
      <w:lvlText w:val="%2)"/>
      <w:lvlJc w:val="left"/>
      <w:pPr>
        <w:tabs>
          <w:tab w:val="num" w:pos="1440"/>
        </w:tabs>
        <w:ind w:left="1440" w:hanging="360"/>
      </w:pPr>
      <w:rPr>
        <w:rFonts w:ascii="Times New Roman" w:hAnsi="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1"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4116896">
    <w:abstractNumId w:val="11"/>
  </w:num>
  <w:num w:numId="2" w16cid:durableId="778526114">
    <w:abstractNumId w:val="0"/>
  </w:num>
  <w:num w:numId="3" w16cid:durableId="1177383346">
    <w:abstractNumId w:val="2"/>
  </w:num>
  <w:num w:numId="4" w16cid:durableId="1423989365">
    <w:abstractNumId w:val="8"/>
  </w:num>
  <w:num w:numId="5" w16cid:durableId="34934090">
    <w:abstractNumId w:val="6"/>
  </w:num>
  <w:num w:numId="6" w16cid:durableId="987710427">
    <w:abstractNumId w:val="10"/>
  </w:num>
  <w:num w:numId="7" w16cid:durableId="413626048">
    <w:abstractNumId w:val="9"/>
  </w:num>
  <w:num w:numId="8" w16cid:durableId="525100612">
    <w:abstractNumId w:val="3"/>
  </w:num>
  <w:num w:numId="9" w16cid:durableId="631984679">
    <w:abstractNumId w:val="4"/>
  </w:num>
  <w:num w:numId="10" w16cid:durableId="854420943">
    <w:abstractNumId w:val="7"/>
  </w:num>
  <w:num w:numId="11" w16cid:durableId="1854105588">
    <w:abstractNumId w:val="5"/>
  </w:num>
  <w:num w:numId="12" w16cid:durableId="35469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81"/>
  <w:drawingGridVerticalSpacing w:val="181"/>
  <w:displayHorizontalDrawingGridEvery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63"/>
    <w:rsid w:val="00015F85"/>
    <w:rsid w:val="00032EF4"/>
    <w:rsid w:val="0006288D"/>
    <w:rsid w:val="00062F26"/>
    <w:rsid w:val="00062F80"/>
    <w:rsid w:val="000C4069"/>
    <w:rsid w:val="000D0609"/>
    <w:rsid w:val="000E1F2B"/>
    <w:rsid w:val="000F06A5"/>
    <w:rsid w:val="0010148D"/>
    <w:rsid w:val="001212C4"/>
    <w:rsid w:val="001C2AAD"/>
    <w:rsid w:val="001F4571"/>
    <w:rsid w:val="001F6E54"/>
    <w:rsid w:val="0024092D"/>
    <w:rsid w:val="00280BCD"/>
    <w:rsid w:val="002A661D"/>
    <w:rsid w:val="002A7301"/>
    <w:rsid w:val="002B1428"/>
    <w:rsid w:val="002B1695"/>
    <w:rsid w:val="002B1905"/>
    <w:rsid w:val="002B50C9"/>
    <w:rsid w:val="002E2729"/>
    <w:rsid w:val="003001F7"/>
    <w:rsid w:val="00330CEA"/>
    <w:rsid w:val="00375587"/>
    <w:rsid w:val="00375716"/>
    <w:rsid w:val="003802CD"/>
    <w:rsid w:val="003A11C7"/>
    <w:rsid w:val="003A4AD3"/>
    <w:rsid w:val="003A707F"/>
    <w:rsid w:val="003B0EC1"/>
    <w:rsid w:val="003B573B"/>
    <w:rsid w:val="003F2CBD"/>
    <w:rsid w:val="003F5CE5"/>
    <w:rsid w:val="004004B8"/>
    <w:rsid w:val="004238A1"/>
    <w:rsid w:val="00424B97"/>
    <w:rsid w:val="00426450"/>
    <w:rsid w:val="00463C3B"/>
    <w:rsid w:val="004875A3"/>
    <w:rsid w:val="004B2753"/>
    <w:rsid w:val="004C0163"/>
    <w:rsid w:val="004C01CE"/>
    <w:rsid w:val="004D0BF9"/>
    <w:rsid w:val="004E245A"/>
    <w:rsid w:val="004E2DF2"/>
    <w:rsid w:val="004E46EE"/>
    <w:rsid w:val="00507C50"/>
    <w:rsid w:val="00520873"/>
    <w:rsid w:val="00530A52"/>
    <w:rsid w:val="005600CA"/>
    <w:rsid w:val="00573D44"/>
    <w:rsid w:val="00580FA6"/>
    <w:rsid w:val="00584B27"/>
    <w:rsid w:val="00590735"/>
    <w:rsid w:val="005D05EB"/>
    <w:rsid w:val="0060130D"/>
    <w:rsid w:val="00621D73"/>
    <w:rsid w:val="006E1BC3"/>
    <w:rsid w:val="00735173"/>
    <w:rsid w:val="00735E10"/>
    <w:rsid w:val="00741D4F"/>
    <w:rsid w:val="00755C95"/>
    <w:rsid w:val="00764F14"/>
    <w:rsid w:val="00783D50"/>
    <w:rsid w:val="007A08AD"/>
    <w:rsid w:val="007D3EA8"/>
    <w:rsid w:val="007E22DC"/>
    <w:rsid w:val="00822EEB"/>
    <w:rsid w:val="008312FB"/>
    <w:rsid w:val="00840A06"/>
    <w:rsid w:val="008439B7"/>
    <w:rsid w:val="00846B2D"/>
    <w:rsid w:val="00857B02"/>
    <w:rsid w:val="0087253F"/>
    <w:rsid w:val="008B229C"/>
    <w:rsid w:val="008E2F6C"/>
    <w:rsid w:val="008E4F6C"/>
    <w:rsid w:val="0094222E"/>
    <w:rsid w:val="009430A9"/>
    <w:rsid w:val="009539C7"/>
    <w:rsid w:val="00953D07"/>
    <w:rsid w:val="00966C67"/>
    <w:rsid w:val="00972AD9"/>
    <w:rsid w:val="009A0F1C"/>
    <w:rsid w:val="009A30AE"/>
    <w:rsid w:val="009B6693"/>
    <w:rsid w:val="00A00F21"/>
    <w:rsid w:val="00A35D80"/>
    <w:rsid w:val="00A3749A"/>
    <w:rsid w:val="00A46857"/>
    <w:rsid w:val="00A756FE"/>
    <w:rsid w:val="00A81CB9"/>
    <w:rsid w:val="00AC3A67"/>
    <w:rsid w:val="00B502BA"/>
    <w:rsid w:val="00B61F9C"/>
    <w:rsid w:val="00B65A5C"/>
    <w:rsid w:val="00B702ED"/>
    <w:rsid w:val="00B84226"/>
    <w:rsid w:val="00B9111C"/>
    <w:rsid w:val="00B92894"/>
    <w:rsid w:val="00BA7FC2"/>
    <w:rsid w:val="00BD05ED"/>
    <w:rsid w:val="00BD7E62"/>
    <w:rsid w:val="00BE7278"/>
    <w:rsid w:val="00BF1CBA"/>
    <w:rsid w:val="00C00918"/>
    <w:rsid w:val="00C209AD"/>
    <w:rsid w:val="00C24985"/>
    <w:rsid w:val="00C4772E"/>
    <w:rsid w:val="00C63C4E"/>
    <w:rsid w:val="00C90A68"/>
    <w:rsid w:val="00C96A80"/>
    <w:rsid w:val="00C97224"/>
    <w:rsid w:val="00C97A7C"/>
    <w:rsid w:val="00CC3A94"/>
    <w:rsid w:val="00CC3D7D"/>
    <w:rsid w:val="00D502B9"/>
    <w:rsid w:val="00D53689"/>
    <w:rsid w:val="00D609B7"/>
    <w:rsid w:val="00D67834"/>
    <w:rsid w:val="00D77A88"/>
    <w:rsid w:val="00D77DC3"/>
    <w:rsid w:val="00DC70F0"/>
    <w:rsid w:val="00DF4C0C"/>
    <w:rsid w:val="00E2557A"/>
    <w:rsid w:val="00E27FDE"/>
    <w:rsid w:val="00E971A0"/>
    <w:rsid w:val="00EA13CD"/>
    <w:rsid w:val="00EC0949"/>
    <w:rsid w:val="00ED1876"/>
    <w:rsid w:val="00EE6495"/>
    <w:rsid w:val="00EE6E86"/>
    <w:rsid w:val="00EF7F5B"/>
    <w:rsid w:val="00F1146B"/>
    <w:rsid w:val="00F40885"/>
    <w:rsid w:val="00F53597"/>
    <w:rsid w:val="00F576FE"/>
    <w:rsid w:val="00F64332"/>
    <w:rsid w:val="00FE4F47"/>
    <w:rsid w:val="00FE73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BC30D45"/>
  <w15:docId w15:val="{C72663BC-1496-4E43-A6C0-093D8D21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9430A9"/>
    <w:pPr>
      <w:keepNext/>
      <w:spacing w:after="0" w:line="240" w:lineRule="auto"/>
      <w:ind w:left="720"/>
      <w:outlineLvl w:val="4"/>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Bullet">
    <w:name w:val="List Bullet"/>
    <w:basedOn w:val="Normal"/>
    <w:uiPriority w:val="99"/>
    <w:unhideWhenUsed/>
    <w:rsid w:val="00D609B7"/>
    <w:pPr>
      <w:numPr>
        <w:numId w:val="2"/>
      </w:numPr>
      <w:contextualSpacing/>
    </w:pPr>
  </w:style>
  <w:style w:type="paragraph" w:customStyle="1" w:styleId="normal-dot">
    <w:name w:val="normal-dot"/>
    <w:basedOn w:val="Normal"/>
    <w:rsid w:val="004D0BF9"/>
    <w:pPr>
      <w:numPr>
        <w:numId w:val="6"/>
      </w:numPr>
      <w:spacing w:before="120" w:after="0" w:line="240" w:lineRule="auto"/>
      <w:ind w:left="357" w:hanging="357"/>
    </w:pPr>
    <w:rPr>
      <w:rFonts w:ascii="Times New Roman" w:eastAsia="Times New Roman" w:hAnsi="Times New Roman" w:cs="Times New Roman"/>
      <w:szCs w:val="20"/>
    </w:rPr>
  </w:style>
  <w:style w:type="character" w:customStyle="1" w:styleId="Heading5Char">
    <w:name w:val="Heading 5 Char"/>
    <w:basedOn w:val="DefaultParagraphFont"/>
    <w:link w:val="Heading5"/>
    <w:rsid w:val="009430A9"/>
    <w:rPr>
      <w:rFonts w:ascii="Times New Roman" w:eastAsia="Times New Roman" w:hAnsi="Times New Roman" w:cs="Times New Roman"/>
      <w:i/>
      <w:sz w:val="20"/>
      <w:szCs w:val="20"/>
    </w:rPr>
  </w:style>
  <w:style w:type="character" w:styleId="CommentReference">
    <w:name w:val="annotation reference"/>
    <w:basedOn w:val="DefaultParagraphFont"/>
    <w:semiHidden/>
    <w:unhideWhenUsed/>
    <w:rsid w:val="000C4069"/>
    <w:rPr>
      <w:sz w:val="16"/>
      <w:szCs w:val="16"/>
    </w:rPr>
  </w:style>
  <w:style w:type="paragraph" w:styleId="CommentText">
    <w:name w:val="annotation text"/>
    <w:basedOn w:val="Normal"/>
    <w:link w:val="CommentTextChar"/>
    <w:semiHidden/>
    <w:unhideWhenUsed/>
    <w:rsid w:val="000C4069"/>
    <w:pPr>
      <w:spacing w:line="240" w:lineRule="auto"/>
    </w:pPr>
    <w:rPr>
      <w:sz w:val="20"/>
      <w:szCs w:val="20"/>
    </w:rPr>
  </w:style>
  <w:style w:type="character" w:customStyle="1" w:styleId="CommentTextChar">
    <w:name w:val="Comment Text Char"/>
    <w:basedOn w:val="DefaultParagraphFont"/>
    <w:link w:val="CommentText"/>
    <w:semiHidden/>
    <w:rsid w:val="000C4069"/>
    <w:rPr>
      <w:sz w:val="20"/>
      <w:szCs w:val="20"/>
    </w:rPr>
  </w:style>
  <w:style w:type="paragraph" w:styleId="CommentSubject">
    <w:name w:val="annotation subject"/>
    <w:basedOn w:val="CommentText"/>
    <w:next w:val="CommentText"/>
    <w:link w:val="CommentSubjectChar"/>
    <w:uiPriority w:val="99"/>
    <w:semiHidden/>
    <w:unhideWhenUsed/>
    <w:rsid w:val="000C4069"/>
    <w:rPr>
      <w:b/>
      <w:bCs/>
    </w:rPr>
  </w:style>
  <w:style w:type="character" w:customStyle="1" w:styleId="CommentSubjectChar">
    <w:name w:val="Comment Subject Char"/>
    <w:basedOn w:val="CommentTextChar"/>
    <w:link w:val="CommentSubject"/>
    <w:uiPriority w:val="99"/>
    <w:semiHidden/>
    <w:rsid w:val="000C4069"/>
    <w:rPr>
      <w:b/>
      <w:bCs/>
      <w:sz w:val="20"/>
      <w:szCs w:val="20"/>
    </w:rPr>
  </w:style>
  <w:style w:type="paragraph" w:styleId="ListParagraph">
    <w:name w:val="List Paragraph"/>
    <w:basedOn w:val="Normal"/>
    <w:uiPriority w:val="34"/>
    <w:qFormat/>
    <w:rsid w:val="00A81CB9"/>
    <w:pPr>
      <w:ind w:left="720"/>
      <w:contextualSpacing/>
    </w:pPr>
  </w:style>
  <w:style w:type="character" w:styleId="Hyperlink">
    <w:name w:val="Hyperlink"/>
    <w:rsid w:val="007351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stainablefisheries@environment.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3E2C4A94EA1048A1CC1645186FE258" ma:contentTypeVersion="" ma:contentTypeDescription="PDMS Document Site Content Type" ma:contentTypeScope="" ma:versionID="8c40c8eecf7601b07bc5133ab1e05162">
  <xsd:schema xmlns:xsd="http://www.w3.org/2001/XMLSchema" xmlns:xs="http://www.w3.org/2001/XMLSchema" xmlns:p="http://schemas.microsoft.com/office/2006/metadata/properties" xmlns:ns2="EE70E6B1-7F4D-476E-BE26-9425A297AC28" targetNamespace="http://schemas.microsoft.com/office/2006/metadata/properties" ma:root="true" ma:fieldsID="83ccdbddd65a3b2482033042fcf74416" ns2:_="">
    <xsd:import namespace="EE70E6B1-7F4D-476E-BE26-9425A297AC2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0E6B1-7F4D-476E-BE26-9425A297AC2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ecurityClassification xmlns="EE70E6B1-7F4D-476E-BE26-9425A297AC2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2DDAF-9865-40DF-B8AF-A6D0B228F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0E6B1-7F4D-476E-BE26-9425A297A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0DB1A-6F42-4AEB-926F-C34B15FFCAD7}">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 ds:uri="EE70E6B1-7F4D-476E-BE26-9425A297AC28"/>
  </ds:schemaRefs>
</ds:datastoreItem>
</file>

<file path=customXml/itemProps3.xml><?xml version="1.0" encoding="utf-8"?>
<ds:datastoreItem xmlns:ds="http://schemas.openxmlformats.org/officeDocument/2006/customXml" ds:itemID="{EADDDD12-3007-430C-8D1A-1C1909A428B1}">
  <ds:schemaRefs>
    <ds:schemaRef ds:uri="http://schemas.openxmlformats.org/officeDocument/2006/bibliography"/>
  </ds:schemaRefs>
</ds:datastoreItem>
</file>

<file path=customXml/itemProps4.xml><?xml version="1.0" encoding="utf-8"?>
<ds:datastoreItem xmlns:ds="http://schemas.openxmlformats.org/officeDocument/2006/customXml" ds:itemID="{4E5D3FBB-4ED4-42BD-982F-608BD16A2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Instrument - WTO - Instrument (variation) - WTBF</vt:lpstr>
    </vt:vector>
  </TitlesOfParts>
  <Company>Office of Parliamentary Counsel</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WTO - Instrument (variation) - WTBF</dc:title>
  <dc:creator>[LogonUser]</dc:creator>
  <cp:lastModifiedBy>Relic, Lucas</cp:lastModifiedBy>
  <cp:revision>3</cp:revision>
  <cp:lastPrinted>2024-05-07T03:48:00Z</cp:lastPrinted>
  <dcterms:created xsi:type="dcterms:W3CDTF">2024-06-21T04:15:00Z</dcterms:created>
  <dcterms:modified xsi:type="dcterms:W3CDTF">2024-06-21T04:17:00Z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0x010100266966F133664895A6EE3632470D45F500173E2C4A94EA1048A1CC1645186FE258</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RecordFormat">
    <vt:lpwstr/>
  </property>
  <property fmtid="{D5CDD505-2E9C-101B-9397-08002B2CF9AE}" pid="8" name="RecordPoint_ActiveItemMoved">
    <vt:lpwstr/>
  </property>
  <property fmtid="{D5CDD505-2E9C-101B-9397-08002B2CF9AE}" pid="9" name="RecordPoint_SubmissionCompleted">
    <vt:lpwstr/>
  </property>
  <property fmtid="{D5CDD505-2E9C-101B-9397-08002B2CF9AE}" pid="10" name="RecordPoint_ActiveItemUniqueId">
    <vt:lpwstr>{d3e810c9-e4b1-44ee-88e8-d260ee214e24}</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ies>
</file>