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C2FD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11F421" wp14:editId="5F564E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E5307" w14:textId="18A20468" w:rsidR="005E317F" w:rsidRDefault="005E317F" w:rsidP="005E317F">
      <w:pPr>
        <w:rPr>
          <w:sz w:val="19"/>
        </w:rPr>
      </w:pPr>
    </w:p>
    <w:p w14:paraId="43B234B3" w14:textId="539C8580" w:rsidR="00C80E44" w:rsidRPr="004D3AB6" w:rsidRDefault="00C80E44" w:rsidP="00C80E44">
      <w:pPr>
        <w:rPr>
          <w:sz w:val="19"/>
        </w:rPr>
      </w:pPr>
      <w:r w:rsidRPr="00643280">
        <w:rPr>
          <w:b/>
          <w:sz w:val="28"/>
          <w:szCs w:val="28"/>
        </w:rPr>
        <w:t xml:space="preserve">PB </w:t>
      </w:r>
      <w:r w:rsidR="00F1006A">
        <w:rPr>
          <w:b/>
          <w:sz w:val="28"/>
          <w:szCs w:val="28"/>
        </w:rPr>
        <w:t>33</w:t>
      </w:r>
      <w:r w:rsidR="00643280" w:rsidRPr="00643280">
        <w:rPr>
          <w:b/>
          <w:sz w:val="28"/>
          <w:szCs w:val="28"/>
        </w:rPr>
        <w:t xml:space="preserve"> of 2024</w:t>
      </w:r>
    </w:p>
    <w:p w14:paraId="1A8FC7D3" w14:textId="77777777" w:rsidR="00C80E44" w:rsidRDefault="00C80E44" w:rsidP="005E317F">
      <w:pPr>
        <w:rPr>
          <w:sz w:val="19"/>
        </w:rPr>
      </w:pPr>
    </w:p>
    <w:p w14:paraId="42641BB2" w14:textId="36BA5F30" w:rsidR="005E317F" w:rsidRPr="00E500D4" w:rsidRDefault="00C80E44" w:rsidP="005E317F">
      <w:pPr>
        <w:pStyle w:val="ShortT"/>
      </w:pPr>
      <w:r>
        <w:t>National Health</w:t>
      </w:r>
      <w:r w:rsidR="005E317F" w:rsidRPr="00DA182D">
        <w:t xml:space="preserve"> </w:t>
      </w:r>
      <w:r w:rsidR="005E317F">
        <w:t>(</w:t>
      </w:r>
      <w:r>
        <w:t>Floor Price for Certain Brands of Pharmaceutical Items</w:t>
      </w:r>
      <w:r w:rsidR="005E317F">
        <w:t>)</w:t>
      </w:r>
      <w:r>
        <w:t xml:space="preserve"> </w:t>
      </w:r>
      <w:r w:rsidR="00FD6619">
        <w:t xml:space="preserve">Amendment </w:t>
      </w:r>
      <w:r>
        <w:t xml:space="preserve">Determination </w:t>
      </w:r>
      <w:r w:rsidR="004A5876">
        <w:t xml:space="preserve">(No. </w:t>
      </w:r>
      <w:r w:rsidR="00F1006A">
        <w:t>2</w:t>
      </w:r>
      <w:r w:rsidR="004A5876">
        <w:t xml:space="preserve">) </w:t>
      </w:r>
      <w:r>
        <w:t>202</w:t>
      </w:r>
      <w:r w:rsidR="008B3AD4">
        <w:t>4</w:t>
      </w:r>
    </w:p>
    <w:p w14:paraId="15874193" w14:textId="18C614E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02FF6">
        <w:rPr>
          <w:szCs w:val="22"/>
        </w:rPr>
        <w:t xml:space="preserve">Nikolai </w:t>
      </w:r>
      <w:proofErr w:type="spellStart"/>
      <w:r w:rsidR="00202FF6">
        <w:rPr>
          <w:szCs w:val="22"/>
        </w:rPr>
        <w:t>Tsyganov</w:t>
      </w:r>
      <w:proofErr w:type="spellEnd"/>
      <w:r w:rsidRPr="00DA182D">
        <w:rPr>
          <w:szCs w:val="22"/>
        </w:rPr>
        <w:t xml:space="preserve">, </w:t>
      </w:r>
      <w:r w:rsidR="00F96259"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</w:t>
      </w:r>
      <w:r w:rsidR="00C80E44">
        <w:rPr>
          <w:szCs w:val="22"/>
        </w:rPr>
        <w:t>following Determination</w:t>
      </w:r>
      <w:r w:rsidRPr="00DA182D">
        <w:rPr>
          <w:szCs w:val="22"/>
        </w:rPr>
        <w:t>.</w:t>
      </w:r>
    </w:p>
    <w:p w14:paraId="00EB69F1" w14:textId="5D6DD1EC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32850">
        <w:rPr>
          <w:szCs w:val="22"/>
        </w:rPr>
        <w:t>23 April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72E4DAE" w14:textId="5B35AF24" w:rsidR="00202FF6" w:rsidRPr="00202FF6" w:rsidRDefault="00202FF6" w:rsidP="00202FF6">
      <w:pPr>
        <w:shd w:val="clear" w:color="auto" w:fill="FFFFFF"/>
        <w:spacing w:before="144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02FF6">
        <w:rPr>
          <w:rFonts w:eastAsia="Times New Roman" w:cs="Times New Roman"/>
          <w:color w:val="000000"/>
          <w:szCs w:val="22"/>
          <w:lang w:eastAsia="en-AU"/>
        </w:rPr>
        <w:t xml:space="preserve">Nikolai </w:t>
      </w:r>
      <w:proofErr w:type="spellStart"/>
      <w:r w:rsidRPr="00202FF6">
        <w:rPr>
          <w:rFonts w:eastAsia="Times New Roman" w:cs="Times New Roman"/>
          <w:color w:val="000000"/>
          <w:szCs w:val="22"/>
          <w:lang w:eastAsia="en-AU"/>
        </w:rPr>
        <w:t>Tsyganov</w:t>
      </w:r>
      <w:proofErr w:type="spellEnd"/>
      <w:r w:rsidRPr="00202FF6">
        <w:rPr>
          <w:b/>
          <w:szCs w:val="22"/>
          <w:highlight w:val="lightGray"/>
        </w:rPr>
        <w:t xml:space="preserve"> </w:t>
      </w:r>
    </w:p>
    <w:p w14:paraId="4CB84753" w14:textId="4AEB577A" w:rsidR="00B20990" w:rsidRPr="00202FF6" w:rsidRDefault="00202FF6" w:rsidP="00202FF6">
      <w:pPr>
        <w:shd w:val="clear" w:color="auto" w:fill="FFFFFF"/>
        <w:spacing w:after="240" w:line="300" w:lineRule="atLeast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202FF6">
        <w:rPr>
          <w:rFonts w:eastAsia="Times New Roman" w:cs="Times New Roman"/>
          <w:color w:val="000000"/>
          <w:szCs w:val="22"/>
          <w:lang w:eastAsia="en-AU"/>
        </w:rPr>
        <w:t>Assistant Secretary</w:t>
      </w:r>
      <w:r w:rsidRPr="00202FF6">
        <w:rPr>
          <w:rFonts w:eastAsia="Times New Roman" w:cs="Times New Roman"/>
          <w:color w:val="000000"/>
          <w:szCs w:val="22"/>
          <w:lang w:eastAsia="en-AU"/>
        </w:rPr>
        <w:br/>
        <w:t>Pricing and PBS Policy Branch</w:t>
      </w:r>
      <w:r w:rsidRPr="00202FF6">
        <w:rPr>
          <w:rFonts w:eastAsia="Times New Roman" w:cs="Times New Roman"/>
          <w:color w:val="000000"/>
          <w:szCs w:val="22"/>
          <w:lang w:eastAsia="en-AU"/>
        </w:rPr>
        <w:br/>
        <w:t>Technology Assessment and Access Division</w:t>
      </w:r>
      <w:r w:rsidRPr="00202FF6">
        <w:rPr>
          <w:rFonts w:eastAsia="Times New Roman" w:cs="Times New Roman"/>
          <w:color w:val="000000"/>
          <w:szCs w:val="22"/>
          <w:lang w:eastAsia="en-AU"/>
        </w:rPr>
        <w:br/>
        <w:t>Department of Health and Aged Care</w:t>
      </w:r>
    </w:p>
    <w:p w14:paraId="54952088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E237DA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1BD87E8" w14:textId="655052BD" w:rsidR="00CF2333" w:rsidRDefault="00CF233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3F13B8B5" w14:textId="0F383933" w:rsidR="00CF2333" w:rsidRDefault="00CF233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72A1C108" w14:textId="2A12B831" w:rsidR="00CF2333" w:rsidRDefault="00CF233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42774279" w14:textId="2DA83538" w:rsidR="00CF2333" w:rsidRDefault="00CF233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743DEB74" w14:textId="65F2E7E3" w:rsidR="00CF2333" w:rsidRDefault="00CF233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1—Amendments—Additional designated brands effective from 1 August 2024</w:t>
      </w:r>
      <w:r>
        <w:rPr>
          <w:noProof/>
        </w:rPr>
        <w:tab/>
        <w:t>2</w:t>
      </w:r>
    </w:p>
    <w:p w14:paraId="067EB6A2" w14:textId="1F8C2DD3" w:rsidR="00CF2333" w:rsidRDefault="00CF233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National Health (Floor Price for Certain Brands of Pharmaceutical Items) Determination 2023</w:t>
      </w:r>
      <w:r>
        <w:rPr>
          <w:noProof/>
        </w:rPr>
        <w:tab/>
        <w:t>2</w:t>
      </w:r>
    </w:p>
    <w:p w14:paraId="46311122" w14:textId="13843394" w:rsidR="00CF2333" w:rsidRDefault="00CF233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2—Amendments—Additional designated brands effective from 1 October 2024</w:t>
      </w:r>
      <w:r>
        <w:rPr>
          <w:noProof/>
        </w:rPr>
        <w:tab/>
        <w:t>3</w:t>
      </w:r>
    </w:p>
    <w:p w14:paraId="636B2C9A" w14:textId="686E0E18" w:rsidR="00CF2333" w:rsidRDefault="00CF233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National Health (Floor Price for Certain Brands of Pharmaceutical Items) Determination 2023</w:t>
      </w:r>
      <w:r>
        <w:rPr>
          <w:noProof/>
        </w:rPr>
        <w:tab/>
        <w:t>3</w:t>
      </w:r>
    </w:p>
    <w:p w14:paraId="3DD476EC" w14:textId="1EACC6B8" w:rsidR="00B20990" w:rsidRDefault="00B20990" w:rsidP="00CF2333">
      <w:pPr>
        <w:outlineLvl w:val="0"/>
      </w:pPr>
    </w:p>
    <w:p w14:paraId="1AE31247" w14:textId="77777777" w:rsidR="00B20990" w:rsidRDefault="00B20990" w:rsidP="00B20990"/>
    <w:p w14:paraId="1440FFC4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A0D11B" w14:textId="77777777" w:rsidR="005E317F" w:rsidRPr="009C2562" w:rsidRDefault="005E317F" w:rsidP="005E317F">
      <w:pPr>
        <w:pStyle w:val="ActHead5"/>
      </w:pPr>
      <w:bookmarkStart w:id="0" w:name="_Toc156999347"/>
      <w:bookmarkStart w:id="1" w:name="_Toc16467915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bookmarkEnd w:id="1"/>
      <w:proofErr w:type="gramEnd"/>
    </w:p>
    <w:p w14:paraId="08BBCDF8" w14:textId="59E9A8F3" w:rsidR="00C80E44" w:rsidRPr="004D3AB6" w:rsidRDefault="005E317F" w:rsidP="00C80E44">
      <w:pPr>
        <w:pStyle w:val="subsection"/>
      </w:pPr>
      <w:r w:rsidRPr="009C2562">
        <w:tab/>
      </w:r>
      <w:r w:rsidR="00C80E44">
        <w:t>(1)</w:t>
      </w:r>
      <w:r w:rsidRPr="009C2562">
        <w:tab/>
      </w:r>
      <w:r w:rsidR="00C80E44" w:rsidRPr="004D3AB6">
        <w:t xml:space="preserve">This instrument is the </w:t>
      </w:r>
      <w:r w:rsidR="00C80E44" w:rsidRPr="004D3AB6">
        <w:rPr>
          <w:i/>
        </w:rPr>
        <w:t xml:space="preserve">National Health </w:t>
      </w:r>
      <w:r w:rsidR="00C80E44" w:rsidRPr="004D3AB6">
        <w:rPr>
          <w:i/>
          <w:iCs/>
        </w:rPr>
        <w:t>(Floor Price for Certain Brands of Pharmaceutical Items)</w:t>
      </w:r>
      <w:r w:rsidR="00C80E44" w:rsidRPr="004D3AB6">
        <w:rPr>
          <w:i/>
        </w:rPr>
        <w:t xml:space="preserve"> </w:t>
      </w:r>
      <w:r w:rsidR="00A44CC1">
        <w:rPr>
          <w:i/>
        </w:rPr>
        <w:t xml:space="preserve">Amendment </w:t>
      </w:r>
      <w:r w:rsidR="00C80E44" w:rsidRPr="004D3AB6">
        <w:rPr>
          <w:i/>
        </w:rPr>
        <w:t>Determination </w:t>
      </w:r>
      <w:r w:rsidR="004A5876">
        <w:rPr>
          <w:i/>
        </w:rPr>
        <w:t xml:space="preserve">(No. </w:t>
      </w:r>
      <w:r w:rsidR="00F1006A">
        <w:rPr>
          <w:i/>
        </w:rPr>
        <w:t>2</w:t>
      </w:r>
      <w:r w:rsidR="004A5876">
        <w:rPr>
          <w:i/>
        </w:rPr>
        <w:t xml:space="preserve">) </w:t>
      </w:r>
      <w:r w:rsidR="00C80E44" w:rsidRPr="004D3AB6">
        <w:rPr>
          <w:i/>
        </w:rPr>
        <w:t>202</w:t>
      </w:r>
      <w:r w:rsidR="008B3AD4">
        <w:rPr>
          <w:i/>
        </w:rPr>
        <w:t>4</w:t>
      </w:r>
      <w:r w:rsidR="00C80E44" w:rsidRPr="004D3AB6">
        <w:t>.</w:t>
      </w:r>
    </w:p>
    <w:p w14:paraId="6082B68C" w14:textId="74035E8C" w:rsidR="005E317F" w:rsidRDefault="00C80E44" w:rsidP="00C80E44">
      <w:pPr>
        <w:pStyle w:val="subsection"/>
      </w:pPr>
      <w:r w:rsidRPr="004D3AB6">
        <w:tab/>
        <w:t>(2)</w:t>
      </w:r>
      <w:r w:rsidRPr="004D3AB6">
        <w:tab/>
        <w:t xml:space="preserve">This instrument may also be cited </w:t>
      </w:r>
      <w:r w:rsidRPr="00643280">
        <w:t xml:space="preserve">as PB </w:t>
      </w:r>
      <w:r w:rsidR="00F1006A">
        <w:t>33</w:t>
      </w:r>
      <w:r w:rsidR="00643280" w:rsidRPr="00643280">
        <w:t xml:space="preserve"> </w:t>
      </w:r>
      <w:r w:rsidRPr="00643280">
        <w:t>of 202</w:t>
      </w:r>
      <w:r w:rsidR="00643280" w:rsidRPr="00643280">
        <w:t>4</w:t>
      </w:r>
      <w:r w:rsidRPr="00643280">
        <w:t>.</w:t>
      </w:r>
    </w:p>
    <w:p w14:paraId="11A20C7A" w14:textId="77777777" w:rsidR="005E317F" w:rsidRDefault="005E317F" w:rsidP="005E317F">
      <w:pPr>
        <w:pStyle w:val="ActHead5"/>
      </w:pPr>
      <w:bookmarkStart w:id="2" w:name="_Toc156999348"/>
      <w:bookmarkStart w:id="3" w:name="_Toc16467915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bookmarkEnd w:id="3"/>
      <w:proofErr w:type="gramEnd"/>
    </w:p>
    <w:p w14:paraId="4530ADC4" w14:textId="40BB02E4" w:rsidR="006C6164" w:rsidRPr="004D3AB6" w:rsidRDefault="005E317F" w:rsidP="006C6164">
      <w:pPr>
        <w:pStyle w:val="subsection"/>
      </w:pPr>
      <w:r>
        <w:tab/>
      </w:r>
      <w:r w:rsidR="006C6164" w:rsidRPr="004D3AB6">
        <w:t>(1)</w:t>
      </w:r>
      <w:r w:rsidR="006C6164" w:rsidRPr="004D3AB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7870214" w14:textId="77777777" w:rsidR="006C6164" w:rsidRPr="004D3AB6" w:rsidRDefault="006C6164" w:rsidP="006C616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C6164" w:rsidRPr="004D3AB6" w14:paraId="53D2BBE0" w14:textId="77777777" w:rsidTr="0064328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67BD38" w14:textId="77777777" w:rsidR="006C6164" w:rsidRPr="004D3AB6" w:rsidRDefault="006C6164" w:rsidP="00CD5F18">
            <w:pPr>
              <w:pStyle w:val="TableHeading"/>
            </w:pPr>
            <w:r w:rsidRPr="004D3AB6">
              <w:t>Commencement information</w:t>
            </w:r>
          </w:p>
        </w:tc>
      </w:tr>
      <w:tr w:rsidR="006C6164" w:rsidRPr="004D3AB6" w14:paraId="58C0B1CA" w14:textId="77777777" w:rsidTr="0064328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7E527F" w14:textId="77777777" w:rsidR="006C6164" w:rsidRPr="004D3AB6" w:rsidRDefault="006C6164" w:rsidP="00CD5F18">
            <w:pPr>
              <w:pStyle w:val="TableHeading"/>
            </w:pPr>
            <w:r w:rsidRPr="004D3AB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2FAEF9" w14:textId="77777777" w:rsidR="006C6164" w:rsidRPr="004D3AB6" w:rsidRDefault="006C6164" w:rsidP="00CD5F18">
            <w:pPr>
              <w:pStyle w:val="TableHeading"/>
            </w:pPr>
            <w:r w:rsidRPr="004D3AB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586253" w14:textId="77777777" w:rsidR="006C6164" w:rsidRPr="004D3AB6" w:rsidRDefault="006C6164" w:rsidP="00CD5F18">
            <w:pPr>
              <w:pStyle w:val="TableHeading"/>
            </w:pPr>
            <w:r w:rsidRPr="004D3AB6">
              <w:t>Column 3</w:t>
            </w:r>
          </w:p>
        </w:tc>
      </w:tr>
      <w:tr w:rsidR="006C6164" w:rsidRPr="004D3AB6" w14:paraId="2758D9B6" w14:textId="77777777" w:rsidTr="0064328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716F97" w14:textId="77777777" w:rsidR="006C6164" w:rsidRPr="004D3AB6" w:rsidRDefault="006C6164" w:rsidP="00CD5F18">
            <w:pPr>
              <w:pStyle w:val="TableHeading"/>
            </w:pPr>
            <w:r w:rsidRPr="004D3AB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D2F28F" w14:textId="77777777" w:rsidR="006C6164" w:rsidRPr="004D3AB6" w:rsidRDefault="006C6164" w:rsidP="00CD5F18">
            <w:pPr>
              <w:pStyle w:val="TableHeading"/>
            </w:pPr>
            <w:r w:rsidRPr="004D3AB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B037C8" w14:textId="77777777" w:rsidR="006C6164" w:rsidRPr="004D3AB6" w:rsidRDefault="006C6164" w:rsidP="00CD5F18">
            <w:pPr>
              <w:pStyle w:val="TableHeading"/>
            </w:pPr>
            <w:r w:rsidRPr="004D3AB6">
              <w:t>Date/Details</w:t>
            </w:r>
          </w:p>
        </w:tc>
      </w:tr>
      <w:tr w:rsidR="006C6164" w:rsidRPr="004D3AB6" w14:paraId="10E3EDF0" w14:textId="77777777" w:rsidTr="0064328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A4DDE2" w14:textId="2A2AE054" w:rsidR="006C6164" w:rsidRPr="004D3AB6" w:rsidRDefault="006C6164" w:rsidP="00CD5F18">
            <w:pPr>
              <w:pStyle w:val="Tabletext"/>
            </w:pPr>
            <w:r w:rsidRPr="004D3AB6">
              <w:t xml:space="preserve">1.  </w:t>
            </w:r>
            <w:r w:rsidR="00295075"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E0D482" w14:textId="50D08E87" w:rsidR="006C6164" w:rsidRPr="004A5876" w:rsidRDefault="004A5876" w:rsidP="00CD5F18">
            <w:pPr>
              <w:pStyle w:val="Tabletext"/>
            </w:pPr>
            <w:r w:rsidRPr="00EC33C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455BEA" w14:textId="40F3ACEA" w:rsidR="006C6164" w:rsidRPr="004D3AB6" w:rsidRDefault="006C6164" w:rsidP="00CD5F18">
            <w:pPr>
              <w:pStyle w:val="Tabletext"/>
            </w:pPr>
          </w:p>
        </w:tc>
      </w:tr>
      <w:tr w:rsidR="00AD0586" w:rsidRPr="008B3AD4" w14:paraId="356B9A25" w14:textId="77777777" w:rsidTr="0064328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26DFF0" w14:textId="14FF72BA" w:rsidR="00AD0586" w:rsidRPr="00643280" w:rsidRDefault="00AD0586" w:rsidP="00CD5F18">
            <w:pPr>
              <w:pStyle w:val="Tabletext"/>
            </w:pPr>
            <w:r w:rsidRPr="00643280">
              <w:t xml:space="preserve">2.  Schedule </w:t>
            </w:r>
            <w:r w:rsidR="00643280" w:rsidRPr="00643280">
              <w:t>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69C5C9" w14:textId="46424377" w:rsidR="00AD0586" w:rsidRPr="00643280" w:rsidRDefault="00643280" w:rsidP="00CD5F18">
            <w:pPr>
              <w:pStyle w:val="Tabletext"/>
            </w:pPr>
            <w:r w:rsidRPr="0064328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E215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August</w:t>
            </w:r>
            <w:r w:rsidRPr="0064328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D5BACA" w14:textId="463EA697" w:rsidR="00AD0586" w:rsidRPr="00643280" w:rsidRDefault="00643280" w:rsidP="00CD5F18">
            <w:pPr>
              <w:pStyle w:val="Tabletext"/>
            </w:pPr>
            <w:r w:rsidRPr="00643280">
              <w:t xml:space="preserve">1 </w:t>
            </w:r>
            <w:r w:rsidR="000E2150">
              <w:t>August</w:t>
            </w:r>
            <w:r w:rsidRPr="00643280">
              <w:t xml:space="preserve"> 2024</w:t>
            </w:r>
          </w:p>
        </w:tc>
      </w:tr>
      <w:tr w:rsidR="000E2150" w:rsidRPr="008B3AD4" w14:paraId="000940D6" w14:textId="77777777" w:rsidTr="0064328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C9700E" w14:textId="342E6EE5" w:rsidR="000E2150" w:rsidRPr="00643280" w:rsidRDefault="000D4CCC" w:rsidP="00CD5F18">
            <w:pPr>
              <w:pStyle w:val="Tabletext"/>
            </w:pPr>
            <w:r>
              <w:t>3.  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DCB820" w14:textId="7C324026" w:rsidR="000E2150" w:rsidRPr="00643280" w:rsidRDefault="000D4CCC" w:rsidP="00CD5F18">
            <w:pPr>
              <w:pStyle w:val="Tabletext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1 October 2024</w:t>
            </w:r>
            <w:r w:rsidR="005B300D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90AB52" w14:textId="5B8DA8BB" w:rsidR="000E2150" w:rsidRPr="00643280" w:rsidRDefault="000D4CCC" w:rsidP="00CD5F18">
            <w:pPr>
              <w:pStyle w:val="Tabletext"/>
            </w:pPr>
            <w:r>
              <w:t>1 October 2024</w:t>
            </w:r>
          </w:p>
        </w:tc>
      </w:tr>
    </w:tbl>
    <w:p w14:paraId="132BC012" w14:textId="77777777" w:rsidR="006C6164" w:rsidRPr="004D3AB6" w:rsidRDefault="006C6164" w:rsidP="006C6164">
      <w:pPr>
        <w:pStyle w:val="notetext"/>
      </w:pPr>
      <w:r w:rsidRPr="004D3AB6">
        <w:rPr>
          <w:snapToGrid w:val="0"/>
          <w:lang w:eastAsia="en-US"/>
        </w:rPr>
        <w:t>Note:</w:t>
      </w:r>
      <w:r w:rsidRPr="004D3AB6">
        <w:rPr>
          <w:snapToGrid w:val="0"/>
          <w:lang w:eastAsia="en-US"/>
        </w:rPr>
        <w:tab/>
        <w:t>This table relates only to the provisions of this instrument</w:t>
      </w:r>
      <w:r w:rsidRPr="004D3AB6">
        <w:t xml:space="preserve"> </w:t>
      </w:r>
      <w:r w:rsidRPr="004D3AB6">
        <w:rPr>
          <w:snapToGrid w:val="0"/>
          <w:lang w:eastAsia="en-US"/>
        </w:rPr>
        <w:t>as originally made. It will not be amended to deal with any later amendments of this instrument.</w:t>
      </w:r>
    </w:p>
    <w:p w14:paraId="107428A4" w14:textId="77777777" w:rsidR="006C6164" w:rsidRPr="004D3AB6" w:rsidRDefault="006C6164" w:rsidP="006C6164">
      <w:pPr>
        <w:pStyle w:val="subsection"/>
      </w:pPr>
      <w:r w:rsidRPr="004D3AB6">
        <w:tab/>
        <w:t>(2)</w:t>
      </w:r>
      <w:r w:rsidRPr="004D3AB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F558CCD" w14:textId="77777777" w:rsidR="005E317F" w:rsidRPr="009C2562" w:rsidRDefault="005E317F" w:rsidP="005E317F">
      <w:pPr>
        <w:pStyle w:val="ActHead5"/>
      </w:pPr>
      <w:bookmarkStart w:id="4" w:name="_Toc156999349"/>
      <w:bookmarkStart w:id="5" w:name="_Toc16467916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bookmarkEnd w:id="5"/>
      <w:proofErr w:type="gramEnd"/>
    </w:p>
    <w:p w14:paraId="100796DA" w14:textId="6B0BDAAA" w:rsidR="005E317F" w:rsidRPr="006C6164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6C6164">
        <w:t>under subsection 99</w:t>
      </w:r>
      <w:proofErr w:type="gramStart"/>
      <w:r w:rsidR="006C6164">
        <w:t>ADHC(</w:t>
      </w:r>
      <w:proofErr w:type="gramEnd"/>
      <w:r w:rsidR="006C6164">
        <w:t xml:space="preserve">2) of the </w:t>
      </w:r>
      <w:r w:rsidR="006C6164">
        <w:rPr>
          <w:i/>
          <w:iCs/>
        </w:rPr>
        <w:t>National Health Act 1953</w:t>
      </w:r>
      <w:r w:rsidR="006C6164">
        <w:t>.</w:t>
      </w:r>
    </w:p>
    <w:p w14:paraId="18192984" w14:textId="64526082" w:rsidR="006C6164" w:rsidRDefault="005E317F" w:rsidP="00896992">
      <w:pPr>
        <w:pStyle w:val="ActHead5"/>
      </w:pPr>
      <w:bookmarkStart w:id="6" w:name="_Toc156999350"/>
      <w:bookmarkStart w:id="7" w:name="_Toc164679161"/>
      <w:proofErr w:type="gramStart"/>
      <w:r w:rsidRPr="006065DA">
        <w:t xml:space="preserve">4  </w:t>
      </w:r>
      <w:r w:rsidR="00896992">
        <w:t>Schedules</w:t>
      </w:r>
      <w:bookmarkEnd w:id="6"/>
      <w:bookmarkEnd w:id="7"/>
      <w:proofErr w:type="gramEnd"/>
    </w:p>
    <w:p w14:paraId="399FF8BF" w14:textId="77777777" w:rsidR="006C6164" w:rsidRDefault="006C6164" w:rsidP="006C6164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DFC129D" w14:textId="77777777" w:rsidR="006C6164" w:rsidRDefault="006C6164" w:rsidP="005E317F">
      <w:pPr>
        <w:pStyle w:val="subsection"/>
      </w:pPr>
    </w:p>
    <w:p w14:paraId="70224772" w14:textId="76BE64A7" w:rsidR="008D0A39" w:rsidRDefault="008D0A39" w:rsidP="0050753B">
      <w:pPr>
        <w:pStyle w:val="ActHead6"/>
        <w:pageBreakBefore/>
        <w:ind w:left="0" w:firstLine="0"/>
      </w:pPr>
      <w:bookmarkStart w:id="8" w:name="_Toc156999351"/>
      <w:bookmarkStart w:id="9" w:name="_Toc164679162"/>
      <w:r w:rsidRPr="00DB64FC">
        <w:rPr>
          <w:rStyle w:val="CharAmSchNo"/>
        </w:rPr>
        <w:lastRenderedPageBreak/>
        <w:t>Schedule </w:t>
      </w:r>
      <w:r w:rsidR="00643280">
        <w:rPr>
          <w:rStyle w:val="CharAmSchNo"/>
        </w:rPr>
        <w:t>1</w:t>
      </w:r>
      <w:r>
        <w:t>—</w:t>
      </w:r>
      <w:r w:rsidRPr="00DB64FC">
        <w:rPr>
          <w:rStyle w:val="CharAmSchText"/>
        </w:rPr>
        <w:t>Amendments</w:t>
      </w:r>
      <w:r>
        <w:t>—</w:t>
      </w:r>
      <w:r w:rsidR="00F63172">
        <w:t>Additional designated brands effective from 1</w:t>
      </w:r>
      <w:r w:rsidR="00643280">
        <w:t> </w:t>
      </w:r>
      <w:r w:rsidR="000D5583">
        <w:t>August</w:t>
      </w:r>
      <w:r w:rsidR="00643280">
        <w:t> </w:t>
      </w:r>
      <w:r w:rsidR="00F63172">
        <w:t>2024</w:t>
      </w:r>
      <w:bookmarkEnd w:id="8"/>
      <w:bookmarkEnd w:id="9"/>
    </w:p>
    <w:p w14:paraId="420EEBDB" w14:textId="5DBF3B8F" w:rsidR="00DD35F8" w:rsidRDefault="00DD35F8" w:rsidP="00DD35F8">
      <w:pPr>
        <w:pStyle w:val="ActHead9"/>
        <w:ind w:left="0" w:firstLine="0"/>
        <w:rPr>
          <w:i w:val="0"/>
          <w:iCs/>
        </w:rPr>
      </w:pPr>
      <w:bookmarkStart w:id="10" w:name="_Toc156999352"/>
      <w:bookmarkStart w:id="11" w:name="_Toc164679163"/>
      <w:r>
        <w:t>National Health (Floor Price for Certain Brands of Pharmaceutical Items) Determination 202</w:t>
      </w:r>
      <w:bookmarkEnd w:id="10"/>
      <w:r w:rsidR="00FF6696">
        <w:t>3</w:t>
      </w:r>
      <w:bookmarkEnd w:id="11"/>
    </w:p>
    <w:p w14:paraId="74C5289B" w14:textId="4911DE19" w:rsidR="004A5876" w:rsidRPr="00643280" w:rsidRDefault="00C23EB3" w:rsidP="00AE79CA">
      <w:pPr>
        <w:pStyle w:val="ItemHead"/>
        <w:ind w:left="284" w:hanging="284"/>
        <w:rPr>
          <w:szCs w:val="24"/>
        </w:rPr>
      </w:pPr>
      <w:proofErr w:type="gramStart"/>
      <w:r w:rsidRPr="00643280">
        <w:rPr>
          <w:szCs w:val="24"/>
        </w:rPr>
        <w:t>1</w:t>
      </w:r>
      <w:r w:rsidR="004A5876" w:rsidRPr="00643280">
        <w:rPr>
          <w:szCs w:val="24"/>
        </w:rPr>
        <w:t xml:space="preserve">  Section</w:t>
      </w:r>
      <w:proofErr w:type="gramEnd"/>
      <w:r w:rsidR="004A5876" w:rsidRPr="00643280">
        <w:rPr>
          <w:szCs w:val="24"/>
        </w:rPr>
        <w:t xml:space="preserve"> 5 (after table item dealing with the brand </w:t>
      </w:r>
      <w:r w:rsidR="00930413">
        <w:rPr>
          <w:szCs w:val="24"/>
        </w:rPr>
        <w:t>Penthrox</w:t>
      </w:r>
      <w:r w:rsidR="006A5611" w:rsidRPr="00643280">
        <w:rPr>
          <w:szCs w:val="24"/>
        </w:rPr>
        <w:t xml:space="preserve"> </w:t>
      </w:r>
      <w:r w:rsidR="007246E1" w:rsidRPr="00643280">
        <w:rPr>
          <w:szCs w:val="24"/>
        </w:rPr>
        <w:t xml:space="preserve">of the drug </w:t>
      </w:r>
      <w:r w:rsidR="00930413">
        <w:rPr>
          <w:szCs w:val="24"/>
        </w:rPr>
        <w:t>Methoxyfl</w:t>
      </w:r>
      <w:r w:rsidR="003F4005">
        <w:rPr>
          <w:szCs w:val="24"/>
        </w:rPr>
        <w:t>urane</w:t>
      </w:r>
      <w:r w:rsidR="00643280" w:rsidRPr="00643280">
        <w:rPr>
          <w:szCs w:val="24"/>
        </w:rPr>
        <w:t xml:space="preserve"> </w:t>
      </w:r>
      <w:r w:rsidR="004A5876" w:rsidRPr="00643280">
        <w:rPr>
          <w:szCs w:val="24"/>
        </w:rPr>
        <w:t xml:space="preserve">in the form </w:t>
      </w:r>
      <w:r w:rsidR="00953908">
        <w:rPr>
          <w:szCs w:val="24"/>
        </w:rPr>
        <w:t>Liquid for inhalation 999 mg per g, 3 ml (with inhaler)</w:t>
      </w:r>
      <w:r w:rsidR="0005586A">
        <w:rPr>
          <w:szCs w:val="24"/>
        </w:rPr>
        <w:t>)</w:t>
      </w:r>
    </w:p>
    <w:p w14:paraId="4AB3BE2A" w14:textId="77777777" w:rsidR="004A5876" w:rsidRPr="00643280" w:rsidRDefault="004A5876" w:rsidP="004A5876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9A218D" w:rsidRPr="008B3AD4" w14:paraId="73DAB43B" w14:textId="77777777" w:rsidTr="00216C7F">
        <w:tc>
          <w:tcPr>
            <w:tcW w:w="2083" w:type="dxa"/>
            <w:shd w:val="clear" w:color="auto" w:fill="auto"/>
          </w:tcPr>
          <w:p w14:paraId="2BA4FB72" w14:textId="1573CB3C" w:rsidR="009A218D" w:rsidRDefault="002A7882" w:rsidP="00643280">
            <w:pPr>
              <w:pStyle w:val="Tabletext"/>
              <w:rPr>
                <w:color w:val="000000"/>
              </w:rPr>
            </w:pPr>
            <w:r w:rsidRPr="002A7882">
              <w:rPr>
                <w:color w:val="000000"/>
              </w:rPr>
              <w:t>METOCLOPRAMIDE INJECTION BP</w:t>
            </w:r>
          </w:p>
        </w:tc>
        <w:tc>
          <w:tcPr>
            <w:tcW w:w="1971" w:type="dxa"/>
            <w:shd w:val="clear" w:color="auto" w:fill="auto"/>
          </w:tcPr>
          <w:p w14:paraId="734F15EF" w14:textId="60D83AA2" w:rsidR="009A218D" w:rsidRDefault="0053651F" w:rsidP="00643280">
            <w:pPr>
              <w:pStyle w:val="Tabletext"/>
              <w:rPr>
                <w:color w:val="000000"/>
              </w:rPr>
            </w:pPr>
            <w:r w:rsidRPr="0053651F">
              <w:rPr>
                <w:color w:val="000000"/>
              </w:rPr>
              <w:t>Metoclopramide</w:t>
            </w:r>
          </w:p>
        </w:tc>
        <w:tc>
          <w:tcPr>
            <w:tcW w:w="3065" w:type="dxa"/>
            <w:shd w:val="clear" w:color="auto" w:fill="auto"/>
          </w:tcPr>
          <w:p w14:paraId="3C0963A4" w14:textId="5CA30AFC" w:rsidR="009A218D" w:rsidRDefault="0053651F" w:rsidP="00643280">
            <w:pPr>
              <w:pStyle w:val="Tabletext"/>
              <w:rPr>
                <w:color w:val="000000"/>
              </w:rPr>
            </w:pPr>
            <w:r w:rsidRPr="0053651F">
              <w:rPr>
                <w:color w:val="000000"/>
              </w:rPr>
              <w:t>Injection containing 10 mg metoclopramide hydrochloride (as monohydrate) in 2 mL</w:t>
            </w:r>
          </w:p>
        </w:tc>
        <w:tc>
          <w:tcPr>
            <w:tcW w:w="1386" w:type="dxa"/>
            <w:shd w:val="clear" w:color="auto" w:fill="auto"/>
          </w:tcPr>
          <w:p w14:paraId="4F40611F" w14:textId="7CCA1F43" w:rsidR="009A218D" w:rsidRDefault="00D11F00" w:rsidP="00643280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Injection</w:t>
            </w:r>
          </w:p>
        </w:tc>
      </w:tr>
    </w:tbl>
    <w:p w14:paraId="20E9A2A9" w14:textId="278A6EBB" w:rsidR="00B5665D" w:rsidRDefault="00B5665D" w:rsidP="00ED3A07">
      <w:pPr>
        <w:pStyle w:val="ItemHead"/>
        <w:ind w:left="284" w:hanging="284"/>
        <w:rPr>
          <w:color w:val="000000"/>
        </w:rPr>
      </w:pPr>
    </w:p>
    <w:p w14:paraId="04C6B376" w14:textId="77777777" w:rsidR="00B5665D" w:rsidRDefault="00B5665D">
      <w:pPr>
        <w:spacing w:line="240" w:lineRule="auto"/>
        <w:rPr>
          <w:rFonts w:ascii="Arial" w:eastAsia="Times New Roman" w:hAnsi="Arial" w:cs="Times New Roman"/>
          <w:b/>
          <w:color w:val="000000"/>
          <w:kern w:val="28"/>
          <w:sz w:val="24"/>
          <w:lang w:eastAsia="en-AU"/>
        </w:rPr>
      </w:pPr>
      <w:r>
        <w:rPr>
          <w:color w:val="000000"/>
        </w:rPr>
        <w:br w:type="page"/>
      </w:r>
    </w:p>
    <w:p w14:paraId="330A24C4" w14:textId="2E5785F8" w:rsidR="00B5665D" w:rsidRDefault="00B5665D" w:rsidP="00B5665D">
      <w:pPr>
        <w:pStyle w:val="ActHead6"/>
        <w:pageBreakBefore/>
        <w:ind w:left="0" w:firstLine="0"/>
      </w:pPr>
      <w:bookmarkStart w:id="12" w:name="_Toc164679164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>
        <w:t>—</w:t>
      </w:r>
      <w:r w:rsidRPr="00DB64FC">
        <w:rPr>
          <w:rStyle w:val="CharAmSchText"/>
        </w:rPr>
        <w:t>Amendments</w:t>
      </w:r>
      <w:r>
        <w:t>—Additional designated brands effective from 1 October 2024</w:t>
      </w:r>
      <w:bookmarkEnd w:id="12"/>
    </w:p>
    <w:p w14:paraId="27313165" w14:textId="68510530" w:rsidR="00B5665D" w:rsidRDefault="00B5665D" w:rsidP="00B5665D">
      <w:pPr>
        <w:pStyle w:val="ActHead9"/>
        <w:ind w:left="0" w:firstLine="0"/>
        <w:rPr>
          <w:i w:val="0"/>
          <w:iCs/>
        </w:rPr>
      </w:pPr>
      <w:bookmarkStart w:id="13" w:name="_Toc164679165"/>
      <w:r>
        <w:t>National Health (Floor Price for Certain Brands of Pharmaceutical Items) Determination 202</w:t>
      </w:r>
      <w:r w:rsidR="00FF6696">
        <w:t>3</w:t>
      </w:r>
      <w:bookmarkEnd w:id="13"/>
    </w:p>
    <w:p w14:paraId="2540C064" w14:textId="1CF7BFD7" w:rsidR="00B5665D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1  </w:t>
      </w:r>
      <w:r w:rsidR="00B5665D" w:rsidRPr="00643280">
        <w:rPr>
          <w:szCs w:val="24"/>
        </w:rPr>
        <w:t>Section</w:t>
      </w:r>
      <w:proofErr w:type="gramEnd"/>
      <w:r w:rsidR="00B5665D" w:rsidRPr="00643280">
        <w:rPr>
          <w:szCs w:val="24"/>
        </w:rPr>
        <w:t xml:space="preserve"> 5 </w:t>
      </w:r>
      <w:r w:rsidR="00B5665D" w:rsidRPr="00454E03">
        <w:rPr>
          <w:szCs w:val="24"/>
        </w:rPr>
        <w:t>(</w:t>
      </w:r>
      <w:r w:rsidR="00A67F76" w:rsidRPr="00454E03">
        <w:rPr>
          <w:szCs w:val="24"/>
        </w:rPr>
        <w:t>before</w:t>
      </w:r>
      <w:r w:rsidR="00B5665D" w:rsidRPr="00454E03">
        <w:rPr>
          <w:szCs w:val="24"/>
        </w:rPr>
        <w:t xml:space="preserve"> table</w:t>
      </w:r>
      <w:r w:rsidR="00B5665D" w:rsidRPr="00643280">
        <w:rPr>
          <w:szCs w:val="24"/>
        </w:rPr>
        <w:t xml:space="preserve"> item dealing with the brand </w:t>
      </w:r>
      <w:r w:rsidR="00A67F76">
        <w:rPr>
          <w:szCs w:val="24"/>
        </w:rPr>
        <w:t xml:space="preserve">PKU </w:t>
      </w:r>
      <w:proofErr w:type="spellStart"/>
      <w:r w:rsidR="00A67F76">
        <w:rPr>
          <w:szCs w:val="24"/>
        </w:rPr>
        <w:t>squeezie</w:t>
      </w:r>
      <w:proofErr w:type="spellEnd"/>
      <w:r w:rsidR="00B5665D" w:rsidRPr="00643280">
        <w:rPr>
          <w:szCs w:val="24"/>
        </w:rPr>
        <w:t xml:space="preserve"> of the drug </w:t>
      </w:r>
      <w:r w:rsidR="0056652B">
        <w:rPr>
          <w:szCs w:val="24"/>
        </w:rPr>
        <w:t xml:space="preserve">Amino acid formula with </w:t>
      </w:r>
      <w:r w:rsidR="0074391E">
        <w:rPr>
          <w:szCs w:val="24"/>
        </w:rPr>
        <w:t xml:space="preserve">vitamins and minerals without </w:t>
      </w:r>
      <w:r w:rsidR="004B22E0">
        <w:rPr>
          <w:szCs w:val="24"/>
        </w:rPr>
        <w:t xml:space="preserve">phenylalanine </w:t>
      </w:r>
      <w:r w:rsidR="00B5665D" w:rsidRPr="00643280">
        <w:rPr>
          <w:szCs w:val="24"/>
        </w:rPr>
        <w:t>in the form</w:t>
      </w:r>
      <w:r w:rsidR="00D624F0">
        <w:rPr>
          <w:szCs w:val="24"/>
        </w:rPr>
        <w:t xml:space="preserve"> Oral gel 85 g, 30 (PKU </w:t>
      </w:r>
      <w:proofErr w:type="spellStart"/>
      <w:r w:rsidR="00D624F0">
        <w:rPr>
          <w:szCs w:val="24"/>
        </w:rPr>
        <w:t>squeezie</w:t>
      </w:r>
      <w:proofErr w:type="spellEnd"/>
      <w:r w:rsidR="00D624F0">
        <w:rPr>
          <w:szCs w:val="24"/>
        </w:rPr>
        <w:t>)</w:t>
      </w:r>
    </w:p>
    <w:p w14:paraId="402187DB" w14:textId="77777777" w:rsidR="00B5665D" w:rsidRPr="00643280" w:rsidRDefault="00B5665D" w:rsidP="00B5665D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D624F0" w:rsidRPr="008B3AD4" w14:paraId="176BCABE" w14:textId="77777777" w:rsidTr="003D6407">
        <w:tc>
          <w:tcPr>
            <w:tcW w:w="2083" w:type="dxa"/>
            <w:shd w:val="clear" w:color="auto" w:fill="auto"/>
          </w:tcPr>
          <w:p w14:paraId="742A81B8" w14:textId="7FCC21D0" w:rsidR="00D624F0" w:rsidRDefault="004F7184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GA gel</w:t>
            </w:r>
          </w:p>
        </w:tc>
        <w:tc>
          <w:tcPr>
            <w:tcW w:w="1971" w:type="dxa"/>
            <w:shd w:val="clear" w:color="auto" w:fill="auto"/>
          </w:tcPr>
          <w:p w14:paraId="1DBF602A" w14:textId="3C33B595" w:rsidR="00D624F0" w:rsidRDefault="004F7184" w:rsidP="005E6547">
            <w:pPr>
              <w:pStyle w:val="Tabletext"/>
              <w:rPr>
                <w:color w:val="000000"/>
              </w:rPr>
            </w:pPr>
            <w:r w:rsidRPr="004F7184">
              <w:rPr>
                <w:color w:val="000000"/>
              </w:rPr>
              <w:t>Amino acid formula with vitamins and minerals without lysine and low in tryptophan</w:t>
            </w:r>
          </w:p>
        </w:tc>
        <w:tc>
          <w:tcPr>
            <w:tcW w:w="3065" w:type="dxa"/>
            <w:shd w:val="clear" w:color="auto" w:fill="auto"/>
          </w:tcPr>
          <w:p w14:paraId="51D8E986" w14:textId="25495DB2" w:rsidR="00D624F0" w:rsidRDefault="00EE7688" w:rsidP="005E6547">
            <w:pPr>
              <w:pStyle w:val="Tabletext"/>
              <w:rPr>
                <w:color w:val="000000"/>
              </w:rPr>
            </w:pPr>
            <w:r w:rsidRPr="00EE7688">
              <w:rPr>
                <w:color w:val="000000"/>
              </w:rPr>
              <w:t>Sachets containing oral powder 24 g, 30 (GA gel)</w:t>
            </w:r>
          </w:p>
        </w:tc>
        <w:tc>
          <w:tcPr>
            <w:tcW w:w="1386" w:type="dxa"/>
            <w:shd w:val="clear" w:color="auto" w:fill="auto"/>
          </w:tcPr>
          <w:p w14:paraId="09839159" w14:textId="5A3C3E18" w:rsidR="00D624F0" w:rsidRDefault="00EE7688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</w:tbl>
    <w:p w14:paraId="76BA7D1F" w14:textId="67875D1D" w:rsidR="001E63A9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2  </w:t>
      </w:r>
      <w:r w:rsidR="001E63A9" w:rsidRPr="00643280">
        <w:rPr>
          <w:szCs w:val="24"/>
        </w:rPr>
        <w:t>Section</w:t>
      </w:r>
      <w:proofErr w:type="gramEnd"/>
      <w:r w:rsidR="001E63A9" w:rsidRPr="00643280">
        <w:rPr>
          <w:szCs w:val="24"/>
        </w:rPr>
        <w:t xml:space="preserve"> 5 (</w:t>
      </w:r>
      <w:r w:rsidR="001E63A9">
        <w:rPr>
          <w:szCs w:val="24"/>
        </w:rPr>
        <w:t xml:space="preserve">after </w:t>
      </w:r>
      <w:r w:rsidR="001E63A9" w:rsidRPr="00643280">
        <w:rPr>
          <w:szCs w:val="24"/>
        </w:rPr>
        <w:t xml:space="preserve">table item dealing with the brand </w:t>
      </w:r>
      <w:proofErr w:type="spellStart"/>
      <w:r w:rsidR="00070336">
        <w:rPr>
          <w:szCs w:val="24"/>
        </w:rPr>
        <w:t>Bicillin</w:t>
      </w:r>
      <w:proofErr w:type="spellEnd"/>
      <w:r w:rsidR="00070336">
        <w:rPr>
          <w:szCs w:val="24"/>
        </w:rPr>
        <w:t xml:space="preserve"> L-A of the drug </w:t>
      </w:r>
      <w:r w:rsidR="008F400C" w:rsidRPr="008F400C">
        <w:rPr>
          <w:szCs w:val="24"/>
        </w:rPr>
        <w:t>Benzathine benzylpenicillin</w:t>
      </w:r>
      <w:r w:rsidR="008F400C">
        <w:rPr>
          <w:szCs w:val="24"/>
        </w:rPr>
        <w:t xml:space="preserve"> in the form </w:t>
      </w:r>
      <w:r w:rsidR="008F400C" w:rsidRPr="008F400C">
        <w:rPr>
          <w:szCs w:val="24"/>
        </w:rPr>
        <w:t>Injection containing 600,000 units benzathine benzylpenicillin tetrahydrate in 1.17 mL single use pre-filled syringe</w:t>
      </w:r>
      <w:r w:rsidR="001E63A9">
        <w:rPr>
          <w:szCs w:val="24"/>
        </w:rPr>
        <w:t>)</w:t>
      </w:r>
    </w:p>
    <w:p w14:paraId="6B5F0F70" w14:textId="77777777" w:rsidR="001E63A9" w:rsidRPr="00643280" w:rsidRDefault="001E63A9" w:rsidP="001E63A9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1E63A9" w:rsidRPr="008B3AD4" w14:paraId="4F5B7329" w14:textId="77777777" w:rsidTr="001B6B9C"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14:paraId="38E01B39" w14:textId="56BC71F6" w:rsidR="001E63A9" w:rsidRDefault="00DB2ED5" w:rsidP="005E6547">
            <w:pPr>
              <w:pStyle w:val="Tabletext"/>
              <w:rPr>
                <w:color w:val="000000"/>
              </w:rPr>
            </w:pPr>
            <w:r w:rsidRPr="00DB2ED5">
              <w:rPr>
                <w:color w:val="000000"/>
              </w:rPr>
              <w:t xml:space="preserve">Pulmicort </w:t>
            </w:r>
            <w:proofErr w:type="spellStart"/>
            <w:r w:rsidRPr="00DB2ED5">
              <w:rPr>
                <w:color w:val="000000"/>
              </w:rPr>
              <w:t>Respules</w:t>
            </w:r>
            <w:proofErr w:type="spellEnd"/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088123F7" w14:textId="30E103AF" w:rsidR="001E63A9" w:rsidRDefault="00DB2ED5" w:rsidP="005E6547">
            <w:pPr>
              <w:pStyle w:val="Tabletext"/>
              <w:rPr>
                <w:color w:val="000000"/>
              </w:rPr>
            </w:pPr>
            <w:r w:rsidRPr="00DB2ED5">
              <w:rPr>
                <w:color w:val="000000"/>
              </w:rPr>
              <w:t>Budesonide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14:paraId="5D4D6E6E" w14:textId="57C4648B" w:rsidR="001E63A9" w:rsidRDefault="001B6B9C" w:rsidP="005E6547">
            <w:pPr>
              <w:pStyle w:val="Tabletext"/>
              <w:rPr>
                <w:color w:val="000000"/>
              </w:rPr>
            </w:pPr>
            <w:r w:rsidRPr="001B6B9C">
              <w:rPr>
                <w:color w:val="000000"/>
              </w:rPr>
              <w:t>Nebuliser suspension 500 micrograms in 2 mL single dose units, 30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7E925889" w14:textId="470FB10E" w:rsidR="001E63A9" w:rsidRDefault="001B6B9C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Inhalation</w:t>
            </w:r>
          </w:p>
        </w:tc>
      </w:tr>
      <w:tr w:rsidR="008D1936" w:rsidRPr="008B3AD4" w14:paraId="5A2AC5BE" w14:textId="77777777" w:rsidTr="001B6B9C"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</w:tcPr>
          <w:p w14:paraId="2AC6F65D" w14:textId="46843018" w:rsidR="008D1936" w:rsidRDefault="00DB79EC" w:rsidP="005E6547">
            <w:pPr>
              <w:pStyle w:val="Tabletext"/>
              <w:rPr>
                <w:color w:val="000000"/>
              </w:rPr>
            </w:pPr>
            <w:r w:rsidRPr="00DB79EC">
              <w:rPr>
                <w:color w:val="000000"/>
              </w:rPr>
              <w:t xml:space="preserve">Pulmicort </w:t>
            </w:r>
            <w:proofErr w:type="spellStart"/>
            <w:r w:rsidRPr="00DB79EC">
              <w:rPr>
                <w:color w:val="000000"/>
              </w:rPr>
              <w:t>Turbuhaler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</w:tcPr>
          <w:p w14:paraId="2DE6059C" w14:textId="1E0AF124" w:rsidR="008D1936" w:rsidRPr="004F7184" w:rsidRDefault="00DB79EC" w:rsidP="005E6547">
            <w:pPr>
              <w:pStyle w:val="Tabletext"/>
              <w:rPr>
                <w:color w:val="000000"/>
              </w:rPr>
            </w:pPr>
            <w:r w:rsidRPr="00DB79EC">
              <w:rPr>
                <w:color w:val="000000"/>
              </w:rPr>
              <w:t>Budesonide</w:t>
            </w: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</w:tcPr>
          <w:p w14:paraId="6C71F182" w14:textId="581CC0F7" w:rsidR="008D1936" w:rsidRPr="00EE7688" w:rsidRDefault="00DB79EC" w:rsidP="005E6547">
            <w:pPr>
              <w:pStyle w:val="Tabletext"/>
              <w:rPr>
                <w:color w:val="000000"/>
              </w:rPr>
            </w:pPr>
            <w:r w:rsidRPr="00DB79EC">
              <w:rPr>
                <w:color w:val="000000"/>
              </w:rPr>
              <w:t>Powder for oral inhalation in breath actuated device 200 micrograms per dose, 200 doses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14:paraId="6A4AFF23" w14:textId="00C5F3C3" w:rsidR="008D1936" w:rsidRDefault="0063754B" w:rsidP="005E6547">
            <w:pPr>
              <w:pStyle w:val="Tabletext"/>
              <w:rPr>
                <w:color w:val="000000"/>
              </w:rPr>
            </w:pPr>
            <w:r w:rsidRPr="0063754B">
              <w:rPr>
                <w:color w:val="000000"/>
              </w:rPr>
              <w:t>Inhalation by Mouth</w:t>
            </w:r>
          </w:p>
        </w:tc>
      </w:tr>
    </w:tbl>
    <w:p w14:paraId="2073EED8" w14:textId="4F0C22B6" w:rsidR="00E006B1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3  </w:t>
      </w:r>
      <w:r w:rsidR="00E006B1" w:rsidRPr="00643280">
        <w:rPr>
          <w:szCs w:val="24"/>
        </w:rPr>
        <w:t>Section</w:t>
      </w:r>
      <w:proofErr w:type="gramEnd"/>
      <w:r w:rsidR="00E006B1" w:rsidRPr="00643280">
        <w:rPr>
          <w:szCs w:val="24"/>
        </w:rPr>
        <w:t xml:space="preserve"> 5 (</w:t>
      </w:r>
      <w:r w:rsidR="00E006B1">
        <w:rPr>
          <w:szCs w:val="24"/>
        </w:rPr>
        <w:t xml:space="preserve">after </w:t>
      </w:r>
      <w:r w:rsidR="00E006B1" w:rsidRPr="00643280">
        <w:rPr>
          <w:szCs w:val="24"/>
        </w:rPr>
        <w:t>table item dealing with the brand</w:t>
      </w:r>
      <w:r w:rsidR="005559C3">
        <w:rPr>
          <w:szCs w:val="24"/>
        </w:rPr>
        <w:t xml:space="preserve"> </w:t>
      </w:r>
      <w:proofErr w:type="spellStart"/>
      <w:r w:rsidR="005559C3" w:rsidRPr="005559C3">
        <w:rPr>
          <w:szCs w:val="24"/>
        </w:rPr>
        <w:t>Triumeq</w:t>
      </w:r>
      <w:proofErr w:type="spellEnd"/>
      <w:r w:rsidR="005559C3">
        <w:rPr>
          <w:szCs w:val="24"/>
        </w:rPr>
        <w:t xml:space="preserve"> of the drug </w:t>
      </w:r>
      <w:r w:rsidR="002B5221" w:rsidRPr="002B5221">
        <w:rPr>
          <w:szCs w:val="24"/>
        </w:rPr>
        <w:t>Dolutegravir with abacavir and lamivudine</w:t>
      </w:r>
      <w:r w:rsidR="00311E59">
        <w:rPr>
          <w:szCs w:val="24"/>
        </w:rPr>
        <w:t xml:space="preserve"> in the form</w:t>
      </w:r>
      <w:r w:rsidR="00311E59" w:rsidRPr="00834A07">
        <w:rPr>
          <w:rFonts w:eastAsiaTheme="minorHAnsi"/>
          <w:szCs w:val="24"/>
        </w:rPr>
        <w:t xml:space="preserve"> </w:t>
      </w:r>
      <w:r w:rsidR="00311E59" w:rsidRPr="00311E59">
        <w:rPr>
          <w:szCs w:val="24"/>
        </w:rPr>
        <w:t>Tablet containing dolutegravir 50 mg with abacavir 600 mg and lamivudine 300 mg</w:t>
      </w:r>
      <w:r w:rsidR="00E006B1">
        <w:rPr>
          <w:szCs w:val="24"/>
        </w:rPr>
        <w:t>)</w:t>
      </w:r>
    </w:p>
    <w:p w14:paraId="1A9E89AC" w14:textId="77777777" w:rsidR="00E006B1" w:rsidRPr="00643280" w:rsidRDefault="00E006B1" w:rsidP="00E006B1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311E59" w:rsidRPr="008B3AD4" w14:paraId="2D0C364F" w14:textId="77777777" w:rsidTr="005E6547">
        <w:tc>
          <w:tcPr>
            <w:tcW w:w="2083" w:type="dxa"/>
            <w:shd w:val="clear" w:color="auto" w:fill="auto"/>
          </w:tcPr>
          <w:p w14:paraId="1E5BD8AB" w14:textId="48228E7A" w:rsidR="00311E59" w:rsidRDefault="00872470" w:rsidP="005E6547">
            <w:pPr>
              <w:pStyle w:val="Tabletext"/>
              <w:rPr>
                <w:color w:val="000000"/>
              </w:rPr>
            </w:pPr>
            <w:proofErr w:type="spellStart"/>
            <w:r w:rsidRPr="00872470">
              <w:rPr>
                <w:color w:val="000000"/>
              </w:rPr>
              <w:t>Sandrena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4493CED2" w14:textId="61545C7A" w:rsidR="00311E59" w:rsidRPr="004F7184" w:rsidRDefault="00872470" w:rsidP="005E6547">
            <w:pPr>
              <w:pStyle w:val="Tabletext"/>
              <w:rPr>
                <w:color w:val="000000"/>
              </w:rPr>
            </w:pPr>
            <w:proofErr w:type="spellStart"/>
            <w:r w:rsidRPr="00872470">
              <w:rPr>
                <w:color w:val="000000"/>
              </w:rPr>
              <w:t>Estradiol</w:t>
            </w:r>
            <w:proofErr w:type="spellEnd"/>
          </w:p>
        </w:tc>
        <w:tc>
          <w:tcPr>
            <w:tcW w:w="3065" w:type="dxa"/>
            <w:shd w:val="clear" w:color="auto" w:fill="auto"/>
          </w:tcPr>
          <w:p w14:paraId="757218B1" w14:textId="1131BC5F" w:rsidR="00311E59" w:rsidRPr="00EE7688" w:rsidRDefault="00872470" w:rsidP="005E6547">
            <w:pPr>
              <w:pStyle w:val="Tabletext"/>
              <w:rPr>
                <w:color w:val="000000"/>
              </w:rPr>
            </w:pPr>
            <w:r w:rsidRPr="00872470">
              <w:rPr>
                <w:color w:val="000000"/>
              </w:rPr>
              <w:t>Transdermal gel 1 mg (as hemihydrate) in 1 g sachet, 28</w:t>
            </w:r>
          </w:p>
        </w:tc>
        <w:tc>
          <w:tcPr>
            <w:tcW w:w="1386" w:type="dxa"/>
            <w:shd w:val="clear" w:color="auto" w:fill="auto"/>
          </w:tcPr>
          <w:p w14:paraId="352A264D" w14:textId="58836FB3" w:rsidR="00311E59" w:rsidRDefault="00872470" w:rsidP="005E6547">
            <w:pPr>
              <w:pStyle w:val="Tabletext"/>
              <w:rPr>
                <w:color w:val="000000"/>
              </w:rPr>
            </w:pPr>
            <w:r w:rsidRPr="00872470">
              <w:rPr>
                <w:color w:val="000000"/>
              </w:rPr>
              <w:t>Transdermal</w:t>
            </w:r>
          </w:p>
        </w:tc>
      </w:tr>
    </w:tbl>
    <w:p w14:paraId="32B44591" w14:textId="1F9C7FA7" w:rsidR="00872470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4  </w:t>
      </w:r>
      <w:r w:rsidR="00872470" w:rsidRPr="00643280">
        <w:rPr>
          <w:szCs w:val="24"/>
        </w:rPr>
        <w:t>Section</w:t>
      </w:r>
      <w:proofErr w:type="gramEnd"/>
      <w:r w:rsidR="00872470" w:rsidRPr="00643280">
        <w:rPr>
          <w:szCs w:val="24"/>
        </w:rPr>
        <w:t xml:space="preserve"> 5 (</w:t>
      </w:r>
      <w:r w:rsidR="00872470">
        <w:rPr>
          <w:szCs w:val="24"/>
        </w:rPr>
        <w:t xml:space="preserve">after </w:t>
      </w:r>
      <w:r w:rsidR="00872470" w:rsidRPr="00643280">
        <w:rPr>
          <w:szCs w:val="24"/>
        </w:rPr>
        <w:t>table item dealing with the brand</w:t>
      </w:r>
      <w:r w:rsidR="00DA30BD">
        <w:rPr>
          <w:szCs w:val="24"/>
        </w:rPr>
        <w:t xml:space="preserve"> </w:t>
      </w:r>
      <w:proofErr w:type="spellStart"/>
      <w:r w:rsidR="00DA30BD" w:rsidRPr="00DA30BD">
        <w:rPr>
          <w:szCs w:val="24"/>
        </w:rPr>
        <w:t>Flucil</w:t>
      </w:r>
      <w:proofErr w:type="spellEnd"/>
      <w:r w:rsidR="00DA30BD">
        <w:rPr>
          <w:szCs w:val="24"/>
        </w:rPr>
        <w:t xml:space="preserve"> of the drug </w:t>
      </w:r>
      <w:r w:rsidR="00DA30BD" w:rsidRPr="00DA30BD">
        <w:rPr>
          <w:szCs w:val="24"/>
        </w:rPr>
        <w:t>Flucloxacillin</w:t>
      </w:r>
      <w:r w:rsidR="00FA03D1">
        <w:rPr>
          <w:szCs w:val="24"/>
        </w:rPr>
        <w:t xml:space="preserve"> in the form </w:t>
      </w:r>
      <w:r w:rsidR="00FA03D1" w:rsidRPr="00FA03D1">
        <w:rPr>
          <w:szCs w:val="24"/>
        </w:rPr>
        <w:t>Powder for oral liquid 250 mg (as sodium monohydrate) per 5 mL, 100 mL</w:t>
      </w:r>
      <w:r w:rsidR="00872470">
        <w:rPr>
          <w:szCs w:val="24"/>
        </w:rPr>
        <w:t>)</w:t>
      </w:r>
    </w:p>
    <w:p w14:paraId="48DDA31E" w14:textId="77777777" w:rsidR="00872470" w:rsidRDefault="00872470" w:rsidP="00872470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B02A68" w:rsidRPr="008B3AD4" w14:paraId="531997E8" w14:textId="77777777" w:rsidTr="005E6547">
        <w:tc>
          <w:tcPr>
            <w:tcW w:w="2083" w:type="dxa"/>
            <w:shd w:val="clear" w:color="auto" w:fill="auto"/>
          </w:tcPr>
          <w:p w14:paraId="707356D7" w14:textId="2D36F9D1" w:rsidR="00B02A68" w:rsidRDefault="00671252" w:rsidP="005E6547">
            <w:pPr>
              <w:pStyle w:val="Tabletext"/>
              <w:rPr>
                <w:color w:val="000000"/>
              </w:rPr>
            </w:pPr>
            <w:r w:rsidRPr="00671252">
              <w:rPr>
                <w:color w:val="000000"/>
              </w:rPr>
              <w:t>Fucidin</w:t>
            </w:r>
          </w:p>
        </w:tc>
        <w:tc>
          <w:tcPr>
            <w:tcW w:w="1971" w:type="dxa"/>
            <w:shd w:val="clear" w:color="auto" w:fill="auto"/>
          </w:tcPr>
          <w:p w14:paraId="13D762AE" w14:textId="7939E2D2" w:rsidR="00B02A68" w:rsidRPr="004F7184" w:rsidRDefault="00671252" w:rsidP="005E6547">
            <w:pPr>
              <w:pStyle w:val="Tabletext"/>
              <w:rPr>
                <w:color w:val="000000"/>
              </w:rPr>
            </w:pPr>
            <w:proofErr w:type="spellStart"/>
            <w:r w:rsidRPr="00671252">
              <w:rPr>
                <w:color w:val="000000"/>
              </w:rPr>
              <w:t>Fusidic</w:t>
            </w:r>
            <w:proofErr w:type="spellEnd"/>
            <w:r w:rsidRPr="00671252">
              <w:rPr>
                <w:color w:val="000000"/>
              </w:rPr>
              <w:t xml:space="preserve"> acid</w:t>
            </w:r>
          </w:p>
        </w:tc>
        <w:tc>
          <w:tcPr>
            <w:tcW w:w="3065" w:type="dxa"/>
            <w:shd w:val="clear" w:color="auto" w:fill="auto"/>
          </w:tcPr>
          <w:p w14:paraId="48F16854" w14:textId="15A2F54E" w:rsidR="00B02A68" w:rsidRPr="00EE7688" w:rsidRDefault="00671252" w:rsidP="005E6547">
            <w:pPr>
              <w:pStyle w:val="Tabletext"/>
              <w:rPr>
                <w:color w:val="000000"/>
              </w:rPr>
            </w:pPr>
            <w:r w:rsidRPr="00671252">
              <w:rPr>
                <w:color w:val="000000"/>
              </w:rPr>
              <w:t xml:space="preserve">Tablet containing sodium </w:t>
            </w:r>
            <w:proofErr w:type="spellStart"/>
            <w:r w:rsidRPr="00671252">
              <w:rPr>
                <w:color w:val="000000"/>
              </w:rPr>
              <w:t>fusidate</w:t>
            </w:r>
            <w:proofErr w:type="spellEnd"/>
            <w:r w:rsidRPr="00671252">
              <w:rPr>
                <w:color w:val="000000"/>
              </w:rPr>
              <w:t xml:space="preserve"> 250 mg</w:t>
            </w:r>
          </w:p>
        </w:tc>
        <w:tc>
          <w:tcPr>
            <w:tcW w:w="1386" w:type="dxa"/>
            <w:shd w:val="clear" w:color="auto" w:fill="auto"/>
          </w:tcPr>
          <w:p w14:paraId="703C446A" w14:textId="13E59315" w:rsidR="00B02A68" w:rsidRDefault="00671252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</w:tbl>
    <w:p w14:paraId="66FA9D3D" w14:textId="77777777" w:rsidR="005D4A4C" w:rsidRDefault="005D4A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szCs w:val="24"/>
          <w:lang w:eastAsia="en-AU"/>
        </w:rPr>
      </w:pPr>
      <w:r>
        <w:rPr>
          <w:szCs w:val="24"/>
        </w:rPr>
        <w:br w:type="page"/>
      </w:r>
    </w:p>
    <w:p w14:paraId="25072F34" w14:textId="51D9F3D9" w:rsidR="00A40279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lastRenderedPageBreak/>
        <w:t xml:space="preserve">5  </w:t>
      </w:r>
      <w:r w:rsidR="00A40279" w:rsidRPr="00643280">
        <w:rPr>
          <w:szCs w:val="24"/>
        </w:rPr>
        <w:t>Section</w:t>
      </w:r>
      <w:proofErr w:type="gramEnd"/>
      <w:r w:rsidR="00A40279" w:rsidRPr="00643280">
        <w:rPr>
          <w:szCs w:val="24"/>
        </w:rPr>
        <w:t xml:space="preserve"> 5 (</w:t>
      </w:r>
      <w:r w:rsidR="00A40279">
        <w:rPr>
          <w:szCs w:val="24"/>
        </w:rPr>
        <w:t xml:space="preserve">after </w:t>
      </w:r>
      <w:r w:rsidR="00A40279" w:rsidRPr="00643280">
        <w:rPr>
          <w:szCs w:val="24"/>
        </w:rPr>
        <w:t>table item dealing with the brand</w:t>
      </w:r>
      <w:r w:rsidR="00A01370">
        <w:rPr>
          <w:szCs w:val="24"/>
        </w:rPr>
        <w:t xml:space="preserve"> </w:t>
      </w:r>
      <w:proofErr w:type="spellStart"/>
      <w:r w:rsidR="00A01370" w:rsidRPr="00A01370">
        <w:rPr>
          <w:szCs w:val="24"/>
        </w:rPr>
        <w:t>Toujeo</w:t>
      </w:r>
      <w:proofErr w:type="spellEnd"/>
      <w:r w:rsidR="00A01370" w:rsidRPr="00A01370">
        <w:rPr>
          <w:szCs w:val="24"/>
        </w:rPr>
        <w:t xml:space="preserve"> Solostar</w:t>
      </w:r>
      <w:r w:rsidR="00A01370">
        <w:rPr>
          <w:szCs w:val="24"/>
        </w:rPr>
        <w:t xml:space="preserve"> of the drug </w:t>
      </w:r>
      <w:r w:rsidR="00A01370" w:rsidRPr="00A01370">
        <w:rPr>
          <w:szCs w:val="24"/>
        </w:rPr>
        <w:t>Insulin glargine</w:t>
      </w:r>
      <w:r w:rsidR="00A01370">
        <w:rPr>
          <w:szCs w:val="24"/>
        </w:rPr>
        <w:t xml:space="preserve"> in the form </w:t>
      </w:r>
      <w:r w:rsidR="00A01370" w:rsidRPr="00A01370">
        <w:rPr>
          <w:szCs w:val="24"/>
        </w:rPr>
        <w:t>Injections (human analogue), cartridges, 300 units per mL, 1.5 mL, 5</w:t>
      </w:r>
      <w:r w:rsidR="00A40279">
        <w:rPr>
          <w:szCs w:val="24"/>
        </w:rPr>
        <w:t>)</w:t>
      </w:r>
    </w:p>
    <w:p w14:paraId="1FAA9544" w14:textId="77777777" w:rsidR="00A40279" w:rsidRDefault="00A40279" w:rsidP="00A40279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83"/>
        <w:gridCol w:w="1971"/>
        <w:gridCol w:w="3065"/>
        <w:gridCol w:w="1386"/>
      </w:tblGrid>
      <w:tr w:rsidR="00A40279" w:rsidRPr="008B3AD4" w14:paraId="3FF5920E" w14:textId="77777777" w:rsidTr="00116B54"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14:paraId="6E2D0E18" w14:textId="4AD64C12" w:rsidR="00A40279" w:rsidRDefault="00691AC8" w:rsidP="005E6547">
            <w:pPr>
              <w:pStyle w:val="Tabletext"/>
              <w:rPr>
                <w:color w:val="000000"/>
              </w:rPr>
            </w:pPr>
            <w:r w:rsidRPr="00691AC8">
              <w:rPr>
                <w:color w:val="000000"/>
              </w:rPr>
              <w:t>Isoleucine 1000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518297FE" w14:textId="7FCE6D66" w:rsidR="00A40279" w:rsidRPr="004F7184" w:rsidRDefault="00691AC8" w:rsidP="005E6547">
            <w:pPr>
              <w:pStyle w:val="Tabletext"/>
              <w:rPr>
                <w:color w:val="000000"/>
              </w:rPr>
            </w:pPr>
            <w:r w:rsidRPr="00691AC8">
              <w:rPr>
                <w:color w:val="000000"/>
              </w:rPr>
              <w:t>Isoleucine with carbohydrate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14:paraId="1A0DCD0F" w14:textId="175E5B3D" w:rsidR="00A40279" w:rsidRPr="00EE7688" w:rsidRDefault="00691AC8" w:rsidP="005E6547">
            <w:pPr>
              <w:pStyle w:val="Tabletext"/>
              <w:rPr>
                <w:color w:val="000000"/>
              </w:rPr>
            </w:pPr>
            <w:r w:rsidRPr="00691AC8">
              <w:rPr>
                <w:color w:val="000000"/>
              </w:rPr>
              <w:t>Sachets of oral powder 4 g containing 1 g isoleucine, 30 (Isoleucine 1000)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1E806D80" w14:textId="1042589E" w:rsidR="00A40279" w:rsidRDefault="00691AC8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  <w:tr w:rsidR="00691AC8" w:rsidRPr="008B3AD4" w14:paraId="3F79D2B4" w14:textId="77777777" w:rsidTr="00116B54"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</w:tcPr>
          <w:p w14:paraId="24F0849B" w14:textId="078DD272" w:rsidR="00691AC8" w:rsidRPr="00671252" w:rsidRDefault="00116B54" w:rsidP="005E6547">
            <w:pPr>
              <w:pStyle w:val="Tabletext"/>
              <w:rPr>
                <w:color w:val="000000"/>
              </w:rPr>
            </w:pPr>
            <w:r w:rsidRPr="00116B54">
              <w:rPr>
                <w:color w:val="000000"/>
              </w:rPr>
              <w:t>Isoleucine 50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</w:tcPr>
          <w:p w14:paraId="3A1C01A1" w14:textId="5A28D213" w:rsidR="00691AC8" w:rsidRPr="00671252" w:rsidRDefault="00116B54" w:rsidP="005E6547">
            <w:pPr>
              <w:pStyle w:val="Tabletext"/>
              <w:rPr>
                <w:color w:val="000000"/>
              </w:rPr>
            </w:pPr>
            <w:r w:rsidRPr="00116B54">
              <w:rPr>
                <w:color w:val="000000"/>
              </w:rPr>
              <w:t>Isoleucine with carbohydrate</w:t>
            </w: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</w:tcPr>
          <w:p w14:paraId="5F7756BA" w14:textId="7A8D0FDB" w:rsidR="00691AC8" w:rsidRPr="00671252" w:rsidRDefault="00116B54" w:rsidP="005E6547">
            <w:pPr>
              <w:pStyle w:val="Tabletext"/>
              <w:rPr>
                <w:color w:val="000000"/>
              </w:rPr>
            </w:pPr>
            <w:r w:rsidRPr="00116B54">
              <w:rPr>
                <w:color w:val="000000"/>
              </w:rPr>
              <w:t>Sachets of oral powder 4 g containing 50 mg isoleucine, 30 (Isoleucine 50)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14:paraId="0047043A" w14:textId="039FB630" w:rsidR="00691AC8" w:rsidRDefault="00116B54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</w:tbl>
    <w:p w14:paraId="5044B8E3" w14:textId="316C9EEE" w:rsidR="00C2419F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6  </w:t>
      </w:r>
      <w:r w:rsidR="00C2419F" w:rsidRPr="00643280">
        <w:rPr>
          <w:szCs w:val="24"/>
        </w:rPr>
        <w:t>Section</w:t>
      </w:r>
      <w:proofErr w:type="gramEnd"/>
      <w:r w:rsidR="00C2419F" w:rsidRPr="00643280">
        <w:rPr>
          <w:szCs w:val="24"/>
        </w:rPr>
        <w:t xml:space="preserve"> 5 (</w:t>
      </w:r>
      <w:r w:rsidR="00C2419F">
        <w:rPr>
          <w:szCs w:val="24"/>
        </w:rPr>
        <w:t xml:space="preserve">after </w:t>
      </w:r>
      <w:r w:rsidR="00C2419F" w:rsidRPr="00643280">
        <w:rPr>
          <w:szCs w:val="24"/>
        </w:rPr>
        <w:t>table item dealing with the brand</w:t>
      </w:r>
      <w:r w:rsidR="00C2419F">
        <w:rPr>
          <w:szCs w:val="24"/>
        </w:rPr>
        <w:t xml:space="preserve"> </w:t>
      </w:r>
      <w:proofErr w:type="spellStart"/>
      <w:r w:rsidR="002D03E3" w:rsidRPr="002D03E3">
        <w:rPr>
          <w:szCs w:val="24"/>
        </w:rPr>
        <w:t>OsmoLax</w:t>
      </w:r>
      <w:proofErr w:type="spellEnd"/>
      <w:r w:rsidR="002D03E3">
        <w:rPr>
          <w:szCs w:val="24"/>
        </w:rPr>
        <w:t xml:space="preserve"> of the drug </w:t>
      </w:r>
      <w:r w:rsidR="00015A84" w:rsidRPr="00015A84">
        <w:rPr>
          <w:szCs w:val="24"/>
        </w:rPr>
        <w:t>Macrogol 3350</w:t>
      </w:r>
      <w:r w:rsidR="00015A84">
        <w:rPr>
          <w:szCs w:val="24"/>
        </w:rPr>
        <w:t xml:space="preserve"> in the form </w:t>
      </w:r>
      <w:r w:rsidR="00015A84" w:rsidRPr="00015A84">
        <w:rPr>
          <w:szCs w:val="24"/>
        </w:rPr>
        <w:t>Powder for oral solution 510 g</w:t>
      </w:r>
      <w:r w:rsidR="00C2419F">
        <w:rPr>
          <w:szCs w:val="24"/>
        </w:rPr>
        <w:t>)</w:t>
      </w:r>
    </w:p>
    <w:p w14:paraId="7775ADD5" w14:textId="77777777" w:rsidR="00C2419F" w:rsidRDefault="00C2419F" w:rsidP="00C2419F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78"/>
        <w:gridCol w:w="1983"/>
        <w:gridCol w:w="3061"/>
        <w:gridCol w:w="1383"/>
      </w:tblGrid>
      <w:tr w:rsidR="00C2419F" w:rsidRPr="008B3AD4" w14:paraId="1AAA34E2" w14:textId="77777777" w:rsidTr="007C5840"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</w:tcPr>
          <w:p w14:paraId="789ACE9E" w14:textId="07566F8E" w:rsidR="00C2419F" w:rsidRDefault="00277D77" w:rsidP="005E6547">
            <w:pPr>
              <w:pStyle w:val="Tabletext"/>
              <w:rPr>
                <w:color w:val="000000"/>
              </w:rPr>
            </w:pPr>
            <w:r w:rsidRPr="00277D77">
              <w:rPr>
                <w:color w:val="000000"/>
              </w:rPr>
              <w:t>Provera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5F5888B" w14:textId="16EBBFF5" w:rsidR="00C2419F" w:rsidRPr="004F7184" w:rsidRDefault="00277D77" w:rsidP="005E6547">
            <w:pPr>
              <w:pStyle w:val="Tabletext"/>
              <w:rPr>
                <w:color w:val="000000"/>
              </w:rPr>
            </w:pPr>
            <w:r w:rsidRPr="00277D77">
              <w:rPr>
                <w:color w:val="000000"/>
              </w:rPr>
              <w:t>Medroxyprogesterone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</w:tcPr>
          <w:p w14:paraId="17843429" w14:textId="2FDD0F6D" w:rsidR="00C2419F" w:rsidRPr="00EE7688" w:rsidRDefault="00277D77" w:rsidP="005E6547">
            <w:pPr>
              <w:pStyle w:val="Tabletext"/>
              <w:rPr>
                <w:color w:val="000000"/>
              </w:rPr>
            </w:pPr>
            <w:r w:rsidRPr="00277D77">
              <w:rPr>
                <w:color w:val="000000"/>
              </w:rPr>
              <w:t>Tablet containing medroxyprogesterone acetate 100 mg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14:paraId="45D1BF71" w14:textId="77777777" w:rsidR="00C2419F" w:rsidRDefault="00C2419F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  <w:tr w:rsidR="00C2419F" w:rsidRPr="008B3AD4" w14:paraId="2E0963DB" w14:textId="77777777" w:rsidTr="007C5840"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</w:tcPr>
          <w:p w14:paraId="0EBB8BFC" w14:textId="064F8AD9" w:rsidR="00C2419F" w:rsidRPr="00671252" w:rsidRDefault="00277D77" w:rsidP="005E6547">
            <w:pPr>
              <w:pStyle w:val="Tabletext"/>
              <w:rPr>
                <w:color w:val="000000"/>
              </w:rPr>
            </w:pPr>
            <w:r w:rsidRPr="00277D77">
              <w:rPr>
                <w:color w:val="000000"/>
              </w:rPr>
              <w:t>Provera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4BF5F9C5" w14:textId="32CB287A" w:rsidR="00C2419F" w:rsidRPr="00671252" w:rsidRDefault="00545277" w:rsidP="005E6547">
            <w:pPr>
              <w:pStyle w:val="Tabletext"/>
              <w:rPr>
                <w:color w:val="000000"/>
              </w:rPr>
            </w:pPr>
            <w:r w:rsidRPr="00277D77">
              <w:rPr>
                <w:color w:val="000000"/>
              </w:rPr>
              <w:t>Medroxyprogesterone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shd w:val="clear" w:color="auto" w:fill="auto"/>
          </w:tcPr>
          <w:p w14:paraId="367BCF63" w14:textId="2EE3EF30" w:rsidR="00C2419F" w:rsidRPr="00671252" w:rsidRDefault="00545277" w:rsidP="005E6547">
            <w:pPr>
              <w:pStyle w:val="Tabletext"/>
              <w:rPr>
                <w:color w:val="000000"/>
              </w:rPr>
            </w:pPr>
            <w:r w:rsidRPr="00545277">
              <w:rPr>
                <w:color w:val="000000"/>
              </w:rPr>
              <w:t>Tablet containing medroxyprogesterone acetate 200 mg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14:paraId="46CFD41E" w14:textId="77777777" w:rsidR="00C2419F" w:rsidRDefault="00C2419F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</w:tbl>
    <w:p w14:paraId="11652F1C" w14:textId="2F19D4CC" w:rsidR="00876E88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7  </w:t>
      </w:r>
      <w:r w:rsidR="00876E88" w:rsidRPr="00643280">
        <w:rPr>
          <w:szCs w:val="24"/>
        </w:rPr>
        <w:t>Section</w:t>
      </w:r>
      <w:proofErr w:type="gramEnd"/>
      <w:r w:rsidR="00876E88" w:rsidRPr="00643280">
        <w:rPr>
          <w:szCs w:val="24"/>
        </w:rPr>
        <w:t xml:space="preserve"> </w:t>
      </w:r>
      <w:r w:rsidR="00876E88" w:rsidRPr="00910388">
        <w:rPr>
          <w:szCs w:val="24"/>
        </w:rPr>
        <w:t>5 (after table</w:t>
      </w:r>
      <w:r w:rsidR="00876E88" w:rsidRPr="00643280">
        <w:rPr>
          <w:szCs w:val="24"/>
        </w:rPr>
        <w:t xml:space="preserve"> item dealing with the brand</w:t>
      </w:r>
      <w:r w:rsidR="00876E88">
        <w:rPr>
          <w:szCs w:val="24"/>
        </w:rPr>
        <w:t xml:space="preserve"> </w:t>
      </w:r>
      <w:r w:rsidR="006D62C4" w:rsidRPr="006D62C4">
        <w:rPr>
          <w:szCs w:val="24"/>
        </w:rPr>
        <w:t>Penthrox</w:t>
      </w:r>
      <w:r w:rsidR="006D62C4">
        <w:rPr>
          <w:szCs w:val="24"/>
        </w:rPr>
        <w:t xml:space="preserve"> of the drug </w:t>
      </w:r>
      <w:r w:rsidR="006D62C4" w:rsidRPr="006D62C4">
        <w:rPr>
          <w:szCs w:val="24"/>
        </w:rPr>
        <w:t>Methoxyflurane</w:t>
      </w:r>
      <w:r w:rsidR="006D62C4">
        <w:rPr>
          <w:szCs w:val="24"/>
        </w:rPr>
        <w:t xml:space="preserve"> in the form </w:t>
      </w:r>
      <w:r w:rsidR="006D62C4" w:rsidRPr="006D62C4">
        <w:rPr>
          <w:szCs w:val="24"/>
        </w:rPr>
        <w:t>Liquid for inhalation 999 mg per g, 3 ml (with inhaler)</w:t>
      </w:r>
      <w:r w:rsidR="00876E88">
        <w:rPr>
          <w:szCs w:val="24"/>
        </w:rPr>
        <w:t>)</w:t>
      </w:r>
    </w:p>
    <w:p w14:paraId="71CD10FF" w14:textId="77777777" w:rsidR="00876E88" w:rsidRDefault="00876E88" w:rsidP="00876E88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78"/>
        <w:gridCol w:w="1983"/>
        <w:gridCol w:w="3061"/>
        <w:gridCol w:w="1383"/>
      </w:tblGrid>
      <w:tr w:rsidR="00876E88" w:rsidRPr="008B3AD4" w14:paraId="52AB4F7B" w14:textId="77777777" w:rsidTr="00B02A44">
        <w:tc>
          <w:tcPr>
            <w:tcW w:w="2078" w:type="dxa"/>
            <w:shd w:val="clear" w:color="auto" w:fill="auto"/>
          </w:tcPr>
          <w:p w14:paraId="6311FFF2" w14:textId="51A0B709" w:rsidR="00876E88" w:rsidRDefault="00221702" w:rsidP="005E6547">
            <w:pPr>
              <w:pStyle w:val="Tabletext"/>
              <w:rPr>
                <w:color w:val="000000"/>
              </w:rPr>
            </w:pPr>
            <w:r w:rsidRPr="00221702">
              <w:rPr>
                <w:color w:val="000000"/>
              </w:rPr>
              <w:t>Depo-</w:t>
            </w:r>
            <w:proofErr w:type="spellStart"/>
            <w:r w:rsidRPr="00221702">
              <w:rPr>
                <w:color w:val="000000"/>
              </w:rPr>
              <w:t>Nisolone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4494C3C0" w14:textId="3A004BAF" w:rsidR="00876E88" w:rsidRPr="004F7184" w:rsidRDefault="00221702" w:rsidP="005E6547">
            <w:pPr>
              <w:pStyle w:val="Tabletext"/>
              <w:rPr>
                <w:color w:val="000000"/>
              </w:rPr>
            </w:pPr>
            <w:r w:rsidRPr="00221702">
              <w:rPr>
                <w:color w:val="000000"/>
              </w:rPr>
              <w:t>Methylprednisolone</w:t>
            </w:r>
          </w:p>
        </w:tc>
        <w:tc>
          <w:tcPr>
            <w:tcW w:w="3061" w:type="dxa"/>
            <w:shd w:val="clear" w:color="auto" w:fill="auto"/>
          </w:tcPr>
          <w:p w14:paraId="1A26789D" w14:textId="63462AD9" w:rsidR="00876E88" w:rsidRPr="00EE7688" w:rsidRDefault="00D62D61" w:rsidP="005E6547">
            <w:pPr>
              <w:pStyle w:val="Tabletext"/>
              <w:rPr>
                <w:color w:val="000000"/>
              </w:rPr>
            </w:pPr>
            <w:r w:rsidRPr="00D62D61">
              <w:rPr>
                <w:color w:val="000000"/>
              </w:rPr>
              <w:t>Injection containing methylprednisolone acetate 40 mg in 1 mL</w:t>
            </w:r>
          </w:p>
        </w:tc>
        <w:tc>
          <w:tcPr>
            <w:tcW w:w="1383" w:type="dxa"/>
            <w:shd w:val="clear" w:color="auto" w:fill="auto"/>
          </w:tcPr>
          <w:p w14:paraId="50EDED09" w14:textId="7700F9F0" w:rsidR="00876E88" w:rsidRDefault="00D62D61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Injection</w:t>
            </w:r>
          </w:p>
        </w:tc>
      </w:tr>
    </w:tbl>
    <w:p w14:paraId="4B2A206A" w14:textId="231B6825" w:rsidR="00D62D61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8  </w:t>
      </w:r>
      <w:r w:rsidR="00D62D61" w:rsidRPr="00643280">
        <w:rPr>
          <w:szCs w:val="24"/>
        </w:rPr>
        <w:t>Section</w:t>
      </w:r>
      <w:proofErr w:type="gramEnd"/>
      <w:r w:rsidR="00D62D61" w:rsidRPr="00643280">
        <w:rPr>
          <w:szCs w:val="24"/>
        </w:rPr>
        <w:t xml:space="preserve"> 5 (</w:t>
      </w:r>
      <w:r w:rsidR="00D62D61" w:rsidRPr="001C0BC8">
        <w:rPr>
          <w:szCs w:val="24"/>
        </w:rPr>
        <w:t>after table</w:t>
      </w:r>
      <w:r w:rsidR="00D62D61" w:rsidRPr="00643280">
        <w:rPr>
          <w:szCs w:val="24"/>
        </w:rPr>
        <w:t xml:space="preserve"> item dealing with the brand</w:t>
      </w:r>
      <w:r w:rsidR="00D62D61">
        <w:rPr>
          <w:szCs w:val="24"/>
        </w:rPr>
        <w:t xml:space="preserve"> </w:t>
      </w:r>
      <w:proofErr w:type="spellStart"/>
      <w:r w:rsidR="00AF6A45" w:rsidRPr="00AF6A45">
        <w:rPr>
          <w:szCs w:val="24"/>
        </w:rPr>
        <w:t>Stemetil</w:t>
      </w:r>
      <w:proofErr w:type="spellEnd"/>
      <w:r w:rsidR="00AF6A45">
        <w:rPr>
          <w:szCs w:val="24"/>
        </w:rPr>
        <w:t xml:space="preserve"> of the drug </w:t>
      </w:r>
      <w:r w:rsidR="00AF6A45" w:rsidRPr="00AF6A45">
        <w:rPr>
          <w:szCs w:val="24"/>
        </w:rPr>
        <w:t>Prochlorperazine</w:t>
      </w:r>
      <w:r w:rsidR="00AF6A45">
        <w:rPr>
          <w:szCs w:val="24"/>
        </w:rPr>
        <w:t xml:space="preserve"> in the form </w:t>
      </w:r>
      <w:r w:rsidR="002B4173" w:rsidRPr="002B4173">
        <w:rPr>
          <w:szCs w:val="24"/>
        </w:rPr>
        <w:t xml:space="preserve">Injection containing prochlorperazine </w:t>
      </w:r>
      <w:proofErr w:type="spellStart"/>
      <w:r w:rsidR="002B4173" w:rsidRPr="002B4173">
        <w:rPr>
          <w:szCs w:val="24"/>
        </w:rPr>
        <w:t>mesilate</w:t>
      </w:r>
      <w:proofErr w:type="spellEnd"/>
      <w:r w:rsidR="002B4173" w:rsidRPr="002B4173">
        <w:rPr>
          <w:szCs w:val="24"/>
        </w:rPr>
        <w:t xml:space="preserve"> 12.5 mg in 1 </w:t>
      </w:r>
      <w:r w:rsidR="009F4E25" w:rsidRPr="009F4E25">
        <w:rPr>
          <w:szCs w:val="24"/>
        </w:rPr>
        <w:t>mL</w:t>
      </w:r>
      <w:r w:rsidR="00D62D61">
        <w:rPr>
          <w:szCs w:val="24"/>
        </w:rPr>
        <w:t>)</w:t>
      </w:r>
    </w:p>
    <w:p w14:paraId="2A2A554E" w14:textId="77777777" w:rsidR="00D62D61" w:rsidRDefault="00D62D61" w:rsidP="00D62D61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78"/>
        <w:gridCol w:w="1983"/>
        <w:gridCol w:w="3061"/>
        <w:gridCol w:w="1383"/>
      </w:tblGrid>
      <w:tr w:rsidR="00D62D61" w:rsidRPr="008B3AD4" w14:paraId="4A563E32" w14:textId="77777777" w:rsidTr="005E6547">
        <w:tc>
          <w:tcPr>
            <w:tcW w:w="2078" w:type="dxa"/>
            <w:shd w:val="clear" w:color="auto" w:fill="auto"/>
          </w:tcPr>
          <w:p w14:paraId="35176029" w14:textId="53FBCAC4" w:rsidR="00D62D61" w:rsidRDefault="002B4173" w:rsidP="005E6547">
            <w:pPr>
              <w:pStyle w:val="Tabletext"/>
              <w:rPr>
                <w:color w:val="000000"/>
              </w:rPr>
            </w:pPr>
            <w:r w:rsidRPr="002B4173">
              <w:rPr>
                <w:color w:val="000000"/>
              </w:rPr>
              <w:t>DBL Promethazine Hydrochloride</w:t>
            </w:r>
          </w:p>
        </w:tc>
        <w:tc>
          <w:tcPr>
            <w:tcW w:w="1983" w:type="dxa"/>
            <w:shd w:val="clear" w:color="auto" w:fill="auto"/>
          </w:tcPr>
          <w:p w14:paraId="5CD0E207" w14:textId="46BF1D4D" w:rsidR="00D62D61" w:rsidRPr="004F7184" w:rsidRDefault="002B4173" w:rsidP="005E6547">
            <w:pPr>
              <w:pStyle w:val="Tabletext"/>
              <w:rPr>
                <w:color w:val="000000"/>
              </w:rPr>
            </w:pPr>
            <w:r w:rsidRPr="002B4173">
              <w:rPr>
                <w:color w:val="000000"/>
              </w:rPr>
              <w:t>Promethazine</w:t>
            </w:r>
          </w:p>
        </w:tc>
        <w:tc>
          <w:tcPr>
            <w:tcW w:w="3061" w:type="dxa"/>
            <w:shd w:val="clear" w:color="auto" w:fill="auto"/>
          </w:tcPr>
          <w:p w14:paraId="547C1E47" w14:textId="067D5950" w:rsidR="00D62D61" w:rsidRPr="00EE7688" w:rsidRDefault="001C0BC8" w:rsidP="005E6547">
            <w:pPr>
              <w:pStyle w:val="Tabletext"/>
              <w:rPr>
                <w:color w:val="000000"/>
              </w:rPr>
            </w:pPr>
            <w:r w:rsidRPr="001C0BC8">
              <w:rPr>
                <w:color w:val="000000"/>
              </w:rPr>
              <w:t>Injection containing promethazine hydrochloride 50 mg in 2 mL</w:t>
            </w:r>
          </w:p>
        </w:tc>
        <w:tc>
          <w:tcPr>
            <w:tcW w:w="1383" w:type="dxa"/>
            <w:shd w:val="clear" w:color="auto" w:fill="auto"/>
          </w:tcPr>
          <w:p w14:paraId="38A26DAC" w14:textId="77777777" w:rsidR="00D62D61" w:rsidRDefault="00D62D61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Injection</w:t>
            </w:r>
          </w:p>
        </w:tc>
      </w:tr>
    </w:tbl>
    <w:p w14:paraId="1C6C585A" w14:textId="6D770D6F" w:rsidR="001C0BC8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t xml:space="preserve">9  </w:t>
      </w:r>
      <w:r w:rsidR="001C0BC8" w:rsidRPr="00643280">
        <w:rPr>
          <w:szCs w:val="24"/>
        </w:rPr>
        <w:t>Section</w:t>
      </w:r>
      <w:proofErr w:type="gramEnd"/>
      <w:r w:rsidR="001C0BC8" w:rsidRPr="00643280">
        <w:rPr>
          <w:szCs w:val="24"/>
        </w:rPr>
        <w:t xml:space="preserve"> 5 (</w:t>
      </w:r>
      <w:r w:rsidR="001C0BC8" w:rsidRPr="001C0BC8">
        <w:rPr>
          <w:szCs w:val="24"/>
        </w:rPr>
        <w:t>after table</w:t>
      </w:r>
      <w:r w:rsidR="001C0BC8" w:rsidRPr="00643280">
        <w:rPr>
          <w:szCs w:val="24"/>
        </w:rPr>
        <w:t xml:space="preserve"> item dealing with the brand</w:t>
      </w:r>
      <w:r w:rsidR="000F2CD5">
        <w:rPr>
          <w:szCs w:val="24"/>
        </w:rPr>
        <w:t xml:space="preserve"> </w:t>
      </w:r>
      <w:proofErr w:type="spellStart"/>
      <w:r w:rsidR="000F2CD5" w:rsidRPr="000F2CD5">
        <w:rPr>
          <w:szCs w:val="24"/>
        </w:rPr>
        <w:t>Aptamil</w:t>
      </w:r>
      <w:proofErr w:type="spellEnd"/>
      <w:r w:rsidR="000F2CD5" w:rsidRPr="000F2CD5">
        <w:rPr>
          <w:szCs w:val="24"/>
        </w:rPr>
        <w:t xml:space="preserve"> Gold+ </w:t>
      </w:r>
      <w:proofErr w:type="spellStart"/>
      <w:r w:rsidR="000F2CD5" w:rsidRPr="000F2CD5">
        <w:rPr>
          <w:szCs w:val="24"/>
        </w:rPr>
        <w:t>Pepti</w:t>
      </w:r>
      <w:proofErr w:type="spellEnd"/>
      <w:r w:rsidR="000F2CD5" w:rsidRPr="000F2CD5">
        <w:rPr>
          <w:szCs w:val="24"/>
        </w:rPr>
        <w:t>-Junior</w:t>
      </w:r>
      <w:r w:rsidR="000F2CD5">
        <w:rPr>
          <w:szCs w:val="24"/>
        </w:rPr>
        <w:t xml:space="preserve"> of the drug</w:t>
      </w:r>
      <w:r w:rsidR="000F2CD5" w:rsidRPr="00834A07">
        <w:rPr>
          <w:rFonts w:eastAsiaTheme="minorHAnsi"/>
          <w:szCs w:val="24"/>
        </w:rPr>
        <w:t xml:space="preserve"> </w:t>
      </w:r>
      <w:r w:rsidR="000F2CD5" w:rsidRPr="000F2CD5">
        <w:rPr>
          <w:szCs w:val="24"/>
        </w:rPr>
        <w:t>Protein hydrolysate formula with medium chain triglycerides</w:t>
      </w:r>
      <w:r w:rsidR="000F2CD5">
        <w:rPr>
          <w:szCs w:val="24"/>
        </w:rPr>
        <w:t xml:space="preserve"> in the form</w:t>
      </w:r>
      <w:r w:rsidR="009A646C">
        <w:rPr>
          <w:szCs w:val="24"/>
        </w:rPr>
        <w:t xml:space="preserve"> </w:t>
      </w:r>
      <w:r w:rsidR="009A646C" w:rsidRPr="009A646C">
        <w:rPr>
          <w:szCs w:val="24"/>
        </w:rPr>
        <w:t>Oral powder 450 g (</w:t>
      </w:r>
      <w:proofErr w:type="spellStart"/>
      <w:r w:rsidR="009A646C" w:rsidRPr="009A646C">
        <w:rPr>
          <w:szCs w:val="24"/>
        </w:rPr>
        <w:t>Aptamil</w:t>
      </w:r>
      <w:proofErr w:type="spellEnd"/>
      <w:r w:rsidR="009A646C" w:rsidRPr="009A646C">
        <w:rPr>
          <w:szCs w:val="24"/>
        </w:rPr>
        <w:t xml:space="preserve"> Gold+ </w:t>
      </w:r>
      <w:proofErr w:type="spellStart"/>
      <w:r w:rsidR="009A646C" w:rsidRPr="009A646C">
        <w:rPr>
          <w:szCs w:val="24"/>
        </w:rPr>
        <w:t>Pepti</w:t>
      </w:r>
      <w:proofErr w:type="spellEnd"/>
      <w:r w:rsidR="009A646C" w:rsidRPr="009A646C">
        <w:rPr>
          <w:szCs w:val="24"/>
        </w:rPr>
        <w:t>-Junior)</w:t>
      </w:r>
      <w:r w:rsidR="001C0BC8">
        <w:rPr>
          <w:szCs w:val="24"/>
        </w:rPr>
        <w:t>)</w:t>
      </w:r>
    </w:p>
    <w:p w14:paraId="03863E94" w14:textId="77777777" w:rsidR="001C0BC8" w:rsidRDefault="001C0BC8" w:rsidP="001C0BC8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78"/>
        <w:gridCol w:w="1983"/>
        <w:gridCol w:w="3061"/>
        <w:gridCol w:w="1383"/>
      </w:tblGrid>
      <w:tr w:rsidR="001C0BC8" w:rsidRPr="008B3AD4" w14:paraId="2F679AC4" w14:textId="77777777" w:rsidTr="005E6547">
        <w:tc>
          <w:tcPr>
            <w:tcW w:w="2078" w:type="dxa"/>
            <w:shd w:val="clear" w:color="auto" w:fill="auto"/>
          </w:tcPr>
          <w:p w14:paraId="501B6AFD" w14:textId="64683287" w:rsidR="001C0BC8" w:rsidRDefault="009A646C" w:rsidP="005E6547">
            <w:pPr>
              <w:pStyle w:val="Tabletext"/>
              <w:rPr>
                <w:color w:val="000000"/>
              </w:rPr>
            </w:pPr>
            <w:proofErr w:type="spellStart"/>
            <w:r w:rsidRPr="009A646C">
              <w:rPr>
                <w:color w:val="000000"/>
              </w:rPr>
              <w:t>Teglutik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46E440BB" w14:textId="23F7F418" w:rsidR="001C0BC8" w:rsidRPr="004F7184" w:rsidRDefault="009A646C" w:rsidP="005E6547">
            <w:pPr>
              <w:pStyle w:val="Tabletext"/>
              <w:rPr>
                <w:color w:val="000000"/>
              </w:rPr>
            </w:pPr>
            <w:proofErr w:type="spellStart"/>
            <w:r w:rsidRPr="009A646C">
              <w:rPr>
                <w:color w:val="000000"/>
              </w:rPr>
              <w:t>Riluzole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3D941116" w14:textId="029238AA" w:rsidR="001C0BC8" w:rsidRPr="00EE7688" w:rsidRDefault="00F42749" w:rsidP="005E6547">
            <w:pPr>
              <w:pStyle w:val="Tabletext"/>
              <w:rPr>
                <w:color w:val="000000"/>
              </w:rPr>
            </w:pPr>
            <w:r w:rsidRPr="00F42749">
              <w:rPr>
                <w:color w:val="000000"/>
              </w:rPr>
              <w:t>Oral suspension 50 mg per 10 mL, 300 mL</w:t>
            </w:r>
          </w:p>
        </w:tc>
        <w:tc>
          <w:tcPr>
            <w:tcW w:w="1383" w:type="dxa"/>
            <w:shd w:val="clear" w:color="auto" w:fill="auto"/>
          </w:tcPr>
          <w:p w14:paraId="746059F2" w14:textId="77D977C9" w:rsidR="001C0BC8" w:rsidRDefault="00F42749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Oral</w:t>
            </w:r>
          </w:p>
        </w:tc>
      </w:tr>
    </w:tbl>
    <w:p w14:paraId="29DD6ACA" w14:textId="77777777" w:rsidR="0096468A" w:rsidRDefault="0096468A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szCs w:val="24"/>
          <w:lang w:eastAsia="en-AU"/>
        </w:rPr>
      </w:pPr>
      <w:r>
        <w:rPr>
          <w:szCs w:val="24"/>
        </w:rPr>
        <w:br w:type="page"/>
      </w:r>
    </w:p>
    <w:p w14:paraId="68EA6C0C" w14:textId="3B1EDBA7" w:rsidR="00F42749" w:rsidRPr="00643280" w:rsidRDefault="00882B1C" w:rsidP="00834A07">
      <w:pPr>
        <w:pStyle w:val="ItemHead"/>
        <w:ind w:left="284" w:hanging="284"/>
        <w:rPr>
          <w:szCs w:val="24"/>
        </w:rPr>
      </w:pPr>
      <w:proofErr w:type="gramStart"/>
      <w:r>
        <w:rPr>
          <w:szCs w:val="24"/>
        </w:rPr>
        <w:lastRenderedPageBreak/>
        <w:t xml:space="preserve">10  </w:t>
      </w:r>
      <w:r w:rsidR="00F42749" w:rsidRPr="00643280">
        <w:rPr>
          <w:szCs w:val="24"/>
        </w:rPr>
        <w:t>Section</w:t>
      </w:r>
      <w:proofErr w:type="gramEnd"/>
      <w:r w:rsidR="00F42749" w:rsidRPr="00643280">
        <w:rPr>
          <w:szCs w:val="24"/>
        </w:rPr>
        <w:t xml:space="preserve"> 5 (</w:t>
      </w:r>
      <w:r w:rsidR="00F42749" w:rsidRPr="001C0BC8">
        <w:rPr>
          <w:szCs w:val="24"/>
        </w:rPr>
        <w:t>after table</w:t>
      </w:r>
      <w:r w:rsidR="00F42749" w:rsidRPr="00643280">
        <w:rPr>
          <w:szCs w:val="24"/>
        </w:rPr>
        <w:t xml:space="preserve"> item dealing with the brand</w:t>
      </w:r>
      <w:r w:rsidR="00F42749">
        <w:rPr>
          <w:szCs w:val="24"/>
        </w:rPr>
        <w:t xml:space="preserve"> </w:t>
      </w:r>
      <w:proofErr w:type="spellStart"/>
      <w:r w:rsidR="003A52EC" w:rsidRPr="003A52EC">
        <w:rPr>
          <w:szCs w:val="24"/>
        </w:rPr>
        <w:t>Micolette</w:t>
      </w:r>
      <w:proofErr w:type="spellEnd"/>
      <w:r w:rsidR="003A52EC">
        <w:rPr>
          <w:szCs w:val="24"/>
        </w:rPr>
        <w:t xml:space="preserve"> of the drug </w:t>
      </w:r>
      <w:r w:rsidR="003A52EC" w:rsidRPr="003A52EC">
        <w:rPr>
          <w:szCs w:val="24"/>
        </w:rPr>
        <w:t xml:space="preserve">Sorbitol with sodium citrate dihydrate and sodium lauryl </w:t>
      </w:r>
      <w:proofErr w:type="spellStart"/>
      <w:r w:rsidR="003A52EC" w:rsidRPr="003A52EC">
        <w:rPr>
          <w:szCs w:val="24"/>
        </w:rPr>
        <w:t>sulfoacetate</w:t>
      </w:r>
      <w:proofErr w:type="spellEnd"/>
      <w:r w:rsidR="003A52EC">
        <w:rPr>
          <w:szCs w:val="24"/>
        </w:rPr>
        <w:t xml:space="preserve"> in the form </w:t>
      </w:r>
      <w:r w:rsidR="003A52EC" w:rsidRPr="003A52EC">
        <w:rPr>
          <w:szCs w:val="24"/>
        </w:rPr>
        <w:t>Enemas 3.125 g-450 mg-45 mg in 5 mL, 12</w:t>
      </w:r>
      <w:r w:rsidR="003A52EC">
        <w:rPr>
          <w:szCs w:val="24"/>
        </w:rPr>
        <w:t>)</w:t>
      </w:r>
    </w:p>
    <w:p w14:paraId="043FE8DF" w14:textId="77777777" w:rsidR="00F42749" w:rsidRDefault="00F42749" w:rsidP="00F42749">
      <w:pPr>
        <w:pStyle w:val="Item"/>
      </w:pPr>
      <w:r w:rsidRPr="00643280">
        <w:t>Insert:</w:t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2078"/>
        <w:gridCol w:w="1983"/>
        <w:gridCol w:w="3061"/>
        <w:gridCol w:w="1383"/>
      </w:tblGrid>
      <w:tr w:rsidR="00F42749" w:rsidRPr="008B3AD4" w14:paraId="13D7F4C4" w14:textId="77777777" w:rsidTr="005E6547">
        <w:tc>
          <w:tcPr>
            <w:tcW w:w="2078" w:type="dxa"/>
            <w:shd w:val="clear" w:color="auto" w:fill="auto"/>
          </w:tcPr>
          <w:p w14:paraId="22D564B1" w14:textId="21A46B48" w:rsidR="00F42749" w:rsidRDefault="00E153C6" w:rsidP="005E6547">
            <w:pPr>
              <w:pStyle w:val="Tabletext"/>
              <w:rPr>
                <w:color w:val="000000"/>
              </w:rPr>
            </w:pPr>
            <w:r w:rsidRPr="00E153C6">
              <w:rPr>
                <w:color w:val="000000"/>
              </w:rPr>
              <w:t>Pfizer Australia Pty Ltd</w:t>
            </w:r>
          </w:p>
        </w:tc>
        <w:tc>
          <w:tcPr>
            <w:tcW w:w="1983" w:type="dxa"/>
            <w:shd w:val="clear" w:color="auto" w:fill="auto"/>
          </w:tcPr>
          <w:p w14:paraId="6F849E2F" w14:textId="4E15C1D9" w:rsidR="00F42749" w:rsidRPr="004F7184" w:rsidRDefault="00E153C6" w:rsidP="005E6547">
            <w:pPr>
              <w:pStyle w:val="Tabletext"/>
              <w:rPr>
                <w:color w:val="000000"/>
              </w:rPr>
            </w:pPr>
            <w:r w:rsidRPr="00E153C6">
              <w:rPr>
                <w:color w:val="000000"/>
              </w:rPr>
              <w:t>Tobramycin</w:t>
            </w:r>
          </w:p>
        </w:tc>
        <w:tc>
          <w:tcPr>
            <w:tcW w:w="3061" w:type="dxa"/>
            <w:shd w:val="clear" w:color="auto" w:fill="auto"/>
          </w:tcPr>
          <w:p w14:paraId="4DB560A4" w14:textId="15E10909" w:rsidR="00F42749" w:rsidRPr="00EE7688" w:rsidRDefault="00E153C6" w:rsidP="005E6547">
            <w:pPr>
              <w:pStyle w:val="Tabletext"/>
              <w:rPr>
                <w:color w:val="000000"/>
              </w:rPr>
            </w:pPr>
            <w:r w:rsidRPr="00E153C6">
              <w:rPr>
                <w:color w:val="000000"/>
              </w:rPr>
              <w:t xml:space="preserve">Injection 80 mg (as </w:t>
            </w:r>
            <w:proofErr w:type="spellStart"/>
            <w:r w:rsidRPr="00E153C6">
              <w:rPr>
                <w:color w:val="000000"/>
              </w:rPr>
              <w:t>sulfate</w:t>
            </w:r>
            <w:proofErr w:type="spellEnd"/>
            <w:r w:rsidRPr="00E153C6">
              <w:rPr>
                <w:color w:val="000000"/>
              </w:rPr>
              <w:t>) in 2 mL (without preservative)</w:t>
            </w:r>
          </w:p>
        </w:tc>
        <w:tc>
          <w:tcPr>
            <w:tcW w:w="1383" w:type="dxa"/>
            <w:shd w:val="clear" w:color="auto" w:fill="auto"/>
          </w:tcPr>
          <w:p w14:paraId="42495F40" w14:textId="7CA138CD" w:rsidR="00F42749" w:rsidRDefault="00E153C6" w:rsidP="005E6547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Injection</w:t>
            </w:r>
          </w:p>
        </w:tc>
      </w:tr>
    </w:tbl>
    <w:p w14:paraId="3798FB33" w14:textId="77777777" w:rsidR="00B02A68" w:rsidRPr="00B02A68" w:rsidRDefault="00B02A68" w:rsidP="007C5840">
      <w:pPr>
        <w:pStyle w:val="ItemHead"/>
        <w:ind w:left="0" w:firstLine="0"/>
      </w:pPr>
    </w:p>
    <w:sectPr w:rsidR="00B02A68" w:rsidRPr="00B02A68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8D98" w14:textId="77777777" w:rsidR="00751069" w:rsidRDefault="00751069" w:rsidP="0048364F">
      <w:pPr>
        <w:spacing w:line="240" w:lineRule="auto"/>
      </w:pPr>
      <w:r>
        <w:separator/>
      </w:r>
    </w:p>
  </w:endnote>
  <w:endnote w:type="continuationSeparator" w:id="0">
    <w:p w14:paraId="05A25F2C" w14:textId="77777777" w:rsidR="00751069" w:rsidRDefault="00751069" w:rsidP="0048364F">
      <w:pPr>
        <w:spacing w:line="240" w:lineRule="auto"/>
      </w:pPr>
      <w:r>
        <w:continuationSeparator/>
      </w:r>
    </w:p>
  </w:endnote>
  <w:endnote w:type="continuationNotice" w:id="1">
    <w:p w14:paraId="7C9A4E42" w14:textId="77777777" w:rsidR="00751069" w:rsidRDefault="007510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0CB8B6D" w14:textId="77777777" w:rsidTr="0001176A">
      <w:tc>
        <w:tcPr>
          <w:tcW w:w="5000" w:type="pct"/>
        </w:tcPr>
        <w:p w14:paraId="5971E0D7" w14:textId="77777777" w:rsidR="009278C1" w:rsidRDefault="009278C1" w:rsidP="0001176A">
          <w:pPr>
            <w:rPr>
              <w:sz w:val="18"/>
            </w:rPr>
          </w:pPr>
        </w:p>
      </w:tc>
    </w:tr>
  </w:tbl>
  <w:p w14:paraId="1BB0769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7DBF8D6" w14:textId="77777777" w:rsidTr="00C160A1">
      <w:tc>
        <w:tcPr>
          <w:tcW w:w="5000" w:type="pct"/>
        </w:tcPr>
        <w:p w14:paraId="6EFC15C4" w14:textId="77777777" w:rsidR="00B20990" w:rsidRDefault="00B20990" w:rsidP="007946FE">
          <w:pPr>
            <w:rPr>
              <w:sz w:val="18"/>
            </w:rPr>
          </w:pPr>
        </w:p>
      </w:tc>
    </w:tr>
  </w:tbl>
  <w:p w14:paraId="2CE614A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FE7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816952A" w14:textId="77777777" w:rsidTr="00C160A1">
      <w:tc>
        <w:tcPr>
          <w:tcW w:w="5000" w:type="pct"/>
        </w:tcPr>
        <w:p w14:paraId="1848489E" w14:textId="77777777" w:rsidR="00B20990" w:rsidRDefault="00B20990" w:rsidP="00465764">
          <w:pPr>
            <w:rPr>
              <w:sz w:val="18"/>
            </w:rPr>
          </w:pPr>
        </w:p>
      </w:tc>
    </w:tr>
  </w:tbl>
  <w:p w14:paraId="056535D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4F2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6519D8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917102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D32819" w14:textId="27CC299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4FB8">
            <w:rPr>
              <w:i/>
              <w:noProof/>
              <w:sz w:val="18"/>
            </w:rPr>
            <w:t>National Health Amendment (Floor Price for Certain Brands of Pharmaceutical Items)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B5F3A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CEB05B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14CC3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F48007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A1F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82669E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50DB74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A3D4AE8" w14:textId="20FA830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32850">
            <w:rPr>
              <w:i/>
              <w:noProof/>
              <w:sz w:val="18"/>
            </w:rPr>
            <w:t>National Health (Floor Price for Certain Brands of Pharmaceutical Items)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C6F629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A8C845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B90F4A" w14:textId="77777777" w:rsidR="00B20990" w:rsidRDefault="00B20990" w:rsidP="007946FE">
          <w:pPr>
            <w:rPr>
              <w:sz w:val="18"/>
            </w:rPr>
          </w:pPr>
        </w:p>
      </w:tc>
    </w:tr>
  </w:tbl>
  <w:p w14:paraId="6BBCE99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891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61BA87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C089F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7A2C5D" w14:textId="07AD43D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32850">
            <w:rPr>
              <w:i/>
              <w:noProof/>
              <w:sz w:val="18"/>
            </w:rPr>
            <w:t>National Health (Floor Price for Certain Brands of Pharmaceutical Items)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04BEE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7B5E57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199D5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8314F1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A6D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8831D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14625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0D9473" w14:textId="0AB510E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32850">
            <w:rPr>
              <w:i/>
              <w:noProof/>
              <w:sz w:val="18"/>
            </w:rPr>
            <w:t>National Health (Floor Price for Certain Brands of Pharmaceutical Items)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04C8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AF2DD0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BED13" w14:textId="77777777" w:rsidR="00EE57E8" w:rsidRDefault="00EE57E8" w:rsidP="00EE57E8">
          <w:pPr>
            <w:rPr>
              <w:sz w:val="18"/>
            </w:rPr>
          </w:pPr>
        </w:p>
      </w:tc>
    </w:tr>
  </w:tbl>
  <w:p w14:paraId="62170BD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052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DF8F3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686D0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2C7B4B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E4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2B17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A4226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869237" w14:textId="365D4E6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80E44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32850">
            <w:rPr>
              <w:i/>
              <w:noProof/>
              <w:sz w:val="18"/>
            </w:rPr>
            <w:t>29/4/2024 9:11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C945E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10CB" w14:textId="77777777" w:rsidR="00751069" w:rsidRDefault="00751069" w:rsidP="0048364F">
      <w:pPr>
        <w:spacing w:line="240" w:lineRule="auto"/>
      </w:pPr>
      <w:r>
        <w:separator/>
      </w:r>
    </w:p>
  </w:footnote>
  <w:footnote w:type="continuationSeparator" w:id="0">
    <w:p w14:paraId="4354FEC1" w14:textId="77777777" w:rsidR="00751069" w:rsidRDefault="00751069" w:rsidP="0048364F">
      <w:pPr>
        <w:spacing w:line="240" w:lineRule="auto"/>
      </w:pPr>
      <w:r>
        <w:continuationSeparator/>
      </w:r>
    </w:p>
  </w:footnote>
  <w:footnote w:type="continuationNotice" w:id="1">
    <w:p w14:paraId="498D3BF4" w14:textId="77777777" w:rsidR="00751069" w:rsidRDefault="007510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405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D07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ACE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493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090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FE6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D394" w14:textId="77777777" w:rsidR="00EE57E8" w:rsidRPr="00A961C4" w:rsidRDefault="00EE57E8" w:rsidP="0048364F">
    <w:pPr>
      <w:rPr>
        <w:b/>
        <w:sz w:val="20"/>
      </w:rPr>
    </w:pPr>
  </w:p>
  <w:p w14:paraId="43EE9880" w14:textId="77777777" w:rsidR="00EE57E8" w:rsidRPr="00A961C4" w:rsidRDefault="00EE57E8" w:rsidP="0048364F">
    <w:pPr>
      <w:rPr>
        <w:b/>
        <w:sz w:val="20"/>
      </w:rPr>
    </w:pPr>
  </w:p>
  <w:p w14:paraId="335D482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50D1" w14:textId="77777777" w:rsidR="00EE57E8" w:rsidRPr="00A961C4" w:rsidRDefault="00EE57E8" w:rsidP="0048364F">
    <w:pPr>
      <w:jc w:val="right"/>
      <w:rPr>
        <w:sz w:val="20"/>
      </w:rPr>
    </w:pPr>
  </w:p>
  <w:p w14:paraId="23F90A64" w14:textId="77777777" w:rsidR="00EE57E8" w:rsidRPr="00A961C4" w:rsidRDefault="00EE57E8" w:rsidP="0048364F">
    <w:pPr>
      <w:jc w:val="right"/>
      <w:rPr>
        <w:b/>
        <w:sz w:val="20"/>
      </w:rPr>
    </w:pPr>
  </w:p>
  <w:p w14:paraId="2410551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42A3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B923D7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B0556"/>
    <w:multiLevelType w:val="hybridMultilevel"/>
    <w:tmpl w:val="71E61600"/>
    <w:lvl w:ilvl="0" w:tplc="04EE8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C2BBF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FDE3B38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8692A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C5903"/>
    <w:multiLevelType w:val="hybridMultilevel"/>
    <w:tmpl w:val="5170CA9C"/>
    <w:lvl w:ilvl="0" w:tplc="99BC4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534DD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230E9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64E7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97063"/>
    <w:multiLevelType w:val="hybridMultilevel"/>
    <w:tmpl w:val="5170CA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28551">
    <w:abstractNumId w:val="9"/>
  </w:num>
  <w:num w:numId="2" w16cid:durableId="751659966">
    <w:abstractNumId w:val="7"/>
  </w:num>
  <w:num w:numId="3" w16cid:durableId="132992996">
    <w:abstractNumId w:val="6"/>
  </w:num>
  <w:num w:numId="4" w16cid:durableId="342056084">
    <w:abstractNumId w:val="5"/>
  </w:num>
  <w:num w:numId="5" w16cid:durableId="1878927244">
    <w:abstractNumId w:val="4"/>
  </w:num>
  <w:num w:numId="6" w16cid:durableId="457727069">
    <w:abstractNumId w:val="8"/>
  </w:num>
  <w:num w:numId="7" w16cid:durableId="728114110">
    <w:abstractNumId w:val="3"/>
  </w:num>
  <w:num w:numId="8" w16cid:durableId="349140588">
    <w:abstractNumId w:val="2"/>
  </w:num>
  <w:num w:numId="9" w16cid:durableId="1067340219">
    <w:abstractNumId w:val="1"/>
  </w:num>
  <w:num w:numId="10" w16cid:durableId="334303643">
    <w:abstractNumId w:val="0"/>
  </w:num>
  <w:num w:numId="11" w16cid:durableId="2140103490">
    <w:abstractNumId w:val="16"/>
  </w:num>
  <w:num w:numId="12" w16cid:durableId="1463814803">
    <w:abstractNumId w:val="10"/>
  </w:num>
  <w:num w:numId="13" w16cid:durableId="1887523839">
    <w:abstractNumId w:val="12"/>
  </w:num>
  <w:num w:numId="14" w16cid:durableId="720130753">
    <w:abstractNumId w:val="14"/>
  </w:num>
  <w:num w:numId="15" w16cid:durableId="1338458634">
    <w:abstractNumId w:val="19"/>
  </w:num>
  <w:num w:numId="16" w16cid:durableId="1128359295">
    <w:abstractNumId w:val="23"/>
  </w:num>
  <w:num w:numId="17" w16cid:durableId="158275173">
    <w:abstractNumId w:val="17"/>
  </w:num>
  <w:num w:numId="18" w16cid:durableId="1089734694">
    <w:abstractNumId w:val="20"/>
  </w:num>
  <w:num w:numId="19" w16cid:durableId="132721251">
    <w:abstractNumId w:val="15"/>
  </w:num>
  <w:num w:numId="20" w16cid:durableId="464278687">
    <w:abstractNumId w:val="21"/>
  </w:num>
  <w:num w:numId="21" w16cid:durableId="1096749686">
    <w:abstractNumId w:val="22"/>
  </w:num>
  <w:num w:numId="22" w16cid:durableId="1102871026">
    <w:abstractNumId w:val="18"/>
  </w:num>
  <w:num w:numId="23" w16cid:durableId="475147253">
    <w:abstractNumId w:val="11"/>
  </w:num>
  <w:num w:numId="24" w16cid:durableId="551425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44"/>
    <w:rsid w:val="00000263"/>
    <w:rsid w:val="00000532"/>
    <w:rsid w:val="0000206D"/>
    <w:rsid w:val="00010361"/>
    <w:rsid w:val="000113BC"/>
    <w:rsid w:val="000136AF"/>
    <w:rsid w:val="00015A84"/>
    <w:rsid w:val="00015B6C"/>
    <w:rsid w:val="000320B2"/>
    <w:rsid w:val="0004044E"/>
    <w:rsid w:val="00040554"/>
    <w:rsid w:val="00041AD9"/>
    <w:rsid w:val="00041ADC"/>
    <w:rsid w:val="0004431A"/>
    <w:rsid w:val="0005120E"/>
    <w:rsid w:val="0005297C"/>
    <w:rsid w:val="0005394E"/>
    <w:rsid w:val="00054577"/>
    <w:rsid w:val="00054F7D"/>
    <w:rsid w:val="0005586A"/>
    <w:rsid w:val="000614BF"/>
    <w:rsid w:val="00067364"/>
    <w:rsid w:val="00070336"/>
    <w:rsid w:val="0007034E"/>
    <w:rsid w:val="0007169C"/>
    <w:rsid w:val="00077593"/>
    <w:rsid w:val="000821B2"/>
    <w:rsid w:val="00083F48"/>
    <w:rsid w:val="00086BF1"/>
    <w:rsid w:val="00090DA2"/>
    <w:rsid w:val="000A0892"/>
    <w:rsid w:val="000A479A"/>
    <w:rsid w:val="000A7DF9"/>
    <w:rsid w:val="000B512F"/>
    <w:rsid w:val="000C1180"/>
    <w:rsid w:val="000C6871"/>
    <w:rsid w:val="000D05EF"/>
    <w:rsid w:val="000D0C31"/>
    <w:rsid w:val="000D3FB9"/>
    <w:rsid w:val="000D4CCC"/>
    <w:rsid w:val="000D5485"/>
    <w:rsid w:val="000D5583"/>
    <w:rsid w:val="000E2150"/>
    <w:rsid w:val="000E34AC"/>
    <w:rsid w:val="000E598E"/>
    <w:rsid w:val="000E5A3D"/>
    <w:rsid w:val="000F0ADA"/>
    <w:rsid w:val="000F21C1"/>
    <w:rsid w:val="000F2CD5"/>
    <w:rsid w:val="0010745C"/>
    <w:rsid w:val="001122FF"/>
    <w:rsid w:val="00116B54"/>
    <w:rsid w:val="00125002"/>
    <w:rsid w:val="00131526"/>
    <w:rsid w:val="00131DE6"/>
    <w:rsid w:val="001365BE"/>
    <w:rsid w:val="00160BD7"/>
    <w:rsid w:val="001643C9"/>
    <w:rsid w:val="00165568"/>
    <w:rsid w:val="00166082"/>
    <w:rsid w:val="00166C2F"/>
    <w:rsid w:val="001716C9"/>
    <w:rsid w:val="001770D1"/>
    <w:rsid w:val="00182D09"/>
    <w:rsid w:val="00184261"/>
    <w:rsid w:val="00186A6C"/>
    <w:rsid w:val="00193461"/>
    <w:rsid w:val="001939E1"/>
    <w:rsid w:val="00193C48"/>
    <w:rsid w:val="0019452E"/>
    <w:rsid w:val="00195382"/>
    <w:rsid w:val="001A3B9F"/>
    <w:rsid w:val="001A3C72"/>
    <w:rsid w:val="001A5520"/>
    <w:rsid w:val="001A65C0"/>
    <w:rsid w:val="001B3585"/>
    <w:rsid w:val="001B36C2"/>
    <w:rsid w:val="001B6160"/>
    <w:rsid w:val="001B6B9C"/>
    <w:rsid w:val="001B7A5D"/>
    <w:rsid w:val="001C0446"/>
    <w:rsid w:val="001C0BC8"/>
    <w:rsid w:val="001C5AA2"/>
    <w:rsid w:val="001C69C4"/>
    <w:rsid w:val="001E0A8D"/>
    <w:rsid w:val="001E340B"/>
    <w:rsid w:val="001E3590"/>
    <w:rsid w:val="001E63A9"/>
    <w:rsid w:val="001E7407"/>
    <w:rsid w:val="001F00F5"/>
    <w:rsid w:val="001F1A46"/>
    <w:rsid w:val="00201D27"/>
    <w:rsid w:val="00202FF6"/>
    <w:rsid w:val="0021153A"/>
    <w:rsid w:val="00214BAE"/>
    <w:rsid w:val="00216C7F"/>
    <w:rsid w:val="00221702"/>
    <w:rsid w:val="00223D63"/>
    <w:rsid w:val="002245A6"/>
    <w:rsid w:val="00224AF9"/>
    <w:rsid w:val="002302EA"/>
    <w:rsid w:val="00231F51"/>
    <w:rsid w:val="00237614"/>
    <w:rsid w:val="00240749"/>
    <w:rsid w:val="002438DD"/>
    <w:rsid w:val="002468D7"/>
    <w:rsid w:val="00247E97"/>
    <w:rsid w:val="002502B8"/>
    <w:rsid w:val="00256C81"/>
    <w:rsid w:val="00265D36"/>
    <w:rsid w:val="00277D77"/>
    <w:rsid w:val="00285CDD"/>
    <w:rsid w:val="00291167"/>
    <w:rsid w:val="0029489E"/>
    <w:rsid w:val="00295075"/>
    <w:rsid w:val="00295801"/>
    <w:rsid w:val="00297ECB"/>
    <w:rsid w:val="002A7882"/>
    <w:rsid w:val="002B4173"/>
    <w:rsid w:val="002B5221"/>
    <w:rsid w:val="002B62E6"/>
    <w:rsid w:val="002C152A"/>
    <w:rsid w:val="002D03E3"/>
    <w:rsid w:val="002D043A"/>
    <w:rsid w:val="002D27BC"/>
    <w:rsid w:val="002D6769"/>
    <w:rsid w:val="002F2137"/>
    <w:rsid w:val="00311E59"/>
    <w:rsid w:val="003145C4"/>
    <w:rsid w:val="0031713F"/>
    <w:rsid w:val="003222D1"/>
    <w:rsid w:val="0032750F"/>
    <w:rsid w:val="003330F1"/>
    <w:rsid w:val="00333935"/>
    <w:rsid w:val="003415D3"/>
    <w:rsid w:val="003442F6"/>
    <w:rsid w:val="00346335"/>
    <w:rsid w:val="00352B0F"/>
    <w:rsid w:val="00354E4B"/>
    <w:rsid w:val="003561B0"/>
    <w:rsid w:val="00382819"/>
    <w:rsid w:val="003905F3"/>
    <w:rsid w:val="00397893"/>
    <w:rsid w:val="003A15AC"/>
    <w:rsid w:val="003A1823"/>
    <w:rsid w:val="003A52EC"/>
    <w:rsid w:val="003B0627"/>
    <w:rsid w:val="003B2E28"/>
    <w:rsid w:val="003C5F2B"/>
    <w:rsid w:val="003C653D"/>
    <w:rsid w:val="003C7D35"/>
    <w:rsid w:val="003D0BFE"/>
    <w:rsid w:val="003D1D43"/>
    <w:rsid w:val="003D5700"/>
    <w:rsid w:val="003D6407"/>
    <w:rsid w:val="003D79A5"/>
    <w:rsid w:val="003D7F0E"/>
    <w:rsid w:val="003F4005"/>
    <w:rsid w:val="003F6F52"/>
    <w:rsid w:val="004022CA"/>
    <w:rsid w:val="004116CD"/>
    <w:rsid w:val="00414ADE"/>
    <w:rsid w:val="004160EB"/>
    <w:rsid w:val="00424CA9"/>
    <w:rsid w:val="004257BB"/>
    <w:rsid w:val="0044291A"/>
    <w:rsid w:val="00454E03"/>
    <w:rsid w:val="004600B0"/>
    <w:rsid w:val="00460499"/>
    <w:rsid w:val="00460FBA"/>
    <w:rsid w:val="00466ABA"/>
    <w:rsid w:val="00474835"/>
    <w:rsid w:val="004819C7"/>
    <w:rsid w:val="0048364F"/>
    <w:rsid w:val="00486D7B"/>
    <w:rsid w:val="004877FC"/>
    <w:rsid w:val="00490F2E"/>
    <w:rsid w:val="0049173E"/>
    <w:rsid w:val="004948F3"/>
    <w:rsid w:val="00496F97"/>
    <w:rsid w:val="004A53EA"/>
    <w:rsid w:val="004A5876"/>
    <w:rsid w:val="004A5CF1"/>
    <w:rsid w:val="004B1DB6"/>
    <w:rsid w:val="004B22E0"/>
    <w:rsid w:val="004B242F"/>
    <w:rsid w:val="004B35E7"/>
    <w:rsid w:val="004B570B"/>
    <w:rsid w:val="004B5BE2"/>
    <w:rsid w:val="004D0F1E"/>
    <w:rsid w:val="004D4FB8"/>
    <w:rsid w:val="004E608B"/>
    <w:rsid w:val="004F00DA"/>
    <w:rsid w:val="004F1FAC"/>
    <w:rsid w:val="004F676E"/>
    <w:rsid w:val="004F7184"/>
    <w:rsid w:val="004F71C0"/>
    <w:rsid w:val="004F7C45"/>
    <w:rsid w:val="0050753B"/>
    <w:rsid w:val="0051077F"/>
    <w:rsid w:val="00513CED"/>
    <w:rsid w:val="00516B8D"/>
    <w:rsid w:val="005171E4"/>
    <w:rsid w:val="0052756C"/>
    <w:rsid w:val="00530230"/>
    <w:rsid w:val="00530CC9"/>
    <w:rsid w:val="00531B46"/>
    <w:rsid w:val="00532840"/>
    <w:rsid w:val="00532850"/>
    <w:rsid w:val="00532F21"/>
    <w:rsid w:val="0053651F"/>
    <w:rsid w:val="00537FBC"/>
    <w:rsid w:val="00541D73"/>
    <w:rsid w:val="00543469"/>
    <w:rsid w:val="00545277"/>
    <w:rsid w:val="00546FA3"/>
    <w:rsid w:val="005559C3"/>
    <w:rsid w:val="00557C7A"/>
    <w:rsid w:val="00562A58"/>
    <w:rsid w:val="0056541A"/>
    <w:rsid w:val="0056652B"/>
    <w:rsid w:val="00581211"/>
    <w:rsid w:val="00582BAC"/>
    <w:rsid w:val="00584811"/>
    <w:rsid w:val="00593AA6"/>
    <w:rsid w:val="00594161"/>
    <w:rsid w:val="00594749"/>
    <w:rsid w:val="00594956"/>
    <w:rsid w:val="005A080C"/>
    <w:rsid w:val="005B1555"/>
    <w:rsid w:val="005B300D"/>
    <w:rsid w:val="005B4067"/>
    <w:rsid w:val="005C3F41"/>
    <w:rsid w:val="005C4EF0"/>
    <w:rsid w:val="005C557C"/>
    <w:rsid w:val="005D3416"/>
    <w:rsid w:val="005D4A4C"/>
    <w:rsid w:val="005D5EA1"/>
    <w:rsid w:val="005E098C"/>
    <w:rsid w:val="005E1F8D"/>
    <w:rsid w:val="005E317F"/>
    <w:rsid w:val="005E61D3"/>
    <w:rsid w:val="00600219"/>
    <w:rsid w:val="0060237D"/>
    <w:rsid w:val="006065DA"/>
    <w:rsid w:val="00606AA4"/>
    <w:rsid w:val="00612574"/>
    <w:rsid w:val="00613852"/>
    <w:rsid w:val="00622567"/>
    <w:rsid w:val="00622C03"/>
    <w:rsid w:val="006305CB"/>
    <w:rsid w:val="00633EA4"/>
    <w:rsid w:val="00636C21"/>
    <w:rsid w:val="0063754B"/>
    <w:rsid w:val="00640402"/>
    <w:rsid w:val="00640F78"/>
    <w:rsid w:val="00643280"/>
    <w:rsid w:val="00644A70"/>
    <w:rsid w:val="00655D6A"/>
    <w:rsid w:val="00656DE9"/>
    <w:rsid w:val="00671252"/>
    <w:rsid w:val="00672876"/>
    <w:rsid w:val="00677CC2"/>
    <w:rsid w:val="006829C0"/>
    <w:rsid w:val="00685F42"/>
    <w:rsid w:val="006909F5"/>
    <w:rsid w:val="00691AC8"/>
    <w:rsid w:val="0069207B"/>
    <w:rsid w:val="006A304E"/>
    <w:rsid w:val="006A5611"/>
    <w:rsid w:val="006B038E"/>
    <w:rsid w:val="006B7006"/>
    <w:rsid w:val="006C2FA0"/>
    <w:rsid w:val="006C31EF"/>
    <w:rsid w:val="006C6164"/>
    <w:rsid w:val="006C7F8C"/>
    <w:rsid w:val="006D24B4"/>
    <w:rsid w:val="006D62C4"/>
    <w:rsid w:val="006D7AB9"/>
    <w:rsid w:val="006E7EB0"/>
    <w:rsid w:val="00700B2C"/>
    <w:rsid w:val="00707B30"/>
    <w:rsid w:val="00713084"/>
    <w:rsid w:val="00717463"/>
    <w:rsid w:val="00720FC2"/>
    <w:rsid w:val="00722E89"/>
    <w:rsid w:val="007246E1"/>
    <w:rsid w:val="00725CAA"/>
    <w:rsid w:val="00731E00"/>
    <w:rsid w:val="007339C7"/>
    <w:rsid w:val="00736380"/>
    <w:rsid w:val="0074391E"/>
    <w:rsid w:val="007440B7"/>
    <w:rsid w:val="00747993"/>
    <w:rsid w:val="00751069"/>
    <w:rsid w:val="007516ED"/>
    <w:rsid w:val="00755C18"/>
    <w:rsid w:val="007634AD"/>
    <w:rsid w:val="007715C9"/>
    <w:rsid w:val="00774EDD"/>
    <w:rsid w:val="007757EC"/>
    <w:rsid w:val="007A39E0"/>
    <w:rsid w:val="007A6863"/>
    <w:rsid w:val="007C5840"/>
    <w:rsid w:val="007C78B4"/>
    <w:rsid w:val="007E32B6"/>
    <w:rsid w:val="007E4645"/>
    <w:rsid w:val="007E486B"/>
    <w:rsid w:val="007E7D4A"/>
    <w:rsid w:val="007F48ED"/>
    <w:rsid w:val="007F5E3F"/>
    <w:rsid w:val="00800FF0"/>
    <w:rsid w:val="00812F45"/>
    <w:rsid w:val="008228AD"/>
    <w:rsid w:val="00834A07"/>
    <w:rsid w:val="00836FE9"/>
    <w:rsid w:val="0084172C"/>
    <w:rsid w:val="00841E51"/>
    <w:rsid w:val="0085175E"/>
    <w:rsid w:val="00852006"/>
    <w:rsid w:val="00856A31"/>
    <w:rsid w:val="00866F56"/>
    <w:rsid w:val="00872470"/>
    <w:rsid w:val="008754D0"/>
    <w:rsid w:val="00876E88"/>
    <w:rsid w:val="00877C69"/>
    <w:rsid w:val="00877D48"/>
    <w:rsid w:val="00882B1C"/>
    <w:rsid w:val="0088345B"/>
    <w:rsid w:val="00896992"/>
    <w:rsid w:val="008A16A5"/>
    <w:rsid w:val="008A5C57"/>
    <w:rsid w:val="008A5E57"/>
    <w:rsid w:val="008B34A7"/>
    <w:rsid w:val="008B3AD4"/>
    <w:rsid w:val="008C0629"/>
    <w:rsid w:val="008C6F9D"/>
    <w:rsid w:val="008D0A39"/>
    <w:rsid w:val="008D0EE0"/>
    <w:rsid w:val="008D1936"/>
    <w:rsid w:val="008D7A27"/>
    <w:rsid w:val="008E4702"/>
    <w:rsid w:val="008E69AA"/>
    <w:rsid w:val="008F0FB8"/>
    <w:rsid w:val="008F400C"/>
    <w:rsid w:val="008F4F1C"/>
    <w:rsid w:val="009069AD"/>
    <w:rsid w:val="00910388"/>
    <w:rsid w:val="00910E64"/>
    <w:rsid w:val="009166EB"/>
    <w:rsid w:val="00922764"/>
    <w:rsid w:val="009278C1"/>
    <w:rsid w:val="00930413"/>
    <w:rsid w:val="00932377"/>
    <w:rsid w:val="009346E3"/>
    <w:rsid w:val="009400AD"/>
    <w:rsid w:val="0094523D"/>
    <w:rsid w:val="00953908"/>
    <w:rsid w:val="0096349A"/>
    <w:rsid w:val="0096468A"/>
    <w:rsid w:val="00976A63"/>
    <w:rsid w:val="00984FAD"/>
    <w:rsid w:val="00985EAE"/>
    <w:rsid w:val="0099385E"/>
    <w:rsid w:val="009A218D"/>
    <w:rsid w:val="009A646C"/>
    <w:rsid w:val="009A76D1"/>
    <w:rsid w:val="009B0C75"/>
    <w:rsid w:val="009B2490"/>
    <w:rsid w:val="009B50E5"/>
    <w:rsid w:val="009C3431"/>
    <w:rsid w:val="009C5989"/>
    <w:rsid w:val="009C6A32"/>
    <w:rsid w:val="009D08D5"/>
    <w:rsid w:val="009D08DA"/>
    <w:rsid w:val="009D54F2"/>
    <w:rsid w:val="009E04CC"/>
    <w:rsid w:val="009E3C7A"/>
    <w:rsid w:val="009F137C"/>
    <w:rsid w:val="009F4E25"/>
    <w:rsid w:val="00A01370"/>
    <w:rsid w:val="00A06860"/>
    <w:rsid w:val="00A11665"/>
    <w:rsid w:val="00A136F5"/>
    <w:rsid w:val="00A230B1"/>
    <w:rsid w:val="00A231E2"/>
    <w:rsid w:val="00A2550D"/>
    <w:rsid w:val="00A379BB"/>
    <w:rsid w:val="00A40279"/>
    <w:rsid w:val="00A4169B"/>
    <w:rsid w:val="00A44CC1"/>
    <w:rsid w:val="00A46040"/>
    <w:rsid w:val="00A47701"/>
    <w:rsid w:val="00A50D55"/>
    <w:rsid w:val="00A52FDA"/>
    <w:rsid w:val="00A53D3A"/>
    <w:rsid w:val="00A64912"/>
    <w:rsid w:val="00A67F76"/>
    <w:rsid w:val="00A70A74"/>
    <w:rsid w:val="00A727D8"/>
    <w:rsid w:val="00A9231A"/>
    <w:rsid w:val="00A95BC7"/>
    <w:rsid w:val="00A95E17"/>
    <w:rsid w:val="00AA0343"/>
    <w:rsid w:val="00AA78CE"/>
    <w:rsid w:val="00AA7B26"/>
    <w:rsid w:val="00AB21C3"/>
    <w:rsid w:val="00AC488C"/>
    <w:rsid w:val="00AC767C"/>
    <w:rsid w:val="00AD0586"/>
    <w:rsid w:val="00AD154E"/>
    <w:rsid w:val="00AD3467"/>
    <w:rsid w:val="00AD5641"/>
    <w:rsid w:val="00AE7996"/>
    <w:rsid w:val="00AE79CA"/>
    <w:rsid w:val="00AF1858"/>
    <w:rsid w:val="00AF220B"/>
    <w:rsid w:val="00AF33DB"/>
    <w:rsid w:val="00AF6A45"/>
    <w:rsid w:val="00B02A44"/>
    <w:rsid w:val="00B02A68"/>
    <w:rsid w:val="00B032D8"/>
    <w:rsid w:val="00B05D72"/>
    <w:rsid w:val="00B16488"/>
    <w:rsid w:val="00B16C4C"/>
    <w:rsid w:val="00B20990"/>
    <w:rsid w:val="00B23FAF"/>
    <w:rsid w:val="00B27CC7"/>
    <w:rsid w:val="00B33B3C"/>
    <w:rsid w:val="00B40D74"/>
    <w:rsid w:val="00B42649"/>
    <w:rsid w:val="00B46467"/>
    <w:rsid w:val="00B52663"/>
    <w:rsid w:val="00B5665D"/>
    <w:rsid w:val="00B56DCB"/>
    <w:rsid w:val="00B61728"/>
    <w:rsid w:val="00B6541C"/>
    <w:rsid w:val="00B7330E"/>
    <w:rsid w:val="00B770D2"/>
    <w:rsid w:val="00B85521"/>
    <w:rsid w:val="00B87CF4"/>
    <w:rsid w:val="00B93516"/>
    <w:rsid w:val="00B9402A"/>
    <w:rsid w:val="00B96776"/>
    <w:rsid w:val="00B973E5"/>
    <w:rsid w:val="00BA47A3"/>
    <w:rsid w:val="00BA5026"/>
    <w:rsid w:val="00BA6A7D"/>
    <w:rsid w:val="00BA7B5B"/>
    <w:rsid w:val="00BB6E79"/>
    <w:rsid w:val="00BB7954"/>
    <w:rsid w:val="00BC5B27"/>
    <w:rsid w:val="00BE058E"/>
    <w:rsid w:val="00BE42C5"/>
    <w:rsid w:val="00BE719A"/>
    <w:rsid w:val="00BE720A"/>
    <w:rsid w:val="00BF0723"/>
    <w:rsid w:val="00BF5678"/>
    <w:rsid w:val="00BF6650"/>
    <w:rsid w:val="00C05A1F"/>
    <w:rsid w:val="00C067E5"/>
    <w:rsid w:val="00C164CA"/>
    <w:rsid w:val="00C17537"/>
    <w:rsid w:val="00C23EB3"/>
    <w:rsid w:val="00C2419F"/>
    <w:rsid w:val="00C26051"/>
    <w:rsid w:val="00C27BAC"/>
    <w:rsid w:val="00C312D6"/>
    <w:rsid w:val="00C33E7F"/>
    <w:rsid w:val="00C42BF8"/>
    <w:rsid w:val="00C460AE"/>
    <w:rsid w:val="00C50043"/>
    <w:rsid w:val="00C5015F"/>
    <w:rsid w:val="00C50A0F"/>
    <w:rsid w:val="00C50F4A"/>
    <w:rsid w:val="00C6042A"/>
    <w:rsid w:val="00C67419"/>
    <w:rsid w:val="00C71105"/>
    <w:rsid w:val="00C72D10"/>
    <w:rsid w:val="00C7573B"/>
    <w:rsid w:val="00C76CF3"/>
    <w:rsid w:val="00C80E44"/>
    <w:rsid w:val="00C93205"/>
    <w:rsid w:val="00C945DC"/>
    <w:rsid w:val="00CA6367"/>
    <w:rsid w:val="00CA7844"/>
    <w:rsid w:val="00CB58EF"/>
    <w:rsid w:val="00CB7A72"/>
    <w:rsid w:val="00CC16D5"/>
    <w:rsid w:val="00CC7AF8"/>
    <w:rsid w:val="00CD4E5C"/>
    <w:rsid w:val="00CE0A93"/>
    <w:rsid w:val="00CF0BB2"/>
    <w:rsid w:val="00CF1B48"/>
    <w:rsid w:val="00CF2333"/>
    <w:rsid w:val="00CF6BDA"/>
    <w:rsid w:val="00D11F00"/>
    <w:rsid w:val="00D12B0D"/>
    <w:rsid w:val="00D13441"/>
    <w:rsid w:val="00D21CA3"/>
    <w:rsid w:val="00D243A3"/>
    <w:rsid w:val="00D301CC"/>
    <w:rsid w:val="00D33440"/>
    <w:rsid w:val="00D41B0E"/>
    <w:rsid w:val="00D47793"/>
    <w:rsid w:val="00D52EFE"/>
    <w:rsid w:val="00D56A0D"/>
    <w:rsid w:val="00D624F0"/>
    <w:rsid w:val="00D62D61"/>
    <w:rsid w:val="00D63EF6"/>
    <w:rsid w:val="00D652CA"/>
    <w:rsid w:val="00D66518"/>
    <w:rsid w:val="00D70DFB"/>
    <w:rsid w:val="00D71EEA"/>
    <w:rsid w:val="00D735CD"/>
    <w:rsid w:val="00D74117"/>
    <w:rsid w:val="00D766DF"/>
    <w:rsid w:val="00D841B7"/>
    <w:rsid w:val="00D86F60"/>
    <w:rsid w:val="00D90841"/>
    <w:rsid w:val="00DA2439"/>
    <w:rsid w:val="00DA30BD"/>
    <w:rsid w:val="00DA54F1"/>
    <w:rsid w:val="00DA6F05"/>
    <w:rsid w:val="00DB0E41"/>
    <w:rsid w:val="00DB2ED5"/>
    <w:rsid w:val="00DB64FC"/>
    <w:rsid w:val="00DB79EC"/>
    <w:rsid w:val="00DC6AF9"/>
    <w:rsid w:val="00DC7BC4"/>
    <w:rsid w:val="00DD35F8"/>
    <w:rsid w:val="00DE149E"/>
    <w:rsid w:val="00DF55C8"/>
    <w:rsid w:val="00E006B1"/>
    <w:rsid w:val="00E034DB"/>
    <w:rsid w:val="00E05704"/>
    <w:rsid w:val="00E12F1A"/>
    <w:rsid w:val="00E153C6"/>
    <w:rsid w:val="00E173E4"/>
    <w:rsid w:val="00E22935"/>
    <w:rsid w:val="00E24A49"/>
    <w:rsid w:val="00E278B1"/>
    <w:rsid w:val="00E300E2"/>
    <w:rsid w:val="00E30F83"/>
    <w:rsid w:val="00E35A3D"/>
    <w:rsid w:val="00E41A01"/>
    <w:rsid w:val="00E51044"/>
    <w:rsid w:val="00E52C00"/>
    <w:rsid w:val="00E54292"/>
    <w:rsid w:val="00E60191"/>
    <w:rsid w:val="00E73AFF"/>
    <w:rsid w:val="00E74DC7"/>
    <w:rsid w:val="00E82211"/>
    <w:rsid w:val="00E87699"/>
    <w:rsid w:val="00E92E27"/>
    <w:rsid w:val="00E94255"/>
    <w:rsid w:val="00E94B44"/>
    <w:rsid w:val="00E9586B"/>
    <w:rsid w:val="00E97334"/>
    <w:rsid w:val="00EB3A99"/>
    <w:rsid w:val="00EB65F8"/>
    <w:rsid w:val="00EC1B95"/>
    <w:rsid w:val="00EC33C0"/>
    <w:rsid w:val="00ED3019"/>
    <w:rsid w:val="00ED3A07"/>
    <w:rsid w:val="00ED4928"/>
    <w:rsid w:val="00ED5448"/>
    <w:rsid w:val="00EE3FFE"/>
    <w:rsid w:val="00EE57E8"/>
    <w:rsid w:val="00EE6190"/>
    <w:rsid w:val="00EE7688"/>
    <w:rsid w:val="00EF29D4"/>
    <w:rsid w:val="00EF2E3A"/>
    <w:rsid w:val="00EF6402"/>
    <w:rsid w:val="00F047E2"/>
    <w:rsid w:val="00F04D57"/>
    <w:rsid w:val="00F078DC"/>
    <w:rsid w:val="00F1006A"/>
    <w:rsid w:val="00F13E86"/>
    <w:rsid w:val="00F17C3D"/>
    <w:rsid w:val="00F20B52"/>
    <w:rsid w:val="00F22758"/>
    <w:rsid w:val="00F265B7"/>
    <w:rsid w:val="00F32FCB"/>
    <w:rsid w:val="00F33523"/>
    <w:rsid w:val="00F42749"/>
    <w:rsid w:val="00F51075"/>
    <w:rsid w:val="00F63172"/>
    <w:rsid w:val="00F66D02"/>
    <w:rsid w:val="00F677A9"/>
    <w:rsid w:val="00F757CE"/>
    <w:rsid w:val="00F8121C"/>
    <w:rsid w:val="00F84CF5"/>
    <w:rsid w:val="00F8508E"/>
    <w:rsid w:val="00F8612E"/>
    <w:rsid w:val="00F90130"/>
    <w:rsid w:val="00F90493"/>
    <w:rsid w:val="00F94583"/>
    <w:rsid w:val="00F9498C"/>
    <w:rsid w:val="00F9528F"/>
    <w:rsid w:val="00F96259"/>
    <w:rsid w:val="00FA03D1"/>
    <w:rsid w:val="00FA1B7F"/>
    <w:rsid w:val="00FA420B"/>
    <w:rsid w:val="00FA5DA3"/>
    <w:rsid w:val="00FB4701"/>
    <w:rsid w:val="00FB6AEE"/>
    <w:rsid w:val="00FC3EAC"/>
    <w:rsid w:val="00FD6619"/>
    <w:rsid w:val="00FF29FA"/>
    <w:rsid w:val="00FF39DE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393AC"/>
  <w15:docId w15:val="{FD7F082B-D43A-4304-98B1-20104F83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6C6164"/>
    <w:rPr>
      <w:rFonts w:eastAsia="Times New Roman" w:cs="Times New Roman"/>
      <w:sz w:val="18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6C6164"/>
    <w:rPr>
      <w:rFonts w:eastAsia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3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3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34E"/>
    <w:rPr>
      <w:b/>
      <w:bCs/>
    </w:rPr>
  </w:style>
  <w:style w:type="paragraph" w:styleId="Revision">
    <w:name w:val="Revision"/>
    <w:hidden/>
    <w:uiPriority w:val="99"/>
    <w:semiHidden/>
    <w:rsid w:val="00214BAE"/>
    <w:rPr>
      <w:sz w:val="22"/>
    </w:rPr>
  </w:style>
  <w:style w:type="paragraph" w:customStyle="1" w:styleId="pf0">
    <w:name w:val="pf0"/>
    <w:basedOn w:val="Normal"/>
    <w:rsid w:val="00BE05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BE058E"/>
    <w:rPr>
      <w:rFonts w:ascii="Segoe UI" w:hAnsi="Segoe UI" w:cs="Segoe UI" w:hint="default"/>
      <w:sz w:val="18"/>
      <w:szCs w:val="18"/>
    </w:rPr>
  </w:style>
  <w:style w:type="paragraph" w:customStyle="1" w:styleId="signcoverpageend0">
    <w:name w:val="signcoverpageend"/>
    <w:basedOn w:val="Normal"/>
    <w:rsid w:val="00202F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202FF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611">
          <w:marLeft w:val="0"/>
          <w:marRight w:val="397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805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489">
          <w:marLeft w:val="0"/>
          <w:marRight w:val="397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1664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CEL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6" ma:contentTypeDescription="Create a new document." ma:contentTypeScope="" ma:versionID="3e0ea6a074b5a27244ece56e731e1c3e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0ffe8aa7ebdaecfe94427cd75704cc8c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4BB44-1219-4424-B023-0E2EFC671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9A495-F526-4597-B084-5B3312336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8526C-FEB2-417C-BB31-B156B4823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4</TotalTime>
  <Pages>9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WOO, Celeste</dc:creator>
  <cp:lastModifiedBy>MARKS, Reirden</cp:lastModifiedBy>
  <cp:revision>2</cp:revision>
  <dcterms:created xsi:type="dcterms:W3CDTF">2024-04-28T23:15:00Z</dcterms:created>
  <dcterms:modified xsi:type="dcterms:W3CDTF">2024-04-28T23:15:00Z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</Properties>
</file>