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0E21F5" w:rsidRPr="00E500D4" w:rsidRDefault="000E21F5" w:rsidP="000E21F5">
      <w:pPr>
        <w:pStyle w:val="ShortT"/>
      </w:pPr>
      <w:r w:rsidRPr="00A31B8D">
        <w:t xml:space="preserve">Higher Education Support (Indigenous Student Success Program) (Rollover of Grant Amounts) Determination </w:t>
      </w:r>
      <w:r>
        <w:t>2024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E21F5">
        <w:rPr>
          <w:szCs w:val="22"/>
        </w:rPr>
        <w:t>Stephen Baz</w:t>
      </w:r>
      <w:r w:rsidR="000E21F5" w:rsidRPr="002F7459">
        <w:rPr>
          <w:szCs w:val="22"/>
        </w:rPr>
        <w:t>, delegate of the Chief Executive Officer, make the following determination.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C3D97">
        <w:rPr>
          <w:szCs w:val="22"/>
        </w:rPr>
        <w:tab/>
      </w:r>
      <w:r w:rsidR="00FC3D97">
        <w:rPr>
          <w:szCs w:val="22"/>
        </w:rPr>
        <w:tab/>
        <w:t xml:space="preserve">27 </w:t>
      </w:r>
      <w:r w:rsidR="000E21F5">
        <w:rPr>
          <w:szCs w:val="22"/>
        </w:rPr>
        <w:t>March 2024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0E21F5" w:rsidRPr="002F7459" w:rsidRDefault="000E21F5" w:rsidP="000E21F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t>Stephen Baz</w:t>
      </w:r>
      <w:r w:rsidRPr="002F7459">
        <w:rPr>
          <w:szCs w:val="22"/>
        </w:rPr>
        <w:t xml:space="preserve"> </w:t>
      </w:r>
      <w:bookmarkStart w:id="0" w:name="_GoBack"/>
      <w:bookmarkEnd w:id="0"/>
    </w:p>
    <w:p w:rsidR="000E21F5" w:rsidRPr="008E0027" w:rsidRDefault="000E21F5" w:rsidP="000E21F5">
      <w:pPr>
        <w:pStyle w:val="SignCoverPageEnd"/>
        <w:ind w:right="91"/>
        <w:rPr>
          <w:sz w:val="22"/>
        </w:rPr>
      </w:pPr>
      <w:r w:rsidRPr="002F7459">
        <w:rPr>
          <w:sz w:val="22"/>
        </w:rPr>
        <w:t xml:space="preserve">Senior Adviser, Tertiary </w:t>
      </w:r>
      <w:r>
        <w:rPr>
          <w:sz w:val="22"/>
        </w:rPr>
        <w:t>Education, National Indigenous Australians Agency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B7B3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B7B35">
        <w:rPr>
          <w:noProof/>
        </w:rPr>
        <w:t>1  Name</w:t>
      </w:r>
      <w:r w:rsidR="00EB7B35">
        <w:rPr>
          <w:noProof/>
        </w:rPr>
        <w:tab/>
      </w:r>
      <w:r w:rsidR="00EB7B35">
        <w:rPr>
          <w:noProof/>
        </w:rPr>
        <w:fldChar w:fldCharType="begin"/>
      </w:r>
      <w:r w:rsidR="00EB7B35">
        <w:rPr>
          <w:noProof/>
        </w:rPr>
        <w:instrText xml:space="preserve"> PAGEREF _Toc161674941 \h </w:instrText>
      </w:r>
      <w:r w:rsidR="00EB7B35">
        <w:rPr>
          <w:noProof/>
        </w:rPr>
      </w:r>
      <w:r w:rsidR="00EB7B35">
        <w:rPr>
          <w:noProof/>
        </w:rPr>
        <w:fldChar w:fldCharType="separate"/>
      </w:r>
      <w:r w:rsidR="00247077">
        <w:rPr>
          <w:noProof/>
        </w:rPr>
        <w:t>1</w:t>
      </w:r>
      <w:r w:rsidR="00EB7B35"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_Toc161674942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1</w:t>
      </w:r>
      <w:r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_Toc161674943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1</w:t>
      </w:r>
      <w:r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_Toc161674944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1</w:t>
      </w:r>
      <w:r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Rollover of 2023 ISSP grant amounts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_Toc161674945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2</w:t>
      </w:r>
      <w:r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Further rollover of 2023 ISSP rollover grant amounts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_Toc161674946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3</w:t>
      </w:r>
      <w:r>
        <w:rPr>
          <w:noProof/>
        </w:rPr>
        <w:fldChar w:fldCharType="end"/>
      </w:r>
    </w:p>
    <w:p w:rsidR="00EB7B35" w:rsidRDefault="00EB7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Conditions on grants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_Toc161674947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3</w:t>
      </w:r>
      <w:r>
        <w:rPr>
          <w:noProof/>
        </w:rPr>
        <w:fldChar w:fldCharType="end"/>
      </w:r>
    </w:p>
    <w:p w:rsidR="00EB7B35" w:rsidRDefault="00EB7B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_Toc161674948 \h </w:instrText>
      </w:r>
      <w:r>
        <w:rPr>
          <w:noProof/>
        </w:rPr>
      </w:r>
      <w:r>
        <w:rPr>
          <w:noProof/>
        </w:rPr>
        <w:fldChar w:fldCharType="separate"/>
      </w:r>
      <w:r w:rsidR="00247077">
        <w:rPr>
          <w:noProof/>
        </w:rPr>
        <w:t>4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8B2DD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61674941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40FE1" w:rsidRPr="00724277">
        <w:rPr>
          <w:i/>
        </w:rPr>
        <w:t>Higher Education Support (Indigenous Student Success Program) (Rollover of G</w:t>
      </w:r>
      <w:r w:rsidR="00540FE1">
        <w:rPr>
          <w:i/>
        </w:rPr>
        <w:t>rant Amounts) Determination 2024</w:t>
      </w:r>
      <w:r w:rsidR="00540FE1" w:rsidRPr="009C2562">
        <w:t>.</w:t>
      </w:r>
    </w:p>
    <w:p w:rsidR="00554826" w:rsidRPr="00554826" w:rsidRDefault="00554826" w:rsidP="00554826">
      <w:pPr>
        <w:pStyle w:val="ActHead5"/>
      </w:pPr>
      <w:bookmarkStart w:id="3" w:name="_Toc161674942"/>
      <w:r w:rsidRPr="00554826">
        <w:t>2  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540FE1">
        <w:t>on the day after it is registered.</w:t>
      </w:r>
    </w:p>
    <w:p w:rsidR="00554826" w:rsidRPr="00554826" w:rsidRDefault="00554826" w:rsidP="00554826">
      <w:pPr>
        <w:pStyle w:val="ActHead5"/>
      </w:pPr>
      <w:bookmarkStart w:id="4" w:name="_Toc161674943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r w:rsidR="00540FE1" w:rsidRPr="009C2562">
        <w:t xml:space="preserve">is made under </w:t>
      </w:r>
      <w:r w:rsidR="00540FE1" w:rsidRPr="00724277">
        <w:t>subsection 38-40(3) and subsection 38-40(4) of the Act for the purposes of Part 2-2A of the Act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161674944"/>
      <w:r w:rsidRPr="00554826">
        <w:t>4  Definitions</w:t>
      </w:r>
      <w:bookmarkEnd w:id="5"/>
    </w:p>
    <w:p w:rsidR="00540FE1" w:rsidRPr="009C2562" w:rsidRDefault="00540FE1" w:rsidP="00540FE1">
      <w:pPr>
        <w:pStyle w:val="notetext"/>
      </w:pPr>
      <w:bookmarkStart w:id="6" w:name="_Toc454781205"/>
      <w:r w:rsidRPr="009C2562">
        <w:t>Note:</w:t>
      </w:r>
      <w:r w:rsidRPr="009C2562">
        <w:tab/>
        <w:t xml:space="preserve">A number of expressions used in this instrument are defined in </w:t>
      </w:r>
      <w:r w:rsidRPr="00A31B8D">
        <w:t>Schedule 1</w:t>
      </w:r>
      <w:r>
        <w:t xml:space="preserve"> of the Act</w:t>
      </w:r>
      <w:r w:rsidRPr="009C2562">
        <w:t>, including the following:</w:t>
      </w:r>
    </w:p>
    <w:p w:rsidR="00540FE1" w:rsidRPr="00E446BA" w:rsidRDefault="00540FE1" w:rsidP="00540FE1">
      <w:pPr>
        <w:pStyle w:val="notepara"/>
      </w:pPr>
      <w:r w:rsidRPr="00E446BA">
        <w:t>(a)</w:t>
      </w:r>
      <w:r w:rsidRPr="00E446BA">
        <w:tab/>
        <w:t>annual financial reporting period;</w:t>
      </w:r>
    </w:p>
    <w:p w:rsidR="00540FE1" w:rsidRPr="00E446BA" w:rsidRDefault="00540FE1" w:rsidP="00540FE1">
      <w:pPr>
        <w:pStyle w:val="notepara"/>
      </w:pPr>
      <w:r w:rsidRPr="00E446BA">
        <w:t>(b)</w:t>
      </w:r>
      <w:r w:rsidRPr="00E446BA">
        <w:tab/>
        <w:t>higher education provider.</w:t>
      </w:r>
    </w:p>
    <w:p w:rsidR="00540FE1" w:rsidRPr="009C2562" w:rsidRDefault="00540FE1" w:rsidP="00540FE1">
      <w:pPr>
        <w:pStyle w:val="notepara"/>
      </w:pPr>
      <w:r w:rsidRPr="001F3F93">
        <w:t xml:space="preserve">These expressions are identified in </w:t>
      </w:r>
      <w:r w:rsidRPr="001F3F93">
        <w:rPr>
          <w:i/>
        </w:rPr>
        <w:t>italics</w:t>
      </w:r>
      <w:r w:rsidRPr="001F3F93">
        <w:t xml:space="preserve"> in this determination.</w:t>
      </w:r>
    </w:p>
    <w:p w:rsidR="00540FE1" w:rsidRPr="009C2562" w:rsidRDefault="00540FE1" w:rsidP="00540FE1">
      <w:pPr>
        <w:pStyle w:val="subsection"/>
      </w:pPr>
      <w:r w:rsidRPr="009C2562">
        <w:tab/>
      </w:r>
      <w:r w:rsidRPr="009C2562">
        <w:tab/>
        <w:t>In this instrument:</w:t>
      </w:r>
    </w:p>
    <w:p w:rsidR="00540FE1" w:rsidRDefault="00540FE1" w:rsidP="00540FE1">
      <w:pPr>
        <w:pStyle w:val="Definition"/>
        <w:rPr>
          <w:b/>
          <w:i/>
        </w:rPr>
      </w:pPr>
      <w:r>
        <w:rPr>
          <w:b/>
          <w:i/>
        </w:rPr>
        <w:t xml:space="preserve">2023 ISSP grant </w:t>
      </w:r>
      <w:r w:rsidRPr="00DB7F73">
        <w:t>means an ISSP grant</w:t>
      </w:r>
      <w:r>
        <w:rPr>
          <w:b/>
          <w:i/>
        </w:rPr>
        <w:t xml:space="preserve"> </w:t>
      </w:r>
      <w:r w:rsidRPr="00A31B8D">
        <w:t xml:space="preserve">to a </w:t>
      </w:r>
      <w:r w:rsidRPr="00A31B8D">
        <w:rPr>
          <w:i/>
        </w:rPr>
        <w:t>higher education provider</w:t>
      </w:r>
      <w:r w:rsidRPr="00A31B8D">
        <w:t xml:space="preserve"> </w:t>
      </w:r>
      <w:r w:rsidR="00010AFF" w:rsidRPr="00927E43">
        <w:t xml:space="preserve">listed </w:t>
      </w:r>
      <w:r w:rsidR="00010AFF">
        <w:t>in</w:t>
      </w:r>
      <w:r w:rsidR="00010AFF" w:rsidRPr="001F3F93">
        <w:t xml:space="preserve"> </w:t>
      </w:r>
      <w:r w:rsidR="00010AFF">
        <w:t>column 2 of the table in section 5</w:t>
      </w:r>
      <w:r w:rsidRPr="00927E43">
        <w:t xml:space="preserve"> in respect of the </w:t>
      </w:r>
      <w:r>
        <w:t>grant</w:t>
      </w:r>
      <w:r w:rsidRPr="00927E43">
        <w:t xml:space="preserve"> year, other than a </w:t>
      </w:r>
      <w:r w:rsidRPr="00A31B8D">
        <w:t>grant</w:t>
      </w:r>
      <w:r w:rsidRPr="006350E4">
        <w:t xml:space="preserve"> </w:t>
      </w:r>
      <w:r>
        <w:t>that i</w:t>
      </w:r>
      <w:r w:rsidRPr="006350E4">
        <w:t xml:space="preserve">s taken to be granted </w:t>
      </w:r>
      <w:r>
        <w:t xml:space="preserve">in respect of the grant year because of an instrument </w:t>
      </w:r>
      <w:r w:rsidRPr="006350E4">
        <w:t xml:space="preserve">under </w:t>
      </w:r>
      <w:r>
        <w:t>section 38-40</w:t>
      </w:r>
      <w:r w:rsidRPr="006350E4">
        <w:t xml:space="preserve"> of the Act</w:t>
      </w:r>
      <w:r w:rsidRPr="00A31B8D">
        <w:t>.</w:t>
      </w:r>
    </w:p>
    <w:p w:rsidR="00540FE1" w:rsidRPr="001F3F93" w:rsidRDefault="00540FE1" w:rsidP="00540FE1">
      <w:pPr>
        <w:pStyle w:val="Definition"/>
      </w:pPr>
      <w:r>
        <w:rPr>
          <w:b/>
          <w:i/>
        </w:rPr>
        <w:t>2023</w:t>
      </w:r>
      <w:r w:rsidRPr="00C764B3">
        <w:rPr>
          <w:b/>
          <w:i/>
        </w:rPr>
        <w:t xml:space="preserve"> ISSP rollover grant </w:t>
      </w:r>
      <w:r w:rsidRPr="007833BD">
        <w:t xml:space="preserve">means </w:t>
      </w:r>
      <w:r>
        <w:t>an</w:t>
      </w:r>
      <w:r w:rsidRPr="007833BD">
        <w:t xml:space="preserve"> </w:t>
      </w:r>
      <w:r>
        <w:t>ISSP grant</w:t>
      </w:r>
      <w:r w:rsidRPr="007833BD">
        <w:t xml:space="preserve"> taken to be </w:t>
      </w:r>
      <w:r w:rsidRPr="00A06523">
        <w:t>granted to</w:t>
      </w:r>
      <w:r>
        <w:t xml:space="preserve"> a </w:t>
      </w:r>
      <w:r>
        <w:rPr>
          <w:i/>
        </w:rPr>
        <w:t>higher education provider</w:t>
      </w:r>
      <w:r>
        <w:t xml:space="preserve"> listed in column 2 of the table in item 6 </w:t>
      </w:r>
      <w:r w:rsidRPr="007833BD">
        <w:t xml:space="preserve">for the grant year because of the combined operation of </w:t>
      </w:r>
      <w:r w:rsidRPr="00927E43">
        <w:t xml:space="preserve">the </w:t>
      </w:r>
      <w:r w:rsidRPr="00540FE1">
        <w:rPr>
          <w:i/>
        </w:rPr>
        <w:t>Higher Education Support (Indigenous Student Success Program) (Rollover of Grant Amounts) Determination 2023</w:t>
      </w:r>
      <w:r w:rsidRPr="001F3F93">
        <w:t xml:space="preserve"> and section 38-40 of the Act.</w:t>
      </w:r>
    </w:p>
    <w:p w:rsidR="00540FE1" w:rsidRDefault="00540FE1" w:rsidP="00540FE1">
      <w:pPr>
        <w:pStyle w:val="Definition"/>
      </w:pPr>
      <w:r>
        <w:rPr>
          <w:b/>
          <w:i/>
        </w:rPr>
        <w:t>2024</w:t>
      </w:r>
      <w:r w:rsidRPr="00A31B8D">
        <w:rPr>
          <w:b/>
          <w:i/>
        </w:rPr>
        <w:t xml:space="preserve"> ISSP further rollover grant</w:t>
      </w:r>
      <w:r w:rsidRPr="00A31B8D">
        <w:t xml:space="preserve"> means </w:t>
      </w:r>
      <w:r>
        <w:t xml:space="preserve">the unspent component of a </w:t>
      </w:r>
      <w:r w:rsidR="00EB7B35">
        <w:t>2023</w:t>
      </w:r>
      <w:r w:rsidR="00EB7B35" w:rsidRPr="00A31B8D">
        <w:t xml:space="preserve"> </w:t>
      </w:r>
      <w:r w:rsidRPr="00A31B8D">
        <w:t xml:space="preserve">ISSP rollover grant that, because of the combined operation of this instrument and section 38-40 of the Act, is taken to be granted under Part 2-2A of the Act to a </w:t>
      </w:r>
      <w:r w:rsidRPr="00A31B8D">
        <w:rPr>
          <w:i/>
        </w:rPr>
        <w:t xml:space="preserve">higher education </w:t>
      </w:r>
      <w:r w:rsidRPr="001F3F93">
        <w:rPr>
          <w:i/>
        </w:rPr>
        <w:t>provider</w:t>
      </w:r>
      <w:r w:rsidRPr="001F3F93">
        <w:t xml:space="preserve"> listed in column 2 of the table in section 6 in respect of the</w:t>
      </w:r>
      <w:r>
        <w:t xml:space="preserve"> 2024</w:t>
      </w:r>
      <w:r w:rsidRPr="001F3F93">
        <w:t xml:space="preserve"> calendar year.</w:t>
      </w:r>
    </w:p>
    <w:p w:rsidR="00540FE1" w:rsidRPr="00A31B8D" w:rsidRDefault="00540FE1" w:rsidP="00540FE1">
      <w:pPr>
        <w:pStyle w:val="Definition"/>
      </w:pPr>
      <w:r>
        <w:rPr>
          <w:b/>
          <w:i/>
        </w:rPr>
        <w:t>2024</w:t>
      </w:r>
      <w:r w:rsidRPr="00A31B8D">
        <w:rPr>
          <w:b/>
          <w:i/>
        </w:rPr>
        <w:t xml:space="preserve"> ISSP rollover grant</w:t>
      </w:r>
      <w:r w:rsidRPr="00A31B8D">
        <w:rPr>
          <w:b/>
        </w:rPr>
        <w:t xml:space="preserve"> </w:t>
      </w:r>
      <w:r w:rsidRPr="00A31B8D">
        <w:t xml:space="preserve">means the unspent </w:t>
      </w:r>
      <w:r>
        <w:t>component</w:t>
      </w:r>
      <w:r w:rsidRPr="00A31B8D">
        <w:t xml:space="preserve"> of a</w:t>
      </w:r>
      <w:r w:rsidR="00EB7B35">
        <w:t xml:space="preserve"> 2023</w:t>
      </w:r>
      <w:r w:rsidRPr="00A31B8D">
        <w:t xml:space="preserve"> ISSP grant that, because of the combined operation of this instrument and section 38-40 of the Act, is taken to be granted under Part 2-2A of the Act to a </w:t>
      </w:r>
      <w:r w:rsidRPr="00A31B8D">
        <w:rPr>
          <w:i/>
        </w:rPr>
        <w:t>higher education provider</w:t>
      </w:r>
      <w:r w:rsidRPr="00A31B8D">
        <w:t xml:space="preserve"> </w:t>
      </w:r>
      <w:r w:rsidRPr="00927E43">
        <w:t xml:space="preserve">listed </w:t>
      </w:r>
      <w:r w:rsidR="002957FC">
        <w:t>in</w:t>
      </w:r>
      <w:r w:rsidRPr="001F3F93">
        <w:t xml:space="preserve"> </w:t>
      </w:r>
      <w:r w:rsidR="00010AFF">
        <w:t>column 2 of the table in section 5</w:t>
      </w:r>
      <w:r>
        <w:t xml:space="preserve"> in respect of the 2024</w:t>
      </w:r>
      <w:r w:rsidRPr="00927E43">
        <w:t xml:space="preserve"> calendar year, other than </w:t>
      </w:r>
      <w:r>
        <w:t>a grant</w:t>
      </w:r>
      <w:r w:rsidRPr="00927E43">
        <w:t xml:space="preserve"> comprising</w:t>
      </w:r>
      <w:r>
        <w:t xml:space="preserve"> a 2024</w:t>
      </w:r>
      <w:r w:rsidRPr="00A31B8D">
        <w:t xml:space="preserve"> ISSP further rollover grant. </w:t>
      </w:r>
    </w:p>
    <w:p w:rsidR="00540FE1" w:rsidRDefault="00540FE1" w:rsidP="00540FE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C336CE">
        <w:rPr>
          <w:i/>
        </w:rPr>
        <w:t>Higher Education Support Act 2003</w:t>
      </w:r>
      <w:r>
        <w:t>.</w:t>
      </w:r>
    </w:p>
    <w:p w:rsidR="00540FE1" w:rsidRPr="00A31B8D" w:rsidRDefault="00540FE1" w:rsidP="00540FE1">
      <w:pPr>
        <w:pStyle w:val="Definition"/>
      </w:pPr>
      <w:r w:rsidRPr="00A31B8D">
        <w:rPr>
          <w:b/>
          <w:i/>
        </w:rPr>
        <w:t xml:space="preserve">administering officer </w:t>
      </w:r>
      <w:r w:rsidRPr="00A31B8D">
        <w:t>means an employee in the National Indigenous Australians Agency.</w:t>
      </w:r>
    </w:p>
    <w:p w:rsidR="00540FE1" w:rsidRPr="00A31B8D" w:rsidRDefault="00540FE1" w:rsidP="00540FE1">
      <w:pPr>
        <w:pStyle w:val="Definition"/>
      </w:pPr>
      <w:r w:rsidRPr="00A31B8D">
        <w:rPr>
          <w:b/>
          <w:i/>
        </w:rPr>
        <w:lastRenderedPageBreak/>
        <w:t>grant year</w:t>
      </w:r>
      <w:r w:rsidRPr="00A31B8D">
        <w:rPr>
          <w:b/>
        </w:rPr>
        <w:t xml:space="preserve"> </w:t>
      </w:r>
      <w:r w:rsidRPr="00A31B8D">
        <w:t>means the 202</w:t>
      </w:r>
      <w:r>
        <w:t>3</w:t>
      </w:r>
      <w:r w:rsidRPr="00A31B8D">
        <w:t xml:space="preserve"> calendar year. </w:t>
      </w:r>
    </w:p>
    <w:p w:rsidR="00540FE1" w:rsidRPr="00A31B8D" w:rsidRDefault="00540FE1" w:rsidP="00540FE1">
      <w:pPr>
        <w:pStyle w:val="Definition"/>
      </w:pPr>
      <w:r w:rsidRPr="00A31B8D">
        <w:rPr>
          <w:b/>
          <w:i/>
        </w:rPr>
        <w:t>Guidelines</w:t>
      </w:r>
      <w:r w:rsidRPr="00A31B8D">
        <w:rPr>
          <w:b/>
        </w:rPr>
        <w:t xml:space="preserve"> </w:t>
      </w:r>
      <w:r w:rsidRPr="00A31B8D">
        <w:t xml:space="preserve">means the </w:t>
      </w:r>
      <w:r w:rsidRPr="00A31B8D">
        <w:rPr>
          <w:i/>
        </w:rPr>
        <w:t>Indigenous Student Assistance Grants Guidelines 2017</w:t>
      </w:r>
      <w:r w:rsidRPr="00A31B8D">
        <w:t>.</w:t>
      </w:r>
    </w:p>
    <w:p w:rsidR="00540FE1" w:rsidRPr="00A31B8D" w:rsidRDefault="00540FE1" w:rsidP="00540FE1">
      <w:pPr>
        <w:pStyle w:val="Definition"/>
      </w:pPr>
      <w:r w:rsidRPr="00A31B8D">
        <w:rPr>
          <w:b/>
          <w:i/>
        </w:rPr>
        <w:t>ISSP grant</w:t>
      </w:r>
      <w:r w:rsidRPr="00A31B8D">
        <w:t xml:space="preserve"> means a grant provided </w:t>
      </w:r>
      <w:r>
        <w:t xml:space="preserve">to a </w:t>
      </w:r>
      <w:r>
        <w:rPr>
          <w:i/>
        </w:rPr>
        <w:t>higher education provider</w:t>
      </w:r>
      <w:r>
        <w:t xml:space="preserve"> under the Guidelines</w:t>
      </w:r>
      <w:r w:rsidRPr="00A31B8D">
        <w:t xml:space="preserve">. </w:t>
      </w:r>
    </w:p>
    <w:p w:rsidR="009B3A29" w:rsidRPr="00837919" w:rsidRDefault="009B3A29" w:rsidP="009B3A29">
      <w:pPr>
        <w:pStyle w:val="ActHead5"/>
      </w:pPr>
      <w:bookmarkStart w:id="7" w:name="_Toc129964282"/>
      <w:bookmarkStart w:id="8" w:name="_Toc161674945"/>
      <w:bookmarkEnd w:id="6"/>
      <w:r w:rsidRPr="00554826">
        <w:t xml:space="preserve">5  </w:t>
      </w:r>
      <w:r w:rsidRPr="00837919">
        <w:t xml:space="preserve">Rollover of </w:t>
      </w:r>
      <w:r w:rsidR="00442011">
        <w:t>2023</w:t>
      </w:r>
      <w:r>
        <w:t xml:space="preserve"> </w:t>
      </w:r>
      <w:r w:rsidRPr="00837919">
        <w:t>ISSP grant amounts</w:t>
      </w:r>
      <w:bookmarkEnd w:id="7"/>
      <w:bookmarkEnd w:id="8"/>
    </w:p>
    <w:p w:rsidR="009B3A29" w:rsidRPr="006A154F" w:rsidRDefault="009B3A29" w:rsidP="009B3A29">
      <w:pPr>
        <w:pStyle w:val="subsection"/>
        <w:rPr>
          <w:highlight w:val="yellow"/>
        </w:rPr>
      </w:pPr>
      <w:r w:rsidRPr="00837919">
        <w:tab/>
      </w:r>
      <w:r w:rsidRPr="001F3F93">
        <w:t>(1)</w:t>
      </w:r>
      <w:r w:rsidRPr="00837919">
        <w:tab/>
      </w:r>
      <w:r>
        <w:t>F</w:t>
      </w:r>
      <w:r w:rsidRPr="00837919">
        <w:t>or the purposes of subsection 38-40(1) of the Act, the following is determined under subsection 38-40(3) of the Act:</w:t>
      </w:r>
    </w:p>
    <w:p w:rsidR="009B3A29" w:rsidRPr="00445ADB" w:rsidRDefault="009B3A29" w:rsidP="00445ADB">
      <w:pPr>
        <w:pStyle w:val="paragraph"/>
      </w:pPr>
      <w:r w:rsidRPr="00837919">
        <w:tab/>
      </w:r>
      <w:r w:rsidRPr="00445ADB">
        <w:t>(a)</w:t>
      </w:r>
      <w:r w:rsidRPr="00445ADB">
        <w:tab/>
        <w:t xml:space="preserve">section 38-40 applies to each of the </w:t>
      </w:r>
      <w:r w:rsidRPr="00445ADB">
        <w:rPr>
          <w:i/>
        </w:rPr>
        <w:t>higher education providers</w:t>
      </w:r>
      <w:r w:rsidRPr="00445ADB">
        <w:t xml:space="preserve"> in </w:t>
      </w:r>
      <w:r w:rsidR="00445ADB" w:rsidRPr="00445ADB">
        <w:t xml:space="preserve">in column 2 of the table in respect </w:t>
      </w:r>
      <w:r w:rsidRPr="00445ADB">
        <w:t xml:space="preserve">of their </w:t>
      </w:r>
      <w:r w:rsidR="00445ADB" w:rsidRPr="00445ADB">
        <w:t>2023</w:t>
      </w:r>
      <w:r w:rsidRPr="00445ADB">
        <w:t xml:space="preserve"> ISSP grant:</w:t>
      </w:r>
      <w:r w:rsidR="00445ADB" w:rsidRPr="00445ADB">
        <w:t xml:space="preserve"> </w:t>
      </w:r>
      <w:r w:rsidRPr="00445ADB">
        <w:tab/>
      </w:r>
    </w:p>
    <w:p w:rsidR="009B3A29" w:rsidRPr="00445ADB" w:rsidRDefault="009B3A29" w:rsidP="009B3A29">
      <w:pPr>
        <w:pStyle w:val="paragraph"/>
      </w:pPr>
      <w:r w:rsidRPr="00445ADB">
        <w:tab/>
        <w:t>(b)</w:t>
      </w:r>
      <w:r w:rsidRPr="00445ADB">
        <w:tab/>
        <w:t xml:space="preserve">the amount specified in column 3 of the table is the amount of the unspent amount of the </w:t>
      </w:r>
      <w:r w:rsidR="00445ADB" w:rsidRPr="00445ADB">
        <w:t>2023</w:t>
      </w:r>
      <w:r w:rsidRPr="00445ADB">
        <w:t xml:space="preserve"> ISSP grant of a </w:t>
      </w:r>
      <w:r w:rsidRPr="00445ADB">
        <w:rPr>
          <w:i/>
        </w:rPr>
        <w:t>higher education provider</w:t>
      </w:r>
      <w:r w:rsidRPr="00445ADB">
        <w:t xml:space="preserve"> specified in column 2 of the table.</w:t>
      </w:r>
    </w:p>
    <w:p w:rsidR="009B3A29" w:rsidRPr="00445ADB" w:rsidRDefault="009B3A29" w:rsidP="009B3A29">
      <w:pPr>
        <w:pStyle w:val="paragraph"/>
        <w:rPr>
          <w:highlight w:val="yellow"/>
        </w:rPr>
      </w:pP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88"/>
        <w:gridCol w:w="2604"/>
        <w:gridCol w:w="7"/>
      </w:tblGrid>
      <w:tr w:rsidR="009B3A29" w:rsidRPr="00445ADB" w:rsidTr="008B2DDA">
        <w:trPr>
          <w:cantSplit/>
          <w:trHeight w:val="282"/>
          <w:tblHeader/>
        </w:trPr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sz w:val="20"/>
                <w:lang w:eastAsia="en-AU"/>
              </w:rPr>
              <w:t>Rollover of ISSP grant amounts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  <w:tblHeader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i/>
                <w:sz w:val="20"/>
                <w:szCs w:val="24"/>
                <w:lang w:eastAsia="en-AU"/>
              </w:rPr>
            </w:pPr>
            <w:r w:rsidRPr="008B2DDA">
              <w:rPr>
                <w:rFonts w:eastAsia="Times New Roman" w:cs="Times New Roman"/>
                <w:b/>
                <w:bCs/>
                <w:i/>
                <w:sz w:val="20"/>
                <w:lang w:eastAsia="en-AU"/>
              </w:rPr>
              <w:t xml:space="preserve">Higher education provider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A29" w:rsidRPr="008B2DDA" w:rsidRDefault="009B3A29" w:rsidP="008B2DDA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Amount of unspent amount of </w:t>
            </w:r>
            <w:r w:rsidR="00445ADB"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>2023</w:t>
            </w:r>
            <w:r w:rsidRPr="008B2DDA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 ISSP grant 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Australian Catholic University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129,446.83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Batchelor Institute of Indigenous Tertiary Education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44,084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Central Queensland University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185,576.96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4.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Charles Sturt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$156,395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5.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Edith Cowan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178,515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6.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Federation University Australia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186,803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7.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Flinders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136,276.04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8.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Griffith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166,000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9.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James Cook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150,000</w:t>
            </w:r>
          </w:p>
        </w:tc>
      </w:tr>
      <w:tr w:rsidR="00E45278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78" w:rsidRPr="007D621B" w:rsidRDefault="00E45278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5278" w:rsidRPr="007D621B" w:rsidRDefault="00E45278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 Trobe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78" w:rsidRPr="007D621B" w:rsidRDefault="00E45278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$530,467.25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  <w:r w:rsid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Macquarie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426,539.81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Monash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200,192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Swinburne University of Technology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353,156.59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 xml:space="preserve">. 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Adelaide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398,181.26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 xml:space="preserve">. 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Canberra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68,309.40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New England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53,000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New South Wales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866,998.44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Newcastle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211,723.53</w:t>
            </w:r>
          </w:p>
        </w:tc>
      </w:tr>
      <w:tr w:rsidR="007D621B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1B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21B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Notre Dame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1B" w:rsidRPr="007D621B" w:rsidRDefault="007D621B" w:rsidP="003E005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$3</w:t>
            </w:r>
            <w:r w:rsidR="003E0051">
              <w:rPr>
                <w:rFonts w:eastAsia="Times New Roman" w:cs="Times New Roman"/>
                <w:sz w:val="20"/>
                <w:lang w:eastAsia="en-AU"/>
              </w:rPr>
              <w:t>5,487.87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Queensland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227,552.80</w:t>
            </w:r>
          </w:p>
        </w:tc>
      </w:tr>
      <w:tr w:rsidR="003E0051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051" w:rsidRDefault="00796125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</w:t>
            </w:r>
            <w:r w:rsidR="003E005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E0051" w:rsidRPr="007D621B" w:rsidRDefault="003E0051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Sydney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051" w:rsidRPr="007D621B" w:rsidRDefault="003E0051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$50,178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796125"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Tasmania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278,534.40</w:t>
            </w:r>
          </w:p>
        </w:tc>
      </w:tr>
      <w:tr w:rsidR="009B3A29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796125">
              <w:rPr>
                <w:rFonts w:eastAsia="Times New Roman" w:cs="Times New Roman"/>
                <w:sz w:val="20"/>
                <w:lang w:eastAsia="en-AU"/>
              </w:rPr>
              <w:t>3</w:t>
            </w:r>
            <w:r w:rsidR="009B3A29"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B3A29" w:rsidRPr="007D621B" w:rsidRDefault="009B3A29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Western Australia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7D621B" w:rsidRDefault="009B3A29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D621B" w:rsidRPr="007D621B">
              <w:rPr>
                <w:rFonts w:eastAsia="Times New Roman" w:cs="Times New Roman"/>
                <w:sz w:val="20"/>
                <w:lang w:eastAsia="en-AU"/>
              </w:rPr>
              <w:t>48,326.37</w:t>
            </w:r>
          </w:p>
        </w:tc>
      </w:tr>
      <w:tr w:rsidR="007D621B" w:rsidRPr="00445ADB" w:rsidTr="008B2DDA">
        <w:trPr>
          <w:gridAfter w:val="1"/>
          <w:wAfter w:w="7" w:type="dxa"/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1B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796125">
              <w:rPr>
                <w:rFonts w:eastAsia="Times New Roman" w:cs="Times New Roman"/>
                <w:sz w:val="20"/>
                <w:lang w:eastAsia="en-AU"/>
              </w:rPr>
              <w:t>4</w:t>
            </w:r>
            <w:r w:rsidRPr="007D621B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21B" w:rsidRPr="007D621B" w:rsidRDefault="007D621B" w:rsidP="008B2D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szCs w:val="24"/>
                <w:lang w:eastAsia="en-AU"/>
              </w:rPr>
              <w:t>Victoria University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1B" w:rsidRPr="007D621B" w:rsidRDefault="007D621B" w:rsidP="007D62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D621B">
              <w:rPr>
                <w:rFonts w:eastAsia="Times New Roman" w:cs="Times New Roman"/>
                <w:sz w:val="20"/>
                <w:lang w:eastAsia="en-AU"/>
              </w:rPr>
              <w:t>$43,965</w:t>
            </w:r>
          </w:p>
        </w:tc>
      </w:tr>
    </w:tbl>
    <w:p w:rsidR="009B3A29" w:rsidRPr="007D621B" w:rsidRDefault="009B3A29" w:rsidP="009B3A29">
      <w:pPr>
        <w:spacing w:before="122" w:line="198" w:lineRule="exact"/>
        <w:ind w:left="1985" w:hanging="851"/>
        <w:rPr>
          <w:rFonts w:eastAsia="Times New Roman" w:cs="Times New Roman"/>
          <w:i/>
          <w:sz w:val="18"/>
          <w:lang w:eastAsia="en-AU"/>
        </w:rPr>
      </w:pPr>
      <w:r w:rsidRPr="007D621B">
        <w:rPr>
          <w:rFonts w:eastAsia="Times New Roman" w:cs="Times New Roman"/>
          <w:sz w:val="18"/>
          <w:lang w:eastAsia="en-AU"/>
        </w:rPr>
        <w:lastRenderedPageBreak/>
        <w:t>Note 1:</w:t>
      </w:r>
      <w:r w:rsidRPr="007D621B">
        <w:rPr>
          <w:rFonts w:eastAsia="Times New Roman" w:cs="Times New Roman"/>
          <w:sz w:val="18"/>
          <w:lang w:eastAsia="en-AU"/>
        </w:rPr>
        <w:tab/>
        <w:t xml:space="preserve">If section 38-40 is determined to apply to a </w:t>
      </w:r>
      <w:r w:rsidRPr="007D621B">
        <w:rPr>
          <w:rFonts w:eastAsia="Times New Roman" w:cs="Times New Roman"/>
          <w:i/>
          <w:sz w:val="18"/>
          <w:lang w:eastAsia="en-AU"/>
        </w:rPr>
        <w:t>higher education provider</w:t>
      </w:r>
      <w:r w:rsidRPr="007D621B">
        <w:rPr>
          <w:rFonts w:eastAsia="Times New Roman" w:cs="Times New Roman"/>
          <w:sz w:val="18"/>
          <w:lang w:eastAsia="en-AU"/>
        </w:rPr>
        <w:t xml:space="preserve"> in respect of a grant, then the effect of subsection 38</w:t>
      </w:r>
      <w:r w:rsidRPr="007D621B">
        <w:rPr>
          <w:rFonts w:eastAsia="Times New Roman" w:cs="Times New Roman"/>
          <w:sz w:val="18"/>
          <w:lang w:eastAsia="en-AU"/>
        </w:rPr>
        <w:noBreakHyphen/>
        <w:t>40(1) of the Act is to rollover the amount of the unspent amount of the grant that is determined as a grant made under Part 2-2A of the Act in respect of the next following year .</w:t>
      </w:r>
      <w:r w:rsidRPr="007D621B">
        <w:rPr>
          <w:rFonts w:eastAsia="Times New Roman" w:cs="Times New Roman"/>
          <w:i/>
          <w:sz w:val="18"/>
          <w:lang w:eastAsia="en-AU"/>
        </w:rPr>
        <w:t xml:space="preserve"> </w:t>
      </w:r>
    </w:p>
    <w:p w:rsidR="009B3A29" w:rsidRPr="007D621B" w:rsidRDefault="007D621B" w:rsidP="009B3A29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7D621B">
        <w:rPr>
          <w:rFonts w:eastAsia="Times New Roman" w:cs="Times New Roman"/>
          <w:sz w:val="18"/>
          <w:lang w:eastAsia="en-AU"/>
        </w:rPr>
        <w:t>Note 2:</w:t>
      </w:r>
      <w:r w:rsidRPr="007D621B">
        <w:rPr>
          <w:rFonts w:eastAsia="Times New Roman" w:cs="Times New Roman"/>
          <w:sz w:val="18"/>
          <w:lang w:eastAsia="en-AU"/>
        </w:rPr>
        <w:tab/>
        <w:t>The 2024</w:t>
      </w:r>
      <w:r w:rsidR="009B3A29" w:rsidRPr="007D621B">
        <w:rPr>
          <w:rFonts w:eastAsia="Times New Roman" w:cs="Times New Roman"/>
          <w:sz w:val="18"/>
          <w:lang w:eastAsia="en-AU"/>
        </w:rPr>
        <w:t xml:space="preserve"> ISSP rollover grant amount for a </w:t>
      </w:r>
      <w:r w:rsidR="009B3A29" w:rsidRPr="007D621B">
        <w:rPr>
          <w:rFonts w:eastAsia="Times New Roman" w:cs="Times New Roman"/>
          <w:i/>
          <w:sz w:val="18"/>
          <w:lang w:eastAsia="en-AU"/>
        </w:rPr>
        <w:t>higher education provider</w:t>
      </w:r>
      <w:r w:rsidR="009B3A29" w:rsidRPr="007D621B">
        <w:rPr>
          <w:rFonts w:eastAsia="Times New Roman" w:cs="Times New Roman"/>
          <w:sz w:val="18"/>
          <w:lang w:eastAsia="en-AU"/>
        </w:rPr>
        <w:t xml:space="preserve"> listed in </w:t>
      </w:r>
      <w:r w:rsidRPr="007D621B">
        <w:rPr>
          <w:rFonts w:eastAsia="Times New Roman" w:cs="Times New Roman"/>
          <w:sz w:val="18"/>
          <w:lang w:eastAsia="en-AU"/>
        </w:rPr>
        <w:t>column 2 of the table</w:t>
      </w:r>
      <w:r w:rsidR="009B3A29" w:rsidRPr="007D621B">
        <w:rPr>
          <w:rFonts w:eastAsia="Times New Roman" w:cs="Times New Roman"/>
          <w:sz w:val="18"/>
          <w:lang w:eastAsia="en-AU"/>
        </w:rPr>
        <w:t xml:space="preserve"> is the amount specified in column 3 of the table for the provider. </w:t>
      </w:r>
    </w:p>
    <w:p w:rsidR="000A1CCE" w:rsidRDefault="00F62436" w:rsidP="000A1CCE">
      <w:pPr>
        <w:pStyle w:val="ActHead5"/>
      </w:pPr>
      <w:bookmarkStart w:id="9" w:name="_Toc129964283"/>
      <w:bookmarkStart w:id="10" w:name="_Toc161674946"/>
      <w:bookmarkStart w:id="11" w:name="_Toc59010477"/>
      <w:r>
        <w:t>6  Further rollover of 2023</w:t>
      </w:r>
      <w:r w:rsidR="009B3A29" w:rsidRPr="00442011">
        <w:t xml:space="preserve"> ISSP rollover grant amounts</w:t>
      </w:r>
      <w:bookmarkEnd w:id="9"/>
      <w:bookmarkEnd w:id="10"/>
      <w:r w:rsidR="009B3A29" w:rsidRPr="00442011">
        <w:t xml:space="preserve"> </w:t>
      </w:r>
      <w:bookmarkEnd w:id="11"/>
    </w:p>
    <w:p w:rsidR="009B3A29" w:rsidRPr="00442011" w:rsidRDefault="000A1CCE" w:rsidP="000A1CCE">
      <w:pPr>
        <w:pStyle w:val="subsection"/>
        <w:tabs>
          <w:tab w:val="clear" w:pos="1021"/>
          <w:tab w:val="right" w:pos="993"/>
        </w:tabs>
      </w:pPr>
      <w:r>
        <w:tab/>
        <w:t>(1)</w:t>
      </w:r>
      <w:r>
        <w:tab/>
      </w:r>
      <w:r w:rsidR="009B3A29" w:rsidRPr="00442011">
        <w:t xml:space="preserve">For the purposes of subsection 38-40(1) of the Act, the following is determined under subsection 38-40(3) of the Act: </w:t>
      </w:r>
    </w:p>
    <w:p w:rsidR="009B3A29" w:rsidRPr="00442011" w:rsidRDefault="009B3A29" w:rsidP="009B3A29">
      <w:pPr>
        <w:pStyle w:val="paragraph"/>
      </w:pPr>
      <w:r w:rsidRPr="00442011">
        <w:tab/>
        <w:t>(a)</w:t>
      </w:r>
      <w:r w:rsidRPr="00442011">
        <w:tab/>
        <w:t xml:space="preserve">section 38-40 applies to a </w:t>
      </w:r>
      <w:r w:rsidRPr="00442011">
        <w:rPr>
          <w:i/>
        </w:rPr>
        <w:t xml:space="preserve">higher education provider </w:t>
      </w:r>
      <w:r w:rsidRPr="00442011">
        <w:t>specified in column 2 of the table in respect of the grant specified in column 3 of the table;</w:t>
      </w:r>
    </w:p>
    <w:p w:rsidR="009B3A29" w:rsidRPr="00442011" w:rsidRDefault="009B3A29" w:rsidP="009B3A29">
      <w:pPr>
        <w:pStyle w:val="paragraph"/>
      </w:pPr>
      <w:r w:rsidRPr="00442011">
        <w:tab/>
        <w:t>(b)</w:t>
      </w:r>
      <w:r w:rsidRPr="00442011">
        <w:tab/>
        <w:t xml:space="preserve">the amount specified in column 4 of the table is the amount of the unspent amount of the grant specified in column 3 of the table. </w:t>
      </w:r>
    </w:p>
    <w:p w:rsidR="009B3A29" w:rsidRPr="00445ADB" w:rsidRDefault="009B3A29" w:rsidP="009B3A29">
      <w:pPr>
        <w:pStyle w:val="paragraph"/>
        <w:rPr>
          <w:highlight w:val="yellow"/>
        </w:rPr>
      </w:pPr>
    </w:p>
    <w:tbl>
      <w:tblPr>
        <w:tblW w:w="8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768"/>
        <w:gridCol w:w="2282"/>
        <w:gridCol w:w="2116"/>
        <w:gridCol w:w="13"/>
      </w:tblGrid>
      <w:tr w:rsidR="009B3A29" w:rsidRPr="00445ADB" w:rsidTr="008B2DDA">
        <w:trPr>
          <w:cantSplit/>
          <w:trHeight w:val="282"/>
          <w:tblHeader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color w:val="000000" w:themeColor="text1"/>
                <w:sz w:val="20"/>
              </w:rPr>
              <w:t>Rollover of other grant amounts</w:t>
            </w:r>
          </w:p>
        </w:tc>
      </w:tr>
      <w:tr w:rsidR="009B3A29" w:rsidRPr="00445ADB" w:rsidTr="008B2DDA">
        <w:trPr>
          <w:gridAfter w:val="1"/>
          <w:wAfter w:w="13" w:type="dxa"/>
          <w:cantSplit/>
          <w:trHeight w:val="282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bCs/>
                <w:sz w:val="20"/>
              </w:rPr>
              <w:t>Column 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bCs/>
                <w:sz w:val="20"/>
              </w:rPr>
              <w:t>Column 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bCs/>
                <w:sz w:val="20"/>
              </w:rPr>
              <w:t>Column 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bCs/>
                <w:sz w:val="20"/>
              </w:rPr>
              <w:t>Column 4</w:t>
            </w:r>
          </w:p>
        </w:tc>
      </w:tr>
      <w:tr w:rsidR="009B3A29" w:rsidRPr="00445ADB" w:rsidTr="008B2DDA">
        <w:trPr>
          <w:gridAfter w:val="1"/>
          <w:wAfter w:w="13" w:type="dxa"/>
          <w:cantSplit/>
          <w:trHeight w:val="28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sz w:val="20"/>
              </w:rPr>
            </w:pPr>
            <w:r w:rsidRPr="00442011">
              <w:rPr>
                <w:b/>
                <w:sz w:val="20"/>
              </w:rPr>
              <w:t>Item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i/>
                <w:sz w:val="20"/>
              </w:rPr>
            </w:pPr>
            <w:r w:rsidRPr="00442011">
              <w:rPr>
                <w:b/>
                <w:bCs/>
                <w:i/>
                <w:sz w:val="20"/>
              </w:rPr>
              <w:t xml:space="preserve">Higher education provider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sz w:val="20"/>
              </w:rPr>
            </w:pPr>
            <w:r w:rsidRPr="00442011">
              <w:rPr>
                <w:b/>
                <w:sz w:val="20"/>
              </w:rPr>
              <w:t>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3A29" w:rsidRPr="00442011" w:rsidRDefault="009B3A29" w:rsidP="008B2DDA">
            <w:pPr>
              <w:keepNext/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442011">
              <w:rPr>
                <w:b/>
                <w:bCs/>
                <w:sz w:val="20"/>
              </w:rPr>
              <w:t>Amount of unspent amount of grant</w:t>
            </w:r>
          </w:p>
        </w:tc>
      </w:tr>
      <w:tr w:rsidR="009B3A29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442011" w:rsidRDefault="009B3A29" w:rsidP="008B2DDA">
            <w:pPr>
              <w:spacing w:before="100" w:beforeAutospacing="1" w:after="100" w:afterAutospacing="1"/>
              <w:rPr>
                <w:sz w:val="20"/>
              </w:rPr>
            </w:pPr>
            <w:r w:rsidRPr="00442011">
              <w:rPr>
                <w:sz w:val="20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A29" w:rsidRPr="00442011" w:rsidRDefault="009B3A29" w:rsidP="008B2DDA">
            <w:pPr>
              <w:spacing w:before="100" w:beforeAutospacing="1" w:after="100" w:afterAutospacing="1"/>
              <w:rPr>
                <w:sz w:val="20"/>
              </w:rPr>
            </w:pPr>
            <w:r w:rsidRPr="00442011">
              <w:rPr>
                <w:rFonts w:eastAsia="Times New Roman" w:cs="Times New Roman"/>
                <w:sz w:val="20"/>
                <w:szCs w:val="24"/>
                <w:lang w:eastAsia="en-AU"/>
              </w:rPr>
              <w:t>Central Queensland University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A29" w:rsidRPr="00442011" w:rsidRDefault="00B574E7" w:rsidP="008B2DDA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9B3A29" w:rsidRPr="00442011">
              <w:rPr>
                <w:sz w:val="20"/>
              </w:rPr>
              <w:t xml:space="preserve"> ISSP rollover 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29" w:rsidRPr="00442011" w:rsidRDefault="009B3A29" w:rsidP="00442011">
            <w:pPr>
              <w:spacing w:before="100" w:beforeAutospacing="1" w:after="100" w:afterAutospacing="1"/>
              <w:rPr>
                <w:sz w:val="20"/>
              </w:rPr>
            </w:pPr>
            <w:r w:rsidRPr="00442011">
              <w:rPr>
                <w:sz w:val="20"/>
              </w:rPr>
              <w:t>$</w:t>
            </w:r>
            <w:r w:rsidR="00442011" w:rsidRPr="00442011">
              <w:rPr>
                <w:sz w:val="20"/>
              </w:rPr>
              <w:t>10,426.38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Charles Sturt University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$292,000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Federation University Australia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$111,777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4</w:t>
            </w:r>
            <w:r w:rsidR="00B574E7" w:rsidRPr="00B56595">
              <w:rPr>
                <w:sz w:val="20"/>
              </w:rPr>
              <w:t xml:space="preserve">.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B56595">
              <w:rPr>
                <w:sz w:val="20"/>
              </w:rPr>
              <w:t>University of Adelaide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$183,315.49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5</w:t>
            </w:r>
            <w:r w:rsidR="00B574E7">
              <w:rPr>
                <w:sz w:val="20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The University of Canberra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$395,370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6</w:t>
            </w:r>
            <w:r w:rsidR="00B574E7" w:rsidRPr="00B56595">
              <w:rPr>
                <w:sz w:val="20"/>
              </w:rPr>
              <w:t>.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University of New England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$57,142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7</w:t>
            </w:r>
            <w:r w:rsidR="00B574E7" w:rsidRPr="00B56595">
              <w:rPr>
                <w:sz w:val="20"/>
              </w:rPr>
              <w:t>.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University of Newcastle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$11,569.19</w:t>
            </w:r>
          </w:p>
        </w:tc>
      </w:tr>
      <w:tr w:rsidR="007B1021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21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1021" w:rsidRPr="00B56595" w:rsidRDefault="007B1021" w:rsidP="00B574E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University of Sydney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21" w:rsidRPr="00C77000" w:rsidRDefault="007B1021" w:rsidP="00B574E7">
            <w:pPr>
              <w:rPr>
                <w:sz w:val="20"/>
              </w:rPr>
            </w:pPr>
            <w:r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1021" w:rsidRPr="00B56595" w:rsidRDefault="007B1021" w:rsidP="00B574E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$57,150</w:t>
            </w:r>
          </w:p>
        </w:tc>
      </w:tr>
      <w:tr w:rsidR="00B574E7" w:rsidRPr="00445ADB" w:rsidTr="008B2DDA">
        <w:trPr>
          <w:gridAfter w:val="1"/>
          <w:wAfter w:w="13" w:type="dxa"/>
          <w:cantSplit/>
          <w:trHeight w:val="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Pr="00B56595" w:rsidRDefault="00247077" w:rsidP="0024707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9</w:t>
            </w:r>
            <w:r w:rsidR="00B574E7" w:rsidRPr="00B56595">
              <w:rPr>
                <w:sz w:val="20"/>
              </w:rPr>
              <w:t>.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University of Tasmania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E7" w:rsidRDefault="00B574E7" w:rsidP="00B574E7">
            <w:r w:rsidRPr="00C77000">
              <w:rPr>
                <w:sz w:val="20"/>
              </w:rPr>
              <w:t>2023 ISSP rollover grant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574E7" w:rsidRPr="00B56595" w:rsidRDefault="00B574E7" w:rsidP="00B574E7">
            <w:pPr>
              <w:spacing w:before="100" w:beforeAutospacing="1" w:after="100" w:afterAutospacing="1"/>
              <w:rPr>
                <w:sz w:val="20"/>
              </w:rPr>
            </w:pPr>
            <w:r w:rsidRPr="00B56595">
              <w:rPr>
                <w:sz w:val="20"/>
              </w:rPr>
              <w:t>$29,786.90</w:t>
            </w:r>
          </w:p>
        </w:tc>
      </w:tr>
    </w:tbl>
    <w:p w:rsidR="009B3A29" w:rsidRPr="00B574E7" w:rsidRDefault="009B3A29" w:rsidP="009B3A29">
      <w:pPr>
        <w:pStyle w:val="notetext"/>
        <w:rPr>
          <w:i/>
        </w:rPr>
      </w:pPr>
      <w:r w:rsidRPr="00B574E7">
        <w:t>Note 1:</w:t>
      </w:r>
      <w:r w:rsidRPr="00B574E7">
        <w:tab/>
        <w:t xml:space="preserve">If section 38-40 is determined to apply to a </w:t>
      </w:r>
      <w:r w:rsidRPr="00B574E7">
        <w:rPr>
          <w:i/>
        </w:rPr>
        <w:t>higher education provider</w:t>
      </w:r>
      <w:r w:rsidRPr="00B574E7">
        <w:t xml:space="preserve"> in respect of a grant, then the effect of subsection 38</w:t>
      </w:r>
      <w:r w:rsidRPr="00B574E7">
        <w:noBreakHyphen/>
        <w:t>40(1) of the Act is to rollover the amount of the unspent amount of the grant that is determined to the next following year as a new grant under Part 2-2A of the Act.</w:t>
      </w:r>
      <w:r w:rsidRPr="00B574E7">
        <w:rPr>
          <w:i/>
        </w:rPr>
        <w:t xml:space="preserve"> </w:t>
      </w:r>
    </w:p>
    <w:p w:rsidR="009B3A29" w:rsidRPr="00B574E7" w:rsidRDefault="009B3A29" w:rsidP="009B3A29">
      <w:pPr>
        <w:pStyle w:val="notetext"/>
      </w:pPr>
      <w:r w:rsidRPr="00B574E7">
        <w:t>Note 2:</w:t>
      </w:r>
      <w:r w:rsidRPr="00B574E7">
        <w:tab/>
        <w:t xml:space="preserve">Section 164-15 of the Act provides that an overpayment of an amount made to a </w:t>
      </w:r>
      <w:r w:rsidRPr="00B574E7">
        <w:rPr>
          <w:i/>
        </w:rPr>
        <w:t>higher education provider</w:t>
      </w:r>
      <w:r w:rsidRPr="00B574E7">
        <w:t xml:space="preserve"> may be deducted from a future amount payable or recovered as a debt due to the Commonwealth.</w:t>
      </w:r>
    </w:p>
    <w:p w:rsidR="009B3A29" w:rsidRPr="00F62436" w:rsidRDefault="009B3A29" w:rsidP="009B3A29">
      <w:pPr>
        <w:pStyle w:val="ActHead5"/>
      </w:pPr>
      <w:bookmarkStart w:id="12" w:name="_Toc59010478"/>
      <w:bookmarkStart w:id="13" w:name="_Toc129964284"/>
      <w:bookmarkStart w:id="14" w:name="_Toc161674947"/>
      <w:r w:rsidRPr="00F62436">
        <w:t>7  Conditions on grants</w:t>
      </w:r>
      <w:bookmarkEnd w:id="12"/>
      <w:bookmarkEnd w:id="13"/>
      <w:bookmarkEnd w:id="14"/>
      <w:r w:rsidRPr="00F62436">
        <w:t xml:space="preserve"> </w:t>
      </w:r>
    </w:p>
    <w:p w:rsidR="009B3A29" w:rsidRPr="00F62436" w:rsidRDefault="009B3A29" w:rsidP="000A1CCE">
      <w:pPr>
        <w:pStyle w:val="subsection"/>
        <w:tabs>
          <w:tab w:val="clear" w:pos="1021"/>
          <w:tab w:val="right" w:pos="993"/>
        </w:tabs>
        <w:ind w:left="993" w:firstLine="0"/>
      </w:pPr>
      <w:r w:rsidRPr="00F62436">
        <w:t>For the purposes of paragraph 38-40(2)(b) of the Act, the conditions in Schedule 1 to this instrument are determined under subsection 38</w:t>
      </w:r>
      <w:r w:rsidRPr="00F62436">
        <w:noBreakHyphen/>
        <w:t>40(4) of the Ac</w:t>
      </w:r>
      <w:r w:rsidR="00F62436" w:rsidRPr="00F62436">
        <w:t>t to apply to a 2024 ISSP rollover grant and a 2024</w:t>
      </w:r>
      <w:r w:rsidRPr="00F62436">
        <w:t xml:space="preserve"> ISSP further rollover grant. </w:t>
      </w:r>
    </w:p>
    <w:p w:rsidR="009B3A29" w:rsidRPr="00F62436" w:rsidRDefault="009B3A29" w:rsidP="009B3A29">
      <w:pPr>
        <w:pStyle w:val="notetext"/>
      </w:pPr>
      <w:r w:rsidRPr="00F62436">
        <w:t xml:space="preserve">Note 1: </w:t>
      </w:r>
      <w:r w:rsidRPr="00F62436">
        <w:tab/>
        <w:t xml:space="preserve">A </w:t>
      </w:r>
      <w:r w:rsidRPr="00F62436">
        <w:rPr>
          <w:i/>
        </w:rPr>
        <w:t xml:space="preserve">higher education provider’s </w:t>
      </w:r>
      <w:r w:rsidRPr="00F62436">
        <w:t xml:space="preserve">approval may be revoked if, among other things, the provider breaches a condition of a grant made to the body under Part 2-2A of the Act: see section 22-15 of the Act. </w:t>
      </w:r>
    </w:p>
    <w:p w:rsidR="00554826" w:rsidRDefault="009B3A29" w:rsidP="000A1CCE">
      <w:pPr>
        <w:pStyle w:val="notetext"/>
      </w:pPr>
      <w:r w:rsidRPr="00F62436">
        <w:t xml:space="preserve">Note 2: </w:t>
      </w:r>
      <w:r w:rsidRPr="00F62436">
        <w:tab/>
        <w:t xml:space="preserve">Part 2-5 of the Act provides that a </w:t>
      </w:r>
      <w:r w:rsidRPr="00F62436">
        <w:rPr>
          <w:i/>
        </w:rPr>
        <w:t>higher education provider</w:t>
      </w:r>
      <w:r w:rsidRPr="00F62436">
        <w:t xml:space="preserve"> may have their grants reduced, or be required to repay a grant, for breaches of conditions of grants, including grants under Part 2-2A of the Act.</w:t>
      </w:r>
      <w:r w:rsidR="00554826">
        <w:br w:type="page"/>
      </w:r>
    </w:p>
    <w:p w:rsidR="00D6537E" w:rsidRPr="004E1307" w:rsidRDefault="004E1307" w:rsidP="00D6537E">
      <w:pPr>
        <w:pStyle w:val="ActHead6"/>
      </w:pPr>
      <w:bookmarkStart w:id="15" w:name="_Toc161674948"/>
      <w:r>
        <w:lastRenderedPageBreak/>
        <w:t xml:space="preserve">Schedule </w:t>
      </w:r>
      <w:r w:rsidR="00D6537E" w:rsidRPr="004E1307">
        <w:t>1—</w:t>
      </w:r>
      <w:r w:rsidR="009B3A29">
        <w:t>Conditions</w:t>
      </w:r>
      <w:bookmarkEnd w:id="15"/>
    </w:p>
    <w:p w:rsidR="001D747A" w:rsidRPr="001D747A" w:rsidRDefault="001D747A" w:rsidP="001D747A">
      <w:pPr>
        <w:pStyle w:val="ItemHead"/>
      </w:pPr>
      <w:r w:rsidRPr="001D747A">
        <w:t>1  Using a grant</w:t>
      </w:r>
    </w:p>
    <w:p w:rsidR="001D747A" w:rsidRPr="001D747A" w:rsidRDefault="001D747A" w:rsidP="001D747A">
      <w:pPr>
        <w:pStyle w:val="subsection"/>
      </w:pPr>
      <w:r w:rsidRPr="001D747A">
        <w:tab/>
        <w:t>(1)</w:t>
      </w:r>
      <w:r w:rsidRPr="001D747A">
        <w:tab/>
        <w:t xml:space="preserve">A </w:t>
      </w:r>
      <w:r w:rsidRPr="001D747A">
        <w:rPr>
          <w:i/>
        </w:rPr>
        <w:t xml:space="preserve">higher education provider </w:t>
      </w:r>
      <w:r w:rsidRPr="001D747A">
        <w:t xml:space="preserve">specified in column 2 of the table must use the grant in column 3 of the table: </w:t>
      </w:r>
    </w:p>
    <w:p w:rsidR="001D747A" w:rsidRPr="001D747A" w:rsidRDefault="001D747A" w:rsidP="001D747A">
      <w:pPr>
        <w:pStyle w:val="paragraph"/>
      </w:pPr>
      <w:r w:rsidRPr="001D747A">
        <w:tab/>
        <w:t>(a)</w:t>
      </w:r>
      <w:r w:rsidRPr="001D747A">
        <w:tab/>
        <w:t>to administer and deliver the activity or activities specified in column 4 of the table for the provider; and</w:t>
      </w:r>
    </w:p>
    <w:p w:rsidR="001D747A" w:rsidRPr="001D747A" w:rsidRDefault="001D747A" w:rsidP="001D747A">
      <w:pPr>
        <w:pStyle w:val="paragraph"/>
      </w:pPr>
      <w:r w:rsidRPr="001D747A">
        <w:tab/>
        <w:t>(b)</w:t>
      </w:r>
      <w:r w:rsidRPr="001D747A">
        <w:tab/>
        <w:t>in the 2024 calendar year, unless the Chief Executive Officer has made a determination under subsection 38-40 of the Act in relation to the provider in the next following year.</w:t>
      </w:r>
    </w:p>
    <w:p w:rsidR="001D747A" w:rsidRPr="001D747A" w:rsidRDefault="001D747A" w:rsidP="001D747A">
      <w:pPr>
        <w:pStyle w:val="paragraph"/>
        <w:rPr>
          <w:highlight w:val="yellow"/>
        </w:rPr>
      </w:pPr>
    </w:p>
    <w:tbl>
      <w:tblPr>
        <w:tblW w:w="9202" w:type="dxa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886"/>
        <w:gridCol w:w="2803"/>
        <w:gridCol w:w="3338"/>
        <w:gridCol w:w="11"/>
      </w:tblGrid>
      <w:tr w:rsidR="001D747A" w:rsidRPr="001D747A" w:rsidTr="008B2DDA">
        <w:trPr>
          <w:tblHeader/>
        </w:trPr>
        <w:tc>
          <w:tcPr>
            <w:tcW w:w="585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0A1CCE">
              <w:rPr>
                <w:b/>
                <w:bCs/>
                <w:sz w:val="20"/>
              </w:rPr>
              <w:t>Description of activity</w:t>
            </w:r>
          </w:p>
        </w:tc>
        <w:tc>
          <w:tcPr>
            <w:tcW w:w="33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</w:p>
        </w:tc>
        <w:tc>
          <w:tcPr>
            <w:tcW w:w="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747A" w:rsidRPr="001D747A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  <w:highlight w:val="yellow"/>
              </w:rPr>
            </w:pPr>
          </w:p>
        </w:tc>
      </w:tr>
      <w:tr w:rsidR="001D747A" w:rsidRPr="001D747A" w:rsidTr="008B2DDA">
        <w:trPr>
          <w:gridAfter w:val="1"/>
          <w:wAfter w:w="11" w:type="dxa"/>
          <w:tblHeader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sz w:val="20"/>
              </w:rPr>
            </w:pPr>
            <w:r w:rsidRPr="000A1CCE">
              <w:rPr>
                <w:b/>
                <w:bCs/>
                <w:sz w:val="20"/>
              </w:rPr>
              <w:t>Column 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ind w:left="-104"/>
              <w:rPr>
                <w:sz w:val="20"/>
              </w:rPr>
            </w:pPr>
            <w:r w:rsidRPr="000A1CCE">
              <w:rPr>
                <w:b/>
                <w:bCs/>
                <w:sz w:val="20"/>
              </w:rPr>
              <w:t>Column 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0A1CCE">
              <w:rPr>
                <w:b/>
                <w:sz w:val="20"/>
              </w:rPr>
              <w:t>Column 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0A1CCE">
              <w:rPr>
                <w:b/>
                <w:sz w:val="20"/>
              </w:rPr>
              <w:t>Column 4</w:t>
            </w:r>
          </w:p>
        </w:tc>
      </w:tr>
      <w:tr w:rsidR="001D747A" w:rsidRPr="001D747A" w:rsidTr="008B2DDA">
        <w:trPr>
          <w:gridAfter w:val="1"/>
          <w:wAfter w:w="11" w:type="dxa"/>
          <w:tblHeader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sz w:val="20"/>
              </w:rPr>
            </w:pPr>
            <w:r w:rsidRPr="000A1CCE">
              <w:rPr>
                <w:b/>
                <w:bCs/>
                <w:sz w:val="20"/>
              </w:rPr>
              <w:t>Item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i/>
                <w:sz w:val="20"/>
              </w:rPr>
            </w:pPr>
            <w:r w:rsidRPr="000A1CCE">
              <w:rPr>
                <w:b/>
                <w:i/>
                <w:sz w:val="20"/>
              </w:rPr>
              <w:t>Higher education provider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0A1CCE">
              <w:rPr>
                <w:b/>
                <w:bCs/>
                <w:sz w:val="20"/>
              </w:rPr>
              <w:t>Grant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0A1CCE">
              <w:rPr>
                <w:b/>
                <w:bCs/>
                <w:sz w:val="20"/>
              </w:rPr>
              <w:t>Activity</w:t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 xml:space="preserve">1. 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 xml:space="preserve">Australian Catholic University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0A1CCE" w:rsidP="008B2DDA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1CCE" w:rsidRPr="00D45A25" w:rsidRDefault="000A1CCE" w:rsidP="001023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Implementation of First Peoples Cultural Capability Framework</w:t>
            </w:r>
            <w:r w:rsidR="00D45A25">
              <w:rPr>
                <w:sz w:val="20"/>
                <w:szCs w:val="20"/>
              </w:rPr>
              <w:t>.</w:t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2.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Batchelor Institute of Indigenous Tertiary Education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0A1CCE" w:rsidP="008B2DDA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1CCE" w:rsidRPr="00D45A25" w:rsidRDefault="000A1CCE" w:rsidP="00102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Higher Degree by Res</w:t>
            </w:r>
            <w:r w:rsidR="00D45A25">
              <w:rPr>
                <w:sz w:val="20"/>
                <w:szCs w:val="20"/>
              </w:rPr>
              <w:t>earch (HDR) Supervisor training; and</w:t>
            </w:r>
          </w:p>
          <w:p w:rsidR="000A1CCE" w:rsidRPr="00D45A25" w:rsidRDefault="000A1CCE" w:rsidP="00102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Training program in cross cultural supervision</w:t>
            </w:r>
            <w:r w:rsidR="00D45A25">
              <w:rPr>
                <w:sz w:val="20"/>
                <w:szCs w:val="20"/>
              </w:rPr>
              <w:t>.</w:t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 xml:space="preserve">3. 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Central Queensland University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 w:rsidR="001D747A" w:rsidRPr="000A1CCE">
              <w:rPr>
                <w:sz w:val="20"/>
              </w:rPr>
              <w:t>ISSP rollover grant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747A" w:rsidRPr="00D45A25" w:rsidRDefault="0025049C" w:rsidP="00102347">
            <w:pPr>
              <w:pStyle w:val="ListParagraph"/>
              <w:numPr>
                <w:ilvl w:val="0"/>
                <w:numId w:val="5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Nations Student Success e</w:t>
            </w:r>
            <w:r w:rsidR="000A1CCE" w:rsidRPr="00D45A25">
              <w:rPr>
                <w:sz w:val="20"/>
                <w:szCs w:val="20"/>
              </w:rPr>
              <w:t>valuation</w:t>
            </w:r>
            <w:r w:rsidR="00D45A25">
              <w:rPr>
                <w:sz w:val="20"/>
                <w:szCs w:val="20"/>
              </w:rPr>
              <w:t>.</w:t>
            </w:r>
            <w:r w:rsidR="000A1CCE" w:rsidRPr="00D45A25">
              <w:rPr>
                <w:sz w:val="20"/>
                <w:szCs w:val="20"/>
              </w:rPr>
              <w:br/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 xml:space="preserve">4. 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Central Queensland University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further rollover grant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45A25">
              <w:rPr>
                <w:sz w:val="20"/>
              </w:rPr>
              <w:t>Cultural Safe Space/Place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5.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Charles Sturt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First Nations outreach and re-engagement programs</w:t>
            </w:r>
            <w:r w:rsidR="00D45A25">
              <w:rPr>
                <w:sz w:val="20"/>
                <w:szCs w:val="20"/>
              </w:rPr>
              <w:t>.</w:t>
            </w:r>
            <w:r w:rsidRPr="00D45A25">
              <w:rPr>
                <w:sz w:val="20"/>
                <w:szCs w:val="20"/>
              </w:rPr>
              <w:br/>
            </w:r>
          </w:p>
        </w:tc>
      </w:tr>
      <w:tr w:rsidR="001D747A" w:rsidRPr="001D747A" w:rsidTr="008B2DDA">
        <w:trPr>
          <w:gridAfter w:val="1"/>
          <w:wAfter w:w="11" w:type="dxa"/>
          <w:trHeight w:val="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6.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right="-107" w:hanging="35"/>
              <w:rPr>
                <w:sz w:val="20"/>
              </w:rPr>
            </w:pPr>
            <w:r w:rsidRPr="000A1CCE">
              <w:rPr>
                <w:sz w:val="20"/>
              </w:rPr>
              <w:t>Charles Sturt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8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First Nations Stu</w:t>
            </w:r>
            <w:r w:rsidR="00D45A25">
              <w:rPr>
                <w:sz w:val="20"/>
                <w:szCs w:val="20"/>
              </w:rPr>
              <w:t xml:space="preserve">dent and Alumni Innovation Fund; </w:t>
            </w:r>
          </w:p>
          <w:p w:rsidR="00D45A25" w:rsidRDefault="000A1CCE" w:rsidP="00102347">
            <w:pPr>
              <w:pStyle w:val="ListParagraph"/>
              <w:numPr>
                <w:ilvl w:val="0"/>
                <w:numId w:val="8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Community and student engagement activities</w:t>
            </w:r>
            <w:r w:rsidR="00D45A25">
              <w:rPr>
                <w:sz w:val="20"/>
                <w:szCs w:val="20"/>
              </w:rPr>
              <w:t>; and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8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 xml:space="preserve">First Nations Student Connect.  </w:t>
            </w:r>
          </w:p>
        </w:tc>
      </w:tr>
      <w:tr w:rsidR="001D747A" w:rsidRPr="001D747A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7.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sz w:val="20"/>
              </w:rPr>
            </w:pPr>
            <w:r w:rsidRPr="000A1CCE">
              <w:rPr>
                <w:sz w:val="20"/>
              </w:rPr>
              <w:t>Edith Cowan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Recognition of student success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1D747A" w:rsidTr="008B2DDA">
        <w:trPr>
          <w:gridAfter w:val="1"/>
          <w:wAfter w:w="11" w:type="dxa"/>
          <w:trHeight w:val="5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0A1CCE">
              <w:rPr>
                <w:sz w:val="20"/>
              </w:rPr>
              <w:t>8.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0A1CCE" w:rsidRDefault="001D747A" w:rsidP="008B2DDA">
            <w:pPr>
              <w:spacing w:before="100" w:beforeAutospacing="1" w:after="100" w:afterAutospacing="1"/>
              <w:rPr>
                <w:sz w:val="20"/>
              </w:rPr>
            </w:pPr>
            <w:r w:rsidRPr="000A1CCE">
              <w:rPr>
                <w:sz w:val="20"/>
              </w:rPr>
              <w:t>Federation University Australia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0A1CCE">
              <w:rPr>
                <w:sz w:val="20"/>
              </w:rPr>
              <w:t>2024</w:t>
            </w:r>
            <w:r w:rsidR="001D747A" w:rsidRPr="000A1CCE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10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Culturally Safe</w:t>
            </w:r>
            <w:r w:rsidR="0025049C">
              <w:rPr>
                <w:sz w:val="20"/>
                <w:szCs w:val="20"/>
              </w:rPr>
              <w:t xml:space="preserve"> P</w:t>
            </w:r>
            <w:r w:rsidR="00D45A25">
              <w:rPr>
                <w:sz w:val="20"/>
                <w:szCs w:val="20"/>
              </w:rPr>
              <w:t>lace; and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10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>Community engagement activities</w:t>
            </w:r>
            <w:r w:rsidR="00D45A25">
              <w:rPr>
                <w:sz w:val="20"/>
                <w:szCs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 xml:space="preserve">9.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rPr>
                <w:sz w:val="20"/>
              </w:rPr>
            </w:pPr>
            <w:r w:rsidRPr="00D45A25">
              <w:rPr>
                <w:sz w:val="20"/>
              </w:rPr>
              <w:t>Federation University Australia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 xml:space="preserve">2024 </w:t>
            </w:r>
            <w:r w:rsidR="001D747A" w:rsidRPr="00D45A25">
              <w:rPr>
                <w:sz w:val="20"/>
              </w:rPr>
              <w:t>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11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 xml:space="preserve">Culturally Safe </w:t>
            </w:r>
            <w:r w:rsidR="0025049C">
              <w:rPr>
                <w:sz w:val="20"/>
                <w:szCs w:val="20"/>
              </w:rPr>
              <w:t>P</w:t>
            </w:r>
            <w:r w:rsidR="00D45A25">
              <w:rPr>
                <w:sz w:val="20"/>
                <w:szCs w:val="20"/>
              </w:rPr>
              <w:t xml:space="preserve">lace; </w:t>
            </w:r>
          </w:p>
          <w:p w:rsidR="00D45A25" w:rsidRDefault="0025049C" w:rsidP="00102347">
            <w:pPr>
              <w:pStyle w:val="ListParagraph"/>
              <w:numPr>
                <w:ilvl w:val="0"/>
                <w:numId w:val="11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w</w:t>
            </w:r>
            <w:r w:rsidR="000A1CCE" w:rsidRPr="00D45A25">
              <w:rPr>
                <w:sz w:val="20"/>
                <w:szCs w:val="20"/>
              </w:rPr>
              <w:t>ellbeing activities</w:t>
            </w:r>
            <w:r w:rsidR="00D45A25">
              <w:rPr>
                <w:sz w:val="20"/>
                <w:szCs w:val="20"/>
              </w:rPr>
              <w:t xml:space="preserve">; and 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11"/>
              </w:numPr>
              <w:tabs>
                <w:tab w:val="right" w:pos="29"/>
              </w:tabs>
              <w:ind w:right="47"/>
              <w:rPr>
                <w:sz w:val="20"/>
                <w:szCs w:val="20"/>
              </w:rPr>
            </w:pPr>
            <w:r w:rsidRPr="00D45A25">
              <w:rPr>
                <w:sz w:val="20"/>
                <w:szCs w:val="20"/>
              </w:rPr>
              <w:t xml:space="preserve">Pathways Project and </w:t>
            </w:r>
            <w:r w:rsidR="0025049C">
              <w:rPr>
                <w:sz w:val="20"/>
                <w:szCs w:val="20"/>
              </w:rPr>
              <w:t>e</w:t>
            </w:r>
            <w:r w:rsidRPr="00D45A25">
              <w:rPr>
                <w:sz w:val="20"/>
                <w:szCs w:val="20"/>
              </w:rPr>
              <w:t>vents</w:t>
            </w:r>
            <w:r w:rsidR="00D45A25">
              <w:rPr>
                <w:sz w:val="20"/>
                <w:szCs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 xml:space="preserve">10.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Flinders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</w:t>
            </w:r>
            <w:r w:rsidR="000A1CCE" w:rsidRPr="00D45A25">
              <w:rPr>
                <w:sz w:val="20"/>
              </w:rPr>
              <w:t>24</w:t>
            </w:r>
            <w:r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D45A25" w:rsidP="00102347">
            <w:pPr>
              <w:pStyle w:val="ListParagraph"/>
              <w:numPr>
                <w:ilvl w:val="0"/>
                <w:numId w:val="12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S</w:t>
            </w:r>
            <w:r w:rsidR="000A1CCE" w:rsidRPr="00D45A25">
              <w:rPr>
                <w:sz w:val="20"/>
                <w:szCs w:val="20"/>
              </w:rPr>
              <w:t>tudents</w:t>
            </w:r>
            <w:r w:rsidR="000A1CCE" w:rsidRPr="00D45A25">
              <w:rPr>
                <w:sz w:val="20"/>
              </w:rPr>
              <w:t xml:space="preserve"> support programs</w:t>
            </w:r>
            <w:r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11</w:t>
            </w:r>
            <w:r w:rsidR="001D747A" w:rsidRPr="00D45A25">
              <w:rPr>
                <w:sz w:val="20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Griffith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13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First Peoples Student Success - improving success and retention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</w:t>
            </w:r>
            <w:r w:rsidR="000A1CCE" w:rsidRPr="00D45A25">
              <w:rPr>
                <w:sz w:val="20"/>
              </w:rPr>
              <w:t>2</w:t>
            </w:r>
            <w:r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James Cook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14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Student support programs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13</w:t>
            </w:r>
            <w:r w:rsidR="001D747A" w:rsidRPr="00D45A25">
              <w:rPr>
                <w:sz w:val="20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La Trobe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05576C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1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Indigenous Student Centre upgrades</w:t>
            </w:r>
            <w:r w:rsidR="00D45A25">
              <w:rPr>
                <w:sz w:val="20"/>
              </w:rPr>
              <w:t>; and</w:t>
            </w:r>
          </w:p>
          <w:p w:rsidR="001D747A" w:rsidRPr="00D45A25" w:rsidRDefault="00D45A25" w:rsidP="00102347">
            <w:pPr>
              <w:pStyle w:val="ListParagraph"/>
              <w:numPr>
                <w:ilvl w:val="0"/>
                <w:numId w:val="1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0A1CCE" w:rsidRPr="00D45A25">
              <w:rPr>
                <w:sz w:val="20"/>
              </w:rPr>
              <w:t>upport programs for students and academics</w:t>
            </w:r>
            <w:r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lastRenderedPageBreak/>
              <w:t>14</w:t>
            </w:r>
            <w:r w:rsidR="001D747A" w:rsidRPr="00D45A25">
              <w:rPr>
                <w:sz w:val="20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Macquarie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</w:t>
            </w:r>
            <w:r w:rsidR="00654D7F">
              <w:rPr>
                <w:sz w:val="20"/>
              </w:rPr>
              <w:t>4</w:t>
            </w:r>
            <w:r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0A1CCE" w:rsidP="00102347">
            <w:pPr>
              <w:pStyle w:val="ListParagraph"/>
              <w:numPr>
                <w:ilvl w:val="0"/>
                <w:numId w:val="16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Services to support First Nations student success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15</w:t>
            </w:r>
            <w:r w:rsidR="001D747A" w:rsidRPr="00D45A25">
              <w:rPr>
                <w:sz w:val="20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Monash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 xml:space="preserve">2024 </w:t>
            </w:r>
            <w:r w:rsidR="001D747A" w:rsidRPr="00D45A25">
              <w:rPr>
                <w:sz w:val="20"/>
              </w:rPr>
              <w:t>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CE" w:rsidRPr="00D45A25" w:rsidRDefault="00D45A25" w:rsidP="00102347">
            <w:pPr>
              <w:pStyle w:val="ListParagraph"/>
              <w:numPr>
                <w:ilvl w:val="0"/>
                <w:numId w:val="17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O</w:t>
            </w:r>
            <w:r w:rsidR="000A1CCE" w:rsidRPr="00D45A25">
              <w:rPr>
                <w:sz w:val="20"/>
              </w:rPr>
              <w:t>utreach and cultural programs for students</w:t>
            </w:r>
            <w:r>
              <w:rPr>
                <w:sz w:val="20"/>
              </w:rPr>
              <w:t>; and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17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Support for undergraduate and HDR/Masters students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16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 xml:space="preserve">Swinburne </w:t>
            </w:r>
            <w:r w:rsidR="001D747A" w:rsidRPr="00D45A25">
              <w:rPr>
                <w:sz w:val="20"/>
              </w:rPr>
              <w:t>University of Technology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CE" w:rsidRPr="00D45A25" w:rsidRDefault="000A1CCE" w:rsidP="00102347">
            <w:pPr>
              <w:pStyle w:val="ListParagraph"/>
              <w:numPr>
                <w:ilvl w:val="0"/>
                <w:numId w:val="1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Scholarship support for students</w:t>
            </w:r>
            <w:r w:rsidR="00D45A25">
              <w:rPr>
                <w:sz w:val="20"/>
              </w:rPr>
              <w:t>;</w:t>
            </w:r>
          </w:p>
          <w:p w:rsidR="00D45A25" w:rsidRDefault="000A1CCE" w:rsidP="00102347">
            <w:pPr>
              <w:pStyle w:val="ListParagraph"/>
              <w:numPr>
                <w:ilvl w:val="0"/>
                <w:numId w:val="1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 xml:space="preserve">'On Country' </w:t>
            </w:r>
            <w:r w:rsidR="00D45A25">
              <w:rPr>
                <w:sz w:val="20"/>
              </w:rPr>
              <w:t>Leadership and Cultural Camp;</w:t>
            </w:r>
          </w:p>
          <w:p w:rsidR="00D45A25" w:rsidRDefault="00D45A25" w:rsidP="00102347">
            <w:pPr>
              <w:pStyle w:val="ListParagraph"/>
              <w:numPr>
                <w:ilvl w:val="0"/>
                <w:numId w:val="1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 xml:space="preserve">Indigenous Student Charter; and 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1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Moondani Toombadool Centre refurbishment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17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Adelaide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CE" w:rsidRPr="00D45A25" w:rsidRDefault="00D45A25" w:rsidP="00102347">
            <w:pPr>
              <w:pStyle w:val="ListParagraph"/>
              <w:numPr>
                <w:ilvl w:val="0"/>
                <w:numId w:val="1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S</w:t>
            </w:r>
            <w:r w:rsidR="000A1CCE" w:rsidRPr="00D45A25">
              <w:rPr>
                <w:sz w:val="20"/>
              </w:rPr>
              <w:t>upport for Aboriginal and Torres Strait Islander Employment Strategy, Indigenous Education Strategy and Indigenous Cultural Capability Framework</w:t>
            </w:r>
            <w:r>
              <w:rPr>
                <w:sz w:val="20"/>
              </w:rPr>
              <w:t>;</w:t>
            </w:r>
          </w:p>
          <w:p w:rsidR="000A1CCE" w:rsidRPr="00D45A25" w:rsidRDefault="00D45A25" w:rsidP="00102347">
            <w:pPr>
              <w:pStyle w:val="ListParagraph"/>
              <w:numPr>
                <w:ilvl w:val="0"/>
                <w:numId w:val="1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U</w:t>
            </w:r>
            <w:r w:rsidR="000A1CCE" w:rsidRPr="00D45A25">
              <w:rPr>
                <w:sz w:val="20"/>
              </w:rPr>
              <w:t>pdate IT for student support</w:t>
            </w:r>
            <w:r>
              <w:rPr>
                <w:sz w:val="20"/>
              </w:rPr>
              <w:t>; and</w:t>
            </w:r>
          </w:p>
          <w:p w:rsidR="001D747A" w:rsidRPr="00D45A25" w:rsidRDefault="00D45A25" w:rsidP="00102347">
            <w:pPr>
              <w:pStyle w:val="ListParagraph"/>
              <w:numPr>
                <w:ilvl w:val="0"/>
                <w:numId w:val="1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U</w:t>
            </w:r>
            <w:r w:rsidR="000A1CCE" w:rsidRPr="00D45A25">
              <w:rPr>
                <w:sz w:val="20"/>
              </w:rPr>
              <w:t>pgrade to student facilities</w:t>
            </w:r>
            <w:r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18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Adelaide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2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Resourcing to support First Nations students success</w:t>
            </w:r>
            <w:r w:rsidR="00D45A25">
              <w:rPr>
                <w:sz w:val="20"/>
              </w:rPr>
              <w:t>;</w:t>
            </w:r>
          </w:p>
          <w:p w:rsidR="00D45A25" w:rsidRDefault="000A1CCE" w:rsidP="00102347">
            <w:pPr>
              <w:pStyle w:val="ListParagraph"/>
              <w:numPr>
                <w:ilvl w:val="0"/>
                <w:numId w:val="2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Development of Cultural A</w:t>
            </w:r>
            <w:r w:rsidR="00D45A25">
              <w:rPr>
                <w:sz w:val="20"/>
              </w:rPr>
              <w:t>wareness staff induction module;</w:t>
            </w:r>
          </w:p>
          <w:p w:rsidR="00D45A25" w:rsidRDefault="000A1CCE" w:rsidP="00102347">
            <w:pPr>
              <w:pStyle w:val="ListParagraph"/>
              <w:numPr>
                <w:ilvl w:val="0"/>
                <w:numId w:val="2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</w:t>
            </w:r>
            <w:r w:rsidR="00D45A25">
              <w:rPr>
                <w:sz w:val="20"/>
              </w:rPr>
              <w:t xml:space="preserve">ector engagement; </w:t>
            </w:r>
          </w:p>
          <w:p w:rsidR="00D45A25" w:rsidRDefault="000A1CCE" w:rsidP="00102347">
            <w:pPr>
              <w:pStyle w:val="ListParagraph"/>
              <w:numPr>
                <w:ilvl w:val="0"/>
                <w:numId w:val="2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Development of material for staff competency training</w:t>
            </w:r>
            <w:r w:rsidR="00D45A25">
              <w:rPr>
                <w:sz w:val="20"/>
              </w:rPr>
              <w:t>; and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2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Production of reports</w:t>
            </w:r>
            <w:r w:rsidR="00D45A25">
              <w:rPr>
                <w:sz w:val="20"/>
              </w:rPr>
              <w:t>.</w:t>
            </w:r>
          </w:p>
        </w:tc>
      </w:tr>
      <w:tr w:rsidR="000A1CCE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19.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Canberra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CE" w:rsidRPr="00D45A25" w:rsidRDefault="000A1CCE" w:rsidP="00102347">
            <w:pPr>
              <w:pStyle w:val="ListParagraph"/>
              <w:numPr>
                <w:ilvl w:val="0"/>
                <w:numId w:val="21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Student support services</w:t>
            </w:r>
            <w:r w:rsidR="00D45A25">
              <w:rPr>
                <w:sz w:val="20"/>
              </w:rPr>
              <w:t>.</w:t>
            </w:r>
          </w:p>
        </w:tc>
      </w:tr>
      <w:tr w:rsidR="000A1CCE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20.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Canberra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CCE" w:rsidRPr="00D45A25" w:rsidRDefault="000A1CCE" w:rsidP="00102347">
            <w:pPr>
              <w:pStyle w:val="ListParagraph"/>
              <w:numPr>
                <w:ilvl w:val="0"/>
                <w:numId w:val="22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Support Indigenous students success</w:t>
            </w:r>
            <w:r w:rsidR="00D45A25">
              <w:rPr>
                <w:sz w:val="20"/>
              </w:rPr>
              <w:t>.</w:t>
            </w:r>
          </w:p>
        </w:tc>
      </w:tr>
      <w:tr w:rsidR="000A1CCE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21.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New England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23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On-country student community of practice</w:t>
            </w:r>
            <w:r w:rsidR="00D45A25">
              <w:rPr>
                <w:sz w:val="20"/>
              </w:rPr>
              <w:t>; and</w:t>
            </w:r>
          </w:p>
          <w:p w:rsidR="000A1CCE" w:rsidRPr="00D45A25" w:rsidRDefault="000A1CCE" w:rsidP="00102347">
            <w:pPr>
              <w:pStyle w:val="ListParagraph"/>
              <w:numPr>
                <w:ilvl w:val="0"/>
                <w:numId w:val="23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Pathways programs</w:t>
            </w:r>
            <w:r w:rsidR="00D45A25">
              <w:rPr>
                <w:sz w:val="20"/>
              </w:rPr>
              <w:t>.</w:t>
            </w:r>
          </w:p>
        </w:tc>
      </w:tr>
      <w:tr w:rsidR="000A1CCE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22.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0A1CCE">
            <w:pPr>
              <w:spacing w:before="100" w:beforeAutospacing="1" w:after="100" w:afterAutospacing="1"/>
              <w:rPr>
                <w:sz w:val="20"/>
              </w:rPr>
            </w:pPr>
            <w:r w:rsidRPr="00D45A25">
              <w:rPr>
                <w:sz w:val="20"/>
              </w:rPr>
              <w:t>The University of New England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A1CCE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Default="000A1CCE" w:rsidP="00102347">
            <w:pPr>
              <w:pStyle w:val="ListParagraph"/>
              <w:numPr>
                <w:ilvl w:val="0"/>
                <w:numId w:val="24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Standards-based approach to cultural compe</w:t>
            </w:r>
            <w:r w:rsidR="00D45A25">
              <w:rPr>
                <w:sz w:val="20"/>
              </w:rPr>
              <w:t xml:space="preserve">tence for staff and students; and </w:t>
            </w:r>
          </w:p>
          <w:p w:rsidR="000A1CCE" w:rsidRPr="00D45A25" w:rsidRDefault="000A1CCE" w:rsidP="00102347">
            <w:pPr>
              <w:pStyle w:val="ListParagraph"/>
              <w:numPr>
                <w:ilvl w:val="0"/>
                <w:numId w:val="24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Empowering student voice and participation in Governance structures</w:t>
            </w:r>
            <w:r w:rsidR="00D45A25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23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New South Wales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0A1CCE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 xml:space="preserve">2024 </w:t>
            </w:r>
            <w:r w:rsidR="001D747A" w:rsidRPr="00D45A25">
              <w:rPr>
                <w:sz w:val="20"/>
              </w:rPr>
              <w:t>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347" w:rsidRDefault="0025049C" w:rsidP="00102347">
            <w:pPr>
              <w:pStyle w:val="ListParagraph"/>
              <w:numPr>
                <w:ilvl w:val="0"/>
                <w:numId w:val="2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Enhancing student s</w:t>
            </w:r>
            <w:r w:rsidR="00102347">
              <w:rPr>
                <w:sz w:val="20"/>
              </w:rPr>
              <w:t>uccess;</w:t>
            </w:r>
          </w:p>
          <w:p w:rsidR="00102347" w:rsidRDefault="000A1CCE" w:rsidP="00102347">
            <w:pPr>
              <w:pStyle w:val="ListParagraph"/>
              <w:numPr>
                <w:ilvl w:val="0"/>
                <w:numId w:val="2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Fu</w:t>
            </w:r>
            <w:r w:rsidR="00102347">
              <w:rPr>
                <w:sz w:val="20"/>
              </w:rPr>
              <w:t>ture Student Engagement Program; and</w:t>
            </w:r>
          </w:p>
          <w:p w:rsidR="001D747A" w:rsidRPr="00D45A25" w:rsidRDefault="000A1CCE" w:rsidP="00102347">
            <w:pPr>
              <w:pStyle w:val="ListParagraph"/>
              <w:numPr>
                <w:ilvl w:val="0"/>
                <w:numId w:val="2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Indigenous Cultural and Educational Exchange Program</w:t>
            </w:r>
            <w:r w:rsidR="00102347">
              <w:rPr>
                <w:sz w:val="20"/>
              </w:rPr>
              <w:t>.</w:t>
            </w:r>
          </w:p>
        </w:tc>
      </w:tr>
      <w:tr w:rsidR="00D45A25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lastRenderedPageBreak/>
              <w:t>24.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Newcastle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347" w:rsidRDefault="00D45A25" w:rsidP="00102347">
            <w:pPr>
              <w:pStyle w:val="ListParagraph"/>
              <w:numPr>
                <w:ilvl w:val="0"/>
                <w:numId w:val="26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S</w:t>
            </w:r>
            <w:r w:rsidR="00102347">
              <w:rPr>
                <w:sz w:val="20"/>
              </w:rPr>
              <w:t>tudent Cultural Learning Centre; and</w:t>
            </w:r>
          </w:p>
          <w:p w:rsidR="00D45A25" w:rsidRPr="00D45A25" w:rsidRDefault="0025049C" w:rsidP="00102347">
            <w:pPr>
              <w:pStyle w:val="ListParagraph"/>
              <w:numPr>
                <w:ilvl w:val="0"/>
                <w:numId w:val="26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Student a</w:t>
            </w:r>
            <w:r w:rsidR="00102347">
              <w:rPr>
                <w:sz w:val="20"/>
              </w:rPr>
              <w:t>mbassadors.</w:t>
            </w:r>
          </w:p>
        </w:tc>
      </w:tr>
      <w:tr w:rsidR="00D45A25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25.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Newcastle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25" w:rsidRPr="00D45A25" w:rsidRDefault="0025049C" w:rsidP="00102347">
            <w:pPr>
              <w:pStyle w:val="ListParagraph"/>
              <w:numPr>
                <w:ilvl w:val="0"/>
                <w:numId w:val="27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Student a</w:t>
            </w:r>
            <w:r w:rsidR="00D45A25" w:rsidRPr="00D45A25">
              <w:rPr>
                <w:sz w:val="20"/>
              </w:rPr>
              <w:t>mbassadors</w:t>
            </w:r>
            <w:r w:rsidR="00102347">
              <w:rPr>
                <w:sz w:val="20"/>
              </w:rPr>
              <w:t>.</w:t>
            </w:r>
          </w:p>
        </w:tc>
      </w:tr>
      <w:tr w:rsidR="00D45A25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26.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Notre Dame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25" w:rsidRPr="00D45A25" w:rsidRDefault="0025049C" w:rsidP="00102347">
            <w:pPr>
              <w:pStyle w:val="ListParagraph"/>
              <w:numPr>
                <w:ilvl w:val="0"/>
                <w:numId w:val="2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Upgrade of student facilities</w:t>
            </w:r>
            <w:r w:rsidR="00102347">
              <w:rPr>
                <w:sz w:val="20"/>
              </w:rPr>
              <w:t>; and</w:t>
            </w:r>
          </w:p>
          <w:p w:rsidR="00D45A25" w:rsidRPr="00D45A25" w:rsidRDefault="00D45A25" w:rsidP="00102347">
            <w:pPr>
              <w:pStyle w:val="ListParagraph"/>
              <w:numPr>
                <w:ilvl w:val="0"/>
                <w:numId w:val="28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Cultural programs for staff and students</w:t>
            </w:r>
            <w:r w:rsidR="00102347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27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Queensland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347" w:rsidRDefault="00102347" w:rsidP="00102347">
            <w:pPr>
              <w:pStyle w:val="ListParagraph"/>
              <w:numPr>
                <w:ilvl w:val="0"/>
                <w:numId w:val="2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 xml:space="preserve">Indigenous </w:t>
            </w:r>
            <w:r w:rsidR="0025049C">
              <w:rPr>
                <w:sz w:val="20"/>
              </w:rPr>
              <w:t>o</w:t>
            </w:r>
            <w:r>
              <w:rPr>
                <w:sz w:val="20"/>
              </w:rPr>
              <w:t xml:space="preserve">utreach; and </w:t>
            </w:r>
          </w:p>
          <w:p w:rsidR="001D747A" w:rsidRPr="00D45A25" w:rsidRDefault="00D45A25" w:rsidP="00102347">
            <w:pPr>
              <w:pStyle w:val="ListParagraph"/>
              <w:numPr>
                <w:ilvl w:val="0"/>
                <w:numId w:val="29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Recruitment and Student Success Services</w:t>
            </w:r>
            <w:r w:rsidR="00102347">
              <w:rPr>
                <w:sz w:val="20"/>
              </w:rPr>
              <w:t>.</w:t>
            </w:r>
          </w:p>
        </w:tc>
      </w:tr>
      <w:tr w:rsidR="003E0051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E0051" w:rsidRPr="00D45A25" w:rsidRDefault="003E0051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E0051" w:rsidRPr="00D45A25" w:rsidRDefault="003E0051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The University of Sydney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E0051" w:rsidRPr="00D45A25" w:rsidRDefault="003E0051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>
              <w:rPr>
                <w:sz w:val="20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051" w:rsidRDefault="003E0051" w:rsidP="00654D7F">
            <w:pPr>
              <w:pStyle w:val="ListParagraph"/>
              <w:numPr>
                <w:ilvl w:val="0"/>
                <w:numId w:val="34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Accommodation scholarships</w:t>
            </w:r>
            <w:r w:rsidR="00285DC2">
              <w:rPr>
                <w:sz w:val="20"/>
              </w:rPr>
              <w:t>.</w:t>
            </w:r>
          </w:p>
        </w:tc>
      </w:tr>
      <w:tr w:rsidR="001C7164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164" w:rsidRDefault="001C7164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164" w:rsidRDefault="001C7164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The University of Sydney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164" w:rsidRDefault="001C7164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>
              <w:rPr>
                <w:sz w:val="20"/>
              </w:rPr>
              <w:t>2024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64" w:rsidRDefault="001C7164" w:rsidP="001C7164">
            <w:pPr>
              <w:pStyle w:val="ListParagraph"/>
              <w:numPr>
                <w:ilvl w:val="0"/>
                <w:numId w:val="35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Accommodation scholarships</w:t>
            </w:r>
            <w:r w:rsidR="008C11D3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C7164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30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 xml:space="preserve">The University of </w:t>
            </w:r>
            <w:r w:rsidR="00D45A25" w:rsidRPr="00D45A25">
              <w:rPr>
                <w:sz w:val="20"/>
              </w:rPr>
              <w:t>Tasmania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</w:t>
            </w:r>
            <w:r w:rsidR="00D45A25" w:rsidRPr="00D45A25">
              <w:rPr>
                <w:sz w:val="20"/>
              </w:rPr>
              <w:t>024</w:t>
            </w:r>
            <w:r w:rsidRPr="00D45A25">
              <w:rPr>
                <w:sz w:val="20"/>
              </w:rPr>
              <w:t xml:space="preserve"> ISSP rollover grant 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25049C" w:rsidP="00102347">
            <w:pPr>
              <w:pStyle w:val="ListParagraph"/>
              <w:numPr>
                <w:ilvl w:val="0"/>
                <w:numId w:val="30"/>
              </w:numPr>
              <w:tabs>
                <w:tab w:val="right" w:pos="29"/>
              </w:tabs>
              <w:ind w:right="47"/>
              <w:rPr>
                <w:sz w:val="20"/>
              </w:rPr>
            </w:pPr>
            <w:r>
              <w:rPr>
                <w:sz w:val="20"/>
              </w:rPr>
              <w:t>Scholarship f</w:t>
            </w:r>
            <w:r w:rsidR="00102347">
              <w:rPr>
                <w:sz w:val="20"/>
              </w:rPr>
              <w:t>unding.</w:t>
            </w:r>
          </w:p>
        </w:tc>
      </w:tr>
      <w:tr w:rsidR="00D45A25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1C7164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31</w:t>
            </w:r>
            <w:r w:rsidR="00D45A25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The University of Tasmania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A25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 ISSP further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25" w:rsidRPr="00D45A25" w:rsidRDefault="00D45A25" w:rsidP="00102347">
            <w:pPr>
              <w:pStyle w:val="ListParagraph"/>
              <w:numPr>
                <w:ilvl w:val="0"/>
                <w:numId w:val="31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Cradle Coast Campus Cultural Fellow</w:t>
            </w:r>
            <w:r w:rsidR="00102347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3</w:t>
            </w:r>
            <w:r w:rsidR="001C7164">
              <w:rPr>
                <w:sz w:val="20"/>
              </w:rPr>
              <w:t>2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 xml:space="preserve">The University of </w:t>
            </w:r>
            <w:r w:rsidR="00D45A25" w:rsidRPr="00D45A25">
              <w:rPr>
                <w:sz w:val="20"/>
              </w:rPr>
              <w:t>Western Australia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1D747A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</w:t>
            </w:r>
            <w:r w:rsidR="00D45A25" w:rsidRPr="00D45A25">
              <w:rPr>
                <w:sz w:val="20"/>
              </w:rPr>
              <w:t>024</w:t>
            </w:r>
            <w:r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D45A25" w:rsidP="00102347">
            <w:pPr>
              <w:pStyle w:val="ListParagraph"/>
              <w:numPr>
                <w:ilvl w:val="0"/>
                <w:numId w:val="32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 xml:space="preserve">Enhancing Indigenous </w:t>
            </w:r>
            <w:r w:rsidR="0025049C">
              <w:rPr>
                <w:sz w:val="20"/>
              </w:rPr>
              <w:t>outreach and improving student a</w:t>
            </w:r>
            <w:r w:rsidRPr="00D45A25">
              <w:rPr>
                <w:sz w:val="20"/>
              </w:rPr>
              <w:t>ccess</w:t>
            </w:r>
            <w:r w:rsidR="00102347">
              <w:rPr>
                <w:sz w:val="20"/>
              </w:rPr>
              <w:t>.</w:t>
            </w:r>
          </w:p>
        </w:tc>
      </w:tr>
      <w:tr w:rsidR="001D747A" w:rsidRPr="00D45A25" w:rsidTr="008B2DDA">
        <w:trPr>
          <w:gridAfter w:val="1"/>
          <w:wAfter w:w="11" w:type="dxa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3</w:t>
            </w:r>
            <w:r w:rsidR="001C7164">
              <w:rPr>
                <w:sz w:val="20"/>
              </w:rPr>
              <w:t>3</w:t>
            </w:r>
            <w:r w:rsidR="001D747A" w:rsidRPr="00D45A25">
              <w:rPr>
                <w:sz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D45A25">
              <w:rPr>
                <w:sz w:val="20"/>
              </w:rPr>
              <w:t>Victoria University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D45A25" w:rsidRDefault="00D45A25" w:rsidP="00D45A25">
            <w:pPr>
              <w:pStyle w:val="paragraph"/>
              <w:tabs>
                <w:tab w:val="clear" w:pos="1531"/>
                <w:tab w:val="right" w:pos="29"/>
              </w:tabs>
              <w:ind w:left="29" w:right="47" w:hanging="29"/>
              <w:rPr>
                <w:sz w:val="20"/>
              </w:rPr>
            </w:pPr>
            <w:r w:rsidRPr="00D45A25">
              <w:rPr>
                <w:sz w:val="20"/>
              </w:rPr>
              <w:t>2024</w:t>
            </w:r>
            <w:r w:rsidR="001D747A" w:rsidRPr="00D45A25">
              <w:rPr>
                <w:sz w:val="20"/>
              </w:rPr>
              <w:t xml:space="preserve">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47A" w:rsidRPr="00D45A25" w:rsidRDefault="00D45A25" w:rsidP="00102347">
            <w:pPr>
              <w:pStyle w:val="ListParagraph"/>
              <w:numPr>
                <w:ilvl w:val="0"/>
                <w:numId w:val="33"/>
              </w:numPr>
              <w:tabs>
                <w:tab w:val="right" w:pos="29"/>
              </w:tabs>
              <w:ind w:right="47"/>
              <w:rPr>
                <w:sz w:val="20"/>
              </w:rPr>
            </w:pPr>
            <w:r w:rsidRPr="00D45A25">
              <w:rPr>
                <w:sz w:val="20"/>
              </w:rPr>
              <w:t>Enhanced student engagement</w:t>
            </w:r>
            <w:r w:rsidR="00102347">
              <w:rPr>
                <w:sz w:val="20"/>
              </w:rPr>
              <w:t>.</w:t>
            </w:r>
          </w:p>
        </w:tc>
      </w:tr>
    </w:tbl>
    <w:p w:rsidR="001D747A" w:rsidRPr="00D45A25" w:rsidRDefault="001D747A" w:rsidP="001D747A">
      <w:pPr>
        <w:pStyle w:val="subsection"/>
        <w:rPr>
          <w:i/>
        </w:rPr>
      </w:pPr>
      <w:r w:rsidRPr="00D45A25">
        <w:tab/>
        <w:t>(2)</w:t>
      </w:r>
      <w:r w:rsidRPr="00D45A25">
        <w:tab/>
        <w:t xml:space="preserve">A </w:t>
      </w:r>
      <w:r w:rsidRPr="00D45A25">
        <w:rPr>
          <w:i/>
        </w:rPr>
        <w:t xml:space="preserve">higher education provider </w:t>
      </w:r>
      <w:r w:rsidRPr="00D45A25">
        <w:t xml:space="preserve">must not use a grant specified in column 3 of the table in sub-item (1) to administer any aspect of the provider’s business other than delivery of the activity or activities specified for the provider in column 4 of the table in sub-item (1) in respect of the grant.  </w:t>
      </w:r>
      <w:r w:rsidRPr="00D45A25">
        <w:rPr>
          <w:i/>
        </w:rPr>
        <w:t xml:space="preserve"> </w:t>
      </w:r>
    </w:p>
    <w:p w:rsidR="001D747A" w:rsidRPr="001B6071" w:rsidRDefault="001D747A" w:rsidP="001D747A">
      <w:pPr>
        <w:pStyle w:val="ItemHead"/>
        <w:rPr>
          <w:rFonts w:ascii="Times New Roman" w:hAnsi="Times New Roman"/>
        </w:rPr>
      </w:pPr>
      <w:r w:rsidRPr="001B6071">
        <w:rPr>
          <w:rFonts w:ascii="Times New Roman" w:hAnsi="Times New Roman"/>
        </w:rPr>
        <w:t>2  Payment to a person to deliver activities</w:t>
      </w:r>
    </w:p>
    <w:p w:rsidR="001D747A" w:rsidRPr="001B6071" w:rsidRDefault="001D747A" w:rsidP="001D747A">
      <w:pPr>
        <w:pStyle w:val="subsection"/>
      </w:pPr>
      <w:r w:rsidRPr="001B6071">
        <w:tab/>
        <w:t>(1)</w:t>
      </w:r>
      <w:r w:rsidRPr="001B6071">
        <w:tab/>
        <w:t xml:space="preserve">Subject to sub-item (2), a </w:t>
      </w:r>
      <w:r w:rsidRPr="001B6071">
        <w:rPr>
          <w:i/>
        </w:rPr>
        <w:t xml:space="preserve">higher education provider </w:t>
      </w:r>
      <w:r w:rsidRPr="001B6071">
        <w:t>may use a grant specified in column 3 of the table in sub-item 1(1) to pay a person or organisation to deliver an activity specified for the provider in column 4 of the table in sub-item 1(1) in respect of the grant.</w:t>
      </w:r>
    </w:p>
    <w:p w:rsidR="001D747A" w:rsidRPr="001B6071" w:rsidRDefault="001D747A" w:rsidP="001D747A">
      <w:pPr>
        <w:pStyle w:val="subsection"/>
      </w:pPr>
      <w:r w:rsidRPr="001B6071">
        <w:tab/>
        <w:t>(2)</w:t>
      </w:r>
      <w:r w:rsidRPr="001B6071">
        <w:tab/>
        <w:t xml:space="preserve">In recruiting a person to deliver an activity, a </w:t>
      </w:r>
      <w:r w:rsidRPr="001B6071">
        <w:rPr>
          <w:i/>
        </w:rPr>
        <w:t xml:space="preserve">higher education provider </w:t>
      </w:r>
      <w:r w:rsidRPr="001B6071">
        <w:t xml:space="preserve">must give priority to Indigenous persons. </w:t>
      </w:r>
    </w:p>
    <w:p w:rsidR="001D747A" w:rsidRPr="001B6071" w:rsidRDefault="001D747A" w:rsidP="001D747A">
      <w:pPr>
        <w:pStyle w:val="subsection"/>
      </w:pPr>
      <w:r w:rsidRPr="001B6071">
        <w:tab/>
        <w:t>(3)</w:t>
      </w:r>
      <w:r w:rsidRPr="001B6071">
        <w:tab/>
        <w:t xml:space="preserve">In procuring an organisation to deliver an activity, a </w:t>
      </w:r>
      <w:r w:rsidRPr="001B6071">
        <w:rPr>
          <w:i/>
        </w:rPr>
        <w:t xml:space="preserve">higher education provider </w:t>
      </w:r>
      <w:r w:rsidRPr="001B6071">
        <w:t xml:space="preserve">must give priority to organisations that employ, or provide training opportunities for, Indigenous persons.  </w:t>
      </w:r>
    </w:p>
    <w:p w:rsidR="001D747A" w:rsidRPr="001B6071" w:rsidRDefault="001D747A" w:rsidP="001D747A">
      <w:pPr>
        <w:pStyle w:val="ItemHead"/>
        <w:rPr>
          <w:rFonts w:ascii="Times New Roman" w:hAnsi="Times New Roman"/>
        </w:rPr>
      </w:pPr>
      <w:r w:rsidRPr="001B6071">
        <w:rPr>
          <w:rFonts w:ascii="Times New Roman" w:hAnsi="Times New Roman"/>
        </w:rPr>
        <w:t>3  Reporting</w:t>
      </w:r>
    </w:p>
    <w:p w:rsidR="001D747A" w:rsidRPr="001B6071" w:rsidRDefault="001D747A" w:rsidP="001D747A">
      <w:pPr>
        <w:pStyle w:val="subsection"/>
      </w:pPr>
      <w:r w:rsidRPr="001B6071">
        <w:tab/>
        <w:t>(1)</w:t>
      </w:r>
      <w:r w:rsidRPr="001B6071">
        <w:tab/>
        <w:t xml:space="preserve">A </w:t>
      </w:r>
      <w:r w:rsidRPr="001B6071">
        <w:rPr>
          <w:i/>
        </w:rPr>
        <w:t xml:space="preserve">higher education provider </w:t>
      </w:r>
      <w:r w:rsidRPr="001B6071">
        <w:t xml:space="preserve">that receives a grant specified in column 3 of the table in sub-item 1(1) must give the reports specified in column 2 of the table in </w:t>
      </w:r>
      <w:r w:rsidRPr="001B6071">
        <w:lastRenderedPageBreak/>
        <w:t>this sub-item for activities delivered using the grant to the Minister by the day specified in column 3 of the table in this sub-item.</w:t>
      </w:r>
    </w:p>
    <w:p w:rsidR="001D747A" w:rsidRPr="001D747A" w:rsidRDefault="001D747A" w:rsidP="001D747A">
      <w:pPr>
        <w:pStyle w:val="Item"/>
        <w:rPr>
          <w:highlight w:val="yellow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3685"/>
        <w:gridCol w:w="3210"/>
      </w:tblGrid>
      <w:tr w:rsidR="001D747A" w:rsidRPr="001D747A" w:rsidTr="008B2DDA">
        <w:trPr>
          <w:tblHeader/>
        </w:trPr>
        <w:tc>
          <w:tcPr>
            <w:tcW w:w="820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b/>
                <w:bCs/>
                <w:sz w:val="20"/>
              </w:rPr>
            </w:pPr>
            <w:r w:rsidRPr="001B6071">
              <w:rPr>
                <w:b/>
                <w:bCs/>
                <w:sz w:val="20"/>
              </w:rPr>
              <w:t>Reporting</w:t>
            </w:r>
          </w:p>
        </w:tc>
      </w:tr>
      <w:tr w:rsidR="001D747A" w:rsidRPr="001D747A" w:rsidTr="008B2DDA">
        <w:trPr>
          <w:tblHeader/>
        </w:trPr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Column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Column 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Column 3</w:t>
            </w:r>
          </w:p>
        </w:tc>
      </w:tr>
      <w:tr w:rsidR="001D747A" w:rsidRPr="001D747A" w:rsidTr="008B2DDA">
        <w:trPr>
          <w:tblHeader/>
        </w:trPr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Report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1B6071">
              <w:rPr>
                <w:b/>
                <w:bCs/>
                <w:sz w:val="20"/>
              </w:rPr>
              <w:t>Date</w:t>
            </w:r>
          </w:p>
        </w:tc>
      </w:tr>
      <w:tr w:rsidR="001D747A" w:rsidRPr="001D747A" w:rsidTr="008B2DDA"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ind w:left="35" w:hanging="35"/>
              <w:rPr>
                <w:sz w:val="19"/>
                <w:szCs w:val="19"/>
              </w:rPr>
            </w:pPr>
            <w:r w:rsidRPr="001B6071">
              <w:rPr>
                <w:sz w:val="20"/>
              </w:rPr>
              <w:t>1.</w:t>
            </w:r>
            <w:r w:rsidRPr="001B6071">
              <w:rPr>
                <w:rFonts w:hint="eastAsia"/>
                <w:sz w:val="20"/>
              </w:rPr>
              <w:t> </w:t>
            </w:r>
            <w:r w:rsidRPr="001B6071"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spacing w:before="100" w:beforeAutospacing="1" w:after="100" w:afterAutospacing="1"/>
              <w:ind w:left="35" w:hanging="35"/>
              <w:rPr>
                <w:sz w:val="19"/>
                <w:szCs w:val="19"/>
              </w:rPr>
            </w:pPr>
            <w:r w:rsidRPr="001B6071">
              <w:rPr>
                <w:sz w:val="19"/>
                <w:szCs w:val="19"/>
              </w:rPr>
              <w:t xml:space="preserve">Acquittals report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D747A" w:rsidRPr="001B6071" w:rsidRDefault="001D747A" w:rsidP="008B2DDA">
            <w:pPr>
              <w:rPr>
                <w:sz w:val="19"/>
                <w:szCs w:val="19"/>
              </w:rPr>
            </w:pPr>
            <w:r w:rsidRPr="001B6071">
              <w:rPr>
                <w:sz w:val="19"/>
                <w:szCs w:val="19"/>
              </w:rPr>
              <w:t>Last business da</w:t>
            </w:r>
            <w:r w:rsidR="001B6071" w:rsidRPr="001B6071">
              <w:rPr>
                <w:sz w:val="19"/>
                <w:szCs w:val="19"/>
              </w:rPr>
              <w:t>y of April of 2025</w:t>
            </w:r>
          </w:p>
        </w:tc>
      </w:tr>
      <w:tr w:rsidR="001D747A" w:rsidRPr="001D747A" w:rsidTr="008B2DDA">
        <w:tc>
          <w:tcPr>
            <w:tcW w:w="131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1B6071" w:rsidRDefault="001D747A" w:rsidP="008B2DDA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 w:rsidRPr="001B6071">
              <w:rPr>
                <w:sz w:val="20"/>
              </w:rPr>
              <w:t xml:space="preserve">2.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1B6071" w:rsidRDefault="001D747A" w:rsidP="008B2DDA">
            <w:pPr>
              <w:spacing w:before="100" w:beforeAutospacing="1" w:after="100" w:afterAutospacing="1"/>
              <w:ind w:left="35" w:hanging="35"/>
              <w:rPr>
                <w:sz w:val="19"/>
                <w:szCs w:val="19"/>
              </w:rPr>
            </w:pPr>
            <w:r w:rsidRPr="001B6071">
              <w:rPr>
                <w:sz w:val="19"/>
                <w:szCs w:val="19"/>
              </w:rPr>
              <w:t xml:space="preserve">Performance report 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D747A" w:rsidRPr="001B6071" w:rsidRDefault="001D747A" w:rsidP="008B2DDA">
            <w:pPr>
              <w:rPr>
                <w:sz w:val="19"/>
                <w:szCs w:val="19"/>
              </w:rPr>
            </w:pPr>
            <w:r w:rsidRPr="001B6071">
              <w:rPr>
                <w:sz w:val="19"/>
                <w:szCs w:val="19"/>
              </w:rPr>
              <w:t>La</w:t>
            </w:r>
            <w:r w:rsidR="001B6071" w:rsidRPr="001B6071">
              <w:rPr>
                <w:sz w:val="19"/>
                <w:szCs w:val="19"/>
              </w:rPr>
              <w:t>st business day of April of 2025</w:t>
            </w:r>
          </w:p>
        </w:tc>
      </w:tr>
    </w:tbl>
    <w:p w:rsidR="001D747A" w:rsidRPr="001B6071" w:rsidRDefault="001D747A" w:rsidP="001D747A">
      <w:pPr>
        <w:pStyle w:val="notetext"/>
      </w:pPr>
      <w:r w:rsidRPr="001B6071">
        <w:t>Note:</w:t>
      </w:r>
      <w:r w:rsidRPr="001B6071">
        <w:tab/>
        <w:t xml:space="preserve">In addition to the reports specified in column 2 of the table, paragraph 19-10(1)(a) of the Act provides that a </w:t>
      </w:r>
      <w:r w:rsidRPr="001B6071">
        <w:rPr>
          <w:i/>
        </w:rPr>
        <w:t xml:space="preserve">higher education provider </w:t>
      </w:r>
      <w:r w:rsidRPr="001B6071">
        <w:t xml:space="preserve">must give to the Minister a financial statement for each </w:t>
      </w:r>
      <w:r w:rsidRPr="001B6071">
        <w:rPr>
          <w:i/>
        </w:rPr>
        <w:t xml:space="preserve">annual financial reporting period </w:t>
      </w:r>
      <w:r w:rsidRPr="001B6071">
        <w:t xml:space="preserve">for the provider in which the provider receives assistance under Chapter 2 of the Act. </w:t>
      </w:r>
    </w:p>
    <w:p w:rsidR="001D747A" w:rsidRPr="001B6071" w:rsidRDefault="001D747A" w:rsidP="001D747A">
      <w:pPr>
        <w:pStyle w:val="subsection"/>
      </w:pPr>
      <w:r w:rsidRPr="001B6071">
        <w:tab/>
        <w:t>(2)</w:t>
      </w:r>
      <w:r w:rsidRPr="001B6071">
        <w:tab/>
        <w:t xml:space="preserve">In giving a report to the Minister under sub-item (1), a </w:t>
      </w:r>
      <w:r w:rsidRPr="001B6071">
        <w:rPr>
          <w:i/>
        </w:rPr>
        <w:t>higher education provider</w:t>
      </w:r>
      <w:r w:rsidRPr="001B6071">
        <w:t xml:space="preserve"> may: </w:t>
      </w:r>
    </w:p>
    <w:p w:rsidR="001D747A" w:rsidRPr="001B6071" w:rsidRDefault="001D747A" w:rsidP="001D747A">
      <w:pPr>
        <w:pStyle w:val="paragraph"/>
      </w:pPr>
      <w:r w:rsidRPr="001B6071">
        <w:tab/>
        <w:t>(a)</w:t>
      </w:r>
      <w:r w:rsidRPr="001B6071">
        <w:tab/>
        <w:t>give the acquittals report with the acquittals report for an ISSP grant the provider is required to give to the Minister under item 1 of the table in subsection 17(1) of the Guidelines; and</w:t>
      </w:r>
    </w:p>
    <w:p w:rsidR="001D747A" w:rsidRPr="001B6071" w:rsidRDefault="001D747A" w:rsidP="001D747A">
      <w:pPr>
        <w:pStyle w:val="paragraph"/>
      </w:pPr>
      <w:r w:rsidRPr="001B6071">
        <w:tab/>
        <w:t>(b)</w:t>
      </w:r>
      <w:r w:rsidRPr="001B6071">
        <w:tab/>
        <w:t>give the performance report with the performance report for an ISSP grant the provider is required to give to the Minister under item 2 of the table in subsection 17(1) of the Guidelines.</w:t>
      </w:r>
    </w:p>
    <w:p w:rsidR="001D747A" w:rsidRPr="001B6071" w:rsidRDefault="001D747A" w:rsidP="001D747A">
      <w:pPr>
        <w:pStyle w:val="subsection"/>
      </w:pPr>
      <w:r w:rsidRPr="001B6071">
        <w:tab/>
        <w:t>(3)</w:t>
      </w:r>
      <w:r w:rsidRPr="001B6071">
        <w:tab/>
        <w:t xml:space="preserve">An administering officer may request a </w:t>
      </w:r>
      <w:r w:rsidRPr="001B6071">
        <w:rPr>
          <w:i/>
        </w:rPr>
        <w:t xml:space="preserve">higher education provider </w:t>
      </w:r>
      <w:r w:rsidRPr="001B6071">
        <w:t>revise a report described in column 2 of the table in sub-item (1) if the administering officer reasonably considers that the form or content of the report is unsatisfactory.</w:t>
      </w:r>
    </w:p>
    <w:p w:rsidR="001D747A" w:rsidRPr="001B6071" w:rsidRDefault="001D747A" w:rsidP="001D747A">
      <w:pPr>
        <w:pStyle w:val="subsection"/>
      </w:pPr>
      <w:r w:rsidRPr="001B6071">
        <w:tab/>
        <w:t>(4)</w:t>
      </w:r>
      <w:r w:rsidRPr="001B6071">
        <w:tab/>
        <w:t xml:space="preserve">An administering officer may request any additional information or reports about the use of a grant specified in column 3 of the table in sub-item 1(1) from a </w:t>
      </w:r>
      <w:r w:rsidRPr="001B6071">
        <w:rPr>
          <w:i/>
        </w:rPr>
        <w:t>higher education provider</w:t>
      </w:r>
      <w:r w:rsidRPr="001B6071">
        <w:t>.</w:t>
      </w:r>
    </w:p>
    <w:p w:rsidR="001D747A" w:rsidRPr="001B6071" w:rsidRDefault="001D747A" w:rsidP="001D747A">
      <w:pPr>
        <w:pStyle w:val="subsection"/>
      </w:pPr>
      <w:r w:rsidRPr="001B6071">
        <w:tab/>
        <w:t>(5)</w:t>
      </w:r>
      <w:r w:rsidRPr="001B6071">
        <w:tab/>
        <w:t xml:space="preserve">A </w:t>
      </w:r>
      <w:r w:rsidRPr="001B6071">
        <w:rPr>
          <w:i/>
        </w:rPr>
        <w:t>higher education provider</w:t>
      </w:r>
      <w:r w:rsidRPr="001B6071">
        <w:t xml:space="preserve"> must comply with a reasonable request under sub</w:t>
      </w:r>
      <w:r w:rsidRPr="001B6071">
        <w:noBreakHyphen/>
        <w:t>items (3) or (4) within 10 business days of the request, or a longer period specified by an administering officer in writing.</w:t>
      </w:r>
    </w:p>
    <w:p w:rsidR="001D747A" w:rsidRPr="001B6071" w:rsidRDefault="001D747A" w:rsidP="001D747A">
      <w:pPr>
        <w:pStyle w:val="ItemHead"/>
        <w:rPr>
          <w:rFonts w:ascii="Times New Roman" w:hAnsi="Times New Roman"/>
        </w:rPr>
      </w:pPr>
      <w:r w:rsidRPr="001B6071">
        <w:rPr>
          <w:rFonts w:ascii="Times New Roman" w:hAnsi="Times New Roman"/>
        </w:rPr>
        <w:t>4  Application of the Guidelines</w:t>
      </w:r>
    </w:p>
    <w:p w:rsidR="00A75FE9" w:rsidRDefault="001D747A" w:rsidP="001B6071">
      <w:pPr>
        <w:pStyle w:val="subsection"/>
      </w:pPr>
      <w:r w:rsidRPr="001B6071">
        <w:tab/>
      </w:r>
      <w:r w:rsidRPr="001B6071">
        <w:tab/>
        <w:t>The requirements of subsections 14(2) and (3), section 15 (other than paragraph (a)), section 16, section 35, section 36 and section 37 of the Guidelines apply to a grant specified in column 3 of the table in sub-item 1(1) as if it were a grant provided for under section 5 of the Guidelines.</w:t>
      </w: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97" w:rsidRDefault="00685F97" w:rsidP="00715914">
      <w:pPr>
        <w:spacing w:line="240" w:lineRule="auto"/>
      </w:pPr>
      <w:r>
        <w:separator/>
      </w:r>
    </w:p>
  </w:endnote>
  <w:endnote w:type="continuationSeparator" w:id="0">
    <w:p w:rsidR="00685F97" w:rsidRDefault="00685F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33C1C" w:rsidRDefault="00E4527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527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45278" w:rsidRPr="004E1307" w:rsidRDefault="00E4527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7077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4527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45278" w:rsidRDefault="00E45278" w:rsidP="00A369E3">
          <w:pPr>
            <w:jc w:val="right"/>
            <w:rPr>
              <w:sz w:val="18"/>
            </w:rPr>
          </w:pPr>
        </w:p>
      </w:tc>
    </w:tr>
  </w:tbl>
  <w:p w:rsidR="00E45278" w:rsidRPr="00ED79B6" w:rsidRDefault="00E4527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33C1C" w:rsidRDefault="00E4527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5278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7077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278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45278" w:rsidRDefault="00E45278" w:rsidP="00A369E3">
          <w:pPr>
            <w:rPr>
              <w:sz w:val="18"/>
            </w:rPr>
          </w:pPr>
        </w:p>
      </w:tc>
    </w:tr>
  </w:tbl>
  <w:p w:rsidR="00E45278" w:rsidRPr="00ED79B6" w:rsidRDefault="00E4527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33C1C" w:rsidRDefault="00E4527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4527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45278" w:rsidRDefault="00E4527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E45278" w:rsidRPr="00ED79B6" w:rsidRDefault="00E4527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2B0EA5" w:rsidRDefault="00E45278" w:rsidP="008B2D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5278" w:rsidTr="008B2DDA">
      <w:tc>
        <w:tcPr>
          <w:tcW w:w="365" w:type="pct"/>
        </w:tcPr>
        <w:p w:rsidR="00E45278" w:rsidRDefault="00E45278" w:rsidP="008B2D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45278" w:rsidRDefault="00E45278" w:rsidP="008B2DD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7077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45278" w:rsidRDefault="00E45278" w:rsidP="008B2DDA">
          <w:pPr>
            <w:spacing w:line="0" w:lineRule="atLeast"/>
            <w:jc w:val="right"/>
            <w:rPr>
              <w:sz w:val="18"/>
            </w:rPr>
          </w:pPr>
        </w:p>
      </w:tc>
    </w:tr>
    <w:tr w:rsidR="00E45278" w:rsidTr="008B2DDA">
      <w:tc>
        <w:tcPr>
          <w:tcW w:w="5000" w:type="pct"/>
          <w:gridSpan w:val="3"/>
        </w:tcPr>
        <w:p w:rsidR="00E45278" w:rsidRDefault="00E45278" w:rsidP="008B2DDA">
          <w:pPr>
            <w:jc w:val="right"/>
            <w:rPr>
              <w:sz w:val="18"/>
            </w:rPr>
          </w:pPr>
        </w:p>
      </w:tc>
    </w:tr>
  </w:tbl>
  <w:p w:rsidR="00E45278" w:rsidRPr="00ED79B6" w:rsidRDefault="00E45278" w:rsidP="008B2DD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2B0EA5" w:rsidRDefault="00E45278" w:rsidP="008B2D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45278" w:rsidTr="008B2DDA">
      <w:tc>
        <w:tcPr>
          <w:tcW w:w="947" w:type="pct"/>
        </w:tcPr>
        <w:p w:rsidR="00E45278" w:rsidRDefault="00E45278" w:rsidP="008B2DD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45278" w:rsidRDefault="00E45278" w:rsidP="008B2DD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45278" w:rsidRDefault="00E45278" w:rsidP="008B2D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278" w:rsidTr="008B2DDA">
      <w:tc>
        <w:tcPr>
          <w:tcW w:w="5000" w:type="pct"/>
          <w:gridSpan w:val="3"/>
        </w:tcPr>
        <w:p w:rsidR="00E45278" w:rsidRDefault="00E45278" w:rsidP="008B2DDA">
          <w:pPr>
            <w:rPr>
              <w:sz w:val="18"/>
            </w:rPr>
          </w:pPr>
        </w:p>
      </w:tc>
    </w:tr>
  </w:tbl>
  <w:p w:rsidR="00E45278" w:rsidRPr="00ED79B6" w:rsidRDefault="00E45278" w:rsidP="008B2DD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2B0EA5" w:rsidRDefault="00E45278" w:rsidP="008B2D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45278" w:rsidTr="008B2DDA">
      <w:tc>
        <w:tcPr>
          <w:tcW w:w="365" w:type="pct"/>
        </w:tcPr>
        <w:p w:rsidR="00E45278" w:rsidRDefault="00E45278" w:rsidP="008B2D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45278" w:rsidRDefault="00E45278" w:rsidP="008B2DD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45278" w:rsidRDefault="00E45278" w:rsidP="008B2DDA">
          <w:pPr>
            <w:spacing w:line="0" w:lineRule="atLeast"/>
            <w:jc w:val="right"/>
            <w:rPr>
              <w:sz w:val="18"/>
            </w:rPr>
          </w:pPr>
        </w:p>
      </w:tc>
    </w:tr>
    <w:tr w:rsidR="00E45278" w:rsidTr="008B2DDA">
      <w:tc>
        <w:tcPr>
          <w:tcW w:w="5000" w:type="pct"/>
          <w:gridSpan w:val="3"/>
        </w:tcPr>
        <w:p w:rsidR="00E45278" w:rsidRDefault="00E45278" w:rsidP="008B2DDA">
          <w:pPr>
            <w:jc w:val="right"/>
            <w:rPr>
              <w:sz w:val="18"/>
            </w:rPr>
          </w:pPr>
        </w:p>
      </w:tc>
    </w:tr>
  </w:tbl>
  <w:p w:rsidR="00E45278" w:rsidRPr="00ED79B6" w:rsidRDefault="00E45278" w:rsidP="008B2DD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2B0EA5" w:rsidRDefault="00E45278" w:rsidP="008B2D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45278" w:rsidTr="008B2DDA">
      <w:tc>
        <w:tcPr>
          <w:tcW w:w="947" w:type="pct"/>
        </w:tcPr>
        <w:p w:rsidR="00E45278" w:rsidRDefault="00E45278" w:rsidP="008B2DD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45278" w:rsidRDefault="00E45278" w:rsidP="008B2DD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Higher Education Support (Indigenous Student Success Program) (Rollover of Grant Amounts)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45278" w:rsidRDefault="00E45278" w:rsidP="008B2D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643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5278" w:rsidTr="008B2DDA">
      <w:tc>
        <w:tcPr>
          <w:tcW w:w="5000" w:type="pct"/>
          <w:gridSpan w:val="3"/>
        </w:tcPr>
        <w:p w:rsidR="00E45278" w:rsidRDefault="00E45278" w:rsidP="008B2DDA">
          <w:pPr>
            <w:rPr>
              <w:sz w:val="18"/>
            </w:rPr>
          </w:pPr>
        </w:p>
      </w:tc>
    </w:tr>
  </w:tbl>
  <w:p w:rsidR="00E45278" w:rsidRPr="00ED79B6" w:rsidRDefault="00E45278" w:rsidP="008B2DD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97" w:rsidRDefault="00685F97" w:rsidP="00715914">
      <w:pPr>
        <w:spacing w:line="240" w:lineRule="auto"/>
      </w:pPr>
      <w:r>
        <w:separator/>
      </w:r>
    </w:p>
  </w:footnote>
  <w:footnote w:type="continuationSeparator" w:id="0">
    <w:p w:rsidR="00685F97" w:rsidRDefault="00685F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5F1388" w:rsidRDefault="00E4527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5F1388" w:rsidRDefault="00E4527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D79B6" w:rsidRDefault="00E45278" w:rsidP="008B2DD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D79B6" w:rsidRDefault="00E45278" w:rsidP="008B2DD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ED79B6" w:rsidRDefault="00E4527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Default="00E45278" w:rsidP="00715914">
    <w:pPr>
      <w:rPr>
        <w:sz w:val="20"/>
      </w:rPr>
    </w:pPr>
  </w:p>
  <w:p w:rsidR="00E45278" w:rsidRDefault="00E45278" w:rsidP="00715914">
    <w:pPr>
      <w:rPr>
        <w:sz w:val="20"/>
      </w:rPr>
    </w:pPr>
  </w:p>
  <w:p w:rsidR="00E45278" w:rsidRPr="007A1328" w:rsidRDefault="00E45278" w:rsidP="00715914">
    <w:pPr>
      <w:rPr>
        <w:sz w:val="20"/>
      </w:rPr>
    </w:pPr>
  </w:p>
  <w:p w:rsidR="00E45278" w:rsidRPr="007A1328" w:rsidRDefault="00E45278" w:rsidP="00715914">
    <w:pPr>
      <w:rPr>
        <w:b/>
        <w:sz w:val="24"/>
      </w:rPr>
    </w:pPr>
  </w:p>
  <w:p w:rsidR="00E45278" w:rsidRPr="007A1328" w:rsidRDefault="00E4527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78" w:rsidRPr="007A1328" w:rsidRDefault="00E45278" w:rsidP="00715914">
    <w:pPr>
      <w:jc w:val="right"/>
      <w:rPr>
        <w:sz w:val="20"/>
      </w:rPr>
    </w:pPr>
  </w:p>
  <w:p w:rsidR="00E45278" w:rsidRPr="007A1328" w:rsidRDefault="00E45278" w:rsidP="00715914">
    <w:pPr>
      <w:jc w:val="right"/>
      <w:rPr>
        <w:sz w:val="20"/>
      </w:rPr>
    </w:pPr>
  </w:p>
  <w:p w:rsidR="00E45278" w:rsidRPr="007A1328" w:rsidRDefault="00E45278" w:rsidP="00715914">
    <w:pPr>
      <w:jc w:val="right"/>
      <w:rPr>
        <w:sz w:val="20"/>
      </w:rPr>
    </w:pPr>
  </w:p>
  <w:p w:rsidR="00E45278" w:rsidRPr="007A1328" w:rsidRDefault="00E45278" w:rsidP="00715914">
    <w:pPr>
      <w:jc w:val="right"/>
      <w:rPr>
        <w:b/>
        <w:sz w:val="24"/>
      </w:rPr>
    </w:pPr>
  </w:p>
  <w:p w:rsidR="00E45278" w:rsidRPr="007A1328" w:rsidRDefault="00E4527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1D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29F3A95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2CE4D08"/>
    <w:multiLevelType w:val="hybridMultilevel"/>
    <w:tmpl w:val="80826E38"/>
    <w:lvl w:ilvl="0" w:tplc="0C090017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57C0F6D"/>
    <w:multiLevelType w:val="hybridMultilevel"/>
    <w:tmpl w:val="F3F6B228"/>
    <w:lvl w:ilvl="0" w:tplc="2DD012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C1941EC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0EA20893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195477A"/>
    <w:multiLevelType w:val="hybridMultilevel"/>
    <w:tmpl w:val="FA9E1E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D5298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1A28301B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920E15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283770F0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2EBA564C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77831A9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0F6D57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D7978F5"/>
    <w:multiLevelType w:val="hybridMultilevel"/>
    <w:tmpl w:val="80826E38"/>
    <w:lvl w:ilvl="0" w:tplc="0C090017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DE1241B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426D22E2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4F6479C5"/>
    <w:multiLevelType w:val="hybridMultilevel"/>
    <w:tmpl w:val="FA9E1E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B279A0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58546133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59403BA1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5C2D75FE"/>
    <w:multiLevelType w:val="hybridMultilevel"/>
    <w:tmpl w:val="FA9E1E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65D1B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621208DD"/>
    <w:multiLevelType w:val="hybridMultilevel"/>
    <w:tmpl w:val="80826E38"/>
    <w:lvl w:ilvl="0" w:tplc="0C090017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64BB1624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68607BCC"/>
    <w:multiLevelType w:val="hybridMultilevel"/>
    <w:tmpl w:val="348C31C0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6C8E4CD5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9" w15:restartNumberingAfterBreak="0">
    <w:nsid w:val="6FB71F27"/>
    <w:multiLevelType w:val="hybridMultilevel"/>
    <w:tmpl w:val="BFFEEA54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71337241"/>
    <w:multiLevelType w:val="hybridMultilevel"/>
    <w:tmpl w:val="FA9E1E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265C5"/>
    <w:multiLevelType w:val="hybridMultilevel"/>
    <w:tmpl w:val="BFFEEA54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7326507D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7656234D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772772AB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19"/>
  </w:num>
  <w:num w:numId="5">
    <w:abstractNumId w:val="3"/>
  </w:num>
  <w:num w:numId="6">
    <w:abstractNumId w:val="6"/>
  </w:num>
  <w:num w:numId="7">
    <w:abstractNumId w:val="23"/>
  </w:num>
  <w:num w:numId="8">
    <w:abstractNumId w:val="29"/>
  </w:num>
  <w:num w:numId="9">
    <w:abstractNumId w:val="31"/>
  </w:num>
  <w:num w:numId="10">
    <w:abstractNumId w:val="27"/>
  </w:num>
  <w:num w:numId="11">
    <w:abstractNumId w:val="28"/>
  </w:num>
  <w:num w:numId="12">
    <w:abstractNumId w:val="34"/>
  </w:num>
  <w:num w:numId="13">
    <w:abstractNumId w:val="15"/>
  </w:num>
  <w:num w:numId="14">
    <w:abstractNumId w:val="22"/>
  </w:num>
  <w:num w:numId="15">
    <w:abstractNumId w:val="21"/>
  </w:num>
  <w:num w:numId="16">
    <w:abstractNumId w:val="11"/>
  </w:num>
  <w:num w:numId="17">
    <w:abstractNumId w:val="1"/>
  </w:num>
  <w:num w:numId="18">
    <w:abstractNumId w:val="18"/>
  </w:num>
  <w:num w:numId="19">
    <w:abstractNumId w:val="33"/>
  </w:num>
  <w:num w:numId="20">
    <w:abstractNumId w:val="4"/>
  </w:num>
  <w:num w:numId="21">
    <w:abstractNumId w:val="0"/>
  </w:num>
  <w:num w:numId="22">
    <w:abstractNumId w:val="32"/>
  </w:num>
  <w:num w:numId="23">
    <w:abstractNumId w:val="10"/>
  </w:num>
  <w:num w:numId="24">
    <w:abstractNumId w:val="26"/>
  </w:num>
  <w:num w:numId="25">
    <w:abstractNumId w:val="5"/>
  </w:num>
  <w:num w:numId="26">
    <w:abstractNumId w:val="7"/>
  </w:num>
  <w:num w:numId="27">
    <w:abstractNumId w:val="20"/>
  </w:num>
  <w:num w:numId="28">
    <w:abstractNumId w:val="13"/>
  </w:num>
  <w:num w:numId="29">
    <w:abstractNumId w:val="25"/>
  </w:num>
  <w:num w:numId="30">
    <w:abstractNumId w:val="12"/>
  </w:num>
  <w:num w:numId="31">
    <w:abstractNumId w:val="24"/>
  </w:num>
  <w:num w:numId="32">
    <w:abstractNumId w:val="8"/>
  </w:num>
  <w:num w:numId="33">
    <w:abstractNumId w:val="17"/>
  </w:num>
  <w:num w:numId="34">
    <w:abstractNumId w:val="2"/>
  </w:num>
  <w:num w:numId="35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3"/>
    <w:rsid w:val="00004174"/>
    <w:rsid w:val="00004470"/>
    <w:rsid w:val="00010AFF"/>
    <w:rsid w:val="000136AF"/>
    <w:rsid w:val="000258B1"/>
    <w:rsid w:val="00031F9A"/>
    <w:rsid w:val="00040A89"/>
    <w:rsid w:val="000437C1"/>
    <w:rsid w:val="0004455A"/>
    <w:rsid w:val="0005365D"/>
    <w:rsid w:val="0005576C"/>
    <w:rsid w:val="000614BF"/>
    <w:rsid w:val="0006709C"/>
    <w:rsid w:val="00074376"/>
    <w:rsid w:val="000978F5"/>
    <w:rsid w:val="000A1CCE"/>
    <w:rsid w:val="000B15CD"/>
    <w:rsid w:val="000B35EB"/>
    <w:rsid w:val="000D05EF"/>
    <w:rsid w:val="000D33CD"/>
    <w:rsid w:val="000E21F5"/>
    <w:rsid w:val="000E2261"/>
    <w:rsid w:val="000E78B7"/>
    <w:rsid w:val="000F21C1"/>
    <w:rsid w:val="00102347"/>
    <w:rsid w:val="0010745C"/>
    <w:rsid w:val="00132CEB"/>
    <w:rsid w:val="001339B0"/>
    <w:rsid w:val="00142B62"/>
    <w:rsid w:val="001441B7"/>
    <w:rsid w:val="001516CB"/>
    <w:rsid w:val="00152336"/>
    <w:rsid w:val="00157B8B"/>
    <w:rsid w:val="00161654"/>
    <w:rsid w:val="00166C2F"/>
    <w:rsid w:val="001809D7"/>
    <w:rsid w:val="001939E1"/>
    <w:rsid w:val="00194C3E"/>
    <w:rsid w:val="00195382"/>
    <w:rsid w:val="001B2CB6"/>
    <w:rsid w:val="001B6071"/>
    <w:rsid w:val="001C61C5"/>
    <w:rsid w:val="001C69C4"/>
    <w:rsid w:val="001C7164"/>
    <w:rsid w:val="001D37EF"/>
    <w:rsid w:val="001D747A"/>
    <w:rsid w:val="001E3590"/>
    <w:rsid w:val="001E7407"/>
    <w:rsid w:val="001F5D5E"/>
    <w:rsid w:val="001F6219"/>
    <w:rsid w:val="001F6CD4"/>
    <w:rsid w:val="00200117"/>
    <w:rsid w:val="00206C4D"/>
    <w:rsid w:val="00215AF1"/>
    <w:rsid w:val="00221F4A"/>
    <w:rsid w:val="002321E8"/>
    <w:rsid w:val="00232984"/>
    <w:rsid w:val="0024010F"/>
    <w:rsid w:val="00240749"/>
    <w:rsid w:val="00243018"/>
    <w:rsid w:val="00247077"/>
    <w:rsid w:val="0025049C"/>
    <w:rsid w:val="002564A4"/>
    <w:rsid w:val="0026736C"/>
    <w:rsid w:val="00281308"/>
    <w:rsid w:val="00284719"/>
    <w:rsid w:val="00285DC2"/>
    <w:rsid w:val="002957FC"/>
    <w:rsid w:val="00297ECB"/>
    <w:rsid w:val="002A7BCF"/>
    <w:rsid w:val="002C3940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6BDB"/>
    <w:rsid w:val="0038049F"/>
    <w:rsid w:val="003C6231"/>
    <w:rsid w:val="003D0BFE"/>
    <w:rsid w:val="003D2005"/>
    <w:rsid w:val="003D5700"/>
    <w:rsid w:val="003D5D0F"/>
    <w:rsid w:val="003E0051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011"/>
    <w:rsid w:val="0044291A"/>
    <w:rsid w:val="00445ADB"/>
    <w:rsid w:val="00467661"/>
    <w:rsid w:val="00472DBE"/>
    <w:rsid w:val="00474A19"/>
    <w:rsid w:val="00477830"/>
    <w:rsid w:val="00480023"/>
    <w:rsid w:val="00482FF4"/>
    <w:rsid w:val="00487764"/>
    <w:rsid w:val="00496F97"/>
    <w:rsid w:val="004B6C48"/>
    <w:rsid w:val="004C4E59"/>
    <w:rsid w:val="004C6809"/>
    <w:rsid w:val="004E063A"/>
    <w:rsid w:val="004E1307"/>
    <w:rsid w:val="004E5260"/>
    <w:rsid w:val="004E7BEC"/>
    <w:rsid w:val="00505D3D"/>
    <w:rsid w:val="00506AF6"/>
    <w:rsid w:val="00516B8D"/>
    <w:rsid w:val="005303C8"/>
    <w:rsid w:val="00537FBC"/>
    <w:rsid w:val="00540FE1"/>
    <w:rsid w:val="0054593B"/>
    <w:rsid w:val="00554826"/>
    <w:rsid w:val="00562877"/>
    <w:rsid w:val="00584811"/>
    <w:rsid w:val="00585784"/>
    <w:rsid w:val="0058651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54D7F"/>
    <w:rsid w:val="00670EA1"/>
    <w:rsid w:val="00677CC2"/>
    <w:rsid w:val="00685F97"/>
    <w:rsid w:val="0068744B"/>
    <w:rsid w:val="006905DE"/>
    <w:rsid w:val="0069207B"/>
    <w:rsid w:val="006A154F"/>
    <w:rsid w:val="006A437B"/>
    <w:rsid w:val="006B5789"/>
    <w:rsid w:val="006C27E2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6125"/>
    <w:rsid w:val="007B1021"/>
    <w:rsid w:val="007C2253"/>
    <w:rsid w:val="007D621B"/>
    <w:rsid w:val="007D7911"/>
    <w:rsid w:val="007E0A5E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71EE"/>
    <w:rsid w:val="008B2706"/>
    <w:rsid w:val="008B2DDA"/>
    <w:rsid w:val="008C11D3"/>
    <w:rsid w:val="008C2EAC"/>
    <w:rsid w:val="008D0EE0"/>
    <w:rsid w:val="008D5643"/>
    <w:rsid w:val="008E0027"/>
    <w:rsid w:val="008E6067"/>
    <w:rsid w:val="008F54E7"/>
    <w:rsid w:val="00903422"/>
    <w:rsid w:val="00907EE3"/>
    <w:rsid w:val="00914461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77B5A"/>
    <w:rsid w:val="00982242"/>
    <w:rsid w:val="009868E9"/>
    <w:rsid w:val="009900A3"/>
    <w:rsid w:val="009B3A29"/>
    <w:rsid w:val="009C3413"/>
    <w:rsid w:val="00A0441E"/>
    <w:rsid w:val="00A12128"/>
    <w:rsid w:val="00A22C98"/>
    <w:rsid w:val="00A231E2"/>
    <w:rsid w:val="00A369E3"/>
    <w:rsid w:val="00A57600"/>
    <w:rsid w:val="00A63425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454"/>
    <w:rsid w:val="00B47444"/>
    <w:rsid w:val="00B50ADC"/>
    <w:rsid w:val="00B56595"/>
    <w:rsid w:val="00B566B1"/>
    <w:rsid w:val="00B574E7"/>
    <w:rsid w:val="00B63834"/>
    <w:rsid w:val="00B80199"/>
    <w:rsid w:val="00B801F8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18AF"/>
    <w:rsid w:val="00C67427"/>
    <w:rsid w:val="00C7573B"/>
    <w:rsid w:val="00C80520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45A2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6CB5"/>
    <w:rsid w:val="00DE107C"/>
    <w:rsid w:val="00DF2388"/>
    <w:rsid w:val="00E05704"/>
    <w:rsid w:val="00E338EF"/>
    <w:rsid w:val="00E45278"/>
    <w:rsid w:val="00E544BB"/>
    <w:rsid w:val="00E654AE"/>
    <w:rsid w:val="00E74DC7"/>
    <w:rsid w:val="00E8075A"/>
    <w:rsid w:val="00E940D8"/>
    <w:rsid w:val="00E94D5E"/>
    <w:rsid w:val="00EA7100"/>
    <w:rsid w:val="00EA7F9F"/>
    <w:rsid w:val="00EB1274"/>
    <w:rsid w:val="00EB7B35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2436"/>
    <w:rsid w:val="00F6696E"/>
    <w:rsid w:val="00F73BD6"/>
    <w:rsid w:val="00F83989"/>
    <w:rsid w:val="00F85099"/>
    <w:rsid w:val="00F9379C"/>
    <w:rsid w:val="00F9632C"/>
    <w:rsid w:val="00FA1E52"/>
    <w:rsid w:val="00FB5A08"/>
    <w:rsid w:val="00FC3D97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4AF06"/>
  <w15:docId w15:val="{F7794C4C-84B6-42B4-8874-A12C5DD1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9B3A29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D747A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00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0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7678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717CE4ADFEE74DB0826A791791625D" ma:contentTypeVersion="9" ma:contentTypeDescription="ShareHub Document" ma:contentTypeScope="" ma:versionID="1b3bc0cff3da5a95f192eecc43fba464">
  <xsd:schema xmlns:xsd="http://www.w3.org/2001/XMLSchema" xmlns:xs="http://www.w3.org/2001/XMLSchema" xmlns:p="http://schemas.microsoft.com/office/2006/metadata/properties" xmlns:ns2="f3bd26a6-b7de-46d5-b656-b923e34e058b" xmlns:ns3="685f9fda-bd71-4433-b331-92feb9553089" targetNamespace="http://schemas.microsoft.com/office/2006/metadata/properties" ma:root="true" ma:fieldsID="00856fd815155fee559696d83f39f88a" ns2:_="" ns3:_="">
    <xsd:import namespace="f3bd26a6-b7de-46d5-b656-b923e34e058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PMCNotes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ShareHubID" minOccurs="0"/>
                <xsd:element ref="ns2:kf09884c5022436b9463d7b6693efca9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26a6-b7de-46d5-b656-b923e34e058b" elementFormDefault="qualified">
    <xsd:import namespace="http://schemas.microsoft.com/office/2006/documentManagement/types"/>
    <xsd:import namespace="http://schemas.microsoft.com/office/infopath/2007/PartnerControls"/>
    <xsd:element name="PMCNotes" ma:index="5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6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2fed35e-c279-421c-8a4e-4bf7a7aad6fc}" ma:internalName="TaxCatchAll" ma:showField="CatchAllData" ma:web="f3bd26a6-b7de-46d5-b656-b923e34e0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fed35e-c279-421c-8a4e-4bf7a7aad6fc}" ma:internalName="TaxCatchAllLabel" ma:readOnly="true" ma:showField="CatchAllDataLabel" ma:web="f3bd26a6-b7de-46d5-b656-b923e34e0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kf09884c5022436b9463d7b6693efca9" ma:index="17" nillable="true" ma:taxonomy="true" ma:internalName="kf09884c5022436b9463d7b6693efca9" ma:taxonomyFieldName="ESearchTags" ma:displayName="Tags" ma:fieldId="{4f09884c-5022-436b-9463-d7b6693efca9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f3bd26a6-b7de-46d5-b656-b923e34e058b">UDOC24-65302</ShareHubID>
    <PMCNotes xmlns="f3bd26a6-b7de-46d5-b656-b923e34e058b" xsi:nil="true"/>
    <mc5611b894cf49d8aeeb8ebf39dc09bc xmlns="f3bd26a6-b7de-46d5-b656-b923e34e05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f3bd26a6-b7de-46d5-b656-b923e34e058b">
      <Terms xmlns="http://schemas.microsoft.com/office/infopath/2007/PartnerControls"/>
    </jd1c641577414dfdab1686c9d5d0dbd0>
    <TaxCatchAll xmlns="f3bd26a6-b7de-46d5-b656-b923e34e058b">
      <Value>6</Value>
    </TaxCatchAll>
    <kf09884c5022436b9463d7b6693efca9 xmlns="f3bd26a6-b7de-46d5-b656-b923e34e058b">
      <Terms xmlns="http://schemas.microsoft.com/office/infopath/2007/PartnerControls"/>
    </kf09884c5022436b9463d7b6693efca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798F-EAF9-49B6-9F4A-2D1C08C0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d26a6-b7de-46d5-b656-b923e34e058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3D96F-665A-4AC8-8945-7E3EA5CEB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28F8E-CE67-4B08-97FD-AFF2BFDC91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3bd26a6-b7de-46d5-b656-b923e34e058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289BD9-1F88-46DC-ABCD-672DA084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0</TotalTime>
  <Pages>11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Dominica Condon</dc:creator>
  <cp:lastModifiedBy>Legal Services Branch</cp:lastModifiedBy>
  <cp:revision>2</cp:revision>
  <cp:lastPrinted>2024-03-26T22:20:00Z</cp:lastPrinted>
  <dcterms:created xsi:type="dcterms:W3CDTF">2024-04-02T22:16:00Z</dcterms:created>
  <dcterms:modified xsi:type="dcterms:W3CDTF">2024-04-02T22:16:00Z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0x0101002825A64A6E1845A99A9D8EE8A5686ECB00F3717CE4ADFEE74DB0826A791791625D</vt:lpwstr>
  </property>
  <property fmtid="{D5CDD505-2E9C-101B-9397-08002B2CF9AE}" pid="3" name="HPRMSecurityLevel">
    <vt:lpwstr>6;#OFFICIAL|11463c70-78df-4e3b-b0ff-f66cd3cb26ec</vt:lpwstr>
  </property>
  <property fmtid="{D5CDD505-2E9C-101B-9397-08002B2CF9AE}" pid="4" name="ESearchTags">
    <vt:lpwstr/>
  </property>
  <property fmtid="{D5CDD505-2E9C-101B-9397-08002B2CF9AE}" pid="5" name="HPRMSecurityCaveat">
    <vt:lpwstr/>
  </property>
</Properties>
</file>