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E111" w14:textId="77777777" w:rsidR="00CF2CD2" w:rsidRPr="00C47035" w:rsidRDefault="00CF2CD2" w:rsidP="00CF2CD2">
      <w:pPr>
        <w:rPr>
          <w:color w:val="000000" w:themeColor="text1"/>
        </w:rPr>
      </w:pPr>
      <w:r w:rsidRPr="00C47035">
        <w:rPr>
          <w:rFonts w:eastAsia="Calibri"/>
          <w:noProof/>
          <w:color w:val="000000" w:themeColor="text1"/>
          <w:sz w:val="22"/>
          <w:szCs w:val="20"/>
        </w:rPr>
        <w:drawing>
          <wp:inline distT="0" distB="0" distL="0" distR="0" wp14:anchorId="21012FD6" wp14:editId="0CF25D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FA3932" w14:textId="77777777" w:rsidR="00CF2CD2" w:rsidRPr="00C47035" w:rsidRDefault="00CF2CD2" w:rsidP="00CF2CD2">
      <w:pPr>
        <w:rPr>
          <w:color w:val="000000" w:themeColor="text1"/>
        </w:rPr>
      </w:pPr>
    </w:p>
    <w:p w14:paraId="7170FBEB" w14:textId="46CFB78F" w:rsidR="00CF2CD2" w:rsidRPr="00C47035" w:rsidRDefault="00CF2CD2" w:rsidP="00CF2CD2">
      <w:pPr>
        <w:rPr>
          <w:rFonts w:ascii="Arial" w:hAnsi="Arial" w:cs="Arial"/>
          <w:b/>
          <w:bCs/>
          <w:color w:val="000000" w:themeColor="text1"/>
          <w:sz w:val="22"/>
          <w:szCs w:val="22"/>
        </w:rPr>
      </w:pPr>
      <w:r w:rsidRPr="00C47035">
        <w:rPr>
          <w:rFonts w:ascii="Arial" w:hAnsi="Arial" w:cs="Arial"/>
          <w:b/>
          <w:bCs/>
          <w:color w:val="000000" w:themeColor="text1"/>
          <w:sz w:val="22"/>
          <w:szCs w:val="22"/>
        </w:rPr>
        <w:t xml:space="preserve">PB </w:t>
      </w:r>
      <w:r w:rsidR="0001013C">
        <w:rPr>
          <w:rFonts w:ascii="Arial" w:hAnsi="Arial" w:cs="Arial"/>
          <w:b/>
          <w:bCs/>
          <w:color w:val="000000" w:themeColor="text1"/>
          <w:sz w:val="22"/>
          <w:szCs w:val="22"/>
        </w:rPr>
        <w:t>38</w:t>
      </w:r>
      <w:r w:rsidR="001F1AE1">
        <w:rPr>
          <w:rFonts w:ascii="Arial" w:hAnsi="Arial" w:cs="Arial"/>
          <w:b/>
          <w:bCs/>
          <w:color w:val="000000" w:themeColor="text1"/>
          <w:sz w:val="22"/>
          <w:szCs w:val="22"/>
        </w:rPr>
        <w:t xml:space="preserve"> </w:t>
      </w:r>
      <w:r w:rsidRPr="00C47035">
        <w:rPr>
          <w:rFonts w:ascii="Arial" w:hAnsi="Arial" w:cs="Arial"/>
          <w:b/>
          <w:bCs/>
          <w:color w:val="000000" w:themeColor="text1"/>
          <w:sz w:val="22"/>
          <w:szCs w:val="22"/>
        </w:rPr>
        <w:t>of 202</w:t>
      </w:r>
      <w:r>
        <w:rPr>
          <w:rFonts w:ascii="Arial" w:hAnsi="Arial" w:cs="Arial"/>
          <w:b/>
          <w:bCs/>
          <w:color w:val="000000" w:themeColor="text1"/>
          <w:sz w:val="22"/>
          <w:szCs w:val="22"/>
        </w:rPr>
        <w:t>4</w:t>
      </w:r>
    </w:p>
    <w:p w14:paraId="167D4E86" w14:textId="4A1FEF64" w:rsidR="00CF2CD2" w:rsidRPr="00C47035" w:rsidRDefault="00CF2CD2" w:rsidP="00CF2CD2">
      <w:pPr>
        <w:pStyle w:val="Title"/>
        <w:pBdr>
          <w:bottom w:val="single" w:sz="4" w:space="3" w:color="auto"/>
        </w:pBdr>
        <w:rPr>
          <w:rFonts w:ascii="Times New Roman" w:hAnsi="Times New Roman" w:cs="Times New Roman"/>
          <w:color w:val="000000" w:themeColor="text1"/>
        </w:rPr>
      </w:pPr>
      <w:bookmarkStart w:id="0" w:name="Citation"/>
      <w:bookmarkStart w:id="1" w:name="_Hlk114835206"/>
      <w:r w:rsidRPr="00C47035">
        <w:rPr>
          <w:rFonts w:ascii="Times New Roman" w:hAnsi="Times New Roman" w:cs="Times New Roman"/>
          <w:color w:val="000000" w:themeColor="text1"/>
        </w:rPr>
        <w:t>National Health (</w:t>
      </w:r>
      <w:r>
        <w:rPr>
          <w:rFonts w:ascii="Times New Roman" w:hAnsi="Times New Roman" w:cs="Times New Roman"/>
          <w:color w:val="000000" w:themeColor="text1"/>
        </w:rPr>
        <w:t>April 2024</w:t>
      </w:r>
      <w:r w:rsidRPr="00C47035">
        <w:rPr>
          <w:rFonts w:ascii="Times New Roman" w:hAnsi="Times New Roman" w:cs="Times New Roman"/>
          <w:color w:val="000000" w:themeColor="text1"/>
        </w:rPr>
        <w:t xml:space="preserve"> </w:t>
      </w:r>
      <w:bookmarkStart w:id="2" w:name="_Toc108261164"/>
      <w:r w:rsidRPr="00C47035">
        <w:rPr>
          <w:rFonts w:ascii="Times New Roman" w:hAnsi="Times New Roman" w:cs="Times New Roman"/>
          <w:color w:val="000000" w:themeColor="text1"/>
        </w:rPr>
        <w:t>Flow on price reductions for brands of combination items</w:t>
      </w:r>
      <w:bookmarkEnd w:id="2"/>
      <w:r w:rsidRPr="00C47035">
        <w:rPr>
          <w:rFonts w:ascii="Times New Roman" w:hAnsi="Times New Roman" w:cs="Times New Roman"/>
          <w:color w:val="000000" w:themeColor="text1"/>
        </w:rPr>
        <w:t>) (Exercise of Ministerial discretion) Determination 20</w:t>
      </w:r>
      <w:bookmarkEnd w:id="0"/>
      <w:r w:rsidRPr="00C47035">
        <w:rPr>
          <w:rFonts w:ascii="Times New Roman" w:hAnsi="Times New Roman" w:cs="Times New Roman"/>
          <w:color w:val="000000" w:themeColor="text1"/>
        </w:rPr>
        <w:t>2</w:t>
      </w:r>
      <w:r>
        <w:rPr>
          <w:rFonts w:ascii="Times New Roman" w:hAnsi="Times New Roman" w:cs="Times New Roman"/>
          <w:color w:val="000000" w:themeColor="text1"/>
        </w:rPr>
        <w:t>4</w:t>
      </w:r>
      <w:r w:rsidRPr="00C47035">
        <w:rPr>
          <w:rFonts w:ascii="Times New Roman" w:hAnsi="Times New Roman" w:cs="Times New Roman"/>
          <w:color w:val="000000" w:themeColor="text1"/>
        </w:rPr>
        <w:t xml:space="preserve"> </w:t>
      </w:r>
    </w:p>
    <w:bookmarkEnd w:id="1"/>
    <w:p w14:paraId="603A30BC" w14:textId="77777777" w:rsidR="00CF2CD2" w:rsidRPr="00C47035" w:rsidRDefault="00CF2CD2" w:rsidP="00CF2CD2">
      <w:pPr>
        <w:pBdr>
          <w:bottom w:val="single" w:sz="4" w:space="3" w:color="auto"/>
        </w:pBdr>
        <w:spacing w:before="480"/>
        <w:rPr>
          <w:rFonts w:ascii="Arial" w:hAnsi="Arial" w:cs="Arial"/>
          <w:i/>
          <w:color w:val="000000" w:themeColor="text1"/>
          <w:sz w:val="28"/>
          <w:szCs w:val="28"/>
          <w:lang w:val="en-US"/>
        </w:rPr>
      </w:pPr>
      <w:r w:rsidRPr="00C47035">
        <w:rPr>
          <w:rFonts w:ascii="Arial" w:hAnsi="Arial" w:cs="Arial"/>
          <w:i/>
          <w:color w:val="000000" w:themeColor="text1"/>
          <w:sz w:val="28"/>
          <w:szCs w:val="28"/>
          <w:lang w:val="en-US"/>
        </w:rPr>
        <w:t>National Health Act 1953</w:t>
      </w:r>
    </w:p>
    <w:p w14:paraId="336C9622" w14:textId="32D0091C" w:rsidR="00CF2CD2" w:rsidRPr="00C47035" w:rsidRDefault="00CF2CD2" w:rsidP="00CF2CD2">
      <w:pPr>
        <w:spacing w:before="360"/>
        <w:jc w:val="both"/>
        <w:rPr>
          <w:color w:val="000000" w:themeColor="text1"/>
        </w:rPr>
      </w:pPr>
      <w:r w:rsidRPr="00C47035">
        <w:rPr>
          <w:color w:val="000000" w:themeColor="text1"/>
          <w:szCs w:val="22"/>
        </w:rPr>
        <w:t>I, Nikolai Tsyganov</w:t>
      </w:r>
      <w:r w:rsidRPr="00C47035">
        <w:rPr>
          <w:color w:val="000000" w:themeColor="text1"/>
        </w:rPr>
        <w:t>, Assistant Secretary, Pricing and PBS Policy Branch, Technology Assessment and Access Division, Department of Health and Aged Care, delegate of the Minister for Health and Aged Care make this determination under subsection 99</w:t>
      </w:r>
      <w:proofErr w:type="gramStart"/>
      <w:r w:rsidRPr="00C47035">
        <w:rPr>
          <w:color w:val="000000" w:themeColor="text1"/>
        </w:rPr>
        <w:t>ADHB(</w:t>
      </w:r>
      <w:proofErr w:type="gramEnd"/>
      <w:r w:rsidRPr="00C47035">
        <w:rPr>
          <w:color w:val="000000" w:themeColor="text1"/>
        </w:rPr>
        <w:t xml:space="preserve">6) of the </w:t>
      </w:r>
      <w:r w:rsidRPr="00C47035">
        <w:rPr>
          <w:i/>
          <w:color w:val="000000" w:themeColor="text1"/>
        </w:rPr>
        <w:t>National Health Act 1953</w:t>
      </w:r>
      <w:r w:rsidRPr="00C47035">
        <w:rPr>
          <w:color w:val="000000" w:themeColor="text1"/>
        </w:rPr>
        <w:t>.</w:t>
      </w:r>
    </w:p>
    <w:p w14:paraId="67C8572A" w14:textId="581F249D" w:rsidR="00CF2CD2" w:rsidRPr="00C47035" w:rsidRDefault="00CF2CD2" w:rsidP="00CF2CD2">
      <w:pPr>
        <w:spacing w:before="300" w:after="600" w:line="300" w:lineRule="exact"/>
        <w:rPr>
          <w:color w:val="000000" w:themeColor="text1"/>
        </w:rPr>
      </w:pPr>
      <w:r w:rsidRPr="00C47035">
        <w:rPr>
          <w:color w:val="000000" w:themeColor="text1"/>
        </w:rPr>
        <w:t xml:space="preserve">Dated </w:t>
      </w:r>
      <w:bookmarkStart w:id="3" w:name="MadeDate"/>
      <w:bookmarkStart w:id="4" w:name="Year"/>
      <w:bookmarkEnd w:id="3"/>
      <w:r w:rsidRPr="00C47035">
        <w:rPr>
          <w:color w:val="000000" w:themeColor="text1"/>
        </w:rPr>
        <w:t xml:space="preserve">     </w:t>
      </w:r>
      <w:r w:rsidR="00541B63">
        <w:rPr>
          <w:color w:val="000000" w:themeColor="text1"/>
        </w:rPr>
        <w:t>27</w:t>
      </w:r>
      <w:r w:rsidRPr="00C47035">
        <w:rPr>
          <w:color w:val="000000" w:themeColor="text1"/>
        </w:rPr>
        <w:t xml:space="preserve"> </w:t>
      </w:r>
      <w:bookmarkEnd w:id="4"/>
      <w:r w:rsidRPr="00C47035">
        <w:rPr>
          <w:color w:val="000000" w:themeColor="text1"/>
        </w:rPr>
        <w:t xml:space="preserve">  </w:t>
      </w:r>
      <w:r>
        <w:rPr>
          <w:color w:val="000000" w:themeColor="text1"/>
        </w:rPr>
        <w:t>March</w:t>
      </w:r>
      <w:r w:rsidRPr="00C47035">
        <w:rPr>
          <w:color w:val="000000" w:themeColor="text1"/>
        </w:rPr>
        <w:t xml:space="preserve"> 202</w:t>
      </w:r>
      <w:r>
        <w:rPr>
          <w:color w:val="000000" w:themeColor="text1"/>
        </w:rPr>
        <w:t>4</w:t>
      </w:r>
    </w:p>
    <w:p w14:paraId="0BC4C4AC" w14:textId="77777777" w:rsidR="00CF2CD2" w:rsidRPr="00C47035" w:rsidRDefault="00CF2CD2" w:rsidP="00CF2CD2">
      <w:pPr>
        <w:pBdr>
          <w:bottom w:val="single" w:sz="4" w:space="12" w:color="auto"/>
        </w:pBdr>
        <w:spacing w:line="240" w:lineRule="exact"/>
        <w:rPr>
          <w:color w:val="000000" w:themeColor="text1"/>
        </w:rPr>
      </w:pPr>
    </w:p>
    <w:p w14:paraId="16B9A8DE" w14:textId="77777777" w:rsidR="00CF2CD2" w:rsidRPr="00C47035" w:rsidRDefault="00CF2CD2" w:rsidP="00CF2CD2">
      <w:pPr>
        <w:pBdr>
          <w:bottom w:val="single" w:sz="4" w:space="12" w:color="auto"/>
        </w:pBdr>
        <w:spacing w:line="240" w:lineRule="exact"/>
        <w:rPr>
          <w:color w:val="000000" w:themeColor="text1"/>
        </w:rPr>
      </w:pPr>
    </w:p>
    <w:p w14:paraId="6B9010D5" w14:textId="77777777" w:rsidR="00CF2CD2" w:rsidRPr="00C47035" w:rsidRDefault="00CF2CD2" w:rsidP="00CF2CD2">
      <w:pPr>
        <w:pBdr>
          <w:bottom w:val="single" w:sz="4" w:space="12" w:color="auto"/>
        </w:pBdr>
        <w:spacing w:line="240" w:lineRule="exact"/>
        <w:rPr>
          <w:color w:val="000000" w:themeColor="text1"/>
        </w:rPr>
      </w:pPr>
    </w:p>
    <w:p w14:paraId="10E2A076" w14:textId="77777777" w:rsidR="00CF2CD2" w:rsidRPr="00C47035" w:rsidRDefault="00CF2CD2" w:rsidP="00CF2CD2">
      <w:pPr>
        <w:pBdr>
          <w:bottom w:val="single" w:sz="4" w:space="12" w:color="auto"/>
        </w:pBdr>
        <w:spacing w:line="240" w:lineRule="exact"/>
        <w:rPr>
          <w:color w:val="000000" w:themeColor="text1"/>
        </w:rPr>
      </w:pPr>
    </w:p>
    <w:p w14:paraId="613283B1" w14:textId="77777777" w:rsidR="00CF2CD2" w:rsidRPr="00C47035" w:rsidRDefault="00CF2CD2" w:rsidP="00CF2CD2">
      <w:pPr>
        <w:pBdr>
          <w:bottom w:val="single" w:sz="4" w:space="12" w:color="auto"/>
        </w:pBdr>
        <w:spacing w:line="240" w:lineRule="exact"/>
        <w:rPr>
          <w:color w:val="000000" w:themeColor="text1"/>
        </w:rPr>
      </w:pPr>
    </w:p>
    <w:p w14:paraId="69F2F94F" w14:textId="77777777" w:rsidR="00CF2CD2" w:rsidRPr="00C47035" w:rsidRDefault="00CF2CD2" w:rsidP="00CF2CD2">
      <w:pPr>
        <w:pBdr>
          <w:bottom w:val="single" w:sz="4" w:space="12" w:color="auto"/>
        </w:pBdr>
        <w:spacing w:line="240" w:lineRule="exact"/>
        <w:rPr>
          <w:color w:val="000000" w:themeColor="text1"/>
        </w:rPr>
      </w:pPr>
    </w:p>
    <w:p w14:paraId="29534E00" w14:textId="77777777" w:rsidR="00CF2CD2" w:rsidRPr="00C47035" w:rsidRDefault="00CF2CD2" w:rsidP="00CF2CD2">
      <w:pPr>
        <w:pBdr>
          <w:bottom w:val="single" w:sz="4" w:space="12" w:color="auto"/>
        </w:pBdr>
        <w:spacing w:line="240" w:lineRule="exact"/>
        <w:rPr>
          <w:color w:val="000000" w:themeColor="text1"/>
        </w:rPr>
      </w:pPr>
    </w:p>
    <w:p w14:paraId="7BE42AF7" w14:textId="77777777" w:rsidR="00CF2CD2" w:rsidRPr="00C47035" w:rsidRDefault="00CF2CD2" w:rsidP="00CF2CD2">
      <w:pPr>
        <w:pBdr>
          <w:bottom w:val="single" w:sz="4" w:space="12" w:color="auto"/>
        </w:pBdr>
        <w:spacing w:line="240" w:lineRule="exact"/>
        <w:rPr>
          <w:color w:val="000000" w:themeColor="text1"/>
        </w:rPr>
      </w:pPr>
    </w:p>
    <w:p w14:paraId="7B51452E" w14:textId="77777777" w:rsidR="00CF2CD2" w:rsidRPr="00C47035" w:rsidRDefault="00CF2CD2" w:rsidP="00CF2CD2">
      <w:pPr>
        <w:pBdr>
          <w:bottom w:val="single" w:sz="4" w:space="12" w:color="auto"/>
        </w:pBdr>
        <w:spacing w:line="240" w:lineRule="exact"/>
        <w:rPr>
          <w:b/>
          <w:color w:val="000000" w:themeColor="text1"/>
        </w:rPr>
      </w:pPr>
    </w:p>
    <w:p w14:paraId="77D7F4DC" w14:textId="77777777" w:rsidR="00CF2CD2" w:rsidRPr="00C47035" w:rsidRDefault="00CF2CD2" w:rsidP="00CF2CD2">
      <w:pPr>
        <w:pBdr>
          <w:bottom w:val="single" w:sz="4" w:space="12" w:color="auto"/>
        </w:pBdr>
        <w:spacing w:line="240" w:lineRule="exact"/>
        <w:rPr>
          <w:color w:val="000000" w:themeColor="text1"/>
        </w:rPr>
      </w:pPr>
      <w:r w:rsidRPr="00C47035">
        <w:rPr>
          <w:b/>
          <w:color w:val="000000" w:themeColor="text1"/>
        </w:rPr>
        <w:t xml:space="preserve">NIKOLAI TSYGANOV </w:t>
      </w:r>
    </w:p>
    <w:p w14:paraId="32D9A591" w14:textId="42FD5D55" w:rsidR="00CF2CD2" w:rsidRPr="00C47035" w:rsidRDefault="00CF2CD2" w:rsidP="00CF2CD2">
      <w:pPr>
        <w:pBdr>
          <w:bottom w:val="single" w:sz="4" w:space="12" w:color="auto"/>
        </w:pBdr>
        <w:spacing w:line="240" w:lineRule="exact"/>
        <w:rPr>
          <w:color w:val="000000" w:themeColor="text1"/>
        </w:rPr>
      </w:pPr>
      <w:r w:rsidRPr="00C47035">
        <w:rPr>
          <w:color w:val="000000" w:themeColor="text1"/>
        </w:rPr>
        <w:t>Assistant Secretary</w:t>
      </w:r>
    </w:p>
    <w:p w14:paraId="62B17913" w14:textId="77777777" w:rsidR="00CF2CD2" w:rsidRPr="00C47035" w:rsidRDefault="00CF2CD2" w:rsidP="00CF2CD2">
      <w:pPr>
        <w:pBdr>
          <w:bottom w:val="single" w:sz="4" w:space="12" w:color="auto"/>
        </w:pBdr>
        <w:spacing w:line="240" w:lineRule="exact"/>
        <w:rPr>
          <w:color w:val="000000" w:themeColor="text1"/>
        </w:rPr>
      </w:pPr>
      <w:r w:rsidRPr="00C47035">
        <w:rPr>
          <w:color w:val="000000" w:themeColor="text1"/>
        </w:rPr>
        <w:t>Pricing and PBS Policy Branch</w:t>
      </w:r>
    </w:p>
    <w:p w14:paraId="4D7EC018" w14:textId="77777777" w:rsidR="00CF2CD2" w:rsidRPr="00C47035" w:rsidRDefault="00CF2CD2" w:rsidP="00CF2CD2">
      <w:pPr>
        <w:pBdr>
          <w:bottom w:val="single" w:sz="4" w:space="12" w:color="auto"/>
        </w:pBdr>
        <w:spacing w:line="240" w:lineRule="exact"/>
        <w:rPr>
          <w:color w:val="000000" w:themeColor="text1"/>
        </w:rPr>
      </w:pPr>
      <w:r w:rsidRPr="00C47035">
        <w:rPr>
          <w:color w:val="000000" w:themeColor="text1"/>
        </w:rPr>
        <w:t xml:space="preserve">Technology Assessment and Access Division </w:t>
      </w:r>
    </w:p>
    <w:p w14:paraId="129C2BAB" w14:textId="77777777" w:rsidR="00CF2CD2" w:rsidRPr="00C47035" w:rsidRDefault="00CF2CD2" w:rsidP="00CF2CD2">
      <w:pPr>
        <w:pBdr>
          <w:bottom w:val="single" w:sz="4" w:space="12" w:color="auto"/>
        </w:pBdr>
        <w:spacing w:line="240" w:lineRule="exact"/>
        <w:rPr>
          <w:color w:val="000000" w:themeColor="text1"/>
        </w:rPr>
      </w:pPr>
      <w:r w:rsidRPr="00C47035">
        <w:rPr>
          <w:color w:val="000000" w:themeColor="text1"/>
        </w:rPr>
        <w:t>Department of Health and Aged Care</w:t>
      </w:r>
    </w:p>
    <w:p w14:paraId="0C43F586" w14:textId="77777777" w:rsidR="00CF2CD2" w:rsidRPr="00C47035" w:rsidRDefault="00CF2CD2" w:rsidP="00CF2CD2">
      <w:pPr>
        <w:pBdr>
          <w:bottom w:val="single" w:sz="4" w:space="12" w:color="auto"/>
        </w:pBdr>
        <w:spacing w:line="240" w:lineRule="exact"/>
        <w:rPr>
          <w:color w:val="000000" w:themeColor="text1"/>
        </w:rPr>
      </w:pPr>
    </w:p>
    <w:p w14:paraId="262EC436" w14:textId="77777777" w:rsidR="00CF2CD2" w:rsidRPr="00C47035" w:rsidRDefault="00CF2CD2" w:rsidP="00CF2CD2">
      <w:pPr>
        <w:pStyle w:val="A1"/>
        <w:rPr>
          <w:rStyle w:val="CharSectnoAm"/>
          <w:color w:val="000000" w:themeColor="text1"/>
        </w:rPr>
      </w:pPr>
    </w:p>
    <w:p w14:paraId="6B2A1DBC" w14:textId="77777777" w:rsidR="00CF2CD2" w:rsidRPr="00C47035" w:rsidRDefault="00CF2CD2" w:rsidP="00CF2CD2">
      <w:pPr>
        <w:rPr>
          <w:color w:val="000000" w:themeColor="text1"/>
        </w:rPr>
      </w:pPr>
    </w:p>
    <w:p w14:paraId="49C3B87F" w14:textId="77777777" w:rsidR="00CF2CD2" w:rsidRPr="00C47035" w:rsidRDefault="00CF2CD2" w:rsidP="00CF2CD2">
      <w:pPr>
        <w:rPr>
          <w:color w:val="000000" w:themeColor="text1"/>
        </w:rPr>
      </w:pPr>
    </w:p>
    <w:p w14:paraId="7489BC12" w14:textId="77777777" w:rsidR="00CF2CD2" w:rsidRPr="00C47035" w:rsidRDefault="00CF2CD2" w:rsidP="00CF2CD2">
      <w:pPr>
        <w:rPr>
          <w:color w:val="000000" w:themeColor="text1"/>
        </w:rPr>
      </w:pPr>
    </w:p>
    <w:p w14:paraId="6300F9DF" w14:textId="77777777" w:rsidR="00CF2CD2" w:rsidRPr="00C47035" w:rsidRDefault="00CF2CD2" w:rsidP="00CF2CD2">
      <w:pPr>
        <w:rPr>
          <w:color w:val="000000" w:themeColor="text1"/>
        </w:rPr>
      </w:pPr>
    </w:p>
    <w:p w14:paraId="377EB941" w14:textId="77777777" w:rsidR="00CF2CD2" w:rsidRPr="00C47035" w:rsidRDefault="00CF2CD2" w:rsidP="00CF2CD2">
      <w:pPr>
        <w:rPr>
          <w:color w:val="000000" w:themeColor="text1"/>
        </w:rPr>
      </w:pPr>
    </w:p>
    <w:p w14:paraId="1395B2E8" w14:textId="77777777" w:rsidR="00CF2CD2" w:rsidRPr="00C47035" w:rsidRDefault="00CF2CD2" w:rsidP="00CF2CD2">
      <w:pPr>
        <w:pStyle w:val="A1"/>
        <w:rPr>
          <w:rFonts w:ascii="Times New Roman" w:hAnsi="Times New Roman"/>
          <w:color w:val="000000" w:themeColor="text1"/>
        </w:rPr>
      </w:pPr>
      <w:proofErr w:type="gramStart"/>
      <w:r w:rsidRPr="00C47035">
        <w:rPr>
          <w:rStyle w:val="CharSectnoAm"/>
          <w:rFonts w:ascii="Times New Roman" w:hAnsi="Times New Roman"/>
          <w:color w:val="000000" w:themeColor="text1"/>
          <w:sz w:val="24"/>
        </w:rPr>
        <w:lastRenderedPageBreak/>
        <w:t>1</w:t>
      </w:r>
      <w:r w:rsidRPr="00C47035">
        <w:rPr>
          <w:rFonts w:ascii="Times New Roman" w:hAnsi="Times New Roman"/>
          <w:color w:val="000000" w:themeColor="text1"/>
        </w:rPr>
        <w:t xml:space="preserve">  Name</w:t>
      </w:r>
      <w:proofErr w:type="gramEnd"/>
      <w:r w:rsidRPr="00C47035">
        <w:rPr>
          <w:rFonts w:ascii="Times New Roman" w:hAnsi="Times New Roman"/>
          <w:color w:val="000000" w:themeColor="text1"/>
        </w:rPr>
        <w:t xml:space="preserve"> of Determination</w:t>
      </w:r>
    </w:p>
    <w:p w14:paraId="70FD1BE9" w14:textId="656D688D" w:rsidR="00CF2CD2" w:rsidRPr="00C47035" w:rsidRDefault="00CF2CD2" w:rsidP="00CF2CD2">
      <w:pPr>
        <w:pStyle w:val="A2"/>
        <w:spacing w:after="120"/>
        <w:rPr>
          <w:i/>
          <w:color w:val="000000" w:themeColor="text1"/>
          <w:sz w:val="22"/>
          <w:szCs w:val="22"/>
        </w:rPr>
      </w:pPr>
      <w:r w:rsidRPr="00C47035">
        <w:rPr>
          <w:color w:val="000000" w:themeColor="text1"/>
          <w:sz w:val="22"/>
          <w:szCs w:val="22"/>
        </w:rPr>
        <w:tab/>
        <w:t>(1)</w:t>
      </w:r>
      <w:r w:rsidRPr="00C47035">
        <w:rPr>
          <w:color w:val="000000" w:themeColor="text1"/>
          <w:sz w:val="22"/>
          <w:szCs w:val="22"/>
        </w:rPr>
        <w:tab/>
        <w:t xml:space="preserve">This instrument is the </w:t>
      </w:r>
      <w:r w:rsidRPr="00CF2CD2">
        <w:rPr>
          <w:i/>
          <w:color w:val="000000" w:themeColor="text1"/>
          <w:sz w:val="22"/>
          <w:szCs w:val="22"/>
        </w:rPr>
        <w:t>National Health (April 2024 Flow on price reductions for brands of combination items) (Exercise of Ministerial discretion) Determination 2024</w:t>
      </w:r>
      <w:r w:rsidRPr="00C47035">
        <w:rPr>
          <w:color w:val="000000" w:themeColor="text1"/>
          <w:sz w:val="22"/>
          <w:szCs w:val="22"/>
        </w:rPr>
        <w:t>.</w:t>
      </w:r>
      <w:r w:rsidRPr="00C47035">
        <w:rPr>
          <w:i/>
          <w:color w:val="000000" w:themeColor="text1"/>
          <w:sz w:val="22"/>
          <w:szCs w:val="22"/>
        </w:rPr>
        <w:t xml:space="preserve">  </w:t>
      </w:r>
    </w:p>
    <w:p w14:paraId="3924AB3D" w14:textId="5B493BDF" w:rsidR="00CF2CD2" w:rsidRPr="00C47035" w:rsidRDefault="00CF2CD2" w:rsidP="00CF2CD2">
      <w:pPr>
        <w:pStyle w:val="A2"/>
        <w:spacing w:after="120"/>
        <w:rPr>
          <w:i/>
          <w:color w:val="000000" w:themeColor="text1"/>
          <w:sz w:val="22"/>
          <w:szCs w:val="22"/>
        </w:rPr>
      </w:pPr>
      <w:r w:rsidRPr="00C47035">
        <w:rPr>
          <w:color w:val="000000" w:themeColor="text1"/>
          <w:sz w:val="22"/>
          <w:szCs w:val="22"/>
        </w:rPr>
        <w:tab/>
        <w:t>(2)</w:t>
      </w:r>
      <w:r w:rsidRPr="00C47035">
        <w:rPr>
          <w:color w:val="000000" w:themeColor="text1"/>
          <w:sz w:val="22"/>
          <w:szCs w:val="22"/>
        </w:rPr>
        <w:tab/>
        <w:t>This instrument</w:t>
      </w:r>
      <w:r w:rsidRPr="00C47035">
        <w:rPr>
          <w:iCs/>
          <w:color w:val="000000" w:themeColor="text1"/>
          <w:sz w:val="22"/>
          <w:szCs w:val="22"/>
        </w:rPr>
        <w:t xml:space="preserve"> may also be cited as PB </w:t>
      </w:r>
      <w:r w:rsidR="0001013C">
        <w:rPr>
          <w:iCs/>
          <w:color w:val="000000" w:themeColor="text1"/>
          <w:sz w:val="22"/>
          <w:szCs w:val="22"/>
        </w:rPr>
        <w:t>38</w:t>
      </w:r>
      <w:r w:rsidRPr="00C47035">
        <w:rPr>
          <w:iCs/>
          <w:color w:val="000000" w:themeColor="text1"/>
          <w:sz w:val="22"/>
          <w:szCs w:val="22"/>
        </w:rPr>
        <w:t xml:space="preserve"> of 202</w:t>
      </w:r>
      <w:r>
        <w:rPr>
          <w:iCs/>
          <w:color w:val="000000" w:themeColor="text1"/>
          <w:sz w:val="22"/>
          <w:szCs w:val="22"/>
        </w:rPr>
        <w:t>4</w:t>
      </w:r>
      <w:r w:rsidRPr="00C47035">
        <w:rPr>
          <w:iCs/>
          <w:color w:val="000000" w:themeColor="text1"/>
          <w:sz w:val="22"/>
          <w:szCs w:val="22"/>
        </w:rPr>
        <w:t>.</w:t>
      </w:r>
    </w:p>
    <w:p w14:paraId="4ECA04B9" w14:textId="77777777" w:rsidR="00CF2CD2" w:rsidRPr="00C47035" w:rsidRDefault="00CF2CD2" w:rsidP="00CF2CD2">
      <w:pPr>
        <w:pStyle w:val="A1"/>
        <w:rPr>
          <w:rFonts w:ascii="Times New Roman" w:hAnsi="Times New Roman"/>
          <w:color w:val="000000" w:themeColor="text1"/>
        </w:rPr>
      </w:pPr>
      <w:proofErr w:type="gramStart"/>
      <w:r w:rsidRPr="00C47035">
        <w:rPr>
          <w:rStyle w:val="CharSectnoAm"/>
          <w:rFonts w:ascii="Times New Roman" w:hAnsi="Times New Roman"/>
          <w:color w:val="000000" w:themeColor="text1"/>
          <w:sz w:val="24"/>
        </w:rPr>
        <w:t>2</w:t>
      </w:r>
      <w:r w:rsidRPr="00C47035">
        <w:rPr>
          <w:rFonts w:ascii="Times New Roman" w:hAnsi="Times New Roman"/>
          <w:color w:val="000000" w:themeColor="text1"/>
        </w:rPr>
        <w:t xml:space="preserve">  Commencement</w:t>
      </w:r>
      <w:proofErr w:type="gramEnd"/>
    </w:p>
    <w:p w14:paraId="37240493" w14:textId="08A12B22" w:rsidR="00CF2CD2" w:rsidRPr="00C47035" w:rsidRDefault="00CF2CD2" w:rsidP="00CF2CD2">
      <w:pPr>
        <w:pStyle w:val="A2"/>
        <w:rPr>
          <w:color w:val="000000" w:themeColor="text1"/>
          <w:sz w:val="22"/>
          <w:szCs w:val="22"/>
        </w:rPr>
      </w:pPr>
      <w:r w:rsidRPr="00C47035">
        <w:rPr>
          <w:color w:val="000000" w:themeColor="text1"/>
          <w:sz w:val="22"/>
          <w:szCs w:val="22"/>
        </w:rPr>
        <w:tab/>
      </w:r>
      <w:r w:rsidRPr="00C47035">
        <w:rPr>
          <w:color w:val="000000" w:themeColor="text1"/>
          <w:sz w:val="22"/>
          <w:szCs w:val="22"/>
        </w:rPr>
        <w:tab/>
        <w:t xml:space="preserve">This instrument commences </w:t>
      </w:r>
      <w:r>
        <w:rPr>
          <w:color w:val="000000" w:themeColor="text1"/>
          <w:sz w:val="22"/>
          <w:szCs w:val="22"/>
        </w:rPr>
        <w:t>the day after registration</w:t>
      </w:r>
      <w:r w:rsidRPr="00C47035">
        <w:rPr>
          <w:color w:val="000000" w:themeColor="text1"/>
          <w:sz w:val="22"/>
          <w:szCs w:val="22"/>
        </w:rPr>
        <w:t>.</w:t>
      </w:r>
    </w:p>
    <w:p w14:paraId="7BD04D4C" w14:textId="77777777" w:rsidR="00CF2CD2" w:rsidRPr="00C47035" w:rsidRDefault="00CF2CD2" w:rsidP="00CF2CD2">
      <w:pPr>
        <w:pStyle w:val="A1"/>
        <w:rPr>
          <w:rFonts w:ascii="Times New Roman" w:hAnsi="Times New Roman"/>
          <w:color w:val="000000" w:themeColor="text1"/>
        </w:rPr>
      </w:pPr>
      <w:proofErr w:type="gramStart"/>
      <w:r w:rsidRPr="00C47035">
        <w:rPr>
          <w:rStyle w:val="CharSectnoAm"/>
          <w:rFonts w:ascii="Times New Roman" w:hAnsi="Times New Roman"/>
          <w:color w:val="000000" w:themeColor="text1"/>
          <w:sz w:val="24"/>
        </w:rPr>
        <w:t>3</w:t>
      </w:r>
      <w:r w:rsidRPr="00C47035">
        <w:rPr>
          <w:rFonts w:ascii="Times New Roman" w:hAnsi="Times New Roman"/>
          <w:color w:val="000000" w:themeColor="text1"/>
        </w:rPr>
        <w:t xml:space="preserve">  Definition</w:t>
      </w:r>
      <w:proofErr w:type="gramEnd"/>
    </w:p>
    <w:p w14:paraId="01324AE8" w14:textId="77777777" w:rsidR="00CF2CD2" w:rsidRPr="00C47035" w:rsidRDefault="00CF2CD2" w:rsidP="00CF2CD2">
      <w:pPr>
        <w:pStyle w:val="notetext"/>
        <w:shd w:val="clear" w:color="auto" w:fill="FFFFFF"/>
        <w:spacing w:before="122" w:beforeAutospacing="0" w:after="0" w:afterAutospacing="0"/>
        <w:ind w:left="1418" w:hanging="851"/>
        <w:rPr>
          <w:color w:val="000000" w:themeColor="text1"/>
          <w:sz w:val="18"/>
          <w:szCs w:val="18"/>
        </w:rPr>
      </w:pPr>
      <w:r w:rsidRPr="00C47035">
        <w:rPr>
          <w:color w:val="000000" w:themeColor="text1"/>
        </w:rPr>
        <w:tab/>
      </w:r>
      <w:r w:rsidRPr="00C47035">
        <w:rPr>
          <w:color w:val="000000" w:themeColor="text1"/>
          <w:sz w:val="18"/>
          <w:szCs w:val="18"/>
        </w:rPr>
        <w:t>Note: </w:t>
      </w:r>
      <w:proofErr w:type="gramStart"/>
      <w:r w:rsidRPr="00C47035">
        <w:rPr>
          <w:color w:val="000000" w:themeColor="text1"/>
          <w:sz w:val="18"/>
          <w:szCs w:val="18"/>
        </w:rPr>
        <w:t>A number of</w:t>
      </w:r>
      <w:proofErr w:type="gramEnd"/>
      <w:r w:rsidRPr="00C47035">
        <w:rPr>
          <w:color w:val="000000" w:themeColor="text1"/>
          <w:sz w:val="18"/>
          <w:szCs w:val="18"/>
        </w:rPr>
        <w:t xml:space="preserve"> expressions used in this instrument are defined in Part VII the Act,</w:t>
      </w:r>
    </w:p>
    <w:p w14:paraId="01706826" w14:textId="77777777" w:rsidR="00CF2CD2" w:rsidRPr="00C47035" w:rsidRDefault="00CF2CD2" w:rsidP="00CF2CD2">
      <w:pPr>
        <w:rPr>
          <w:color w:val="000000" w:themeColor="text1"/>
        </w:rPr>
      </w:pPr>
    </w:p>
    <w:p w14:paraId="50582051" w14:textId="77777777" w:rsidR="00CF2CD2" w:rsidRPr="00C47035" w:rsidRDefault="00CF2CD2" w:rsidP="00CF2CD2">
      <w:pPr>
        <w:ind w:left="964"/>
        <w:rPr>
          <w:color w:val="000000" w:themeColor="text1"/>
          <w:sz w:val="22"/>
          <w:szCs w:val="22"/>
        </w:rPr>
      </w:pPr>
      <w:r w:rsidRPr="00C47035">
        <w:rPr>
          <w:color w:val="000000" w:themeColor="text1"/>
          <w:sz w:val="22"/>
          <w:szCs w:val="22"/>
        </w:rPr>
        <w:t xml:space="preserve">In this instrument: </w:t>
      </w:r>
    </w:p>
    <w:p w14:paraId="5FDCB6B3" w14:textId="77777777" w:rsidR="00CF2CD2" w:rsidRPr="00C47035" w:rsidRDefault="00CF2CD2" w:rsidP="00CF2CD2">
      <w:pPr>
        <w:ind w:left="964"/>
        <w:rPr>
          <w:color w:val="000000" w:themeColor="text1"/>
          <w:sz w:val="22"/>
          <w:szCs w:val="22"/>
        </w:rPr>
      </w:pPr>
      <w:r w:rsidRPr="00C47035">
        <w:rPr>
          <w:color w:val="000000" w:themeColor="text1"/>
          <w:sz w:val="22"/>
          <w:szCs w:val="22"/>
        </w:rPr>
        <w:tab/>
      </w:r>
    </w:p>
    <w:p w14:paraId="3159D881" w14:textId="77777777" w:rsidR="00CF2CD2" w:rsidRPr="00C47035" w:rsidRDefault="00CF2CD2" w:rsidP="00CF2CD2">
      <w:pPr>
        <w:ind w:left="964"/>
        <w:rPr>
          <w:color w:val="000000" w:themeColor="text1"/>
          <w:sz w:val="22"/>
          <w:szCs w:val="22"/>
        </w:rPr>
      </w:pPr>
      <w:r w:rsidRPr="00C47035">
        <w:rPr>
          <w:color w:val="000000" w:themeColor="text1"/>
          <w:sz w:val="22"/>
          <w:szCs w:val="22"/>
        </w:rPr>
        <w:tab/>
      </w:r>
      <w:r w:rsidRPr="00C47035">
        <w:rPr>
          <w:b/>
          <w:i/>
          <w:color w:val="000000" w:themeColor="text1"/>
          <w:sz w:val="22"/>
          <w:szCs w:val="22"/>
        </w:rPr>
        <w:t xml:space="preserve">Act </w:t>
      </w:r>
      <w:r w:rsidRPr="00C47035">
        <w:rPr>
          <w:color w:val="000000" w:themeColor="text1"/>
          <w:sz w:val="22"/>
          <w:szCs w:val="22"/>
        </w:rPr>
        <w:t xml:space="preserve">means the </w:t>
      </w:r>
      <w:r w:rsidRPr="00C47035">
        <w:rPr>
          <w:i/>
          <w:color w:val="000000" w:themeColor="text1"/>
          <w:sz w:val="22"/>
          <w:szCs w:val="22"/>
        </w:rPr>
        <w:t>National Health Act 1953</w:t>
      </w:r>
      <w:r w:rsidRPr="00C47035">
        <w:rPr>
          <w:color w:val="000000" w:themeColor="text1"/>
          <w:sz w:val="22"/>
          <w:szCs w:val="22"/>
        </w:rPr>
        <w:t>.</w:t>
      </w:r>
    </w:p>
    <w:p w14:paraId="5ED3A0C8" w14:textId="77777777" w:rsidR="00CF2CD2" w:rsidRPr="00C47035" w:rsidRDefault="00CF2CD2" w:rsidP="00CF2CD2">
      <w:pPr>
        <w:pStyle w:val="A1"/>
        <w:rPr>
          <w:rFonts w:ascii="Times New Roman" w:hAnsi="Times New Roman"/>
          <w:color w:val="000000" w:themeColor="text1"/>
        </w:rPr>
      </w:pPr>
      <w:proofErr w:type="gramStart"/>
      <w:r w:rsidRPr="00C47035">
        <w:rPr>
          <w:rStyle w:val="CharSectnoAm"/>
          <w:rFonts w:ascii="Times New Roman" w:hAnsi="Times New Roman"/>
          <w:color w:val="000000" w:themeColor="text1"/>
          <w:sz w:val="24"/>
        </w:rPr>
        <w:t>4</w:t>
      </w:r>
      <w:r w:rsidRPr="00C47035">
        <w:rPr>
          <w:rFonts w:ascii="Times New Roman" w:hAnsi="Times New Roman"/>
          <w:color w:val="000000" w:themeColor="text1"/>
        </w:rPr>
        <w:t xml:space="preserve">  Authority</w:t>
      </w:r>
      <w:proofErr w:type="gramEnd"/>
    </w:p>
    <w:p w14:paraId="77CC0347" w14:textId="77777777" w:rsidR="00CF2CD2" w:rsidRPr="00C47035" w:rsidRDefault="00CF2CD2" w:rsidP="00CF2CD2">
      <w:pPr>
        <w:spacing w:before="120"/>
        <w:ind w:left="964"/>
        <w:rPr>
          <w:color w:val="000000" w:themeColor="text1"/>
          <w:sz w:val="22"/>
          <w:szCs w:val="22"/>
        </w:rPr>
      </w:pPr>
      <w:r w:rsidRPr="00C47035">
        <w:rPr>
          <w:color w:val="000000" w:themeColor="text1"/>
          <w:sz w:val="22"/>
          <w:szCs w:val="22"/>
        </w:rPr>
        <w:t>This instrument is made under subsection 99</w:t>
      </w:r>
      <w:proofErr w:type="gramStart"/>
      <w:r w:rsidRPr="00C47035">
        <w:rPr>
          <w:color w:val="000000" w:themeColor="text1"/>
          <w:sz w:val="22"/>
          <w:szCs w:val="22"/>
        </w:rPr>
        <w:t>ADHB(</w:t>
      </w:r>
      <w:proofErr w:type="gramEnd"/>
      <w:r w:rsidRPr="00C47035">
        <w:rPr>
          <w:color w:val="000000" w:themeColor="text1"/>
          <w:sz w:val="22"/>
          <w:szCs w:val="22"/>
        </w:rPr>
        <w:t>6) of the Act.</w:t>
      </w:r>
    </w:p>
    <w:p w14:paraId="68A6A6D6" w14:textId="77777777" w:rsidR="00CF2CD2" w:rsidRPr="00C47035" w:rsidRDefault="00CF2CD2" w:rsidP="00CF2CD2">
      <w:pPr>
        <w:pStyle w:val="A1"/>
        <w:rPr>
          <w:rFonts w:ascii="Times New Roman" w:hAnsi="Times New Roman"/>
          <w:color w:val="000000" w:themeColor="text1"/>
        </w:rPr>
      </w:pPr>
      <w:proofErr w:type="gramStart"/>
      <w:r w:rsidRPr="00C47035">
        <w:rPr>
          <w:rStyle w:val="CharSectnoAm"/>
          <w:rFonts w:ascii="Times New Roman" w:hAnsi="Times New Roman"/>
          <w:color w:val="000000" w:themeColor="text1"/>
          <w:sz w:val="24"/>
        </w:rPr>
        <w:t>5</w:t>
      </w:r>
      <w:r w:rsidRPr="00C47035">
        <w:rPr>
          <w:rFonts w:ascii="Times New Roman" w:hAnsi="Times New Roman"/>
          <w:color w:val="000000" w:themeColor="text1"/>
        </w:rPr>
        <w:t xml:space="preserve">  Brand</w:t>
      </w:r>
      <w:proofErr w:type="gramEnd"/>
      <w:r w:rsidRPr="00C47035">
        <w:rPr>
          <w:rFonts w:ascii="Times New Roman" w:hAnsi="Times New Roman"/>
          <w:color w:val="000000" w:themeColor="text1"/>
        </w:rPr>
        <w:t xml:space="preserve"> of pharmaceutical item with approved ex-manufacturer price not reduced</w:t>
      </w:r>
    </w:p>
    <w:p w14:paraId="38151D3E" w14:textId="4ECF3DA5" w:rsidR="00CF2CD2" w:rsidRPr="009010BA" w:rsidRDefault="009010BA" w:rsidP="009010BA">
      <w:pPr>
        <w:spacing w:before="120"/>
        <w:ind w:left="964"/>
        <w:rPr>
          <w:color w:val="000000" w:themeColor="text1"/>
          <w:sz w:val="22"/>
          <w:szCs w:val="22"/>
        </w:rPr>
      </w:pPr>
      <w:r w:rsidRPr="009010BA">
        <w:rPr>
          <w:color w:val="000000" w:themeColor="text1"/>
          <w:sz w:val="22"/>
          <w:szCs w:val="22"/>
        </w:rPr>
        <w:t xml:space="preserve">I determine under subsection 99ADHB(6) of the Act that, for the purposes of subsection 99ADHB(2), the approved ex-manufacturer price, and each of the claimed prices (if applicable) of each brand of pharmaceutical item specified in column 2 in the table in Schedule 1 is not reduced </w:t>
      </w:r>
      <w:r w:rsidR="00623C87">
        <w:rPr>
          <w:color w:val="000000" w:themeColor="text1"/>
          <w:sz w:val="22"/>
          <w:szCs w:val="22"/>
        </w:rPr>
        <w:t>on 1 April 2024</w:t>
      </w:r>
      <w:r w:rsidRPr="009010BA">
        <w:rPr>
          <w:color w:val="000000" w:themeColor="text1"/>
          <w:sz w:val="22"/>
          <w:szCs w:val="22"/>
        </w:rPr>
        <w:t>.</w:t>
      </w:r>
    </w:p>
    <w:p w14:paraId="1D0FA7D2" w14:textId="77777777" w:rsidR="00CF2CD2" w:rsidRPr="00C47035" w:rsidRDefault="00CF2CD2" w:rsidP="00CF2CD2">
      <w:pPr>
        <w:pStyle w:val="A1"/>
        <w:ind w:left="0" w:firstLine="0"/>
        <w:rPr>
          <w:rStyle w:val="CharSectnoAm"/>
          <w:color w:val="000000" w:themeColor="text1"/>
          <w:sz w:val="24"/>
        </w:rPr>
        <w:sectPr w:rsidR="00CF2CD2" w:rsidRPr="00C47035" w:rsidSect="0097356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300" w:left="1440" w:header="720" w:footer="720" w:gutter="0"/>
          <w:cols w:space="720"/>
          <w:titlePg/>
        </w:sectPr>
      </w:pPr>
    </w:p>
    <w:p w14:paraId="7CA5E406" w14:textId="4CA62F52" w:rsidR="00CF2CD2" w:rsidRPr="00C47035" w:rsidRDefault="00CF2CD2" w:rsidP="00CF2CD2">
      <w:pPr>
        <w:pStyle w:val="A1"/>
        <w:spacing w:line="240" w:lineRule="auto"/>
        <w:ind w:left="0" w:firstLine="0"/>
        <w:rPr>
          <w:color w:val="000000" w:themeColor="text1"/>
          <w:sz w:val="32"/>
          <w:szCs w:val="32"/>
        </w:rPr>
      </w:pPr>
      <w:r w:rsidRPr="00C47035">
        <w:rPr>
          <w:rStyle w:val="CharSectnoAm"/>
          <w:color w:val="000000" w:themeColor="text1"/>
          <w:sz w:val="32"/>
          <w:szCs w:val="32"/>
        </w:rPr>
        <w:lastRenderedPageBreak/>
        <w:t>Schedule 1</w:t>
      </w:r>
      <w:bookmarkStart w:id="5" w:name="_Toc508710697"/>
      <w:r w:rsidRPr="00C47035">
        <w:rPr>
          <w:b w:val="0"/>
          <w:bCs/>
          <w:color w:val="000000" w:themeColor="text1"/>
          <w:sz w:val="32"/>
          <w:szCs w:val="32"/>
          <w:shd w:val="clear" w:color="auto" w:fill="FFFFFF"/>
        </w:rPr>
        <w:t>—</w:t>
      </w:r>
      <w:bookmarkEnd w:id="5"/>
      <w:r w:rsidRPr="00C47035">
        <w:rPr>
          <w:b w:val="0"/>
          <w:bCs/>
          <w:color w:val="000000" w:themeColor="text1"/>
          <w:sz w:val="32"/>
          <w:szCs w:val="32"/>
          <w:shd w:val="clear" w:color="auto" w:fill="FFFFFF"/>
        </w:rPr>
        <w:t xml:space="preserve"> </w:t>
      </w:r>
      <w:r w:rsidRPr="00C47035">
        <w:rPr>
          <w:bCs/>
          <w:color w:val="000000" w:themeColor="text1"/>
          <w:sz w:val="32"/>
          <w:szCs w:val="32"/>
          <w:shd w:val="clear" w:color="auto" w:fill="FFFFFF"/>
        </w:rPr>
        <w:t>B</w:t>
      </w:r>
      <w:r w:rsidRPr="00C47035">
        <w:rPr>
          <w:color w:val="000000" w:themeColor="text1"/>
          <w:sz w:val="32"/>
          <w:szCs w:val="32"/>
        </w:rPr>
        <w:t xml:space="preserve">rand of pharmaceutical item with approved ex-manufacturer price </w:t>
      </w:r>
      <w:r w:rsidR="00180892">
        <w:rPr>
          <w:color w:val="000000" w:themeColor="text1"/>
          <w:sz w:val="32"/>
          <w:szCs w:val="32"/>
        </w:rPr>
        <w:t>not reduced</w:t>
      </w:r>
    </w:p>
    <w:p w14:paraId="0329B7FD" w14:textId="77777777" w:rsidR="00CF2CD2" w:rsidRPr="00C47035" w:rsidRDefault="00CF2CD2" w:rsidP="00CF2CD2">
      <w:pPr>
        <w:keepNext/>
        <w:keepLines/>
        <w:rPr>
          <w:color w:val="000000" w:themeColor="text1"/>
        </w:rPr>
      </w:pPr>
    </w:p>
    <w:tbl>
      <w:tblPr>
        <w:tblStyle w:val="TableGrid"/>
        <w:tblW w:w="9586" w:type="dxa"/>
        <w:tblLook w:val="04A0" w:firstRow="1" w:lastRow="0" w:firstColumn="1" w:lastColumn="0" w:noHBand="0" w:noVBand="1"/>
      </w:tblPr>
      <w:tblGrid>
        <w:gridCol w:w="1101"/>
        <w:gridCol w:w="1827"/>
        <w:gridCol w:w="2448"/>
        <w:gridCol w:w="1483"/>
        <w:gridCol w:w="2727"/>
      </w:tblGrid>
      <w:tr w:rsidR="00CF2CD2" w:rsidRPr="00C47035" w14:paraId="3B1CE9FF" w14:textId="77777777" w:rsidTr="001F1AE1">
        <w:trPr>
          <w:trHeight w:val="823"/>
        </w:trPr>
        <w:tc>
          <w:tcPr>
            <w:tcW w:w="1129" w:type="dxa"/>
          </w:tcPr>
          <w:p w14:paraId="7284177C" w14:textId="77777777" w:rsidR="00CF2CD2" w:rsidRPr="00C47035" w:rsidRDefault="00CF2CD2" w:rsidP="002B0B66">
            <w:pPr>
              <w:keepNext/>
              <w:keepLines/>
              <w:rPr>
                <w:b/>
                <w:color w:val="000000" w:themeColor="text1"/>
              </w:rPr>
            </w:pPr>
            <w:r w:rsidRPr="00C47035">
              <w:rPr>
                <w:b/>
                <w:color w:val="000000" w:themeColor="text1"/>
              </w:rPr>
              <w:t>Column 1</w:t>
            </w:r>
          </w:p>
        </w:tc>
        <w:tc>
          <w:tcPr>
            <w:tcW w:w="8457" w:type="dxa"/>
            <w:gridSpan w:val="4"/>
          </w:tcPr>
          <w:p w14:paraId="5085E131" w14:textId="77777777" w:rsidR="00CF2CD2" w:rsidRPr="00C47035" w:rsidRDefault="00CF2CD2" w:rsidP="002B0B66">
            <w:pPr>
              <w:keepNext/>
              <w:keepLines/>
              <w:rPr>
                <w:b/>
                <w:color w:val="000000" w:themeColor="text1"/>
              </w:rPr>
            </w:pPr>
            <w:r w:rsidRPr="00C47035">
              <w:rPr>
                <w:b/>
                <w:color w:val="000000" w:themeColor="text1"/>
              </w:rPr>
              <w:t>Column 2</w:t>
            </w:r>
          </w:p>
        </w:tc>
      </w:tr>
      <w:tr w:rsidR="00CF2CD2" w:rsidRPr="00C47035" w14:paraId="2CDE983C" w14:textId="77777777" w:rsidTr="001F1AE1">
        <w:trPr>
          <w:trHeight w:val="823"/>
        </w:trPr>
        <w:tc>
          <w:tcPr>
            <w:tcW w:w="1129" w:type="dxa"/>
          </w:tcPr>
          <w:p w14:paraId="5F49A344" w14:textId="77777777" w:rsidR="00CF2CD2" w:rsidRPr="00C47035" w:rsidRDefault="00CF2CD2" w:rsidP="002B0B66">
            <w:pPr>
              <w:keepNext/>
              <w:keepLines/>
              <w:rPr>
                <w:b/>
                <w:color w:val="000000" w:themeColor="text1"/>
              </w:rPr>
            </w:pPr>
            <w:r w:rsidRPr="00C47035">
              <w:rPr>
                <w:b/>
                <w:color w:val="000000" w:themeColor="text1"/>
              </w:rPr>
              <w:t>Item</w:t>
            </w:r>
          </w:p>
        </w:tc>
        <w:tc>
          <w:tcPr>
            <w:tcW w:w="8457" w:type="dxa"/>
            <w:gridSpan w:val="4"/>
          </w:tcPr>
          <w:p w14:paraId="27095A6C" w14:textId="77777777" w:rsidR="00CF2CD2" w:rsidRPr="00C47035" w:rsidRDefault="00CF2CD2" w:rsidP="002B0B66">
            <w:pPr>
              <w:keepNext/>
              <w:keepLines/>
              <w:rPr>
                <w:b/>
                <w:color w:val="000000" w:themeColor="text1"/>
              </w:rPr>
            </w:pPr>
            <w:r w:rsidRPr="00C47035">
              <w:rPr>
                <w:b/>
                <w:bCs/>
                <w:color w:val="000000" w:themeColor="text1"/>
                <w:shd w:val="clear" w:color="auto" w:fill="FFFFFF"/>
              </w:rPr>
              <w:t>Brand of Pharmaceutical Item</w:t>
            </w:r>
          </w:p>
        </w:tc>
      </w:tr>
      <w:tr w:rsidR="003F1B53" w:rsidRPr="00C47035" w14:paraId="49C0B547" w14:textId="77777777" w:rsidTr="001F1AE1">
        <w:trPr>
          <w:trHeight w:val="823"/>
        </w:trPr>
        <w:tc>
          <w:tcPr>
            <w:tcW w:w="1129" w:type="dxa"/>
          </w:tcPr>
          <w:p w14:paraId="7282F5B5" w14:textId="77777777" w:rsidR="00CF2CD2" w:rsidRPr="00C47035" w:rsidRDefault="00CF2CD2" w:rsidP="002B0B66">
            <w:pPr>
              <w:keepNext/>
              <w:keepLines/>
              <w:rPr>
                <w:b/>
                <w:color w:val="000000" w:themeColor="text1"/>
              </w:rPr>
            </w:pPr>
          </w:p>
        </w:tc>
        <w:tc>
          <w:tcPr>
            <w:tcW w:w="1710" w:type="dxa"/>
          </w:tcPr>
          <w:p w14:paraId="25191EA3" w14:textId="77777777" w:rsidR="00CF2CD2" w:rsidRPr="00C47035" w:rsidRDefault="00CF2CD2" w:rsidP="002B0B66">
            <w:pPr>
              <w:keepNext/>
              <w:keepLines/>
              <w:rPr>
                <w:b/>
                <w:color w:val="000000" w:themeColor="text1"/>
              </w:rPr>
            </w:pPr>
            <w:r w:rsidRPr="00C47035">
              <w:rPr>
                <w:b/>
                <w:color w:val="000000" w:themeColor="text1"/>
              </w:rPr>
              <w:t>Drug</w:t>
            </w:r>
          </w:p>
        </w:tc>
        <w:tc>
          <w:tcPr>
            <w:tcW w:w="2537" w:type="dxa"/>
          </w:tcPr>
          <w:p w14:paraId="4FB90CAF" w14:textId="77777777" w:rsidR="00CF2CD2" w:rsidRPr="00C47035" w:rsidRDefault="00CF2CD2" w:rsidP="002B0B66">
            <w:pPr>
              <w:keepNext/>
              <w:keepLines/>
              <w:rPr>
                <w:b/>
                <w:color w:val="000000" w:themeColor="text1"/>
              </w:rPr>
            </w:pPr>
            <w:r w:rsidRPr="00C47035">
              <w:rPr>
                <w:b/>
                <w:color w:val="000000" w:themeColor="text1"/>
              </w:rPr>
              <w:t>Form</w:t>
            </w:r>
          </w:p>
        </w:tc>
        <w:tc>
          <w:tcPr>
            <w:tcW w:w="1483" w:type="dxa"/>
          </w:tcPr>
          <w:p w14:paraId="09287BA1" w14:textId="77777777" w:rsidR="00CF2CD2" w:rsidRPr="00C47035" w:rsidRDefault="00CF2CD2" w:rsidP="002B0B66">
            <w:pPr>
              <w:keepNext/>
              <w:keepLines/>
              <w:rPr>
                <w:b/>
                <w:color w:val="000000" w:themeColor="text1"/>
              </w:rPr>
            </w:pPr>
            <w:r w:rsidRPr="00C47035">
              <w:rPr>
                <w:b/>
                <w:color w:val="000000" w:themeColor="text1"/>
              </w:rPr>
              <w:t>Manner of administration</w:t>
            </w:r>
          </w:p>
        </w:tc>
        <w:tc>
          <w:tcPr>
            <w:tcW w:w="2727" w:type="dxa"/>
          </w:tcPr>
          <w:p w14:paraId="711B9219" w14:textId="77777777" w:rsidR="00CF2CD2" w:rsidRPr="00C47035" w:rsidRDefault="00CF2CD2" w:rsidP="002B0B66">
            <w:pPr>
              <w:keepNext/>
              <w:keepLines/>
              <w:rPr>
                <w:b/>
                <w:color w:val="000000" w:themeColor="text1"/>
              </w:rPr>
            </w:pPr>
            <w:r w:rsidRPr="00C47035">
              <w:rPr>
                <w:b/>
                <w:color w:val="000000" w:themeColor="text1"/>
              </w:rPr>
              <w:t>Brand</w:t>
            </w:r>
          </w:p>
        </w:tc>
      </w:tr>
      <w:tr w:rsidR="003F1B53" w:rsidRPr="00C47035" w14:paraId="02B1A56C" w14:textId="77777777" w:rsidTr="001F1AE1">
        <w:trPr>
          <w:trHeight w:val="865"/>
        </w:trPr>
        <w:tc>
          <w:tcPr>
            <w:tcW w:w="1129" w:type="dxa"/>
          </w:tcPr>
          <w:p w14:paraId="00F749BA" w14:textId="77777777" w:rsidR="00CF2CD2" w:rsidRPr="001F1AE1" w:rsidRDefault="00CF2CD2" w:rsidP="002B0B66">
            <w:pPr>
              <w:rPr>
                <w:color w:val="000000" w:themeColor="text1"/>
              </w:rPr>
            </w:pPr>
            <w:r w:rsidRPr="001F1AE1">
              <w:rPr>
                <w:color w:val="000000" w:themeColor="text1"/>
              </w:rPr>
              <w:t>1</w:t>
            </w:r>
          </w:p>
        </w:tc>
        <w:tc>
          <w:tcPr>
            <w:tcW w:w="1710" w:type="dxa"/>
          </w:tcPr>
          <w:p w14:paraId="29D40B63" w14:textId="7D9E263A" w:rsidR="00CF2CD2" w:rsidRPr="001F1AE1" w:rsidRDefault="00E02E50" w:rsidP="002B0B66">
            <w:pPr>
              <w:rPr>
                <w:color w:val="000000" w:themeColor="text1"/>
              </w:rPr>
            </w:pPr>
            <w:proofErr w:type="spellStart"/>
            <w:r w:rsidRPr="001F1AE1">
              <w:rPr>
                <w:color w:val="000000" w:themeColor="text1"/>
              </w:rPr>
              <w:t>Fosnetupitant</w:t>
            </w:r>
            <w:proofErr w:type="spellEnd"/>
            <w:r w:rsidRPr="001F1AE1">
              <w:rPr>
                <w:color w:val="000000" w:themeColor="text1"/>
              </w:rPr>
              <w:t xml:space="preserve"> with palonosetron</w:t>
            </w:r>
          </w:p>
        </w:tc>
        <w:tc>
          <w:tcPr>
            <w:tcW w:w="2537" w:type="dxa"/>
          </w:tcPr>
          <w:p w14:paraId="46C58BE3" w14:textId="54756338" w:rsidR="00CF2CD2" w:rsidRPr="001F1AE1" w:rsidRDefault="000B4599" w:rsidP="002B0B66">
            <w:pPr>
              <w:rPr>
                <w:color w:val="000000" w:themeColor="text1"/>
              </w:rPr>
            </w:pPr>
            <w:r w:rsidRPr="001F1AE1">
              <w:rPr>
                <w:color w:val="000000" w:themeColor="text1"/>
              </w:rPr>
              <w:t xml:space="preserve">Solution concentrate for I.V. infusion containing </w:t>
            </w:r>
            <w:proofErr w:type="spellStart"/>
            <w:r w:rsidRPr="001F1AE1">
              <w:rPr>
                <w:color w:val="000000" w:themeColor="text1"/>
              </w:rPr>
              <w:t>fosnetupitant</w:t>
            </w:r>
            <w:proofErr w:type="spellEnd"/>
            <w:r w:rsidRPr="001F1AE1">
              <w:rPr>
                <w:color w:val="000000" w:themeColor="text1"/>
              </w:rPr>
              <w:t xml:space="preserve"> 235 mg (as chloride hydrochloride) and palonosetron 250 microgram (as hydrochloride)</w:t>
            </w:r>
          </w:p>
        </w:tc>
        <w:tc>
          <w:tcPr>
            <w:tcW w:w="1483" w:type="dxa"/>
          </w:tcPr>
          <w:p w14:paraId="23946E47" w14:textId="695C5E69" w:rsidR="00CF2CD2" w:rsidRPr="001F1AE1" w:rsidRDefault="000B4599" w:rsidP="002B0B66">
            <w:pPr>
              <w:rPr>
                <w:color w:val="000000" w:themeColor="text1"/>
              </w:rPr>
            </w:pPr>
            <w:r w:rsidRPr="001F1AE1">
              <w:rPr>
                <w:color w:val="000000" w:themeColor="text1"/>
              </w:rPr>
              <w:t>Injection</w:t>
            </w:r>
          </w:p>
        </w:tc>
        <w:tc>
          <w:tcPr>
            <w:tcW w:w="2727" w:type="dxa"/>
          </w:tcPr>
          <w:p w14:paraId="10575DAE" w14:textId="0CEA3956" w:rsidR="000B4599" w:rsidRPr="001F1AE1" w:rsidRDefault="000B4599" w:rsidP="001F1AE1">
            <w:proofErr w:type="spellStart"/>
            <w:r w:rsidRPr="001F1AE1">
              <w:t>Akynzeo</w:t>
            </w:r>
            <w:proofErr w:type="spellEnd"/>
            <w:r w:rsidRPr="001F1AE1">
              <w:t xml:space="preserve"> IV</w:t>
            </w:r>
          </w:p>
        </w:tc>
      </w:tr>
      <w:tr w:rsidR="00544983" w:rsidRPr="00C47035" w14:paraId="7C5EEB79" w14:textId="77777777" w:rsidTr="001F1AE1">
        <w:trPr>
          <w:trHeight w:val="865"/>
        </w:trPr>
        <w:tc>
          <w:tcPr>
            <w:tcW w:w="1129" w:type="dxa"/>
          </w:tcPr>
          <w:p w14:paraId="7423BF1A" w14:textId="77777777" w:rsidR="00DC0544" w:rsidRPr="001F1AE1" w:rsidRDefault="00DC0544" w:rsidP="00DC0544">
            <w:pPr>
              <w:rPr>
                <w:color w:val="000000" w:themeColor="text1"/>
              </w:rPr>
            </w:pPr>
            <w:r w:rsidRPr="001F1AE1">
              <w:rPr>
                <w:color w:val="000000" w:themeColor="text1"/>
              </w:rPr>
              <w:t>2</w:t>
            </w:r>
          </w:p>
        </w:tc>
        <w:tc>
          <w:tcPr>
            <w:tcW w:w="1710" w:type="dxa"/>
          </w:tcPr>
          <w:p w14:paraId="1A67425C" w14:textId="40BFF6F0" w:rsidR="00DC0544" w:rsidRPr="001F1AE1" w:rsidRDefault="00DC0544" w:rsidP="00DC0544">
            <w:pPr>
              <w:rPr>
                <w:color w:val="000000" w:themeColor="text1"/>
              </w:rPr>
            </w:pPr>
            <w:r w:rsidRPr="001F1AE1">
              <w:t>Olmesartan with amlodipine and hydrochlorothiazide</w:t>
            </w:r>
          </w:p>
        </w:tc>
        <w:tc>
          <w:tcPr>
            <w:tcW w:w="2537" w:type="dxa"/>
            <w:vAlign w:val="center"/>
          </w:tcPr>
          <w:p w14:paraId="06697BD9" w14:textId="129E1AC0" w:rsidR="00DC0544" w:rsidRPr="001F1AE1" w:rsidRDefault="00DC0544" w:rsidP="00DC0544">
            <w:pPr>
              <w:rPr>
                <w:color w:val="000000" w:themeColor="text1"/>
              </w:rPr>
            </w:pPr>
            <w:r w:rsidRPr="001F1AE1">
              <w:t>Tablet containing olmesartan medoxomil 40 mg with amlodipine 10 mg (as besilate) and hydrochlorothiazide 12.5 mg</w:t>
            </w:r>
          </w:p>
        </w:tc>
        <w:tc>
          <w:tcPr>
            <w:tcW w:w="1483" w:type="dxa"/>
          </w:tcPr>
          <w:p w14:paraId="17C0DEB2" w14:textId="127F7148" w:rsidR="00DC0544" w:rsidRPr="001F1AE1" w:rsidRDefault="006E49CD" w:rsidP="00DC0544">
            <w:pPr>
              <w:rPr>
                <w:b/>
                <w:bCs/>
                <w:color w:val="000000" w:themeColor="text1"/>
              </w:rPr>
            </w:pPr>
            <w:r w:rsidRPr="001F1AE1">
              <w:rPr>
                <w:color w:val="000000" w:themeColor="text1"/>
              </w:rPr>
              <w:t>Oral</w:t>
            </w:r>
          </w:p>
        </w:tc>
        <w:tc>
          <w:tcPr>
            <w:tcW w:w="2727" w:type="dxa"/>
          </w:tcPr>
          <w:p w14:paraId="36F80AF4" w14:textId="77777777" w:rsidR="006E49CD" w:rsidRPr="001F1AE1" w:rsidRDefault="006E49CD" w:rsidP="006E49CD">
            <w:r w:rsidRPr="001F1AE1">
              <w:t>APO-Olmesartan/Amlodipine/HCTZ 40/10/12.5</w:t>
            </w:r>
          </w:p>
          <w:p w14:paraId="5D2C023E" w14:textId="0AAF2A34" w:rsidR="00DC0544" w:rsidRPr="001F1AE1" w:rsidRDefault="00DC0544" w:rsidP="00DC0544">
            <w:pPr>
              <w:rPr>
                <w:color w:val="000000" w:themeColor="text1"/>
              </w:rPr>
            </w:pPr>
          </w:p>
        </w:tc>
      </w:tr>
      <w:tr w:rsidR="00DC0544" w:rsidRPr="00C47035" w14:paraId="582C2E1B" w14:textId="77777777" w:rsidTr="001F1AE1">
        <w:trPr>
          <w:trHeight w:val="865"/>
        </w:trPr>
        <w:tc>
          <w:tcPr>
            <w:tcW w:w="1129" w:type="dxa"/>
          </w:tcPr>
          <w:p w14:paraId="4D530E52" w14:textId="1588347A" w:rsidR="00DC0544" w:rsidRPr="001F1AE1" w:rsidRDefault="001F6D87" w:rsidP="00DC0544">
            <w:pPr>
              <w:rPr>
                <w:color w:val="000000" w:themeColor="text1"/>
              </w:rPr>
            </w:pPr>
            <w:r w:rsidRPr="001F1AE1">
              <w:rPr>
                <w:color w:val="000000" w:themeColor="text1"/>
              </w:rPr>
              <w:t>3</w:t>
            </w:r>
          </w:p>
        </w:tc>
        <w:tc>
          <w:tcPr>
            <w:tcW w:w="1710" w:type="dxa"/>
          </w:tcPr>
          <w:p w14:paraId="0659355C" w14:textId="1F713420" w:rsidR="00DC0544" w:rsidRPr="001F1AE1" w:rsidRDefault="00DC0544" w:rsidP="00DC0544">
            <w:pPr>
              <w:rPr>
                <w:color w:val="000000" w:themeColor="text1"/>
              </w:rPr>
            </w:pPr>
            <w:r w:rsidRPr="001F1AE1">
              <w:t>Olmesartan with amlodipine and hydrochlorothiazide</w:t>
            </w:r>
          </w:p>
        </w:tc>
        <w:tc>
          <w:tcPr>
            <w:tcW w:w="2537" w:type="dxa"/>
            <w:vAlign w:val="center"/>
          </w:tcPr>
          <w:p w14:paraId="2760CE89" w14:textId="5674F0D8" w:rsidR="00DC0544" w:rsidRPr="001F1AE1" w:rsidRDefault="00DC0544" w:rsidP="00DC0544">
            <w:pPr>
              <w:rPr>
                <w:color w:val="000000" w:themeColor="text1"/>
              </w:rPr>
            </w:pPr>
            <w:r w:rsidRPr="001F1AE1">
              <w:t>Tablet containing olmesartan medoxomil 40 mg with amlodipine 10 mg (as besilate) and hydrochlorothiazide 12.5 mg</w:t>
            </w:r>
          </w:p>
        </w:tc>
        <w:tc>
          <w:tcPr>
            <w:tcW w:w="1483" w:type="dxa"/>
          </w:tcPr>
          <w:p w14:paraId="47E01584" w14:textId="11968403" w:rsidR="00DC0544" w:rsidRPr="001F1AE1" w:rsidRDefault="006E49CD" w:rsidP="00DC0544">
            <w:pPr>
              <w:rPr>
                <w:color w:val="000000" w:themeColor="text1"/>
              </w:rPr>
            </w:pPr>
            <w:r w:rsidRPr="001F1AE1">
              <w:rPr>
                <w:color w:val="000000" w:themeColor="text1"/>
              </w:rPr>
              <w:t>Oral</w:t>
            </w:r>
          </w:p>
        </w:tc>
        <w:tc>
          <w:tcPr>
            <w:tcW w:w="2727" w:type="dxa"/>
          </w:tcPr>
          <w:p w14:paraId="3017428A" w14:textId="77777777" w:rsidR="006E49CD" w:rsidRPr="001F1AE1" w:rsidRDefault="006E49CD" w:rsidP="006E49CD">
            <w:proofErr w:type="spellStart"/>
            <w:r w:rsidRPr="001F1AE1">
              <w:t>Olmekar</w:t>
            </w:r>
            <w:proofErr w:type="spellEnd"/>
            <w:r w:rsidRPr="001F1AE1">
              <w:t xml:space="preserve"> HCT 40/10/12.5</w:t>
            </w:r>
          </w:p>
          <w:p w14:paraId="7AA6482F" w14:textId="77777777" w:rsidR="00DC0544" w:rsidRPr="001F1AE1" w:rsidRDefault="00DC0544" w:rsidP="006E49CD">
            <w:pPr>
              <w:ind w:firstLine="720"/>
              <w:rPr>
                <w:color w:val="000000" w:themeColor="text1"/>
              </w:rPr>
            </w:pPr>
          </w:p>
        </w:tc>
      </w:tr>
      <w:tr w:rsidR="00DC0544" w:rsidRPr="00C47035" w14:paraId="7A8498E1" w14:textId="77777777" w:rsidTr="001F1AE1">
        <w:trPr>
          <w:trHeight w:val="865"/>
        </w:trPr>
        <w:tc>
          <w:tcPr>
            <w:tcW w:w="1129" w:type="dxa"/>
          </w:tcPr>
          <w:p w14:paraId="4DE57555" w14:textId="2551D71B" w:rsidR="00DC0544" w:rsidRPr="001F1AE1" w:rsidRDefault="001F6D87" w:rsidP="00DC0544">
            <w:pPr>
              <w:rPr>
                <w:color w:val="000000" w:themeColor="text1"/>
              </w:rPr>
            </w:pPr>
            <w:r w:rsidRPr="001F1AE1">
              <w:rPr>
                <w:color w:val="000000" w:themeColor="text1"/>
              </w:rPr>
              <w:t>4</w:t>
            </w:r>
          </w:p>
        </w:tc>
        <w:tc>
          <w:tcPr>
            <w:tcW w:w="1710" w:type="dxa"/>
          </w:tcPr>
          <w:p w14:paraId="76D32FD8" w14:textId="54E9686B" w:rsidR="00DC0544" w:rsidRPr="001F1AE1" w:rsidRDefault="00DC0544" w:rsidP="00DC0544">
            <w:pPr>
              <w:rPr>
                <w:color w:val="000000" w:themeColor="text1"/>
              </w:rPr>
            </w:pPr>
            <w:r w:rsidRPr="001F1AE1">
              <w:t>Olmesartan with amlodipine and hydrochlorothiazide</w:t>
            </w:r>
          </w:p>
        </w:tc>
        <w:tc>
          <w:tcPr>
            <w:tcW w:w="2537" w:type="dxa"/>
            <w:vAlign w:val="center"/>
          </w:tcPr>
          <w:p w14:paraId="1EDF55E0" w14:textId="5F48780B" w:rsidR="00DC0544" w:rsidRPr="001F1AE1" w:rsidRDefault="00DC0544" w:rsidP="00DC0544">
            <w:pPr>
              <w:rPr>
                <w:color w:val="000000" w:themeColor="text1"/>
              </w:rPr>
            </w:pPr>
            <w:r w:rsidRPr="001F1AE1">
              <w:t>Tablet containing olmesartan medoxomil 40 mg with amlodipine 10 mg (as besilate) and hydrochlorothiazide 12.5 mg</w:t>
            </w:r>
          </w:p>
        </w:tc>
        <w:tc>
          <w:tcPr>
            <w:tcW w:w="1483" w:type="dxa"/>
          </w:tcPr>
          <w:p w14:paraId="78EE3522" w14:textId="70E9FD62" w:rsidR="00DC0544" w:rsidRPr="001F1AE1" w:rsidRDefault="006E49CD" w:rsidP="00DC0544">
            <w:pPr>
              <w:rPr>
                <w:color w:val="000000" w:themeColor="text1"/>
              </w:rPr>
            </w:pPr>
            <w:r w:rsidRPr="001F1AE1">
              <w:rPr>
                <w:color w:val="000000" w:themeColor="text1"/>
              </w:rPr>
              <w:t>Oral</w:t>
            </w:r>
          </w:p>
        </w:tc>
        <w:tc>
          <w:tcPr>
            <w:tcW w:w="2727" w:type="dxa"/>
          </w:tcPr>
          <w:p w14:paraId="08C33B4E" w14:textId="77777777" w:rsidR="006E49CD" w:rsidRPr="001F1AE1" w:rsidRDefault="006E49CD" w:rsidP="006E49CD">
            <w:proofErr w:type="spellStart"/>
            <w:r w:rsidRPr="001F1AE1">
              <w:t>Olamlo</w:t>
            </w:r>
            <w:proofErr w:type="spellEnd"/>
            <w:r w:rsidRPr="001F1AE1">
              <w:t xml:space="preserve"> HCT 40/10/12.5</w:t>
            </w:r>
          </w:p>
          <w:p w14:paraId="6579537C" w14:textId="77777777" w:rsidR="00DC0544" w:rsidRPr="001F1AE1" w:rsidRDefault="00DC0544" w:rsidP="00DC0544">
            <w:pPr>
              <w:rPr>
                <w:color w:val="000000" w:themeColor="text1"/>
              </w:rPr>
            </w:pPr>
          </w:p>
        </w:tc>
      </w:tr>
      <w:tr w:rsidR="00DC0544" w:rsidRPr="00C47035" w14:paraId="67FCE755" w14:textId="77777777" w:rsidTr="001F1AE1">
        <w:trPr>
          <w:trHeight w:val="865"/>
        </w:trPr>
        <w:tc>
          <w:tcPr>
            <w:tcW w:w="1129" w:type="dxa"/>
          </w:tcPr>
          <w:p w14:paraId="4BE9F1F7" w14:textId="4FB5F5C8" w:rsidR="00DC0544" w:rsidRPr="001F1AE1" w:rsidRDefault="001F6D87" w:rsidP="00DC0544">
            <w:pPr>
              <w:rPr>
                <w:color w:val="000000" w:themeColor="text1"/>
              </w:rPr>
            </w:pPr>
            <w:r w:rsidRPr="001F1AE1">
              <w:rPr>
                <w:color w:val="000000" w:themeColor="text1"/>
              </w:rPr>
              <w:t>5</w:t>
            </w:r>
          </w:p>
        </w:tc>
        <w:tc>
          <w:tcPr>
            <w:tcW w:w="1710" w:type="dxa"/>
          </w:tcPr>
          <w:p w14:paraId="68F45EE1" w14:textId="1957C4F0" w:rsidR="00DC0544" w:rsidRPr="001F1AE1" w:rsidRDefault="00DC0544" w:rsidP="00DC0544">
            <w:pPr>
              <w:rPr>
                <w:color w:val="000000" w:themeColor="text1"/>
              </w:rPr>
            </w:pPr>
            <w:r w:rsidRPr="001F1AE1">
              <w:t>Olmesartan with amlodipine and hydrochlorothiazide</w:t>
            </w:r>
          </w:p>
        </w:tc>
        <w:tc>
          <w:tcPr>
            <w:tcW w:w="2537" w:type="dxa"/>
            <w:vAlign w:val="center"/>
          </w:tcPr>
          <w:p w14:paraId="01E8C8E4" w14:textId="7A321536" w:rsidR="00DC0544" w:rsidRPr="001F1AE1" w:rsidRDefault="00DC0544" w:rsidP="00DC0544">
            <w:pPr>
              <w:rPr>
                <w:color w:val="000000" w:themeColor="text1"/>
              </w:rPr>
            </w:pPr>
            <w:r w:rsidRPr="001F1AE1">
              <w:t>Tablet containing olmesartan medoxomil 40 mg with amlodipine 10 mg (as besilate) and hydrochlorothiazide 12.5 mg</w:t>
            </w:r>
          </w:p>
        </w:tc>
        <w:tc>
          <w:tcPr>
            <w:tcW w:w="1483" w:type="dxa"/>
          </w:tcPr>
          <w:p w14:paraId="30F3E354" w14:textId="77777777" w:rsidR="00DC0544" w:rsidRPr="001F1AE1" w:rsidRDefault="006E49CD" w:rsidP="00DC0544">
            <w:pPr>
              <w:rPr>
                <w:color w:val="000000" w:themeColor="text1"/>
              </w:rPr>
            </w:pPr>
            <w:r w:rsidRPr="001F1AE1">
              <w:rPr>
                <w:color w:val="000000" w:themeColor="text1"/>
              </w:rPr>
              <w:t>Oral</w:t>
            </w:r>
          </w:p>
          <w:p w14:paraId="5A6F7C90" w14:textId="38D8E74D" w:rsidR="006E49CD" w:rsidRPr="001F1AE1" w:rsidRDefault="006E49CD" w:rsidP="00DC0544">
            <w:pPr>
              <w:rPr>
                <w:color w:val="000000" w:themeColor="text1"/>
              </w:rPr>
            </w:pPr>
          </w:p>
        </w:tc>
        <w:tc>
          <w:tcPr>
            <w:tcW w:w="2727" w:type="dxa"/>
          </w:tcPr>
          <w:p w14:paraId="1110975D" w14:textId="77777777" w:rsidR="006E49CD" w:rsidRPr="001F1AE1" w:rsidRDefault="006E49CD" w:rsidP="006E49CD">
            <w:proofErr w:type="spellStart"/>
            <w:r w:rsidRPr="001F1AE1">
              <w:t>Sevikar</w:t>
            </w:r>
            <w:proofErr w:type="spellEnd"/>
            <w:r w:rsidRPr="001F1AE1">
              <w:t xml:space="preserve"> HCT 40/10/12.5</w:t>
            </w:r>
          </w:p>
          <w:p w14:paraId="020A80D4" w14:textId="77777777" w:rsidR="00DC0544" w:rsidRPr="001F1AE1" w:rsidRDefault="00DC0544" w:rsidP="00DC0544">
            <w:pPr>
              <w:rPr>
                <w:color w:val="000000" w:themeColor="text1"/>
              </w:rPr>
            </w:pPr>
          </w:p>
        </w:tc>
      </w:tr>
      <w:tr w:rsidR="00DC0544" w:rsidRPr="00C47035" w14:paraId="5200D9F3" w14:textId="77777777" w:rsidTr="001F1AE1">
        <w:trPr>
          <w:trHeight w:val="865"/>
        </w:trPr>
        <w:tc>
          <w:tcPr>
            <w:tcW w:w="1129" w:type="dxa"/>
          </w:tcPr>
          <w:p w14:paraId="29C8C98E" w14:textId="12A2E4BB" w:rsidR="00DC0544" w:rsidRPr="001F1AE1" w:rsidRDefault="001F6D87" w:rsidP="00DC0544">
            <w:pPr>
              <w:rPr>
                <w:color w:val="000000" w:themeColor="text1"/>
              </w:rPr>
            </w:pPr>
            <w:r w:rsidRPr="001F1AE1">
              <w:rPr>
                <w:color w:val="000000" w:themeColor="text1"/>
              </w:rPr>
              <w:t>6</w:t>
            </w:r>
          </w:p>
        </w:tc>
        <w:tc>
          <w:tcPr>
            <w:tcW w:w="1710" w:type="dxa"/>
          </w:tcPr>
          <w:p w14:paraId="16E92647" w14:textId="572AEC86" w:rsidR="00DC0544" w:rsidRPr="001F1AE1" w:rsidRDefault="00DC0544" w:rsidP="00DC0544">
            <w:pPr>
              <w:rPr>
                <w:color w:val="000000" w:themeColor="text1"/>
              </w:rPr>
            </w:pPr>
            <w:r w:rsidRPr="001F1AE1">
              <w:t>Olmesartan with amlodipine and hydrochlorothiazide</w:t>
            </w:r>
          </w:p>
        </w:tc>
        <w:tc>
          <w:tcPr>
            <w:tcW w:w="2537" w:type="dxa"/>
            <w:vAlign w:val="center"/>
          </w:tcPr>
          <w:p w14:paraId="096E3588" w14:textId="6E64A2F0" w:rsidR="00DC0544" w:rsidRPr="001F1AE1" w:rsidRDefault="00DC0544" w:rsidP="00DC0544">
            <w:pPr>
              <w:rPr>
                <w:color w:val="000000" w:themeColor="text1"/>
              </w:rPr>
            </w:pPr>
            <w:r w:rsidRPr="001F1AE1">
              <w:t>Tablet containing olmesartan medoxomil 40 mg with amlodipine 10 mg (as besilate) and hydrochlorothiazide 25 mg</w:t>
            </w:r>
          </w:p>
        </w:tc>
        <w:tc>
          <w:tcPr>
            <w:tcW w:w="1483" w:type="dxa"/>
          </w:tcPr>
          <w:p w14:paraId="64085DAC" w14:textId="1BEA2144" w:rsidR="00DC0544" w:rsidRPr="001F1AE1" w:rsidRDefault="006E49CD" w:rsidP="00DC0544">
            <w:pPr>
              <w:rPr>
                <w:color w:val="000000" w:themeColor="text1"/>
              </w:rPr>
            </w:pPr>
            <w:r w:rsidRPr="001F1AE1">
              <w:rPr>
                <w:color w:val="000000" w:themeColor="text1"/>
              </w:rPr>
              <w:t>Oral</w:t>
            </w:r>
          </w:p>
        </w:tc>
        <w:tc>
          <w:tcPr>
            <w:tcW w:w="2727" w:type="dxa"/>
          </w:tcPr>
          <w:p w14:paraId="55335346" w14:textId="77777777" w:rsidR="006E49CD" w:rsidRPr="001F1AE1" w:rsidRDefault="006E49CD" w:rsidP="006E49CD">
            <w:r w:rsidRPr="001F1AE1">
              <w:t>APO-Olmesartan/Amlodipine/HCTZ 40/10/25</w:t>
            </w:r>
          </w:p>
          <w:p w14:paraId="2FFE8353" w14:textId="77777777" w:rsidR="00DC0544" w:rsidRPr="001F1AE1" w:rsidRDefault="00DC0544" w:rsidP="00DC0544">
            <w:pPr>
              <w:rPr>
                <w:color w:val="000000" w:themeColor="text1"/>
              </w:rPr>
            </w:pPr>
          </w:p>
        </w:tc>
      </w:tr>
      <w:tr w:rsidR="00DC0544" w:rsidRPr="00C47035" w14:paraId="7F0ED287" w14:textId="77777777" w:rsidTr="001F1AE1">
        <w:trPr>
          <w:trHeight w:val="865"/>
        </w:trPr>
        <w:tc>
          <w:tcPr>
            <w:tcW w:w="1129" w:type="dxa"/>
          </w:tcPr>
          <w:p w14:paraId="05B60E1B" w14:textId="0E2DA311" w:rsidR="00DC0544" w:rsidRPr="001F1AE1" w:rsidRDefault="001F6D87" w:rsidP="00DC0544">
            <w:pPr>
              <w:rPr>
                <w:color w:val="000000" w:themeColor="text1"/>
              </w:rPr>
            </w:pPr>
            <w:r w:rsidRPr="001F1AE1">
              <w:rPr>
                <w:color w:val="000000" w:themeColor="text1"/>
              </w:rPr>
              <w:t>7</w:t>
            </w:r>
          </w:p>
        </w:tc>
        <w:tc>
          <w:tcPr>
            <w:tcW w:w="1710" w:type="dxa"/>
          </w:tcPr>
          <w:p w14:paraId="3447D895" w14:textId="24C0B982" w:rsidR="00DC0544" w:rsidRPr="001F1AE1" w:rsidRDefault="00DC0544" w:rsidP="00DC0544">
            <w:pPr>
              <w:rPr>
                <w:color w:val="000000" w:themeColor="text1"/>
              </w:rPr>
            </w:pPr>
            <w:r w:rsidRPr="001F1AE1">
              <w:t>Olmesartan with amlodipine and hydrochlorothiazide</w:t>
            </w:r>
          </w:p>
        </w:tc>
        <w:tc>
          <w:tcPr>
            <w:tcW w:w="2537" w:type="dxa"/>
            <w:vAlign w:val="center"/>
          </w:tcPr>
          <w:p w14:paraId="434C9D80" w14:textId="25CBC7CD" w:rsidR="00DC0544" w:rsidRPr="001F1AE1" w:rsidRDefault="00DC0544" w:rsidP="00DC0544">
            <w:pPr>
              <w:rPr>
                <w:color w:val="000000" w:themeColor="text1"/>
              </w:rPr>
            </w:pPr>
            <w:r w:rsidRPr="001F1AE1">
              <w:t>Tablet containing olmesartan medoxomil 40 mg with amlodipine 10 mg (as besilate) and hydrochlorothiazide 25 mg</w:t>
            </w:r>
          </w:p>
        </w:tc>
        <w:tc>
          <w:tcPr>
            <w:tcW w:w="1483" w:type="dxa"/>
          </w:tcPr>
          <w:p w14:paraId="6D431B61" w14:textId="0F82C109" w:rsidR="00DC0544" w:rsidRPr="001F1AE1" w:rsidRDefault="00B3198A" w:rsidP="00DC0544">
            <w:pPr>
              <w:rPr>
                <w:color w:val="000000" w:themeColor="text1"/>
              </w:rPr>
            </w:pPr>
            <w:r w:rsidRPr="001F1AE1">
              <w:rPr>
                <w:color w:val="000000" w:themeColor="text1"/>
              </w:rPr>
              <w:t>Oral</w:t>
            </w:r>
          </w:p>
        </w:tc>
        <w:tc>
          <w:tcPr>
            <w:tcW w:w="2727" w:type="dxa"/>
          </w:tcPr>
          <w:p w14:paraId="427E36F3" w14:textId="5E97C2CB" w:rsidR="00DC0544" w:rsidRPr="001F1AE1" w:rsidRDefault="00544983" w:rsidP="00DC0544">
            <w:pPr>
              <w:rPr>
                <w:color w:val="000000" w:themeColor="text1"/>
              </w:rPr>
            </w:pPr>
            <w:proofErr w:type="spellStart"/>
            <w:r w:rsidRPr="001F1AE1">
              <w:rPr>
                <w:color w:val="000000" w:themeColor="text1"/>
              </w:rPr>
              <w:t>Olamlo</w:t>
            </w:r>
            <w:proofErr w:type="spellEnd"/>
            <w:r w:rsidRPr="001F1AE1">
              <w:rPr>
                <w:color w:val="000000" w:themeColor="text1"/>
              </w:rPr>
              <w:t xml:space="preserve"> HCT 40/10/25</w:t>
            </w:r>
          </w:p>
        </w:tc>
      </w:tr>
      <w:tr w:rsidR="00DC0544" w:rsidRPr="00C47035" w14:paraId="1D475C11" w14:textId="77777777" w:rsidTr="001F1AE1">
        <w:trPr>
          <w:trHeight w:val="865"/>
        </w:trPr>
        <w:tc>
          <w:tcPr>
            <w:tcW w:w="1129" w:type="dxa"/>
          </w:tcPr>
          <w:p w14:paraId="76AF8578" w14:textId="07D58172" w:rsidR="00DC0544" w:rsidRPr="001F1AE1" w:rsidRDefault="001F6D87" w:rsidP="00DC0544">
            <w:pPr>
              <w:rPr>
                <w:color w:val="000000" w:themeColor="text1"/>
              </w:rPr>
            </w:pPr>
            <w:r w:rsidRPr="001F1AE1">
              <w:rPr>
                <w:color w:val="000000" w:themeColor="text1"/>
              </w:rPr>
              <w:lastRenderedPageBreak/>
              <w:t>8</w:t>
            </w:r>
          </w:p>
        </w:tc>
        <w:tc>
          <w:tcPr>
            <w:tcW w:w="1710" w:type="dxa"/>
          </w:tcPr>
          <w:p w14:paraId="46A03352" w14:textId="10996820" w:rsidR="00DC0544" w:rsidRPr="001F1AE1" w:rsidRDefault="00DC0544" w:rsidP="00DC0544">
            <w:pPr>
              <w:rPr>
                <w:color w:val="000000" w:themeColor="text1"/>
              </w:rPr>
            </w:pPr>
            <w:r w:rsidRPr="001F1AE1">
              <w:t>Olmesartan with amlodipine and hydrochlorothiazide</w:t>
            </w:r>
          </w:p>
        </w:tc>
        <w:tc>
          <w:tcPr>
            <w:tcW w:w="2537" w:type="dxa"/>
            <w:vAlign w:val="center"/>
          </w:tcPr>
          <w:p w14:paraId="0ADDABD5" w14:textId="15BCCBA2" w:rsidR="00DC0544" w:rsidRPr="001F1AE1" w:rsidRDefault="00DC0544" w:rsidP="00DC0544">
            <w:pPr>
              <w:rPr>
                <w:color w:val="000000" w:themeColor="text1"/>
              </w:rPr>
            </w:pPr>
            <w:r w:rsidRPr="001F1AE1">
              <w:t>Tablet containing olmesartan medoxomil 40 mg with amlodipine 10 mg (as besilate) and hydrochlorothiazide 25 mg</w:t>
            </w:r>
          </w:p>
        </w:tc>
        <w:tc>
          <w:tcPr>
            <w:tcW w:w="1483" w:type="dxa"/>
          </w:tcPr>
          <w:p w14:paraId="7515B217" w14:textId="172314EA" w:rsidR="00DC0544" w:rsidRPr="001F1AE1" w:rsidRDefault="00B3198A" w:rsidP="00DC0544">
            <w:pPr>
              <w:rPr>
                <w:color w:val="000000" w:themeColor="text1"/>
              </w:rPr>
            </w:pPr>
            <w:r w:rsidRPr="001F1AE1">
              <w:rPr>
                <w:color w:val="000000" w:themeColor="text1"/>
              </w:rPr>
              <w:t>Oral</w:t>
            </w:r>
          </w:p>
        </w:tc>
        <w:tc>
          <w:tcPr>
            <w:tcW w:w="2727" w:type="dxa"/>
          </w:tcPr>
          <w:p w14:paraId="5C5E0088" w14:textId="4CCE50AB" w:rsidR="00DC0544" w:rsidRPr="001F1AE1" w:rsidRDefault="00544983" w:rsidP="00DC0544">
            <w:pPr>
              <w:rPr>
                <w:color w:val="000000" w:themeColor="text1"/>
              </w:rPr>
            </w:pPr>
            <w:proofErr w:type="spellStart"/>
            <w:r w:rsidRPr="001F1AE1">
              <w:rPr>
                <w:color w:val="000000" w:themeColor="text1"/>
              </w:rPr>
              <w:t>Olmekar</w:t>
            </w:r>
            <w:proofErr w:type="spellEnd"/>
            <w:r w:rsidRPr="001F1AE1">
              <w:rPr>
                <w:color w:val="000000" w:themeColor="text1"/>
              </w:rPr>
              <w:t xml:space="preserve"> HCT 40/10/25</w:t>
            </w:r>
          </w:p>
        </w:tc>
      </w:tr>
      <w:tr w:rsidR="00544983" w:rsidRPr="00C47035" w14:paraId="7929A4FE" w14:textId="77777777" w:rsidTr="001F1AE1">
        <w:trPr>
          <w:trHeight w:val="865"/>
        </w:trPr>
        <w:tc>
          <w:tcPr>
            <w:tcW w:w="1129" w:type="dxa"/>
          </w:tcPr>
          <w:p w14:paraId="55A3B8EA" w14:textId="24D3A3B8" w:rsidR="00544983" w:rsidRPr="001F1AE1" w:rsidRDefault="001F6D87" w:rsidP="00544983">
            <w:pPr>
              <w:rPr>
                <w:color w:val="000000" w:themeColor="text1"/>
              </w:rPr>
            </w:pPr>
            <w:r w:rsidRPr="001F1AE1">
              <w:rPr>
                <w:color w:val="000000" w:themeColor="text1"/>
              </w:rPr>
              <w:t>9</w:t>
            </w:r>
          </w:p>
        </w:tc>
        <w:tc>
          <w:tcPr>
            <w:tcW w:w="1710" w:type="dxa"/>
          </w:tcPr>
          <w:p w14:paraId="04F9C074" w14:textId="4558F503" w:rsidR="00544983" w:rsidRPr="001F1AE1" w:rsidRDefault="00544983" w:rsidP="00544983">
            <w:pPr>
              <w:rPr>
                <w:color w:val="000000" w:themeColor="text1"/>
              </w:rPr>
            </w:pPr>
            <w:r w:rsidRPr="001F1AE1">
              <w:t>Olmesartan with amlodipine and hydrochlorothiazide</w:t>
            </w:r>
          </w:p>
        </w:tc>
        <w:tc>
          <w:tcPr>
            <w:tcW w:w="2537" w:type="dxa"/>
            <w:vAlign w:val="center"/>
          </w:tcPr>
          <w:p w14:paraId="7C58D4A4" w14:textId="00BC3AE7" w:rsidR="00544983" w:rsidRPr="001F1AE1" w:rsidRDefault="00544983" w:rsidP="00544983">
            <w:pPr>
              <w:rPr>
                <w:color w:val="000000" w:themeColor="text1"/>
              </w:rPr>
            </w:pPr>
            <w:r w:rsidRPr="001F1AE1">
              <w:t>Tablet containing olmesartan medoxomil 40 mg with amlodipine 10 mg (as besilate) and hydrochlorothiazide 25 mg</w:t>
            </w:r>
          </w:p>
        </w:tc>
        <w:tc>
          <w:tcPr>
            <w:tcW w:w="1483" w:type="dxa"/>
          </w:tcPr>
          <w:p w14:paraId="76E281C0" w14:textId="3DCFCF4A" w:rsidR="00544983" w:rsidRPr="001F1AE1" w:rsidRDefault="00B3198A" w:rsidP="00544983">
            <w:pPr>
              <w:rPr>
                <w:color w:val="000000" w:themeColor="text1"/>
              </w:rPr>
            </w:pPr>
            <w:r w:rsidRPr="001F1AE1">
              <w:rPr>
                <w:color w:val="000000" w:themeColor="text1"/>
              </w:rPr>
              <w:t>Oral</w:t>
            </w:r>
          </w:p>
        </w:tc>
        <w:tc>
          <w:tcPr>
            <w:tcW w:w="2727" w:type="dxa"/>
          </w:tcPr>
          <w:p w14:paraId="6A988B6C" w14:textId="4AFA6C37" w:rsidR="00544983" w:rsidRPr="001F1AE1" w:rsidRDefault="00F45866" w:rsidP="00544983">
            <w:pPr>
              <w:rPr>
                <w:color w:val="000000" w:themeColor="text1"/>
              </w:rPr>
            </w:pPr>
            <w:proofErr w:type="spellStart"/>
            <w:r w:rsidRPr="001F1AE1">
              <w:rPr>
                <w:color w:val="000000" w:themeColor="text1"/>
              </w:rPr>
              <w:t>Sevikar</w:t>
            </w:r>
            <w:proofErr w:type="spellEnd"/>
            <w:r w:rsidRPr="001F1AE1">
              <w:rPr>
                <w:color w:val="000000" w:themeColor="text1"/>
              </w:rPr>
              <w:t xml:space="preserve"> HCT 40/10/25</w:t>
            </w:r>
          </w:p>
        </w:tc>
      </w:tr>
      <w:tr w:rsidR="003F1B53" w:rsidRPr="00C47035" w14:paraId="7E0D96FE" w14:textId="77777777" w:rsidTr="001F1AE1">
        <w:trPr>
          <w:trHeight w:val="865"/>
        </w:trPr>
        <w:tc>
          <w:tcPr>
            <w:tcW w:w="1129" w:type="dxa"/>
          </w:tcPr>
          <w:p w14:paraId="1EF75F73" w14:textId="3C9D2210" w:rsidR="003F1B53" w:rsidRPr="001F1AE1" w:rsidRDefault="001F6D87" w:rsidP="003F1B53">
            <w:pPr>
              <w:rPr>
                <w:color w:val="000000" w:themeColor="text1"/>
              </w:rPr>
            </w:pPr>
            <w:r w:rsidRPr="001F1AE1">
              <w:rPr>
                <w:color w:val="000000" w:themeColor="text1"/>
              </w:rPr>
              <w:t>10</w:t>
            </w:r>
          </w:p>
        </w:tc>
        <w:tc>
          <w:tcPr>
            <w:tcW w:w="1710" w:type="dxa"/>
          </w:tcPr>
          <w:p w14:paraId="13158B6F" w14:textId="50573BEA" w:rsidR="003F1B53" w:rsidRPr="001F1AE1" w:rsidRDefault="003F1B53" w:rsidP="003F1B53">
            <w:pPr>
              <w:rPr>
                <w:color w:val="000000" w:themeColor="text1"/>
              </w:rPr>
            </w:pPr>
            <w:r w:rsidRPr="001F1AE1">
              <w:t>Olmesartan with amlodipine and hydrochlorothiazide</w:t>
            </w:r>
          </w:p>
        </w:tc>
        <w:tc>
          <w:tcPr>
            <w:tcW w:w="2537" w:type="dxa"/>
            <w:vAlign w:val="center"/>
          </w:tcPr>
          <w:p w14:paraId="3C92E4D6" w14:textId="3476945C" w:rsidR="003F1B53" w:rsidRPr="001F1AE1" w:rsidRDefault="003F1B53" w:rsidP="003F1B53">
            <w:pPr>
              <w:rPr>
                <w:color w:val="000000" w:themeColor="text1"/>
              </w:rPr>
            </w:pPr>
            <w:r w:rsidRPr="001F1AE1">
              <w:t>Tablet containing olmesartan medoxomil 40 mg with amlodipine 5 mg (as besilate) and hydrochlorothiazide 12.5 mg</w:t>
            </w:r>
          </w:p>
        </w:tc>
        <w:tc>
          <w:tcPr>
            <w:tcW w:w="1483" w:type="dxa"/>
          </w:tcPr>
          <w:p w14:paraId="6A61B277" w14:textId="761A73CC" w:rsidR="003F1B53" w:rsidRPr="001F1AE1" w:rsidRDefault="00B3198A" w:rsidP="003F1B53">
            <w:pPr>
              <w:rPr>
                <w:color w:val="000000" w:themeColor="text1"/>
              </w:rPr>
            </w:pPr>
            <w:r w:rsidRPr="001F1AE1">
              <w:rPr>
                <w:color w:val="000000" w:themeColor="text1"/>
              </w:rPr>
              <w:t>Oral</w:t>
            </w:r>
          </w:p>
        </w:tc>
        <w:tc>
          <w:tcPr>
            <w:tcW w:w="2727" w:type="dxa"/>
          </w:tcPr>
          <w:p w14:paraId="41087F6F" w14:textId="114E61E5" w:rsidR="003F1B53" w:rsidRPr="001F1AE1" w:rsidRDefault="003F1B53" w:rsidP="003F1B53">
            <w:pPr>
              <w:rPr>
                <w:color w:val="000000" w:themeColor="text1"/>
              </w:rPr>
            </w:pPr>
            <w:r w:rsidRPr="001F1AE1">
              <w:rPr>
                <w:color w:val="000000" w:themeColor="text1"/>
              </w:rPr>
              <w:t>APO-Olmesartan/Amlodipine/HCTZ 40/5/12.5 tablet</w:t>
            </w:r>
          </w:p>
        </w:tc>
      </w:tr>
      <w:tr w:rsidR="003F1B53" w:rsidRPr="00C47035" w14:paraId="5416B9E1" w14:textId="77777777" w:rsidTr="001F1AE1">
        <w:trPr>
          <w:trHeight w:val="865"/>
        </w:trPr>
        <w:tc>
          <w:tcPr>
            <w:tcW w:w="1129" w:type="dxa"/>
          </w:tcPr>
          <w:p w14:paraId="6A668E06" w14:textId="27251424" w:rsidR="003F1B53" w:rsidRPr="001F1AE1" w:rsidRDefault="001F6D87" w:rsidP="003F1B53">
            <w:pPr>
              <w:rPr>
                <w:color w:val="000000" w:themeColor="text1"/>
              </w:rPr>
            </w:pPr>
            <w:r w:rsidRPr="001F1AE1">
              <w:rPr>
                <w:color w:val="000000" w:themeColor="text1"/>
              </w:rPr>
              <w:t>11</w:t>
            </w:r>
          </w:p>
        </w:tc>
        <w:tc>
          <w:tcPr>
            <w:tcW w:w="1710" w:type="dxa"/>
          </w:tcPr>
          <w:p w14:paraId="7B6370D7" w14:textId="3DA26370" w:rsidR="003F1B53" w:rsidRPr="001F1AE1" w:rsidRDefault="003F1B53" w:rsidP="003F1B53">
            <w:pPr>
              <w:rPr>
                <w:color w:val="000000" w:themeColor="text1"/>
              </w:rPr>
            </w:pPr>
            <w:r w:rsidRPr="001F1AE1">
              <w:t>Olmesartan with amlodipine and hydrochlorothiazide</w:t>
            </w:r>
          </w:p>
        </w:tc>
        <w:tc>
          <w:tcPr>
            <w:tcW w:w="2537" w:type="dxa"/>
            <w:vAlign w:val="center"/>
          </w:tcPr>
          <w:p w14:paraId="30ECE131" w14:textId="44264C96" w:rsidR="003F1B53" w:rsidRPr="001F1AE1" w:rsidRDefault="003F1B53" w:rsidP="003F1B53">
            <w:pPr>
              <w:rPr>
                <w:color w:val="000000" w:themeColor="text1"/>
              </w:rPr>
            </w:pPr>
            <w:r w:rsidRPr="001F1AE1">
              <w:t>Tablet containing olmesartan medoxomil 40 mg with amlodipine 5 mg (as besilate) and hydrochlorothiazide 12.5 mg</w:t>
            </w:r>
          </w:p>
        </w:tc>
        <w:tc>
          <w:tcPr>
            <w:tcW w:w="1483" w:type="dxa"/>
          </w:tcPr>
          <w:p w14:paraId="0A87DCA9" w14:textId="22B32829" w:rsidR="003F1B53" w:rsidRPr="001F1AE1" w:rsidRDefault="00B3198A" w:rsidP="003F1B53">
            <w:pPr>
              <w:rPr>
                <w:color w:val="000000" w:themeColor="text1"/>
              </w:rPr>
            </w:pPr>
            <w:r w:rsidRPr="001F1AE1">
              <w:rPr>
                <w:color w:val="000000" w:themeColor="text1"/>
              </w:rPr>
              <w:t>Oral</w:t>
            </w:r>
          </w:p>
        </w:tc>
        <w:tc>
          <w:tcPr>
            <w:tcW w:w="2727" w:type="dxa"/>
          </w:tcPr>
          <w:p w14:paraId="1928FA4A" w14:textId="1CDB8C0F" w:rsidR="003F1B53" w:rsidRPr="001F1AE1" w:rsidRDefault="00B3198A" w:rsidP="003F1B53">
            <w:pPr>
              <w:rPr>
                <w:color w:val="000000" w:themeColor="text1"/>
              </w:rPr>
            </w:pPr>
            <w:proofErr w:type="spellStart"/>
            <w:r w:rsidRPr="001F1AE1">
              <w:rPr>
                <w:color w:val="000000" w:themeColor="text1"/>
              </w:rPr>
              <w:t>Olamlo</w:t>
            </w:r>
            <w:proofErr w:type="spellEnd"/>
            <w:r w:rsidRPr="001F1AE1">
              <w:rPr>
                <w:color w:val="000000" w:themeColor="text1"/>
              </w:rPr>
              <w:t xml:space="preserve"> HCT 40/5/12.5</w:t>
            </w:r>
          </w:p>
        </w:tc>
      </w:tr>
      <w:tr w:rsidR="003F1B53" w:rsidRPr="00C47035" w14:paraId="3ACECA16" w14:textId="77777777" w:rsidTr="001F1AE1">
        <w:trPr>
          <w:trHeight w:val="865"/>
        </w:trPr>
        <w:tc>
          <w:tcPr>
            <w:tcW w:w="1129" w:type="dxa"/>
          </w:tcPr>
          <w:p w14:paraId="06E5D425" w14:textId="296776C6" w:rsidR="003F1B53" w:rsidRPr="001F1AE1" w:rsidRDefault="001F6D87" w:rsidP="003F1B53">
            <w:pPr>
              <w:rPr>
                <w:color w:val="000000" w:themeColor="text1"/>
              </w:rPr>
            </w:pPr>
            <w:r w:rsidRPr="001F1AE1">
              <w:rPr>
                <w:color w:val="000000" w:themeColor="text1"/>
              </w:rPr>
              <w:t>12</w:t>
            </w:r>
          </w:p>
        </w:tc>
        <w:tc>
          <w:tcPr>
            <w:tcW w:w="1710" w:type="dxa"/>
          </w:tcPr>
          <w:p w14:paraId="3A083608" w14:textId="19CD9AF4" w:rsidR="003F1B53" w:rsidRPr="001F1AE1" w:rsidRDefault="003F1B53" w:rsidP="003F1B53">
            <w:pPr>
              <w:rPr>
                <w:color w:val="000000" w:themeColor="text1"/>
              </w:rPr>
            </w:pPr>
            <w:r w:rsidRPr="001F1AE1">
              <w:t>Olmesartan with amlodipine and hydrochlorothiazide</w:t>
            </w:r>
          </w:p>
        </w:tc>
        <w:tc>
          <w:tcPr>
            <w:tcW w:w="2537" w:type="dxa"/>
            <w:vAlign w:val="center"/>
          </w:tcPr>
          <w:p w14:paraId="680D9949" w14:textId="0C54F50E" w:rsidR="003F1B53" w:rsidRPr="001F1AE1" w:rsidRDefault="003F1B53" w:rsidP="003F1B53">
            <w:pPr>
              <w:rPr>
                <w:color w:val="000000" w:themeColor="text1"/>
              </w:rPr>
            </w:pPr>
            <w:r w:rsidRPr="001F1AE1">
              <w:t>Tablet containing olmesartan medoxomil 40 mg with amlodipine 5 mg (as besilate) and hydrochlorothiazide 12.5 mg</w:t>
            </w:r>
          </w:p>
        </w:tc>
        <w:tc>
          <w:tcPr>
            <w:tcW w:w="1483" w:type="dxa"/>
          </w:tcPr>
          <w:p w14:paraId="6CBE7130" w14:textId="398E31A6" w:rsidR="003F1B53" w:rsidRPr="001F1AE1" w:rsidRDefault="00B3198A" w:rsidP="003F1B53">
            <w:pPr>
              <w:rPr>
                <w:color w:val="000000" w:themeColor="text1"/>
              </w:rPr>
            </w:pPr>
            <w:r w:rsidRPr="001F1AE1">
              <w:rPr>
                <w:color w:val="000000" w:themeColor="text1"/>
              </w:rPr>
              <w:t>Oral</w:t>
            </w:r>
          </w:p>
        </w:tc>
        <w:tc>
          <w:tcPr>
            <w:tcW w:w="2727" w:type="dxa"/>
          </w:tcPr>
          <w:p w14:paraId="61093F50" w14:textId="56EF9B4F" w:rsidR="003F1B53" w:rsidRPr="001F1AE1" w:rsidRDefault="00B3198A" w:rsidP="003F1B53">
            <w:pPr>
              <w:rPr>
                <w:color w:val="000000" w:themeColor="text1"/>
              </w:rPr>
            </w:pPr>
            <w:proofErr w:type="spellStart"/>
            <w:r w:rsidRPr="001F1AE1">
              <w:rPr>
                <w:color w:val="000000" w:themeColor="text1"/>
              </w:rPr>
              <w:t>Olmekar</w:t>
            </w:r>
            <w:proofErr w:type="spellEnd"/>
            <w:r w:rsidRPr="001F1AE1">
              <w:rPr>
                <w:color w:val="000000" w:themeColor="text1"/>
              </w:rPr>
              <w:t xml:space="preserve"> HCT 40/5/12.5</w:t>
            </w:r>
          </w:p>
        </w:tc>
      </w:tr>
      <w:tr w:rsidR="003F1B53" w:rsidRPr="00C47035" w14:paraId="6394012A" w14:textId="77777777" w:rsidTr="001F1AE1">
        <w:trPr>
          <w:trHeight w:val="865"/>
        </w:trPr>
        <w:tc>
          <w:tcPr>
            <w:tcW w:w="1129" w:type="dxa"/>
          </w:tcPr>
          <w:p w14:paraId="2A2B88A8" w14:textId="37751116" w:rsidR="003F1B53" w:rsidRPr="001F1AE1" w:rsidRDefault="001F6D87" w:rsidP="003F1B53">
            <w:pPr>
              <w:rPr>
                <w:color w:val="000000" w:themeColor="text1"/>
              </w:rPr>
            </w:pPr>
            <w:r w:rsidRPr="001F1AE1">
              <w:rPr>
                <w:color w:val="000000" w:themeColor="text1"/>
              </w:rPr>
              <w:t>13</w:t>
            </w:r>
          </w:p>
        </w:tc>
        <w:tc>
          <w:tcPr>
            <w:tcW w:w="1710" w:type="dxa"/>
          </w:tcPr>
          <w:p w14:paraId="632666A0" w14:textId="7FBE3F41" w:rsidR="003F1B53" w:rsidRPr="001F1AE1" w:rsidRDefault="003F1B53" w:rsidP="003F1B53">
            <w:pPr>
              <w:rPr>
                <w:color w:val="000000" w:themeColor="text1"/>
              </w:rPr>
            </w:pPr>
            <w:r w:rsidRPr="001F1AE1">
              <w:t>Olmesartan with amlodipine and hydrochlorothiazide</w:t>
            </w:r>
          </w:p>
        </w:tc>
        <w:tc>
          <w:tcPr>
            <w:tcW w:w="2537" w:type="dxa"/>
            <w:vAlign w:val="center"/>
          </w:tcPr>
          <w:p w14:paraId="533C00E9" w14:textId="3249D668" w:rsidR="003F1B53" w:rsidRPr="001F1AE1" w:rsidRDefault="003F1B53" w:rsidP="003F1B53">
            <w:pPr>
              <w:rPr>
                <w:color w:val="000000" w:themeColor="text1"/>
              </w:rPr>
            </w:pPr>
            <w:r w:rsidRPr="001F1AE1">
              <w:t>Tablet containing olmesartan medoxomil 40 mg with amlodipine 5 mg (as besilate) and hydrochlorothiazide 12.5 mg</w:t>
            </w:r>
          </w:p>
        </w:tc>
        <w:tc>
          <w:tcPr>
            <w:tcW w:w="1483" w:type="dxa"/>
          </w:tcPr>
          <w:p w14:paraId="3FFBBCFE" w14:textId="0ECBDB8C" w:rsidR="003F1B53" w:rsidRPr="001F1AE1" w:rsidRDefault="00B3198A" w:rsidP="003F1B53">
            <w:pPr>
              <w:rPr>
                <w:color w:val="000000" w:themeColor="text1"/>
              </w:rPr>
            </w:pPr>
            <w:r w:rsidRPr="001F1AE1">
              <w:rPr>
                <w:color w:val="000000" w:themeColor="text1"/>
              </w:rPr>
              <w:t>Oral</w:t>
            </w:r>
          </w:p>
        </w:tc>
        <w:tc>
          <w:tcPr>
            <w:tcW w:w="2727" w:type="dxa"/>
          </w:tcPr>
          <w:p w14:paraId="378E27A7" w14:textId="7F6C2383" w:rsidR="003F1B53" w:rsidRPr="001F1AE1" w:rsidRDefault="00B3198A" w:rsidP="003F1B53">
            <w:pPr>
              <w:rPr>
                <w:color w:val="000000" w:themeColor="text1"/>
              </w:rPr>
            </w:pPr>
            <w:proofErr w:type="spellStart"/>
            <w:r w:rsidRPr="001F1AE1">
              <w:rPr>
                <w:color w:val="000000" w:themeColor="text1"/>
              </w:rPr>
              <w:t>Sevikar</w:t>
            </w:r>
            <w:proofErr w:type="spellEnd"/>
            <w:r w:rsidRPr="001F1AE1">
              <w:rPr>
                <w:color w:val="000000" w:themeColor="text1"/>
              </w:rPr>
              <w:t xml:space="preserve"> HCT 40/5/12.5</w:t>
            </w:r>
          </w:p>
        </w:tc>
      </w:tr>
      <w:tr w:rsidR="00B62070" w:rsidRPr="00C47035" w14:paraId="44890668" w14:textId="77777777" w:rsidTr="001F1AE1">
        <w:trPr>
          <w:trHeight w:val="865"/>
        </w:trPr>
        <w:tc>
          <w:tcPr>
            <w:tcW w:w="1129" w:type="dxa"/>
          </w:tcPr>
          <w:p w14:paraId="3FFD9DBF" w14:textId="79453D73" w:rsidR="00B62070" w:rsidRPr="001F1AE1" w:rsidRDefault="001F6D87" w:rsidP="00B62070">
            <w:pPr>
              <w:rPr>
                <w:color w:val="000000" w:themeColor="text1"/>
              </w:rPr>
            </w:pPr>
            <w:r w:rsidRPr="001F1AE1">
              <w:rPr>
                <w:color w:val="000000" w:themeColor="text1"/>
              </w:rPr>
              <w:t>14</w:t>
            </w:r>
          </w:p>
        </w:tc>
        <w:tc>
          <w:tcPr>
            <w:tcW w:w="1710" w:type="dxa"/>
          </w:tcPr>
          <w:p w14:paraId="7F997B07" w14:textId="11A336DE" w:rsidR="00B62070" w:rsidRPr="001F1AE1" w:rsidRDefault="00B62070" w:rsidP="00B62070">
            <w:pPr>
              <w:rPr>
                <w:color w:val="000000" w:themeColor="text1"/>
              </w:rPr>
            </w:pPr>
            <w:r w:rsidRPr="001F1AE1">
              <w:t>Olmesartan with amlodipine and hydrochlorothiazide</w:t>
            </w:r>
          </w:p>
        </w:tc>
        <w:tc>
          <w:tcPr>
            <w:tcW w:w="2537" w:type="dxa"/>
          </w:tcPr>
          <w:p w14:paraId="3E11C928" w14:textId="109242E7" w:rsidR="00B62070" w:rsidRPr="001F1AE1" w:rsidRDefault="00B62070" w:rsidP="00B62070">
            <w:pPr>
              <w:rPr>
                <w:color w:val="000000" w:themeColor="text1"/>
              </w:rPr>
            </w:pPr>
            <w:r w:rsidRPr="001F1AE1">
              <w:t>Tablet containing olmesartan medoxomil 40 mg with amlodipine 5 mg (as besilate) and hydrochlorothiazide 25 mg</w:t>
            </w:r>
          </w:p>
        </w:tc>
        <w:tc>
          <w:tcPr>
            <w:tcW w:w="1483" w:type="dxa"/>
          </w:tcPr>
          <w:p w14:paraId="4B5EE90F" w14:textId="56DC33EB" w:rsidR="00B62070" w:rsidRPr="001F1AE1" w:rsidRDefault="00B62070" w:rsidP="00B62070">
            <w:pPr>
              <w:rPr>
                <w:color w:val="000000" w:themeColor="text1"/>
              </w:rPr>
            </w:pPr>
            <w:r w:rsidRPr="001F1AE1">
              <w:rPr>
                <w:color w:val="000000" w:themeColor="text1"/>
              </w:rPr>
              <w:t>Oral</w:t>
            </w:r>
          </w:p>
        </w:tc>
        <w:tc>
          <w:tcPr>
            <w:tcW w:w="2727" w:type="dxa"/>
          </w:tcPr>
          <w:p w14:paraId="131FC303" w14:textId="36BC8B98" w:rsidR="00B62070" w:rsidRPr="001F1AE1" w:rsidRDefault="00B62070" w:rsidP="00B62070">
            <w:pPr>
              <w:rPr>
                <w:color w:val="000000" w:themeColor="text1"/>
              </w:rPr>
            </w:pPr>
            <w:r w:rsidRPr="001F1AE1">
              <w:t>APO-Olmesartan/Amlodipine/HCTZ 40/5/25 tablet</w:t>
            </w:r>
          </w:p>
        </w:tc>
      </w:tr>
      <w:tr w:rsidR="00B62070" w:rsidRPr="00C47035" w14:paraId="2F1F44A3" w14:textId="77777777" w:rsidTr="001F1AE1">
        <w:trPr>
          <w:trHeight w:val="865"/>
        </w:trPr>
        <w:tc>
          <w:tcPr>
            <w:tcW w:w="1129" w:type="dxa"/>
          </w:tcPr>
          <w:p w14:paraId="57C7A616" w14:textId="472287DD" w:rsidR="00B62070" w:rsidRPr="001F1AE1" w:rsidRDefault="001F6D87" w:rsidP="00B62070">
            <w:pPr>
              <w:rPr>
                <w:color w:val="000000" w:themeColor="text1"/>
              </w:rPr>
            </w:pPr>
            <w:r w:rsidRPr="001F1AE1">
              <w:rPr>
                <w:color w:val="000000" w:themeColor="text1"/>
              </w:rPr>
              <w:t>15</w:t>
            </w:r>
          </w:p>
        </w:tc>
        <w:tc>
          <w:tcPr>
            <w:tcW w:w="1710" w:type="dxa"/>
          </w:tcPr>
          <w:p w14:paraId="213B7FD2" w14:textId="3D7C9A19" w:rsidR="00B62070" w:rsidRPr="001F1AE1" w:rsidRDefault="00B62070" w:rsidP="00B62070">
            <w:pPr>
              <w:rPr>
                <w:color w:val="000000" w:themeColor="text1"/>
              </w:rPr>
            </w:pPr>
            <w:r w:rsidRPr="001F1AE1">
              <w:t>Olmesartan with amlodipine and hydrochlorothiazide</w:t>
            </w:r>
          </w:p>
        </w:tc>
        <w:tc>
          <w:tcPr>
            <w:tcW w:w="2537" w:type="dxa"/>
          </w:tcPr>
          <w:p w14:paraId="02A36F5D" w14:textId="561D53C9" w:rsidR="00B62070" w:rsidRPr="001F1AE1" w:rsidRDefault="00B62070" w:rsidP="00B62070">
            <w:pPr>
              <w:rPr>
                <w:color w:val="000000" w:themeColor="text1"/>
              </w:rPr>
            </w:pPr>
            <w:r w:rsidRPr="001F1AE1">
              <w:t>Tablet containing olmesartan medoxomil 40 mg with amlodipine 5 mg (as besilate) and hydrochlorothiazide 25 mg</w:t>
            </w:r>
          </w:p>
        </w:tc>
        <w:tc>
          <w:tcPr>
            <w:tcW w:w="1483" w:type="dxa"/>
          </w:tcPr>
          <w:p w14:paraId="52F3EE9E" w14:textId="718FE021" w:rsidR="00B62070" w:rsidRPr="001F1AE1" w:rsidRDefault="00B62070" w:rsidP="00B62070">
            <w:pPr>
              <w:rPr>
                <w:color w:val="000000" w:themeColor="text1"/>
              </w:rPr>
            </w:pPr>
            <w:r w:rsidRPr="001F1AE1">
              <w:rPr>
                <w:color w:val="000000" w:themeColor="text1"/>
              </w:rPr>
              <w:t>Oral</w:t>
            </w:r>
          </w:p>
        </w:tc>
        <w:tc>
          <w:tcPr>
            <w:tcW w:w="2727" w:type="dxa"/>
          </w:tcPr>
          <w:p w14:paraId="73160734" w14:textId="7A441B42" w:rsidR="00B62070" w:rsidRPr="001F1AE1" w:rsidRDefault="00B62070" w:rsidP="00B62070">
            <w:pPr>
              <w:rPr>
                <w:color w:val="000000" w:themeColor="text1"/>
              </w:rPr>
            </w:pPr>
            <w:proofErr w:type="spellStart"/>
            <w:r w:rsidRPr="001F1AE1">
              <w:t>Olamlo</w:t>
            </w:r>
            <w:proofErr w:type="spellEnd"/>
            <w:r w:rsidRPr="001F1AE1">
              <w:t xml:space="preserve"> HCT 40/5/25</w:t>
            </w:r>
          </w:p>
        </w:tc>
      </w:tr>
      <w:tr w:rsidR="00B62070" w:rsidRPr="00C47035" w14:paraId="2137926A" w14:textId="77777777" w:rsidTr="001F1AE1">
        <w:trPr>
          <w:trHeight w:val="865"/>
        </w:trPr>
        <w:tc>
          <w:tcPr>
            <w:tcW w:w="1129" w:type="dxa"/>
          </w:tcPr>
          <w:p w14:paraId="5D98E6AC" w14:textId="5E2DB65D" w:rsidR="00B62070" w:rsidRPr="001F1AE1" w:rsidRDefault="001F6D87" w:rsidP="00B62070">
            <w:pPr>
              <w:rPr>
                <w:color w:val="000000" w:themeColor="text1"/>
              </w:rPr>
            </w:pPr>
            <w:r w:rsidRPr="001F1AE1">
              <w:rPr>
                <w:color w:val="000000" w:themeColor="text1"/>
              </w:rPr>
              <w:t>16</w:t>
            </w:r>
          </w:p>
        </w:tc>
        <w:tc>
          <w:tcPr>
            <w:tcW w:w="1710" w:type="dxa"/>
          </w:tcPr>
          <w:p w14:paraId="4DD63CEF" w14:textId="07251D7C" w:rsidR="00B62070" w:rsidRPr="001F1AE1" w:rsidRDefault="00B62070" w:rsidP="00B62070">
            <w:pPr>
              <w:rPr>
                <w:color w:val="000000" w:themeColor="text1"/>
              </w:rPr>
            </w:pPr>
            <w:r w:rsidRPr="001F1AE1">
              <w:t>Olmesartan with amlodipine and hydrochlorothiazide</w:t>
            </w:r>
          </w:p>
        </w:tc>
        <w:tc>
          <w:tcPr>
            <w:tcW w:w="2537" w:type="dxa"/>
          </w:tcPr>
          <w:p w14:paraId="2EEC7E9B" w14:textId="3E2424E1" w:rsidR="00B62070" w:rsidRPr="001F1AE1" w:rsidRDefault="00B62070" w:rsidP="00B62070">
            <w:pPr>
              <w:rPr>
                <w:color w:val="000000" w:themeColor="text1"/>
              </w:rPr>
            </w:pPr>
            <w:r w:rsidRPr="001F1AE1">
              <w:t>Tablet containing olmesartan medoxomil 40 mg with amlodipine 5 mg (as besilate) and hydrochlorothiazide 25 mg</w:t>
            </w:r>
          </w:p>
        </w:tc>
        <w:tc>
          <w:tcPr>
            <w:tcW w:w="1483" w:type="dxa"/>
          </w:tcPr>
          <w:p w14:paraId="41C1DBB9" w14:textId="31B02A2C" w:rsidR="00B62070" w:rsidRPr="001F1AE1" w:rsidRDefault="00B62070" w:rsidP="00B62070">
            <w:pPr>
              <w:rPr>
                <w:color w:val="000000" w:themeColor="text1"/>
              </w:rPr>
            </w:pPr>
            <w:r w:rsidRPr="001F1AE1">
              <w:rPr>
                <w:color w:val="000000" w:themeColor="text1"/>
              </w:rPr>
              <w:t>Oral</w:t>
            </w:r>
          </w:p>
        </w:tc>
        <w:tc>
          <w:tcPr>
            <w:tcW w:w="2727" w:type="dxa"/>
          </w:tcPr>
          <w:p w14:paraId="451712C3" w14:textId="21D6B966" w:rsidR="00B62070" w:rsidRPr="001F1AE1" w:rsidRDefault="00B62070" w:rsidP="00B62070">
            <w:pPr>
              <w:rPr>
                <w:color w:val="000000" w:themeColor="text1"/>
              </w:rPr>
            </w:pPr>
            <w:proofErr w:type="spellStart"/>
            <w:r w:rsidRPr="001F1AE1">
              <w:t>Olmekar</w:t>
            </w:r>
            <w:proofErr w:type="spellEnd"/>
            <w:r w:rsidRPr="001F1AE1">
              <w:t xml:space="preserve"> HCT 40/5/25</w:t>
            </w:r>
          </w:p>
        </w:tc>
      </w:tr>
      <w:tr w:rsidR="00B62070" w:rsidRPr="00C47035" w14:paraId="0197627D" w14:textId="77777777" w:rsidTr="001F1AE1">
        <w:trPr>
          <w:trHeight w:val="865"/>
        </w:trPr>
        <w:tc>
          <w:tcPr>
            <w:tcW w:w="1129" w:type="dxa"/>
          </w:tcPr>
          <w:p w14:paraId="484368A4" w14:textId="6D0847FA" w:rsidR="00B62070" w:rsidRPr="001F1AE1" w:rsidRDefault="001F6D87" w:rsidP="00B62070">
            <w:pPr>
              <w:rPr>
                <w:color w:val="000000" w:themeColor="text1"/>
              </w:rPr>
            </w:pPr>
            <w:r w:rsidRPr="001F1AE1">
              <w:rPr>
                <w:color w:val="000000" w:themeColor="text1"/>
              </w:rPr>
              <w:t>17</w:t>
            </w:r>
          </w:p>
        </w:tc>
        <w:tc>
          <w:tcPr>
            <w:tcW w:w="1710" w:type="dxa"/>
          </w:tcPr>
          <w:p w14:paraId="5D124454" w14:textId="35E8DBF0" w:rsidR="00B62070" w:rsidRPr="001F1AE1" w:rsidRDefault="00B62070" w:rsidP="00B62070">
            <w:pPr>
              <w:rPr>
                <w:color w:val="000000" w:themeColor="text1"/>
              </w:rPr>
            </w:pPr>
            <w:r w:rsidRPr="001F1AE1">
              <w:t>Olmesartan with amlodipine and hydrochlorothiazide</w:t>
            </w:r>
          </w:p>
        </w:tc>
        <w:tc>
          <w:tcPr>
            <w:tcW w:w="2537" w:type="dxa"/>
          </w:tcPr>
          <w:p w14:paraId="20D421CF" w14:textId="0BA7A3EF" w:rsidR="00B62070" w:rsidRPr="001F1AE1" w:rsidRDefault="00B62070" w:rsidP="00B62070">
            <w:pPr>
              <w:rPr>
                <w:color w:val="000000" w:themeColor="text1"/>
              </w:rPr>
            </w:pPr>
            <w:r w:rsidRPr="001F1AE1">
              <w:t>Tablet containing olmesartan medoxomil 40 mg with amlodipine 5 mg (as besilate) and hydrochlorothiazide 25 mg</w:t>
            </w:r>
          </w:p>
        </w:tc>
        <w:tc>
          <w:tcPr>
            <w:tcW w:w="1483" w:type="dxa"/>
          </w:tcPr>
          <w:p w14:paraId="0521CD22" w14:textId="7FA1BF3C" w:rsidR="00B62070" w:rsidRPr="001F1AE1" w:rsidRDefault="00B62070" w:rsidP="00B62070">
            <w:pPr>
              <w:rPr>
                <w:color w:val="000000" w:themeColor="text1"/>
              </w:rPr>
            </w:pPr>
            <w:r w:rsidRPr="001F1AE1">
              <w:rPr>
                <w:color w:val="000000" w:themeColor="text1"/>
              </w:rPr>
              <w:t>Oral</w:t>
            </w:r>
          </w:p>
        </w:tc>
        <w:tc>
          <w:tcPr>
            <w:tcW w:w="2727" w:type="dxa"/>
          </w:tcPr>
          <w:p w14:paraId="7CC7370A" w14:textId="459352CC" w:rsidR="00B62070" w:rsidRPr="001F1AE1" w:rsidRDefault="00B62070" w:rsidP="00B62070">
            <w:pPr>
              <w:rPr>
                <w:color w:val="000000" w:themeColor="text1"/>
              </w:rPr>
            </w:pPr>
            <w:proofErr w:type="spellStart"/>
            <w:r w:rsidRPr="001F1AE1">
              <w:t>Sevikar</w:t>
            </w:r>
            <w:proofErr w:type="spellEnd"/>
            <w:r w:rsidRPr="001F1AE1">
              <w:t xml:space="preserve"> HCT 40/5/25</w:t>
            </w:r>
          </w:p>
        </w:tc>
      </w:tr>
      <w:tr w:rsidR="003F3CA6" w:rsidRPr="00C47035" w14:paraId="000A35E2" w14:textId="77777777" w:rsidTr="001F1AE1">
        <w:trPr>
          <w:trHeight w:val="865"/>
        </w:trPr>
        <w:tc>
          <w:tcPr>
            <w:tcW w:w="1129" w:type="dxa"/>
          </w:tcPr>
          <w:p w14:paraId="0173C6D5" w14:textId="2B8D2B34" w:rsidR="003F3CA6" w:rsidRPr="001F1AE1" w:rsidRDefault="001F6D87" w:rsidP="003F3CA6">
            <w:pPr>
              <w:rPr>
                <w:color w:val="000000" w:themeColor="text1"/>
              </w:rPr>
            </w:pPr>
            <w:r w:rsidRPr="001F1AE1">
              <w:rPr>
                <w:color w:val="000000" w:themeColor="text1"/>
              </w:rPr>
              <w:t>18</w:t>
            </w:r>
          </w:p>
        </w:tc>
        <w:tc>
          <w:tcPr>
            <w:tcW w:w="1710" w:type="dxa"/>
          </w:tcPr>
          <w:p w14:paraId="519F8E81" w14:textId="6FA6D0C8" w:rsidR="003F3CA6" w:rsidRPr="001F1AE1" w:rsidRDefault="003F3CA6" w:rsidP="003F3CA6">
            <w:pPr>
              <w:rPr>
                <w:color w:val="000000" w:themeColor="text1"/>
              </w:rPr>
            </w:pPr>
            <w:r w:rsidRPr="001F1AE1">
              <w:t>Sitagliptin with metformin</w:t>
            </w:r>
          </w:p>
        </w:tc>
        <w:tc>
          <w:tcPr>
            <w:tcW w:w="2537" w:type="dxa"/>
          </w:tcPr>
          <w:p w14:paraId="712ABC62" w14:textId="4D02B1AC" w:rsidR="003F3CA6" w:rsidRPr="001F1AE1" w:rsidRDefault="003F3CA6" w:rsidP="003F3CA6">
            <w:pPr>
              <w:rPr>
                <w:color w:val="000000" w:themeColor="text1"/>
              </w:rPr>
            </w:pPr>
            <w:r w:rsidRPr="001F1AE1">
              <w:t>Tablet (modified release) containing 100 mg sitagliptin with 1000 mg metformin hydrochloride</w:t>
            </w:r>
          </w:p>
        </w:tc>
        <w:tc>
          <w:tcPr>
            <w:tcW w:w="1483" w:type="dxa"/>
          </w:tcPr>
          <w:p w14:paraId="0F89F8E3" w14:textId="2068E9C2" w:rsidR="003F3CA6" w:rsidRPr="001F1AE1" w:rsidRDefault="003F3CA6" w:rsidP="003F3CA6">
            <w:pPr>
              <w:rPr>
                <w:color w:val="000000" w:themeColor="text1"/>
              </w:rPr>
            </w:pPr>
            <w:r w:rsidRPr="001F1AE1">
              <w:rPr>
                <w:color w:val="000000" w:themeColor="text1"/>
              </w:rPr>
              <w:t>Oral</w:t>
            </w:r>
          </w:p>
        </w:tc>
        <w:tc>
          <w:tcPr>
            <w:tcW w:w="2727" w:type="dxa"/>
          </w:tcPr>
          <w:p w14:paraId="3B1DC48D" w14:textId="02F2F35F" w:rsidR="003F3CA6" w:rsidRPr="001F1AE1" w:rsidRDefault="003F3CA6" w:rsidP="003F3CA6">
            <w:pPr>
              <w:rPr>
                <w:color w:val="000000" w:themeColor="text1"/>
              </w:rPr>
            </w:pPr>
            <w:r w:rsidRPr="001F1AE1">
              <w:t>Janumet XR</w:t>
            </w:r>
          </w:p>
        </w:tc>
      </w:tr>
      <w:tr w:rsidR="003F3CA6" w:rsidRPr="00C47035" w14:paraId="42723293" w14:textId="77777777" w:rsidTr="001F1AE1">
        <w:trPr>
          <w:trHeight w:val="865"/>
        </w:trPr>
        <w:tc>
          <w:tcPr>
            <w:tcW w:w="1129" w:type="dxa"/>
          </w:tcPr>
          <w:p w14:paraId="22C1DEB8" w14:textId="12AD146B" w:rsidR="003F3CA6" w:rsidRPr="001F1AE1" w:rsidRDefault="001F6D87" w:rsidP="003F3CA6">
            <w:pPr>
              <w:rPr>
                <w:color w:val="000000" w:themeColor="text1"/>
              </w:rPr>
            </w:pPr>
            <w:r w:rsidRPr="001F1AE1">
              <w:rPr>
                <w:color w:val="000000" w:themeColor="text1"/>
              </w:rPr>
              <w:lastRenderedPageBreak/>
              <w:t>19</w:t>
            </w:r>
          </w:p>
        </w:tc>
        <w:tc>
          <w:tcPr>
            <w:tcW w:w="1710" w:type="dxa"/>
          </w:tcPr>
          <w:p w14:paraId="0289F47E" w14:textId="6DA47FB7" w:rsidR="003F3CA6" w:rsidRPr="001F1AE1" w:rsidRDefault="003F3CA6" w:rsidP="003F3CA6">
            <w:pPr>
              <w:rPr>
                <w:color w:val="000000" w:themeColor="text1"/>
              </w:rPr>
            </w:pPr>
            <w:r w:rsidRPr="001F1AE1">
              <w:t>Sitagliptin with metformin</w:t>
            </w:r>
          </w:p>
        </w:tc>
        <w:tc>
          <w:tcPr>
            <w:tcW w:w="2537" w:type="dxa"/>
          </w:tcPr>
          <w:p w14:paraId="01753701" w14:textId="7B66DEC9" w:rsidR="003F3CA6" w:rsidRPr="001F1AE1" w:rsidRDefault="003F3CA6" w:rsidP="003F3CA6">
            <w:pPr>
              <w:rPr>
                <w:color w:val="000000" w:themeColor="text1"/>
              </w:rPr>
            </w:pPr>
            <w:r w:rsidRPr="001F1AE1">
              <w:t>Tablet (modified release) containing 100 mg sitagliptin with 1000 mg metformin hydrochloride</w:t>
            </w:r>
          </w:p>
        </w:tc>
        <w:tc>
          <w:tcPr>
            <w:tcW w:w="1483" w:type="dxa"/>
          </w:tcPr>
          <w:p w14:paraId="08CBE1CF" w14:textId="04B0321A" w:rsidR="003F3CA6" w:rsidRPr="001F1AE1" w:rsidRDefault="003F3CA6" w:rsidP="003F3CA6">
            <w:pPr>
              <w:rPr>
                <w:color w:val="000000" w:themeColor="text1"/>
              </w:rPr>
            </w:pPr>
            <w:r w:rsidRPr="001F1AE1">
              <w:rPr>
                <w:color w:val="000000" w:themeColor="text1"/>
              </w:rPr>
              <w:t>Oral</w:t>
            </w:r>
          </w:p>
        </w:tc>
        <w:tc>
          <w:tcPr>
            <w:tcW w:w="2727" w:type="dxa"/>
          </w:tcPr>
          <w:p w14:paraId="10A26E67" w14:textId="3D6F3B1C" w:rsidR="003F3CA6" w:rsidRPr="001F1AE1" w:rsidRDefault="003F3CA6" w:rsidP="003F3CA6">
            <w:pPr>
              <w:rPr>
                <w:color w:val="000000" w:themeColor="text1"/>
              </w:rPr>
            </w:pPr>
            <w:r w:rsidRPr="001F1AE1">
              <w:t>Sitagliptin/Metformin Sandoz XR</w:t>
            </w:r>
          </w:p>
        </w:tc>
      </w:tr>
      <w:tr w:rsidR="003F3CA6" w:rsidRPr="00C47035" w14:paraId="7D267F92" w14:textId="77777777" w:rsidTr="001F1AE1">
        <w:trPr>
          <w:trHeight w:val="865"/>
        </w:trPr>
        <w:tc>
          <w:tcPr>
            <w:tcW w:w="1129" w:type="dxa"/>
          </w:tcPr>
          <w:p w14:paraId="2D58F2AC" w14:textId="1A11DA5B" w:rsidR="003F3CA6" w:rsidRPr="001F1AE1" w:rsidRDefault="001F6D87" w:rsidP="003F3CA6">
            <w:pPr>
              <w:rPr>
                <w:color w:val="000000" w:themeColor="text1"/>
              </w:rPr>
            </w:pPr>
            <w:r w:rsidRPr="001F1AE1">
              <w:rPr>
                <w:color w:val="000000" w:themeColor="text1"/>
              </w:rPr>
              <w:t>20</w:t>
            </w:r>
          </w:p>
        </w:tc>
        <w:tc>
          <w:tcPr>
            <w:tcW w:w="1710" w:type="dxa"/>
          </w:tcPr>
          <w:p w14:paraId="48626FF3" w14:textId="5AC48172" w:rsidR="003F3CA6" w:rsidRPr="001F1AE1" w:rsidRDefault="003F3CA6" w:rsidP="003F3CA6">
            <w:pPr>
              <w:rPr>
                <w:color w:val="000000" w:themeColor="text1"/>
              </w:rPr>
            </w:pPr>
            <w:r w:rsidRPr="001F1AE1">
              <w:t>Sitagliptin with metformin</w:t>
            </w:r>
          </w:p>
        </w:tc>
        <w:tc>
          <w:tcPr>
            <w:tcW w:w="2537" w:type="dxa"/>
          </w:tcPr>
          <w:p w14:paraId="036D915A" w14:textId="347DB3EA" w:rsidR="003F3CA6" w:rsidRPr="001F1AE1" w:rsidRDefault="003F3CA6" w:rsidP="003F3CA6">
            <w:pPr>
              <w:rPr>
                <w:color w:val="000000" w:themeColor="text1"/>
              </w:rPr>
            </w:pPr>
            <w:r w:rsidRPr="001F1AE1">
              <w:t>Tablet (modified release) containing 50 mg sitagliptin with 1000 mg metformin hydrochloride</w:t>
            </w:r>
          </w:p>
        </w:tc>
        <w:tc>
          <w:tcPr>
            <w:tcW w:w="1483" w:type="dxa"/>
          </w:tcPr>
          <w:p w14:paraId="1D6DD588" w14:textId="107894F1" w:rsidR="003F3CA6" w:rsidRPr="001F1AE1" w:rsidRDefault="003F3CA6" w:rsidP="003F3CA6">
            <w:pPr>
              <w:rPr>
                <w:color w:val="000000" w:themeColor="text1"/>
              </w:rPr>
            </w:pPr>
            <w:r w:rsidRPr="001F1AE1">
              <w:rPr>
                <w:color w:val="000000" w:themeColor="text1"/>
              </w:rPr>
              <w:t>Oral</w:t>
            </w:r>
          </w:p>
        </w:tc>
        <w:tc>
          <w:tcPr>
            <w:tcW w:w="2727" w:type="dxa"/>
          </w:tcPr>
          <w:p w14:paraId="19A57FDA" w14:textId="6F3B7278" w:rsidR="003F3CA6" w:rsidRPr="001F1AE1" w:rsidRDefault="003F3CA6" w:rsidP="003F3CA6">
            <w:pPr>
              <w:rPr>
                <w:color w:val="000000" w:themeColor="text1"/>
              </w:rPr>
            </w:pPr>
            <w:r w:rsidRPr="001F1AE1">
              <w:t>Janumet XR</w:t>
            </w:r>
          </w:p>
        </w:tc>
      </w:tr>
      <w:tr w:rsidR="003F3CA6" w:rsidRPr="00C47035" w14:paraId="334CFC54" w14:textId="77777777" w:rsidTr="001F1AE1">
        <w:trPr>
          <w:trHeight w:val="865"/>
        </w:trPr>
        <w:tc>
          <w:tcPr>
            <w:tcW w:w="1129" w:type="dxa"/>
          </w:tcPr>
          <w:p w14:paraId="48F8F8C7" w14:textId="28D15CEB" w:rsidR="003F3CA6" w:rsidRPr="001F1AE1" w:rsidRDefault="001F6D87" w:rsidP="003F3CA6">
            <w:pPr>
              <w:rPr>
                <w:color w:val="000000" w:themeColor="text1"/>
              </w:rPr>
            </w:pPr>
            <w:r w:rsidRPr="001F1AE1">
              <w:rPr>
                <w:color w:val="000000" w:themeColor="text1"/>
              </w:rPr>
              <w:t>21</w:t>
            </w:r>
          </w:p>
        </w:tc>
        <w:tc>
          <w:tcPr>
            <w:tcW w:w="1710" w:type="dxa"/>
          </w:tcPr>
          <w:p w14:paraId="126CC423" w14:textId="3FA6D6E5" w:rsidR="003F3CA6" w:rsidRPr="001F1AE1" w:rsidRDefault="003F3CA6" w:rsidP="003F3CA6">
            <w:pPr>
              <w:rPr>
                <w:color w:val="000000" w:themeColor="text1"/>
              </w:rPr>
            </w:pPr>
            <w:r w:rsidRPr="001F1AE1">
              <w:t>Sitagliptin with metformin</w:t>
            </w:r>
          </w:p>
        </w:tc>
        <w:tc>
          <w:tcPr>
            <w:tcW w:w="2537" w:type="dxa"/>
          </w:tcPr>
          <w:p w14:paraId="71AD1E05" w14:textId="556BEB41" w:rsidR="003F3CA6" w:rsidRPr="001F1AE1" w:rsidRDefault="003F3CA6" w:rsidP="003F3CA6">
            <w:pPr>
              <w:rPr>
                <w:color w:val="000000" w:themeColor="text1"/>
              </w:rPr>
            </w:pPr>
            <w:r w:rsidRPr="001F1AE1">
              <w:t>Tablet (modified release) containing 50 mg sitagliptin with 1000 mg metformin hydrochloride</w:t>
            </w:r>
          </w:p>
        </w:tc>
        <w:tc>
          <w:tcPr>
            <w:tcW w:w="1483" w:type="dxa"/>
          </w:tcPr>
          <w:p w14:paraId="1965A592" w14:textId="0B8EFBD2" w:rsidR="003F3CA6" w:rsidRPr="001F1AE1" w:rsidRDefault="003F3CA6" w:rsidP="003F3CA6">
            <w:pPr>
              <w:rPr>
                <w:color w:val="000000" w:themeColor="text1"/>
              </w:rPr>
            </w:pPr>
            <w:r w:rsidRPr="001F1AE1">
              <w:rPr>
                <w:color w:val="000000" w:themeColor="text1"/>
              </w:rPr>
              <w:t>Oral</w:t>
            </w:r>
          </w:p>
        </w:tc>
        <w:tc>
          <w:tcPr>
            <w:tcW w:w="2727" w:type="dxa"/>
          </w:tcPr>
          <w:p w14:paraId="6B8DA056" w14:textId="56A35982" w:rsidR="003F3CA6" w:rsidRPr="001F1AE1" w:rsidRDefault="003F3CA6" w:rsidP="003F3CA6">
            <w:pPr>
              <w:rPr>
                <w:color w:val="000000" w:themeColor="text1"/>
              </w:rPr>
            </w:pPr>
            <w:r w:rsidRPr="001F1AE1">
              <w:t>Sitagliptin/Metformin Sandoz XR</w:t>
            </w:r>
          </w:p>
        </w:tc>
      </w:tr>
    </w:tbl>
    <w:p w14:paraId="607C70D3" w14:textId="77777777" w:rsidR="00CF2CD2" w:rsidRPr="00C47035" w:rsidRDefault="00CF2CD2" w:rsidP="00CF2CD2">
      <w:pPr>
        <w:rPr>
          <w:color w:val="000000" w:themeColor="text1"/>
        </w:rPr>
      </w:pPr>
    </w:p>
    <w:p w14:paraId="0AAD04DE" w14:textId="77777777" w:rsidR="00280050" w:rsidRDefault="00280050"/>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5114" w14:textId="77777777" w:rsidR="0082474F" w:rsidRDefault="0082474F" w:rsidP="00CF2CD2">
      <w:r>
        <w:separator/>
      </w:r>
    </w:p>
  </w:endnote>
  <w:endnote w:type="continuationSeparator" w:id="0">
    <w:p w14:paraId="50D571E0" w14:textId="77777777" w:rsidR="0082474F" w:rsidRDefault="0082474F" w:rsidP="00C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9F57" w14:textId="77777777" w:rsidR="00095D9B" w:rsidRDefault="00000000" w:rsidP="00840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69EA8" w14:textId="77777777" w:rsidR="00095D9B" w:rsidRDefault="00095D9B" w:rsidP="0084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1C0" w14:textId="77777777" w:rsidR="00095D9B" w:rsidRDefault="00095D9B" w:rsidP="00840B79">
    <w:pPr>
      <w:pStyle w:val="Footer"/>
      <w:framePr w:wrap="around" w:vAnchor="text" w:hAnchor="margin" w:xAlign="right" w:y="1"/>
      <w:rPr>
        <w:rStyle w:val="PageNumber"/>
      </w:rPr>
    </w:pPr>
  </w:p>
  <w:p w14:paraId="632CF6BD" w14:textId="4999FBD1" w:rsidR="00095D9B" w:rsidRPr="001F1AE1" w:rsidRDefault="00000000" w:rsidP="00941515">
    <w:pPr>
      <w:pStyle w:val="Title"/>
      <w:pBdr>
        <w:top w:val="single" w:sz="4" w:space="0" w:color="auto"/>
      </w:pBdr>
      <w:tabs>
        <w:tab w:val="right" w:pos="9026"/>
      </w:tabs>
      <w:spacing w:before="80"/>
      <w:rPr>
        <w:rFonts w:ascii="Times New Roman" w:hAnsi="Times New Roman" w:cs="Times New Roman"/>
        <w:b w:val="0"/>
        <w:i/>
        <w:sz w:val="20"/>
        <w:szCs w:val="20"/>
      </w:rPr>
    </w:pPr>
    <w:r w:rsidRPr="001F1AE1">
      <w:rPr>
        <w:rFonts w:ascii="Times New Roman" w:hAnsi="Times New Roman" w:cs="Times New Roman"/>
        <w:b w:val="0"/>
        <w:i/>
        <w:sz w:val="20"/>
        <w:szCs w:val="20"/>
      </w:rPr>
      <w:t>National Health (</w:t>
    </w:r>
    <w:r w:rsidR="00CF2CD2" w:rsidRPr="001F1AE1">
      <w:rPr>
        <w:rFonts w:ascii="Times New Roman" w:hAnsi="Times New Roman" w:cs="Times New Roman"/>
        <w:b w:val="0"/>
        <w:i/>
        <w:sz w:val="20"/>
        <w:szCs w:val="20"/>
      </w:rPr>
      <w:t>April 2024</w:t>
    </w:r>
    <w:r w:rsidRPr="001F1AE1">
      <w:rPr>
        <w:rFonts w:ascii="Times New Roman" w:hAnsi="Times New Roman" w:cs="Times New Roman"/>
        <w:b w:val="0"/>
        <w:i/>
        <w:sz w:val="20"/>
        <w:szCs w:val="20"/>
      </w:rPr>
      <w:t xml:space="preserve"> Flow on price reductions for brands of combination items) Determination 202</w:t>
    </w:r>
    <w:r w:rsidR="00CF2CD2" w:rsidRPr="001F1AE1">
      <w:rPr>
        <w:rFonts w:ascii="Times New Roman" w:hAnsi="Times New Roman" w:cs="Times New Roman"/>
        <w:b w:val="0"/>
        <w:i/>
        <w:sz w:val="20"/>
        <w:szCs w:val="20"/>
      </w:rPr>
      <w:t>4</w:t>
    </w:r>
    <w:r w:rsidRPr="001F1AE1">
      <w:rPr>
        <w:rFonts w:ascii="Times New Roman" w:hAnsi="Times New Roman" w:cs="Times New Roman"/>
        <w:b w:val="0"/>
        <w:i/>
        <w:sz w:val="20"/>
        <w:szCs w:val="20"/>
      </w:rPr>
      <w:t xml:space="preserve"> </w:t>
    </w:r>
  </w:p>
  <w:p w14:paraId="4F029164" w14:textId="77777777" w:rsidR="00095D9B" w:rsidRPr="00941515" w:rsidRDefault="00000000" w:rsidP="00D05E21">
    <w:pPr>
      <w:pStyle w:val="Title"/>
      <w:pBdr>
        <w:top w:val="single" w:sz="4" w:space="0" w:color="auto"/>
      </w:pBdr>
      <w:tabs>
        <w:tab w:val="left" w:pos="4875"/>
        <w:tab w:val="right" w:pos="9026"/>
      </w:tabs>
      <w:spacing w:before="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Style w:val="PageNumber"/>
        <w:rFonts w:ascii="Times New Roman" w:hAnsi="Times New Roman" w:cs="Times New Roman"/>
        <w:b w:val="0"/>
        <w:bCs w:val="0"/>
        <w:sz w:val="24"/>
        <w:szCs w:val="24"/>
      </w:rPr>
      <w:fldChar w:fldCharType="begin"/>
    </w:r>
    <w:r>
      <w:rPr>
        <w:rStyle w:val="PageNumber"/>
        <w:rFonts w:ascii="Times New Roman" w:hAnsi="Times New Roman" w:cs="Times New Roman"/>
        <w:b w:val="0"/>
        <w:bCs w:val="0"/>
        <w:sz w:val="24"/>
        <w:szCs w:val="24"/>
      </w:rPr>
      <w:instrText xml:space="preserve"> PAGE </w:instrText>
    </w:r>
    <w:r>
      <w:rPr>
        <w:rStyle w:val="PageNumber"/>
        <w:rFonts w:ascii="Times New Roman" w:hAnsi="Times New Roman" w:cs="Times New Roman"/>
        <w:b w:val="0"/>
        <w:bCs w:val="0"/>
        <w:sz w:val="24"/>
        <w:szCs w:val="24"/>
      </w:rPr>
      <w:fldChar w:fldCharType="separate"/>
    </w:r>
    <w:r>
      <w:rPr>
        <w:rStyle w:val="PageNumber"/>
        <w:rFonts w:ascii="Times New Roman" w:hAnsi="Times New Roman" w:cs="Times New Roman"/>
        <w:b w:val="0"/>
        <w:bCs w:val="0"/>
        <w:noProof/>
        <w:sz w:val="24"/>
        <w:szCs w:val="24"/>
      </w:rPr>
      <w:t>2</w:t>
    </w:r>
    <w:r>
      <w:rPr>
        <w:rStyle w:val="PageNumber"/>
        <w:rFonts w:ascii="Times New Roman" w:hAnsi="Times New Roman" w:cs="Times New Roman"/>
        <w:b w:val="0"/>
        <w:bCs w:val="0"/>
        <w:sz w:val="24"/>
        <w:szCs w:val="24"/>
      </w:rPr>
      <w:fldChar w:fldCharType="end"/>
    </w:r>
    <w:r w:rsidRPr="00941515">
      <w:rPr>
        <w:rFonts w:ascii="Times New Roman" w:hAnsi="Times New Roman" w:cs="Times New Roman"/>
        <w:b w:val="0"/>
        <w:position w:val="6"/>
        <w:sz w:val="24"/>
        <w:szCs w:val="24"/>
        <w:vertAlign w:val="superscript"/>
      </w:rPr>
      <w:t xml:space="preserve">  </w:t>
    </w:r>
    <w:r>
      <w:rPr>
        <w:rFonts w:ascii="Times New Roman" w:hAnsi="Times New Roman" w:cs="Times New Roman"/>
        <w:b w:val="0"/>
        <w:position w:val="6"/>
        <w:sz w:val="24"/>
        <w:szCs w:val="24"/>
        <w:vertAlign w:val="superscrip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4726" w14:textId="77777777" w:rsidR="00095D9B" w:rsidRDefault="00095D9B">
    <w:pPr>
      <w:pStyle w:val="Footer"/>
      <w:jc w:val="right"/>
    </w:pPr>
  </w:p>
  <w:p w14:paraId="082C38E7" w14:textId="77777777" w:rsidR="00095D9B" w:rsidRDefault="0009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BD46" w14:textId="77777777" w:rsidR="0082474F" w:rsidRDefault="0082474F" w:rsidP="00CF2CD2">
      <w:r>
        <w:separator/>
      </w:r>
    </w:p>
  </w:footnote>
  <w:footnote w:type="continuationSeparator" w:id="0">
    <w:p w14:paraId="03912F28" w14:textId="77777777" w:rsidR="0082474F" w:rsidRDefault="0082474F" w:rsidP="00CF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E716" w14:textId="77777777" w:rsidR="00095D9B" w:rsidRDefault="0009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1E1" w14:textId="77777777" w:rsidR="00095D9B" w:rsidRDefault="00095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D951" w14:textId="77777777" w:rsidR="00095D9B" w:rsidRDefault="00095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D2"/>
    <w:rsid w:val="0001013C"/>
    <w:rsid w:val="00095D9B"/>
    <w:rsid w:val="000B4599"/>
    <w:rsid w:val="000D1AC1"/>
    <w:rsid w:val="0013528A"/>
    <w:rsid w:val="00147802"/>
    <w:rsid w:val="00180892"/>
    <w:rsid w:val="001F1AE1"/>
    <w:rsid w:val="001F6D87"/>
    <w:rsid w:val="00233E84"/>
    <w:rsid w:val="00280050"/>
    <w:rsid w:val="002E6776"/>
    <w:rsid w:val="002F232C"/>
    <w:rsid w:val="003664D7"/>
    <w:rsid w:val="003F1B53"/>
    <w:rsid w:val="003F3CA6"/>
    <w:rsid w:val="005258E9"/>
    <w:rsid w:val="00541B63"/>
    <w:rsid w:val="00544983"/>
    <w:rsid w:val="005D3F21"/>
    <w:rsid w:val="00623C87"/>
    <w:rsid w:val="00697728"/>
    <w:rsid w:val="006E49CD"/>
    <w:rsid w:val="0082474F"/>
    <w:rsid w:val="008B6C48"/>
    <w:rsid w:val="009010BA"/>
    <w:rsid w:val="0093741B"/>
    <w:rsid w:val="00B3198A"/>
    <w:rsid w:val="00B62070"/>
    <w:rsid w:val="00CF2CD2"/>
    <w:rsid w:val="00DC0544"/>
    <w:rsid w:val="00E02E50"/>
    <w:rsid w:val="00E62A0C"/>
    <w:rsid w:val="00E817FB"/>
    <w:rsid w:val="00E8794E"/>
    <w:rsid w:val="00E972C9"/>
    <w:rsid w:val="00F14D6C"/>
    <w:rsid w:val="00F45866"/>
    <w:rsid w:val="00F55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23E6"/>
  <w15:chartTrackingRefBased/>
  <w15:docId w15:val="{A0F78E7E-EDB2-4194-933A-C1871512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D2"/>
    <w:pPr>
      <w:spacing w:after="0" w:line="240" w:lineRule="auto"/>
    </w:pPr>
    <w:rPr>
      <w:rFonts w:eastAsia="Times New Roman"/>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2CD2"/>
    <w:pPr>
      <w:spacing w:after="0" w:line="240" w:lineRule="auto"/>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2CD2"/>
    <w:pPr>
      <w:tabs>
        <w:tab w:val="center" w:pos="4153"/>
        <w:tab w:val="right" w:pos="8306"/>
      </w:tabs>
    </w:pPr>
  </w:style>
  <w:style w:type="character" w:customStyle="1" w:styleId="HeaderChar">
    <w:name w:val="Header Char"/>
    <w:basedOn w:val="DefaultParagraphFont"/>
    <w:link w:val="Header"/>
    <w:rsid w:val="00CF2CD2"/>
    <w:rPr>
      <w:rFonts w:eastAsia="Times New Roman"/>
      <w:kern w:val="0"/>
      <w:lang w:eastAsia="en-AU"/>
      <w14:ligatures w14:val="none"/>
    </w:rPr>
  </w:style>
  <w:style w:type="paragraph" w:styleId="Footer">
    <w:name w:val="footer"/>
    <w:basedOn w:val="Normal"/>
    <w:link w:val="FooterChar"/>
    <w:uiPriority w:val="99"/>
    <w:rsid w:val="00CF2CD2"/>
    <w:pPr>
      <w:tabs>
        <w:tab w:val="center" w:pos="4153"/>
        <w:tab w:val="right" w:pos="8306"/>
      </w:tabs>
    </w:pPr>
  </w:style>
  <w:style w:type="character" w:customStyle="1" w:styleId="FooterChar">
    <w:name w:val="Footer Char"/>
    <w:basedOn w:val="DefaultParagraphFont"/>
    <w:link w:val="Footer"/>
    <w:uiPriority w:val="99"/>
    <w:rsid w:val="00CF2CD2"/>
    <w:rPr>
      <w:rFonts w:eastAsia="Times New Roman"/>
      <w:kern w:val="0"/>
      <w:lang w:eastAsia="en-AU"/>
      <w14:ligatures w14:val="none"/>
    </w:rPr>
  </w:style>
  <w:style w:type="character" w:styleId="PageNumber">
    <w:name w:val="page number"/>
    <w:basedOn w:val="DefaultParagraphFont"/>
    <w:rsid w:val="00CF2CD2"/>
  </w:style>
  <w:style w:type="paragraph" w:styleId="Title">
    <w:name w:val="Title"/>
    <w:basedOn w:val="Normal"/>
    <w:next w:val="Normal"/>
    <w:link w:val="TitleChar"/>
    <w:qFormat/>
    <w:rsid w:val="00CF2CD2"/>
    <w:pPr>
      <w:spacing w:before="480"/>
    </w:pPr>
    <w:rPr>
      <w:rFonts w:ascii="Arial" w:hAnsi="Arial" w:cs="Arial"/>
      <w:b/>
      <w:bCs/>
      <w:sz w:val="40"/>
      <w:szCs w:val="40"/>
    </w:rPr>
  </w:style>
  <w:style w:type="character" w:customStyle="1" w:styleId="TitleChar">
    <w:name w:val="Title Char"/>
    <w:basedOn w:val="DefaultParagraphFont"/>
    <w:link w:val="Title"/>
    <w:rsid w:val="00CF2CD2"/>
    <w:rPr>
      <w:rFonts w:ascii="Arial" w:eastAsia="Times New Roman" w:hAnsi="Arial" w:cs="Arial"/>
      <w:b/>
      <w:bCs/>
      <w:kern w:val="0"/>
      <w:sz w:val="40"/>
      <w:szCs w:val="40"/>
      <w:lang w:eastAsia="en-AU"/>
      <w14:ligatures w14:val="none"/>
    </w:rPr>
  </w:style>
  <w:style w:type="paragraph" w:customStyle="1" w:styleId="A1">
    <w:name w:val="A1"/>
    <w:aliases w:val="Heading Amendment,1. Amendment"/>
    <w:basedOn w:val="Normal"/>
    <w:next w:val="Normal"/>
    <w:rsid w:val="00CF2CD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F2CD2"/>
    <w:pPr>
      <w:tabs>
        <w:tab w:val="right" w:pos="794"/>
      </w:tabs>
      <w:spacing w:before="120" w:line="260" w:lineRule="exact"/>
      <w:ind w:left="964" w:hanging="964"/>
      <w:jc w:val="both"/>
    </w:pPr>
  </w:style>
  <w:style w:type="character" w:customStyle="1" w:styleId="CharSectnoAm">
    <w:name w:val="CharSectnoAm"/>
    <w:rsid w:val="00CF2CD2"/>
    <w:rPr>
      <w:sz w:val="18"/>
    </w:rPr>
  </w:style>
  <w:style w:type="paragraph" w:customStyle="1" w:styleId="notetext">
    <w:name w:val="notetext"/>
    <w:basedOn w:val="Normal"/>
    <w:rsid w:val="00CF2CD2"/>
    <w:pPr>
      <w:spacing w:before="100" w:beforeAutospacing="1" w:after="100" w:afterAutospacing="1"/>
    </w:pPr>
  </w:style>
  <w:style w:type="paragraph" w:styleId="Revision">
    <w:name w:val="Revision"/>
    <w:hidden/>
    <w:uiPriority w:val="99"/>
    <w:semiHidden/>
    <w:rsid w:val="009010BA"/>
    <w:pPr>
      <w:spacing w:after="0" w:line="240" w:lineRule="auto"/>
    </w:pPr>
    <w:rPr>
      <w:rFonts w:eastAsia="Times New Roman"/>
      <w:kern w:val="0"/>
      <w:lang w:eastAsia="en-AU"/>
      <w14:ligatures w14:val="none"/>
    </w:rPr>
  </w:style>
  <w:style w:type="character" w:styleId="CommentReference">
    <w:name w:val="annotation reference"/>
    <w:basedOn w:val="DefaultParagraphFont"/>
    <w:uiPriority w:val="99"/>
    <w:semiHidden/>
    <w:unhideWhenUsed/>
    <w:rsid w:val="00147802"/>
    <w:rPr>
      <w:sz w:val="16"/>
      <w:szCs w:val="16"/>
    </w:rPr>
  </w:style>
  <w:style w:type="paragraph" w:styleId="CommentText">
    <w:name w:val="annotation text"/>
    <w:basedOn w:val="Normal"/>
    <w:link w:val="CommentTextChar"/>
    <w:uiPriority w:val="99"/>
    <w:unhideWhenUsed/>
    <w:rsid w:val="00147802"/>
    <w:rPr>
      <w:sz w:val="20"/>
      <w:szCs w:val="20"/>
    </w:rPr>
  </w:style>
  <w:style w:type="character" w:customStyle="1" w:styleId="CommentTextChar">
    <w:name w:val="Comment Text Char"/>
    <w:basedOn w:val="DefaultParagraphFont"/>
    <w:link w:val="CommentText"/>
    <w:uiPriority w:val="99"/>
    <w:rsid w:val="00147802"/>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147802"/>
    <w:rPr>
      <w:b/>
      <w:bCs/>
    </w:rPr>
  </w:style>
  <w:style w:type="character" w:customStyle="1" w:styleId="CommentSubjectChar">
    <w:name w:val="Comment Subject Char"/>
    <w:basedOn w:val="CommentTextChar"/>
    <w:link w:val="CommentSubject"/>
    <w:uiPriority w:val="99"/>
    <w:semiHidden/>
    <w:rsid w:val="00147802"/>
    <w:rPr>
      <w:rFonts w:eastAsia="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4542">
      <w:bodyDiv w:val="1"/>
      <w:marLeft w:val="0"/>
      <w:marRight w:val="0"/>
      <w:marTop w:val="0"/>
      <w:marBottom w:val="0"/>
      <w:divBdr>
        <w:top w:val="none" w:sz="0" w:space="0" w:color="auto"/>
        <w:left w:val="none" w:sz="0" w:space="0" w:color="auto"/>
        <w:bottom w:val="none" w:sz="0" w:space="0" w:color="auto"/>
        <w:right w:val="none" w:sz="0" w:space="0" w:color="auto"/>
      </w:divBdr>
    </w:div>
    <w:div w:id="110363770">
      <w:bodyDiv w:val="1"/>
      <w:marLeft w:val="0"/>
      <w:marRight w:val="0"/>
      <w:marTop w:val="0"/>
      <w:marBottom w:val="0"/>
      <w:divBdr>
        <w:top w:val="none" w:sz="0" w:space="0" w:color="auto"/>
        <w:left w:val="none" w:sz="0" w:space="0" w:color="auto"/>
        <w:bottom w:val="none" w:sz="0" w:space="0" w:color="auto"/>
        <w:right w:val="none" w:sz="0" w:space="0" w:color="auto"/>
      </w:divBdr>
    </w:div>
    <w:div w:id="122041998">
      <w:bodyDiv w:val="1"/>
      <w:marLeft w:val="0"/>
      <w:marRight w:val="0"/>
      <w:marTop w:val="0"/>
      <w:marBottom w:val="0"/>
      <w:divBdr>
        <w:top w:val="none" w:sz="0" w:space="0" w:color="auto"/>
        <w:left w:val="none" w:sz="0" w:space="0" w:color="auto"/>
        <w:bottom w:val="none" w:sz="0" w:space="0" w:color="auto"/>
        <w:right w:val="none" w:sz="0" w:space="0" w:color="auto"/>
      </w:divBdr>
    </w:div>
    <w:div w:id="546454152">
      <w:bodyDiv w:val="1"/>
      <w:marLeft w:val="0"/>
      <w:marRight w:val="0"/>
      <w:marTop w:val="0"/>
      <w:marBottom w:val="0"/>
      <w:divBdr>
        <w:top w:val="none" w:sz="0" w:space="0" w:color="auto"/>
        <w:left w:val="none" w:sz="0" w:space="0" w:color="auto"/>
        <w:bottom w:val="none" w:sz="0" w:space="0" w:color="auto"/>
        <w:right w:val="none" w:sz="0" w:space="0" w:color="auto"/>
      </w:divBdr>
    </w:div>
    <w:div w:id="673998477">
      <w:bodyDiv w:val="1"/>
      <w:marLeft w:val="0"/>
      <w:marRight w:val="0"/>
      <w:marTop w:val="0"/>
      <w:marBottom w:val="0"/>
      <w:divBdr>
        <w:top w:val="none" w:sz="0" w:space="0" w:color="auto"/>
        <w:left w:val="none" w:sz="0" w:space="0" w:color="auto"/>
        <w:bottom w:val="none" w:sz="0" w:space="0" w:color="auto"/>
        <w:right w:val="none" w:sz="0" w:space="0" w:color="auto"/>
      </w:divBdr>
    </w:div>
    <w:div w:id="729350481">
      <w:bodyDiv w:val="1"/>
      <w:marLeft w:val="0"/>
      <w:marRight w:val="0"/>
      <w:marTop w:val="0"/>
      <w:marBottom w:val="0"/>
      <w:divBdr>
        <w:top w:val="none" w:sz="0" w:space="0" w:color="auto"/>
        <w:left w:val="none" w:sz="0" w:space="0" w:color="auto"/>
        <w:bottom w:val="none" w:sz="0" w:space="0" w:color="auto"/>
        <w:right w:val="none" w:sz="0" w:space="0" w:color="auto"/>
      </w:divBdr>
    </w:div>
    <w:div w:id="8945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862</Words>
  <Characters>4914</Characters>
  <Application>Microsoft Office Word</Application>
  <DocSecurity>0</DocSecurity>
  <Lines>40</Lines>
  <Paragraphs>11</Paragraphs>
  <ScaleCrop>false</ScaleCrop>
  <Company>Department of Health</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Jason</dc:creator>
  <cp:keywords/>
  <dc:description/>
  <cp:lastModifiedBy>NG, Jason</cp:lastModifiedBy>
  <cp:revision>27</cp:revision>
  <cp:lastPrinted>2024-03-27T03:13:00Z</cp:lastPrinted>
  <dcterms:created xsi:type="dcterms:W3CDTF">2024-03-04T05:36:00Z</dcterms:created>
  <dcterms:modified xsi:type="dcterms:W3CDTF">2024-03-27T03:30:00Z</dcterms:modified>
</cp:coreProperties>
</file>