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04F28FF2"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Pr="00EB58D4">
        <w:rPr>
          <w:rFonts w:cs="Arial"/>
          <w:b/>
          <w:sz w:val="28"/>
          <w:szCs w:val="28"/>
        </w:rPr>
        <w:t xml:space="preserve"> </w:t>
      </w:r>
      <w:r w:rsidR="00B2247C">
        <w:rPr>
          <w:rFonts w:cs="Arial"/>
          <w:b/>
          <w:sz w:val="28"/>
          <w:szCs w:val="28"/>
        </w:rPr>
        <w:t>13</w:t>
      </w:r>
      <w:r w:rsidR="00B2247C">
        <w:rPr>
          <w:rFonts w:cs="Arial"/>
          <w:b/>
          <w:sz w:val="28"/>
          <w:szCs w:val="28"/>
        </w:rPr>
        <w:t xml:space="preserve"> </w:t>
      </w:r>
      <w:r w:rsidR="00737A1C">
        <w:rPr>
          <w:rFonts w:cs="Arial"/>
          <w:b/>
          <w:sz w:val="28"/>
          <w:szCs w:val="28"/>
        </w:rPr>
        <w:t>March</w:t>
      </w:r>
      <w:r w:rsidR="00FC3007">
        <w:rPr>
          <w:rFonts w:cs="Arial"/>
          <w:b/>
          <w:sz w:val="28"/>
          <w:szCs w:val="28"/>
        </w:rPr>
        <w:t xml:space="preserve"> 2024</w:t>
      </w:r>
    </w:p>
    <w:p w14:paraId="2E87CFDE" w14:textId="01D40ED2"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 copies of which can be obtained from </w:t>
      </w:r>
      <w:hyperlink r:id="rId9" w:history="1">
        <w:r w:rsidRPr="00EB58D4">
          <w:rPr>
            <w:rStyle w:val="Hyperlink"/>
            <w:rFonts w:cs="Arial"/>
            <w:sz w:val="18"/>
            <w:szCs w:val="18"/>
          </w:rPr>
          <w:t>ato.gov.au/law</w:t>
        </w:r>
      </w:hyperlink>
    </w:p>
    <w:p w14:paraId="71496C31" w14:textId="0E98B255" w:rsidR="0087097B" w:rsidRDefault="0087097B" w:rsidP="00E45A5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C01DF2" w:rsidRPr="00EB58D4" w14:paraId="6C9717DB" w14:textId="77777777" w:rsidTr="00C01DF2">
        <w:tc>
          <w:tcPr>
            <w:tcW w:w="9923" w:type="dxa"/>
            <w:gridSpan w:val="3"/>
            <w:tcBorders>
              <w:top w:val="single" w:sz="6" w:space="0" w:color="auto"/>
              <w:left w:val="single" w:sz="6" w:space="0" w:color="auto"/>
              <w:bottom w:val="single" w:sz="6" w:space="0" w:color="auto"/>
              <w:right w:val="single" w:sz="6" w:space="0" w:color="auto"/>
            </w:tcBorders>
          </w:tcPr>
          <w:p w14:paraId="36942689" w14:textId="3F494549" w:rsidR="00C01DF2" w:rsidRPr="00EB58D4" w:rsidRDefault="00C01DF2" w:rsidP="008F6FF3">
            <w:pPr>
              <w:pStyle w:val="Heading3"/>
              <w:keepLines/>
              <w:spacing w:before="60"/>
              <w:jc w:val="center"/>
              <w:rPr>
                <w:sz w:val="20"/>
                <w:szCs w:val="20"/>
              </w:rPr>
            </w:pPr>
            <w:r w:rsidRPr="00EB58D4">
              <w:rPr>
                <w:sz w:val="20"/>
                <w:szCs w:val="20"/>
              </w:rPr>
              <w:t>NOTICE OF RULING</w:t>
            </w:r>
          </w:p>
        </w:tc>
      </w:tr>
      <w:tr w:rsidR="00C01DF2" w:rsidRPr="00EB58D4" w14:paraId="36888AD9" w14:textId="77777777" w:rsidTr="008F6FF3">
        <w:tc>
          <w:tcPr>
            <w:tcW w:w="1984" w:type="dxa"/>
            <w:tcBorders>
              <w:top w:val="single" w:sz="6" w:space="0" w:color="auto"/>
              <w:left w:val="single" w:sz="6" w:space="0" w:color="auto"/>
              <w:bottom w:val="single" w:sz="6" w:space="0" w:color="auto"/>
              <w:right w:val="single" w:sz="6" w:space="0" w:color="auto"/>
            </w:tcBorders>
            <w:vAlign w:val="center"/>
          </w:tcPr>
          <w:p w14:paraId="7B7B0E56" w14:textId="77777777" w:rsidR="00C01DF2" w:rsidRPr="00EB58D4" w:rsidRDefault="00C01DF2" w:rsidP="008F6FF3">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3AE1FB18" w14:textId="77777777" w:rsidR="00C01DF2" w:rsidRPr="00EB58D4" w:rsidRDefault="00C01DF2" w:rsidP="008F6FF3">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0A6A9952" w14:textId="77777777" w:rsidR="00C01DF2" w:rsidRPr="00EB58D4" w:rsidRDefault="00C01DF2" w:rsidP="008F6FF3">
            <w:pPr>
              <w:pStyle w:val="Heading3"/>
              <w:keepLines/>
              <w:spacing w:before="60"/>
              <w:jc w:val="center"/>
              <w:rPr>
                <w:sz w:val="20"/>
                <w:szCs w:val="20"/>
              </w:rPr>
            </w:pPr>
            <w:r w:rsidRPr="00EB58D4">
              <w:rPr>
                <w:sz w:val="20"/>
                <w:szCs w:val="20"/>
              </w:rPr>
              <w:t>Brief description</w:t>
            </w:r>
          </w:p>
        </w:tc>
      </w:tr>
      <w:tr w:rsidR="00C01DF2" w:rsidRPr="00492E6F" w14:paraId="53E16E38" w14:textId="77777777" w:rsidTr="008F6FF3">
        <w:tc>
          <w:tcPr>
            <w:tcW w:w="1984" w:type="dxa"/>
            <w:tcBorders>
              <w:top w:val="single" w:sz="6" w:space="0" w:color="auto"/>
              <w:left w:val="single" w:sz="6" w:space="0" w:color="auto"/>
              <w:bottom w:val="single" w:sz="6" w:space="0" w:color="auto"/>
              <w:right w:val="single" w:sz="6" w:space="0" w:color="auto"/>
            </w:tcBorders>
          </w:tcPr>
          <w:p w14:paraId="2F43792E" w14:textId="50FDD654" w:rsidR="00C01DF2" w:rsidRPr="00492E6F" w:rsidRDefault="00FE1698" w:rsidP="008F6FF3">
            <w:pPr>
              <w:pStyle w:val="Header"/>
              <w:spacing w:before="60" w:after="60"/>
              <w:rPr>
                <w:rFonts w:cs="Arial"/>
                <w:color w:val="000000" w:themeColor="text1"/>
                <w:sz w:val="20"/>
                <w:szCs w:val="20"/>
              </w:rPr>
            </w:pPr>
            <w:r>
              <w:rPr>
                <w:rFonts w:cs="Arial"/>
                <w:color w:val="000000" w:themeColor="text1"/>
                <w:sz w:val="20"/>
                <w:szCs w:val="20"/>
              </w:rPr>
              <w:t>P</w:t>
            </w:r>
            <w:r w:rsidR="00C01DF2" w:rsidRPr="00492E6F">
              <w:rPr>
                <w:rFonts w:cs="Arial"/>
                <w:color w:val="000000" w:themeColor="text1"/>
                <w:sz w:val="20"/>
                <w:szCs w:val="20"/>
              </w:rPr>
              <w:t>R 2024/</w:t>
            </w:r>
            <w:r>
              <w:rPr>
                <w:rFonts w:cs="Arial"/>
                <w:color w:val="000000" w:themeColor="text1"/>
                <w:sz w:val="20"/>
                <w:szCs w:val="20"/>
              </w:rPr>
              <w:t>2</w:t>
            </w:r>
          </w:p>
        </w:tc>
        <w:tc>
          <w:tcPr>
            <w:tcW w:w="3686" w:type="dxa"/>
            <w:tcBorders>
              <w:top w:val="single" w:sz="6" w:space="0" w:color="auto"/>
              <w:left w:val="single" w:sz="6" w:space="0" w:color="auto"/>
              <w:bottom w:val="single" w:sz="6" w:space="0" w:color="auto"/>
              <w:right w:val="single" w:sz="6" w:space="0" w:color="auto"/>
            </w:tcBorders>
          </w:tcPr>
          <w:p w14:paraId="4A8CA517" w14:textId="53B881D0" w:rsidR="00C01DF2" w:rsidRPr="00492E6F" w:rsidRDefault="00040813" w:rsidP="008F6FF3">
            <w:pPr>
              <w:spacing w:before="60" w:after="60"/>
              <w:rPr>
                <w:rFonts w:cs="Arial"/>
                <w:color w:val="000000" w:themeColor="text1"/>
                <w:sz w:val="20"/>
                <w:szCs w:val="20"/>
              </w:rPr>
            </w:pPr>
            <w:proofErr w:type="spellStart"/>
            <w:r w:rsidRPr="00040813">
              <w:rPr>
                <w:rFonts w:cs="Arial"/>
                <w:color w:val="000000" w:themeColor="text1"/>
                <w:sz w:val="20"/>
                <w:szCs w:val="20"/>
              </w:rPr>
              <w:t>Lannock</w:t>
            </w:r>
            <w:proofErr w:type="spellEnd"/>
            <w:r w:rsidRPr="00040813">
              <w:rPr>
                <w:rFonts w:cs="Arial"/>
                <w:color w:val="000000" w:themeColor="text1"/>
                <w:sz w:val="20"/>
                <w:szCs w:val="20"/>
              </w:rPr>
              <w:t xml:space="preserve"> Strata Finance 2 Pty Ltd – </w:t>
            </w:r>
            <w:r w:rsidR="00953438">
              <w:rPr>
                <w:rFonts w:cs="Arial"/>
                <w:color w:val="000000" w:themeColor="text1"/>
                <w:sz w:val="20"/>
                <w:szCs w:val="20"/>
              </w:rPr>
              <w:t>L</w:t>
            </w:r>
            <w:r w:rsidRPr="00040813">
              <w:rPr>
                <w:rFonts w:cs="Arial"/>
                <w:color w:val="000000" w:themeColor="text1"/>
                <w:sz w:val="20"/>
                <w:szCs w:val="20"/>
              </w:rPr>
              <w:t>ot</w:t>
            </w:r>
            <w:r w:rsidR="00CA7CF5">
              <w:rPr>
                <w:rFonts w:cs="Arial"/>
                <w:color w:val="000000" w:themeColor="text1"/>
                <w:sz w:val="20"/>
                <w:szCs w:val="20"/>
              </w:rPr>
              <w:t> </w:t>
            </w:r>
            <w:r w:rsidR="00953438">
              <w:rPr>
                <w:rFonts w:cs="Arial"/>
                <w:color w:val="000000" w:themeColor="text1"/>
                <w:sz w:val="20"/>
                <w:szCs w:val="20"/>
              </w:rPr>
              <w:t>O</w:t>
            </w:r>
            <w:r w:rsidRPr="00040813">
              <w:rPr>
                <w:rFonts w:cs="Arial"/>
                <w:color w:val="000000" w:themeColor="text1"/>
                <w:sz w:val="20"/>
                <w:szCs w:val="20"/>
              </w:rPr>
              <w:t xml:space="preserve">wner </w:t>
            </w:r>
            <w:r w:rsidR="00953438">
              <w:rPr>
                <w:rFonts w:cs="Arial"/>
                <w:color w:val="000000" w:themeColor="text1"/>
                <w:sz w:val="20"/>
                <w:szCs w:val="20"/>
              </w:rPr>
              <w:t>U</w:t>
            </w:r>
            <w:r w:rsidRPr="00040813">
              <w:rPr>
                <w:rFonts w:cs="Arial"/>
                <w:color w:val="000000" w:themeColor="text1"/>
                <w:sz w:val="20"/>
                <w:szCs w:val="20"/>
              </w:rPr>
              <w:t xml:space="preserve">pfront </w:t>
            </w:r>
            <w:r w:rsidR="00953438">
              <w:rPr>
                <w:rFonts w:cs="Arial"/>
                <w:color w:val="000000" w:themeColor="text1"/>
                <w:sz w:val="20"/>
                <w:szCs w:val="20"/>
              </w:rPr>
              <w:t>P</w:t>
            </w:r>
            <w:r w:rsidRPr="00040813">
              <w:rPr>
                <w:rFonts w:cs="Arial"/>
                <w:color w:val="000000" w:themeColor="text1"/>
                <w:sz w:val="20"/>
                <w:szCs w:val="20"/>
              </w:rPr>
              <w:t xml:space="preserve">ayment </w:t>
            </w:r>
            <w:r w:rsidR="00953438">
              <w:rPr>
                <w:rFonts w:cs="Arial"/>
                <w:color w:val="000000" w:themeColor="text1"/>
                <w:sz w:val="20"/>
                <w:szCs w:val="20"/>
              </w:rPr>
              <w:t>A</w:t>
            </w:r>
            <w:r w:rsidRPr="00040813">
              <w:rPr>
                <w:rFonts w:cs="Arial"/>
                <w:color w:val="000000" w:themeColor="text1"/>
                <w:sz w:val="20"/>
                <w:szCs w:val="20"/>
              </w:rPr>
              <w:t>greement</w:t>
            </w:r>
          </w:p>
        </w:tc>
        <w:tc>
          <w:tcPr>
            <w:tcW w:w="4253" w:type="dxa"/>
            <w:tcBorders>
              <w:top w:val="single" w:sz="6" w:space="0" w:color="auto"/>
              <w:left w:val="single" w:sz="6" w:space="0" w:color="auto"/>
              <w:bottom w:val="single" w:sz="6" w:space="0" w:color="auto"/>
              <w:right w:val="single" w:sz="6" w:space="0" w:color="auto"/>
            </w:tcBorders>
          </w:tcPr>
          <w:p w14:paraId="7D686626" w14:textId="7DF19645" w:rsidR="00A45F0B" w:rsidRPr="00402808" w:rsidRDefault="00C01DF2" w:rsidP="00C01DF2">
            <w:pPr>
              <w:spacing w:before="60" w:after="60"/>
              <w:rPr>
                <w:sz w:val="20"/>
                <w:szCs w:val="20"/>
              </w:rPr>
            </w:pPr>
            <w:r w:rsidRPr="00402808">
              <w:rPr>
                <w:sz w:val="20"/>
                <w:szCs w:val="20"/>
              </w:rPr>
              <w:t xml:space="preserve">This Ruling sets out the income tax consequences </w:t>
            </w:r>
            <w:r>
              <w:rPr>
                <w:sz w:val="20"/>
                <w:szCs w:val="20"/>
              </w:rPr>
              <w:t xml:space="preserve">for </w:t>
            </w:r>
            <w:r w:rsidR="00001C8F">
              <w:rPr>
                <w:sz w:val="20"/>
                <w:szCs w:val="20"/>
              </w:rPr>
              <w:t xml:space="preserve">specified </w:t>
            </w:r>
            <w:r w:rsidR="00FE1698">
              <w:rPr>
                <w:sz w:val="20"/>
                <w:szCs w:val="20"/>
              </w:rPr>
              <w:t xml:space="preserve">entities that participate </w:t>
            </w:r>
            <w:r w:rsidR="00001C8F">
              <w:rPr>
                <w:sz w:val="20"/>
                <w:szCs w:val="20"/>
              </w:rPr>
              <w:t xml:space="preserve">as a </w:t>
            </w:r>
            <w:proofErr w:type="spellStart"/>
            <w:r w:rsidR="00001C8F">
              <w:rPr>
                <w:sz w:val="20"/>
                <w:szCs w:val="20"/>
              </w:rPr>
              <w:t>Particpating</w:t>
            </w:r>
            <w:proofErr w:type="spellEnd"/>
            <w:r w:rsidR="00001C8F">
              <w:rPr>
                <w:sz w:val="20"/>
                <w:szCs w:val="20"/>
              </w:rPr>
              <w:t xml:space="preserve"> Lot Owner </w:t>
            </w:r>
            <w:r w:rsidR="00FE1698">
              <w:rPr>
                <w:sz w:val="20"/>
                <w:szCs w:val="20"/>
              </w:rPr>
              <w:t xml:space="preserve">in the </w:t>
            </w:r>
            <w:r w:rsidR="00EE1A57">
              <w:rPr>
                <w:sz w:val="20"/>
                <w:szCs w:val="20"/>
              </w:rPr>
              <w:t>L</w:t>
            </w:r>
            <w:r w:rsidR="00FE1698">
              <w:rPr>
                <w:sz w:val="20"/>
                <w:szCs w:val="20"/>
              </w:rPr>
              <w:t xml:space="preserve">ot </w:t>
            </w:r>
            <w:r w:rsidR="00EE1A57">
              <w:rPr>
                <w:sz w:val="20"/>
                <w:szCs w:val="20"/>
              </w:rPr>
              <w:t>O</w:t>
            </w:r>
            <w:r w:rsidR="00FE1698">
              <w:rPr>
                <w:sz w:val="20"/>
                <w:szCs w:val="20"/>
              </w:rPr>
              <w:t xml:space="preserve">wner </w:t>
            </w:r>
            <w:r w:rsidR="00EE1A57">
              <w:rPr>
                <w:sz w:val="20"/>
                <w:szCs w:val="20"/>
              </w:rPr>
              <w:t>U</w:t>
            </w:r>
            <w:r w:rsidR="00FE1698">
              <w:rPr>
                <w:sz w:val="20"/>
                <w:szCs w:val="20"/>
              </w:rPr>
              <w:t xml:space="preserve">pfront </w:t>
            </w:r>
            <w:r w:rsidR="00EE1A57">
              <w:rPr>
                <w:sz w:val="20"/>
                <w:szCs w:val="20"/>
              </w:rPr>
              <w:t>P</w:t>
            </w:r>
            <w:r w:rsidR="00FE1698">
              <w:rPr>
                <w:sz w:val="20"/>
                <w:szCs w:val="20"/>
              </w:rPr>
              <w:t xml:space="preserve">ayment </w:t>
            </w:r>
            <w:r w:rsidR="00EE1A57">
              <w:rPr>
                <w:sz w:val="20"/>
                <w:szCs w:val="20"/>
              </w:rPr>
              <w:t>A</w:t>
            </w:r>
            <w:r w:rsidR="00FE1698">
              <w:rPr>
                <w:sz w:val="20"/>
                <w:szCs w:val="20"/>
              </w:rPr>
              <w:t xml:space="preserve">greement offered by </w:t>
            </w:r>
            <w:proofErr w:type="spellStart"/>
            <w:r w:rsidR="00FE1698">
              <w:rPr>
                <w:sz w:val="20"/>
                <w:szCs w:val="20"/>
              </w:rPr>
              <w:t>Lannock</w:t>
            </w:r>
            <w:proofErr w:type="spellEnd"/>
            <w:r w:rsidR="00FE1698">
              <w:rPr>
                <w:sz w:val="20"/>
                <w:szCs w:val="20"/>
              </w:rPr>
              <w:t xml:space="preserve"> Strata Finance 2 Pty Ltd.</w:t>
            </w:r>
          </w:p>
          <w:p w14:paraId="52F9CAAF" w14:textId="6BAD3169" w:rsidR="00C01DF2" w:rsidRPr="006C2351" w:rsidRDefault="00C01DF2" w:rsidP="008F6FF3">
            <w:pPr>
              <w:spacing w:before="60" w:after="60"/>
              <w:rPr>
                <w:color w:val="000000" w:themeColor="text1"/>
                <w:sz w:val="20"/>
                <w:szCs w:val="20"/>
              </w:rPr>
            </w:pPr>
            <w:r w:rsidRPr="00402808">
              <w:rPr>
                <w:sz w:val="20"/>
                <w:szCs w:val="20"/>
              </w:rPr>
              <w:t>Th</w:t>
            </w:r>
            <w:r w:rsidR="00A45F0B">
              <w:rPr>
                <w:sz w:val="20"/>
                <w:szCs w:val="20"/>
              </w:rPr>
              <w:t>is</w:t>
            </w:r>
            <w:r w:rsidRPr="00402808">
              <w:rPr>
                <w:sz w:val="20"/>
                <w:szCs w:val="20"/>
              </w:rPr>
              <w:t xml:space="preserve"> Ruling applies</w:t>
            </w:r>
            <w:r w:rsidR="00001C8F">
              <w:rPr>
                <w:sz w:val="20"/>
                <w:szCs w:val="20"/>
              </w:rPr>
              <w:t xml:space="preserve"> to entities specified in the Ruling</w:t>
            </w:r>
            <w:r w:rsidRPr="00402808">
              <w:rPr>
                <w:sz w:val="20"/>
                <w:szCs w:val="20"/>
              </w:rPr>
              <w:t xml:space="preserve"> from </w:t>
            </w:r>
            <w:r w:rsidR="00FE1698">
              <w:rPr>
                <w:sz w:val="20"/>
                <w:szCs w:val="20"/>
              </w:rPr>
              <w:t>13 March 2024</w:t>
            </w:r>
            <w:r w:rsidRPr="00402808">
              <w:rPr>
                <w:sz w:val="20"/>
                <w:szCs w:val="20"/>
              </w:rPr>
              <w:t xml:space="preserve"> to 30 June 202</w:t>
            </w:r>
            <w:r w:rsidR="00FE1698">
              <w:rPr>
                <w:sz w:val="20"/>
                <w:szCs w:val="20"/>
              </w:rPr>
              <w:t>6</w:t>
            </w:r>
            <w:r w:rsidRPr="00402808">
              <w:rPr>
                <w:sz w:val="20"/>
                <w:szCs w:val="20"/>
              </w:rPr>
              <w:t>.</w:t>
            </w:r>
          </w:p>
        </w:tc>
      </w:tr>
    </w:tbl>
    <w:p w14:paraId="3DF4B860" w14:textId="77777777" w:rsidR="00C01DF2" w:rsidRDefault="00C01DF2"/>
    <w:p w14:paraId="4AA60434" w14:textId="77777777" w:rsidR="00C01DF2" w:rsidRDefault="00C01DF2"/>
    <w:p w14:paraId="4779B3DE" w14:textId="214C75AF" w:rsidR="009C61A2" w:rsidRDefault="009C61A2" w:rsidP="00E45A56">
      <w:pPr>
        <w:spacing w:after="60"/>
        <w:rPr>
          <w:sz w:val="18"/>
          <w:szCs w:val="18"/>
        </w:rPr>
      </w:pPr>
    </w:p>
    <w:p w14:paraId="0D4B6EE1" w14:textId="66B6E4D5" w:rsidR="00B6354C" w:rsidRDefault="00B6354C" w:rsidP="00E45A56">
      <w:pPr>
        <w:spacing w:after="60"/>
        <w:rPr>
          <w:sz w:val="18"/>
          <w:szCs w:val="18"/>
        </w:rPr>
      </w:pPr>
    </w:p>
    <w:p w14:paraId="11759ADF" w14:textId="77777777" w:rsidR="00F033F3" w:rsidRPr="00EB58D4" w:rsidRDefault="00F033F3" w:rsidP="00F033F3">
      <w:pPr>
        <w:spacing w:after="60"/>
        <w:rPr>
          <w:sz w:val="18"/>
          <w:szCs w:val="18"/>
        </w:rPr>
      </w:pPr>
    </w:p>
    <w:sectPr w:rsidR="00F033F3"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2"/>
  </w:num>
  <w:num w:numId="2" w16cid:durableId="176577212">
    <w:abstractNumId w:val="0"/>
  </w:num>
  <w:num w:numId="3" w16cid:durableId="140760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hideSpellingErrors/>
  <w:hideGrammaticalErrors/>
  <w:proofState w:spelling="clean" w:grammar="clean"/>
  <w:documentProtection w:edit="forms" w:enforcement="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7360"/>
    <w:rsid w:val="00007BEE"/>
    <w:rsid w:val="00040813"/>
    <w:rsid w:val="00051432"/>
    <w:rsid w:val="00071777"/>
    <w:rsid w:val="00072705"/>
    <w:rsid w:val="00072757"/>
    <w:rsid w:val="00084784"/>
    <w:rsid w:val="000970F2"/>
    <w:rsid w:val="000B28A8"/>
    <w:rsid w:val="000D1D43"/>
    <w:rsid w:val="000E02CE"/>
    <w:rsid w:val="000E1F2B"/>
    <w:rsid w:val="000E5D61"/>
    <w:rsid w:val="000F0DB1"/>
    <w:rsid w:val="00105CCA"/>
    <w:rsid w:val="00114CB2"/>
    <w:rsid w:val="00141674"/>
    <w:rsid w:val="00151647"/>
    <w:rsid w:val="00160BA0"/>
    <w:rsid w:val="00162794"/>
    <w:rsid w:val="00171921"/>
    <w:rsid w:val="00174BD4"/>
    <w:rsid w:val="00180A9A"/>
    <w:rsid w:val="001A7663"/>
    <w:rsid w:val="001C2AAD"/>
    <w:rsid w:val="001C3060"/>
    <w:rsid w:val="001E062D"/>
    <w:rsid w:val="001F30A0"/>
    <w:rsid w:val="001F6733"/>
    <w:rsid w:val="001F6E54"/>
    <w:rsid w:val="0020000F"/>
    <w:rsid w:val="00212459"/>
    <w:rsid w:val="00214E16"/>
    <w:rsid w:val="00237961"/>
    <w:rsid w:val="00245ECE"/>
    <w:rsid w:val="00257336"/>
    <w:rsid w:val="00276144"/>
    <w:rsid w:val="00276FAE"/>
    <w:rsid w:val="00280BCD"/>
    <w:rsid w:val="002843FD"/>
    <w:rsid w:val="002C0CCE"/>
    <w:rsid w:val="002C1614"/>
    <w:rsid w:val="002C7B06"/>
    <w:rsid w:val="002D493C"/>
    <w:rsid w:val="002E1A8C"/>
    <w:rsid w:val="002E3208"/>
    <w:rsid w:val="002F3FFB"/>
    <w:rsid w:val="00304E50"/>
    <w:rsid w:val="00325B6B"/>
    <w:rsid w:val="00335AB1"/>
    <w:rsid w:val="00340545"/>
    <w:rsid w:val="003551C8"/>
    <w:rsid w:val="0036599C"/>
    <w:rsid w:val="00372678"/>
    <w:rsid w:val="00394E1E"/>
    <w:rsid w:val="0039702D"/>
    <w:rsid w:val="003A0276"/>
    <w:rsid w:val="003A45F7"/>
    <w:rsid w:val="003A707F"/>
    <w:rsid w:val="003B0EC1"/>
    <w:rsid w:val="003B573B"/>
    <w:rsid w:val="003C6D3F"/>
    <w:rsid w:val="003D05C0"/>
    <w:rsid w:val="003F2CBD"/>
    <w:rsid w:val="003F7FA7"/>
    <w:rsid w:val="00402808"/>
    <w:rsid w:val="00402A68"/>
    <w:rsid w:val="004066D4"/>
    <w:rsid w:val="00412EC5"/>
    <w:rsid w:val="00413DA1"/>
    <w:rsid w:val="004242FC"/>
    <w:rsid w:val="00424B97"/>
    <w:rsid w:val="004453CF"/>
    <w:rsid w:val="00456620"/>
    <w:rsid w:val="00475FF1"/>
    <w:rsid w:val="00492E6F"/>
    <w:rsid w:val="004B1588"/>
    <w:rsid w:val="004B2753"/>
    <w:rsid w:val="004C5A5D"/>
    <w:rsid w:val="004D6052"/>
    <w:rsid w:val="004E56BF"/>
    <w:rsid w:val="004E672E"/>
    <w:rsid w:val="004F5615"/>
    <w:rsid w:val="00517DF8"/>
    <w:rsid w:val="00520873"/>
    <w:rsid w:val="005238F7"/>
    <w:rsid w:val="00523B4B"/>
    <w:rsid w:val="0053476B"/>
    <w:rsid w:val="0053511E"/>
    <w:rsid w:val="005501BC"/>
    <w:rsid w:val="005634B4"/>
    <w:rsid w:val="00573D44"/>
    <w:rsid w:val="00584C92"/>
    <w:rsid w:val="0058754D"/>
    <w:rsid w:val="00591D51"/>
    <w:rsid w:val="0059392B"/>
    <w:rsid w:val="005A77FC"/>
    <w:rsid w:val="005B3569"/>
    <w:rsid w:val="005B3694"/>
    <w:rsid w:val="005D61EA"/>
    <w:rsid w:val="005D7EFC"/>
    <w:rsid w:val="005E7AE5"/>
    <w:rsid w:val="00601B68"/>
    <w:rsid w:val="00616661"/>
    <w:rsid w:val="00622E61"/>
    <w:rsid w:val="006234C3"/>
    <w:rsid w:val="00636F01"/>
    <w:rsid w:val="00637D69"/>
    <w:rsid w:val="00644A6B"/>
    <w:rsid w:val="00646143"/>
    <w:rsid w:val="006479F6"/>
    <w:rsid w:val="006539A6"/>
    <w:rsid w:val="006937A0"/>
    <w:rsid w:val="006946BE"/>
    <w:rsid w:val="006A0B1F"/>
    <w:rsid w:val="006B0009"/>
    <w:rsid w:val="006B1A9D"/>
    <w:rsid w:val="006B38CC"/>
    <w:rsid w:val="006B61D3"/>
    <w:rsid w:val="006C2351"/>
    <w:rsid w:val="006D66A7"/>
    <w:rsid w:val="006F12E6"/>
    <w:rsid w:val="007075B1"/>
    <w:rsid w:val="00713E66"/>
    <w:rsid w:val="007140D2"/>
    <w:rsid w:val="007343FA"/>
    <w:rsid w:val="00737A1C"/>
    <w:rsid w:val="007569CE"/>
    <w:rsid w:val="007637CF"/>
    <w:rsid w:val="00773255"/>
    <w:rsid w:val="00775E96"/>
    <w:rsid w:val="00783566"/>
    <w:rsid w:val="00792582"/>
    <w:rsid w:val="00793D58"/>
    <w:rsid w:val="007C490F"/>
    <w:rsid w:val="007D0E05"/>
    <w:rsid w:val="007D25C1"/>
    <w:rsid w:val="007D2640"/>
    <w:rsid w:val="007D41FB"/>
    <w:rsid w:val="007E2CA6"/>
    <w:rsid w:val="007E75F8"/>
    <w:rsid w:val="007F191A"/>
    <w:rsid w:val="007F3630"/>
    <w:rsid w:val="007F47F3"/>
    <w:rsid w:val="00804121"/>
    <w:rsid w:val="008061E3"/>
    <w:rsid w:val="00827D16"/>
    <w:rsid w:val="00840A06"/>
    <w:rsid w:val="008439B7"/>
    <w:rsid w:val="008467D1"/>
    <w:rsid w:val="00851B19"/>
    <w:rsid w:val="00851F51"/>
    <w:rsid w:val="008604AD"/>
    <w:rsid w:val="00862E51"/>
    <w:rsid w:val="008639C6"/>
    <w:rsid w:val="0087097B"/>
    <w:rsid w:val="0087253F"/>
    <w:rsid w:val="00873E5F"/>
    <w:rsid w:val="00874074"/>
    <w:rsid w:val="00874399"/>
    <w:rsid w:val="00886FC3"/>
    <w:rsid w:val="00893D7A"/>
    <w:rsid w:val="008A25CE"/>
    <w:rsid w:val="008A414E"/>
    <w:rsid w:val="008D0A06"/>
    <w:rsid w:val="008D17C9"/>
    <w:rsid w:val="008D30A5"/>
    <w:rsid w:val="008E4F6C"/>
    <w:rsid w:val="00910AC7"/>
    <w:rsid w:val="00916ADC"/>
    <w:rsid w:val="00930E40"/>
    <w:rsid w:val="0094219E"/>
    <w:rsid w:val="00943B8D"/>
    <w:rsid w:val="00953438"/>
    <w:rsid w:val="009539C7"/>
    <w:rsid w:val="0095650D"/>
    <w:rsid w:val="00963963"/>
    <w:rsid w:val="009641EC"/>
    <w:rsid w:val="00995840"/>
    <w:rsid w:val="009C61A2"/>
    <w:rsid w:val="009D1CB0"/>
    <w:rsid w:val="009D6AA1"/>
    <w:rsid w:val="009E0B4D"/>
    <w:rsid w:val="009F07E1"/>
    <w:rsid w:val="009F72D9"/>
    <w:rsid w:val="00A00F21"/>
    <w:rsid w:val="00A10A8C"/>
    <w:rsid w:val="00A14AE1"/>
    <w:rsid w:val="00A34205"/>
    <w:rsid w:val="00A4113A"/>
    <w:rsid w:val="00A41F5C"/>
    <w:rsid w:val="00A45F0B"/>
    <w:rsid w:val="00A47D2C"/>
    <w:rsid w:val="00A47E4F"/>
    <w:rsid w:val="00A60CE8"/>
    <w:rsid w:val="00A729A0"/>
    <w:rsid w:val="00A75B9B"/>
    <w:rsid w:val="00A82066"/>
    <w:rsid w:val="00A83BCC"/>
    <w:rsid w:val="00A85D11"/>
    <w:rsid w:val="00A9541B"/>
    <w:rsid w:val="00AC2CF5"/>
    <w:rsid w:val="00AD0943"/>
    <w:rsid w:val="00AE1163"/>
    <w:rsid w:val="00AE2C72"/>
    <w:rsid w:val="00AE64B6"/>
    <w:rsid w:val="00B04E06"/>
    <w:rsid w:val="00B05622"/>
    <w:rsid w:val="00B10857"/>
    <w:rsid w:val="00B11F4E"/>
    <w:rsid w:val="00B1254B"/>
    <w:rsid w:val="00B211EA"/>
    <w:rsid w:val="00B216AF"/>
    <w:rsid w:val="00B2247C"/>
    <w:rsid w:val="00B4706B"/>
    <w:rsid w:val="00B4789B"/>
    <w:rsid w:val="00B55871"/>
    <w:rsid w:val="00B6354C"/>
    <w:rsid w:val="00B6495D"/>
    <w:rsid w:val="00B72DF8"/>
    <w:rsid w:val="00B84226"/>
    <w:rsid w:val="00BB4D13"/>
    <w:rsid w:val="00BC0E22"/>
    <w:rsid w:val="00BC26BC"/>
    <w:rsid w:val="00BC3F4D"/>
    <w:rsid w:val="00BC5467"/>
    <w:rsid w:val="00BE2C61"/>
    <w:rsid w:val="00BE35F3"/>
    <w:rsid w:val="00BE3600"/>
    <w:rsid w:val="00BF2DF1"/>
    <w:rsid w:val="00C01DF2"/>
    <w:rsid w:val="00C22D0C"/>
    <w:rsid w:val="00C26E41"/>
    <w:rsid w:val="00C33FB6"/>
    <w:rsid w:val="00C51D3C"/>
    <w:rsid w:val="00C63C4E"/>
    <w:rsid w:val="00C6757F"/>
    <w:rsid w:val="00C92A0E"/>
    <w:rsid w:val="00C92E6D"/>
    <w:rsid w:val="00CA77E9"/>
    <w:rsid w:val="00CA7CF5"/>
    <w:rsid w:val="00CF7558"/>
    <w:rsid w:val="00D27F4D"/>
    <w:rsid w:val="00D30C78"/>
    <w:rsid w:val="00D4639E"/>
    <w:rsid w:val="00D5675C"/>
    <w:rsid w:val="00D61839"/>
    <w:rsid w:val="00D72F7F"/>
    <w:rsid w:val="00D77A88"/>
    <w:rsid w:val="00D8538D"/>
    <w:rsid w:val="00DA5918"/>
    <w:rsid w:val="00DA6712"/>
    <w:rsid w:val="00DB40B0"/>
    <w:rsid w:val="00DC142B"/>
    <w:rsid w:val="00DD63D9"/>
    <w:rsid w:val="00E111E4"/>
    <w:rsid w:val="00E11D4B"/>
    <w:rsid w:val="00E17ED8"/>
    <w:rsid w:val="00E3794F"/>
    <w:rsid w:val="00E45A56"/>
    <w:rsid w:val="00E468D7"/>
    <w:rsid w:val="00E5306A"/>
    <w:rsid w:val="00E6384F"/>
    <w:rsid w:val="00E71E90"/>
    <w:rsid w:val="00E823AE"/>
    <w:rsid w:val="00E84708"/>
    <w:rsid w:val="00E856D7"/>
    <w:rsid w:val="00E9386A"/>
    <w:rsid w:val="00E93891"/>
    <w:rsid w:val="00EB0EA8"/>
    <w:rsid w:val="00EB3C1D"/>
    <w:rsid w:val="00EB58D4"/>
    <w:rsid w:val="00EB5CFD"/>
    <w:rsid w:val="00EB77BB"/>
    <w:rsid w:val="00ED2E52"/>
    <w:rsid w:val="00EE0763"/>
    <w:rsid w:val="00EE1A57"/>
    <w:rsid w:val="00F033F3"/>
    <w:rsid w:val="00F05324"/>
    <w:rsid w:val="00F14519"/>
    <w:rsid w:val="00F146B1"/>
    <w:rsid w:val="00F232E7"/>
    <w:rsid w:val="00F278A7"/>
    <w:rsid w:val="00F40885"/>
    <w:rsid w:val="00F44FF5"/>
    <w:rsid w:val="00F62A39"/>
    <w:rsid w:val="00F71461"/>
    <w:rsid w:val="00F831F5"/>
    <w:rsid w:val="00F847E2"/>
    <w:rsid w:val="00F90BD0"/>
    <w:rsid w:val="00F934BE"/>
    <w:rsid w:val="00F957F0"/>
    <w:rsid w:val="00F95869"/>
    <w:rsid w:val="00FA0A9F"/>
    <w:rsid w:val="00FA3043"/>
    <w:rsid w:val="00FB72F6"/>
    <w:rsid w:val="00FC16C8"/>
    <w:rsid w:val="00FC1DCD"/>
    <w:rsid w:val="00FC3007"/>
    <w:rsid w:val="00FC4862"/>
    <w:rsid w:val="00FE1698"/>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7809"/>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2024-03-06T03:29:00Z</dcterms:created>
  <dcterms:modified xsi:type="dcterms:W3CDTF">2024-03-08T04:00:00Z</dcterms:modified>
  <cp:category/>
</cp:coreProperties>
</file>