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1444" w14:textId="6251B278" w:rsidR="00F76EA3" w:rsidRPr="001C7377" w:rsidRDefault="00361408" w:rsidP="002913B9">
      <w:pPr>
        <w:keepNext/>
        <w:spacing w:after="120"/>
        <w:jc w:val="center"/>
        <w:outlineLvl w:val="4"/>
      </w:pPr>
      <w:r w:rsidRPr="001C7377">
        <w:rPr>
          <w:noProof/>
        </w:rPr>
        <w:drawing>
          <wp:inline distT="0" distB="0" distL="0" distR="0" wp14:anchorId="796482AE" wp14:editId="59991F46">
            <wp:extent cx="1065530" cy="906145"/>
            <wp:effectExtent l="0" t="0" r="0" b="0"/>
            <wp:docPr id="20"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906145"/>
                    </a:xfrm>
                    <a:prstGeom prst="rect">
                      <a:avLst/>
                    </a:prstGeom>
                    <a:noFill/>
                    <a:ln>
                      <a:noFill/>
                    </a:ln>
                  </pic:spPr>
                </pic:pic>
              </a:graphicData>
            </a:graphic>
          </wp:inline>
        </w:drawing>
      </w:r>
    </w:p>
    <w:p w14:paraId="6D9644A6" w14:textId="77777777" w:rsidR="00F76EA3" w:rsidRPr="001C7377" w:rsidRDefault="00F76EA3" w:rsidP="002526E9">
      <w:pPr>
        <w:keepNext/>
        <w:spacing w:after="240"/>
        <w:jc w:val="center"/>
        <w:outlineLvl w:val="4"/>
        <w:rPr>
          <w:b/>
          <w:bCs/>
        </w:rPr>
      </w:pPr>
      <w:r w:rsidRPr="001C7377">
        <w:rPr>
          <w:b/>
          <w:bCs/>
        </w:rPr>
        <w:t>COMMONWEALTH OF AUSTRALIA</w:t>
      </w:r>
    </w:p>
    <w:p w14:paraId="4D3B3D98" w14:textId="40C5216C" w:rsidR="00F76EA3" w:rsidRPr="001C7377" w:rsidRDefault="00F76EA3" w:rsidP="002526E9">
      <w:pPr>
        <w:pStyle w:val="Heading5"/>
        <w:spacing w:after="240"/>
        <w:ind w:left="0"/>
        <w:jc w:val="center"/>
        <w:rPr>
          <w:b/>
          <w:sz w:val="24"/>
        </w:rPr>
      </w:pPr>
      <w:r w:rsidRPr="001C7377">
        <w:rPr>
          <w:b/>
          <w:sz w:val="24"/>
        </w:rPr>
        <w:t>Environment Protection and Biodiversity Conservation Act</w:t>
      </w:r>
      <w:r w:rsidR="002B2F4B" w:rsidRPr="001C7377">
        <w:rPr>
          <w:b/>
          <w:sz w:val="24"/>
        </w:rPr>
        <w:t> </w:t>
      </w:r>
      <w:r w:rsidRPr="001C7377">
        <w:rPr>
          <w:b/>
          <w:sz w:val="24"/>
        </w:rPr>
        <w:t>1999</w:t>
      </w:r>
    </w:p>
    <w:p w14:paraId="65D7DDD6" w14:textId="011FF29F" w:rsidR="000114FE" w:rsidRPr="001C7377" w:rsidRDefault="00BC3821" w:rsidP="002526E9">
      <w:pPr>
        <w:pStyle w:val="Heading6"/>
        <w:spacing w:after="240"/>
        <w:jc w:val="center"/>
        <w:rPr>
          <w:snapToGrid w:val="0"/>
          <w:sz w:val="24"/>
          <w:szCs w:val="24"/>
        </w:rPr>
      </w:pPr>
      <w:r w:rsidRPr="001C7377">
        <w:rPr>
          <w:snapToGrid w:val="0"/>
          <w:sz w:val="24"/>
          <w:szCs w:val="24"/>
        </w:rPr>
        <w:t>DECLARATION OF AN APPROVED WILDLIFE TRADE OPERATION</w:t>
      </w:r>
      <w:r w:rsidR="001437D5" w:rsidRPr="001C7377">
        <w:rPr>
          <w:snapToGrid w:val="0"/>
          <w:sz w:val="24"/>
          <w:szCs w:val="24"/>
        </w:rPr>
        <w:t xml:space="preserve"> – </w:t>
      </w:r>
      <w:r w:rsidR="003D799B">
        <w:rPr>
          <w:bCs/>
          <w:snapToGrid w:val="0"/>
          <w:sz w:val="24"/>
          <w:szCs w:val="24"/>
          <w:lang w:val="en-US"/>
        </w:rPr>
        <w:t>COMMONWEALTH</w:t>
      </w:r>
      <w:r w:rsidR="00286B38">
        <w:rPr>
          <w:bCs/>
          <w:snapToGrid w:val="0"/>
          <w:sz w:val="24"/>
          <w:szCs w:val="24"/>
          <w:lang w:val="en-US"/>
        </w:rPr>
        <w:t xml:space="preserve"> </w:t>
      </w:r>
      <w:r w:rsidR="00E52881">
        <w:rPr>
          <w:bCs/>
          <w:snapToGrid w:val="0"/>
          <w:sz w:val="24"/>
          <w:szCs w:val="24"/>
          <w:lang w:val="en-US"/>
        </w:rPr>
        <w:t>CORAL SEA</w:t>
      </w:r>
      <w:r w:rsidR="002C57E2">
        <w:rPr>
          <w:bCs/>
          <w:snapToGrid w:val="0"/>
          <w:sz w:val="24"/>
          <w:szCs w:val="24"/>
          <w:lang w:val="en-US"/>
        </w:rPr>
        <w:t xml:space="preserve"> FISHERY</w:t>
      </w:r>
      <w:r w:rsidR="00A01E78" w:rsidRPr="00CA7001">
        <w:rPr>
          <w:snapToGrid w:val="0"/>
          <w:sz w:val="24"/>
          <w:szCs w:val="24"/>
        </w:rPr>
        <w:t xml:space="preserve">, </w:t>
      </w:r>
      <w:r w:rsidR="0031370C">
        <w:rPr>
          <w:snapToGrid w:val="0"/>
          <w:sz w:val="24"/>
          <w:szCs w:val="24"/>
        </w:rPr>
        <w:t>FEBRU</w:t>
      </w:r>
      <w:r w:rsidR="002C57E2">
        <w:rPr>
          <w:snapToGrid w:val="0"/>
          <w:sz w:val="24"/>
          <w:szCs w:val="24"/>
        </w:rPr>
        <w:t>ARY 2024</w:t>
      </w:r>
    </w:p>
    <w:p w14:paraId="601FA952" w14:textId="3B793E8D" w:rsidR="00C50485" w:rsidRPr="001C7377" w:rsidRDefault="008C5634" w:rsidP="002913B9">
      <w:pPr>
        <w:pStyle w:val="Heading6"/>
        <w:spacing w:after="80"/>
        <w:rPr>
          <w:b w:val="0"/>
          <w:bCs/>
          <w:snapToGrid w:val="0"/>
          <w:sz w:val="22"/>
          <w:szCs w:val="22"/>
        </w:rPr>
      </w:pPr>
      <w:r w:rsidRPr="001C7377">
        <w:rPr>
          <w:b w:val="0"/>
          <w:bCs/>
          <w:sz w:val="22"/>
          <w:szCs w:val="22"/>
        </w:rPr>
        <w:t xml:space="preserve">I, </w:t>
      </w:r>
      <w:r w:rsidR="00E22691">
        <w:rPr>
          <w:b w:val="0"/>
          <w:bCs/>
          <w:sz w:val="22"/>
          <w:szCs w:val="22"/>
        </w:rPr>
        <w:t>BELINDA JAGO,</w:t>
      </w:r>
      <w:r w:rsidR="00B9168D">
        <w:rPr>
          <w:b w:val="0"/>
          <w:bCs/>
          <w:color w:val="242424"/>
          <w:sz w:val="22"/>
          <w:szCs w:val="22"/>
          <w:shd w:val="clear" w:color="auto" w:fill="FFFFFF"/>
        </w:rPr>
        <w:t xml:space="preserve"> </w:t>
      </w:r>
      <w:r w:rsidR="00356952">
        <w:rPr>
          <w:b w:val="0"/>
          <w:bCs/>
          <w:color w:val="242424"/>
          <w:sz w:val="22"/>
          <w:szCs w:val="22"/>
          <w:shd w:val="clear" w:color="auto" w:fill="FFFFFF"/>
        </w:rPr>
        <w:t>Branch Head</w:t>
      </w:r>
      <w:r w:rsidRPr="001C7377">
        <w:rPr>
          <w:b w:val="0"/>
          <w:bCs/>
          <w:color w:val="242424"/>
          <w:sz w:val="22"/>
          <w:szCs w:val="22"/>
          <w:shd w:val="clear" w:color="auto" w:fill="FFFFFF"/>
        </w:rPr>
        <w:t>,</w:t>
      </w:r>
      <w:r w:rsidRPr="001C7377">
        <w:rPr>
          <w:b w:val="0"/>
          <w:bCs/>
          <w:sz w:val="22"/>
          <w:szCs w:val="22"/>
        </w:rPr>
        <w:t xml:space="preserve"> </w:t>
      </w:r>
      <w:proofErr w:type="gramStart"/>
      <w:r w:rsidR="00D32DC2">
        <w:rPr>
          <w:b w:val="0"/>
          <w:bCs/>
          <w:sz w:val="22"/>
          <w:szCs w:val="22"/>
        </w:rPr>
        <w:t>Ocean</w:t>
      </w:r>
      <w:proofErr w:type="gramEnd"/>
      <w:r w:rsidR="00D32DC2">
        <w:rPr>
          <w:b w:val="0"/>
          <w:bCs/>
          <w:sz w:val="22"/>
          <w:szCs w:val="22"/>
        </w:rPr>
        <w:t xml:space="preserve"> and Wildlife Branch, </w:t>
      </w:r>
      <w:r w:rsidRPr="001C7377">
        <w:rPr>
          <w:b w:val="0"/>
          <w:bCs/>
          <w:sz w:val="22"/>
          <w:szCs w:val="22"/>
        </w:rPr>
        <w:t>as Delegate of the Minister for the Environment and Water,</w:t>
      </w:r>
      <w:r w:rsidRPr="001C7377">
        <w:rPr>
          <w:b w:val="0"/>
          <w:bCs/>
          <w:snapToGrid w:val="0"/>
          <w:sz w:val="22"/>
          <w:szCs w:val="22"/>
        </w:rPr>
        <w:t xml:space="preserve"> </w:t>
      </w:r>
      <w:r w:rsidRPr="001C7377">
        <w:rPr>
          <w:b w:val="0"/>
          <w:bCs/>
          <w:sz w:val="22"/>
          <w:szCs w:val="22"/>
        </w:rPr>
        <w:t xml:space="preserve">have considered in accordance with section 303FN of the </w:t>
      </w:r>
      <w:r w:rsidRPr="001C7377">
        <w:rPr>
          <w:b w:val="0"/>
          <w:bCs/>
          <w:i/>
          <w:sz w:val="22"/>
          <w:szCs w:val="22"/>
        </w:rPr>
        <w:t>Environment Protection and</w:t>
      </w:r>
      <w:r w:rsidRPr="001C7377">
        <w:rPr>
          <w:b w:val="0"/>
          <w:bCs/>
          <w:sz w:val="22"/>
          <w:szCs w:val="22"/>
        </w:rPr>
        <w:t xml:space="preserve"> </w:t>
      </w:r>
      <w:r w:rsidRPr="001C7377">
        <w:rPr>
          <w:b w:val="0"/>
          <w:bCs/>
          <w:i/>
          <w:sz w:val="22"/>
          <w:szCs w:val="22"/>
        </w:rPr>
        <w:t xml:space="preserve">Biodiversity Conservation Act 1999 </w:t>
      </w:r>
      <w:r w:rsidRPr="001C7377">
        <w:rPr>
          <w:b w:val="0"/>
          <w:bCs/>
          <w:sz w:val="22"/>
          <w:szCs w:val="22"/>
        </w:rPr>
        <w:t xml:space="preserve">(EPBC Act) the application from the </w:t>
      </w:r>
      <w:r w:rsidR="00356952">
        <w:rPr>
          <w:b w:val="0"/>
          <w:bCs/>
          <w:sz w:val="22"/>
          <w:szCs w:val="22"/>
          <w:lang w:val="en-US"/>
        </w:rPr>
        <w:t>Australian Fisheries Management Authority</w:t>
      </w:r>
      <w:r w:rsidRPr="001C7377">
        <w:rPr>
          <w:b w:val="0"/>
          <w:bCs/>
          <w:sz w:val="22"/>
          <w:szCs w:val="22"/>
        </w:rPr>
        <w:t xml:space="preserve"> and advice on the ecological sustainability of the operation. I am satisfied on those matters specified in section 303FN of the EPBC Act.</w:t>
      </w:r>
      <w:r w:rsidRPr="001C7377">
        <w:rPr>
          <w:sz w:val="22"/>
          <w:szCs w:val="22"/>
        </w:rPr>
        <w:t xml:space="preserve"> </w:t>
      </w:r>
      <w:r w:rsidR="00BC3821" w:rsidRPr="001C7377">
        <w:rPr>
          <w:b w:val="0"/>
          <w:bCs/>
          <w:sz w:val="22"/>
          <w:szCs w:val="22"/>
        </w:rPr>
        <w:t>I</w:t>
      </w:r>
      <w:r w:rsidR="009B0E50" w:rsidRPr="001C7377">
        <w:rPr>
          <w:b w:val="0"/>
          <w:bCs/>
          <w:sz w:val="22"/>
          <w:szCs w:val="22"/>
        </w:rPr>
        <w:t> </w:t>
      </w:r>
      <w:r w:rsidR="00BC3821" w:rsidRPr="001C7377">
        <w:rPr>
          <w:b w:val="0"/>
          <w:bCs/>
          <w:sz w:val="22"/>
          <w:szCs w:val="22"/>
        </w:rPr>
        <w:t xml:space="preserve">hereby declare the operations for the harvesting of </w:t>
      </w:r>
      <w:r w:rsidR="004C3DEE" w:rsidRPr="001C7377">
        <w:rPr>
          <w:b w:val="0"/>
          <w:bCs/>
          <w:sz w:val="22"/>
          <w:szCs w:val="22"/>
        </w:rPr>
        <w:t xml:space="preserve">specimens that are or are derived from fish or invertebrates, taken in the </w:t>
      </w:r>
      <w:r w:rsidR="00983945" w:rsidRPr="00983945">
        <w:rPr>
          <w:b w:val="0"/>
          <w:bCs/>
          <w:iCs/>
          <w:sz w:val="22"/>
          <w:szCs w:val="22"/>
          <w:lang w:val="en-US"/>
        </w:rPr>
        <w:t xml:space="preserve">Commonwealth </w:t>
      </w:r>
      <w:r w:rsidR="00647ADA">
        <w:rPr>
          <w:b w:val="0"/>
          <w:bCs/>
          <w:iCs/>
          <w:sz w:val="22"/>
          <w:szCs w:val="22"/>
          <w:lang w:val="en-US"/>
        </w:rPr>
        <w:t>Coral Sea</w:t>
      </w:r>
      <w:r w:rsidR="00983945" w:rsidRPr="00983945">
        <w:rPr>
          <w:b w:val="0"/>
          <w:bCs/>
          <w:iCs/>
          <w:sz w:val="22"/>
          <w:szCs w:val="22"/>
          <w:lang w:val="en-US"/>
        </w:rPr>
        <w:t xml:space="preserve"> Fishery</w:t>
      </w:r>
      <w:r w:rsidR="00AA5D94" w:rsidRPr="001C7377">
        <w:rPr>
          <w:b w:val="0"/>
          <w:bCs/>
          <w:sz w:val="22"/>
          <w:szCs w:val="22"/>
        </w:rPr>
        <w:t xml:space="preserve"> </w:t>
      </w:r>
      <w:r w:rsidR="004C3DEE" w:rsidRPr="001C7377">
        <w:rPr>
          <w:b w:val="0"/>
          <w:bCs/>
          <w:sz w:val="22"/>
          <w:szCs w:val="22"/>
        </w:rPr>
        <w:t xml:space="preserve">as defined </w:t>
      </w:r>
      <w:r w:rsidR="00C50485" w:rsidRPr="001C7377">
        <w:rPr>
          <w:b w:val="0"/>
          <w:bCs/>
          <w:sz w:val="22"/>
          <w:szCs w:val="22"/>
        </w:rPr>
        <w:t>in the management regime in force under the:</w:t>
      </w:r>
    </w:p>
    <w:p w14:paraId="164BB8A6" w14:textId="10D6A7B2" w:rsidR="00C60B7E" w:rsidRPr="00C60B7E" w:rsidRDefault="00B81008" w:rsidP="00CA231E">
      <w:pPr>
        <w:pStyle w:val="ListParagraph"/>
        <w:numPr>
          <w:ilvl w:val="0"/>
          <w:numId w:val="4"/>
        </w:numPr>
        <w:tabs>
          <w:tab w:val="clear" w:pos="1096"/>
        </w:tabs>
        <w:autoSpaceDE w:val="0"/>
        <w:autoSpaceDN w:val="0"/>
        <w:adjustRightInd w:val="0"/>
        <w:spacing w:before="0" w:after="0" w:line="256" w:lineRule="auto"/>
        <w:contextualSpacing/>
        <w:rPr>
          <w:i/>
        </w:rPr>
      </w:pPr>
      <w:r>
        <w:rPr>
          <w:bCs/>
          <w:i/>
          <w:iCs/>
          <w:lang w:val="en-US"/>
        </w:rPr>
        <w:t>Fisheries Management Act 1991</w:t>
      </w:r>
      <w:r w:rsidR="0047394D" w:rsidRPr="0047394D">
        <w:rPr>
          <w:bCs/>
          <w:i/>
          <w:iCs/>
          <w:lang w:val="en-US"/>
        </w:rPr>
        <w:t xml:space="preserve"> </w:t>
      </w:r>
      <w:r w:rsidR="0047394D" w:rsidRPr="0047394D">
        <w:rPr>
          <w:bCs/>
          <w:lang w:val="en-US"/>
        </w:rPr>
        <w:t>(</w:t>
      </w:r>
      <w:proofErr w:type="spellStart"/>
      <w:r w:rsidR="0047394D" w:rsidRPr="0047394D">
        <w:rPr>
          <w:bCs/>
          <w:lang w:val="en-US"/>
        </w:rPr>
        <w:t>Cth</w:t>
      </w:r>
      <w:proofErr w:type="spellEnd"/>
      <w:r w:rsidR="0047394D" w:rsidRPr="0047394D">
        <w:rPr>
          <w:bCs/>
          <w:lang w:val="en-US"/>
        </w:rPr>
        <w:t>)</w:t>
      </w:r>
      <w:r w:rsidR="00C60B7E" w:rsidRPr="0047394D">
        <w:rPr>
          <w:bCs/>
          <w:lang w:val="en-US"/>
        </w:rPr>
        <w:t>,</w:t>
      </w:r>
    </w:p>
    <w:p w14:paraId="22999F51" w14:textId="657F139B" w:rsidR="00073C4F" w:rsidRPr="006D2F89" w:rsidRDefault="00B81008" w:rsidP="00CA231E">
      <w:pPr>
        <w:pStyle w:val="ListParagraph"/>
        <w:numPr>
          <w:ilvl w:val="0"/>
          <w:numId w:val="4"/>
        </w:numPr>
        <w:tabs>
          <w:tab w:val="clear" w:pos="1096"/>
        </w:tabs>
        <w:autoSpaceDE w:val="0"/>
        <w:autoSpaceDN w:val="0"/>
        <w:adjustRightInd w:val="0"/>
        <w:spacing w:before="0" w:after="0" w:line="256" w:lineRule="auto"/>
        <w:contextualSpacing/>
        <w:rPr>
          <w:i/>
        </w:rPr>
      </w:pPr>
      <w:r>
        <w:rPr>
          <w:bCs/>
          <w:lang w:val="en-US"/>
        </w:rPr>
        <w:t>Fisheries Management Regulations 2019 (</w:t>
      </w:r>
      <w:proofErr w:type="spellStart"/>
      <w:r>
        <w:rPr>
          <w:bCs/>
          <w:lang w:val="en-US"/>
        </w:rPr>
        <w:t>C</w:t>
      </w:r>
      <w:r w:rsidR="00B01EFE">
        <w:rPr>
          <w:bCs/>
          <w:lang w:val="en-US"/>
        </w:rPr>
        <w:t>th</w:t>
      </w:r>
      <w:proofErr w:type="spellEnd"/>
      <w:r w:rsidR="00715E62">
        <w:rPr>
          <w:bCs/>
          <w:lang w:val="en-US"/>
        </w:rPr>
        <w:t>)</w:t>
      </w:r>
      <w:r w:rsidR="006A3E25">
        <w:t>,</w:t>
      </w:r>
    </w:p>
    <w:p w14:paraId="527D66D0" w14:textId="77777777" w:rsidR="006D2F89" w:rsidRPr="006D2F89" w:rsidRDefault="006D2F89" w:rsidP="006D2F89">
      <w:pPr>
        <w:autoSpaceDE w:val="0"/>
        <w:autoSpaceDN w:val="0"/>
        <w:adjustRightInd w:val="0"/>
        <w:spacing w:line="256" w:lineRule="auto"/>
        <w:contextualSpacing/>
        <w:rPr>
          <w:i/>
        </w:rPr>
      </w:pPr>
    </w:p>
    <w:p w14:paraId="1AA70425" w14:textId="302BDF76" w:rsidR="00777266" w:rsidRPr="001C7377" w:rsidRDefault="00777266" w:rsidP="007047E9">
      <w:pPr>
        <w:spacing w:after="120"/>
        <w:rPr>
          <w:snapToGrid w:val="0"/>
          <w:sz w:val="22"/>
          <w:szCs w:val="22"/>
        </w:rPr>
      </w:pPr>
      <w:r w:rsidRPr="001C7377">
        <w:rPr>
          <w:snapToGrid w:val="0"/>
          <w:sz w:val="22"/>
          <w:szCs w:val="22"/>
        </w:rPr>
        <w:t>but not including:</w:t>
      </w:r>
    </w:p>
    <w:p w14:paraId="1456C700" w14:textId="77777777" w:rsidR="00777266" w:rsidRPr="001C7377" w:rsidRDefault="00777266" w:rsidP="00CA231E">
      <w:pPr>
        <w:pStyle w:val="Stylea"/>
        <w:numPr>
          <w:ilvl w:val="0"/>
          <w:numId w:val="3"/>
        </w:numPr>
        <w:ind w:left="357" w:hanging="357"/>
        <w:rPr>
          <w:color w:val="auto"/>
          <w:sz w:val="22"/>
          <w:szCs w:val="22"/>
        </w:rPr>
      </w:pPr>
      <w:r w:rsidRPr="001C7377">
        <w:rPr>
          <w:color w:val="auto"/>
          <w:sz w:val="22"/>
          <w:szCs w:val="22"/>
        </w:rPr>
        <w:t xml:space="preserve">specimens that belong to taxa listed under section 209 of the EPBC Act (Australia’s List of Migratory Species), or </w:t>
      </w:r>
    </w:p>
    <w:p w14:paraId="601D1062" w14:textId="77777777" w:rsidR="00777266" w:rsidRPr="001C7377" w:rsidRDefault="00777266" w:rsidP="00CA231E">
      <w:pPr>
        <w:pStyle w:val="Stylea"/>
        <w:numPr>
          <w:ilvl w:val="0"/>
          <w:numId w:val="3"/>
        </w:numPr>
        <w:ind w:left="357" w:hanging="357"/>
        <w:rPr>
          <w:color w:val="auto"/>
          <w:sz w:val="22"/>
          <w:szCs w:val="22"/>
        </w:rPr>
      </w:pPr>
      <w:r w:rsidRPr="001C7377">
        <w:rPr>
          <w:color w:val="auto"/>
          <w:sz w:val="22"/>
          <w:szCs w:val="22"/>
        </w:rPr>
        <w:t>specimens that belong to taxa listed under section 248 of the EPBC Act (Australia’s List of Marine Species), or</w:t>
      </w:r>
    </w:p>
    <w:p w14:paraId="560A6115" w14:textId="77777777" w:rsidR="00777266" w:rsidRPr="001C7377" w:rsidRDefault="00777266" w:rsidP="00CA231E">
      <w:pPr>
        <w:pStyle w:val="Stylea"/>
        <w:numPr>
          <w:ilvl w:val="0"/>
          <w:numId w:val="3"/>
        </w:numPr>
        <w:ind w:left="357" w:hanging="357"/>
        <w:rPr>
          <w:color w:val="auto"/>
          <w:sz w:val="22"/>
          <w:szCs w:val="22"/>
        </w:rPr>
      </w:pPr>
      <w:r w:rsidRPr="001C7377">
        <w:rPr>
          <w:color w:val="auto"/>
          <w:sz w:val="22"/>
          <w:szCs w:val="22"/>
        </w:rPr>
        <w:t>specimens that belong to eligible listed threatened species, as defined under section 303BC of the EPBC Act, or</w:t>
      </w:r>
    </w:p>
    <w:p w14:paraId="673B4888" w14:textId="6A3594EE" w:rsidR="00777266" w:rsidRPr="001C7377" w:rsidRDefault="00777266" w:rsidP="00CA231E">
      <w:pPr>
        <w:pStyle w:val="Stylea"/>
        <w:numPr>
          <w:ilvl w:val="0"/>
          <w:numId w:val="3"/>
        </w:numPr>
        <w:spacing w:after="80"/>
        <w:ind w:left="357" w:hanging="357"/>
        <w:rPr>
          <w:color w:val="auto"/>
          <w:sz w:val="22"/>
          <w:szCs w:val="22"/>
        </w:rPr>
      </w:pPr>
      <w:r w:rsidRPr="001C7377">
        <w:rPr>
          <w:color w:val="auto"/>
          <w:sz w:val="22"/>
          <w:szCs w:val="22"/>
        </w:rPr>
        <w:t>specimens that belong to taxa listed under section 303CA of the EPBC Act (Australia’s CITES List),</w:t>
      </w:r>
      <w:r w:rsidR="006D2F89">
        <w:rPr>
          <w:color w:val="auto"/>
          <w:sz w:val="22"/>
          <w:szCs w:val="22"/>
        </w:rPr>
        <w:t xml:space="preserve"> </w:t>
      </w:r>
      <w:r w:rsidR="006D2F89" w:rsidRPr="004B5C0A">
        <w:rPr>
          <w:color w:val="auto"/>
          <w:sz w:val="22"/>
          <w:szCs w:val="22"/>
        </w:rPr>
        <w:t>except for</w:t>
      </w:r>
      <w:r w:rsidR="009879B7" w:rsidRPr="004B5C0A">
        <w:rPr>
          <w:color w:val="auto"/>
          <w:sz w:val="22"/>
          <w:szCs w:val="22"/>
        </w:rPr>
        <w:t xml:space="preserve"> species</w:t>
      </w:r>
      <w:r w:rsidR="009879B7" w:rsidRPr="009879B7">
        <w:rPr>
          <w:color w:val="auto"/>
          <w:sz w:val="22"/>
          <w:szCs w:val="22"/>
        </w:rPr>
        <w:t xml:space="preserve"> belonging to the family Acroporidae, </w:t>
      </w:r>
      <w:proofErr w:type="spellStart"/>
      <w:r w:rsidR="009879B7" w:rsidRPr="009879B7">
        <w:rPr>
          <w:color w:val="auto"/>
          <w:sz w:val="22"/>
          <w:szCs w:val="22"/>
        </w:rPr>
        <w:t>Humphead</w:t>
      </w:r>
      <w:proofErr w:type="spellEnd"/>
      <w:r w:rsidR="009879B7" w:rsidRPr="009879B7">
        <w:rPr>
          <w:color w:val="auto"/>
          <w:sz w:val="22"/>
          <w:szCs w:val="22"/>
        </w:rPr>
        <w:t xml:space="preserve"> </w:t>
      </w:r>
      <w:proofErr w:type="spellStart"/>
      <w:r w:rsidR="009879B7" w:rsidRPr="009879B7">
        <w:rPr>
          <w:color w:val="auto"/>
          <w:sz w:val="22"/>
          <w:szCs w:val="22"/>
        </w:rPr>
        <w:t>Maori</w:t>
      </w:r>
      <w:proofErr w:type="spellEnd"/>
      <w:r w:rsidR="009879B7" w:rsidRPr="009879B7">
        <w:rPr>
          <w:color w:val="auto"/>
          <w:sz w:val="22"/>
          <w:szCs w:val="22"/>
        </w:rPr>
        <w:t xml:space="preserve"> wrasse (</w:t>
      </w:r>
      <w:proofErr w:type="spellStart"/>
      <w:r w:rsidR="009879B7" w:rsidRPr="00C11AE9">
        <w:rPr>
          <w:i/>
          <w:iCs/>
          <w:color w:val="auto"/>
          <w:sz w:val="22"/>
          <w:szCs w:val="22"/>
        </w:rPr>
        <w:t>Cheilinus</w:t>
      </w:r>
      <w:proofErr w:type="spellEnd"/>
      <w:r w:rsidR="009879B7" w:rsidRPr="00C11AE9">
        <w:rPr>
          <w:i/>
          <w:iCs/>
          <w:color w:val="auto"/>
          <w:sz w:val="22"/>
          <w:szCs w:val="22"/>
        </w:rPr>
        <w:t xml:space="preserve"> undulatus</w:t>
      </w:r>
      <w:r w:rsidR="009879B7" w:rsidRPr="009879B7">
        <w:rPr>
          <w:color w:val="auto"/>
          <w:sz w:val="22"/>
          <w:szCs w:val="22"/>
        </w:rPr>
        <w:t xml:space="preserve">), Black </w:t>
      </w:r>
      <w:proofErr w:type="spellStart"/>
      <w:r w:rsidR="009879B7" w:rsidRPr="009879B7">
        <w:rPr>
          <w:color w:val="auto"/>
          <w:sz w:val="22"/>
          <w:szCs w:val="22"/>
        </w:rPr>
        <w:t>teatfish</w:t>
      </w:r>
      <w:proofErr w:type="spellEnd"/>
      <w:r w:rsidR="009879B7" w:rsidRPr="009879B7">
        <w:rPr>
          <w:color w:val="auto"/>
          <w:sz w:val="22"/>
          <w:szCs w:val="22"/>
        </w:rPr>
        <w:t xml:space="preserve"> (</w:t>
      </w:r>
      <w:proofErr w:type="spellStart"/>
      <w:r w:rsidR="009879B7" w:rsidRPr="00C11AE9">
        <w:rPr>
          <w:i/>
          <w:iCs/>
          <w:color w:val="auto"/>
          <w:sz w:val="22"/>
          <w:szCs w:val="22"/>
        </w:rPr>
        <w:t>Holothuria</w:t>
      </w:r>
      <w:proofErr w:type="spellEnd"/>
      <w:r w:rsidR="009879B7" w:rsidRPr="00C11AE9">
        <w:rPr>
          <w:i/>
          <w:iCs/>
          <w:color w:val="auto"/>
          <w:sz w:val="22"/>
          <w:szCs w:val="22"/>
        </w:rPr>
        <w:t xml:space="preserve"> </w:t>
      </w:r>
      <w:proofErr w:type="spellStart"/>
      <w:r w:rsidR="009879B7" w:rsidRPr="00C11AE9">
        <w:rPr>
          <w:i/>
          <w:iCs/>
          <w:color w:val="auto"/>
          <w:sz w:val="22"/>
          <w:szCs w:val="22"/>
        </w:rPr>
        <w:t>whitmaei</w:t>
      </w:r>
      <w:proofErr w:type="spellEnd"/>
      <w:r w:rsidR="009879B7" w:rsidRPr="009879B7">
        <w:rPr>
          <w:color w:val="auto"/>
          <w:sz w:val="22"/>
          <w:szCs w:val="22"/>
        </w:rPr>
        <w:t>), Silvertip shark (</w:t>
      </w:r>
      <w:r w:rsidR="009879B7" w:rsidRPr="00C11AE9">
        <w:rPr>
          <w:i/>
          <w:iCs/>
          <w:color w:val="auto"/>
          <w:sz w:val="22"/>
          <w:szCs w:val="22"/>
        </w:rPr>
        <w:t xml:space="preserve">Carcharhinus </w:t>
      </w:r>
      <w:proofErr w:type="spellStart"/>
      <w:r w:rsidR="009879B7" w:rsidRPr="00C11AE9">
        <w:rPr>
          <w:i/>
          <w:iCs/>
          <w:color w:val="auto"/>
          <w:sz w:val="22"/>
          <w:szCs w:val="22"/>
        </w:rPr>
        <w:t>albimarginatus</w:t>
      </w:r>
      <w:proofErr w:type="spellEnd"/>
      <w:r w:rsidR="009879B7" w:rsidRPr="009879B7">
        <w:rPr>
          <w:color w:val="auto"/>
          <w:sz w:val="22"/>
          <w:szCs w:val="22"/>
        </w:rPr>
        <w:t>), Grey reef shark (</w:t>
      </w:r>
      <w:r w:rsidR="009879B7" w:rsidRPr="00C11AE9">
        <w:rPr>
          <w:i/>
          <w:iCs/>
          <w:color w:val="auto"/>
          <w:sz w:val="22"/>
          <w:szCs w:val="22"/>
        </w:rPr>
        <w:t xml:space="preserve">Carcharhinus </w:t>
      </w:r>
      <w:proofErr w:type="spellStart"/>
      <w:r w:rsidR="009879B7" w:rsidRPr="00C11AE9">
        <w:rPr>
          <w:i/>
          <w:iCs/>
          <w:color w:val="auto"/>
          <w:sz w:val="22"/>
          <w:szCs w:val="22"/>
        </w:rPr>
        <w:t>amblyrhynchos</w:t>
      </w:r>
      <w:proofErr w:type="spellEnd"/>
      <w:r w:rsidR="009879B7" w:rsidRPr="009879B7">
        <w:rPr>
          <w:color w:val="auto"/>
          <w:sz w:val="22"/>
          <w:szCs w:val="22"/>
        </w:rPr>
        <w:t>), Copper shark (</w:t>
      </w:r>
      <w:r w:rsidR="009879B7" w:rsidRPr="00C11AE9">
        <w:rPr>
          <w:i/>
          <w:iCs/>
          <w:color w:val="auto"/>
          <w:sz w:val="22"/>
          <w:szCs w:val="22"/>
        </w:rPr>
        <w:t xml:space="preserve">Carcharhinus </w:t>
      </w:r>
      <w:proofErr w:type="spellStart"/>
      <w:r w:rsidR="009879B7" w:rsidRPr="00C11AE9">
        <w:rPr>
          <w:i/>
          <w:iCs/>
          <w:color w:val="auto"/>
          <w:sz w:val="22"/>
          <w:szCs w:val="22"/>
        </w:rPr>
        <w:t>brachyurus</w:t>
      </w:r>
      <w:proofErr w:type="spellEnd"/>
      <w:r w:rsidR="009879B7" w:rsidRPr="009879B7">
        <w:rPr>
          <w:color w:val="auto"/>
          <w:sz w:val="22"/>
          <w:szCs w:val="22"/>
        </w:rPr>
        <w:t>), Common blacktip shark (</w:t>
      </w:r>
      <w:r w:rsidR="009879B7" w:rsidRPr="00C11AE9">
        <w:rPr>
          <w:i/>
          <w:iCs/>
          <w:color w:val="auto"/>
          <w:sz w:val="22"/>
          <w:szCs w:val="22"/>
        </w:rPr>
        <w:t xml:space="preserve">Carcharhinus </w:t>
      </w:r>
      <w:proofErr w:type="spellStart"/>
      <w:r w:rsidR="009879B7" w:rsidRPr="00C11AE9">
        <w:rPr>
          <w:i/>
          <w:iCs/>
          <w:color w:val="auto"/>
          <w:sz w:val="22"/>
          <w:szCs w:val="22"/>
        </w:rPr>
        <w:t>limbatus</w:t>
      </w:r>
      <w:proofErr w:type="spellEnd"/>
      <w:r w:rsidR="009879B7" w:rsidRPr="009879B7">
        <w:rPr>
          <w:color w:val="auto"/>
          <w:sz w:val="22"/>
          <w:szCs w:val="22"/>
        </w:rPr>
        <w:t>), Blacktip reef shark (</w:t>
      </w:r>
      <w:r w:rsidR="009879B7" w:rsidRPr="00C11AE9">
        <w:rPr>
          <w:i/>
          <w:iCs/>
          <w:color w:val="auto"/>
          <w:sz w:val="22"/>
          <w:szCs w:val="22"/>
        </w:rPr>
        <w:t xml:space="preserve">Carcharhinus </w:t>
      </w:r>
      <w:proofErr w:type="spellStart"/>
      <w:r w:rsidR="009879B7" w:rsidRPr="00C11AE9">
        <w:rPr>
          <w:i/>
          <w:iCs/>
          <w:color w:val="auto"/>
          <w:sz w:val="22"/>
          <w:szCs w:val="22"/>
        </w:rPr>
        <w:t>melanopterus</w:t>
      </w:r>
      <w:proofErr w:type="spellEnd"/>
      <w:r w:rsidR="009879B7" w:rsidRPr="009879B7">
        <w:rPr>
          <w:color w:val="auto"/>
          <w:sz w:val="22"/>
          <w:szCs w:val="22"/>
        </w:rPr>
        <w:t>), Australian blacktip shark (</w:t>
      </w:r>
      <w:r w:rsidR="009879B7" w:rsidRPr="00C11AE9">
        <w:rPr>
          <w:i/>
          <w:iCs/>
          <w:color w:val="auto"/>
          <w:sz w:val="22"/>
          <w:szCs w:val="22"/>
        </w:rPr>
        <w:t xml:space="preserve">Carcharhinus </w:t>
      </w:r>
      <w:proofErr w:type="spellStart"/>
      <w:r w:rsidR="009879B7" w:rsidRPr="00C11AE9">
        <w:rPr>
          <w:i/>
          <w:iCs/>
          <w:color w:val="auto"/>
          <w:sz w:val="22"/>
          <w:szCs w:val="22"/>
        </w:rPr>
        <w:t>tilstoni</w:t>
      </w:r>
      <w:proofErr w:type="spellEnd"/>
      <w:r w:rsidR="009879B7" w:rsidRPr="009879B7">
        <w:rPr>
          <w:color w:val="auto"/>
          <w:sz w:val="22"/>
          <w:szCs w:val="22"/>
        </w:rPr>
        <w:t>) and Whitetip reef shark (</w:t>
      </w:r>
      <w:proofErr w:type="spellStart"/>
      <w:r w:rsidR="009879B7" w:rsidRPr="00C11AE9">
        <w:rPr>
          <w:i/>
          <w:iCs/>
          <w:color w:val="auto"/>
          <w:sz w:val="22"/>
          <w:szCs w:val="22"/>
        </w:rPr>
        <w:t>Triaenodon</w:t>
      </w:r>
      <w:proofErr w:type="spellEnd"/>
      <w:r w:rsidR="009879B7" w:rsidRPr="00C11AE9">
        <w:rPr>
          <w:i/>
          <w:iCs/>
          <w:color w:val="auto"/>
          <w:sz w:val="22"/>
          <w:szCs w:val="22"/>
        </w:rPr>
        <w:t xml:space="preserve"> </w:t>
      </w:r>
      <w:proofErr w:type="spellStart"/>
      <w:r w:rsidR="009879B7" w:rsidRPr="00C11AE9">
        <w:rPr>
          <w:i/>
          <w:iCs/>
          <w:color w:val="auto"/>
          <w:sz w:val="22"/>
          <w:szCs w:val="22"/>
        </w:rPr>
        <w:t>obesus</w:t>
      </w:r>
      <w:proofErr w:type="spellEnd"/>
      <w:r w:rsidR="009879B7" w:rsidRPr="009879B7">
        <w:rPr>
          <w:color w:val="auto"/>
          <w:sz w:val="22"/>
          <w:szCs w:val="22"/>
        </w:rPr>
        <w:t>),</w:t>
      </w:r>
    </w:p>
    <w:p w14:paraId="32E21264" w14:textId="77777777" w:rsidR="00486384" w:rsidRPr="001C7377" w:rsidRDefault="00486384" w:rsidP="00EA05D0">
      <w:pPr>
        <w:spacing w:after="120"/>
        <w:rPr>
          <w:snapToGrid w:val="0"/>
          <w:sz w:val="22"/>
          <w:szCs w:val="22"/>
        </w:rPr>
      </w:pPr>
      <w:r w:rsidRPr="001C7377">
        <w:rPr>
          <w:snapToGrid w:val="0"/>
          <w:sz w:val="22"/>
          <w:szCs w:val="22"/>
        </w:rPr>
        <w:t>to be an approved wildlife trade operation, in accordance with subsection 303</w:t>
      </w:r>
      <w:proofErr w:type="gramStart"/>
      <w:r w:rsidRPr="001C7377">
        <w:rPr>
          <w:snapToGrid w:val="0"/>
          <w:sz w:val="22"/>
          <w:szCs w:val="22"/>
        </w:rPr>
        <w:t>FN(</w:t>
      </w:r>
      <w:proofErr w:type="gramEnd"/>
      <w:r w:rsidRPr="001C7377">
        <w:rPr>
          <w:snapToGrid w:val="0"/>
          <w:sz w:val="22"/>
          <w:szCs w:val="22"/>
        </w:rPr>
        <w:t>2) and paragraph 303FN(10)(d), for the purposes of the EPBC Act.</w:t>
      </w:r>
    </w:p>
    <w:p w14:paraId="25E857C7" w14:textId="61FBB4A9" w:rsidR="00486384" w:rsidRPr="001C7377" w:rsidRDefault="00486384" w:rsidP="002913B9">
      <w:pPr>
        <w:spacing w:after="80"/>
        <w:rPr>
          <w:snapToGrid w:val="0"/>
          <w:sz w:val="22"/>
          <w:szCs w:val="22"/>
        </w:rPr>
      </w:pPr>
      <w:r w:rsidRPr="001C7377">
        <w:rPr>
          <w:snapToGrid w:val="0"/>
          <w:sz w:val="22"/>
          <w:szCs w:val="22"/>
        </w:rPr>
        <w:t>Unless amended or revoked, this declaration:</w:t>
      </w:r>
    </w:p>
    <w:p w14:paraId="5D7C31C7" w14:textId="7A4A8157" w:rsidR="00486384" w:rsidRPr="001C7377" w:rsidRDefault="00486384" w:rsidP="00EB7B72">
      <w:pPr>
        <w:numPr>
          <w:ilvl w:val="0"/>
          <w:numId w:val="1"/>
        </w:numPr>
        <w:tabs>
          <w:tab w:val="num" w:pos="567"/>
        </w:tabs>
        <w:ind w:left="0" w:firstLine="0"/>
        <w:rPr>
          <w:sz w:val="22"/>
          <w:szCs w:val="22"/>
        </w:rPr>
      </w:pPr>
      <w:r w:rsidRPr="001C7377">
        <w:rPr>
          <w:sz w:val="22"/>
          <w:szCs w:val="22"/>
        </w:rPr>
        <w:t xml:space="preserve">is valid </w:t>
      </w:r>
      <w:r w:rsidRPr="000179AF">
        <w:rPr>
          <w:sz w:val="22"/>
          <w:szCs w:val="22"/>
        </w:rPr>
        <w:t xml:space="preserve">until </w:t>
      </w:r>
      <w:r w:rsidR="00E22691" w:rsidRPr="00E22691">
        <w:rPr>
          <w:sz w:val="22"/>
          <w:szCs w:val="22"/>
        </w:rPr>
        <w:t>7</w:t>
      </w:r>
      <w:r w:rsidR="00C030C6" w:rsidRPr="00E22691">
        <w:rPr>
          <w:sz w:val="22"/>
          <w:szCs w:val="22"/>
        </w:rPr>
        <w:t xml:space="preserve"> </w:t>
      </w:r>
      <w:r w:rsidR="00F94F01" w:rsidRPr="00E22691">
        <w:rPr>
          <w:sz w:val="22"/>
          <w:szCs w:val="22"/>
        </w:rPr>
        <w:t>Febru</w:t>
      </w:r>
      <w:r w:rsidR="00C030C6" w:rsidRPr="00E22691">
        <w:rPr>
          <w:sz w:val="22"/>
          <w:szCs w:val="22"/>
        </w:rPr>
        <w:t>ary 2027</w:t>
      </w:r>
      <w:r w:rsidRPr="00F94F01">
        <w:rPr>
          <w:sz w:val="22"/>
          <w:szCs w:val="22"/>
        </w:rPr>
        <w:t>,</w:t>
      </w:r>
      <w:r w:rsidRPr="007C1164">
        <w:rPr>
          <w:sz w:val="22"/>
          <w:szCs w:val="22"/>
        </w:rPr>
        <w:t xml:space="preserve"> and</w:t>
      </w:r>
    </w:p>
    <w:p w14:paraId="008E79E3" w14:textId="0BCA95A3" w:rsidR="00486384" w:rsidRPr="001C7377" w:rsidRDefault="00486384" w:rsidP="00B261A9">
      <w:pPr>
        <w:numPr>
          <w:ilvl w:val="0"/>
          <w:numId w:val="1"/>
        </w:numPr>
        <w:tabs>
          <w:tab w:val="num" w:pos="567"/>
        </w:tabs>
        <w:spacing w:after="360"/>
        <w:ind w:left="0" w:firstLine="0"/>
        <w:rPr>
          <w:sz w:val="22"/>
          <w:szCs w:val="22"/>
        </w:rPr>
      </w:pPr>
      <w:r w:rsidRPr="001C7377">
        <w:rPr>
          <w:sz w:val="22"/>
          <w:szCs w:val="22"/>
        </w:rPr>
        <w:t>is subject to the conditions applied under section 303FT specified in Schedule 1.</w:t>
      </w:r>
    </w:p>
    <w:p w14:paraId="0B11AFD2" w14:textId="554DF8B8" w:rsidR="007E7481" w:rsidRPr="001C7377" w:rsidRDefault="007E7481" w:rsidP="002526E9">
      <w:pPr>
        <w:spacing w:after="360"/>
        <w:jc w:val="center"/>
        <w:rPr>
          <w:sz w:val="22"/>
          <w:szCs w:val="22"/>
        </w:rPr>
      </w:pPr>
      <w:r w:rsidRPr="009F3BDC">
        <w:rPr>
          <w:sz w:val="22"/>
          <w:szCs w:val="22"/>
        </w:rPr>
        <w:t>Dated this</w:t>
      </w:r>
      <w:r w:rsidR="0054283C" w:rsidRPr="009F3BDC">
        <w:rPr>
          <w:sz w:val="22"/>
          <w:szCs w:val="22"/>
        </w:rPr>
        <w:t xml:space="preserve"> </w:t>
      </w:r>
      <w:r w:rsidR="00410C48">
        <w:rPr>
          <w:sz w:val="22"/>
          <w:szCs w:val="22"/>
        </w:rPr>
        <w:t>16</w:t>
      </w:r>
      <w:r w:rsidR="003C4539" w:rsidRPr="001875D1">
        <w:rPr>
          <w:sz w:val="22"/>
          <w:szCs w:val="22"/>
        </w:rPr>
        <w:t>th</w:t>
      </w:r>
      <w:r w:rsidR="00E91B91">
        <w:rPr>
          <w:sz w:val="22"/>
          <w:szCs w:val="22"/>
        </w:rPr>
        <w:t xml:space="preserve"> </w:t>
      </w:r>
      <w:r w:rsidRPr="009F3BDC">
        <w:rPr>
          <w:sz w:val="22"/>
          <w:szCs w:val="22"/>
        </w:rPr>
        <w:t>day of</w:t>
      </w:r>
      <w:r w:rsidR="00F3752D" w:rsidRPr="009F3BDC">
        <w:rPr>
          <w:sz w:val="22"/>
          <w:szCs w:val="22"/>
        </w:rPr>
        <w:t xml:space="preserve"> </w:t>
      </w:r>
      <w:r w:rsidR="0031370C">
        <w:rPr>
          <w:sz w:val="22"/>
          <w:szCs w:val="22"/>
        </w:rPr>
        <w:t>Febr</w:t>
      </w:r>
      <w:r w:rsidR="001875D1">
        <w:rPr>
          <w:sz w:val="22"/>
          <w:szCs w:val="22"/>
        </w:rPr>
        <w:t>uary</w:t>
      </w:r>
      <w:r w:rsidR="009903ED" w:rsidRPr="00CA7001">
        <w:rPr>
          <w:sz w:val="22"/>
          <w:szCs w:val="22"/>
        </w:rPr>
        <w:t xml:space="preserve"> </w:t>
      </w:r>
      <w:r w:rsidR="00F3752D" w:rsidRPr="00CA7001">
        <w:rPr>
          <w:sz w:val="22"/>
          <w:szCs w:val="22"/>
        </w:rPr>
        <w:t>202</w:t>
      </w:r>
      <w:r w:rsidR="001875D1">
        <w:rPr>
          <w:sz w:val="22"/>
          <w:szCs w:val="22"/>
        </w:rPr>
        <w:t>4</w:t>
      </w:r>
    </w:p>
    <w:p w14:paraId="30CA6B14" w14:textId="1A902833" w:rsidR="007E7481" w:rsidRPr="001C7377" w:rsidRDefault="007E7481" w:rsidP="00A543A4">
      <w:pPr>
        <w:spacing w:before="240" w:after="120"/>
        <w:jc w:val="center"/>
        <w:rPr>
          <w:sz w:val="22"/>
          <w:szCs w:val="22"/>
        </w:rPr>
      </w:pPr>
      <w:r w:rsidRPr="001C7377">
        <w:rPr>
          <w:sz w:val="22"/>
          <w:szCs w:val="22"/>
        </w:rPr>
        <w:t>………….…</w:t>
      </w:r>
      <w:r w:rsidR="00410C48">
        <w:rPr>
          <w:sz w:val="22"/>
          <w:szCs w:val="22"/>
        </w:rPr>
        <w:t xml:space="preserve">Belinda Jago </w:t>
      </w:r>
      <w:r w:rsidRPr="001C7377">
        <w:rPr>
          <w:sz w:val="22"/>
          <w:szCs w:val="22"/>
        </w:rPr>
        <w:t>………………</w:t>
      </w:r>
    </w:p>
    <w:p w14:paraId="607AB781" w14:textId="77777777" w:rsidR="007E7481" w:rsidRPr="001C7377" w:rsidRDefault="007E7481" w:rsidP="002526E9">
      <w:pPr>
        <w:spacing w:after="240"/>
        <w:jc w:val="center"/>
        <w:rPr>
          <w:snapToGrid w:val="0"/>
          <w:sz w:val="22"/>
          <w:szCs w:val="22"/>
        </w:rPr>
      </w:pPr>
      <w:bookmarkStart w:id="0" w:name="_Hlk40258754"/>
      <w:r w:rsidRPr="001C7377">
        <w:rPr>
          <w:snapToGrid w:val="0"/>
          <w:sz w:val="22"/>
          <w:szCs w:val="22"/>
        </w:rPr>
        <w:t xml:space="preserve">Delegate of the Minister for </w:t>
      </w:r>
      <w:r w:rsidRPr="001C7377">
        <w:rPr>
          <w:sz w:val="22"/>
          <w:szCs w:val="22"/>
        </w:rPr>
        <w:t>the Environment and Water</w:t>
      </w:r>
    </w:p>
    <w:bookmarkEnd w:id="0"/>
    <w:p w14:paraId="2CC23C39" w14:textId="4C34AE38" w:rsidR="001039DA" w:rsidRPr="001C7377" w:rsidRDefault="00B85719" w:rsidP="003366E6">
      <w:pPr>
        <w:spacing w:after="120"/>
      </w:pPr>
      <w:r w:rsidRPr="001C7377">
        <w:rPr>
          <w:sz w:val="18"/>
          <w:szCs w:val="18"/>
        </w:rPr>
        <w:t xml:space="preserve">Notes: Under the Administrative Appeals Tribunal Act 1975, a person whose interests are affected by this decision may apply for a statement of reasons and for independent review of the decision. An application for a statement of reasons may be made in writing to the </w:t>
      </w:r>
      <w:bookmarkStart w:id="1" w:name="_Hlk40258863"/>
      <w:r w:rsidR="007C3586" w:rsidRPr="001C7377">
        <w:rPr>
          <w:sz w:val="18"/>
          <w:szCs w:val="18"/>
        </w:rPr>
        <w:t>Department of Climate Change, Energy, the Environment and Water</w:t>
      </w:r>
      <w:r w:rsidRPr="001C7377">
        <w:rPr>
          <w:sz w:val="18"/>
          <w:szCs w:val="18"/>
        </w:rPr>
        <w:t xml:space="preserve"> </w:t>
      </w:r>
      <w:bookmarkEnd w:id="1"/>
      <w:r w:rsidRPr="001C7377">
        <w:rPr>
          <w:sz w:val="18"/>
          <w:szCs w:val="18"/>
        </w:rPr>
        <w:t xml:space="preserve">within 28 days of the date of the declaration. An application for independent review may be made to the Administrative Appeals Tribunal on payment of the relevant fee within 28 days of the date of the declaration, or if reasons are sought, within 28 days of receipt of reasons. </w:t>
      </w:r>
      <w:r w:rsidRPr="001C7377">
        <w:rPr>
          <w:sz w:val="18"/>
          <w:szCs w:val="18"/>
        </w:rPr>
        <w:lastRenderedPageBreak/>
        <w:t xml:space="preserve">Further information may be obtained from the Director, </w:t>
      </w:r>
      <w:r w:rsidR="00365C85" w:rsidRPr="001C7377">
        <w:rPr>
          <w:sz w:val="18"/>
          <w:szCs w:val="18"/>
        </w:rPr>
        <w:t xml:space="preserve">Sustainable Fisheries </w:t>
      </w:r>
      <w:r w:rsidRPr="001C7377">
        <w:rPr>
          <w:sz w:val="18"/>
          <w:szCs w:val="18"/>
        </w:rPr>
        <w:t>Section</w:t>
      </w:r>
      <w:r w:rsidRPr="001C7377">
        <w:rPr>
          <w:color w:val="000000"/>
          <w:sz w:val="18"/>
          <w:szCs w:val="18"/>
        </w:rPr>
        <w:t xml:space="preserve">, </w:t>
      </w:r>
      <w:r w:rsidR="007C3586" w:rsidRPr="001C7377">
        <w:rPr>
          <w:sz w:val="18"/>
          <w:szCs w:val="18"/>
        </w:rPr>
        <w:t>Department of Climate Change, Energy, the Environment and Water</w:t>
      </w:r>
      <w:r w:rsidRPr="001C7377">
        <w:rPr>
          <w:snapToGrid w:val="0"/>
          <w:sz w:val="18"/>
          <w:szCs w:val="18"/>
        </w:rPr>
        <w:t>, Email:</w:t>
      </w:r>
      <w:r w:rsidR="00D020DB" w:rsidRPr="001C7377">
        <w:rPr>
          <w:snapToGrid w:val="0"/>
          <w:sz w:val="18"/>
          <w:szCs w:val="18"/>
        </w:rPr>
        <w:t xml:space="preserve"> </w:t>
      </w:r>
      <w:hyperlink r:id="rId14" w:history="1">
        <w:r w:rsidR="001039DA" w:rsidRPr="001C7377">
          <w:rPr>
            <w:rStyle w:val="Hyperlink"/>
            <w:snapToGrid w:val="0"/>
            <w:sz w:val="18"/>
            <w:szCs w:val="18"/>
          </w:rPr>
          <w:t>sustainablefisheries@</w:t>
        </w:r>
        <w:r w:rsidR="004E4D67">
          <w:rPr>
            <w:rStyle w:val="Hyperlink"/>
            <w:snapToGrid w:val="0"/>
            <w:sz w:val="18"/>
            <w:szCs w:val="18"/>
          </w:rPr>
          <w:t>dcceew</w:t>
        </w:r>
        <w:r w:rsidR="001039DA" w:rsidRPr="001C7377">
          <w:rPr>
            <w:rStyle w:val="Hyperlink"/>
            <w:snapToGrid w:val="0"/>
            <w:sz w:val="18"/>
            <w:szCs w:val="18"/>
          </w:rPr>
          <w:t>.gov.au</w:t>
        </w:r>
      </w:hyperlink>
      <w:r w:rsidRPr="001C7377">
        <w:rPr>
          <w:snapToGrid w:val="0"/>
          <w:sz w:val="18"/>
          <w:szCs w:val="18"/>
        </w:rPr>
        <w:t>.</w:t>
      </w:r>
    </w:p>
    <w:p w14:paraId="1A97868E" w14:textId="3F4F84C0" w:rsidR="00A0575C" w:rsidRPr="0061715A" w:rsidRDefault="00AF08E8" w:rsidP="00645297">
      <w:pPr>
        <w:pageBreakBefore/>
        <w:spacing w:after="240"/>
        <w:jc w:val="right"/>
        <w:rPr>
          <w:b/>
          <w:bCs/>
          <w:sz w:val="22"/>
          <w:szCs w:val="22"/>
        </w:rPr>
      </w:pPr>
      <w:r w:rsidRPr="0061715A">
        <w:rPr>
          <w:b/>
          <w:bCs/>
          <w:sz w:val="22"/>
          <w:szCs w:val="22"/>
        </w:rPr>
        <w:lastRenderedPageBreak/>
        <w:t>Schedule 1</w:t>
      </w:r>
    </w:p>
    <w:p w14:paraId="19541D9B" w14:textId="0B41457D" w:rsidR="00BC3821" w:rsidRPr="0061715A" w:rsidRDefault="00BC3821" w:rsidP="002526E9">
      <w:pPr>
        <w:spacing w:after="360"/>
        <w:jc w:val="center"/>
        <w:rPr>
          <w:b/>
          <w:bCs/>
          <w:sz w:val="22"/>
          <w:szCs w:val="22"/>
        </w:rPr>
      </w:pPr>
      <w:r w:rsidRPr="0061715A">
        <w:rPr>
          <w:b/>
          <w:bCs/>
          <w:sz w:val="22"/>
          <w:szCs w:val="22"/>
        </w:rPr>
        <w:t xml:space="preserve">Declaration of the </w:t>
      </w:r>
      <w:r w:rsidR="00D63915" w:rsidRPr="0061715A">
        <w:rPr>
          <w:b/>
          <w:bCs/>
          <w:sz w:val="22"/>
          <w:szCs w:val="22"/>
        </w:rPr>
        <w:t>h</w:t>
      </w:r>
      <w:r w:rsidRPr="0061715A">
        <w:rPr>
          <w:b/>
          <w:bCs/>
          <w:sz w:val="22"/>
          <w:szCs w:val="22"/>
        </w:rPr>
        <w:t xml:space="preserve">arvest </w:t>
      </w:r>
      <w:r w:rsidR="00D63915" w:rsidRPr="0061715A">
        <w:rPr>
          <w:b/>
          <w:bCs/>
          <w:sz w:val="22"/>
          <w:szCs w:val="22"/>
        </w:rPr>
        <w:t>o</w:t>
      </w:r>
      <w:r w:rsidRPr="0061715A">
        <w:rPr>
          <w:b/>
          <w:bCs/>
          <w:sz w:val="22"/>
          <w:szCs w:val="22"/>
        </w:rPr>
        <w:t xml:space="preserve">perations of the </w:t>
      </w:r>
      <w:r w:rsidR="00626E7C" w:rsidRPr="00626E7C">
        <w:rPr>
          <w:b/>
          <w:bCs/>
          <w:sz w:val="22"/>
          <w:szCs w:val="22"/>
        </w:rPr>
        <w:t xml:space="preserve">Commonwealth </w:t>
      </w:r>
      <w:r w:rsidR="001875D1">
        <w:rPr>
          <w:b/>
          <w:bCs/>
          <w:sz w:val="22"/>
          <w:szCs w:val="22"/>
        </w:rPr>
        <w:t>Coral Sea</w:t>
      </w:r>
      <w:r w:rsidR="00626E7C" w:rsidRPr="00626E7C">
        <w:rPr>
          <w:b/>
          <w:bCs/>
          <w:sz w:val="22"/>
          <w:szCs w:val="22"/>
        </w:rPr>
        <w:t xml:space="preserve"> Fishery </w:t>
      </w:r>
      <w:r w:rsidRPr="0061715A">
        <w:rPr>
          <w:b/>
          <w:bCs/>
          <w:sz w:val="22"/>
          <w:szCs w:val="22"/>
        </w:rPr>
        <w:t xml:space="preserve">as an approved </w:t>
      </w:r>
      <w:r w:rsidR="00C665C2" w:rsidRPr="0061715A">
        <w:rPr>
          <w:b/>
          <w:bCs/>
          <w:sz w:val="22"/>
          <w:szCs w:val="22"/>
        </w:rPr>
        <w:t>w</w:t>
      </w:r>
      <w:r w:rsidRPr="0061715A">
        <w:rPr>
          <w:b/>
          <w:bCs/>
          <w:sz w:val="22"/>
          <w:szCs w:val="22"/>
        </w:rPr>
        <w:t xml:space="preserve">ildlife </w:t>
      </w:r>
      <w:r w:rsidR="00C665C2" w:rsidRPr="0061715A">
        <w:rPr>
          <w:b/>
          <w:bCs/>
          <w:sz w:val="22"/>
          <w:szCs w:val="22"/>
        </w:rPr>
        <w:t>t</w:t>
      </w:r>
      <w:r w:rsidRPr="0061715A">
        <w:rPr>
          <w:b/>
          <w:bCs/>
          <w:sz w:val="22"/>
          <w:szCs w:val="22"/>
        </w:rPr>
        <w:t xml:space="preserve">rade </w:t>
      </w:r>
      <w:r w:rsidR="00C665C2" w:rsidRPr="0061715A">
        <w:rPr>
          <w:b/>
          <w:bCs/>
          <w:sz w:val="22"/>
          <w:szCs w:val="22"/>
        </w:rPr>
        <w:t>o</w:t>
      </w:r>
      <w:r w:rsidRPr="0061715A">
        <w:rPr>
          <w:b/>
          <w:bCs/>
          <w:sz w:val="22"/>
          <w:szCs w:val="22"/>
        </w:rPr>
        <w:t xml:space="preserve">peration, </w:t>
      </w:r>
      <w:r w:rsidR="0031370C">
        <w:rPr>
          <w:b/>
          <w:bCs/>
          <w:sz w:val="22"/>
          <w:szCs w:val="22"/>
        </w:rPr>
        <w:t>Febr</w:t>
      </w:r>
      <w:r w:rsidR="00C030C6">
        <w:rPr>
          <w:b/>
          <w:bCs/>
          <w:sz w:val="22"/>
          <w:szCs w:val="22"/>
        </w:rPr>
        <w:t>uary 2024</w:t>
      </w:r>
    </w:p>
    <w:p w14:paraId="538A8F54" w14:textId="77777777" w:rsidR="001A708F" w:rsidRPr="0061715A" w:rsidRDefault="001A708F" w:rsidP="006A3E25">
      <w:pPr>
        <w:spacing w:after="80"/>
        <w:rPr>
          <w:b/>
          <w:bCs/>
          <w:sz w:val="22"/>
          <w:szCs w:val="22"/>
        </w:rPr>
      </w:pPr>
      <w:r w:rsidRPr="0061715A">
        <w:rPr>
          <w:b/>
          <w:bCs/>
          <w:sz w:val="22"/>
          <w:szCs w:val="22"/>
        </w:rPr>
        <w:t>ADDITIONAL PROVISIONS (section 303FT)</w:t>
      </w:r>
    </w:p>
    <w:p w14:paraId="74FCBBEF" w14:textId="5036EBC1" w:rsidR="000646CC" w:rsidRPr="00E22691" w:rsidRDefault="001A708F" w:rsidP="006A3E25">
      <w:pPr>
        <w:spacing w:after="240"/>
        <w:rPr>
          <w:sz w:val="22"/>
          <w:szCs w:val="22"/>
        </w:rPr>
      </w:pPr>
      <w:r w:rsidRPr="00E22691">
        <w:rPr>
          <w:sz w:val="22"/>
          <w:szCs w:val="22"/>
        </w:rPr>
        <w:t xml:space="preserve">Relating to the harvesting of specimens that are, or are derived from, fish or invertebrates, other than specimens of species listed under Part 13 and Part 13A of the </w:t>
      </w:r>
      <w:r w:rsidRPr="00E22691">
        <w:rPr>
          <w:i/>
          <w:iCs/>
          <w:sz w:val="22"/>
          <w:szCs w:val="22"/>
        </w:rPr>
        <w:t>Environment Protection and Biodiversity Conservation Act 1999</w:t>
      </w:r>
      <w:r w:rsidRPr="00E22691">
        <w:rPr>
          <w:sz w:val="22"/>
          <w:szCs w:val="22"/>
        </w:rPr>
        <w:t xml:space="preserve"> (EPBC Act), </w:t>
      </w:r>
      <w:r w:rsidR="00BC3821" w:rsidRPr="00E22691">
        <w:rPr>
          <w:sz w:val="22"/>
          <w:szCs w:val="22"/>
        </w:rPr>
        <w:t xml:space="preserve">taken in the </w:t>
      </w:r>
      <w:r w:rsidR="004E072F" w:rsidRPr="00E22691">
        <w:rPr>
          <w:bCs/>
          <w:sz w:val="22"/>
          <w:szCs w:val="22"/>
          <w:lang w:val="en-AU"/>
        </w:rPr>
        <w:t xml:space="preserve">Commonwealth </w:t>
      </w:r>
      <w:r w:rsidR="001875D1" w:rsidRPr="00E22691">
        <w:rPr>
          <w:bCs/>
          <w:sz w:val="22"/>
          <w:szCs w:val="22"/>
          <w:lang w:val="en-AU"/>
        </w:rPr>
        <w:t>Coral Sea</w:t>
      </w:r>
      <w:r w:rsidR="000D773D" w:rsidRPr="00E22691">
        <w:rPr>
          <w:bCs/>
          <w:sz w:val="22"/>
          <w:szCs w:val="22"/>
          <w:lang w:val="en-AU"/>
        </w:rPr>
        <w:t xml:space="preserve"> Fishery</w:t>
      </w:r>
      <w:r w:rsidR="00FC7AA8" w:rsidRPr="00E22691">
        <w:rPr>
          <w:sz w:val="22"/>
          <w:szCs w:val="22"/>
        </w:rPr>
        <w:t>:</w:t>
      </w:r>
    </w:p>
    <w:p w14:paraId="4C07A3F5" w14:textId="0E62E616" w:rsidR="00E068E1" w:rsidRPr="00E22691" w:rsidRDefault="00FF68F5" w:rsidP="00E26758">
      <w:pPr>
        <w:spacing w:after="80"/>
        <w:rPr>
          <w:b/>
          <w:bCs/>
          <w:sz w:val="22"/>
          <w:szCs w:val="22"/>
          <w:lang w:val="en-AU"/>
        </w:rPr>
      </w:pPr>
      <w:r w:rsidRPr="00E22691">
        <w:rPr>
          <w:b/>
          <w:bCs/>
          <w:sz w:val="22"/>
          <w:szCs w:val="22"/>
          <w:lang w:val="en-AU"/>
        </w:rPr>
        <w:t>Condition 1</w:t>
      </w:r>
    </w:p>
    <w:p w14:paraId="5A919A86" w14:textId="558B792B" w:rsidR="008E5A7F" w:rsidRPr="00E22691" w:rsidRDefault="00C406E3" w:rsidP="005C6E35">
      <w:pPr>
        <w:spacing w:after="240"/>
        <w:rPr>
          <w:bCs/>
          <w:sz w:val="22"/>
          <w:szCs w:val="22"/>
          <w:lang w:val="en-AU"/>
        </w:rPr>
      </w:pPr>
      <w:r w:rsidRPr="00E22691">
        <w:rPr>
          <w:bCs/>
          <w:sz w:val="22"/>
          <w:szCs w:val="22"/>
          <w:lang w:val="en-AU"/>
        </w:rPr>
        <w:t xml:space="preserve">Operation of </w:t>
      </w:r>
      <w:r w:rsidR="0031370C" w:rsidRPr="00E22691">
        <w:rPr>
          <w:bCs/>
          <w:sz w:val="22"/>
          <w:szCs w:val="22"/>
          <w:lang w:val="en-AU"/>
        </w:rPr>
        <w:t xml:space="preserve">the Commonwealth Coral Sea Fishery must be carried out in accordance with the management arrangements in force under the </w:t>
      </w:r>
      <w:r w:rsidR="0031370C" w:rsidRPr="00E22691">
        <w:rPr>
          <w:bCs/>
          <w:i/>
          <w:iCs/>
          <w:sz w:val="22"/>
          <w:szCs w:val="22"/>
          <w:lang w:val="en-AU"/>
        </w:rPr>
        <w:t>Fisheries Management Act 1991</w:t>
      </w:r>
      <w:r w:rsidR="0031370C" w:rsidRPr="00E22691">
        <w:rPr>
          <w:bCs/>
          <w:sz w:val="22"/>
          <w:szCs w:val="22"/>
          <w:lang w:val="en-AU"/>
        </w:rPr>
        <w:t xml:space="preserve"> (</w:t>
      </w:r>
      <w:proofErr w:type="spellStart"/>
      <w:r w:rsidR="0031370C" w:rsidRPr="00E22691">
        <w:rPr>
          <w:bCs/>
          <w:sz w:val="22"/>
          <w:szCs w:val="22"/>
          <w:lang w:val="en-AU"/>
        </w:rPr>
        <w:t>Cth</w:t>
      </w:r>
      <w:proofErr w:type="spellEnd"/>
      <w:r w:rsidR="0031370C" w:rsidRPr="00E22691">
        <w:rPr>
          <w:bCs/>
          <w:sz w:val="22"/>
          <w:szCs w:val="22"/>
          <w:lang w:val="en-AU"/>
        </w:rPr>
        <w:t>) and Fisheries Management Regulations 2019 (</w:t>
      </w:r>
      <w:proofErr w:type="spellStart"/>
      <w:r w:rsidR="0031370C" w:rsidRPr="00E22691">
        <w:rPr>
          <w:bCs/>
          <w:sz w:val="22"/>
          <w:szCs w:val="22"/>
          <w:lang w:val="en-AU"/>
        </w:rPr>
        <w:t>Cth</w:t>
      </w:r>
      <w:proofErr w:type="spellEnd"/>
      <w:r w:rsidR="0031370C" w:rsidRPr="00E22691">
        <w:rPr>
          <w:bCs/>
          <w:sz w:val="22"/>
          <w:szCs w:val="22"/>
          <w:lang w:val="en-AU"/>
        </w:rPr>
        <w:t>).</w:t>
      </w:r>
    </w:p>
    <w:p w14:paraId="6090B0AD" w14:textId="0CEE9786" w:rsidR="0031370C" w:rsidRPr="00E22691" w:rsidRDefault="0031370C" w:rsidP="0031370C">
      <w:pPr>
        <w:spacing w:after="80"/>
        <w:rPr>
          <w:b/>
          <w:bCs/>
          <w:sz w:val="22"/>
          <w:szCs w:val="22"/>
          <w:lang w:val="en-AU"/>
        </w:rPr>
      </w:pPr>
      <w:r w:rsidRPr="00E22691">
        <w:rPr>
          <w:b/>
          <w:bCs/>
          <w:sz w:val="22"/>
          <w:szCs w:val="22"/>
          <w:lang w:val="en-AU"/>
        </w:rPr>
        <w:t>Condition 2</w:t>
      </w:r>
    </w:p>
    <w:p w14:paraId="29D6D03D" w14:textId="524FC6F4" w:rsidR="0031370C" w:rsidRPr="00E22691" w:rsidRDefault="0031370C" w:rsidP="0031370C">
      <w:pPr>
        <w:spacing w:after="240"/>
        <w:rPr>
          <w:bCs/>
          <w:sz w:val="22"/>
          <w:szCs w:val="22"/>
          <w:lang w:val="en-AU"/>
        </w:rPr>
      </w:pPr>
      <w:r w:rsidRPr="00E22691">
        <w:rPr>
          <w:bCs/>
          <w:sz w:val="22"/>
          <w:szCs w:val="22"/>
          <w:lang w:val="en-AU"/>
        </w:rPr>
        <w:t xml:space="preserve">The Australian Fisheries Management Authority must inform the Department of Climate Change, Energy, the Environment and Water of any intended material changes to the Commonwealth Coral Sea Fishery management arrangements that may affect the assessment against which </w:t>
      </w:r>
      <w:r w:rsidRPr="00E22691">
        <w:rPr>
          <w:bCs/>
          <w:i/>
          <w:iCs/>
          <w:sz w:val="22"/>
          <w:szCs w:val="22"/>
          <w:lang w:val="en-AU"/>
        </w:rPr>
        <w:t xml:space="preserve">Environment Protection and Biodiversity Conservation Act 1999 </w:t>
      </w:r>
      <w:r w:rsidRPr="00E22691">
        <w:rPr>
          <w:bCs/>
          <w:sz w:val="22"/>
          <w:szCs w:val="22"/>
          <w:lang w:val="en-AU"/>
        </w:rPr>
        <w:t>decisions are made.</w:t>
      </w:r>
    </w:p>
    <w:p w14:paraId="30FF8383" w14:textId="4789BD94" w:rsidR="0031370C" w:rsidRPr="00E22691" w:rsidRDefault="0031370C" w:rsidP="0031370C">
      <w:pPr>
        <w:spacing w:after="80"/>
        <w:rPr>
          <w:b/>
          <w:bCs/>
          <w:sz w:val="22"/>
          <w:szCs w:val="22"/>
          <w:lang w:val="en-AU"/>
        </w:rPr>
      </w:pPr>
      <w:r w:rsidRPr="00E22691">
        <w:rPr>
          <w:b/>
          <w:bCs/>
          <w:sz w:val="22"/>
          <w:szCs w:val="22"/>
          <w:lang w:val="en-AU"/>
        </w:rPr>
        <w:t>Condition 3</w:t>
      </w:r>
    </w:p>
    <w:p w14:paraId="5564F9C7" w14:textId="7D84992A" w:rsidR="0031370C" w:rsidRPr="00E22691" w:rsidRDefault="0031370C" w:rsidP="0031370C">
      <w:pPr>
        <w:spacing w:after="240"/>
        <w:rPr>
          <w:bCs/>
          <w:sz w:val="22"/>
          <w:szCs w:val="22"/>
          <w:lang w:val="en-AU"/>
        </w:rPr>
      </w:pPr>
      <w:r w:rsidRPr="00E22691">
        <w:rPr>
          <w:bCs/>
          <w:sz w:val="22"/>
          <w:szCs w:val="22"/>
          <w:lang w:val="en-AU"/>
        </w:rPr>
        <w:t>The Australian Fisheries Management Authority must inform the Department of Climate Change, Energy, the Environment and Water of any intended changes to fisheries legislation that may affect the legislative instruments relevant to this approval.</w:t>
      </w:r>
    </w:p>
    <w:p w14:paraId="1DCF222F" w14:textId="0620784F" w:rsidR="0031370C" w:rsidRPr="00E22691" w:rsidRDefault="0031370C" w:rsidP="0031370C">
      <w:pPr>
        <w:spacing w:after="80"/>
        <w:rPr>
          <w:b/>
          <w:bCs/>
          <w:sz w:val="22"/>
          <w:szCs w:val="22"/>
          <w:lang w:val="en-AU"/>
        </w:rPr>
      </w:pPr>
      <w:r w:rsidRPr="00E22691">
        <w:rPr>
          <w:b/>
          <w:bCs/>
          <w:sz w:val="22"/>
          <w:szCs w:val="22"/>
          <w:lang w:val="en-AU"/>
        </w:rPr>
        <w:t>Condition 4</w:t>
      </w:r>
    </w:p>
    <w:p w14:paraId="2E5F2537" w14:textId="14CF9700" w:rsidR="0031370C" w:rsidRPr="00E22691" w:rsidRDefault="0031370C" w:rsidP="0031370C">
      <w:pPr>
        <w:spacing w:after="240"/>
        <w:rPr>
          <w:bCs/>
          <w:sz w:val="22"/>
          <w:szCs w:val="22"/>
          <w:lang w:val="en-AU"/>
        </w:rPr>
      </w:pPr>
      <w:r w:rsidRPr="00E22691">
        <w:rPr>
          <w:bCs/>
          <w:sz w:val="22"/>
          <w:szCs w:val="22"/>
          <w:lang w:val="en-AU"/>
        </w:rPr>
        <w:t>The Australian Fisheries Management Authority must produce and present reports on the Commonwealth Coral Sea Fishery to the Department of Climate Change, Energy, the Environment and Water by 30 November annually, as per Appendix B of the Guidelines for the Ecologically Sustainable Management of Fisheries – 2nd Edition.</w:t>
      </w:r>
    </w:p>
    <w:p w14:paraId="1323750B" w14:textId="6473B710" w:rsidR="0031370C" w:rsidRPr="00E22691" w:rsidRDefault="0031370C" w:rsidP="0031370C">
      <w:pPr>
        <w:spacing w:after="80"/>
        <w:rPr>
          <w:b/>
          <w:bCs/>
          <w:sz w:val="22"/>
          <w:szCs w:val="22"/>
          <w:lang w:val="en-AU"/>
        </w:rPr>
      </w:pPr>
      <w:r w:rsidRPr="00E22691">
        <w:rPr>
          <w:b/>
          <w:bCs/>
          <w:sz w:val="22"/>
          <w:szCs w:val="22"/>
          <w:lang w:val="en-AU"/>
        </w:rPr>
        <w:t>Condition 5</w:t>
      </w:r>
    </w:p>
    <w:p w14:paraId="524DD41A" w14:textId="114AE4BA" w:rsidR="0031370C" w:rsidRPr="00E22691" w:rsidRDefault="003366E6" w:rsidP="003366E6">
      <w:pPr>
        <w:spacing w:after="120"/>
        <w:rPr>
          <w:bCs/>
          <w:sz w:val="22"/>
          <w:szCs w:val="22"/>
          <w:lang w:val="en-AU"/>
        </w:rPr>
      </w:pPr>
      <w:r w:rsidRPr="00E22691">
        <w:rPr>
          <w:bCs/>
          <w:sz w:val="22"/>
          <w:szCs w:val="22"/>
          <w:lang w:val="en-AU"/>
        </w:rPr>
        <w:t xml:space="preserve">The Australian Fisheries Management Authority must review and publish updated risk assessments for the aquarium and line sectors of the Coral Sea Fishery. The updated risk assessments must consider current risks to target, bycatch and protected species as well as habitats and ecological communities. These assessments must consider currently available science to ensure the target species and fishery </w:t>
      </w:r>
      <w:proofErr w:type="gramStart"/>
      <w:r w:rsidRPr="00E22691">
        <w:rPr>
          <w:bCs/>
          <w:sz w:val="22"/>
          <w:szCs w:val="22"/>
          <w:lang w:val="en-AU"/>
        </w:rPr>
        <w:t>as a whole are</w:t>
      </w:r>
      <w:proofErr w:type="gramEnd"/>
      <w:r w:rsidRPr="00E22691">
        <w:rPr>
          <w:bCs/>
          <w:sz w:val="22"/>
          <w:szCs w:val="22"/>
          <w:lang w:val="en-AU"/>
        </w:rPr>
        <w:t xml:space="preserve"> managed to ensure ecological sustainability.</w:t>
      </w:r>
    </w:p>
    <w:p w14:paraId="1A726F86" w14:textId="5F941A9D" w:rsidR="003366E6" w:rsidRPr="00E22691" w:rsidRDefault="003366E6" w:rsidP="003366E6">
      <w:pPr>
        <w:spacing w:after="120"/>
        <w:rPr>
          <w:bCs/>
          <w:sz w:val="22"/>
          <w:szCs w:val="22"/>
          <w:lang w:val="en-AU"/>
        </w:rPr>
      </w:pPr>
      <w:r w:rsidRPr="00E22691">
        <w:rPr>
          <w:bCs/>
          <w:sz w:val="22"/>
          <w:szCs w:val="22"/>
          <w:lang w:val="en-AU"/>
        </w:rPr>
        <w:t>These risk assessments must be completed by the following dates:</w:t>
      </w:r>
    </w:p>
    <w:p w14:paraId="18807794" w14:textId="77777777" w:rsidR="003366E6" w:rsidRPr="00E22691" w:rsidRDefault="003366E6" w:rsidP="00CA231E">
      <w:pPr>
        <w:pStyle w:val="ListParagraph"/>
        <w:numPr>
          <w:ilvl w:val="0"/>
          <w:numId w:val="5"/>
        </w:numPr>
        <w:rPr>
          <w:bCs/>
        </w:rPr>
      </w:pPr>
      <w:r w:rsidRPr="00E22691">
        <w:rPr>
          <w:bCs/>
        </w:rPr>
        <w:t>aquarium sector – 30 January 2025</w:t>
      </w:r>
    </w:p>
    <w:p w14:paraId="49E65C98" w14:textId="77777777" w:rsidR="003366E6" w:rsidRPr="00E22691" w:rsidRDefault="003366E6" w:rsidP="00CA231E">
      <w:pPr>
        <w:pStyle w:val="ListParagraph"/>
        <w:numPr>
          <w:ilvl w:val="0"/>
          <w:numId w:val="5"/>
        </w:numPr>
        <w:spacing w:before="0" w:after="120"/>
        <w:ind w:left="714" w:hanging="357"/>
        <w:rPr>
          <w:bCs/>
        </w:rPr>
      </w:pPr>
      <w:r w:rsidRPr="00E22691">
        <w:rPr>
          <w:bCs/>
        </w:rPr>
        <w:t>line sector – 30 January 2026</w:t>
      </w:r>
    </w:p>
    <w:p w14:paraId="27675E4E" w14:textId="3EBC4758" w:rsidR="003366E6" w:rsidRPr="00E22691" w:rsidRDefault="003366E6" w:rsidP="003366E6">
      <w:pPr>
        <w:spacing w:after="240"/>
        <w:rPr>
          <w:bCs/>
          <w:sz w:val="22"/>
          <w:szCs w:val="22"/>
        </w:rPr>
      </w:pPr>
      <w:r w:rsidRPr="00E22691">
        <w:rPr>
          <w:bCs/>
          <w:sz w:val="22"/>
          <w:szCs w:val="22"/>
        </w:rPr>
        <w:t>Following the completion of these risk assessments, appropriate management strategies must be implemented by 30 July 2026 for any risks identified as being high or greater and a copy provided to the Department of Climate Change, Energy, the Environment and Water once complete.</w:t>
      </w:r>
    </w:p>
    <w:p w14:paraId="0ECED0A0" w14:textId="0DBC73C5" w:rsidR="0031370C" w:rsidRPr="00E22691" w:rsidRDefault="0031370C" w:rsidP="0031370C">
      <w:pPr>
        <w:spacing w:after="80"/>
        <w:rPr>
          <w:b/>
          <w:bCs/>
          <w:sz w:val="22"/>
          <w:szCs w:val="22"/>
          <w:lang w:val="en-AU"/>
        </w:rPr>
      </w:pPr>
      <w:r w:rsidRPr="00E22691">
        <w:rPr>
          <w:b/>
          <w:bCs/>
          <w:sz w:val="22"/>
          <w:szCs w:val="22"/>
          <w:lang w:val="en-AU"/>
        </w:rPr>
        <w:t>Condition 6</w:t>
      </w:r>
    </w:p>
    <w:p w14:paraId="2F26422C" w14:textId="27A39625" w:rsidR="0031370C" w:rsidRPr="00E22691" w:rsidRDefault="003366E6" w:rsidP="003366E6">
      <w:pPr>
        <w:spacing w:after="120"/>
        <w:rPr>
          <w:bCs/>
          <w:sz w:val="22"/>
          <w:szCs w:val="22"/>
          <w:lang w:val="en-AU"/>
        </w:rPr>
      </w:pPr>
      <w:r w:rsidRPr="00E22691">
        <w:rPr>
          <w:bCs/>
          <w:sz w:val="22"/>
          <w:szCs w:val="22"/>
          <w:lang w:val="en-AU"/>
        </w:rPr>
        <w:t>By 1 July 2024, the Australian Fisheries Management Authority must establish enforceable, interim measures to ensure the harvest of prickly redfish (</w:t>
      </w:r>
      <w:proofErr w:type="spellStart"/>
      <w:r w:rsidRPr="00E22691">
        <w:rPr>
          <w:bCs/>
          <w:i/>
          <w:iCs/>
          <w:sz w:val="22"/>
          <w:szCs w:val="22"/>
          <w:lang w:val="en-AU"/>
        </w:rPr>
        <w:t>Thelenota</w:t>
      </w:r>
      <w:proofErr w:type="spellEnd"/>
      <w:r w:rsidRPr="00E22691">
        <w:rPr>
          <w:bCs/>
          <w:i/>
          <w:iCs/>
          <w:sz w:val="22"/>
          <w:szCs w:val="22"/>
          <w:lang w:val="en-AU"/>
        </w:rPr>
        <w:t xml:space="preserve"> ananas</w:t>
      </w:r>
      <w:r w:rsidRPr="00E22691">
        <w:rPr>
          <w:bCs/>
          <w:sz w:val="22"/>
          <w:szCs w:val="22"/>
          <w:lang w:val="en-AU"/>
        </w:rPr>
        <w:t>), amberfish (</w:t>
      </w:r>
      <w:r w:rsidRPr="00E22691">
        <w:rPr>
          <w:bCs/>
          <w:i/>
          <w:iCs/>
          <w:sz w:val="22"/>
          <w:szCs w:val="22"/>
          <w:lang w:val="en-AU"/>
        </w:rPr>
        <w:t xml:space="preserve">T. </w:t>
      </w:r>
      <w:proofErr w:type="spellStart"/>
      <w:r w:rsidRPr="00E22691">
        <w:rPr>
          <w:bCs/>
          <w:i/>
          <w:iCs/>
          <w:sz w:val="22"/>
          <w:szCs w:val="22"/>
          <w:lang w:val="en-AU"/>
        </w:rPr>
        <w:t>anax</w:t>
      </w:r>
      <w:proofErr w:type="spellEnd"/>
      <w:r w:rsidRPr="00E22691">
        <w:rPr>
          <w:bCs/>
          <w:sz w:val="22"/>
          <w:szCs w:val="22"/>
          <w:lang w:val="en-AU"/>
        </w:rPr>
        <w:t>) and surf redfish (</w:t>
      </w:r>
      <w:proofErr w:type="spellStart"/>
      <w:r w:rsidRPr="00E22691">
        <w:rPr>
          <w:bCs/>
          <w:i/>
          <w:iCs/>
          <w:sz w:val="22"/>
          <w:szCs w:val="22"/>
          <w:lang w:val="en-AU"/>
        </w:rPr>
        <w:t>Actinopyga</w:t>
      </w:r>
      <w:proofErr w:type="spellEnd"/>
      <w:r w:rsidRPr="00E22691">
        <w:rPr>
          <w:bCs/>
          <w:i/>
          <w:iCs/>
          <w:sz w:val="22"/>
          <w:szCs w:val="22"/>
          <w:lang w:val="en-AU"/>
        </w:rPr>
        <w:t xml:space="preserve"> </w:t>
      </w:r>
      <w:proofErr w:type="spellStart"/>
      <w:r w:rsidRPr="00E22691">
        <w:rPr>
          <w:bCs/>
          <w:i/>
          <w:iCs/>
          <w:sz w:val="22"/>
          <w:szCs w:val="22"/>
          <w:lang w:val="en-AU"/>
        </w:rPr>
        <w:t>mauritiana</w:t>
      </w:r>
      <w:proofErr w:type="spellEnd"/>
      <w:r w:rsidRPr="00E22691">
        <w:rPr>
          <w:bCs/>
          <w:sz w:val="22"/>
          <w:szCs w:val="22"/>
          <w:lang w:val="en-AU"/>
        </w:rPr>
        <w:t>) is appropriately conservative. Specifically, catch triggers must be implemented and the harvest of these species in a fishing season must not exceed:</w:t>
      </w:r>
    </w:p>
    <w:p w14:paraId="51E65A4C" w14:textId="77777777" w:rsidR="003366E6" w:rsidRPr="00E22691" w:rsidRDefault="003366E6" w:rsidP="00CA231E">
      <w:pPr>
        <w:pStyle w:val="ListParagraph"/>
        <w:numPr>
          <w:ilvl w:val="0"/>
          <w:numId w:val="6"/>
        </w:numPr>
        <w:rPr>
          <w:bCs/>
        </w:rPr>
      </w:pPr>
      <w:r w:rsidRPr="00E22691">
        <w:rPr>
          <w:bCs/>
        </w:rPr>
        <w:t>12.3 tonnes for prickly redfish (</w:t>
      </w:r>
      <w:proofErr w:type="spellStart"/>
      <w:r w:rsidRPr="00E22691">
        <w:rPr>
          <w:bCs/>
          <w:i/>
          <w:iCs/>
        </w:rPr>
        <w:t>Thelenota</w:t>
      </w:r>
      <w:proofErr w:type="spellEnd"/>
      <w:r w:rsidRPr="00E22691">
        <w:rPr>
          <w:bCs/>
          <w:i/>
          <w:iCs/>
        </w:rPr>
        <w:t xml:space="preserve"> ananas</w:t>
      </w:r>
      <w:r w:rsidRPr="00E22691">
        <w:rPr>
          <w:bCs/>
        </w:rPr>
        <w:t>)</w:t>
      </w:r>
    </w:p>
    <w:p w14:paraId="19E8D4FF" w14:textId="77777777" w:rsidR="003366E6" w:rsidRPr="00E22691" w:rsidRDefault="003366E6" w:rsidP="00CA231E">
      <w:pPr>
        <w:pStyle w:val="ListParagraph"/>
        <w:numPr>
          <w:ilvl w:val="0"/>
          <w:numId w:val="6"/>
        </w:numPr>
        <w:rPr>
          <w:bCs/>
        </w:rPr>
      </w:pPr>
      <w:r w:rsidRPr="00E22691">
        <w:rPr>
          <w:bCs/>
        </w:rPr>
        <w:lastRenderedPageBreak/>
        <w:t>1 tonne for amberfish (</w:t>
      </w:r>
      <w:r w:rsidRPr="00E22691">
        <w:rPr>
          <w:bCs/>
          <w:i/>
          <w:iCs/>
        </w:rPr>
        <w:t xml:space="preserve">T. </w:t>
      </w:r>
      <w:proofErr w:type="spellStart"/>
      <w:r w:rsidRPr="00E22691">
        <w:rPr>
          <w:bCs/>
          <w:i/>
          <w:iCs/>
        </w:rPr>
        <w:t>anax</w:t>
      </w:r>
      <w:proofErr w:type="spellEnd"/>
      <w:r w:rsidRPr="00E22691">
        <w:rPr>
          <w:bCs/>
        </w:rPr>
        <w:t>)</w:t>
      </w:r>
    </w:p>
    <w:p w14:paraId="76ABE419" w14:textId="24FFE368" w:rsidR="003366E6" w:rsidRPr="00E22691" w:rsidRDefault="003366E6" w:rsidP="00CA231E">
      <w:pPr>
        <w:pStyle w:val="ListParagraph"/>
        <w:numPr>
          <w:ilvl w:val="0"/>
          <w:numId w:val="6"/>
        </w:numPr>
        <w:spacing w:before="0" w:after="120"/>
        <w:ind w:left="714" w:hanging="357"/>
        <w:rPr>
          <w:bCs/>
        </w:rPr>
      </w:pPr>
      <w:r w:rsidRPr="00E22691">
        <w:rPr>
          <w:bCs/>
        </w:rPr>
        <w:t>4 tonnes for surf redfish (</w:t>
      </w:r>
      <w:proofErr w:type="spellStart"/>
      <w:r w:rsidRPr="00E22691">
        <w:rPr>
          <w:bCs/>
          <w:i/>
          <w:iCs/>
        </w:rPr>
        <w:t>Actinopyga</w:t>
      </w:r>
      <w:proofErr w:type="spellEnd"/>
      <w:r w:rsidRPr="00E22691">
        <w:rPr>
          <w:bCs/>
          <w:i/>
          <w:iCs/>
        </w:rPr>
        <w:t xml:space="preserve"> </w:t>
      </w:r>
      <w:proofErr w:type="spellStart"/>
      <w:r w:rsidRPr="00E22691">
        <w:rPr>
          <w:bCs/>
          <w:i/>
          <w:iCs/>
        </w:rPr>
        <w:t>mauritiana</w:t>
      </w:r>
      <w:proofErr w:type="spellEnd"/>
      <w:r w:rsidRPr="00E22691">
        <w:rPr>
          <w:bCs/>
        </w:rPr>
        <w:t>).</w:t>
      </w:r>
    </w:p>
    <w:p w14:paraId="0EEAA530" w14:textId="52680F2B" w:rsidR="003366E6" w:rsidRPr="00E22691" w:rsidRDefault="003366E6" w:rsidP="003366E6">
      <w:pPr>
        <w:spacing w:after="240"/>
        <w:rPr>
          <w:bCs/>
          <w:sz w:val="22"/>
          <w:szCs w:val="22"/>
        </w:rPr>
      </w:pPr>
      <w:r w:rsidRPr="00E22691">
        <w:rPr>
          <w:bCs/>
          <w:sz w:val="22"/>
          <w:szCs w:val="22"/>
        </w:rPr>
        <w:t xml:space="preserve">These interim measures must remain in place until the sea cucumber harvest strategy has been reviewed, </w:t>
      </w:r>
      <w:proofErr w:type="gramStart"/>
      <w:r w:rsidRPr="00E22691">
        <w:rPr>
          <w:bCs/>
          <w:sz w:val="22"/>
          <w:szCs w:val="22"/>
        </w:rPr>
        <w:t>updated</w:t>
      </w:r>
      <w:proofErr w:type="gramEnd"/>
      <w:r w:rsidRPr="00E22691">
        <w:rPr>
          <w:bCs/>
          <w:sz w:val="22"/>
          <w:szCs w:val="22"/>
        </w:rPr>
        <w:t xml:space="preserve"> and published, as required in condition 7a.</w:t>
      </w:r>
    </w:p>
    <w:p w14:paraId="69C566BA" w14:textId="72BE8E6D" w:rsidR="0031370C" w:rsidRPr="00E22691" w:rsidRDefault="0031370C" w:rsidP="0031370C">
      <w:pPr>
        <w:spacing w:after="80"/>
        <w:rPr>
          <w:b/>
          <w:bCs/>
          <w:sz w:val="22"/>
          <w:szCs w:val="22"/>
          <w:lang w:val="en-AU"/>
        </w:rPr>
      </w:pPr>
      <w:r w:rsidRPr="00E22691">
        <w:rPr>
          <w:b/>
          <w:bCs/>
          <w:sz w:val="22"/>
          <w:szCs w:val="22"/>
          <w:lang w:val="en-AU"/>
        </w:rPr>
        <w:t>Condition 7</w:t>
      </w:r>
    </w:p>
    <w:p w14:paraId="5502D81E" w14:textId="380F6B2F" w:rsidR="0031370C" w:rsidRPr="00E22691" w:rsidRDefault="003366E6" w:rsidP="003366E6">
      <w:pPr>
        <w:spacing w:after="120"/>
        <w:rPr>
          <w:bCs/>
          <w:sz w:val="22"/>
          <w:szCs w:val="22"/>
          <w:lang w:val="en-AU"/>
        </w:rPr>
      </w:pPr>
      <w:r w:rsidRPr="00E22691">
        <w:rPr>
          <w:bCs/>
          <w:sz w:val="22"/>
          <w:szCs w:val="22"/>
          <w:lang w:val="en-AU"/>
        </w:rPr>
        <w:t>The Australian Fisheries Management Authority must review, update as necessary and publish harvest strategies for the following sectors:</w:t>
      </w:r>
    </w:p>
    <w:p w14:paraId="03F160A7" w14:textId="77777777" w:rsidR="003366E6" w:rsidRPr="00E22691" w:rsidRDefault="003366E6" w:rsidP="00CA231E">
      <w:pPr>
        <w:pStyle w:val="ListParagraph"/>
        <w:numPr>
          <w:ilvl w:val="0"/>
          <w:numId w:val="7"/>
        </w:numPr>
        <w:rPr>
          <w:bCs/>
        </w:rPr>
      </w:pPr>
      <w:r w:rsidRPr="00E22691">
        <w:rPr>
          <w:bCs/>
        </w:rPr>
        <w:t xml:space="preserve">By 30 January 2025 the sea cucumber harvest strategy must be reviewed. </w:t>
      </w:r>
      <w:proofErr w:type="gramStart"/>
      <w:r w:rsidRPr="00E22691">
        <w:rPr>
          <w:bCs/>
        </w:rPr>
        <w:t>In particular this</w:t>
      </w:r>
      <w:proofErr w:type="gramEnd"/>
      <w:r w:rsidRPr="00E22691">
        <w:rPr>
          <w:bCs/>
        </w:rPr>
        <w:t xml:space="preserve"> review must consider:</w:t>
      </w:r>
    </w:p>
    <w:p w14:paraId="0BF8F9CF" w14:textId="77777777" w:rsidR="003366E6" w:rsidRPr="00E22691" w:rsidRDefault="003366E6" w:rsidP="00CA231E">
      <w:pPr>
        <w:pStyle w:val="ListParagraph"/>
        <w:numPr>
          <w:ilvl w:val="0"/>
          <w:numId w:val="8"/>
        </w:numPr>
        <w:rPr>
          <w:bCs/>
        </w:rPr>
      </w:pPr>
      <w:r w:rsidRPr="00E22691">
        <w:rPr>
          <w:bCs/>
        </w:rPr>
        <w:t xml:space="preserve">whether the current biomass limit reference point is appropriate for the target </w:t>
      </w:r>
      <w:proofErr w:type="gramStart"/>
      <w:r w:rsidRPr="00E22691">
        <w:rPr>
          <w:bCs/>
        </w:rPr>
        <w:t>species;</w:t>
      </w:r>
      <w:proofErr w:type="gramEnd"/>
    </w:p>
    <w:p w14:paraId="5F56A0A9" w14:textId="77777777" w:rsidR="003366E6" w:rsidRPr="00E22691" w:rsidRDefault="003366E6" w:rsidP="00CA231E">
      <w:pPr>
        <w:pStyle w:val="ListParagraph"/>
        <w:numPr>
          <w:ilvl w:val="0"/>
          <w:numId w:val="8"/>
        </w:numPr>
        <w:rPr>
          <w:bCs/>
        </w:rPr>
      </w:pPr>
      <w:r w:rsidRPr="00E22691">
        <w:rPr>
          <w:bCs/>
        </w:rPr>
        <w:t xml:space="preserve">the effectiveness of the rotational zone </w:t>
      </w:r>
      <w:proofErr w:type="gramStart"/>
      <w:r w:rsidRPr="00E22691">
        <w:rPr>
          <w:bCs/>
        </w:rPr>
        <w:t>strategy;</w:t>
      </w:r>
      <w:proofErr w:type="gramEnd"/>
    </w:p>
    <w:p w14:paraId="2113B168" w14:textId="3829C249" w:rsidR="003366E6" w:rsidRPr="00E22691" w:rsidRDefault="003366E6" w:rsidP="00CA231E">
      <w:pPr>
        <w:pStyle w:val="ListParagraph"/>
        <w:numPr>
          <w:ilvl w:val="0"/>
          <w:numId w:val="8"/>
        </w:numPr>
        <w:spacing w:before="0" w:after="120"/>
        <w:ind w:left="1434" w:hanging="357"/>
        <w:rPr>
          <w:bCs/>
        </w:rPr>
      </w:pPr>
      <w:r w:rsidRPr="00E22691">
        <w:rPr>
          <w:bCs/>
        </w:rPr>
        <w:t>the effectiveness of voluntary minimum size limits.</w:t>
      </w:r>
    </w:p>
    <w:p w14:paraId="7E8D0A48" w14:textId="20A35833" w:rsidR="003366E6" w:rsidRPr="00E22691" w:rsidRDefault="003366E6" w:rsidP="003366E6">
      <w:pPr>
        <w:spacing w:after="120"/>
        <w:ind w:left="720"/>
        <w:rPr>
          <w:bCs/>
          <w:sz w:val="22"/>
          <w:szCs w:val="22"/>
        </w:rPr>
      </w:pPr>
      <w:r w:rsidRPr="00E22691">
        <w:rPr>
          <w:bCs/>
          <w:sz w:val="22"/>
          <w:szCs w:val="22"/>
        </w:rPr>
        <w:t>The review must incorporate recommended changes to catch limits, specifically:</w:t>
      </w:r>
    </w:p>
    <w:p w14:paraId="374E56D1" w14:textId="77777777" w:rsidR="003366E6" w:rsidRPr="00E22691" w:rsidRDefault="003366E6" w:rsidP="00CA231E">
      <w:pPr>
        <w:pStyle w:val="ListParagraph"/>
        <w:numPr>
          <w:ilvl w:val="0"/>
          <w:numId w:val="9"/>
        </w:numPr>
        <w:rPr>
          <w:bCs/>
        </w:rPr>
      </w:pPr>
      <w:r w:rsidRPr="00E22691">
        <w:rPr>
          <w:bCs/>
        </w:rPr>
        <w:t>reducing the total allowable catch of prickly redfish (</w:t>
      </w:r>
      <w:proofErr w:type="spellStart"/>
      <w:r w:rsidRPr="00E22691">
        <w:rPr>
          <w:bCs/>
        </w:rPr>
        <w:t>Thelenota</w:t>
      </w:r>
      <w:proofErr w:type="spellEnd"/>
      <w:r w:rsidRPr="00E22691">
        <w:rPr>
          <w:bCs/>
        </w:rPr>
        <w:t xml:space="preserve"> ananas) to 12.3 </w:t>
      </w:r>
      <w:proofErr w:type="gramStart"/>
      <w:r w:rsidRPr="00E22691">
        <w:rPr>
          <w:bCs/>
        </w:rPr>
        <w:t>tonnes;</w:t>
      </w:r>
      <w:proofErr w:type="gramEnd"/>
    </w:p>
    <w:p w14:paraId="6E29E898" w14:textId="681A39EE" w:rsidR="003366E6" w:rsidRPr="00E22691" w:rsidRDefault="003366E6" w:rsidP="00CA231E">
      <w:pPr>
        <w:pStyle w:val="ListParagraph"/>
        <w:numPr>
          <w:ilvl w:val="0"/>
          <w:numId w:val="9"/>
        </w:numPr>
        <w:rPr>
          <w:bCs/>
        </w:rPr>
      </w:pPr>
      <w:r w:rsidRPr="00E22691">
        <w:rPr>
          <w:bCs/>
        </w:rPr>
        <w:t>reducing the total allowable catch of amberfish (</w:t>
      </w:r>
      <w:proofErr w:type="spellStart"/>
      <w:r w:rsidRPr="00E22691">
        <w:rPr>
          <w:bCs/>
        </w:rPr>
        <w:t>Thelenota</w:t>
      </w:r>
      <w:proofErr w:type="spellEnd"/>
      <w:r w:rsidRPr="00E22691">
        <w:rPr>
          <w:bCs/>
        </w:rPr>
        <w:t xml:space="preserve"> </w:t>
      </w:r>
      <w:proofErr w:type="spellStart"/>
      <w:r w:rsidRPr="00E22691">
        <w:rPr>
          <w:bCs/>
        </w:rPr>
        <w:t>anax</w:t>
      </w:r>
      <w:proofErr w:type="spellEnd"/>
      <w:r w:rsidRPr="00E22691">
        <w:rPr>
          <w:bCs/>
        </w:rPr>
        <w:t xml:space="preserve">) to </w:t>
      </w:r>
      <w:r w:rsidR="00E56028">
        <w:rPr>
          <w:bCs/>
        </w:rPr>
        <w:t>1</w:t>
      </w:r>
      <w:r w:rsidRPr="00E22691">
        <w:rPr>
          <w:bCs/>
        </w:rPr>
        <w:t xml:space="preserve"> </w:t>
      </w:r>
      <w:proofErr w:type="gramStart"/>
      <w:r w:rsidRPr="00E22691">
        <w:rPr>
          <w:bCs/>
        </w:rPr>
        <w:t>tonne;</w:t>
      </w:r>
      <w:proofErr w:type="gramEnd"/>
    </w:p>
    <w:p w14:paraId="1589E5E6" w14:textId="77777777" w:rsidR="003366E6" w:rsidRPr="00E22691" w:rsidRDefault="003366E6" w:rsidP="00CA231E">
      <w:pPr>
        <w:pStyle w:val="ListParagraph"/>
        <w:numPr>
          <w:ilvl w:val="0"/>
          <w:numId w:val="9"/>
        </w:numPr>
        <w:rPr>
          <w:bCs/>
        </w:rPr>
      </w:pPr>
      <w:r w:rsidRPr="00E22691">
        <w:rPr>
          <w:bCs/>
        </w:rPr>
        <w:t>reducing the total allowable catch of surf redfish (</w:t>
      </w:r>
      <w:proofErr w:type="spellStart"/>
      <w:r w:rsidRPr="00E22691">
        <w:rPr>
          <w:bCs/>
        </w:rPr>
        <w:t>Actinopyga</w:t>
      </w:r>
      <w:proofErr w:type="spellEnd"/>
      <w:r w:rsidRPr="00E22691">
        <w:rPr>
          <w:bCs/>
        </w:rPr>
        <w:t xml:space="preserve"> </w:t>
      </w:r>
      <w:proofErr w:type="spellStart"/>
      <w:r w:rsidRPr="00E22691">
        <w:rPr>
          <w:bCs/>
        </w:rPr>
        <w:t>mauritiana</w:t>
      </w:r>
      <w:proofErr w:type="spellEnd"/>
      <w:r w:rsidRPr="00E22691">
        <w:rPr>
          <w:bCs/>
        </w:rPr>
        <w:t xml:space="preserve">) to 4 tonnes, with no more than 2 tonnes to be taken from any one reef per </w:t>
      </w:r>
      <w:proofErr w:type="gramStart"/>
      <w:r w:rsidRPr="00E22691">
        <w:rPr>
          <w:bCs/>
        </w:rPr>
        <w:t>year;</w:t>
      </w:r>
      <w:proofErr w:type="gramEnd"/>
    </w:p>
    <w:p w14:paraId="6C278C1E" w14:textId="77777777" w:rsidR="003366E6" w:rsidRPr="00E22691" w:rsidRDefault="003366E6" w:rsidP="00CA231E">
      <w:pPr>
        <w:pStyle w:val="ListParagraph"/>
        <w:numPr>
          <w:ilvl w:val="0"/>
          <w:numId w:val="9"/>
        </w:numPr>
        <w:spacing w:before="0" w:after="120"/>
        <w:ind w:left="1434" w:hanging="357"/>
        <w:rPr>
          <w:bCs/>
        </w:rPr>
      </w:pPr>
      <w:r w:rsidRPr="00E22691">
        <w:rPr>
          <w:bCs/>
        </w:rPr>
        <w:t xml:space="preserve">of the total allowable catch of white </w:t>
      </w:r>
      <w:proofErr w:type="spellStart"/>
      <w:r w:rsidRPr="00E22691">
        <w:rPr>
          <w:bCs/>
        </w:rPr>
        <w:t>teatfish</w:t>
      </w:r>
      <w:proofErr w:type="spellEnd"/>
      <w:r w:rsidRPr="00E22691">
        <w:rPr>
          <w:bCs/>
        </w:rPr>
        <w:t xml:space="preserve"> (</w:t>
      </w:r>
      <w:proofErr w:type="spellStart"/>
      <w:r w:rsidRPr="00E22691">
        <w:rPr>
          <w:bCs/>
        </w:rPr>
        <w:t>Holothuria</w:t>
      </w:r>
      <w:proofErr w:type="spellEnd"/>
      <w:r w:rsidRPr="00E22691">
        <w:rPr>
          <w:bCs/>
        </w:rPr>
        <w:t xml:space="preserve"> </w:t>
      </w:r>
      <w:proofErr w:type="spellStart"/>
      <w:r w:rsidRPr="00E22691">
        <w:rPr>
          <w:bCs/>
        </w:rPr>
        <w:t>fuscogilva</w:t>
      </w:r>
      <w:proofErr w:type="spellEnd"/>
      <w:r w:rsidRPr="00E22691">
        <w:rPr>
          <w:bCs/>
        </w:rPr>
        <w:t>), no more than 2 tonnes can be taken from any one reef per year.</w:t>
      </w:r>
    </w:p>
    <w:p w14:paraId="459927E5" w14:textId="2FF279E3" w:rsidR="003366E6" w:rsidRPr="00E22691" w:rsidRDefault="003366E6" w:rsidP="00CA231E">
      <w:pPr>
        <w:pStyle w:val="ListParagraph"/>
        <w:numPr>
          <w:ilvl w:val="0"/>
          <w:numId w:val="7"/>
        </w:numPr>
        <w:spacing w:before="0" w:after="240"/>
        <w:ind w:left="714" w:hanging="357"/>
        <w:rPr>
          <w:bCs/>
        </w:rPr>
      </w:pPr>
      <w:r w:rsidRPr="00E22691">
        <w:rPr>
          <w:bCs/>
        </w:rPr>
        <w:t>b)</w:t>
      </w:r>
      <w:r w:rsidRPr="00E22691">
        <w:rPr>
          <w:bCs/>
        </w:rPr>
        <w:tab/>
        <w:t>By 30 January 2026 the aquarium harvest strategy must be reviewed and updated.</w:t>
      </w:r>
    </w:p>
    <w:p w14:paraId="6929DBF9" w14:textId="0749B035" w:rsidR="0031370C" w:rsidRPr="00E22691" w:rsidRDefault="0031370C" w:rsidP="0031370C">
      <w:pPr>
        <w:spacing w:after="80"/>
        <w:rPr>
          <w:b/>
          <w:bCs/>
          <w:sz w:val="22"/>
          <w:szCs w:val="22"/>
          <w:lang w:val="en-AU"/>
        </w:rPr>
      </w:pPr>
      <w:r w:rsidRPr="00E22691">
        <w:rPr>
          <w:b/>
          <w:bCs/>
          <w:sz w:val="22"/>
          <w:szCs w:val="22"/>
          <w:lang w:val="en-AU"/>
        </w:rPr>
        <w:t>Condition 8</w:t>
      </w:r>
    </w:p>
    <w:p w14:paraId="05E8E0F0" w14:textId="13EED1EE" w:rsidR="0031370C" w:rsidRPr="00E22691" w:rsidRDefault="001524DF" w:rsidP="001524DF">
      <w:pPr>
        <w:spacing w:after="120"/>
        <w:rPr>
          <w:bCs/>
          <w:sz w:val="22"/>
          <w:szCs w:val="22"/>
          <w:lang w:val="en-AU"/>
        </w:rPr>
      </w:pPr>
      <w:r w:rsidRPr="00E22691">
        <w:rPr>
          <w:bCs/>
          <w:sz w:val="22"/>
          <w:szCs w:val="22"/>
          <w:lang w:val="en-AU"/>
        </w:rPr>
        <w:t>The Australian Fisheries Management Authority must:</w:t>
      </w:r>
    </w:p>
    <w:p w14:paraId="19212B76" w14:textId="76C690C6" w:rsidR="00E22691" w:rsidRPr="00E22691" w:rsidRDefault="00E22691" w:rsidP="00CA231E">
      <w:pPr>
        <w:pStyle w:val="ListParagraph"/>
        <w:numPr>
          <w:ilvl w:val="0"/>
          <w:numId w:val="10"/>
        </w:numPr>
        <w:rPr>
          <w:bCs/>
        </w:rPr>
      </w:pPr>
      <w:r w:rsidRPr="00E22691">
        <w:rPr>
          <w:bCs/>
        </w:rPr>
        <w:t>ensure the total allowable catch of species of the family Acroporidae does not exceed the catch limits in the Coral Sea Fishery – Aquarium Sector Harvest Strategy.</w:t>
      </w:r>
    </w:p>
    <w:p w14:paraId="117372F0" w14:textId="31D1E037" w:rsidR="001524DF" w:rsidRDefault="001524DF" w:rsidP="00CA231E">
      <w:pPr>
        <w:pStyle w:val="ListParagraph"/>
        <w:numPr>
          <w:ilvl w:val="0"/>
          <w:numId w:val="10"/>
        </w:numPr>
        <w:spacing w:before="0" w:after="120"/>
        <w:ind w:left="714" w:hanging="357"/>
        <w:rPr>
          <w:bCs/>
        </w:rPr>
      </w:pPr>
      <w:r w:rsidRPr="00E22691">
        <w:rPr>
          <w:bCs/>
        </w:rPr>
        <w:t>by 1 July 2024,</w:t>
      </w:r>
    </w:p>
    <w:p w14:paraId="6AA5C974" w14:textId="77777777" w:rsidR="00CA231E" w:rsidRPr="00CA231E" w:rsidRDefault="00CA231E" w:rsidP="00CA231E">
      <w:pPr>
        <w:pStyle w:val="ListParagraph"/>
        <w:numPr>
          <w:ilvl w:val="0"/>
          <w:numId w:val="12"/>
        </w:numPr>
        <w:rPr>
          <w:bCs/>
        </w:rPr>
      </w:pPr>
      <w:r w:rsidRPr="00CA231E">
        <w:rPr>
          <w:bCs/>
        </w:rPr>
        <w:t xml:space="preserve">revise the current Level 1 catch trigger for Acroporidae in the aquarium sector of the Coral Sea Fishery to include a limit of no more than 15 tonnes of </w:t>
      </w:r>
      <w:r w:rsidRPr="00CA231E">
        <w:rPr>
          <w:bCs/>
          <w:i/>
          <w:iCs/>
        </w:rPr>
        <w:t>Acropora</w:t>
      </w:r>
      <w:r w:rsidRPr="00CA231E">
        <w:rPr>
          <w:bCs/>
        </w:rPr>
        <w:t xml:space="preserve"> spp. with the remaining 5 tonnes to be distributed between remaining genera in Acroporidae. </w:t>
      </w:r>
    </w:p>
    <w:p w14:paraId="43FDFE3C" w14:textId="2183C3E6" w:rsidR="00CA231E" w:rsidRPr="00CA231E" w:rsidRDefault="00CA231E" w:rsidP="00CA231E">
      <w:pPr>
        <w:pStyle w:val="ListParagraph"/>
        <w:numPr>
          <w:ilvl w:val="0"/>
          <w:numId w:val="12"/>
        </w:numPr>
        <w:rPr>
          <w:bCs/>
        </w:rPr>
      </w:pPr>
      <w:r w:rsidRPr="00CA231E">
        <w:rPr>
          <w:bCs/>
        </w:rPr>
        <w:t>introduce an annual 10 tonne catch trigger for Acroporidae which requires a review of available information (including catch and effort data) and if either localised or broader sustainability concerns are identified, spatially appropriate management responses are implemented. Within three months of a review occurring, the outcome must be provided to the Department of Climate Change, Energy, the Environment and Water including what information was considered and any management responses required.</w:t>
      </w:r>
    </w:p>
    <w:p w14:paraId="39EB84C0" w14:textId="77777777" w:rsidR="00E56028" w:rsidRDefault="001524DF" w:rsidP="002F65A7">
      <w:pPr>
        <w:pStyle w:val="ListParagraph"/>
        <w:numPr>
          <w:ilvl w:val="0"/>
          <w:numId w:val="10"/>
        </w:numPr>
        <w:spacing w:before="0" w:after="240"/>
        <w:ind w:left="714" w:hanging="357"/>
        <w:rPr>
          <w:bCs/>
        </w:rPr>
      </w:pPr>
      <w:r w:rsidRPr="00E56028">
        <w:rPr>
          <w:bCs/>
        </w:rPr>
        <w:t>by 1 July 2025, introduce effective management arrangements that distribute effort of coral harvest across different reefs in the Coral Sea to avoid localised depletion</w:t>
      </w:r>
      <w:r w:rsidR="00CA231E" w:rsidRPr="00E56028">
        <w:rPr>
          <w:bCs/>
        </w:rPr>
        <w:t>.</w:t>
      </w:r>
    </w:p>
    <w:p w14:paraId="7AD6D04C" w14:textId="3D4C79DA" w:rsidR="00CA231E" w:rsidRPr="00E56028" w:rsidRDefault="00CA231E" w:rsidP="002F65A7">
      <w:pPr>
        <w:pStyle w:val="ListParagraph"/>
        <w:numPr>
          <w:ilvl w:val="0"/>
          <w:numId w:val="10"/>
        </w:numPr>
        <w:spacing w:before="0" w:after="240"/>
        <w:ind w:left="714" w:hanging="357"/>
        <w:rPr>
          <w:bCs/>
        </w:rPr>
      </w:pPr>
      <w:r w:rsidRPr="00E56028">
        <w:rPr>
          <w:bCs/>
        </w:rPr>
        <w:t>The Australian Fisheries Management Authority must monitor the catch triggers within condition 8a and implement mechanisms that ensure timely reporting of coral catches.</w:t>
      </w:r>
    </w:p>
    <w:p w14:paraId="520A05DE" w14:textId="71A07D8B" w:rsidR="0031370C" w:rsidRPr="00E22691" w:rsidRDefault="0031370C" w:rsidP="0031370C">
      <w:pPr>
        <w:spacing w:after="80"/>
        <w:rPr>
          <w:b/>
          <w:bCs/>
          <w:sz w:val="22"/>
          <w:szCs w:val="22"/>
          <w:lang w:val="en-AU"/>
        </w:rPr>
      </w:pPr>
      <w:r w:rsidRPr="00E22691">
        <w:rPr>
          <w:b/>
          <w:bCs/>
          <w:sz w:val="22"/>
          <w:szCs w:val="22"/>
          <w:lang w:val="en-AU"/>
        </w:rPr>
        <w:t>Condition 9</w:t>
      </w:r>
    </w:p>
    <w:p w14:paraId="658FF5B4" w14:textId="105B2891" w:rsidR="0031370C" w:rsidRPr="00E22691" w:rsidRDefault="001524DF" w:rsidP="001524DF">
      <w:pPr>
        <w:spacing w:after="240"/>
        <w:rPr>
          <w:bCs/>
          <w:sz w:val="22"/>
          <w:szCs w:val="22"/>
          <w:lang w:val="en-AU"/>
        </w:rPr>
      </w:pPr>
      <w:r w:rsidRPr="00E22691">
        <w:rPr>
          <w:bCs/>
          <w:sz w:val="22"/>
          <w:szCs w:val="22"/>
          <w:lang w:val="en-AU"/>
        </w:rPr>
        <w:t>The precautionary harvest limits described in conditions 7 and 8 must be maintained until there is enough independent scientific evidence to justify any increases in harvest levels.</w:t>
      </w:r>
    </w:p>
    <w:p w14:paraId="5ED1F559" w14:textId="34FD2E57" w:rsidR="0031370C" w:rsidRPr="00E22691" w:rsidRDefault="0031370C" w:rsidP="0031370C">
      <w:pPr>
        <w:spacing w:after="80"/>
        <w:rPr>
          <w:b/>
          <w:bCs/>
          <w:sz w:val="22"/>
          <w:szCs w:val="22"/>
          <w:lang w:val="en-AU"/>
        </w:rPr>
      </w:pPr>
      <w:r w:rsidRPr="00E22691">
        <w:rPr>
          <w:b/>
          <w:bCs/>
          <w:sz w:val="22"/>
          <w:szCs w:val="22"/>
          <w:lang w:val="en-AU"/>
        </w:rPr>
        <w:t>Condition 10</w:t>
      </w:r>
    </w:p>
    <w:p w14:paraId="37BE33F2" w14:textId="3DC27728" w:rsidR="0031370C" w:rsidRPr="00E22691" w:rsidRDefault="001524DF" w:rsidP="0031370C">
      <w:pPr>
        <w:spacing w:after="240"/>
        <w:rPr>
          <w:bCs/>
          <w:sz w:val="22"/>
          <w:szCs w:val="22"/>
          <w:lang w:val="en-AU"/>
        </w:rPr>
      </w:pPr>
      <w:r w:rsidRPr="00E22691">
        <w:rPr>
          <w:bCs/>
          <w:sz w:val="22"/>
          <w:szCs w:val="22"/>
          <w:lang w:val="en-AU"/>
        </w:rPr>
        <w:lastRenderedPageBreak/>
        <w:t>By 1 July 2024, the Australian Fisheries Management Authority must require that all catch of CITES listed species (including discards) taken in the Commonwealth Coral Sea Fishery is recorded to a species level (or genus level where appropriate for Acroporidae corals) and that these catches are reported to the Department of Climate Change, Energy, the Environment and Water as part of the annual reporting requirement referred to in Condition 4.</w:t>
      </w:r>
    </w:p>
    <w:p w14:paraId="16DB91E0" w14:textId="6FE7885C" w:rsidR="0031370C" w:rsidRPr="00E22691" w:rsidRDefault="0031370C" w:rsidP="0031370C">
      <w:pPr>
        <w:spacing w:after="80"/>
        <w:rPr>
          <w:b/>
          <w:bCs/>
          <w:sz w:val="22"/>
          <w:szCs w:val="22"/>
          <w:lang w:val="en-AU"/>
        </w:rPr>
      </w:pPr>
      <w:r w:rsidRPr="00E22691">
        <w:rPr>
          <w:b/>
          <w:bCs/>
          <w:sz w:val="22"/>
          <w:szCs w:val="22"/>
          <w:lang w:val="en-AU"/>
        </w:rPr>
        <w:t>Condition 11</w:t>
      </w:r>
    </w:p>
    <w:p w14:paraId="0077F261" w14:textId="7CABB7E3" w:rsidR="0031370C" w:rsidRPr="00E22691" w:rsidRDefault="001524DF" w:rsidP="0031370C">
      <w:pPr>
        <w:spacing w:after="240"/>
        <w:rPr>
          <w:bCs/>
          <w:sz w:val="22"/>
          <w:szCs w:val="22"/>
          <w:lang w:val="en-AU"/>
        </w:rPr>
      </w:pPr>
      <w:r w:rsidRPr="00E22691">
        <w:rPr>
          <w:bCs/>
          <w:sz w:val="22"/>
          <w:szCs w:val="22"/>
          <w:lang w:val="en-AU"/>
        </w:rPr>
        <w:t xml:space="preserve">By 13 December 2024, the Australian Fisheries Management Authority must develop, </w:t>
      </w:r>
      <w:proofErr w:type="gramStart"/>
      <w:r w:rsidRPr="00E22691">
        <w:rPr>
          <w:bCs/>
          <w:sz w:val="22"/>
          <w:szCs w:val="22"/>
          <w:lang w:val="en-AU"/>
        </w:rPr>
        <w:t>publish</w:t>
      </w:r>
      <w:proofErr w:type="gramEnd"/>
      <w:r w:rsidRPr="00E22691">
        <w:rPr>
          <w:bCs/>
          <w:sz w:val="22"/>
          <w:szCs w:val="22"/>
          <w:lang w:val="en-AU"/>
        </w:rPr>
        <w:t xml:space="preserve"> and distribute identification guides to licenced fishers for all shark species protected under the </w:t>
      </w:r>
      <w:r w:rsidRPr="00E22691">
        <w:rPr>
          <w:bCs/>
          <w:i/>
          <w:iCs/>
          <w:sz w:val="22"/>
          <w:szCs w:val="22"/>
          <w:lang w:val="en-AU"/>
        </w:rPr>
        <w:t>Environment Protection and Biodiversity Conservation Act 1999</w:t>
      </w:r>
      <w:r w:rsidRPr="00E22691">
        <w:rPr>
          <w:bCs/>
          <w:sz w:val="22"/>
          <w:szCs w:val="22"/>
          <w:lang w:val="en-AU"/>
        </w:rPr>
        <w:t xml:space="preserve"> which the Coral Sea Fishery may interact with.</w:t>
      </w:r>
    </w:p>
    <w:p w14:paraId="149A28F7" w14:textId="20671993" w:rsidR="0031370C" w:rsidRPr="00E22691" w:rsidRDefault="0031370C" w:rsidP="0031370C">
      <w:pPr>
        <w:spacing w:after="80"/>
        <w:rPr>
          <w:b/>
          <w:bCs/>
          <w:sz w:val="22"/>
          <w:szCs w:val="22"/>
          <w:lang w:val="en-AU"/>
        </w:rPr>
      </w:pPr>
      <w:r w:rsidRPr="00E22691">
        <w:rPr>
          <w:b/>
          <w:bCs/>
          <w:sz w:val="22"/>
          <w:szCs w:val="22"/>
          <w:lang w:val="en-AU"/>
        </w:rPr>
        <w:t>Condition 12</w:t>
      </w:r>
    </w:p>
    <w:p w14:paraId="55D28677" w14:textId="06DD468F" w:rsidR="001524DF" w:rsidRPr="00E22691" w:rsidRDefault="001524DF" w:rsidP="001524DF">
      <w:pPr>
        <w:spacing w:after="120"/>
        <w:rPr>
          <w:bCs/>
          <w:sz w:val="22"/>
          <w:szCs w:val="22"/>
          <w:lang w:val="en-AU"/>
        </w:rPr>
      </w:pPr>
      <w:r w:rsidRPr="00E22691">
        <w:rPr>
          <w:bCs/>
          <w:sz w:val="22"/>
          <w:szCs w:val="22"/>
          <w:lang w:val="en-AU"/>
        </w:rPr>
        <w:t>If,</w:t>
      </w:r>
      <w:r w:rsidR="00CA231E" w:rsidRPr="00CA231E">
        <w:t xml:space="preserve"> </w:t>
      </w:r>
      <w:r w:rsidR="00CA231E" w:rsidRPr="00CA231E">
        <w:rPr>
          <w:bCs/>
          <w:sz w:val="22"/>
          <w:szCs w:val="22"/>
          <w:lang w:val="en-AU"/>
        </w:rPr>
        <w:t>during the term of this Wildlife Trade Operation approval, the Coral Sea experiences conditions that are likely to cause severe heat stress and coral bleaching, indicated by six consecutive Degree Heating Weeks, the Australian Fisheries Management Authority must meet with the Department of Climate Change, Energy the Environment and Water and Parks Australia to discuss appropriate management responses. This meeting should be pre-emptive to</w:t>
      </w:r>
      <w:r w:rsidRPr="00E22691">
        <w:rPr>
          <w:bCs/>
          <w:sz w:val="22"/>
          <w:szCs w:val="22"/>
          <w:lang w:val="en-AU"/>
        </w:rPr>
        <w:t>:</w:t>
      </w:r>
    </w:p>
    <w:p w14:paraId="281A4CE6" w14:textId="7F85D4C7" w:rsidR="001524DF" w:rsidRPr="00E22691" w:rsidRDefault="00CA231E" w:rsidP="00CA231E">
      <w:pPr>
        <w:pStyle w:val="ListParagraph"/>
        <w:numPr>
          <w:ilvl w:val="0"/>
          <w:numId w:val="11"/>
        </w:numPr>
        <w:spacing w:before="0" w:after="120"/>
        <w:ind w:left="714" w:hanging="357"/>
        <w:rPr>
          <w:bCs/>
        </w:rPr>
      </w:pPr>
      <w:r>
        <w:rPr>
          <w:bCs/>
        </w:rPr>
        <w:t>c</w:t>
      </w:r>
      <w:r w:rsidR="001524DF" w:rsidRPr="00E22691">
        <w:rPr>
          <w:bCs/>
        </w:rPr>
        <w:t>onsider the extent and severity of impact over the Coral Sea; and</w:t>
      </w:r>
    </w:p>
    <w:p w14:paraId="1404DF89" w14:textId="63644A4D" w:rsidR="001524DF" w:rsidRPr="00CA231E" w:rsidRDefault="001524DF" w:rsidP="00CA231E">
      <w:pPr>
        <w:pStyle w:val="ListParagraph"/>
        <w:numPr>
          <w:ilvl w:val="0"/>
          <w:numId w:val="11"/>
        </w:numPr>
        <w:rPr>
          <w:bCs/>
        </w:rPr>
      </w:pPr>
      <w:r w:rsidRPr="00CA231E">
        <w:rPr>
          <w:bCs/>
        </w:rPr>
        <w:t>Discuss</w:t>
      </w:r>
      <w:r w:rsidR="00CA231E" w:rsidRPr="00CA231E">
        <w:rPr>
          <w:bCs/>
        </w:rPr>
        <w:t xml:space="preserve"> and explore required fisheries management responses to reduce fishing pressure on sensitive target species and enable heat-sensitive target species to recover, particularly coral, marine aquarium fish and sea cucumbers.</w:t>
      </w:r>
    </w:p>
    <w:p w14:paraId="6A6CEC49" w14:textId="1AB05601" w:rsidR="0031370C" w:rsidRPr="005C6E35" w:rsidRDefault="00CA231E" w:rsidP="005C6E35">
      <w:pPr>
        <w:spacing w:after="240"/>
        <w:rPr>
          <w:bCs/>
          <w:sz w:val="22"/>
          <w:szCs w:val="22"/>
          <w:lang w:val="en-AU"/>
        </w:rPr>
      </w:pPr>
      <w:r w:rsidRPr="00CA231E">
        <w:rPr>
          <w:bCs/>
          <w:sz w:val="22"/>
          <w:szCs w:val="22"/>
          <w:lang w:val="en-AU"/>
        </w:rPr>
        <w:t>Where it is determined by the Department of Climate Change, Energy, the Environment and Water (in consultation with Parks Australia and the Australian Fisheries Management Authority) that the declared bleaching event is unlikely to have severely impacted the Coral Sea, no restrictions to established fishery limits are required.</w:t>
      </w:r>
    </w:p>
    <w:sectPr w:rsidR="0031370C" w:rsidRPr="005C6E35" w:rsidSect="0084723E">
      <w:pgSz w:w="11909" w:h="16834"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581D" w14:textId="77777777" w:rsidR="00404AA4" w:rsidRDefault="00404AA4" w:rsidP="001039DA">
      <w:r>
        <w:separator/>
      </w:r>
    </w:p>
  </w:endnote>
  <w:endnote w:type="continuationSeparator" w:id="0">
    <w:p w14:paraId="58810CD9" w14:textId="77777777" w:rsidR="00404AA4" w:rsidRDefault="00404AA4" w:rsidP="0010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0685" w14:textId="77777777" w:rsidR="00404AA4" w:rsidRDefault="00404AA4" w:rsidP="001039DA">
      <w:r>
        <w:separator/>
      </w:r>
    </w:p>
  </w:footnote>
  <w:footnote w:type="continuationSeparator" w:id="0">
    <w:p w14:paraId="5C78640F" w14:textId="77777777" w:rsidR="00404AA4" w:rsidRDefault="00404AA4" w:rsidP="0010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1548"/>
    <w:multiLevelType w:val="hybridMultilevel"/>
    <w:tmpl w:val="344A62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983E73"/>
    <w:multiLevelType w:val="hybridMultilevel"/>
    <w:tmpl w:val="53E62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6F02A3"/>
    <w:multiLevelType w:val="hybridMultilevel"/>
    <w:tmpl w:val="CAC2FA78"/>
    <w:lvl w:ilvl="0" w:tplc="0C090001">
      <w:start w:val="1"/>
      <w:numFmt w:val="bullet"/>
      <w:lvlText w:val=""/>
      <w:lvlJc w:val="left"/>
      <w:pPr>
        <w:ind w:left="1456" w:hanging="360"/>
      </w:pPr>
      <w:rPr>
        <w:rFonts w:ascii="Symbol" w:hAnsi="Symbol" w:hint="default"/>
      </w:rPr>
    </w:lvl>
    <w:lvl w:ilvl="1" w:tplc="0C090003" w:tentative="1">
      <w:start w:val="1"/>
      <w:numFmt w:val="bullet"/>
      <w:lvlText w:val="o"/>
      <w:lvlJc w:val="left"/>
      <w:pPr>
        <w:ind w:left="2176" w:hanging="360"/>
      </w:pPr>
      <w:rPr>
        <w:rFonts w:ascii="Courier New" w:hAnsi="Courier New" w:cs="Courier New" w:hint="default"/>
      </w:rPr>
    </w:lvl>
    <w:lvl w:ilvl="2" w:tplc="0C090005" w:tentative="1">
      <w:start w:val="1"/>
      <w:numFmt w:val="bullet"/>
      <w:lvlText w:val=""/>
      <w:lvlJc w:val="left"/>
      <w:pPr>
        <w:ind w:left="2896" w:hanging="360"/>
      </w:pPr>
      <w:rPr>
        <w:rFonts w:ascii="Wingdings" w:hAnsi="Wingdings" w:hint="default"/>
      </w:rPr>
    </w:lvl>
    <w:lvl w:ilvl="3" w:tplc="0C090001" w:tentative="1">
      <w:start w:val="1"/>
      <w:numFmt w:val="bullet"/>
      <w:lvlText w:val=""/>
      <w:lvlJc w:val="left"/>
      <w:pPr>
        <w:ind w:left="3616" w:hanging="360"/>
      </w:pPr>
      <w:rPr>
        <w:rFonts w:ascii="Symbol" w:hAnsi="Symbol" w:hint="default"/>
      </w:rPr>
    </w:lvl>
    <w:lvl w:ilvl="4" w:tplc="0C090003" w:tentative="1">
      <w:start w:val="1"/>
      <w:numFmt w:val="bullet"/>
      <w:lvlText w:val="o"/>
      <w:lvlJc w:val="left"/>
      <w:pPr>
        <w:ind w:left="4336" w:hanging="360"/>
      </w:pPr>
      <w:rPr>
        <w:rFonts w:ascii="Courier New" w:hAnsi="Courier New" w:cs="Courier New" w:hint="default"/>
      </w:rPr>
    </w:lvl>
    <w:lvl w:ilvl="5" w:tplc="0C090005" w:tentative="1">
      <w:start w:val="1"/>
      <w:numFmt w:val="bullet"/>
      <w:lvlText w:val=""/>
      <w:lvlJc w:val="left"/>
      <w:pPr>
        <w:ind w:left="5056" w:hanging="360"/>
      </w:pPr>
      <w:rPr>
        <w:rFonts w:ascii="Wingdings" w:hAnsi="Wingdings" w:hint="default"/>
      </w:rPr>
    </w:lvl>
    <w:lvl w:ilvl="6" w:tplc="0C090001" w:tentative="1">
      <w:start w:val="1"/>
      <w:numFmt w:val="bullet"/>
      <w:lvlText w:val=""/>
      <w:lvlJc w:val="left"/>
      <w:pPr>
        <w:ind w:left="5776" w:hanging="360"/>
      </w:pPr>
      <w:rPr>
        <w:rFonts w:ascii="Symbol" w:hAnsi="Symbol" w:hint="default"/>
      </w:rPr>
    </w:lvl>
    <w:lvl w:ilvl="7" w:tplc="0C090003" w:tentative="1">
      <w:start w:val="1"/>
      <w:numFmt w:val="bullet"/>
      <w:lvlText w:val="o"/>
      <w:lvlJc w:val="left"/>
      <w:pPr>
        <w:ind w:left="6496" w:hanging="360"/>
      </w:pPr>
      <w:rPr>
        <w:rFonts w:ascii="Courier New" w:hAnsi="Courier New" w:cs="Courier New" w:hint="default"/>
      </w:rPr>
    </w:lvl>
    <w:lvl w:ilvl="8" w:tplc="0C090005" w:tentative="1">
      <w:start w:val="1"/>
      <w:numFmt w:val="bullet"/>
      <w:lvlText w:val=""/>
      <w:lvlJc w:val="left"/>
      <w:pPr>
        <w:ind w:left="7216" w:hanging="360"/>
      </w:pPr>
      <w:rPr>
        <w:rFonts w:ascii="Wingdings" w:hAnsi="Wingdings" w:hint="default"/>
      </w:rPr>
    </w:lvl>
  </w:abstractNum>
  <w:abstractNum w:abstractNumId="3" w15:restartNumberingAfterBreak="0">
    <w:nsid w:val="287253D7"/>
    <w:multiLevelType w:val="hybridMultilevel"/>
    <w:tmpl w:val="2BCA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004A7"/>
    <w:multiLevelType w:val="hybridMultilevel"/>
    <w:tmpl w:val="34FC1698"/>
    <w:lvl w:ilvl="0" w:tplc="43BCECB6">
      <w:start w:val="1"/>
      <w:numFmt w:val="lowerLetter"/>
      <w:lvlText w:val="(%1)"/>
      <w:lvlJc w:val="left"/>
      <w:pPr>
        <w:ind w:left="360" w:hanging="360"/>
      </w:pPr>
      <w:rPr>
        <w:rFonts w:hint="default"/>
      </w:rPr>
    </w:lvl>
    <w:lvl w:ilvl="1" w:tplc="0C090019" w:tentative="1">
      <w:start w:val="1"/>
      <w:numFmt w:val="lowerLetter"/>
      <w:lvlText w:val="%2."/>
      <w:lvlJc w:val="left"/>
      <w:pPr>
        <w:ind w:left="1956" w:hanging="360"/>
      </w:pPr>
    </w:lvl>
    <w:lvl w:ilvl="2" w:tplc="0C09001B" w:tentative="1">
      <w:start w:val="1"/>
      <w:numFmt w:val="lowerRoman"/>
      <w:lvlText w:val="%3."/>
      <w:lvlJc w:val="right"/>
      <w:pPr>
        <w:ind w:left="2676" w:hanging="180"/>
      </w:pPr>
    </w:lvl>
    <w:lvl w:ilvl="3" w:tplc="0C09000F" w:tentative="1">
      <w:start w:val="1"/>
      <w:numFmt w:val="decimal"/>
      <w:lvlText w:val="%4."/>
      <w:lvlJc w:val="left"/>
      <w:pPr>
        <w:ind w:left="3396" w:hanging="360"/>
      </w:pPr>
    </w:lvl>
    <w:lvl w:ilvl="4" w:tplc="0C090019" w:tentative="1">
      <w:start w:val="1"/>
      <w:numFmt w:val="lowerLetter"/>
      <w:lvlText w:val="%5."/>
      <w:lvlJc w:val="left"/>
      <w:pPr>
        <w:ind w:left="4116" w:hanging="360"/>
      </w:pPr>
    </w:lvl>
    <w:lvl w:ilvl="5" w:tplc="0C09001B" w:tentative="1">
      <w:start w:val="1"/>
      <w:numFmt w:val="lowerRoman"/>
      <w:lvlText w:val="%6."/>
      <w:lvlJc w:val="right"/>
      <w:pPr>
        <w:ind w:left="4836" w:hanging="180"/>
      </w:pPr>
    </w:lvl>
    <w:lvl w:ilvl="6" w:tplc="0C09000F" w:tentative="1">
      <w:start w:val="1"/>
      <w:numFmt w:val="decimal"/>
      <w:lvlText w:val="%7."/>
      <w:lvlJc w:val="left"/>
      <w:pPr>
        <w:ind w:left="5556" w:hanging="360"/>
      </w:pPr>
    </w:lvl>
    <w:lvl w:ilvl="7" w:tplc="0C090019" w:tentative="1">
      <w:start w:val="1"/>
      <w:numFmt w:val="lowerLetter"/>
      <w:lvlText w:val="%8."/>
      <w:lvlJc w:val="left"/>
      <w:pPr>
        <w:ind w:left="6276" w:hanging="360"/>
      </w:pPr>
    </w:lvl>
    <w:lvl w:ilvl="8" w:tplc="0C09001B" w:tentative="1">
      <w:start w:val="1"/>
      <w:numFmt w:val="lowerRoman"/>
      <w:lvlText w:val="%9."/>
      <w:lvlJc w:val="right"/>
      <w:pPr>
        <w:ind w:left="6996" w:hanging="180"/>
      </w:pPr>
    </w:lvl>
  </w:abstractNum>
  <w:abstractNum w:abstractNumId="5"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6" w15:restartNumberingAfterBreak="0">
    <w:nsid w:val="552406F8"/>
    <w:multiLevelType w:val="hybridMultilevel"/>
    <w:tmpl w:val="FA10F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3E317C"/>
    <w:multiLevelType w:val="hybridMultilevel"/>
    <w:tmpl w:val="38EC02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9" w15:restartNumberingAfterBreak="0">
    <w:nsid w:val="6F05725D"/>
    <w:multiLevelType w:val="hybridMultilevel"/>
    <w:tmpl w:val="674E7E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0415066"/>
    <w:multiLevelType w:val="hybridMultilevel"/>
    <w:tmpl w:val="A666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634D6E"/>
    <w:multiLevelType w:val="hybridMultilevel"/>
    <w:tmpl w:val="53E628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372461">
    <w:abstractNumId w:val="5"/>
  </w:num>
  <w:num w:numId="2" w16cid:durableId="1697123420">
    <w:abstractNumId w:val="8"/>
  </w:num>
  <w:num w:numId="3" w16cid:durableId="843907452">
    <w:abstractNumId w:val="4"/>
  </w:num>
  <w:num w:numId="4" w16cid:durableId="192572418">
    <w:abstractNumId w:val="6"/>
  </w:num>
  <w:num w:numId="5" w16cid:durableId="1070418512">
    <w:abstractNumId w:val="0"/>
  </w:num>
  <w:num w:numId="6" w16cid:durableId="1339694729">
    <w:abstractNumId w:val="3"/>
  </w:num>
  <w:num w:numId="7" w16cid:durableId="367142197">
    <w:abstractNumId w:val="1"/>
  </w:num>
  <w:num w:numId="8" w16cid:durableId="492257763">
    <w:abstractNumId w:val="9"/>
  </w:num>
  <w:num w:numId="9" w16cid:durableId="71320792">
    <w:abstractNumId w:val="7"/>
  </w:num>
  <w:num w:numId="10" w16cid:durableId="1092311579">
    <w:abstractNumId w:val="11"/>
  </w:num>
  <w:num w:numId="11" w16cid:durableId="2107076054">
    <w:abstractNumId w:val="10"/>
  </w:num>
  <w:num w:numId="12" w16cid:durableId="99086244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11"/>
    <w:rsid w:val="00000CC6"/>
    <w:rsid w:val="000041E2"/>
    <w:rsid w:val="00004FF1"/>
    <w:rsid w:val="000064B0"/>
    <w:rsid w:val="00007269"/>
    <w:rsid w:val="000114FE"/>
    <w:rsid w:val="000179AF"/>
    <w:rsid w:val="00030BA2"/>
    <w:rsid w:val="00031ED6"/>
    <w:rsid w:val="00035CDE"/>
    <w:rsid w:val="0005193A"/>
    <w:rsid w:val="000561E0"/>
    <w:rsid w:val="00060658"/>
    <w:rsid w:val="000646CC"/>
    <w:rsid w:val="00073C4F"/>
    <w:rsid w:val="00086539"/>
    <w:rsid w:val="00087D1C"/>
    <w:rsid w:val="0009559B"/>
    <w:rsid w:val="0009692A"/>
    <w:rsid w:val="000C7FD3"/>
    <w:rsid w:val="000D30AC"/>
    <w:rsid w:val="000D42AB"/>
    <w:rsid w:val="000D5255"/>
    <w:rsid w:val="000D773D"/>
    <w:rsid w:val="000F1502"/>
    <w:rsid w:val="001039DA"/>
    <w:rsid w:val="0012082D"/>
    <w:rsid w:val="0012410D"/>
    <w:rsid w:val="00124D82"/>
    <w:rsid w:val="00131A84"/>
    <w:rsid w:val="001324B8"/>
    <w:rsid w:val="00135A54"/>
    <w:rsid w:val="00137A53"/>
    <w:rsid w:val="00137E69"/>
    <w:rsid w:val="001437D5"/>
    <w:rsid w:val="001472D4"/>
    <w:rsid w:val="00147FDE"/>
    <w:rsid w:val="001504BB"/>
    <w:rsid w:val="00151C87"/>
    <w:rsid w:val="001524DF"/>
    <w:rsid w:val="00160533"/>
    <w:rsid w:val="001619FC"/>
    <w:rsid w:val="00163F56"/>
    <w:rsid w:val="001754B3"/>
    <w:rsid w:val="00176337"/>
    <w:rsid w:val="00176F76"/>
    <w:rsid w:val="00183C64"/>
    <w:rsid w:val="00184C01"/>
    <w:rsid w:val="001850A3"/>
    <w:rsid w:val="001875D1"/>
    <w:rsid w:val="001903F6"/>
    <w:rsid w:val="00190E97"/>
    <w:rsid w:val="00197436"/>
    <w:rsid w:val="001A708F"/>
    <w:rsid w:val="001A70FF"/>
    <w:rsid w:val="001B13BE"/>
    <w:rsid w:val="001B30E9"/>
    <w:rsid w:val="001B4AC1"/>
    <w:rsid w:val="001C1983"/>
    <w:rsid w:val="001C41AD"/>
    <w:rsid w:val="001C6CA5"/>
    <w:rsid w:val="001C7377"/>
    <w:rsid w:val="001D1440"/>
    <w:rsid w:val="001D1AB5"/>
    <w:rsid w:val="001D4765"/>
    <w:rsid w:val="001D7FD0"/>
    <w:rsid w:val="001E3268"/>
    <w:rsid w:val="0021243A"/>
    <w:rsid w:val="00212BF3"/>
    <w:rsid w:val="00213B58"/>
    <w:rsid w:val="0021418A"/>
    <w:rsid w:val="002158C0"/>
    <w:rsid w:val="00224018"/>
    <w:rsid w:val="00227F16"/>
    <w:rsid w:val="002373F0"/>
    <w:rsid w:val="00250A35"/>
    <w:rsid w:val="00250E8D"/>
    <w:rsid w:val="002526E9"/>
    <w:rsid w:val="002536CA"/>
    <w:rsid w:val="0025518C"/>
    <w:rsid w:val="00261225"/>
    <w:rsid w:val="00270AD3"/>
    <w:rsid w:val="00272B25"/>
    <w:rsid w:val="00281A75"/>
    <w:rsid w:val="00282352"/>
    <w:rsid w:val="00286B38"/>
    <w:rsid w:val="002913B9"/>
    <w:rsid w:val="002926FA"/>
    <w:rsid w:val="002B2F4B"/>
    <w:rsid w:val="002B5461"/>
    <w:rsid w:val="002B7A0A"/>
    <w:rsid w:val="002C57E2"/>
    <w:rsid w:val="002D43A6"/>
    <w:rsid w:val="002E5076"/>
    <w:rsid w:val="002F1DEA"/>
    <w:rsid w:val="002F27F5"/>
    <w:rsid w:val="002F313A"/>
    <w:rsid w:val="00302767"/>
    <w:rsid w:val="00305F28"/>
    <w:rsid w:val="00312E92"/>
    <w:rsid w:val="0031370C"/>
    <w:rsid w:val="003168C9"/>
    <w:rsid w:val="003254FD"/>
    <w:rsid w:val="003338AD"/>
    <w:rsid w:val="00333B2D"/>
    <w:rsid w:val="003366E6"/>
    <w:rsid w:val="0034188A"/>
    <w:rsid w:val="00345BED"/>
    <w:rsid w:val="00351231"/>
    <w:rsid w:val="003562D8"/>
    <w:rsid w:val="00356952"/>
    <w:rsid w:val="00361131"/>
    <w:rsid w:val="00361408"/>
    <w:rsid w:val="00363F82"/>
    <w:rsid w:val="0036450D"/>
    <w:rsid w:val="003653C3"/>
    <w:rsid w:val="00365C85"/>
    <w:rsid w:val="00367867"/>
    <w:rsid w:val="0038211E"/>
    <w:rsid w:val="003907CC"/>
    <w:rsid w:val="0039631D"/>
    <w:rsid w:val="00397A24"/>
    <w:rsid w:val="00397B00"/>
    <w:rsid w:val="003A1EF2"/>
    <w:rsid w:val="003B1186"/>
    <w:rsid w:val="003B7508"/>
    <w:rsid w:val="003C1F35"/>
    <w:rsid w:val="003C4539"/>
    <w:rsid w:val="003D1F18"/>
    <w:rsid w:val="003D799B"/>
    <w:rsid w:val="003E2D2D"/>
    <w:rsid w:val="003E5293"/>
    <w:rsid w:val="003E5BC9"/>
    <w:rsid w:val="003F553F"/>
    <w:rsid w:val="004033C1"/>
    <w:rsid w:val="00404AA4"/>
    <w:rsid w:val="0041019E"/>
    <w:rsid w:val="00410C48"/>
    <w:rsid w:val="00414D52"/>
    <w:rsid w:val="0041574D"/>
    <w:rsid w:val="004312E3"/>
    <w:rsid w:val="00434047"/>
    <w:rsid w:val="004426DB"/>
    <w:rsid w:val="004440C2"/>
    <w:rsid w:val="00451158"/>
    <w:rsid w:val="0047394D"/>
    <w:rsid w:val="00473CE4"/>
    <w:rsid w:val="004757F1"/>
    <w:rsid w:val="00486384"/>
    <w:rsid w:val="00487A0B"/>
    <w:rsid w:val="004962EC"/>
    <w:rsid w:val="004A21DD"/>
    <w:rsid w:val="004A280B"/>
    <w:rsid w:val="004A6FBA"/>
    <w:rsid w:val="004A72AF"/>
    <w:rsid w:val="004B1225"/>
    <w:rsid w:val="004B2385"/>
    <w:rsid w:val="004B5C0A"/>
    <w:rsid w:val="004C3DEE"/>
    <w:rsid w:val="004C4B80"/>
    <w:rsid w:val="004D4471"/>
    <w:rsid w:val="004D79A6"/>
    <w:rsid w:val="004D7FD0"/>
    <w:rsid w:val="004E072F"/>
    <w:rsid w:val="004E4D67"/>
    <w:rsid w:val="004E5FA6"/>
    <w:rsid w:val="004E7573"/>
    <w:rsid w:val="004F1A16"/>
    <w:rsid w:val="004F51F0"/>
    <w:rsid w:val="004F66C1"/>
    <w:rsid w:val="004F7C77"/>
    <w:rsid w:val="00523B6E"/>
    <w:rsid w:val="0052401F"/>
    <w:rsid w:val="00524C63"/>
    <w:rsid w:val="005254F6"/>
    <w:rsid w:val="0052694D"/>
    <w:rsid w:val="00530158"/>
    <w:rsid w:val="00533404"/>
    <w:rsid w:val="0053389E"/>
    <w:rsid w:val="00534C5F"/>
    <w:rsid w:val="0053719F"/>
    <w:rsid w:val="0054283C"/>
    <w:rsid w:val="00544BC3"/>
    <w:rsid w:val="005560C6"/>
    <w:rsid w:val="00565F72"/>
    <w:rsid w:val="00574904"/>
    <w:rsid w:val="00576154"/>
    <w:rsid w:val="005803E3"/>
    <w:rsid w:val="00581628"/>
    <w:rsid w:val="00586F2E"/>
    <w:rsid w:val="005877A7"/>
    <w:rsid w:val="00591970"/>
    <w:rsid w:val="005940C4"/>
    <w:rsid w:val="005945FE"/>
    <w:rsid w:val="00595C59"/>
    <w:rsid w:val="005A3DE7"/>
    <w:rsid w:val="005A54E2"/>
    <w:rsid w:val="005A69FE"/>
    <w:rsid w:val="005A7288"/>
    <w:rsid w:val="005C37C1"/>
    <w:rsid w:val="005C6E35"/>
    <w:rsid w:val="005C7C36"/>
    <w:rsid w:val="005D12D4"/>
    <w:rsid w:val="005E1D2B"/>
    <w:rsid w:val="005E2941"/>
    <w:rsid w:val="005F5DF1"/>
    <w:rsid w:val="0060121C"/>
    <w:rsid w:val="0060749E"/>
    <w:rsid w:val="00611A0D"/>
    <w:rsid w:val="00614914"/>
    <w:rsid w:val="00616EAE"/>
    <w:rsid w:val="0061715A"/>
    <w:rsid w:val="0062178C"/>
    <w:rsid w:val="00621E55"/>
    <w:rsid w:val="00622DF5"/>
    <w:rsid w:val="00626E7C"/>
    <w:rsid w:val="006321AC"/>
    <w:rsid w:val="006424F4"/>
    <w:rsid w:val="00645297"/>
    <w:rsid w:val="00645729"/>
    <w:rsid w:val="00645B20"/>
    <w:rsid w:val="00647ADA"/>
    <w:rsid w:val="00657FF0"/>
    <w:rsid w:val="00661D26"/>
    <w:rsid w:val="0067129A"/>
    <w:rsid w:val="006712CC"/>
    <w:rsid w:val="00672EDD"/>
    <w:rsid w:val="00674AEC"/>
    <w:rsid w:val="006836BC"/>
    <w:rsid w:val="00684E46"/>
    <w:rsid w:val="00693DD6"/>
    <w:rsid w:val="006A122C"/>
    <w:rsid w:val="006A1AFC"/>
    <w:rsid w:val="006A3E25"/>
    <w:rsid w:val="006C4A5D"/>
    <w:rsid w:val="006C4BC9"/>
    <w:rsid w:val="006D2F89"/>
    <w:rsid w:val="006E2707"/>
    <w:rsid w:val="006E34A6"/>
    <w:rsid w:val="006E5F11"/>
    <w:rsid w:val="006F1595"/>
    <w:rsid w:val="006F7D75"/>
    <w:rsid w:val="007047E9"/>
    <w:rsid w:val="007058B4"/>
    <w:rsid w:val="00710F60"/>
    <w:rsid w:val="00715E62"/>
    <w:rsid w:val="00717939"/>
    <w:rsid w:val="00731947"/>
    <w:rsid w:val="00736E6C"/>
    <w:rsid w:val="00740079"/>
    <w:rsid w:val="007449E5"/>
    <w:rsid w:val="00746284"/>
    <w:rsid w:val="00750045"/>
    <w:rsid w:val="007556B5"/>
    <w:rsid w:val="00757AE3"/>
    <w:rsid w:val="00762F32"/>
    <w:rsid w:val="007637CF"/>
    <w:rsid w:val="0077623D"/>
    <w:rsid w:val="00776ECC"/>
    <w:rsid w:val="00777266"/>
    <w:rsid w:val="007774A1"/>
    <w:rsid w:val="00777EDF"/>
    <w:rsid w:val="007865B3"/>
    <w:rsid w:val="00795573"/>
    <w:rsid w:val="00795D59"/>
    <w:rsid w:val="007B4BE3"/>
    <w:rsid w:val="007C1164"/>
    <w:rsid w:val="007C3586"/>
    <w:rsid w:val="007C7700"/>
    <w:rsid w:val="007D0924"/>
    <w:rsid w:val="007D2285"/>
    <w:rsid w:val="007E085C"/>
    <w:rsid w:val="007E4467"/>
    <w:rsid w:val="007E7481"/>
    <w:rsid w:val="007F7ECD"/>
    <w:rsid w:val="00800DA3"/>
    <w:rsid w:val="008139C1"/>
    <w:rsid w:val="00816CB9"/>
    <w:rsid w:val="00820264"/>
    <w:rsid w:val="00820EC3"/>
    <w:rsid w:val="00822319"/>
    <w:rsid w:val="008258E5"/>
    <w:rsid w:val="00834062"/>
    <w:rsid w:val="00844F2A"/>
    <w:rsid w:val="00846EAD"/>
    <w:rsid w:val="008471A3"/>
    <w:rsid w:val="0084723E"/>
    <w:rsid w:val="00854659"/>
    <w:rsid w:val="00860D7A"/>
    <w:rsid w:val="00863830"/>
    <w:rsid w:val="008716A9"/>
    <w:rsid w:val="00874A78"/>
    <w:rsid w:val="00881248"/>
    <w:rsid w:val="00884247"/>
    <w:rsid w:val="008907BC"/>
    <w:rsid w:val="00897E00"/>
    <w:rsid w:val="008A0405"/>
    <w:rsid w:val="008A51DC"/>
    <w:rsid w:val="008A6221"/>
    <w:rsid w:val="008A6615"/>
    <w:rsid w:val="008A6E2C"/>
    <w:rsid w:val="008B57A5"/>
    <w:rsid w:val="008C5634"/>
    <w:rsid w:val="008C609C"/>
    <w:rsid w:val="008C7592"/>
    <w:rsid w:val="008C7A10"/>
    <w:rsid w:val="008E0CF5"/>
    <w:rsid w:val="008E0F58"/>
    <w:rsid w:val="008E5553"/>
    <w:rsid w:val="008E5A7F"/>
    <w:rsid w:val="008E68FF"/>
    <w:rsid w:val="008E7D46"/>
    <w:rsid w:val="008F2EEC"/>
    <w:rsid w:val="008F3336"/>
    <w:rsid w:val="00902DFE"/>
    <w:rsid w:val="00911FA3"/>
    <w:rsid w:val="009132FA"/>
    <w:rsid w:val="009154C8"/>
    <w:rsid w:val="00916954"/>
    <w:rsid w:val="00923C5D"/>
    <w:rsid w:val="00923EB2"/>
    <w:rsid w:val="00940045"/>
    <w:rsid w:val="009500FD"/>
    <w:rsid w:val="00954478"/>
    <w:rsid w:val="0096639B"/>
    <w:rsid w:val="009678A0"/>
    <w:rsid w:val="0098086F"/>
    <w:rsid w:val="00983945"/>
    <w:rsid w:val="00984647"/>
    <w:rsid w:val="009855CA"/>
    <w:rsid w:val="00986255"/>
    <w:rsid w:val="009864D5"/>
    <w:rsid w:val="009879B7"/>
    <w:rsid w:val="00987AF4"/>
    <w:rsid w:val="009903ED"/>
    <w:rsid w:val="009924FB"/>
    <w:rsid w:val="00995E72"/>
    <w:rsid w:val="009A4A31"/>
    <w:rsid w:val="009A51F4"/>
    <w:rsid w:val="009B0E50"/>
    <w:rsid w:val="009B1659"/>
    <w:rsid w:val="009B366A"/>
    <w:rsid w:val="009B5891"/>
    <w:rsid w:val="009C5305"/>
    <w:rsid w:val="009E2C42"/>
    <w:rsid w:val="009F2097"/>
    <w:rsid w:val="009F3322"/>
    <w:rsid w:val="009F3BDC"/>
    <w:rsid w:val="009F56E9"/>
    <w:rsid w:val="009F7B3C"/>
    <w:rsid w:val="00A01E78"/>
    <w:rsid w:val="00A0575C"/>
    <w:rsid w:val="00A1029D"/>
    <w:rsid w:val="00A1569D"/>
    <w:rsid w:val="00A168CE"/>
    <w:rsid w:val="00A20612"/>
    <w:rsid w:val="00A21A3F"/>
    <w:rsid w:val="00A21A4B"/>
    <w:rsid w:val="00A242EC"/>
    <w:rsid w:val="00A33DED"/>
    <w:rsid w:val="00A37422"/>
    <w:rsid w:val="00A37E29"/>
    <w:rsid w:val="00A46040"/>
    <w:rsid w:val="00A52C02"/>
    <w:rsid w:val="00A53980"/>
    <w:rsid w:val="00A543A4"/>
    <w:rsid w:val="00A54457"/>
    <w:rsid w:val="00A568F1"/>
    <w:rsid w:val="00A65155"/>
    <w:rsid w:val="00A71B00"/>
    <w:rsid w:val="00A76FC0"/>
    <w:rsid w:val="00A81726"/>
    <w:rsid w:val="00A82EE6"/>
    <w:rsid w:val="00A834C5"/>
    <w:rsid w:val="00A906BE"/>
    <w:rsid w:val="00AA5D94"/>
    <w:rsid w:val="00AB0CD0"/>
    <w:rsid w:val="00AB2BCA"/>
    <w:rsid w:val="00AC20FE"/>
    <w:rsid w:val="00AC2591"/>
    <w:rsid w:val="00AC2E2D"/>
    <w:rsid w:val="00AC6259"/>
    <w:rsid w:val="00AC6F9B"/>
    <w:rsid w:val="00AD16C1"/>
    <w:rsid w:val="00AD3D71"/>
    <w:rsid w:val="00AD4DCF"/>
    <w:rsid w:val="00AD5D3C"/>
    <w:rsid w:val="00AD7C4A"/>
    <w:rsid w:val="00AE2D58"/>
    <w:rsid w:val="00AF08E8"/>
    <w:rsid w:val="00B01EFE"/>
    <w:rsid w:val="00B03ECB"/>
    <w:rsid w:val="00B06522"/>
    <w:rsid w:val="00B0659D"/>
    <w:rsid w:val="00B11A13"/>
    <w:rsid w:val="00B236BB"/>
    <w:rsid w:val="00B236F9"/>
    <w:rsid w:val="00B261A9"/>
    <w:rsid w:val="00B30B7E"/>
    <w:rsid w:val="00B364D4"/>
    <w:rsid w:val="00B446D5"/>
    <w:rsid w:val="00B45ECF"/>
    <w:rsid w:val="00B46212"/>
    <w:rsid w:val="00B503BF"/>
    <w:rsid w:val="00B62905"/>
    <w:rsid w:val="00B66F11"/>
    <w:rsid w:val="00B733D1"/>
    <w:rsid w:val="00B7550E"/>
    <w:rsid w:val="00B81008"/>
    <w:rsid w:val="00B85719"/>
    <w:rsid w:val="00B86CAA"/>
    <w:rsid w:val="00B9168D"/>
    <w:rsid w:val="00B976B4"/>
    <w:rsid w:val="00B97CCC"/>
    <w:rsid w:val="00BB2C50"/>
    <w:rsid w:val="00BB45C4"/>
    <w:rsid w:val="00BB7F4A"/>
    <w:rsid w:val="00BC021D"/>
    <w:rsid w:val="00BC074F"/>
    <w:rsid w:val="00BC3821"/>
    <w:rsid w:val="00BC4563"/>
    <w:rsid w:val="00BC4F47"/>
    <w:rsid w:val="00BC64C4"/>
    <w:rsid w:val="00BD40F7"/>
    <w:rsid w:val="00BD7128"/>
    <w:rsid w:val="00BE4733"/>
    <w:rsid w:val="00BE6A5B"/>
    <w:rsid w:val="00BF062B"/>
    <w:rsid w:val="00BF533B"/>
    <w:rsid w:val="00BF7406"/>
    <w:rsid w:val="00BF7A83"/>
    <w:rsid w:val="00C00DA8"/>
    <w:rsid w:val="00C02A01"/>
    <w:rsid w:val="00C030C6"/>
    <w:rsid w:val="00C116D9"/>
    <w:rsid w:val="00C11AE9"/>
    <w:rsid w:val="00C11BF5"/>
    <w:rsid w:val="00C11C1E"/>
    <w:rsid w:val="00C1325A"/>
    <w:rsid w:val="00C166C2"/>
    <w:rsid w:val="00C16B6C"/>
    <w:rsid w:val="00C26434"/>
    <w:rsid w:val="00C30237"/>
    <w:rsid w:val="00C374DA"/>
    <w:rsid w:val="00C40170"/>
    <w:rsid w:val="00C406E3"/>
    <w:rsid w:val="00C46F6C"/>
    <w:rsid w:val="00C50485"/>
    <w:rsid w:val="00C52D28"/>
    <w:rsid w:val="00C55315"/>
    <w:rsid w:val="00C569B6"/>
    <w:rsid w:val="00C57A9A"/>
    <w:rsid w:val="00C60B7E"/>
    <w:rsid w:val="00C646AF"/>
    <w:rsid w:val="00C665C2"/>
    <w:rsid w:val="00C67248"/>
    <w:rsid w:val="00C71416"/>
    <w:rsid w:val="00C7406F"/>
    <w:rsid w:val="00C83053"/>
    <w:rsid w:val="00C8489C"/>
    <w:rsid w:val="00C859BA"/>
    <w:rsid w:val="00C97B2F"/>
    <w:rsid w:val="00CA231E"/>
    <w:rsid w:val="00CA608A"/>
    <w:rsid w:val="00CA7001"/>
    <w:rsid w:val="00CA71FA"/>
    <w:rsid w:val="00CB3CBC"/>
    <w:rsid w:val="00CB4DE2"/>
    <w:rsid w:val="00CB60E7"/>
    <w:rsid w:val="00CC379A"/>
    <w:rsid w:val="00CC523B"/>
    <w:rsid w:val="00CD137A"/>
    <w:rsid w:val="00CD1C31"/>
    <w:rsid w:val="00CD2B51"/>
    <w:rsid w:val="00CE2818"/>
    <w:rsid w:val="00CE3D72"/>
    <w:rsid w:val="00CE5B1A"/>
    <w:rsid w:val="00CE6AD8"/>
    <w:rsid w:val="00CF5312"/>
    <w:rsid w:val="00CF6233"/>
    <w:rsid w:val="00CF6A4A"/>
    <w:rsid w:val="00D020DB"/>
    <w:rsid w:val="00D05118"/>
    <w:rsid w:val="00D11883"/>
    <w:rsid w:val="00D32DC2"/>
    <w:rsid w:val="00D33D7E"/>
    <w:rsid w:val="00D4394D"/>
    <w:rsid w:val="00D43A3C"/>
    <w:rsid w:val="00D50118"/>
    <w:rsid w:val="00D50212"/>
    <w:rsid w:val="00D51917"/>
    <w:rsid w:val="00D51BE3"/>
    <w:rsid w:val="00D534B4"/>
    <w:rsid w:val="00D60CAC"/>
    <w:rsid w:val="00D63915"/>
    <w:rsid w:val="00D642A3"/>
    <w:rsid w:val="00D66DA9"/>
    <w:rsid w:val="00D71A78"/>
    <w:rsid w:val="00D729B1"/>
    <w:rsid w:val="00D75ACB"/>
    <w:rsid w:val="00D766A0"/>
    <w:rsid w:val="00D83793"/>
    <w:rsid w:val="00D846E5"/>
    <w:rsid w:val="00D85785"/>
    <w:rsid w:val="00D9121C"/>
    <w:rsid w:val="00D923E5"/>
    <w:rsid w:val="00D927F6"/>
    <w:rsid w:val="00DA081D"/>
    <w:rsid w:val="00DA30EE"/>
    <w:rsid w:val="00DA3398"/>
    <w:rsid w:val="00DA6600"/>
    <w:rsid w:val="00DB4260"/>
    <w:rsid w:val="00DC2C9E"/>
    <w:rsid w:val="00DC6851"/>
    <w:rsid w:val="00DC7EF1"/>
    <w:rsid w:val="00DD274E"/>
    <w:rsid w:val="00DE2643"/>
    <w:rsid w:val="00DE4140"/>
    <w:rsid w:val="00DE49D1"/>
    <w:rsid w:val="00DE65C5"/>
    <w:rsid w:val="00DF60EE"/>
    <w:rsid w:val="00E068E1"/>
    <w:rsid w:val="00E10680"/>
    <w:rsid w:val="00E22691"/>
    <w:rsid w:val="00E26245"/>
    <w:rsid w:val="00E26758"/>
    <w:rsid w:val="00E442CE"/>
    <w:rsid w:val="00E46B14"/>
    <w:rsid w:val="00E505A0"/>
    <w:rsid w:val="00E52881"/>
    <w:rsid w:val="00E54D2E"/>
    <w:rsid w:val="00E56028"/>
    <w:rsid w:val="00E61D2F"/>
    <w:rsid w:val="00E65C02"/>
    <w:rsid w:val="00E67602"/>
    <w:rsid w:val="00E67803"/>
    <w:rsid w:val="00E91B91"/>
    <w:rsid w:val="00EA05D0"/>
    <w:rsid w:val="00EB7B72"/>
    <w:rsid w:val="00EC3F76"/>
    <w:rsid w:val="00ED1E08"/>
    <w:rsid w:val="00ED36EB"/>
    <w:rsid w:val="00EE5FD4"/>
    <w:rsid w:val="00EE769A"/>
    <w:rsid w:val="00EE77C5"/>
    <w:rsid w:val="00EF270C"/>
    <w:rsid w:val="00F103E6"/>
    <w:rsid w:val="00F10DF4"/>
    <w:rsid w:val="00F11BA4"/>
    <w:rsid w:val="00F21164"/>
    <w:rsid w:val="00F275B7"/>
    <w:rsid w:val="00F36AE8"/>
    <w:rsid w:val="00F3752D"/>
    <w:rsid w:val="00F45D85"/>
    <w:rsid w:val="00F54B8A"/>
    <w:rsid w:val="00F5569C"/>
    <w:rsid w:val="00F61F6A"/>
    <w:rsid w:val="00F62AE8"/>
    <w:rsid w:val="00F632BB"/>
    <w:rsid w:val="00F76EA3"/>
    <w:rsid w:val="00F77622"/>
    <w:rsid w:val="00F8381C"/>
    <w:rsid w:val="00F91495"/>
    <w:rsid w:val="00F94F01"/>
    <w:rsid w:val="00F96DC0"/>
    <w:rsid w:val="00FA278A"/>
    <w:rsid w:val="00FB22DE"/>
    <w:rsid w:val="00FB3199"/>
    <w:rsid w:val="00FB7813"/>
    <w:rsid w:val="00FC27B1"/>
    <w:rsid w:val="00FC7AA8"/>
    <w:rsid w:val="00FE054D"/>
    <w:rsid w:val="00FE5BAC"/>
    <w:rsid w:val="00FF5929"/>
    <w:rsid w:val="00FF6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67444"/>
  <w15:docId w15:val="{EE8FF5FB-2387-44F8-A63E-346411A7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25"/>
    <w:rPr>
      <w:sz w:val="24"/>
      <w:szCs w:val="24"/>
      <w:lang w:val="en-US" w:eastAsia="en-US"/>
    </w:rPr>
  </w:style>
  <w:style w:type="paragraph" w:styleId="Heading1">
    <w:name w:val="heading 1"/>
    <w:basedOn w:val="Normal"/>
    <w:next w:val="Normal"/>
    <w:autoRedefine/>
    <w:qFormat/>
    <w:rsid w:val="0034188A"/>
    <w:pPr>
      <w:keepNext/>
      <w:jc w:val="center"/>
      <w:outlineLvl w:val="0"/>
    </w:pPr>
    <w:rPr>
      <w:bCs/>
    </w:rPr>
  </w:style>
  <w:style w:type="paragraph" w:styleId="Heading3">
    <w:name w:val="heading 3"/>
    <w:basedOn w:val="Normal"/>
    <w:next w:val="Normal"/>
    <w:link w:val="Heading3Char"/>
    <w:semiHidden/>
    <w:unhideWhenUsed/>
    <w:qFormat/>
    <w:rsid w:val="006F7D75"/>
    <w:pPr>
      <w:keepNext/>
      <w:spacing w:before="240" w:after="60"/>
      <w:outlineLvl w:val="2"/>
    </w:pPr>
    <w:rPr>
      <w:rFonts w:ascii="Cambria" w:hAnsi="Cambria"/>
      <w:b/>
      <w:bCs/>
      <w:sz w:val="26"/>
      <w:szCs w:val="26"/>
    </w:rPr>
  </w:style>
  <w:style w:type="paragraph" w:styleId="Heading5">
    <w:name w:val="heading 5"/>
    <w:basedOn w:val="Normal"/>
    <w:next w:val="Normal"/>
    <w:qFormat/>
    <w:rsid w:val="0034188A"/>
    <w:pPr>
      <w:keepNext/>
      <w:ind w:left="720"/>
      <w:outlineLvl w:val="4"/>
    </w:pPr>
    <w:rPr>
      <w:i/>
      <w:sz w:val="20"/>
      <w:szCs w:val="20"/>
      <w:lang w:val="en-AU"/>
    </w:rPr>
  </w:style>
  <w:style w:type="paragraph" w:styleId="Heading6">
    <w:name w:val="heading 6"/>
    <w:basedOn w:val="Normal"/>
    <w:next w:val="Normal"/>
    <w:qFormat/>
    <w:rsid w:val="0034188A"/>
    <w:pPr>
      <w:keepNext/>
      <w:outlineLvl w:val="5"/>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4188A"/>
    <w:pPr>
      <w:jc w:val="both"/>
    </w:pPr>
    <w:rPr>
      <w:szCs w:val="20"/>
      <w:lang w:val="en-GB"/>
    </w:rPr>
  </w:style>
  <w:style w:type="paragraph" w:styleId="NormalWeb">
    <w:name w:val="Normal (Web)"/>
    <w:basedOn w:val="Normal"/>
    <w:rsid w:val="0034188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4188A"/>
    <w:pPr>
      <w:ind w:right="890"/>
      <w:jc w:val="center"/>
    </w:pPr>
    <w:rPr>
      <w:b/>
      <w:sz w:val="20"/>
      <w:szCs w:val="20"/>
      <w:lang w:val="en-AU"/>
    </w:rPr>
  </w:style>
  <w:style w:type="paragraph" w:customStyle="1" w:styleId="indenta">
    <w:name w:val="indent(a)"/>
    <w:aliases w:val="a"/>
    <w:basedOn w:val="Normal"/>
    <w:rsid w:val="0034188A"/>
    <w:pPr>
      <w:tabs>
        <w:tab w:val="right" w:pos="1531"/>
      </w:tabs>
      <w:spacing w:before="40" w:line="260" w:lineRule="atLeast"/>
      <w:ind w:left="1644" w:hanging="1644"/>
    </w:pPr>
    <w:rPr>
      <w:rFonts w:ascii="Times" w:hAnsi="Times"/>
      <w:sz w:val="22"/>
      <w:szCs w:val="20"/>
      <w:lang w:val="en-AU"/>
    </w:rPr>
  </w:style>
  <w:style w:type="paragraph" w:styleId="FootnoteText">
    <w:name w:val="footnote text"/>
    <w:basedOn w:val="Normal"/>
    <w:semiHidden/>
    <w:rsid w:val="0034188A"/>
    <w:rPr>
      <w:sz w:val="20"/>
      <w:szCs w:val="20"/>
      <w:lang w:val="en-AU"/>
    </w:rPr>
  </w:style>
  <w:style w:type="paragraph" w:customStyle="1" w:styleId="normal-dot">
    <w:name w:val="normal-dot"/>
    <w:basedOn w:val="Normal"/>
    <w:rsid w:val="0034188A"/>
    <w:pPr>
      <w:numPr>
        <w:numId w:val="2"/>
      </w:numPr>
      <w:spacing w:before="120"/>
      <w:ind w:left="357" w:hanging="357"/>
    </w:pPr>
    <w:rPr>
      <w:sz w:val="22"/>
      <w:szCs w:val="20"/>
      <w:lang w:val="en-AU"/>
    </w:rPr>
  </w:style>
  <w:style w:type="paragraph" w:styleId="BlockText">
    <w:name w:val="Block Text"/>
    <w:basedOn w:val="Normal"/>
    <w:rsid w:val="0034188A"/>
    <w:pPr>
      <w:spacing w:line="220" w:lineRule="atLeast"/>
      <w:ind w:left="-567" w:right="-766"/>
      <w:jc w:val="center"/>
    </w:pPr>
    <w:rPr>
      <w:b/>
      <w:bCs/>
      <w:szCs w:val="20"/>
      <w:lang w:val="en-AU"/>
    </w:rPr>
  </w:style>
  <w:style w:type="character" w:styleId="HTMLAcronym">
    <w:name w:val="HTML Acronym"/>
    <w:basedOn w:val="DefaultParagraphFont"/>
    <w:rsid w:val="0034188A"/>
  </w:style>
  <w:style w:type="character" w:styleId="CommentReference">
    <w:name w:val="annotation reference"/>
    <w:semiHidden/>
    <w:rsid w:val="0034188A"/>
    <w:rPr>
      <w:sz w:val="16"/>
      <w:szCs w:val="16"/>
    </w:rPr>
  </w:style>
  <w:style w:type="paragraph" w:styleId="CommentText">
    <w:name w:val="annotation text"/>
    <w:basedOn w:val="Normal"/>
    <w:link w:val="CommentTextChar"/>
    <w:semiHidden/>
    <w:rsid w:val="0034188A"/>
    <w:rPr>
      <w:sz w:val="20"/>
      <w:szCs w:val="20"/>
    </w:rPr>
  </w:style>
  <w:style w:type="paragraph" w:styleId="CommentSubject">
    <w:name w:val="annotation subject"/>
    <w:basedOn w:val="CommentText"/>
    <w:next w:val="CommentText"/>
    <w:semiHidden/>
    <w:rsid w:val="0034188A"/>
    <w:rPr>
      <w:b/>
      <w:bCs/>
    </w:rPr>
  </w:style>
  <w:style w:type="paragraph" w:styleId="BalloonText">
    <w:name w:val="Balloon Text"/>
    <w:basedOn w:val="Normal"/>
    <w:semiHidden/>
    <w:rsid w:val="0034188A"/>
    <w:rPr>
      <w:rFonts w:ascii="Tahoma" w:hAnsi="Tahoma" w:cs="Tahoma"/>
      <w:sz w:val="16"/>
      <w:szCs w:val="16"/>
    </w:rPr>
  </w:style>
  <w:style w:type="character" w:customStyle="1" w:styleId="CommentTextChar">
    <w:name w:val="Comment Text Char"/>
    <w:link w:val="CommentText"/>
    <w:semiHidden/>
    <w:rsid w:val="006F1595"/>
    <w:rPr>
      <w:lang w:val="en-US" w:eastAsia="en-US"/>
    </w:rPr>
  </w:style>
  <w:style w:type="character" w:styleId="Hyperlink">
    <w:name w:val="Hyperlink"/>
    <w:rsid w:val="006F7D75"/>
    <w:rPr>
      <w:color w:val="0000FF"/>
      <w:u w:val="single"/>
    </w:rPr>
  </w:style>
  <w:style w:type="paragraph" w:customStyle="1" w:styleId="Legalclauselevel3alternate">
    <w:name w:val="Legal clause level 3 (alternate)"/>
    <w:basedOn w:val="Heading3"/>
    <w:qFormat/>
    <w:rsid w:val="006F7D75"/>
    <w:pPr>
      <w:keepNext w:val="0"/>
      <w:shd w:val="clear" w:color="auto" w:fill="B6DDE8"/>
      <w:tabs>
        <w:tab w:val="num" w:pos="964"/>
      </w:tabs>
      <w:spacing w:before="0" w:after="220"/>
    </w:pPr>
    <w:rPr>
      <w:rFonts w:ascii="Arial" w:hAnsi="Arial" w:cs="Arial"/>
      <w:b w:val="0"/>
      <w:sz w:val="22"/>
      <w:lang w:val="en-AU" w:eastAsia="en-AU"/>
    </w:rPr>
  </w:style>
  <w:style w:type="character" w:customStyle="1" w:styleId="Heading3Char">
    <w:name w:val="Heading 3 Char"/>
    <w:link w:val="Heading3"/>
    <w:semiHidden/>
    <w:rsid w:val="006F7D75"/>
    <w:rPr>
      <w:rFonts w:ascii="Cambria" w:eastAsia="Times New Roman" w:hAnsi="Cambria" w:cs="Times New Roman"/>
      <w:b/>
      <w:bCs/>
      <w:sz w:val="26"/>
      <w:szCs w:val="26"/>
      <w:lang w:val="en-US" w:eastAsia="en-US"/>
    </w:rPr>
  </w:style>
  <w:style w:type="paragraph" w:customStyle="1" w:styleId="Stylea">
    <w:name w:val="Style (a)"/>
    <w:basedOn w:val="Normal"/>
    <w:qFormat/>
    <w:rsid w:val="004C3DEE"/>
    <w:rPr>
      <w:snapToGrid w:val="0"/>
      <w:color w:val="FF0000"/>
      <w:lang w:val="en-AU"/>
    </w:rPr>
  </w:style>
  <w:style w:type="paragraph" w:styleId="ListParagraph">
    <w:name w:val="List Paragraph"/>
    <w:basedOn w:val="Normal"/>
    <w:link w:val="ListParagraphChar"/>
    <w:uiPriority w:val="34"/>
    <w:qFormat/>
    <w:rsid w:val="00D63915"/>
    <w:pPr>
      <w:tabs>
        <w:tab w:val="left" w:pos="1096"/>
      </w:tabs>
      <w:spacing w:before="60" w:after="60"/>
      <w:ind w:firstLine="181"/>
    </w:pPr>
    <w:rPr>
      <w:rFonts w:eastAsia="Calibri"/>
      <w:snapToGrid w:val="0"/>
      <w:sz w:val="22"/>
      <w:szCs w:val="22"/>
      <w:lang w:val="en-AU"/>
    </w:rPr>
  </w:style>
  <w:style w:type="character" w:customStyle="1" w:styleId="ListParagraphChar">
    <w:name w:val="List Paragraph Char"/>
    <w:link w:val="ListParagraph"/>
    <w:uiPriority w:val="34"/>
    <w:rsid w:val="00C50485"/>
    <w:rPr>
      <w:rFonts w:eastAsia="Calibri"/>
      <w:snapToGrid w:val="0"/>
      <w:sz w:val="22"/>
      <w:szCs w:val="22"/>
      <w:lang w:eastAsia="en-US"/>
    </w:rPr>
  </w:style>
  <w:style w:type="paragraph" w:styleId="Revision">
    <w:name w:val="Revision"/>
    <w:hidden/>
    <w:uiPriority w:val="99"/>
    <w:semiHidden/>
    <w:rsid w:val="006836BC"/>
    <w:rPr>
      <w:sz w:val="24"/>
      <w:szCs w:val="24"/>
      <w:lang w:val="en-US" w:eastAsia="en-US"/>
    </w:rPr>
  </w:style>
  <w:style w:type="paragraph" w:styleId="Header">
    <w:name w:val="header"/>
    <w:basedOn w:val="Normal"/>
    <w:link w:val="HeaderChar"/>
    <w:unhideWhenUsed/>
    <w:rsid w:val="001039DA"/>
    <w:pPr>
      <w:tabs>
        <w:tab w:val="center" w:pos="4513"/>
        <w:tab w:val="right" w:pos="9026"/>
      </w:tabs>
    </w:pPr>
  </w:style>
  <w:style w:type="character" w:customStyle="1" w:styleId="HeaderChar">
    <w:name w:val="Header Char"/>
    <w:basedOn w:val="DefaultParagraphFont"/>
    <w:link w:val="Header"/>
    <w:rsid w:val="001039DA"/>
    <w:rPr>
      <w:sz w:val="24"/>
      <w:szCs w:val="24"/>
      <w:lang w:val="en-US" w:eastAsia="en-US"/>
    </w:rPr>
  </w:style>
  <w:style w:type="paragraph" w:styleId="Footer">
    <w:name w:val="footer"/>
    <w:basedOn w:val="Normal"/>
    <w:link w:val="FooterChar"/>
    <w:unhideWhenUsed/>
    <w:rsid w:val="001039DA"/>
    <w:pPr>
      <w:tabs>
        <w:tab w:val="center" w:pos="4513"/>
        <w:tab w:val="right" w:pos="9026"/>
      </w:tabs>
    </w:pPr>
  </w:style>
  <w:style w:type="character" w:customStyle="1" w:styleId="FooterChar">
    <w:name w:val="Footer Char"/>
    <w:basedOn w:val="DefaultParagraphFont"/>
    <w:link w:val="Footer"/>
    <w:rsid w:val="001039DA"/>
    <w:rPr>
      <w:sz w:val="24"/>
      <w:szCs w:val="24"/>
      <w:lang w:val="en-US" w:eastAsia="en-US"/>
    </w:rPr>
  </w:style>
  <w:style w:type="character" w:styleId="UnresolvedMention">
    <w:name w:val="Unresolved Mention"/>
    <w:basedOn w:val="DefaultParagraphFont"/>
    <w:uiPriority w:val="99"/>
    <w:semiHidden/>
    <w:unhideWhenUsed/>
    <w:rsid w:val="0010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4861">
      <w:bodyDiv w:val="1"/>
      <w:marLeft w:val="0"/>
      <w:marRight w:val="0"/>
      <w:marTop w:val="0"/>
      <w:marBottom w:val="0"/>
      <w:divBdr>
        <w:top w:val="none" w:sz="0" w:space="0" w:color="auto"/>
        <w:left w:val="none" w:sz="0" w:space="0" w:color="auto"/>
        <w:bottom w:val="none" w:sz="0" w:space="0" w:color="auto"/>
        <w:right w:val="none" w:sz="0" w:space="0" w:color="auto"/>
      </w:divBdr>
    </w:div>
    <w:div w:id="503593080">
      <w:bodyDiv w:val="1"/>
      <w:marLeft w:val="0"/>
      <w:marRight w:val="0"/>
      <w:marTop w:val="0"/>
      <w:marBottom w:val="0"/>
      <w:divBdr>
        <w:top w:val="none" w:sz="0" w:space="0" w:color="auto"/>
        <w:left w:val="none" w:sz="0" w:space="0" w:color="auto"/>
        <w:bottom w:val="none" w:sz="0" w:space="0" w:color="auto"/>
        <w:right w:val="none" w:sz="0" w:space="0" w:color="auto"/>
      </w:divBdr>
    </w:div>
    <w:div w:id="1187787750">
      <w:bodyDiv w:val="1"/>
      <w:marLeft w:val="0"/>
      <w:marRight w:val="0"/>
      <w:marTop w:val="0"/>
      <w:marBottom w:val="0"/>
      <w:divBdr>
        <w:top w:val="none" w:sz="0" w:space="0" w:color="auto"/>
        <w:left w:val="none" w:sz="0" w:space="0" w:color="auto"/>
        <w:bottom w:val="none" w:sz="0" w:space="0" w:color="auto"/>
        <w:right w:val="none" w:sz="0" w:space="0" w:color="auto"/>
      </w:divBdr>
    </w:div>
    <w:div w:id="18690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tainablefisheries@environme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109\OneDrive%20-%20Agriculture\Desktop\Templates\Instrument%20-%20WTO%20-%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pproval xmlns="344c6e69-c594-4ca4-b341-09ae9dfc1422">Approved</Approval>
    <Function xmlns="344c6e69-c594-4ca4-b341-09ae9dfc1422">Regulation</Function>
    <IconOverlay xmlns="http://schemas.microsoft.com/sharepoint/v4" xsi:nil="true"/>
    <DocumentDescription xmlns="344c6e69-c594-4ca4-b341-09ae9dfc1422"> </DocumentDescription>
    <RecordNumber xmlns="344c6e69-c594-4ca4-b341-09ae9dfc1422">000109706</RecordNumber>
  </documentManagement>
</p:properties>
</file>

<file path=customXml/item6.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10" ma:contentTypeDescription="SPIRE Document" ma:contentTypeScope="" ma:versionID="bb28a22a6e0e1c217cc74423cd2f104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eeb12a0f9c97487ecd31a4f1b326f7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C88B8-730D-42C1-B2AC-E93B065AE757}">
  <ds:schemaRefs>
    <ds:schemaRef ds:uri="http://schemas.microsoft.com/sharepoint/v3/contenttype/forms"/>
  </ds:schemaRefs>
</ds:datastoreItem>
</file>

<file path=customXml/itemProps2.xml><?xml version="1.0" encoding="utf-8"?>
<ds:datastoreItem xmlns:ds="http://schemas.openxmlformats.org/officeDocument/2006/customXml" ds:itemID="{553B2BA7-2D8D-4E8A-9DF0-FE0AC89F19FC}">
  <ds:schemaRefs>
    <ds:schemaRef ds:uri="http://schemas.microsoft.com/sharepoint/events"/>
  </ds:schemaRefs>
</ds:datastoreItem>
</file>

<file path=customXml/itemProps3.xml><?xml version="1.0" encoding="utf-8"?>
<ds:datastoreItem xmlns:ds="http://schemas.openxmlformats.org/officeDocument/2006/customXml" ds:itemID="{D75EBE1B-5DD9-4FF5-A728-A4EC0E90E75B}">
  <ds:schemaRefs>
    <ds:schemaRef ds:uri="http://schemas.microsoft.com/office/2006/metadata/customXsn"/>
  </ds:schemaRefs>
</ds:datastoreItem>
</file>

<file path=customXml/itemProps4.xml><?xml version="1.0" encoding="utf-8"?>
<ds:datastoreItem xmlns:ds="http://schemas.openxmlformats.org/officeDocument/2006/customXml" ds:itemID="{862EA0E8-224F-415B-9722-D87540D08AB0}">
  <ds:schemaRefs>
    <ds:schemaRef ds:uri="http://schemas.openxmlformats.org/officeDocument/2006/bibliography"/>
  </ds:schemaRefs>
</ds:datastoreItem>
</file>

<file path=customXml/itemProps5.xml><?xml version="1.0" encoding="utf-8"?>
<ds:datastoreItem xmlns:ds="http://schemas.openxmlformats.org/officeDocument/2006/customXml" ds:itemID="{254F61E2-7DE1-4B0F-A4B3-6DD7DF5A9E1B}">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sharepoint/v4"/>
    <ds:schemaRef ds:uri="http://purl.org/dc/terms/"/>
    <ds:schemaRef ds:uri="344c6e69-c594-4ca4-b341-09ae9dfc1422"/>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962865E6-8AD6-4200-B023-AC7A7153C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Instrument - WTO - Instrument</Template>
  <TotalTime>2</TotalTime>
  <Pages>5</Pages>
  <Words>1605</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CSF - WTO instrument</vt:lpstr>
    </vt:vector>
  </TitlesOfParts>
  <Company>EA</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 - WTO instrument</dc:title>
  <dc:creator>Relic, Lucas</dc:creator>
  <cp:lastModifiedBy>Richards, Celina</cp:lastModifiedBy>
  <cp:revision>5</cp:revision>
  <cp:lastPrinted>2015-02-25T00:12:00Z</cp:lastPrinted>
  <dcterms:created xsi:type="dcterms:W3CDTF">2024-02-04T22:37:00Z</dcterms:created>
  <dcterms:modified xsi:type="dcterms:W3CDTF">2024-02-19T01:19:00Z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{9edd89d8-ca3d-48b7-b38e-e8ea89e31c61}</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