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01CDA1" w14:textId="77777777" w:rsidR="00F65B6D" w:rsidRPr="003240D3" w:rsidRDefault="0057002B" w:rsidP="00A36C37">
      <w:pPr>
        <w:pStyle w:val="ESTitleHeader"/>
        <w:spacing w:before="120"/>
        <w:rPr>
          <w:b/>
        </w:rPr>
      </w:pPr>
      <w:bookmarkStart w:id="0" w:name="_GoBack"/>
      <w:bookmarkEnd w:id="0"/>
      <w:r w:rsidRPr="003240D3">
        <w:rPr>
          <w:b/>
        </w:rPr>
        <w:t>EXPLANATORY STATEMENT</w:t>
      </w:r>
    </w:p>
    <w:p w14:paraId="533A6158" w14:textId="318BCE6E" w:rsidR="0057002B" w:rsidRPr="006309B1" w:rsidRDefault="0057002B" w:rsidP="00A36C37">
      <w:pPr>
        <w:pStyle w:val="ESTitleDecisionMaker"/>
        <w:spacing w:before="120"/>
      </w:pPr>
      <w:r w:rsidRPr="006309B1">
        <w:t xml:space="preserve">Issued by authority of the </w:t>
      </w:r>
      <w:r w:rsidR="00064BC7">
        <w:t xml:space="preserve">Assistant </w:t>
      </w:r>
      <w:r w:rsidR="00B315E2" w:rsidRPr="006309B1">
        <w:t xml:space="preserve">Minister for </w:t>
      </w:r>
      <w:r w:rsidR="00064BC7">
        <w:t>Citizenship</w:t>
      </w:r>
      <w:r w:rsidR="00B315E2" w:rsidRPr="006309B1">
        <w:t xml:space="preserve"> and Multicultural Affairs</w:t>
      </w:r>
    </w:p>
    <w:p w14:paraId="01B54E3B" w14:textId="77777777" w:rsidR="0057002B" w:rsidRPr="006309B1" w:rsidRDefault="00B315E2" w:rsidP="00A36C37">
      <w:pPr>
        <w:pStyle w:val="ESTitleEnablingLegislation"/>
        <w:spacing w:before="120"/>
      </w:pPr>
      <w:r w:rsidRPr="006309B1">
        <w:t>Migration Regulations 1994</w:t>
      </w:r>
    </w:p>
    <w:p w14:paraId="2386D812" w14:textId="1CCD58C0" w:rsidR="0057002B" w:rsidRPr="006309B1" w:rsidRDefault="00227F68" w:rsidP="00A36C37">
      <w:pPr>
        <w:pStyle w:val="ESTitleInstrumentName"/>
        <w:rPr>
          <w:b w:val="0"/>
          <w:i w:val="0"/>
        </w:rPr>
      </w:pPr>
      <w:r w:rsidRPr="00227F68">
        <w:t xml:space="preserve">Migration (English Language Tests and Evidence Exemptions for Subclass 500 (Student) Visa) Amendment (LIN 24/082) Specification </w:t>
      </w:r>
      <w:r>
        <w:t>2024</w:t>
      </w:r>
    </w:p>
    <w:p w14:paraId="071BEB95" w14:textId="0CD27653" w:rsidR="0057002B" w:rsidRPr="006309B1" w:rsidRDefault="0057002B" w:rsidP="00A36C37">
      <w:pPr>
        <w:pStyle w:val="ESPara"/>
        <w:numPr>
          <w:ilvl w:val="0"/>
          <w:numId w:val="0"/>
        </w:numPr>
      </w:pPr>
      <w:r w:rsidRPr="006309B1">
        <w:t>The instrume</w:t>
      </w:r>
      <w:r w:rsidR="00B315E2" w:rsidRPr="006309B1">
        <w:t xml:space="preserve">nt, </w:t>
      </w:r>
      <w:r w:rsidR="00227F68">
        <w:t>d</w:t>
      </w:r>
      <w:r w:rsidR="00227F68" w:rsidRPr="006309B1">
        <w:t xml:space="preserve">epartmental </w:t>
      </w:r>
      <w:r w:rsidR="00B315E2" w:rsidRPr="006309B1">
        <w:t>reference LIN</w:t>
      </w:r>
      <w:r w:rsidR="00DE6E87" w:rsidRPr="006309B1">
        <w:t> </w:t>
      </w:r>
      <w:r w:rsidR="00B315E2" w:rsidRPr="006309B1">
        <w:t>24/082, is made under subclause 500.213(3)</w:t>
      </w:r>
      <w:r w:rsidRPr="006309B1">
        <w:t xml:space="preserve"> of </w:t>
      </w:r>
      <w:r w:rsidR="00227F68">
        <w:t xml:space="preserve">Schedule 2 to </w:t>
      </w:r>
      <w:r w:rsidRPr="006309B1">
        <w:t xml:space="preserve">the </w:t>
      </w:r>
      <w:r w:rsidRPr="006309B1">
        <w:rPr>
          <w:i/>
        </w:rPr>
        <w:t>Migration Regulations 1994</w:t>
      </w:r>
      <w:r w:rsidR="00B315E2" w:rsidRPr="006309B1">
        <w:t xml:space="preserve"> (the Migration Regulations). </w:t>
      </w:r>
    </w:p>
    <w:p w14:paraId="552970B8" w14:textId="69D20F85" w:rsidR="00EA12C9" w:rsidRPr="006309B1" w:rsidRDefault="00B315E2" w:rsidP="00A36C37">
      <w:pPr>
        <w:pStyle w:val="ESPara"/>
        <w:numPr>
          <w:ilvl w:val="0"/>
          <w:numId w:val="0"/>
        </w:numPr>
      </w:pPr>
      <w:r w:rsidRPr="006309B1">
        <w:t xml:space="preserve">This instrument </w:t>
      </w:r>
      <w:r w:rsidR="00F33FDB" w:rsidRPr="006309B1">
        <w:t xml:space="preserve">amends </w:t>
      </w:r>
      <w:r w:rsidRPr="006309B1">
        <w:t xml:space="preserve">the </w:t>
      </w:r>
      <w:r w:rsidRPr="006309B1">
        <w:rPr>
          <w:i/>
        </w:rPr>
        <w:t xml:space="preserve">Migration (English Language Tests and Evidence Exemptions for Subclass 500 (Student) Visa) Instrument (LIN 24/022) 2024 </w:t>
      </w:r>
      <w:r w:rsidRPr="006309B1">
        <w:t xml:space="preserve">(LIN 24/022) in accordance with subsection 33(3) of the </w:t>
      </w:r>
      <w:r w:rsidR="00EA12C9" w:rsidRPr="006309B1">
        <w:rPr>
          <w:i/>
        </w:rPr>
        <w:t>Acts Interpretation Act 1901</w:t>
      </w:r>
      <w:r w:rsidR="00BD598E" w:rsidRPr="006309B1">
        <w:rPr>
          <w:i/>
        </w:rPr>
        <w:t xml:space="preserve"> </w:t>
      </w:r>
      <w:r w:rsidR="00BD598E" w:rsidRPr="006309B1">
        <w:t>(the Acts Interpretation Act)</w:t>
      </w:r>
      <w:r w:rsidR="00EA12C9" w:rsidRPr="006309B1">
        <w:t xml:space="preserve">. That subsection provides that </w:t>
      </w:r>
      <w:r w:rsidR="00100DFC" w:rsidRPr="006309B1">
        <w:t>a power to make a legislative instrument includes a power to amend or repeal that instrument in the same manner, and subject to the same conditions, as the power to make the instrument</w:t>
      </w:r>
      <w:r w:rsidR="00BD598E" w:rsidRPr="006309B1">
        <w:t xml:space="preserve">.  </w:t>
      </w:r>
    </w:p>
    <w:p w14:paraId="31D62886" w14:textId="0A1BE827" w:rsidR="00BD598E" w:rsidRPr="006309B1" w:rsidRDefault="00B315E2" w:rsidP="00A36C37">
      <w:pPr>
        <w:pStyle w:val="ESPara"/>
        <w:numPr>
          <w:ilvl w:val="0"/>
          <w:numId w:val="0"/>
        </w:numPr>
      </w:pPr>
      <w:r w:rsidRPr="006309B1">
        <w:t>The instrument commences on the day after it is registered</w:t>
      </w:r>
      <w:r w:rsidR="00227F68">
        <w:t>. It</w:t>
      </w:r>
      <w:r w:rsidR="00AA4557" w:rsidRPr="006309B1">
        <w:t xml:space="preserve"> i</w:t>
      </w:r>
      <w:r w:rsidR="00BD598E" w:rsidRPr="006309B1">
        <w:t xml:space="preserve">s a </w:t>
      </w:r>
      <w:r w:rsidR="00AA4557" w:rsidRPr="006309B1">
        <w:t>legislative</w:t>
      </w:r>
      <w:r w:rsidR="00BD598E" w:rsidRPr="006309B1">
        <w:t xml:space="preserve"> instrument for </w:t>
      </w:r>
      <w:r w:rsidR="00B75478" w:rsidRPr="006309B1">
        <w:t xml:space="preserve">the </w:t>
      </w:r>
      <w:r w:rsidR="00227F68">
        <w:t xml:space="preserve">purposes of the </w:t>
      </w:r>
      <w:r w:rsidR="00100DFC" w:rsidRPr="006309B1">
        <w:rPr>
          <w:i/>
        </w:rPr>
        <w:t>Legislation Act 2003</w:t>
      </w:r>
      <w:r w:rsidR="00100DFC" w:rsidRPr="006309B1">
        <w:t xml:space="preserve"> (the Legislation Act)</w:t>
      </w:r>
      <w:r w:rsidR="00BD598E" w:rsidRPr="006309B1">
        <w:t>.</w:t>
      </w:r>
    </w:p>
    <w:p w14:paraId="7FDD62CF" w14:textId="77777777" w:rsidR="00B315E2" w:rsidRPr="00BC37E4" w:rsidRDefault="00BD598E" w:rsidP="00A36C37">
      <w:pPr>
        <w:pStyle w:val="ESHeading"/>
      </w:pPr>
      <w:r w:rsidRPr="006309B1">
        <w:t>Purpose</w:t>
      </w:r>
      <w:r w:rsidR="00BB0CF2" w:rsidRPr="006309B1">
        <w:t xml:space="preserve"> </w:t>
      </w:r>
    </w:p>
    <w:p w14:paraId="1634FFB4" w14:textId="0746442B" w:rsidR="00327440" w:rsidRPr="006309B1" w:rsidRDefault="006A056C" w:rsidP="00A36C37">
      <w:pPr>
        <w:pStyle w:val="ESSubparaHeader"/>
        <w:numPr>
          <w:ilvl w:val="0"/>
          <w:numId w:val="0"/>
        </w:numPr>
      </w:pPr>
      <w:r w:rsidRPr="00BC37E4">
        <w:t>The purpose of LIN</w:t>
      </w:r>
      <w:r w:rsidR="00DE6E87" w:rsidRPr="00BC37E4">
        <w:t> </w:t>
      </w:r>
      <w:r w:rsidRPr="00BC37E4">
        <w:t xml:space="preserve">24/082 is to </w:t>
      </w:r>
      <w:r w:rsidR="00E47B30" w:rsidRPr="00BC37E4">
        <w:t xml:space="preserve">substitute the table in </w:t>
      </w:r>
      <w:r w:rsidRPr="00BC37E4">
        <w:t xml:space="preserve">Schedule 2 </w:t>
      </w:r>
      <w:r w:rsidR="00227F68">
        <w:t>to</w:t>
      </w:r>
      <w:r w:rsidRPr="00BC37E4">
        <w:t xml:space="preserve"> LIN</w:t>
      </w:r>
      <w:r w:rsidR="00DE6E87" w:rsidRPr="00BC37E4">
        <w:t> </w:t>
      </w:r>
      <w:r w:rsidRPr="00BC37E4">
        <w:t xml:space="preserve">24/022 </w:t>
      </w:r>
      <w:r w:rsidR="00E47B30" w:rsidRPr="00BC37E4">
        <w:t xml:space="preserve">with an </w:t>
      </w:r>
      <w:r w:rsidRPr="00BC37E4">
        <w:t xml:space="preserve">updated list of registered courses </w:t>
      </w:r>
      <w:r w:rsidR="00E47B30" w:rsidRPr="00BC37E4">
        <w:t xml:space="preserve">that </w:t>
      </w:r>
      <w:r w:rsidR="00E47B30" w:rsidRPr="006309B1">
        <w:t xml:space="preserve">are specified </w:t>
      </w:r>
      <w:r w:rsidR="00327440" w:rsidRPr="006309B1">
        <w:t>to be</w:t>
      </w:r>
      <w:r w:rsidRPr="006309B1">
        <w:t xml:space="preserve"> eligible pathway program</w:t>
      </w:r>
      <w:r w:rsidR="00327440" w:rsidRPr="006309B1">
        <w:t>s</w:t>
      </w:r>
      <w:r w:rsidRPr="006309B1">
        <w:t xml:space="preserve"> for the purposes of paragraph</w:t>
      </w:r>
      <w:r w:rsidR="00227F68">
        <w:t> </w:t>
      </w:r>
      <w:r w:rsidRPr="006309B1">
        <w:t>5(3)(d) of LIN</w:t>
      </w:r>
      <w:r w:rsidR="00327440" w:rsidRPr="006309B1">
        <w:t> </w:t>
      </w:r>
      <w:r w:rsidRPr="006309B1">
        <w:t xml:space="preserve">24/022. </w:t>
      </w:r>
      <w:r w:rsidR="00F61F45">
        <w:t>The amendment of principal instrument LIN 24/022 increases the total number of specified eligible pathway programs from 134 to 155.</w:t>
      </w:r>
    </w:p>
    <w:p w14:paraId="5E639731" w14:textId="0C3F29B9" w:rsidR="00327440" w:rsidRPr="006309B1" w:rsidRDefault="00327440" w:rsidP="00A36C37">
      <w:pPr>
        <w:pStyle w:val="ESSubparaHeader"/>
        <w:numPr>
          <w:ilvl w:val="0"/>
          <w:numId w:val="0"/>
        </w:numPr>
      </w:pPr>
      <w:r w:rsidRPr="006309B1">
        <w:t xml:space="preserve">A pathway program is a course for students who have not </w:t>
      </w:r>
      <w:r w:rsidR="00F61F45">
        <w:t xml:space="preserve">yet </w:t>
      </w:r>
      <w:r w:rsidRPr="006309B1">
        <w:t>met the academic entry requirements for their intended Australian undergraduate university degree. A pathway program leads to a qualification recognised under the Australian Qualifications Framework and provides academic credit and entry to second year undergraduate study.</w:t>
      </w:r>
    </w:p>
    <w:p w14:paraId="2DAC19D4" w14:textId="6AEEE8EA" w:rsidR="00327440" w:rsidRPr="006309B1" w:rsidRDefault="00327440" w:rsidP="00A36C37">
      <w:pPr>
        <w:pStyle w:val="ESSubparaHeader"/>
        <w:numPr>
          <w:ilvl w:val="0"/>
          <w:numId w:val="0"/>
        </w:numPr>
      </w:pPr>
      <w:r w:rsidRPr="006309B1">
        <w:t xml:space="preserve">Under subclause 500.213(1) of the Migration Regulations, if required by the Minister, an applicant for a Subclass 500 (Student) visa must provide evidence they have a level of English language proficiency that meets the requirements specified in a legislative instrument made by the Minister under paragraph 500.213(3)(a). </w:t>
      </w:r>
      <w:r w:rsidR="00F33FDB" w:rsidRPr="006309B1">
        <w:t xml:space="preserve">LIN 24/022 specifies the English language proficiency requirements </w:t>
      </w:r>
      <w:r w:rsidR="00F33FDB" w:rsidRPr="006309B1">
        <w:rPr>
          <w:color w:val="000000"/>
        </w:rPr>
        <w:t>that an applicant may be required to meet to satisfy the criterion for the grant of a Subclass 500 visa. This includes specifying the English language tests and the required English language test scores. </w:t>
      </w:r>
    </w:p>
    <w:p w14:paraId="6EF93D31" w14:textId="52D48FDC" w:rsidR="00F76241" w:rsidRPr="006309B1" w:rsidRDefault="00B315E2" w:rsidP="00A36C37">
      <w:pPr>
        <w:pStyle w:val="ESSubparaHeader"/>
        <w:numPr>
          <w:ilvl w:val="0"/>
          <w:numId w:val="0"/>
        </w:numPr>
      </w:pPr>
      <w:r w:rsidRPr="006309B1">
        <w:t xml:space="preserve">Applicants who are required to provide evidence of their English language proficiency will be eligible to meet a lower English language test </w:t>
      </w:r>
      <w:r w:rsidR="004F498C" w:rsidRPr="006309B1">
        <w:t xml:space="preserve">score </w:t>
      </w:r>
      <w:r w:rsidR="00F33FDB" w:rsidRPr="006309B1">
        <w:t xml:space="preserve">if they are </w:t>
      </w:r>
      <w:r w:rsidR="00327440" w:rsidRPr="006309B1">
        <w:t>enrolled in an eligible pathway program</w:t>
      </w:r>
      <w:r w:rsidR="004F498C" w:rsidRPr="006309B1">
        <w:t xml:space="preserve">. </w:t>
      </w:r>
      <w:r w:rsidR="006A056C" w:rsidRPr="006309B1">
        <w:t>Only</w:t>
      </w:r>
      <w:r w:rsidR="004F498C" w:rsidRPr="006309B1">
        <w:t xml:space="preserve"> pathway programs specified in Schedule 2 will meet the definition of an </w:t>
      </w:r>
      <w:r w:rsidR="004F498C" w:rsidRPr="006309B1">
        <w:rPr>
          <w:i/>
        </w:rPr>
        <w:t>eligible pathway program</w:t>
      </w:r>
      <w:r w:rsidR="004F498C" w:rsidRPr="006309B1">
        <w:t xml:space="preserve"> for the purposes of LIN</w:t>
      </w:r>
      <w:r w:rsidR="0050338D" w:rsidRPr="006309B1">
        <w:t> </w:t>
      </w:r>
      <w:r w:rsidR="004F498C" w:rsidRPr="006309B1">
        <w:t>24/</w:t>
      </w:r>
      <w:r w:rsidR="009C5AF6" w:rsidRPr="006309B1">
        <w:t>0</w:t>
      </w:r>
      <w:r w:rsidR="004F498C" w:rsidRPr="006309B1">
        <w:t>. These courses have been identified as deliver</w:t>
      </w:r>
      <w:r w:rsidR="0050338D" w:rsidRPr="006309B1">
        <w:t>ing</w:t>
      </w:r>
      <w:r w:rsidR="004F498C" w:rsidRPr="006309B1">
        <w:t xml:space="preserve"> reputable English language training through rigorous consultation with the university sector. </w:t>
      </w:r>
      <w:r w:rsidR="00F76241" w:rsidRPr="006309B1">
        <w:t xml:space="preserve">The updated list of courses reflects recent consultation with course providers. </w:t>
      </w:r>
    </w:p>
    <w:p w14:paraId="463B4BAB" w14:textId="3D02FD90" w:rsidR="004F498C" w:rsidRPr="006309B1" w:rsidRDefault="004F498C" w:rsidP="00A36C37">
      <w:pPr>
        <w:pStyle w:val="ESSubparaHeader"/>
        <w:numPr>
          <w:ilvl w:val="0"/>
          <w:numId w:val="0"/>
        </w:numPr>
      </w:pPr>
      <w:r w:rsidRPr="006309B1">
        <w:t xml:space="preserve">The effect is that applicants enrolled in an eligible pathway program, as specified in Schedule 2, will be able to meet the lower English language test score specified for the English language test in accordance with </w:t>
      </w:r>
      <w:r w:rsidRPr="006309B1">
        <w:lastRenderedPageBreak/>
        <w:t xml:space="preserve">Schedule 1. </w:t>
      </w:r>
      <w:r w:rsidR="00D8353A" w:rsidRPr="006309B1">
        <w:t>The list of eligible pathway programs</w:t>
      </w:r>
      <w:r w:rsidR="0050338D" w:rsidRPr="006309B1">
        <w:t xml:space="preserve"> provides transparency regarding the registered courses an applicant can enrol in to satisfy</w:t>
      </w:r>
      <w:r w:rsidR="00D8353A" w:rsidRPr="006309B1">
        <w:t xml:space="preserve"> the English language requirements. Listing the eligible pathway program courses in Schedule 2 facilitates access and provides greater clarity and certainty in relation to the requirements.</w:t>
      </w:r>
    </w:p>
    <w:p w14:paraId="6BD2CAA4" w14:textId="77777777" w:rsidR="008B24C8" w:rsidRPr="006309B1" w:rsidRDefault="008B24C8" w:rsidP="00A36C37">
      <w:pPr>
        <w:pStyle w:val="ESHeading"/>
      </w:pPr>
      <w:r w:rsidRPr="006309B1">
        <w:t>Consultation</w:t>
      </w:r>
    </w:p>
    <w:p w14:paraId="10B4E885" w14:textId="72AA97B6" w:rsidR="00D33FCD" w:rsidRPr="006309B1" w:rsidRDefault="006A056C" w:rsidP="00A36C37">
      <w:pPr>
        <w:pStyle w:val="ESPara"/>
        <w:numPr>
          <w:ilvl w:val="0"/>
          <w:numId w:val="0"/>
        </w:numPr>
      </w:pPr>
      <w:r w:rsidRPr="006309B1">
        <w:t xml:space="preserve">Initial consultations on English language reforms </w:t>
      </w:r>
      <w:r w:rsidR="009235EE" w:rsidRPr="006309B1">
        <w:t>in relation to the student visa program (including eligible foundation and pathway programs) involved an English language working group that included</w:t>
      </w:r>
      <w:r w:rsidRPr="006309B1">
        <w:t xml:space="preserve"> the International Education Association of Australia, the Independent Tertiary Education Council Australia, Alana Kaye College, the Australian Academy of Vocational Education and Trades, Griffith University, Australian </w:t>
      </w:r>
      <w:r w:rsidR="00D33FCD" w:rsidRPr="006309B1">
        <w:t xml:space="preserve">Universities International Directors Forum, Independent Higher Education Australia, the University of South Australia and James Cook University. </w:t>
      </w:r>
    </w:p>
    <w:p w14:paraId="0749025F" w14:textId="7EE7F490" w:rsidR="00D33FCD" w:rsidRPr="006309B1" w:rsidRDefault="00D33FCD" w:rsidP="00A36C37">
      <w:pPr>
        <w:pStyle w:val="ESPara"/>
        <w:numPr>
          <w:ilvl w:val="0"/>
          <w:numId w:val="0"/>
        </w:numPr>
      </w:pPr>
      <w:r w:rsidRPr="006309B1">
        <w:t xml:space="preserve">Further consultations occurred </w:t>
      </w:r>
      <w:r w:rsidR="006A056C" w:rsidRPr="006309B1">
        <w:t xml:space="preserve">with the </w:t>
      </w:r>
      <w:r w:rsidRPr="006309B1">
        <w:t xml:space="preserve">International Education Association of Australia, Universities Australia and Navitas </w:t>
      </w:r>
      <w:r w:rsidR="0050338D" w:rsidRPr="006309B1">
        <w:t>to</w:t>
      </w:r>
      <w:r w:rsidRPr="006309B1">
        <w:t xml:space="preserve"> inform the list of eligible pathway programs specified in </w:t>
      </w:r>
      <w:r w:rsidR="006A056C" w:rsidRPr="006309B1">
        <w:t>LIN</w:t>
      </w:r>
      <w:r w:rsidR="0050338D" w:rsidRPr="006309B1">
        <w:t> </w:t>
      </w:r>
      <w:r w:rsidR="006A056C" w:rsidRPr="006309B1">
        <w:t>24/022</w:t>
      </w:r>
      <w:r w:rsidRPr="006309B1">
        <w:t xml:space="preserve">. </w:t>
      </w:r>
    </w:p>
    <w:p w14:paraId="16ECB800" w14:textId="77777777" w:rsidR="00D33FCD" w:rsidRPr="006309B1" w:rsidRDefault="00D33FCD" w:rsidP="00A36C37">
      <w:pPr>
        <w:pStyle w:val="ESPara"/>
        <w:numPr>
          <w:ilvl w:val="0"/>
          <w:numId w:val="0"/>
        </w:numPr>
      </w:pPr>
      <w:r w:rsidRPr="006309B1">
        <w:t xml:space="preserve">The Australian Government Department of Education, Australian Skills Quality Authority (ASQA) and Tertiary Education Quality and Standards Agency (TEQSA) were also consulted. </w:t>
      </w:r>
    </w:p>
    <w:p w14:paraId="125BA867" w14:textId="0D864B08" w:rsidR="00D33FCD" w:rsidRPr="006309B1" w:rsidRDefault="00D33FCD" w:rsidP="00A36C37">
      <w:pPr>
        <w:pStyle w:val="ESPara"/>
        <w:numPr>
          <w:ilvl w:val="0"/>
          <w:numId w:val="0"/>
        </w:numPr>
      </w:pPr>
      <w:r w:rsidRPr="006309B1">
        <w:t>Since the original list wa</w:t>
      </w:r>
      <w:r w:rsidR="006A056C" w:rsidRPr="006309B1">
        <w:t xml:space="preserve">s published in April 2024, the Department of Home Affairs </w:t>
      </w:r>
      <w:r w:rsidRPr="006309B1">
        <w:t>has engaged in an outreach program visiting 5</w:t>
      </w:r>
      <w:r w:rsidR="004767A1" w:rsidRPr="006309B1">
        <w:t>0 education stakeholders including universities, peak bodies and state and territory governments. The Department has also engaged directly with education providers seeking to have their courses added to the list of eligible pathway programs</w:t>
      </w:r>
      <w:r w:rsidRPr="006309B1">
        <w:t xml:space="preserve">. </w:t>
      </w:r>
    </w:p>
    <w:p w14:paraId="4FCD2E3D" w14:textId="1D3BE15E" w:rsidR="009C5AF6" w:rsidRPr="006309B1" w:rsidRDefault="009C5AF6" w:rsidP="00A36C37">
      <w:pPr>
        <w:pStyle w:val="ESPara"/>
        <w:numPr>
          <w:ilvl w:val="0"/>
          <w:numId w:val="0"/>
        </w:numPr>
      </w:pPr>
      <w:r w:rsidRPr="006309B1">
        <w:t xml:space="preserve">Following the July 2024 consultations, an additional 26 courses were identified as eligible pathway programs. </w:t>
      </w:r>
      <w:r w:rsidR="00926243">
        <w:t>Five</w:t>
      </w:r>
      <w:r w:rsidR="00926243" w:rsidRPr="006309B1">
        <w:t xml:space="preserve"> </w:t>
      </w:r>
      <w:r w:rsidRPr="006309B1">
        <w:t>courses were also removed due to IELT</w:t>
      </w:r>
      <w:r w:rsidR="001173DE">
        <w:t>S</w:t>
      </w:r>
      <w:r w:rsidRPr="006309B1">
        <w:t xml:space="preserve"> scores exceeding 5.5 or failing to meet the definition of eligible pathway program. </w:t>
      </w:r>
    </w:p>
    <w:p w14:paraId="61582712" w14:textId="1D292DC2" w:rsidR="00D33FCD" w:rsidRPr="006309B1" w:rsidRDefault="00D33FCD" w:rsidP="00A36C37">
      <w:pPr>
        <w:pStyle w:val="ESPara"/>
        <w:numPr>
          <w:ilvl w:val="0"/>
          <w:numId w:val="0"/>
        </w:numPr>
      </w:pPr>
      <w:r w:rsidRPr="006309B1">
        <w:t xml:space="preserve">All relevant peak bodies and government Departments were informed of developments via the Education Visa Consultation Committee (EVCC). </w:t>
      </w:r>
    </w:p>
    <w:p w14:paraId="0DDFCB76" w14:textId="2BF34986" w:rsidR="00D33FCD" w:rsidRPr="006309B1" w:rsidRDefault="00D33FCD" w:rsidP="00A36C37">
      <w:pPr>
        <w:pStyle w:val="ESPara"/>
        <w:numPr>
          <w:ilvl w:val="0"/>
          <w:numId w:val="0"/>
        </w:numPr>
      </w:pPr>
      <w:r w:rsidRPr="006309B1">
        <w:t xml:space="preserve">The Office of Impact Analysis (OIA) was previously consulted </w:t>
      </w:r>
      <w:r w:rsidR="006A056C" w:rsidRPr="006309B1">
        <w:t xml:space="preserve">and </w:t>
      </w:r>
      <w:r w:rsidRPr="006309B1">
        <w:t>considered all impact analysis requirements have been acquitted. No further impact analysis is required. The OIA reference number is OBPR23-04044.</w:t>
      </w:r>
    </w:p>
    <w:p w14:paraId="2F585A7E" w14:textId="79246C1D" w:rsidR="006A056C" w:rsidRPr="006309B1" w:rsidRDefault="006A056C" w:rsidP="00A36C37">
      <w:pPr>
        <w:pStyle w:val="ESPara"/>
        <w:numPr>
          <w:ilvl w:val="0"/>
          <w:numId w:val="0"/>
        </w:numPr>
        <w:ind w:left="567" w:hanging="567"/>
      </w:pPr>
      <w:r w:rsidRPr="006309B1">
        <w:rPr>
          <w:b/>
          <w:i/>
        </w:rPr>
        <w:t>Details of the instrument</w:t>
      </w:r>
    </w:p>
    <w:p w14:paraId="5D8D3340" w14:textId="05547AAB" w:rsidR="00D33FCD" w:rsidRPr="006309B1" w:rsidRDefault="00D33FCD" w:rsidP="00A36C37">
      <w:pPr>
        <w:pStyle w:val="ESPara"/>
        <w:numPr>
          <w:ilvl w:val="0"/>
          <w:numId w:val="0"/>
        </w:numPr>
      </w:pPr>
      <w:r w:rsidRPr="006309B1">
        <w:t xml:space="preserve">Details of the instrument are set out in </w:t>
      </w:r>
      <w:r w:rsidRPr="006309B1">
        <w:rPr>
          <w:u w:val="single"/>
        </w:rPr>
        <w:t>Attachment A</w:t>
      </w:r>
      <w:r w:rsidRPr="006309B1">
        <w:t>.</w:t>
      </w:r>
    </w:p>
    <w:p w14:paraId="14F2956A" w14:textId="0AD6FEC9" w:rsidR="006A056C" w:rsidRPr="006309B1" w:rsidRDefault="006A056C" w:rsidP="00A36C37">
      <w:pPr>
        <w:pStyle w:val="ESPara"/>
        <w:numPr>
          <w:ilvl w:val="0"/>
          <w:numId w:val="0"/>
        </w:numPr>
        <w:ind w:left="567" w:hanging="567"/>
      </w:pPr>
      <w:r w:rsidRPr="006309B1">
        <w:rPr>
          <w:b/>
          <w:i/>
        </w:rPr>
        <w:t xml:space="preserve">Parliamentary scrutiny etc. </w:t>
      </w:r>
    </w:p>
    <w:p w14:paraId="0CF3FFBC" w14:textId="450517FA" w:rsidR="00D33FCD" w:rsidRPr="006309B1" w:rsidRDefault="00D33FCD" w:rsidP="00A36C37">
      <w:pPr>
        <w:pStyle w:val="ESPara"/>
        <w:numPr>
          <w:ilvl w:val="0"/>
          <w:numId w:val="0"/>
        </w:numPr>
      </w:pPr>
      <w:r w:rsidRPr="006309B1">
        <w:t>The instrument is exempt from disallowance under section 42 of the Legislation Act. This is because instruments made under Schedule 2 to the Migration Regulations are prescribed as being exempt from disallowance. See table item 20</w:t>
      </w:r>
      <w:r w:rsidR="0050338D" w:rsidRPr="006309B1">
        <w:t>(b)</w:t>
      </w:r>
      <w:r w:rsidRPr="006309B1">
        <w:t xml:space="preserve"> in section 10 of the </w:t>
      </w:r>
      <w:r w:rsidRPr="006309B1">
        <w:rPr>
          <w:i/>
        </w:rPr>
        <w:t>Legislation (Exemptions and Other matters) Regulations 2015</w:t>
      </w:r>
      <w:r w:rsidRPr="006309B1">
        <w:t xml:space="preserve">. As the instrument is exempt from disallowance, a Statement of Compatibility with Human Rights is not required. </w:t>
      </w:r>
    </w:p>
    <w:p w14:paraId="07A68ED7" w14:textId="24F60B82" w:rsidR="00D33FCD" w:rsidRPr="006309B1" w:rsidRDefault="00D33FCD" w:rsidP="00A36C37">
      <w:pPr>
        <w:pStyle w:val="ESPara"/>
        <w:numPr>
          <w:ilvl w:val="0"/>
          <w:numId w:val="0"/>
        </w:numPr>
      </w:pPr>
      <w:r w:rsidRPr="006309B1">
        <w:t xml:space="preserve">The instrument </w:t>
      </w:r>
      <w:r w:rsidR="004B38AD" w:rsidRPr="006309B1">
        <w:t xml:space="preserve">is </w:t>
      </w:r>
      <w:r w:rsidRPr="006309B1">
        <w:t xml:space="preserve">made by the </w:t>
      </w:r>
      <w:r w:rsidR="00064BC7">
        <w:t xml:space="preserve">Assistant </w:t>
      </w:r>
      <w:r w:rsidRPr="006309B1">
        <w:t xml:space="preserve">Minister </w:t>
      </w:r>
      <w:r w:rsidR="004B38AD" w:rsidRPr="006309B1">
        <w:t xml:space="preserve">under and </w:t>
      </w:r>
      <w:r w:rsidRPr="006309B1">
        <w:t xml:space="preserve">in accordance with subclause 500.213(3) of Schedule 2 to the Migration Regulations. </w:t>
      </w:r>
    </w:p>
    <w:p w14:paraId="102000BC" w14:textId="77777777" w:rsidR="004F5CE4" w:rsidRPr="00F34A43" w:rsidRDefault="007E4691" w:rsidP="00A36C37">
      <w:pPr>
        <w:pStyle w:val="ESPara"/>
        <w:numPr>
          <w:ilvl w:val="0"/>
          <w:numId w:val="0"/>
        </w:numPr>
        <w:jc w:val="right"/>
      </w:pPr>
      <w:r w:rsidRPr="00F34A43">
        <w:rPr>
          <w:b/>
          <w:u w:val="single"/>
        </w:rPr>
        <w:lastRenderedPageBreak/>
        <w:t xml:space="preserve">Attachment </w:t>
      </w:r>
      <w:r w:rsidR="00D33FCD" w:rsidRPr="00F34A43">
        <w:rPr>
          <w:b/>
          <w:u w:val="single"/>
        </w:rPr>
        <w:t>A</w:t>
      </w:r>
    </w:p>
    <w:p w14:paraId="36C8EA1D" w14:textId="7C2AECCF" w:rsidR="00D33FCD" w:rsidRPr="006309B1" w:rsidRDefault="007E4691" w:rsidP="00A36C37">
      <w:pPr>
        <w:pStyle w:val="ESAttHeading"/>
      </w:pPr>
      <w:r w:rsidRPr="006309B1">
        <w:t>Details of the</w:t>
      </w:r>
      <w:r w:rsidR="00D33FCD" w:rsidRPr="006309B1">
        <w:rPr>
          <w:i/>
        </w:rPr>
        <w:t xml:space="preserve"> </w:t>
      </w:r>
      <w:r w:rsidR="00227F68" w:rsidRPr="00227F68">
        <w:rPr>
          <w:i/>
        </w:rPr>
        <w:t>Migration (English Language Tests and Evidence Exemptions for Subclass 500 (Student) Visa) Amendment (LIN 24/082) Specification 2024</w:t>
      </w:r>
    </w:p>
    <w:p w14:paraId="54CA2EC1" w14:textId="77777777" w:rsidR="007E4691" w:rsidRPr="006309B1" w:rsidRDefault="00D33FCD" w:rsidP="00A36C37">
      <w:pPr>
        <w:pStyle w:val="ESAttHeading"/>
        <w:rPr>
          <w:b w:val="0"/>
        </w:rPr>
      </w:pPr>
      <w:r w:rsidRPr="006309B1">
        <w:t xml:space="preserve"> </w:t>
      </w:r>
      <w:r w:rsidR="007E4691" w:rsidRPr="006309B1">
        <w:t>Section 1</w:t>
      </w:r>
      <w:r w:rsidR="007E4691" w:rsidRPr="006309B1">
        <w:tab/>
        <w:t>Name</w:t>
      </w:r>
    </w:p>
    <w:p w14:paraId="6B70823E" w14:textId="0637DAB8" w:rsidR="007E4691" w:rsidRPr="006309B1" w:rsidRDefault="007E4691" w:rsidP="00A36C37">
      <w:pPr>
        <w:pStyle w:val="ESAttNormal"/>
      </w:pPr>
      <w:r w:rsidRPr="006309B1">
        <w:t>This section provides that th</w:t>
      </w:r>
      <w:r w:rsidR="00D33FCD" w:rsidRPr="006309B1">
        <w:t xml:space="preserve">e name of the instrument is the </w:t>
      </w:r>
      <w:r w:rsidR="00227F68" w:rsidRPr="003240D3">
        <w:rPr>
          <w:i/>
        </w:rPr>
        <w:t>Migration (English Language Tests and Evidence Exemptions for Subclass 500 (Student) Visa) Amendment (LIN 24/082) Specification 2024</w:t>
      </w:r>
      <w:r w:rsidR="00D33FCD" w:rsidRPr="006309B1">
        <w:t xml:space="preserve">. </w:t>
      </w:r>
      <w:r w:rsidRPr="006309B1">
        <w:t xml:space="preserve"> </w:t>
      </w:r>
    </w:p>
    <w:p w14:paraId="56418673" w14:textId="77777777" w:rsidR="007E4691" w:rsidRPr="006309B1" w:rsidRDefault="007E4691" w:rsidP="00A36C37">
      <w:pPr>
        <w:pStyle w:val="ESAttHeading"/>
        <w:rPr>
          <w:b w:val="0"/>
        </w:rPr>
      </w:pPr>
      <w:r w:rsidRPr="006309B1">
        <w:t>Section 2</w:t>
      </w:r>
      <w:r w:rsidRPr="006309B1">
        <w:tab/>
        <w:t>Commencement</w:t>
      </w:r>
    </w:p>
    <w:p w14:paraId="2ACFC26B" w14:textId="5F7D1D47" w:rsidR="00E069E1" w:rsidRPr="006309B1" w:rsidRDefault="00E069E1" w:rsidP="00A36C37">
      <w:pPr>
        <w:pStyle w:val="ESAttHeading"/>
        <w:rPr>
          <w:b w:val="0"/>
        </w:rPr>
      </w:pPr>
      <w:r w:rsidRPr="006309B1">
        <w:rPr>
          <w:b w:val="0"/>
        </w:rPr>
        <w:t xml:space="preserve">This section provides </w:t>
      </w:r>
      <w:r w:rsidR="00227F68">
        <w:rPr>
          <w:b w:val="0"/>
        </w:rPr>
        <w:t xml:space="preserve">that </w:t>
      </w:r>
      <w:r w:rsidRPr="006309B1">
        <w:rPr>
          <w:b w:val="0"/>
        </w:rPr>
        <w:t xml:space="preserve">the instrument commences on the day after </w:t>
      </w:r>
      <w:r w:rsidR="00227F68">
        <w:rPr>
          <w:b w:val="0"/>
        </w:rPr>
        <w:t>it is registered on the Federal Register of Legislation</w:t>
      </w:r>
      <w:r w:rsidRPr="006309B1">
        <w:rPr>
          <w:b w:val="0"/>
        </w:rPr>
        <w:t xml:space="preserve">. </w:t>
      </w:r>
    </w:p>
    <w:p w14:paraId="7F625823" w14:textId="77777777" w:rsidR="00E069E1" w:rsidRPr="006309B1" w:rsidRDefault="00915032" w:rsidP="00A36C37">
      <w:pPr>
        <w:pStyle w:val="ESAttHeading"/>
        <w:rPr>
          <w:b w:val="0"/>
        </w:rPr>
      </w:pPr>
      <w:r w:rsidRPr="006309B1">
        <w:t>Section 3</w:t>
      </w:r>
      <w:r w:rsidR="00E069E1" w:rsidRPr="006309B1">
        <w:tab/>
        <w:t>Authority</w:t>
      </w:r>
    </w:p>
    <w:p w14:paraId="7ADC2BAD" w14:textId="3E0EC37E" w:rsidR="005A3733" w:rsidRPr="006309B1" w:rsidRDefault="00E069E1" w:rsidP="00A36C37">
      <w:pPr>
        <w:pStyle w:val="ESAttHeading"/>
      </w:pPr>
      <w:r w:rsidRPr="006309B1">
        <w:rPr>
          <w:b w:val="0"/>
        </w:rPr>
        <w:t xml:space="preserve">This section provides </w:t>
      </w:r>
      <w:r w:rsidR="00DB5A48">
        <w:rPr>
          <w:b w:val="0"/>
        </w:rPr>
        <w:t xml:space="preserve">that </w:t>
      </w:r>
      <w:r w:rsidRPr="006309B1">
        <w:rPr>
          <w:b w:val="0"/>
        </w:rPr>
        <w:t xml:space="preserve">the instrument is made under subclause 500.213(3) of Schedule 2 to the </w:t>
      </w:r>
      <w:r w:rsidRPr="006309B1">
        <w:rPr>
          <w:b w:val="0"/>
          <w:i/>
        </w:rPr>
        <w:t>Migration Regulations 1994</w:t>
      </w:r>
      <w:r w:rsidRPr="006309B1">
        <w:rPr>
          <w:b w:val="0"/>
        </w:rPr>
        <w:t xml:space="preserve"> (the Migration Regulations).</w:t>
      </w:r>
    </w:p>
    <w:p w14:paraId="6B847A84" w14:textId="77777777" w:rsidR="00915032" w:rsidRPr="006309B1" w:rsidRDefault="005A3733" w:rsidP="00A36C37">
      <w:pPr>
        <w:pStyle w:val="ESAttHeading"/>
      </w:pPr>
      <w:r w:rsidRPr="006309B1">
        <w:t>Section 4</w:t>
      </w:r>
      <w:r w:rsidR="00E069E1" w:rsidRPr="006309B1">
        <w:tab/>
        <w:t>Schedules</w:t>
      </w:r>
    </w:p>
    <w:p w14:paraId="545CFEBB" w14:textId="77777777" w:rsidR="00915032" w:rsidRPr="006309B1" w:rsidRDefault="00E069E1" w:rsidP="00A36C37">
      <w:pPr>
        <w:pStyle w:val="ESAttNormal"/>
      </w:pPr>
      <w:r w:rsidRPr="006309B1">
        <w:t xml:space="preserve">This section provides that each instrument that is specified in a Schedule to this instrument is amended or repealed as set out in the applicable items in the Scheduled concerned, and any other item in a Schedule to this instrument has effect according to its terms. </w:t>
      </w:r>
    </w:p>
    <w:p w14:paraId="0EA5319D" w14:textId="59CD05BF" w:rsidR="00915032" w:rsidRPr="006309B1" w:rsidRDefault="00E069E1" w:rsidP="00A36C37">
      <w:pPr>
        <w:pStyle w:val="ESAttHeading"/>
      </w:pPr>
      <w:r w:rsidRPr="006309B1">
        <w:t>Schedule 1</w:t>
      </w:r>
      <w:r w:rsidR="00915032" w:rsidRPr="006309B1">
        <w:tab/>
      </w:r>
      <w:r w:rsidR="0050338D" w:rsidRPr="006309B1">
        <w:t>Amendments</w:t>
      </w:r>
    </w:p>
    <w:p w14:paraId="69DE9690" w14:textId="0A0DAB92" w:rsidR="000C7080" w:rsidRPr="006309B1" w:rsidRDefault="000C7080" w:rsidP="00A36C37">
      <w:pPr>
        <w:pStyle w:val="ESAttNormal"/>
      </w:pPr>
      <w:r w:rsidRPr="006309B1">
        <w:t xml:space="preserve">Item </w:t>
      </w:r>
      <w:r w:rsidR="00DB5A48">
        <w:t>[</w:t>
      </w:r>
      <w:r w:rsidRPr="006309B1">
        <w:t>1</w:t>
      </w:r>
      <w:r w:rsidR="00DB5A48">
        <w:t>]</w:t>
      </w:r>
      <w:r w:rsidRPr="006309B1">
        <w:t xml:space="preserve"> inserts new section 11 (Application of amendments made by LIN 24/082)</w:t>
      </w:r>
      <w:r w:rsidR="00DB5A48">
        <w:t xml:space="preserve">. This is an application provision, </w:t>
      </w:r>
      <w:r w:rsidRPr="006309B1">
        <w:t xml:space="preserve">and provides that the amendments made by this instrument </w:t>
      </w:r>
      <w:r w:rsidR="00DB5A48">
        <w:t xml:space="preserve">to LIN 24/022 (the principal instrument) </w:t>
      </w:r>
      <w:r w:rsidRPr="006309B1">
        <w:t>apply in relation to an application made for a Subclass 500 (Student) visa made on or after the commencement of this instrument.</w:t>
      </w:r>
    </w:p>
    <w:p w14:paraId="726D1A2A" w14:textId="459B2F8B" w:rsidR="00915032" w:rsidRPr="006309B1" w:rsidRDefault="00F76241" w:rsidP="00A36C37">
      <w:pPr>
        <w:pStyle w:val="ESAttNormal"/>
      </w:pPr>
      <w:r w:rsidRPr="006309B1">
        <w:t xml:space="preserve">Item </w:t>
      </w:r>
      <w:r w:rsidR="00DB5A48">
        <w:t>[</w:t>
      </w:r>
      <w:r w:rsidRPr="006309B1">
        <w:t>2</w:t>
      </w:r>
      <w:r w:rsidR="00DB5A48">
        <w:t>]</w:t>
      </w:r>
      <w:r w:rsidR="00E069E1" w:rsidRPr="006309B1">
        <w:t xml:space="preserve"> </w:t>
      </w:r>
      <w:r w:rsidRPr="006309B1">
        <w:t xml:space="preserve">amends </w:t>
      </w:r>
      <w:r w:rsidR="00E069E1" w:rsidRPr="006309B1">
        <w:t xml:space="preserve">Schedule 2 </w:t>
      </w:r>
      <w:r w:rsidR="00DB5A48">
        <w:t>to</w:t>
      </w:r>
      <w:r w:rsidR="00DB5A48" w:rsidRPr="006309B1">
        <w:t xml:space="preserve"> </w:t>
      </w:r>
      <w:r w:rsidR="00E069E1" w:rsidRPr="006309B1">
        <w:t>LIN 24/022</w:t>
      </w:r>
      <w:r w:rsidR="00DB5A48">
        <w:t xml:space="preserve"> (the principal instrument)</w:t>
      </w:r>
      <w:r w:rsidR="00E069E1" w:rsidRPr="006309B1">
        <w:t>.</w:t>
      </w:r>
    </w:p>
    <w:p w14:paraId="43F50A6B" w14:textId="2DA0AC75" w:rsidR="00E069E1" w:rsidRPr="00BC37E4" w:rsidRDefault="00875FC3" w:rsidP="00A36C37">
      <w:pPr>
        <w:pStyle w:val="ESAttNormal"/>
      </w:pPr>
      <w:r w:rsidRPr="006309B1">
        <w:t xml:space="preserve">This </w:t>
      </w:r>
      <w:r w:rsidR="00F76241" w:rsidRPr="006309B1">
        <w:t xml:space="preserve">amendment </w:t>
      </w:r>
      <w:r w:rsidR="00073858">
        <w:t xml:space="preserve">substitutes the table of eligible pathway programs – that is, </w:t>
      </w:r>
      <w:r w:rsidRPr="006309B1">
        <w:t xml:space="preserve">registered courses specified </w:t>
      </w:r>
      <w:r w:rsidR="00F76241" w:rsidRPr="006309B1">
        <w:t xml:space="preserve">to be eligible pathway programs </w:t>
      </w:r>
      <w:r w:rsidRPr="006309B1">
        <w:t xml:space="preserve">for </w:t>
      </w:r>
      <w:r w:rsidR="00073858">
        <w:t xml:space="preserve">the purposes of </w:t>
      </w:r>
      <w:r w:rsidRPr="006309B1">
        <w:t xml:space="preserve">paragraph 5(3)(d) of LIN 24/022. </w:t>
      </w:r>
      <w:r w:rsidR="00E069E1" w:rsidRPr="006309B1">
        <w:t xml:space="preserve">An applicant for a Subclass 500 (Student) visa who is </w:t>
      </w:r>
      <w:r w:rsidR="00F76241" w:rsidRPr="006309B1">
        <w:t xml:space="preserve">enrolled in </w:t>
      </w:r>
      <w:r w:rsidR="00E069E1" w:rsidRPr="006309B1">
        <w:t>one of the courses specified in th</w:t>
      </w:r>
      <w:r w:rsidR="00F76241" w:rsidRPr="006309B1">
        <w:t xml:space="preserve">e table </w:t>
      </w:r>
      <w:r w:rsidR="00E069E1" w:rsidRPr="006309B1">
        <w:t xml:space="preserve">will </w:t>
      </w:r>
      <w:r w:rsidR="00F76241" w:rsidRPr="006309B1">
        <w:t xml:space="preserve">be eligible </w:t>
      </w:r>
      <w:r w:rsidR="00E069E1" w:rsidRPr="006309B1">
        <w:t xml:space="preserve">to </w:t>
      </w:r>
      <w:r w:rsidR="00992873">
        <w:t>meet the English language proficiency requirement under subclause 500.213(1) so long as the applicant has also achieved the required English language test score specified in Column 3 pf an item in the table under Schedule 1 to the principal instrument (</w:t>
      </w:r>
      <w:r w:rsidR="00E069E1" w:rsidRPr="006309B1">
        <w:t>LIN 24/022</w:t>
      </w:r>
      <w:r w:rsidR="00992873">
        <w:t>)</w:t>
      </w:r>
      <w:r w:rsidR="00E069E1" w:rsidRPr="006309B1">
        <w:t xml:space="preserve">. </w:t>
      </w:r>
      <w:r w:rsidR="00F76241" w:rsidRPr="006309B1">
        <w:t xml:space="preserve">The substituted table includes </w:t>
      </w:r>
      <w:r w:rsidR="00E05697">
        <w:t xml:space="preserve">155 courses (a net increase of 21) </w:t>
      </w:r>
      <w:r w:rsidR="00CF464C">
        <w:t>as</w:t>
      </w:r>
      <w:r w:rsidR="00E05697">
        <w:t xml:space="preserve"> </w:t>
      </w:r>
      <w:r w:rsidR="00F76241" w:rsidRPr="006309B1">
        <w:t>registered courses identified as delivering reputable English language training</w:t>
      </w:r>
      <w:r w:rsidR="00992873">
        <w:t>,</w:t>
      </w:r>
      <w:r w:rsidR="00F76241" w:rsidRPr="006309B1">
        <w:t xml:space="preserve"> following further consultation with the </w:t>
      </w:r>
      <w:r w:rsidR="009235EE" w:rsidRPr="006309B1">
        <w:t xml:space="preserve">education </w:t>
      </w:r>
      <w:r w:rsidR="00F76241" w:rsidRPr="006309B1">
        <w:t>sector</w:t>
      </w:r>
      <w:r w:rsidR="00E05697">
        <w:t xml:space="preserve">. This </w:t>
      </w:r>
      <w:r w:rsidR="00F3765F">
        <w:t>increas</w:t>
      </w:r>
      <w:r w:rsidR="00E05697">
        <w:t>es</w:t>
      </w:r>
      <w:r w:rsidR="00F3765F">
        <w:t xml:space="preserve"> the total number of specified courses from 134 to 155</w:t>
      </w:r>
      <w:r w:rsidR="00F76241" w:rsidRPr="006309B1">
        <w:t>.</w:t>
      </w:r>
      <w:r w:rsidR="00926243">
        <w:t xml:space="preserve"> As noted in the outline, 26 courses have been added to the list of </w:t>
      </w:r>
      <w:r w:rsidR="00E05697">
        <w:t>eligible pathway programs, and five</w:t>
      </w:r>
      <w:r w:rsidR="00926243">
        <w:t xml:space="preserve"> have been removed.</w:t>
      </w:r>
    </w:p>
    <w:sectPr w:rsidR="00E069E1" w:rsidRPr="00BC37E4" w:rsidSect="004F5CE4">
      <w:headerReference w:type="even" r:id="rId7"/>
      <w:headerReference w:type="default" r:id="rId8"/>
      <w:footerReference w:type="even" r:id="rId9"/>
      <w:footerReference w:type="default" r:id="rId10"/>
      <w:headerReference w:type="first" r:id="rId11"/>
      <w:footerReference w:type="first" r:id="rId12"/>
      <w:pgSz w:w="11906" w:h="16838"/>
      <w:pgMar w:top="1440" w:right="1080" w:bottom="1276" w:left="108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6F4E3B9" w16cex:dateUtc="2024-11-05T22:44:00Z"/>
  <w16cex:commentExtensible w16cex:durableId="46A06ACE" w16cex:dateUtc="2024-11-05T22:48:00Z"/>
  <w16cex:commentExtensible w16cex:durableId="66B34F60" w16cex:dateUtc="2024-11-05T22: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04DA977" w16cid:durableId="49654CD3"/>
  <w16cid:commentId w16cid:paraId="4F19D984" w16cid:durableId="56F4E3B9"/>
  <w16cid:commentId w16cid:paraId="15DB8410" w16cid:durableId="3C2FAA4C"/>
  <w16cid:commentId w16cid:paraId="6C7921FC" w16cid:durableId="46A06ACE"/>
  <w16cid:commentId w16cid:paraId="5258995E" w16cid:durableId="4E420087"/>
  <w16cid:commentId w16cid:paraId="441DB7BD" w16cid:durableId="66B34F6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376F2" w14:textId="77777777" w:rsidR="00F65B6D" w:rsidRDefault="00F65B6D" w:rsidP="00F65B6D">
      <w:pPr>
        <w:spacing w:after="0" w:line="240" w:lineRule="auto"/>
      </w:pPr>
      <w:r>
        <w:separator/>
      </w:r>
    </w:p>
  </w:endnote>
  <w:endnote w:type="continuationSeparator" w:id="0">
    <w:p w14:paraId="5B839DAB" w14:textId="77777777" w:rsidR="00F65B6D" w:rsidRDefault="00F65B6D" w:rsidP="00F65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78AF5" w14:textId="432B7EBB" w:rsidR="00F65B6D" w:rsidRDefault="00F65B6D">
    <w:pPr>
      <w:pStyle w:val="Footer"/>
    </w:pPr>
    <w:r>
      <w:rPr>
        <w:noProof/>
        <w:lang w:eastAsia="en-AU"/>
      </w:rPr>
      <mc:AlternateContent>
        <mc:Choice Requires="wps">
          <w:drawing>
            <wp:anchor distT="0" distB="0" distL="0" distR="0" simplePos="0" relativeHeight="251662336" behindDoc="0" locked="0" layoutInCell="1" allowOverlap="1" wp14:anchorId="76A9B415" wp14:editId="5FCF892B">
              <wp:simplePos x="635" y="635"/>
              <wp:positionH relativeFrom="page">
                <wp:align>center</wp:align>
              </wp:positionH>
              <wp:positionV relativeFrom="page">
                <wp:align>bottom</wp:align>
              </wp:positionV>
              <wp:extent cx="551815" cy="391160"/>
              <wp:effectExtent l="0" t="0" r="635" b="0"/>
              <wp:wrapNone/>
              <wp:docPr id="1962168978" name="Text Box 5"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124DF12" w14:textId="4E8E68B7" w:rsidR="00F65B6D" w:rsidRPr="00F65B6D" w:rsidRDefault="00F65B6D" w:rsidP="00F65B6D">
                          <w:pPr>
                            <w:spacing w:after="0"/>
                            <w:rPr>
                              <w:rFonts w:ascii="Calibri" w:eastAsia="Calibri" w:hAnsi="Calibri" w:cs="Calibri"/>
                              <w:noProof/>
                              <w:color w:val="FF0000"/>
                              <w:sz w:val="24"/>
                              <w:szCs w:val="24"/>
                            </w:rPr>
                          </w:pPr>
                          <w:r w:rsidRPr="00F65B6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A9B415" id="_x0000_t202" coordsize="21600,21600" o:spt="202" path="m,l,21600r21600,l21600,xe">
              <v:stroke joinstyle="miter"/>
              <v:path gradientshapeok="t" o:connecttype="rect"/>
            </v:shapetype>
            <v:shape id="Text Box 5" o:spid="_x0000_s1027" type="#_x0000_t202" alt="OFFICIAL" style="position:absolute;margin-left:0;margin-top:0;width:43.45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" filled="f" stroked="f">
              <v:textbox style="mso-fit-shape-to-text:t" inset="0,0,0,15pt">
                <w:txbxContent>
                  <w:p w14:paraId="1124DF12" w14:textId="4E8E68B7" w:rsidR="00F65B6D" w:rsidRPr="00F65B6D" w:rsidRDefault="00F65B6D" w:rsidP="00F65B6D">
                    <w:pPr>
                      <w:spacing w:after="0"/>
                      <w:rPr>
                        <w:rFonts w:ascii="Calibri" w:eastAsia="Calibri" w:hAnsi="Calibri" w:cs="Calibri"/>
                        <w:noProof/>
                        <w:color w:val="FF0000"/>
                        <w:sz w:val="24"/>
                        <w:szCs w:val="24"/>
                      </w:rPr>
                    </w:pPr>
                    <w:r w:rsidRPr="00F65B6D">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744239502"/>
      <w:docPartObj>
        <w:docPartGallery w:val="Page Numbers (Bottom of Page)"/>
        <w:docPartUnique/>
      </w:docPartObj>
    </w:sdtPr>
    <w:sdtEndPr>
      <w:rPr>
        <w:noProof/>
      </w:rPr>
    </w:sdtEndPr>
    <w:sdtContent>
      <w:p w14:paraId="56FEA2B7" w14:textId="34235C13" w:rsidR="006133F4" w:rsidRPr="006133F4" w:rsidRDefault="006133F4">
        <w:pPr>
          <w:pStyle w:val="Footer"/>
          <w:jc w:val="center"/>
          <w:rPr>
            <w:rFonts w:ascii="Times New Roman" w:hAnsi="Times New Roman" w:cs="Times New Roman"/>
          </w:rPr>
        </w:pPr>
        <w:r w:rsidRPr="006133F4">
          <w:rPr>
            <w:rFonts w:ascii="Times New Roman" w:hAnsi="Times New Roman" w:cs="Times New Roman"/>
          </w:rPr>
          <w:fldChar w:fldCharType="begin"/>
        </w:r>
        <w:r w:rsidRPr="006133F4">
          <w:rPr>
            <w:rFonts w:ascii="Times New Roman" w:hAnsi="Times New Roman" w:cs="Times New Roman"/>
          </w:rPr>
          <w:instrText xml:space="preserve"> PAGE   \* MERGEFORMAT </w:instrText>
        </w:r>
        <w:r w:rsidRPr="006133F4">
          <w:rPr>
            <w:rFonts w:ascii="Times New Roman" w:hAnsi="Times New Roman" w:cs="Times New Roman"/>
          </w:rPr>
          <w:fldChar w:fldCharType="separate"/>
        </w:r>
        <w:r w:rsidR="00FE5AC7">
          <w:rPr>
            <w:rFonts w:ascii="Times New Roman" w:hAnsi="Times New Roman" w:cs="Times New Roman"/>
            <w:noProof/>
          </w:rPr>
          <w:t>2</w:t>
        </w:r>
        <w:r w:rsidRPr="006133F4">
          <w:rPr>
            <w:rFonts w:ascii="Times New Roman" w:hAnsi="Times New Roman" w:cs="Times New Roman"/>
            <w:noProof/>
          </w:rPr>
          <w:fldChar w:fldCharType="end"/>
        </w:r>
      </w:p>
    </w:sdtContent>
  </w:sdt>
  <w:p w14:paraId="0639159C" w14:textId="77777777" w:rsidR="006133F4" w:rsidRDefault="006133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F5C26" w14:textId="27574441" w:rsidR="00F65B6D" w:rsidRDefault="00F65B6D">
    <w:pPr>
      <w:pStyle w:val="Footer"/>
    </w:pPr>
    <w:r>
      <w:rPr>
        <w:noProof/>
        <w:lang w:eastAsia="en-AU"/>
      </w:rPr>
      <mc:AlternateContent>
        <mc:Choice Requires="wps">
          <w:drawing>
            <wp:anchor distT="0" distB="0" distL="0" distR="0" simplePos="0" relativeHeight="251661312" behindDoc="0" locked="0" layoutInCell="1" allowOverlap="1" wp14:anchorId="59E23353" wp14:editId="75AF7561">
              <wp:simplePos x="635" y="635"/>
              <wp:positionH relativeFrom="page">
                <wp:align>center</wp:align>
              </wp:positionH>
              <wp:positionV relativeFrom="page">
                <wp:align>bottom</wp:align>
              </wp:positionV>
              <wp:extent cx="551815" cy="391160"/>
              <wp:effectExtent l="0" t="0" r="635" b="0"/>
              <wp:wrapNone/>
              <wp:docPr id="676599343" name="Text Box 4"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D2A7393" w14:textId="40A0AF96" w:rsidR="00F65B6D" w:rsidRPr="00F65B6D" w:rsidRDefault="00F65B6D" w:rsidP="00F65B6D">
                          <w:pPr>
                            <w:spacing w:after="0"/>
                            <w:rPr>
                              <w:rFonts w:ascii="Calibri" w:eastAsia="Calibri" w:hAnsi="Calibri" w:cs="Calibri"/>
                              <w:noProof/>
                              <w:color w:val="FF0000"/>
                              <w:sz w:val="24"/>
                              <w:szCs w:val="24"/>
                            </w:rPr>
                          </w:pPr>
                          <w:r w:rsidRPr="00F65B6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E23353" id="_x0000_t202" coordsize="21600,21600" o:spt="202" path="m,l,21600r21600,l21600,xe">
              <v:stroke joinstyle="miter"/>
              <v:path gradientshapeok="t" o:connecttype="rect"/>
            </v:shapetype>
            <v:shape id="Text Box 4" o:spid="_x0000_s1029" type="#_x0000_t202" alt="OFFICIAL" style="position:absolute;margin-left:0;margin-top:0;width:43.45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" filled="f" stroked="f">
              <v:textbox style="mso-fit-shape-to-text:t" inset="0,0,0,15pt">
                <w:txbxContent>
                  <w:p w14:paraId="5D2A7393" w14:textId="40A0AF96" w:rsidR="00F65B6D" w:rsidRPr="00F65B6D" w:rsidRDefault="00F65B6D" w:rsidP="00F65B6D">
                    <w:pPr>
                      <w:spacing w:after="0"/>
                      <w:rPr>
                        <w:rFonts w:ascii="Calibri" w:eastAsia="Calibri" w:hAnsi="Calibri" w:cs="Calibri"/>
                        <w:noProof/>
                        <w:color w:val="FF0000"/>
                        <w:sz w:val="24"/>
                        <w:szCs w:val="24"/>
                      </w:rPr>
                    </w:pPr>
                    <w:r w:rsidRPr="00F65B6D">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091EC6" w14:textId="77777777" w:rsidR="00F65B6D" w:rsidRDefault="00F65B6D" w:rsidP="00F65B6D">
      <w:pPr>
        <w:spacing w:after="0" w:line="240" w:lineRule="auto"/>
      </w:pPr>
      <w:r>
        <w:separator/>
      </w:r>
    </w:p>
  </w:footnote>
  <w:footnote w:type="continuationSeparator" w:id="0">
    <w:p w14:paraId="68C700CE" w14:textId="77777777" w:rsidR="00F65B6D" w:rsidRDefault="00F65B6D" w:rsidP="00F65B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A7332" w14:textId="7B7161DC" w:rsidR="00F65B6D" w:rsidRDefault="00F65B6D">
    <w:pPr>
      <w:pStyle w:val="Header"/>
    </w:pPr>
    <w:r>
      <w:rPr>
        <w:noProof/>
        <w:lang w:eastAsia="en-AU"/>
      </w:rPr>
      <mc:AlternateContent>
        <mc:Choice Requires="wps">
          <w:drawing>
            <wp:anchor distT="0" distB="0" distL="0" distR="0" simplePos="0" relativeHeight="251659264" behindDoc="0" locked="0" layoutInCell="1" allowOverlap="1" wp14:anchorId="47C432BA" wp14:editId="32FB213E">
              <wp:simplePos x="635" y="635"/>
              <wp:positionH relativeFrom="page">
                <wp:align>center</wp:align>
              </wp:positionH>
              <wp:positionV relativeFrom="page">
                <wp:align>top</wp:align>
              </wp:positionV>
              <wp:extent cx="551815" cy="391160"/>
              <wp:effectExtent l="0" t="0" r="635" b="8890"/>
              <wp:wrapNone/>
              <wp:docPr id="1116235867" name="Text Box 2"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49FA8A0" w14:textId="0C14F239" w:rsidR="00F65B6D" w:rsidRPr="00F65B6D" w:rsidRDefault="00F65B6D" w:rsidP="00F65B6D">
                          <w:pPr>
                            <w:spacing w:after="0"/>
                            <w:rPr>
                              <w:rFonts w:ascii="Calibri" w:eastAsia="Calibri" w:hAnsi="Calibri" w:cs="Calibri"/>
                              <w:noProof/>
                              <w:color w:val="FF0000"/>
                              <w:sz w:val="24"/>
                              <w:szCs w:val="24"/>
                            </w:rPr>
                          </w:pPr>
                          <w:r w:rsidRPr="00F65B6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C432BA"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" filled="f" stroked="f">
              <v:textbox style="mso-fit-shape-to-text:t" inset="0,15pt,0,0">
                <w:txbxContent>
                  <w:p w14:paraId="549FA8A0" w14:textId="0C14F239" w:rsidR="00F65B6D" w:rsidRPr="00F65B6D" w:rsidRDefault="00F65B6D" w:rsidP="00F65B6D">
                    <w:pPr>
                      <w:spacing w:after="0"/>
                      <w:rPr>
                        <w:rFonts w:ascii="Calibri" w:eastAsia="Calibri" w:hAnsi="Calibri" w:cs="Calibri"/>
                        <w:noProof/>
                        <w:color w:val="FF0000"/>
                        <w:sz w:val="24"/>
                        <w:szCs w:val="24"/>
                      </w:rPr>
                    </w:pPr>
                    <w:r w:rsidRPr="00F65B6D">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675F3" w14:textId="77777777" w:rsidR="006343A5" w:rsidRDefault="006343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8DA9C" w14:textId="14B35C73" w:rsidR="00F65B6D" w:rsidRDefault="00F65B6D">
    <w:pPr>
      <w:pStyle w:val="Header"/>
    </w:pPr>
    <w:r>
      <w:rPr>
        <w:noProof/>
        <w:lang w:eastAsia="en-AU"/>
      </w:rPr>
      <mc:AlternateContent>
        <mc:Choice Requires="wps">
          <w:drawing>
            <wp:anchor distT="0" distB="0" distL="0" distR="0" simplePos="0" relativeHeight="251658240" behindDoc="0" locked="0" layoutInCell="1" allowOverlap="1" wp14:anchorId="3FEE65AB" wp14:editId="4E6BE6EC">
              <wp:simplePos x="635" y="635"/>
              <wp:positionH relativeFrom="page">
                <wp:align>center</wp:align>
              </wp:positionH>
              <wp:positionV relativeFrom="page">
                <wp:align>top</wp:align>
              </wp:positionV>
              <wp:extent cx="551815" cy="391160"/>
              <wp:effectExtent l="0" t="0" r="635" b="8890"/>
              <wp:wrapNone/>
              <wp:docPr id="719834063" name="Text Box 1"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A22580E" w14:textId="7298E60D" w:rsidR="00F65B6D" w:rsidRPr="00F65B6D" w:rsidRDefault="00F65B6D" w:rsidP="00F65B6D">
                          <w:pPr>
                            <w:spacing w:after="0"/>
                            <w:rPr>
                              <w:rFonts w:ascii="Calibri" w:eastAsia="Calibri" w:hAnsi="Calibri" w:cs="Calibri"/>
                              <w:noProof/>
                              <w:color w:val="FF0000"/>
                              <w:sz w:val="24"/>
                              <w:szCs w:val="24"/>
                            </w:rPr>
                          </w:pPr>
                          <w:r w:rsidRPr="00F65B6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EE65AB" id="_x0000_t202" coordsize="21600,21600" o:spt="202" path="m,l,21600r21600,l21600,xe">
              <v:stroke joinstyle="miter"/>
              <v:path gradientshapeok="t" o:connecttype="rect"/>
            </v:shapetype>
            <v:shape id="Text Box 1" o:spid="_x0000_s1028"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" filled="f" stroked="f">
              <v:textbox style="mso-fit-shape-to-text:t" inset="0,15pt,0,0">
                <w:txbxContent>
                  <w:p w14:paraId="5A22580E" w14:textId="7298E60D" w:rsidR="00F65B6D" w:rsidRPr="00F65B6D" w:rsidRDefault="00F65B6D" w:rsidP="00F65B6D">
                    <w:pPr>
                      <w:spacing w:after="0"/>
                      <w:rPr>
                        <w:rFonts w:ascii="Calibri" w:eastAsia="Calibri" w:hAnsi="Calibri" w:cs="Calibri"/>
                        <w:noProof/>
                        <w:color w:val="FF0000"/>
                        <w:sz w:val="24"/>
                        <w:szCs w:val="24"/>
                      </w:rPr>
                    </w:pPr>
                    <w:r w:rsidRPr="00F65B6D">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314664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AE532A9"/>
    <w:multiLevelType w:val="hybridMultilevel"/>
    <w:tmpl w:val="16DE8FA2"/>
    <w:lvl w:ilvl="0" w:tplc="C80632DA">
      <w:start w:val="1"/>
      <w:numFmt w:val="decimal"/>
      <w:pStyle w:val="ESSubparaHeader"/>
      <w:lvlText w:val="%1"/>
      <w:lvlJc w:val="left"/>
      <w:pPr>
        <w:ind w:left="720" w:hanging="360"/>
      </w:pPr>
      <w:rPr>
        <w:rFonts w:hint="default"/>
        <w:b w:val="0"/>
        <w:i w:val="0"/>
      </w:rPr>
    </w:lvl>
    <w:lvl w:ilvl="1" w:tplc="ABC2DF26">
      <w:start w:val="1"/>
      <w:numFmt w:val="bullet"/>
      <w:pStyle w:val="ESSubparaLis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C8B22CF"/>
    <w:multiLevelType w:val="hybridMultilevel"/>
    <w:tmpl w:val="2DCEB73C"/>
    <w:lvl w:ilvl="0" w:tplc="2A36B062">
      <w:start w:val="2"/>
      <w:numFmt w:val="bullet"/>
      <w:pStyle w:val="ESAttLis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2"/>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removePersonalInformation/>
  <w:removeDateAndTime/>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5E2"/>
    <w:rsid w:val="00037096"/>
    <w:rsid w:val="00064BC7"/>
    <w:rsid w:val="00073858"/>
    <w:rsid w:val="000C7080"/>
    <w:rsid w:val="000D014F"/>
    <w:rsid w:val="000D3E1B"/>
    <w:rsid w:val="00100DFC"/>
    <w:rsid w:val="001173DE"/>
    <w:rsid w:val="00167822"/>
    <w:rsid w:val="00177DC9"/>
    <w:rsid w:val="0019164E"/>
    <w:rsid w:val="001B6943"/>
    <w:rsid w:val="00227F68"/>
    <w:rsid w:val="002402E0"/>
    <w:rsid w:val="002D167E"/>
    <w:rsid w:val="003240D3"/>
    <w:rsid w:val="00324215"/>
    <w:rsid w:val="00327440"/>
    <w:rsid w:val="00346133"/>
    <w:rsid w:val="003F6ADF"/>
    <w:rsid w:val="00457D4A"/>
    <w:rsid w:val="00464080"/>
    <w:rsid w:val="004767A1"/>
    <w:rsid w:val="004B38AD"/>
    <w:rsid w:val="004E45A1"/>
    <w:rsid w:val="004F498C"/>
    <w:rsid w:val="004F5CE4"/>
    <w:rsid w:val="0050338D"/>
    <w:rsid w:val="00560B24"/>
    <w:rsid w:val="0057002B"/>
    <w:rsid w:val="005A3733"/>
    <w:rsid w:val="00604E06"/>
    <w:rsid w:val="006133F4"/>
    <w:rsid w:val="006152AB"/>
    <w:rsid w:val="006309B1"/>
    <w:rsid w:val="006343A5"/>
    <w:rsid w:val="006A056C"/>
    <w:rsid w:val="006F266F"/>
    <w:rsid w:val="00712E0A"/>
    <w:rsid w:val="00715793"/>
    <w:rsid w:val="007E4691"/>
    <w:rsid w:val="007F2637"/>
    <w:rsid w:val="00875FC3"/>
    <w:rsid w:val="0088407D"/>
    <w:rsid w:val="008B24C8"/>
    <w:rsid w:val="008B4991"/>
    <w:rsid w:val="00915032"/>
    <w:rsid w:val="009235EE"/>
    <w:rsid w:val="00926243"/>
    <w:rsid w:val="0094270C"/>
    <w:rsid w:val="00992873"/>
    <w:rsid w:val="009C5AF6"/>
    <w:rsid w:val="00A36C37"/>
    <w:rsid w:val="00AA4557"/>
    <w:rsid w:val="00AA4F77"/>
    <w:rsid w:val="00B208DC"/>
    <w:rsid w:val="00B315E2"/>
    <w:rsid w:val="00B445D9"/>
    <w:rsid w:val="00B65A06"/>
    <w:rsid w:val="00B75478"/>
    <w:rsid w:val="00BB0CF2"/>
    <w:rsid w:val="00BC37E4"/>
    <w:rsid w:val="00BD598E"/>
    <w:rsid w:val="00BE3E7F"/>
    <w:rsid w:val="00C73B1A"/>
    <w:rsid w:val="00C81A5E"/>
    <w:rsid w:val="00C930F2"/>
    <w:rsid w:val="00CB38F2"/>
    <w:rsid w:val="00CF464C"/>
    <w:rsid w:val="00CF484C"/>
    <w:rsid w:val="00D33FCD"/>
    <w:rsid w:val="00D40E1E"/>
    <w:rsid w:val="00D8353A"/>
    <w:rsid w:val="00DB5A48"/>
    <w:rsid w:val="00DE6E87"/>
    <w:rsid w:val="00E03DCC"/>
    <w:rsid w:val="00E05697"/>
    <w:rsid w:val="00E069E1"/>
    <w:rsid w:val="00E45FE2"/>
    <w:rsid w:val="00E47B30"/>
    <w:rsid w:val="00EA12C9"/>
    <w:rsid w:val="00F33FDB"/>
    <w:rsid w:val="00F34A43"/>
    <w:rsid w:val="00F3765F"/>
    <w:rsid w:val="00F61F45"/>
    <w:rsid w:val="00F65B6D"/>
    <w:rsid w:val="00F76241"/>
    <w:rsid w:val="00F951B0"/>
    <w:rsid w:val="00FE0FEE"/>
    <w:rsid w:val="00FE5A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A49F3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7002B"/>
    <w:pPr>
      <w:ind w:left="720"/>
      <w:contextualSpacing/>
    </w:pPr>
  </w:style>
  <w:style w:type="paragraph" w:customStyle="1" w:styleId="ESParagraph">
    <w:name w:val="ES_Paragraph"/>
    <w:basedOn w:val="ListParagraph"/>
    <w:link w:val="ESParagraphChar"/>
    <w:rsid w:val="00100DFC"/>
    <w:pPr>
      <w:spacing w:before="240" w:after="240" w:line="276" w:lineRule="auto"/>
      <w:ind w:left="567" w:hanging="567"/>
      <w:contextualSpacing w:val="0"/>
    </w:pPr>
    <w:rPr>
      <w:rFonts w:ascii="Times New Roman" w:hAnsi="Times New Roman" w:cs="Times New Roman"/>
    </w:rPr>
  </w:style>
  <w:style w:type="paragraph" w:customStyle="1" w:styleId="ESHeading">
    <w:name w:val="ES_Heading"/>
    <w:basedOn w:val="ListParagraph"/>
    <w:link w:val="ESHeadingChar"/>
    <w:qFormat/>
    <w:rsid w:val="00100DFC"/>
    <w:pPr>
      <w:keepNext/>
      <w:spacing w:before="240" w:after="240" w:line="276" w:lineRule="auto"/>
      <w:ind w:left="0"/>
      <w:contextualSpacing w:val="0"/>
    </w:pPr>
    <w:rPr>
      <w:rFonts w:ascii="Times New Roman" w:hAnsi="Times New Roman" w:cs="Times New Roman"/>
      <w:b/>
      <w:i/>
    </w:rPr>
  </w:style>
  <w:style w:type="character" w:customStyle="1" w:styleId="ListParagraphChar">
    <w:name w:val="List Paragraph Char"/>
    <w:basedOn w:val="DefaultParagraphFont"/>
    <w:link w:val="ListParagraph"/>
    <w:uiPriority w:val="34"/>
    <w:rsid w:val="00100DFC"/>
  </w:style>
  <w:style w:type="character" w:customStyle="1" w:styleId="ESParagraphChar">
    <w:name w:val="ES_Paragraph Char"/>
    <w:basedOn w:val="ListParagraphChar"/>
    <w:link w:val="ESParagraph"/>
    <w:rsid w:val="00100DFC"/>
    <w:rPr>
      <w:rFonts w:ascii="Times New Roman" w:hAnsi="Times New Roman" w:cs="Times New Roman"/>
    </w:rPr>
  </w:style>
  <w:style w:type="paragraph" w:customStyle="1" w:styleId="ESAttAttName">
    <w:name w:val="ESAtt_AttName"/>
    <w:basedOn w:val="Normal"/>
    <w:link w:val="ESAttAttNameChar"/>
    <w:qFormat/>
    <w:rsid w:val="00100DFC"/>
    <w:pPr>
      <w:spacing w:before="240" w:after="240" w:line="276" w:lineRule="auto"/>
      <w:jc w:val="right"/>
    </w:pPr>
    <w:rPr>
      <w:rFonts w:ascii="Times New Roman" w:hAnsi="Times New Roman" w:cs="Times New Roman"/>
      <w:b/>
      <w:u w:val="single"/>
    </w:rPr>
  </w:style>
  <w:style w:type="character" w:customStyle="1" w:styleId="ESHeadingChar">
    <w:name w:val="ES_Heading Char"/>
    <w:basedOn w:val="ListParagraphChar"/>
    <w:link w:val="ESHeading"/>
    <w:rsid w:val="00100DFC"/>
    <w:rPr>
      <w:rFonts w:ascii="Times New Roman" w:hAnsi="Times New Roman" w:cs="Times New Roman"/>
      <w:b/>
      <w:i/>
    </w:rPr>
  </w:style>
  <w:style w:type="paragraph" w:customStyle="1" w:styleId="ESAttHeading">
    <w:name w:val="ESAtt_Heading"/>
    <w:basedOn w:val="Normal"/>
    <w:link w:val="ESAttHeadingChar"/>
    <w:qFormat/>
    <w:rsid w:val="00100DFC"/>
    <w:pPr>
      <w:keepNext/>
      <w:spacing w:before="240" w:after="240" w:line="276" w:lineRule="auto"/>
    </w:pPr>
    <w:rPr>
      <w:rFonts w:ascii="Times New Roman" w:hAnsi="Times New Roman" w:cs="Times New Roman"/>
      <w:b/>
    </w:rPr>
  </w:style>
  <w:style w:type="character" w:customStyle="1" w:styleId="ESAttAttNameChar">
    <w:name w:val="ESAtt_AttName Char"/>
    <w:basedOn w:val="DefaultParagraphFont"/>
    <w:link w:val="ESAttAttName"/>
    <w:rsid w:val="00100DFC"/>
    <w:rPr>
      <w:rFonts w:ascii="Times New Roman" w:hAnsi="Times New Roman" w:cs="Times New Roman"/>
      <w:b/>
      <w:u w:val="single"/>
    </w:rPr>
  </w:style>
  <w:style w:type="paragraph" w:customStyle="1" w:styleId="ESAttNormal">
    <w:name w:val="ESAtt_Normal"/>
    <w:basedOn w:val="Normal"/>
    <w:link w:val="ESAttNormalChar"/>
    <w:qFormat/>
    <w:rsid w:val="00100DFC"/>
    <w:pPr>
      <w:spacing w:before="240" w:after="240" w:line="276" w:lineRule="auto"/>
    </w:pPr>
    <w:rPr>
      <w:rFonts w:ascii="Times New Roman" w:hAnsi="Times New Roman" w:cs="Times New Roman"/>
    </w:rPr>
  </w:style>
  <w:style w:type="character" w:customStyle="1" w:styleId="ESAttHeadingChar">
    <w:name w:val="ESAtt_Heading Char"/>
    <w:basedOn w:val="DefaultParagraphFont"/>
    <w:link w:val="ESAttHeading"/>
    <w:rsid w:val="00100DFC"/>
    <w:rPr>
      <w:rFonts w:ascii="Times New Roman" w:hAnsi="Times New Roman" w:cs="Times New Roman"/>
      <w:b/>
    </w:rPr>
  </w:style>
  <w:style w:type="paragraph" w:customStyle="1" w:styleId="ESAttListHeader">
    <w:name w:val="ESAtt_ListHeader"/>
    <w:basedOn w:val="Normal"/>
    <w:link w:val="ESAttListHeaderChar"/>
    <w:qFormat/>
    <w:rsid w:val="00100DFC"/>
    <w:pPr>
      <w:keepNext/>
      <w:spacing w:before="240" w:after="240" w:line="276" w:lineRule="auto"/>
    </w:pPr>
    <w:rPr>
      <w:rFonts w:ascii="Times New Roman" w:hAnsi="Times New Roman" w:cs="Times New Roman"/>
    </w:rPr>
  </w:style>
  <w:style w:type="character" w:customStyle="1" w:styleId="ESAttNormalChar">
    <w:name w:val="ESAtt_Normal Char"/>
    <w:basedOn w:val="DefaultParagraphFont"/>
    <w:link w:val="ESAttNormal"/>
    <w:rsid w:val="00100DFC"/>
    <w:rPr>
      <w:rFonts w:ascii="Times New Roman" w:hAnsi="Times New Roman" w:cs="Times New Roman"/>
    </w:rPr>
  </w:style>
  <w:style w:type="paragraph" w:customStyle="1" w:styleId="ESAttList">
    <w:name w:val="ESAtt_List"/>
    <w:basedOn w:val="ListParagraph"/>
    <w:link w:val="ESAttListChar"/>
    <w:qFormat/>
    <w:rsid w:val="00100DFC"/>
    <w:pPr>
      <w:numPr>
        <w:numId w:val="2"/>
      </w:numPr>
      <w:spacing w:before="240" w:after="240" w:line="276" w:lineRule="auto"/>
      <w:contextualSpacing w:val="0"/>
    </w:pPr>
    <w:rPr>
      <w:rFonts w:ascii="Times New Roman" w:hAnsi="Times New Roman" w:cs="Times New Roman"/>
    </w:rPr>
  </w:style>
  <w:style w:type="character" w:customStyle="1" w:styleId="ESAttListHeaderChar">
    <w:name w:val="ESAtt_ListHeader Char"/>
    <w:basedOn w:val="DefaultParagraphFont"/>
    <w:link w:val="ESAttListHeader"/>
    <w:rsid w:val="00100DFC"/>
    <w:rPr>
      <w:rFonts w:ascii="Times New Roman" w:hAnsi="Times New Roman" w:cs="Times New Roman"/>
    </w:rPr>
  </w:style>
  <w:style w:type="paragraph" w:customStyle="1" w:styleId="ESSubHeading">
    <w:name w:val="ES_SubHeading"/>
    <w:basedOn w:val="ESHeading"/>
    <w:link w:val="ESSubHeadingChar"/>
    <w:qFormat/>
    <w:rsid w:val="00BB0CF2"/>
    <w:rPr>
      <w:b w:val="0"/>
    </w:rPr>
  </w:style>
  <w:style w:type="character" w:customStyle="1" w:styleId="ESAttListChar">
    <w:name w:val="ESAtt_List Char"/>
    <w:basedOn w:val="ListParagraphChar"/>
    <w:link w:val="ESAttList"/>
    <w:rsid w:val="00100DFC"/>
    <w:rPr>
      <w:rFonts w:ascii="Times New Roman" w:hAnsi="Times New Roman" w:cs="Times New Roman"/>
    </w:rPr>
  </w:style>
  <w:style w:type="paragraph" w:customStyle="1" w:styleId="ESTitleInstrumentName">
    <w:name w:val="ESTitle_InstrumentName"/>
    <w:basedOn w:val="Normal"/>
    <w:link w:val="ESTitleInstrumentNameChar"/>
    <w:qFormat/>
    <w:rsid w:val="00BB0CF2"/>
    <w:pPr>
      <w:spacing w:before="360" w:after="600" w:line="276" w:lineRule="auto"/>
      <w:jc w:val="center"/>
    </w:pPr>
    <w:rPr>
      <w:rFonts w:ascii="Times New Roman" w:hAnsi="Times New Roman" w:cs="Times New Roman"/>
      <w:b/>
      <w:i/>
    </w:rPr>
  </w:style>
  <w:style w:type="character" w:customStyle="1" w:styleId="ESSubHeadingChar">
    <w:name w:val="ES_SubHeading Char"/>
    <w:basedOn w:val="ESHeadingChar"/>
    <w:link w:val="ESSubHeading"/>
    <w:rsid w:val="00BB0CF2"/>
    <w:rPr>
      <w:rFonts w:ascii="Times New Roman" w:hAnsi="Times New Roman" w:cs="Times New Roman"/>
      <w:b w:val="0"/>
      <w:i/>
    </w:rPr>
  </w:style>
  <w:style w:type="paragraph" w:customStyle="1" w:styleId="ESTitleEnablingLegislation">
    <w:name w:val="ESTitle_EnablingLegislation"/>
    <w:basedOn w:val="Normal"/>
    <w:link w:val="ESTitleEnablingLegislationChar"/>
    <w:qFormat/>
    <w:rsid w:val="00BB0CF2"/>
    <w:pPr>
      <w:spacing w:line="276" w:lineRule="auto"/>
      <w:jc w:val="center"/>
    </w:pPr>
    <w:rPr>
      <w:rFonts w:ascii="Times New Roman" w:hAnsi="Times New Roman" w:cs="Times New Roman"/>
      <w:i/>
    </w:rPr>
  </w:style>
  <w:style w:type="character" w:customStyle="1" w:styleId="ESTitleInstrumentNameChar">
    <w:name w:val="ESTitle_InstrumentName Char"/>
    <w:basedOn w:val="DefaultParagraphFont"/>
    <w:link w:val="ESTitleInstrumentName"/>
    <w:rsid w:val="00BB0CF2"/>
    <w:rPr>
      <w:rFonts w:ascii="Times New Roman" w:hAnsi="Times New Roman" w:cs="Times New Roman"/>
      <w:b/>
      <w:i/>
    </w:rPr>
  </w:style>
  <w:style w:type="paragraph" w:customStyle="1" w:styleId="ESTitleDecisionMaker">
    <w:name w:val="ESTitle_DecisionMaker"/>
    <w:basedOn w:val="Normal"/>
    <w:link w:val="ESTitleDecisionMakerChar"/>
    <w:qFormat/>
    <w:rsid w:val="00BB0CF2"/>
    <w:pPr>
      <w:spacing w:line="276" w:lineRule="auto"/>
      <w:jc w:val="center"/>
    </w:pPr>
    <w:rPr>
      <w:rFonts w:ascii="Times New Roman" w:hAnsi="Times New Roman" w:cs="Times New Roman"/>
    </w:rPr>
  </w:style>
  <w:style w:type="character" w:customStyle="1" w:styleId="ESTitleEnablingLegislationChar">
    <w:name w:val="ESTitle_EnablingLegislation Char"/>
    <w:basedOn w:val="DefaultParagraphFont"/>
    <w:link w:val="ESTitleEnablingLegislation"/>
    <w:rsid w:val="00BB0CF2"/>
    <w:rPr>
      <w:rFonts w:ascii="Times New Roman" w:hAnsi="Times New Roman" w:cs="Times New Roman"/>
      <w:i/>
    </w:rPr>
  </w:style>
  <w:style w:type="paragraph" w:customStyle="1" w:styleId="ESTitleHeader">
    <w:name w:val="ESTitle_Header"/>
    <w:basedOn w:val="Normal"/>
    <w:link w:val="ESTitleHeaderChar"/>
    <w:qFormat/>
    <w:rsid w:val="00BB0CF2"/>
    <w:pPr>
      <w:spacing w:line="276" w:lineRule="auto"/>
      <w:jc w:val="center"/>
    </w:pPr>
    <w:rPr>
      <w:rFonts w:ascii="Times New Roman" w:hAnsi="Times New Roman" w:cs="Times New Roman"/>
      <w:u w:val="single"/>
    </w:rPr>
  </w:style>
  <w:style w:type="character" w:customStyle="1" w:styleId="ESTitleDecisionMakerChar">
    <w:name w:val="ESTitle_DecisionMaker Char"/>
    <w:basedOn w:val="DefaultParagraphFont"/>
    <w:link w:val="ESTitleDecisionMaker"/>
    <w:rsid w:val="00BB0CF2"/>
    <w:rPr>
      <w:rFonts w:ascii="Times New Roman" w:hAnsi="Times New Roman" w:cs="Times New Roman"/>
    </w:rPr>
  </w:style>
  <w:style w:type="paragraph" w:customStyle="1" w:styleId="ESSubparaHeader">
    <w:name w:val="ES_SubparaHeader"/>
    <w:basedOn w:val="ListParagraph"/>
    <w:next w:val="ESSubparaList"/>
    <w:link w:val="ESSubparaHeaderChar"/>
    <w:qFormat/>
    <w:rsid w:val="00BB0CF2"/>
    <w:pPr>
      <w:keepNext/>
      <w:numPr>
        <w:numId w:val="1"/>
      </w:numPr>
      <w:spacing w:before="240" w:after="240" w:line="276" w:lineRule="auto"/>
      <w:ind w:left="567" w:hanging="567"/>
      <w:contextualSpacing w:val="0"/>
    </w:pPr>
    <w:rPr>
      <w:rFonts w:ascii="Times New Roman" w:hAnsi="Times New Roman" w:cs="Times New Roman"/>
    </w:rPr>
  </w:style>
  <w:style w:type="character" w:customStyle="1" w:styleId="ESTitleHeaderChar">
    <w:name w:val="ESTitle_Header Char"/>
    <w:basedOn w:val="DefaultParagraphFont"/>
    <w:link w:val="ESTitleHeader"/>
    <w:rsid w:val="00BB0CF2"/>
    <w:rPr>
      <w:rFonts w:ascii="Times New Roman" w:hAnsi="Times New Roman" w:cs="Times New Roman"/>
      <w:u w:val="single"/>
    </w:rPr>
  </w:style>
  <w:style w:type="paragraph" w:customStyle="1" w:styleId="ESSubparaList">
    <w:name w:val="ES_SubparaList"/>
    <w:basedOn w:val="ListParagraph"/>
    <w:link w:val="ESSubparaListChar"/>
    <w:qFormat/>
    <w:rsid w:val="00BB0CF2"/>
    <w:pPr>
      <w:numPr>
        <w:ilvl w:val="1"/>
        <w:numId w:val="1"/>
      </w:numPr>
      <w:spacing w:before="240" w:after="240" w:line="276" w:lineRule="auto"/>
      <w:ind w:left="1276" w:hanging="425"/>
      <w:contextualSpacing w:val="0"/>
    </w:pPr>
    <w:rPr>
      <w:rFonts w:ascii="Times New Roman" w:hAnsi="Times New Roman" w:cs="Times New Roman"/>
    </w:rPr>
  </w:style>
  <w:style w:type="character" w:customStyle="1" w:styleId="ESSubparaHeaderChar">
    <w:name w:val="ES_SubparaHeader Char"/>
    <w:basedOn w:val="ListParagraphChar"/>
    <w:link w:val="ESSubparaHeader"/>
    <w:rsid w:val="00BB0CF2"/>
    <w:rPr>
      <w:rFonts w:ascii="Times New Roman" w:hAnsi="Times New Roman" w:cs="Times New Roman"/>
    </w:rPr>
  </w:style>
  <w:style w:type="character" w:customStyle="1" w:styleId="ESSubparaListChar">
    <w:name w:val="ES_SubparaList Char"/>
    <w:basedOn w:val="ListParagraphChar"/>
    <w:link w:val="ESSubparaList"/>
    <w:rsid w:val="00BB0CF2"/>
    <w:rPr>
      <w:rFonts w:ascii="Times New Roman" w:hAnsi="Times New Roman" w:cs="Times New Roman"/>
    </w:rPr>
  </w:style>
  <w:style w:type="paragraph" w:customStyle="1" w:styleId="ESPara">
    <w:name w:val="ES_Para"/>
    <w:basedOn w:val="ESSubparaHeader"/>
    <w:link w:val="ESParaChar"/>
    <w:qFormat/>
    <w:rsid w:val="002D167E"/>
    <w:pPr>
      <w:keepNext w:val="0"/>
    </w:pPr>
  </w:style>
  <w:style w:type="character" w:customStyle="1" w:styleId="ESParaChar">
    <w:name w:val="ES_Para Char"/>
    <w:basedOn w:val="ESSubparaHeaderChar"/>
    <w:link w:val="ESPara"/>
    <w:rsid w:val="002D167E"/>
    <w:rPr>
      <w:rFonts w:ascii="Times New Roman" w:hAnsi="Times New Roman" w:cs="Times New Roman"/>
    </w:rPr>
  </w:style>
  <w:style w:type="character" w:styleId="CommentReference">
    <w:name w:val="annotation reference"/>
    <w:basedOn w:val="DefaultParagraphFont"/>
    <w:uiPriority w:val="99"/>
    <w:semiHidden/>
    <w:unhideWhenUsed/>
    <w:rsid w:val="004F498C"/>
    <w:rPr>
      <w:sz w:val="16"/>
      <w:szCs w:val="16"/>
    </w:rPr>
  </w:style>
  <w:style w:type="paragraph" w:styleId="CommentText">
    <w:name w:val="annotation text"/>
    <w:basedOn w:val="Normal"/>
    <w:link w:val="CommentTextChar"/>
    <w:uiPriority w:val="99"/>
    <w:unhideWhenUsed/>
    <w:rsid w:val="004F498C"/>
    <w:pPr>
      <w:spacing w:line="240" w:lineRule="auto"/>
    </w:pPr>
    <w:rPr>
      <w:sz w:val="20"/>
      <w:szCs w:val="20"/>
    </w:rPr>
  </w:style>
  <w:style w:type="character" w:customStyle="1" w:styleId="CommentTextChar">
    <w:name w:val="Comment Text Char"/>
    <w:basedOn w:val="DefaultParagraphFont"/>
    <w:link w:val="CommentText"/>
    <w:uiPriority w:val="99"/>
    <w:rsid w:val="004F498C"/>
    <w:rPr>
      <w:sz w:val="20"/>
      <w:szCs w:val="20"/>
    </w:rPr>
  </w:style>
  <w:style w:type="paragraph" w:styleId="CommentSubject">
    <w:name w:val="annotation subject"/>
    <w:basedOn w:val="CommentText"/>
    <w:next w:val="CommentText"/>
    <w:link w:val="CommentSubjectChar"/>
    <w:uiPriority w:val="99"/>
    <w:semiHidden/>
    <w:unhideWhenUsed/>
    <w:rsid w:val="004F498C"/>
    <w:rPr>
      <w:b/>
      <w:bCs/>
    </w:rPr>
  </w:style>
  <w:style w:type="character" w:customStyle="1" w:styleId="CommentSubjectChar">
    <w:name w:val="Comment Subject Char"/>
    <w:basedOn w:val="CommentTextChar"/>
    <w:link w:val="CommentSubject"/>
    <w:uiPriority w:val="99"/>
    <w:semiHidden/>
    <w:rsid w:val="004F498C"/>
    <w:rPr>
      <w:b/>
      <w:bCs/>
      <w:sz w:val="20"/>
      <w:szCs w:val="20"/>
    </w:rPr>
  </w:style>
  <w:style w:type="paragraph" w:styleId="BalloonText">
    <w:name w:val="Balloon Text"/>
    <w:basedOn w:val="Normal"/>
    <w:link w:val="BalloonTextChar"/>
    <w:uiPriority w:val="99"/>
    <w:semiHidden/>
    <w:unhideWhenUsed/>
    <w:rsid w:val="004F49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98C"/>
    <w:rPr>
      <w:rFonts w:ascii="Segoe UI" w:hAnsi="Segoe UI" w:cs="Segoe UI"/>
      <w:sz w:val="18"/>
      <w:szCs w:val="18"/>
    </w:rPr>
  </w:style>
  <w:style w:type="paragraph" w:styleId="Revision">
    <w:name w:val="Revision"/>
    <w:hidden/>
    <w:uiPriority w:val="99"/>
    <w:semiHidden/>
    <w:rsid w:val="0050338D"/>
    <w:pPr>
      <w:spacing w:after="0" w:line="240" w:lineRule="auto"/>
    </w:pPr>
  </w:style>
  <w:style w:type="paragraph" w:styleId="ListBullet">
    <w:name w:val="List Bullet"/>
    <w:basedOn w:val="Normal"/>
    <w:uiPriority w:val="99"/>
    <w:unhideWhenUsed/>
    <w:rsid w:val="00B208DC"/>
    <w:pPr>
      <w:numPr>
        <w:numId w:val="5"/>
      </w:numPr>
      <w:contextualSpacing/>
    </w:pPr>
  </w:style>
  <w:style w:type="paragraph" w:styleId="Header">
    <w:name w:val="header"/>
    <w:basedOn w:val="Normal"/>
    <w:link w:val="HeaderChar"/>
    <w:uiPriority w:val="99"/>
    <w:unhideWhenUsed/>
    <w:rsid w:val="00F65B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5B6D"/>
  </w:style>
  <w:style w:type="paragraph" w:styleId="Footer">
    <w:name w:val="footer"/>
    <w:basedOn w:val="Normal"/>
    <w:link w:val="FooterChar"/>
    <w:uiPriority w:val="99"/>
    <w:unhideWhenUsed/>
    <w:rsid w:val="00F65B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5B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40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1264</Words>
  <Characters>7210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2024-12-20T05:11:00Z</dcterms:created>
  <dcterms:modified xsi:type="dcterms:W3CDTF">2024-12-23T04:44:00Z</dcterms:modified>
</cp:coreProperties>
</file>