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A3ACD" w14:textId="77777777" w:rsidR="00FF6E25" w:rsidRPr="006156C6" w:rsidRDefault="00FF6E25" w:rsidP="000C310A">
      <w:pPr>
        <w:pStyle w:val="Title"/>
      </w:pPr>
      <w:r w:rsidRPr="006156C6">
        <w:t>EXPLANATORY STATEMENT</w:t>
      </w:r>
    </w:p>
    <w:p w14:paraId="145EC655" w14:textId="783D17B5"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w:t>
      </w:r>
      <w:r w:rsidRPr="006156C6">
        <w:rPr>
          <w:rStyle w:val="IntenseEmphasis"/>
          <w:color w:val="auto"/>
        </w:rPr>
        <w:t xml:space="preserve">authority of </w:t>
      </w:r>
      <w:r w:rsidR="006156C6" w:rsidRPr="006156C6">
        <w:rPr>
          <w:rStyle w:val="IntenseEmphasis"/>
          <w:color w:val="auto"/>
        </w:rPr>
        <w:t>the Minister for Education</w:t>
      </w:r>
    </w:p>
    <w:p w14:paraId="12EB6806" w14:textId="1D7432D8" w:rsidR="00455C2A" w:rsidRPr="006156C6" w:rsidRDefault="006156C6" w:rsidP="000C310A">
      <w:pPr>
        <w:pStyle w:val="Subtitle"/>
      </w:pPr>
      <w:r w:rsidRPr="006156C6">
        <w:t>Higher Education Support Act 2003</w:t>
      </w:r>
    </w:p>
    <w:p w14:paraId="6C026A0C" w14:textId="1632D3C0" w:rsidR="00503218" w:rsidRPr="0088497A" w:rsidRDefault="00FE2D77" w:rsidP="000C310A">
      <w:pPr>
        <w:pStyle w:val="Subtitle"/>
      </w:pPr>
      <w:r>
        <w:t>Commonwealth Grant Scheme Amendment (National Priorities) Guidelines 2024</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0F1B72FF" w:rsidR="00DB6247" w:rsidRPr="006156C6" w:rsidRDefault="006156C6" w:rsidP="000C310A">
      <w:pPr>
        <w:spacing w:before="120" w:after="120"/>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w:t>
      </w:r>
      <w:r w:rsidR="00FE2D77">
        <w:rPr>
          <w:rFonts w:asciiTheme="minorHAnsi" w:hAnsiTheme="minorHAnsi" w:cstheme="minorHAnsi"/>
          <w:szCs w:val="24"/>
        </w:rPr>
        <w:t>Commonwealth Grant Scheme</w:t>
      </w:r>
      <w:r>
        <w:rPr>
          <w:rFonts w:asciiTheme="minorHAnsi" w:hAnsiTheme="minorHAnsi" w:cstheme="minorHAnsi"/>
          <w:szCs w:val="24"/>
        </w:rPr>
        <w:t xml:space="preserve"> Guidelines to, amongst other things, provide for matters necessary or convenient to be provided </w:t>
      </w:r>
      <w:proofErr w:type="gramStart"/>
      <w:r>
        <w:rPr>
          <w:rFonts w:asciiTheme="minorHAnsi" w:hAnsiTheme="minorHAnsi" w:cstheme="minorHAnsi"/>
          <w:szCs w:val="24"/>
        </w:rPr>
        <w:t>in order to</w:t>
      </w:r>
      <w:proofErr w:type="gramEnd"/>
      <w:r>
        <w:rPr>
          <w:rFonts w:asciiTheme="minorHAnsi" w:hAnsiTheme="minorHAnsi" w:cstheme="minorHAnsi"/>
          <w:szCs w:val="24"/>
        </w:rPr>
        <w:t xml:space="preserve"> carry out, or give effect to, </w:t>
      </w:r>
      <w:r w:rsidR="00FE2D77">
        <w:rPr>
          <w:rFonts w:asciiTheme="minorHAnsi" w:hAnsiTheme="minorHAnsi" w:cstheme="minorHAnsi"/>
          <w:szCs w:val="24"/>
        </w:rPr>
        <w:t>the matters set out in Part 2-2 of the Act</w:t>
      </w:r>
      <w:r>
        <w:rPr>
          <w:rFonts w:asciiTheme="minorHAnsi" w:hAnsiTheme="minorHAnsi" w:cstheme="minorHAnsi"/>
          <w:szCs w:val="24"/>
        </w:rPr>
        <w:t xml:space="preserve">. </w:t>
      </w:r>
    </w:p>
    <w:p w14:paraId="4F7BADF6" w14:textId="1FAE8DB1" w:rsidR="00DB6247" w:rsidRPr="002B7CC4" w:rsidRDefault="00DB6247" w:rsidP="006156C6">
      <w:pPr>
        <w:spacing w:before="120" w:after="120"/>
        <w:rPr>
          <w:rFonts w:asciiTheme="minorHAnsi" w:hAnsiTheme="minorHAnsi" w:cstheme="minorHAnsi"/>
          <w:szCs w:val="24"/>
        </w:rPr>
      </w:pPr>
      <w:r w:rsidRPr="006156C6">
        <w:rPr>
          <w:rFonts w:asciiTheme="minorHAnsi" w:hAnsiTheme="minorHAnsi" w:cstheme="minorHAnsi"/>
          <w:szCs w:val="24"/>
        </w:rPr>
        <w:t>Under subsection 33(3) of the </w:t>
      </w:r>
      <w:r w:rsidRPr="006156C6">
        <w:rPr>
          <w:rFonts w:asciiTheme="minorHAnsi" w:hAnsiTheme="minorHAnsi" w:cstheme="minorHAnsi"/>
          <w:i/>
          <w:iCs/>
          <w:szCs w:val="24"/>
        </w:rPr>
        <w:t>Acts Interpretation Act 1901</w:t>
      </w:r>
      <w:r w:rsidRPr="006156C6">
        <w:rPr>
          <w:rFonts w:asciiTheme="minorHAnsi" w:hAnsiTheme="minorHAnsi" w:cstheme="minorHAnsi"/>
          <w:szCs w:val="24"/>
        </w:rPr>
        <w:t>, where an Act confers a power to make, grant or issue any instrument of a legislative or administrative character (including rules, regulations or by</w:t>
      </w:r>
      <w:r w:rsidRPr="006156C6">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6156C6">
        <w:rPr>
          <w:rFonts w:asciiTheme="minorHAnsi" w:hAnsiTheme="minorHAnsi" w:cstheme="minorHAnsi"/>
          <w:szCs w:val="24"/>
        </w:rPr>
        <w:t xml:space="preserve"> The amendment to the </w:t>
      </w:r>
      <w:r w:rsidR="00FE2D77">
        <w:rPr>
          <w:rFonts w:asciiTheme="minorHAnsi" w:hAnsiTheme="minorHAnsi" w:cstheme="minorHAnsi"/>
          <w:i/>
          <w:iCs/>
          <w:szCs w:val="24"/>
        </w:rPr>
        <w:t>Commonwealth Grant Scheme Guidelines 2020</w:t>
      </w:r>
      <w:r w:rsidR="006156C6">
        <w:rPr>
          <w:rFonts w:asciiTheme="minorHAnsi" w:hAnsiTheme="minorHAnsi" w:cstheme="minorHAnsi"/>
          <w:i/>
          <w:iCs/>
          <w:szCs w:val="24"/>
        </w:rPr>
        <w:t xml:space="preserve"> </w:t>
      </w:r>
      <w:r w:rsidR="006156C6">
        <w:rPr>
          <w:rFonts w:asciiTheme="minorHAnsi" w:hAnsiTheme="minorHAnsi" w:cstheme="minorHAnsi"/>
          <w:szCs w:val="24"/>
        </w:rPr>
        <w:t>(the Principal Instrument) made by the</w:t>
      </w:r>
      <w:r w:rsidR="002B7CC4">
        <w:rPr>
          <w:rFonts w:asciiTheme="minorHAnsi" w:hAnsiTheme="minorHAnsi" w:cstheme="minorHAnsi"/>
          <w:szCs w:val="24"/>
        </w:rPr>
        <w:t xml:space="preserve"> </w:t>
      </w:r>
      <w:r w:rsidR="00FE2D77">
        <w:rPr>
          <w:rFonts w:asciiTheme="minorHAnsi" w:hAnsiTheme="minorHAnsi" w:cstheme="minorHAnsi"/>
          <w:i/>
          <w:iCs/>
          <w:szCs w:val="24"/>
        </w:rPr>
        <w:t>Commonwealth Grant Scheme Amendment (National Priorities) Guidelines 2024</w:t>
      </w:r>
      <w:r w:rsidR="002B7CC4">
        <w:rPr>
          <w:rFonts w:asciiTheme="minorHAnsi" w:hAnsiTheme="minorHAnsi" w:cstheme="minorHAnsi"/>
          <w:i/>
          <w:iCs/>
          <w:szCs w:val="24"/>
        </w:rPr>
        <w:t xml:space="preserve"> </w:t>
      </w:r>
      <w:r w:rsidR="002B7CC4">
        <w:rPr>
          <w:rFonts w:asciiTheme="minorHAnsi" w:hAnsiTheme="minorHAnsi" w:cstheme="minorHAnsi"/>
          <w:szCs w:val="24"/>
        </w:rPr>
        <w:t xml:space="preserve">(the Amendment Instrument) </w:t>
      </w:r>
      <w:proofErr w:type="gramStart"/>
      <w:r w:rsidR="002B7CC4">
        <w:rPr>
          <w:rFonts w:asciiTheme="minorHAnsi" w:hAnsiTheme="minorHAnsi" w:cstheme="minorHAnsi"/>
          <w:szCs w:val="24"/>
        </w:rPr>
        <w:t>rely</w:t>
      </w:r>
      <w:proofErr w:type="gramEnd"/>
      <w:r w:rsidR="002B7CC4">
        <w:rPr>
          <w:rFonts w:asciiTheme="minorHAnsi" w:hAnsiTheme="minorHAnsi" w:cstheme="minorHAnsi"/>
          <w:szCs w:val="24"/>
        </w:rPr>
        <w:t xml:space="preserve"> on this provision. </w:t>
      </w:r>
    </w:p>
    <w:bookmarkEnd w:id="0"/>
    <w:bookmarkEnd w:id="1"/>
    <w:p w14:paraId="56CDA376" w14:textId="77777777" w:rsidR="00DA552F" w:rsidRPr="008134D5" w:rsidRDefault="00144950" w:rsidP="000C310A">
      <w:pPr>
        <w:pStyle w:val="Heading1"/>
      </w:pPr>
      <w:r>
        <w:t>PURPOSE AND OPERATION</w:t>
      </w:r>
    </w:p>
    <w:p w14:paraId="77BDACBC" w14:textId="43EB34BA" w:rsidR="0084584D" w:rsidRPr="00FB45EF" w:rsidRDefault="002B7CC4" w:rsidP="00DA552F">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w:t>
      </w:r>
      <w:r w:rsidR="00DE16DD">
        <w:rPr>
          <w:rFonts w:asciiTheme="minorHAnsi" w:hAnsiTheme="minorHAnsi" w:cstheme="minorHAnsi"/>
          <w:iCs/>
          <w:szCs w:val="24"/>
        </w:rPr>
        <w:t xml:space="preserve">amends </w:t>
      </w:r>
      <w:r>
        <w:rPr>
          <w:rFonts w:asciiTheme="minorHAnsi" w:hAnsiTheme="minorHAnsi" w:cstheme="minorHAnsi"/>
          <w:iCs/>
          <w:szCs w:val="24"/>
        </w:rPr>
        <w:t xml:space="preserve">the Principal Instrument </w:t>
      </w:r>
      <w:r w:rsidR="008D6F46">
        <w:rPr>
          <w:rFonts w:asciiTheme="minorHAnsi" w:hAnsiTheme="minorHAnsi" w:cstheme="minorHAnsi"/>
          <w:iCs/>
          <w:szCs w:val="24"/>
        </w:rPr>
        <w:t>t</w:t>
      </w:r>
      <w:r w:rsidR="00FE2D77">
        <w:rPr>
          <w:rFonts w:asciiTheme="minorHAnsi" w:hAnsiTheme="minorHAnsi" w:cstheme="minorHAnsi"/>
          <w:iCs/>
          <w:szCs w:val="24"/>
        </w:rPr>
        <w:t>o, for the purposes of paragraph 30-20(b) of the Act, update the national priorities specified in the Principal Instrument.</w:t>
      </w:r>
      <w:r w:rsidR="008D6F46" w:rsidRPr="00FB45EF">
        <w:rPr>
          <w:rFonts w:asciiTheme="minorHAnsi" w:hAnsiTheme="minorHAnsi" w:cstheme="minorHAnsi"/>
          <w:iCs/>
          <w:szCs w:val="24"/>
        </w:rPr>
        <w:t xml:space="preserve"> </w:t>
      </w:r>
    </w:p>
    <w:p w14:paraId="4F8DB3A8" w14:textId="2C969765" w:rsidR="005C3DA5" w:rsidRDefault="00FE2D77" w:rsidP="00C82F0C">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Principal Instrument to provide that it is a national priority to increase the number of persons from under-represented backgrounds undertaking courses of study in Education, Nursing, Engineering, Computing, Commerce and Society and Culture for courses commencing in 2023, 2024 and 2025 (instead of just courses commencing in 2023 and 2024). </w:t>
      </w:r>
    </w:p>
    <w:p w14:paraId="27193149" w14:textId="70A69658" w:rsidR="00255FCF" w:rsidRPr="00C82F0C" w:rsidRDefault="00203620" w:rsidP="00C82F0C">
      <w:pPr>
        <w:spacing w:before="120" w:after="120"/>
        <w:rPr>
          <w:rFonts w:asciiTheme="minorHAnsi" w:hAnsiTheme="minorHAnsi" w:cstheme="minorHAnsi"/>
          <w:iCs/>
          <w:szCs w:val="24"/>
        </w:rPr>
      </w:pPr>
      <w:r>
        <w:rPr>
          <w:rFonts w:asciiTheme="minorHAnsi" w:hAnsiTheme="minorHAnsi" w:cstheme="minorHAnsi"/>
          <w:iCs/>
          <w:szCs w:val="24"/>
        </w:rPr>
        <w:t>Th</w:t>
      </w:r>
      <w:r w:rsidR="00D46B28">
        <w:rPr>
          <w:rFonts w:asciiTheme="minorHAnsi" w:hAnsiTheme="minorHAnsi" w:cstheme="minorHAnsi"/>
          <w:iCs/>
          <w:szCs w:val="24"/>
        </w:rPr>
        <w:t>is</w:t>
      </w:r>
      <w:r>
        <w:rPr>
          <w:rFonts w:asciiTheme="minorHAnsi" w:hAnsiTheme="minorHAnsi" w:cstheme="minorHAnsi"/>
          <w:iCs/>
          <w:szCs w:val="24"/>
        </w:rPr>
        <w:t xml:space="preserve"> amendment </w:t>
      </w:r>
      <w:r w:rsidR="006E7D6B" w:rsidRPr="006E7D6B">
        <w:rPr>
          <w:rFonts w:asciiTheme="minorHAnsi" w:hAnsiTheme="minorHAnsi" w:cstheme="minorHAnsi"/>
          <w:iCs/>
          <w:szCs w:val="24"/>
        </w:rPr>
        <w:t>will provide greater options for students from under-represented backgrounds to access higher education and to study in areas where there are current skills and workforce shortages</w:t>
      </w:r>
      <w:r w:rsidR="00F70916">
        <w:rPr>
          <w:rFonts w:asciiTheme="minorHAnsi" w:hAnsiTheme="minorHAnsi" w:cstheme="minorHAnsi"/>
          <w:iCs/>
          <w:szCs w:val="24"/>
        </w:rPr>
        <w:t xml:space="preserve">. </w:t>
      </w:r>
    </w:p>
    <w:p w14:paraId="626F1531" w14:textId="21BCA2BF" w:rsidR="00350779" w:rsidRPr="00350779" w:rsidRDefault="00144950" w:rsidP="000C310A">
      <w:pPr>
        <w:pStyle w:val="Heading1"/>
      </w:pPr>
      <w:r>
        <w:t>IMPACT</w:t>
      </w:r>
      <w:r w:rsidR="00C90E38">
        <w:t xml:space="preserve"> </w:t>
      </w:r>
      <w:r w:rsidR="00C90E38" w:rsidRPr="00C90E38">
        <w:t>ANALYSIS</w:t>
      </w:r>
    </w:p>
    <w:p w14:paraId="45BA60C2" w14:textId="2B155A8C" w:rsidR="00203620" w:rsidRPr="006113D6" w:rsidRDefault="006E7D6B" w:rsidP="00203620">
      <w:pPr>
        <w:spacing w:before="120" w:after="120"/>
        <w:rPr>
          <w:rFonts w:asciiTheme="minorHAnsi" w:hAnsiTheme="minorHAnsi" w:cstheme="minorHAnsi"/>
          <w:bCs/>
          <w:iCs/>
        </w:rPr>
      </w:pPr>
      <w:r w:rsidRPr="006113D6">
        <w:rPr>
          <w:rFonts w:asciiTheme="minorHAnsi" w:hAnsiTheme="minorHAnsi" w:cstheme="minorHAnsi"/>
          <w:iCs/>
        </w:rPr>
        <w:t xml:space="preserve">The Office of Impact Analysis (OIA) </w:t>
      </w:r>
      <w:r w:rsidR="002B7B2E" w:rsidRPr="006113D6">
        <w:rPr>
          <w:rFonts w:asciiTheme="minorHAnsi" w:hAnsiTheme="minorHAnsi" w:cstheme="minorHAnsi"/>
          <w:iCs/>
        </w:rPr>
        <w:t>assessed</w:t>
      </w:r>
      <w:r w:rsidR="002B7B2E" w:rsidRPr="006113D6">
        <w:rPr>
          <w:rFonts w:asciiTheme="minorHAnsi" w:hAnsiTheme="minorHAnsi" w:cstheme="minorHAnsi"/>
          <w:b/>
          <w:iCs/>
        </w:rPr>
        <w:t xml:space="preserve"> </w:t>
      </w:r>
      <w:r w:rsidR="002B7B2E" w:rsidRPr="006113D6">
        <w:rPr>
          <w:rFonts w:asciiTheme="minorHAnsi" w:hAnsiTheme="minorHAnsi" w:cstheme="minorHAnsi"/>
          <w:iCs/>
        </w:rPr>
        <w:t xml:space="preserve">the impact of the proposal as minor and determined that </w:t>
      </w:r>
      <w:r w:rsidR="00203620">
        <w:rPr>
          <w:rFonts w:asciiTheme="minorHAnsi" w:hAnsiTheme="minorHAnsi" w:cstheme="minorHAnsi"/>
          <w:iCs/>
        </w:rPr>
        <w:t xml:space="preserve">an </w:t>
      </w:r>
      <w:r w:rsidR="003309CA">
        <w:rPr>
          <w:rFonts w:asciiTheme="minorHAnsi" w:hAnsiTheme="minorHAnsi" w:cstheme="minorHAnsi"/>
          <w:iCs/>
        </w:rPr>
        <w:t>Impact</w:t>
      </w:r>
      <w:r w:rsidR="002B7B2E" w:rsidRPr="006113D6">
        <w:rPr>
          <w:rFonts w:asciiTheme="minorHAnsi" w:hAnsiTheme="minorHAnsi" w:cstheme="minorHAnsi"/>
          <w:iCs/>
        </w:rPr>
        <w:t xml:space="preserve"> </w:t>
      </w:r>
      <w:r w:rsidR="003309CA">
        <w:rPr>
          <w:rFonts w:asciiTheme="minorHAnsi" w:hAnsiTheme="minorHAnsi" w:cstheme="minorHAnsi"/>
          <w:iCs/>
        </w:rPr>
        <w:t>A</w:t>
      </w:r>
      <w:r w:rsidR="002B7B2E" w:rsidRPr="006113D6">
        <w:rPr>
          <w:rFonts w:asciiTheme="minorHAnsi" w:hAnsiTheme="minorHAnsi" w:cstheme="minorHAnsi"/>
          <w:iCs/>
        </w:rPr>
        <w:t xml:space="preserve">nalysis </w:t>
      </w:r>
      <w:r w:rsidR="005938E7" w:rsidRPr="006113D6">
        <w:rPr>
          <w:rFonts w:asciiTheme="minorHAnsi" w:hAnsiTheme="minorHAnsi" w:cstheme="minorHAnsi"/>
          <w:iCs/>
        </w:rPr>
        <w:t>wa</w:t>
      </w:r>
      <w:r w:rsidR="002B7B2E" w:rsidRPr="006113D6">
        <w:rPr>
          <w:rFonts w:asciiTheme="minorHAnsi" w:hAnsiTheme="minorHAnsi" w:cstheme="minorHAnsi"/>
          <w:iCs/>
        </w:rPr>
        <w:t xml:space="preserve">s not required </w:t>
      </w:r>
      <w:r w:rsidRPr="006113D6">
        <w:rPr>
          <w:rFonts w:asciiTheme="minorHAnsi" w:hAnsiTheme="minorHAnsi" w:cstheme="minorHAnsi"/>
          <w:iCs/>
        </w:rPr>
        <w:t>(</w:t>
      </w:r>
      <w:r w:rsidR="002B7B2E" w:rsidRPr="006113D6">
        <w:rPr>
          <w:rFonts w:asciiTheme="minorHAnsi" w:hAnsiTheme="minorHAnsi" w:cstheme="minorHAnsi"/>
          <w:iCs/>
        </w:rPr>
        <w:t>OIA</w:t>
      </w:r>
      <w:r w:rsidR="005938E7" w:rsidRPr="006113D6">
        <w:rPr>
          <w:rFonts w:asciiTheme="minorHAnsi" w:hAnsiTheme="minorHAnsi" w:cstheme="minorHAnsi"/>
          <w:iCs/>
        </w:rPr>
        <w:t xml:space="preserve"> reference number</w:t>
      </w:r>
      <w:r w:rsidR="002B7B2E" w:rsidRPr="006113D6">
        <w:rPr>
          <w:rFonts w:asciiTheme="minorHAnsi" w:hAnsiTheme="minorHAnsi" w:cstheme="minorHAnsi"/>
          <w:iCs/>
        </w:rPr>
        <w:t>: OIA24-08706</w:t>
      </w:r>
      <w:r w:rsidRPr="006113D6">
        <w:rPr>
          <w:rFonts w:asciiTheme="minorHAnsi" w:hAnsiTheme="minorHAnsi" w:cstheme="minorHAnsi"/>
          <w:iCs/>
        </w:rPr>
        <w:t>).</w:t>
      </w:r>
      <w:r w:rsidRPr="006113D6">
        <w:rPr>
          <w:rFonts w:asciiTheme="minorHAnsi" w:hAnsiTheme="minorHAnsi" w:cstheme="minorHAnsi"/>
          <w:bCs/>
          <w:iCs/>
        </w:rPr>
        <w:t xml:space="preserve"> </w:t>
      </w:r>
    </w:p>
    <w:p w14:paraId="4818CCF0" w14:textId="5B7229CC" w:rsidR="00696CF0" w:rsidRPr="0088497A" w:rsidRDefault="00144950" w:rsidP="00203620">
      <w:pPr>
        <w:pStyle w:val="Heading1"/>
      </w:pPr>
      <w:r w:rsidRPr="0088497A">
        <w:lastRenderedPageBreak/>
        <w:t>COMMENC</w:t>
      </w:r>
      <w:r>
        <w:t>E</w:t>
      </w:r>
      <w:r w:rsidRPr="0088497A">
        <w:t>MENT</w:t>
      </w:r>
    </w:p>
    <w:p w14:paraId="7A7AF185" w14:textId="3FCB3F75" w:rsidR="00696CF0" w:rsidRPr="003B7464" w:rsidRDefault="003B7464" w:rsidP="00DA552F">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8134D5" w:rsidRDefault="00144950" w:rsidP="000C310A">
      <w:pPr>
        <w:pStyle w:val="Heading1"/>
      </w:pPr>
      <w:bookmarkStart w:id="2" w:name="_Toc34293360"/>
      <w:r w:rsidRPr="008134D5">
        <w:t>CONSULTATION</w:t>
      </w:r>
      <w:bookmarkEnd w:id="2"/>
    </w:p>
    <w:p w14:paraId="73435263" w14:textId="57CFE194" w:rsidR="009F38FA" w:rsidRDefault="00A10A26" w:rsidP="009F38FA">
      <w:pPr>
        <w:spacing w:before="120" w:after="120"/>
        <w:rPr>
          <w:rFonts w:asciiTheme="minorHAnsi" w:hAnsiTheme="minorHAnsi" w:cstheme="minorHAnsi"/>
          <w:iCs/>
          <w:szCs w:val="24"/>
        </w:rPr>
      </w:pPr>
      <w:r>
        <w:rPr>
          <w:rFonts w:asciiTheme="minorHAnsi" w:hAnsiTheme="minorHAnsi" w:cstheme="minorHAnsi"/>
          <w:iCs/>
        </w:rPr>
        <w:t>A competitive application process in 2022 informed the previous changes made to the Principal Instrument</w:t>
      </w:r>
      <w:r w:rsidR="00731FF4">
        <w:rPr>
          <w:rFonts w:asciiTheme="minorHAnsi" w:hAnsiTheme="minorHAnsi" w:cstheme="minorHAnsi"/>
          <w:iCs/>
        </w:rPr>
        <w:t xml:space="preserve"> (made by the </w:t>
      </w:r>
      <w:r w:rsidR="00731FF4">
        <w:rPr>
          <w:rFonts w:asciiTheme="minorHAnsi" w:hAnsiTheme="minorHAnsi" w:cstheme="minorHAnsi"/>
          <w:i/>
        </w:rPr>
        <w:t>Commonwealth Grant Scheme Amendment (National Priorities) Guidelines 2022</w:t>
      </w:r>
      <w:r w:rsidR="00731FF4">
        <w:rPr>
          <w:rFonts w:asciiTheme="minorHAnsi" w:hAnsiTheme="minorHAnsi" w:cstheme="minorHAnsi"/>
          <w:iCs/>
        </w:rPr>
        <w:t>)</w:t>
      </w:r>
      <w:r>
        <w:rPr>
          <w:rFonts w:asciiTheme="minorHAnsi" w:hAnsiTheme="minorHAnsi" w:cstheme="minorHAnsi"/>
          <w:iCs/>
        </w:rPr>
        <w:t xml:space="preserve"> to specify that it </w:t>
      </w:r>
      <w:r w:rsidR="00D46B28">
        <w:rPr>
          <w:rFonts w:asciiTheme="minorHAnsi" w:hAnsiTheme="minorHAnsi" w:cstheme="minorHAnsi"/>
          <w:iCs/>
          <w:szCs w:val="24"/>
        </w:rPr>
        <w:t>was</w:t>
      </w:r>
      <w:r>
        <w:rPr>
          <w:rFonts w:asciiTheme="minorHAnsi" w:hAnsiTheme="minorHAnsi" w:cstheme="minorHAnsi"/>
          <w:iCs/>
          <w:szCs w:val="24"/>
        </w:rPr>
        <w:t xml:space="preserve"> a national priority to increase the number of persons from under-represented backgrounds undertaking courses of study in Education, Nursing, Engineering, Computing, Commerce and Society and Culture for courses commencing in 2023 and 2024. </w:t>
      </w:r>
    </w:p>
    <w:p w14:paraId="3A2CBF95" w14:textId="4FF06775" w:rsidR="00731FF4" w:rsidRDefault="00731FF4" w:rsidP="009F38FA">
      <w:pPr>
        <w:spacing w:before="120" w:after="120"/>
        <w:rPr>
          <w:rFonts w:asciiTheme="minorHAnsi" w:hAnsiTheme="minorHAnsi" w:cstheme="minorHAnsi"/>
          <w:iCs/>
          <w:szCs w:val="24"/>
        </w:rPr>
      </w:pPr>
      <w:r>
        <w:rPr>
          <w:rFonts w:asciiTheme="minorHAnsi" w:hAnsiTheme="minorHAnsi" w:cstheme="minorHAnsi"/>
          <w:iCs/>
          <w:szCs w:val="24"/>
        </w:rPr>
        <w:t>That competitive application process was open to all Table A providers and selected non-Table A providers, and that process informed what courses or fields of study should be included in the description of the national priority.</w:t>
      </w:r>
    </w:p>
    <w:p w14:paraId="04AC099E" w14:textId="2836AC89" w:rsidR="00731FF4" w:rsidRDefault="00731FF4" w:rsidP="009F38FA">
      <w:pPr>
        <w:spacing w:before="120" w:after="120"/>
        <w:rPr>
          <w:rFonts w:asciiTheme="minorHAnsi" w:hAnsiTheme="minorHAnsi" w:cstheme="minorHAnsi"/>
          <w:iCs/>
          <w:szCs w:val="24"/>
        </w:rPr>
      </w:pPr>
      <w:r>
        <w:rPr>
          <w:rFonts w:asciiTheme="minorHAnsi" w:hAnsiTheme="minorHAnsi" w:cstheme="minorHAnsi"/>
          <w:iCs/>
          <w:szCs w:val="24"/>
        </w:rPr>
        <w:t xml:space="preserve">Noting that the inclusion of this national priority was informed by that previous process and consultation with higher education providers in that process, and because the Amendment Instrument only changes the description of the national priority to include courses commencing in 2025, but otherwise does not change the national priority, it was considered unnecessary to undertake additional consultation in relation to the Amendment Instrument. </w:t>
      </w:r>
    </w:p>
    <w:p w14:paraId="3A6EE0A5" w14:textId="5017B02A"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8134D5"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accordance with Part 3 of the Human Rights (Parliamentary </w:t>
      </w:r>
      <w:r w:rsidR="003440C7" w:rsidRPr="008134D5">
        <w:rPr>
          <w:rFonts w:asciiTheme="minorHAnsi" w:hAnsiTheme="minorHAnsi" w:cstheme="minorHAnsi"/>
          <w:i/>
          <w:szCs w:val="24"/>
        </w:rPr>
        <w:t>Scrutiny) Act 2011</w:t>
      </w:r>
    </w:p>
    <w:p w14:paraId="7A107F76" w14:textId="67CB989F" w:rsidR="00DA552F" w:rsidRPr="000C310A" w:rsidRDefault="00AE3375" w:rsidP="000C310A">
      <w:pPr>
        <w:pStyle w:val="Subtitle"/>
        <w:rPr>
          <w:bCs/>
          <w:iCs/>
          <w:u w:val="single"/>
        </w:rPr>
      </w:pPr>
      <w:r>
        <w:rPr>
          <w:b w:val="0"/>
          <w:bCs/>
          <w:i w:val="0"/>
          <w:iCs/>
          <w:u w:val="single"/>
        </w:rPr>
        <w:t>Commonwealth Grant Scheme Amendment (National Priorities) Guidelines 2024</w:t>
      </w:r>
    </w:p>
    <w:p w14:paraId="65F6CFAB" w14:textId="7842BAB9" w:rsidR="00DA552F"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AE3375">
        <w:rPr>
          <w:rFonts w:asciiTheme="minorHAnsi" w:hAnsiTheme="minorHAnsi" w:cstheme="minorHAnsi"/>
          <w:i/>
          <w:iCs/>
          <w:szCs w:val="24"/>
        </w:rPr>
        <w:t>Commonwealth Grant Scheme Amendment (National Priorities) Guidelines 2024</w:t>
      </w:r>
      <w:r w:rsidR="001E52EB">
        <w:rPr>
          <w:rFonts w:asciiTheme="minorHAnsi" w:hAnsiTheme="minorHAnsi" w:cstheme="minorHAnsi"/>
          <w:szCs w:val="24"/>
        </w:rPr>
        <w:t xml:space="preserve"> (the </w:t>
      </w:r>
      <w:r w:rsidR="002B411E">
        <w:rPr>
          <w:rFonts w:asciiTheme="minorHAnsi" w:hAnsiTheme="minorHAnsi" w:cstheme="minorHAnsi"/>
          <w:szCs w:val="24"/>
        </w:rPr>
        <w:t xml:space="preserve">Amendment </w:t>
      </w:r>
      <w:r w:rsidR="00FF6E25">
        <w:rPr>
          <w:rFonts w:asciiTheme="minorHAnsi" w:hAnsiTheme="minorHAnsi" w:cstheme="minorHAnsi"/>
          <w:szCs w:val="24"/>
        </w:rPr>
        <w:t>Instrument</w:t>
      </w:r>
      <w:r w:rsidR="001E52EB">
        <w:rPr>
          <w:rFonts w:asciiTheme="minorHAnsi" w:hAnsiTheme="minorHAnsi" w:cstheme="minorHAnsi"/>
          <w:szCs w:val="24"/>
        </w:rPr>
        <w:t xml:space="preserve">) </w:t>
      </w:r>
      <w:r w:rsidR="002B5C28">
        <w:rPr>
          <w:rFonts w:asciiTheme="minorHAnsi" w:hAnsiTheme="minorHAnsi" w:cstheme="minorHAnsi"/>
          <w:szCs w:val="24"/>
        </w:rPr>
        <w:t xml:space="preserve">is </w:t>
      </w:r>
      <w:r w:rsidRPr="008134D5">
        <w:rPr>
          <w:rFonts w:asciiTheme="minorHAnsi" w:hAnsiTheme="minorHAnsi" w:cstheme="minorHAnsi"/>
          <w:szCs w:val="24"/>
        </w:rPr>
        <w:t xml:space="preserve">compatible with the human rights and freedoms recognised or declared in the international instruments listed in section 3 of the </w:t>
      </w:r>
      <w:r w:rsidRPr="008134D5">
        <w:rPr>
          <w:rFonts w:asciiTheme="minorHAnsi" w:hAnsiTheme="minorHAnsi" w:cstheme="minorHAnsi"/>
          <w:i/>
          <w:szCs w:val="24"/>
        </w:rPr>
        <w:t>Human Rights (Parliamentary Scrutiny) Act 2011</w:t>
      </w:r>
      <w:r w:rsidRPr="008134D5">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230E738A" w14:textId="173DDE33" w:rsidR="00AE3375" w:rsidRPr="00FB45EF" w:rsidRDefault="00AE3375" w:rsidP="00AE3375">
      <w:pPr>
        <w:spacing w:before="120" w:after="120"/>
        <w:rPr>
          <w:rFonts w:asciiTheme="minorHAnsi" w:hAnsiTheme="minorHAnsi" w:cstheme="minorHAnsi"/>
          <w:iCs/>
          <w:szCs w:val="24"/>
        </w:rPr>
      </w:pPr>
      <w:r w:rsidRPr="002B7CC4">
        <w:rPr>
          <w:rFonts w:asciiTheme="minorHAnsi" w:hAnsiTheme="minorHAnsi" w:cstheme="minorHAnsi"/>
          <w:iCs/>
          <w:szCs w:val="24"/>
        </w:rPr>
        <w:t>The Ame</w:t>
      </w:r>
      <w:r>
        <w:rPr>
          <w:rFonts w:asciiTheme="minorHAnsi" w:hAnsiTheme="minorHAnsi" w:cstheme="minorHAnsi"/>
          <w:iCs/>
          <w:szCs w:val="24"/>
        </w:rPr>
        <w:t xml:space="preserve">ndment Instrument amends the </w:t>
      </w:r>
      <w:r>
        <w:rPr>
          <w:rFonts w:asciiTheme="minorHAnsi" w:hAnsiTheme="minorHAnsi" w:cstheme="minorHAnsi"/>
          <w:i/>
          <w:szCs w:val="24"/>
        </w:rPr>
        <w:t xml:space="preserve">Commonwealth Grant Scheme Guidelines 2020 </w:t>
      </w:r>
      <w:r>
        <w:rPr>
          <w:rFonts w:asciiTheme="minorHAnsi" w:hAnsiTheme="minorHAnsi" w:cstheme="minorHAnsi"/>
          <w:iCs/>
          <w:szCs w:val="24"/>
        </w:rPr>
        <w:t xml:space="preserve">(the Principal Instrument) to, for the purposes of paragraph 30-20(b) of the </w:t>
      </w:r>
      <w:r w:rsidR="00BD2475" w:rsidRPr="00BD2475">
        <w:rPr>
          <w:rFonts w:asciiTheme="minorHAnsi" w:hAnsiTheme="minorHAnsi" w:cstheme="minorHAnsi"/>
          <w:i/>
          <w:szCs w:val="24"/>
        </w:rPr>
        <w:t xml:space="preserve">Higher Education Support </w:t>
      </w:r>
      <w:r w:rsidRPr="00BD2475">
        <w:rPr>
          <w:rFonts w:asciiTheme="minorHAnsi" w:hAnsiTheme="minorHAnsi" w:cstheme="minorHAnsi"/>
          <w:i/>
          <w:szCs w:val="24"/>
        </w:rPr>
        <w:t>Act</w:t>
      </w:r>
      <w:r w:rsidR="00BD2475" w:rsidRPr="00BD2475">
        <w:rPr>
          <w:rFonts w:asciiTheme="minorHAnsi" w:hAnsiTheme="minorHAnsi" w:cstheme="minorHAnsi"/>
          <w:i/>
          <w:szCs w:val="24"/>
        </w:rPr>
        <w:t xml:space="preserve"> 2003</w:t>
      </w:r>
      <w:r w:rsidR="00BD2475">
        <w:rPr>
          <w:rFonts w:asciiTheme="minorHAnsi" w:hAnsiTheme="minorHAnsi" w:cstheme="minorHAnsi"/>
          <w:iCs/>
          <w:szCs w:val="24"/>
        </w:rPr>
        <w:t xml:space="preserve"> (the Act)</w:t>
      </w:r>
      <w:r>
        <w:rPr>
          <w:rFonts w:asciiTheme="minorHAnsi" w:hAnsiTheme="minorHAnsi" w:cstheme="minorHAnsi"/>
          <w:iCs/>
          <w:szCs w:val="24"/>
        </w:rPr>
        <w:t>, update the national priorities specified in the Principal Instrument.</w:t>
      </w:r>
      <w:r w:rsidRPr="00FB45EF">
        <w:rPr>
          <w:rFonts w:asciiTheme="minorHAnsi" w:hAnsiTheme="minorHAnsi" w:cstheme="minorHAnsi"/>
          <w:iCs/>
          <w:szCs w:val="24"/>
        </w:rPr>
        <w:t xml:space="preserve"> </w:t>
      </w:r>
    </w:p>
    <w:p w14:paraId="7C733B44" w14:textId="77777777" w:rsidR="00AE3375" w:rsidRDefault="00AE3375" w:rsidP="00AE3375">
      <w:pPr>
        <w:spacing w:before="120" w:after="120"/>
        <w:rPr>
          <w:rFonts w:asciiTheme="minorHAnsi" w:hAnsiTheme="minorHAnsi" w:cstheme="minorHAnsi"/>
          <w:iCs/>
          <w:szCs w:val="24"/>
        </w:rPr>
      </w:pPr>
      <w:r>
        <w:rPr>
          <w:rFonts w:asciiTheme="minorHAnsi" w:hAnsiTheme="minorHAnsi" w:cstheme="minorHAnsi"/>
          <w:iCs/>
          <w:szCs w:val="24"/>
        </w:rPr>
        <w:t xml:space="preserve">The Amendment Instrument amends the Principal Instrument to provide that it is a national priority to increase the number of persons from under-represented backgrounds undertaking courses of study in Education, Nursing, Engineering, Computing, Commerce and Society and Culture for courses commencing in 2023, 2024 and 2025 (instead of just courses commencing in 2023 and 2024). </w:t>
      </w:r>
    </w:p>
    <w:p w14:paraId="578B3299" w14:textId="2929DE62" w:rsidR="00203620" w:rsidRPr="00C82F0C" w:rsidRDefault="00203620" w:rsidP="00203620">
      <w:pPr>
        <w:spacing w:before="120" w:after="120"/>
        <w:rPr>
          <w:rFonts w:asciiTheme="minorHAnsi" w:hAnsiTheme="minorHAnsi" w:cstheme="minorHAnsi"/>
          <w:iCs/>
          <w:szCs w:val="24"/>
        </w:rPr>
      </w:pPr>
      <w:r>
        <w:rPr>
          <w:rFonts w:asciiTheme="minorHAnsi" w:hAnsiTheme="minorHAnsi" w:cstheme="minorHAnsi"/>
          <w:iCs/>
          <w:szCs w:val="24"/>
        </w:rPr>
        <w:t>Th</w:t>
      </w:r>
      <w:r w:rsidR="00D46B28">
        <w:rPr>
          <w:rFonts w:asciiTheme="minorHAnsi" w:hAnsiTheme="minorHAnsi" w:cstheme="minorHAnsi"/>
          <w:iCs/>
          <w:szCs w:val="24"/>
        </w:rPr>
        <w:t>is</w:t>
      </w:r>
      <w:r>
        <w:rPr>
          <w:rFonts w:asciiTheme="minorHAnsi" w:hAnsiTheme="minorHAnsi" w:cstheme="minorHAnsi"/>
          <w:iCs/>
          <w:szCs w:val="24"/>
        </w:rPr>
        <w:t xml:space="preserve"> amendment </w:t>
      </w:r>
      <w:r w:rsidRPr="006E7D6B">
        <w:rPr>
          <w:rFonts w:asciiTheme="minorHAnsi" w:hAnsiTheme="minorHAnsi" w:cstheme="minorHAnsi"/>
          <w:iCs/>
          <w:szCs w:val="24"/>
        </w:rPr>
        <w:t>will provide greater options for students from under-represented backgrounds to access higher education and to study in areas where there are current skills and workforce shortages</w:t>
      </w:r>
      <w:r>
        <w:rPr>
          <w:rFonts w:asciiTheme="minorHAnsi" w:hAnsiTheme="minorHAnsi" w:cstheme="minorHAnsi"/>
          <w:iCs/>
          <w:szCs w:val="24"/>
        </w:rPr>
        <w:t xml:space="preserve">. </w:t>
      </w:r>
    </w:p>
    <w:p w14:paraId="57CC71C9" w14:textId="77777777" w:rsidR="00F9205E" w:rsidRPr="008134D5" w:rsidRDefault="00F9205E" w:rsidP="000C310A">
      <w:pPr>
        <w:pStyle w:val="Heading2"/>
      </w:pPr>
      <w:r w:rsidRPr="008134D5">
        <w:t>Human rights implications</w:t>
      </w:r>
    </w:p>
    <w:p w14:paraId="521542C9" w14:textId="3B2A13D2" w:rsidR="004563A2" w:rsidRDefault="004563A2" w:rsidP="00AE3375">
      <w:pPr>
        <w:spacing w:before="120" w:after="120"/>
        <w:rPr>
          <w:rFonts w:asciiTheme="minorHAnsi" w:hAnsiTheme="minorHAnsi" w:cstheme="minorHAnsi"/>
        </w:rPr>
      </w:pPr>
      <w:r>
        <w:rPr>
          <w:rFonts w:asciiTheme="minorHAnsi" w:hAnsiTheme="minorHAnsi" w:cstheme="minorHAnsi"/>
        </w:rPr>
        <w:t xml:space="preserve">The Amendment Instrument engages the right to education in Article 13 of the </w:t>
      </w:r>
      <w:r w:rsidR="00AE3375">
        <w:rPr>
          <w:rFonts w:asciiTheme="minorHAnsi" w:hAnsiTheme="minorHAnsi" w:cstheme="minorHAnsi"/>
        </w:rPr>
        <w:t>International Covenant on Economic, Social and Cultural Rights (ICESCR)</w:t>
      </w:r>
      <w:r>
        <w:rPr>
          <w:rFonts w:asciiTheme="minorHAnsi" w:hAnsiTheme="minorHAnsi" w:cstheme="minorHAnsi"/>
        </w:rPr>
        <w:t xml:space="preserve">. </w:t>
      </w:r>
    </w:p>
    <w:p w14:paraId="6968E1CA" w14:textId="5DFADD6B" w:rsidR="00D62A2E" w:rsidRDefault="00D62A2E" w:rsidP="004D07B0">
      <w:pPr>
        <w:spacing w:before="120" w:after="120"/>
        <w:rPr>
          <w:rFonts w:asciiTheme="minorHAnsi" w:hAnsiTheme="minorHAnsi" w:cstheme="minorHAnsi"/>
        </w:rPr>
      </w:pPr>
      <w:r>
        <w:rPr>
          <w:rFonts w:asciiTheme="minorHAnsi" w:hAnsiTheme="minorHAnsi" w:cstheme="minorHAnsi"/>
          <w:u w:val="single"/>
        </w:rPr>
        <w:t>Right to education</w:t>
      </w:r>
    </w:p>
    <w:p w14:paraId="2346B4C7" w14:textId="22D50FE1" w:rsidR="00D62A2E" w:rsidRDefault="00D62A2E" w:rsidP="004D07B0">
      <w:pPr>
        <w:spacing w:before="120" w:after="120"/>
        <w:rPr>
          <w:rFonts w:asciiTheme="minorHAnsi" w:hAnsiTheme="minorHAnsi" w:cstheme="minorHAnsi"/>
        </w:rPr>
      </w:pPr>
      <w:r>
        <w:rPr>
          <w:rFonts w:asciiTheme="minorHAnsi" w:hAnsiTheme="minorHAnsi" w:cstheme="minorHAnsi"/>
        </w:rPr>
        <w:t xml:space="preserve">Article 13(2)(c) of the ICESCR provides that ‘higher education shall be made equally accessible to all, on the basis of capacity, by every appropriate means, and in particular by the progressive introduction of free education’. </w:t>
      </w:r>
    </w:p>
    <w:p w14:paraId="380CB4AD" w14:textId="15D4694B" w:rsidR="00D62A2E" w:rsidRPr="00D62A2E" w:rsidRDefault="00AE3375" w:rsidP="004D07B0">
      <w:pPr>
        <w:spacing w:before="120" w:after="120"/>
        <w:rPr>
          <w:rFonts w:asciiTheme="minorHAnsi" w:hAnsiTheme="minorHAnsi" w:cstheme="minorHAnsi"/>
        </w:rPr>
      </w:pPr>
      <w:r>
        <w:rPr>
          <w:rFonts w:asciiTheme="minorHAnsi" w:hAnsiTheme="minorHAnsi" w:cstheme="minorHAnsi"/>
        </w:rPr>
        <w:t>The Amendment Instrument expands the national priorities in relation to which providers listed in section 8 of the Principal Instrument can receive funding, to ensure that providers can continue to receive funding to support students from under-represented backgrounds undertaking courses of study</w:t>
      </w:r>
      <w:r w:rsidR="00D46B28">
        <w:rPr>
          <w:rFonts w:asciiTheme="minorHAnsi" w:hAnsiTheme="minorHAnsi" w:cstheme="minorHAnsi"/>
        </w:rPr>
        <w:t xml:space="preserve"> in 2025</w:t>
      </w:r>
      <w:r>
        <w:rPr>
          <w:rFonts w:asciiTheme="minorHAnsi" w:hAnsiTheme="minorHAnsi" w:cstheme="minorHAnsi"/>
        </w:rPr>
        <w:t xml:space="preserve"> in a range of different areas of study. This supports the right to education as it reduces barriers for students to undertake higher education.</w:t>
      </w:r>
    </w:p>
    <w:p w14:paraId="0D664062" w14:textId="77777777" w:rsidR="00DA552F" w:rsidRPr="008134D5" w:rsidRDefault="00F9205E" w:rsidP="000C310A">
      <w:pPr>
        <w:pStyle w:val="Heading2"/>
      </w:pPr>
      <w:r w:rsidRPr="008134D5">
        <w:t>Conclusion</w:t>
      </w:r>
    </w:p>
    <w:p w14:paraId="26C0AF71" w14:textId="7C303CEF" w:rsidR="00F9205E" w:rsidRPr="008134D5" w:rsidRDefault="00F9205E" w:rsidP="00DA552F">
      <w:pPr>
        <w:spacing w:before="120" w:after="120"/>
        <w:rPr>
          <w:rFonts w:asciiTheme="minorHAnsi" w:hAnsiTheme="minorHAnsi" w:cstheme="minorHAnsi"/>
          <w:szCs w:val="24"/>
        </w:rPr>
      </w:pPr>
      <w:r w:rsidRPr="008134D5">
        <w:rPr>
          <w:rFonts w:asciiTheme="minorHAnsi" w:hAnsiTheme="minorHAnsi" w:cstheme="minorHAnsi"/>
          <w:szCs w:val="24"/>
        </w:rPr>
        <w:t xml:space="preserve">The </w:t>
      </w:r>
      <w:r w:rsidR="00D46B28">
        <w:rPr>
          <w:rFonts w:asciiTheme="minorHAnsi" w:hAnsiTheme="minorHAnsi" w:cstheme="minorHAnsi"/>
          <w:szCs w:val="24"/>
        </w:rPr>
        <w:t xml:space="preserve">Amendment </w:t>
      </w:r>
      <w:r w:rsidR="00DD7496">
        <w:rPr>
          <w:rFonts w:asciiTheme="minorHAnsi" w:hAnsiTheme="minorHAnsi" w:cstheme="minorHAnsi"/>
          <w:szCs w:val="24"/>
        </w:rPr>
        <w:t>Instrument</w:t>
      </w:r>
      <w:r w:rsidR="00DD7496" w:rsidRPr="008134D5">
        <w:rPr>
          <w:rFonts w:asciiTheme="minorHAnsi" w:hAnsiTheme="minorHAnsi" w:cstheme="minorHAnsi"/>
          <w:szCs w:val="24"/>
        </w:rPr>
        <w:t xml:space="preserve"> </w:t>
      </w:r>
      <w:r w:rsidRPr="008134D5">
        <w:rPr>
          <w:rFonts w:asciiTheme="minorHAnsi" w:hAnsiTheme="minorHAnsi" w:cstheme="minorHAnsi"/>
          <w:szCs w:val="24"/>
        </w:rPr>
        <w:t xml:space="preserve">is compatible with human rights because </w:t>
      </w:r>
      <w:r w:rsidR="0019381E">
        <w:rPr>
          <w:rFonts w:asciiTheme="minorHAnsi" w:hAnsiTheme="minorHAnsi" w:cstheme="minorHAnsi"/>
          <w:szCs w:val="24"/>
        </w:rPr>
        <w:t>i</w:t>
      </w:r>
      <w:r w:rsidR="00F7573F">
        <w:rPr>
          <w:rFonts w:asciiTheme="minorHAnsi" w:hAnsiTheme="minorHAnsi" w:cstheme="minorHAnsi"/>
          <w:szCs w:val="24"/>
        </w:rPr>
        <w:t xml:space="preserve">t </w:t>
      </w:r>
      <w:r w:rsidR="00546B07">
        <w:rPr>
          <w:rFonts w:asciiTheme="minorHAnsi" w:hAnsiTheme="minorHAnsi" w:cstheme="minorHAnsi"/>
          <w:szCs w:val="24"/>
        </w:rPr>
        <w:t>supports the right to education.</w:t>
      </w:r>
    </w:p>
    <w:p w14:paraId="49175299" w14:textId="77777777" w:rsidR="00D8103E" w:rsidRPr="008134D5" w:rsidRDefault="00D8103E" w:rsidP="00DA552F">
      <w:pPr>
        <w:spacing w:before="120" w:after="120"/>
        <w:rPr>
          <w:rFonts w:asciiTheme="minorHAnsi" w:hAnsiTheme="minorHAnsi" w:cstheme="minorHAnsi"/>
          <w:b/>
          <w:szCs w:val="24"/>
        </w:rPr>
      </w:pPr>
    </w:p>
    <w:p w14:paraId="1EC89B8A" w14:textId="5B082254" w:rsidR="00DA552F" w:rsidRPr="008134D5" w:rsidRDefault="00D8103E" w:rsidP="00DD7496">
      <w:pPr>
        <w:spacing w:before="120" w:after="120"/>
        <w:jc w:val="center"/>
        <w:rPr>
          <w:rFonts w:asciiTheme="minorHAnsi" w:hAnsiTheme="minorHAnsi" w:cstheme="minorHAnsi"/>
          <w:szCs w:val="24"/>
        </w:rPr>
      </w:pPr>
      <w:r w:rsidRPr="008134D5">
        <w:rPr>
          <w:rFonts w:asciiTheme="minorHAnsi" w:hAnsiTheme="minorHAnsi" w:cstheme="minorHAnsi"/>
          <w:b/>
          <w:szCs w:val="24"/>
        </w:rPr>
        <w:t xml:space="preserve">Minister for </w:t>
      </w:r>
      <w:r w:rsidR="00581A71">
        <w:rPr>
          <w:rFonts w:asciiTheme="minorHAnsi" w:hAnsiTheme="minorHAnsi" w:cstheme="minorHAnsi"/>
          <w:b/>
          <w:szCs w:val="24"/>
        </w:rPr>
        <w:t>Education</w:t>
      </w:r>
      <w:r w:rsidR="00E8671C">
        <w:rPr>
          <w:rFonts w:asciiTheme="minorHAnsi" w:hAnsiTheme="minorHAnsi" w:cstheme="minorHAnsi"/>
          <w:b/>
          <w:szCs w:val="24"/>
        </w:rPr>
        <w:t xml:space="preserve">, </w:t>
      </w:r>
      <w:r w:rsidR="00581A71">
        <w:rPr>
          <w:rFonts w:asciiTheme="minorHAnsi" w:hAnsiTheme="minorHAnsi" w:cstheme="minorHAnsi"/>
          <w:b/>
          <w:szCs w:val="24"/>
        </w:rPr>
        <w:t>the Hon Jason Clare MP</w:t>
      </w:r>
    </w:p>
    <w:p w14:paraId="1103BC73" w14:textId="77777777" w:rsidR="00DA552F" w:rsidRPr="008134D5" w:rsidRDefault="00DA552F" w:rsidP="00DA552F">
      <w:pPr>
        <w:spacing w:before="240" w:after="240"/>
        <w:rPr>
          <w:rFonts w:asciiTheme="minorHAnsi" w:hAnsiTheme="minorHAnsi" w:cstheme="minorHAnsi"/>
          <w:szCs w:val="24"/>
        </w:rPr>
        <w:sectPr w:rsidR="00DA552F" w:rsidRPr="008134D5" w:rsidSect="00785B13">
          <w:headerReference w:type="default" r:id="rId11"/>
          <w:footerReference w:type="default" r:id="rId12"/>
          <w:pgSz w:w="11906" w:h="16838"/>
          <w:pgMar w:top="1440" w:right="1440" w:bottom="1440" w:left="1440" w:header="708" w:footer="708" w:gutter="0"/>
          <w:pgNumType w:start="1"/>
          <w:cols w:space="708"/>
          <w:docGrid w:linePitch="360"/>
        </w:sectPr>
      </w:pPr>
    </w:p>
    <w:p w14:paraId="192B2E5C" w14:textId="69B9CA01" w:rsidR="00DA552F" w:rsidRPr="00581A71" w:rsidRDefault="00AE3375" w:rsidP="000C310A">
      <w:pPr>
        <w:pStyle w:val="Title"/>
        <w:rPr>
          <w:b w:val="0"/>
        </w:rPr>
      </w:pPr>
      <w:r>
        <w:rPr>
          <w:u w:val="none"/>
        </w:rPr>
        <w:lastRenderedPageBreak/>
        <w:t>COMMONWEALTH GRANT SCHEME AMENDMENT (NATIONAL PRIORITIES) GUIDELINES 2024</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631145A5" w:rsidR="00DA552F" w:rsidRPr="00EF4ACB" w:rsidRDefault="00DA552F" w:rsidP="00CB24D6">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is a formal provision specifying the </w:t>
      </w:r>
      <w:r w:rsidR="00E631F9" w:rsidRPr="00EF4ACB">
        <w:rPr>
          <w:rFonts w:asciiTheme="minorHAnsi" w:hAnsiTheme="minorHAnsi" w:cstheme="minorHAnsi"/>
          <w:szCs w:val="24"/>
        </w:rPr>
        <w:t>name of the</w:t>
      </w:r>
      <w:r w:rsidR="00603D52">
        <w:rPr>
          <w:rFonts w:asciiTheme="minorHAnsi" w:hAnsiTheme="minorHAnsi" w:cstheme="minorHAnsi"/>
          <w:szCs w:val="24"/>
        </w:rPr>
        <w:t xml:space="preserve"> </w:t>
      </w:r>
      <w:r w:rsidR="00AE3375">
        <w:rPr>
          <w:rFonts w:asciiTheme="minorHAnsi" w:hAnsiTheme="minorHAnsi" w:cstheme="minorHAnsi"/>
          <w:i/>
          <w:iCs/>
          <w:szCs w:val="24"/>
        </w:rPr>
        <w:t>Commonwealth Grant Scheme Amendment (National Priorities) Guidelines 2024</w:t>
      </w:r>
      <w:r w:rsidR="00603D52">
        <w:rPr>
          <w:rFonts w:asciiTheme="minorHAnsi" w:hAnsiTheme="minorHAnsi" w:cstheme="minorHAnsi"/>
          <w:i/>
          <w:iCs/>
          <w:szCs w:val="24"/>
        </w:rPr>
        <w:t xml:space="preserve"> </w:t>
      </w:r>
      <w:r w:rsidR="00603D52">
        <w:rPr>
          <w:rFonts w:asciiTheme="minorHAnsi" w:hAnsiTheme="minorHAnsi" w:cstheme="minorHAnsi"/>
          <w:szCs w:val="24"/>
        </w:rPr>
        <w:t>(the Amendment I</w:t>
      </w:r>
      <w:r w:rsidR="00E631F9" w:rsidRPr="00EF4ACB">
        <w:rPr>
          <w:rFonts w:asciiTheme="minorHAnsi" w:hAnsiTheme="minorHAnsi" w:cstheme="minorHAnsi"/>
          <w:szCs w:val="24"/>
        </w:rPr>
        <w:t>nstrument</w:t>
      </w:r>
      <w:r w:rsidR="00603D52">
        <w:rPr>
          <w:rFonts w:asciiTheme="minorHAnsi" w:hAnsiTheme="minorHAnsi" w:cstheme="minorHAnsi"/>
          <w:szCs w:val="24"/>
        </w:rPr>
        <w:t>)</w:t>
      </w:r>
      <w:r w:rsidR="00E631F9" w:rsidRPr="00EF4ACB">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7A4D970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 xml:space="preserve">This provision provides that the </w:t>
      </w:r>
      <w:r w:rsidR="00603D52">
        <w:rPr>
          <w:rFonts w:asciiTheme="minorHAnsi" w:hAnsiTheme="minorHAnsi" w:cstheme="minorHAnsi"/>
          <w:iCs/>
        </w:rPr>
        <w:t xml:space="preserve">Amendment </w:t>
      </w:r>
      <w:r w:rsidR="00603D52" w:rsidRPr="00745376">
        <w:rPr>
          <w:rFonts w:asciiTheme="minorHAnsi" w:hAnsiTheme="minorHAnsi" w:cstheme="minorHAnsi"/>
          <w:iCs/>
        </w:rPr>
        <w:t>Instrument</w:t>
      </w:r>
      <w:r>
        <w:rPr>
          <w:rFonts w:asciiTheme="minorHAnsi" w:hAnsiTheme="minorHAnsi" w:cstheme="minorHAnsi"/>
          <w:iCs/>
        </w:rPr>
        <w:t xml:space="preserve"> commences on the day after the Amendment Instrument is registered on the Federal Register of Legislation. </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08A0FDA4" w:rsidR="00E631F9" w:rsidRPr="00581A71" w:rsidRDefault="00581A71" w:rsidP="00CB24D6">
      <w:pPr>
        <w:pStyle w:val="ListParagraph"/>
        <w:keepNext/>
        <w:numPr>
          <w:ilvl w:val="0"/>
          <w:numId w:val="1"/>
        </w:numPr>
        <w:spacing w:before="360" w:after="120"/>
        <w:rPr>
          <w:rFonts w:asciiTheme="minorHAnsi" w:hAnsiTheme="minorHAnsi" w:cstheme="minorHAnsi"/>
          <w:iCs/>
        </w:rPr>
      </w:pPr>
      <w:r>
        <w:rPr>
          <w:rFonts w:asciiTheme="minorHAnsi" w:hAnsiTheme="minorHAnsi" w:cstheme="minorHAnsi"/>
          <w:iCs/>
        </w:rPr>
        <w:t>This provision provides that the Amendment Instrument is made under section 238</w:t>
      </w:r>
      <w:r>
        <w:rPr>
          <w:rFonts w:asciiTheme="minorHAnsi" w:hAnsiTheme="minorHAnsi" w:cstheme="minorHAnsi"/>
          <w:iCs/>
        </w:rPr>
        <w:noBreakHyphen/>
        <w:t xml:space="preserve">10 of the </w:t>
      </w:r>
      <w:r>
        <w:rPr>
          <w:rFonts w:asciiTheme="minorHAnsi" w:hAnsiTheme="minorHAnsi" w:cstheme="minorHAnsi"/>
          <w:i/>
        </w:rPr>
        <w:t xml:space="preserve">Higher Education Support Act 2003 </w:t>
      </w:r>
      <w:r>
        <w:rPr>
          <w:rFonts w:asciiTheme="minorHAnsi" w:hAnsiTheme="minorHAnsi" w:cstheme="minorHAnsi"/>
          <w:iCs/>
        </w:rPr>
        <w:t xml:space="preserve">(the Act). </w:t>
      </w:r>
    </w:p>
    <w:p w14:paraId="0296CC14" w14:textId="4050D0AE" w:rsidR="00DA552F" w:rsidRPr="000C310A" w:rsidRDefault="00E631F9" w:rsidP="000C310A">
      <w:pPr>
        <w:pStyle w:val="Heading3"/>
        <w:spacing w:before="240"/>
        <w:rPr>
          <w:b/>
          <w:bCs/>
        </w:rPr>
      </w:pPr>
      <w:r w:rsidRPr="008C5CE9">
        <w:rPr>
          <w:b/>
          <w:bCs/>
        </w:rPr>
        <w:t xml:space="preserve">Section 4: </w:t>
      </w:r>
      <w:r w:rsidR="00581A71">
        <w:rPr>
          <w:b/>
          <w:bCs/>
        </w:rPr>
        <w:t xml:space="preserve">Schedules </w:t>
      </w:r>
    </w:p>
    <w:p w14:paraId="2AB55D93" w14:textId="15E2FFA5" w:rsidR="00756D99" w:rsidRDefault="00581A71" w:rsidP="00581A71">
      <w:pPr>
        <w:pStyle w:val="ListParagraph"/>
        <w:numPr>
          <w:ilvl w:val="0"/>
          <w:numId w:val="1"/>
        </w:numPr>
        <w:spacing w:after="160" w:line="259" w:lineRule="auto"/>
        <w:rPr>
          <w:rFonts w:asciiTheme="minorHAnsi" w:hAnsiTheme="minorHAnsi" w:cstheme="minorHAnsi"/>
        </w:rPr>
      </w:pPr>
      <w:bookmarkStart w:id="5" w:name="_Toc23942243"/>
      <w:bookmarkEnd w:id="5"/>
      <w:r>
        <w:rPr>
          <w:rFonts w:asciiTheme="minorHAnsi" w:hAnsiTheme="minorHAnsi" w:cstheme="minorHAnsi"/>
        </w:rPr>
        <w:t>This is a technical provision that explains that the instrument that is specified in a Schedule to th</w:t>
      </w:r>
      <w:r w:rsidR="000B1B40">
        <w:rPr>
          <w:rFonts w:asciiTheme="minorHAnsi" w:hAnsiTheme="minorHAnsi" w:cstheme="minorHAnsi"/>
        </w:rPr>
        <w:t>e</w:t>
      </w:r>
      <w:r>
        <w:rPr>
          <w:rFonts w:asciiTheme="minorHAnsi" w:hAnsiTheme="minorHAnsi" w:cstheme="minorHAnsi"/>
        </w:rPr>
        <w:t xml:space="preserve"> </w:t>
      </w:r>
      <w:r w:rsidR="000B1B40">
        <w:rPr>
          <w:rFonts w:asciiTheme="minorHAnsi" w:hAnsiTheme="minorHAnsi" w:cstheme="minorHAnsi"/>
        </w:rPr>
        <w:t>Amendment I</w:t>
      </w:r>
      <w:r>
        <w:rPr>
          <w:rFonts w:asciiTheme="minorHAnsi" w:hAnsiTheme="minorHAnsi" w:cstheme="minorHAnsi"/>
        </w:rPr>
        <w:t xml:space="preserve">nstrument is amended or repealed as set out in the applicable items in the Schedule concerned. </w:t>
      </w:r>
    </w:p>
    <w:p w14:paraId="6BA970E5" w14:textId="33740AC0" w:rsidR="00581A71" w:rsidRDefault="00581A71" w:rsidP="00581A71">
      <w:pPr>
        <w:spacing w:after="160" w:line="259" w:lineRule="auto"/>
        <w:rPr>
          <w:rFonts w:asciiTheme="minorHAnsi" w:hAnsiTheme="minorHAnsi" w:cstheme="minorHAnsi"/>
        </w:rPr>
      </w:pPr>
      <w:r>
        <w:rPr>
          <w:rFonts w:asciiTheme="minorHAnsi" w:hAnsiTheme="minorHAnsi" w:cstheme="minorHAnsi"/>
          <w:b/>
          <w:bCs/>
          <w:u w:val="single"/>
        </w:rPr>
        <w:t xml:space="preserve">Schedule 1 – Amendments </w:t>
      </w:r>
    </w:p>
    <w:p w14:paraId="05CD46D6" w14:textId="4274103B" w:rsidR="00581A71" w:rsidRDefault="00AE3375" w:rsidP="00581A71">
      <w:pPr>
        <w:spacing w:after="160" w:line="259" w:lineRule="auto"/>
        <w:rPr>
          <w:rFonts w:asciiTheme="minorHAnsi" w:hAnsiTheme="minorHAnsi" w:cstheme="minorHAnsi"/>
        </w:rPr>
      </w:pPr>
      <w:r>
        <w:rPr>
          <w:rFonts w:asciiTheme="minorHAnsi" w:hAnsiTheme="minorHAnsi" w:cstheme="minorHAnsi"/>
          <w:i/>
          <w:iCs/>
        </w:rPr>
        <w:t>Commonwealth Grant Scheme Guidelines 2020</w:t>
      </w:r>
    </w:p>
    <w:p w14:paraId="284CF944" w14:textId="1654EF4A" w:rsidR="00581A71" w:rsidRDefault="00581A71" w:rsidP="00581A71">
      <w:pPr>
        <w:spacing w:after="160" w:line="259" w:lineRule="auto"/>
        <w:rPr>
          <w:rFonts w:asciiTheme="minorHAnsi" w:hAnsiTheme="minorHAnsi" w:cstheme="minorHAnsi"/>
        </w:rPr>
      </w:pPr>
      <w:r>
        <w:rPr>
          <w:rFonts w:asciiTheme="minorHAnsi" w:hAnsiTheme="minorHAnsi" w:cstheme="minorHAnsi"/>
          <w:u w:val="single"/>
        </w:rPr>
        <w:t>Item 1</w:t>
      </w:r>
      <w:r w:rsidR="00546B07">
        <w:rPr>
          <w:rFonts w:asciiTheme="minorHAnsi" w:hAnsiTheme="minorHAnsi" w:cstheme="minorHAnsi"/>
          <w:u w:val="single"/>
        </w:rPr>
        <w:t xml:space="preserve">: </w:t>
      </w:r>
      <w:r w:rsidR="00AE3375">
        <w:rPr>
          <w:rFonts w:asciiTheme="minorHAnsi" w:hAnsiTheme="minorHAnsi" w:cstheme="minorHAnsi"/>
          <w:u w:val="single"/>
        </w:rPr>
        <w:t>Paragraph 10(d)</w:t>
      </w:r>
    </w:p>
    <w:p w14:paraId="0AEBAC6E" w14:textId="6E9E649E" w:rsidR="00AE3375" w:rsidRDefault="00AE3375" w:rsidP="00546B07">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Section 10 of the </w:t>
      </w:r>
      <w:r>
        <w:rPr>
          <w:rFonts w:asciiTheme="minorHAnsi" w:hAnsiTheme="minorHAnsi" w:cstheme="minorHAnsi"/>
          <w:i/>
          <w:iCs/>
        </w:rPr>
        <w:t xml:space="preserve">Commonwealth Grant Scheme Guidelines 2020 </w:t>
      </w:r>
      <w:r>
        <w:rPr>
          <w:rFonts w:asciiTheme="minorHAnsi" w:hAnsiTheme="minorHAnsi" w:cstheme="minorHAnsi"/>
        </w:rPr>
        <w:t xml:space="preserve">(the Principal Instrument) specifies, for the purposes of paragraph 30-20(b) of the Act, outcomes in the provision of higher education as national priorities. </w:t>
      </w:r>
    </w:p>
    <w:p w14:paraId="3906BCFF" w14:textId="511B16BF" w:rsidR="00186D4B" w:rsidRPr="00AE3375" w:rsidRDefault="00AE3375" w:rsidP="00AE3375">
      <w:pPr>
        <w:pStyle w:val="ListParagraph"/>
        <w:numPr>
          <w:ilvl w:val="0"/>
          <w:numId w:val="1"/>
        </w:numPr>
        <w:spacing w:after="160" w:line="259" w:lineRule="auto"/>
        <w:rPr>
          <w:rFonts w:asciiTheme="minorHAnsi" w:hAnsiTheme="minorHAnsi" w:cstheme="minorHAnsi"/>
        </w:rPr>
      </w:pPr>
      <w:r>
        <w:rPr>
          <w:rFonts w:asciiTheme="minorHAnsi" w:hAnsiTheme="minorHAnsi" w:cstheme="minorHAnsi"/>
        </w:rPr>
        <w:t xml:space="preserve">Item 1 amends paragraph 10(d) of the Principal Instrument to provide that it is a national priority </w:t>
      </w:r>
      <w:r>
        <w:rPr>
          <w:rFonts w:asciiTheme="minorHAnsi" w:hAnsiTheme="minorHAnsi" w:cstheme="minorHAnsi"/>
          <w:iCs/>
          <w:szCs w:val="24"/>
        </w:rPr>
        <w:t>to increase the number of persons from under-represented backgrounds undertaking courses of study in Education, Nursing, Engineering, Computing, Commerce and Society and Culture for courses commencing in 2023, 2024 and 2025 (instead of just courses commencing in 2023 and 2024).</w:t>
      </w:r>
    </w:p>
    <w:sectPr w:rsidR="00186D4B" w:rsidRPr="00AE33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D5A484" w14:textId="77777777" w:rsidR="00BA4930" w:rsidRDefault="00BA4930" w:rsidP="00783FAB">
      <w:pPr>
        <w:spacing w:after="0" w:line="240" w:lineRule="auto"/>
      </w:pPr>
      <w:r>
        <w:separator/>
      </w:r>
    </w:p>
  </w:endnote>
  <w:endnote w:type="continuationSeparator" w:id="0">
    <w:p w14:paraId="05BB2115" w14:textId="77777777" w:rsidR="00BA4930" w:rsidRDefault="00BA4930" w:rsidP="00783FAB">
      <w:pPr>
        <w:spacing w:after="0" w:line="240" w:lineRule="auto"/>
      </w:pPr>
      <w:r>
        <w:continuationSeparator/>
      </w:r>
    </w:p>
  </w:endnote>
  <w:endnote w:type="continuationNotice" w:id="1">
    <w:p w14:paraId="0F0AEA3A" w14:textId="77777777" w:rsidR="00BA4930" w:rsidRDefault="00BA4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061254"/>
      <w:docPartObj>
        <w:docPartGallery w:val="Page Numbers (Bottom of Page)"/>
        <w:docPartUnique/>
      </w:docPartObj>
    </w:sdtPr>
    <w:sdtEndPr>
      <w:rPr>
        <w:noProof/>
      </w:rPr>
    </w:sdtEndPr>
    <w:sdtContent>
      <w:p w14:paraId="28328C77" w14:textId="76B99ECE"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DA11E" w14:textId="77777777" w:rsidR="00BA4930" w:rsidRDefault="00BA4930" w:rsidP="00783FAB">
      <w:pPr>
        <w:spacing w:after="0" w:line="240" w:lineRule="auto"/>
      </w:pPr>
      <w:r>
        <w:separator/>
      </w:r>
    </w:p>
  </w:footnote>
  <w:footnote w:type="continuationSeparator" w:id="0">
    <w:p w14:paraId="35B08106" w14:textId="77777777" w:rsidR="00BA4930" w:rsidRDefault="00BA4930" w:rsidP="00783FAB">
      <w:pPr>
        <w:spacing w:after="0" w:line="240" w:lineRule="auto"/>
      </w:pPr>
      <w:r>
        <w:continuationSeparator/>
      </w:r>
    </w:p>
  </w:footnote>
  <w:footnote w:type="continuationNotice" w:id="1">
    <w:p w14:paraId="303ED067" w14:textId="77777777" w:rsidR="00BA4930" w:rsidRDefault="00BA49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2D340" w14:textId="3170F32A" w:rsidR="00267A53" w:rsidRPr="00267A53" w:rsidRDefault="00267A53" w:rsidP="00267A53">
    <w:pPr>
      <w:pStyle w:val="Header"/>
      <w:jc w:val="right"/>
      <w:rPr>
        <w:rFonts w:ascii="Arial" w:hAnsi="Arial" w:cs="Arial"/>
        <w:b/>
        <w:bCs/>
        <w:sz w:val="22"/>
      </w:rPr>
    </w:pPr>
    <w:r w:rsidRPr="00267A53">
      <w:rPr>
        <w:rFonts w:ascii="Arial" w:hAnsi="Arial" w:cs="Arial"/>
        <w:b/>
        <w:bCs/>
        <w:sz w:val="22"/>
      </w:rPr>
      <w:t>ATTACHMENT B</w:t>
    </w:r>
  </w:p>
  <w:p w14:paraId="7B5E61C6" w14:textId="77777777" w:rsidR="00267A53" w:rsidRDefault="00267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8690668">
    <w:abstractNumId w:val="0"/>
  </w:num>
  <w:num w:numId="2" w16cid:durableId="1372879744">
    <w:abstractNumId w:val="3"/>
  </w:num>
  <w:num w:numId="3" w16cid:durableId="116682397">
    <w:abstractNumId w:val="1"/>
  </w:num>
  <w:num w:numId="4" w16cid:durableId="175898650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37B"/>
    <w:rsid w:val="000009D4"/>
    <w:rsid w:val="00000F56"/>
    <w:rsid w:val="00003184"/>
    <w:rsid w:val="000036EB"/>
    <w:rsid w:val="0000395C"/>
    <w:rsid w:val="00011E4D"/>
    <w:rsid w:val="000138CF"/>
    <w:rsid w:val="000140D5"/>
    <w:rsid w:val="000146FA"/>
    <w:rsid w:val="0001554B"/>
    <w:rsid w:val="00016AFF"/>
    <w:rsid w:val="00017F54"/>
    <w:rsid w:val="00030249"/>
    <w:rsid w:val="000305EA"/>
    <w:rsid w:val="00031E3C"/>
    <w:rsid w:val="00032CB3"/>
    <w:rsid w:val="00036FAE"/>
    <w:rsid w:val="00044508"/>
    <w:rsid w:val="00047561"/>
    <w:rsid w:val="00047668"/>
    <w:rsid w:val="00047A2A"/>
    <w:rsid w:val="0005020B"/>
    <w:rsid w:val="00057815"/>
    <w:rsid w:val="00057A1E"/>
    <w:rsid w:val="00060CCE"/>
    <w:rsid w:val="000614A1"/>
    <w:rsid w:val="000615A3"/>
    <w:rsid w:val="00062794"/>
    <w:rsid w:val="0006484E"/>
    <w:rsid w:val="000668B0"/>
    <w:rsid w:val="00076E76"/>
    <w:rsid w:val="000815AA"/>
    <w:rsid w:val="00083F41"/>
    <w:rsid w:val="000846B7"/>
    <w:rsid w:val="000A2A28"/>
    <w:rsid w:val="000A2D3A"/>
    <w:rsid w:val="000A3124"/>
    <w:rsid w:val="000A3351"/>
    <w:rsid w:val="000A35D6"/>
    <w:rsid w:val="000A7F4E"/>
    <w:rsid w:val="000B1B40"/>
    <w:rsid w:val="000B1BE1"/>
    <w:rsid w:val="000B3914"/>
    <w:rsid w:val="000B4558"/>
    <w:rsid w:val="000B637A"/>
    <w:rsid w:val="000B6430"/>
    <w:rsid w:val="000C224C"/>
    <w:rsid w:val="000C310A"/>
    <w:rsid w:val="000C34FD"/>
    <w:rsid w:val="000C4D6B"/>
    <w:rsid w:val="000D1472"/>
    <w:rsid w:val="000D5E6D"/>
    <w:rsid w:val="000E3516"/>
    <w:rsid w:val="000E57DB"/>
    <w:rsid w:val="000E6FD6"/>
    <w:rsid w:val="000F1811"/>
    <w:rsid w:val="000F7A8C"/>
    <w:rsid w:val="00103015"/>
    <w:rsid w:val="00103253"/>
    <w:rsid w:val="001042BA"/>
    <w:rsid w:val="00105198"/>
    <w:rsid w:val="00111226"/>
    <w:rsid w:val="00120A34"/>
    <w:rsid w:val="00121E65"/>
    <w:rsid w:val="00124260"/>
    <w:rsid w:val="00125A8E"/>
    <w:rsid w:val="00127CD8"/>
    <w:rsid w:val="001301AD"/>
    <w:rsid w:val="001334D9"/>
    <w:rsid w:val="001346AC"/>
    <w:rsid w:val="001377D9"/>
    <w:rsid w:val="00137ACD"/>
    <w:rsid w:val="00140DAD"/>
    <w:rsid w:val="00140E3D"/>
    <w:rsid w:val="001421FE"/>
    <w:rsid w:val="001427E7"/>
    <w:rsid w:val="00142B2D"/>
    <w:rsid w:val="001437EA"/>
    <w:rsid w:val="00144950"/>
    <w:rsid w:val="00145BE1"/>
    <w:rsid w:val="0015276C"/>
    <w:rsid w:val="00152947"/>
    <w:rsid w:val="00154C9F"/>
    <w:rsid w:val="0015508C"/>
    <w:rsid w:val="00160153"/>
    <w:rsid w:val="00161A1F"/>
    <w:rsid w:val="0017006A"/>
    <w:rsid w:val="00173A64"/>
    <w:rsid w:val="00173E0C"/>
    <w:rsid w:val="00185491"/>
    <w:rsid w:val="00186D4B"/>
    <w:rsid w:val="00192911"/>
    <w:rsid w:val="0019381E"/>
    <w:rsid w:val="00195030"/>
    <w:rsid w:val="00197C3F"/>
    <w:rsid w:val="001A2FE9"/>
    <w:rsid w:val="001A4389"/>
    <w:rsid w:val="001B3C7A"/>
    <w:rsid w:val="001B5F2A"/>
    <w:rsid w:val="001C48B7"/>
    <w:rsid w:val="001C5D6A"/>
    <w:rsid w:val="001D00E3"/>
    <w:rsid w:val="001D0AF3"/>
    <w:rsid w:val="001D1D8A"/>
    <w:rsid w:val="001D36EE"/>
    <w:rsid w:val="001E07CE"/>
    <w:rsid w:val="001E52EB"/>
    <w:rsid w:val="001E5A0B"/>
    <w:rsid w:val="001F127D"/>
    <w:rsid w:val="001F1E30"/>
    <w:rsid w:val="001F3626"/>
    <w:rsid w:val="001F7336"/>
    <w:rsid w:val="00200358"/>
    <w:rsid w:val="002005CD"/>
    <w:rsid w:val="00201F75"/>
    <w:rsid w:val="00202EC1"/>
    <w:rsid w:val="00203620"/>
    <w:rsid w:val="00204283"/>
    <w:rsid w:val="00204EEF"/>
    <w:rsid w:val="002058CE"/>
    <w:rsid w:val="00205DBD"/>
    <w:rsid w:val="00207297"/>
    <w:rsid w:val="0021337D"/>
    <w:rsid w:val="00216A1C"/>
    <w:rsid w:val="00220A36"/>
    <w:rsid w:val="00223F82"/>
    <w:rsid w:val="00224C52"/>
    <w:rsid w:val="00232304"/>
    <w:rsid w:val="002378EE"/>
    <w:rsid w:val="002445E3"/>
    <w:rsid w:val="00247EBF"/>
    <w:rsid w:val="00255FCF"/>
    <w:rsid w:val="00261499"/>
    <w:rsid w:val="002672A4"/>
    <w:rsid w:val="00267A53"/>
    <w:rsid w:val="002747E8"/>
    <w:rsid w:val="00274EEA"/>
    <w:rsid w:val="002759C4"/>
    <w:rsid w:val="0027686D"/>
    <w:rsid w:val="002808A9"/>
    <w:rsid w:val="00284C9D"/>
    <w:rsid w:val="00284D7C"/>
    <w:rsid w:val="00291AED"/>
    <w:rsid w:val="00292863"/>
    <w:rsid w:val="00294430"/>
    <w:rsid w:val="00296CA7"/>
    <w:rsid w:val="00296FAF"/>
    <w:rsid w:val="00297CEB"/>
    <w:rsid w:val="00297EAB"/>
    <w:rsid w:val="002A15F1"/>
    <w:rsid w:val="002A3FA3"/>
    <w:rsid w:val="002A4961"/>
    <w:rsid w:val="002B313C"/>
    <w:rsid w:val="002B411E"/>
    <w:rsid w:val="002B5C28"/>
    <w:rsid w:val="002B7B2E"/>
    <w:rsid w:val="002B7CC4"/>
    <w:rsid w:val="002C08CD"/>
    <w:rsid w:val="002C1F84"/>
    <w:rsid w:val="002C2AB7"/>
    <w:rsid w:val="002C40FB"/>
    <w:rsid w:val="002C69B1"/>
    <w:rsid w:val="002D1504"/>
    <w:rsid w:val="002D4EA4"/>
    <w:rsid w:val="002D564A"/>
    <w:rsid w:val="002E12E6"/>
    <w:rsid w:val="002F0FD2"/>
    <w:rsid w:val="002F76C6"/>
    <w:rsid w:val="0030256D"/>
    <w:rsid w:val="00304A88"/>
    <w:rsid w:val="00304E64"/>
    <w:rsid w:val="00307358"/>
    <w:rsid w:val="0031070C"/>
    <w:rsid w:val="00312115"/>
    <w:rsid w:val="00313612"/>
    <w:rsid w:val="00316053"/>
    <w:rsid w:val="003170AC"/>
    <w:rsid w:val="00326C24"/>
    <w:rsid w:val="0033070E"/>
    <w:rsid w:val="003309CA"/>
    <w:rsid w:val="003440C7"/>
    <w:rsid w:val="00350779"/>
    <w:rsid w:val="00353D81"/>
    <w:rsid w:val="00354743"/>
    <w:rsid w:val="00365D2C"/>
    <w:rsid w:val="00367C2D"/>
    <w:rsid w:val="0037028F"/>
    <w:rsid w:val="003719BF"/>
    <w:rsid w:val="00372D85"/>
    <w:rsid w:val="00375010"/>
    <w:rsid w:val="0037728A"/>
    <w:rsid w:val="00377427"/>
    <w:rsid w:val="00383ABF"/>
    <w:rsid w:val="00386B68"/>
    <w:rsid w:val="00386E17"/>
    <w:rsid w:val="003870C6"/>
    <w:rsid w:val="0038758C"/>
    <w:rsid w:val="003913F1"/>
    <w:rsid w:val="003926BB"/>
    <w:rsid w:val="00393A61"/>
    <w:rsid w:val="00394454"/>
    <w:rsid w:val="00395655"/>
    <w:rsid w:val="003A0965"/>
    <w:rsid w:val="003A3374"/>
    <w:rsid w:val="003A373E"/>
    <w:rsid w:val="003A3D0E"/>
    <w:rsid w:val="003A4424"/>
    <w:rsid w:val="003A530C"/>
    <w:rsid w:val="003A5841"/>
    <w:rsid w:val="003A7B17"/>
    <w:rsid w:val="003B29B0"/>
    <w:rsid w:val="003B2DA8"/>
    <w:rsid w:val="003B3044"/>
    <w:rsid w:val="003B6C2D"/>
    <w:rsid w:val="003B7464"/>
    <w:rsid w:val="003C0D20"/>
    <w:rsid w:val="003C16A9"/>
    <w:rsid w:val="003C202D"/>
    <w:rsid w:val="003D47C4"/>
    <w:rsid w:val="003D724F"/>
    <w:rsid w:val="003D7CE2"/>
    <w:rsid w:val="003E4413"/>
    <w:rsid w:val="003E4724"/>
    <w:rsid w:val="003E5B26"/>
    <w:rsid w:val="003F09F7"/>
    <w:rsid w:val="003F1AA1"/>
    <w:rsid w:val="003F24BC"/>
    <w:rsid w:val="003F6CD5"/>
    <w:rsid w:val="00401B80"/>
    <w:rsid w:val="00402CC7"/>
    <w:rsid w:val="00402D70"/>
    <w:rsid w:val="00403CE4"/>
    <w:rsid w:val="004075A3"/>
    <w:rsid w:val="00410A3F"/>
    <w:rsid w:val="0041144F"/>
    <w:rsid w:val="004143B1"/>
    <w:rsid w:val="00415A55"/>
    <w:rsid w:val="004228EE"/>
    <w:rsid w:val="00425A1E"/>
    <w:rsid w:val="00425FCB"/>
    <w:rsid w:val="00430F1B"/>
    <w:rsid w:val="004327E1"/>
    <w:rsid w:val="00434240"/>
    <w:rsid w:val="00434641"/>
    <w:rsid w:val="00434CDD"/>
    <w:rsid w:val="00434EE3"/>
    <w:rsid w:val="004355D0"/>
    <w:rsid w:val="004355E8"/>
    <w:rsid w:val="00436435"/>
    <w:rsid w:val="004403AB"/>
    <w:rsid w:val="00445460"/>
    <w:rsid w:val="00446B03"/>
    <w:rsid w:val="0044797F"/>
    <w:rsid w:val="00455C2A"/>
    <w:rsid w:val="004563A2"/>
    <w:rsid w:val="00472F61"/>
    <w:rsid w:val="00481DE1"/>
    <w:rsid w:val="00484DBC"/>
    <w:rsid w:val="00490BA0"/>
    <w:rsid w:val="00494834"/>
    <w:rsid w:val="0049486C"/>
    <w:rsid w:val="004A2F70"/>
    <w:rsid w:val="004A409F"/>
    <w:rsid w:val="004A48D9"/>
    <w:rsid w:val="004A6B2D"/>
    <w:rsid w:val="004B2C3F"/>
    <w:rsid w:val="004B3D95"/>
    <w:rsid w:val="004C35AB"/>
    <w:rsid w:val="004D07B0"/>
    <w:rsid w:val="004D5695"/>
    <w:rsid w:val="004D665B"/>
    <w:rsid w:val="004D7B86"/>
    <w:rsid w:val="004E3131"/>
    <w:rsid w:val="004F53E6"/>
    <w:rsid w:val="004F54FF"/>
    <w:rsid w:val="00503218"/>
    <w:rsid w:val="00505873"/>
    <w:rsid w:val="00506F28"/>
    <w:rsid w:val="005146EC"/>
    <w:rsid w:val="00515BBE"/>
    <w:rsid w:val="005169CB"/>
    <w:rsid w:val="00517337"/>
    <w:rsid w:val="005173FC"/>
    <w:rsid w:val="00524226"/>
    <w:rsid w:val="0052516E"/>
    <w:rsid w:val="00527330"/>
    <w:rsid w:val="00536596"/>
    <w:rsid w:val="005366FF"/>
    <w:rsid w:val="00537A32"/>
    <w:rsid w:val="0054602B"/>
    <w:rsid w:val="00546375"/>
    <w:rsid w:val="00546B07"/>
    <w:rsid w:val="005620CA"/>
    <w:rsid w:val="00572401"/>
    <w:rsid w:val="005732E6"/>
    <w:rsid w:val="00576596"/>
    <w:rsid w:val="00577C30"/>
    <w:rsid w:val="005812FF"/>
    <w:rsid w:val="005819C8"/>
    <w:rsid w:val="00581A71"/>
    <w:rsid w:val="0058422E"/>
    <w:rsid w:val="00584B84"/>
    <w:rsid w:val="005905A0"/>
    <w:rsid w:val="005910FD"/>
    <w:rsid w:val="00591EC0"/>
    <w:rsid w:val="00592C4F"/>
    <w:rsid w:val="005938E7"/>
    <w:rsid w:val="00597535"/>
    <w:rsid w:val="005A54B4"/>
    <w:rsid w:val="005A7050"/>
    <w:rsid w:val="005B3CBC"/>
    <w:rsid w:val="005B486F"/>
    <w:rsid w:val="005B510A"/>
    <w:rsid w:val="005B6972"/>
    <w:rsid w:val="005C0659"/>
    <w:rsid w:val="005C0740"/>
    <w:rsid w:val="005C108B"/>
    <w:rsid w:val="005C18D0"/>
    <w:rsid w:val="005C3DA5"/>
    <w:rsid w:val="005E2026"/>
    <w:rsid w:val="005E3513"/>
    <w:rsid w:val="005E7469"/>
    <w:rsid w:val="005E75E1"/>
    <w:rsid w:val="005F4914"/>
    <w:rsid w:val="005F5DF6"/>
    <w:rsid w:val="005F5FA1"/>
    <w:rsid w:val="005F7D42"/>
    <w:rsid w:val="0060088C"/>
    <w:rsid w:val="00603D52"/>
    <w:rsid w:val="00604F05"/>
    <w:rsid w:val="006113D6"/>
    <w:rsid w:val="00611D31"/>
    <w:rsid w:val="006156C6"/>
    <w:rsid w:val="006160C4"/>
    <w:rsid w:val="006202A1"/>
    <w:rsid w:val="0062319E"/>
    <w:rsid w:val="00625432"/>
    <w:rsid w:val="00626E42"/>
    <w:rsid w:val="00627EDA"/>
    <w:rsid w:val="00636200"/>
    <w:rsid w:val="00645DC7"/>
    <w:rsid w:val="0064724F"/>
    <w:rsid w:val="006507CB"/>
    <w:rsid w:val="00651D68"/>
    <w:rsid w:val="00652D30"/>
    <w:rsid w:val="00656314"/>
    <w:rsid w:val="00661BE8"/>
    <w:rsid w:val="00667B6F"/>
    <w:rsid w:val="00667F82"/>
    <w:rsid w:val="006700AA"/>
    <w:rsid w:val="00671007"/>
    <w:rsid w:val="00677A0D"/>
    <w:rsid w:val="00683087"/>
    <w:rsid w:val="00685653"/>
    <w:rsid w:val="006930D1"/>
    <w:rsid w:val="006931AD"/>
    <w:rsid w:val="006940BB"/>
    <w:rsid w:val="00696CF0"/>
    <w:rsid w:val="00697001"/>
    <w:rsid w:val="006A1788"/>
    <w:rsid w:val="006A3D9F"/>
    <w:rsid w:val="006A666D"/>
    <w:rsid w:val="006B2427"/>
    <w:rsid w:val="006B2D99"/>
    <w:rsid w:val="006B457E"/>
    <w:rsid w:val="006B6E38"/>
    <w:rsid w:val="006C1CE3"/>
    <w:rsid w:val="006D3958"/>
    <w:rsid w:val="006D58E2"/>
    <w:rsid w:val="006D7B6B"/>
    <w:rsid w:val="006E2E3E"/>
    <w:rsid w:val="006E3838"/>
    <w:rsid w:val="006E3C40"/>
    <w:rsid w:val="006E66FD"/>
    <w:rsid w:val="006E7699"/>
    <w:rsid w:val="006E7D6B"/>
    <w:rsid w:val="006F1147"/>
    <w:rsid w:val="006F27AC"/>
    <w:rsid w:val="006F2BBC"/>
    <w:rsid w:val="006F3E5C"/>
    <w:rsid w:val="006F627D"/>
    <w:rsid w:val="0070009D"/>
    <w:rsid w:val="00701544"/>
    <w:rsid w:val="00701CB8"/>
    <w:rsid w:val="00701E47"/>
    <w:rsid w:val="00706A99"/>
    <w:rsid w:val="00707E57"/>
    <w:rsid w:val="00707F49"/>
    <w:rsid w:val="007103B5"/>
    <w:rsid w:val="00717D94"/>
    <w:rsid w:val="007213BB"/>
    <w:rsid w:val="0072758F"/>
    <w:rsid w:val="007314EF"/>
    <w:rsid w:val="00731A1C"/>
    <w:rsid w:val="00731FF4"/>
    <w:rsid w:val="0073763E"/>
    <w:rsid w:val="007427F1"/>
    <w:rsid w:val="007452A0"/>
    <w:rsid w:val="00745376"/>
    <w:rsid w:val="00745FCA"/>
    <w:rsid w:val="00747943"/>
    <w:rsid w:val="00752BD5"/>
    <w:rsid w:val="00753090"/>
    <w:rsid w:val="0075573F"/>
    <w:rsid w:val="00756861"/>
    <w:rsid w:val="00756D99"/>
    <w:rsid w:val="00756F20"/>
    <w:rsid w:val="00760772"/>
    <w:rsid w:val="00760DDE"/>
    <w:rsid w:val="007620AE"/>
    <w:rsid w:val="00763679"/>
    <w:rsid w:val="00772715"/>
    <w:rsid w:val="00774144"/>
    <w:rsid w:val="0077536C"/>
    <w:rsid w:val="00782538"/>
    <w:rsid w:val="007828DD"/>
    <w:rsid w:val="00783FAB"/>
    <w:rsid w:val="00785B13"/>
    <w:rsid w:val="00791AAC"/>
    <w:rsid w:val="00795969"/>
    <w:rsid w:val="007A0558"/>
    <w:rsid w:val="007A1D14"/>
    <w:rsid w:val="007A6AF0"/>
    <w:rsid w:val="007B0CE8"/>
    <w:rsid w:val="007B44CD"/>
    <w:rsid w:val="007B4836"/>
    <w:rsid w:val="007C3355"/>
    <w:rsid w:val="007C5020"/>
    <w:rsid w:val="007D12B2"/>
    <w:rsid w:val="007D1F16"/>
    <w:rsid w:val="007D4E08"/>
    <w:rsid w:val="007E00A8"/>
    <w:rsid w:val="007E16D6"/>
    <w:rsid w:val="007E2197"/>
    <w:rsid w:val="007E3446"/>
    <w:rsid w:val="007E3447"/>
    <w:rsid w:val="007E36E5"/>
    <w:rsid w:val="007E6EC6"/>
    <w:rsid w:val="007F51C0"/>
    <w:rsid w:val="007F563E"/>
    <w:rsid w:val="00803447"/>
    <w:rsid w:val="008035CF"/>
    <w:rsid w:val="0080510C"/>
    <w:rsid w:val="0080584E"/>
    <w:rsid w:val="00805FEB"/>
    <w:rsid w:val="00811E34"/>
    <w:rsid w:val="00812C37"/>
    <w:rsid w:val="008134D5"/>
    <w:rsid w:val="00813A38"/>
    <w:rsid w:val="00823588"/>
    <w:rsid w:val="00823A73"/>
    <w:rsid w:val="00823B66"/>
    <w:rsid w:val="00824A98"/>
    <w:rsid w:val="0082544B"/>
    <w:rsid w:val="008310AA"/>
    <w:rsid w:val="00834114"/>
    <w:rsid w:val="00836B85"/>
    <w:rsid w:val="00843812"/>
    <w:rsid w:val="00844D23"/>
    <w:rsid w:val="0084584D"/>
    <w:rsid w:val="00846C17"/>
    <w:rsid w:val="008517D8"/>
    <w:rsid w:val="00855239"/>
    <w:rsid w:val="00856BC4"/>
    <w:rsid w:val="008576C8"/>
    <w:rsid w:val="0086669D"/>
    <w:rsid w:val="00867101"/>
    <w:rsid w:val="008755D8"/>
    <w:rsid w:val="0088497A"/>
    <w:rsid w:val="00892714"/>
    <w:rsid w:val="00897AFA"/>
    <w:rsid w:val="008A1C12"/>
    <w:rsid w:val="008A1F97"/>
    <w:rsid w:val="008A6224"/>
    <w:rsid w:val="008B478B"/>
    <w:rsid w:val="008B61B7"/>
    <w:rsid w:val="008C48EF"/>
    <w:rsid w:val="008C497B"/>
    <w:rsid w:val="008C5CE9"/>
    <w:rsid w:val="008C76FD"/>
    <w:rsid w:val="008D6F46"/>
    <w:rsid w:val="008D72EA"/>
    <w:rsid w:val="008D7625"/>
    <w:rsid w:val="008E18EA"/>
    <w:rsid w:val="008E30D6"/>
    <w:rsid w:val="008E30D9"/>
    <w:rsid w:val="008E54BF"/>
    <w:rsid w:val="008E68D3"/>
    <w:rsid w:val="008E79DF"/>
    <w:rsid w:val="008F002D"/>
    <w:rsid w:val="008F43E8"/>
    <w:rsid w:val="00902A26"/>
    <w:rsid w:val="00903257"/>
    <w:rsid w:val="009048A2"/>
    <w:rsid w:val="00905C61"/>
    <w:rsid w:val="00907D61"/>
    <w:rsid w:val="00910064"/>
    <w:rsid w:val="009114DC"/>
    <w:rsid w:val="00911D92"/>
    <w:rsid w:val="009121D3"/>
    <w:rsid w:val="00913DC1"/>
    <w:rsid w:val="009176F5"/>
    <w:rsid w:val="00924159"/>
    <w:rsid w:val="009258C9"/>
    <w:rsid w:val="00931ED7"/>
    <w:rsid w:val="00933AD6"/>
    <w:rsid w:val="009421AA"/>
    <w:rsid w:val="0094476A"/>
    <w:rsid w:val="0094774B"/>
    <w:rsid w:val="00951019"/>
    <w:rsid w:val="00954698"/>
    <w:rsid w:val="00970AAB"/>
    <w:rsid w:val="00974504"/>
    <w:rsid w:val="00975A4A"/>
    <w:rsid w:val="00976413"/>
    <w:rsid w:val="009767B4"/>
    <w:rsid w:val="00977D37"/>
    <w:rsid w:val="009807AE"/>
    <w:rsid w:val="00990334"/>
    <w:rsid w:val="00991158"/>
    <w:rsid w:val="0099199E"/>
    <w:rsid w:val="0099258B"/>
    <w:rsid w:val="00995C44"/>
    <w:rsid w:val="009A04A5"/>
    <w:rsid w:val="009A359E"/>
    <w:rsid w:val="009A35A0"/>
    <w:rsid w:val="009A717F"/>
    <w:rsid w:val="009A7CFA"/>
    <w:rsid w:val="009B0C51"/>
    <w:rsid w:val="009B2183"/>
    <w:rsid w:val="009B29AC"/>
    <w:rsid w:val="009B4B7F"/>
    <w:rsid w:val="009C0911"/>
    <w:rsid w:val="009C0B21"/>
    <w:rsid w:val="009C0F35"/>
    <w:rsid w:val="009C10C1"/>
    <w:rsid w:val="009C4F55"/>
    <w:rsid w:val="009C5E5D"/>
    <w:rsid w:val="009D0999"/>
    <w:rsid w:val="009D23FB"/>
    <w:rsid w:val="009D7562"/>
    <w:rsid w:val="009E0803"/>
    <w:rsid w:val="009E0A3A"/>
    <w:rsid w:val="009E7C1C"/>
    <w:rsid w:val="009F13BF"/>
    <w:rsid w:val="009F1D34"/>
    <w:rsid w:val="009F38FA"/>
    <w:rsid w:val="009F4C47"/>
    <w:rsid w:val="009F528F"/>
    <w:rsid w:val="009F6AC9"/>
    <w:rsid w:val="00A105DA"/>
    <w:rsid w:val="00A10A26"/>
    <w:rsid w:val="00A11CE8"/>
    <w:rsid w:val="00A146DF"/>
    <w:rsid w:val="00A20031"/>
    <w:rsid w:val="00A202D5"/>
    <w:rsid w:val="00A23CDC"/>
    <w:rsid w:val="00A23F8D"/>
    <w:rsid w:val="00A24596"/>
    <w:rsid w:val="00A24B24"/>
    <w:rsid w:val="00A25E6C"/>
    <w:rsid w:val="00A40E3D"/>
    <w:rsid w:val="00A40EA6"/>
    <w:rsid w:val="00A43C61"/>
    <w:rsid w:val="00A46B61"/>
    <w:rsid w:val="00A47C4E"/>
    <w:rsid w:val="00A52753"/>
    <w:rsid w:val="00A550E8"/>
    <w:rsid w:val="00A556D1"/>
    <w:rsid w:val="00A56E8B"/>
    <w:rsid w:val="00A71133"/>
    <w:rsid w:val="00A7209C"/>
    <w:rsid w:val="00A761C7"/>
    <w:rsid w:val="00A768B4"/>
    <w:rsid w:val="00A77D42"/>
    <w:rsid w:val="00A82E17"/>
    <w:rsid w:val="00A8391C"/>
    <w:rsid w:val="00A85075"/>
    <w:rsid w:val="00A871B2"/>
    <w:rsid w:val="00A9007B"/>
    <w:rsid w:val="00A90245"/>
    <w:rsid w:val="00A93F1F"/>
    <w:rsid w:val="00A962E3"/>
    <w:rsid w:val="00AA12F7"/>
    <w:rsid w:val="00AA3173"/>
    <w:rsid w:val="00AA3A3E"/>
    <w:rsid w:val="00AB19B6"/>
    <w:rsid w:val="00AB1D5C"/>
    <w:rsid w:val="00AC6ABA"/>
    <w:rsid w:val="00AD1C80"/>
    <w:rsid w:val="00AD2E24"/>
    <w:rsid w:val="00AD5627"/>
    <w:rsid w:val="00AD65C9"/>
    <w:rsid w:val="00AD6639"/>
    <w:rsid w:val="00AE3375"/>
    <w:rsid w:val="00AE3A8E"/>
    <w:rsid w:val="00AE4A25"/>
    <w:rsid w:val="00AE5CCB"/>
    <w:rsid w:val="00AE7179"/>
    <w:rsid w:val="00AF58D0"/>
    <w:rsid w:val="00AF6215"/>
    <w:rsid w:val="00AF6F6E"/>
    <w:rsid w:val="00B00A18"/>
    <w:rsid w:val="00B0725F"/>
    <w:rsid w:val="00B11323"/>
    <w:rsid w:val="00B13A2F"/>
    <w:rsid w:val="00B145D2"/>
    <w:rsid w:val="00B178D3"/>
    <w:rsid w:val="00B20F86"/>
    <w:rsid w:val="00B22F73"/>
    <w:rsid w:val="00B24C63"/>
    <w:rsid w:val="00B30E95"/>
    <w:rsid w:val="00B339F8"/>
    <w:rsid w:val="00B4065C"/>
    <w:rsid w:val="00B43512"/>
    <w:rsid w:val="00B52CD8"/>
    <w:rsid w:val="00B604EB"/>
    <w:rsid w:val="00B6108C"/>
    <w:rsid w:val="00B67F7B"/>
    <w:rsid w:val="00B70B46"/>
    <w:rsid w:val="00B739E2"/>
    <w:rsid w:val="00B8151D"/>
    <w:rsid w:val="00B819AA"/>
    <w:rsid w:val="00B91A2D"/>
    <w:rsid w:val="00B95D11"/>
    <w:rsid w:val="00BA1A52"/>
    <w:rsid w:val="00BA30BD"/>
    <w:rsid w:val="00BA4930"/>
    <w:rsid w:val="00BA54AA"/>
    <w:rsid w:val="00BA654E"/>
    <w:rsid w:val="00BA7A46"/>
    <w:rsid w:val="00BB2109"/>
    <w:rsid w:val="00BB2C6B"/>
    <w:rsid w:val="00BB38D4"/>
    <w:rsid w:val="00BB4D85"/>
    <w:rsid w:val="00BB61E4"/>
    <w:rsid w:val="00BB631E"/>
    <w:rsid w:val="00BB71A8"/>
    <w:rsid w:val="00BC4BD5"/>
    <w:rsid w:val="00BC50A3"/>
    <w:rsid w:val="00BD2475"/>
    <w:rsid w:val="00BD2ED2"/>
    <w:rsid w:val="00BD41D4"/>
    <w:rsid w:val="00BD465A"/>
    <w:rsid w:val="00BD47A9"/>
    <w:rsid w:val="00BD5316"/>
    <w:rsid w:val="00BD5A86"/>
    <w:rsid w:val="00BD6AC2"/>
    <w:rsid w:val="00BD7CDC"/>
    <w:rsid w:val="00BE214C"/>
    <w:rsid w:val="00BE3046"/>
    <w:rsid w:val="00BE68F9"/>
    <w:rsid w:val="00BF2A9B"/>
    <w:rsid w:val="00BF3425"/>
    <w:rsid w:val="00BF3DAE"/>
    <w:rsid w:val="00C02595"/>
    <w:rsid w:val="00C12197"/>
    <w:rsid w:val="00C13110"/>
    <w:rsid w:val="00C1330A"/>
    <w:rsid w:val="00C145EB"/>
    <w:rsid w:val="00C2416A"/>
    <w:rsid w:val="00C30704"/>
    <w:rsid w:val="00C30E45"/>
    <w:rsid w:val="00C325A5"/>
    <w:rsid w:val="00C36A15"/>
    <w:rsid w:val="00C3701B"/>
    <w:rsid w:val="00C37043"/>
    <w:rsid w:val="00C4300F"/>
    <w:rsid w:val="00C45661"/>
    <w:rsid w:val="00C5010C"/>
    <w:rsid w:val="00C62BC1"/>
    <w:rsid w:val="00C64879"/>
    <w:rsid w:val="00C66953"/>
    <w:rsid w:val="00C712E2"/>
    <w:rsid w:val="00C72E9B"/>
    <w:rsid w:val="00C73133"/>
    <w:rsid w:val="00C731FA"/>
    <w:rsid w:val="00C7617C"/>
    <w:rsid w:val="00C818AB"/>
    <w:rsid w:val="00C82C91"/>
    <w:rsid w:val="00C82F0C"/>
    <w:rsid w:val="00C846A2"/>
    <w:rsid w:val="00C90E38"/>
    <w:rsid w:val="00C90EFC"/>
    <w:rsid w:val="00C90FC4"/>
    <w:rsid w:val="00C954B7"/>
    <w:rsid w:val="00C9591A"/>
    <w:rsid w:val="00C97E14"/>
    <w:rsid w:val="00CA1549"/>
    <w:rsid w:val="00CA46AC"/>
    <w:rsid w:val="00CA4F71"/>
    <w:rsid w:val="00CB24D6"/>
    <w:rsid w:val="00CB337B"/>
    <w:rsid w:val="00CB45D5"/>
    <w:rsid w:val="00CB7A83"/>
    <w:rsid w:val="00CC3AE0"/>
    <w:rsid w:val="00CC3C0B"/>
    <w:rsid w:val="00CC3CD3"/>
    <w:rsid w:val="00CC4C6D"/>
    <w:rsid w:val="00CD20F8"/>
    <w:rsid w:val="00CD3705"/>
    <w:rsid w:val="00CD6E72"/>
    <w:rsid w:val="00CE3EA5"/>
    <w:rsid w:val="00CF1C96"/>
    <w:rsid w:val="00CF5A8C"/>
    <w:rsid w:val="00CF64D1"/>
    <w:rsid w:val="00D010D3"/>
    <w:rsid w:val="00D05A8C"/>
    <w:rsid w:val="00D119DD"/>
    <w:rsid w:val="00D14A9D"/>
    <w:rsid w:val="00D17A67"/>
    <w:rsid w:val="00D17FC6"/>
    <w:rsid w:val="00D217D1"/>
    <w:rsid w:val="00D2517F"/>
    <w:rsid w:val="00D259FA"/>
    <w:rsid w:val="00D3758C"/>
    <w:rsid w:val="00D46134"/>
    <w:rsid w:val="00D468A9"/>
    <w:rsid w:val="00D46B28"/>
    <w:rsid w:val="00D502B7"/>
    <w:rsid w:val="00D50946"/>
    <w:rsid w:val="00D5387E"/>
    <w:rsid w:val="00D56A3B"/>
    <w:rsid w:val="00D61A73"/>
    <w:rsid w:val="00D62A2E"/>
    <w:rsid w:val="00D63270"/>
    <w:rsid w:val="00D63CDD"/>
    <w:rsid w:val="00D6472B"/>
    <w:rsid w:val="00D65EDC"/>
    <w:rsid w:val="00D66B65"/>
    <w:rsid w:val="00D70EAE"/>
    <w:rsid w:val="00D73415"/>
    <w:rsid w:val="00D74B9B"/>
    <w:rsid w:val="00D773CB"/>
    <w:rsid w:val="00D8103E"/>
    <w:rsid w:val="00D818BA"/>
    <w:rsid w:val="00D842A2"/>
    <w:rsid w:val="00D84946"/>
    <w:rsid w:val="00D902D3"/>
    <w:rsid w:val="00D90C2E"/>
    <w:rsid w:val="00D93741"/>
    <w:rsid w:val="00D97F55"/>
    <w:rsid w:val="00DA1AC0"/>
    <w:rsid w:val="00DA552F"/>
    <w:rsid w:val="00DA6CF7"/>
    <w:rsid w:val="00DB1C9E"/>
    <w:rsid w:val="00DB2434"/>
    <w:rsid w:val="00DB461B"/>
    <w:rsid w:val="00DB4D35"/>
    <w:rsid w:val="00DB6247"/>
    <w:rsid w:val="00DB6E9C"/>
    <w:rsid w:val="00DC1795"/>
    <w:rsid w:val="00DC3E8C"/>
    <w:rsid w:val="00DC4A82"/>
    <w:rsid w:val="00DC4B5E"/>
    <w:rsid w:val="00DD1234"/>
    <w:rsid w:val="00DD408F"/>
    <w:rsid w:val="00DD5F43"/>
    <w:rsid w:val="00DD651A"/>
    <w:rsid w:val="00DD7496"/>
    <w:rsid w:val="00DD7B03"/>
    <w:rsid w:val="00DE02BB"/>
    <w:rsid w:val="00DE1334"/>
    <w:rsid w:val="00DE16DD"/>
    <w:rsid w:val="00DE41A4"/>
    <w:rsid w:val="00DE5F92"/>
    <w:rsid w:val="00DE715E"/>
    <w:rsid w:val="00DE7C37"/>
    <w:rsid w:val="00DF13F3"/>
    <w:rsid w:val="00DF220F"/>
    <w:rsid w:val="00DF3683"/>
    <w:rsid w:val="00DF46B2"/>
    <w:rsid w:val="00DF61B7"/>
    <w:rsid w:val="00E01C32"/>
    <w:rsid w:val="00E01F85"/>
    <w:rsid w:val="00E1257E"/>
    <w:rsid w:val="00E24E50"/>
    <w:rsid w:val="00E251EE"/>
    <w:rsid w:val="00E302D5"/>
    <w:rsid w:val="00E33927"/>
    <w:rsid w:val="00E33FED"/>
    <w:rsid w:val="00E40E0F"/>
    <w:rsid w:val="00E43542"/>
    <w:rsid w:val="00E5541C"/>
    <w:rsid w:val="00E55D04"/>
    <w:rsid w:val="00E60A2A"/>
    <w:rsid w:val="00E62C51"/>
    <w:rsid w:val="00E631F9"/>
    <w:rsid w:val="00E662FD"/>
    <w:rsid w:val="00E721CE"/>
    <w:rsid w:val="00E72FD0"/>
    <w:rsid w:val="00E757D0"/>
    <w:rsid w:val="00E767BE"/>
    <w:rsid w:val="00E81357"/>
    <w:rsid w:val="00E83BBC"/>
    <w:rsid w:val="00E8671C"/>
    <w:rsid w:val="00E90298"/>
    <w:rsid w:val="00E916A2"/>
    <w:rsid w:val="00E91930"/>
    <w:rsid w:val="00E97BC9"/>
    <w:rsid w:val="00EA6D4F"/>
    <w:rsid w:val="00EA716A"/>
    <w:rsid w:val="00EA7EA8"/>
    <w:rsid w:val="00EB3CAE"/>
    <w:rsid w:val="00EC0A15"/>
    <w:rsid w:val="00EE0DF5"/>
    <w:rsid w:val="00EE412B"/>
    <w:rsid w:val="00EF4ACB"/>
    <w:rsid w:val="00EF68C3"/>
    <w:rsid w:val="00F00674"/>
    <w:rsid w:val="00F034F1"/>
    <w:rsid w:val="00F03635"/>
    <w:rsid w:val="00F0455E"/>
    <w:rsid w:val="00F0609A"/>
    <w:rsid w:val="00F06562"/>
    <w:rsid w:val="00F1230D"/>
    <w:rsid w:val="00F14BCE"/>
    <w:rsid w:val="00F16C61"/>
    <w:rsid w:val="00F21042"/>
    <w:rsid w:val="00F21FAC"/>
    <w:rsid w:val="00F229BF"/>
    <w:rsid w:val="00F3264E"/>
    <w:rsid w:val="00F36014"/>
    <w:rsid w:val="00F36E18"/>
    <w:rsid w:val="00F37BC2"/>
    <w:rsid w:val="00F43DAD"/>
    <w:rsid w:val="00F45857"/>
    <w:rsid w:val="00F459C0"/>
    <w:rsid w:val="00F513EB"/>
    <w:rsid w:val="00F5236B"/>
    <w:rsid w:val="00F5252A"/>
    <w:rsid w:val="00F54266"/>
    <w:rsid w:val="00F552D2"/>
    <w:rsid w:val="00F5679F"/>
    <w:rsid w:val="00F60D6A"/>
    <w:rsid w:val="00F60F15"/>
    <w:rsid w:val="00F62708"/>
    <w:rsid w:val="00F645F6"/>
    <w:rsid w:val="00F6460E"/>
    <w:rsid w:val="00F64CB4"/>
    <w:rsid w:val="00F65889"/>
    <w:rsid w:val="00F70916"/>
    <w:rsid w:val="00F72398"/>
    <w:rsid w:val="00F74CC9"/>
    <w:rsid w:val="00F7573F"/>
    <w:rsid w:val="00F77106"/>
    <w:rsid w:val="00F8338A"/>
    <w:rsid w:val="00F85B48"/>
    <w:rsid w:val="00F861AE"/>
    <w:rsid w:val="00F86E01"/>
    <w:rsid w:val="00F871D7"/>
    <w:rsid w:val="00F87FB6"/>
    <w:rsid w:val="00F90098"/>
    <w:rsid w:val="00F9205E"/>
    <w:rsid w:val="00F92FA5"/>
    <w:rsid w:val="00F935BD"/>
    <w:rsid w:val="00F96889"/>
    <w:rsid w:val="00F97BF3"/>
    <w:rsid w:val="00FA6309"/>
    <w:rsid w:val="00FA6319"/>
    <w:rsid w:val="00FB14CA"/>
    <w:rsid w:val="00FB26DE"/>
    <w:rsid w:val="00FB45EF"/>
    <w:rsid w:val="00FB46DD"/>
    <w:rsid w:val="00FB656A"/>
    <w:rsid w:val="00FB7019"/>
    <w:rsid w:val="00FC522B"/>
    <w:rsid w:val="00FD0A30"/>
    <w:rsid w:val="00FD1A80"/>
    <w:rsid w:val="00FE2D77"/>
    <w:rsid w:val="00FE2F0A"/>
    <w:rsid w:val="00FF2A10"/>
    <w:rsid w:val="00FF3968"/>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144738270">
      <w:bodyDiv w:val="1"/>
      <w:marLeft w:val="0"/>
      <w:marRight w:val="0"/>
      <w:marTop w:val="0"/>
      <w:marBottom w:val="0"/>
      <w:divBdr>
        <w:top w:val="none" w:sz="0" w:space="0" w:color="auto"/>
        <w:left w:val="none" w:sz="0" w:space="0" w:color="auto"/>
        <w:bottom w:val="none" w:sz="0" w:space="0" w:color="auto"/>
        <w:right w:val="none" w:sz="0" w:space="0" w:color="auto"/>
      </w:divBdr>
    </w:div>
    <w:div w:id="1209418463">
      <w:bodyDiv w:val="1"/>
      <w:marLeft w:val="0"/>
      <w:marRight w:val="0"/>
      <w:marTop w:val="0"/>
      <w:marBottom w:val="0"/>
      <w:divBdr>
        <w:top w:val="none" w:sz="0" w:space="0" w:color="auto"/>
        <w:left w:val="none" w:sz="0" w:space="0" w:color="auto"/>
        <w:bottom w:val="none" w:sz="0" w:space="0" w:color="auto"/>
        <w:right w:val="none" w:sz="0" w:space="0" w:color="auto"/>
      </w:divBdr>
    </w:div>
    <w:div w:id="1349912605">
      <w:bodyDiv w:val="1"/>
      <w:marLeft w:val="0"/>
      <w:marRight w:val="0"/>
      <w:marTop w:val="0"/>
      <w:marBottom w:val="0"/>
      <w:divBdr>
        <w:top w:val="none" w:sz="0" w:space="0" w:color="auto"/>
        <w:left w:val="none" w:sz="0" w:space="0" w:color="auto"/>
        <w:bottom w:val="none" w:sz="0" w:space="0" w:color="auto"/>
        <w:right w:val="none" w:sz="0" w:space="0" w:color="auto"/>
      </w:divBdr>
    </w:div>
    <w:div w:id="17818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A60B355-B889-466D-B412-58C250AF02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689AB23CDD2BF4AB3D90B120DDC2F5E" ma:contentTypeVersion="" ma:contentTypeDescription="PDMS Document Site Content Type" ma:contentTypeScope="" ma:versionID="adba0618f3fc3252598f845f2825b116">
  <xsd:schema xmlns:xsd="http://www.w3.org/2001/XMLSchema" xmlns:xs="http://www.w3.org/2001/XMLSchema" xmlns:p="http://schemas.microsoft.com/office/2006/metadata/properties" xmlns:ns2="4A60B355-B889-466D-B412-58C250AF026E" targetNamespace="http://schemas.microsoft.com/office/2006/metadata/properties" ma:root="true" ma:fieldsID="2402415517dba1cd5027dc9407f515c8" ns2:_="">
    <xsd:import namespace="4A60B355-B889-466D-B412-58C250AF026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0B355-B889-466D-B412-58C250AF026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F429-4198-4ECD-8E59-23F01B09005A}">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terms/"/>
    <ds:schemaRef ds:uri="4A60B355-B889-466D-B412-58C250AF026E"/>
    <ds:schemaRef ds:uri="http://purl.org/dc/dcmitype/"/>
  </ds:schemaRefs>
</ds:datastoreItem>
</file>

<file path=customXml/itemProps2.xml><?xml version="1.0" encoding="utf-8"?>
<ds:datastoreItem xmlns:ds="http://schemas.openxmlformats.org/officeDocument/2006/customXml" ds:itemID="{90DA3F04-02AA-42E5-AF90-7160DB834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0B355-B889-466D-B412-58C250AF0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F3B610EE-0F70-4F01-817A-5807EACF19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NIGHTINGALE,Craig</cp:lastModifiedBy>
  <cp:revision>2</cp:revision>
  <cp:lastPrinted>2019-11-17T23:12:00Z</cp:lastPrinted>
  <dcterms:created xsi:type="dcterms:W3CDTF">2024-12-18T00:18:00Z</dcterms:created>
  <dcterms:modified xsi:type="dcterms:W3CDTF">2024-12-18T00:18:00Z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0x010100266966F133664895A6EE3632470D45F5004689AB23CDD2BF4AB3D90B120DDC2F5E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