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A3ACD" w14:textId="77777777" w:rsidR="00FF6E25" w:rsidRPr="006156C6" w:rsidRDefault="00FF6E25" w:rsidP="000C310A">
      <w:pPr>
        <w:pStyle w:val="Title"/>
      </w:pPr>
      <w:r w:rsidRPr="006156C6">
        <w:t>EXPLANATORY STATEMENT</w:t>
      </w:r>
    </w:p>
    <w:p w14:paraId="145EC655" w14:textId="783D17B5" w:rsidR="0088497A" w:rsidRPr="000C310A" w:rsidRDefault="0088497A" w:rsidP="000C310A">
      <w:pPr>
        <w:pStyle w:val="Subtitle"/>
        <w:rPr>
          <w:rStyle w:val="IntenseEmphasis"/>
          <w:color w:val="auto"/>
          <w:highlight w:val="yellow"/>
        </w:rPr>
      </w:pPr>
      <w:r w:rsidRPr="000C310A">
        <w:rPr>
          <w:rStyle w:val="IntenseEmphasis"/>
          <w:color w:val="auto"/>
        </w:rPr>
        <w:t xml:space="preserve">Issued by the </w:t>
      </w:r>
      <w:r w:rsidRPr="006156C6">
        <w:rPr>
          <w:rStyle w:val="IntenseEmphasis"/>
          <w:color w:val="auto"/>
        </w:rPr>
        <w:t xml:space="preserve">authority of </w:t>
      </w:r>
      <w:r w:rsidR="006156C6" w:rsidRPr="006156C6">
        <w:rPr>
          <w:rStyle w:val="IntenseEmphasis"/>
          <w:color w:val="auto"/>
        </w:rPr>
        <w:t>the Minister for Education</w:t>
      </w:r>
    </w:p>
    <w:p w14:paraId="12EB6806" w14:textId="1D7432D8" w:rsidR="00455C2A" w:rsidRPr="006156C6" w:rsidRDefault="006156C6" w:rsidP="000C310A">
      <w:pPr>
        <w:pStyle w:val="Subtitle"/>
      </w:pPr>
      <w:r w:rsidRPr="006156C6">
        <w:t>Higher Education Support Act 2003</w:t>
      </w:r>
    </w:p>
    <w:p w14:paraId="6C026A0C" w14:textId="4D20C809" w:rsidR="00503218" w:rsidRPr="0088497A" w:rsidRDefault="006156C6" w:rsidP="000C310A">
      <w:pPr>
        <w:pStyle w:val="Subtitle"/>
      </w:pPr>
      <w:r>
        <w:t>Higher Education Support (Other Grants) Amendment (</w:t>
      </w:r>
      <w:r w:rsidR="008D6F46">
        <w:t>National Priorities and Industry Linkage Fund</w:t>
      </w:r>
      <w:r>
        <w:t>) Guidelines 202</w:t>
      </w:r>
      <w:r w:rsidR="008D6F46">
        <w:t>4</w:t>
      </w:r>
    </w:p>
    <w:p w14:paraId="33AB2D38" w14:textId="77777777" w:rsidR="00455C2A" w:rsidRPr="009D0999" w:rsidRDefault="00144950" w:rsidP="000C310A">
      <w:pPr>
        <w:pStyle w:val="Heading1"/>
      </w:pPr>
      <w:bookmarkStart w:id="0" w:name="_Toc23942238"/>
      <w:bookmarkStart w:id="1" w:name="_Toc34293358"/>
      <w:r w:rsidRPr="009D0999">
        <w:t>AUTHORITY</w:t>
      </w:r>
    </w:p>
    <w:p w14:paraId="48F295AF" w14:textId="0E14EFF1" w:rsidR="00DB6247" w:rsidRPr="006156C6" w:rsidRDefault="006156C6" w:rsidP="000C310A">
      <w:pPr>
        <w:spacing w:before="120" w:after="120"/>
      </w:pPr>
      <w:r>
        <w:rPr>
          <w:rFonts w:asciiTheme="minorHAnsi" w:hAnsiTheme="minorHAnsi" w:cstheme="minorHAnsi"/>
          <w:szCs w:val="24"/>
        </w:rPr>
        <w:t xml:space="preserve">Section 238-10 of the </w:t>
      </w:r>
      <w:r>
        <w:rPr>
          <w:rFonts w:asciiTheme="minorHAnsi" w:hAnsiTheme="minorHAnsi" w:cstheme="minorHAnsi"/>
          <w:i/>
          <w:iCs/>
          <w:szCs w:val="24"/>
        </w:rPr>
        <w:t xml:space="preserve">Higher Education Support Act 2003 </w:t>
      </w:r>
      <w:r>
        <w:rPr>
          <w:rFonts w:asciiTheme="minorHAnsi" w:hAnsiTheme="minorHAnsi" w:cstheme="minorHAnsi"/>
          <w:szCs w:val="24"/>
        </w:rPr>
        <w:t xml:space="preserve">(the Act) provides that the Minister may make Other Grants Guidelines to, amongst other things, provide for matters necessary or convenient to be provided in order to carry out, or give effect to, Part 2-3 of the Act in relation to grants payable under that Part. </w:t>
      </w:r>
    </w:p>
    <w:p w14:paraId="4F7BADF6" w14:textId="7A21A695" w:rsidR="00DB6247" w:rsidRPr="002B7CC4" w:rsidRDefault="00DB6247" w:rsidP="006156C6">
      <w:pPr>
        <w:spacing w:before="120" w:after="120"/>
        <w:rPr>
          <w:rFonts w:asciiTheme="minorHAnsi" w:hAnsiTheme="minorHAnsi" w:cstheme="minorHAnsi"/>
          <w:szCs w:val="24"/>
        </w:rPr>
      </w:pPr>
      <w:r w:rsidRPr="006156C6">
        <w:rPr>
          <w:rFonts w:asciiTheme="minorHAnsi" w:hAnsiTheme="minorHAnsi" w:cstheme="minorHAnsi"/>
          <w:szCs w:val="24"/>
        </w:rPr>
        <w:t>Under subsection 33(3) of the </w:t>
      </w:r>
      <w:r w:rsidRPr="006156C6">
        <w:rPr>
          <w:rFonts w:asciiTheme="minorHAnsi" w:hAnsiTheme="minorHAnsi" w:cstheme="minorHAnsi"/>
          <w:i/>
          <w:iCs/>
          <w:szCs w:val="24"/>
        </w:rPr>
        <w:t>Acts Interpretation Act 1901</w:t>
      </w:r>
      <w:r w:rsidRPr="006156C6">
        <w:rPr>
          <w:rFonts w:asciiTheme="minorHAnsi" w:hAnsiTheme="minorHAnsi" w:cstheme="minorHAnsi"/>
          <w:szCs w:val="24"/>
        </w:rPr>
        <w:t>, where an Act confers a power to make, grant or issue any instrument of a legislative or administrative character (including rules, regulations or by</w:t>
      </w:r>
      <w:r w:rsidRPr="006156C6">
        <w:rPr>
          <w:rFonts w:asciiTheme="minorHAnsi" w:hAnsiTheme="minorHAnsi" w:cstheme="minorHAnsi"/>
          <w:szCs w:val="24"/>
        </w:rPr>
        <w:noBreakHyphen/>
        <w:t>laws), the power shall be construed as including a power exercisable in the like manner and subject to the like conditions (if any) to repeal, rescind, revoke, amend, or vary any such instrument.</w:t>
      </w:r>
      <w:r w:rsidR="006156C6">
        <w:rPr>
          <w:rFonts w:asciiTheme="minorHAnsi" w:hAnsiTheme="minorHAnsi" w:cstheme="minorHAnsi"/>
          <w:szCs w:val="24"/>
        </w:rPr>
        <w:t xml:space="preserve"> The amendment to the </w:t>
      </w:r>
      <w:r w:rsidR="006156C6">
        <w:rPr>
          <w:rFonts w:asciiTheme="minorHAnsi" w:hAnsiTheme="minorHAnsi" w:cstheme="minorHAnsi"/>
          <w:i/>
          <w:iCs/>
          <w:szCs w:val="24"/>
        </w:rPr>
        <w:t xml:space="preserve">Higher Education Support (Other Grants) Guidelines 2022 </w:t>
      </w:r>
      <w:r w:rsidR="006156C6">
        <w:rPr>
          <w:rFonts w:asciiTheme="minorHAnsi" w:hAnsiTheme="minorHAnsi" w:cstheme="minorHAnsi"/>
          <w:szCs w:val="24"/>
        </w:rPr>
        <w:t>(the Principal Instrument) made by the</w:t>
      </w:r>
      <w:r w:rsidR="002B7CC4">
        <w:rPr>
          <w:rFonts w:asciiTheme="minorHAnsi" w:hAnsiTheme="minorHAnsi" w:cstheme="minorHAnsi"/>
          <w:szCs w:val="24"/>
        </w:rPr>
        <w:t xml:space="preserve"> </w:t>
      </w:r>
      <w:r w:rsidR="002B7CC4">
        <w:rPr>
          <w:rFonts w:asciiTheme="minorHAnsi" w:hAnsiTheme="minorHAnsi" w:cstheme="minorHAnsi"/>
          <w:i/>
          <w:iCs/>
          <w:szCs w:val="24"/>
        </w:rPr>
        <w:t>Higher Education Support (Other Grants) Amendment (</w:t>
      </w:r>
      <w:r w:rsidR="008D6F46">
        <w:rPr>
          <w:rFonts w:asciiTheme="minorHAnsi" w:hAnsiTheme="minorHAnsi" w:cstheme="minorHAnsi"/>
          <w:i/>
          <w:iCs/>
          <w:szCs w:val="24"/>
        </w:rPr>
        <w:t>National Priorities and Industry Linkage Fund</w:t>
      </w:r>
      <w:r w:rsidR="002B7CC4">
        <w:rPr>
          <w:rFonts w:asciiTheme="minorHAnsi" w:hAnsiTheme="minorHAnsi" w:cstheme="minorHAnsi"/>
          <w:i/>
          <w:iCs/>
          <w:szCs w:val="24"/>
        </w:rPr>
        <w:t>) Guidelines 202</w:t>
      </w:r>
      <w:r w:rsidR="008D6F46">
        <w:rPr>
          <w:rFonts w:asciiTheme="minorHAnsi" w:hAnsiTheme="minorHAnsi" w:cstheme="minorHAnsi"/>
          <w:i/>
          <w:iCs/>
          <w:szCs w:val="24"/>
        </w:rPr>
        <w:t>4</w:t>
      </w:r>
      <w:r w:rsidR="002B7CC4">
        <w:rPr>
          <w:rFonts w:asciiTheme="minorHAnsi" w:hAnsiTheme="minorHAnsi" w:cstheme="minorHAnsi"/>
          <w:i/>
          <w:iCs/>
          <w:szCs w:val="24"/>
        </w:rPr>
        <w:t xml:space="preserve"> </w:t>
      </w:r>
      <w:r w:rsidR="002B7CC4">
        <w:rPr>
          <w:rFonts w:asciiTheme="minorHAnsi" w:hAnsiTheme="minorHAnsi" w:cstheme="minorHAnsi"/>
          <w:szCs w:val="24"/>
        </w:rPr>
        <w:t xml:space="preserve">(the Amendment Instrument) rely on this provision. </w:t>
      </w:r>
    </w:p>
    <w:bookmarkEnd w:id="0"/>
    <w:bookmarkEnd w:id="1"/>
    <w:p w14:paraId="56CDA376" w14:textId="77777777" w:rsidR="00DA552F" w:rsidRPr="008134D5" w:rsidRDefault="00144950" w:rsidP="000C310A">
      <w:pPr>
        <w:pStyle w:val="Heading1"/>
      </w:pPr>
      <w:r>
        <w:t>PURPOSE AND OPERATION</w:t>
      </w:r>
    </w:p>
    <w:p w14:paraId="77BDACBC" w14:textId="3CEFD22D" w:rsidR="0084584D" w:rsidRPr="00FB45EF" w:rsidRDefault="002B7CC4" w:rsidP="00DA552F">
      <w:pPr>
        <w:spacing w:before="120" w:after="120"/>
        <w:rPr>
          <w:rFonts w:asciiTheme="minorHAnsi" w:hAnsiTheme="minorHAnsi" w:cstheme="minorHAnsi"/>
          <w:iCs/>
          <w:szCs w:val="24"/>
        </w:rPr>
      </w:pPr>
      <w:r w:rsidRPr="002B7CC4">
        <w:rPr>
          <w:rFonts w:asciiTheme="minorHAnsi" w:hAnsiTheme="minorHAnsi" w:cstheme="minorHAnsi"/>
          <w:iCs/>
          <w:szCs w:val="24"/>
        </w:rPr>
        <w:t>The Ame</w:t>
      </w:r>
      <w:r>
        <w:rPr>
          <w:rFonts w:asciiTheme="minorHAnsi" w:hAnsiTheme="minorHAnsi" w:cstheme="minorHAnsi"/>
          <w:iCs/>
          <w:szCs w:val="24"/>
        </w:rPr>
        <w:t xml:space="preserve">ndment Instrument </w:t>
      </w:r>
      <w:r w:rsidR="00DE16DD">
        <w:rPr>
          <w:rFonts w:asciiTheme="minorHAnsi" w:hAnsiTheme="minorHAnsi" w:cstheme="minorHAnsi"/>
          <w:iCs/>
          <w:szCs w:val="24"/>
        </w:rPr>
        <w:t xml:space="preserve">amends </w:t>
      </w:r>
      <w:r>
        <w:rPr>
          <w:rFonts w:asciiTheme="minorHAnsi" w:hAnsiTheme="minorHAnsi" w:cstheme="minorHAnsi"/>
          <w:iCs/>
          <w:szCs w:val="24"/>
        </w:rPr>
        <w:t xml:space="preserve">the Principal Instrument </w:t>
      </w:r>
      <w:r w:rsidR="008D6F46">
        <w:rPr>
          <w:rFonts w:asciiTheme="minorHAnsi" w:hAnsiTheme="minorHAnsi" w:cstheme="minorHAnsi"/>
          <w:iCs/>
          <w:szCs w:val="24"/>
        </w:rPr>
        <w:t xml:space="preserve">to </w:t>
      </w:r>
      <w:r w:rsidR="00060CCE">
        <w:rPr>
          <w:rFonts w:asciiTheme="minorHAnsi" w:hAnsiTheme="minorHAnsi" w:cstheme="minorHAnsi"/>
          <w:iCs/>
          <w:szCs w:val="24"/>
        </w:rPr>
        <w:t>reflect</w:t>
      </w:r>
      <w:r w:rsidR="008D6F46">
        <w:rPr>
          <w:rFonts w:asciiTheme="minorHAnsi" w:hAnsiTheme="minorHAnsi" w:cstheme="minorHAnsi"/>
          <w:iCs/>
          <w:szCs w:val="24"/>
        </w:rPr>
        <w:t xml:space="preserve"> that grants under the National Priorities and Industry Linkage </w:t>
      </w:r>
      <w:r w:rsidR="008D6F46" w:rsidRPr="00FB45EF">
        <w:rPr>
          <w:rFonts w:asciiTheme="minorHAnsi" w:hAnsiTheme="minorHAnsi" w:cstheme="minorHAnsi"/>
          <w:iCs/>
          <w:szCs w:val="24"/>
        </w:rPr>
        <w:t xml:space="preserve">Fund </w:t>
      </w:r>
      <w:r w:rsidR="00BA654E" w:rsidRPr="00292990">
        <w:rPr>
          <w:rFonts w:asciiTheme="minorHAnsi" w:hAnsiTheme="minorHAnsi"/>
        </w:rPr>
        <w:t>(NPILF)</w:t>
      </w:r>
      <w:r w:rsidR="00BA654E" w:rsidRPr="00FB45EF">
        <w:rPr>
          <w:rFonts w:asciiTheme="minorHAnsi" w:hAnsiTheme="minorHAnsi" w:cstheme="minorHAnsi"/>
          <w:iCs/>
          <w:szCs w:val="24"/>
        </w:rPr>
        <w:t xml:space="preserve"> </w:t>
      </w:r>
      <w:r w:rsidR="008D6F46" w:rsidRPr="00FB45EF">
        <w:rPr>
          <w:rFonts w:asciiTheme="minorHAnsi" w:hAnsiTheme="minorHAnsi" w:cstheme="minorHAnsi"/>
          <w:iCs/>
          <w:szCs w:val="24"/>
        </w:rPr>
        <w:t xml:space="preserve">program will also be made in 2025. </w:t>
      </w:r>
    </w:p>
    <w:p w14:paraId="0A3F33BA" w14:textId="60295C25" w:rsidR="00C82F0C" w:rsidRPr="00C82F0C" w:rsidRDefault="00C82F0C" w:rsidP="00C82F0C">
      <w:pPr>
        <w:spacing w:before="120" w:after="120"/>
        <w:rPr>
          <w:rFonts w:asciiTheme="minorHAnsi" w:hAnsiTheme="minorHAnsi" w:cstheme="minorHAnsi"/>
          <w:iCs/>
          <w:szCs w:val="24"/>
        </w:rPr>
      </w:pPr>
      <w:r w:rsidRPr="00292990">
        <w:rPr>
          <w:rFonts w:asciiTheme="minorHAnsi" w:hAnsiTheme="minorHAnsi"/>
        </w:rPr>
        <w:t xml:space="preserve">The NPILF is a program under which grants can be made to eligible providers for the purpose specified in item 13 of the table in subsection 41-10(1) of the Act – grants to encourage higher education providers to engage with industry. Grants made under the NPILF are aimed at encouraging universities to engage with industry to increase the amount of work integrated learning across disciplines and the number of </w:t>
      </w:r>
      <w:r w:rsidR="006D3F7A">
        <w:rPr>
          <w:rFonts w:asciiTheme="minorHAnsi" w:hAnsiTheme="minorHAnsi" w:cstheme="minorHAnsi"/>
          <w:iCs/>
          <w:szCs w:val="24"/>
        </w:rPr>
        <w:t>Science, Technology, Engineering and Mathematics (</w:t>
      </w:r>
      <w:r w:rsidRPr="00FB45EF">
        <w:rPr>
          <w:rFonts w:asciiTheme="minorHAnsi" w:hAnsiTheme="minorHAnsi" w:cstheme="minorHAnsi"/>
          <w:iCs/>
          <w:szCs w:val="24"/>
        </w:rPr>
        <w:t>STEM</w:t>
      </w:r>
      <w:r w:rsidR="006D3F7A">
        <w:rPr>
          <w:rFonts w:asciiTheme="minorHAnsi" w:hAnsiTheme="minorHAnsi" w:cstheme="minorHAnsi"/>
          <w:iCs/>
          <w:szCs w:val="24"/>
        </w:rPr>
        <w:t>)</w:t>
      </w:r>
      <w:r w:rsidRPr="00FB45EF">
        <w:rPr>
          <w:rFonts w:asciiTheme="minorHAnsi" w:hAnsiTheme="minorHAnsi" w:cstheme="minorHAnsi"/>
          <w:iCs/>
          <w:szCs w:val="24"/>
        </w:rPr>
        <w:t>-</w:t>
      </w:r>
      <w:r w:rsidRPr="00292990">
        <w:rPr>
          <w:rFonts w:asciiTheme="minorHAnsi" w:hAnsiTheme="minorHAnsi"/>
        </w:rPr>
        <w:t>skilled graduates, as well as improving employment outcomes for graduates.</w:t>
      </w:r>
      <w:r w:rsidRPr="00C82F0C">
        <w:rPr>
          <w:rFonts w:asciiTheme="minorHAnsi" w:hAnsiTheme="minorHAnsi" w:cstheme="minorHAnsi"/>
          <w:iCs/>
          <w:szCs w:val="24"/>
        </w:rPr>
        <w:t xml:space="preserve"> </w:t>
      </w:r>
    </w:p>
    <w:p w14:paraId="626F1531" w14:textId="21BCA2BF" w:rsidR="00350779" w:rsidRPr="00350779" w:rsidRDefault="00144950" w:rsidP="000C310A">
      <w:pPr>
        <w:pStyle w:val="Heading1"/>
      </w:pPr>
      <w:r>
        <w:t>IMPACT</w:t>
      </w:r>
      <w:r w:rsidR="00C90E38">
        <w:t xml:space="preserve"> </w:t>
      </w:r>
      <w:r w:rsidR="00C90E38" w:rsidRPr="00C90E38">
        <w:t>ANALYSIS</w:t>
      </w:r>
    </w:p>
    <w:p w14:paraId="0F85CB86" w14:textId="6291A05C" w:rsidR="00D90C2E" w:rsidRPr="00836B85" w:rsidRDefault="00BA1A52" w:rsidP="000C310A">
      <w:pPr>
        <w:pStyle w:val="Heading1"/>
        <w:rPr>
          <w:rFonts w:ascii="Times New Roman" w:hAnsi="Times New Roman" w:cstheme="minorBidi"/>
          <w:b w:val="0"/>
          <w:bCs/>
          <w:szCs w:val="22"/>
        </w:rPr>
      </w:pPr>
      <w:r w:rsidRPr="008576C8">
        <w:rPr>
          <w:b w:val="0"/>
          <w:bCs/>
          <w:iCs/>
        </w:rPr>
        <w:t>T</w:t>
      </w:r>
      <w:r w:rsidR="008A1C12" w:rsidRPr="008576C8">
        <w:rPr>
          <w:b w:val="0"/>
          <w:bCs/>
          <w:iCs/>
        </w:rPr>
        <w:t>he Office of Impact Analysis has been consulted and advised that a</w:t>
      </w:r>
      <w:r w:rsidR="00836B85">
        <w:rPr>
          <w:b w:val="0"/>
          <w:bCs/>
          <w:iCs/>
        </w:rPr>
        <w:t>n</w:t>
      </w:r>
      <w:r w:rsidR="008A1C12" w:rsidRPr="008576C8">
        <w:rPr>
          <w:b w:val="0"/>
          <w:bCs/>
          <w:iCs/>
        </w:rPr>
        <w:t xml:space="preserve"> Impact </w:t>
      </w:r>
      <w:r w:rsidR="00836B85">
        <w:rPr>
          <w:b w:val="0"/>
          <w:bCs/>
          <w:iCs/>
        </w:rPr>
        <w:t>Analysis</w:t>
      </w:r>
      <w:r w:rsidR="008A1C12" w:rsidRPr="008576C8">
        <w:rPr>
          <w:b w:val="0"/>
          <w:bCs/>
          <w:iCs/>
        </w:rPr>
        <w:t xml:space="preserve"> is not required</w:t>
      </w:r>
      <w:r w:rsidR="00FB26DE">
        <w:rPr>
          <w:b w:val="0"/>
          <w:bCs/>
          <w:iCs/>
        </w:rPr>
        <w:t xml:space="preserve"> for the Amendment Instrument</w:t>
      </w:r>
      <w:r w:rsidR="008A1C12" w:rsidRPr="008576C8">
        <w:rPr>
          <w:b w:val="0"/>
          <w:bCs/>
          <w:iCs/>
        </w:rPr>
        <w:t xml:space="preserve"> (ID: OIA2</w:t>
      </w:r>
      <w:r w:rsidR="00FB26DE">
        <w:rPr>
          <w:b w:val="0"/>
          <w:bCs/>
          <w:iCs/>
        </w:rPr>
        <w:t>4</w:t>
      </w:r>
      <w:r w:rsidR="008A1C12" w:rsidRPr="008576C8">
        <w:rPr>
          <w:b w:val="0"/>
          <w:bCs/>
          <w:iCs/>
        </w:rPr>
        <w:t>-0</w:t>
      </w:r>
      <w:r w:rsidR="00FB26DE">
        <w:rPr>
          <w:b w:val="0"/>
          <w:bCs/>
          <w:iCs/>
        </w:rPr>
        <w:t>8539</w:t>
      </w:r>
      <w:r w:rsidR="008A1C12" w:rsidRPr="008576C8">
        <w:rPr>
          <w:b w:val="0"/>
          <w:bCs/>
          <w:iCs/>
        </w:rPr>
        <w:t xml:space="preserve">). </w:t>
      </w:r>
    </w:p>
    <w:p w14:paraId="4818CCF0" w14:textId="77777777" w:rsidR="00696CF0" w:rsidRPr="0088497A" w:rsidRDefault="00144950" w:rsidP="000C310A">
      <w:pPr>
        <w:pStyle w:val="Heading1"/>
      </w:pPr>
      <w:r w:rsidRPr="0088497A">
        <w:t>COMMENC</w:t>
      </w:r>
      <w:r>
        <w:t>E</w:t>
      </w:r>
      <w:r w:rsidRPr="0088497A">
        <w:t>MENT</w:t>
      </w:r>
    </w:p>
    <w:p w14:paraId="7A7AF185" w14:textId="3FCB3F75" w:rsidR="00696CF0" w:rsidRPr="003B7464" w:rsidRDefault="003B7464"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commences on the day after it is registered on the Federal Register of Legislation. </w:t>
      </w:r>
    </w:p>
    <w:p w14:paraId="59906F74" w14:textId="77777777" w:rsidR="00696CF0" w:rsidRPr="008134D5" w:rsidRDefault="00144950" w:rsidP="000C310A">
      <w:pPr>
        <w:pStyle w:val="Heading1"/>
      </w:pPr>
      <w:bookmarkStart w:id="2" w:name="_Toc34293360"/>
      <w:r w:rsidRPr="008134D5">
        <w:lastRenderedPageBreak/>
        <w:t>CONSULTATION</w:t>
      </w:r>
      <w:bookmarkEnd w:id="2"/>
    </w:p>
    <w:p w14:paraId="0A4513A4" w14:textId="77777777" w:rsidR="00BA654E" w:rsidRPr="00C82F0C" w:rsidRDefault="00BA654E" w:rsidP="00BA654E">
      <w:pPr>
        <w:spacing w:before="120" w:after="120"/>
        <w:rPr>
          <w:rFonts w:asciiTheme="minorHAnsi" w:hAnsiTheme="minorHAnsi" w:cstheme="minorHAnsi"/>
          <w:bCs/>
          <w:iCs/>
          <w:szCs w:val="24"/>
        </w:rPr>
      </w:pPr>
      <w:r w:rsidRPr="00292990">
        <w:rPr>
          <w:rFonts w:asciiTheme="minorHAnsi" w:hAnsiTheme="minorHAnsi"/>
        </w:rPr>
        <w:t>Consultation was not undertaken on the Amendment Instrument as it does not create any new rights or liabilities or make any grants under Part 2-3 of the Act. Rather, the Amendment Instrument is a technical step that must be taken by the Minister to enable eligible providers to receive grant amounts in 2025. As such, consultation was not required to be undertaken on the Amendment Instrument.</w:t>
      </w:r>
    </w:p>
    <w:p w14:paraId="32008368" w14:textId="77777777" w:rsidR="00BA654E" w:rsidRDefault="00BA654E" w:rsidP="001C5D6A">
      <w:pPr>
        <w:spacing w:before="120" w:after="120"/>
        <w:rPr>
          <w:rFonts w:asciiTheme="minorHAnsi" w:hAnsiTheme="minorHAnsi" w:cstheme="minorHAnsi"/>
          <w:iCs/>
        </w:rPr>
      </w:pPr>
    </w:p>
    <w:p w14:paraId="3A6EE0A5" w14:textId="5017B02A"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3" w:name="_Toc23942241"/>
      <w:bookmarkStart w:id="4" w:name="_Toc34293362"/>
      <w:r w:rsidRPr="0080510C">
        <w:rPr>
          <w:u w:val="none"/>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6F605FBD" w:rsidR="00DA552F" w:rsidRPr="000C310A" w:rsidRDefault="002B411E" w:rsidP="000C310A">
      <w:pPr>
        <w:pStyle w:val="Subtitle"/>
        <w:rPr>
          <w:bCs/>
          <w:iCs/>
          <w:u w:val="single"/>
        </w:rPr>
      </w:pPr>
      <w:r>
        <w:rPr>
          <w:b w:val="0"/>
          <w:bCs/>
          <w:i w:val="0"/>
          <w:iCs/>
          <w:u w:val="single"/>
        </w:rPr>
        <w:t>Higher Education Support (Other Grants) Amendment (</w:t>
      </w:r>
      <w:r w:rsidR="001C5D6A">
        <w:rPr>
          <w:b w:val="0"/>
          <w:bCs/>
          <w:i w:val="0"/>
          <w:iCs/>
          <w:u w:val="single"/>
        </w:rPr>
        <w:t>National Priorities and Industry Linkage Fund</w:t>
      </w:r>
      <w:r>
        <w:rPr>
          <w:b w:val="0"/>
          <w:bCs/>
          <w:i w:val="0"/>
          <w:iCs/>
          <w:u w:val="single"/>
        </w:rPr>
        <w:t>) Guidelines 202</w:t>
      </w:r>
      <w:r w:rsidR="001C5D6A">
        <w:rPr>
          <w:b w:val="0"/>
          <w:bCs/>
          <w:i w:val="0"/>
          <w:iCs/>
          <w:u w:val="single"/>
        </w:rPr>
        <w:t>4</w:t>
      </w:r>
    </w:p>
    <w:p w14:paraId="65F6CFAB" w14:textId="02B0491B"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2B411E">
        <w:rPr>
          <w:rFonts w:asciiTheme="minorHAnsi" w:hAnsiTheme="minorHAnsi" w:cstheme="minorHAnsi"/>
          <w:i/>
          <w:iCs/>
          <w:szCs w:val="24"/>
        </w:rPr>
        <w:t>Higher Education Support (Other Grants) Amendment (</w:t>
      </w:r>
      <w:r w:rsidR="005F4CD9">
        <w:rPr>
          <w:rFonts w:asciiTheme="minorHAnsi" w:hAnsiTheme="minorHAnsi" w:cstheme="minorHAnsi"/>
          <w:i/>
          <w:iCs/>
          <w:szCs w:val="24"/>
        </w:rPr>
        <w:t>National Priorities and Industry Linkage Fund</w:t>
      </w:r>
      <w:r w:rsidR="002B411E">
        <w:rPr>
          <w:rFonts w:asciiTheme="minorHAnsi" w:hAnsiTheme="minorHAnsi" w:cstheme="minorHAnsi"/>
          <w:i/>
          <w:iCs/>
          <w:szCs w:val="24"/>
        </w:rPr>
        <w:t>) Guidelines 202</w:t>
      </w:r>
      <w:r w:rsidR="005F4CD9">
        <w:rPr>
          <w:rFonts w:asciiTheme="minorHAnsi" w:hAnsiTheme="minorHAnsi" w:cstheme="minorHAnsi"/>
          <w:i/>
          <w:iCs/>
          <w:szCs w:val="24"/>
        </w:rPr>
        <w:t>4</w:t>
      </w:r>
      <w:r w:rsidR="001E52EB">
        <w:rPr>
          <w:rFonts w:asciiTheme="minorHAnsi" w:hAnsiTheme="minorHAnsi" w:cstheme="minorHAnsi"/>
          <w:szCs w:val="24"/>
        </w:rPr>
        <w:t xml:space="preserve"> (the </w:t>
      </w:r>
      <w:r w:rsidR="002B411E">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6E8951E3" w14:textId="2E12656A" w:rsidR="001C5D6A" w:rsidRDefault="001C5D6A" w:rsidP="001C5D6A">
      <w:pPr>
        <w:spacing w:before="120" w:after="120"/>
        <w:rPr>
          <w:rFonts w:asciiTheme="minorHAnsi" w:hAnsiTheme="minorHAnsi" w:cstheme="minorHAnsi"/>
          <w:iCs/>
          <w:szCs w:val="24"/>
        </w:rPr>
      </w:pPr>
      <w:r w:rsidRPr="002B7CC4">
        <w:rPr>
          <w:rFonts w:asciiTheme="minorHAnsi" w:hAnsiTheme="minorHAnsi" w:cstheme="minorHAnsi"/>
          <w:iCs/>
          <w:szCs w:val="24"/>
        </w:rPr>
        <w:t>The Ame</w:t>
      </w:r>
      <w:r>
        <w:rPr>
          <w:rFonts w:asciiTheme="minorHAnsi" w:hAnsiTheme="minorHAnsi" w:cstheme="minorHAnsi"/>
          <w:iCs/>
          <w:szCs w:val="24"/>
        </w:rPr>
        <w:t xml:space="preserve">ndment Instrument amends the </w:t>
      </w:r>
      <w:r>
        <w:rPr>
          <w:rFonts w:asciiTheme="minorHAnsi" w:hAnsiTheme="minorHAnsi" w:cstheme="minorHAnsi"/>
          <w:i/>
          <w:szCs w:val="24"/>
        </w:rPr>
        <w:t>Higher Education Support (Other Grants) Guidelines 2022</w:t>
      </w:r>
      <w:r>
        <w:rPr>
          <w:rFonts w:asciiTheme="minorHAnsi" w:hAnsiTheme="minorHAnsi" w:cstheme="minorHAnsi"/>
          <w:iCs/>
          <w:szCs w:val="24"/>
        </w:rPr>
        <w:t xml:space="preserve"> (the Principal Instrument) to </w:t>
      </w:r>
      <w:r w:rsidR="00060CCE">
        <w:rPr>
          <w:rFonts w:asciiTheme="minorHAnsi" w:hAnsiTheme="minorHAnsi" w:cstheme="minorHAnsi"/>
          <w:iCs/>
          <w:szCs w:val="24"/>
        </w:rPr>
        <w:t>reflect</w:t>
      </w:r>
      <w:r>
        <w:rPr>
          <w:rFonts w:asciiTheme="minorHAnsi" w:hAnsiTheme="minorHAnsi" w:cstheme="minorHAnsi"/>
          <w:iCs/>
          <w:szCs w:val="24"/>
        </w:rPr>
        <w:t xml:space="preserve"> that grants under the National Priorities and Industry Linkage Fund </w:t>
      </w:r>
      <w:r w:rsidR="00FB45EF" w:rsidRPr="00292990">
        <w:rPr>
          <w:rFonts w:asciiTheme="minorHAnsi" w:hAnsiTheme="minorHAnsi"/>
        </w:rPr>
        <w:t xml:space="preserve">(NPILF) </w:t>
      </w:r>
      <w:r w:rsidRPr="00292990">
        <w:rPr>
          <w:rFonts w:asciiTheme="minorHAnsi" w:hAnsiTheme="minorHAnsi"/>
        </w:rPr>
        <w:t>program will also be made in 2025.</w:t>
      </w:r>
      <w:r>
        <w:rPr>
          <w:rFonts w:asciiTheme="minorHAnsi" w:hAnsiTheme="minorHAnsi" w:cstheme="minorHAnsi"/>
          <w:iCs/>
          <w:szCs w:val="24"/>
        </w:rPr>
        <w:t xml:space="preserve"> </w:t>
      </w:r>
    </w:p>
    <w:p w14:paraId="1E77C959" w14:textId="52D6D3A0" w:rsidR="00DA6CF7" w:rsidRDefault="000A7F4E" w:rsidP="001C5D6A">
      <w:pPr>
        <w:spacing w:before="120" w:after="120"/>
        <w:rPr>
          <w:rFonts w:asciiTheme="minorHAnsi" w:hAnsiTheme="minorHAnsi" w:cstheme="minorHAnsi"/>
          <w:iCs/>
          <w:szCs w:val="24"/>
        </w:rPr>
      </w:pPr>
      <w:r w:rsidRPr="00292990">
        <w:rPr>
          <w:rFonts w:asciiTheme="minorHAnsi" w:hAnsiTheme="minorHAnsi"/>
        </w:rPr>
        <w:t xml:space="preserve">The NPILF is a program under which grants can be made to eligible providers for the purpose specified in item 13 of the table in subsection 41-10(1) of the </w:t>
      </w:r>
      <w:r w:rsidR="005D524E" w:rsidRPr="005D524E">
        <w:rPr>
          <w:rFonts w:asciiTheme="minorHAnsi" w:hAnsiTheme="minorHAnsi" w:cstheme="minorHAnsi"/>
          <w:i/>
          <w:szCs w:val="24"/>
        </w:rPr>
        <w:t>Higher Education Support Act 2003</w:t>
      </w:r>
      <w:r w:rsidRPr="00292990">
        <w:rPr>
          <w:rFonts w:asciiTheme="minorHAnsi" w:hAnsiTheme="minorHAnsi"/>
        </w:rPr>
        <w:t xml:space="preserve"> – grants to encourage higher education providers to engage with industry. Grants made under the NPILF are aimed at encouraging universities to engage with industry to increase the amount of work integrated learning across disciplines and the number of </w:t>
      </w:r>
      <w:r w:rsidR="006D3F7A">
        <w:rPr>
          <w:rFonts w:asciiTheme="minorHAnsi" w:hAnsiTheme="minorHAnsi" w:cstheme="minorHAnsi"/>
          <w:iCs/>
          <w:szCs w:val="24"/>
        </w:rPr>
        <w:t>Science, Technology, Engineering and Mathematics (</w:t>
      </w:r>
      <w:r w:rsidRPr="00292990">
        <w:rPr>
          <w:rFonts w:asciiTheme="minorHAnsi" w:hAnsiTheme="minorHAnsi"/>
        </w:rPr>
        <w:t>STEM</w:t>
      </w:r>
      <w:r w:rsidR="006D3F7A">
        <w:rPr>
          <w:rFonts w:asciiTheme="minorHAnsi" w:hAnsiTheme="minorHAnsi" w:cstheme="minorHAnsi"/>
          <w:iCs/>
          <w:szCs w:val="24"/>
        </w:rPr>
        <w:t>)</w:t>
      </w:r>
      <w:r w:rsidRPr="00FB45EF">
        <w:rPr>
          <w:rFonts w:asciiTheme="minorHAnsi" w:hAnsiTheme="minorHAnsi" w:cstheme="minorHAnsi"/>
          <w:iCs/>
          <w:szCs w:val="24"/>
        </w:rPr>
        <w:t>-</w:t>
      </w:r>
      <w:r w:rsidRPr="00292990">
        <w:rPr>
          <w:rFonts w:asciiTheme="minorHAnsi" w:hAnsiTheme="minorHAnsi"/>
        </w:rPr>
        <w:t>skilled graduates, as well as improving employment outcomes for graduates.</w:t>
      </w:r>
      <w:r w:rsidRPr="00C82F0C">
        <w:rPr>
          <w:rFonts w:asciiTheme="minorHAnsi" w:hAnsiTheme="minorHAnsi" w:cstheme="minorHAnsi"/>
          <w:iCs/>
          <w:szCs w:val="24"/>
        </w:rPr>
        <w:t xml:space="preserve"> </w:t>
      </w:r>
    </w:p>
    <w:p w14:paraId="57CC71C9" w14:textId="77777777" w:rsidR="00F9205E" w:rsidRPr="008134D5" w:rsidRDefault="00F9205E" w:rsidP="000C310A">
      <w:pPr>
        <w:pStyle w:val="Heading2"/>
      </w:pPr>
      <w:r w:rsidRPr="008134D5">
        <w:t>Human rights implications</w:t>
      </w:r>
    </w:p>
    <w:p w14:paraId="203E1607" w14:textId="165B8646" w:rsidR="004563A2" w:rsidRDefault="004563A2" w:rsidP="004D07B0">
      <w:pPr>
        <w:spacing w:before="120" w:after="120"/>
        <w:rPr>
          <w:rFonts w:asciiTheme="minorHAnsi" w:hAnsiTheme="minorHAnsi" w:cstheme="minorHAnsi"/>
        </w:rPr>
      </w:pPr>
      <w:r>
        <w:rPr>
          <w:rFonts w:asciiTheme="minorHAnsi" w:hAnsiTheme="minorHAnsi" w:cstheme="minorHAnsi"/>
        </w:rPr>
        <w:t xml:space="preserve">The Amendment Instrument engages the following human rights: </w:t>
      </w:r>
    </w:p>
    <w:p w14:paraId="7CE26352" w14:textId="272B15A8" w:rsidR="004563A2" w:rsidRDefault="004563A2" w:rsidP="004563A2">
      <w:pPr>
        <w:pStyle w:val="ListParagraph"/>
        <w:numPr>
          <w:ilvl w:val="0"/>
          <w:numId w:val="4"/>
        </w:numPr>
        <w:spacing w:before="120" w:after="120"/>
        <w:rPr>
          <w:rFonts w:asciiTheme="minorHAnsi" w:hAnsiTheme="minorHAnsi" w:cstheme="minorHAnsi"/>
        </w:rPr>
      </w:pPr>
      <w:r>
        <w:rPr>
          <w:rFonts w:asciiTheme="minorHAnsi" w:hAnsiTheme="minorHAnsi" w:cstheme="minorHAnsi"/>
        </w:rPr>
        <w:t xml:space="preserve">right to work in Article 6 of the International Covenant on Economic, Social and Cultural Rights (ICESCR); and </w:t>
      </w:r>
    </w:p>
    <w:p w14:paraId="521542C9" w14:textId="23A03386" w:rsidR="004563A2" w:rsidRDefault="004563A2" w:rsidP="004563A2">
      <w:pPr>
        <w:pStyle w:val="ListParagraph"/>
        <w:numPr>
          <w:ilvl w:val="0"/>
          <w:numId w:val="4"/>
        </w:numPr>
        <w:spacing w:before="120" w:after="120"/>
        <w:rPr>
          <w:rFonts w:asciiTheme="minorHAnsi" w:hAnsiTheme="minorHAnsi" w:cstheme="minorHAnsi"/>
        </w:rPr>
      </w:pPr>
      <w:r>
        <w:rPr>
          <w:rFonts w:asciiTheme="minorHAnsi" w:hAnsiTheme="minorHAnsi" w:cstheme="minorHAnsi"/>
        </w:rPr>
        <w:t xml:space="preserve">right to education in Article 13 of the ICESCR. </w:t>
      </w:r>
    </w:p>
    <w:p w14:paraId="21060D17" w14:textId="5EAE59A8" w:rsidR="004563A2" w:rsidRPr="004563A2" w:rsidRDefault="004563A2" w:rsidP="004563A2">
      <w:pPr>
        <w:spacing w:before="120" w:after="120"/>
        <w:rPr>
          <w:rFonts w:asciiTheme="minorHAnsi" w:hAnsiTheme="minorHAnsi" w:cstheme="minorHAnsi"/>
        </w:rPr>
      </w:pPr>
      <w:r>
        <w:rPr>
          <w:rFonts w:asciiTheme="minorHAnsi" w:hAnsiTheme="minorHAnsi" w:cstheme="minorHAnsi"/>
          <w:u w:val="single"/>
        </w:rPr>
        <w:t>Right to work</w:t>
      </w:r>
    </w:p>
    <w:p w14:paraId="35B7721C" w14:textId="55C27B83" w:rsidR="00B24C63" w:rsidRDefault="00B24C63" w:rsidP="004D07B0">
      <w:pPr>
        <w:spacing w:before="120" w:after="120"/>
        <w:rPr>
          <w:rFonts w:asciiTheme="minorHAnsi" w:hAnsiTheme="minorHAnsi" w:cstheme="minorHAnsi"/>
        </w:rPr>
      </w:pPr>
      <w:r>
        <w:rPr>
          <w:rFonts w:asciiTheme="minorHAnsi" w:hAnsiTheme="minorHAnsi" w:cstheme="minorHAnsi"/>
        </w:rPr>
        <w:t xml:space="preserve">Article 6(1) of the ICESCR recognises the ‘right of everyone to the opportunity to gain [their] living by work’ and that the State will ‘take appropriate steps to safeguard this right’. Article 6(2) cites ‘technical and vocational guidance and training programmes, policies and techniques to achieve steady economic, social and cultural development and full and productive employment under conditions safeguarding fundamental political and economic freedoms to the individual’ as steps taken by a State Party to achieve the full realisation of the right contained in Article 6(1). </w:t>
      </w:r>
    </w:p>
    <w:p w14:paraId="7EB0E968" w14:textId="16818C80" w:rsidR="00C97E14" w:rsidRDefault="004563A2" w:rsidP="004D07B0">
      <w:pPr>
        <w:spacing w:before="120" w:after="120"/>
        <w:rPr>
          <w:rFonts w:asciiTheme="minorHAnsi" w:hAnsiTheme="minorHAnsi" w:cstheme="minorHAnsi"/>
        </w:rPr>
      </w:pPr>
      <w:r>
        <w:rPr>
          <w:rFonts w:asciiTheme="minorHAnsi" w:hAnsiTheme="minorHAnsi" w:cstheme="minorHAnsi"/>
        </w:rPr>
        <w:t xml:space="preserve">The </w:t>
      </w:r>
      <w:r w:rsidR="005D524E">
        <w:rPr>
          <w:rFonts w:asciiTheme="minorHAnsi" w:hAnsiTheme="minorHAnsi" w:cstheme="minorHAnsi"/>
        </w:rPr>
        <w:t>NPILF</w:t>
      </w:r>
      <w:r>
        <w:rPr>
          <w:rFonts w:asciiTheme="minorHAnsi" w:hAnsiTheme="minorHAnsi" w:cstheme="minorHAnsi"/>
        </w:rPr>
        <w:t xml:space="preserve"> program </w:t>
      </w:r>
      <w:r w:rsidR="00B24C63">
        <w:rPr>
          <w:rFonts w:asciiTheme="minorHAnsi" w:hAnsiTheme="minorHAnsi" w:cstheme="minorHAnsi"/>
        </w:rPr>
        <w:t xml:space="preserve">engages the right to work because it is aimed at encouraging providers to engage with industry to produce job-ready graduates and to support activities that are aimed at assisting students to obtain qualifications that assist them to get jobs, thus supporting the right of these students to work. The Amendment Instrument amends the </w:t>
      </w:r>
      <w:r w:rsidR="00B24C63">
        <w:rPr>
          <w:rFonts w:asciiTheme="minorHAnsi" w:hAnsiTheme="minorHAnsi" w:cstheme="minorHAnsi"/>
        </w:rPr>
        <w:lastRenderedPageBreak/>
        <w:t xml:space="preserve">Principal Instrument to </w:t>
      </w:r>
      <w:r w:rsidR="00060CCE">
        <w:rPr>
          <w:rFonts w:asciiTheme="minorHAnsi" w:hAnsiTheme="minorHAnsi" w:cstheme="minorHAnsi"/>
        </w:rPr>
        <w:t>reflect that</w:t>
      </w:r>
      <w:r w:rsidR="00B24C63">
        <w:rPr>
          <w:rFonts w:asciiTheme="minorHAnsi" w:hAnsiTheme="minorHAnsi" w:cstheme="minorHAnsi"/>
        </w:rPr>
        <w:t xml:space="preserve"> the length of the program </w:t>
      </w:r>
      <w:r w:rsidR="00060CCE">
        <w:rPr>
          <w:rFonts w:asciiTheme="minorHAnsi" w:hAnsiTheme="minorHAnsi" w:cstheme="minorHAnsi"/>
        </w:rPr>
        <w:t xml:space="preserve">has been expanded </w:t>
      </w:r>
      <w:r w:rsidR="00B24C63">
        <w:rPr>
          <w:rFonts w:asciiTheme="minorHAnsi" w:hAnsiTheme="minorHAnsi" w:cstheme="minorHAnsi"/>
        </w:rPr>
        <w:t xml:space="preserve">to include 2025, which makes funding for this purpose available for another year. The Amendment Instrument therefore engages the right to work </w:t>
      </w:r>
      <w:r w:rsidR="00D62A2E">
        <w:rPr>
          <w:rFonts w:asciiTheme="minorHAnsi" w:hAnsiTheme="minorHAnsi" w:cstheme="minorHAnsi"/>
        </w:rPr>
        <w:t xml:space="preserve">as it provides for increased funding that supports students to obtain qualifications that assists them to get jobs. </w:t>
      </w:r>
    </w:p>
    <w:p w14:paraId="6968E1CA" w14:textId="5DFADD6B" w:rsidR="00D62A2E" w:rsidRDefault="00D62A2E" w:rsidP="004D07B0">
      <w:pPr>
        <w:spacing w:before="120" w:after="120"/>
        <w:rPr>
          <w:rFonts w:asciiTheme="minorHAnsi" w:hAnsiTheme="minorHAnsi" w:cstheme="minorHAnsi"/>
        </w:rPr>
      </w:pPr>
      <w:r>
        <w:rPr>
          <w:rFonts w:asciiTheme="minorHAnsi" w:hAnsiTheme="minorHAnsi" w:cstheme="minorHAnsi"/>
          <w:u w:val="single"/>
        </w:rPr>
        <w:t>Right to education</w:t>
      </w:r>
    </w:p>
    <w:p w14:paraId="2346B4C7" w14:textId="22D50FE1" w:rsidR="00D62A2E" w:rsidRDefault="00D62A2E" w:rsidP="004D07B0">
      <w:pPr>
        <w:spacing w:before="120" w:after="120"/>
        <w:rPr>
          <w:rFonts w:asciiTheme="minorHAnsi" w:hAnsiTheme="minorHAnsi" w:cstheme="minorHAnsi"/>
        </w:rPr>
      </w:pPr>
      <w:r>
        <w:rPr>
          <w:rFonts w:asciiTheme="minorHAnsi" w:hAnsiTheme="minorHAnsi" w:cstheme="minorHAnsi"/>
        </w:rPr>
        <w:t xml:space="preserve">Article 13(2)(c) of the ICESCR provides that ‘higher education shall be made equally accessible to all, on the basis of capacity, by every appropriate means, and in particular by the progressive introduction of free education’. </w:t>
      </w:r>
    </w:p>
    <w:p w14:paraId="380CB4AD" w14:textId="02F7C925" w:rsidR="00D62A2E" w:rsidRPr="00D62A2E" w:rsidRDefault="00D62A2E" w:rsidP="004D07B0">
      <w:pPr>
        <w:spacing w:before="120" w:after="120"/>
        <w:rPr>
          <w:rFonts w:asciiTheme="minorHAnsi" w:hAnsiTheme="minorHAnsi" w:cstheme="minorHAnsi"/>
        </w:rPr>
      </w:pPr>
      <w:r>
        <w:rPr>
          <w:rFonts w:asciiTheme="minorHAnsi" w:hAnsiTheme="minorHAnsi" w:cstheme="minorHAnsi"/>
        </w:rPr>
        <w:t xml:space="preserve">As discussed above, the Amendment Instrument makes changes to the Principal Instrument to </w:t>
      </w:r>
      <w:r w:rsidR="00060CCE">
        <w:rPr>
          <w:rFonts w:asciiTheme="minorHAnsi" w:hAnsiTheme="minorHAnsi" w:cstheme="minorHAnsi"/>
        </w:rPr>
        <w:t>reflect that</w:t>
      </w:r>
      <w:r>
        <w:rPr>
          <w:rFonts w:asciiTheme="minorHAnsi" w:hAnsiTheme="minorHAnsi" w:cstheme="minorHAnsi"/>
        </w:rPr>
        <w:t xml:space="preserve"> the length of the </w:t>
      </w:r>
      <w:r w:rsidR="005D524E">
        <w:rPr>
          <w:rFonts w:asciiTheme="minorHAnsi" w:hAnsiTheme="minorHAnsi" w:cstheme="minorHAnsi"/>
        </w:rPr>
        <w:t>NPILF</w:t>
      </w:r>
      <w:r>
        <w:rPr>
          <w:rFonts w:asciiTheme="minorHAnsi" w:hAnsiTheme="minorHAnsi" w:cstheme="minorHAnsi"/>
        </w:rPr>
        <w:t xml:space="preserve"> program </w:t>
      </w:r>
      <w:r w:rsidR="00060CCE">
        <w:rPr>
          <w:rFonts w:asciiTheme="minorHAnsi" w:hAnsiTheme="minorHAnsi" w:cstheme="minorHAnsi"/>
        </w:rPr>
        <w:t xml:space="preserve">is increased </w:t>
      </w:r>
      <w:r>
        <w:rPr>
          <w:rFonts w:asciiTheme="minorHAnsi" w:hAnsiTheme="minorHAnsi" w:cstheme="minorHAnsi"/>
        </w:rPr>
        <w:t xml:space="preserve">to include 2025, which makes funding for the program available for another year. The program provides funding for work integrated learning and to support providers increasing the number of STEM-skilled graduates. As such, the Amendment Instrument supports the right to education as it increases the funding </w:t>
      </w:r>
      <w:r w:rsidR="00546B07">
        <w:rPr>
          <w:rFonts w:asciiTheme="minorHAnsi" w:hAnsiTheme="minorHAnsi" w:cstheme="minorHAnsi"/>
        </w:rPr>
        <w:t>for</w:t>
      </w:r>
      <w:r>
        <w:rPr>
          <w:rFonts w:asciiTheme="minorHAnsi" w:hAnsiTheme="minorHAnsi" w:cstheme="minorHAnsi"/>
        </w:rPr>
        <w:t xml:space="preserve"> providers </w:t>
      </w:r>
      <w:r w:rsidR="00546B07">
        <w:rPr>
          <w:rFonts w:asciiTheme="minorHAnsi" w:hAnsiTheme="minorHAnsi" w:cstheme="minorHAnsi"/>
        </w:rPr>
        <w:t>to increase</w:t>
      </w:r>
      <w:r>
        <w:rPr>
          <w:rFonts w:asciiTheme="minorHAnsi" w:hAnsiTheme="minorHAnsi" w:cstheme="minorHAnsi"/>
        </w:rPr>
        <w:t xml:space="preserve"> education services that they offer (i.e. work integrated learning) and </w:t>
      </w:r>
      <w:r w:rsidR="00546B07">
        <w:rPr>
          <w:rFonts w:asciiTheme="minorHAnsi" w:hAnsiTheme="minorHAnsi" w:cstheme="minorHAnsi"/>
        </w:rPr>
        <w:t xml:space="preserve">supports providers delivering higher education to more students by supporting providers to increase the number of STEM-skilled graduates. </w:t>
      </w:r>
    </w:p>
    <w:p w14:paraId="0D664062" w14:textId="77777777" w:rsidR="00DA552F" w:rsidRPr="008134D5" w:rsidRDefault="00F9205E" w:rsidP="000C310A">
      <w:pPr>
        <w:pStyle w:val="Heading2"/>
      </w:pPr>
      <w:r w:rsidRPr="008134D5">
        <w:t>Conclusion</w:t>
      </w:r>
    </w:p>
    <w:p w14:paraId="26C0AF71" w14:textId="68B51DB4"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 xml:space="preserve">is compatible with human rights because </w:t>
      </w:r>
      <w:r w:rsidR="0019381E">
        <w:rPr>
          <w:rFonts w:asciiTheme="minorHAnsi" w:hAnsiTheme="minorHAnsi" w:cstheme="minorHAnsi"/>
          <w:szCs w:val="24"/>
        </w:rPr>
        <w:t>i</w:t>
      </w:r>
      <w:r w:rsidR="00F7573F">
        <w:rPr>
          <w:rFonts w:asciiTheme="minorHAnsi" w:hAnsiTheme="minorHAnsi" w:cstheme="minorHAnsi"/>
          <w:szCs w:val="24"/>
        </w:rPr>
        <w:t xml:space="preserve">t </w:t>
      </w:r>
      <w:r w:rsidR="00546B07">
        <w:rPr>
          <w:rFonts w:asciiTheme="minorHAnsi" w:hAnsiTheme="minorHAnsi" w:cstheme="minorHAnsi"/>
          <w:szCs w:val="24"/>
        </w:rPr>
        <w:t>supports the right to work and the right to education.</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5B082254"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581A71">
        <w:rPr>
          <w:rFonts w:asciiTheme="minorHAnsi" w:hAnsiTheme="minorHAnsi" w:cstheme="minorHAnsi"/>
          <w:b/>
          <w:szCs w:val="24"/>
        </w:rPr>
        <w:t>Education</w:t>
      </w:r>
      <w:r w:rsidR="00E8671C">
        <w:rPr>
          <w:rFonts w:asciiTheme="minorHAnsi" w:hAnsiTheme="minorHAnsi" w:cstheme="minorHAnsi"/>
          <w:b/>
          <w:szCs w:val="24"/>
        </w:rPr>
        <w:t xml:space="preserve">, </w:t>
      </w:r>
      <w:r w:rsidR="00581A71">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92B2E5C" w14:textId="58ACFD06" w:rsidR="00DA552F" w:rsidRPr="00581A71" w:rsidRDefault="00581A71" w:rsidP="000C310A">
      <w:pPr>
        <w:pStyle w:val="Title"/>
        <w:rPr>
          <w:b w:val="0"/>
        </w:rPr>
      </w:pPr>
      <w:r w:rsidRPr="00581A71">
        <w:rPr>
          <w:u w:val="none"/>
        </w:rPr>
        <w:lastRenderedPageBreak/>
        <w:t>HIGHER EDUCATION SUPPORT (OTHER GRANTS) AMENDMENT (</w:t>
      </w:r>
      <w:r w:rsidR="00546B07">
        <w:rPr>
          <w:u w:val="none"/>
        </w:rPr>
        <w:t>NATIONAL PRIORITIES AND INDUSTRY LINKAGE FUND</w:t>
      </w:r>
      <w:r w:rsidRPr="00581A71">
        <w:rPr>
          <w:u w:val="none"/>
        </w:rPr>
        <w:t>) GUIDELINES 202</w:t>
      </w:r>
      <w:r w:rsidR="00546B07">
        <w:rPr>
          <w:u w:val="none"/>
        </w:rPr>
        <w:t>4</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652EA00C" w:rsidR="00DA552F" w:rsidRPr="00EF4ACB" w:rsidRDefault="00DA552F" w:rsidP="00CB24D6">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is a formal provision specifying the </w:t>
      </w:r>
      <w:r w:rsidR="00E631F9" w:rsidRPr="00EF4ACB">
        <w:rPr>
          <w:rFonts w:asciiTheme="minorHAnsi" w:hAnsiTheme="minorHAnsi" w:cstheme="minorHAnsi"/>
          <w:szCs w:val="24"/>
        </w:rPr>
        <w:t>name of the</w:t>
      </w:r>
      <w:r w:rsidR="00603D52">
        <w:rPr>
          <w:rFonts w:asciiTheme="minorHAnsi" w:hAnsiTheme="minorHAnsi" w:cstheme="minorHAnsi"/>
          <w:szCs w:val="24"/>
        </w:rPr>
        <w:t xml:space="preserve"> </w:t>
      </w:r>
      <w:r w:rsidR="00603D52">
        <w:rPr>
          <w:rFonts w:asciiTheme="minorHAnsi" w:hAnsiTheme="minorHAnsi" w:cstheme="minorHAnsi"/>
          <w:i/>
          <w:iCs/>
          <w:szCs w:val="24"/>
        </w:rPr>
        <w:t>Higher Education Support (Other Grants) Amendment (</w:t>
      </w:r>
      <w:r w:rsidR="00546B07">
        <w:rPr>
          <w:rFonts w:asciiTheme="minorHAnsi" w:hAnsiTheme="minorHAnsi" w:cstheme="minorHAnsi"/>
          <w:i/>
          <w:iCs/>
          <w:szCs w:val="24"/>
        </w:rPr>
        <w:t>National Priorities and Industry Linkage Fund</w:t>
      </w:r>
      <w:r w:rsidR="00603D52">
        <w:rPr>
          <w:rFonts w:asciiTheme="minorHAnsi" w:hAnsiTheme="minorHAnsi" w:cstheme="minorHAnsi"/>
          <w:i/>
          <w:iCs/>
          <w:szCs w:val="24"/>
        </w:rPr>
        <w:t>) Guidelines 202</w:t>
      </w:r>
      <w:r w:rsidR="00546B07">
        <w:rPr>
          <w:rFonts w:asciiTheme="minorHAnsi" w:hAnsiTheme="minorHAnsi" w:cstheme="minorHAnsi"/>
          <w:i/>
          <w:iCs/>
          <w:szCs w:val="24"/>
        </w:rPr>
        <w:t>4</w:t>
      </w:r>
      <w:r w:rsidR="00603D52">
        <w:rPr>
          <w:rFonts w:asciiTheme="minorHAnsi" w:hAnsiTheme="minorHAnsi" w:cstheme="minorHAnsi"/>
          <w:i/>
          <w:iCs/>
          <w:szCs w:val="24"/>
        </w:rPr>
        <w:t xml:space="preserve"> </w:t>
      </w:r>
      <w:r w:rsidR="00603D52">
        <w:rPr>
          <w:rFonts w:asciiTheme="minorHAnsi" w:hAnsiTheme="minorHAnsi" w:cstheme="minorHAnsi"/>
          <w:szCs w:val="24"/>
        </w:rPr>
        <w:t>(the Amendment I</w:t>
      </w:r>
      <w:r w:rsidR="00E631F9" w:rsidRPr="00EF4ACB">
        <w:rPr>
          <w:rFonts w:asciiTheme="minorHAnsi" w:hAnsiTheme="minorHAnsi" w:cstheme="minorHAnsi"/>
          <w:szCs w:val="24"/>
        </w:rPr>
        <w:t>nstrument</w:t>
      </w:r>
      <w:r w:rsidR="00603D52">
        <w:rPr>
          <w:rFonts w:asciiTheme="minorHAnsi" w:hAnsiTheme="minorHAnsi" w:cstheme="minorHAnsi"/>
          <w:szCs w:val="24"/>
        </w:rPr>
        <w:t>)</w:t>
      </w:r>
      <w:r w:rsidR="00E631F9" w:rsidRPr="00EF4ACB">
        <w:rPr>
          <w:rFonts w:asciiTheme="minorHAnsi" w:hAnsiTheme="minorHAnsi" w:cstheme="minorHAnsi"/>
          <w:szCs w:val="24"/>
        </w:rPr>
        <w: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7A4D9704"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provision provides that the </w:t>
      </w:r>
      <w:r w:rsidR="00603D52">
        <w:rPr>
          <w:rFonts w:asciiTheme="minorHAnsi" w:hAnsiTheme="minorHAnsi" w:cstheme="minorHAnsi"/>
          <w:iCs/>
        </w:rPr>
        <w:t xml:space="preserve">Amendment </w:t>
      </w:r>
      <w:r w:rsidR="00603D52" w:rsidRPr="00745376">
        <w:rPr>
          <w:rFonts w:asciiTheme="minorHAnsi" w:hAnsiTheme="minorHAnsi" w:cstheme="minorHAnsi"/>
          <w:iCs/>
        </w:rPr>
        <w:t>Instrument</w:t>
      </w:r>
      <w:r>
        <w:rPr>
          <w:rFonts w:asciiTheme="minorHAnsi" w:hAnsiTheme="minorHAnsi" w:cstheme="minorHAnsi"/>
          <w:iCs/>
        </w:rPr>
        <w:t xml:space="preserve"> commences on the day after the Amendment Instrument is registered on the Federal Register of Legislation. </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08A0FDA4"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This provision provides that the Amendment Instrument is made under section 238</w:t>
      </w:r>
      <w:r>
        <w:rPr>
          <w:rFonts w:asciiTheme="minorHAnsi" w:hAnsiTheme="minorHAnsi" w:cstheme="minorHAnsi"/>
          <w:iCs/>
        </w:rPr>
        <w:noBreakHyphen/>
        <w:t xml:space="preserve">10 of the </w:t>
      </w:r>
      <w:r>
        <w:rPr>
          <w:rFonts w:asciiTheme="minorHAnsi" w:hAnsiTheme="minorHAnsi" w:cstheme="minorHAnsi"/>
          <w:i/>
        </w:rPr>
        <w:t xml:space="preserve">Higher Education Support Act 2003 </w:t>
      </w:r>
      <w:r>
        <w:rPr>
          <w:rFonts w:asciiTheme="minorHAnsi" w:hAnsiTheme="minorHAnsi" w:cstheme="minorHAnsi"/>
          <w:iCs/>
        </w:rPr>
        <w:t xml:space="preserve">(the Act). </w:t>
      </w:r>
    </w:p>
    <w:p w14:paraId="0296CC14" w14:textId="4050D0AE" w:rsidR="00DA552F" w:rsidRPr="000C310A" w:rsidRDefault="00E631F9" w:rsidP="000C310A">
      <w:pPr>
        <w:pStyle w:val="Heading3"/>
        <w:spacing w:before="240"/>
        <w:rPr>
          <w:b/>
          <w:bCs/>
        </w:rPr>
      </w:pPr>
      <w:r w:rsidRPr="008C5CE9">
        <w:rPr>
          <w:b/>
          <w:bCs/>
        </w:rPr>
        <w:t xml:space="preserve">Section 4: </w:t>
      </w:r>
      <w:r w:rsidR="00581A71">
        <w:rPr>
          <w:b/>
          <w:bCs/>
        </w:rPr>
        <w:t xml:space="preserve">Schedules </w:t>
      </w:r>
    </w:p>
    <w:p w14:paraId="2AB55D93" w14:textId="15E2FFA5" w:rsidR="00756D99" w:rsidRDefault="00581A71" w:rsidP="00581A71">
      <w:pPr>
        <w:pStyle w:val="ListParagraph"/>
        <w:numPr>
          <w:ilvl w:val="0"/>
          <w:numId w:val="1"/>
        </w:numPr>
        <w:spacing w:after="160" w:line="259" w:lineRule="auto"/>
        <w:rPr>
          <w:rFonts w:asciiTheme="minorHAnsi" w:hAnsiTheme="minorHAnsi" w:cstheme="minorHAnsi"/>
        </w:rPr>
      </w:pPr>
      <w:bookmarkStart w:id="5" w:name="_Toc23942243"/>
      <w:bookmarkEnd w:id="5"/>
      <w:r>
        <w:rPr>
          <w:rFonts w:asciiTheme="minorHAnsi" w:hAnsiTheme="minorHAnsi" w:cstheme="minorHAnsi"/>
        </w:rPr>
        <w:t>This is a technical provision that explains that the instrument that is specified in a Schedule to th</w:t>
      </w:r>
      <w:r w:rsidR="000B1B40">
        <w:rPr>
          <w:rFonts w:asciiTheme="minorHAnsi" w:hAnsiTheme="minorHAnsi" w:cstheme="minorHAnsi"/>
        </w:rPr>
        <w:t>e</w:t>
      </w:r>
      <w:r>
        <w:rPr>
          <w:rFonts w:asciiTheme="minorHAnsi" w:hAnsiTheme="minorHAnsi" w:cstheme="minorHAnsi"/>
        </w:rPr>
        <w:t xml:space="preserve"> </w:t>
      </w:r>
      <w:r w:rsidR="000B1B40">
        <w:rPr>
          <w:rFonts w:asciiTheme="minorHAnsi" w:hAnsiTheme="minorHAnsi" w:cstheme="minorHAnsi"/>
        </w:rPr>
        <w:t>Amendment I</w:t>
      </w:r>
      <w:r>
        <w:rPr>
          <w:rFonts w:asciiTheme="minorHAnsi" w:hAnsiTheme="minorHAnsi" w:cstheme="minorHAnsi"/>
        </w:rPr>
        <w:t xml:space="preserve">nstrument is amended or repealed as set out in the applicable items in the Schedule concerned. </w:t>
      </w:r>
    </w:p>
    <w:p w14:paraId="6BA970E5" w14:textId="33740AC0" w:rsidR="00581A71" w:rsidRDefault="00581A71" w:rsidP="00581A71">
      <w:pPr>
        <w:spacing w:after="160" w:line="259" w:lineRule="auto"/>
        <w:rPr>
          <w:rFonts w:asciiTheme="minorHAnsi" w:hAnsiTheme="minorHAnsi" w:cstheme="minorHAnsi"/>
        </w:rPr>
      </w:pPr>
      <w:r>
        <w:rPr>
          <w:rFonts w:asciiTheme="minorHAnsi" w:hAnsiTheme="minorHAnsi" w:cstheme="minorHAnsi"/>
          <w:b/>
          <w:bCs/>
          <w:u w:val="single"/>
        </w:rPr>
        <w:t xml:space="preserve">Schedule 1 – Amendments </w:t>
      </w:r>
    </w:p>
    <w:p w14:paraId="05CD46D6" w14:textId="104B0008" w:rsidR="00581A71" w:rsidRDefault="00581A71" w:rsidP="00581A71">
      <w:pPr>
        <w:spacing w:after="160" w:line="259" w:lineRule="auto"/>
        <w:rPr>
          <w:rFonts w:asciiTheme="minorHAnsi" w:hAnsiTheme="minorHAnsi" w:cstheme="minorHAnsi"/>
        </w:rPr>
      </w:pPr>
      <w:r>
        <w:rPr>
          <w:rFonts w:asciiTheme="minorHAnsi" w:hAnsiTheme="minorHAnsi" w:cstheme="minorHAnsi"/>
          <w:i/>
          <w:iCs/>
        </w:rPr>
        <w:t xml:space="preserve">Higher Education Support (Other Grants) Guidelines 2022 </w:t>
      </w:r>
    </w:p>
    <w:p w14:paraId="284CF944" w14:textId="6A19A0F4" w:rsidR="00581A71" w:rsidRDefault="00581A71" w:rsidP="00581A71">
      <w:pPr>
        <w:spacing w:after="160" w:line="259" w:lineRule="auto"/>
        <w:rPr>
          <w:rFonts w:asciiTheme="minorHAnsi" w:hAnsiTheme="minorHAnsi" w:cstheme="minorHAnsi"/>
        </w:rPr>
      </w:pPr>
      <w:r>
        <w:rPr>
          <w:rFonts w:asciiTheme="minorHAnsi" w:hAnsiTheme="minorHAnsi" w:cstheme="minorHAnsi"/>
          <w:u w:val="single"/>
        </w:rPr>
        <w:t>Item 1</w:t>
      </w:r>
      <w:r w:rsidR="00546B07">
        <w:rPr>
          <w:rFonts w:asciiTheme="minorHAnsi" w:hAnsiTheme="minorHAnsi" w:cstheme="minorHAnsi"/>
          <w:u w:val="single"/>
        </w:rPr>
        <w:t>: Subsection 69(2)</w:t>
      </w:r>
    </w:p>
    <w:p w14:paraId="2E813824" w14:textId="601BE9DF" w:rsidR="00546B07" w:rsidRDefault="00546B07" w:rsidP="00546B07">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Existing section 69 of the </w:t>
      </w:r>
      <w:r>
        <w:rPr>
          <w:rFonts w:asciiTheme="minorHAnsi" w:hAnsiTheme="minorHAnsi" w:cstheme="minorHAnsi"/>
          <w:i/>
          <w:iCs/>
        </w:rPr>
        <w:t xml:space="preserve">Higher Education Support (Other Grants) Guidelines 2022 </w:t>
      </w:r>
      <w:r>
        <w:rPr>
          <w:rFonts w:asciiTheme="minorHAnsi" w:hAnsiTheme="minorHAnsi" w:cstheme="minorHAnsi"/>
        </w:rPr>
        <w:t xml:space="preserve">provides that grants under the National Priorities and Industry Linkage Fund are made in respect of a year, and the amount that will be spent on the program is the total of all the grant amounts calculated in accordance with sections 70 and 71. </w:t>
      </w:r>
    </w:p>
    <w:p w14:paraId="3906BCFF" w14:textId="605932B1" w:rsidR="00186D4B" w:rsidRDefault="00186D4B" w:rsidP="00546B07">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Item 1 </w:t>
      </w:r>
      <w:r w:rsidR="00546B07">
        <w:rPr>
          <w:rFonts w:asciiTheme="minorHAnsi" w:hAnsiTheme="minorHAnsi" w:cstheme="minorHAnsi"/>
        </w:rPr>
        <w:t>amends subsection 69(2) to reflect that grants for the program will also be made in respect of 2025.</w:t>
      </w:r>
    </w:p>
    <w:sectPr w:rsidR="00186D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E8CE7" w14:textId="77777777" w:rsidR="00AF20DA" w:rsidRDefault="00AF20DA" w:rsidP="00783FAB">
      <w:pPr>
        <w:spacing w:after="0" w:line="240" w:lineRule="auto"/>
      </w:pPr>
      <w:r>
        <w:separator/>
      </w:r>
    </w:p>
  </w:endnote>
  <w:endnote w:type="continuationSeparator" w:id="0">
    <w:p w14:paraId="0F7B1036" w14:textId="77777777" w:rsidR="00AF20DA" w:rsidRDefault="00AF20DA" w:rsidP="00783FAB">
      <w:pPr>
        <w:spacing w:after="0" w:line="240" w:lineRule="auto"/>
      </w:pPr>
      <w:r>
        <w:continuationSeparator/>
      </w:r>
    </w:p>
  </w:endnote>
  <w:endnote w:type="continuationNotice" w:id="1">
    <w:p w14:paraId="7C35221C" w14:textId="77777777" w:rsidR="00AF20DA" w:rsidRDefault="00AF2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0B22A" w14:textId="77777777" w:rsidR="00AF20DA" w:rsidRDefault="00AF20DA" w:rsidP="00783FAB">
      <w:pPr>
        <w:spacing w:after="0" w:line="240" w:lineRule="auto"/>
      </w:pPr>
      <w:r>
        <w:separator/>
      </w:r>
    </w:p>
  </w:footnote>
  <w:footnote w:type="continuationSeparator" w:id="0">
    <w:p w14:paraId="565F991C" w14:textId="77777777" w:rsidR="00AF20DA" w:rsidRDefault="00AF20DA" w:rsidP="00783FAB">
      <w:pPr>
        <w:spacing w:after="0" w:line="240" w:lineRule="auto"/>
      </w:pPr>
      <w:r>
        <w:continuationSeparator/>
      </w:r>
    </w:p>
  </w:footnote>
  <w:footnote w:type="continuationNotice" w:id="1">
    <w:p w14:paraId="03640944" w14:textId="77777777" w:rsidR="00AF20DA" w:rsidRDefault="00AF2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8690668">
    <w:abstractNumId w:val="0"/>
  </w:num>
  <w:num w:numId="2" w16cid:durableId="1372879744">
    <w:abstractNumId w:val="3"/>
  </w:num>
  <w:num w:numId="3" w16cid:durableId="116682397">
    <w:abstractNumId w:val="1"/>
  </w:num>
  <w:num w:numId="4" w16cid:durableId="175898650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37B"/>
    <w:rsid w:val="000009D4"/>
    <w:rsid w:val="00000F56"/>
    <w:rsid w:val="00003184"/>
    <w:rsid w:val="000036EB"/>
    <w:rsid w:val="0000395C"/>
    <w:rsid w:val="00011E4D"/>
    <w:rsid w:val="000138CF"/>
    <w:rsid w:val="000140D5"/>
    <w:rsid w:val="000146FA"/>
    <w:rsid w:val="0001554B"/>
    <w:rsid w:val="00016AFF"/>
    <w:rsid w:val="00017F54"/>
    <w:rsid w:val="00030249"/>
    <w:rsid w:val="000305EA"/>
    <w:rsid w:val="00031E3C"/>
    <w:rsid w:val="00032CB3"/>
    <w:rsid w:val="00036FAE"/>
    <w:rsid w:val="00044508"/>
    <w:rsid w:val="00047561"/>
    <w:rsid w:val="00047668"/>
    <w:rsid w:val="00047A2A"/>
    <w:rsid w:val="0005020B"/>
    <w:rsid w:val="00057815"/>
    <w:rsid w:val="00057A1E"/>
    <w:rsid w:val="00060CCE"/>
    <w:rsid w:val="000614A1"/>
    <w:rsid w:val="000615A3"/>
    <w:rsid w:val="00062794"/>
    <w:rsid w:val="0006484E"/>
    <w:rsid w:val="000668B0"/>
    <w:rsid w:val="00076E76"/>
    <w:rsid w:val="00083F41"/>
    <w:rsid w:val="000846B7"/>
    <w:rsid w:val="000A2A28"/>
    <w:rsid w:val="000A2D3A"/>
    <w:rsid w:val="000A3124"/>
    <w:rsid w:val="000A3351"/>
    <w:rsid w:val="000A35D6"/>
    <w:rsid w:val="000A7F4E"/>
    <w:rsid w:val="000B1B40"/>
    <w:rsid w:val="000B1BE1"/>
    <w:rsid w:val="000B3914"/>
    <w:rsid w:val="000B4558"/>
    <w:rsid w:val="000B6430"/>
    <w:rsid w:val="000C224C"/>
    <w:rsid w:val="000C310A"/>
    <w:rsid w:val="000C34FD"/>
    <w:rsid w:val="000C4D6B"/>
    <w:rsid w:val="000D1472"/>
    <w:rsid w:val="000D5E6D"/>
    <w:rsid w:val="000E3516"/>
    <w:rsid w:val="000E57DB"/>
    <w:rsid w:val="000E6FD6"/>
    <w:rsid w:val="000F1811"/>
    <w:rsid w:val="000F7A8C"/>
    <w:rsid w:val="000F7E41"/>
    <w:rsid w:val="00103015"/>
    <w:rsid w:val="00103253"/>
    <w:rsid w:val="001042BA"/>
    <w:rsid w:val="00105198"/>
    <w:rsid w:val="00111226"/>
    <w:rsid w:val="00120A34"/>
    <w:rsid w:val="00121E65"/>
    <w:rsid w:val="00124260"/>
    <w:rsid w:val="00125A8E"/>
    <w:rsid w:val="00127CD8"/>
    <w:rsid w:val="001301AD"/>
    <w:rsid w:val="001334D9"/>
    <w:rsid w:val="001346AC"/>
    <w:rsid w:val="001377D9"/>
    <w:rsid w:val="00137ACD"/>
    <w:rsid w:val="00140DAD"/>
    <w:rsid w:val="00140E3D"/>
    <w:rsid w:val="001421FE"/>
    <w:rsid w:val="00142B2D"/>
    <w:rsid w:val="001437EA"/>
    <w:rsid w:val="00144950"/>
    <w:rsid w:val="00145BE1"/>
    <w:rsid w:val="0015276C"/>
    <w:rsid w:val="00152947"/>
    <w:rsid w:val="00154C9F"/>
    <w:rsid w:val="0015508C"/>
    <w:rsid w:val="00160153"/>
    <w:rsid w:val="00161A1F"/>
    <w:rsid w:val="0017006A"/>
    <w:rsid w:val="00173A64"/>
    <w:rsid w:val="00173E0C"/>
    <w:rsid w:val="00185491"/>
    <w:rsid w:val="00186D4B"/>
    <w:rsid w:val="0019381E"/>
    <w:rsid w:val="00195030"/>
    <w:rsid w:val="00197C3F"/>
    <w:rsid w:val="001A2FE9"/>
    <w:rsid w:val="001A4389"/>
    <w:rsid w:val="001B3C7A"/>
    <w:rsid w:val="001B5F2A"/>
    <w:rsid w:val="001C48B7"/>
    <w:rsid w:val="001C5D6A"/>
    <w:rsid w:val="001D00E3"/>
    <w:rsid w:val="001D0AF3"/>
    <w:rsid w:val="001D1D8A"/>
    <w:rsid w:val="001D36EE"/>
    <w:rsid w:val="001E07CE"/>
    <w:rsid w:val="001E52EB"/>
    <w:rsid w:val="001E5A0B"/>
    <w:rsid w:val="001F127D"/>
    <w:rsid w:val="001F1E30"/>
    <w:rsid w:val="001F3626"/>
    <w:rsid w:val="001F7336"/>
    <w:rsid w:val="00200358"/>
    <w:rsid w:val="002005CD"/>
    <w:rsid w:val="00201F75"/>
    <w:rsid w:val="00202EC1"/>
    <w:rsid w:val="00204283"/>
    <w:rsid w:val="00204EEF"/>
    <w:rsid w:val="002058CE"/>
    <w:rsid w:val="00205DBD"/>
    <w:rsid w:val="00207297"/>
    <w:rsid w:val="0021337D"/>
    <w:rsid w:val="00216A1C"/>
    <w:rsid w:val="00220A36"/>
    <w:rsid w:val="00223F82"/>
    <w:rsid w:val="00224C52"/>
    <w:rsid w:val="00232304"/>
    <w:rsid w:val="002378EE"/>
    <w:rsid w:val="002445E3"/>
    <w:rsid w:val="00247EBF"/>
    <w:rsid w:val="00253AEA"/>
    <w:rsid w:val="00261499"/>
    <w:rsid w:val="00266664"/>
    <w:rsid w:val="002672A4"/>
    <w:rsid w:val="002747E8"/>
    <w:rsid w:val="00274EEA"/>
    <w:rsid w:val="002759C4"/>
    <w:rsid w:val="0027686D"/>
    <w:rsid w:val="002807EE"/>
    <w:rsid w:val="002808A9"/>
    <w:rsid w:val="00284C9D"/>
    <w:rsid w:val="00284D7C"/>
    <w:rsid w:val="00292863"/>
    <w:rsid w:val="00292990"/>
    <w:rsid w:val="00294430"/>
    <w:rsid w:val="00296CA7"/>
    <w:rsid w:val="00296FAF"/>
    <w:rsid w:val="00297CEB"/>
    <w:rsid w:val="00297EAB"/>
    <w:rsid w:val="002A15F1"/>
    <w:rsid w:val="002A4961"/>
    <w:rsid w:val="002B313C"/>
    <w:rsid w:val="002B411E"/>
    <w:rsid w:val="002B5C28"/>
    <w:rsid w:val="002B7CC4"/>
    <w:rsid w:val="002C08CD"/>
    <w:rsid w:val="002C1F84"/>
    <w:rsid w:val="002C40FB"/>
    <w:rsid w:val="002C69B1"/>
    <w:rsid w:val="002D1504"/>
    <w:rsid w:val="002D4EA4"/>
    <w:rsid w:val="002D564A"/>
    <w:rsid w:val="002E12E6"/>
    <w:rsid w:val="002F0FD2"/>
    <w:rsid w:val="002F76C6"/>
    <w:rsid w:val="0030256D"/>
    <w:rsid w:val="00304A88"/>
    <w:rsid w:val="00304E64"/>
    <w:rsid w:val="00306AFB"/>
    <w:rsid w:val="00307358"/>
    <w:rsid w:val="0031070C"/>
    <w:rsid w:val="00313612"/>
    <w:rsid w:val="00316053"/>
    <w:rsid w:val="003170AC"/>
    <w:rsid w:val="00326C24"/>
    <w:rsid w:val="0033070E"/>
    <w:rsid w:val="003440C7"/>
    <w:rsid w:val="00350779"/>
    <w:rsid w:val="00353D81"/>
    <w:rsid w:val="00354743"/>
    <w:rsid w:val="00365D2C"/>
    <w:rsid w:val="00367C2D"/>
    <w:rsid w:val="0037028F"/>
    <w:rsid w:val="003719BF"/>
    <w:rsid w:val="00372D85"/>
    <w:rsid w:val="00375010"/>
    <w:rsid w:val="0037728A"/>
    <w:rsid w:val="00377427"/>
    <w:rsid w:val="00383ABF"/>
    <w:rsid w:val="00386B68"/>
    <w:rsid w:val="00386E17"/>
    <w:rsid w:val="0038758C"/>
    <w:rsid w:val="003913F1"/>
    <w:rsid w:val="003926BB"/>
    <w:rsid w:val="00393A61"/>
    <w:rsid w:val="00394454"/>
    <w:rsid w:val="00395655"/>
    <w:rsid w:val="003A0965"/>
    <w:rsid w:val="003A373E"/>
    <w:rsid w:val="003A3D0E"/>
    <w:rsid w:val="003A4424"/>
    <w:rsid w:val="003A530C"/>
    <w:rsid w:val="003A5841"/>
    <w:rsid w:val="003A7B17"/>
    <w:rsid w:val="003B29B0"/>
    <w:rsid w:val="003B2DA8"/>
    <w:rsid w:val="003B3044"/>
    <w:rsid w:val="003B6C2D"/>
    <w:rsid w:val="003B7464"/>
    <w:rsid w:val="003C0D20"/>
    <w:rsid w:val="003C16A9"/>
    <w:rsid w:val="003C202D"/>
    <w:rsid w:val="003D47C4"/>
    <w:rsid w:val="003D724F"/>
    <w:rsid w:val="003D7CE2"/>
    <w:rsid w:val="003E4413"/>
    <w:rsid w:val="003E4724"/>
    <w:rsid w:val="003E5B26"/>
    <w:rsid w:val="003F09F7"/>
    <w:rsid w:val="003F1AA1"/>
    <w:rsid w:val="003F24BC"/>
    <w:rsid w:val="003F6CD5"/>
    <w:rsid w:val="00401B80"/>
    <w:rsid w:val="00402CC7"/>
    <w:rsid w:val="00402D70"/>
    <w:rsid w:val="00403CE4"/>
    <w:rsid w:val="004075A3"/>
    <w:rsid w:val="00410A3F"/>
    <w:rsid w:val="0041144F"/>
    <w:rsid w:val="004143B1"/>
    <w:rsid w:val="00415A55"/>
    <w:rsid w:val="004228EE"/>
    <w:rsid w:val="00425A1E"/>
    <w:rsid w:val="00425FCB"/>
    <w:rsid w:val="00430F1B"/>
    <w:rsid w:val="004327E1"/>
    <w:rsid w:val="00434240"/>
    <w:rsid w:val="00434641"/>
    <w:rsid w:val="00434CDD"/>
    <w:rsid w:val="00434EE3"/>
    <w:rsid w:val="004355D0"/>
    <w:rsid w:val="004355E8"/>
    <w:rsid w:val="00436435"/>
    <w:rsid w:val="00445460"/>
    <w:rsid w:val="00446B03"/>
    <w:rsid w:val="0044797F"/>
    <w:rsid w:val="00455C2A"/>
    <w:rsid w:val="004563A2"/>
    <w:rsid w:val="00466F82"/>
    <w:rsid w:val="00472F61"/>
    <w:rsid w:val="00481DE1"/>
    <w:rsid w:val="00484DBC"/>
    <w:rsid w:val="00490BA0"/>
    <w:rsid w:val="00494834"/>
    <w:rsid w:val="0049486C"/>
    <w:rsid w:val="004A2F70"/>
    <w:rsid w:val="004A409F"/>
    <w:rsid w:val="004A48D9"/>
    <w:rsid w:val="004A6B2D"/>
    <w:rsid w:val="004B2C3F"/>
    <w:rsid w:val="004B3D95"/>
    <w:rsid w:val="004C35AB"/>
    <w:rsid w:val="004D07B0"/>
    <w:rsid w:val="004D5695"/>
    <w:rsid w:val="004D665B"/>
    <w:rsid w:val="004D7B86"/>
    <w:rsid w:val="004E3131"/>
    <w:rsid w:val="004F53E6"/>
    <w:rsid w:val="004F54FF"/>
    <w:rsid w:val="00503218"/>
    <w:rsid w:val="00505873"/>
    <w:rsid w:val="00506F28"/>
    <w:rsid w:val="005146EC"/>
    <w:rsid w:val="00515BBE"/>
    <w:rsid w:val="005169CB"/>
    <w:rsid w:val="00517337"/>
    <w:rsid w:val="005173FC"/>
    <w:rsid w:val="00524226"/>
    <w:rsid w:val="0052516E"/>
    <w:rsid w:val="00527330"/>
    <w:rsid w:val="00536596"/>
    <w:rsid w:val="005366FF"/>
    <w:rsid w:val="00537A32"/>
    <w:rsid w:val="0054485B"/>
    <w:rsid w:val="0054602B"/>
    <w:rsid w:val="00546375"/>
    <w:rsid w:val="00546B07"/>
    <w:rsid w:val="005620CA"/>
    <w:rsid w:val="00572401"/>
    <w:rsid w:val="005732E6"/>
    <w:rsid w:val="00576596"/>
    <w:rsid w:val="00577C30"/>
    <w:rsid w:val="005812FF"/>
    <w:rsid w:val="005819C8"/>
    <w:rsid w:val="00581A71"/>
    <w:rsid w:val="0058422E"/>
    <w:rsid w:val="00584B84"/>
    <w:rsid w:val="005905A0"/>
    <w:rsid w:val="005910FD"/>
    <w:rsid w:val="00591EC0"/>
    <w:rsid w:val="00597535"/>
    <w:rsid w:val="005A54B4"/>
    <w:rsid w:val="005A7050"/>
    <w:rsid w:val="005B3CBC"/>
    <w:rsid w:val="005B486F"/>
    <w:rsid w:val="005B510A"/>
    <w:rsid w:val="005C0740"/>
    <w:rsid w:val="005C108B"/>
    <w:rsid w:val="005C18D0"/>
    <w:rsid w:val="005D524E"/>
    <w:rsid w:val="005E2026"/>
    <w:rsid w:val="005E3513"/>
    <w:rsid w:val="005E75E1"/>
    <w:rsid w:val="005F4914"/>
    <w:rsid w:val="005F4CD9"/>
    <w:rsid w:val="005F5DF6"/>
    <w:rsid w:val="005F5FA1"/>
    <w:rsid w:val="005F7D42"/>
    <w:rsid w:val="0060088C"/>
    <w:rsid w:val="00603D52"/>
    <w:rsid w:val="00604F05"/>
    <w:rsid w:val="00611D31"/>
    <w:rsid w:val="006156C6"/>
    <w:rsid w:val="006160C4"/>
    <w:rsid w:val="006202A1"/>
    <w:rsid w:val="0062319E"/>
    <w:rsid w:val="00625432"/>
    <w:rsid w:val="00626E42"/>
    <w:rsid w:val="00627EDA"/>
    <w:rsid w:val="00636200"/>
    <w:rsid w:val="00645DC7"/>
    <w:rsid w:val="0064724F"/>
    <w:rsid w:val="006507CB"/>
    <w:rsid w:val="00651D68"/>
    <w:rsid w:val="00652D30"/>
    <w:rsid w:val="00656314"/>
    <w:rsid w:val="00661BE8"/>
    <w:rsid w:val="00667B6F"/>
    <w:rsid w:val="00667F82"/>
    <w:rsid w:val="006700AA"/>
    <w:rsid w:val="00671007"/>
    <w:rsid w:val="00677A0D"/>
    <w:rsid w:val="00683087"/>
    <w:rsid w:val="00685653"/>
    <w:rsid w:val="006930D1"/>
    <w:rsid w:val="006931AD"/>
    <w:rsid w:val="006940BB"/>
    <w:rsid w:val="00696CF0"/>
    <w:rsid w:val="00697001"/>
    <w:rsid w:val="006A1788"/>
    <w:rsid w:val="006A666D"/>
    <w:rsid w:val="006B2427"/>
    <w:rsid w:val="006B2D99"/>
    <w:rsid w:val="006B457E"/>
    <w:rsid w:val="006B6E38"/>
    <w:rsid w:val="006C1CE3"/>
    <w:rsid w:val="006D3958"/>
    <w:rsid w:val="006D3F7A"/>
    <w:rsid w:val="006D58E2"/>
    <w:rsid w:val="006D7B6B"/>
    <w:rsid w:val="006E3838"/>
    <w:rsid w:val="006E3C40"/>
    <w:rsid w:val="006E7699"/>
    <w:rsid w:val="006F27AC"/>
    <w:rsid w:val="006F3E5C"/>
    <w:rsid w:val="006F627D"/>
    <w:rsid w:val="0070009D"/>
    <w:rsid w:val="00701544"/>
    <w:rsid w:val="00701CB8"/>
    <w:rsid w:val="00701E47"/>
    <w:rsid w:val="00706A99"/>
    <w:rsid w:val="00707E57"/>
    <w:rsid w:val="00707F49"/>
    <w:rsid w:val="007103B5"/>
    <w:rsid w:val="00717D94"/>
    <w:rsid w:val="007213BB"/>
    <w:rsid w:val="0072758F"/>
    <w:rsid w:val="007314EF"/>
    <w:rsid w:val="00731A1C"/>
    <w:rsid w:val="0073763E"/>
    <w:rsid w:val="007427F1"/>
    <w:rsid w:val="007452A0"/>
    <w:rsid w:val="00745376"/>
    <w:rsid w:val="00745FCA"/>
    <w:rsid w:val="00747943"/>
    <w:rsid w:val="00752BD5"/>
    <w:rsid w:val="00753090"/>
    <w:rsid w:val="0075573F"/>
    <w:rsid w:val="00756861"/>
    <w:rsid w:val="00756D99"/>
    <w:rsid w:val="00756F20"/>
    <w:rsid w:val="00760772"/>
    <w:rsid w:val="00760DDE"/>
    <w:rsid w:val="007620AE"/>
    <w:rsid w:val="00763679"/>
    <w:rsid w:val="00772715"/>
    <w:rsid w:val="00774144"/>
    <w:rsid w:val="0077536C"/>
    <w:rsid w:val="00782538"/>
    <w:rsid w:val="007828DD"/>
    <w:rsid w:val="00783FAB"/>
    <w:rsid w:val="00785B13"/>
    <w:rsid w:val="00791AAC"/>
    <w:rsid w:val="00795969"/>
    <w:rsid w:val="007A0219"/>
    <w:rsid w:val="007A0558"/>
    <w:rsid w:val="007A1D14"/>
    <w:rsid w:val="007A6AF0"/>
    <w:rsid w:val="007B44CD"/>
    <w:rsid w:val="007B4836"/>
    <w:rsid w:val="007C3355"/>
    <w:rsid w:val="007C5020"/>
    <w:rsid w:val="007D12B2"/>
    <w:rsid w:val="007D1F16"/>
    <w:rsid w:val="007D4E08"/>
    <w:rsid w:val="007E00A8"/>
    <w:rsid w:val="007E16D6"/>
    <w:rsid w:val="007E2197"/>
    <w:rsid w:val="007E3446"/>
    <w:rsid w:val="007E3447"/>
    <w:rsid w:val="007E36E5"/>
    <w:rsid w:val="007E6EC6"/>
    <w:rsid w:val="007F51C0"/>
    <w:rsid w:val="007F563E"/>
    <w:rsid w:val="00803447"/>
    <w:rsid w:val="008035CF"/>
    <w:rsid w:val="0080510C"/>
    <w:rsid w:val="0080584E"/>
    <w:rsid w:val="00805FEB"/>
    <w:rsid w:val="00811E34"/>
    <w:rsid w:val="00812C37"/>
    <w:rsid w:val="008134D5"/>
    <w:rsid w:val="00813A38"/>
    <w:rsid w:val="00823B66"/>
    <w:rsid w:val="00824A98"/>
    <w:rsid w:val="0082544B"/>
    <w:rsid w:val="008310AA"/>
    <w:rsid w:val="00834114"/>
    <w:rsid w:val="00836B85"/>
    <w:rsid w:val="00843812"/>
    <w:rsid w:val="00844D23"/>
    <w:rsid w:val="0084584D"/>
    <w:rsid w:val="008517D8"/>
    <w:rsid w:val="00855239"/>
    <w:rsid w:val="00856BC4"/>
    <w:rsid w:val="008576C8"/>
    <w:rsid w:val="0086669D"/>
    <w:rsid w:val="00867101"/>
    <w:rsid w:val="008755D8"/>
    <w:rsid w:val="0088497A"/>
    <w:rsid w:val="00892714"/>
    <w:rsid w:val="00897AFA"/>
    <w:rsid w:val="008A1C12"/>
    <w:rsid w:val="008A1F97"/>
    <w:rsid w:val="008A6224"/>
    <w:rsid w:val="008B478B"/>
    <w:rsid w:val="008B61B7"/>
    <w:rsid w:val="008C48EF"/>
    <w:rsid w:val="008C497B"/>
    <w:rsid w:val="008C5CE9"/>
    <w:rsid w:val="008C76FD"/>
    <w:rsid w:val="008D6F46"/>
    <w:rsid w:val="008D72EA"/>
    <w:rsid w:val="008D7625"/>
    <w:rsid w:val="008E30D6"/>
    <w:rsid w:val="008E30D9"/>
    <w:rsid w:val="008E54BF"/>
    <w:rsid w:val="008E68D3"/>
    <w:rsid w:val="008E79DF"/>
    <w:rsid w:val="008F002D"/>
    <w:rsid w:val="008F43E8"/>
    <w:rsid w:val="00902A26"/>
    <w:rsid w:val="00903257"/>
    <w:rsid w:val="009048A2"/>
    <w:rsid w:val="00905C61"/>
    <w:rsid w:val="00907D61"/>
    <w:rsid w:val="00910064"/>
    <w:rsid w:val="009114DC"/>
    <w:rsid w:val="00911D92"/>
    <w:rsid w:val="009121D3"/>
    <w:rsid w:val="009176F5"/>
    <w:rsid w:val="00931ED7"/>
    <w:rsid w:val="00933AD6"/>
    <w:rsid w:val="009421AA"/>
    <w:rsid w:val="009445F2"/>
    <w:rsid w:val="0094476A"/>
    <w:rsid w:val="0094774B"/>
    <w:rsid w:val="00951019"/>
    <w:rsid w:val="00954698"/>
    <w:rsid w:val="00970AAB"/>
    <w:rsid w:val="00974504"/>
    <w:rsid w:val="00975A4A"/>
    <w:rsid w:val="00976413"/>
    <w:rsid w:val="009767B4"/>
    <w:rsid w:val="00977D37"/>
    <w:rsid w:val="009807AE"/>
    <w:rsid w:val="00990334"/>
    <w:rsid w:val="00991158"/>
    <w:rsid w:val="0099199E"/>
    <w:rsid w:val="0099258B"/>
    <w:rsid w:val="00995C44"/>
    <w:rsid w:val="009A04A5"/>
    <w:rsid w:val="009A359E"/>
    <w:rsid w:val="009A35A0"/>
    <w:rsid w:val="009A717F"/>
    <w:rsid w:val="009A7CFA"/>
    <w:rsid w:val="009B0C51"/>
    <w:rsid w:val="009B2183"/>
    <w:rsid w:val="009B29AC"/>
    <w:rsid w:val="009B4B7F"/>
    <w:rsid w:val="009C0911"/>
    <w:rsid w:val="009C0B21"/>
    <w:rsid w:val="009C0F35"/>
    <w:rsid w:val="009C10C1"/>
    <w:rsid w:val="009C4F55"/>
    <w:rsid w:val="009C5E5D"/>
    <w:rsid w:val="009D0999"/>
    <w:rsid w:val="009D23FB"/>
    <w:rsid w:val="009D7562"/>
    <w:rsid w:val="009E0803"/>
    <w:rsid w:val="009E0A3A"/>
    <w:rsid w:val="009E7C1C"/>
    <w:rsid w:val="009F13BF"/>
    <w:rsid w:val="009F1D34"/>
    <w:rsid w:val="009F4C47"/>
    <w:rsid w:val="009F528F"/>
    <w:rsid w:val="009F6AC9"/>
    <w:rsid w:val="00A105DA"/>
    <w:rsid w:val="00A11CE8"/>
    <w:rsid w:val="00A146DF"/>
    <w:rsid w:val="00A20031"/>
    <w:rsid w:val="00A202D5"/>
    <w:rsid w:val="00A23CDC"/>
    <w:rsid w:val="00A23F8D"/>
    <w:rsid w:val="00A24596"/>
    <w:rsid w:val="00A24B24"/>
    <w:rsid w:val="00A25E6C"/>
    <w:rsid w:val="00A40E3D"/>
    <w:rsid w:val="00A40EA6"/>
    <w:rsid w:val="00A43C61"/>
    <w:rsid w:val="00A46B61"/>
    <w:rsid w:val="00A47C4E"/>
    <w:rsid w:val="00A52753"/>
    <w:rsid w:val="00A550E8"/>
    <w:rsid w:val="00A556D1"/>
    <w:rsid w:val="00A56E8B"/>
    <w:rsid w:val="00A71133"/>
    <w:rsid w:val="00A7209C"/>
    <w:rsid w:val="00A761C7"/>
    <w:rsid w:val="00A768B4"/>
    <w:rsid w:val="00A77D42"/>
    <w:rsid w:val="00A82E17"/>
    <w:rsid w:val="00A8391C"/>
    <w:rsid w:val="00A85075"/>
    <w:rsid w:val="00A871B2"/>
    <w:rsid w:val="00A9007B"/>
    <w:rsid w:val="00A90245"/>
    <w:rsid w:val="00A93F1F"/>
    <w:rsid w:val="00A962E3"/>
    <w:rsid w:val="00AA12F7"/>
    <w:rsid w:val="00AA3173"/>
    <w:rsid w:val="00AA3A3E"/>
    <w:rsid w:val="00AB19B6"/>
    <w:rsid w:val="00AB1D5C"/>
    <w:rsid w:val="00AC6ABA"/>
    <w:rsid w:val="00AD1C80"/>
    <w:rsid w:val="00AD2E24"/>
    <w:rsid w:val="00AD5627"/>
    <w:rsid w:val="00AD65C9"/>
    <w:rsid w:val="00AD6639"/>
    <w:rsid w:val="00AE3A8E"/>
    <w:rsid w:val="00AE4A25"/>
    <w:rsid w:val="00AE5CCB"/>
    <w:rsid w:val="00AE7179"/>
    <w:rsid w:val="00AF20DA"/>
    <w:rsid w:val="00AF58D0"/>
    <w:rsid w:val="00AF6215"/>
    <w:rsid w:val="00AF6F6E"/>
    <w:rsid w:val="00B00A18"/>
    <w:rsid w:val="00B0725F"/>
    <w:rsid w:val="00B11323"/>
    <w:rsid w:val="00B13A2F"/>
    <w:rsid w:val="00B145D2"/>
    <w:rsid w:val="00B178D3"/>
    <w:rsid w:val="00B20F86"/>
    <w:rsid w:val="00B22F73"/>
    <w:rsid w:val="00B24C63"/>
    <w:rsid w:val="00B30E95"/>
    <w:rsid w:val="00B339F8"/>
    <w:rsid w:val="00B4065C"/>
    <w:rsid w:val="00B43512"/>
    <w:rsid w:val="00B454BA"/>
    <w:rsid w:val="00B52CD8"/>
    <w:rsid w:val="00B604EB"/>
    <w:rsid w:val="00B6108C"/>
    <w:rsid w:val="00B67F7B"/>
    <w:rsid w:val="00B739E2"/>
    <w:rsid w:val="00B8151D"/>
    <w:rsid w:val="00B819AA"/>
    <w:rsid w:val="00B91A2D"/>
    <w:rsid w:val="00BA1A52"/>
    <w:rsid w:val="00BA30BD"/>
    <w:rsid w:val="00BA54AA"/>
    <w:rsid w:val="00BA654E"/>
    <w:rsid w:val="00BA7A46"/>
    <w:rsid w:val="00BB2109"/>
    <w:rsid w:val="00BB2C6B"/>
    <w:rsid w:val="00BB38D4"/>
    <w:rsid w:val="00BB4D85"/>
    <w:rsid w:val="00BB61E4"/>
    <w:rsid w:val="00BB631E"/>
    <w:rsid w:val="00BB71A8"/>
    <w:rsid w:val="00BC4BD5"/>
    <w:rsid w:val="00BC50A3"/>
    <w:rsid w:val="00BD2ED2"/>
    <w:rsid w:val="00BD41D4"/>
    <w:rsid w:val="00BD465A"/>
    <w:rsid w:val="00BD47A9"/>
    <w:rsid w:val="00BD5316"/>
    <w:rsid w:val="00BD5A86"/>
    <w:rsid w:val="00BD6AC2"/>
    <w:rsid w:val="00BD7CDC"/>
    <w:rsid w:val="00BE214C"/>
    <w:rsid w:val="00BE3046"/>
    <w:rsid w:val="00BE68F9"/>
    <w:rsid w:val="00BE6AAA"/>
    <w:rsid w:val="00BF2A9B"/>
    <w:rsid w:val="00BF3425"/>
    <w:rsid w:val="00BF3DAE"/>
    <w:rsid w:val="00C02595"/>
    <w:rsid w:val="00C12197"/>
    <w:rsid w:val="00C13110"/>
    <w:rsid w:val="00C1330A"/>
    <w:rsid w:val="00C145EB"/>
    <w:rsid w:val="00C1775C"/>
    <w:rsid w:val="00C2416A"/>
    <w:rsid w:val="00C30704"/>
    <w:rsid w:val="00C30E45"/>
    <w:rsid w:val="00C325A5"/>
    <w:rsid w:val="00C36A15"/>
    <w:rsid w:val="00C3701B"/>
    <w:rsid w:val="00C37043"/>
    <w:rsid w:val="00C4300F"/>
    <w:rsid w:val="00C45661"/>
    <w:rsid w:val="00C5010C"/>
    <w:rsid w:val="00C62BC1"/>
    <w:rsid w:val="00C64879"/>
    <w:rsid w:val="00C66953"/>
    <w:rsid w:val="00C712E2"/>
    <w:rsid w:val="00C72E9B"/>
    <w:rsid w:val="00C73133"/>
    <w:rsid w:val="00C731FA"/>
    <w:rsid w:val="00C7617C"/>
    <w:rsid w:val="00C818AB"/>
    <w:rsid w:val="00C82C91"/>
    <w:rsid w:val="00C82F0C"/>
    <w:rsid w:val="00C846A2"/>
    <w:rsid w:val="00C90E38"/>
    <w:rsid w:val="00C90EFC"/>
    <w:rsid w:val="00C90FC4"/>
    <w:rsid w:val="00C954B7"/>
    <w:rsid w:val="00C9591A"/>
    <w:rsid w:val="00C97E14"/>
    <w:rsid w:val="00CA1549"/>
    <w:rsid w:val="00CA46AC"/>
    <w:rsid w:val="00CA4F71"/>
    <w:rsid w:val="00CB24D6"/>
    <w:rsid w:val="00CB337B"/>
    <w:rsid w:val="00CB45D5"/>
    <w:rsid w:val="00CB7A83"/>
    <w:rsid w:val="00CC3AE0"/>
    <w:rsid w:val="00CC3C0B"/>
    <w:rsid w:val="00CC3CD3"/>
    <w:rsid w:val="00CC4C6D"/>
    <w:rsid w:val="00CD20F8"/>
    <w:rsid w:val="00CD3705"/>
    <w:rsid w:val="00CD6E72"/>
    <w:rsid w:val="00CE3EA5"/>
    <w:rsid w:val="00CF1C96"/>
    <w:rsid w:val="00CF5A8C"/>
    <w:rsid w:val="00CF64D1"/>
    <w:rsid w:val="00D010D3"/>
    <w:rsid w:val="00D05A8C"/>
    <w:rsid w:val="00D119DD"/>
    <w:rsid w:val="00D14A9D"/>
    <w:rsid w:val="00D17A67"/>
    <w:rsid w:val="00D17FC6"/>
    <w:rsid w:val="00D217D1"/>
    <w:rsid w:val="00D2517F"/>
    <w:rsid w:val="00D3758C"/>
    <w:rsid w:val="00D46134"/>
    <w:rsid w:val="00D468A9"/>
    <w:rsid w:val="00D502B7"/>
    <w:rsid w:val="00D50946"/>
    <w:rsid w:val="00D5387E"/>
    <w:rsid w:val="00D5391E"/>
    <w:rsid w:val="00D56A3B"/>
    <w:rsid w:val="00D61A73"/>
    <w:rsid w:val="00D62A2E"/>
    <w:rsid w:val="00D63270"/>
    <w:rsid w:val="00D63CDD"/>
    <w:rsid w:val="00D6472B"/>
    <w:rsid w:val="00D65EDC"/>
    <w:rsid w:val="00D66B65"/>
    <w:rsid w:val="00D70EAE"/>
    <w:rsid w:val="00D73415"/>
    <w:rsid w:val="00D74B9B"/>
    <w:rsid w:val="00D773CB"/>
    <w:rsid w:val="00D8103E"/>
    <w:rsid w:val="00D818BA"/>
    <w:rsid w:val="00D842A2"/>
    <w:rsid w:val="00D84946"/>
    <w:rsid w:val="00D902D3"/>
    <w:rsid w:val="00D90C2E"/>
    <w:rsid w:val="00D93741"/>
    <w:rsid w:val="00D97F55"/>
    <w:rsid w:val="00DA1AC0"/>
    <w:rsid w:val="00DA552F"/>
    <w:rsid w:val="00DA6CF7"/>
    <w:rsid w:val="00DB1C9E"/>
    <w:rsid w:val="00DB2434"/>
    <w:rsid w:val="00DB461B"/>
    <w:rsid w:val="00DB4D35"/>
    <w:rsid w:val="00DB6247"/>
    <w:rsid w:val="00DB6E9C"/>
    <w:rsid w:val="00DC1795"/>
    <w:rsid w:val="00DC3E8C"/>
    <w:rsid w:val="00DC4A82"/>
    <w:rsid w:val="00DC4B5E"/>
    <w:rsid w:val="00DD1234"/>
    <w:rsid w:val="00DD408F"/>
    <w:rsid w:val="00DD5F43"/>
    <w:rsid w:val="00DD651A"/>
    <w:rsid w:val="00DD7496"/>
    <w:rsid w:val="00DD7B03"/>
    <w:rsid w:val="00DE02BB"/>
    <w:rsid w:val="00DE1334"/>
    <w:rsid w:val="00DE16DD"/>
    <w:rsid w:val="00DE41A4"/>
    <w:rsid w:val="00DE5F92"/>
    <w:rsid w:val="00DE715E"/>
    <w:rsid w:val="00DE7C37"/>
    <w:rsid w:val="00DF13F3"/>
    <w:rsid w:val="00DF220F"/>
    <w:rsid w:val="00DF3683"/>
    <w:rsid w:val="00DF46B2"/>
    <w:rsid w:val="00DF61B7"/>
    <w:rsid w:val="00E01C32"/>
    <w:rsid w:val="00E01F85"/>
    <w:rsid w:val="00E1257E"/>
    <w:rsid w:val="00E1359B"/>
    <w:rsid w:val="00E24E50"/>
    <w:rsid w:val="00E251EE"/>
    <w:rsid w:val="00E302D5"/>
    <w:rsid w:val="00E33927"/>
    <w:rsid w:val="00E33FED"/>
    <w:rsid w:val="00E43542"/>
    <w:rsid w:val="00E5541C"/>
    <w:rsid w:val="00E55D04"/>
    <w:rsid w:val="00E60A2A"/>
    <w:rsid w:val="00E62C51"/>
    <w:rsid w:val="00E631F9"/>
    <w:rsid w:val="00E658DC"/>
    <w:rsid w:val="00E662FD"/>
    <w:rsid w:val="00E721CE"/>
    <w:rsid w:val="00E72FD0"/>
    <w:rsid w:val="00E757D0"/>
    <w:rsid w:val="00E767BE"/>
    <w:rsid w:val="00E81357"/>
    <w:rsid w:val="00E83BBC"/>
    <w:rsid w:val="00E8671C"/>
    <w:rsid w:val="00E90298"/>
    <w:rsid w:val="00E916A2"/>
    <w:rsid w:val="00E91930"/>
    <w:rsid w:val="00E97BC9"/>
    <w:rsid w:val="00EA6D4F"/>
    <w:rsid w:val="00EA716A"/>
    <w:rsid w:val="00EA7EA8"/>
    <w:rsid w:val="00EB292B"/>
    <w:rsid w:val="00EB3CAE"/>
    <w:rsid w:val="00EC0A15"/>
    <w:rsid w:val="00EE0DF5"/>
    <w:rsid w:val="00EE412B"/>
    <w:rsid w:val="00EF4ACB"/>
    <w:rsid w:val="00EF68C3"/>
    <w:rsid w:val="00F00674"/>
    <w:rsid w:val="00F034F1"/>
    <w:rsid w:val="00F03635"/>
    <w:rsid w:val="00F0455E"/>
    <w:rsid w:val="00F0609A"/>
    <w:rsid w:val="00F06562"/>
    <w:rsid w:val="00F1230D"/>
    <w:rsid w:val="00F14BCE"/>
    <w:rsid w:val="00F16C61"/>
    <w:rsid w:val="00F21042"/>
    <w:rsid w:val="00F21FAC"/>
    <w:rsid w:val="00F229BF"/>
    <w:rsid w:val="00F3264E"/>
    <w:rsid w:val="00F36014"/>
    <w:rsid w:val="00F36E18"/>
    <w:rsid w:val="00F37BC2"/>
    <w:rsid w:val="00F43DAD"/>
    <w:rsid w:val="00F45857"/>
    <w:rsid w:val="00F459C0"/>
    <w:rsid w:val="00F513EB"/>
    <w:rsid w:val="00F5236B"/>
    <w:rsid w:val="00F5252A"/>
    <w:rsid w:val="00F54266"/>
    <w:rsid w:val="00F552D2"/>
    <w:rsid w:val="00F5679F"/>
    <w:rsid w:val="00F60D6A"/>
    <w:rsid w:val="00F60F15"/>
    <w:rsid w:val="00F62708"/>
    <w:rsid w:val="00F645F6"/>
    <w:rsid w:val="00F6460E"/>
    <w:rsid w:val="00F64CB4"/>
    <w:rsid w:val="00F65889"/>
    <w:rsid w:val="00F67D24"/>
    <w:rsid w:val="00F72398"/>
    <w:rsid w:val="00F74CC9"/>
    <w:rsid w:val="00F7573F"/>
    <w:rsid w:val="00F77106"/>
    <w:rsid w:val="00F8338A"/>
    <w:rsid w:val="00F85B48"/>
    <w:rsid w:val="00F861AE"/>
    <w:rsid w:val="00F86E01"/>
    <w:rsid w:val="00F871D7"/>
    <w:rsid w:val="00F87FB6"/>
    <w:rsid w:val="00F90098"/>
    <w:rsid w:val="00F9205E"/>
    <w:rsid w:val="00F92FA5"/>
    <w:rsid w:val="00F935BD"/>
    <w:rsid w:val="00F96889"/>
    <w:rsid w:val="00F97BF3"/>
    <w:rsid w:val="00FA6309"/>
    <w:rsid w:val="00FA6319"/>
    <w:rsid w:val="00FB14CA"/>
    <w:rsid w:val="00FB26DE"/>
    <w:rsid w:val="00FB45EF"/>
    <w:rsid w:val="00FB46DD"/>
    <w:rsid w:val="00FB656A"/>
    <w:rsid w:val="00FB7019"/>
    <w:rsid w:val="00FC522B"/>
    <w:rsid w:val="00FD0A30"/>
    <w:rsid w:val="00FD1A80"/>
    <w:rsid w:val="00FE2F0A"/>
    <w:rsid w:val="00FF2A10"/>
    <w:rsid w:val="00FF3968"/>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1209418463">
      <w:bodyDiv w:val="1"/>
      <w:marLeft w:val="0"/>
      <w:marRight w:val="0"/>
      <w:marTop w:val="0"/>
      <w:marBottom w:val="0"/>
      <w:divBdr>
        <w:top w:val="none" w:sz="0" w:space="0" w:color="auto"/>
        <w:left w:val="none" w:sz="0" w:space="0" w:color="auto"/>
        <w:bottom w:val="none" w:sz="0" w:space="0" w:color="auto"/>
        <w:right w:val="none" w:sz="0" w:space="0" w:color="auto"/>
      </w:divBdr>
    </w:div>
    <w:div w:id="13499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723AC802B6CCC4B8FA3B4FEAE93A370" ma:contentTypeVersion="" ma:contentTypeDescription="PDMS Document Site Content Type" ma:contentTypeScope="" ma:versionID="acf50368428ef37f991ec0c88db2f70e">
  <xsd:schema xmlns:xsd="http://www.w3.org/2001/XMLSchema" xmlns:xs="http://www.w3.org/2001/XMLSchema" xmlns:p="http://schemas.microsoft.com/office/2006/metadata/properties" xmlns:ns2="C00D1B4E-4B1B-48C5-A8FD-9C9BB20DCEB6" targetNamespace="http://schemas.microsoft.com/office/2006/metadata/properties" ma:root="true" ma:fieldsID="114325144edfa95f0d9d216bbf06bab6" ns2:_="">
    <xsd:import namespace="C00D1B4E-4B1B-48C5-A8FD-9C9BB20DCE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D1B4E-4B1B-48C5-A8FD-9C9BB20DCE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00D1B4E-4B1B-48C5-A8FD-9C9BB20DCE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64835-5CB4-4764-96A6-6852517D2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D1B4E-4B1B-48C5-A8FD-9C9BB20DC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2F429-4198-4ECD-8E59-23F01B09005A}">
  <ds:schemaRefs>
    <ds:schemaRef ds:uri="http://schemas.microsoft.com/office/2006/metadata/properties"/>
    <ds:schemaRef ds:uri="http://schemas.microsoft.com/office/infopath/2007/PartnerControls"/>
    <ds:schemaRef ds:uri="F215B359-FCCD-42CB-B441-332F06ACF0EB"/>
    <ds:schemaRef ds:uri="C00D1B4E-4B1B-48C5-A8FD-9C9BB20DCEB6"/>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1286</Words>
  <Characters>6948</Characters>
  <Application>Microsoft Office Word</Application>
  <DocSecurity>0</DocSecurity>
  <Lines>144</Lines>
  <Paragraphs>112</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Legislation Team</cp:lastModifiedBy>
  <cp:revision>3</cp:revision>
  <cp:lastPrinted>2019-11-17T23:12:00Z</cp:lastPrinted>
  <dcterms:created xsi:type="dcterms:W3CDTF">2024-12-11T22:25:00Z</dcterms:created>
  <dcterms:modified xsi:type="dcterms:W3CDTF">2024-12-16T03:10:00Z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0x010100266966F133664895A6EE3632470D45F500B723AC802B6CCC4B8FA3B4FEAE93A370</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