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FDCC9" w14:textId="15C11C40" w:rsidR="00670C8D" w:rsidRPr="00A42F5D" w:rsidRDefault="00C06A89" w:rsidP="797FDF2D">
      <w:pPr>
        <w:pStyle w:val="Heading1"/>
        <w:spacing w:before="0" w:after="0" w:line="240" w:lineRule="auto"/>
        <w:jc w:val="center"/>
        <w:rPr>
          <w:rFonts w:ascii="Times New Roman" w:hAnsi="Times New Roman"/>
          <w:b/>
          <w:sz w:val="24"/>
          <w:szCs w:val="24"/>
          <w:u w:val="single"/>
        </w:rPr>
      </w:pPr>
      <w:r w:rsidRPr="00C06A89">
        <w:rPr>
          <w:rFonts w:ascii="Times New Roman" w:hAnsi="Times New Roman"/>
          <w:b/>
          <w:sz w:val="24"/>
          <w:szCs w:val="24"/>
          <w:u w:val="single"/>
        </w:rPr>
        <w:t>Bankruptcy Amendment (Electronic Service) Regulations 2024</w:t>
      </w:r>
    </w:p>
    <w:p w14:paraId="09BFDCCA" w14:textId="77777777" w:rsidR="00670C8D" w:rsidRPr="00A42F5D" w:rsidRDefault="00670C8D" w:rsidP="00521029">
      <w:pPr>
        <w:rPr>
          <w:rFonts w:ascii="Times New Roman" w:hAnsi="Times New Roman"/>
        </w:rPr>
      </w:pPr>
    </w:p>
    <w:p w14:paraId="09BFDCCB" w14:textId="77777777" w:rsidR="00670C8D" w:rsidRPr="00A42F5D" w:rsidRDefault="00670C8D" w:rsidP="00670C8D">
      <w:pPr>
        <w:pStyle w:val="Heading1"/>
        <w:spacing w:before="0" w:after="0" w:line="240" w:lineRule="auto"/>
        <w:jc w:val="center"/>
        <w:rPr>
          <w:rFonts w:ascii="Times New Roman" w:hAnsi="Times New Roman"/>
          <w:b/>
          <w:sz w:val="24"/>
          <w:u w:val="single"/>
        </w:rPr>
      </w:pPr>
    </w:p>
    <w:p w14:paraId="146FF33D" w14:textId="5F408B5E" w:rsidR="00012AD6" w:rsidRPr="00A42F5D" w:rsidRDefault="797FDF2D" w:rsidP="797FDF2D">
      <w:pPr>
        <w:pStyle w:val="Heading1"/>
        <w:spacing w:before="0" w:after="0" w:line="240" w:lineRule="auto"/>
        <w:jc w:val="center"/>
        <w:rPr>
          <w:rFonts w:ascii="Times New Roman" w:hAnsi="Times New Roman"/>
          <w:caps w:val="0"/>
          <w:sz w:val="24"/>
          <w:szCs w:val="24"/>
        </w:rPr>
      </w:pPr>
      <w:r w:rsidRPr="00A42F5D">
        <w:rPr>
          <w:rFonts w:ascii="Times New Roman" w:hAnsi="Times New Roman"/>
          <w:b/>
          <w:sz w:val="24"/>
          <w:szCs w:val="24"/>
          <w:u w:val="single"/>
        </w:rPr>
        <w:t xml:space="preserve">EXPLANATORY STATEMENT </w:t>
      </w:r>
      <w:r w:rsidR="002B361E" w:rsidRPr="00A42F5D">
        <w:br/>
      </w:r>
    </w:p>
    <w:p w14:paraId="09BFDCCF" w14:textId="77777777" w:rsidR="005D194A" w:rsidRPr="00A42F5D" w:rsidRDefault="797FDF2D" w:rsidP="797FDF2D">
      <w:pPr>
        <w:spacing w:line="360" w:lineRule="auto"/>
        <w:jc w:val="center"/>
        <w:rPr>
          <w:rFonts w:ascii="Times New Roman" w:hAnsi="Times New Roman" w:cs="Times New Roman"/>
        </w:rPr>
      </w:pPr>
      <w:r w:rsidRPr="00A42F5D">
        <w:rPr>
          <w:rFonts w:ascii="Times New Roman" w:hAnsi="Times New Roman" w:cs="Times New Roman"/>
        </w:rPr>
        <w:t xml:space="preserve">Issued by authority of the Attorney-General </w:t>
      </w:r>
    </w:p>
    <w:p w14:paraId="09BFDCD2" w14:textId="54764100" w:rsidR="00AF0C63" w:rsidRPr="00A42F5D" w:rsidRDefault="797FDF2D" w:rsidP="797FDF2D">
      <w:pPr>
        <w:spacing w:line="360" w:lineRule="auto"/>
        <w:jc w:val="center"/>
        <w:rPr>
          <w:rFonts w:ascii="Times New Roman" w:hAnsi="Times New Roman" w:cs="Times New Roman"/>
        </w:rPr>
      </w:pPr>
      <w:r w:rsidRPr="00A42F5D">
        <w:rPr>
          <w:rFonts w:ascii="Times New Roman" w:hAnsi="Times New Roman" w:cs="Times New Roman"/>
        </w:rPr>
        <w:t xml:space="preserve">under </w:t>
      </w:r>
      <w:r w:rsidR="005D3B7B">
        <w:rPr>
          <w:rFonts w:ascii="Times New Roman" w:hAnsi="Times New Roman" w:cs="Times New Roman"/>
        </w:rPr>
        <w:t xml:space="preserve">the </w:t>
      </w:r>
      <w:r w:rsidR="005D3B7B" w:rsidRPr="005D3B7B">
        <w:rPr>
          <w:rFonts w:ascii="Times New Roman" w:hAnsi="Times New Roman" w:cs="Times New Roman"/>
          <w:i/>
        </w:rPr>
        <w:t>Bankruptcy Act 1966</w:t>
      </w:r>
    </w:p>
    <w:p w14:paraId="09BFDCD4" w14:textId="77777777" w:rsidR="00AF0C63" w:rsidRPr="00A42F5D" w:rsidRDefault="00AF0C63" w:rsidP="00CF14E3">
      <w:pPr>
        <w:spacing w:line="360" w:lineRule="auto"/>
        <w:jc w:val="center"/>
        <w:rPr>
          <w:rFonts w:ascii="Times New Roman" w:hAnsi="Times New Roman" w:cs="Times New Roman"/>
        </w:rPr>
      </w:pPr>
    </w:p>
    <w:p w14:paraId="09BFDCD5" w14:textId="77777777" w:rsidR="0026109C" w:rsidRPr="00A42F5D" w:rsidRDefault="797FDF2D" w:rsidP="797FDF2D">
      <w:pPr>
        <w:spacing w:line="360" w:lineRule="auto"/>
        <w:rPr>
          <w:rFonts w:ascii="Times New Roman" w:hAnsi="Times New Roman" w:cs="Times New Roman"/>
          <w:b/>
          <w:bCs/>
          <w:sz w:val="24"/>
          <w:szCs w:val="24"/>
        </w:rPr>
      </w:pPr>
      <w:r w:rsidRPr="00A42F5D">
        <w:rPr>
          <w:rFonts w:ascii="Times New Roman" w:hAnsi="Times New Roman" w:cs="Times New Roman"/>
          <w:b/>
          <w:bCs/>
          <w:caps/>
          <w:sz w:val="24"/>
          <w:szCs w:val="24"/>
        </w:rPr>
        <w:t>Purpose and operation of the Instrument</w:t>
      </w:r>
    </w:p>
    <w:p w14:paraId="3557EF9A" w14:textId="30C626B6" w:rsidR="005C62C9" w:rsidRPr="0041162F" w:rsidRDefault="005C62C9" w:rsidP="0041162F">
      <w:pPr>
        <w:spacing w:line="360" w:lineRule="auto"/>
        <w:ind w:right="91"/>
        <w:rPr>
          <w:rFonts w:ascii="Times New Roman" w:hAnsi="Times New Roman" w:cs="Times New Roman"/>
        </w:rPr>
      </w:pPr>
      <w:r w:rsidRPr="0041162F">
        <w:rPr>
          <w:rFonts w:ascii="Times New Roman" w:hAnsi="Times New Roman" w:cs="Times New Roman"/>
        </w:rPr>
        <w:t xml:space="preserve">The </w:t>
      </w:r>
      <w:r w:rsidRPr="0041162F">
        <w:rPr>
          <w:rFonts w:ascii="Times New Roman" w:hAnsi="Times New Roman" w:cs="Times New Roman"/>
          <w:i/>
        </w:rPr>
        <w:t>Bankruptcy Act 1966</w:t>
      </w:r>
      <w:r w:rsidRPr="0041162F">
        <w:rPr>
          <w:rFonts w:ascii="Times New Roman" w:hAnsi="Times New Roman" w:cs="Times New Roman"/>
        </w:rPr>
        <w:t xml:space="preserve"> (the Act) regulates Australia’s personal insolvency system and provides a framework that allows people in severe financial stress to discharge unmanageable debts while providing for the realisation of a debtor’s available assets for distribution to affected creditors.</w:t>
      </w:r>
    </w:p>
    <w:p w14:paraId="68123126" w14:textId="77777777" w:rsidR="005C62C9" w:rsidRPr="0041162F" w:rsidRDefault="005C62C9" w:rsidP="0041162F">
      <w:pPr>
        <w:spacing w:line="360" w:lineRule="auto"/>
        <w:ind w:right="91"/>
        <w:rPr>
          <w:rFonts w:ascii="Times New Roman" w:hAnsi="Times New Roman" w:cs="Times New Roman"/>
        </w:rPr>
      </w:pPr>
      <w:r w:rsidRPr="0041162F">
        <w:rPr>
          <w:rFonts w:ascii="Times New Roman" w:hAnsi="Times New Roman" w:cs="Times New Roman"/>
        </w:rPr>
        <w:t>Section 315 of the Act provides that the Governor</w:t>
      </w:r>
      <w:r w:rsidRPr="0041162F">
        <w:rPr>
          <w:rFonts w:ascii="Times New Roman" w:hAnsi="Times New Roman" w:cs="Times New Roman"/>
        </w:rPr>
        <w:noBreakHyphen/>
        <w:t>General may make regulations, not inconsistent with the Act, prescribing matters required or permitted by the Act to be prescribed, or necessary or convenient to be prescribed for carrying out or giving effect to the Act.</w:t>
      </w:r>
    </w:p>
    <w:p w14:paraId="6A7164A1" w14:textId="147CED82" w:rsidR="005C62C9" w:rsidRPr="0041162F" w:rsidRDefault="005C62C9" w:rsidP="0041162F">
      <w:pPr>
        <w:spacing w:line="360" w:lineRule="auto"/>
        <w:ind w:right="91"/>
        <w:rPr>
          <w:rFonts w:ascii="Times New Roman" w:hAnsi="Times New Roman" w:cs="Times New Roman"/>
        </w:rPr>
      </w:pPr>
      <w:r w:rsidRPr="0041162F">
        <w:rPr>
          <w:rFonts w:ascii="Times New Roman" w:hAnsi="Times New Roman" w:cs="Times New Roman"/>
        </w:rPr>
        <w:t>Paragraph 315(2)(g) enables regulations to be made to provide for the means of service of documents.</w:t>
      </w:r>
    </w:p>
    <w:p w14:paraId="5E5F7192" w14:textId="4BE38DA9" w:rsidR="005C62C9" w:rsidRPr="0041162F" w:rsidRDefault="005C62C9" w:rsidP="0041162F">
      <w:pPr>
        <w:spacing w:line="360" w:lineRule="auto"/>
        <w:ind w:right="91"/>
        <w:rPr>
          <w:rFonts w:ascii="Times New Roman" w:hAnsi="Times New Roman" w:cs="Times New Roman"/>
        </w:rPr>
      </w:pPr>
      <w:r w:rsidRPr="0041162F">
        <w:rPr>
          <w:rFonts w:ascii="Times New Roman" w:hAnsi="Times New Roman" w:cs="Times New Roman"/>
        </w:rPr>
        <w:t xml:space="preserve">The purpose of the </w:t>
      </w:r>
      <w:r w:rsidRPr="008C49E1">
        <w:rPr>
          <w:rFonts w:ascii="Times New Roman" w:hAnsi="Times New Roman" w:cs="Times New Roman"/>
          <w:i/>
        </w:rPr>
        <w:t>Bankruptcy Amendment (Electronic Service) Regulations 2024</w:t>
      </w:r>
      <w:r w:rsidRPr="0041162F">
        <w:rPr>
          <w:rFonts w:ascii="Times New Roman" w:hAnsi="Times New Roman" w:cs="Times New Roman"/>
        </w:rPr>
        <w:t xml:space="preserve"> (proposed Regulations) is to repeal and </w:t>
      </w:r>
      <w:r w:rsidR="008C49E1">
        <w:rPr>
          <w:rFonts w:ascii="Times New Roman" w:hAnsi="Times New Roman" w:cs="Times New Roman"/>
        </w:rPr>
        <w:t>substitute</w:t>
      </w:r>
      <w:r w:rsidRPr="0041162F">
        <w:rPr>
          <w:rFonts w:ascii="Times New Roman" w:hAnsi="Times New Roman" w:cs="Times New Roman"/>
        </w:rPr>
        <w:t xml:space="preserve"> section 102 of the </w:t>
      </w:r>
      <w:r w:rsidRPr="008C49E1">
        <w:rPr>
          <w:rFonts w:ascii="Times New Roman" w:hAnsi="Times New Roman" w:cs="Times New Roman"/>
          <w:i/>
        </w:rPr>
        <w:t>Bankruptcy Regulations 2021</w:t>
      </w:r>
      <w:r w:rsidRPr="0041162F">
        <w:rPr>
          <w:rFonts w:ascii="Times New Roman" w:hAnsi="Times New Roman" w:cs="Times New Roman"/>
        </w:rPr>
        <w:t xml:space="preserve"> (Bankruptcy</w:t>
      </w:r>
      <w:r w:rsidR="008C49E1">
        <w:rPr>
          <w:rFonts w:ascii="Times New Roman" w:hAnsi="Times New Roman" w:cs="Times New Roman"/>
        </w:rPr>
        <w:t> </w:t>
      </w:r>
      <w:r w:rsidRPr="0041162F">
        <w:rPr>
          <w:rFonts w:ascii="Times New Roman" w:hAnsi="Times New Roman" w:cs="Times New Roman"/>
        </w:rPr>
        <w:t xml:space="preserve">Regulations) to clearly engage the exemption provided by subsection 9(3) of the </w:t>
      </w:r>
      <w:r w:rsidRPr="0041162F">
        <w:rPr>
          <w:rFonts w:ascii="Times New Roman" w:hAnsi="Times New Roman" w:cs="Times New Roman"/>
          <w:i/>
        </w:rPr>
        <w:t>Electronic</w:t>
      </w:r>
      <w:r w:rsidR="0041162F" w:rsidRPr="0041162F">
        <w:rPr>
          <w:rFonts w:ascii="Times New Roman" w:hAnsi="Times New Roman" w:cs="Times New Roman"/>
          <w:i/>
        </w:rPr>
        <w:t> </w:t>
      </w:r>
      <w:r w:rsidRPr="0041162F">
        <w:rPr>
          <w:rFonts w:ascii="Times New Roman" w:hAnsi="Times New Roman" w:cs="Times New Roman"/>
          <w:i/>
        </w:rPr>
        <w:t>Transactions Act 1999</w:t>
      </w:r>
      <w:r w:rsidRPr="0041162F">
        <w:rPr>
          <w:rFonts w:ascii="Times New Roman" w:hAnsi="Times New Roman" w:cs="Times New Roman"/>
        </w:rPr>
        <w:t xml:space="preserve"> (ETA) and continue to allow documents to be served electronically to individuals in the personal insolvency system without seeking the recipient’s prior consent.</w:t>
      </w:r>
    </w:p>
    <w:p w14:paraId="7C5A7931" w14:textId="14D2181E" w:rsidR="005C62C9" w:rsidRPr="0041162F" w:rsidRDefault="005C62C9" w:rsidP="0041162F">
      <w:pPr>
        <w:spacing w:line="360" w:lineRule="auto"/>
        <w:ind w:right="91"/>
        <w:rPr>
          <w:rFonts w:ascii="Times New Roman" w:hAnsi="Times New Roman" w:cs="Times New Roman"/>
        </w:rPr>
      </w:pPr>
      <w:r w:rsidRPr="0041162F">
        <w:rPr>
          <w:rFonts w:ascii="Times New Roman" w:hAnsi="Times New Roman" w:cs="Times New Roman"/>
        </w:rPr>
        <w:t xml:space="preserve">On 1 April 2021, the Bankruptcy Regulations commenced to address the sunsetting of the </w:t>
      </w:r>
      <w:r w:rsidRPr="008C49E1">
        <w:rPr>
          <w:rFonts w:ascii="Times New Roman" w:hAnsi="Times New Roman" w:cs="Times New Roman"/>
          <w:i/>
        </w:rPr>
        <w:t>Bankruptcy Regulations 1996</w:t>
      </w:r>
      <w:r w:rsidRPr="0041162F">
        <w:rPr>
          <w:rFonts w:ascii="Times New Roman" w:hAnsi="Times New Roman" w:cs="Times New Roman"/>
        </w:rPr>
        <w:t xml:space="preserve"> (the 1996 Regulations). The Bankruptcy Regulations remade the 1996 Regulations in substantially the same form with minor and technical amendments aimed at modernising references and ensuring alignment with the Act. Section 102 replaced regulation 16.01 in the 1996 Regulations regarding the service of documents. Regulation 16.01</w:t>
      </w:r>
      <w:r w:rsidR="0041162F" w:rsidRPr="0041162F">
        <w:rPr>
          <w:rFonts w:ascii="Times New Roman" w:hAnsi="Times New Roman" w:cs="Times New Roman"/>
        </w:rPr>
        <w:t xml:space="preserve"> </w:t>
      </w:r>
      <w:r w:rsidRPr="0041162F">
        <w:rPr>
          <w:rFonts w:ascii="Times New Roman" w:hAnsi="Times New Roman" w:cs="Times New Roman"/>
        </w:rPr>
        <w:t>did not contain a requirement to seek consent before serving documents electronically.</w:t>
      </w:r>
    </w:p>
    <w:p w14:paraId="2BA8537E" w14:textId="0201B30C" w:rsidR="005C62C9" w:rsidRPr="0041162F" w:rsidRDefault="005C62C9" w:rsidP="0041162F">
      <w:pPr>
        <w:spacing w:line="360" w:lineRule="auto"/>
        <w:ind w:right="91"/>
        <w:rPr>
          <w:rFonts w:ascii="Times New Roman" w:hAnsi="Times New Roman" w:cs="Times New Roman"/>
        </w:rPr>
      </w:pPr>
      <w:r w:rsidRPr="0041162F">
        <w:rPr>
          <w:rFonts w:ascii="Times New Roman" w:hAnsi="Times New Roman" w:cs="Times New Roman"/>
        </w:rPr>
        <w:t xml:space="preserve">Section 102 of the Bankruptcy Regulations refers to section 28A of the </w:t>
      </w:r>
      <w:r w:rsidRPr="0041162F">
        <w:rPr>
          <w:rFonts w:ascii="Times New Roman" w:hAnsi="Times New Roman" w:cs="Times New Roman"/>
          <w:i/>
        </w:rPr>
        <w:t>Acts Interpretation Act 1901</w:t>
      </w:r>
      <w:r w:rsidRPr="0041162F">
        <w:rPr>
          <w:rFonts w:ascii="Times New Roman" w:hAnsi="Times New Roman" w:cs="Times New Roman"/>
        </w:rPr>
        <w:t xml:space="preserve"> (AIA) to specify additional methods of service. Section 28A of the AIA refers to the ETA in relation to service by electronic communication. Under paragraphs 9(1)(d) and (2)(d) of the ETA, where a law of the Commonwealth requires information to be given in writing, a party is required to seek the consent of the recipient to provide written information in an electronic form.</w:t>
      </w:r>
    </w:p>
    <w:p w14:paraId="250890C5" w14:textId="5B87997A" w:rsidR="005C62C9" w:rsidRPr="0041162F" w:rsidRDefault="005C62C9" w:rsidP="0041162F">
      <w:pPr>
        <w:spacing w:line="360" w:lineRule="auto"/>
        <w:ind w:right="91"/>
        <w:rPr>
          <w:rFonts w:ascii="Times New Roman" w:hAnsi="Times New Roman" w:cs="Times New Roman"/>
        </w:rPr>
      </w:pPr>
      <w:r w:rsidRPr="0041162F">
        <w:rPr>
          <w:rFonts w:ascii="Times New Roman" w:hAnsi="Times New Roman" w:cs="Times New Roman"/>
        </w:rPr>
        <w:lastRenderedPageBreak/>
        <w:t xml:space="preserve">In response to stakeholder concerns, section 102 of the Bankruptcy Regulations was amended by the </w:t>
      </w:r>
      <w:r w:rsidRPr="008C49E1">
        <w:rPr>
          <w:rFonts w:ascii="Times New Roman" w:hAnsi="Times New Roman" w:cs="Times New Roman"/>
          <w:i/>
        </w:rPr>
        <w:t>Bankruptcy Amendment (Service of Documents) Regulations 2022</w:t>
      </w:r>
      <w:r w:rsidRPr="0041162F">
        <w:rPr>
          <w:rFonts w:ascii="Times New Roman" w:hAnsi="Times New Roman" w:cs="Times New Roman"/>
        </w:rPr>
        <w:t xml:space="preserve"> to disapply paragraphs 9(1)(d) and 9(2)(d) of the ETA in order to better reflect the original policy setting of former section 16.01 of the 1996 Regulations that the consent of the recipient to service by electronic means is not required. </w:t>
      </w:r>
    </w:p>
    <w:p w14:paraId="1611E395" w14:textId="1728F5ED" w:rsidR="005C62C9" w:rsidRPr="0041162F" w:rsidRDefault="005C62C9" w:rsidP="0041162F">
      <w:pPr>
        <w:spacing w:line="360" w:lineRule="auto"/>
        <w:ind w:right="91"/>
        <w:rPr>
          <w:rFonts w:ascii="Times New Roman" w:hAnsi="Times New Roman" w:cs="Times New Roman"/>
        </w:rPr>
      </w:pPr>
      <w:r w:rsidRPr="0041162F">
        <w:rPr>
          <w:rFonts w:ascii="Times New Roman" w:hAnsi="Times New Roman" w:cs="Times New Roman"/>
        </w:rPr>
        <w:t>The Senate Standing Committee for the Scrutiny of Delegated Legislation</w:t>
      </w:r>
      <w:r w:rsidR="008C49E1">
        <w:rPr>
          <w:rFonts w:ascii="Times New Roman" w:hAnsi="Times New Roman" w:cs="Times New Roman"/>
        </w:rPr>
        <w:t xml:space="preserve"> (the Committee)</w:t>
      </w:r>
      <w:r w:rsidRPr="0041162F">
        <w:rPr>
          <w:rFonts w:ascii="Times New Roman" w:hAnsi="Times New Roman" w:cs="Times New Roman"/>
        </w:rPr>
        <w:t xml:space="preserve"> </w:t>
      </w:r>
      <w:r w:rsidR="008C49E1" w:rsidRPr="008C49E1">
        <w:rPr>
          <w:rFonts w:ascii="Times New Roman" w:hAnsi="Times New Roman" w:cs="Times New Roman"/>
        </w:rPr>
        <w:t>raised scrutiny concerns in relation to the 2022 Regulations. The Committee’s concern was that delegated legislation had been used to disapply provisions of primary legislation. The 2022 Regulations disapplied paragraphs 9(1)(d) and 9(</w:t>
      </w:r>
      <w:r w:rsidR="003D4924">
        <w:rPr>
          <w:rFonts w:ascii="Times New Roman" w:hAnsi="Times New Roman" w:cs="Times New Roman"/>
        </w:rPr>
        <w:t>2)</w:t>
      </w:r>
      <w:r w:rsidR="008C49E1" w:rsidRPr="008C49E1">
        <w:rPr>
          <w:rFonts w:ascii="Times New Roman" w:hAnsi="Times New Roman" w:cs="Times New Roman"/>
        </w:rPr>
        <w:t>(d) of the ETA</w:t>
      </w:r>
      <w:r w:rsidRPr="0041162F">
        <w:rPr>
          <w:rFonts w:ascii="Times New Roman" w:hAnsi="Times New Roman" w:cs="Times New Roman"/>
        </w:rPr>
        <w:t>.</w:t>
      </w:r>
    </w:p>
    <w:p w14:paraId="6E641DC8" w14:textId="77777777" w:rsidR="008C49E1" w:rsidRPr="008C49E1" w:rsidRDefault="008C49E1" w:rsidP="008C49E1">
      <w:pPr>
        <w:spacing w:line="360" w:lineRule="auto"/>
        <w:ind w:right="91"/>
        <w:rPr>
          <w:rFonts w:ascii="Times New Roman" w:hAnsi="Times New Roman" w:cs="Times New Roman"/>
        </w:rPr>
      </w:pPr>
      <w:r w:rsidRPr="008C49E1">
        <w:rPr>
          <w:rFonts w:ascii="Times New Roman" w:hAnsi="Times New Roman" w:cs="Times New Roman"/>
        </w:rPr>
        <w:t xml:space="preserve">In order to address the Committee’s concerns, the proposed Regulations amend section 102 to make clear that it operates within the exemption already provided by subsection 9(3) of the ETA. </w:t>
      </w:r>
    </w:p>
    <w:p w14:paraId="34BBA987" w14:textId="6EC1D8B5" w:rsidR="006B598F" w:rsidRPr="00765A24" w:rsidRDefault="006B598F" w:rsidP="008C49E1">
      <w:pPr>
        <w:spacing w:line="360" w:lineRule="auto"/>
        <w:ind w:right="91"/>
        <w:rPr>
          <w:rFonts w:ascii="Times New Roman" w:eastAsia="Times New Roman" w:hAnsi="Times New Roman" w:cs="Times New Roman"/>
          <w:lang w:eastAsia="en-AU"/>
        </w:rPr>
      </w:pPr>
      <w:r w:rsidRPr="008C49E1">
        <w:rPr>
          <w:rFonts w:ascii="Times New Roman" w:hAnsi="Times New Roman" w:cs="Times New Roman"/>
        </w:rPr>
        <w:t>The Regulations</w:t>
      </w:r>
      <w:r w:rsidRPr="00765A24">
        <w:rPr>
          <w:rFonts w:ascii="Times New Roman" w:eastAsia="Times New Roman" w:hAnsi="Times New Roman" w:cs="Times New Roman"/>
          <w:lang w:eastAsia="en-AU"/>
        </w:rPr>
        <w:t xml:space="preserve"> will commence the day after registration on the Federal Register of Legislation. </w:t>
      </w:r>
    </w:p>
    <w:p w14:paraId="662E4877" w14:textId="77777777" w:rsidR="006B598F" w:rsidRPr="00765A24" w:rsidRDefault="006B598F" w:rsidP="0041162F">
      <w:pPr>
        <w:spacing w:line="360" w:lineRule="auto"/>
        <w:ind w:right="91"/>
        <w:rPr>
          <w:rFonts w:ascii="Times New Roman" w:eastAsia="Times New Roman" w:hAnsi="Times New Roman" w:cs="Times New Roman"/>
          <w:lang w:eastAsia="en-AU"/>
        </w:rPr>
      </w:pPr>
      <w:r w:rsidRPr="00765A24">
        <w:rPr>
          <w:rFonts w:ascii="Times New Roman" w:eastAsia="Times New Roman" w:hAnsi="Times New Roman" w:cs="Times New Roman"/>
          <w:lang w:eastAsia="en-AU"/>
        </w:rPr>
        <w:t>Details of the Regulations are set out in </w:t>
      </w:r>
      <w:r w:rsidRPr="00765A24">
        <w:rPr>
          <w:rFonts w:ascii="Times New Roman" w:eastAsia="Times New Roman" w:hAnsi="Times New Roman" w:cs="Times New Roman"/>
          <w:b/>
          <w:u w:val="single"/>
          <w:lang w:eastAsia="en-AU"/>
        </w:rPr>
        <w:t>Attachment A</w:t>
      </w:r>
      <w:r w:rsidRPr="00765A24">
        <w:rPr>
          <w:rFonts w:ascii="Times New Roman" w:eastAsia="Times New Roman" w:hAnsi="Times New Roman" w:cs="Times New Roman"/>
          <w:lang w:eastAsia="en-AU"/>
        </w:rPr>
        <w:t>.</w:t>
      </w:r>
    </w:p>
    <w:p w14:paraId="2456B50D" w14:textId="77777777" w:rsidR="006B598F" w:rsidRPr="00765A24" w:rsidRDefault="006B598F" w:rsidP="0041162F">
      <w:pPr>
        <w:spacing w:line="360" w:lineRule="auto"/>
        <w:ind w:right="91"/>
        <w:rPr>
          <w:rFonts w:ascii="Times New Roman" w:eastAsia="Times New Roman" w:hAnsi="Times New Roman" w:cs="Times New Roman"/>
          <w:lang w:val="en-GB" w:eastAsia="en-AU"/>
        </w:rPr>
      </w:pPr>
      <w:r w:rsidRPr="00765A24">
        <w:rPr>
          <w:rFonts w:ascii="Times New Roman" w:eastAsia="Times New Roman" w:hAnsi="Times New Roman" w:cs="Times New Roman"/>
          <w:lang w:eastAsia="en-AU"/>
        </w:rPr>
        <w:t>The Regulations are a legislative instrument for the purposes of the </w:t>
      </w:r>
      <w:r w:rsidRPr="00765A24">
        <w:rPr>
          <w:rFonts w:ascii="Times New Roman" w:eastAsia="Times New Roman" w:hAnsi="Times New Roman" w:cs="Times New Roman"/>
          <w:i/>
          <w:iCs/>
          <w:lang w:eastAsia="en-AU"/>
        </w:rPr>
        <w:t>Legislation Act 2003</w:t>
      </w:r>
      <w:r w:rsidRPr="00765A24">
        <w:rPr>
          <w:rFonts w:ascii="Times New Roman" w:eastAsia="Times New Roman" w:hAnsi="Times New Roman" w:cs="Times New Roman"/>
          <w:lang w:eastAsia="en-AU"/>
        </w:rPr>
        <w:t>.</w:t>
      </w:r>
    </w:p>
    <w:p w14:paraId="09BFDCE0" w14:textId="1891AA1F" w:rsidR="0026109C" w:rsidRPr="00A42F5D" w:rsidRDefault="797FDF2D" w:rsidP="0041162F">
      <w:pPr>
        <w:spacing w:line="360" w:lineRule="auto"/>
        <w:rPr>
          <w:rFonts w:ascii="Times New Roman" w:hAnsi="Times New Roman" w:cs="Times New Roman"/>
          <w:b/>
          <w:bCs/>
          <w:caps/>
          <w:sz w:val="24"/>
          <w:szCs w:val="24"/>
        </w:rPr>
      </w:pPr>
      <w:r w:rsidRPr="00A42F5D">
        <w:rPr>
          <w:rFonts w:ascii="Times New Roman" w:hAnsi="Times New Roman" w:cs="Times New Roman"/>
          <w:b/>
          <w:bCs/>
          <w:caps/>
          <w:sz w:val="24"/>
          <w:szCs w:val="24"/>
        </w:rPr>
        <w:t>Consultation</w:t>
      </w:r>
    </w:p>
    <w:p w14:paraId="09BFDCE3" w14:textId="07E63570" w:rsidR="00AF0C63" w:rsidRPr="00A42F5D" w:rsidRDefault="006B598F" w:rsidP="797FDF2D">
      <w:pPr>
        <w:spacing w:line="360" w:lineRule="auto"/>
        <w:rPr>
          <w:rFonts w:ascii="Times New Roman" w:hAnsi="Times New Roman" w:cs="Times New Roman"/>
        </w:rPr>
      </w:pPr>
      <w:r>
        <w:rPr>
          <w:rFonts w:ascii="Times New Roman" w:hAnsi="Times New Roman" w:cs="Times New Roman"/>
        </w:rPr>
        <w:t xml:space="preserve">Given the minor and machinery nature of these amendments no consultation has occurred. </w:t>
      </w:r>
    </w:p>
    <w:p w14:paraId="09BFDCE4" w14:textId="3322F917" w:rsidR="00566C9B" w:rsidRPr="00A42F5D" w:rsidRDefault="797FDF2D" w:rsidP="797FDF2D">
      <w:pPr>
        <w:spacing w:line="360" w:lineRule="auto"/>
        <w:rPr>
          <w:rFonts w:ascii="Times New Roman" w:hAnsi="Times New Roman" w:cs="Times New Roman"/>
          <w:b/>
          <w:bCs/>
          <w:caps/>
          <w:sz w:val="24"/>
          <w:szCs w:val="24"/>
        </w:rPr>
      </w:pPr>
      <w:r w:rsidRPr="00A42F5D">
        <w:rPr>
          <w:rFonts w:ascii="Times New Roman" w:hAnsi="Times New Roman" w:cs="Times New Roman"/>
          <w:b/>
          <w:bCs/>
          <w:caps/>
          <w:sz w:val="24"/>
          <w:szCs w:val="24"/>
        </w:rPr>
        <w:t>Impact analysis</w:t>
      </w:r>
    </w:p>
    <w:p w14:paraId="09BFDCE6" w14:textId="6337054C" w:rsidR="00F10A91" w:rsidRPr="00A42F5D" w:rsidRDefault="0069117E" w:rsidP="797FDF2D">
      <w:pPr>
        <w:spacing w:line="360" w:lineRule="auto"/>
        <w:rPr>
          <w:rFonts w:ascii="Times New Roman" w:hAnsi="Times New Roman" w:cs="Times New Roman"/>
        </w:rPr>
      </w:pPr>
      <w:r>
        <w:rPr>
          <w:rFonts w:ascii="Times New Roman" w:hAnsi="Times New Roman" w:cs="Times New Roman"/>
        </w:rPr>
        <w:t>The Office of Impact Analysis was consulted on the measures. It advised that the measures were unlikely to have more than a regulatory impact, therefor a Policy Impact Statement was not required (OIA reference number</w:t>
      </w:r>
      <w:r w:rsidR="00FA0C8F">
        <w:rPr>
          <w:rFonts w:ascii="Times New Roman" w:hAnsi="Times New Roman" w:cs="Times New Roman"/>
        </w:rPr>
        <w:t xml:space="preserve"> </w:t>
      </w:r>
      <w:r w:rsidR="004C0109" w:rsidRPr="004C0109">
        <w:rPr>
          <w:rFonts w:ascii="Times New Roman" w:hAnsi="Times New Roman" w:cs="Times New Roman"/>
        </w:rPr>
        <w:t>24-08648</w:t>
      </w:r>
      <w:r>
        <w:rPr>
          <w:rFonts w:ascii="Times New Roman" w:hAnsi="Times New Roman" w:cs="Times New Roman"/>
        </w:rPr>
        <w:t>).</w:t>
      </w:r>
    </w:p>
    <w:p w14:paraId="00EBDA40" w14:textId="77777777" w:rsidR="009D3A8C" w:rsidRDefault="009D3A8C">
      <w:pPr>
        <w:rPr>
          <w:rFonts w:ascii="Times New Roman" w:hAnsi="Times New Roman" w:cs="Times New Roman"/>
          <w:b/>
          <w:bCs/>
          <w:caps/>
        </w:rPr>
      </w:pPr>
      <w:r>
        <w:rPr>
          <w:rFonts w:ascii="Times New Roman" w:hAnsi="Times New Roman" w:cs="Times New Roman"/>
          <w:b/>
          <w:bCs/>
          <w:caps/>
        </w:rPr>
        <w:br w:type="page"/>
      </w:r>
    </w:p>
    <w:p w14:paraId="09BFDCE7" w14:textId="7318290D" w:rsidR="008B2955" w:rsidRPr="00765A24" w:rsidRDefault="797FDF2D" w:rsidP="797FDF2D">
      <w:pPr>
        <w:spacing w:line="360" w:lineRule="auto"/>
        <w:rPr>
          <w:rFonts w:ascii="Times New Roman" w:hAnsi="Times New Roman" w:cs="Times New Roman"/>
          <w:b/>
          <w:bCs/>
          <w:caps/>
        </w:rPr>
      </w:pPr>
      <w:r w:rsidRPr="00765A24">
        <w:rPr>
          <w:rFonts w:ascii="Times New Roman" w:hAnsi="Times New Roman" w:cs="Times New Roman"/>
          <w:b/>
          <w:bCs/>
          <w:caps/>
        </w:rPr>
        <w:lastRenderedPageBreak/>
        <w:t>Statement of Compatibility with Human Rights</w:t>
      </w:r>
    </w:p>
    <w:p w14:paraId="09BFDCE8" w14:textId="77777777" w:rsidR="001D3031" w:rsidRPr="00765A24" w:rsidRDefault="797FDF2D" w:rsidP="797FDF2D">
      <w:pPr>
        <w:spacing w:line="360" w:lineRule="auto"/>
        <w:rPr>
          <w:rFonts w:ascii="Times New Roman" w:hAnsi="Times New Roman" w:cs="Times New Roman"/>
        </w:rPr>
      </w:pPr>
      <w:r w:rsidRPr="00765A24">
        <w:rPr>
          <w:rFonts w:ascii="Times New Roman" w:hAnsi="Times New Roman" w:cs="Times New Roman"/>
          <w:i/>
          <w:iCs/>
        </w:rPr>
        <w:t>Prepared in accordance with Part 3 of the Human Rights (Parliamentary Scrutiny) Act 2011</w:t>
      </w:r>
    </w:p>
    <w:p w14:paraId="272D2B98" w14:textId="77777777" w:rsidR="00FA0C8F" w:rsidRPr="00765A24" w:rsidRDefault="00FA0C8F" w:rsidP="00FA0C8F">
      <w:pPr>
        <w:spacing w:before="120" w:after="120" w:line="240" w:lineRule="auto"/>
        <w:rPr>
          <w:rFonts w:ascii="Times New Roman" w:hAnsi="Times New Roman"/>
        </w:rPr>
      </w:pPr>
      <w:r w:rsidRPr="00765A24">
        <w:rPr>
          <w:rFonts w:ascii="Times New Roman" w:hAnsi="Times New Roman"/>
        </w:rPr>
        <w:t xml:space="preserve">This Legislative Instrument is compatible with the human rights and freedoms recognised or declared in the international instruments listed in section 3 of the </w:t>
      </w:r>
      <w:r w:rsidRPr="00765A24">
        <w:rPr>
          <w:rFonts w:ascii="Times New Roman" w:hAnsi="Times New Roman"/>
          <w:i/>
        </w:rPr>
        <w:t>Human Rights (Parliamentary Scrutiny) Act 2011</w:t>
      </w:r>
      <w:r w:rsidRPr="00765A24">
        <w:rPr>
          <w:rFonts w:ascii="Times New Roman" w:hAnsi="Times New Roman"/>
        </w:rPr>
        <w:t>.</w:t>
      </w:r>
    </w:p>
    <w:p w14:paraId="405CB9D7" w14:textId="77777777" w:rsidR="00FA0C8F" w:rsidRPr="00765A24" w:rsidRDefault="00FA0C8F" w:rsidP="00FA0C8F">
      <w:pPr>
        <w:spacing w:line="360" w:lineRule="auto"/>
        <w:rPr>
          <w:rFonts w:ascii="Times New Roman" w:hAnsi="Times New Roman" w:cs="Times New Roman"/>
          <w:b/>
          <w:caps/>
        </w:rPr>
      </w:pPr>
      <w:r w:rsidRPr="00765A24">
        <w:rPr>
          <w:rFonts w:ascii="Times New Roman" w:hAnsi="Times New Roman"/>
          <w:b/>
        </w:rPr>
        <w:t>Overview of the Legislative Instrument</w:t>
      </w:r>
    </w:p>
    <w:p w14:paraId="40524093" w14:textId="42ACFD23" w:rsidR="00FA0C8F" w:rsidRPr="00765A24" w:rsidRDefault="00FA0C8F" w:rsidP="00FA0C8F">
      <w:pPr>
        <w:spacing w:after="0" w:line="240" w:lineRule="auto"/>
        <w:ind w:right="91"/>
        <w:rPr>
          <w:rFonts w:ascii="Times New Roman" w:eastAsia="Times New Roman" w:hAnsi="Times New Roman" w:cs="Times New Roman"/>
          <w:bCs/>
          <w:lang w:eastAsia="en-AU"/>
        </w:rPr>
      </w:pPr>
      <w:r w:rsidRPr="00765A24">
        <w:rPr>
          <w:rFonts w:ascii="Times New Roman" w:hAnsi="Times New Roman"/>
        </w:rPr>
        <w:t xml:space="preserve">The </w:t>
      </w:r>
      <w:r w:rsidRPr="00766106">
        <w:rPr>
          <w:rFonts w:ascii="Times New Roman" w:hAnsi="Times New Roman"/>
          <w:i/>
        </w:rPr>
        <w:t>Bankruptcy Amendment (</w:t>
      </w:r>
      <w:r w:rsidR="00F16C04" w:rsidRPr="00766106">
        <w:rPr>
          <w:rFonts w:ascii="Times New Roman" w:hAnsi="Times New Roman"/>
          <w:i/>
        </w:rPr>
        <w:t xml:space="preserve">Electronic </w:t>
      </w:r>
      <w:r w:rsidRPr="00766106">
        <w:rPr>
          <w:rFonts w:ascii="Times New Roman" w:hAnsi="Times New Roman"/>
          <w:i/>
        </w:rPr>
        <w:t>Service) Regulations 2024</w:t>
      </w:r>
      <w:r w:rsidRPr="00765A24">
        <w:rPr>
          <w:rFonts w:ascii="Times New Roman" w:hAnsi="Times New Roman"/>
        </w:rPr>
        <w:t xml:space="preserve"> (the Regulations) </w:t>
      </w:r>
      <w:r w:rsidR="009D3A8C">
        <w:rPr>
          <w:rFonts w:ascii="Times New Roman" w:eastAsia="Times New Roman" w:hAnsi="Times New Roman" w:cs="Times New Roman"/>
          <w:bCs/>
          <w:lang w:eastAsia="en-AU"/>
        </w:rPr>
        <w:t>is made under</w:t>
      </w:r>
      <w:r w:rsidRPr="00765A24">
        <w:rPr>
          <w:rFonts w:ascii="Times New Roman" w:eastAsia="Times New Roman" w:hAnsi="Times New Roman" w:cs="Times New Roman"/>
          <w:bCs/>
          <w:lang w:eastAsia="en-AU"/>
        </w:rPr>
        <w:t xml:space="preserve"> paragraph 315(2)(g) of the Act which prescribes that the regulations may provide for the means of service and section 102 of the </w:t>
      </w:r>
      <w:r w:rsidRPr="00F16C04">
        <w:rPr>
          <w:rFonts w:ascii="Times New Roman" w:eastAsia="Times New Roman" w:hAnsi="Times New Roman" w:cs="Times New Roman"/>
          <w:bCs/>
          <w:lang w:eastAsia="en-AU"/>
        </w:rPr>
        <w:t xml:space="preserve">Bankruptcy Regulations </w:t>
      </w:r>
      <w:r w:rsidRPr="00765A24">
        <w:rPr>
          <w:rFonts w:ascii="Times New Roman" w:eastAsia="Times New Roman" w:hAnsi="Times New Roman" w:cs="Times New Roman"/>
          <w:bCs/>
          <w:lang w:eastAsia="en-AU"/>
        </w:rPr>
        <w:t xml:space="preserve">which establishes the methods of service. </w:t>
      </w:r>
    </w:p>
    <w:p w14:paraId="2E842E94" w14:textId="77777777" w:rsidR="00FA0C8F" w:rsidRPr="00765A24" w:rsidRDefault="00FA0C8F" w:rsidP="00FA0C8F">
      <w:pPr>
        <w:spacing w:after="0" w:line="240" w:lineRule="auto"/>
        <w:ind w:right="91"/>
        <w:rPr>
          <w:rFonts w:ascii="Times New Roman" w:eastAsia="Times New Roman" w:hAnsi="Times New Roman" w:cs="Times New Roman"/>
          <w:bCs/>
          <w:lang w:eastAsia="en-AU"/>
        </w:rPr>
      </w:pPr>
    </w:p>
    <w:p w14:paraId="363C7EF7" w14:textId="473EEC8F" w:rsidR="00FA0C8F" w:rsidRPr="00765A24" w:rsidRDefault="00FA0C8F" w:rsidP="00FA0C8F">
      <w:pPr>
        <w:spacing w:after="0" w:line="240" w:lineRule="auto"/>
        <w:ind w:right="91"/>
        <w:rPr>
          <w:rFonts w:ascii="Times New Roman" w:eastAsia="Times New Roman" w:hAnsi="Times New Roman" w:cs="Times New Roman"/>
          <w:lang w:eastAsia="en-AU"/>
        </w:rPr>
      </w:pPr>
      <w:r w:rsidRPr="00765A24">
        <w:rPr>
          <w:rFonts w:ascii="Times New Roman" w:eastAsia="Times New Roman" w:hAnsi="Times New Roman" w:cs="Times New Roman"/>
          <w:bCs/>
          <w:lang w:eastAsia="en-AU"/>
        </w:rPr>
        <w:t xml:space="preserve">The Regulations amend the </w:t>
      </w:r>
      <w:r w:rsidRPr="001C5E42">
        <w:rPr>
          <w:rFonts w:ascii="Times New Roman" w:eastAsia="Times New Roman" w:hAnsi="Times New Roman" w:cs="Times New Roman"/>
          <w:bCs/>
          <w:lang w:eastAsia="en-AU"/>
        </w:rPr>
        <w:t>Bankruptcy Regulations</w:t>
      </w:r>
      <w:r w:rsidRPr="00765A24">
        <w:rPr>
          <w:rFonts w:ascii="Times New Roman" w:eastAsia="Times New Roman" w:hAnsi="Times New Roman" w:cs="Times New Roman"/>
          <w:bCs/>
          <w:i/>
          <w:lang w:eastAsia="en-AU"/>
        </w:rPr>
        <w:t xml:space="preserve"> </w:t>
      </w:r>
      <w:r w:rsidRPr="00765A24">
        <w:rPr>
          <w:rFonts w:ascii="Times New Roman" w:eastAsia="Times New Roman" w:hAnsi="Times New Roman" w:cs="Times New Roman"/>
          <w:bCs/>
          <w:lang w:eastAsia="en-AU"/>
        </w:rPr>
        <w:t xml:space="preserve">to clarify that electronic service of bankruptcy documents can occur without the need for a party to seek consent from the recipient. It will address </w:t>
      </w:r>
      <w:r w:rsidRPr="00765A24">
        <w:rPr>
          <w:rFonts w:ascii="Times New Roman" w:eastAsia="Times New Roman" w:hAnsi="Times New Roman" w:cs="Times New Roman"/>
          <w:lang w:eastAsia="en-AU"/>
        </w:rPr>
        <w:t xml:space="preserve">scrutiny concerns raised by the Senate Standing Committee for the Scrutiny of Delegated Legislation that section 102 of the </w:t>
      </w:r>
      <w:r w:rsidR="00F16C04">
        <w:rPr>
          <w:rFonts w:ascii="Times New Roman" w:eastAsia="Times New Roman" w:hAnsi="Times New Roman" w:cs="Times New Roman"/>
          <w:lang w:eastAsia="en-AU"/>
        </w:rPr>
        <w:t xml:space="preserve">Bankruptcy </w:t>
      </w:r>
      <w:r w:rsidRPr="00765A24">
        <w:rPr>
          <w:rFonts w:ascii="Times New Roman" w:eastAsia="Times New Roman" w:hAnsi="Times New Roman" w:cs="Times New Roman"/>
          <w:lang w:eastAsia="en-AU"/>
        </w:rPr>
        <w:t>Regulations used delegated legislation, rather than primary legislation, to provide an exemption from requirements in the ETA.</w:t>
      </w:r>
    </w:p>
    <w:p w14:paraId="49DF9D46" w14:textId="77777777" w:rsidR="00FA0C8F" w:rsidRPr="00765A24" w:rsidRDefault="00FA0C8F" w:rsidP="00FA0C8F">
      <w:pPr>
        <w:spacing w:after="0" w:line="240" w:lineRule="auto"/>
        <w:ind w:right="91"/>
        <w:rPr>
          <w:rFonts w:ascii="Times New Roman" w:eastAsia="Times New Roman" w:hAnsi="Times New Roman" w:cs="Times New Roman"/>
          <w:lang w:eastAsia="en-AU"/>
        </w:rPr>
      </w:pPr>
    </w:p>
    <w:p w14:paraId="22A17494" w14:textId="678F62A9" w:rsidR="00FA0C8F" w:rsidRPr="00765A24" w:rsidRDefault="00FA0C8F" w:rsidP="00FA0C8F">
      <w:pPr>
        <w:spacing w:after="0" w:line="240" w:lineRule="auto"/>
        <w:ind w:right="91"/>
        <w:rPr>
          <w:rFonts w:ascii="Times New Roman" w:eastAsia="Times New Roman" w:hAnsi="Times New Roman" w:cs="Times New Roman"/>
          <w:lang w:eastAsia="en-AU"/>
        </w:rPr>
      </w:pPr>
      <w:r w:rsidRPr="00765A24">
        <w:rPr>
          <w:rFonts w:ascii="Times New Roman" w:eastAsia="Times New Roman" w:hAnsi="Times New Roman" w:cs="Times New Roman"/>
          <w:lang w:eastAsia="en-AU"/>
        </w:rPr>
        <w:t xml:space="preserve">In order to clarify the drafting and address the Committee’s concerns, the </w:t>
      </w:r>
      <w:r w:rsidR="00F16C04">
        <w:rPr>
          <w:rFonts w:ascii="Times New Roman" w:eastAsia="Times New Roman" w:hAnsi="Times New Roman" w:cs="Times New Roman"/>
          <w:lang w:eastAsia="en-AU"/>
        </w:rPr>
        <w:t>R</w:t>
      </w:r>
      <w:r w:rsidRPr="00765A24">
        <w:rPr>
          <w:rFonts w:ascii="Times New Roman" w:eastAsia="Times New Roman" w:hAnsi="Times New Roman" w:cs="Times New Roman"/>
          <w:lang w:eastAsia="en-AU"/>
        </w:rPr>
        <w:t xml:space="preserve">egulations </w:t>
      </w:r>
      <w:r w:rsidR="00F16C04">
        <w:rPr>
          <w:rFonts w:ascii="Times New Roman" w:eastAsia="Times New Roman" w:hAnsi="Times New Roman" w:cs="Times New Roman"/>
          <w:lang w:eastAsia="en-AU"/>
        </w:rPr>
        <w:t xml:space="preserve">repeal and replace </w:t>
      </w:r>
      <w:r w:rsidRPr="00765A24">
        <w:rPr>
          <w:rFonts w:ascii="Times New Roman" w:eastAsia="Times New Roman" w:hAnsi="Times New Roman" w:cs="Times New Roman"/>
          <w:lang w:eastAsia="en-AU"/>
        </w:rPr>
        <w:t xml:space="preserve">section 102 to provide that it clearly operates within the exemption already provided by subsection 9(3) of the ETA. </w:t>
      </w:r>
    </w:p>
    <w:p w14:paraId="1FFBC22D" w14:textId="11D225D5" w:rsidR="00FA0C8F" w:rsidRPr="00765A24" w:rsidRDefault="00FA0C8F" w:rsidP="00FA0C8F">
      <w:pPr>
        <w:spacing w:after="0" w:line="240" w:lineRule="auto"/>
        <w:ind w:right="91"/>
        <w:rPr>
          <w:rFonts w:ascii="Times New Roman" w:eastAsia="Times New Roman" w:hAnsi="Times New Roman" w:cs="Times New Roman"/>
          <w:bCs/>
          <w:lang w:eastAsia="en-AU"/>
        </w:rPr>
      </w:pPr>
    </w:p>
    <w:p w14:paraId="18550D18" w14:textId="77777777" w:rsidR="00FA0C8F" w:rsidRPr="00765A24" w:rsidRDefault="00FA0C8F" w:rsidP="00FA0C8F">
      <w:pPr>
        <w:keepNext/>
        <w:spacing w:before="120" w:after="120" w:line="240" w:lineRule="auto"/>
        <w:rPr>
          <w:rFonts w:ascii="Times New Roman" w:hAnsi="Times New Roman"/>
          <w:b/>
        </w:rPr>
      </w:pPr>
      <w:r w:rsidRPr="00765A24">
        <w:rPr>
          <w:rFonts w:ascii="Times New Roman" w:hAnsi="Times New Roman"/>
          <w:b/>
        </w:rPr>
        <w:t>Human rights implications</w:t>
      </w:r>
    </w:p>
    <w:p w14:paraId="11E415E8" w14:textId="77777777" w:rsidR="00FA0C8F" w:rsidRPr="00765A24" w:rsidRDefault="00FA0C8F" w:rsidP="00FA0C8F">
      <w:pPr>
        <w:keepNext/>
        <w:spacing w:before="120" w:after="120" w:line="240" w:lineRule="auto"/>
        <w:rPr>
          <w:rFonts w:ascii="Times New Roman" w:hAnsi="Times New Roman"/>
        </w:rPr>
      </w:pPr>
      <w:r w:rsidRPr="00765A24">
        <w:rPr>
          <w:rFonts w:ascii="Times New Roman" w:hAnsi="Times New Roman"/>
        </w:rPr>
        <w:t>This Legislative Instrument does not engage any of the applicable rights or freedoms.</w:t>
      </w:r>
    </w:p>
    <w:p w14:paraId="762923FE" w14:textId="77777777" w:rsidR="00FA0C8F" w:rsidRPr="00765A24" w:rsidRDefault="00FA0C8F" w:rsidP="00FA0C8F">
      <w:pPr>
        <w:spacing w:before="120" w:after="120" w:line="240" w:lineRule="auto"/>
        <w:rPr>
          <w:rFonts w:ascii="Times New Roman" w:hAnsi="Times New Roman"/>
          <w:b/>
        </w:rPr>
      </w:pPr>
      <w:r w:rsidRPr="00765A24">
        <w:rPr>
          <w:rFonts w:ascii="Times New Roman" w:hAnsi="Times New Roman"/>
          <w:b/>
        </w:rPr>
        <w:t>Conclusion</w:t>
      </w:r>
    </w:p>
    <w:p w14:paraId="2356C8C0" w14:textId="77777777" w:rsidR="00FA0C8F" w:rsidRPr="00765A24" w:rsidRDefault="00FA0C8F" w:rsidP="00FA0C8F">
      <w:pPr>
        <w:spacing w:before="120" w:after="120" w:line="240" w:lineRule="auto"/>
        <w:rPr>
          <w:rFonts w:ascii="Times New Roman" w:hAnsi="Times New Roman"/>
        </w:rPr>
      </w:pPr>
      <w:r w:rsidRPr="00765A24">
        <w:rPr>
          <w:rFonts w:ascii="Times New Roman" w:hAnsi="Times New Roman"/>
        </w:rPr>
        <w:t>This Legislative Instrument is compatible with human rights as it does not raise any human rights issues.</w:t>
      </w:r>
    </w:p>
    <w:p w14:paraId="09BFDCEB" w14:textId="77777777" w:rsidR="009B6322" w:rsidRPr="00765A24" w:rsidRDefault="009B6322">
      <w:pPr>
        <w:rPr>
          <w:rFonts w:ascii="Times New Roman" w:hAnsi="Times New Roman" w:cs="Times New Roman"/>
        </w:rPr>
      </w:pPr>
      <w:r w:rsidRPr="00765A24">
        <w:rPr>
          <w:rFonts w:ascii="Times New Roman" w:hAnsi="Times New Roman" w:cs="Times New Roman"/>
        </w:rPr>
        <w:br w:type="page"/>
      </w:r>
    </w:p>
    <w:p w14:paraId="121F2E18" w14:textId="77777777" w:rsidR="009C0BE2" w:rsidRPr="00A42F5D" w:rsidRDefault="797FDF2D" w:rsidP="797FDF2D">
      <w:pPr>
        <w:spacing w:line="360" w:lineRule="auto"/>
        <w:jc w:val="right"/>
        <w:rPr>
          <w:rFonts w:ascii="Times New Roman" w:hAnsi="Times New Roman" w:cs="Times New Roman"/>
          <w:b/>
          <w:bCs/>
          <w:sz w:val="24"/>
          <w:szCs w:val="24"/>
        </w:rPr>
      </w:pPr>
      <w:r w:rsidRPr="00A42F5D">
        <w:rPr>
          <w:rFonts w:ascii="Times New Roman" w:hAnsi="Times New Roman" w:cs="Times New Roman"/>
          <w:b/>
          <w:bCs/>
          <w:sz w:val="24"/>
          <w:szCs w:val="24"/>
        </w:rPr>
        <w:lastRenderedPageBreak/>
        <w:t>Attachment A</w:t>
      </w:r>
    </w:p>
    <w:p w14:paraId="44EBD46E" w14:textId="77777777" w:rsidR="00023241" w:rsidRPr="003E10F9" w:rsidRDefault="00023241" w:rsidP="00A219DC">
      <w:pPr>
        <w:spacing w:after="0" w:line="240" w:lineRule="auto"/>
        <w:ind w:right="91"/>
        <w:rPr>
          <w:rFonts w:ascii="Times New Roman" w:eastAsia="Times New Roman" w:hAnsi="Times New Roman" w:cs="Times New Roman"/>
          <w:sz w:val="24"/>
          <w:szCs w:val="24"/>
          <w:u w:val="single"/>
          <w:lang w:eastAsia="en-AU"/>
        </w:rPr>
      </w:pPr>
      <w:r w:rsidRPr="003E10F9">
        <w:rPr>
          <w:rFonts w:ascii="Times New Roman" w:eastAsia="Times New Roman" w:hAnsi="Times New Roman" w:cs="Times New Roman"/>
          <w:b/>
          <w:sz w:val="24"/>
          <w:szCs w:val="24"/>
          <w:u w:val="single"/>
          <w:lang w:eastAsia="en-AU"/>
        </w:rPr>
        <w:t>Details of the proposed</w:t>
      </w:r>
      <w:r w:rsidRPr="003E10F9">
        <w:rPr>
          <w:rFonts w:ascii="Times New Roman" w:eastAsia="Times New Roman" w:hAnsi="Times New Roman" w:cs="Times New Roman"/>
          <w:i/>
          <w:sz w:val="24"/>
          <w:szCs w:val="24"/>
          <w:u w:val="single"/>
          <w:lang w:eastAsia="en-AU"/>
        </w:rPr>
        <w:t xml:space="preserve"> </w:t>
      </w:r>
      <w:r w:rsidRPr="008C49E1">
        <w:rPr>
          <w:rFonts w:ascii="Times New Roman" w:eastAsia="Times New Roman" w:hAnsi="Times New Roman" w:cs="Times New Roman"/>
          <w:b/>
          <w:i/>
          <w:sz w:val="24"/>
          <w:szCs w:val="24"/>
          <w:u w:val="single"/>
          <w:lang w:eastAsia="en-AU"/>
        </w:rPr>
        <w:t>Bankruptcy Amendment (Electronic Service) Regulations 2024</w:t>
      </w:r>
      <w:r w:rsidRPr="003E10F9">
        <w:rPr>
          <w:rFonts w:ascii="Times New Roman" w:eastAsia="Times New Roman" w:hAnsi="Times New Roman" w:cs="Times New Roman"/>
          <w:b/>
          <w:i/>
          <w:sz w:val="24"/>
          <w:szCs w:val="24"/>
          <w:u w:val="single"/>
          <w:lang w:eastAsia="en-AU"/>
        </w:rPr>
        <w:t xml:space="preserve"> </w:t>
      </w:r>
    </w:p>
    <w:p w14:paraId="2641554E" w14:textId="77777777" w:rsidR="00023241" w:rsidRPr="003E10F9" w:rsidRDefault="00023241" w:rsidP="00A219DC">
      <w:pPr>
        <w:spacing w:after="0" w:line="240" w:lineRule="auto"/>
        <w:ind w:right="91"/>
        <w:rPr>
          <w:rFonts w:ascii="Times New Roman" w:eastAsia="Times New Roman" w:hAnsi="Times New Roman" w:cs="Times New Roman"/>
          <w:sz w:val="24"/>
          <w:szCs w:val="24"/>
          <w:lang w:eastAsia="en-AU"/>
        </w:rPr>
      </w:pPr>
    </w:p>
    <w:p w14:paraId="337266E8" w14:textId="77777777" w:rsidR="00023241" w:rsidRPr="008C49E1" w:rsidRDefault="00023241" w:rsidP="003E10F9">
      <w:pPr>
        <w:spacing w:line="360" w:lineRule="auto"/>
        <w:rPr>
          <w:rFonts w:ascii="Times New Roman" w:hAnsi="Times New Roman" w:cs="Times New Roman"/>
          <w:bCs/>
          <w:sz w:val="24"/>
          <w:szCs w:val="24"/>
          <w:u w:val="single"/>
        </w:rPr>
      </w:pPr>
      <w:r w:rsidRPr="008C49E1">
        <w:rPr>
          <w:rFonts w:ascii="Times New Roman" w:hAnsi="Times New Roman" w:cs="Times New Roman"/>
          <w:bCs/>
          <w:sz w:val="24"/>
          <w:szCs w:val="24"/>
          <w:u w:val="single"/>
        </w:rPr>
        <w:t>Section 1 – Name</w:t>
      </w:r>
      <w:r>
        <w:rPr>
          <w:rFonts w:ascii="Times New Roman" w:hAnsi="Times New Roman" w:cs="Times New Roman"/>
          <w:bCs/>
          <w:sz w:val="24"/>
          <w:szCs w:val="24"/>
          <w:u w:val="single"/>
        </w:rPr>
        <w:t xml:space="preserve"> of Regulations </w:t>
      </w:r>
    </w:p>
    <w:p w14:paraId="46E29664" w14:textId="196F496F" w:rsidR="00023241" w:rsidRPr="003E10F9" w:rsidRDefault="00023241" w:rsidP="008C49E1">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section </w:t>
      </w:r>
      <w:r>
        <w:rPr>
          <w:rFonts w:ascii="Times New Roman" w:hAnsi="Times New Roman" w:cs="Times New Roman"/>
          <w:sz w:val="24"/>
          <w:szCs w:val="24"/>
        </w:rPr>
        <w:t>would</w:t>
      </w:r>
      <w:r w:rsidRPr="003E10F9">
        <w:rPr>
          <w:rFonts w:ascii="Times New Roman" w:hAnsi="Times New Roman" w:cs="Times New Roman"/>
          <w:sz w:val="24"/>
          <w:szCs w:val="24"/>
        </w:rPr>
        <w:t xml:space="preserve"> </w:t>
      </w:r>
      <w:r w:rsidRPr="003E10F9">
        <w:rPr>
          <w:rFonts w:ascii="Times New Roman" w:hAnsi="Times New Roman" w:cs="Times New Roman"/>
          <w:sz w:val="24"/>
          <w:szCs w:val="24"/>
        </w:rPr>
        <w:t xml:space="preserve">provide that the title of the </w:t>
      </w:r>
      <w:r>
        <w:rPr>
          <w:rFonts w:ascii="Times New Roman" w:hAnsi="Times New Roman" w:cs="Times New Roman"/>
          <w:sz w:val="24"/>
          <w:szCs w:val="24"/>
        </w:rPr>
        <w:t xml:space="preserve">Regulations </w:t>
      </w:r>
      <w:r w:rsidRPr="003E10F9">
        <w:rPr>
          <w:rFonts w:ascii="Times New Roman" w:hAnsi="Times New Roman" w:cs="Times New Roman"/>
          <w:sz w:val="24"/>
          <w:szCs w:val="24"/>
        </w:rPr>
        <w:t xml:space="preserve">is the </w:t>
      </w:r>
      <w:r w:rsidRPr="008C49E1">
        <w:rPr>
          <w:rFonts w:ascii="Times New Roman" w:hAnsi="Times New Roman" w:cs="Times New Roman"/>
          <w:i/>
          <w:sz w:val="24"/>
          <w:szCs w:val="24"/>
        </w:rPr>
        <w:t>Bankruptcy Amendment (Electronic Service) Regulations 2024</w:t>
      </w:r>
      <w:r w:rsidRPr="003E10F9">
        <w:rPr>
          <w:rFonts w:ascii="Times New Roman" w:hAnsi="Times New Roman" w:cs="Times New Roman"/>
          <w:sz w:val="24"/>
          <w:szCs w:val="24"/>
        </w:rPr>
        <w:t>.</w:t>
      </w:r>
    </w:p>
    <w:p w14:paraId="7DB0586F" w14:textId="77777777" w:rsidR="00023241" w:rsidRPr="008C49E1" w:rsidRDefault="00023241" w:rsidP="008C49E1">
      <w:pPr>
        <w:spacing w:line="240" w:lineRule="auto"/>
        <w:rPr>
          <w:rFonts w:ascii="Times New Roman" w:hAnsi="Times New Roman" w:cs="Times New Roman"/>
          <w:bCs/>
          <w:sz w:val="24"/>
          <w:szCs w:val="24"/>
          <w:u w:val="single"/>
        </w:rPr>
      </w:pPr>
      <w:r w:rsidRPr="008C49E1">
        <w:rPr>
          <w:rFonts w:ascii="Times New Roman" w:hAnsi="Times New Roman" w:cs="Times New Roman"/>
          <w:bCs/>
          <w:sz w:val="24"/>
          <w:szCs w:val="24"/>
          <w:u w:val="single"/>
        </w:rPr>
        <w:t>Section 2 – Commencement</w:t>
      </w:r>
    </w:p>
    <w:p w14:paraId="713D9FEB" w14:textId="5D60F3F9" w:rsidR="00023241" w:rsidRPr="003E10F9" w:rsidRDefault="00023241" w:rsidP="008C49E1">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section </w:t>
      </w:r>
      <w:r>
        <w:rPr>
          <w:rFonts w:ascii="Times New Roman" w:hAnsi="Times New Roman" w:cs="Times New Roman"/>
          <w:sz w:val="24"/>
          <w:szCs w:val="24"/>
        </w:rPr>
        <w:t xml:space="preserve">would </w:t>
      </w:r>
      <w:r>
        <w:rPr>
          <w:rFonts w:ascii="Times New Roman" w:hAnsi="Times New Roman" w:cs="Times New Roman"/>
          <w:sz w:val="24"/>
          <w:szCs w:val="24"/>
        </w:rPr>
        <w:t xml:space="preserve">provide for the Regulations to </w:t>
      </w:r>
      <w:r w:rsidRPr="003E10F9">
        <w:rPr>
          <w:rFonts w:ascii="Times New Roman" w:hAnsi="Times New Roman" w:cs="Times New Roman"/>
          <w:sz w:val="24"/>
          <w:szCs w:val="24"/>
        </w:rPr>
        <w:t>commence the day after the instrument is registered.</w:t>
      </w:r>
    </w:p>
    <w:p w14:paraId="642CF57A" w14:textId="77777777" w:rsidR="00023241" w:rsidRPr="008C49E1" w:rsidRDefault="00023241" w:rsidP="008C49E1">
      <w:pPr>
        <w:spacing w:line="240" w:lineRule="auto"/>
        <w:rPr>
          <w:rFonts w:ascii="Times New Roman" w:hAnsi="Times New Roman" w:cs="Times New Roman"/>
          <w:bCs/>
          <w:sz w:val="24"/>
          <w:szCs w:val="24"/>
          <w:u w:val="single"/>
        </w:rPr>
      </w:pPr>
      <w:r w:rsidRPr="008C49E1">
        <w:rPr>
          <w:rFonts w:ascii="Times New Roman" w:hAnsi="Times New Roman" w:cs="Times New Roman"/>
          <w:bCs/>
          <w:sz w:val="24"/>
          <w:szCs w:val="24"/>
          <w:u w:val="single"/>
        </w:rPr>
        <w:t>Section 3 – Authority</w:t>
      </w:r>
    </w:p>
    <w:p w14:paraId="2BD233F2" w14:textId="6B7C90B0" w:rsidR="00023241" w:rsidRPr="003E10F9" w:rsidRDefault="00023241" w:rsidP="008C49E1">
      <w:pPr>
        <w:spacing w:line="240" w:lineRule="auto"/>
        <w:rPr>
          <w:rFonts w:ascii="Times New Roman" w:hAnsi="Times New Roman" w:cs="Times New Roman"/>
          <w:sz w:val="24"/>
          <w:szCs w:val="24"/>
        </w:rPr>
      </w:pPr>
      <w:r w:rsidRPr="003E10F9">
        <w:rPr>
          <w:rFonts w:ascii="Times New Roman" w:hAnsi="Times New Roman" w:cs="Times New Roman"/>
          <w:sz w:val="24"/>
          <w:szCs w:val="24"/>
        </w:rPr>
        <w:t xml:space="preserve">This section </w:t>
      </w:r>
      <w:r>
        <w:rPr>
          <w:rFonts w:ascii="Times New Roman" w:hAnsi="Times New Roman" w:cs="Times New Roman"/>
          <w:sz w:val="24"/>
          <w:szCs w:val="24"/>
        </w:rPr>
        <w:t xml:space="preserve">would </w:t>
      </w:r>
      <w:r w:rsidRPr="003E10F9">
        <w:rPr>
          <w:rFonts w:ascii="Times New Roman" w:hAnsi="Times New Roman" w:cs="Times New Roman"/>
          <w:sz w:val="24"/>
          <w:szCs w:val="24"/>
        </w:rPr>
        <w:t xml:space="preserve">provide that the </w:t>
      </w:r>
      <w:r w:rsidRPr="004B60A9">
        <w:rPr>
          <w:rFonts w:ascii="Times New Roman" w:hAnsi="Times New Roman" w:cs="Times New Roman"/>
          <w:i/>
          <w:sz w:val="24"/>
          <w:szCs w:val="24"/>
        </w:rPr>
        <w:t>Bankruptcy Amendment (Electronic Service) Regulations 2024</w:t>
      </w:r>
      <w:r w:rsidRPr="003E10F9">
        <w:rPr>
          <w:rFonts w:ascii="Times New Roman" w:hAnsi="Times New Roman" w:cs="Times New Roman"/>
          <w:sz w:val="24"/>
          <w:szCs w:val="24"/>
        </w:rPr>
        <w:t xml:space="preserve"> is made under the </w:t>
      </w:r>
      <w:r w:rsidRPr="003E10F9">
        <w:rPr>
          <w:rFonts w:ascii="Times New Roman" w:hAnsi="Times New Roman" w:cs="Times New Roman"/>
          <w:i/>
          <w:sz w:val="24"/>
          <w:szCs w:val="24"/>
        </w:rPr>
        <w:t>Bankruptcy Act 1966</w:t>
      </w:r>
      <w:r w:rsidRPr="003E10F9">
        <w:rPr>
          <w:rFonts w:ascii="Times New Roman" w:hAnsi="Times New Roman" w:cs="Times New Roman"/>
          <w:sz w:val="24"/>
          <w:szCs w:val="24"/>
        </w:rPr>
        <w:t>.</w:t>
      </w:r>
    </w:p>
    <w:p w14:paraId="3A1F9099" w14:textId="77777777" w:rsidR="00023241" w:rsidRPr="008C49E1" w:rsidRDefault="00023241" w:rsidP="008C49E1">
      <w:pPr>
        <w:spacing w:line="240" w:lineRule="auto"/>
        <w:rPr>
          <w:rFonts w:ascii="Times New Roman" w:hAnsi="Times New Roman" w:cs="Times New Roman"/>
          <w:bCs/>
          <w:sz w:val="24"/>
          <w:szCs w:val="24"/>
          <w:u w:val="single"/>
        </w:rPr>
      </w:pPr>
      <w:r w:rsidRPr="008C49E1">
        <w:rPr>
          <w:rFonts w:ascii="Times New Roman" w:hAnsi="Times New Roman" w:cs="Times New Roman"/>
          <w:bCs/>
          <w:sz w:val="24"/>
          <w:szCs w:val="24"/>
          <w:u w:val="single"/>
        </w:rPr>
        <w:t>Section 4 – Schedules</w:t>
      </w:r>
    </w:p>
    <w:p w14:paraId="67FB1492" w14:textId="24C7AC18" w:rsidR="00023241" w:rsidRPr="003E10F9" w:rsidRDefault="00023241" w:rsidP="008C49E1">
      <w:pPr>
        <w:spacing w:line="240" w:lineRule="auto"/>
        <w:rPr>
          <w:rFonts w:ascii="Times New Roman" w:hAnsi="Times New Roman" w:cs="Times New Roman"/>
          <w:bCs/>
          <w:sz w:val="24"/>
          <w:szCs w:val="24"/>
        </w:rPr>
      </w:pPr>
      <w:r w:rsidRPr="003E10F9">
        <w:rPr>
          <w:rFonts w:ascii="Times New Roman" w:hAnsi="Times New Roman" w:cs="Times New Roman"/>
          <w:bCs/>
          <w:sz w:val="24"/>
          <w:szCs w:val="24"/>
        </w:rPr>
        <w:t xml:space="preserve">This section </w:t>
      </w:r>
      <w:r>
        <w:rPr>
          <w:rFonts w:ascii="Times New Roman" w:hAnsi="Times New Roman" w:cs="Times New Roman"/>
          <w:bCs/>
          <w:sz w:val="24"/>
          <w:szCs w:val="24"/>
        </w:rPr>
        <w:t xml:space="preserve">would </w:t>
      </w:r>
      <w:r w:rsidRPr="003E10F9">
        <w:rPr>
          <w:rFonts w:ascii="Times New Roman" w:hAnsi="Times New Roman" w:cs="Times New Roman"/>
          <w:bCs/>
          <w:sz w:val="24"/>
          <w:szCs w:val="24"/>
        </w:rPr>
        <w:t xml:space="preserve">provide that each instrument </w:t>
      </w:r>
      <w:r>
        <w:rPr>
          <w:rFonts w:ascii="Times New Roman" w:hAnsi="Times New Roman" w:cs="Times New Roman"/>
          <w:bCs/>
          <w:sz w:val="24"/>
          <w:szCs w:val="24"/>
        </w:rPr>
        <w:t>that is specified in a Schedule to this instrument is amended or repealed as set out in the applicable items in the Schedule concerned, and any other item in a Schedule to this instrument has effect according to its terms.</w:t>
      </w:r>
      <w:r w:rsidRPr="003E10F9">
        <w:rPr>
          <w:rFonts w:ascii="Times New Roman" w:hAnsi="Times New Roman" w:cs="Times New Roman"/>
          <w:bCs/>
          <w:sz w:val="24"/>
          <w:szCs w:val="24"/>
        </w:rPr>
        <w:t xml:space="preserve"> </w:t>
      </w:r>
    </w:p>
    <w:p w14:paraId="265120D3" w14:textId="77777777" w:rsidR="00023241" w:rsidRPr="008C49E1" w:rsidRDefault="00023241" w:rsidP="008C49E1">
      <w:pPr>
        <w:keepNext/>
        <w:spacing w:line="240" w:lineRule="auto"/>
        <w:rPr>
          <w:rFonts w:ascii="Times New Roman" w:hAnsi="Times New Roman" w:cs="Times New Roman"/>
          <w:bCs/>
          <w:sz w:val="24"/>
          <w:szCs w:val="24"/>
          <w:u w:val="single"/>
        </w:rPr>
      </w:pPr>
      <w:r w:rsidRPr="002C7289">
        <w:rPr>
          <w:rFonts w:ascii="Times New Roman" w:hAnsi="Times New Roman" w:cs="Times New Roman"/>
          <w:bCs/>
          <w:sz w:val="24"/>
          <w:szCs w:val="24"/>
          <w:u w:val="single"/>
        </w:rPr>
        <w:t>Schedule</w:t>
      </w:r>
      <w:r w:rsidRPr="008C49E1">
        <w:rPr>
          <w:rFonts w:ascii="Times New Roman" w:hAnsi="Times New Roman" w:cs="Times New Roman"/>
          <w:bCs/>
          <w:sz w:val="24"/>
          <w:szCs w:val="24"/>
          <w:u w:val="single"/>
        </w:rPr>
        <w:t xml:space="preserve"> 1 – Amendments</w:t>
      </w:r>
    </w:p>
    <w:p w14:paraId="1164F4D4" w14:textId="77777777" w:rsidR="00023241" w:rsidRPr="003E10F9" w:rsidRDefault="00023241" w:rsidP="008C49E1">
      <w:pPr>
        <w:keepNext/>
        <w:spacing w:line="240" w:lineRule="auto"/>
        <w:rPr>
          <w:rFonts w:ascii="Times New Roman" w:hAnsi="Times New Roman" w:cs="Times New Roman"/>
          <w:b/>
          <w:bCs/>
          <w:i/>
          <w:sz w:val="24"/>
          <w:szCs w:val="24"/>
        </w:rPr>
      </w:pPr>
      <w:r w:rsidRPr="003E10F9">
        <w:rPr>
          <w:rFonts w:ascii="Times New Roman" w:hAnsi="Times New Roman" w:cs="Times New Roman"/>
          <w:b/>
          <w:bCs/>
          <w:i/>
          <w:sz w:val="24"/>
          <w:szCs w:val="24"/>
        </w:rPr>
        <w:t>Bankruptcy Regulations 2021</w:t>
      </w:r>
    </w:p>
    <w:p w14:paraId="69112901" w14:textId="77777777" w:rsidR="00023241" w:rsidRPr="003E10F9" w:rsidRDefault="00023241" w:rsidP="008C49E1">
      <w:pPr>
        <w:spacing w:line="240" w:lineRule="auto"/>
        <w:rPr>
          <w:rFonts w:ascii="Times New Roman" w:hAnsi="Times New Roman" w:cs="Times New Roman"/>
          <w:b/>
          <w:bCs/>
          <w:sz w:val="24"/>
          <w:szCs w:val="24"/>
        </w:rPr>
      </w:pPr>
      <w:r w:rsidRPr="003E10F9">
        <w:rPr>
          <w:rFonts w:ascii="Times New Roman" w:hAnsi="Times New Roman" w:cs="Times New Roman"/>
          <w:b/>
          <w:bCs/>
          <w:sz w:val="24"/>
          <w:szCs w:val="24"/>
        </w:rPr>
        <w:t xml:space="preserve">Item </w:t>
      </w:r>
      <w:r>
        <w:rPr>
          <w:rFonts w:ascii="Times New Roman" w:hAnsi="Times New Roman" w:cs="Times New Roman"/>
          <w:b/>
          <w:bCs/>
          <w:sz w:val="24"/>
          <w:szCs w:val="24"/>
        </w:rPr>
        <w:t>[</w:t>
      </w:r>
      <w:r w:rsidRPr="003E10F9">
        <w:rPr>
          <w:rFonts w:ascii="Times New Roman" w:hAnsi="Times New Roman" w:cs="Times New Roman"/>
          <w:b/>
          <w:bCs/>
          <w:sz w:val="24"/>
          <w:szCs w:val="24"/>
        </w:rPr>
        <w:t>1</w:t>
      </w:r>
      <w:r>
        <w:rPr>
          <w:rFonts w:ascii="Times New Roman" w:hAnsi="Times New Roman" w:cs="Times New Roman"/>
          <w:b/>
          <w:bCs/>
          <w:sz w:val="24"/>
          <w:szCs w:val="24"/>
        </w:rPr>
        <w:t>]</w:t>
      </w:r>
      <w:r w:rsidRPr="003E10F9">
        <w:rPr>
          <w:rFonts w:ascii="Times New Roman" w:hAnsi="Times New Roman" w:cs="Times New Roman"/>
          <w:b/>
          <w:bCs/>
          <w:sz w:val="24"/>
          <w:szCs w:val="24"/>
        </w:rPr>
        <w:t xml:space="preserve"> – </w:t>
      </w:r>
      <w:r>
        <w:rPr>
          <w:rFonts w:ascii="Times New Roman" w:hAnsi="Times New Roman" w:cs="Times New Roman"/>
          <w:b/>
          <w:bCs/>
          <w:sz w:val="24"/>
          <w:szCs w:val="24"/>
        </w:rPr>
        <w:t>S</w:t>
      </w:r>
      <w:r w:rsidRPr="003E10F9">
        <w:rPr>
          <w:rFonts w:ascii="Times New Roman" w:hAnsi="Times New Roman" w:cs="Times New Roman"/>
          <w:b/>
          <w:bCs/>
          <w:sz w:val="24"/>
          <w:szCs w:val="24"/>
        </w:rPr>
        <w:t>ection 4</w:t>
      </w:r>
    </w:p>
    <w:p w14:paraId="525EE9D9" w14:textId="1B21EDD0" w:rsidR="00023241" w:rsidRPr="003E10F9" w:rsidRDefault="00023241" w:rsidP="008C49E1">
      <w:pPr>
        <w:spacing w:line="240" w:lineRule="auto"/>
        <w:rPr>
          <w:rFonts w:ascii="Times New Roman" w:hAnsi="Times New Roman" w:cs="Times New Roman"/>
          <w:bCs/>
          <w:sz w:val="24"/>
          <w:szCs w:val="24"/>
        </w:rPr>
      </w:pPr>
      <w:r w:rsidRPr="003E10F9">
        <w:rPr>
          <w:rFonts w:ascii="Times New Roman" w:hAnsi="Times New Roman" w:cs="Times New Roman"/>
          <w:bCs/>
          <w:sz w:val="24"/>
          <w:szCs w:val="24"/>
        </w:rPr>
        <w:t xml:space="preserve">This item </w:t>
      </w:r>
      <w:r>
        <w:rPr>
          <w:rFonts w:ascii="Times New Roman" w:hAnsi="Times New Roman" w:cs="Times New Roman"/>
          <w:bCs/>
          <w:sz w:val="24"/>
          <w:szCs w:val="24"/>
        </w:rPr>
        <w:t>would</w:t>
      </w:r>
      <w:r w:rsidRPr="003E10F9">
        <w:rPr>
          <w:rFonts w:ascii="Times New Roman" w:hAnsi="Times New Roman" w:cs="Times New Roman"/>
          <w:bCs/>
          <w:sz w:val="24"/>
          <w:szCs w:val="24"/>
        </w:rPr>
        <w:t xml:space="preserve"> </w:t>
      </w:r>
      <w:r w:rsidRPr="003E10F9">
        <w:rPr>
          <w:rFonts w:ascii="Times New Roman" w:hAnsi="Times New Roman" w:cs="Times New Roman"/>
          <w:bCs/>
          <w:sz w:val="24"/>
          <w:szCs w:val="24"/>
        </w:rPr>
        <w:t xml:space="preserve">insert a definition for electronic communication by reference to paragraph (a) of the definition in subsection 5(1) of the </w:t>
      </w:r>
      <w:r w:rsidRPr="003E10F9">
        <w:rPr>
          <w:rFonts w:ascii="Times New Roman" w:hAnsi="Times New Roman" w:cs="Times New Roman"/>
          <w:bCs/>
          <w:i/>
          <w:sz w:val="24"/>
          <w:szCs w:val="24"/>
        </w:rPr>
        <w:t xml:space="preserve">Electronic Transactions Act 1999 </w:t>
      </w:r>
      <w:r w:rsidRPr="003E10F9">
        <w:rPr>
          <w:rFonts w:ascii="Times New Roman" w:hAnsi="Times New Roman" w:cs="Times New Roman"/>
          <w:bCs/>
          <w:sz w:val="24"/>
          <w:szCs w:val="24"/>
        </w:rPr>
        <w:t>(Electronic</w:t>
      </w:r>
      <w:r>
        <w:rPr>
          <w:rFonts w:ascii="Times New Roman" w:hAnsi="Times New Roman" w:cs="Times New Roman"/>
          <w:bCs/>
          <w:sz w:val="24"/>
          <w:szCs w:val="24"/>
        </w:rPr>
        <w:t> </w:t>
      </w:r>
      <w:r w:rsidRPr="003E10F9">
        <w:rPr>
          <w:rFonts w:ascii="Times New Roman" w:hAnsi="Times New Roman" w:cs="Times New Roman"/>
          <w:bCs/>
          <w:sz w:val="24"/>
          <w:szCs w:val="24"/>
        </w:rPr>
        <w:t>Transactions Act). The definition in paragraph (a) of the Electronic Transactions Act provides that electronic communication means a communication of information in the form of data, text or images by means of guided and/or unguided electromagnetic energy.</w:t>
      </w:r>
    </w:p>
    <w:p w14:paraId="1E3E058C" w14:textId="77777777" w:rsidR="00023241" w:rsidRDefault="00023241" w:rsidP="008C49E1">
      <w:pPr>
        <w:spacing w:line="240" w:lineRule="auto"/>
        <w:rPr>
          <w:rFonts w:ascii="Times New Roman" w:hAnsi="Times New Roman" w:cs="Times New Roman"/>
          <w:bCs/>
          <w:sz w:val="24"/>
          <w:szCs w:val="24"/>
        </w:rPr>
      </w:pPr>
      <w:r w:rsidRPr="003E10F9">
        <w:rPr>
          <w:rFonts w:ascii="Times New Roman" w:hAnsi="Times New Roman" w:cs="Times New Roman"/>
          <w:bCs/>
          <w:sz w:val="24"/>
          <w:szCs w:val="24"/>
        </w:rPr>
        <w:t>This definition is inserted to assist with the use of the term in section 102 which allows service to be made by electronic communication.</w:t>
      </w:r>
    </w:p>
    <w:p w14:paraId="4C678BEC" w14:textId="77777777" w:rsidR="00023241" w:rsidRPr="00447560" w:rsidRDefault="00023241" w:rsidP="008C49E1">
      <w:pPr>
        <w:spacing w:line="240" w:lineRule="auto"/>
        <w:rPr>
          <w:rFonts w:ascii="Times New Roman" w:hAnsi="Times New Roman" w:cs="Times New Roman"/>
          <w:bCs/>
          <w:sz w:val="24"/>
          <w:szCs w:val="24"/>
        </w:rPr>
      </w:pPr>
      <w:r w:rsidRPr="001A736D">
        <w:rPr>
          <w:rFonts w:ascii="Times New Roman" w:hAnsi="Times New Roman" w:cs="Times New Roman"/>
          <w:b/>
          <w:bCs/>
          <w:sz w:val="24"/>
          <w:szCs w:val="24"/>
        </w:rPr>
        <w:t xml:space="preserve">Item </w:t>
      </w:r>
      <w:r>
        <w:rPr>
          <w:rFonts w:ascii="Times New Roman" w:hAnsi="Times New Roman" w:cs="Times New Roman"/>
          <w:b/>
          <w:bCs/>
          <w:sz w:val="24"/>
          <w:szCs w:val="24"/>
        </w:rPr>
        <w:t>[</w:t>
      </w:r>
      <w:r w:rsidRPr="001A736D">
        <w:rPr>
          <w:rFonts w:ascii="Times New Roman" w:hAnsi="Times New Roman" w:cs="Times New Roman"/>
          <w:b/>
          <w:bCs/>
          <w:sz w:val="24"/>
          <w:szCs w:val="24"/>
        </w:rPr>
        <w:t>2</w:t>
      </w:r>
      <w:r>
        <w:rPr>
          <w:rFonts w:ascii="Times New Roman" w:hAnsi="Times New Roman" w:cs="Times New Roman"/>
          <w:b/>
          <w:bCs/>
          <w:sz w:val="24"/>
          <w:szCs w:val="24"/>
        </w:rPr>
        <w:t>]</w:t>
      </w:r>
      <w:r w:rsidRPr="001A736D">
        <w:rPr>
          <w:rFonts w:ascii="Times New Roman" w:hAnsi="Times New Roman" w:cs="Times New Roman"/>
          <w:b/>
          <w:bCs/>
          <w:sz w:val="24"/>
          <w:szCs w:val="24"/>
        </w:rPr>
        <w:t xml:space="preserve"> – Section 22 (note)</w:t>
      </w:r>
    </w:p>
    <w:p w14:paraId="3B6FC230" w14:textId="7FACF6E9" w:rsidR="00023241" w:rsidRDefault="00023241" w:rsidP="008C49E1">
      <w:pPr>
        <w:spacing w:line="240" w:lineRule="auto"/>
        <w:rPr>
          <w:rFonts w:ascii="Times New Roman" w:hAnsi="Times New Roman" w:cs="Times New Roman"/>
          <w:bCs/>
          <w:sz w:val="24"/>
          <w:szCs w:val="24"/>
        </w:rPr>
      </w:pPr>
      <w:r w:rsidRPr="00447560">
        <w:rPr>
          <w:rFonts w:ascii="Times New Roman" w:hAnsi="Times New Roman" w:cs="Times New Roman"/>
          <w:bCs/>
          <w:sz w:val="24"/>
          <w:szCs w:val="24"/>
        </w:rPr>
        <w:t xml:space="preserve">Item </w:t>
      </w:r>
      <w:r>
        <w:rPr>
          <w:rFonts w:ascii="Times New Roman" w:hAnsi="Times New Roman" w:cs="Times New Roman"/>
          <w:bCs/>
          <w:sz w:val="24"/>
          <w:szCs w:val="24"/>
        </w:rPr>
        <w:t>2</w:t>
      </w:r>
      <w:r w:rsidRPr="00447560">
        <w:rPr>
          <w:rFonts w:ascii="Times New Roman" w:hAnsi="Times New Roman" w:cs="Times New Roman"/>
          <w:bCs/>
          <w:sz w:val="24"/>
          <w:szCs w:val="24"/>
        </w:rPr>
        <w:t xml:space="preserve"> </w:t>
      </w:r>
      <w:r>
        <w:rPr>
          <w:rFonts w:ascii="Times New Roman" w:hAnsi="Times New Roman" w:cs="Times New Roman"/>
          <w:bCs/>
          <w:sz w:val="24"/>
          <w:szCs w:val="24"/>
        </w:rPr>
        <w:t xml:space="preserve">would </w:t>
      </w:r>
      <w:r w:rsidRPr="00447560">
        <w:rPr>
          <w:rFonts w:ascii="Times New Roman" w:hAnsi="Times New Roman" w:cs="Times New Roman"/>
          <w:bCs/>
          <w:sz w:val="24"/>
          <w:szCs w:val="24"/>
        </w:rPr>
        <w:t xml:space="preserve">omit reference to section 28A of the </w:t>
      </w:r>
      <w:r w:rsidRPr="001A736D">
        <w:rPr>
          <w:rFonts w:ascii="Times New Roman" w:hAnsi="Times New Roman" w:cs="Times New Roman"/>
          <w:bCs/>
          <w:i/>
          <w:sz w:val="24"/>
          <w:szCs w:val="24"/>
        </w:rPr>
        <w:t>Acts Interpretation Act 1901</w:t>
      </w:r>
      <w:r w:rsidRPr="00447560">
        <w:rPr>
          <w:rFonts w:ascii="Times New Roman" w:hAnsi="Times New Roman" w:cs="Times New Roman"/>
          <w:bCs/>
          <w:sz w:val="24"/>
          <w:szCs w:val="24"/>
        </w:rPr>
        <w:t xml:space="preserve"> </w:t>
      </w:r>
      <w:r>
        <w:rPr>
          <w:rFonts w:ascii="Times New Roman" w:hAnsi="Times New Roman" w:cs="Times New Roman"/>
          <w:bCs/>
          <w:sz w:val="24"/>
          <w:szCs w:val="24"/>
        </w:rPr>
        <w:t>(</w:t>
      </w:r>
      <w:r w:rsidRPr="003E10F9">
        <w:rPr>
          <w:rFonts w:ascii="Times New Roman" w:hAnsi="Times New Roman" w:cs="Times New Roman"/>
          <w:bCs/>
          <w:sz w:val="24"/>
          <w:szCs w:val="24"/>
        </w:rPr>
        <w:t>Acts Interpretation Act</w:t>
      </w:r>
      <w:r>
        <w:rPr>
          <w:rFonts w:ascii="Times New Roman" w:hAnsi="Times New Roman" w:cs="Times New Roman"/>
          <w:bCs/>
          <w:sz w:val="24"/>
          <w:szCs w:val="24"/>
        </w:rPr>
        <w:t>)</w:t>
      </w:r>
      <w:r w:rsidRPr="00447560">
        <w:rPr>
          <w:rFonts w:ascii="Times New Roman" w:hAnsi="Times New Roman" w:cs="Times New Roman"/>
          <w:bCs/>
          <w:sz w:val="24"/>
          <w:szCs w:val="24"/>
        </w:rPr>
        <w:t xml:space="preserve"> as this is now included in section 102.</w:t>
      </w:r>
    </w:p>
    <w:p w14:paraId="49798307" w14:textId="77777777" w:rsidR="00023241" w:rsidRPr="001A736D" w:rsidRDefault="00023241" w:rsidP="008C49E1">
      <w:pPr>
        <w:spacing w:line="240" w:lineRule="auto"/>
        <w:rPr>
          <w:rFonts w:ascii="Times New Roman" w:hAnsi="Times New Roman" w:cs="Times New Roman"/>
          <w:b/>
          <w:bCs/>
          <w:sz w:val="24"/>
          <w:szCs w:val="24"/>
        </w:rPr>
      </w:pPr>
      <w:r w:rsidRPr="001A736D">
        <w:rPr>
          <w:rFonts w:ascii="Times New Roman" w:hAnsi="Times New Roman" w:cs="Times New Roman"/>
          <w:b/>
          <w:bCs/>
          <w:sz w:val="24"/>
          <w:szCs w:val="24"/>
        </w:rPr>
        <w:t xml:space="preserve">Item </w:t>
      </w:r>
      <w:r>
        <w:rPr>
          <w:rFonts w:ascii="Times New Roman" w:hAnsi="Times New Roman" w:cs="Times New Roman"/>
          <w:b/>
          <w:bCs/>
          <w:sz w:val="24"/>
          <w:szCs w:val="24"/>
        </w:rPr>
        <w:t>[</w:t>
      </w:r>
      <w:r w:rsidRPr="001A736D">
        <w:rPr>
          <w:rFonts w:ascii="Times New Roman" w:hAnsi="Times New Roman" w:cs="Times New Roman"/>
          <w:b/>
          <w:bCs/>
          <w:sz w:val="24"/>
          <w:szCs w:val="24"/>
        </w:rPr>
        <w:t>3</w:t>
      </w:r>
      <w:r>
        <w:rPr>
          <w:rFonts w:ascii="Times New Roman" w:hAnsi="Times New Roman" w:cs="Times New Roman"/>
          <w:b/>
          <w:bCs/>
          <w:sz w:val="24"/>
          <w:szCs w:val="24"/>
        </w:rPr>
        <w:t>]</w:t>
      </w:r>
      <w:r w:rsidRPr="001A736D">
        <w:rPr>
          <w:rFonts w:ascii="Times New Roman" w:hAnsi="Times New Roman" w:cs="Times New Roman"/>
          <w:b/>
          <w:bCs/>
          <w:sz w:val="24"/>
          <w:szCs w:val="24"/>
        </w:rPr>
        <w:t xml:space="preserve"> – Section 43 (note)</w:t>
      </w:r>
    </w:p>
    <w:p w14:paraId="55A48A58" w14:textId="29894B3F" w:rsidR="00023241" w:rsidRPr="00447560" w:rsidRDefault="00023241" w:rsidP="008C49E1">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Item 3 </w:t>
      </w:r>
      <w:r>
        <w:rPr>
          <w:rFonts w:ascii="Times New Roman" w:hAnsi="Times New Roman" w:cs="Times New Roman"/>
          <w:bCs/>
          <w:sz w:val="24"/>
          <w:szCs w:val="24"/>
        </w:rPr>
        <w:t xml:space="preserve">would </w:t>
      </w:r>
      <w:r w:rsidRPr="00447560">
        <w:rPr>
          <w:rFonts w:ascii="Times New Roman" w:hAnsi="Times New Roman" w:cs="Times New Roman"/>
          <w:bCs/>
          <w:sz w:val="24"/>
          <w:szCs w:val="24"/>
        </w:rPr>
        <w:t xml:space="preserve">omit reference to section 28A of the </w:t>
      </w:r>
      <w:r w:rsidRPr="00BA1A94">
        <w:rPr>
          <w:rFonts w:ascii="Times New Roman" w:hAnsi="Times New Roman" w:cs="Times New Roman"/>
          <w:bCs/>
          <w:sz w:val="24"/>
          <w:szCs w:val="24"/>
        </w:rPr>
        <w:t>Acts Interpretation Act</w:t>
      </w:r>
      <w:r w:rsidRPr="00447560">
        <w:rPr>
          <w:rFonts w:ascii="Times New Roman" w:hAnsi="Times New Roman" w:cs="Times New Roman"/>
          <w:bCs/>
          <w:sz w:val="24"/>
          <w:szCs w:val="24"/>
        </w:rPr>
        <w:t xml:space="preserve"> as this is now included in section 102.</w:t>
      </w:r>
    </w:p>
    <w:p w14:paraId="245C33E7" w14:textId="77777777" w:rsidR="00023241" w:rsidRPr="003E10F9" w:rsidRDefault="00023241" w:rsidP="008C49E1">
      <w:pPr>
        <w:keepNext/>
        <w:keepLines/>
        <w:spacing w:line="240" w:lineRule="auto"/>
        <w:rPr>
          <w:rFonts w:ascii="Times New Roman" w:hAnsi="Times New Roman" w:cs="Times New Roman"/>
          <w:b/>
          <w:bCs/>
          <w:sz w:val="24"/>
          <w:szCs w:val="24"/>
        </w:rPr>
      </w:pPr>
      <w:r w:rsidRPr="003E10F9">
        <w:rPr>
          <w:rFonts w:ascii="Times New Roman" w:hAnsi="Times New Roman" w:cs="Times New Roman"/>
          <w:b/>
          <w:bCs/>
          <w:sz w:val="24"/>
          <w:szCs w:val="24"/>
        </w:rPr>
        <w:t xml:space="preserve">Item </w:t>
      </w:r>
      <w:r>
        <w:rPr>
          <w:rFonts w:ascii="Times New Roman" w:hAnsi="Times New Roman" w:cs="Times New Roman"/>
          <w:b/>
          <w:bCs/>
          <w:sz w:val="24"/>
          <w:szCs w:val="24"/>
        </w:rPr>
        <w:t>[4]</w:t>
      </w:r>
      <w:r w:rsidRPr="003E10F9">
        <w:rPr>
          <w:rFonts w:ascii="Times New Roman" w:hAnsi="Times New Roman" w:cs="Times New Roman"/>
          <w:b/>
          <w:bCs/>
          <w:sz w:val="24"/>
          <w:szCs w:val="24"/>
        </w:rPr>
        <w:t xml:space="preserve"> – </w:t>
      </w:r>
      <w:r>
        <w:rPr>
          <w:rFonts w:ascii="Times New Roman" w:hAnsi="Times New Roman" w:cs="Times New Roman"/>
          <w:b/>
          <w:bCs/>
          <w:sz w:val="24"/>
          <w:szCs w:val="24"/>
        </w:rPr>
        <w:t>S</w:t>
      </w:r>
      <w:r w:rsidRPr="003E10F9">
        <w:rPr>
          <w:rFonts w:ascii="Times New Roman" w:hAnsi="Times New Roman" w:cs="Times New Roman"/>
          <w:b/>
          <w:bCs/>
          <w:sz w:val="24"/>
          <w:szCs w:val="24"/>
        </w:rPr>
        <w:t>ection 102</w:t>
      </w:r>
    </w:p>
    <w:p w14:paraId="003FE7E8" w14:textId="2D1E10A0" w:rsidR="00023241" w:rsidRPr="003E10F9" w:rsidRDefault="00023241" w:rsidP="008C49E1">
      <w:pPr>
        <w:spacing w:line="240" w:lineRule="auto"/>
        <w:rPr>
          <w:rFonts w:ascii="Times New Roman" w:hAnsi="Times New Roman" w:cs="Times New Roman"/>
          <w:bCs/>
          <w:sz w:val="24"/>
          <w:szCs w:val="24"/>
        </w:rPr>
      </w:pPr>
      <w:r w:rsidRPr="003E10F9">
        <w:rPr>
          <w:rFonts w:ascii="Times New Roman" w:hAnsi="Times New Roman" w:cs="Times New Roman"/>
          <w:bCs/>
          <w:sz w:val="24"/>
          <w:szCs w:val="24"/>
        </w:rPr>
        <w:t xml:space="preserve">This item </w:t>
      </w:r>
      <w:r>
        <w:rPr>
          <w:rFonts w:ascii="Times New Roman" w:hAnsi="Times New Roman" w:cs="Times New Roman"/>
          <w:bCs/>
          <w:sz w:val="24"/>
          <w:szCs w:val="24"/>
        </w:rPr>
        <w:t xml:space="preserve">would </w:t>
      </w:r>
      <w:r w:rsidRPr="003E10F9">
        <w:rPr>
          <w:rFonts w:ascii="Times New Roman" w:hAnsi="Times New Roman" w:cs="Times New Roman"/>
          <w:bCs/>
          <w:sz w:val="24"/>
          <w:szCs w:val="24"/>
        </w:rPr>
        <w:t>repeal and replace section 102.</w:t>
      </w:r>
    </w:p>
    <w:p w14:paraId="2EB07198" w14:textId="77777777" w:rsidR="00023241" w:rsidRPr="003E10F9" w:rsidRDefault="00023241" w:rsidP="008C49E1">
      <w:pPr>
        <w:spacing w:line="240" w:lineRule="auto"/>
        <w:rPr>
          <w:rFonts w:ascii="Times New Roman" w:hAnsi="Times New Roman" w:cs="Times New Roman"/>
          <w:bCs/>
          <w:sz w:val="24"/>
          <w:szCs w:val="24"/>
        </w:rPr>
      </w:pPr>
      <w:r w:rsidRPr="003E10F9">
        <w:rPr>
          <w:rFonts w:ascii="Times New Roman" w:hAnsi="Times New Roman" w:cs="Times New Roman"/>
          <w:bCs/>
          <w:sz w:val="24"/>
          <w:szCs w:val="24"/>
        </w:rPr>
        <w:lastRenderedPageBreak/>
        <w:t xml:space="preserve">Section 102 mirrors the repealed and replaced section with some amendments to </w:t>
      </w:r>
      <w:r>
        <w:rPr>
          <w:rFonts w:ascii="Times New Roman" w:hAnsi="Times New Roman" w:cs="Times New Roman"/>
          <w:bCs/>
          <w:sz w:val="24"/>
          <w:szCs w:val="24"/>
        </w:rPr>
        <w:t xml:space="preserve">make clear </w:t>
      </w:r>
      <w:r w:rsidRPr="003E10F9">
        <w:rPr>
          <w:rFonts w:ascii="Times New Roman" w:hAnsi="Times New Roman" w:cs="Times New Roman"/>
          <w:bCs/>
          <w:sz w:val="24"/>
          <w:szCs w:val="24"/>
        </w:rPr>
        <w:t xml:space="preserve">that </w:t>
      </w:r>
      <w:r>
        <w:rPr>
          <w:rFonts w:ascii="Times New Roman" w:hAnsi="Times New Roman" w:cs="Times New Roman"/>
          <w:bCs/>
          <w:sz w:val="24"/>
          <w:szCs w:val="24"/>
        </w:rPr>
        <w:t xml:space="preserve">the section makes provision for particular information to be given in accordance with technology requirements, therefore falls within the exemption provided for in </w:t>
      </w:r>
      <w:r w:rsidRPr="003E10F9">
        <w:rPr>
          <w:rFonts w:ascii="Times New Roman" w:hAnsi="Times New Roman" w:cs="Times New Roman"/>
          <w:bCs/>
          <w:sz w:val="24"/>
          <w:szCs w:val="24"/>
        </w:rPr>
        <w:t>subsection 9(3) of the Electronic Transactions Act</w:t>
      </w:r>
      <w:r>
        <w:rPr>
          <w:rFonts w:ascii="Times New Roman" w:hAnsi="Times New Roman" w:cs="Times New Roman"/>
          <w:bCs/>
          <w:sz w:val="24"/>
          <w:szCs w:val="24"/>
        </w:rPr>
        <w:t>.</w:t>
      </w:r>
      <w:r w:rsidRPr="003E10F9">
        <w:rPr>
          <w:rFonts w:ascii="Times New Roman" w:hAnsi="Times New Roman" w:cs="Times New Roman"/>
          <w:bCs/>
          <w:sz w:val="24"/>
          <w:szCs w:val="24"/>
        </w:rPr>
        <w:t xml:space="preserve"> </w:t>
      </w:r>
    </w:p>
    <w:p w14:paraId="4202A48B" w14:textId="77777777" w:rsidR="00023241" w:rsidRPr="003E10F9" w:rsidRDefault="00023241" w:rsidP="008C49E1">
      <w:pPr>
        <w:spacing w:line="240" w:lineRule="auto"/>
        <w:rPr>
          <w:rFonts w:ascii="Times New Roman" w:hAnsi="Times New Roman" w:cs="Times New Roman"/>
          <w:bCs/>
          <w:sz w:val="24"/>
          <w:szCs w:val="24"/>
        </w:rPr>
      </w:pPr>
      <w:r w:rsidRPr="003E10F9">
        <w:rPr>
          <w:rFonts w:ascii="Times New Roman" w:hAnsi="Times New Roman" w:cs="Times New Roman"/>
          <w:bCs/>
          <w:sz w:val="24"/>
          <w:szCs w:val="24"/>
        </w:rPr>
        <w:t xml:space="preserve">The section is being repealed and replaced in its entirety for drafting efficacy. </w:t>
      </w:r>
    </w:p>
    <w:p w14:paraId="7A6F45EE" w14:textId="7570A037" w:rsidR="00023241" w:rsidRPr="003E10F9" w:rsidRDefault="00023241" w:rsidP="008C49E1">
      <w:pPr>
        <w:spacing w:line="240" w:lineRule="auto"/>
        <w:rPr>
          <w:rFonts w:ascii="Times New Roman" w:hAnsi="Times New Roman" w:cs="Times New Roman"/>
          <w:bCs/>
          <w:sz w:val="24"/>
          <w:szCs w:val="24"/>
        </w:rPr>
      </w:pPr>
      <w:r w:rsidRPr="003E10F9">
        <w:rPr>
          <w:rFonts w:ascii="Times New Roman" w:hAnsi="Times New Roman" w:cs="Times New Roman"/>
          <w:bCs/>
          <w:sz w:val="24"/>
          <w:szCs w:val="24"/>
        </w:rPr>
        <w:t xml:space="preserve">Subsection 102(1) </w:t>
      </w:r>
      <w:r>
        <w:rPr>
          <w:rFonts w:ascii="Times New Roman" w:hAnsi="Times New Roman" w:cs="Times New Roman"/>
          <w:bCs/>
          <w:sz w:val="24"/>
          <w:szCs w:val="24"/>
        </w:rPr>
        <w:t xml:space="preserve">would </w:t>
      </w:r>
      <w:r w:rsidRPr="003E10F9">
        <w:rPr>
          <w:rFonts w:ascii="Times New Roman" w:hAnsi="Times New Roman" w:cs="Times New Roman"/>
          <w:bCs/>
          <w:sz w:val="24"/>
          <w:szCs w:val="24"/>
        </w:rPr>
        <w:t>provide that, unless the contrary intention appears, if a document is required or permitted by the Act or Regulations to be given to, sent to or served on a person, the document may be:</w:t>
      </w:r>
    </w:p>
    <w:p w14:paraId="19DAA8B6" w14:textId="77777777" w:rsidR="00023241" w:rsidRPr="003E10F9" w:rsidRDefault="00023241" w:rsidP="008C49E1">
      <w:pPr>
        <w:pStyle w:val="ListParagraph"/>
        <w:numPr>
          <w:ilvl w:val="0"/>
          <w:numId w:val="15"/>
        </w:numPr>
        <w:spacing w:line="240" w:lineRule="auto"/>
        <w:rPr>
          <w:rFonts w:ascii="Times New Roman" w:hAnsi="Times New Roman" w:cs="Times New Roman"/>
          <w:bCs/>
          <w:sz w:val="24"/>
          <w:szCs w:val="24"/>
        </w:rPr>
      </w:pPr>
      <w:r w:rsidRPr="003E10F9">
        <w:rPr>
          <w:rFonts w:ascii="Times New Roman" w:hAnsi="Times New Roman" w:cs="Times New Roman"/>
          <w:bCs/>
          <w:sz w:val="24"/>
          <w:szCs w:val="24"/>
        </w:rPr>
        <w:t>sent by courier to the person’s last known address; or</w:t>
      </w:r>
    </w:p>
    <w:p w14:paraId="7486FB4C" w14:textId="77777777" w:rsidR="00023241" w:rsidRPr="003E10F9" w:rsidRDefault="00023241" w:rsidP="008C49E1">
      <w:pPr>
        <w:pStyle w:val="ListParagraph"/>
        <w:numPr>
          <w:ilvl w:val="0"/>
          <w:numId w:val="15"/>
        </w:numPr>
        <w:spacing w:line="240" w:lineRule="auto"/>
        <w:rPr>
          <w:rFonts w:ascii="Times New Roman" w:hAnsi="Times New Roman" w:cs="Times New Roman"/>
          <w:bCs/>
          <w:sz w:val="24"/>
          <w:szCs w:val="24"/>
        </w:rPr>
      </w:pPr>
      <w:r w:rsidRPr="003E10F9">
        <w:rPr>
          <w:rFonts w:ascii="Times New Roman" w:hAnsi="Times New Roman" w:cs="Times New Roman"/>
          <w:bCs/>
          <w:sz w:val="24"/>
          <w:szCs w:val="24"/>
        </w:rPr>
        <w:t>marked with the person’s name and any document exchange number and left at a document exchange where the person maintains a document exchange facility; or</w:t>
      </w:r>
    </w:p>
    <w:p w14:paraId="796380C0" w14:textId="0604F9C5" w:rsidR="00023241" w:rsidRPr="003E10F9" w:rsidRDefault="00023241" w:rsidP="008C49E1">
      <w:pPr>
        <w:pStyle w:val="ListParagraph"/>
        <w:numPr>
          <w:ilvl w:val="0"/>
          <w:numId w:val="15"/>
        </w:numPr>
        <w:spacing w:line="240" w:lineRule="auto"/>
        <w:rPr>
          <w:rFonts w:ascii="Times New Roman" w:hAnsi="Times New Roman" w:cs="Times New Roman"/>
          <w:bCs/>
          <w:sz w:val="24"/>
          <w:szCs w:val="24"/>
        </w:rPr>
      </w:pPr>
      <w:r w:rsidRPr="003E10F9">
        <w:rPr>
          <w:rFonts w:ascii="Times New Roman" w:hAnsi="Times New Roman" w:cs="Times New Roman"/>
          <w:bCs/>
          <w:sz w:val="24"/>
          <w:szCs w:val="24"/>
        </w:rPr>
        <w:t xml:space="preserve">given in accordance with the methods of service under section 28A of the </w:t>
      </w:r>
      <w:r w:rsidRPr="003D4924">
        <w:rPr>
          <w:rFonts w:ascii="Times New Roman" w:hAnsi="Times New Roman" w:cs="Times New Roman"/>
          <w:bCs/>
          <w:i/>
          <w:sz w:val="24"/>
          <w:szCs w:val="24"/>
        </w:rPr>
        <w:t>Acts Interpretation Act</w:t>
      </w:r>
      <w:r w:rsidRPr="003E10F9">
        <w:rPr>
          <w:rFonts w:ascii="Times New Roman" w:hAnsi="Times New Roman" w:cs="Times New Roman"/>
          <w:bCs/>
          <w:i/>
          <w:sz w:val="24"/>
          <w:szCs w:val="24"/>
        </w:rPr>
        <w:t xml:space="preserve"> 1901</w:t>
      </w:r>
      <w:r w:rsidRPr="003E10F9">
        <w:rPr>
          <w:rFonts w:ascii="Times New Roman" w:hAnsi="Times New Roman" w:cs="Times New Roman"/>
          <w:bCs/>
          <w:sz w:val="24"/>
          <w:szCs w:val="24"/>
        </w:rPr>
        <w:t>, this includes personal service, service by post and service by electronic communication; or</w:t>
      </w:r>
    </w:p>
    <w:p w14:paraId="794F468C" w14:textId="66A2C9B6" w:rsidR="00023241" w:rsidRPr="003E10F9" w:rsidRDefault="00023241" w:rsidP="008C49E1">
      <w:pPr>
        <w:pStyle w:val="ListParagraph"/>
        <w:numPr>
          <w:ilvl w:val="0"/>
          <w:numId w:val="15"/>
        </w:numPr>
        <w:spacing w:line="240" w:lineRule="auto"/>
        <w:rPr>
          <w:rFonts w:ascii="Times New Roman" w:hAnsi="Times New Roman" w:cs="Times New Roman"/>
          <w:bCs/>
          <w:sz w:val="24"/>
          <w:szCs w:val="24"/>
        </w:rPr>
      </w:pPr>
      <w:r w:rsidRPr="003E10F9">
        <w:rPr>
          <w:rFonts w:ascii="Times New Roman" w:hAnsi="Times New Roman" w:cs="Times New Roman"/>
          <w:bCs/>
          <w:sz w:val="24"/>
          <w:szCs w:val="24"/>
        </w:rPr>
        <w:t xml:space="preserve">sent by a kind </w:t>
      </w:r>
      <w:r>
        <w:rPr>
          <w:rFonts w:ascii="Times New Roman" w:hAnsi="Times New Roman" w:cs="Times New Roman"/>
          <w:bCs/>
          <w:sz w:val="24"/>
          <w:szCs w:val="24"/>
        </w:rPr>
        <w:t xml:space="preserve">of </w:t>
      </w:r>
      <w:r w:rsidRPr="003E10F9">
        <w:rPr>
          <w:rFonts w:ascii="Times New Roman" w:hAnsi="Times New Roman" w:cs="Times New Roman"/>
          <w:bCs/>
          <w:sz w:val="24"/>
          <w:szCs w:val="24"/>
        </w:rPr>
        <w:t xml:space="preserve">electronic communication—as defined in paragraph 5(1)(a) of the </w:t>
      </w:r>
      <w:r w:rsidRPr="003D4924">
        <w:rPr>
          <w:rFonts w:ascii="Times New Roman" w:hAnsi="Times New Roman" w:cs="Times New Roman"/>
          <w:bCs/>
          <w:i/>
          <w:sz w:val="24"/>
          <w:szCs w:val="24"/>
        </w:rPr>
        <w:t>Electronic Transactions Act</w:t>
      </w:r>
      <w:r w:rsidRPr="003E10F9">
        <w:rPr>
          <w:rFonts w:ascii="Times New Roman" w:hAnsi="Times New Roman" w:cs="Times New Roman"/>
          <w:bCs/>
          <w:i/>
          <w:sz w:val="24"/>
          <w:szCs w:val="24"/>
        </w:rPr>
        <w:t xml:space="preserve"> 1999</w:t>
      </w:r>
      <w:r w:rsidRPr="003E10F9">
        <w:rPr>
          <w:rFonts w:ascii="Times New Roman" w:hAnsi="Times New Roman" w:cs="Times New Roman"/>
          <w:bCs/>
          <w:sz w:val="24"/>
          <w:szCs w:val="24"/>
        </w:rPr>
        <w:t xml:space="preserve">—in accordance with </w:t>
      </w:r>
      <w:r>
        <w:rPr>
          <w:rFonts w:ascii="Times New Roman" w:hAnsi="Times New Roman" w:cs="Times New Roman"/>
          <w:bCs/>
          <w:sz w:val="24"/>
          <w:szCs w:val="24"/>
        </w:rPr>
        <w:t xml:space="preserve">the </w:t>
      </w:r>
      <w:r w:rsidRPr="003E10F9">
        <w:rPr>
          <w:rFonts w:ascii="Times New Roman" w:hAnsi="Times New Roman" w:cs="Times New Roman"/>
          <w:bCs/>
          <w:sz w:val="24"/>
          <w:szCs w:val="24"/>
        </w:rPr>
        <w:t>prescribed information technology requirements</w:t>
      </w:r>
      <w:r>
        <w:rPr>
          <w:rFonts w:ascii="Times New Roman" w:hAnsi="Times New Roman" w:cs="Times New Roman"/>
          <w:bCs/>
          <w:sz w:val="24"/>
          <w:szCs w:val="24"/>
        </w:rPr>
        <w:t xml:space="preserve"> at new subsection 102(3)</w:t>
      </w:r>
      <w:r w:rsidRPr="003E10F9">
        <w:rPr>
          <w:rFonts w:ascii="Times New Roman" w:hAnsi="Times New Roman" w:cs="Times New Roman"/>
          <w:bCs/>
          <w:sz w:val="24"/>
          <w:szCs w:val="24"/>
        </w:rPr>
        <w:t xml:space="preserve">. </w:t>
      </w:r>
    </w:p>
    <w:p w14:paraId="7152725A" w14:textId="7CBF52DD" w:rsidR="00023241" w:rsidRPr="003E10F9" w:rsidRDefault="00023241" w:rsidP="008C49E1">
      <w:pPr>
        <w:spacing w:line="240" w:lineRule="auto"/>
        <w:rPr>
          <w:rFonts w:ascii="Times New Roman" w:hAnsi="Times New Roman" w:cs="Times New Roman"/>
          <w:bCs/>
          <w:sz w:val="24"/>
          <w:szCs w:val="24"/>
        </w:rPr>
      </w:pPr>
      <w:r w:rsidRPr="003E10F9">
        <w:rPr>
          <w:rFonts w:ascii="Times New Roman" w:hAnsi="Times New Roman" w:cs="Times New Roman"/>
          <w:bCs/>
          <w:sz w:val="24"/>
          <w:szCs w:val="24"/>
        </w:rPr>
        <w:t xml:space="preserve">Subsection 102(2) </w:t>
      </w:r>
      <w:r>
        <w:rPr>
          <w:rFonts w:ascii="Times New Roman" w:hAnsi="Times New Roman" w:cs="Times New Roman"/>
          <w:bCs/>
          <w:sz w:val="24"/>
          <w:szCs w:val="24"/>
        </w:rPr>
        <w:t>would</w:t>
      </w:r>
      <w:r w:rsidRPr="003E10F9">
        <w:rPr>
          <w:rFonts w:ascii="Times New Roman" w:hAnsi="Times New Roman" w:cs="Times New Roman"/>
          <w:bCs/>
          <w:sz w:val="24"/>
          <w:szCs w:val="24"/>
        </w:rPr>
        <w:t xml:space="preserve"> </w:t>
      </w:r>
      <w:r w:rsidRPr="003E10F9">
        <w:rPr>
          <w:rFonts w:ascii="Times New Roman" w:hAnsi="Times New Roman" w:cs="Times New Roman"/>
          <w:bCs/>
          <w:sz w:val="24"/>
          <w:szCs w:val="24"/>
        </w:rPr>
        <w:t>continue to specify that, in the absence of evidence to the contrary, the document is taken to have been received by, or served on the person when the document would be delivered to that address or document exchange.</w:t>
      </w:r>
    </w:p>
    <w:p w14:paraId="02F9CC87" w14:textId="77777777" w:rsidR="00023241" w:rsidRPr="003E10F9" w:rsidRDefault="00023241" w:rsidP="008C49E1">
      <w:pPr>
        <w:spacing w:line="240" w:lineRule="auto"/>
        <w:rPr>
          <w:rFonts w:ascii="Times New Roman" w:hAnsi="Times New Roman" w:cs="Times New Roman"/>
          <w:bCs/>
          <w:sz w:val="24"/>
          <w:szCs w:val="24"/>
        </w:rPr>
      </w:pPr>
      <w:r w:rsidRPr="003E10F9">
        <w:rPr>
          <w:rFonts w:ascii="Times New Roman" w:hAnsi="Times New Roman" w:cs="Times New Roman"/>
          <w:bCs/>
          <w:sz w:val="24"/>
          <w:szCs w:val="24"/>
        </w:rPr>
        <w:t>The substantive amendments made to section 102 are as follows:</w:t>
      </w:r>
    </w:p>
    <w:p w14:paraId="442804D3" w14:textId="77777777" w:rsidR="00023241" w:rsidRPr="003E10F9" w:rsidRDefault="00023241" w:rsidP="008C49E1">
      <w:pPr>
        <w:spacing w:line="240" w:lineRule="auto"/>
        <w:rPr>
          <w:rFonts w:ascii="Times New Roman" w:hAnsi="Times New Roman" w:cs="Times New Roman"/>
          <w:bCs/>
          <w:i/>
          <w:sz w:val="24"/>
          <w:szCs w:val="24"/>
        </w:rPr>
      </w:pPr>
      <w:r w:rsidRPr="003E10F9">
        <w:rPr>
          <w:rFonts w:ascii="Times New Roman" w:hAnsi="Times New Roman" w:cs="Times New Roman"/>
          <w:bCs/>
          <w:i/>
          <w:sz w:val="24"/>
          <w:szCs w:val="24"/>
        </w:rPr>
        <w:t>Acts Interpretation Act</w:t>
      </w:r>
    </w:p>
    <w:p w14:paraId="4E4DEBD2" w14:textId="77777777" w:rsidR="00023241" w:rsidRDefault="00023241" w:rsidP="008C49E1">
      <w:pPr>
        <w:spacing w:line="240" w:lineRule="auto"/>
        <w:rPr>
          <w:rFonts w:ascii="Times New Roman" w:hAnsi="Times New Roman" w:cs="Times New Roman"/>
          <w:bCs/>
          <w:sz w:val="24"/>
          <w:szCs w:val="24"/>
        </w:rPr>
      </w:pPr>
      <w:r w:rsidRPr="003E10F9">
        <w:rPr>
          <w:rFonts w:ascii="Times New Roman" w:hAnsi="Times New Roman" w:cs="Times New Roman"/>
          <w:bCs/>
          <w:sz w:val="24"/>
          <w:szCs w:val="24"/>
        </w:rPr>
        <w:t>Section 28A of the Acts Interpretation Act provides for the manner in which documents may be served, given or sent, for the purposes of any Act that requires or permits documents to be served on a person. Further, section 28A does not affect the operation of any other law of the Commonwealth that authorises the service of documents other than by the methods provided for in that section. Section 28A also notes that the Electronic Transactions Act deals with the provision of information in electronic form.</w:t>
      </w:r>
      <w:r>
        <w:rPr>
          <w:rFonts w:ascii="Times New Roman" w:hAnsi="Times New Roman" w:cs="Times New Roman"/>
          <w:bCs/>
          <w:sz w:val="24"/>
          <w:szCs w:val="24"/>
        </w:rPr>
        <w:t xml:space="preserve"> </w:t>
      </w:r>
    </w:p>
    <w:p w14:paraId="1E5CA79D" w14:textId="77777777" w:rsidR="00023241" w:rsidRPr="003E10F9" w:rsidRDefault="00023241" w:rsidP="008C49E1">
      <w:pPr>
        <w:spacing w:line="240" w:lineRule="auto"/>
        <w:rPr>
          <w:rFonts w:ascii="Times New Roman" w:hAnsi="Times New Roman" w:cs="Times New Roman"/>
          <w:bCs/>
          <w:sz w:val="24"/>
          <w:szCs w:val="24"/>
        </w:rPr>
      </w:pPr>
      <w:r w:rsidRPr="003E10F9">
        <w:rPr>
          <w:rFonts w:ascii="Times New Roman" w:hAnsi="Times New Roman" w:cs="Times New Roman"/>
          <w:bCs/>
          <w:sz w:val="24"/>
          <w:szCs w:val="24"/>
        </w:rPr>
        <w:t>Reference to section 28A of the Acts</w:t>
      </w:r>
      <w:r>
        <w:rPr>
          <w:rFonts w:ascii="Times New Roman" w:hAnsi="Times New Roman" w:cs="Times New Roman"/>
          <w:bCs/>
          <w:sz w:val="24"/>
          <w:szCs w:val="24"/>
        </w:rPr>
        <w:t> </w:t>
      </w:r>
      <w:r w:rsidRPr="003E10F9">
        <w:rPr>
          <w:rFonts w:ascii="Times New Roman" w:hAnsi="Times New Roman" w:cs="Times New Roman"/>
          <w:bCs/>
          <w:sz w:val="24"/>
          <w:szCs w:val="24"/>
        </w:rPr>
        <w:t xml:space="preserve">Interpretation Act has been included in section 102 to make explicit that section 102 is not intended to limit the application of the service of documents provisions in section 28A. </w:t>
      </w:r>
    </w:p>
    <w:p w14:paraId="63970115" w14:textId="77777777" w:rsidR="00023241" w:rsidRPr="003E10F9" w:rsidRDefault="00023241" w:rsidP="008C49E1">
      <w:pPr>
        <w:spacing w:line="240" w:lineRule="auto"/>
        <w:rPr>
          <w:rFonts w:ascii="Times New Roman" w:hAnsi="Times New Roman" w:cs="Times New Roman"/>
          <w:bCs/>
          <w:i/>
          <w:sz w:val="24"/>
          <w:szCs w:val="24"/>
        </w:rPr>
      </w:pPr>
      <w:r w:rsidRPr="003E10F9">
        <w:rPr>
          <w:rFonts w:ascii="Times New Roman" w:hAnsi="Times New Roman" w:cs="Times New Roman"/>
          <w:bCs/>
          <w:i/>
          <w:sz w:val="24"/>
          <w:szCs w:val="24"/>
        </w:rPr>
        <w:t>Clear engagement of the exemption provided by subsection 9(3) of the Electronic</w:t>
      </w:r>
      <w:r>
        <w:rPr>
          <w:rFonts w:ascii="Times New Roman" w:hAnsi="Times New Roman" w:cs="Times New Roman"/>
          <w:bCs/>
          <w:i/>
          <w:sz w:val="24"/>
          <w:szCs w:val="24"/>
        </w:rPr>
        <w:t> </w:t>
      </w:r>
      <w:r w:rsidRPr="003E10F9">
        <w:rPr>
          <w:rFonts w:ascii="Times New Roman" w:hAnsi="Times New Roman" w:cs="Times New Roman"/>
          <w:bCs/>
          <w:i/>
          <w:sz w:val="24"/>
          <w:szCs w:val="24"/>
        </w:rPr>
        <w:t>Transactions Act</w:t>
      </w:r>
    </w:p>
    <w:p w14:paraId="331174AC" w14:textId="77777777" w:rsidR="00023241" w:rsidRPr="003E10F9" w:rsidRDefault="00023241" w:rsidP="008C49E1">
      <w:pPr>
        <w:spacing w:line="240" w:lineRule="auto"/>
        <w:rPr>
          <w:rFonts w:ascii="Times New Roman" w:hAnsi="Times New Roman" w:cs="Times New Roman"/>
          <w:bCs/>
          <w:sz w:val="24"/>
          <w:szCs w:val="24"/>
        </w:rPr>
      </w:pPr>
      <w:r w:rsidRPr="003E10F9">
        <w:rPr>
          <w:rFonts w:ascii="Times New Roman" w:hAnsi="Times New Roman" w:cs="Times New Roman"/>
          <w:bCs/>
          <w:sz w:val="24"/>
          <w:szCs w:val="24"/>
        </w:rPr>
        <w:t>Paragraph 102(d), in conjunction with subsection 102(3), of the proposed regulations will make clear electronic service engages the exemption provided by subsection 9(3) of the Electronic Transaction Act.</w:t>
      </w:r>
    </w:p>
    <w:p w14:paraId="3FB5AF7E" w14:textId="77777777" w:rsidR="00023241" w:rsidRPr="003E10F9" w:rsidRDefault="00023241" w:rsidP="008C49E1">
      <w:pPr>
        <w:spacing w:line="240" w:lineRule="auto"/>
        <w:rPr>
          <w:rFonts w:ascii="Times New Roman" w:hAnsi="Times New Roman" w:cs="Times New Roman"/>
          <w:bCs/>
          <w:sz w:val="24"/>
          <w:szCs w:val="24"/>
        </w:rPr>
      </w:pPr>
      <w:r w:rsidRPr="003E10F9">
        <w:rPr>
          <w:rFonts w:ascii="Times New Roman" w:hAnsi="Times New Roman" w:cs="Times New Roman"/>
          <w:bCs/>
          <w:sz w:val="24"/>
          <w:szCs w:val="24"/>
        </w:rPr>
        <w:t xml:space="preserve">Section 9 of the Electronic Transactions Act </w:t>
      </w:r>
      <w:r>
        <w:rPr>
          <w:rFonts w:ascii="Times New Roman" w:hAnsi="Times New Roman" w:cs="Times New Roman"/>
          <w:bCs/>
          <w:sz w:val="24"/>
          <w:szCs w:val="24"/>
        </w:rPr>
        <w:t>provides</w:t>
      </w:r>
      <w:r w:rsidRPr="003E10F9">
        <w:rPr>
          <w:rFonts w:ascii="Times New Roman" w:hAnsi="Times New Roman" w:cs="Times New Roman"/>
          <w:bCs/>
          <w:sz w:val="24"/>
          <w:szCs w:val="24"/>
        </w:rPr>
        <w:t xml:space="preserve"> </w:t>
      </w:r>
      <w:r>
        <w:rPr>
          <w:rFonts w:ascii="Times New Roman" w:hAnsi="Times New Roman" w:cs="Times New Roman"/>
          <w:bCs/>
          <w:sz w:val="24"/>
          <w:szCs w:val="24"/>
        </w:rPr>
        <w:t>that where there is a</w:t>
      </w:r>
      <w:r w:rsidRPr="003E10F9">
        <w:rPr>
          <w:rFonts w:ascii="Times New Roman" w:hAnsi="Times New Roman" w:cs="Times New Roman"/>
          <w:bCs/>
          <w:sz w:val="24"/>
          <w:szCs w:val="24"/>
        </w:rPr>
        <w:t xml:space="preserve"> requirement to give information in writing under a law of the Commonwealth</w:t>
      </w:r>
      <w:r>
        <w:rPr>
          <w:rFonts w:ascii="Times New Roman" w:hAnsi="Times New Roman" w:cs="Times New Roman"/>
          <w:bCs/>
          <w:sz w:val="24"/>
          <w:szCs w:val="24"/>
        </w:rPr>
        <w:t>, this information may be given using electronic means</w:t>
      </w:r>
      <w:r w:rsidRPr="003E10F9">
        <w:rPr>
          <w:rFonts w:ascii="Times New Roman" w:hAnsi="Times New Roman" w:cs="Times New Roman"/>
          <w:bCs/>
          <w:sz w:val="24"/>
          <w:szCs w:val="24"/>
        </w:rPr>
        <w:t xml:space="preserve">. Paragraphs 9(1)(d) and 9(2)(d) require a person to consent to information being given by way of electronic communication. Subsection 9(3) of the Electronic Transactions Act provides an exemption from the requirements in paragraphs </w:t>
      </w:r>
      <w:bookmarkStart w:id="0" w:name="_GoBack"/>
      <w:r w:rsidRPr="003E10F9">
        <w:rPr>
          <w:rFonts w:ascii="Times New Roman" w:hAnsi="Times New Roman" w:cs="Times New Roman"/>
          <w:bCs/>
          <w:sz w:val="24"/>
          <w:szCs w:val="24"/>
        </w:rPr>
        <w:t>9(1)</w:t>
      </w:r>
      <w:bookmarkEnd w:id="0"/>
      <w:r w:rsidRPr="003E10F9">
        <w:rPr>
          <w:rFonts w:ascii="Times New Roman" w:hAnsi="Times New Roman" w:cs="Times New Roman"/>
          <w:bCs/>
          <w:sz w:val="24"/>
          <w:szCs w:val="24"/>
        </w:rPr>
        <w:t xml:space="preserve">(d) and 9(2)(d) for any law of the Commonwealth that makes provision for or in relation </w:t>
      </w:r>
      <w:r w:rsidRPr="003E10F9">
        <w:rPr>
          <w:rFonts w:ascii="Times New Roman" w:hAnsi="Times New Roman" w:cs="Times New Roman"/>
          <w:bCs/>
          <w:sz w:val="24"/>
          <w:szCs w:val="24"/>
        </w:rPr>
        <w:lastRenderedPageBreak/>
        <w:t>to requiring or permitting information to be given in accordance with particular information technology requirements.</w:t>
      </w:r>
    </w:p>
    <w:p w14:paraId="381A59C7" w14:textId="52DAF646" w:rsidR="00023241" w:rsidRPr="003E10F9" w:rsidRDefault="00023241" w:rsidP="008C49E1">
      <w:pPr>
        <w:spacing w:line="240" w:lineRule="auto"/>
        <w:rPr>
          <w:rFonts w:ascii="Times New Roman" w:hAnsi="Times New Roman" w:cs="Times New Roman"/>
          <w:bCs/>
          <w:sz w:val="24"/>
          <w:szCs w:val="24"/>
        </w:rPr>
      </w:pPr>
      <w:r w:rsidRPr="003E10F9">
        <w:rPr>
          <w:rFonts w:ascii="Times New Roman" w:hAnsi="Times New Roman" w:cs="Times New Roman"/>
          <w:bCs/>
          <w:sz w:val="24"/>
          <w:szCs w:val="24"/>
        </w:rPr>
        <w:t xml:space="preserve">The </w:t>
      </w:r>
      <w:r>
        <w:rPr>
          <w:rFonts w:ascii="Times New Roman" w:hAnsi="Times New Roman" w:cs="Times New Roman"/>
          <w:bCs/>
          <w:sz w:val="24"/>
          <w:szCs w:val="24"/>
        </w:rPr>
        <w:t>n</w:t>
      </w:r>
      <w:r w:rsidRPr="003E10F9">
        <w:rPr>
          <w:rFonts w:ascii="Times New Roman" w:hAnsi="Times New Roman" w:cs="Times New Roman"/>
          <w:bCs/>
          <w:sz w:val="24"/>
          <w:szCs w:val="24"/>
        </w:rPr>
        <w:t>ote beneath subparagraph 102</w:t>
      </w:r>
      <w:r>
        <w:rPr>
          <w:rFonts w:ascii="Times New Roman" w:hAnsi="Times New Roman" w:cs="Times New Roman"/>
          <w:bCs/>
          <w:sz w:val="24"/>
          <w:szCs w:val="24"/>
        </w:rPr>
        <w:t>(1)</w:t>
      </w:r>
      <w:r w:rsidRPr="003E10F9">
        <w:rPr>
          <w:rFonts w:ascii="Times New Roman" w:hAnsi="Times New Roman" w:cs="Times New Roman"/>
          <w:bCs/>
          <w:sz w:val="24"/>
          <w:szCs w:val="24"/>
        </w:rPr>
        <w:t xml:space="preserve">(d)(ii) </w:t>
      </w:r>
      <w:r>
        <w:rPr>
          <w:rFonts w:ascii="Times New Roman" w:hAnsi="Times New Roman" w:cs="Times New Roman"/>
          <w:bCs/>
          <w:sz w:val="24"/>
          <w:szCs w:val="24"/>
        </w:rPr>
        <w:t>would</w:t>
      </w:r>
      <w:r w:rsidRPr="003E10F9">
        <w:rPr>
          <w:rFonts w:ascii="Times New Roman" w:hAnsi="Times New Roman" w:cs="Times New Roman"/>
          <w:bCs/>
          <w:sz w:val="24"/>
          <w:szCs w:val="24"/>
        </w:rPr>
        <w:t xml:space="preserve"> </w:t>
      </w:r>
      <w:r w:rsidRPr="003E10F9">
        <w:rPr>
          <w:rFonts w:ascii="Times New Roman" w:hAnsi="Times New Roman" w:cs="Times New Roman"/>
          <w:bCs/>
          <w:sz w:val="24"/>
          <w:szCs w:val="24"/>
        </w:rPr>
        <w:t>clarif</w:t>
      </w:r>
      <w:r w:rsidRPr="003E10F9">
        <w:rPr>
          <w:rFonts w:ascii="Times New Roman" w:hAnsi="Times New Roman" w:cs="Times New Roman"/>
          <w:bCs/>
          <w:sz w:val="24"/>
          <w:szCs w:val="24"/>
        </w:rPr>
        <w:t>y</w:t>
      </w:r>
      <w:r w:rsidRPr="003E10F9">
        <w:rPr>
          <w:rFonts w:ascii="Times New Roman" w:hAnsi="Times New Roman" w:cs="Times New Roman"/>
          <w:bCs/>
          <w:sz w:val="24"/>
          <w:szCs w:val="24"/>
        </w:rPr>
        <w:t xml:space="preserve"> that paragraph (d) of subsection 102(1) is clearly intended to operate within the exemption provided by subsection 9(3) of the Electronic Transactions Act</w:t>
      </w:r>
      <w:r>
        <w:rPr>
          <w:rFonts w:ascii="Times New Roman" w:hAnsi="Times New Roman" w:cs="Times New Roman"/>
          <w:bCs/>
          <w:sz w:val="24"/>
          <w:szCs w:val="24"/>
        </w:rPr>
        <w:t>.</w:t>
      </w:r>
      <w:r w:rsidRPr="003E10F9">
        <w:rPr>
          <w:rFonts w:ascii="Times New Roman" w:hAnsi="Times New Roman" w:cs="Times New Roman"/>
          <w:bCs/>
          <w:sz w:val="24"/>
          <w:szCs w:val="24"/>
        </w:rPr>
        <w:t xml:space="preserve"> </w:t>
      </w:r>
    </w:p>
    <w:p w14:paraId="65F2FB6F" w14:textId="3526BD5D" w:rsidR="00023241" w:rsidRPr="003E10F9" w:rsidRDefault="00023241" w:rsidP="008C49E1">
      <w:pPr>
        <w:spacing w:line="240" w:lineRule="auto"/>
        <w:rPr>
          <w:rFonts w:ascii="Times New Roman" w:hAnsi="Times New Roman" w:cs="Times New Roman"/>
          <w:bCs/>
          <w:sz w:val="24"/>
          <w:szCs w:val="24"/>
        </w:rPr>
      </w:pPr>
      <w:r w:rsidRPr="003E10F9">
        <w:rPr>
          <w:rFonts w:ascii="Times New Roman" w:hAnsi="Times New Roman" w:cs="Times New Roman"/>
          <w:bCs/>
          <w:sz w:val="24"/>
          <w:szCs w:val="24"/>
        </w:rPr>
        <w:t xml:space="preserve">Subsection 102(3) </w:t>
      </w:r>
      <w:r>
        <w:rPr>
          <w:rFonts w:ascii="Times New Roman" w:hAnsi="Times New Roman" w:cs="Times New Roman"/>
          <w:bCs/>
          <w:sz w:val="24"/>
          <w:szCs w:val="24"/>
        </w:rPr>
        <w:t>would</w:t>
      </w:r>
      <w:r w:rsidRPr="003E10F9">
        <w:rPr>
          <w:rFonts w:ascii="Times New Roman" w:hAnsi="Times New Roman" w:cs="Times New Roman"/>
          <w:bCs/>
          <w:sz w:val="24"/>
          <w:szCs w:val="24"/>
        </w:rPr>
        <w:t xml:space="preserve"> </w:t>
      </w:r>
      <w:r w:rsidRPr="003E10F9">
        <w:rPr>
          <w:rFonts w:ascii="Times New Roman" w:hAnsi="Times New Roman" w:cs="Times New Roman"/>
          <w:bCs/>
          <w:sz w:val="24"/>
          <w:szCs w:val="24"/>
        </w:rPr>
        <w:t xml:space="preserve">prescribe the information technology requirements where a document is required or permitted by the Act or Regulations to be given to, sent to or served on a person by electronic communication. The subsection provides that documents must be sent in a particular form (listed in paragraph 102(3)(b)), be similar to those formats, or readily convertible into those formats. </w:t>
      </w:r>
    </w:p>
    <w:p w14:paraId="35A4D0DA" w14:textId="77777777" w:rsidR="00023241" w:rsidRPr="003E10F9" w:rsidRDefault="00023241" w:rsidP="008C49E1">
      <w:pPr>
        <w:spacing w:line="240" w:lineRule="auto"/>
        <w:rPr>
          <w:rFonts w:ascii="Times New Roman" w:hAnsi="Times New Roman" w:cs="Times New Roman"/>
          <w:b/>
          <w:bCs/>
          <w:sz w:val="24"/>
          <w:szCs w:val="24"/>
        </w:rPr>
      </w:pPr>
      <w:r w:rsidRPr="003E10F9">
        <w:rPr>
          <w:rFonts w:ascii="Times New Roman" w:hAnsi="Times New Roman" w:cs="Times New Roman"/>
          <w:b/>
          <w:bCs/>
          <w:sz w:val="24"/>
          <w:szCs w:val="24"/>
        </w:rPr>
        <w:t xml:space="preserve">Item </w:t>
      </w:r>
      <w:r>
        <w:rPr>
          <w:rFonts w:ascii="Times New Roman" w:hAnsi="Times New Roman" w:cs="Times New Roman"/>
          <w:b/>
          <w:bCs/>
          <w:sz w:val="24"/>
          <w:szCs w:val="24"/>
        </w:rPr>
        <w:t>[5]</w:t>
      </w:r>
      <w:r w:rsidRPr="003E10F9">
        <w:rPr>
          <w:rFonts w:ascii="Times New Roman" w:hAnsi="Times New Roman" w:cs="Times New Roman"/>
          <w:b/>
          <w:bCs/>
          <w:sz w:val="24"/>
          <w:szCs w:val="24"/>
        </w:rPr>
        <w:t xml:space="preserve"> – </w:t>
      </w:r>
      <w:r>
        <w:rPr>
          <w:rFonts w:ascii="Times New Roman" w:hAnsi="Times New Roman" w:cs="Times New Roman"/>
          <w:b/>
          <w:bCs/>
          <w:sz w:val="24"/>
          <w:szCs w:val="24"/>
        </w:rPr>
        <w:t xml:space="preserve">At the end of </w:t>
      </w:r>
      <w:r w:rsidRPr="003E10F9">
        <w:rPr>
          <w:rFonts w:ascii="Times New Roman" w:hAnsi="Times New Roman" w:cs="Times New Roman"/>
          <w:b/>
          <w:bCs/>
          <w:sz w:val="24"/>
          <w:szCs w:val="24"/>
        </w:rPr>
        <w:t>Part 17</w:t>
      </w:r>
    </w:p>
    <w:p w14:paraId="0EED1AE2" w14:textId="2A3B5BC6" w:rsidR="00023241" w:rsidRDefault="00023241">
      <w:r w:rsidRPr="003E10F9">
        <w:rPr>
          <w:rFonts w:ascii="Times New Roman" w:hAnsi="Times New Roman" w:cs="Times New Roman"/>
          <w:bCs/>
          <w:sz w:val="24"/>
          <w:szCs w:val="24"/>
        </w:rPr>
        <w:t xml:space="preserve">This item </w:t>
      </w:r>
      <w:r>
        <w:rPr>
          <w:rFonts w:ascii="Times New Roman" w:hAnsi="Times New Roman" w:cs="Times New Roman"/>
          <w:bCs/>
          <w:sz w:val="24"/>
          <w:szCs w:val="24"/>
        </w:rPr>
        <w:t>would</w:t>
      </w:r>
      <w:r w:rsidRPr="003E10F9">
        <w:rPr>
          <w:rFonts w:ascii="Times New Roman" w:hAnsi="Times New Roman" w:cs="Times New Roman"/>
          <w:bCs/>
          <w:sz w:val="24"/>
          <w:szCs w:val="24"/>
        </w:rPr>
        <w:t xml:space="preserve"> </w:t>
      </w:r>
      <w:r w:rsidRPr="003E10F9">
        <w:rPr>
          <w:rFonts w:ascii="Times New Roman" w:hAnsi="Times New Roman" w:cs="Times New Roman"/>
          <w:bCs/>
          <w:sz w:val="24"/>
          <w:szCs w:val="24"/>
        </w:rPr>
        <w:t>insert a new section at the end of Part 17 t</w:t>
      </w:r>
      <w:r>
        <w:rPr>
          <w:rFonts w:ascii="Times New Roman" w:hAnsi="Times New Roman" w:cs="Times New Roman"/>
          <w:bCs/>
          <w:sz w:val="24"/>
          <w:szCs w:val="24"/>
        </w:rPr>
        <w:t xml:space="preserve">o </w:t>
      </w:r>
      <w:r w:rsidRPr="003E10F9">
        <w:rPr>
          <w:rFonts w:ascii="Times New Roman" w:hAnsi="Times New Roman" w:cs="Times New Roman"/>
          <w:bCs/>
          <w:sz w:val="24"/>
          <w:szCs w:val="24"/>
        </w:rPr>
        <w:t xml:space="preserve">provide for the transitional provisions for section 102, as substituted by Schedule 1 to the </w:t>
      </w:r>
      <w:r w:rsidRPr="003E10F9">
        <w:rPr>
          <w:rFonts w:ascii="Times New Roman" w:hAnsi="Times New Roman" w:cs="Times New Roman"/>
          <w:bCs/>
          <w:i/>
          <w:sz w:val="24"/>
          <w:szCs w:val="24"/>
        </w:rPr>
        <w:t>Bankruptcy Amendment (Electronic Service) Regulations 2024</w:t>
      </w:r>
      <w:r w:rsidRPr="003E10F9">
        <w:rPr>
          <w:rFonts w:ascii="Times New Roman" w:hAnsi="Times New Roman" w:cs="Times New Roman"/>
          <w:bCs/>
          <w:sz w:val="24"/>
          <w:szCs w:val="24"/>
        </w:rPr>
        <w:t>. The instrument applies to documents given, sent or served on a person after the commencement of this instrument.</w:t>
      </w:r>
    </w:p>
    <w:p w14:paraId="4C41C6B0" w14:textId="77777777" w:rsidR="00F16C04" w:rsidRPr="00F16C04" w:rsidRDefault="00F16C04" w:rsidP="00C06A89">
      <w:pPr>
        <w:spacing w:line="360" w:lineRule="auto"/>
        <w:rPr>
          <w:rFonts w:ascii="Times New Roman" w:hAnsi="Times New Roman" w:cs="Times New Roman"/>
          <w:bCs/>
        </w:rPr>
      </w:pPr>
    </w:p>
    <w:p w14:paraId="13A64771" w14:textId="7AB501AE" w:rsidR="00AA6A59" w:rsidRPr="00765A24" w:rsidRDefault="00AA6A59">
      <w:pPr>
        <w:spacing w:line="360" w:lineRule="auto"/>
        <w:rPr>
          <w:rFonts w:ascii="Times New Roman" w:hAnsi="Times New Roman" w:cs="Times New Roman"/>
          <w:bCs/>
        </w:rPr>
      </w:pPr>
    </w:p>
    <w:sectPr w:rsidR="00AA6A59" w:rsidRPr="00765A2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11F24" w14:textId="77777777" w:rsidR="007C022A" w:rsidRDefault="007C022A" w:rsidP="0002636A">
      <w:pPr>
        <w:spacing w:after="0" w:line="240" w:lineRule="auto"/>
      </w:pPr>
      <w:r>
        <w:separator/>
      </w:r>
    </w:p>
  </w:endnote>
  <w:endnote w:type="continuationSeparator" w:id="0">
    <w:p w14:paraId="018987C9" w14:textId="77777777" w:rsidR="007C022A" w:rsidRDefault="007C022A"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4554"/>
      <w:docPartObj>
        <w:docPartGallery w:val="Page Numbers (Bottom of Page)"/>
        <w:docPartUnique/>
      </w:docPartObj>
    </w:sdtPr>
    <w:sdtEndPr>
      <w:rPr>
        <w:noProof/>
      </w:rPr>
    </w:sdtEndPr>
    <w:sdtContent>
      <w:p w14:paraId="09BFDD04" w14:textId="77777777" w:rsidR="0002636A" w:rsidRDefault="0002636A">
        <w:pPr>
          <w:pStyle w:val="Footer"/>
          <w:jc w:val="right"/>
        </w:pPr>
        <w:r>
          <w:fldChar w:fldCharType="begin"/>
        </w:r>
        <w:r>
          <w:instrText xml:space="preserve"> PAGE   \* MERGEFORMAT </w:instrText>
        </w:r>
        <w:r>
          <w:fldChar w:fldCharType="separate"/>
        </w:r>
        <w:r w:rsidR="005E2C79">
          <w:rPr>
            <w:noProof/>
          </w:rPr>
          <w:t>1</w:t>
        </w:r>
        <w:r>
          <w:rPr>
            <w:noProof/>
          </w:rPr>
          <w:fldChar w:fldCharType="end"/>
        </w:r>
      </w:p>
    </w:sdtContent>
  </w:sdt>
  <w:p w14:paraId="09BFDD05" w14:textId="77777777" w:rsidR="0002636A" w:rsidRDefault="00026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2EEFC" w14:textId="77777777" w:rsidR="007C022A" w:rsidRDefault="007C022A" w:rsidP="0002636A">
      <w:pPr>
        <w:spacing w:after="0" w:line="240" w:lineRule="auto"/>
      </w:pPr>
      <w:r>
        <w:separator/>
      </w:r>
    </w:p>
  </w:footnote>
  <w:footnote w:type="continuationSeparator" w:id="0">
    <w:p w14:paraId="6535C6CD" w14:textId="77777777" w:rsidR="007C022A" w:rsidRDefault="007C022A" w:rsidP="00026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974C90"/>
    <w:multiLevelType w:val="hybridMultilevel"/>
    <w:tmpl w:val="E2380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B6D14BB"/>
    <w:multiLevelType w:val="hybridMultilevel"/>
    <w:tmpl w:val="D8B40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8"/>
  </w:num>
  <w:num w:numId="4">
    <w:abstractNumId w:val="13"/>
  </w:num>
  <w:num w:numId="5">
    <w:abstractNumId w:val="2"/>
  </w:num>
  <w:num w:numId="6">
    <w:abstractNumId w:val="14"/>
  </w:num>
  <w:num w:numId="7">
    <w:abstractNumId w:val="0"/>
  </w:num>
  <w:num w:numId="8">
    <w:abstractNumId w:val="7"/>
  </w:num>
  <w:num w:numId="9">
    <w:abstractNumId w:val="3"/>
  </w:num>
  <w:num w:numId="10">
    <w:abstractNumId w:val="11"/>
  </w:num>
  <w:num w:numId="11">
    <w:abstractNumId w:val="10"/>
  </w:num>
  <w:num w:numId="12">
    <w:abstractNumId w:val="9"/>
  </w:num>
  <w:num w:numId="13">
    <w:abstractNumId w:val="4"/>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69"/>
    <w:rsid w:val="00001A39"/>
    <w:rsid w:val="00012AD6"/>
    <w:rsid w:val="00023241"/>
    <w:rsid w:val="0002636A"/>
    <w:rsid w:val="000415BA"/>
    <w:rsid w:val="00043840"/>
    <w:rsid w:val="000833F3"/>
    <w:rsid w:val="00092565"/>
    <w:rsid w:val="000A66BD"/>
    <w:rsid w:val="000C4759"/>
    <w:rsid w:val="000E1EA1"/>
    <w:rsid w:val="000E2C80"/>
    <w:rsid w:val="000F0FB1"/>
    <w:rsid w:val="0010364C"/>
    <w:rsid w:val="00106CBA"/>
    <w:rsid w:val="00115A48"/>
    <w:rsid w:val="00132863"/>
    <w:rsid w:val="00136369"/>
    <w:rsid w:val="001469C7"/>
    <w:rsid w:val="00146D77"/>
    <w:rsid w:val="0017632E"/>
    <w:rsid w:val="00183178"/>
    <w:rsid w:val="00186EFA"/>
    <w:rsid w:val="00195A18"/>
    <w:rsid w:val="001C4696"/>
    <w:rsid w:val="001C5E42"/>
    <w:rsid w:val="001D3031"/>
    <w:rsid w:val="001D7121"/>
    <w:rsid w:val="001F2905"/>
    <w:rsid w:val="00260106"/>
    <w:rsid w:val="0026109C"/>
    <w:rsid w:val="00262B9E"/>
    <w:rsid w:val="0027760E"/>
    <w:rsid w:val="002B361E"/>
    <w:rsid w:val="002C5B76"/>
    <w:rsid w:val="002E2783"/>
    <w:rsid w:val="00316B5D"/>
    <w:rsid w:val="003516FD"/>
    <w:rsid w:val="00362E1E"/>
    <w:rsid w:val="00381AEC"/>
    <w:rsid w:val="00383CCB"/>
    <w:rsid w:val="003A47EF"/>
    <w:rsid w:val="003B6050"/>
    <w:rsid w:val="003C6789"/>
    <w:rsid w:val="003D4924"/>
    <w:rsid w:val="00407EC7"/>
    <w:rsid w:val="0041162F"/>
    <w:rsid w:val="00425816"/>
    <w:rsid w:val="004518A4"/>
    <w:rsid w:val="004709FE"/>
    <w:rsid w:val="0049094A"/>
    <w:rsid w:val="004946B6"/>
    <w:rsid w:val="004A0438"/>
    <w:rsid w:val="004A4086"/>
    <w:rsid w:val="004B3C03"/>
    <w:rsid w:val="004C0109"/>
    <w:rsid w:val="004C5655"/>
    <w:rsid w:val="004F430F"/>
    <w:rsid w:val="0050398F"/>
    <w:rsid w:val="00521029"/>
    <w:rsid w:val="0054096A"/>
    <w:rsid w:val="005533BF"/>
    <w:rsid w:val="00566C9B"/>
    <w:rsid w:val="005C62C9"/>
    <w:rsid w:val="005D194A"/>
    <w:rsid w:val="005D3B7B"/>
    <w:rsid w:val="005E2C79"/>
    <w:rsid w:val="00600088"/>
    <w:rsid w:val="0063239B"/>
    <w:rsid w:val="00634AE9"/>
    <w:rsid w:val="00635C6A"/>
    <w:rsid w:val="00664C81"/>
    <w:rsid w:val="00670C8D"/>
    <w:rsid w:val="00674543"/>
    <w:rsid w:val="0069117E"/>
    <w:rsid w:val="006B598F"/>
    <w:rsid w:val="00707680"/>
    <w:rsid w:val="00765A24"/>
    <w:rsid w:val="00766106"/>
    <w:rsid w:val="00780E09"/>
    <w:rsid w:val="007B7195"/>
    <w:rsid w:val="007C022A"/>
    <w:rsid w:val="007C0E17"/>
    <w:rsid w:val="007F065B"/>
    <w:rsid w:val="007F1D53"/>
    <w:rsid w:val="00802CE1"/>
    <w:rsid w:val="00872B27"/>
    <w:rsid w:val="00894D9D"/>
    <w:rsid w:val="00895358"/>
    <w:rsid w:val="008B2955"/>
    <w:rsid w:val="008C49E1"/>
    <w:rsid w:val="008F05D3"/>
    <w:rsid w:val="00902F3D"/>
    <w:rsid w:val="00911332"/>
    <w:rsid w:val="009227B6"/>
    <w:rsid w:val="0095220D"/>
    <w:rsid w:val="009572D7"/>
    <w:rsid w:val="00957401"/>
    <w:rsid w:val="009601BB"/>
    <w:rsid w:val="009B1F88"/>
    <w:rsid w:val="009B6322"/>
    <w:rsid w:val="009C0BE2"/>
    <w:rsid w:val="009D2B82"/>
    <w:rsid w:val="009D3A8C"/>
    <w:rsid w:val="00A14628"/>
    <w:rsid w:val="00A42F5D"/>
    <w:rsid w:val="00A75A42"/>
    <w:rsid w:val="00A85158"/>
    <w:rsid w:val="00AA4A11"/>
    <w:rsid w:val="00AA6A59"/>
    <w:rsid w:val="00AB3F89"/>
    <w:rsid w:val="00AB5400"/>
    <w:rsid w:val="00AC39E5"/>
    <w:rsid w:val="00AD2C80"/>
    <w:rsid w:val="00AF0C63"/>
    <w:rsid w:val="00AF673F"/>
    <w:rsid w:val="00B273E1"/>
    <w:rsid w:val="00B427D5"/>
    <w:rsid w:val="00B57503"/>
    <w:rsid w:val="00B828BC"/>
    <w:rsid w:val="00BA1BC6"/>
    <w:rsid w:val="00BA3F3C"/>
    <w:rsid w:val="00BB092B"/>
    <w:rsid w:val="00BE74CE"/>
    <w:rsid w:val="00C0469C"/>
    <w:rsid w:val="00C06A89"/>
    <w:rsid w:val="00C11F16"/>
    <w:rsid w:val="00C16B35"/>
    <w:rsid w:val="00C858F4"/>
    <w:rsid w:val="00C939C9"/>
    <w:rsid w:val="00CC09D5"/>
    <w:rsid w:val="00CE6485"/>
    <w:rsid w:val="00CF14E3"/>
    <w:rsid w:val="00CF4DCE"/>
    <w:rsid w:val="00D51A2A"/>
    <w:rsid w:val="00D71D52"/>
    <w:rsid w:val="00D801E1"/>
    <w:rsid w:val="00DB2DA6"/>
    <w:rsid w:val="00DB54AF"/>
    <w:rsid w:val="00DD20A8"/>
    <w:rsid w:val="00E23B2F"/>
    <w:rsid w:val="00E33577"/>
    <w:rsid w:val="00E44073"/>
    <w:rsid w:val="00E81349"/>
    <w:rsid w:val="00ED357E"/>
    <w:rsid w:val="00F04AFC"/>
    <w:rsid w:val="00F10A91"/>
    <w:rsid w:val="00F11561"/>
    <w:rsid w:val="00F16C04"/>
    <w:rsid w:val="00F26896"/>
    <w:rsid w:val="00F33269"/>
    <w:rsid w:val="00F769DC"/>
    <w:rsid w:val="00FA0C8F"/>
    <w:rsid w:val="00FF6CAD"/>
    <w:rsid w:val="797FDF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aliases w:val="Recommendation,L,List Paragraph1,List Paragraph11,CV text,Table text,F5 List Paragraph,Dot pt,List Paragraph111,Medium Grid 1 - Accent 21,List Paragraph2,NFP GP Bulleted List,FooterText,numbered,Paragraphe de liste1,列出段,List Bullet Cab"/>
    <w:basedOn w:val="Normal"/>
    <w:link w:val="ListParagraphChar"/>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paragraph" w:customStyle="1" w:styleId="ActHead9">
    <w:name w:val="ActHead 9"/>
    <w:aliases w:val="aat"/>
    <w:basedOn w:val="Normal"/>
    <w:next w:val="Normal"/>
    <w:qFormat/>
    <w:rsid w:val="00C06A8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ItemHead">
    <w:name w:val="ItemHead"/>
    <w:aliases w:val="ih"/>
    <w:basedOn w:val="Normal"/>
    <w:next w:val="Normal"/>
    <w:rsid w:val="00C06A89"/>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Celltext">
    <w:name w:val="Cell text"/>
    <w:basedOn w:val="Normal"/>
    <w:rsid w:val="00AA4A11"/>
    <w:pPr>
      <w:spacing w:before="120" w:after="0" w:line="240" w:lineRule="auto"/>
    </w:pPr>
    <w:rPr>
      <w:rFonts w:ascii="Times New Roman" w:eastAsia="Times New Roman" w:hAnsi="Times New Roman" w:cs="Times New Roman"/>
      <w:sz w:val="24"/>
      <w:szCs w:val="20"/>
      <w:lang w:eastAsia="en-AU"/>
    </w:rPr>
  </w:style>
  <w:style w:type="character" w:customStyle="1" w:styleId="ListParagraphChar">
    <w:name w:val="List Paragraph Char"/>
    <w:aliases w:val="Recommendation Char,L Char,List Paragraph1 Char,List Paragraph11 Char,CV text Char,Table text Char,F5 List Paragraph Char,Dot pt Char,List Paragraph111 Char,Medium Grid 1 - Accent 21 Char,List Paragraph2 Char,FooterText Char,列出段 Char"/>
    <w:link w:val="ListParagraph"/>
    <w:uiPriority w:val="34"/>
    <w:locked/>
    <w:rsid w:val="009D3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49621">
      <w:bodyDiv w:val="1"/>
      <w:marLeft w:val="0"/>
      <w:marRight w:val="0"/>
      <w:marTop w:val="0"/>
      <w:marBottom w:val="0"/>
      <w:divBdr>
        <w:top w:val="none" w:sz="0" w:space="0" w:color="auto"/>
        <w:left w:val="none" w:sz="0" w:space="0" w:color="auto"/>
        <w:bottom w:val="none" w:sz="0" w:space="0" w:color="auto"/>
        <w:right w:val="none" w:sz="0" w:space="0" w:color="auto"/>
      </w:divBdr>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131341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95CFED90-F8DE-40CD-B9E7-2578807784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7C066839516904787BFFB76A669CDED" ma:contentTypeVersion="" ma:contentTypeDescription="PDMS Document Site Content Type" ma:contentTypeScope="" ma:versionID="29a34088c3eb65e479b78a35f5bfec7f">
  <xsd:schema xmlns:xsd="http://www.w3.org/2001/XMLSchema" xmlns:xs="http://www.w3.org/2001/XMLSchema" xmlns:p="http://schemas.microsoft.com/office/2006/metadata/properties" xmlns:ns2="95CFED90-F8DE-40CD-B9E7-257880778438" targetNamespace="http://schemas.microsoft.com/office/2006/metadata/properties" ma:root="true" ma:fieldsID="2373b2e83da9a7732df639aa2934ff09" ns2:_="">
    <xsd:import namespace="95CFED90-F8DE-40CD-B9E7-25788077843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FED90-F8DE-40CD-B9E7-25788077843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 ds:uri="95CFED90-F8DE-40CD-B9E7-257880778438"/>
  </ds:schemaRefs>
</ds:datastoreItem>
</file>

<file path=customXml/itemProps2.xml><?xml version="1.0" encoding="utf-8"?>
<ds:datastoreItem xmlns:ds="http://schemas.openxmlformats.org/officeDocument/2006/customXml" ds:itemID="{3865C481-D70F-4D2D-B449-922E20EFF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FED90-F8DE-40CD-B9E7-257880778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4.xml><?xml version="1.0" encoding="utf-8"?>
<ds:datastoreItem xmlns:ds="http://schemas.openxmlformats.org/officeDocument/2006/customXml" ds:itemID="{67365984-CBCB-4281-B859-B300BEF70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Johnson, Bronwyn</cp:lastModifiedBy>
  <cp:revision>4</cp:revision>
  <dcterms:created xsi:type="dcterms:W3CDTF">2024-12-12T03:28:00Z</dcterms:created>
  <dcterms:modified xsi:type="dcterms:W3CDTF">2024-12-13T03:30:00Z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0x010100266966F133664895A6EE3632470D45F500B7C066839516904787BFFB76A669CDED</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