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A9336" w14:textId="77777777" w:rsidR="0024360E" w:rsidRPr="00FD6D87" w:rsidRDefault="0024360E">
      <w:pPr>
        <w:spacing w:before="0"/>
        <w:ind w:right="40"/>
        <w:jc w:val="center"/>
        <w:rPr>
          <w:b/>
          <w:bCs/>
          <w:u w:val="single"/>
        </w:rPr>
      </w:pPr>
      <w:r w:rsidRPr="00FD6D87">
        <w:rPr>
          <w:b/>
          <w:bCs/>
          <w:u w:val="single"/>
        </w:rPr>
        <w:t>EXPLANATORY STATEMENT</w:t>
      </w:r>
    </w:p>
    <w:p w14:paraId="759E6D49" w14:textId="77777777" w:rsidR="0024360E" w:rsidRPr="00FD6D87" w:rsidRDefault="0024360E">
      <w:pPr>
        <w:spacing w:before="0"/>
        <w:ind w:right="40"/>
        <w:jc w:val="center"/>
        <w:rPr>
          <w:b/>
          <w:bCs/>
          <w:u w:val="single"/>
        </w:rPr>
      </w:pPr>
    </w:p>
    <w:p w14:paraId="59D36E39" w14:textId="77777777" w:rsidR="0024360E" w:rsidRPr="00FD6D87" w:rsidRDefault="0024360E" w:rsidP="00B2211F">
      <w:pPr>
        <w:spacing w:before="0"/>
        <w:jc w:val="center"/>
      </w:pPr>
      <w:r w:rsidRPr="00FD6D87">
        <w:t xml:space="preserve">Issued by the Minister for </w:t>
      </w:r>
      <w:r w:rsidR="00440B5D" w:rsidRPr="00FD6D87">
        <w:t>Immigration and Multicultural Affairs</w:t>
      </w:r>
    </w:p>
    <w:p w14:paraId="1F385F58" w14:textId="77777777" w:rsidR="00B2211F" w:rsidRPr="00FD6D87" w:rsidRDefault="00B2211F">
      <w:pPr>
        <w:spacing w:before="0"/>
        <w:ind w:right="40"/>
        <w:jc w:val="center"/>
        <w:rPr>
          <w:i/>
          <w:iCs/>
        </w:rPr>
      </w:pPr>
    </w:p>
    <w:p w14:paraId="50AE7641" w14:textId="5F9F10DA" w:rsidR="0024360E" w:rsidRPr="00C93C85" w:rsidRDefault="00C93C85">
      <w:pPr>
        <w:spacing w:before="0"/>
        <w:ind w:right="40"/>
        <w:jc w:val="center"/>
        <w:rPr>
          <w:i/>
          <w:iCs/>
        </w:rPr>
      </w:pPr>
      <w:r w:rsidRPr="00C93C85">
        <w:rPr>
          <w:i/>
          <w:iCs/>
        </w:rPr>
        <w:t>Migration (Skilling Australians Charges) Act 2018</w:t>
      </w:r>
    </w:p>
    <w:p w14:paraId="4FFB79CC" w14:textId="2191846D" w:rsidR="00B8002B" w:rsidRPr="00C93C85" w:rsidRDefault="00B8002B" w:rsidP="00FD086E">
      <w:pPr>
        <w:jc w:val="center"/>
        <w:rPr>
          <w:i/>
        </w:rPr>
      </w:pPr>
      <w:r w:rsidRPr="00C93C85">
        <w:rPr>
          <w:i/>
        </w:rPr>
        <w:t xml:space="preserve">Migration </w:t>
      </w:r>
      <w:r w:rsidR="00001EEA" w:rsidRPr="00C93C85">
        <w:rPr>
          <w:i/>
        </w:rPr>
        <w:t xml:space="preserve">(Skilling Australians Fund) Charges Amendment (Subclass 482 (Skills in Demand) Visa) </w:t>
      </w:r>
      <w:r w:rsidRPr="00C93C85">
        <w:rPr>
          <w:i/>
        </w:rPr>
        <w:t>Regulations 2024</w:t>
      </w:r>
    </w:p>
    <w:p w14:paraId="52E332A2" w14:textId="2ED06F32" w:rsidR="00001EEA" w:rsidRPr="00C93C85" w:rsidRDefault="00001EEA" w:rsidP="00001EEA">
      <w:pPr>
        <w:spacing w:before="100" w:beforeAutospacing="1" w:after="100"/>
      </w:pPr>
      <w:r w:rsidRPr="00C93C85">
        <w:rPr>
          <w:rFonts w:eastAsia="Times New Roman"/>
        </w:rPr>
        <w:t xml:space="preserve">The </w:t>
      </w:r>
      <w:r w:rsidRPr="00C93C85">
        <w:rPr>
          <w:rFonts w:eastAsia="Times New Roman"/>
          <w:i/>
          <w:iCs/>
        </w:rPr>
        <w:t>Migration (Skilling Australians Fund) Charges Act 2018</w:t>
      </w:r>
      <w:r w:rsidRPr="00C93C85">
        <w:rPr>
          <w:rFonts w:eastAsia="Times New Roman"/>
        </w:rPr>
        <w:t xml:space="preserve"> (the Skilling Australians Fund Act) is an Act relating to the imposition of </w:t>
      </w:r>
      <w:r w:rsidRPr="00C93C85">
        <w:t xml:space="preserve">a nomination training contribution charge payable by persons who are liable to pay the charge under the </w:t>
      </w:r>
      <w:r w:rsidRPr="00C93C85">
        <w:rPr>
          <w:i/>
        </w:rPr>
        <w:t>Migration Act 1958</w:t>
      </w:r>
      <w:r w:rsidRPr="00C93C85">
        <w:t xml:space="preserve"> (the Migration Act) and the </w:t>
      </w:r>
      <w:r w:rsidRPr="00C93C85">
        <w:rPr>
          <w:i/>
        </w:rPr>
        <w:t xml:space="preserve">Migration Regulations 1994 </w:t>
      </w:r>
      <w:r w:rsidRPr="00C93C85">
        <w:t>(the Migration Regulations).</w:t>
      </w:r>
    </w:p>
    <w:p w14:paraId="711A552E" w14:textId="77777777" w:rsidR="00001EEA" w:rsidRPr="00C93C85" w:rsidRDefault="00001EEA" w:rsidP="00001EEA">
      <w:pPr>
        <w:spacing w:before="100" w:beforeAutospacing="1" w:after="100"/>
        <w:rPr>
          <w:rFonts w:eastAsia="Times New Roman"/>
        </w:rPr>
      </w:pPr>
      <w:r w:rsidRPr="00C93C85">
        <w:rPr>
          <w:rFonts w:eastAsia="Times New Roman"/>
        </w:rPr>
        <w:t>The nomination training contribution charge, also known as the Skilling Australians Fund levy, offsets expenditure from the Skilling Australians Fund, a training fund administered by the Department of Employment and Workplace Relations. The purpose of the nomination training contribution charge is for employers to contribute to the broader skills development of Australians. Employers must not pass the charge on to the visa applicant.</w:t>
      </w:r>
    </w:p>
    <w:p w14:paraId="1A42A7DF" w14:textId="77777777" w:rsidR="00001EEA" w:rsidRPr="00C93C85" w:rsidRDefault="00001EEA" w:rsidP="00001EEA">
      <w:pPr>
        <w:spacing w:before="100" w:beforeAutospacing="1" w:after="100"/>
        <w:rPr>
          <w:rFonts w:eastAsia="Times New Roman"/>
        </w:rPr>
      </w:pPr>
      <w:r w:rsidRPr="00C93C85">
        <w:rPr>
          <w:rFonts w:eastAsia="Times New Roman"/>
        </w:rPr>
        <w:t xml:space="preserve">Section 10 of the Skilling Australians Fund Act provides that the Governor-General may make regulations prescribing matters required or permitted to be prescribed, or necessary or convenient to be prescribed, for carrying out or giving effect to the Skilling Australians Fund Act. </w:t>
      </w:r>
    </w:p>
    <w:p w14:paraId="0441FA89" w14:textId="40C8796D" w:rsidR="0055055F" w:rsidRPr="00C93C85" w:rsidRDefault="00001EEA" w:rsidP="00001EEA">
      <w:pPr>
        <w:rPr>
          <w:rFonts w:eastAsia="Times New Roman"/>
        </w:rPr>
      </w:pPr>
      <w:r w:rsidRPr="00C93C85">
        <w:rPr>
          <w:rFonts w:eastAsia="Times New Roman"/>
        </w:rPr>
        <w:t xml:space="preserve">The </w:t>
      </w:r>
      <w:r w:rsidRPr="00C93C85">
        <w:rPr>
          <w:rFonts w:eastAsia="Times New Roman"/>
          <w:i/>
        </w:rPr>
        <w:t>Migration (Skilling Australians Fund) Charges Amendment (Subclass 482 (Skills in Demand) Visa) Regulations 2024</w:t>
      </w:r>
      <w:r w:rsidRPr="00C93C85">
        <w:rPr>
          <w:rFonts w:eastAsia="Times New Roman"/>
        </w:rPr>
        <w:t xml:space="preserve"> (the Amendment Regulations) amend the </w:t>
      </w:r>
      <w:r w:rsidRPr="00C93C85">
        <w:rPr>
          <w:rFonts w:eastAsia="Times New Roman"/>
          <w:i/>
        </w:rPr>
        <w:t>Migration (Skilling Australians Fund) Charges Regulations 2018</w:t>
      </w:r>
      <w:r w:rsidRPr="00C93C85">
        <w:rPr>
          <w:rFonts w:eastAsia="Times New Roman"/>
        </w:rPr>
        <w:t xml:space="preserve"> (the Skilling Australians Fund Regulations) to support amendments </w:t>
      </w:r>
      <w:r w:rsidR="0004455C">
        <w:rPr>
          <w:rFonts w:eastAsia="Times New Roman"/>
        </w:rPr>
        <w:t>of</w:t>
      </w:r>
      <w:r w:rsidRPr="00C93C85">
        <w:rPr>
          <w:rFonts w:eastAsia="Times New Roman"/>
        </w:rPr>
        <w:t xml:space="preserve"> the </w:t>
      </w:r>
      <w:r w:rsidRPr="00800D5F">
        <w:rPr>
          <w:rFonts w:eastAsia="Times New Roman"/>
        </w:rPr>
        <w:t>Migration Regulations</w:t>
      </w:r>
      <w:r w:rsidR="00800D5F">
        <w:rPr>
          <w:rFonts w:eastAsia="Times New Roman"/>
        </w:rPr>
        <w:t xml:space="preserve"> </w:t>
      </w:r>
      <w:r w:rsidRPr="00C93C85">
        <w:rPr>
          <w:rFonts w:eastAsia="Times New Roman"/>
        </w:rPr>
        <w:t xml:space="preserve">made by Part 1 </w:t>
      </w:r>
      <w:r w:rsidR="0004455C">
        <w:rPr>
          <w:rFonts w:eastAsia="Times New Roman"/>
        </w:rPr>
        <w:t xml:space="preserve">of Schedule 1 </w:t>
      </w:r>
      <w:r w:rsidRPr="00C93C85">
        <w:rPr>
          <w:rFonts w:eastAsia="Times New Roman"/>
        </w:rPr>
        <w:t xml:space="preserve">to the </w:t>
      </w:r>
      <w:r w:rsidRPr="00800D5F">
        <w:rPr>
          <w:rFonts w:eastAsia="Times New Roman"/>
          <w:i/>
        </w:rPr>
        <w:t>Migration Amendment (2024 Measures No. 1) Regulations 2024</w:t>
      </w:r>
      <w:r w:rsidR="0004455C">
        <w:rPr>
          <w:rFonts w:eastAsia="Times New Roman"/>
        </w:rPr>
        <w:t xml:space="preserve">. Those Amendment Regulations, </w:t>
      </w:r>
      <w:r w:rsidRPr="00C93C85">
        <w:rPr>
          <w:rFonts w:eastAsia="Times New Roman"/>
        </w:rPr>
        <w:t>among other things</w:t>
      </w:r>
      <w:r w:rsidR="0004455C">
        <w:rPr>
          <w:rFonts w:eastAsia="Times New Roman"/>
        </w:rPr>
        <w:t>,</w:t>
      </w:r>
      <w:r w:rsidRPr="00C93C85">
        <w:rPr>
          <w:rFonts w:eastAsia="Times New Roman"/>
        </w:rPr>
        <w:t xml:space="preserve"> provide that the</w:t>
      </w:r>
      <w:r w:rsidR="0004455C">
        <w:rPr>
          <w:rFonts w:eastAsia="Times New Roman"/>
        </w:rPr>
        <w:t xml:space="preserve"> Subclass</w:t>
      </w:r>
      <w:r w:rsidRPr="00C93C85">
        <w:rPr>
          <w:rFonts w:eastAsia="Times New Roman"/>
        </w:rPr>
        <w:t xml:space="preserve"> 482 (Skills in Demand) visa </w:t>
      </w:r>
      <w:r w:rsidR="00EB784C">
        <w:rPr>
          <w:rFonts w:eastAsia="Times New Roman"/>
        </w:rPr>
        <w:t>replace</w:t>
      </w:r>
      <w:r w:rsidR="0004455C">
        <w:rPr>
          <w:rFonts w:eastAsia="Times New Roman"/>
        </w:rPr>
        <w:t>s</w:t>
      </w:r>
      <w:r w:rsidR="00EB784C">
        <w:rPr>
          <w:rFonts w:eastAsia="Times New Roman"/>
        </w:rPr>
        <w:t xml:space="preserve"> </w:t>
      </w:r>
      <w:r w:rsidRPr="00C93C85">
        <w:rPr>
          <w:rFonts w:eastAsia="Times New Roman"/>
        </w:rPr>
        <w:t>the Subclass 482 (</w:t>
      </w:r>
      <w:r w:rsidR="0055055F">
        <w:rPr>
          <w:rFonts w:eastAsia="Times New Roman"/>
        </w:rPr>
        <w:t>Temporary Skill Shortage) visa.</w:t>
      </w:r>
    </w:p>
    <w:p w14:paraId="56B8648A" w14:textId="70060781" w:rsidR="00001EEA" w:rsidRPr="00C93C85" w:rsidRDefault="00001EEA" w:rsidP="00001EEA">
      <w:pPr>
        <w:rPr>
          <w:rFonts w:eastAsia="Times New Roman"/>
        </w:rPr>
      </w:pPr>
      <w:r w:rsidRPr="00C93C85">
        <w:rPr>
          <w:rFonts w:eastAsia="Times New Roman"/>
        </w:rPr>
        <w:t xml:space="preserve">The amendments </w:t>
      </w:r>
      <w:r w:rsidR="0004455C">
        <w:rPr>
          <w:rFonts w:eastAsia="Times New Roman"/>
        </w:rPr>
        <w:t>of</w:t>
      </w:r>
      <w:r w:rsidRPr="00C93C85">
        <w:rPr>
          <w:rFonts w:eastAsia="Times New Roman"/>
        </w:rPr>
        <w:t xml:space="preserve"> the Skilling Australians Fund Regulations are necessary to ensure that the nomination training contribution charge that currently applies to the Temporary Skill Shortage visa will apply to the Skills in Demand visa from 7 December 2024. </w:t>
      </w:r>
    </w:p>
    <w:p w14:paraId="7AF5D992" w14:textId="00F39E85" w:rsidR="00001EEA" w:rsidRPr="00C93C85" w:rsidRDefault="00001EEA" w:rsidP="00001EEA">
      <w:pPr>
        <w:rPr>
          <w:rFonts w:eastAsia="Times New Roman"/>
        </w:rPr>
      </w:pPr>
      <w:r w:rsidRPr="00C93C85">
        <w:rPr>
          <w:rFonts w:eastAsia="Times New Roman"/>
        </w:rPr>
        <w:t>Employers must pay the nomination training contribution charge if they sponsor overseas workers for a Temporary Skill Shortage (</w:t>
      </w:r>
      <w:r w:rsidR="0004455C">
        <w:rPr>
          <w:rFonts w:eastAsia="Times New Roman"/>
        </w:rPr>
        <w:t>S</w:t>
      </w:r>
      <w:r w:rsidRPr="00C93C85">
        <w:rPr>
          <w:rFonts w:eastAsia="Times New Roman"/>
        </w:rPr>
        <w:t>ubclass 482) visa, Employer Nomination Scheme (</w:t>
      </w:r>
      <w:r w:rsidR="0004455C">
        <w:rPr>
          <w:rFonts w:eastAsia="Times New Roman"/>
        </w:rPr>
        <w:t>S</w:t>
      </w:r>
      <w:r w:rsidRPr="00C93C85">
        <w:rPr>
          <w:rFonts w:eastAsia="Times New Roman"/>
        </w:rPr>
        <w:t>ubclass 186) visa, Skilled Employer Sponsored Regional (Provisional) (</w:t>
      </w:r>
      <w:r w:rsidR="0004455C">
        <w:rPr>
          <w:rFonts w:eastAsia="Times New Roman"/>
        </w:rPr>
        <w:t>S</w:t>
      </w:r>
      <w:r w:rsidRPr="00C93C85">
        <w:rPr>
          <w:rFonts w:eastAsia="Times New Roman"/>
        </w:rPr>
        <w:t>ubclass 494) visa or Regional Skilled Migration Scheme (</w:t>
      </w:r>
      <w:r w:rsidR="0004455C">
        <w:rPr>
          <w:rFonts w:eastAsia="Times New Roman"/>
        </w:rPr>
        <w:t>S</w:t>
      </w:r>
      <w:r w:rsidRPr="00C93C85">
        <w:rPr>
          <w:rFonts w:eastAsia="Times New Roman"/>
        </w:rPr>
        <w:t xml:space="preserve">ubclass 187) visa. The nomination training contribution charge is payable at a rate proportionate to the size of the business and the number of years for which the overseas worker is nominated, and is payable in full at the time of lodging a nomination application. Section 7 of the Skilling Australians Fund Act imposes the nomination training contribution charge payable under </w:t>
      </w:r>
      <w:r w:rsidR="0004455C">
        <w:rPr>
          <w:rFonts w:eastAsia="Times New Roman"/>
        </w:rPr>
        <w:t xml:space="preserve">section </w:t>
      </w:r>
      <w:r w:rsidRPr="00C93C85">
        <w:rPr>
          <w:rFonts w:eastAsia="Times New Roman"/>
        </w:rPr>
        <w:t>140ZM of the Migration Act.</w:t>
      </w:r>
    </w:p>
    <w:p w14:paraId="44A8B544" w14:textId="66E1A47E" w:rsidR="00001EEA" w:rsidRPr="00C93C85" w:rsidRDefault="00001EEA" w:rsidP="00001EEA">
      <w:pPr>
        <w:rPr>
          <w:rFonts w:eastAsia="Times New Roman"/>
        </w:rPr>
      </w:pPr>
      <w:r w:rsidRPr="00C93C85">
        <w:rPr>
          <w:rFonts w:eastAsia="Times New Roman"/>
        </w:rPr>
        <w:t xml:space="preserve">The Amendment Regulations </w:t>
      </w:r>
      <w:r w:rsidR="00800D5F">
        <w:rPr>
          <w:rFonts w:eastAsia="Times New Roman"/>
        </w:rPr>
        <w:t>do</w:t>
      </w:r>
      <w:r w:rsidRPr="00C93C85">
        <w:rPr>
          <w:rFonts w:eastAsia="Times New Roman"/>
        </w:rPr>
        <w:t xml:space="preserve"> not operate retrospectively. The Amendment Regulations apply to the holder of a Subclass 482 (Skills in Demand) visa granted on or after commencement of the amendments.</w:t>
      </w:r>
    </w:p>
    <w:p w14:paraId="71FBAA66" w14:textId="77777777" w:rsidR="0024360E" w:rsidRPr="00C93C85" w:rsidRDefault="0024360E" w:rsidP="00515D74">
      <w:r w:rsidRPr="00800D5F">
        <w:lastRenderedPageBreak/>
        <w:t>A Statement of Compatibility w</w:t>
      </w:r>
      <w:r w:rsidR="00165075" w:rsidRPr="00800D5F">
        <w:t>ith Human Rights</w:t>
      </w:r>
      <w:r w:rsidRPr="00800D5F">
        <w:t xml:space="preserve"> has been completed in accordance with the </w:t>
      </w:r>
      <w:r w:rsidRPr="00800D5F">
        <w:rPr>
          <w:i/>
          <w:iCs/>
        </w:rPr>
        <w:t>Human Rights (Parliamentary Scrutiny) Act 2011</w:t>
      </w:r>
      <w:r w:rsidR="00B43D98" w:rsidRPr="00800D5F">
        <w:t xml:space="preserve">. </w:t>
      </w:r>
      <w:r w:rsidRPr="00800D5F">
        <w:t>The overall assessment is that the Regulations are</w:t>
      </w:r>
      <w:r w:rsidR="00B43D98" w:rsidRPr="00800D5F">
        <w:t xml:space="preserve"> compatible with human rights. </w:t>
      </w:r>
      <w:r w:rsidRPr="00800D5F">
        <w:t xml:space="preserve">A copy of the Statement is at </w:t>
      </w:r>
      <w:r w:rsidR="0074200D" w:rsidRPr="00800D5F">
        <w:rPr>
          <w:u w:val="single"/>
        </w:rPr>
        <w:t>Attachment A</w:t>
      </w:r>
      <w:r w:rsidRPr="00800D5F">
        <w:t>.</w:t>
      </w:r>
    </w:p>
    <w:p w14:paraId="482E1612" w14:textId="2E29439A" w:rsidR="00156904" w:rsidRDefault="00156904" w:rsidP="002F65BF">
      <w:r w:rsidRPr="00800D5F">
        <w:t>The Office of Impact Analysis (OIA) has been consulted in relation to the amendments</w:t>
      </w:r>
      <w:r w:rsidR="00800D5F">
        <w:t xml:space="preserve"> and issued certification to the Secretary of the Department for overarching implementation of the Migration Strategy (OBPR23-04044).</w:t>
      </w:r>
    </w:p>
    <w:p w14:paraId="02845F49" w14:textId="49A81621" w:rsidR="00E35C47" w:rsidRPr="00C93C85" w:rsidRDefault="00E35C47" w:rsidP="00E35C47">
      <w:pPr>
        <w:spacing w:before="100" w:beforeAutospacing="1" w:after="100"/>
        <w:rPr>
          <w:rFonts w:eastAsia="Times New Roman"/>
        </w:rPr>
      </w:pPr>
      <w:r w:rsidRPr="00C93C85">
        <w:rPr>
          <w:rFonts w:eastAsia="Times New Roman"/>
        </w:rPr>
        <w:t>The Department of Home Affairs has consulted with the Department of Employment and Workplace Relations in relation to the proposed Regulations. Industry stakeholders were consulted as part of broader public consultation on the Review of the Migration System. The outcomes of this consultation informed the Australian Government’s Migration Strategy</w:t>
      </w:r>
      <w:r w:rsidR="0004455C">
        <w:rPr>
          <w:rFonts w:eastAsia="Times New Roman"/>
        </w:rPr>
        <w:t>,</w:t>
      </w:r>
      <w:r w:rsidRPr="00C93C85">
        <w:rPr>
          <w:rFonts w:eastAsia="Times New Roman"/>
        </w:rPr>
        <w:t xml:space="preserve"> which </w:t>
      </w:r>
      <w:r w:rsidR="0004455C">
        <w:rPr>
          <w:rFonts w:eastAsia="Times New Roman"/>
        </w:rPr>
        <w:t xml:space="preserve">included </w:t>
      </w:r>
      <w:r w:rsidRPr="00C93C85">
        <w:rPr>
          <w:rFonts w:eastAsia="Times New Roman"/>
        </w:rPr>
        <w:t>outlin</w:t>
      </w:r>
      <w:r w:rsidR="0004455C">
        <w:rPr>
          <w:rFonts w:eastAsia="Times New Roman"/>
        </w:rPr>
        <w:t>ing</w:t>
      </w:r>
      <w:r w:rsidRPr="00C93C85">
        <w:rPr>
          <w:rFonts w:eastAsia="Times New Roman"/>
        </w:rPr>
        <w:t xml:space="preserve"> that the Skills in Demand visa </w:t>
      </w:r>
      <w:r>
        <w:rPr>
          <w:rFonts w:eastAsia="Times New Roman"/>
        </w:rPr>
        <w:t xml:space="preserve">will </w:t>
      </w:r>
      <w:r w:rsidRPr="00C93C85">
        <w:rPr>
          <w:rFonts w:eastAsia="Times New Roman"/>
        </w:rPr>
        <w:t>replace the Temporary Skills Shortage visa.</w:t>
      </w:r>
    </w:p>
    <w:p w14:paraId="3710CC86" w14:textId="66A5C4CF" w:rsidR="00B11AD6" w:rsidRPr="00C93C85" w:rsidRDefault="000F1874" w:rsidP="002F65BF">
      <w:pPr>
        <w:tabs>
          <w:tab w:val="left" w:pos="6521"/>
        </w:tabs>
        <w:ind w:right="522"/>
      </w:pPr>
      <w:r w:rsidRPr="00C93C85">
        <w:t xml:space="preserve">The Amendment Regulations </w:t>
      </w:r>
      <w:r w:rsidR="00B11AD6" w:rsidRPr="00C93C85">
        <w:t xml:space="preserve">commence on </w:t>
      </w:r>
      <w:r w:rsidR="00800D5F">
        <w:t>7 December 2024.</w:t>
      </w:r>
    </w:p>
    <w:p w14:paraId="2D9C7FFE" w14:textId="06919C94" w:rsidR="00231291" w:rsidRPr="00C93C85" w:rsidRDefault="0024360E" w:rsidP="002F65BF">
      <w:pPr>
        <w:ind w:right="91"/>
      </w:pPr>
      <w:r w:rsidRPr="00C93C85">
        <w:t xml:space="preserve">Further details of the </w:t>
      </w:r>
      <w:r w:rsidR="00800D5F">
        <w:t xml:space="preserve">Amendment </w:t>
      </w:r>
      <w:r w:rsidRPr="00C93C85">
        <w:t xml:space="preserve">Regulations are set out in </w:t>
      </w:r>
      <w:r w:rsidR="0074200D" w:rsidRPr="00C93C85">
        <w:rPr>
          <w:u w:val="single"/>
        </w:rPr>
        <w:t>Attachment B</w:t>
      </w:r>
      <w:r w:rsidRPr="00C93C85">
        <w:t>.</w:t>
      </w:r>
    </w:p>
    <w:p w14:paraId="09ECCB60" w14:textId="1E71FC5F" w:rsidR="00877CFA" w:rsidRDefault="00800D5F" w:rsidP="002F65BF">
      <w:pPr>
        <w:tabs>
          <w:tab w:val="left" w:pos="6521"/>
        </w:tabs>
      </w:pPr>
      <w:r w:rsidRPr="00800D5F">
        <w:rPr>
          <w:rFonts w:eastAsia="Times New Roman"/>
        </w:rPr>
        <w:t>The Skilling Australian</w:t>
      </w:r>
      <w:r w:rsidR="00E35C47">
        <w:rPr>
          <w:rFonts w:eastAsia="Times New Roman"/>
        </w:rPr>
        <w:t>s</w:t>
      </w:r>
      <w:r w:rsidRPr="00800D5F">
        <w:rPr>
          <w:rFonts w:eastAsia="Times New Roman"/>
        </w:rPr>
        <w:t xml:space="preserve"> Fund Act specifies no conditions that need to be satisfied before the power to make the proposed Regulations may be exercised</w:t>
      </w:r>
      <w:r w:rsidR="00877CFA">
        <w:t>.</w:t>
      </w:r>
    </w:p>
    <w:p w14:paraId="0C01F482" w14:textId="0FDEFAA5" w:rsidR="0024360E" w:rsidRPr="00FD6D87" w:rsidRDefault="0024360E" w:rsidP="002F65BF">
      <w:pPr>
        <w:tabs>
          <w:tab w:val="left" w:pos="6521"/>
        </w:tabs>
      </w:pPr>
      <w:r w:rsidRPr="00C93C85">
        <w:t xml:space="preserve">The </w:t>
      </w:r>
      <w:r w:rsidR="00B8002B" w:rsidRPr="00C93C85">
        <w:t xml:space="preserve">Amendment </w:t>
      </w:r>
      <w:r w:rsidRPr="00C93C85">
        <w:t xml:space="preserve">Regulations are a legislative instrument for the purposes of the </w:t>
      </w:r>
      <w:r w:rsidRPr="00E35C47">
        <w:rPr>
          <w:i/>
        </w:rPr>
        <w:t>Legislation Act</w:t>
      </w:r>
      <w:r w:rsidR="00E35C47" w:rsidRPr="00E35C47">
        <w:rPr>
          <w:i/>
        </w:rPr>
        <w:t xml:space="preserve"> 2003</w:t>
      </w:r>
      <w:r w:rsidRPr="00E35C47">
        <w:rPr>
          <w:i/>
        </w:rPr>
        <w:t>.</w:t>
      </w:r>
      <w:r w:rsidR="00877CFA">
        <w:rPr>
          <w:i/>
        </w:rPr>
        <w:t xml:space="preserve"> </w:t>
      </w:r>
      <w:r w:rsidR="00877CFA" w:rsidRPr="00270EFB">
        <w:t>The Skilling Australians Fund Regulations (the principal legislative instrument) are subject to the operation of section 50 of the Legislation Act.</w:t>
      </w:r>
    </w:p>
    <w:p w14:paraId="420DE270" w14:textId="77777777" w:rsidR="00165075" w:rsidRPr="00FD6D87" w:rsidRDefault="00165075">
      <w:pPr>
        <w:spacing w:before="0" w:after="160" w:line="259" w:lineRule="auto"/>
      </w:pPr>
      <w:r w:rsidRPr="00FD6D87">
        <w:br w:type="page"/>
      </w:r>
    </w:p>
    <w:p w14:paraId="29B4B9E8" w14:textId="77777777" w:rsidR="005C6994" w:rsidRPr="00FD6D87" w:rsidRDefault="005C6994" w:rsidP="00061D7A">
      <w:pPr>
        <w:tabs>
          <w:tab w:val="left" w:pos="345"/>
        </w:tabs>
        <w:ind w:left="720" w:right="43"/>
        <w:jc w:val="right"/>
        <w:rPr>
          <w:b/>
          <w:bCs/>
          <w:u w:val="single"/>
        </w:rPr>
      </w:pPr>
      <w:r w:rsidRPr="00FD6D87">
        <w:rPr>
          <w:b/>
          <w:bCs/>
          <w:u w:val="single"/>
        </w:rPr>
        <w:lastRenderedPageBreak/>
        <w:t>ATTACHMENT A</w:t>
      </w:r>
    </w:p>
    <w:p w14:paraId="154CBD3F" w14:textId="77777777" w:rsidR="005C6994" w:rsidRPr="00FD6D87" w:rsidRDefault="005C6994" w:rsidP="005C6994">
      <w:pPr>
        <w:tabs>
          <w:tab w:val="left" w:pos="345"/>
        </w:tabs>
        <w:ind w:right="43"/>
        <w:jc w:val="right"/>
        <w:rPr>
          <w:b/>
          <w:bCs/>
          <w:u w:val="single"/>
        </w:rPr>
      </w:pPr>
    </w:p>
    <w:p w14:paraId="3C04C3B3" w14:textId="77777777" w:rsidR="005C6994" w:rsidRPr="00FD6D87" w:rsidRDefault="005C6994" w:rsidP="00270EFB">
      <w:pPr>
        <w:spacing w:after="240" w:line="276" w:lineRule="auto"/>
        <w:jc w:val="center"/>
        <w:outlineLvl w:val="1"/>
        <w:rPr>
          <w:rFonts w:eastAsia="Calibri"/>
          <w:b/>
          <w:sz w:val="28"/>
          <w:szCs w:val="28"/>
          <w:lang w:eastAsia="en-US"/>
        </w:rPr>
      </w:pPr>
      <w:r w:rsidRPr="00FD6D87">
        <w:rPr>
          <w:rFonts w:eastAsia="Calibri"/>
          <w:b/>
          <w:sz w:val="28"/>
          <w:szCs w:val="28"/>
          <w:lang w:eastAsia="en-US"/>
        </w:rPr>
        <w:t>Statement of Compatibility with Human Rights</w:t>
      </w:r>
    </w:p>
    <w:p w14:paraId="1DD46B24" w14:textId="77777777" w:rsidR="005C6994" w:rsidRPr="00FD6D87" w:rsidRDefault="005C6994" w:rsidP="00270EFB">
      <w:pPr>
        <w:spacing w:before="120" w:after="120" w:line="276" w:lineRule="auto"/>
        <w:jc w:val="center"/>
        <w:rPr>
          <w:rFonts w:eastAsia="Calibri"/>
          <w:lang w:eastAsia="en-US"/>
        </w:rPr>
      </w:pPr>
      <w:r w:rsidRPr="00FD6D87">
        <w:rPr>
          <w:rFonts w:eastAsia="Calibri"/>
          <w:i/>
          <w:lang w:eastAsia="en-US"/>
        </w:rPr>
        <w:t>Prepared in accordance with Part 3 of the Human Rights (Parliamentary Scrutiny) Act 2011</w:t>
      </w:r>
    </w:p>
    <w:p w14:paraId="49F3DC19" w14:textId="1D5B72C2" w:rsidR="005C6994" w:rsidRPr="00C93C85" w:rsidRDefault="00E01F78" w:rsidP="00270EFB">
      <w:pPr>
        <w:spacing w:before="120" w:after="120" w:line="276" w:lineRule="auto"/>
        <w:jc w:val="center"/>
        <w:rPr>
          <w:rFonts w:eastAsia="Calibri"/>
          <w:b/>
          <w:i/>
          <w:lang w:eastAsia="en-US"/>
        </w:rPr>
      </w:pPr>
      <w:r w:rsidRPr="00E01F78">
        <w:rPr>
          <w:b/>
          <w:i/>
        </w:rPr>
        <w:t>Migration (Skilling Australians Fund) Charges Amendment (Subclass 482 (Skills in Demand) Visa) Regulations 2024</w:t>
      </w:r>
    </w:p>
    <w:p w14:paraId="41DF742C" w14:textId="77777777" w:rsidR="00C93C85" w:rsidRPr="00C340B5" w:rsidRDefault="00C93C85" w:rsidP="00C93C85">
      <w:pPr>
        <w:rPr>
          <w:color w:val="000000" w:themeColor="text1"/>
        </w:rPr>
      </w:pPr>
      <w:r w:rsidRPr="00C340B5">
        <w:rPr>
          <w:color w:val="000000" w:themeColor="text1"/>
        </w:rPr>
        <w:t xml:space="preserve">This Disallowable Legislative Instrument is compatible with the human rights and freedoms recognised or declared in the international instruments listed in section 3 of the </w:t>
      </w:r>
      <w:r w:rsidRPr="00C340B5">
        <w:rPr>
          <w:i/>
          <w:color w:val="000000" w:themeColor="text1"/>
        </w:rPr>
        <w:t>Human Rights (Parliamentary Scrutiny) Act 2011</w:t>
      </w:r>
      <w:r w:rsidRPr="00C340B5">
        <w:rPr>
          <w:color w:val="000000" w:themeColor="text1"/>
        </w:rPr>
        <w:t>.</w:t>
      </w:r>
    </w:p>
    <w:p w14:paraId="3478A363" w14:textId="77777777" w:rsidR="00C93C85" w:rsidRPr="00C340B5" w:rsidRDefault="00C93C85" w:rsidP="00C93C85">
      <w:pPr>
        <w:rPr>
          <w:b/>
          <w:color w:val="000000" w:themeColor="text1"/>
        </w:rPr>
      </w:pPr>
      <w:r w:rsidRPr="00C340B5">
        <w:rPr>
          <w:b/>
          <w:color w:val="000000" w:themeColor="text1"/>
        </w:rPr>
        <w:t>Overview of the Disallowable Legislative Instrument</w:t>
      </w:r>
    </w:p>
    <w:p w14:paraId="1320E7C8" w14:textId="06C420D4" w:rsidR="00C93C85" w:rsidRDefault="00C93C85" w:rsidP="00C93C85">
      <w:pPr>
        <w:spacing w:before="120" w:after="120"/>
        <w:rPr>
          <w:color w:val="000000" w:themeColor="text1"/>
        </w:rPr>
      </w:pPr>
      <w:r w:rsidRPr="00C6638F">
        <w:rPr>
          <w:color w:val="000000" w:themeColor="text1"/>
        </w:rPr>
        <w:t>On 11 December</w:t>
      </w:r>
      <w:r>
        <w:rPr>
          <w:color w:val="000000" w:themeColor="text1"/>
        </w:rPr>
        <w:t xml:space="preserve"> 2023, the Australian Government released its</w:t>
      </w:r>
      <w:r w:rsidRPr="00C6638F">
        <w:rPr>
          <w:color w:val="000000" w:themeColor="text1"/>
        </w:rPr>
        <w:t xml:space="preserve"> </w:t>
      </w:r>
      <w:r w:rsidRPr="00C6638F">
        <w:rPr>
          <w:i/>
          <w:color w:val="000000" w:themeColor="text1"/>
        </w:rPr>
        <w:t>Migration Strategy</w:t>
      </w:r>
      <w:r w:rsidR="003B1292">
        <w:rPr>
          <w:color w:val="000000" w:themeColor="text1"/>
        </w:rPr>
        <w:t xml:space="preserve">, </w:t>
      </w:r>
      <w:r>
        <w:rPr>
          <w:color w:val="000000" w:themeColor="text1"/>
        </w:rPr>
        <w:t xml:space="preserve">which outlined changes to Australia’s temporary and permanent employer sponsored visa programs. </w:t>
      </w:r>
      <w:r w:rsidRPr="00E85840">
        <w:rPr>
          <w:color w:val="000000" w:themeColor="text1"/>
        </w:rPr>
        <w:t xml:space="preserve">As part of this work the department is </w:t>
      </w:r>
      <w:r>
        <w:rPr>
          <w:color w:val="000000" w:themeColor="text1"/>
        </w:rPr>
        <w:t>int</w:t>
      </w:r>
      <w:bookmarkStart w:id="0" w:name="_GoBack"/>
      <w:bookmarkEnd w:id="0"/>
      <w:r>
        <w:rPr>
          <w:color w:val="000000" w:themeColor="text1"/>
        </w:rPr>
        <w:t>roducing</w:t>
      </w:r>
      <w:r w:rsidRPr="00E85840">
        <w:rPr>
          <w:color w:val="000000" w:themeColor="text1"/>
        </w:rPr>
        <w:t xml:space="preserve"> a new temporary Sk</w:t>
      </w:r>
      <w:r>
        <w:rPr>
          <w:color w:val="000000" w:themeColor="text1"/>
        </w:rPr>
        <w:t>ills in Demand (subclass 482) visa (SID visa)</w:t>
      </w:r>
      <w:r w:rsidRPr="00E85840">
        <w:rPr>
          <w:color w:val="000000" w:themeColor="text1"/>
        </w:rPr>
        <w:t xml:space="preserve"> that replaces the existing Temporary Skill Shortage </w:t>
      </w:r>
      <w:r>
        <w:rPr>
          <w:color w:val="000000" w:themeColor="text1"/>
        </w:rPr>
        <w:t>(s</w:t>
      </w:r>
      <w:r w:rsidRPr="00E85840">
        <w:rPr>
          <w:color w:val="000000" w:themeColor="text1"/>
        </w:rPr>
        <w:t>ubclass 482</w:t>
      </w:r>
      <w:r>
        <w:rPr>
          <w:color w:val="000000" w:themeColor="text1"/>
        </w:rPr>
        <w:t>)</w:t>
      </w:r>
      <w:r w:rsidRPr="00E85840">
        <w:rPr>
          <w:color w:val="000000" w:themeColor="text1"/>
        </w:rPr>
        <w:t xml:space="preserve"> </w:t>
      </w:r>
      <w:r>
        <w:rPr>
          <w:color w:val="000000" w:themeColor="text1"/>
        </w:rPr>
        <w:t xml:space="preserve">visa (TSS visa) through the </w:t>
      </w:r>
      <w:r w:rsidRPr="002A28AC">
        <w:rPr>
          <w:i/>
          <w:color w:val="000000" w:themeColor="text1"/>
        </w:rPr>
        <w:t>Migration Amendment (2024 Measures No. 1) Regulations 2024</w:t>
      </w:r>
      <w:r>
        <w:rPr>
          <w:color w:val="000000" w:themeColor="text1"/>
        </w:rPr>
        <w:t xml:space="preserve"> (the Migration Amendment Regulations).</w:t>
      </w:r>
    </w:p>
    <w:p w14:paraId="70689CD3" w14:textId="77777777" w:rsidR="00C93C85" w:rsidRDefault="00C93C85" w:rsidP="00C93C85">
      <w:pPr>
        <w:spacing w:before="120" w:after="120"/>
        <w:rPr>
          <w:color w:val="000000" w:themeColor="text1"/>
        </w:rPr>
      </w:pPr>
      <w:r>
        <w:rPr>
          <w:color w:val="000000"/>
        </w:rPr>
        <w:t>The </w:t>
      </w:r>
      <w:r>
        <w:rPr>
          <w:i/>
          <w:iCs/>
          <w:color w:val="000000"/>
        </w:rPr>
        <w:t>Migration (Skilling Australians Fund) Charges Act 2018</w:t>
      </w:r>
      <w:r>
        <w:rPr>
          <w:color w:val="000000"/>
        </w:rPr>
        <w:t> (the SAF Charges Act) is an Act relating to the ‘nomination training contribution charge’ payable by employers accessing foreign workers under the employer sponsored skilled work visa programs under the </w:t>
      </w:r>
      <w:r>
        <w:rPr>
          <w:i/>
          <w:iCs/>
          <w:color w:val="000000"/>
        </w:rPr>
        <w:t>Migration Act 1958 </w:t>
      </w:r>
      <w:r>
        <w:rPr>
          <w:color w:val="000000"/>
        </w:rPr>
        <w:t>and the </w:t>
      </w:r>
      <w:r>
        <w:rPr>
          <w:i/>
          <w:iCs/>
          <w:color w:val="000000"/>
        </w:rPr>
        <w:t>Migration Regulations 1994 </w:t>
      </w:r>
      <w:r>
        <w:rPr>
          <w:color w:val="000000"/>
        </w:rPr>
        <w:t xml:space="preserve">(the Migration Regulations). The revenue raised by imposing the charge offsets expenditure from the Skilling Australians Fund (SAF), a training fund administered by the Department of Education and Training. The SAF provides funding for apprenticeships and traineeships in high demand occupations that currently rely on skilled migration or have future growth potential, including in regional Australia. The </w:t>
      </w:r>
      <w:r w:rsidRPr="002A28AC">
        <w:rPr>
          <w:i/>
          <w:color w:val="000000" w:themeColor="text1"/>
        </w:rPr>
        <w:t>Migration (Skilling Australians Fund) Charges Regulations 2018</w:t>
      </w:r>
      <w:r>
        <w:rPr>
          <w:color w:val="000000" w:themeColor="text1"/>
        </w:rPr>
        <w:t xml:space="preserve"> (the SAF Charge Regulations) prescribe the</w:t>
      </w:r>
      <w:r>
        <w:rPr>
          <w:color w:val="000000"/>
        </w:rPr>
        <w:t xml:space="preserve"> amount of the nomination training contribution charge. </w:t>
      </w:r>
    </w:p>
    <w:p w14:paraId="78553B31" w14:textId="459C8295" w:rsidR="00C93C85" w:rsidRPr="00E85840" w:rsidRDefault="00C93C85" w:rsidP="00C93C85">
      <w:pPr>
        <w:spacing w:before="120" w:after="120"/>
        <w:rPr>
          <w:rFonts w:eastAsia="Calibri"/>
          <w:lang w:eastAsia="en-US"/>
        </w:rPr>
      </w:pPr>
      <w:r w:rsidRPr="00C340B5">
        <w:rPr>
          <w:color w:val="000000" w:themeColor="text1"/>
        </w:rPr>
        <w:t xml:space="preserve">The </w:t>
      </w:r>
      <w:r w:rsidR="002645E0" w:rsidRPr="002645E0">
        <w:rPr>
          <w:i/>
          <w:lang w:val="en-US"/>
        </w:rPr>
        <w:t>Migration (Skilling Australians Fund) Charges Amendment (Subclass 482 (Skills in Demand) Visa) Regulations 2024</w:t>
      </w:r>
      <w:r w:rsidRPr="00E85840">
        <w:rPr>
          <w:lang w:val="en-US"/>
        </w:rPr>
        <w:t xml:space="preserve"> </w:t>
      </w:r>
      <w:r>
        <w:rPr>
          <w:lang w:val="en-US"/>
        </w:rPr>
        <w:t xml:space="preserve">(the SAF Amendment Regulations) </w:t>
      </w:r>
      <w:r w:rsidRPr="00E85840">
        <w:rPr>
          <w:color w:val="000000" w:themeColor="text1"/>
        </w:rPr>
        <w:t xml:space="preserve">amend the </w:t>
      </w:r>
      <w:r>
        <w:rPr>
          <w:color w:val="000000" w:themeColor="text1"/>
        </w:rPr>
        <w:t>SAF Charges Regulations to support the introduction of the SID visa by</w:t>
      </w:r>
      <w:r w:rsidRPr="00E85840">
        <w:rPr>
          <w:color w:val="000000" w:themeColor="text1"/>
        </w:rPr>
        <w:t>:</w:t>
      </w:r>
    </w:p>
    <w:p w14:paraId="78CCC068" w14:textId="77777777" w:rsidR="00C93C85" w:rsidRDefault="00C93C85" w:rsidP="00C93C85">
      <w:pPr>
        <w:pStyle w:val="ListParagraph"/>
        <w:numPr>
          <w:ilvl w:val="0"/>
          <w:numId w:val="37"/>
        </w:numPr>
        <w:contextualSpacing/>
        <w:rPr>
          <w:color w:val="000000" w:themeColor="text1"/>
        </w:rPr>
      </w:pPr>
      <w:proofErr w:type="gramStart"/>
      <w:r>
        <w:rPr>
          <w:color w:val="000000" w:themeColor="text1"/>
        </w:rPr>
        <w:t>extending</w:t>
      </w:r>
      <w:proofErr w:type="gramEnd"/>
      <w:r>
        <w:rPr>
          <w:color w:val="000000" w:themeColor="text1"/>
        </w:rPr>
        <w:t xml:space="preserve"> the SAF provisions that apply to the TSS visa contained in the SAF</w:t>
      </w:r>
      <w:r w:rsidRPr="00F77B01">
        <w:rPr>
          <w:color w:val="000000" w:themeColor="text1"/>
        </w:rPr>
        <w:t xml:space="preserve"> Charges Regulations </w:t>
      </w:r>
      <w:r>
        <w:rPr>
          <w:color w:val="000000" w:themeColor="text1"/>
        </w:rPr>
        <w:t xml:space="preserve">to the replacement SID visa. </w:t>
      </w:r>
    </w:p>
    <w:p w14:paraId="74160339" w14:textId="77777777" w:rsidR="00C93C85" w:rsidRDefault="00C93C85" w:rsidP="00C93C85">
      <w:pPr>
        <w:rPr>
          <w:i/>
          <w:color w:val="000000" w:themeColor="text1"/>
        </w:rPr>
      </w:pPr>
      <w:r>
        <w:rPr>
          <w:i/>
          <w:color w:val="000000" w:themeColor="text1"/>
        </w:rPr>
        <w:t>The new SID visa</w:t>
      </w:r>
    </w:p>
    <w:p w14:paraId="0B869E8B" w14:textId="1115FB8B" w:rsidR="00C93C85" w:rsidRDefault="00C93C85" w:rsidP="00C93C85">
      <w:pPr>
        <w:rPr>
          <w:color w:val="000000" w:themeColor="text1"/>
        </w:rPr>
      </w:pPr>
      <w:r>
        <w:rPr>
          <w:color w:val="000000" w:themeColor="text1"/>
        </w:rPr>
        <w:t>The new SID</w:t>
      </w:r>
      <w:r w:rsidRPr="005B514A">
        <w:rPr>
          <w:color w:val="000000" w:themeColor="text1"/>
        </w:rPr>
        <w:t xml:space="preserve"> visa is intended to provide clear paths to permanent residence</w:t>
      </w:r>
      <w:r>
        <w:rPr>
          <w:color w:val="000000" w:themeColor="text1"/>
        </w:rPr>
        <w:t xml:space="preserve"> for skilled migrant workers</w:t>
      </w:r>
      <w:r w:rsidRPr="005B514A">
        <w:rPr>
          <w:color w:val="000000" w:themeColor="text1"/>
        </w:rPr>
        <w:t xml:space="preserve"> in which all sponsored employment counts towards</w:t>
      </w:r>
      <w:r>
        <w:rPr>
          <w:color w:val="000000" w:themeColor="text1"/>
        </w:rPr>
        <w:t xml:space="preserve"> work experience requirements for</w:t>
      </w:r>
      <w:r w:rsidRPr="005B514A">
        <w:rPr>
          <w:color w:val="000000" w:themeColor="text1"/>
        </w:rPr>
        <w:t xml:space="preserve"> permanent residence. </w:t>
      </w:r>
      <w:r>
        <w:rPr>
          <w:color w:val="000000" w:themeColor="text1"/>
        </w:rPr>
        <w:t>Like the TSS visa, the new SID</w:t>
      </w:r>
      <w:r w:rsidRPr="005B514A">
        <w:rPr>
          <w:color w:val="000000" w:themeColor="text1"/>
        </w:rPr>
        <w:t xml:space="preserve"> </w:t>
      </w:r>
      <w:r>
        <w:rPr>
          <w:color w:val="000000" w:themeColor="text1"/>
        </w:rPr>
        <w:t>visa enables employers t</w:t>
      </w:r>
      <w:r w:rsidRPr="00823F0C">
        <w:rPr>
          <w:color w:val="000000" w:themeColor="text1"/>
        </w:rPr>
        <w:t>o access a skilled overseas worker if an appropriately skilled Australian worker is unavailable.</w:t>
      </w:r>
    </w:p>
    <w:p w14:paraId="467CDF49" w14:textId="77777777" w:rsidR="00C93C85" w:rsidRDefault="00C93C85" w:rsidP="00C93C85">
      <w:pPr>
        <w:spacing w:before="120" w:after="120"/>
        <w:rPr>
          <w:color w:val="000000" w:themeColor="text1"/>
        </w:rPr>
      </w:pPr>
      <w:r>
        <w:rPr>
          <w:color w:val="000000" w:themeColor="text1"/>
        </w:rPr>
        <w:t xml:space="preserve">The SAF </w:t>
      </w:r>
      <w:r w:rsidRPr="00441BF4">
        <w:rPr>
          <w:color w:val="000000" w:themeColor="text1"/>
        </w:rPr>
        <w:t>Amendment Regulations </w:t>
      </w:r>
      <w:r>
        <w:rPr>
          <w:color w:val="000000" w:themeColor="text1"/>
        </w:rPr>
        <w:t xml:space="preserve">come into force at the same time as the associated </w:t>
      </w:r>
      <w:r w:rsidRPr="00535C21">
        <w:rPr>
          <w:color w:val="000000" w:themeColor="text1"/>
        </w:rPr>
        <w:t>Migration Amendment Regulations</w:t>
      </w:r>
      <w:r>
        <w:rPr>
          <w:color w:val="000000" w:themeColor="text1"/>
        </w:rPr>
        <w:t>.</w:t>
      </w:r>
    </w:p>
    <w:p w14:paraId="3F8ED47A" w14:textId="77777777" w:rsidR="00C93C85" w:rsidRDefault="00C93C85" w:rsidP="00C93C85">
      <w:pPr>
        <w:spacing w:before="120" w:after="120"/>
        <w:rPr>
          <w:color w:val="000000" w:themeColor="text1"/>
        </w:rPr>
      </w:pPr>
      <w:r>
        <w:rPr>
          <w:color w:val="000000"/>
        </w:rPr>
        <w:lastRenderedPageBreak/>
        <w:t xml:space="preserve">A separate Statement of Compatibility with Human Rights has been prepared in relation to the Migration Amendment Regulations. </w:t>
      </w:r>
    </w:p>
    <w:p w14:paraId="657A27CE" w14:textId="77777777" w:rsidR="00C93C85" w:rsidRPr="00C005CB" w:rsidRDefault="00C93C85" w:rsidP="00C93C85">
      <w:pPr>
        <w:rPr>
          <w:i/>
          <w:color w:val="000000" w:themeColor="text1"/>
        </w:rPr>
      </w:pPr>
      <w:r>
        <w:rPr>
          <w:i/>
          <w:color w:val="000000" w:themeColor="text1"/>
        </w:rPr>
        <w:t>SAF</w:t>
      </w:r>
      <w:r w:rsidRPr="00C005CB">
        <w:rPr>
          <w:i/>
          <w:color w:val="000000" w:themeColor="text1"/>
        </w:rPr>
        <w:t xml:space="preserve"> Levy </w:t>
      </w:r>
    </w:p>
    <w:p w14:paraId="1A5601B9" w14:textId="77777777" w:rsidR="00C93C85" w:rsidRDefault="00C93C85" w:rsidP="00C93C85">
      <w:pPr>
        <w:rPr>
          <w:color w:val="000000" w:themeColor="text1"/>
        </w:rPr>
      </w:pPr>
      <w:r>
        <w:rPr>
          <w:color w:val="000000" w:themeColor="text1"/>
        </w:rPr>
        <w:t xml:space="preserve">The SAF Amendment Regulations apply the relevant SAF provisions to the new SID visa. The </w:t>
      </w:r>
      <w:r w:rsidRPr="00F77B01">
        <w:rPr>
          <w:color w:val="000000" w:themeColor="text1"/>
        </w:rPr>
        <w:t>nomination training contribution charge</w:t>
      </w:r>
      <w:r>
        <w:rPr>
          <w:color w:val="000000" w:themeColor="text1"/>
        </w:rPr>
        <w:t xml:space="preserve"> in the SAF </w:t>
      </w:r>
      <w:r w:rsidRPr="00F77B01">
        <w:rPr>
          <w:color w:val="000000" w:themeColor="text1"/>
        </w:rPr>
        <w:t>Charges Regulations</w:t>
      </w:r>
      <w:r>
        <w:rPr>
          <w:color w:val="000000" w:themeColor="text1"/>
        </w:rPr>
        <w:t xml:space="preserve"> is also referred to as the SAF levy.</w:t>
      </w:r>
    </w:p>
    <w:p w14:paraId="708CE1A8" w14:textId="77777777" w:rsidR="00C93C85" w:rsidRDefault="00C93C85" w:rsidP="00C93C85">
      <w:pPr>
        <w:rPr>
          <w:color w:val="000000" w:themeColor="text1"/>
        </w:rPr>
      </w:pPr>
      <w:r w:rsidRPr="004C42F2">
        <w:rPr>
          <w:color w:val="000000" w:themeColor="text1"/>
        </w:rPr>
        <w:t>Sinc</w:t>
      </w:r>
      <w:r>
        <w:rPr>
          <w:color w:val="000000" w:themeColor="text1"/>
        </w:rPr>
        <w:t>e 12 August 2018, employers have been required to</w:t>
      </w:r>
      <w:r w:rsidRPr="004C42F2">
        <w:rPr>
          <w:color w:val="000000" w:themeColor="text1"/>
        </w:rPr>
        <w:t xml:space="preserve"> pay the SAF levy if they sponsor overseas workers for a </w:t>
      </w:r>
      <w:r>
        <w:rPr>
          <w:color w:val="000000" w:themeColor="text1"/>
        </w:rPr>
        <w:t>TSS</w:t>
      </w:r>
      <w:r w:rsidRPr="004C42F2">
        <w:rPr>
          <w:color w:val="000000" w:themeColor="text1"/>
        </w:rPr>
        <w:t xml:space="preserve"> visa, Emp</w:t>
      </w:r>
      <w:r>
        <w:rPr>
          <w:color w:val="000000" w:themeColor="text1"/>
        </w:rPr>
        <w:t>loyer Nomination Scheme (s</w:t>
      </w:r>
      <w:r w:rsidRPr="004C42F2">
        <w:rPr>
          <w:color w:val="000000" w:themeColor="text1"/>
        </w:rPr>
        <w:t>ubclass 186) visa, Skilled Employer Spo</w:t>
      </w:r>
      <w:r>
        <w:rPr>
          <w:color w:val="000000" w:themeColor="text1"/>
        </w:rPr>
        <w:t>nsored Regional (Provisional) (s</w:t>
      </w:r>
      <w:r w:rsidRPr="004C42F2">
        <w:rPr>
          <w:color w:val="000000" w:themeColor="text1"/>
        </w:rPr>
        <w:t>ubclass 494) visa or Regional Sk</w:t>
      </w:r>
      <w:r>
        <w:rPr>
          <w:color w:val="000000" w:themeColor="text1"/>
        </w:rPr>
        <w:t>illed Migration Scheme (s</w:t>
      </w:r>
      <w:r w:rsidRPr="004C42F2">
        <w:rPr>
          <w:color w:val="000000" w:themeColor="text1"/>
        </w:rPr>
        <w:t>ubclass 187) visa.</w:t>
      </w:r>
    </w:p>
    <w:p w14:paraId="67B9E6DC" w14:textId="77777777" w:rsidR="00C93C85" w:rsidRDefault="00C93C85" w:rsidP="00C93C85">
      <w:r>
        <w:t>The SAF levy is payable at a rate proportionate to the size of the business and the number of years for which the overseas worker is nominated.</w:t>
      </w:r>
      <w:r w:rsidRPr="006613C8">
        <w:t xml:space="preserve"> The SAF levy is payable in full at the time of lodging a nomination application.</w:t>
      </w:r>
    </w:p>
    <w:p w14:paraId="61DA7770" w14:textId="77777777" w:rsidR="00C93C85" w:rsidRDefault="00C93C85" w:rsidP="00C93C85">
      <w:pPr>
        <w:rPr>
          <w:color w:val="000000" w:themeColor="text1"/>
        </w:rPr>
      </w:pPr>
      <w:r w:rsidRPr="006613C8">
        <w:rPr>
          <w:color w:val="000000" w:themeColor="text1"/>
        </w:rPr>
        <w:t>The purpose of the SAF levy is for employers to contribute to the broader skills development of Australians.</w:t>
      </w:r>
      <w:r w:rsidRPr="00A833FB">
        <w:t xml:space="preserve"> </w:t>
      </w:r>
    </w:p>
    <w:p w14:paraId="1524E4A6" w14:textId="77777777" w:rsidR="00C93C85" w:rsidRPr="001E689E" w:rsidRDefault="00C93C85" w:rsidP="00C93C85">
      <w:pPr>
        <w:rPr>
          <w:b/>
        </w:rPr>
      </w:pPr>
      <w:r w:rsidRPr="001E689E">
        <w:rPr>
          <w:b/>
        </w:rPr>
        <w:t>Human rights implications</w:t>
      </w:r>
    </w:p>
    <w:p w14:paraId="4364696E" w14:textId="77777777" w:rsidR="00C93C85" w:rsidRDefault="00C93C85" w:rsidP="00C93C85">
      <w:pPr>
        <w:rPr>
          <w:color w:val="000000" w:themeColor="text1"/>
        </w:rPr>
      </w:pPr>
      <w:r>
        <w:rPr>
          <w:color w:val="000000" w:themeColor="text1"/>
        </w:rPr>
        <w:t>This Disallowable Legislative Instrument engages the following rights:</w:t>
      </w:r>
    </w:p>
    <w:p w14:paraId="7E2D727B" w14:textId="77777777" w:rsidR="00C93C85" w:rsidRPr="00A32546" w:rsidRDefault="00C93C85" w:rsidP="00C93C85">
      <w:pPr>
        <w:pStyle w:val="ListParagraph"/>
        <w:numPr>
          <w:ilvl w:val="0"/>
          <w:numId w:val="37"/>
        </w:numPr>
        <w:contextualSpacing/>
        <w:rPr>
          <w:color w:val="000000" w:themeColor="text1"/>
        </w:rPr>
      </w:pPr>
      <w:proofErr w:type="gramStart"/>
      <w:r w:rsidRPr="007A21C5">
        <w:rPr>
          <w:color w:val="000000" w:themeColor="text1"/>
        </w:rPr>
        <w:t>the</w:t>
      </w:r>
      <w:proofErr w:type="gramEnd"/>
      <w:r w:rsidRPr="007A21C5">
        <w:rPr>
          <w:color w:val="000000" w:themeColor="text1"/>
        </w:rPr>
        <w:t xml:space="preserve"> right to work </w:t>
      </w:r>
      <w:r>
        <w:rPr>
          <w:color w:val="000000" w:themeColor="text1"/>
        </w:rPr>
        <w:t>under Article</w:t>
      </w:r>
      <w:r w:rsidRPr="007A21C5">
        <w:rPr>
          <w:color w:val="000000" w:themeColor="text1"/>
        </w:rPr>
        <w:t xml:space="preserve"> 6</w:t>
      </w:r>
      <w:r>
        <w:rPr>
          <w:color w:val="000000" w:themeColor="text1"/>
        </w:rPr>
        <w:t xml:space="preserve"> of the</w:t>
      </w:r>
      <w:r w:rsidRPr="007A21C5">
        <w:rPr>
          <w:color w:val="000000" w:themeColor="text1"/>
        </w:rPr>
        <w:t xml:space="preserve"> </w:t>
      </w:r>
      <w:r w:rsidRPr="00BC3D7C">
        <w:rPr>
          <w:i/>
        </w:rPr>
        <w:t>International Covenant on Economic, Social and Cultural Rights</w:t>
      </w:r>
      <w:r>
        <w:t xml:space="preserve"> (ICESCR).</w:t>
      </w:r>
    </w:p>
    <w:p w14:paraId="308DCA80" w14:textId="77777777" w:rsidR="00C93C85" w:rsidRDefault="00C93C85" w:rsidP="00C93C85">
      <w:r>
        <w:t>Article 6(1) of ICESCR provides that:</w:t>
      </w:r>
    </w:p>
    <w:p w14:paraId="4A9E670B" w14:textId="77777777" w:rsidR="00C93C85" w:rsidRPr="00A32546" w:rsidRDefault="00C93C85" w:rsidP="00270EFB">
      <w:pPr>
        <w:ind w:left="720"/>
        <w:rPr>
          <w:i/>
          <w:iCs/>
        </w:rPr>
      </w:pPr>
      <w:r w:rsidRPr="00A32546">
        <w:rPr>
          <w:i/>
          <w:iCs/>
        </w:rPr>
        <w:t>The States Parties to the present Covenant recognize the right to work, which includes the right of everyone to the opportunity to gain his living by work which he freely chooses or accepts, and will take appropriate steps to safeguard this right.</w:t>
      </w:r>
    </w:p>
    <w:p w14:paraId="39E3E2F8" w14:textId="77777777" w:rsidR="00C93C85" w:rsidRDefault="00C93C85" w:rsidP="00C93C85">
      <w:pPr>
        <w:rPr>
          <w:color w:val="000000" w:themeColor="text1"/>
        </w:rPr>
      </w:pPr>
      <w:r>
        <w:rPr>
          <w:color w:val="000000" w:themeColor="text1"/>
        </w:rPr>
        <w:t>Article 6(2) of ICESCR provides that:</w:t>
      </w:r>
    </w:p>
    <w:p w14:paraId="768712FE" w14:textId="77777777" w:rsidR="00C93C85" w:rsidRPr="00A32546" w:rsidRDefault="00C93C85" w:rsidP="00270EFB">
      <w:pPr>
        <w:ind w:left="720"/>
        <w:rPr>
          <w:i/>
          <w:color w:val="000000" w:themeColor="text1"/>
        </w:rPr>
      </w:pPr>
      <w:r w:rsidRPr="00A32546">
        <w:rPr>
          <w:i/>
          <w:color w:val="000000" w:themeColor="text1"/>
        </w:rPr>
        <w:t>The steps to be taken by a State Party of the present Covenant to achieve the full realization of this right shall include technical and vocational guidance and training programmes, policies and techniques to achieve steady economic, social and cultural development and full and productive employment under conditions safeguarding fundamental political and economic freedom to the individual.</w:t>
      </w:r>
    </w:p>
    <w:p w14:paraId="36F07E61" w14:textId="401773F8" w:rsidR="00C93C85" w:rsidRPr="001E689E" w:rsidRDefault="00C93C85" w:rsidP="00C93C85">
      <w:pPr>
        <w:rPr>
          <w:color w:val="000000" w:themeColor="text1"/>
        </w:rPr>
      </w:pPr>
      <w:r>
        <w:rPr>
          <w:color w:val="000000" w:themeColor="text1"/>
        </w:rPr>
        <w:t>The SAF Amendment Regulations</w:t>
      </w:r>
      <w:r w:rsidRPr="001E689E">
        <w:rPr>
          <w:color w:val="000000" w:themeColor="text1"/>
        </w:rPr>
        <w:t xml:space="preserve"> </w:t>
      </w:r>
      <w:r>
        <w:rPr>
          <w:color w:val="000000" w:themeColor="text1"/>
        </w:rPr>
        <w:t>engage the right to work</w:t>
      </w:r>
      <w:r w:rsidRPr="001E689E">
        <w:rPr>
          <w:color w:val="000000" w:themeColor="text1"/>
        </w:rPr>
        <w:t xml:space="preserve"> for Australian citizens and permanent residents </w:t>
      </w:r>
      <w:r>
        <w:rPr>
          <w:color w:val="000000" w:themeColor="text1"/>
        </w:rPr>
        <w:t>because</w:t>
      </w:r>
      <w:r w:rsidRPr="001E689E">
        <w:rPr>
          <w:color w:val="000000" w:themeColor="text1"/>
        </w:rPr>
        <w:t xml:space="preserve"> </w:t>
      </w:r>
      <w:r>
        <w:rPr>
          <w:color w:val="000000" w:themeColor="text1"/>
        </w:rPr>
        <w:t xml:space="preserve">it extends arrangements for the payment of </w:t>
      </w:r>
      <w:r w:rsidRPr="001E689E">
        <w:rPr>
          <w:color w:val="000000" w:themeColor="text1"/>
        </w:rPr>
        <w:t>the nomination training contribution charge</w:t>
      </w:r>
      <w:r>
        <w:rPr>
          <w:color w:val="000000" w:themeColor="text1"/>
        </w:rPr>
        <w:t xml:space="preserve"> (SAF levy)</w:t>
      </w:r>
      <w:r w:rsidRPr="001E689E">
        <w:rPr>
          <w:color w:val="000000" w:themeColor="text1"/>
        </w:rPr>
        <w:t xml:space="preserve"> to be paid by employers accessing overseas skilled workers</w:t>
      </w:r>
      <w:r>
        <w:rPr>
          <w:color w:val="000000" w:themeColor="text1"/>
        </w:rPr>
        <w:t xml:space="preserve"> to the SID visa. </w:t>
      </w:r>
      <w:r w:rsidRPr="001E689E">
        <w:rPr>
          <w:color w:val="000000" w:themeColor="text1"/>
        </w:rPr>
        <w:t xml:space="preserve">The amount payable by the nominating employer depends on the type of </w:t>
      </w:r>
      <w:r>
        <w:rPr>
          <w:color w:val="000000" w:themeColor="text1"/>
        </w:rPr>
        <w:t xml:space="preserve">SID </w:t>
      </w:r>
      <w:r w:rsidRPr="001E689E">
        <w:rPr>
          <w:color w:val="000000" w:themeColor="text1"/>
        </w:rPr>
        <w:t>visa sought, the visa period and the size of the nominating employer's business (</w:t>
      </w:r>
      <w:r w:rsidR="00800D5F">
        <w:rPr>
          <w:color w:val="000000" w:themeColor="text1"/>
        </w:rPr>
        <w:t>in terms of annual turnover).</w:t>
      </w:r>
    </w:p>
    <w:p w14:paraId="34AACBAA" w14:textId="58B0AF00" w:rsidR="00C93C85" w:rsidRDefault="00C93C85" w:rsidP="00C93C85">
      <w:pPr>
        <w:rPr>
          <w:color w:val="000000" w:themeColor="text1"/>
        </w:rPr>
      </w:pPr>
      <w:r>
        <w:rPr>
          <w:color w:val="000000" w:themeColor="text1"/>
        </w:rPr>
        <w:t xml:space="preserve">The SAF levy </w:t>
      </w:r>
      <w:r w:rsidRPr="001E689E">
        <w:rPr>
          <w:color w:val="000000" w:themeColor="text1"/>
        </w:rPr>
        <w:t>contributes to the provision of training opportunities for Australian citizens and permanent residents</w:t>
      </w:r>
      <w:r>
        <w:rPr>
          <w:color w:val="000000" w:themeColor="text1"/>
        </w:rPr>
        <w:t xml:space="preserve">. </w:t>
      </w:r>
      <w:r w:rsidRPr="001E689E">
        <w:rPr>
          <w:color w:val="000000" w:themeColor="text1"/>
        </w:rPr>
        <w:t xml:space="preserve">Funding a national training </w:t>
      </w:r>
      <w:r>
        <w:rPr>
          <w:color w:val="000000" w:themeColor="text1"/>
        </w:rPr>
        <w:t>program</w:t>
      </w:r>
      <w:r w:rsidRPr="001E689E">
        <w:rPr>
          <w:color w:val="000000" w:themeColor="text1"/>
        </w:rPr>
        <w:t xml:space="preserve"> through the sponsorship and nomination framework</w:t>
      </w:r>
      <w:r>
        <w:rPr>
          <w:color w:val="000000" w:themeColor="text1"/>
        </w:rPr>
        <w:t xml:space="preserve"> of the SID visa</w:t>
      </w:r>
      <w:r w:rsidRPr="001E689E">
        <w:rPr>
          <w:color w:val="000000" w:themeColor="text1"/>
        </w:rPr>
        <w:t xml:space="preserve"> is an effective mechanism to promote training across a </w:t>
      </w:r>
      <w:r w:rsidRPr="001E689E">
        <w:rPr>
          <w:color w:val="000000" w:themeColor="text1"/>
        </w:rPr>
        <w:lastRenderedPageBreak/>
        <w:t xml:space="preserve">broad range of industries and occupations. The SAF </w:t>
      </w:r>
      <w:r>
        <w:rPr>
          <w:color w:val="000000" w:themeColor="text1"/>
        </w:rPr>
        <w:t xml:space="preserve">levy promotes the right to work </w:t>
      </w:r>
      <w:r w:rsidRPr="001E689E">
        <w:rPr>
          <w:color w:val="000000" w:themeColor="text1"/>
        </w:rPr>
        <w:t xml:space="preserve">because </w:t>
      </w:r>
      <w:r>
        <w:rPr>
          <w:color w:val="000000" w:themeColor="text1"/>
        </w:rPr>
        <w:t>the levy is used to</w:t>
      </w:r>
      <w:r w:rsidRPr="001E689E">
        <w:rPr>
          <w:color w:val="000000" w:themeColor="text1"/>
        </w:rPr>
        <w:t xml:space="preserve"> fund initiatives that improve training opportunities and outcomes for Australian citizens and permanent residents.</w:t>
      </w:r>
    </w:p>
    <w:p w14:paraId="175413F3" w14:textId="77777777" w:rsidR="00C93C85" w:rsidRPr="00C340B5" w:rsidRDefault="00C93C85" w:rsidP="00C93C85">
      <w:pPr>
        <w:rPr>
          <w:b/>
          <w:color w:val="000000" w:themeColor="text1"/>
        </w:rPr>
      </w:pPr>
      <w:r>
        <w:rPr>
          <w:b/>
          <w:color w:val="000000" w:themeColor="text1"/>
        </w:rPr>
        <w:t>Concl</w:t>
      </w:r>
      <w:r w:rsidRPr="00C340B5">
        <w:rPr>
          <w:b/>
          <w:color w:val="000000" w:themeColor="text1"/>
        </w:rPr>
        <w:t xml:space="preserve">usion </w:t>
      </w:r>
    </w:p>
    <w:p w14:paraId="56AC8E09" w14:textId="2D761F8D" w:rsidR="00C93C85" w:rsidRPr="00C340B5" w:rsidRDefault="00C93C85" w:rsidP="00C93C85">
      <w:pPr>
        <w:rPr>
          <w:color w:val="000000" w:themeColor="text1"/>
        </w:rPr>
      </w:pPr>
      <w:r>
        <w:t>Th</w:t>
      </w:r>
      <w:r w:rsidR="003B1292">
        <w:t>is</w:t>
      </w:r>
      <w:r>
        <w:t xml:space="preserve"> </w:t>
      </w:r>
      <w:r w:rsidR="003B1292">
        <w:t>legislative i</w:t>
      </w:r>
      <w:r>
        <w:t>nstrument is compatible with human rights because it promotes the protection of human rights.</w:t>
      </w:r>
    </w:p>
    <w:p w14:paraId="683BD7FB" w14:textId="77777777" w:rsidR="003B1292" w:rsidRDefault="003B1292" w:rsidP="00C93C85">
      <w:pPr>
        <w:spacing w:before="120" w:after="120"/>
        <w:jc w:val="center"/>
        <w:rPr>
          <w:b/>
          <w:color w:val="000000" w:themeColor="text1"/>
        </w:rPr>
      </w:pPr>
    </w:p>
    <w:p w14:paraId="34D1C43D" w14:textId="27A52749" w:rsidR="00C93C85" w:rsidRPr="00C340B5" w:rsidRDefault="00C93C85" w:rsidP="00C93C85">
      <w:pPr>
        <w:spacing w:before="120" w:after="120"/>
        <w:jc w:val="center"/>
        <w:rPr>
          <w:b/>
          <w:color w:val="000000" w:themeColor="text1"/>
        </w:rPr>
      </w:pPr>
      <w:r w:rsidRPr="00C340B5">
        <w:rPr>
          <w:b/>
          <w:color w:val="000000" w:themeColor="text1"/>
        </w:rPr>
        <w:t xml:space="preserve">The Hon </w:t>
      </w:r>
      <w:r>
        <w:rPr>
          <w:b/>
          <w:color w:val="000000" w:themeColor="text1"/>
        </w:rPr>
        <w:t xml:space="preserve">Tony Burke </w:t>
      </w:r>
      <w:r w:rsidRPr="00C340B5">
        <w:rPr>
          <w:b/>
          <w:color w:val="000000" w:themeColor="text1"/>
        </w:rPr>
        <w:t>MP</w:t>
      </w:r>
    </w:p>
    <w:p w14:paraId="26BC5A0B" w14:textId="77777777" w:rsidR="00C93C85" w:rsidRDefault="00C93C85" w:rsidP="00C93C85">
      <w:pPr>
        <w:tabs>
          <w:tab w:val="left" w:pos="345"/>
        </w:tabs>
        <w:spacing w:before="0"/>
        <w:ind w:right="43"/>
        <w:jc w:val="center"/>
        <w:rPr>
          <w:b/>
          <w:color w:val="000000" w:themeColor="text1"/>
        </w:rPr>
      </w:pPr>
      <w:r w:rsidRPr="00C340B5">
        <w:rPr>
          <w:b/>
          <w:color w:val="000000" w:themeColor="text1"/>
        </w:rPr>
        <w:t>Minister</w:t>
      </w:r>
      <w:r>
        <w:rPr>
          <w:b/>
          <w:color w:val="000000" w:themeColor="text1"/>
        </w:rPr>
        <w:t xml:space="preserve"> </w:t>
      </w:r>
      <w:r w:rsidRPr="00C340B5">
        <w:rPr>
          <w:b/>
          <w:color w:val="000000" w:themeColor="text1"/>
        </w:rPr>
        <w:t>for Immigration</w:t>
      </w:r>
      <w:r>
        <w:rPr>
          <w:b/>
          <w:color w:val="000000" w:themeColor="text1"/>
        </w:rPr>
        <w:t xml:space="preserve"> </w:t>
      </w:r>
      <w:r w:rsidRPr="00C340B5">
        <w:rPr>
          <w:b/>
          <w:color w:val="000000" w:themeColor="text1"/>
        </w:rPr>
        <w:t>and Multicultural Affairs</w:t>
      </w:r>
    </w:p>
    <w:p w14:paraId="3540ECD8" w14:textId="56B988A7" w:rsidR="00B11AD6" w:rsidRPr="00FD6D87" w:rsidRDefault="00A01BB3" w:rsidP="00C93C85">
      <w:pPr>
        <w:tabs>
          <w:tab w:val="left" w:pos="345"/>
        </w:tabs>
        <w:spacing w:before="0"/>
        <w:ind w:right="43"/>
        <w:jc w:val="right"/>
        <w:rPr>
          <w:b/>
          <w:bCs/>
          <w:u w:val="single"/>
        </w:rPr>
      </w:pPr>
      <w:r w:rsidRPr="00FD6D87">
        <w:rPr>
          <w:b/>
          <w:bCs/>
          <w:u w:val="single"/>
        </w:rPr>
        <w:br w:type="page"/>
      </w:r>
      <w:r w:rsidR="00B11AD6" w:rsidRPr="00FD6D87">
        <w:rPr>
          <w:b/>
          <w:bCs/>
          <w:u w:val="single"/>
        </w:rPr>
        <w:lastRenderedPageBreak/>
        <w:t>ATTACHMENT B</w:t>
      </w:r>
    </w:p>
    <w:p w14:paraId="7F1A59C3" w14:textId="7168FE93" w:rsidR="006A4E21" w:rsidRPr="00D974EF" w:rsidRDefault="006A4E21" w:rsidP="00270EFB">
      <w:pPr>
        <w:spacing w:before="360"/>
        <w:rPr>
          <w:b/>
          <w:i/>
          <w:u w:val="single"/>
        </w:rPr>
      </w:pPr>
      <w:r w:rsidRPr="00D974EF">
        <w:rPr>
          <w:b/>
          <w:u w:val="single"/>
        </w:rPr>
        <w:t xml:space="preserve">Details of the </w:t>
      </w:r>
      <w:r w:rsidR="00C93C85" w:rsidRPr="008D3D9E">
        <w:rPr>
          <w:b/>
          <w:i/>
          <w:iCs/>
          <w:u w:val="single"/>
        </w:rPr>
        <w:t>Migration (Skilling Australians Fund) Charges Amendment (Subclass 482 (Skills in Demand) Visa) Regulations 2024</w:t>
      </w:r>
    </w:p>
    <w:p w14:paraId="30F28248" w14:textId="77777777" w:rsidR="00303970" w:rsidRPr="00FD6D87" w:rsidRDefault="00303970" w:rsidP="00270EFB">
      <w:pPr>
        <w:pStyle w:val="EMclausenoteheader"/>
        <w:spacing w:before="240" w:after="240"/>
      </w:pPr>
      <w:bookmarkStart w:id="1" w:name="_Toc505262124"/>
      <w:bookmarkStart w:id="2" w:name="opcAmSched"/>
      <w:bookmarkStart w:id="3" w:name="opcCurrentFind"/>
      <w:r w:rsidRPr="00FD6D87">
        <w:t>Section 1 – Name of Regulations</w:t>
      </w:r>
    </w:p>
    <w:p w14:paraId="6833F4BD" w14:textId="3FCAFF56" w:rsidR="00C93C85" w:rsidRPr="003C4EB6" w:rsidRDefault="00C93C85" w:rsidP="00C93C85">
      <w:pPr>
        <w:pStyle w:val="EMclausenotes"/>
        <w:rPr>
          <w:i/>
          <w:iCs/>
        </w:rPr>
      </w:pPr>
      <w:r w:rsidRPr="003C4EB6">
        <w:t>This section provide</w:t>
      </w:r>
      <w:r w:rsidR="00800D5F">
        <w:t>s</w:t>
      </w:r>
      <w:r w:rsidRPr="003C4EB6">
        <w:t xml:space="preserve"> that the title of the Regulations is the </w:t>
      </w:r>
      <w:r w:rsidRPr="00C61737">
        <w:rPr>
          <w:i/>
          <w:iCs/>
        </w:rPr>
        <w:t>Migration (Skilling Australians Fund) Charges Amendment (Subclass 482 (Skills in Demand) Visa) Regulations 2024</w:t>
      </w:r>
      <w:r w:rsidR="00800D5F">
        <w:rPr>
          <w:i/>
          <w:iCs/>
        </w:rPr>
        <w:t xml:space="preserve"> </w:t>
      </w:r>
      <w:r w:rsidR="00800D5F">
        <w:rPr>
          <w:iCs/>
        </w:rPr>
        <w:t>(Amendment Regulations)</w:t>
      </w:r>
      <w:r w:rsidRPr="003C4EB6">
        <w:rPr>
          <w:i/>
          <w:iCs/>
        </w:rPr>
        <w:t>.</w:t>
      </w:r>
    </w:p>
    <w:p w14:paraId="6730016A" w14:textId="77777777" w:rsidR="00303970" w:rsidRPr="00FD6D87" w:rsidRDefault="00303970" w:rsidP="00270EFB">
      <w:pPr>
        <w:pStyle w:val="EMclausenoteheader"/>
        <w:spacing w:before="240" w:after="240"/>
      </w:pPr>
      <w:r w:rsidRPr="00FD6D87">
        <w:t>Section 2 – Commencement</w:t>
      </w:r>
    </w:p>
    <w:p w14:paraId="37B33DC3" w14:textId="7EA24A8C" w:rsidR="00303970" w:rsidRPr="00FD6D87" w:rsidRDefault="00800D5F" w:rsidP="00303970">
      <w:pPr>
        <w:pStyle w:val="EMclausenotes"/>
        <w:rPr>
          <w:rFonts w:eastAsia="SimSun"/>
        </w:rPr>
      </w:pPr>
      <w:r>
        <w:rPr>
          <w:rFonts w:eastAsia="SimSun"/>
        </w:rPr>
        <w:t xml:space="preserve">This section </w:t>
      </w:r>
      <w:r w:rsidR="00C93C85" w:rsidRPr="003C4EB6">
        <w:t>provide</w:t>
      </w:r>
      <w:r>
        <w:t>s</w:t>
      </w:r>
      <w:r w:rsidR="00C93C85" w:rsidRPr="003C4EB6">
        <w:rPr>
          <w:rFonts w:eastAsia="SimSun"/>
        </w:rPr>
        <w:t xml:space="preserve"> for the </w:t>
      </w:r>
      <w:r>
        <w:rPr>
          <w:rFonts w:eastAsia="SimSun"/>
        </w:rPr>
        <w:t>Amendment</w:t>
      </w:r>
      <w:r w:rsidR="00C93C85" w:rsidRPr="003C4EB6">
        <w:rPr>
          <w:rFonts w:eastAsia="SimSun"/>
        </w:rPr>
        <w:t xml:space="preserve"> Regulations to commence on </w:t>
      </w:r>
      <w:r w:rsidR="00C93C85">
        <w:rPr>
          <w:rFonts w:eastAsia="SimSun"/>
        </w:rPr>
        <w:t>7 December 2024</w:t>
      </w:r>
      <w:r w:rsidR="00C93C85" w:rsidRPr="003C4EB6">
        <w:rPr>
          <w:rFonts w:eastAsia="SimSun"/>
        </w:rPr>
        <w:t>.</w:t>
      </w:r>
    </w:p>
    <w:p w14:paraId="72553E26" w14:textId="61F47B9C" w:rsidR="00303970" w:rsidRPr="00FD6D87" w:rsidRDefault="00303970" w:rsidP="00270EFB">
      <w:pPr>
        <w:pStyle w:val="EMclausenoteheader"/>
        <w:spacing w:before="240" w:after="240"/>
      </w:pPr>
      <w:r w:rsidRPr="00FD6D87">
        <w:t>Section 3 – Authority</w:t>
      </w:r>
      <w:r w:rsidR="00C93C85">
        <w:t xml:space="preserve"> </w:t>
      </w:r>
    </w:p>
    <w:p w14:paraId="505F2A35" w14:textId="580481B0" w:rsidR="00C93C85" w:rsidRPr="003C4EB6" w:rsidRDefault="00C93C85" w:rsidP="00C93C85">
      <w:pPr>
        <w:pStyle w:val="EMclausenotes"/>
        <w:rPr>
          <w:rFonts w:eastAsia="SimSun"/>
        </w:rPr>
      </w:pPr>
      <w:r w:rsidRPr="003C4EB6">
        <w:rPr>
          <w:rFonts w:eastAsia="SimSun"/>
        </w:rPr>
        <w:t xml:space="preserve">This section </w:t>
      </w:r>
      <w:r w:rsidRPr="003C4EB6">
        <w:t>provide</w:t>
      </w:r>
      <w:r w:rsidR="00800D5F">
        <w:t>s</w:t>
      </w:r>
      <w:r w:rsidRPr="003C4EB6">
        <w:rPr>
          <w:rFonts w:eastAsia="SimSun"/>
        </w:rPr>
        <w:t xml:space="preserve"> that the </w:t>
      </w:r>
      <w:r w:rsidRPr="00C61737">
        <w:rPr>
          <w:i/>
          <w:iCs/>
        </w:rPr>
        <w:t>Migration (Skilling Australians Fund) Charges Amendment (Subclass 482 (Skills in Demand) Visa) Regulations 2024</w:t>
      </w:r>
      <w:r w:rsidRPr="003C4EB6">
        <w:t xml:space="preserve"> </w:t>
      </w:r>
      <w:r w:rsidRPr="003C4EB6">
        <w:rPr>
          <w:rFonts w:eastAsia="SimSun"/>
        </w:rPr>
        <w:t xml:space="preserve">are made under the </w:t>
      </w:r>
      <w:r>
        <w:rPr>
          <w:i/>
        </w:rPr>
        <w:t>Migration (Skilling Australians Fund) Charges Act 2018</w:t>
      </w:r>
      <w:r w:rsidR="00AC76BB" w:rsidRPr="00270EFB">
        <w:t xml:space="preserve"> (the SAF Act)</w:t>
      </w:r>
      <w:r w:rsidRPr="003C4EB6">
        <w:rPr>
          <w:rFonts w:eastAsia="SimSun"/>
        </w:rPr>
        <w:t>.</w:t>
      </w:r>
    </w:p>
    <w:p w14:paraId="2BB584F6" w14:textId="77777777" w:rsidR="00303970" w:rsidRPr="00270EFB" w:rsidRDefault="00303970" w:rsidP="00270EFB">
      <w:pPr>
        <w:pStyle w:val="EMclausenoteheader"/>
        <w:spacing w:before="240" w:after="240"/>
      </w:pPr>
      <w:r w:rsidRPr="00270EFB">
        <w:t>Section 4 – Schedules</w:t>
      </w:r>
    </w:p>
    <w:p w14:paraId="27894B26" w14:textId="3E566442" w:rsidR="00C93C85" w:rsidRPr="003C4EB6" w:rsidRDefault="00C93C85" w:rsidP="00C93C85">
      <w:pPr>
        <w:pStyle w:val="EMclausenotes"/>
      </w:pPr>
      <w:r w:rsidRPr="003C4EB6">
        <w:t>This section provide</w:t>
      </w:r>
      <w:r w:rsidR="00800D5F">
        <w:t>s</w:t>
      </w:r>
      <w:r w:rsidRPr="003C4EB6">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28AF36D2" w14:textId="77777777" w:rsidR="00303970" w:rsidRPr="00FD6D87" w:rsidRDefault="00303970" w:rsidP="00270EFB">
      <w:pPr>
        <w:pStyle w:val="EMclausenoteheader"/>
        <w:spacing w:before="240" w:after="240"/>
      </w:pPr>
      <w:r w:rsidRPr="00FD6D87">
        <w:t>Schedule 1 – Amendments</w:t>
      </w:r>
    </w:p>
    <w:p w14:paraId="6DF60F73" w14:textId="77777777" w:rsidR="00C93C85" w:rsidRPr="003C4EB6" w:rsidRDefault="00C93C85" w:rsidP="00C93C85">
      <w:pPr>
        <w:spacing w:before="100" w:beforeAutospacing="1"/>
        <w:rPr>
          <w:b/>
          <w:i/>
        </w:rPr>
      </w:pPr>
      <w:bookmarkStart w:id="4" w:name="_Toc182559363"/>
      <w:r w:rsidRPr="00E1450C">
        <w:rPr>
          <w:b/>
          <w:i/>
        </w:rPr>
        <w:t>Migration (Skilling Australians Fund) Charges Regulations 2018</w:t>
      </w:r>
      <w:bookmarkEnd w:id="4"/>
    </w:p>
    <w:p w14:paraId="3F13AD7C" w14:textId="77777777" w:rsidR="00C93C85" w:rsidRPr="003C4EB6" w:rsidRDefault="00C93C85" w:rsidP="00C93C85">
      <w:pPr>
        <w:pStyle w:val="EMitemheader"/>
        <w:rPr>
          <w:i/>
        </w:rPr>
      </w:pPr>
      <w:r w:rsidRPr="003C4EB6">
        <w:t xml:space="preserve">Item [1] – </w:t>
      </w:r>
      <w:r>
        <w:t>After paragraph 5(1</w:t>
      </w:r>
      <w:proofErr w:type="gramStart"/>
      <w:r>
        <w:t>)(</w:t>
      </w:r>
      <w:proofErr w:type="gramEnd"/>
      <w:r>
        <w:t>b)</w:t>
      </w:r>
    </w:p>
    <w:p w14:paraId="70F354B2" w14:textId="05E0E4CE" w:rsidR="00C93C85" w:rsidRDefault="00C93C85" w:rsidP="00C93C85">
      <w:pPr>
        <w:pStyle w:val="EMclausenotes"/>
      </w:pPr>
      <w:r w:rsidRPr="003C4EB6">
        <w:t>This item insert</w:t>
      </w:r>
      <w:r w:rsidR="00800D5F">
        <w:t>s</w:t>
      </w:r>
      <w:r w:rsidRPr="003C4EB6">
        <w:t xml:space="preserve"> new </w:t>
      </w:r>
      <w:r>
        <w:t>paragraph 5(1</w:t>
      </w:r>
      <w:proofErr w:type="gramStart"/>
      <w:r>
        <w:t>)(</w:t>
      </w:r>
      <w:proofErr w:type="spellStart"/>
      <w:proofErr w:type="gramEnd"/>
      <w:r>
        <w:t>ba</w:t>
      </w:r>
      <w:proofErr w:type="spellEnd"/>
      <w:r>
        <w:t>)</w:t>
      </w:r>
      <w:r w:rsidRPr="003C4EB6">
        <w:t xml:space="preserve"> </w:t>
      </w:r>
      <w:r>
        <w:t xml:space="preserve">to prescribe </w:t>
      </w:r>
      <w:r w:rsidR="00AC76BB">
        <w:t>a holder of a Subclass 482 (Skills in Demand) visa for the purposes of regulation 5 and subsection 8(1) of the SAF Act.</w:t>
      </w:r>
    </w:p>
    <w:p w14:paraId="42052B06" w14:textId="305AB643" w:rsidR="00C93C85" w:rsidRDefault="00C93C85" w:rsidP="00C93C85">
      <w:pPr>
        <w:pStyle w:val="EMclausenotes"/>
      </w:pPr>
      <w:r>
        <w:t>Regulation 5 operates to prescribe the nomination training contribution charge that is payable for nominations in relation to holders of Subclass 457 (Temporary Work (Skilled)) visas (Subclass 457 visa) and holders of, or applicants or proposed applicants for Subclass 482 visas. Holders of the Subclass 457 visa are included because a Subclass 457 holder will require a nomination under the new Subclass 482 visa provisions to change employer or occupation. The previous Subclass 457 nomination provisions were repealed on 18 March 2018.</w:t>
      </w:r>
    </w:p>
    <w:p w14:paraId="5B50507B" w14:textId="4F06FB51" w:rsidR="00C93C85" w:rsidRDefault="00C93C85" w:rsidP="00C93C85">
      <w:pPr>
        <w:pStyle w:val="EMclausenotes"/>
      </w:pPr>
      <w:r w:rsidRPr="00856E45">
        <w:t>The definition of</w:t>
      </w:r>
      <w:r>
        <w:rPr>
          <w:b/>
          <w:i/>
        </w:rPr>
        <w:t xml:space="preserve"> </w:t>
      </w:r>
      <w:r w:rsidRPr="00AC2406">
        <w:rPr>
          <w:b/>
          <w:i/>
        </w:rPr>
        <w:t>nomination training contribution charge</w:t>
      </w:r>
      <w:r w:rsidRPr="00AC2406">
        <w:t xml:space="preserve"> has the same </w:t>
      </w:r>
      <w:r>
        <w:t xml:space="preserve">meaning as in the </w:t>
      </w:r>
      <w:r w:rsidRPr="00856E45">
        <w:rPr>
          <w:i/>
        </w:rPr>
        <w:t>Migration Act 1958</w:t>
      </w:r>
      <w:r w:rsidR="005E4818">
        <w:rPr>
          <w:i/>
        </w:rPr>
        <w:t xml:space="preserve"> </w:t>
      </w:r>
      <w:r w:rsidR="005E4818">
        <w:t>(Migration Act)</w:t>
      </w:r>
      <w:r>
        <w:t>.</w:t>
      </w:r>
    </w:p>
    <w:p w14:paraId="332C6D94" w14:textId="4CCD9ABE" w:rsidR="00C93C85" w:rsidRDefault="00C93C85" w:rsidP="00C93C85">
      <w:pPr>
        <w:pStyle w:val="EMclausenotes"/>
      </w:pPr>
      <w:r>
        <w:t xml:space="preserve">The purpose of this amendment is to ensure that the amount of nomination training contribution charge payable in relation to a nomination of a kind mentioned in subsection </w:t>
      </w:r>
      <w:proofErr w:type="gramStart"/>
      <w:r>
        <w:t>140ZM(</w:t>
      </w:r>
      <w:proofErr w:type="gramEnd"/>
      <w:r>
        <w:t xml:space="preserve">1) of the Migration Act applies in relation to a proposed occupation </w:t>
      </w:r>
      <w:r w:rsidR="00414A14">
        <w:t xml:space="preserve">in relation </w:t>
      </w:r>
      <w:r>
        <w:t xml:space="preserve">to a holder of a Subclass 482 (Skills in Demand) visa, as the visa replacing the </w:t>
      </w:r>
      <w:r w:rsidRPr="0025257C">
        <w:t>Subclass 482 (Temporary Skill Shortage) visa</w:t>
      </w:r>
      <w:r>
        <w:t xml:space="preserve"> from 7 December 2024. </w:t>
      </w:r>
    </w:p>
    <w:p w14:paraId="4F6CAD9E" w14:textId="77777777" w:rsidR="00C93C85" w:rsidRPr="003C4EB6" w:rsidRDefault="00C93C85" w:rsidP="00C93C85">
      <w:pPr>
        <w:pStyle w:val="EMitemheader"/>
      </w:pPr>
      <w:r w:rsidRPr="003C4EB6">
        <w:lastRenderedPageBreak/>
        <w:t xml:space="preserve">Item [2] – </w:t>
      </w:r>
      <w:r>
        <w:t>Paragraphs 5(1</w:t>
      </w:r>
      <w:proofErr w:type="gramStart"/>
      <w:r>
        <w:t>)(</w:t>
      </w:r>
      <w:proofErr w:type="gramEnd"/>
      <w:r>
        <w:t>c) and 5(3)(a)</w:t>
      </w:r>
    </w:p>
    <w:p w14:paraId="174D58D3" w14:textId="230EE8DB" w:rsidR="00C93C85" w:rsidRDefault="00C93C85" w:rsidP="00C93C85">
      <w:pPr>
        <w:pStyle w:val="EMclausenotes"/>
      </w:pPr>
      <w:r w:rsidRPr="003C4EB6">
        <w:t xml:space="preserve">This item </w:t>
      </w:r>
      <w:r>
        <w:t>replace</w:t>
      </w:r>
      <w:r w:rsidR="00800D5F">
        <w:t xml:space="preserve">s </w:t>
      </w:r>
      <w:r>
        <w:t>reference to “Temporary Skill Shortage’ with “Skills in Demand” in paragraphs 5(1</w:t>
      </w:r>
      <w:proofErr w:type="gramStart"/>
      <w:r>
        <w:t>)(</w:t>
      </w:r>
      <w:proofErr w:type="gramEnd"/>
      <w:r>
        <w:t>c) and 5(3)(a), with reference to the matters outlined in Item</w:t>
      </w:r>
      <w:r w:rsidR="00A7156A">
        <w:t> </w:t>
      </w:r>
      <w:r>
        <w:t xml:space="preserve">[1]. </w:t>
      </w:r>
    </w:p>
    <w:p w14:paraId="0D5542A4" w14:textId="35D93D88" w:rsidR="00C93C85" w:rsidRDefault="00C93C85" w:rsidP="00C93C85">
      <w:pPr>
        <w:pStyle w:val="EMclausenotes"/>
      </w:pPr>
      <w:r>
        <w:t xml:space="preserve">The purpose of the amendment </w:t>
      </w:r>
      <w:r w:rsidR="006F58B4">
        <w:t>of</w:t>
      </w:r>
      <w:r>
        <w:t xml:space="preserve"> paragraph 5(1</w:t>
      </w:r>
      <w:proofErr w:type="gramStart"/>
      <w:r>
        <w:t>)(</w:t>
      </w:r>
      <w:proofErr w:type="gramEnd"/>
      <w:r>
        <w:t xml:space="preserve">c) is to ensure that the amount of nomination training contribution charge payable in relation to a nomination of a kind mentioned in subsection 140ZM(1) of the Migration Act applies in relation to a proposed occupation to an applicant or a proposed applicant for a Subclass 482 (Skills in Demand) visa, as the visa replacing the </w:t>
      </w:r>
      <w:r w:rsidRPr="0025257C">
        <w:t>Subclass 482 (Temporary Skill Shortage) visa</w:t>
      </w:r>
      <w:r>
        <w:t xml:space="preserve"> from 7</w:t>
      </w:r>
      <w:r w:rsidR="00414A14">
        <w:t> </w:t>
      </w:r>
      <w:r>
        <w:t>December 2024.</w:t>
      </w:r>
    </w:p>
    <w:p w14:paraId="1AEA3298" w14:textId="36253D2C" w:rsidR="00C93C85" w:rsidRDefault="00C93C85" w:rsidP="00C93C85">
      <w:pPr>
        <w:pStyle w:val="EMHeading"/>
        <w:keepNext w:val="0"/>
        <w:spacing w:after="0"/>
        <w:ind w:right="91"/>
        <w:rPr>
          <w:u w:val="none"/>
        </w:rPr>
      </w:pPr>
      <w:r>
        <w:rPr>
          <w:u w:val="none"/>
        </w:rPr>
        <w:t>Subsection 5(3) provides that the amount of the nomination training contribution charge is nil if the nominated occupation is minister of religion or religious assistant and the nomination is made for the purpose of an application for a Subclass 482 visa in the Labour Agreement stream. Under the former Subclass 457 visa program, religious institutions seeking labour agreements to sponsor ministers of religion or religious assistants were not required to meet the standard training benchmarks for the training of Australian workers. This exemption recognised the specialised recruitment and employment arrangements of religious institutions and the absence of any labour market impact arising from the small number of overseas workers sponsored under these arrangements. The provision of a nil amount for the nomination training contribution charge maintains the status quo for religious institutions, which is also consistent with the fact that religious institutions will not derive any benefit from the Skilling Australians Fund.</w:t>
      </w:r>
    </w:p>
    <w:p w14:paraId="0052A305" w14:textId="5603BC72" w:rsidR="00127ED0" w:rsidRPr="006331DC" w:rsidRDefault="00C93C85" w:rsidP="006B0FA6">
      <w:pPr>
        <w:pStyle w:val="EMclausenotes"/>
      </w:pPr>
      <w:r>
        <w:t xml:space="preserve">The purpose of the amendment </w:t>
      </w:r>
      <w:r w:rsidR="006F58B4">
        <w:t>of</w:t>
      </w:r>
      <w:r>
        <w:t xml:space="preserve"> paragraph 5(3</w:t>
      </w:r>
      <w:proofErr w:type="gramStart"/>
      <w:r>
        <w:t>)(</w:t>
      </w:r>
      <w:proofErr w:type="gramEnd"/>
      <w:r>
        <w:t xml:space="preserve">a) is to ensure that the amount of the nomination training contribution charge remains nil if the nominated occupation is minister of religion or religious assistant and the nomination is made for the purpose of an application for a Subclass 482 (Skills in Demand) visa – as the visa replacing the </w:t>
      </w:r>
      <w:r w:rsidRPr="0025257C">
        <w:t>Subclass 482 (Temporary Skill Shortage) visa</w:t>
      </w:r>
      <w:r>
        <w:t xml:space="preserve"> from 7 December 2024 – in the Labour Agreement stream. </w:t>
      </w:r>
      <w:bookmarkEnd w:id="1"/>
      <w:bookmarkEnd w:id="2"/>
      <w:bookmarkEnd w:id="3"/>
    </w:p>
    <w:sectPr w:rsidR="00127ED0" w:rsidRPr="006331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242A2" w14:textId="77777777" w:rsidR="008C007B" w:rsidRDefault="008C007B">
      <w:pPr>
        <w:spacing w:before="0"/>
      </w:pPr>
      <w:r>
        <w:separator/>
      </w:r>
    </w:p>
  </w:endnote>
  <w:endnote w:type="continuationSeparator" w:id="0">
    <w:p w14:paraId="3AFA6BC4" w14:textId="77777777" w:rsidR="008C007B" w:rsidRDefault="008C007B">
      <w:pPr>
        <w:spacing w:before="0"/>
      </w:pPr>
      <w:r>
        <w:continuationSeparator/>
      </w:r>
    </w:p>
  </w:endnote>
  <w:endnote w:type="continuationNotice" w:id="1">
    <w:p w14:paraId="444CBA96" w14:textId="77777777" w:rsidR="008C007B" w:rsidRDefault="008C007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485B8" w14:textId="77777777" w:rsidR="008C007B" w:rsidRDefault="008C0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085A1" w14:textId="38BA456F" w:rsidR="008C007B" w:rsidRDefault="008C007B">
    <w:pPr>
      <w:pStyle w:val="Footer"/>
      <w:jc w:val="center"/>
    </w:pPr>
    <w:r>
      <w:fldChar w:fldCharType="begin"/>
    </w:r>
    <w:r>
      <w:instrText xml:space="preserve"> PAGE   \* MERGEFORMAT </w:instrText>
    </w:r>
    <w:r>
      <w:fldChar w:fldCharType="separate"/>
    </w:r>
    <w:r w:rsidR="002645E0">
      <w:rPr>
        <w:noProof/>
      </w:rPr>
      <w:t>7</w:t>
    </w:r>
    <w:r>
      <w:fldChar w:fldCharType="end"/>
    </w:r>
  </w:p>
  <w:p w14:paraId="2BB36BEC" w14:textId="77777777" w:rsidR="008C007B" w:rsidRDefault="008C0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18FCA" w14:textId="77777777" w:rsidR="008C007B" w:rsidRDefault="008C0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4C415" w14:textId="77777777" w:rsidR="008C007B" w:rsidRDefault="008C007B">
      <w:pPr>
        <w:spacing w:before="0"/>
      </w:pPr>
      <w:r>
        <w:separator/>
      </w:r>
    </w:p>
  </w:footnote>
  <w:footnote w:type="continuationSeparator" w:id="0">
    <w:p w14:paraId="749EAF6C" w14:textId="77777777" w:rsidR="008C007B" w:rsidRDefault="008C007B">
      <w:pPr>
        <w:spacing w:before="0"/>
      </w:pPr>
      <w:r>
        <w:continuationSeparator/>
      </w:r>
    </w:p>
  </w:footnote>
  <w:footnote w:type="continuationNotice" w:id="1">
    <w:p w14:paraId="0FE13271" w14:textId="77777777" w:rsidR="008C007B" w:rsidRDefault="008C007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5CDE" w14:textId="77777777" w:rsidR="008C007B" w:rsidRDefault="008C0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1E4EF" w14:textId="77777777" w:rsidR="008C007B" w:rsidRDefault="008C0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A444" w14:textId="77777777" w:rsidR="008C007B" w:rsidRDefault="008C0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74068"/>
    <w:multiLevelType w:val="hybridMultilevel"/>
    <w:tmpl w:val="28F80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7D1EEE"/>
    <w:multiLevelType w:val="hybridMultilevel"/>
    <w:tmpl w:val="A6545C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8A83699"/>
    <w:multiLevelType w:val="hybridMultilevel"/>
    <w:tmpl w:val="8F7C170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E730C5F"/>
    <w:multiLevelType w:val="hybridMultilevel"/>
    <w:tmpl w:val="6744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A3853"/>
    <w:multiLevelType w:val="hybridMultilevel"/>
    <w:tmpl w:val="BB484D36"/>
    <w:lvl w:ilvl="0" w:tplc="9976DD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2265CFB"/>
    <w:multiLevelType w:val="hybridMultilevel"/>
    <w:tmpl w:val="8F228F70"/>
    <w:lvl w:ilvl="0" w:tplc="4D3A347A">
      <w:numFmt w:val="bullet"/>
      <w:lvlText w:val=""/>
      <w:lvlJc w:val="left"/>
      <w:pPr>
        <w:ind w:left="720" w:hanging="360"/>
      </w:pPr>
      <w:rPr>
        <w:rFonts w:ascii="Symbol" w:eastAsiaTheme="minorEastAsia"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9" w15:restartNumberingAfterBreak="0">
    <w:nsid w:val="15EB7FEE"/>
    <w:multiLevelType w:val="hybridMultilevel"/>
    <w:tmpl w:val="320A1C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9628A7"/>
    <w:multiLevelType w:val="hybridMultilevel"/>
    <w:tmpl w:val="DEB669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036F9A"/>
    <w:multiLevelType w:val="hybridMultilevel"/>
    <w:tmpl w:val="6602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B46C27"/>
    <w:multiLevelType w:val="hybridMultilevel"/>
    <w:tmpl w:val="A448C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ED5809"/>
    <w:multiLevelType w:val="hybridMultilevel"/>
    <w:tmpl w:val="A4166388"/>
    <w:lvl w:ilvl="0" w:tplc="53C66358">
      <w:numFmt w:val="bullet"/>
      <w:lvlText w:val="-"/>
      <w:lvlJc w:val="left"/>
      <w:pPr>
        <w:ind w:left="720" w:hanging="360"/>
      </w:pPr>
      <w:rPr>
        <w:rFonts w:ascii="Times New Roman" w:eastAsiaTheme="minorEastAsia"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4B6DDB"/>
    <w:multiLevelType w:val="hybridMultilevel"/>
    <w:tmpl w:val="85A6C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74436A"/>
    <w:multiLevelType w:val="hybridMultilevel"/>
    <w:tmpl w:val="6DAA8A1E"/>
    <w:lvl w:ilvl="0" w:tplc="AD68EEF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E95A03"/>
    <w:multiLevelType w:val="hybridMultilevel"/>
    <w:tmpl w:val="B64879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74A4AA0"/>
    <w:multiLevelType w:val="hybridMultilevel"/>
    <w:tmpl w:val="27264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466C5A"/>
    <w:multiLevelType w:val="hybridMultilevel"/>
    <w:tmpl w:val="FE209D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A27216C"/>
    <w:multiLevelType w:val="multilevel"/>
    <w:tmpl w:val="D354C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37BDB"/>
    <w:multiLevelType w:val="hybridMultilevel"/>
    <w:tmpl w:val="A6601C3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1" w15:restartNumberingAfterBreak="0">
    <w:nsid w:val="45993DE7"/>
    <w:multiLevelType w:val="hybridMultilevel"/>
    <w:tmpl w:val="16565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0324D0"/>
    <w:multiLevelType w:val="multilevel"/>
    <w:tmpl w:val="E542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D3B18"/>
    <w:multiLevelType w:val="hybridMultilevel"/>
    <w:tmpl w:val="895E5A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4" w15:restartNumberingAfterBreak="0">
    <w:nsid w:val="508A7FB4"/>
    <w:multiLevelType w:val="hybridMultilevel"/>
    <w:tmpl w:val="FB3849E6"/>
    <w:lvl w:ilvl="0" w:tplc="5574D15E">
      <w:start w:val="1"/>
      <w:numFmt w:val="bullet"/>
      <w:pStyle w:val="Bodytextbullet"/>
      <w:lvlText w:val=""/>
      <w:lvlJc w:val="left"/>
      <w:pPr>
        <w:tabs>
          <w:tab w:val="num" w:pos="18"/>
        </w:tabs>
        <w:ind w:left="18" w:hanging="360"/>
      </w:pPr>
      <w:rPr>
        <w:rFonts w:ascii="Symbol" w:hAnsi="Symbol" w:hint="default"/>
      </w:rPr>
    </w:lvl>
    <w:lvl w:ilvl="1" w:tplc="BD422FB6">
      <w:start w:val="1"/>
      <w:numFmt w:val="bullet"/>
      <w:lvlText w:val="o"/>
      <w:lvlJc w:val="left"/>
      <w:pPr>
        <w:tabs>
          <w:tab w:val="num" w:pos="738"/>
        </w:tabs>
        <w:ind w:left="738" w:hanging="360"/>
      </w:pPr>
      <w:rPr>
        <w:rFonts w:ascii="Courier New" w:hAnsi="Courier New" w:cs="Courier New" w:hint="default"/>
      </w:rPr>
    </w:lvl>
    <w:lvl w:ilvl="2" w:tplc="C12C4CD6">
      <w:start w:val="1"/>
      <w:numFmt w:val="bullet"/>
      <w:lvlText w:val=""/>
      <w:lvlJc w:val="left"/>
      <w:pPr>
        <w:tabs>
          <w:tab w:val="num" w:pos="1458"/>
        </w:tabs>
        <w:ind w:left="1458" w:hanging="360"/>
      </w:pPr>
      <w:rPr>
        <w:rFonts w:ascii="Wingdings" w:hAnsi="Wingdings" w:hint="default"/>
      </w:rPr>
    </w:lvl>
    <w:lvl w:ilvl="3" w:tplc="1F4A995A">
      <w:start w:val="1"/>
      <w:numFmt w:val="bullet"/>
      <w:lvlText w:val=""/>
      <w:lvlJc w:val="left"/>
      <w:pPr>
        <w:tabs>
          <w:tab w:val="num" w:pos="2178"/>
        </w:tabs>
        <w:ind w:left="2178" w:hanging="360"/>
      </w:pPr>
      <w:rPr>
        <w:rFonts w:ascii="Symbol" w:hAnsi="Symbol" w:hint="default"/>
      </w:rPr>
    </w:lvl>
    <w:lvl w:ilvl="4" w:tplc="B566876A">
      <w:start w:val="1"/>
      <w:numFmt w:val="bullet"/>
      <w:lvlText w:val="o"/>
      <w:lvlJc w:val="left"/>
      <w:pPr>
        <w:tabs>
          <w:tab w:val="num" w:pos="2898"/>
        </w:tabs>
        <w:ind w:left="2898" w:hanging="360"/>
      </w:pPr>
      <w:rPr>
        <w:rFonts w:ascii="Courier New" w:hAnsi="Courier New" w:cs="Courier New" w:hint="default"/>
      </w:rPr>
    </w:lvl>
    <w:lvl w:ilvl="5" w:tplc="68620E8E">
      <w:start w:val="1"/>
      <w:numFmt w:val="bullet"/>
      <w:lvlText w:val=""/>
      <w:lvlJc w:val="left"/>
      <w:pPr>
        <w:tabs>
          <w:tab w:val="num" w:pos="3618"/>
        </w:tabs>
        <w:ind w:left="3618" w:hanging="360"/>
      </w:pPr>
      <w:rPr>
        <w:rFonts w:ascii="Wingdings" w:hAnsi="Wingdings" w:hint="default"/>
      </w:rPr>
    </w:lvl>
    <w:lvl w:ilvl="6" w:tplc="9D123D6C">
      <w:start w:val="1"/>
      <w:numFmt w:val="bullet"/>
      <w:lvlText w:val=""/>
      <w:lvlJc w:val="left"/>
      <w:pPr>
        <w:tabs>
          <w:tab w:val="num" w:pos="4338"/>
        </w:tabs>
        <w:ind w:left="4338" w:hanging="360"/>
      </w:pPr>
      <w:rPr>
        <w:rFonts w:ascii="Symbol" w:hAnsi="Symbol" w:hint="default"/>
      </w:rPr>
    </w:lvl>
    <w:lvl w:ilvl="7" w:tplc="AA285CD8">
      <w:start w:val="1"/>
      <w:numFmt w:val="bullet"/>
      <w:lvlText w:val="o"/>
      <w:lvlJc w:val="left"/>
      <w:pPr>
        <w:tabs>
          <w:tab w:val="num" w:pos="5058"/>
        </w:tabs>
        <w:ind w:left="5058" w:hanging="360"/>
      </w:pPr>
      <w:rPr>
        <w:rFonts w:ascii="Courier New" w:hAnsi="Courier New" w:cs="Courier New" w:hint="default"/>
      </w:rPr>
    </w:lvl>
    <w:lvl w:ilvl="8" w:tplc="5A444A8A">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845428"/>
    <w:multiLevelType w:val="hybridMultilevel"/>
    <w:tmpl w:val="39C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F5021B"/>
    <w:multiLevelType w:val="hybridMultilevel"/>
    <w:tmpl w:val="C6B0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345028"/>
    <w:multiLevelType w:val="hybridMultilevel"/>
    <w:tmpl w:val="ACE8D2AC"/>
    <w:lvl w:ilvl="0" w:tplc="AA10D99C">
      <w:start w:val="1"/>
      <w:numFmt w:val="decimal"/>
      <w:lvlText w:val="%1."/>
      <w:lvlJc w:val="left"/>
      <w:pPr>
        <w:ind w:left="502" w:hanging="360"/>
      </w:pPr>
    </w:lvl>
    <w:lvl w:ilvl="1" w:tplc="F31E7960">
      <w:start w:val="1"/>
      <w:numFmt w:val="lowerLetter"/>
      <w:lvlText w:val="%2."/>
      <w:lvlJc w:val="left"/>
      <w:pPr>
        <w:ind w:left="1440" w:hanging="360"/>
      </w:pPr>
    </w:lvl>
    <w:lvl w:ilvl="2" w:tplc="DC927BC0">
      <w:start w:val="1"/>
      <w:numFmt w:val="lowerRoman"/>
      <w:lvlText w:val="%3."/>
      <w:lvlJc w:val="right"/>
      <w:pPr>
        <w:ind w:left="2160" w:hanging="180"/>
      </w:pPr>
    </w:lvl>
    <w:lvl w:ilvl="3" w:tplc="153C1C36">
      <w:start w:val="1"/>
      <w:numFmt w:val="decimal"/>
      <w:lvlText w:val="%4."/>
      <w:lvlJc w:val="left"/>
      <w:pPr>
        <w:ind w:left="2880" w:hanging="360"/>
      </w:pPr>
    </w:lvl>
    <w:lvl w:ilvl="4" w:tplc="AA143208">
      <w:start w:val="1"/>
      <w:numFmt w:val="lowerLetter"/>
      <w:lvlText w:val="%5."/>
      <w:lvlJc w:val="left"/>
      <w:pPr>
        <w:ind w:left="3600" w:hanging="360"/>
      </w:pPr>
    </w:lvl>
    <w:lvl w:ilvl="5" w:tplc="C3808080">
      <w:start w:val="1"/>
      <w:numFmt w:val="lowerRoman"/>
      <w:lvlText w:val="%6."/>
      <w:lvlJc w:val="right"/>
      <w:pPr>
        <w:ind w:left="4320" w:hanging="180"/>
      </w:pPr>
    </w:lvl>
    <w:lvl w:ilvl="6" w:tplc="22BE1F2A">
      <w:start w:val="1"/>
      <w:numFmt w:val="decimal"/>
      <w:lvlText w:val="%7."/>
      <w:lvlJc w:val="left"/>
      <w:pPr>
        <w:ind w:left="5040" w:hanging="360"/>
      </w:pPr>
    </w:lvl>
    <w:lvl w:ilvl="7" w:tplc="DB642FAA">
      <w:start w:val="1"/>
      <w:numFmt w:val="lowerLetter"/>
      <w:lvlText w:val="%8."/>
      <w:lvlJc w:val="left"/>
      <w:pPr>
        <w:ind w:left="5760" w:hanging="360"/>
      </w:pPr>
    </w:lvl>
    <w:lvl w:ilvl="8" w:tplc="E174B59C">
      <w:start w:val="1"/>
      <w:numFmt w:val="lowerRoman"/>
      <w:lvlText w:val="%9."/>
      <w:lvlJc w:val="right"/>
      <w:pPr>
        <w:ind w:left="6480" w:hanging="180"/>
      </w:pPr>
    </w:lvl>
  </w:abstractNum>
  <w:abstractNum w:abstractNumId="29" w15:restartNumberingAfterBreak="0">
    <w:nsid w:val="69204A74"/>
    <w:multiLevelType w:val="hybridMultilevel"/>
    <w:tmpl w:val="701A0FAA"/>
    <w:lvl w:ilvl="0" w:tplc="5D74AE4E">
      <w:start w:val="4"/>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9B50C6A"/>
    <w:multiLevelType w:val="hybridMultilevel"/>
    <w:tmpl w:val="D4BE08A8"/>
    <w:lvl w:ilvl="0" w:tplc="6FE410BC">
      <w:start w:val="1"/>
      <w:numFmt w:val="bullet"/>
      <w:lvlText w:val=""/>
      <w:lvlJc w:val="left"/>
      <w:pPr>
        <w:ind w:left="1148"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1" w15:restartNumberingAfterBreak="0">
    <w:nsid w:val="71163B15"/>
    <w:multiLevelType w:val="hybridMultilevel"/>
    <w:tmpl w:val="B92C4430"/>
    <w:lvl w:ilvl="0" w:tplc="0838959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39706E"/>
    <w:multiLevelType w:val="multilevel"/>
    <w:tmpl w:val="0EC886EA"/>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8" w:firstLine="0"/>
      </w:pPr>
      <w:rPr>
        <w:rFonts w:asciiTheme="minorHAnsi" w:hAnsiTheme="minorHAnsi" w:hint="default"/>
        <w:color w:val="auto"/>
      </w:rPr>
    </w:lvl>
    <w:lvl w:ilvl="2">
      <w:start w:val="1"/>
      <w:numFmt w:val="none"/>
      <w:suff w:val="nothing"/>
      <w:lvlText w:val=""/>
      <w:lvlJc w:val="left"/>
      <w:pPr>
        <w:ind w:left="852" w:firstLine="0"/>
      </w:pPr>
      <w:rPr>
        <w:rFonts w:asciiTheme="minorHAnsi" w:hAnsiTheme="minorHAnsi" w:hint="default"/>
        <w:color w:val="auto"/>
      </w:rPr>
    </w:lvl>
    <w:lvl w:ilvl="3">
      <w:start w:val="1"/>
      <w:numFmt w:val="none"/>
      <w:suff w:val="nothing"/>
      <w:lvlText w:val=""/>
      <w:lvlJc w:val="left"/>
      <w:pPr>
        <w:ind w:left="1136" w:firstLine="0"/>
      </w:pPr>
      <w:rPr>
        <w:rFonts w:asciiTheme="minorHAnsi" w:hAnsiTheme="minorHAnsi" w:hint="default"/>
        <w:color w:val="auto"/>
      </w:rPr>
    </w:lvl>
    <w:lvl w:ilvl="4">
      <w:start w:val="1"/>
      <w:numFmt w:val="none"/>
      <w:suff w:val="nothing"/>
      <w:lvlText w:val=""/>
      <w:lvlJc w:val="left"/>
      <w:pPr>
        <w:ind w:left="1420" w:firstLine="0"/>
      </w:pPr>
      <w:rPr>
        <w:rFonts w:asciiTheme="minorHAnsi" w:hAnsiTheme="minorHAnsi" w:hint="default"/>
        <w:color w:val="auto"/>
      </w:rPr>
    </w:lvl>
    <w:lvl w:ilvl="5">
      <w:start w:val="1"/>
      <w:numFmt w:val="none"/>
      <w:suff w:val="nothing"/>
      <w:lvlText w:val=""/>
      <w:lvlJc w:val="left"/>
      <w:pPr>
        <w:ind w:left="1704" w:firstLine="0"/>
      </w:pPr>
      <w:rPr>
        <w:rFonts w:asciiTheme="minorHAnsi" w:hAnsiTheme="minorHAnsi" w:hint="default"/>
        <w:color w:val="auto"/>
      </w:rPr>
    </w:lvl>
    <w:lvl w:ilvl="6">
      <w:start w:val="1"/>
      <w:numFmt w:val="none"/>
      <w:suff w:val="nothing"/>
      <w:lvlText w:val=""/>
      <w:lvlJc w:val="left"/>
      <w:pPr>
        <w:ind w:left="1988" w:firstLine="0"/>
      </w:pPr>
      <w:rPr>
        <w:rFonts w:hint="default"/>
        <w:color w:val="000000"/>
      </w:rPr>
    </w:lvl>
    <w:lvl w:ilvl="7">
      <w:start w:val="1"/>
      <w:numFmt w:val="none"/>
      <w:suff w:val="nothing"/>
      <w:lvlText w:val=""/>
      <w:lvlJc w:val="left"/>
      <w:pPr>
        <w:ind w:left="2272" w:firstLine="0"/>
      </w:pPr>
      <w:rPr>
        <w:rFonts w:hint="default"/>
      </w:rPr>
    </w:lvl>
    <w:lvl w:ilvl="8">
      <w:numFmt w:val="none"/>
      <w:lvlText w:val=""/>
      <w:lvlJc w:val="left"/>
      <w:pPr>
        <w:tabs>
          <w:tab w:val="num" w:pos="3407"/>
        </w:tabs>
        <w:ind w:left="2556" w:firstLine="0"/>
      </w:pPr>
      <w:rPr>
        <w:rFonts w:hint="default"/>
      </w:rPr>
    </w:lvl>
  </w:abstractNum>
  <w:abstractNum w:abstractNumId="33" w15:restartNumberingAfterBreak="0">
    <w:nsid w:val="722C4BA4"/>
    <w:multiLevelType w:val="hybridMultilevel"/>
    <w:tmpl w:val="6E9605AC"/>
    <w:lvl w:ilvl="0" w:tplc="3DCE747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4" w15:restartNumberingAfterBreak="0">
    <w:nsid w:val="7A6C533E"/>
    <w:multiLevelType w:val="hybridMultilevel"/>
    <w:tmpl w:val="9CD04DBE"/>
    <w:lvl w:ilvl="0" w:tplc="FF90BCC6">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1F6889"/>
    <w:multiLevelType w:val="hybridMultilevel"/>
    <w:tmpl w:val="456ED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3C3DE9"/>
    <w:multiLevelType w:val="hybridMultilevel"/>
    <w:tmpl w:val="3918AC86"/>
    <w:lvl w:ilvl="0" w:tplc="10ACD3A6">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lvlOverride w:ilvl="0">
      <w:startOverride w:val="2"/>
    </w:lvlOverride>
  </w:num>
  <w:num w:numId="2">
    <w:abstractNumId w:val="25"/>
  </w:num>
  <w:num w:numId="3">
    <w:abstractNumId w:val="29"/>
  </w:num>
  <w:num w:numId="4">
    <w:abstractNumId w:val="7"/>
  </w:num>
  <w:num w:numId="5">
    <w:abstractNumId w:val="34"/>
  </w:num>
  <w:num w:numId="6">
    <w:abstractNumId w:val="9"/>
  </w:num>
  <w:num w:numId="7">
    <w:abstractNumId w:val="13"/>
  </w:num>
  <w:num w:numId="8">
    <w:abstractNumId w:val="4"/>
  </w:num>
  <w:num w:numId="9">
    <w:abstractNumId w:val="8"/>
    <w:lvlOverride w:ilvl="0">
      <w:startOverride w:val="1"/>
    </w:lvlOverride>
  </w:num>
  <w:num w:numId="10">
    <w:abstractNumId w:val="10"/>
  </w:num>
  <w:num w:numId="11">
    <w:abstractNumId w:val="19"/>
  </w:num>
  <w:num w:numId="12">
    <w:abstractNumId w:val="22"/>
  </w:num>
  <w:num w:numId="13">
    <w:abstractNumId w:val="0"/>
  </w:num>
  <w:num w:numId="14">
    <w:abstractNumId w:val="32"/>
  </w:num>
  <w:num w:numId="15">
    <w:abstractNumId w:val="27"/>
  </w:num>
  <w:num w:numId="16">
    <w:abstractNumId w:val="1"/>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0"/>
  </w:num>
  <w:num w:numId="20">
    <w:abstractNumId w:val="15"/>
  </w:num>
  <w:num w:numId="21">
    <w:abstractNumId w:val="14"/>
  </w:num>
  <w:num w:numId="22">
    <w:abstractNumId w:val="12"/>
  </w:num>
  <w:num w:numId="23">
    <w:abstractNumId w:val="26"/>
  </w:num>
  <w:num w:numId="24">
    <w:abstractNumId w:val="5"/>
  </w:num>
  <w:num w:numId="25">
    <w:abstractNumId w:val="33"/>
  </w:num>
  <w:num w:numId="26">
    <w:abstractNumId w:val="17"/>
  </w:num>
  <w:num w:numId="27">
    <w:abstractNumId w:val="24"/>
  </w:num>
  <w:num w:numId="28">
    <w:abstractNumId w:val="30"/>
  </w:num>
  <w:num w:numId="29">
    <w:abstractNumId w:val="2"/>
  </w:num>
  <w:num w:numId="30">
    <w:abstractNumId w:val="6"/>
  </w:num>
  <w:num w:numId="31">
    <w:abstractNumId w:val="3"/>
  </w:num>
  <w:num w:numId="32">
    <w:abstractNumId w:val="35"/>
  </w:num>
  <w:num w:numId="33">
    <w:abstractNumId w:val="18"/>
  </w:num>
  <w:num w:numId="34">
    <w:abstractNumId w:val="11"/>
  </w:num>
  <w:num w:numId="35">
    <w:abstractNumId w:val="23"/>
  </w:num>
  <w:num w:numId="36">
    <w:abstractNumId w:val="21"/>
  </w:num>
  <w:num w:numId="37">
    <w:abstractNumId w:val="16"/>
  </w:num>
  <w:num w:numId="3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AA"/>
    <w:rsid w:val="00001EEA"/>
    <w:rsid w:val="000036DE"/>
    <w:rsid w:val="00011715"/>
    <w:rsid w:val="00011BAC"/>
    <w:rsid w:val="00012ADF"/>
    <w:rsid w:val="00017ECC"/>
    <w:rsid w:val="000218A6"/>
    <w:rsid w:val="00031CB9"/>
    <w:rsid w:val="00037ED0"/>
    <w:rsid w:val="00043A51"/>
    <w:rsid w:val="0004455C"/>
    <w:rsid w:val="00047C38"/>
    <w:rsid w:val="000527F9"/>
    <w:rsid w:val="0005347A"/>
    <w:rsid w:val="00061D7A"/>
    <w:rsid w:val="00087852"/>
    <w:rsid w:val="00093F82"/>
    <w:rsid w:val="000A2965"/>
    <w:rsid w:val="000C3F49"/>
    <w:rsid w:val="000D0D9B"/>
    <w:rsid w:val="000D392D"/>
    <w:rsid w:val="000D5D15"/>
    <w:rsid w:val="000D7C55"/>
    <w:rsid w:val="000E31DD"/>
    <w:rsid w:val="000F1874"/>
    <w:rsid w:val="0010188F"/>
    <w:rsid w:val="00102206"/>
    <w:rsid w:val="00104FED"/>
    <w:rsid w:val="001128CF"/>
    <w:rsid w:val="0012219D"/>
    <w:rsid w:val="00125FA0"/>
    <w:rsid w:val="00127CD4"/>
    <w:rsid w:val="00127ED0"/>
    <w:rsid w:val="0015606D"/>
    <w:rsid w:val="00156904"/>
    <w:rsid w:val="00165075"/>
    <w:rsid w:val="001819B6"/>
    <w:rsid w:val="00190BCD"/>
    <w:rsid w:val="00191A3C"/>
    <w:rsid w:val="0019437F"/>
    <w:rsid w:val="001950E2"/>
    <w:rsid w:val="001952C2"/>
    <w:rsid w:val="001B1861"/>
    <w:rsid w:val="001B4587"/>
    <w:rsid w:val="001B64FC"/>
    <w:rsid w:val="001D18F3"/>
    <w:rsid w:val="001D4807"/>
    <w:rsid w:val="001E6574"/>
    <w:rsid w:val="001F102F"/>
    <w:rsid w:val="001F1303"/>
    <w:rsid w:val="001F6ACC"/>
    <w:rsid w:val="001F7CD9"/>
    <w:rsid w:val="00201BE5"/>
    <w:rsid w:val="002230F6"/>
    <w:rsid w:val="00225340"/>
    <w:rsid w:val="00226837"/>
    <w:rsid w:val="00231291"/>
    <w:rsid w:val="00240431"/>
    <w:rsid w:val="0024360E"/>
    <w:rsid w:val="00243B1B"/>
    <w:rsid w:val="00247363"/>
    <w:rsid w:val="00252C37"/>
    <w:rsid w:val="00260AE4"/>
    <w:rsid w:val="002645E0"/>
    <w:rsid w:val="00265167"/>
    <w:rsid w:val="00265286"/>
    <w:rsid w:val="00270EFB"/>
    <w:rsid w:val="00284489"/>
    <w:rsid w:val="002A0687"/>
    <w:rsid w:val="002A519A"/>
    <w:rsid w:val="002A7145"/>
    <w:rsid w:val="002B6369"/>
    <w:rsid w:val="002B6EE3"/>
    <w:rsid w:val="002B730D"/>
    <w:rsid w:val="002C660C"/>
    <w:rsid w:val="002C727F"/>
    <w:rsid w:val="002D15EA"/>
    <w:rsid w:val="002E5269"/>
    <w:rsid w:val="002E682E"/>
    <w:rsid w:val="002E68ED"/>
    <w:rsid w:val="002F65BF"/>
    <w:rsid w:val="002F7BB2"/>
    <w:rsid w:val="00301A33"/>
    <w:rsid w:val="00303970"/>
    <w:rsid w:val="00316543"/>
    <w:rsid w:val="00316B06"/>
    <w:rsid w:val="00317C92"/>
    <w:rsid w:val="00323747"/>
    <w:rsid w:val="00324C80"/>
    <w:rsid w:val="003254AA"/>
    <w:rsid w:val="00335BFE"/>
    <w:rsid w:val="00335E77"/>
    <w:rsid w:val="00344169"/>
    <w:rsid w:val="00346862"/>
    <w:rsid w:val="0034766E"/>
    <w:rsid w:val="0035095B"/>
    <w:rsid w:val="0035101B"/>
    <w:rsid w:val="00352144"/>
    <w:rsid w:val="0035314F"/>
    <w:rsid w:val="00354805"/>
    <w:rsid w:val="00363829"/>
    <w:rsid w:val="003A0F98"/>
    <w:rsid w:val="003A39D5"/>
    <w:rsid w:val="003B1292"/>
    <w:rsid w:val="003C736A"/>
    <w:rsid w:val="003C7F1D"/>
    <w:rsid w:val="003E130B"/>
    <w:rsid w:val="003E30CC"/>
    <w:rsid w:val="003E48D9"/>
    <w:rsid w:val="003F0EC5"/>
    <w:rsid w:val="003F2014"/>
    <w:rsid w:val="00402321"/>
    <w:rsid w:val="00414A14"/>
    <w:rsid w:val="00415EB6"/>
    <w:rsid w:val="00425E70"/>
    <w:rsid w:val="00440B5D"/>
    <w:rsid w:val="0045255C"/>
    <w:rsid w:val="004535EE"/>
    <w:rsid w:val="004542EE"/>
    <w:rsid w:val="00457F89"/>
    <w:rsid w:val="004633F7"/>
    <w:rsid w:val="0047155E"/>
    <w:rsid w:val="00475C2B"/>
    <w:rsid w:val="00490DFA"/>
    <w:rsid w:val="004A03C9"/>
    <w:rsid w:val="004A49B8"/>
    <w:rsid w:val="004A6B8A"/>
    <w:rsid w:val="004B1E85"/>
    <w:rsid w:val="004B22FE"/>
    <w:rsid w:val="004B5120"/>
    <w:rsid w:val="004C0CD5"/>
    <w:rsid w:val="004D4279"/>
    <w:rsid w:val="004D726E"/>
    <w:rsid w:val="004E0617"/>
    <w:rsid w:val="004E1515"/>
    <w:rsid w:val="004F11E2"/>
    <w:rsid w:val="004F1AF1"/>
    <w:rsid w:val="005012A5"/>
    <w:rsid w:val="0050131A"/>
    <w:rsid w:val="0051373C"/>
    <w:rsid w:val="00515D74"/>
    <w:rsid w:val="00516033"/>
    <w:rsid w:val="00516E4B"/>
    <w:rsid w:val="00531FA5"/>
    <w:rsid w:val="00537678"/>
    <w:rsid w:val="00544D94"/>
    <w:rsid w:val="0055055F"/>
    <w:rsid w:val="00554DFA"/>
    <w:rsid w:val="00555013"/>
    <w:rsid w:val="00556D2F"/>
    <w:rsid w:val="00557150"/>
    <w:rsid w:val="00562482"/>
    <w:rsid w:val="00575847"/>
    <w:rsid w:val="0058191B"/>
    <w:rsid w:val="0059245A"/>
    <w:rsid w:val="005949BF"/>
    <w:rsid w:val="0059680B"/>
    <w:rsid w:val="005A47DE"/>
    <w:rsid w:val="005A7615"/>
    <w:rsid w:val="005B46A5"/>
    <w:rsid w:val="005C6994"/>
    <w:rsid w:val="005D219A"/>
    <w:rsid w:val="005E4818"/>
    <w:rsid w:val="005F690B"/>
    <w:rsid w:val="00607F3E"/>
    <w:rsid w:val="0061263D"/>
    <w:rsid w:val="006331DC"/>
    <w:rsid w:val="00643C17"/>
    <w:rsid w:val="0066302B"/>
    <w:rsid w:val="00663129"/>
    <w:rsid w:val="00665484"/>
    <w:rsid w:val="00667073"/>
    <w:rsid w:val="006711B6"/>
    <w:rsid w:val="00681BAC"/>
    <w:rsid w:val="00693494"/>
    <w:rsid w:val="00697C1A"/>
    <w:rsid w:val="006A083C"/>
    <w:rsid w:val="006A4E21"/>
    <w:rsid w:val="006B0FA6"/>
    <w:rsid w:val="006B2C60"/>
    <w:rsid w:val="006C1AF5"/>
    <w:rsid w:val="006C6E0E"/>
    <w:rsid w:val="006D5161"/>
    <w:rsid w:val="006E1B12"/>
    <w:rsid w:val="006F58B4"/>
    <w:rsid w:val="00721003"/>
    <w:rsid w:val="00725085"/>
    <w:rsid w:val="007309D4"/>
    <w:rsid w:val="00735DB6"/>
    <w:rsid w:val="0074200D"/>
    <w:rsid w:val="007477E9"/>
    <w:rsid w:val="00757A7C"/>
    <w:rsid w:val="00760FD2"/>
    <w:rsid w:val="007749AA"/>
    <w:rsid w:val="00775BE6"/>
    <w:rsid w:val="007840A2"/>
    <w:rsid w:val="00786F2B"/>
    <w:rsid w:val="00791B58"/>
    <w:rsid w:val="00793C4B"/>
    <w:rsid w:val="007969CC"/>
    <w:rsid w:val="007B5C74"/>
    <w:rsid w:val="007C2AFB"/>
    <w:rsid w:val="007C6819"/>
    <w:rsid w:val="007D4236"/>
    <w:rsid w:val="007D7F16"/>
    <w:rsid w:val="007E2DEE"/>
    <w:rsid w:val="007F1457"/>
    <w:rsid w:val="007F3109"/>
    <w:rsid w:val="00800D5F"/>
    <w:rsid w:val="00801361"/>
    <w:rsid w:val="00803888"/>
    <w:rsid w:val="008043CF"/>
    <w:rsid w:val="00804FE6"/>
    <w:rsid w:val="00817A10"/>
    <w:rsid w:val="00824162"/>
    <w:rsid w:val="00836949"/>
    <w:rsid w:val="00841FD6"/>
    <w:rsid w:val="00842677"/>
    <w:rsid w:val="00846BE6"/>
    <w:rsid w:val="008526F0"/>
    <w:rsid w:val="00855976"/>
    <w:rsid w:val="008567E3"/>
    <w:rsid w:val="00856AAA"/>
    <w:rsid w:val="00856AEB"/>
    <w:rsid w:val="00861F88"/>
    <w:rsid w:val="0086358F"/>
    <w:rsid w:val="00863FB7"/>
    <w:rsid w:val="00877CFA"/>
    <w:rsid w:val="00877F95"/>
    <w:rsid w:val="00881226"/>
    <w:rsid w:val="00884D25"/>
    <w:rsid w:val="00886C53"/>
    <w:rsid w:val="008876E2"/>
    <w:rsid w:val="008A31C5"/>
    <w:rsid w:val="008B36A3"/>
    <w:rsid w:val="008C007B"/>
    <w:rsid w:val="008C0D64"/>
    <w:rsid w:val="008C53A9"/>
    <w:rsid w:val="008C6BAF"/>
    <w:rsid w:val="008C6C25"/>
    <w:rsid w:val="008C7230"/>
    <w:rsid w:val="008E2766"/>
    <w:rsid w:val="008E6DB3"/>
    <w:rsid w:val="00900340"/>
    <w:rsid w:val="00900E23"/>
    <w:rsid w:val="0091233C"/>
    <w:rsid w:val="00935DDE"/>
    <w:rsid w:val="00944A92"/>
    <w:rsid w:val="00954221"/>
    <w:rsid w:val="00954247"/>
    <w:rsid w:val="009564CF"/>
    <w:rsid w:val="00957150"/>
    <w:rsid w:val="00963B2A"/>
    <w:rsid w:val="0098389D"/>
    <w:rsid w:val="0098464C"/>
    <w:rsid w:val="00986493"/>
    <w:rsid w:val="00994DC5"/>
    <w:rsid w:val="009969EA"/>
    <w:rsid w:val="009A1562"/>
    <w:rsid w:val="009A168D"/>
    <w:rsid w:val="009A4145"/>
    <w:rsid w:val="009B2A23"/>
    <w:rsid w:val="009B5940"/>
    <w:rsid w:val="009B7A31"/>
    <w:rsid w:val="009C32A3"/>
    <w:rsid w:val="009C5D93"/>
    <w:rsid w:val="009D548B"/>
    <w:rsid w:val="009D5738"/>
    <w:rsid w:val="009F16BD"/>
    <w:rsid w:val="009F1D4C"/>
    <w:rsid w:val="00A01BB3"/>
    <w:rsid w:val="00A04A51"/>
    <w:rsid w:val="00A217E8"/>
    <w:rsid w:val="00A24AF0"/>
    <w:rsid w:val="00A27AE4"/>
    <w:rsid w:val="00A33F0F"/>
    <w:rsid w:val="00A376EA"/>
    <w:rsid w:val="00A461F7"/>
    <w:rsid w:val="00A55044"/>
    <w:rsid w:val="00A6297F"/>
    <w:rsid w:val="00A64508"/>
    <w:rsid w:val="00A7156A"/>
    <w:rsid w:val="00A71D55"/>
    <w:rsid w:val="00A875FB"/>
    <w:rsid w:val="00A87B9F"/>
    <w:rsid w:val="00A9681E"/>
    <w:rsid w:val="00A974E9"/>
    <w:rsid w:val="00AA1D24"/>
    <w:rsid w:val="00AB7B3E"/>
    <w:rsid w:val="00AC76BB"/>
    <w:rsid w:val="00AD262E"/>
    <w:rsid w:val="00AD3B75"/>
    <w:rsid w:val="00AD3C1E"/>
    <w:rsid w:val="00AE0494"/>
    <w:rsid w:val="00AE0BFD"/>
    <w:rsid w:val="00AF497E"/>
    <w:rsid w:val="00B01154"/>
    <w:rsid w:val="00B04037"/>
    <w:rsid w:val="00B11AD6"/>
    <w:rsid w:val="00B209A4"/>
    <w:rsid w:val="00B2211F"/>
    <w:rsid w:val="00B262BE"/>
    <w:rsid w:val="00B43D98"/>
    <w:rsid w:val="00B44825"/>
    <w:rsid w:val="00B46A1B"/>
    <w:rsid w:val="00B566AB"/>
    <w:rsid w:val="00B605FF"/>
    <w:rsid w:val="00B61A41"/>
    <w:rsid w:val="00B74410"/>
    <w:rsid w:val="00B74BD3"/>
    <w:rsid w:val="00B77F70"/>
    <w:rsid w:val="00B8002B"/>
    <w:rsid w:val="00B83B68"/>
    <w:rsid w:val="00B93567"/>
    <w:rsid w:val="00BA085D"/>
    <w:rsid w:val="00BB3B5E"/>
    <w:rsid w:val="00BB45ED"/>
    <w:rsid w:val="00BB4C08"/>
    <w:rsid w:val="00BB648A"/>
    <w:rsid w:val="00BC6365"/>
    <w:rsid w:val="00BD4D59"/>
    <w:rsid w:val="00BD6761"/>
    <w:rsid w:val="00BD6900"/>
    <w:rsid w:val="00BE2524"/>
    <w:rsid w:val="00BF25CF"/>
    <w:rsid w:val="00BF278F"/>
    <w:rsid w:val="00C03C13"/>
    <w:rsid w:val="00C134F8"/>
    <w:rsid w:val="00C16BF9"/>
    <w:rsid w:val="00C26032"/>
    <w:rsid w:val="00C45213"/>
    <w:rsid w:val="00C52C4C"/>
    <w:rsid w:val="00C83820"/>
    <w:rsid w:val="00C90B2D"/>
    <w:rsid w:val="00C9359F"/>
    <w:rsid w:val="00C93C85"/>
    <w:rsid w:val="00CA2332"/>
    <w:rsid w:val="00CA3DA2"/>
    <w:rsid w:val="00CA5A77"/>
    <w:rsid w:val="00CB41FF"/>
    <w:rsid w:val="00CB5335"/>
    <w:rsid w:val="00CC0048"/>
    <w:rsid w:val="00CC4693"/>
    <w:rsid w:val="00CC52A4"/>
    <w:rsid w:val="00CC6BB7"/>
    <w:rsid w:val="00CC7A36"/>
    <w:rsid w:val="00CD3F34"/>
    <w:rsid w:val="00CD754F"/>
    <w:rsid w:val="00CE46E3"/>
    <w:rsid w:val="00CF73AD"/>
    <w:rsid w:val="00D02FA2"/>
    <w:rsid w:val="00D07D21"/>
    <w:rsid w:val="00D13273"/>
    <w:rsid w:val="00D25704"/>
    <w:rsid w:val="00D32D5D"/>
    <w:rsid w:val="00D461B7"/>
    <w:rsid w:val="00D5199C"/>
    <w:rsid w:val="00D54B0C"/>
    <w:rsid w:val="00D65924"/>
    <w:rsid w:val="00D675BF"/>
    <w:rsid w:val="00D81C09"/>
    <w:rsid w:val="00D91498"/>
    <w:rsid w:val="00D95AB6"/>
    <w:rsid w:val="00D95FB7"/>
    <w:rsid w:val="00D974EF"/>
    <w:rsid w:val="00DA39F0"/>
    <w:rsid w:val="00DB670D"/>
    <w:rsid w:val="00DC003D"/>
    <w:rsid w:val="00DC4E21"/>
    <w:rsid w:val="00DD3124"/>
    <w:rsid w:val="00DD67A0"/>
    <w:rsid w:val="00DF3242"/>
    <w:rsid w:val="00E00F1E"/>
    <w:rsid w:val="00E01F78"/>
    <w:rsid w:val="00E21DEB"/>
    <w:rsid w:val="00E220A5"/>
    <w:rsid w:val="00E24090"/>
    <w:rsid w:val="00E35C47"/>
    <w:rsid w:val="00E42AFA"/>
    <w:rsid w:val="00E45EAB"/>
    <w:rsid w:val="00E46966"/>
    <w:rsid w:val="00E501B9"/>
    <w:rsid w:val="00E60E15"/>
    <w:rsid w:val="00E7506A"/>
    <w:rsid w:val="00E86056"/>
    <w:rsid w:val="00E8792C"/>
    <w:rsid w:val="00E93E4E"/>
    <w:rsid w:val="00E93ED1"/>
    <w:rsid w:val="00E94ECD"/>
    <w:rsid w:val="00E974A9"/>
    <w:rsid w:val="00EA2746"/>
    <w:rsid w:val="00EA36A9"/>
    <w:rsid w:val="00EB67EA"/>
    <w:rsid w:val="00EB784C"/>
    <w:rsid w:val="00EC2DB4"/>
    <w:rsid w:val="00EC508B"/>
    <w:rsid w:val="00EC66E5"/>
    <w:rsid w:val="00EC6AB9"/>
    <w:rsid w:val="00ED21FA"/>
    <w:rsid w:val="00EE2D97"/>
    <w:rsid w:val="00EE4B68"/>
    <w:rsid w:val="00EE62D5"/>
    <w:rsid w:val="00F01013"/>
    <w:rsid w:val="00F13C5E"/>
    <w:rsid w:val="00F249FE"/>
    <w:rsid w:val="00F24B09"/>
    <w:rsid w:val="00F334B7"/>
    <w:rsid w:val="00F40310"/>
    <w:rsid w:val="00F475B4"/>
    <w:rsid w:val="00F502B0"/>
    <w:rsid w:val="00F61DFF"/>
    <w:rsid w:val="00F6208B"/>
    <w:rsid w:val="00F63422"/>
    <w:rsid w:val="00F67109"/>
    <w:rsid w:val="00F73FA9"/>
    <w:rsid w:val="00F75853"/>
    <w:rsid w:val="00F77AC1"/>
    <w:rsid w:val="00F811CA"/>
    <w:rsid w:val="00F828E1"/>
    <w:rsid w:val="00F83CE6"/>
    <w:rsid w:val="00F96BAE"/>
    <w:rsid w:val="00FA3755"/>
    <w:rsid w:val="00FA4281"/>
    <w:rsid w:val="00FB12BC"/>
    <w:rsid w:val="00FC558C"/>
    <w:rsid w:val="00FC7035"/>
    <w:rsid w:val="00FD086E"/>
    <w:rsid w:val="00FD6D87"/>
    <w:rsid w:val="00FE346A"/>
    <w:rsid w:val="00FE7ED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BBC532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0" w:line="240" w:lineRule="auto"/>
    </w:pPr>
    <w:rPr>
      <w:rFonts w:ascii="Times New Roman" w:hAnsi="Times New Roman"/>
      <w:sz w:val="24"/>
      <w:szCs w:val="24"/>
    </w:rPr>
  </w:style>
  <w:style w:type="paragraph" w:styleId="Heading2">
    <w:name w:val="heading 2"/>
    <w:basedOn w:val="Normal"/>
    <w:next w:val="Normal"/>
    <w:link w:val="Heading2Char"/>
    <w:uiPriority w:val="99"/>
    <w:qFormat/>
    <w:pPr>
      <w:keepNext/>
      <w:keepLines/>
      <w:spacing w:before="40"/>
      <w:outlineLvl w:val="1"/>
    </w:pPr>
    <w:rPr>
      <w:rFonts w:ascii="Calibri Light" w:hAnsi="Calibri Light" w:cs="Calibri Light"/>
      <w:sz w:val="26"/>
      <w:szCs w:val="26"/>
    </w:rPr>
  </w:style>
  <w:style w:type="paragraph" w:styleId="Heading3">
    <w:name w:val="heading 3"/>
    <w:basedOn w:val="Normal"/>
    <w:next w:val="Normal"/>
    <w:link w:val="Heading3Char"/>
    <w:uiPriority w:val="9"/>
    <w:qFormat/>
    <w:pPr>
      <w:keepNext/>
      <w:keepLines/>
      <w:spacing w:before="40"/>
      <w:outlineLvl w:val="2"/>
    </w:pPr>
    <w:rPr>
      <w:rFonts w:ascii="Cambria" w:hAnsi="Cambria" w:cs="Cambria"/>
    </w:rPr>
  </w:style>
  <w:style w:type="paragraph" w:styleId="Heading4">
    <w:name w:val="heading 4"/>
    <w:basedOn w:val="Normal"/>
    <w:next w:val="Normal"/>
    <w:link w:val="Heading4Char"/>
    <w:uiPriority w:val="99"/>
    <w:qFormat/>
    <w:pPr>
      <w:keepNext/>
      <w:keepLines/>
      <w:spacing w:before="40"/>
      <w:outlineLvl w:val="3"/>
    </w:pPr>
    <w:rPr>
      <w:rFonts w:ascii="Calibri Light" w:hAnsi="Calibri Light" w:cs="Calibri Light"/>
      <w:i/>
      <w:iCs/>
    </w:rPr>
  </w:style>
  <w:style w:type="paragraph" w:styleId="Heading6">
    <w:name w:val="heading 6"/>
    <w:basedOn w:val="Normal"/>
    <w:next w:val="Normal"/>
    <w:link w:val="Heading6Char"/>
    <w:uiPriority w:val="99"/>
    <w:qFormat/>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Calibri Light" w:hAnsi="Calibri Light" w:cs="Calibri Light"/>
      <w:color w:val="auto"/>
      <w:sz w:val="26"/>
      <w:szCs w:val="26"/>
    </w:rPr>
  </w:style>
  <w:style w:type="character" w:customStyle="1" w:styleId="Heading3Char">
    <w:name w:val="Heading 3 Char"/>
    <w:basedOn w:val="DefaultParagraphFont"/>
    <w:link w:val="Heading3"/>
    <w:uiPriority w:val="9"/>
    <w:locked/>
    <w:rPr>
      <w:rFonts w:ascii="Cambria" w:hAnsi="Cambria" w:cs="Cambria"/>
      <w:color w:val="auto"/>
      <w:sz w:val="24"/>
      <w:szCs w:val="24"/>
      <w:lang w:val="x-none" w:eastAsia="en-AU"/>
    </w:rPr>
  </w:style>
  <w:style w:type="character" w:customStyle="1" w:styleId="Heading4Char">
    <w:name w:val="Heading 4 Char"/>
    <w:basedOn w:val="DefaultParagraphFont"/>
    <w:link w:val="Heading4"/>
    <w:uiPriority w:val="99"/>
    <w:locked/>
    <w:rPr>
      <w:rFonts w:ascii="Calibri Light" w:hAnsi="Calibri Light" w:cs="Calibri Light"/>
      <w:i/>
      <w:iCs/>
      <w:color w:val="auto"/>
      <w:sz w:val="20"/>
      <w:szCs w:val="20"/>
    </w:rPr>
  </w:style>
  <w:style w:type="character" w:customStyle="1" w:styleId="Heading6Char">
    <w:name w:val="Heading 6 Char"/>
    <w:basedOn w:val="DefaultParagraphFont"/>
    <w:link w:val="Heading6"/>
    <w:uiPriority w:val="99"/>
    <w:locked/>
    <w:rPr>
      <w:rFonts w:ascii="Times New Roman" w:hAnsi="Times New Roman" w:cs="Times New Roman"/>
      <w:sz w:val="20"/>
      <w:szCs w:val="20"/>
      <w:u w:val="single"/>
      <w:lang w:val="x-none"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99"/>
    <w:qFormat/>
    <w:pPr>
      <w:ind w:left="720"/>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lp11 Char"/>
    <w:uiPriority w:val="34"/>
    <w:qFormat/>
    <w:rPr>
      <w:rFonts w:ascii="Times New Roman" w:hAnsi="Times New Roman"/>
      <w:sz w:val="20"/>
      <w:lang w:val="x-none" w:eastAsia="en-AU"/>
    </w:rPr>
  </w:style>
  <w:style w:type="character" w:customStyle="1" w:styleId="DINumberedParagraphChar">
    <w:name w:val="DI Numbered Paragraph Char"/>
    <w:uiPriority w:val="99"/>
    <w:rPr>
      <w:sz w:val="24"/>
    </w:rPr>
  </w:style>
  <w:style w:type="paragraph" w:customStyle="1" w:styleId="DINumberedParagraph">
    <w:name w:val="DI Numbered Paragraph"/>
    <w:basedOn w:val="Normal"/>
    <w:pPr>
      <w:numPr>
        <w:numId w:val="1"/>
      </w:numPr>
      <w:tabs>
        <w:tab w:val="left" w:pos="567"/>
      </w:tabs>
      <w:spacing w:before="0" w:after="240"/>
    </w:pPr>
    <w:rPr>
      <w:rFonts w:ascii="Calibri" w:hAnsi="Calibri" w:cs="Calibri"/>
      <w:lang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x-none" w:eastAsia="en-AU"/>
    </w:rPr>
  </w:style>
  <w:style w:type="paragraph" w:customStyle="1" w:styleId="BodyText10">
    <w:name w:val="Body Text1_0"/>
    <w:basedOn w:val="Normal"/>
    <w:uiPriority w:val="99"/>
    <w:rPr>
      <w:rFonts w:ascii="Arial" w:hAnsi="Arial" w:cs="Arial"/>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imes New Roman" w:hAnsi="Times New Roman" w:cs="Times New Roman"/>
      <w:b/>
      <w:bCs/>
      <w:sz w:val="20"/>
      <w:szCs w:val="20"/>
      <w:lang w:val="x-none" w:eastAsia="en-AU"/>
    </w:rPr>
  </w:style>
  <w:style w:type="paragraph" w:customStyle="1" w:styleId="ActHead6">
    <w:name w:val="ActHead 6"/>
    <w:aliases w:val="as"/>
    <w:basedOn w:val="Normal"/>
    <w:next w:val="Normal"/>
    <w:uiPriority w:val="99"/>
    <w:pPr>
      <w:keepNext/>
      <w:keepLines/>
      <w:spacing w:before="0"/>
      <w:ind w:left="1134" w:hanging="1134"/>
      <w:outlineLvl w:val="5"/>
    </w:pPr>
    <w:rPr>
      <w:rFonts w:ascii="Arial" w:hAnsi="Arial" w:cs="Arial"/>
      <w:b/>
      <w:bCs/>
      <w:kern w:val="28"/>
      <w:sz w:val="32"/>
      <w:szCs w:val="32"/>
    </w:rPr>
  </w:style>
  <w:style w:type="character" w:customStyle="1" w:styleId="CharAmSchNo">
    <w:name w:val="CharAmSchNo"/>
    <w:uiPriority w:val="99"/>
    <w:rPr>
      <w:rFonts w:ascii="Times New Roman" w:hAnsi="Times New Roman"/>
    </w:rPr>
  </w:style>
  <w:style w:type="paragraph" w:customStyle="1" w:styleId="ItemHead">
    <w:name w:val="ItemHead"/>
    <w:aliases w:val="ih"/>
    <w:basedOn w:val="Normal"/>
    <w:next w:val="Normal"/>
    <w:pPr>
      <w:keepNext/>
      <w:keepLines/>
      <w:spacing w:before="220"/>
      <w:ind w:left="709" w:hanging="709"/>
    </w:pPr>
    <w:rPr>
      <w:rFonts w:ascii="Arial" w:hAnsi="Arial" w:cs="Arial"/>
      <w:b/>
      <w:bCs/>
      <w:kern w:val="28"/>
    </w:rPr>
  </w:style>
  <w:style w:type="paragraph" w:styleId="BodyText">
    <w:name w:val="Body Text"/>
    <w:basedOn w:val="Normal"/>
    <w:link w:val="BodyTextChar"/>
    <w:uiPriority w:val="99"/>
    <w:pPr>
      <w:spacing w:before="120" w:after="120" w:line="264" w:lineRule="auto"/>
    </w:pPr>
    <w:rPr>
      <w:rFonts w:ascii="Calibri" w:hAnsi="Calibri" w:cs="Calibri"/>
      <w:color w:val="000000"/>
      <w:sz w:val="20"/>
      <w:szCs w:val="20"/>
      <w:lang w:eastAsia="en-US"/>
    </w:rPr>
  </w:style>
  <w:style w:type="character" w:customStyle="1" w:styleId="BodyTextChar">
    <w:name w:val="Body Text Char"/>
    <w:basedOn w:val="DefaultParagraphFont"/>
    <w:link w:val="BodyText"/>
    <w:uiPriority w:val="99"/>
    <w:locked/>
    <w:rPr>
      <w:rFonts w:cs="Times New Roman"/>
      <w:color w:val="000000"/>
      <w:sz w:val="20"/>
      <w:szCs w:val="20"/>
    </w:rPr>
  </w:style>
  <w:style w:type="paragraph" w:customStyle="1" w:styleId="Default">
    <w:name w:val="Default"/>
    <w:uiPriority w:val="99"/>
    <w:pPr>
      <w:autoSpaceDE w:val="0"/>
      <w:autoSpaceDN w:val="0"/>
      <w:adjustRightInd w:val="0"/>
      <w:spacing w:after="0" w:line="240" w:lineRule="auto"/>
    </w:pPr>
    <w:rPr>
      <w:rFonts w:ascii="Times New Roman" w:hAnsi="Times New Roman"/>
      <w:color w:val="000000"/>
      <w:sz w:val="24"/>
      <w:szCs w:val="24"/>
    </w:rPr>
  </w:style>
  <w:style w:type="character" w:styleId="Hyperlink">
    <w:name w:val="Hyperlink"/>
    <w:basedOn w:val="DefaultParagraphFont"/>
    <w:uiPriority w:val="99"/>
    <w:rPr>
      <w:rFonts w:cs="Times New Roman"/>
      <w:color w:val="auto"/>
      <w:u w:val="none"/>
      <w:effect w:val="none"/>
    </w:rPr>
  </w:style>
  <w:style w:type="character" w:styleId="Emphasis">
    <w:name w:val="Emphasis"/>
    <w:basedOn w:val="DefaultParagraphFont"/>
    <w:uiPriority w:val="99"/>
    <w:qFormat/>
    <w:rPr>
      <w:rFonts w:cs="Times New Roman"/>
      <w:i/>
      <w:iCs/>
    </w:rPr>
  </w:style>
  <w:style w:type="character" w:styleId="Strong">
    <w:name w:val="Strong"/>
    <w:basedOn w:val="DefaultParagraphFont"/>
    <w:uiPriority w:val="22"/>
    <w:qFormat/>
    <w:rPr>
      <w:rFonts w:cs="Times New Roman"/>
      <w:b/>
      <w:bCs/>
    </w:rPr>
  </w:style>
  <w:style w:type="paragraph" w:customStyle="1" w:styleId="contentelement-indentone1">
    <w:name w:val="contentelement-indentone1"/>
    <w:basedOn w:val="Normal"/>
    <w:uiPriority w:val="99"/>
    <w:pPr>
      <w:spacing w:after="240"/>
      <w:ind w:left="468"/>
    </w:pPr>
  </w:style>
  <w:style w:type="paragraph" w:customStyle="1" w:styleId="contentelement-indenttwo1">
    <w:name w:val="contentelement-indenttwo1"/>
    <w:basedOn w:val="Normal"/>
    <w:uiPriority w:val="99"/>
    <w:pPr>
      <w:spacing w:after="240"/>
      <w:ind w:left="936"/>
    </w:pPr>
  </w:style>
  <w:style w:type="paragraph" w:customStyle="1" w:styleId="ActHead7">
    <w:name w:val="ActHead 7"/>
    <w:aliases w:val="ap"/>
    <w:basedOn w:val="Normal"/>
    <w:next w:val="ItemHead"/>
    <w:qFormat/>
    <w:pPr>
      <w:keepNext/>
      <w:keepLines/>
      <w:spacing w:before="280"/>
      <w:ind w:left="1134" w:hanging="1134"/>
      <w:outlineLvl w:val="6"/>
    </w:pPr>
    <w:rPr>
      <w:rFonts w:ascii="Arial" w:hAnsi="Arial" w:cs="Arial"/>
      <w:b/>
      <w:bCs/>
      <w:kern w:val="28"/>
      <w:sz w:val="28"/>
      <w:szCs w:val="28"/>
    </w:rPr>
  </w:style>
  <w:style w:type="character" w:customStyle="1" w:styleId="CharAmPartNo">
    <w:name w:val="CharAmPartNo"/>
    <w:uiPriority w:val="99"/>
    <w:rPr>
      <w:rFonts w:ascii="Times New Roman" w:hAnsi="Times New Roman"/>
    </w:rPr>
  </w:style>
  <w:style w:type="paragraph" w:customStyle="1" w:styleId="subsection">
    <w:name w:val="subsection"/>
    <w:aliases w:val="ss"/>
    <w:basedOn w:val="Normal"/>
    <w:link w:val="subsectionChar"/>
    <w:pPr>
      <w:spacing w:before="100" w:beforeAutospacing="1" w:after="100" w:afterAutospacing="1"/>
    </w:pPr>
  </w:style>
  <w:style w:type="paragraph" w:customStyle="1" w:styleId="EMparagraph">
    <w:name w:val="EM paragraph"/>
    <w:basedOn w:val="Normal"/>
    <w:uiPriority w:val="99"/>
    <w:pPr>
      <w:widowControl w:val="0"/>
      <w:adjustRightInd w:val="0"/>
      <w:spacing w:before="0" w:after="240"/>
      <w:ind w:right="85"/>
      <w:textAlignment w:val="baseline"/>
    </w:pPr>
  </w:style>
  <w:style w:type="paragraph" w:customStyle="1" w:styleId="contentelement-indentthree1">
    <w:name w:val="contentelement-indentthree1"/>
    <w:basedOn w:val="Normal"/>
    <w:uiPriority w:val="99"/>
    <w:pPr>
      <w:spacing w:after="240"/>
      <w:ind w:left="1404"/>
    </w:pPr>
  </w:style>
  <w:style w:type="paragraph" w:customStyle="1" w:styleId="ps1bullet">
    <w:name w:val="ps1bullet"/>
    <w:basedOn w:val="Normal"/>
    <w:uiPriority w:val="99"/>
    <w:pPr>
      <w:spacing w:before="100" w:beforeAutospacing="1" w:after="100" w:afterAutospacing="1"/>
    </w:pPr>
  </w:style>
  <w:style w:type="character" w:customStyle="1" w:styleId="CharAmSchText">
    <w:name w:val="CharAmSchText"/>
    <w:uiPriority w:val="99"/>
    <w:rPr>
      <w:rFonts w:ascii="Times New Roman" w:hAnsi="Times New Roman"/>
    </w:rPr>
  </w:style>
  <w:style w:type="paragraph" w:styleId="NormalWeb">
    <w:name w:val="Normal (Web)"/>
    <w:basedOn w:val="Normal"/>
    <w:uiPriority w:val="99"/>
    <w:pPr>
      <w:spacing w:before="0" w:after="408" w:line="360" w:lineRule="auto"/>
    </w:pPr>
  </w:style>
  <w:style w:type="paragraph" w:styleId="Header">
    <w:name w:val="header"/>
    <w:basedOn w:val="Normal"/>
    <w:link w:val="HeaderChar"/>
    <w:uiPriority w:val="99"/>
    <w:pPr>
      <w:tabs>
        <w:tab w:val="center" w:pos="4513"/>
        <w:tab w:val="right" w:pos="9026"/>
      </w:tabs>
      <w:spacing w:before="0"/>
    </w:pPr>
  </w:style>
  <w:style w:type="character" w:customStyle="1" w:styleId="HeaderChar">
    <w:name w:val="Header Char"/>
    <w:basedOn w:val="DefaultParagraphFont"/>
    <w:link w:val="Header"/>
    <w:uiPriority w:val="99"/>
    <w:locked/>
    <w:rPr>
      <w:rFonts w:ascii="Times New Roman" w:hAnsi="Times New Roman" w:cs="Times New Roman"/>
      <w:sz w:val="20"/>
      <w:szCs w:val="20"/>
      <w:lang w:val="x-none" w:eastAsia="en-AU"/>
    </w:rPr>
  </w:style>
  <w:style w:type="paragraph" w:styleId="Footer">
    <w:name w:val="footer"/>
    <w:basedOn w:val="Normal"/>
    <w:link w:val="FooterChar"/>
    <w:uiPriority w:val="99"/>
    <w:pPr>
      <w:tabs>
        <w:tab w:val="center" w:pos="4513"/>
        <w:tab w:val="right" w:pos="9026"/>
      </w:tabs>
      <w:spacing w:before="0"/>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AU"/>
    </w:rPr>
  </w:style>
  <w:style w:type="paragraph" w:customStyle="1" w:styleId="notedraft">
    <w:name w:val="note(draft)"/>
    <w:aliases w:val="nd"/>
    <w:basedOn w:val="Normal"/>
    <w:uiPriority w:val="99"/>
    <w:pPr>
      <w:ind w:left="284" w:hanging="284"/>
    </w:pPr>
    <w:rPr>
      <w:i/>
      <w:iCs/>
    </w:rPr>
  </w:style>
  <w:style w:type="character" w:customStyle="1" w:styleId="ActHead5Char">
    <w:name w:val="ActHead 5 Char"/>
    <w:aliases w:val="s Char"/>
    <w:rPr>
      <w:rFonts w:ascii="Times New Roman" w:hAnsi="Times New Roman"/>
      <w:b/>
      <w:kern w:val="28"/>
      <w:sz w:val="20"/>
    </w:rPr>
  </w:style>
  <w:style w:type="paragraph" w:customStyle="1" w:styleId="ActHead5">
    <w:name w:val="ActHead 5"/>
    <w:aliases w:val="s"/>
    <w:basedOn w:val="Normal"/>
    <w:next w:val="Normal"/>
    <w:qFormat/>
    <w:pPr>
      <w:keepNext/>
      <w:keepLines/>
      <w:spacing w:before="280"/>
      <w:ind w:left="1134" w:hanging="1134"/>
      <w:outlineLvl w:val="4"/>
    </w:pPr>
    <w:rPr>
      <w:b/>
      <w:bCs/>
      <w:kern w:val="28"/>
    </w:rPr>
  </w:style>
  <w:style w:type="paragraph" w:customStyle="1" w:styleId="paragraph">
    <w:name w:val="paragraph"/>
    <w:aliases w:val="a"/>
    <w:basedOn w:val="Normal"/>
    <w:link w:val="paragraphChar"/>
    <w:pPr>
      <w:tabs>
        <w:tab w:val="right" w:pos="1531"/>
      </w:tabs>
      <w:spacing w:before="40"/>
      <w:ind w:left="1644" w:hanging="1644"/>
    </w:pPr>
    <w:rPr>
      <w:sz w:val="22"/>
      <w:szCs w:val="22"/>
    </w:rPr>
  </w:style>
  <w:style w:type="paragraph" w:customStyle="1" w:styleId="SubsectionHead">
    <w:name w:val="SubsectionHead"/>
    <w:aliases w:val="ssh"/>
    <w:basedOn w:val="Normal"/>
    <w:next w:val="Normal"/>
    <w:uiPriority w:val="99"/>
    <w:pPr>
      <w:keepNext/>
      <w:keepLines/>
      <w:ind w:left="1134"/>
    </w:pPr>
    <w:rPr>
      <w:i/>
      <w:iCs/>
      <w:sz w:val="22"/>
      <w:szCs w:val="22"/>
    </w:rPr>
  </w:style>
  <w:style w:type="paragraph" w:customStyle="1" w:styleId="paragraphsub">
    <w:name w:val="paragraph(sub)"/>
    <w:aliases w:val="aa"/>
    <w:basedOn w:val="Normal"/>
    <w:uiPriority w:val="99"/>
    <w:pPr>
      <w:tabs>
        <w:tab w:val="right" w:pos="1985"/>
      </w:tabs>
      <w:spacing w:before="40"/>
      <w:ind w:left="2098" w:hanging="2098"/>
    </w:pPr>
    <w:rPr>
      <w:sz w:val="22"/>
      <w:szCs w:val="22"/>
    </w:rPr>
  </w:style>
  <w:style w:type="paragraph" w:customStyle="1" w:styleId="embullet">
    <w:name w:val="embullet"/>
    <w:basedOn w:val="Normal"/>
    <w:uiPriority w:val="99"/>
    <w:pPr>
      <w:spacing w:before="100" w:beforeAutospacing="1" w:after="100" w:afterAutospacing="1"/>
    </w:pPr>
  </w:style>
  <w:style w:type="paragraph" w:customStyle="1" w:styleId="ListParagraph2">
    <w:name w:val="List Paragraph 2"/>
    <w:basedOn w:val="Normal"/>
    <w:uiPriority w:val="19"/>
    <w:pPr>
      <w:spacing w:before="0" w:after="120" w:line="264" w:lineRule="auto"/>
      <w:ind w:left="567"/>
    </w:pPr>
    <w:rPr>
      <w:sz w:val="20"/>
      <w:szCs w:val="20"/>
    </w:rPr>
  </w:style>
  <w:style w:type="paragraph" w:customStyle="1" w:styleId="ListParagraph3">
    <w:name w:val="List Paragraph 3"/>
    <w:basedOn w:val="Normal"/>
    <w:uiPriority w:val="19"/>
    <w:pPr>
      <w:spacing w:before="0" w:after="120" w:line="264" w:lineRule="auto"/>
      <w:ind w:left="851"/>
    </w:pPr>
    <w:rPr>
      <w:sz w:val="20"/>
      <w:szCs w:val="20"/>
    </w:rPr>
  </w:style>
  <w:style w:type="paragraph" w:customStyle="1" w:styleId="ListParagraph4">
    <w:name w:val="List Paragraph 4"/>
    <w:basedOn w:val="Normal"/>
    <w:uiPriority w:val="19"/>
    <w:pPr>
      <w:spacing w:before="0" w:after="120" w:line="264" w:lineRule="auto"/>
      <w:ind w:left="1134"/>
    </w:pPr>
    <w:rPr>
      <w:sz w:val="20"/>
      <w:szCs w:val="20"/>
    </w:rPr>
  </w:style>
  <w:style w:type="paragraph" w:customStyle="1" w:styleId="ListParagraph5">
    <w:name w:val="List Paragraph 5"/>
    <w:basedOn w:val="Normal"/>
    <w:uiPriority w:val="19"/>
    <w:pPr>
      <w:spacing w:before="0" w:after="120" w:line="264" w:lineRule="auto"/>
      <w:ind w:left="1418"/>
    </w:pPr>
    <w:rPr>
      <w:sz w:val="20"/>
      <w:szCs w:val="20"/>
    </w:rPr>
  </w:style>
  <w:style w:type="paragraph" w:customStyle="1" w:styleId="ListParagraph6">
    <w:name w:val="List Paragraph 6"/>
    <w:basedOn w:val="Normal"/>
    <w:uiPriority w:val="19"/>
    <w:pPr>
      <w:spacing w:before="0" w:after="120" w:line="264" w:lineRule="auto"/>
      <w:ind w:left="1701"/>
    </w:pPr>
    <w:rPr>
      <w:sz w:val="20"/>
      <w:szCs w:val="20"/>
    </w:rPr>
  </w:style>
  <w:style w:type="character" w:customStyle="1" w:styleId="paragraphChar">
    <w:name w:val="paragraph Char"/>
    <w:aliases w:val="a Char"/>
    <w:link w:val="paragraph"/>
    <w:locked/>
    <w:rsid w:val="00265286"/>
    <w:rPr>
      <w:rFonts w:ascii="Times New Roman" w:hAnsi="Times New Roman"/>
    </w:rPr>
  </w:style>
  <w:style w:type="paragraph" w:customStyle="1" w:styleId="ESAttNormal">
    <w:name w:val="ESAtt_Normal"/>
    <w:basedOn w:val="Normal"/>
    <w:link w:val="ESAttNormalChar"/>
    <w:qFormat/>
    <w:rsid w:val="00265286"/>
    <w:pPr>
      <w:spacing w:after="240" w:line="276" w:lineRule="auto"/>
    </w:pPr>
    <w:rPr>
      <w:sz w:val="22"/>
      <w:szCs w:val="22"/>
      <w:lang w:eastAsia="en-US"/>
    </w:rPr>
  </w:style>
  <w:style w:type="character" w:customStyle="1" w:styleId="ESAttNormalChar">
    <w:name w:val="ESAtt_Normal Char"/>
    <w:link w:val="ESAttNormal"/>
    <w:locked/>
    <w:rsid w:val="00265286"/>
    <w:rPr>
      <w:rFonts w:ascii="Times New Roman" w:hAnsi="Times New Roman"/>
      <w:lang w:val="x-none" w:eastAsia="en-US"/>
    </w:rPr>
  </w:style>
  <w:style w:type="paragraph" w:styleId="NoSpacing">
    <w:name w:val="No Spacing"/>
    <w:uiPriority w:val="1"/>
    <w:qFormat/>
    <w:rsid w:val="001128CF"/>
    <w:pPr>
      <w:spacing w:after="0" w:line="240" w:lineRule="auto"/>
    </w:pPr>
    <w:rPr>
      <w:rFonts w:ascii="Times New Roman" w:eastAsia="Times New Roman" w:hAnsi="Times New Roman"/>
      <w:sz w:val="24"/>
      <w:szCs w:val="24"/>
    </w:rPr>
  </w:style>
  <w:style w:type="table" w:styleId="TableGrid">
    <w:name w:val="Table Grid"/>
    <w:basedOn w:val="TableNormal"/>
    <w:uiPriority w:val="39"/>
    <w:rsid w:val="0059245A"/>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aliases w:val="i"/>
    <w:basedOn w:val="Normal"/>
    <w:next w:val="ItemHead"/>
    <w:rsid w:val="00DF3242"/>
    <w:pPr>
      <w:keepLines/>
      <w:spacing w:before="80"/>
      <w:ind w:left="709"/>
    </w:pPr>
    <w:rPr>
      <w:rFonts w:eastAsia="Times New Roman"/>
      <w:sz w:val="22"/>
      <w:szCs w:val="20"/>
    </w:rPr>
  </w:style>
  <w:style w:type="character" w:customStyle="1" w:styleId="CharSectno">
    <w:name w:val="CharSectno"/>
    <w:basedOn w:val="DefaultParagraphFont"/>
    <w:qFormat/>
    <w:rsid w:val="004E1515"/>
  </w:style>
  <w:style w:type="paragraph" w:customStyle="1" w:styleId="paranumbering">
    <w:name w:val="paranumbering"/>
    <w:basedOn w:val="Normal"/>
    <w:uiPriority w:val="99"/>
    <w:rsid w:val="00575847"/>
    <w:pPr>
      <w:spacing w:before="100" w:beforeAutospacing="1" w:after="100" w:afterAutospacing="1"/>
    </w:pPr>
    <w:rPr>
      <w:rFonts w:eastAsiaTheme="minorHAnsi"/>
    </w:rPr>
  </w:style>
  <w:style w:type="paragraph" w:customStyle="1" w:styleId="contentelement-indentone">
    <w:name w:val="contentelement-indentone"/>
    <w:basedOn w:val="Normal"/>
    <w:rsid w:val="00E46966"/>
    <w:pPr>
      <w:spacing w:before="100" w:beforeAutospacing="1" w:after="100" w:afterAutospacing="1"/>
    </w:pPr>
    <w:rPr>
      <w:rFonts w:eastAsia="Times New Roman"/>
    </w:rPr>
  </w:style>
  <w:style w:type="paragraph" w:customStyle="1" w:styleId="contentelement-indenttwo">
    <w:name w:val="contentelement-indenttwo"/>
    <w:basedOn w:val="Normal"/>
    <w:rsid w:val="00E46966"/>
    <w:pPr>
      <w:spacing w:before="100" w:beforeAutospacing="1" w:after="100" w:afterAutospacing="1"/>
    </w:pPr>
    <w:rPr>
      <w:rFonts w:eastAsia="Times New Roman"/>
    </w:rPr>
  </w:style>
  <w:style w:type="paragraph" w:customStyle="1" w:styleId="contentelement-indentthree">
    <w:name w:val="contentelement-indentthree"/>
    <w:basedOn w:val="Normal"/>
    <w:rsid w:val="00E46966"/>
    <w:pPr>
      <w:spacing w:before="100" w:beforeAutospacing="1" w:after="100" w:afterAutospacing="1"/>
    </w:pPr>
    <w:rPr>
      <w:rFonts w:eastAsia="Times New Roman"/>
    </w:rPr>
  </w:style>
  <w:style w:type="character" w:customStyle="1" w:styleId="BodytextChar0">
    <w:name w:val="Body text Char"/>
    <w:link w:val="BodyText1"/>
    <w:locked/>
    <w:rsid w:val="002E5269"/>
    <w:rPr>
      <w:rFonts w:ascii="Arial" w:hAnsi="Arial" w:cs="Arial"/>
      <w:sz w:val="24"/>
      <w:szCs w:val="24"/>
    </w:rPr>
  </w:style>
  <w:style w:type="paragraph" w:customStyle="1" w:styleId="BodyText1">
    <w:name w:val="Body Text1"/>
    <w:basedOn w:val="Normal"/>
    <w:link w:val="BodytextChar0"/>
    <w:rsid w:val="002E5269"/>
    <w:rPr>
      <w:rFonts w:ascii="Arial" w:hAnsi="Arial" w:cs="Arial"/>
    </w:rPr>
  </w:style>
  <w:style w:type="character" w:customStyle="1" w:styleId="ms-rtestyle-notelink">
    <w:name w:val="ms-rtestyle-notelink"/>
    <w:basedOn w:val="DefaultParagraphFont"/>
    <w:rsid w:val="00804FE6"/>
  </w:style>
  <w:style w:type="paragraph" w:customStyle="1" w:styleId="Bodytextbullet">
    <w:name w:val="Body text bullet"/>
    <w:basedOn w:val="Normal"/>
    <w:rsid w:val="009B7A31"/>
    <w:pPr>
      <w:numPr>
        <w:numId w:val="27"/>
      </w:numPr>
      <w:spacing w:before="60"/>
    </w:pPr>
    <w:rPr>
      <w:rFonts w:ascii="Arial" w:eastAsia="Times New Roman" w:hAnsi="Arial" w:cs="Arial"/>
    </w:rPr>
  </w:style>
  <w:style w:type="paragraph" w:styleId="FootnoteText">
    <w:name w:val="footnote text"/>
    <w:basedOn w:val="Normal"/>
    <w:link w:val="FootnoteTextChar"/>
    <w:uiPriority w:val="99"/>
    <w:semiHidden/>
    <w:unhideWhenUsed/>
    <w:rsid w:val="005C6994"/>
    <w:pPr>
      <w:spacing w:before="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C6994"/>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5C6994"/>
    <w:rPr>
      <w:vertAlign w:val="superscript"/>
    </w:rPr>
  </w:style>
  <w:style w:type="character" w:customStyle="1" w:styleId="subsectionChar">
    <w:name w:val="subsection Char"/>
    <w:aliases w:val="ss Char"/>
    <w:basedOn w:val="DefaultParagraphFont"/>
    <w:link w:val="subsection"/>
    <w:locked/>
    <w:rsid w:val="000218A6"/>
    <w:rPr>
      <w:rFonts w:ascii="Times New Roman" w:hAnsi="Times New Roman"/>
      <w:sz w:val="24"/>
      <w:szCs w:val="24"/>
    </w:rPr>
  </w:style>
  <w:style w:type="paragraph" w:customStyle="1" w:styleId="esattnormal0">
    <w:name w:val="esattnormal"/>
    <w:basedOn w:val="Normal"/>
    <w:rsid w:val="006331DC"/>
    <w:pPr>
      <w:spacing w:before="100" w:beforeAutospacing="1" w:after="100" w:afterAutospacing="1"/>
    </w:pPr>
    <w:rPr>
      <w:rFonts w:eastAsia="Times New Roman"/>
    </w:rPr>
  </w:style>
  <w:style w:type="paragraph" w:customStyle="1" w:styleId="EMclausenotes">
    <w:name w:val="EM clause notes"/>
    <w:basedOn w:val="Normal"/>
    <w:qFormat/>
    <w:rsid w:val="00303970"/>
    <w:pPr>
      <w:spacing w:before="120" w:after="240"/>
      <w:ind w:right="91"/>
    </w:pPr>
  </w:style>
  <w:style w:type="paragraph" w:customStyle="1" w:styleId="EMclausenoteheader">
    <w:name w:val="EM clause note header"/>
    <w:basedOn w:val="Normal"/>
    <w:qFormat/>
    <w:rsid w:val="00303970"/>
    <w:pPr>
      <w:widowControl w:val="0"/>
      <w:spacing w:before="120" w:after="120"/>
      <w:ind w:left="709" w:hanging="709"/>
    </w:pPr>
    <w:rPr>
      <w:kern w:val="28"/>
      <w:u w:val="single"/>
    </w:rPr>
  </w:style>
  <w:style w:type="paragraph" w:customStyle="1" w:styleId="EMitemheader">
    <w:name w:val="EM item header"/>
    <w:basedOn w:val="Normal"/>
    <w:qFormat/>
    <w:rsid w:val="00303970"/>
    <w:pPr>
      <w:keepNext/>
      <w:tabs>
        <w:tab w:val="left" w:pos="6023"/>
      </w:tabs>
      <w:spacing w:after="120"/>
    </w:pPr>
    <w:rPr>
      <w:b/>
    </w:rPr>
  </w:style>
  <w:style w:type="character" w:customStyle="1" w:styleId="legislationtitle">
    <w:name w:val="legislation title"/>
    <w:basedOn w:val="DefaultParagraphFont"/>
    <w:uiPriority w:val="1"/>
    <w:qFormat/>
    <w:rsid w:val="00303970"/>
    <w:rPr>
      <w:rFonts w:ascii="Times New Roman" w:hAnsi="Times New Roman" w:cs="Times New Roman" w:hint="default"/>
      <w:i/>
      <w:iCs w:val="0"/>
      <w:sz w:val="24"/>
    </w:rPr>
  </w:style>
  <w:style w:type="character" w:customStyle="1" w:styleId="definedterm">
    <w:name w:val="defined term"/>
    <w:basedOn w:val="DefaultParagraphFont"/>
    <w:uiPriority w:val="1"/>
    <w:qFormat/>
    <w:rsid w:val="00303970"/>
    <w:rPr>
      <w:rFonts w:ascii="Times New Roman" w:hAnsi="Times New Roman" w:cs="Times New Roman" w:hint="default"/>
      <w:b/>
      <w:bCs w:val="0"/>
      <w:i/>
      <w:iCs w:val="0"/>
      <w:sz w:val="24"/>
    </w:rPr>
  </w:style>
  <w:style w:type="paragraph" w:styleId="Revision">
    <w:name w:val="Revision"/>
    <w:hidden/>
    <w:uiPriority w:val="99"/>
    <w:semiHidden/>
    <w:rsid w:val="00863FB7"/>
    <w:pPr>
      <w:spacing w:after="0" w:line="240" w:lineRule="auto"/>
    </w:pPr>
    <w:rPr>
      <w:rFonts w:ascii="Times New Roman" w:hAnsi="Times New Roman"/>
      <w:sz w:val="24"/>
      <w:szCs w:val="24"/>
    </w:rPr>
  </w:style>
  <w:style w:type="character" w:customStyle="1" w:styleId="EMHeadingChar">
    <w:name w:val="EM Heading Char"/>
    <w:basedOn w:val="DefaultParagraphFont"/>
    <w:link w:val="EMHeading"/>
    <w:locked/>
    <w:rsid w:val="00C93C85"/>
    <w:rPr>
      <w:rFonts w:ascii="Times New Roman" w:eastAsia="Times New Roman" w:hAnsi="Times New Roman"/>
      <w:sz w:val="24"/>
      <w:szCs w:val="20"/>
      <w:u w:val="single"/>
    </w:rPr>
  </w:style>
  <w:style w:type="paragraph" w:customStyle="1" w:styleId="EMHeading">
    <w:name w:val="EM Heading"/>
    <w:basedOn w:val="Heading2"/>
    <w:link w:val="EMHeadingChar"/>
    <w:rsid w:val="00C93C85"/>
    <w:pPr>
      <w:keepLines w:val="0"/>
      <w:spacing w:before="0" w:after="240"/>
    </w:pPr>
    <w:rPr>
      <w:rFonts w:ascii="Times New Roman" w:eastAsia="Times New Roman" w:hAnsi="Times New Roman"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9122">
      <w:bodyDiv w:val="1"/>
      <w:marLeft w:val="0"/>
      <w:marRight w:val="0"/>
      <w:marTop w:val="0"/>
      <w:marBottom w:val="0"/>
      <w:divBdr>
        <w:top w:val="none" w:sz="0" w:space="0" w:color="auto"/>
        <w:left w:val="none" w:sz="0" w:space="0" w:color="auto"/>
        <w:bottom w:val="none" w:sz="0" w:space="0" w:color="auto"/>
        <w:right w:val="none" w:sz="0" w:space="0" w:color="auto"/>
      </w:divBdr>
    </w:div>
    <w:div w:id="182597788">
      <w:bodyDiv w:val="1"/>
      <w:marLeft w:val="0"/>
      <w:marRight w:val="0"/>
      <w:marTop w:val="0"/>
      <w:marBottom w:val="0"/>
      <w:divBdr>
        <w:top w:val="none" w:sz="0" w:space="0" w:color="auto"/>
        <w:left w:val="none" w:sz="0" w:space="0" w:color="auto"/>
        <w:bottom w:val="none" w:sz="0" w:space="0" w:color="auto"/>
        <w:right w:val="none" w:sz="0" w:space="0" w:color="auto"/>
      </w:divBdr>
    </w:div>
    <w:div w:id="231811867">
      <w:bodyDiv w:val="1"/>
      <w:marLeft w:val="0"/>
      <w:marRight w:val="0"/>
      <w:marTop w:val="0"/>
      <w:marBottom w:val="0"/>
      <w:divBdr>
        <w:top w:val="none" w:sz="0" w:space="0" w:color="auto"/>
        <w:left w:val="none" w:sz="0" w:space="0" w:color="auto"/>
        <w:bottom w:val="none" w:sz="0" w:space="0" w:color="auto"/>
        <w:right w:val="none" w:sz="0" w:space="0" w:color="auto"/>
      </w:divBdr>
    </w:div>
    <w:div w:id="263658238">
      <w:bodyDiv w:val="1"/>
      <w:marLeft w:val="0"/>
      <w:marRight w:val="0"/>
      <w:marTop w:val="0"/>
      <w:marBottom w:val="0"/>
      <w:divBdr>
        <w:top w:val="none" w:sz="0" w:space="0" w:color="auto"/>
        <w:left w:val="none" w:sz="0" w:space="0" w:color="auto"/>
        <w:bottom w:val="none" w:sz="0" w:space="0" w:color="auto"/>
        <w:right w:val="none" w:sz="0" w:space="0" w:color="auto"/>
      </w:divBdr>
    </w:div>
    <w:div w:id="286738942">
      <w:bodyDiv w:val="1"/>
      <w:marLeft w:val="0"/>
      <w:marRight w:val="0"/>
      <w:marTop w:val="0"/>
      <w:marBottom w:val="0"/>
      <w:divBdr>
        <w:top w:val="none" w:sz="0" w:space="0" w:color="auto"/>
        <w:left w:val="none" w:sz="0" w:space="0" w:color="auto"/>
        <w:bottom w:val="none" w:sz="0" w:space="0" w:color="auto"/>
        <w:right w:val="none" w:sz="0" w:space="0" w:color="auto"/>
      </w:divBdr>
    </w:div>
    <w:div w:id="366679102">
      <w:bodyDiv w:val="1"/>
      <w:marLeft w:val="0"/>
      <w:marRight w:val="0"/>
      <w:marTop w:val="0"/>
      <w:marBottom w:val="0"/>
      <w:divBdr>
        <w:top w:val="none" w:sz="0" w:space="0" w:color="auto"/>
        <w:left w:val="none" w:sz="0" w:space="0" w:color="auto"/>
        <w:bottom w:val="none" w:sz="0" w:space="0" w:color="auto"/>
        <w:right w:val="none" w:sz="0" w:space="0" w:color="auto"/>
      </w:divBdr>
    </w:div>
    <w:div w:id="524831065">
      <w:bodyDiv w:val="1"/>
      <w:marLeft w:val="0"/>
      <w:marRight w:val="0"/>
      <w:marTop w:val="0"/>
      <w:marBottom w:val="0"/>
      <w:divBdr>
        <w:top w:val="none" w:sz="0" w:space="0" w:color="auto"/>
        <w:left w:val="none" w:sz="0" w:space="0" w:color="auto"/>
        <w:bottom w:val="none" w:sz="0" w:space="0" w:color="auto"/>
        <w:right w:val="none" w:sz="0" w:space="0" w:color="auto"/>
      </w:divBdr>
    </w:div>
    <w:div w:id="579947239">
      <w:bodyDiv w:val="1"/>
      <w:marLeft w:val="0"/>
      <w:marRight w:val="0"/>
      <w:marTop w:val="0"/>
      <w:marBottom w:val="0"/>
      <w:divBdr>
        <w:top w:val="none" w:sz="0" w:space="0" w:color="auto"/>
        <w:left w:val="none" w:sz="0" w:space="0" w:color="auto"/>
        <w:bottom w:val="none" w:sz="0" w:space="0" w:color="auto"/>
        <w:right w:val="none" w:sz="0" w:space="0" w:color="auto"/>
      </w:divBdr>
    </w:div>
    <w:div w:id="798763367">
      <w:bodyDiv w:val="1"/>
      <w:marLeft w:val="0"/>
      <w:marRight w:val="0"/>
      <w:marTop w:val="0"/>
      <w:marBottom w:val="0"/>
      <w:divBdr>
        <w:top w:val="none" w:sz="0" w:space="0" w:color="auto"/>
        <w:left w:val="none" w:sz="0" w:space="0" w:color="auto"/>
        <w:bottom w:val="none" w:sz="0" w:space="0" w:color="auto"/>
        <w:right w:val="none" w:sz="0" w:space="0" w:color="auto"/>
      </w:divBdr>
    </w:div>
    <w:div w:id="820389654">
      <w:bodyDiv w:val="1"/>
      <w:marLeft w:val="0"/>
      <w:marRight w:val="0"/>
      <w:marTop w:val="0"/>
      <w:marBottom w:val="0"/>
      <w:divBdr>
        <w:top w:val="none" w:sz="0" w:space="0" w:color="auto"/>
        <w:left w:val="none" w:sz="0" w:space="0" w:color="auto"/>
        <w:bottom w:val="none" w:sz="0" w:space="0" w:color="auto"/>
        <w:right w:val="none" w:sz="0" w:space="0" w:color="auto"/>
      </w:divBdr>
      <w:divsChild>
        <w:div w:id="1009913695">
          <w:marLeft w:val="0"/>
          <w:marRight w:val="0"/>
          <w:marTop w:val="0"/>
          <w:marBottom w:val="0"/>
          <w:divBdr>
            <w:top w:val="none" w:sz="0" w:space="0" w:color="auto"/>
            <w:left w:val="none" w:sz="0" w:space="0" w:color="auto"/>
            <w:bottom w:val="none" w:sz="0" w:space="0" w:color="auto"/>
            <w:right w:val="none" w:sz="0" w:space="0" w:color="auto"/>
          </w:divBdr>
          <w:divsChild>
            <w:div w:id="1763448480">
              <w:marLeft w:val="0"/>
              <w:marRight w:val="0"/>
              <w:marTop w:val="0"/>
              <w:marBottom w:val="0"/>
              <w:divBdr>
                <w:top w:val="none" w:sz="0" w:space="0" w:color="auto"/>
                <w:left w:val="none" w:sz="0" w:space="0" w:color="auto"/>
                <w:bottom w:val="none" w:sz="0" w:space="0" w:color="auto"/>
                <w:right w:val="none" w:sz="0" w:space="0" w:color="auto"/>
              </w:divBdr>
            </w:div>
            <w:div w:id="393311057">
              <w:marLeft w:val="0"/>
              <w:marRight w:val="0"/>
              <w:marTop w:val="0"/>
              <w:marBottom w:val="0"/>
              <w:divBdr>
                <w:top w:val="none" w:sz="0" w:space="0" w:color="auto"/>
                <w:left w:val="none" w:sz="0" w:space="0" w:color="auto"/>
                <w:bottom w:val="none" w:sz="0" w:space="0" w:color="auto"/>
                <w:right w:val="none" w:sz="0" w:space="0" w:color="auto"/>
              </w:divBdr>
            </w:div>
            <w:div w:id="292292537">
              <w:marLeft w:val="0"/>
              <w:marRight w:val="0"/>
              <w:marTop w:val="0"/>
              <w:marBottom w:val="0"/>
              <w:divBdr>
                <w:top w:val="none" w:sz="0" w:space="0" w:color="auto"/>
                <w:left w:val="none" w:sz="0" w:space="0" w:color="auto"/>
                <w:bottom w:val="none" w:sz="0" w:space="0" w:color="auto"/>
                <w:right w:val="none" w:sz="0" w:space="0" w:color="auto"/>
              </w:divBdr>
            </w:div>
            <w:div w:id="13758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0864">
      <w:bodyDiv w:val="1"/>
      <w:marLeft w:val="0"/>
      <w:marRight w:val="0"/>
      <w:marTop w:val="0"/>
      <w:marBottom w:val="0"/>
      <w:divBdr>
        <w:top w:val="none" w:sz="0" w:space="0" w:color="auto"/>
        <w:left w:val="none" w:sz="0" w:space="0" w:color="auto"/>
        <w:bottom w:val="none" w:sz="0" w:space="0" w:color="auto"/>
        <w:right w:val="none" w:sz="0" w:space="0" w:color="auto"/>
      </w:divBdr>
    </w:div>
    <w:div w:id="1283732553">
      <w:bodyDiv w:val="1"/>
      <w:marLeft w:val="0"/>
      <w:marRight w:val="0"/>
      <w:marTop w:val="0"/>
      <w:marBottom w:val="0"/>
      <w:divBdr>
        <w:top w:val="none" w:sz="0" w:space="0" w:color="auto"/>
        <w:left w:val="none" w:sz="0" w:space="0" w:color="auto"/>
        <w:bottom w:val="none" w:sz="0" w:space="0" w:color="auto"/>
        <w:right w:val="none" w:sz="0" w:space="0" w:color="auto"/>
      </w:divBdr>
    </w:div>
    <w:div w:id="1412193396">
      <w:bodyDiv w:val="1"/>
      <w:marLeft w:val="0"/>
      <w:marRight w:val="0"/>
      <w:marTop w:val="0"/>
      <w:marBottom w:val="0"/>
      <w:divBdr>
        <w:top w:val="none" w:sz="0" w:space="0" w:color="auto"/>
        <w:left w:val="none" w:sz="0" w:space="0" w:color="auto"/>
        <w:bottom w:val="none" w:sz="0" w:space="0" w:color="auto"/>
        <w:right w:val="none" w:sz="0" w:space="0" w:color="auto"/>
      </w:divBdr>
    </w:div>
    <w:div w:id="1435662565">
      <w:bodyDiv w:val="1"/>
      <w:marLeft w:val="0"/>
      <w:marRight w:val="0"/>
      <w:marTop w:val="0"/>
      <w:marBottom w:val="0"/>
      <w:divBdr>
        <w:top w:val="none" w:sz="0" w:space="0" w:color="auto"/>
        <w:left w:val="none" w:sz="0" w:space="0" w:color="auto"/>
        <w:bottom w:val="none" w:sz="0" w:space="0" w:color="auto"/>
        <w:right w:val="none" w:sz="0" w:space="0" w:color="auto"/>
      </w:divBdr>
    </w:div>
    <w:div w:id="1452936083">
      <w:bodyDiv w:val="1"/>
      <w:marLeft w:val="0"/>
      <w:marRight w:val="0"/>
      <w:marTop w:val="0"/>
      <w:marBottom w:val="0"/>
      <w:divBdr>
        <w:top w:val="none" w:sz="0" w:space="0" w:color="auto"/>
        <w:left w:val="none" w:sz="0" w:space="0" w:color="auto"/>
        <w:bottom w:val="none" w:sz="0" w:space="0" w:color="auto"/>
        <w:right w:val="none" w:sz="0" w:space="0" w:color="auto"/>
      </w:divBdr>
      <w:divsChild>
        <w:div w:id="1370715857">
          <w:marLeft w:val="0"/>
          <w:marRight w:val="0"/>
          <w:marTop w:val="0"/>
          <w:marBottom w:val="0"/>
          <w:divBdr>
            <w:top w:val="none" w:sz="0" w:space="0" w:color="auto"/>
            <w:left w:val="none" w:sz="0" w:space="0" w:color="auto"/>
            <w:bottom w:val="none" w:sz="0" w:space="0" w:color="auto"/>
            <w:right w:val="none" w:sz="0" w:space="0" w:color="auto"/>
          </w:divBdr>
          <w:divsChild>
            <w:div w:id="1443649319">
              <w:marLeft w:val="0"/>
              <w:marRight w:val="0"/>
              <w:marTop w:val="0"/>
              <w:marBottom w:val="0"/>
              <w:divBdr>
                <w:top w:val="none" w:sz="0" w:space="0" w:color="auto"/>
                <w:left w:val="none" w:sz="0" w:space="0" w:color="auto"/>
                <w:bottom w:val="none" w:sz="0" w:space="0" w:color="auto"/>
                <w:right w:val="none" w:sz="0" w:space="0" w:color="auto"/>
              </w:divBdr>
            </w:div>
            <w:div w:id="394473328">
              <w:marLeft w:val="0"/>
              <w:marRight w:val="0"/>
              <w:marTop w:val="0"/>
              <w:marBottom w:val="0"/>
              <w:divBdr>
                <w:top w:val="none" w:sz="0" w:space="0" w:color="auto"/>
                <w:left w:val="none" w:sz="0" w:space="0" w:color="auto"/>
                <w:bottom w:val="none" w:sz="0" w:space="0" w:color="auto"/>
                <w:right w:val="none" w:sz="0" w:space="0" w:color="auto"/>
              </w:divBdr>
            </w:div>
            <w:div w:id="21172432">
              <w:marLeft w:val="0"/>
              <w:marRight w:val="0"/>
              <w:marTop w:val="0"/>
              <w:marBottom w:val="0"/>
              <w:divBdr>
                <w:top w:val="none" w:sz="0" w:space="0" w:color="auto"/>
                <w:left w:val="none" w:sz="0" w:space="0" w:color="auto"/>
                <w:bottom w:val="none" w:sz="0" w:space="0" w:color="auto"/>
                <w:right w:val="none" w:sz="0" w:space="0" w:color="auto"/>
              </w:divBdr>
            </w:div>
            <w:div w:id="2234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5726">
      <w:bodyDiv w:val="1"/>
      <w:marLeft w:val="0"/>
      <w:marRight w:val="0"/>
      <w:marTop w:val="0"/>
      <w:marBottom w:val="0"/>
      <w:divBdr>
        <w:top w:val="none" w:sz="0" w:space="0" w:color="auto"/>
        <w:left w:val="none" w:sz="0" w:space="0" w:color="auto"/>
        <w:bottom w:val="none" w:sz="0" w:space="0" w:color="auto"/>
        <w:right w:val="none" w:sz="0" w:space="0" w:color="auto"/>
      </w:divBdr>
    </w:div>
    <w:div w:id="1735934015">
      <w:bodyDiv w:val="1"/>
      <w:marLeft w:val="0"/>
      <w:marRight w:val="0"/>
      <w:marTop w:val="0"/>
      <w:marBottom w:val="0"/>
      <w:divBdr>
        <w:top w:val="none" w:sz="0" w:space="0" w:color="auto"/>
        <w:left w:val="none" w:sz="0" w:space="0" w:color="auto"/>
        <w:bottom w:val="none" w:sz="0" w:space="0" w:color="auto"/>
        <w:right w:val="none" w:sz="0" w:space="0" w:color="auto"/>
      </w:divBdr>
      <w:divsChild>
        <w:div w:id="1744524723">
          <w:marLeft w:val="0"/>
          <w:marRight w:val="0"/>
          <w:marTop w:val="0"/>
          <w:marBottom w:val="0"/>
          <w:divBdr>
            <w:top w:val="none" w:sz="0" w:space="0" w:color="auto"/>
            <w:left w:val="none" w:sz="0" w:space="0" w:color="auto"/>
            <w:bottom w:val="none" w:sz="0" w:space="0" w:color="auto"/>
            <w:right w:val="none" w:sz="0" w:space="0" w:color="auto"/>
          </w:divBdr>
          <w:divsChild>
            <w:div w:id="915627275">
              <w:marLeft w:val="0"/>
              <w:marRight w:val="0"/>
              <w:marTop w:val="0"/>
              <w:marBottom w:val="0"/>
              <w:divBdr>
                <w:top w:val="none" w:sz="0" w:space="0" w:color="auto"/>
                <w:left w:val="none" w:sz="0" w:space="0" w:color="auto"/>
                <w:bottom w:val="none" w:sz="0" w:space="0" w:color="auto"/>
                <w:right w:val="none" w:sz="0" w:space="0" w:color="auto"/>
              </w:divBdr>
            </w:div>
            <w:div w:id="383412665">
              <w:marLeft w:val="0"/>
              <w:marRight w:val="0"/>
              <w:marTop w:val="0"/>
              <w:marBottom w:val="0"/>
              <w:divBdr>
                <w:top w:val="none" w:sz="0" w:space="0" w:color="auto"/>
                <w:left w:val="none" w:sz="0" w:space="0" w:color="auto"/>
                <w:bottom w:val="none" w:sz="0" w:space="0" w:color="auto"/>
                <w:right w:val="none" w:sz="0" w:space="0" w:color="auto"/>
              </w:divBdr>
            </w:div>
            <w:div w:id="40786597">
              <w:marLeft w:val="0"/>
              <w:marRight w:val="0"/>
              <w:marTop w:val="0"/>
              <w:marBottom w:val="0"/>
              <w:divBdr>
                <w:top w:val="none" w:sz="0" w:space="0" w:color="auto"/>
                <w:left w:val="none" w:sz="0" w:space="0" w:color="auto"/>
                <w:bottom w:val="none" w:sz="0" w:space="0" w:color="auto"/>
                <w:right w:val="none" w:sz="0" w:space="0" w:color="auto"/>
              </w:divBdr>
            </w:div>
            <w:div w:id="3859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5379">
      <w:bodyDiv w:val="1"/>
      <w:marLeft w:val="0"/>
      <w:marRight w:val="0"/>
      <w:marTop w:val="0"/>
      <w:marBottom w:val="0"/>
      <w:divBdr>
        <w:top w:val="none" w:sz="0" w:space="0" w:color="auto"/>
        <w:left w:val="none" w:sz="0" w:space="0" w:color="auto"/>
        <w:bottom w:val="none" w:sz="0" w:space="0" w:color="auto"/>
        <w:right w:val="none" w:sz="0" w:space="0" w:color="auto"/>
      </w:divBdr>
    </w:div>
    <w:div w:id="1900633402">
      <w:bodyDiv w:val="1"/>
      <w:marLeft w:val="0"/>
      <w:marRight w:val="0"/>
      <w:marTop w:val="0"/>
      <w:marBottom w:val="0"/>
      <w:divBdr>
        <w:top w:val="none" w:sz="0" w:space="0" w:color="auto"/>
        <w:left w:val="none" w:sz="0" w:space="0" w:color="auto"/>
        <w:bottom w:val="none" w:sz="0" w:space="0" w:color="auto"/>
        <w:right w:val="none" w:sz="0" w:space="0" w:color="auto"/>
      </w:divBdr>
    </w:div>
    <w:div w:id="1942716280">
      <w:bodyDiv w:val="1"/>
      <w:marLeft w:val="0"/>
      <w:marRight w:val="0"/>
      <w:marTop w:val="0"/>
      <w:marBottom w:val="0"/>
      <w:divBdr>
        <w:top w:val="none" w:sz="0" w:space="0" w:color="auto"/>
        <w:left w:val="none" w:sz="0" w:space="0" w:color="auto"/>
        <w:bottom w:val="none" w:sz="0" w:space="0" w:color="auto"/>
        <w:right w:val="none" w:sz="0" w:space="0" w:color="auto"/>
      </w:divBdr>
    </w:div>
    <w:div w:id="19496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521EA-DDB5-426D-B686-DCBDF1FC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2222</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2024-12-05T04:52:00Z</dcterms:created>
  <dcterms:modified xsi:type="dcterms:W3CDTF">2024-12-05T23:11:00Z</dcterms:modified>
</cp:coreProperties>
</file>