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7AE4" w14:textId="77777777" w:rsidR="00287BE0" w:rsidRPr="00013623" w:rsidRDefault="00287BE0">
      <w:pPr>
        <w:spacing w:after="120"/>
        <w:jc w:val="center"/>
        <w:rPr>
          <w:rFonts w:ascii="Times New Roman" w:hAnsi="Times New Roman" w:cs="Times New Roman"/>
          <w:sz w:val="24"/>
          <w:szCs w:val="24"/>
        </w:rPr>
      </w:pPr>
      <w:r w:rsidRPr="00013623">
        <w:rPr>
          <w:rFonts w:ascii="Times New Roman" w:hAnsi="Times New Roman" w:cs="Times New Roman"/>
          <w:b/>
          <w:bCs/>
          <w:sz w:val="24"/>
          <w:szCs w:val="24"/>
          <w:u w:val="single"/>
        </w:rPr>
        <w:t>EXPLANATORY STATEMENT</w:t>
      </w:r>
    </w:p>
    <w:p w14:paraId="020C2C09" w14:textId="77777777" w:rsidR="00287BE0" w:rsidRPr="00013623" w:rsidRDefault="00287BE0">
      <w:pPr>
        <w:spacing w:after="120"/>
        <w:rPr>
          <w:rFonts w:ascii="Times New Roman" w:hAnsi="Times New Roman" w:cs="Times New Roman"/>
          <w:b/>
          <w:bCs/>
          <w:color w:val="000000"/>
          <w:sz w:val="24"/>
          <w:szCs w:val="24"/>
        </w:rPr>
      </w:pPr>
    </w:p>
    <w:p w14:paraId="28021962" w14:textId="77777777" w:rsidR="00287BE0" w:rsidRPr="00013623" w:rsidRDefault="00287BE0" w:rsidP="002A5F68">
      <w:pPr>
        <w:jc w:val="center"/>
        <w:rPr>
          <w:rFonts w:ascii="Times New Roman" w:hAnsi="Times New Roman" w:cs="Times New Roman"/>
          <w:color w:val="000000"/>
          <w:sz w:val="24"/>
          <w:szCs w:val="24"/>
          <w:u w:val="single"/>
        </w:rPr>
      </w:pPr>
      <w:r w:rsidRPr="00013623">
        <w:rPr>
          <w:rFonts w:ascii="Times New Roman" w:hAnsi="Times New Roman" w:cs="Times New Roman"/>
          <w:color w:val="000000"/>
          <w:sz w:val="24"/>
          <w:szCs w:val="24"/>
          <w:u w:val="single"/>
        </w:rPr>
        <w:t xml:space="preserve">Issued by the Authority of the Minister for </w:t>
      </w:r>
      <w:r w:rsidR="00013623" w:rsidRPr="00013623">
        <w:rPr>
          <w:rFonts w:ascii="Times New Roman" w:hAnsi="Times New Roman" w:cs="Times New Roman"/>
          <w:color w:val="000000"/>
          <w:sz w:val="24"/>
          <w:szCs w:val="24"/>
          <w:u w:val="single"/>
        </w:rPr>
        <w:t>Resources</w:t>
      </w:r>
    </w:p>
    <w:p w14:paraId="73947C59" w14:textId="77777777" w:rsidR="00287BE0" w:rsidRPr="00013623" w:rsidRDefault="00287BE0">
      <w:pPr>
        <w:tabs>
          <w:tab w:val="left" w:pos="1701"/>
        </w:tabs>
        <w:spacing w:after="120"/>
        <w:jc w:val="center"/>
        <w:rPr>
          <w:rFonts w:ascii="Times New Roman" w:hAnsi="Times New Roman" w:cs="Times New Roman"/>
          <w:sz w:val="24"/>
          <w:szCs w:val="24"/>
        </w:rPr>
      </w:pPr>
    </w:p>
    <w:p w14:paraId="22735892" w14:textId="77777777" w:rsidR="00287BE0" w:rsidRPr="00013623" w:rsidRDefault="008A4AC7" w:rsidP="002A5F68">
      <w:pPr>
        <w:jc w:val="center"/>
        <w:rPr>
          <w:rFonts w:ascii="Times New Roman" w:hAnsi="Times New Roman" w:cs="Times New Roman"/>
          <w:i/>
          <w:iCs/>
          <w:sz w:val="24"/>
          <w:szCs w:val="24"/>
        </w:rPr>
      </w:pPr>
      <w:r w:rsidRPr="00013623">
        <w:rPr>
          <w:rFonts w:ascii="Times New Roman" w:hAnsi="Times New Roman" w:cs="Times New Roman"/>
          <w:i/>
          <w:iCs/>
          <w:sz w:val="24"/>
          <w:szCs w:val="24"/>
        </w:rPr>
        <w:t>Industry Research and Development Act 1986</w:t>
      </w:r>
    </w:p>
    <w:p w14:paraId="3E19A4CB" w14:textId="77777777" w:rsidR="00287BE0" w:rsidRPr="00013623" w:rsidRDefault="00287BE0">
      <w:pPr>
        <w:tabs>
          <w:tab w:val="left" w:pos="1701"/>
        </w:tabs>
        <w:spacing w:after="120"/>
        <w:jc w:val="center"/>
        <w:rPr>
          <w:rFonts w:ascii="Times New Roman" w:hAnsi="Times New Roman" w:cs="Times New Roman"/>
          <w:sz w:val="24"/>
          <w:szCs w:val="24"/>
        </w:rPr>
      </w:pPr>
    </w:p>
    <w:p w14:paraId="78D3CBB8" w14:textId="77777777" w:rsidR="00287BE0" w:rsidRPr="00B66B9B" w:rsidRDefault="008A4AC7" w:rsidP="002A5F68">
      <w:pPr>
        <w:jc w:val="center"/>
        <w:rPr>
          <w:rFonts w:ascii="Times New Roman" w:hAnsi="Times New Roman" w:cs="Times New Roman"/>
          <w:i/>
          <w:sz w:val="24"/>
          <w:szCs w:val="24"/>
        </w:rPr>
      </w:pPr>
      <w:r w:rsidRPr="00B66B9B">
        <w:rPr>
          <w:rFonts w:ascii="Times New Roman" w:hAnsi="Times New Roman" w:cs="Times New Roman"/>
          <w:i/>
          <w:sz w:val="24"/>
          <w:szCs w:val="24"/>
        </w:rPr>
        <w:t>Industry Research and Development (Resourcing Australia’s Prosperity Program) Instrument 2024</w:t>
      </w:r>
    </w:p>
    <w:p w14:paraId="703B5916" w14:textId="77777777" w:rsidR="00013623" w:rsidRPr="00013623" w:rsidRDefault="00013623" w:rsidP="008A4AC7">
      <w:pPr>
        <w:spacing w:after="120"/>
        <w:jc w:val="center"/>
        <w:rPr>
          <w:rFonts w:ascii="Times New Roman" w:hAnsi="Times New Roman" w:cs="Times New Roman"/>
          <w:sz w:val="24"/>
          <w:szCs w:val="24"/>
        </w:rPr>
      </w:pPr>
    </w:p>
    <w:p w14:paraId="2FD59BF3" w14:textId="77777777" w:rsidR="00780253" w:rsidRPr="00013623" w:rsidRDefault="00780253" w:rsidP="002A5F68">
      <w:pPr>
        <w:rPr>
          <w:rFonts w:ascii="Times New Roman" w:hAnsi="Times New Roman" w:cs="Times New Roman"/>
          <w:b/>
          <w:bCs/>
          <w:sz w:val="24"/>
          <w:szCs w:val="24"/>
          <w:u w:val="single"/>
        </w:rPr>
      </w:pPr>
      <w:r w:rsidRPr="00013623">
        <w:rPr>
          <w:rFonts w:ascii="Times New Roman" w:hAnsi="Times New Roman" w:cs="Times New Roman"/>
          <w:b/>
          <w:bCs/>
          <w:sz w:val="24"/>
          <w:szCs w:val="24"/>
          <w:u w:val="single"/>
        </w:rPr>
        <w:t>Purpose and Operation</w:t>
      </w:r>
    </w:p>
    <w:p w14:paraId="30CC95F7" w14:textId="77777777" w:rsidR="00013623" w:rsidRPr="00013623" w:rsidRDefault="00013623">
      <w:pPr>
        <w:spacing w:after="120"/>
        <w:rPr>
          <w:rFonts w:ascii="Times New Roman" w:hAnsi="Times New Roman" w:cs="Times New Roman"/>
          <w:b/>
          <w:bCs/>
          <w:sz w:val="24"/>
          <w:szCs w:val="24"/>
          <w:u w:val="single"/>
        </w:rPr>
      </w:pPr>
    </w:p>
    <w:p w14:paraId="66E6ED46" w14:textId="4F805D51" w:rsidR="00013623" w:rsidRPr="00C04DFF" w:rsidRDefault="00383E77">
      <w:pPr>
        <w:spacing w:after="120"/>
        <w:rPr>
          <w:rFonts w:ascii="Times New Roman" w:hAnsi="Times New Roman" w:cs="Times New Roman"/>
          <w:sz w:val="24"/>
          <w:szCs w:val="24"/>
        </w:rPr>
      </w:pPr>
      <w:r w:rsidRPr="00C04DFF">
        <w:rPr>
          <w:rFonts w:ascii="Times New Roman" w:hAnsi="Times New Roman" w:cs="Times New Roman"/>
          <w:sz w:val="24"/>
          <w:szCs w:val="24"/>
        </w:rPr>
        <w:t>Section</w:t>
      </w:r>
      <w:r w:rsidR="00780253" w:rsidRPr="00C04DFF">
        <w:rPr>
          <w:rFonts w:ascii="Times New Roman" w:hAnsi="Times New Roman" w:cs="Times New Roman"/>
          <w:sz w:val="24"/>
          <w:szCs w:val="24"/>
        </w:rPr>
        <w:t xml:space="preserve"> 33 of the </w:t>
      </w:r>
      <w:r w:rsidR="008A4AC7" w:rsidRPr="00C04DFF">
        <w:rPr>
          <w:rFonts w:ascii="Times New Roman" w:hAnsi="Times New Roman" w:cs="Times New Roman"/>
          <w:i/>
          <w:iCs/>
          <w:sz w:val="24"/>
          <w:szCs w:val="24"/>
        </w:rPr>
        <w:t>Industry Research and Development Act 1986</w:t>
      </w:r>
      <w:r w:rsidR="008A4AC7" w:rsidRPr="00C04DFF">
        <w:rPr>
          <w:rFonts w:ascii="Times New Roman" w:hAnsi="Times New Roman" w:cs="Times New Roman"/>
          <w:sz w:val="24"/>
          <w:szCs w:val="24"/>
        </w:rPr>
        <w:t xml:space="preserve"> (the IR</w:t>
      </w:r>
      <w:r w:rsidR="00780253" w:rsidRPr="00C04DFF">
        <w:rPr>
          <w:rFonts w:ascii="Times New Roman" w:hAnsi="Times New Roman" w:cs="Times New Roman"/>
          <w:sz w:val="24"/>
          <w:szCs w:val="24"/>
        </w:rPr>
        <w:t>&amp;</w:t>
      </w:r>
      <w:r w:rsidR="008A4AC7" w:rsidRPr="00C04DFF">
        <w:rPr>
          <w:rFonts w:ascii="Times New Roman" w:hAnsi="Times New Roman" w:cs="Times New Roman"/>
          <w:sz w:val="24"/>
          <w:szCs w:val="24"/>
        </w:rPr>
        <w:t xml:space="preserve">D Act) </w:t>
      </w:r>
      <w:r w:rsidR="00780253" w:rsidRPr="00C04DFF">
        <w:rPr>
          <w:rFonts w:ascii="Times New Roman" w:hAnsi="Times New Roman" w:cs="Times New Roman"/>
          <w:sz w:val="24"/>
          <w:szCs w:val="24"/>
        </w:rPr>
        <w:t>provides a mechanism for the Minister to prescribe programs, by disallowable legislative instrument, in relation to i</w:t>
      </w:r>
      <w:r w:rsidR="00B50C91" w:rsidRPr="00C04DFF">
        <w:rPr>
          <w:rFonts w:ascii="Times New Roman" w:hAnsi="Times New Roman" w:cs="Times New Roman"/>
          <w:sz w:val="24"/>
          <w:szCs w:val="24"/>
        </w:rPr>
        <w:t xml:space="preserve">ndustry, </w:t>
      </w:r>
      <w:r w:rsidR="000E126F" w:rsidRPr="00C04DFF">
        <w:rPr>
          <w:rFonts w:ascii="Times New Roman" w:hAnsi="Times New Roman" w:cs="Times New Roman"/>
          <w:sz w:val="24"/>
          <w:szCs w:val="24"/>
        </w:rPr>
        <w:t>innova</w:t>
      </w:r>
      <w:r w:rsidR="00B50C91" w:rsidRPr="00C04DFF">
        <w:rPr>
          <w:rFonts w:ascii="Times New Roman" w:hAnsi="Times New Roman" w:cs="Times New Roman"/>
          <w:sz w:val="24"/>
          <w:szCs w:val="24"/>
        </w:rPr>
        <w:t>tion, science and researc</w:t>
      </w:r>
      <w:r w:rsidR="00780253" w:rsidRPr="00C04DFF">
        <w:rPr>
          <w:rFonts w:ascii="Times New Roman" w:hAnsi="Times New Roman" w:cs="Times New Roman"/>
          <w:sz w:val="24"/>
          <w:szCs w:val="24"/>
        </w:rPr>
        <w:t>h, including in relation to the expenditure of Commonwealth money under such programs.</w:t>
      </w:r>
    </w:p>
    <w:p w14:paraId="05297437" w14:textId="408165D3" w:rsidR="00013623" w:rsidRPr="00C04DFF" w:rsidRDefault="00780253">
      <w:pPr>
        <w:spacing w:after="120"/>
        <w:rPr>
          <w:rFonts w:ascii="Times New Roman" w:hAnsi="Times New Roman" w:cs="Times New Roman"/>
          <w:sz w:val="24"/>
          <w:szCs w:val="24"/>
        </w:rPr>
      </w:pPr>
      <w:r w:rsidRPr="00C04DFF">
        <w:rPr>
          <w:rFonts w:ascii="Times New Roman" w:hAnsi="Times New Roman" w:cs="Times New Roman"/>
          <w:sz w:val="24"/>
          <w:szCs w:val="24"/>
        </w:rPr>
        <w:t xml:space="preserve">The statutory framework provided by section 33 of the IR&amp;D Act enables a level of flexibility to provide authority for Commonwealth spending activities in relation to industry, innovation, </w:t>
      </w:r>
      <w:r w:rsidR="004F4FC1" w:rsidRPr="00C04DFF">
        <w:rPr>
          <w:rFonts w:ascii="Times New Roman" w:hAnsi="Times New Roman" w:cs="Times New Roman"/>
          <w:sz w:val="24"/>
          <w:szCs w:val="24"/>
        </w:rPr>
        <w:t>science,</w:t>
      </w:r>
      <w:r w:rsidRPr="00C04DFF">
        <w:rPr>
          <w:rFonts w:ascii="Times New Roman" w:hAnsi="Times New Roman" w:cs="Times New Roman"/>
          <w:sz w:val="24"/>
          <w:szCs w:val="24"/>
        </w:rPr>
        <w:t xml:space="preserv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w:t>
      </w:r>
      <w:r w:rsidR="00D927F3" w:rsidRPr="00C04DFF">
        <w:rPr>
          <w:rFonts w:ascii="Times New Roman" w:hAnsi="Times New Roman" w:cs="Times New Roman"/>
          <w:sz w:val="24"/>
          <w:szCs w:val="24"/>
        </w:rPr>
        <w:t>lth.</w:t>
      </w:r>
    </w:p>
    <w:p w14:paraId="43004C0B" w14:textId="5EDFB9FD" w:rsidR="00013623" w:rsidRPr="00C04DFF" w:rsidRDefault="00D927F3">
      <w:pPr>
        <w:spacing w:after="120"/>
        <w:rPr>
          <w:rFonts w:ascii="Times New Roman" w:hAnsi="Times New Roman" w:cs="Times New Roman"/>
          <w:sz w:val="24"/>
          <w:szCs w:val="24"/>
        </w:rPr>
      </w:pPr>
      <w:r w:rsidRPr="00C04DFF">
        <w:rPr>
          <w:rFonts w:ascii="Times New Roman" w:hAnsi="Times New Roman" w:cs="Times New Roman"/>
          <w:sz w:val="24"/>
          <w:szCs w:val="24"/>
        </w:rPr>
        <w:t>Once a program is prescribed by the Minister under section 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DF38B2">
        <w:rPr>
          <w:rFonts w:ascii="Times New Roman" w:hAnsi="Times New Roman" w:cs="Times New Roman"/>
          <w:sz w:val="24"/>
          <w:szCs w:val="24"/>
        </w:rPr>
        <w:noBreakHyphen/>
      </w:r>
      <w:r w:rsidRPr="00C04DFF">
        <w:rPr>
          <w:rFonts w:ascii="Times New Roman" w:hAnsi="Times New Roman" w:cs="Times New Roman"/>
          <w:sz w:val="24"/>
          <w:szCs w:val="24"/>
        </w:rPr>
        <w:t xml:space="preserve">corporate Commonwealth entity, or by their delegate (under section 36). </w:t>
      </w:r>
    </w:p>
    <w:p w14:paraId="200CB69C" w14:textId="777DFE7D" w:rsidR="00013623" w:rsidRPr="00C04DFF" w:rsidRDefault="00D927F3">
      <w:pPr>
        <w:spacing w:after="120"/>
        <w:rPr>
          <w:rFonts w:ascii="Times New Roman" w:hAnsi="Times New Roman" w:cs="Times New Roman"/>
          <w:sz w:val="24"/>
          <w:szCs w:val="24"/>
        </w:rPr>
      </w:pPr>
      <w:r w:rsidRPr="00C04DFF">
        <w:rPr>
          <w:rFonts w:ascii="Times New Roman" w:hAnsi="Times New Roman" w:cs="Times New Roman"/>
          <w:sz w:val="24"/>
          <w:szCs w:val="24"/>
        </w:rPr>
        <w:t xml:space="preserve">The </w:t>
      </w:r>
      <w:r w:rsidRPr="00C04DFF">
        <w:rPr>
          <w:rFonts w:ascii="Times New Roman" w:hAnsi="Times New Roman" w:cs="Times New Roman"/>
          <w:i/>
          <w:iCs/>
          <w:sz w:val="24"/>
          <w:szCs w:val="24"/>
        </w:rPr>
        <w:t xml:space="preserve">Industry Research and Development (Resourcing Australia’s Prosperity Program) Instrument 2024 </w:t>
      </w:r>
      <w:r w:rsidRPr="00C04DFF">
        <w:rPr>
          <w:rFonts w:ascii="Times New Roman" w:hAnsi="Times New Roman" w:cs="Times New Roman"/>
          <w:sz w:val="24"/>
          <w:szCs w:val="24"/>
        </w:rPr>
        <w:t xml:space="preserve">(the Legislative Instrument) prescribes the Resourcing Australia’s Prosperity Program (the </w:t>
      </w:r>
      <w:r w:rsidR="004A2436" w:rsidRPr="00C04DFF">
        <w:rPr>
          <w:rFonts w:ascii="Times New Roman" w:hAnsi="Times New Roman" w:cs="Times New Roman"/>
          <w:sz w:val="24"/>
          <w:szCs w:val="24"/>
        </w:rPr>
        <w:t>p</w:t>
      </w:r>
      <w:r w:rsidRPr="00C04DFF">
        <w:rPr>
          <w:rFonts w:ascii="Times New Roman" w:hAnsi="Times New Roman" w:cs="Times New Roman"/>
          <w:sz w:val="24"/>
          <w:szCs w:val="24"/>
        </w:rPr>
        <w:t>rogram).</w:t>
      </w:r>
    </w:p>
    <w:p w14:paraId="2DA3323F" w14:textId="44AFDB41" w:rsidR="00013623" w:rsidRPr="00C04DFF" w:rsidRDefault="00D927F3">
      <w:pPr>
        <w:spacing w:after="120"/>
        <w:rPr>
          <w:rFonts w:ascii="Times New Roman" w:hAnsi="Times New Roman" w:cs="Times New Roman"/>
          <w:sz w:val="24"/>
          <w:szCs w:val="24"/>
        </w:rPr>
      </w:pPr>
      <w:r w:rsidRPr="00C04DFF">
        <w:rPr>
          <w:rFonts w:ascii="Times New Roman" w:hAnsi="Times New Roman" w:cs="Times New Roman"/>
          <w:sz w:val="24"/>
          <w:szCs w:val="24"/>
        </w:rPr>
        <w:t xml:space="preserve">Funding for the </w:t>
      </w:r>
      <w:r w:rsidR="004A2436" w:rsidRPr="00C04DFF">
        <w:rPr>
          <w:rFonts w:ascii="Times New Roman" w:hAnsi="Times New Roman" w:cs="Times New Roman"/>
          <w:sz w:val="24"/>
          <w:szCs w:val="24"/>
        </w:rPr>
        <w:t>p</w:t>
      </w:r>
      <w:r w:rsidRPr="00C04DFF">
        <w:rPr>
          <w:rFonts w:ascii="Times New Roman" w:hAnsi="Times New Roman" w:cs="Times New Roman"/>
          <w:sz w:val="24"/>
          <w:szCs w:val="24"/>
        </w:rPr>
        <w:t xml:space="preserve">rogram has been secured through the 2024-25 Budget. The </w:t>
      </w:r>
      <w:r w:rsidR="004A2436" w:rsidRPr="00C04DFF">
        <w:rPr>
          <w:rFonts w:ascii="Times New Roman" w:hAnsi="Times New Roman" w:cs="Times New Roman"/>
          <w:sz w:val="24"/>
          <w:szCs w:val="24"/>
        </w:rPr>
        <w:t>p</w:t>
      </w:r>
      <w:r w:rsidRPr="00C04DFF">
        <w:rPr>
          <w:rFonts w:ascii="Times New Roman" w:hAnsi="Times New Roman" w:cs="Times New Roman"/>
          <w:sz w:val="24"/>
          <w:szCs w:val="24"/>
        </w:rPr>
        <w:t xml:space="preserve">rogram provides $566.1 million over 10 years, and then an average of $111.8 million per year in ongoing funding over 35 years to 2058-59 for Geoscience Australia (GA) to implement the </w:t>
      </w:r>
      <w:r w:rsidR="004A2436" w:rsidRPr="00C04DFF">
        <w:rPr>
          <w:rFonts w:ascii="Times New Roman" w:hAnsi="Times New Roman" w:cs="Times New Roman"/>
          <w:sz w:val="24"/>
          <w:szCs w:val="24"/>
        </w:rPr>
        <w:t>p</w:t>
      </w:r>
      <w:r w:rsidRPr="00C04DFF">
        <w:rPr>
          <w:rFonts w:ascii="Times New Roman" w:hAnsi="Times New Roman" w:cs="Times New Roman"/>
          <w:sz w:val="24"/>
          <w:szCs w:val="24"/>
        </w:rPr>
        <w:t xml:space="preserve">rogram. </w:t>
      </w:r>
    </w:p>
    <w:p w14:paraId="7F888026" w14:textId="615BBA87" w:rsidR="00013623" w:rsidRPr="00C04DFF" w:rsidRDefault="004D014E" w:rsidP="009B6B2D">
      <w:pPr>
        <w:spacing w:after="120"/>
        <w:rPr>
          <w:rFonts w:ascii="Times New Roman" w:hAnsi="Times New Roman" w:cs="Times New Roman"/>
          <w:sz w:val="24"/>
          <w:szCs w:val="24"/>
        </w:rPr>
      </w:pPr>
      <w:r w:rsidRPr="00C04DFF">
        <w:rPr>
          <w:rFonts w:ascii="Times New Roman" w:hAnsi="Times New Roman" w:cs="Times New Roman"/>
          <w:sz w:val="24"/>
          <w:szCs w:val="24"/>
        </w:rPr>
        <w:t xml:space="preserve">The purpose of the program is to deliver an improved understanding of Australia’s potential for mineral, </w:t>
      </w:r>
      <w:proofErr w:type="gramStart"/>
      <w:r w:rsidR="004D279D" w:rsidRPr="00C04DFF">
        <w:rPr>
          <w:rFonts w:ascii="Times New Roman" w:hAnsi="Times New Roman" w:cs="Times New Roman"/>
          <w:sz w:val="24"/>
          <w:szCs w:val="24"/>
        </w:rPr>
        <w:t>energy</w:t>
      </w:r>
      <w:proofErr w:type="gramEnd"/>
      <w:r w:rsidR="004D279D">
        <w:rPr>
          <w:rFonts w:ascii="Times New Roman" w:hAnsi="Times New Roman" w:cs="Times New Roman"/>
          <w:sz w:val="24"/>
          <w:szCs w:val="24"/>
        </w:rPr>
        <w:t xml:space="preserve"> </w:t>
      </w:r>
      <w:r w:rsidRPr="00C04DFF">
        <w:rPr>
          <w:rFonts w:ascii="Times New Roman" w:hAnsi="Times New Roman" w:cs="Times New Roman"/>
          <w:sz w:val="24"/>
          <w:szCs w:val="24"/>
        </w:rPr>
        <w:t xml:space="preserve">and groundwater resources onshore and offshore. The program will identify the resources for a net zero emissions economy, attract investment, accelerate </w:t>
      </w:r>
      <w:r w:rsidR="3788FA04" w:rsidRPr="00C04DFF">
        <w:rPr>
          <w:rFonts w:ascii="Times New Roman" w:hAnsi="Times New Roman" w:cs="Times New Roman"/>
          <w:sz w:val="24"/>
          <w:szCs w:val="24"/>
        </w:rPr>
        <w:t xml:space="preserve">resource </w:t>
      </w:r>
      <w:r w:rsidRPr="00C04DFF">
        <w:rPr>
          <w:rFonts w:ascii="Times New Roman" w:hAnsi="Times New Roman" w:cs="Times New Roman"/>
          <w:sz w:val="24"/>
          <w:szCs w:val="24"/>
        </w:rPr>
        <w:t>discovery and development, secure Australia’s sovereign capability in critical resources development</w:t>
      </w:r>
      <w:r w:rsidR="4A8F8459" w:rsidRPr="00C04DFF">
        <w:rPr>
          <w:rFonts w:ascii="Times New Roman" w:eastAsia="Times New Roman" w:hAnsi="Times New Roman" w:cs="Times New Roman"/>
        </w:rPr>
        <w:t>, support agriculture</w:t>
      </w:r>
      <w:r w:rsidRPr="00C04DFF">
        <w:rPr>
          <w:rFonts w:ascii="Times New Roman" w:hAnsi="Times New Roman" w:cs="Times New Roman"/>
          <w:sz w:val="24"/>
          <w:szCs w:val="24"/>
        </w:rPr>
        <w:t xml:space="preserve"> and support sustainable management of our natural resources. It will also empower First Nations peoples and local community to understand and manage their land and water resources.</w:t>
      </w:r>
    </w:p>
    <w:p w14:paraId="4292AA91" w14:textId="77777777" w:rsidR="002A5F68" w:rsidRDefault="002A5F68">
      <w:pPr>
        <w:spacing w:after="120"/>
        <w:rPr>
          <w:rFonts w:ascii="Times New Roman" w:hAnsi="Times New Roman" w:cs="Times New Roman"/>
          <w:sz w:val="24"/>
          <w:szCs w:val="24"/>
        </w:rPr>
      </w:pPr>
    </w:p>
    <w:p w14:paraId="1F1B920C" w14:textId="23670760" w:rsidR="00013623" w:rsidRPr="00C04DFF" w:rsidRDefault="00DE64F1">
      <w:pPr>
        <w:spacing w:after="120"/>
        <w:rPr>
          <w:rFonts w:ascii="Times New Roman" w:hAnsi="Times New Roman" w:cs="Times New Roman"/>
          <w:sz w:val="24"/>
          <w:szCs w:val="24"/>
        </w:rPr>
      </w:pPr>
      <w:r w:rsidRPr="219B9B4A">
        <w:rPr>
          <w:rFonts w:ascii="Times New Roman" w:hAnsi="Times New Roman" w:cs="Times New Roman"/>
          <w:sz w:val="24"/>
          <w:szCs w:val="24"/>
        </w:rPr>
        <w:lastRenderedPageBreak/>
        <w:t xml:space="preserve">Funding authorised by this Legislative Instrument comes from Program 1.1 Geoscientific and Spatial Information Services, Outcome 1, as set out in the </w:t>
      </w:r>
      <w:r w:rsidRPr="219B9B4A">
        <w:rPr>
          <w:rFonts w:ascii="Times New Roman" w:hAnsi="Times New Roman" w:cs="Times New Roman"/>
          <w:i/>
          <w:iCs/>
          <w:sz w:val="24"/>
          <w:szCs w:val="24"/>
        </w:rPr>
        <w:t>Portfolio Budget Statements 2024-25, Budget Related paper No. 1.11, Industry, Science and Resources Portfolio</w:t>
      </w:r>
      <w:r w:rsidRPr="219B9B4A">
        <w:rPr>
          <w:rFonts w:ascii="Times New Roman" w:hAnsi="Times New Roman" w:cs="Times New Roman"/>
          <w:sz w:val="24"/>
          <w:szCs w:val="24"/>
        </w:rPr>
        <w:t xml:space="preserve"> (</w:t>
      </w:r>
      <w:r w:rsidR="002F5F6E" w:rsidRPr="004D279D">
        <w:rPr>
          <w:rFonts w:ascii="Times New Roman" w:hAnsi="Times New Roman" w:cs="Times New Roman"/>
          <w:sz w:val="24"/>
          <w:szCs w:val="24"/>
        </w:rPr>
        <w:t>https://www.industry.gov.au/sites/default/files/2024-05/2024-25-department-of-industry-science-resources-pbs.pdf</w:t>
      </w:r>
      <w:r w:rsidR="002F6378" w:rsidRPr="219B9B4A">
        <w:rPr>
          <w:rFonts w:ascii="Times New Roman" w:hAnsi="Times New Roman" w:cs="Times New Roman"/>
          <w:sz w:val="24"/>
          <w:szCs w:val="24"/>
        </w:rPr>
        <w:t>) at page 137.</w:t>
      </w:r>
    </w:p>
    <w:p w14:paraId="7FBE8E67" w14:textId="086CE0CC" w:rsidR="002F6378" w:rsidRPr="00C04DFF" w:rsidRDefault="002F6378" w:rsidP="009B6B2D">
      <w:pPr>
        <w:rPr>
          <w:rFonts w:ascii="Times New Roman" w:hAnsi="Times New Roman" w:cs="Times New Roman"/>
          <w:sz w:val="24"/>
          <w:szCs w:val="24"/>
        </w:rPr>
      </w:pPr>
      <w:r w:rsidRPr="219B9B4A">
        <w:rPr>
          <w:rFonts w:ascii="Times New Roman" w:hAnsi="Times New Roman" w:cs="Times New Roman"/>
          <w:sz w:val="24"/>
          <w:szCs w:val="24"/>
        </w:rPr>
        <w:t xml:space="preserve">The </w:t>
      </w:r>
      <w:r w:rsidR="004A2436" w:rsidRPr="219B9B4A">
        <w:rPr>
          <w:rFonts w:ascii="Times New Roman" w:hAnsi="Times New Roman" w:cs="Times New Roman"/>
          <w:sz w:val="24"/>
          <w:szCs w:val="24"/>
        </w:rPr>
        <w:t>p</w:t>
      </w:r>
      <w:r w:rsidRPr="219B9B4A">
        <w:rPr>
          <w:rFonts w:ascii="Times New Roman" w:hAnsi="Times New Roman" w:cs="Times New Roman"/>
          <w:sz w:val="24"/>
          <w:szCs w:val="24"/>
        </w:rPr>
        <w:t xml:space="preserve">rogram will be delivered by </w:t>
      </w:r>
      <w:r w:rsidR="00E257E1" w:rsidRPr="219B9B4A">
        <w:rPr>
          <w:rFonts w:ascii="Times New Roman" w:hAnsi="Times New Roman" w:cs="Times New Roman"/>
          <w:sz w:val="24"/>
          <w:szCs w:val="24"/>
        </w:rPr>
        <w:t>Geoscience</w:t>
      </w:r>
      <w:r w:rsidR="008B4528" w:rsidRPr="219B9B4A">
        <w:rPr>
          <w:rFonts w:ascii="Times New Roman" w:hAnsi="Times New Roman" w:cs="Times New Roman"/>
          <w:sz w:val="24"/>
          <w:szCs w:val="24"/>
        </w:rPr>
        <w:t xml:space="preserve"> Australia</w:t>
      </w:r>
      <w:r w:rsidRPr="219B9B4A">
        <w:rPr>
          <w:rFonts w:ascii="Times New Roman" w:hAnsi="Times New Roman" w:cs="Times New Roman"/>
          <w:sz w:val="24"/>
          <w:szCs w:val="24"/>
        </w:rPr>
        <w:t xml:space="preserve">, the national public sector geoscience organisation. This is consistent with responsibilities for ‘geoscience research and information services including </w:t>
      </w:r>
      <w:r w:rsidR="12B38FFB" w:rsidRPr="219B9B4A">
        <w:rPr>
          <w:rFonts w:ascii="Times New Roman" w:hAnsi="Times New Roman" w:cs="Times New Roman"/>
          <w:sz w:val="24"/>
          <w:szCs w:val="24"/>
        </w:rPr>
        <w:t xml:space="preserve">geodesy, mapping, </w:t>
      </w:r>
      <w:r w:rsidRPr="219B9B4A">
        <w:rPr>
          <w:rFonts w:ascii="Times New Roman" w:hAnsi="Times New Roman" w:cs="Times New Roman"/>
          <w:sz w:val="24"/>
          <w:szCs w:val="24"/>
        </w:rPr>
        <w:t>remote sensing</w:t>
      </w:r>
      <w:r w:rsidR="006E521E" w:rsidRPr="219B9B4A">
        <w:rPr>
          <w:rFonts w:ascii="Times New Roman" w:hAnsi="Times New Roman" w:cs="Times New Roman"/>
          <w:sz w:val="24"/>
          <w:szCs w:val="24"/>
        </w:rPr>
        <w:t xml:space="preserve">, groundwater and spatial data </w:t>
      </w:r>
      <w:r w:rsidR="00324246">
        <w:rPr>
          <w:rFonts w:ascii="Times New Roman" w:hAnsi="Times New Roman" w:cs="Times New Roman"/>
          <w:sz w:val="24"/>
          <w:szCs w:val="24"/>
        </w:rPr>
        <w:br/>
      </w:r>
      <w:r w:rsidR="006E521E" w:rsidRPr="219B9B4A">
        <w:rPr>
          <w:rFonts w:ascii="Times New Roman" w:hAnsi="Times New Roman" w:cs="Times New Roman"/>
          <w:sz w:val="24"/>
          <w:szCs w:val="24"/>
        </w:rPr>
        <w:t xml:space="preserve">co-ordination’ under the Administrative Arrangements Order – 13 October 2022 (as amended on </w:t>
      </w:r>
      <w:r w:rsidR="007D0E27" w:rsidRPr="219B9B4A">
        <w:rPr>
          <w:rFonts w:ascii="Times New Roman" w:hAnsi="Times New Roman" w:cs="Times New Roman"/>
          <w:sz w:val="24"/>
          <w:szCs w:val="24"/>
        </w:rPr>
        <w:t>29 July 2024</w:t>
      </w:r>
      <w:r w:rsidR="006E521E" w:rsidRPr="219B9B4A">
        <w:rPr>
          <w:rFonts w:ascii="Times New Roman" w:hAnsi="Times New Roman" w:cs="Times New Roman"/>
          <w:sz w:val="24"/>
          <w:szCs w:val="24"/>
        </w:rPr>
        <w:t xml:space="preserve">). </w:t>
      </w:r>
      <w:r w:rsidR="000B75BA" w:rsidRPr="219B9B4A">
        <w:rPr>
          <w:rFonts w:ascii="Times New Roman" w:hAnsi="Times New Roman" w:cs="Times New Roman"/>
          <w:sz w:val="24"/>
          <w:szCs w:val="24"/>
        </w:rPr>
        <w:t xml:space="preserve">Geoscience Australia </w:t>
      </w:r>
      <w:r w:rsidR="006E521E" w:rsidRPr="219B9B4A">
        <w:rPr>
          <w:rFonts w:ascii="Times New Roman" w:hAnsi="Times New Roman" w:cs="Times New Roman"/>
          <w:sz w:val="24"/>
          <w:szCs w:val="24"/>
        </w:rPr>
        <w:t xml:space="preserve">has extensive expertise and capability in delivering </w:t>
      </w:r>
      <w:r w:rsidR="005B6226" w:rsidRPr="219B9B4A">
        <w:rPr>
          <w:rFonts w:ascii="Times New Roman" w:hAnsi="Times New Roman" w:cs="Times New Roman"/>
          <w:sz w:val="24"/>
          <w:szCs w:val="24"/>
        </w:rPr>
        <w:t>the program</w:t>
      </w:r>
      <w:r w:rsidR="006E521E" w:rsidRPr="219B9B4A">
        <w:rPr>
          <w:rFonts w:ascii="Times New Roman" w:hAnsi="Times New Roman" w:cs="Times New Roman"/>
          <w:sz w:val="24"/>
          <w:szCs w:val="24"/>
        </w:rPr>
        <w:t>, which builds on the success of the Exploring for the Future program which ceased in June 2024.</w:t>
      </w:r>
    </w:p>
    <w:p w14:paraId="4C6A0086" w14:textId="77777777" w:rsidR="00013623" w:rsidRPr="00C04DFF" w:rsidRDefault="00013623" w:rsidP="009B6B2D">
      <w:pPr>
        <w:rPr>
          <w:rFonts w:ascii="Times New Roman" w:hAnsi="Times New Roman" w:cs="Times New Roman"/>
          <w:sz w:val="24"/>
          <w:szCs w:val="24"/>
        </w:rPr>
      </w:pPr>
    </w:p>
    <w:p w14:paraId="1D291906" w14:textId="02EC19C2" w:rsidR="00C5133E" w:rsidRPr="00C04DFF" w:rsidRDefault="006E521E" w:rsidP="009B6B2D">
      <w:pPr>
        <w:rPr>
          <w:rFonts w:ascii="Times New Roman" w:hAnsi="Times New Roman" w:cs="Times New Roman"/>
          <w:sz w:val="24"/>
          <w:szCs w:val="24"/>
        </w:rPr>
      </w:pPr>
      <w:r w:rsidRPr="00C04DFF">
        <w:rPr>
          <w:rFonts w:ascii="Times New Roman" w:hAnsi="Times New Roman" w:cs="Times New Roman"/>
          <w:sz w:val="24"/>
          <w:szCs w:val="24"/>
        </w:rPr>
        <w:t xml:space="preserve">Funding will be appropriated directly to </w:t>
      </w:r>
      <w:r w:rsidR="000B75BA" w:rsidRPr="00C04DFF">
        <w:rPr>
          <w:rFonts w:ascii="Times New Roman" w:hAnsi="Times New Roman" w:cs="Times New Roman"/>
          <w:sz w:val="24"/>
          <w:szCs w:val="24"/>
        </w:rPr>
        <w:t xml:space="preserve">Geoscience Australia </w:t>
      </w:r>
      <w:r w:rsidRPr="00C04DFF">
        <w:rPr>
          <w:rFonts w:ascii="Times New Roman" w:hAnsi="Times New Roman" w:cs="Times New Roman"/>
          <w:sz w:val="24"/>
          <w:szCs w:val="24"/>
        </w:rPr>
        <w:t>(a non-</w:t>
      </w:r>
      <w:r w:rsidR="005B6226" w:rsidRPr="00C04DFF">
        <w:rPr>
          <w:rFonts w:ascii="Times New Roman" w:hAnsi="Times New Roman" w:cs="Times New Roman"/>
          <w:sz w:val="24"/>
          <w:szCs w:val="24"/>
        </w:rPr>
        <w:t>c</w:t>
      </w:r>
      <w:r w:rsidRPr="00C04DFF">
        <w:rPr>
          <w:rFonts w:ascii="Times New Roman" w:hAnsi="Times New Roman" w:cs="Times New Roman"/>
          <w:sz w:val="24"/>
          <w:szCs w:val="24"/>
        </w:rPr>
        <w:t>orporate Commonwealth entity) and made available from 2024-25</w:t>
      </w:r>
      <w:r w:rsidRPr="004F4FC1">
        <w:rPr>
          <w:rFonts w:ascii="Times New Roman" w:hAnsi="Times New Roman" w:cs="Times New Roman"/>
          <w:color w:val="000000" w:themeColor="text1"/>
          <w:sz w:val="24"/>
          <w:szCs w:val="24"/>
        </w:rPr>
        <w:t xml:space="preserve">. </w:t>
      </w:r>
      <w:r w:rsidR="00340CA2" w:rsidRPr="004F4FC1">
        <w:rPr>
          <w:rFonts w:ascii="Times New Roman" w:hAnsi="Times New Roman" w:cs="Times New Roman"/>
          <w:color w:val="000000" w:themeColor="text1"/>
          <w:sz w:val="24"/>
          <w:szCs w:val="24"/>
        </w:rPr>
        <w:t>Spending decisions will be made by a delegate of the Accountable Authority (the Chief Executive Officer of Geoscience Australia).</w:t>
      </w:r>
    </w:p>
    <w:p w14:paraId="4CB1ABCF" w14:textId="77777777" w:rsidR="00013623" w:rsidRPr="00C04DFF" w:rsidRDefault="00013623" w:rsidP="009B6B2D">
      <w:pPr>
        <w:rPr>
          <w:rFonts w:ascii="Times New Roman" w:hAnsi="Times New Roman" w:cs="Times New Roman"/>
          <w:sz w:val="24"/>
          <w:szCs w:val="24"/>
        </w:rPr>
      </w:pPr>
    </w:p>
    <w:p w14:paraId="5718F99E" w14:textId="77777777" w:rsidR="0052501F" w:rsidRPr="00C04DFF" w:rsidRDefault="0052501F" w:rsidP="00C5133E">
      <w:pPr>
        <w:rPr>
          <w:rFonts w:ascii="Times New Roman" w:hAnsi="Times New Roman" w:cs="Times New Roman"/>
          <w:sz w:val="24"/>
          <w:szCs w:val="24"/>
        </w:rPr>
      </w:pPr>
      <w:r w:rsidRPr="00C04DFF">
        <w:rPr>
          <w:rFonts w:ascii="Times New Roman" w:hAnsi="Times New Roman" w:cs="Times New Roman"/>
          <w:sz w:val="24"/>
          <w:szCs w:val="24"/>
        </w:rPr>
        <w:t xml:space="preserve">The </w:t>
      </w:r>
      <w:r w:rsidR="004A2436" w:rsidRPr="00C04DFF">
        <w:rPr>
          <w:rFonts w:ascii="Times New Roman" w:hAnsi="Times New Roman" w:cs="Times New Roman"/>
          <w:sz w:val="24"/>
          <w:szCs w:val="24"/>
        </w:rPr>
        <w:t>p</w:t>
      </w:r>
      <w:r w:rsidRPr="00C04DFF">
        <w:rPr>
          <w:rFonts w:ascii="Times New Roman" w:hAnsi="Times New Roman" w:cs="Times New Roman"/>
          <w:sz w:val="24"/>
          <w:szCs w:val="24"/>
        </w:rPr>
        <w:t>rogram will fund a broad range of activities including:</w:t>
      </w:r>
    </w:p>
    <w:p w14:paraId="742CFEEF" w14:textId="77777777" w:rsidR="00100308" w:rsidRPr="00C04DFF" w:rsidRDefault="00100308" w:rsidP="009B6B2D">
      <w:pPr>
        <w:rPr>
          <w:rFonts w:ascii="Times New Roman" w:hAnsi="Times New Roman" w:cs="Times New Roman"/>
          <w:sz w:val="24"/>
          <w:szCs w:val="24"/>
        </w:rPr>
      </w:pPr>
    </w:p>
    <w:p w14:paraId="7D3CFD2C" w14:textId="5D3144A1" w:rsidR="0052501F" w:rsidRPr="00C04DFF" w:rsidRDefault="001D1345" w:rsidP="0052501F">
      <w:pPr>
        <w:numPr>
          <w:ilvl w:val="0"/>
          <w:numId w:val="8"/>
        </w:numPr>
        <w:spacing w:after="120"/>
        <w:rPr>
          <w:rFonts w:ascii="Times New Roman" w:hAnsi="Times New Roman" w:cs="Times New Roman"/>
          <w:sz w:val="24"/>
          <w:szCs w:val="24"/>
        </w:rPr>
      </w:pPr>
      <w:r w:rsidRPr="00C04DFF">
        <w:rPr>
          <w:rFonts w:ascii="Times New Roman" w:hAnsi="Times New Roman" w:cs="Times New Roman"/>
          <w:sz w:val="24"/>
          <w:szCs w:val="24"/>
        </w:rPr>
        <w:t xml:space="preserve">collecting and analysing new and existing geoscience data using geophysical, geochemical, geological and other tools and </w:t>
      </w:r>
      <w:proofErr w:type="gramStart"/>
      <w:r w:rsidRPr="00C04DFF">
        <w:rPr>
          <w:rFonts w:ascii="Times New Roman" w:hAnsi="Times New Roman" w:cs="Times New Roman"/>
          <w:sz w:val="24"/>
          <w:szCs w:val="24"/>
        </w:rPr>
        <w:t>techniques;</w:t>
      </w:r>
      <w:proofErr w:type="gramEnd"/>
    </w:p>
    <w:p w14:paraId="7925D7E7" w14:textId="35251548" w:rsidR="001D1345" w:rsidRPr="00C04DFF" w:rsidRDefault="10F2A154" w:rsidP="001D1345">
      <w:pPr>
        <w:numPr>
          <w:ilvl w:val="0"/>
          <w:numId w:val="8"/>
        </w:numPr>
        <w:spacing w:after="120"/>
        <w:rPr>
          <w:rFonts w:ascii="Times New Roman" w:hAnsi="Times New Roman" w:cs="Times New Roman"/>
          <w:sz w:val="24"/>
          <w:szCs w:val="24"/>
        </w:rPr>
      </w:pPr>
      <w:r w:rsidRPr="00C04DFF">
        <w:rPr>
          <w:rFonts w:ascii="Times New Roman" w:hAnsi="Times New Roman" w:cs="Times New Roman"/>
          <w:sz w:val="24"/>
          <w:szCs w:val="24"/>
        </w:rPr>
        <w:t>assess</w:t>
      </w:r>
      <w:r w:rsidR="275E1168" w:rsidRPr="00C04DFF">
        <w:rPr>
          <w:rFonts w:ascii="Times New Roman" w:hAnsi="Times New Roman" w:cs="Times New Roman"/>
          <w:sz w:val="24"/>
          <w:szCs w:val="24"/>
        </w:rPr>
        <w:t>ing</w:t>
      </w:r>
      <w:r w:rsidRPr="00C04DFF">
        <w:rPr>
          <w:rFonts w:ascii="Times New Roman" w:hAnsi="Times New Roman" w:cs="Times New Roman"/>
          <w:sz w:val="24"/>
          <w:szCs w:val="24"/>
        </w:rPr>
        <w:t xml:space="preserve"> Australia’s mineral, energy, and groundwater resource potential, geological storage</w:t>
      </w:r>
      <w:r w:rsidR="1C1CA29E" w:rsidRPr="00C04DFF">
        <w:rPr>
          <w:rFonts w:ascii="Times New Roman" w:hAnsi="Times New Roman" w:cs="Times New Roman"/>
          <w:sz w:val="24"/>
          <w:szCs w:val="24"/>
        </w:rPr>
        <w:t xml:space="preserve"> potential</w:t>
      </w:r>
      <w:r w:rsidRPr="00C04DFF">
        <w:rPr>
          <w:rFonts w:ascii="Times New Roman" w:hAnsi="Times New Roman" w:cs="Times New Roman"/>
          <w:sz w:val="24"/>
          <w:szCs w:val="24"/>
        </w:rPr>
        <w:t xml:space="preserve">, offshore renewable energy site suitability, techno-economics, and environmental, social and governance </w:t>
      </w:r>
      <w:proofErr w:type="gramStart"/>
      <w:r w:rsidR="0A3BBAD8" w:rsidRPr="00C04DFF">
        <w:rPr>
          <w:rFonts w:ascii="Times New Roman" w:hAnsi="Times New Roman" w:cs="Times New Roman"/>
          <w:sz w:val="24"/>
          <w:szCs w:val="24"/>
        </w:rPr>
        <w:t>factors;</w:t>
      </w:r>
      <w:proofErr w:type="gramEnd"/>
    </w:p>
    <w:p w14:paraId="05F4B88F" w14:textId="61DC52F2" w:rsidR="007C7748" w:rsidRPr="00C04DFF" w:rsidRDefault="001D1345" w:rsidP="001D1345">
      <w:pPr>
        <w:numPr>
          <w:ilvl w:val="0"/>
          <w:numId w:val="8"/>
        </w:numPr>
        <w:spacing w:after="120"/>
        <w:rPr>
          <w:rFonts w:ascii="Times New Roman" w:hAnsi="Times New Roman" w:cs="Times New Roman"/>
          <w:sz w:val="24"/>
          <w:szCs w:val="24"/>
        </w:rPr>
      </w:pPr>
      <w:r w:rsidRPr="00C04DFF">
        <w:rPr>
          <w:rFonts w:ascii="Times New Roman" w:hAnsi="Times New Roman" w:cs="Times New Roman"/>
          <w:sz w:val="24"/>
          <w:szCs w:val="24"/>
        </w:rPr>
        <w:t>develop</w:t>
      </w:r>
      <w:r w:rsidR="00C337AD" w:rsidRPr="00C04DFF">
        <w:rPr>
          <w:rFonts w:ascii="Times New Roman" w:hAnsi="Times New Roman" w:cs="Times New Roman"/>
          <w:sz w:val="24"/>
          <w:szCs w:val="24"/>
        </w:rPr>
        <w:t>ing</w:t>
      </w:r>
      <w:r w:rsidRPr="00C04DFF">
        <w:rPr>
          <w:rFonts w:ascii="Times New Roman" w:hAnsi="Times New Roman" w:cs="Times New Roman"/>
          <w:sz w:val="24"/>
          <w:szCs w:val="24"/>
        </w:rPr>
        <w:t xml:space="preserve">, </w:t>
      </w:r>
      <w:proofErr w:type="gramStart"/>
      <w:r w:rsidRPr="00C04DFF">
        <w:rPr>
          <w:rFonts w:ascii="Times New Roman" w:hAnsi="Times New Roman" w:cs="Times New Roman"/>
          <w:sz w:val="24"/>
          <w:szCs w:val="24"/>
        </w:rPr>
        <w:t>maint</w:t>
      </w:r>
      <w:r w:rsidR="00C337AD" w:rsidRPr="00C04DFF">
        <w:rPr>
          <w:rFonts w:ascii="Times New Roman" w:hAnsi="Times New Roman" w:cs="Times New Roman"/>
          <w:sz w:val="24"/>
          <w:szCs w:val="24"/>
        </w:rPr>
        <w:t>aining</w:t>
      </w:r>
      <w:proofErr w:type="gramEnd"/>
      <w:r w:rsidRPr="00C04DFF">
        <w:rPr>
          <w:rFonts w:ascii="Times New Roman" w:hAnsi="Times New Roman" w:cs="Times New Roman"/>
          <w:sz w:val="24"/>
          <w:szCs w:val="24"/>
        </w:rPr>
        <w:t xml:space="preserve"> and deliver</w:t>
      </w:r>
      <w:r w:rsidR="00C337AD" w:rsidRPr="00C04DFF">
        <w:rPr>
          <w:rFonts w:ascii="Times New Roman" w:hAnsi="Times New Roman" w:cs="Times New Roman"/>
          <w:sz w:val="24"/>
          <w:szCs w:val="24"/>
        </w:rPr>
        <w:t>ing</w:t>
      </w:r>
      <w:r w:rsidRPr="00C04DFF">
        <w:rPr>
          <w:rFonts w:ascii="Times New Roman" w:hAnsi="Times New Roman" w:cs="Times New Roman"/>
          <w:sz w:val="24"/>
          <w:szCs w:val="24"/>
        </w:rPr>
        <w:t xml:space="preserve"> geoscience data </w:t>
      </w:r>
      <w:r w:rsidR="00C337AD" w:rsidRPr="00C04DFF">
        <w:rPr>
          <w:rFonts w:ascii="Times New Roman" w:hAnsi="Times New Roman" w:cs="Times New Roman"/>
          <w:sz w:val="24"/>
          <w:szCs w:val="24"/>
        </w:rPr>
        <w:t>and information,</w:t>
      </w:r>
      <w:r w:rsidRPr="00C04DFF">
        <w:rPr>
          <w:rFonts w:ascii="Times New Roman" w:hAnsi="Times New Roman" w:cs="Times New Roman"/>
          <w:sz w:val="24"/>
          <w:szCs w:val="24"/>
        </w:rPr>
        <w:t xml:space="preserve"> decision support tools, and online platforms; and </w:t>
      </w:r>
    </w:p>
    <w:p w14:paraId="1858FE73" w14:textId="77777777" w:rsidR="001D1345" w:rsidRPr="00C04DFF" w:rsidRDefault="007C7748" w:rsidP="001D1345">
      <w:pPr>
        <w:numPr>
          <w:ilvl w:val="0"/>
          <w:numId w:val="8"/>
        </w:numPr>
        <w:spacing w:after="120"/>
        <w:rPr>
          <w:rFonts w:ascii="Times New Roman" w:hAnsi="Times New Roman" w:cs="Times New Roman"/>
          <w:sz w:val="24"/>
          <w:szCs w:val="24"/>
        </w:rPr>
      </w:pPr>
      <w:r w:rsidRPr="00C04DFF">
        <w:rPr>
          <w:rFonts w:ascii="Times New Roman" w:hAnsi="Times New Roman" w:cs="Times New Roman"/>
          <w:sz w:val="24"/>
          <w:szCs w:val="24"/>
        </w:rPr>
        <w:t xml:space="preserve">working with regional communities, industry, landholders, </w:t>
      </w:r>
      <w:proofErr w:type="gramStart"/>
      <w:r w:rsidRPr="00C04DFF">
        <w:rPr>
          <w:rFonts w:ascii="Times New Roman" w:hAnsi="Times New Roman" w:cs="Times New Roman"/>
          <w:sz w:val="24"/>
          <w:szCs w:val="24"/>
        </w:rPr>
        <w:t>academia</w:t>
      </w:r>
      <w:proofErr w:type="gramEnd"/>
      <w:r w:rsidRPr="00C04DFF">
        <w:rPr>
          <w:rFonts w:ascii="Times New Roman" w:hAnsi="Times New Roman" w:cs="Times New Roman"/>
          <w:sz w:val="24"/>
          <w:szCs w:val="24"/>
        </w:rPr>
        <w:t xml:space="preserve"> and First Nations peoples including through awareness raising, consultation and co-design of projects.</w:t>
      </w:r>
    </w:p>
    <w:p w14:paraId="60974050" w14:textId="77777777" w:rsidR="00013623" w:rsidRPr="00C04DFF" w:rsidRDefault="00013623" w:rsidP="009B6B2D">
      <w:pPr>
        <w:spacing w:after="120"/>
        <w:ind w:left="360"/>
        <w:rPr>
          <w:rFonts w:ascii="Times New Roman" w:hAnsi="Times New Roman" w:cs="Times New Roman"/>
          <w:sz w:val="24"/>
          <w:szCs w:val="24"/>
        </w:rPr>
      </w:pPr>
    </w:p>
    <w:p w14:paraId="258B2969" w14:textId="2C3DCD42" w:rsidR="00287BE0" w:rsidRPr="00C04DFF" w:rsidRDefault="0052501F">
      <w:pPr>
        <w:rPr>
          <w:rFonts w:ascii="Times New Roman" w:hAnsi="Times New Roman" w:cs="Times New Roman"/>
          <w:sz w:val="24"/>
          <w:szCs w:val="24"/>
        </w:rPr>
      </w:pPr>
      <w:r w:rsidRPr="00C04DFF">
        <w:rPr>
          <w:rFonts w:ascii="Times New Roman" w:hAnsi="Times New Roman" w:cs="Times New Roman"/>
          <w:sz w:val="24"/>
          <w:szCs w:val="24"/>
        </w:rPr>
        <w:t xml:space="preserve">As this is a decision to allocate funding to the </w:t>
      </w:r>
      <w:proofErr w:type="gramStart"/>
      <w:r w:rsidR="004A2436" w:rsidRPr="00C04DFF">
        <w:rPr>
          <w:rFonts w:ascii="Times New Roman" w:hAnsi="Times New Roman" w:cs="Times New Roman"/>
          <w:sz w:val="24"/>
          <w:szCs w:val="24"/>
        </w:rPr>
        <w:t>p</w:t>
      </w:r>
      <w:r w:rsidRPr="00C04DFF">
        <w:rPr>
          <w:rFonts w:ascii="Times New Roman" w:hAnsi="Times New Roman" w:cs="Times New Roman"/>
          <w:sz w:val="24"/>
          <w:szCs w:val="24"/>
        </w:rPr>
        <w:t>rogram as a whole, which</w:t>
      </w:r>
      <w:proofErr w:type="gramEnd"/>
      <w:r w:rsidRPr="00C04DFF">
        <w:rPr>
          <w:rFonts w:ascii="Times New Roman" w:hAnsi="Times New Roman" w:cs="Times New Roman"/>
          <w:sz w:val="24"/>
          <w:szCs w:val="24"/>
        </w:rPr>
        <w:t xml:space="preserve"> supports the implementation of policy decisions made by the Government, the </w:t>
      </w:r>
      <w:r w:rsidR="004A2436" w:rsidRPr="00C04DFF">
        <w:rPr>
          <w:rFonts w:ascii="Times New Roman" w:hAnsi="Times New Roman" w:cs="Times New Roman"/>
          <w:sz w:val="24"/>
          <w:szCs w:val="24"/>
        </w:rPr>
        <w:t>p</w:t>
      </w:r>
      <w:r w:rsidRPr="00C04DFF">
        <w:rPr>
          <w:rFonts w:ascii="Times New Roman" w:hAnsi="Times New Roman" w:cs="Times New Roman"/>
          <w:sz w:val="24"/>
          <w:szCs w:val="24"/>
        </w:rPr>
        <w:t xml:space="preserve">rogram will not be subject to merits review. Merits review of the </w:t>
      </w:r>
      <w:r w:rsidR="004A2436" w:rsidRPr="00C04DFF">
        <w:rPr>
          <w:rFonts w:ascii="Times New Roman" w:hAnsi="Times New Roman" w:cs="Times New Roman"/>
          <w:sz w:val="24"/>
          <w:szCs w:val="24"/>
        </w:rPr>
        <w:t>p</w:t>
      </w:r>
      <w:r w:rsidRPr="00C04DFF">
        <w:rPr>
          <w:rFonts w:ascii="Times New Roman" w:hAnsi="Times New Roman" w:cs="Times New Roman"/>
          <w:sz w:val="24"/>
          <w:szCs w:val="24"/>
        </w:rPr>
        <w:t xml:space="preserve">rogram would not be appropriate because decisions are budgetary decisions of a policy nature, rather than decisions immediately affecting any </w:t>
      </w:r>
      <w:proofErr w:type="gramStart"/>
      <w:r w:rsidRPr="00C04DFF">
        <w:rPr>
          <w:rFonts w:ascii="Times New Roman" w:hAnsi="Times New Roman" w:cs="Times New Roman"/>
          <w:sz w:val="24"/>
          <w:szCs w:val="24"/>
        </w:rPr>
        <w:t>particular person’s</w:t>
      </w:r>
      <w:proofErr w:type="gramEnd"/>
      <w:r w:rsidRPr="00C04DFF">
        <w:rPr>
          <w:rFonts w:ascii="Times New Roman" w:hAnsi="Times New Roman" w:cs="Times New Roman"/>
          <w:sz w:val="24"/>
          <w:szCs w:val="24"/>
        </w:rPr>
        <w:t xml:space="preserve"> interests. The Administrative Review Council has recognised that decisions of this nature should be excluded from merits review (see paragraph 4.18 to 4.19</w:t>
      </w:r>
      <w:r w:rsidR="00417223" w:rsidRPr="00C04DFF">
        <w:rPr>
          <w:rFonts w:ascii="Times New Roman" w:hAnsi="Times New Roman" w:cs="Times New Roman"/>
          <w:sz w:val="24"/>
          <w:szCs w:val="24"/>
        </w:rPr>
        <w:t xml:space="preserve"> of What decisions should be subject to merits review? Available at </w:t>
      </w:r>
      <w:r w:rsidR="002D4C00" w:rsidRPr="004D279D">
        <w:rPr>
          <w:rFonts w:ascii="Times New Roman" w:hAnsi="Times New Roman" w:cs="Times New Roman"/>
          <w:sz w:val="24"/>
          <w:szCs w:val="24"/>
        </w:rPr>
        <w:t>https://www.ag.gov.au/legal-system/publications/what-decisions-should-be-subject-merit-review-1999</w:t>
      </w:r>
      <w:r w:rsidR="00417223" w:rsidRPr="00C04DFF">
        <w:rPr>
          <w:rFonts w:ascii="Times New Roman" w:hAnsi="Times New Roman" w:cs="Times New Roman"/>
          <w:sz w:val="24"/>
          <w:szCs w:val="24"/>
        </w:rPr>
        <w:t>).</w:t>
      </w:r>
    </w:p>
    <w:p w14:paraId="7F3B3E3C" w14:textId="77777777" w:rsidR="00013623" w:rsidRPr="00C04DFF" w:rsidRDefault="00013623">
      <w:pPr>
        <w:rPr>
          <w:rFonts w:ascii="Times New Roman" w:hAnsi="Times New Roman" w:cs="Times New Roman"/>
          <w:sz w:val="24"/>
          <w:szCs w:val="24"/>
        </w:rPr>
      </w:pPr>
    </w:p>
    <w:p w14:paraId="1ECF8833" w14:textId="36D46611" w:rsidR="00417223" w:rsidRPr="00C04DFF" w:rsidRDefault="00417223">
      <w:pPr>
        <w:rPr>
          <w:rFonts w:ascii="Times New Roman" w:hAnsi="Times New Roman" w:cs="Times New Roman"/>
          <w:sz w:val="24"/>
          <w:szCs w:val="24"/>
        </w:rPr>
      </w:pPr>
      <w:r w:rsidRPr="00C04DFF">
        <w:rPr>
          <w:rFonts w:ascii="Times New Roman" w:hAnsi="Times New Roman" w:cs="Times New Roman"/>
          <w:sz w:val="24"/>
          <w:szCs w:val="24"/>
        </w:rPr>
        <w:t xml:space="preserve">Persons who are otherwise affected by decisions or who have complaints about the </w:t>
      </w:r>
      <w:r w:rsidR="004A2436" w:rsidRPr="00C04DFF">
        <w:rPr>
          <w:rFonts w:ascii="Times New Roman" w:hAnsi="Times New Roman" w:cs="Times New Roman"/>
          <w:sz w:val="24"/>
          <w:szCs w:val="24"/>
        </w:rPr>
        <w:t>p</w:t>
      </w:r>
      <w:r w:rsidRPr="00C04DFF">
        <w:rPr>
          <w:rFonts w:ascii="Times New Roman" w:hAnsi="Times New Roman" w:cs="Times New Roman"/>
          <w:sz w:val="24"/>
          <w:szCs w:val="24"/>
        </w:rPr>
        <w:t>rogram may make a complaint to the Department of Industry, Science and Resources (the</w:t>
      </w:r>
      <w:r w:rsidR="00DF38B2">
        <w:rPr>
          <w:rFonts w:ascii="Times New Roman" w:hAnsi="Times New Roman" w:cs="Times New Roman"/>
          <w:sz w:val="24"/>
          <w:szCs w:val="24"/>
        </w:rPr>
        <w:t> </w:t>
      </w:r>
      <w:r w:rsidRPr="00C04DFF">
        <w:rPr>
          <w:rFonts w:ascii="Times New Roman" w:hAnsi="Times New Roman" w:cs="Times New Roman"/>
          <w:sz w:val="24"/>
          <w:szCs w:val="24"/>
        </w:rPr>
        <w:t>Department) (</w:t>
      </w:r>
      <w:r w:rsidRPr="004D279D">
        <w:rPr>
          <w:rFonts w:ascii="Times New Roman" w:hAnsi="Times New Roman" w:cs="Times New Roman"/>
          <w:sz w:val="24"/>
          <w:szCs w:val="24"/>
        </w:rPr>
        <w:t>https://www.industry.gov.au/contact-us/feedback-and-complaints</w:t>
      </w:r>
      <w:r w:rsidRPr="00C04DFF">
        <w:rPr>
          <w:rFonts w:ascii="Times New Roman" w:hAnsi="Times New Roman" w:cs="Times New Roman"/>
          <w:sz w:val="24"/>
          <w:szCs w:val="24"/>
        </w:rPr>
        <w:t>). If a person is not satisfied with the way the Department handles the complaint, they may lodge a complaint with the Commonwealth Ombudsman.</w:t>
      </w:r>
    </w:p>
    <w:p w14:paraId="1AA8BE82" w14:textId="77777777" w:rsidR="00417223" w:rsidRPr="00C04DFF" w:rsidRDefault="00417223">
      <w:pPr>
        <w:rPr>
          <w:rFonts w:ascii="Times New Roman" w:hAnsi="Times New Roman" w:cs="Times New Roman"/>
          <w:sz w:val="24"/>
          <w:szCs w:val="24"/>
        </w:rPr>
      </w:pPr>
    </w:p>
    <w:p w14:paraId="1ACB6782" w14:textId="77777777" w:rsidR="004D279D" w:rsidRDefault="004D279D">
      <w:pPr>
        <w:rPr>
          <w:rFonts w:ascii="Times New Roman" w:hAnsi="Times New Roman" w:cs="Times New Roman"/>
          <w:b/>
          <w:bCs/>
          <w:sz w:val="24"/>
          <w:szCs w:val="24"/>
          <w:u w:val="single"/>
        </w:rPr>
      </w:pPr>
    </w:p>
    <w:p w14:paraId="56A13A9F" w14:textId="15989CFE" w:rsidR="00417223" w:rsidRPr="00C04DFF" w:rsidRDefault="00417223">
      <w:pPr>
        <w:rPr>
          <w:rFonts w:ascii="Times New Roman" w:hAnsi="Times New Roman" w:cs="Times New Roman"/>
          <w:b/>
          <w:bCs/>
          <w:sz w:val="24"/>
          <w:szCs w:val="24"/>
          <w:u w:val="single"/>
        </w:rPr>
      </w:pPr>
      <w:r w:rsidRPr="00C04DFF">
        <w:rPr>
          <w:rFonts w:ascii="Times New Roman" w:hAnsi="Times New Roman" w:cs="Times New Roman"/>
          <w:b/>
          <w:bCs/>
          <w:sz w:val="24"/>
          <w:szCs w:val="24"/>
          <w:u w:val="single"/>
        </w:rPr>
        <w:lastRenderedPageBreak/>
        <w:t>Statement of the Relevance and Operation of Constitutional Heads of Power</w:t>
      </w:r>
    </w:p>
    <w:p w14:paraId="0252C4DA" w14:textId="77777777" w:rsidR="00417223" w:rsidRPr="00C04DFF" w:rsidRDefault="00417223">
      <w:pPr>
        <w:rPr>
          <w:rFonts w:ascii="Times New Roman" w:hAnsi="Times New Roman" w:cs="Times New Roman"/>
          <w:sz w:val="24"/>
          <w:szCs w:val="24"/>
        </w:rPr>
      </w:pPr>
    </w:p>
    <w:p w14:paraId="3C567F91" w14:textId="4B2E1F70" w:rsidR="007D0E27" w:rsidRPr="00C04DFF" w:rsidRDefault="007D0E27" w:rsidP="001B53B8">
      <w:pPr>
        <w:rPr>
          <w:rFonts w:ascii="Times New Roman" w:hAnsi="Times New Roman" w:cs="Times New Roman"/>
          <w:sz w:val="24"/>
          <w:szCs w:val="24"/>
        </w:rPr>
      </w:pPr>
      <w:r w:rsidRPr="00C04DFF">
        <w:rPr>
          <w:rFonts w:ascii="Times New Roman" w:hAnsi="Times New Roman" w:cs="Times New Roman"/>
          <w:sz w:val="24"/>
          <w:szCs w:val="24"/>
        </w:rPr>
        <w:t>For the purposes of subsection 33(3) of the IR&amp;D Act, the Instrument specifies that the</w:t>
      </w:r>
      <w:r w:rsidR="001F2994" w:rsidRPr="00C04DFF">
        <w:t xml:space="preserve"> </w:t>
      </w:r>
      <w:r w:rsidR="001F2994" w:rsidRPr="00C04DFF">
        <w:rPr>
          <w:rFonts w:ascii="Times New Roman" w:hAnsi="Times New Roman" w:cs="Times New Roman"/>
          <w:sz w:val="24"/>
          <w:szCs w:val="24"/>
        </w:rPr>
        <w:t>legislative power</w:t>
      </w:r>
      <w:r w:rsidR="00160C53">
        <w:rPr>
          <w:rFonts w:ascii="Times New Roman" w:hAnsi="Times New Roman" w:cs="Times New Roman"/>
          <w:sz w:val="24"/>
          <w:szCs w:val="24"/>
        </w:rPr>
        <w:t>s</w:t>
      </w:r>
      <w:r w:rsidR="001F2994" w:rsidRPr="00C04DFF">
        <w:rPr>
          <w:rFonts w:ascii="Times New Roman" w:hAnsi="Times New Roman" w:cs="Times New Roman"/>
          <w:sz w:val="24"/>
          <w:szCs w:val="24"/>
        </w:rPr>
        <w:t xml:space="preserve"> in respect of which the Instrument is made </w:t>
      </w:r>
      <w:r w:rsidR="00160C53">
        <w:rPr>
          <w:rFonts w:ascii="Times New Roman" w:hAnsi="Times New Roman" w:cs="Times New Roman"/>
          <w:sz w:val="24"/>
          <w:szCs w:val="24"/>
        </w:rPr>
        <w:t>are</w:t>
      </w:r>
      <w:r w:rsidR="001F2994" w:rsidRPr="00C04DFF">
        <w:rPr>
          <w:rFonts w:ascii="Times New Roman" w:hAnsi="Times New Roman" w:cs="Times New Roman"/>
          <w:sz w:val="24"/>
          <w:szCs w:val="24"/>
        </w:rPr>
        <w:t xml:space="preserve"> </w:t>
      </w:r>
      <w:r w:rsidR="00160C53">
        <w:rPr>
          <w:rFonts w:ascii="Times New Roman" w:hAnsi="Times New Roman" w:cs="Times New Roman"/>
          <w:sz w:val="24"/>
          <w:szCs w:val="24"/>
        </w:rPr>
        <w:t xml:space="preserve">as </w:t>
      </w:r>
      <w:r w:rsidR="001F2994" w:rsidRPr="00C04DFF">
        <w:rPr>
          <w:rFonts w:ascii="Times New Roman" w:hAnsi="Times New Roman" w:cs="Times New Roman"/>
          <w:sz w:val="24"/>
          <w:szCs w:val="24"/>
        </w:rPr>
        <w:t>follow</w:t>
      </w:r>
      <w:r w:rsidR="00160C53">
        <w:rPr>
          <w:rFonts w:ascii="Times New Roman" w:hAnsi="Times New Roman" w:cs="Times New Roman"/>
          <w:sz w:val="24"/>
          <w:szCs w:val="24"/>
        </w:rPr>
        <w:t>s</w:t>
      </w:r>
      <w:r w:rsidRPr="00C04DFF">
        <w:rPr>
          <w:rFonts w:ascii="Times New Roman" w:hAnsi="Times New Roman" w:cs="Times New Roman"/>
          <w:sz w:val="24"/>
          <w:szCs w:val="24"/>
        </w:rPr>
        <w:t>:</w:t>
      </w:r>
    </w:p>
    <w:p w14:paraId="5D68A323" w14:textId="77777777" w:rsidR="001B53B8" w:rsidRPr="00C04DFF" w:rsidRDefault="001B53B8" w:rsidP="001B53B8">
      <w:pPr>
        <w:rPr>
          <w:rFonts w:ascii="Times New Roman" w:hAnsi="Times New Roman" w:cs="Times New Roman"/>
          <w:sz w:val="24"/>
          <w:szCs w:val="24"/>
        </w:rPr>
      </w:pPr>
    </w:p>
    <w:p w14:paraId="12474ECF" w14:textId="3B279012" w:rsidR="007D0E27" w:rsidRPr="00C04DFF" w:rsidRDefault="007D0E27" w:rsidP="007D0E27">
      <w:pPr>
        <w:numPr>
          <w:ilvl w:val="0"/>
          <w:numId w:val="9"/>
        </w:numPr>
        <w:rPr>
          <w:rFonts w:ascii="Times New Roman" w:hAnsi="Times New Roman" w:cs="Times New Roman"/>
          <w:sz w:val="24"/>
          <w:szCs w:val="24"/>
        </w:rPr>
      </w:pPr>
      <w:bookmarkStart w:id="0" w:name="_Hlk179363426"/>
      <w:r w:rsidRPr="00C04DFF">
        <w:rPr>
          <w:rFonts w:ascii="Times New Roman" w:hAnsi="Times New Roman" w:cs="Times New Roman"/>
          <w:sz w:val="24"/>
          <w:szCs w:val="24"/>
        </w:rPr>
        <w:t xml:space="preserve">enterprises and activities that are peculiarly adapted to the </w:t>
      </w:r>
      <w:r w:rsidR="005307F0" w:rsidRPr="00C04DFF">
        <w:rPr>
          <w:rFonts w:ascii="Times New Roman" w:hAnsi="Times New Roman" w:cs="Times New Roman"/>
          <w:sz w:val="24"/>
          <w:szCs w:val="24"/>
        </w:rPr>
        <w:t>government of a nation and cannot otherwise be carried on for the benefit of the nation</w:t>
      </w:r>
      <w:r w:rsidR="009F51BB" w:rsidRPr="00C04DFF">
        <w:rPr>
          <w:rFonts w:ascii="Times New Roman" w:hAnsi="Times New Roman" w:cs="Times New Roman"/>
          <w:sz w:val="24"/>
          <w:szCs w:val="24"/>
        </w:rPr>
        <w:t xml:space="preserve"> </w:t>
      </w:r>
      <w:r w:rsidR="005307F0" w:rsidRPr="00C04DFF">
        <w:rPr>
          <w:rFonts w:ascii="Times New Roman" w:hAnsi="Times New Roman" w:cs="Times New Roman"/>
          <w:sz w:val="24"/>
          <w:szCs w:val="24"/>
        </w:rPr>
        <w:t xml:space="preserve">(see </w:t>
      </w:r>
      <w:r w:rsidR="0010311F">
        <w:rPr>
          <w:rFonts w:ascii="Times New Roman" w:hAnsi="Times New Roman" w:cs="Times New Roman"/>
          <w:sz w:val="24"/>
          <w:szCs w:val="24"/>
        </w:rPr>
        <w:t xml:space="preserve">paragraph </w:t>
      </w:r>
      <w:r w:rsidR="005307F0" w:rsidRPr="00C04DFF">
        <w:rPr>
          <w:rFonts w:ascii="Times New Roman" w:hAnsi="Times New Roman" w:cs="Times New Roman"/>
          <w:sz w:val="24"/>
          <w:szCs w:val="24"/>
        </w:rPr>
        <w:t>51(xxxix) and section 61 of the Constitution</w:t>
      </w:r>
      <w:proofErr w:type="gramStart"/>
      <w:r w:rsidR="005307F0" w:rsidRPr="00C04DFF">
        <w:rPr>
          <w:rFonts w:ascii="Times New Roman" w:hAnsi="Times New Roman" w:cs="Times New Roman"/>
          <w:sz w:val="24"/>
          <w:szCs w:val="24"/>
        </w:rPr>
        <w:t>);</w:t>
      </w:r>
      <w:proofErr w:type="gramEnd"/>
    </w:p>
    <w:bookmarkEnd w:id="0"/>
    <w:p w14:paraId="54A70D8D" w14:textId="538555D7" w:rsidR="008B4528" w:rsidRPr="00C04DFF" w:rsidRDefault="008B4528" w:rsidP="007D0E27">
      <w:pPr>
        <w:numPr>
          <w:ilvl w:val="0"/>
          <w:numId w:val="9"/>
        </w:numPr>
        <w:rPr>
          <w:rFonts w:ascii="Times New Roman" w:hAnsi="Times New Roman" w:cs="Times New Roman"/>
          <w:sz w:val="24"/>
          <w:szCs w:val="24"/>
        </w:rPr>
      </w:pPr>
      <w:r w:rsidRPr="00C04DFF">
        <w:rPr>
          <w:rFonts w:ascii="Times New Roman" w:hAnsi="Times New Roman" w:cs="Times New Roman"/>
          <w:sz w:val="24"/>
          <w:szCs w:val="24"/>
        </w:rPr>
        <w:t xml:space="preserve">the external affairs power in </w:t>
      </w:r>
      <w:r w:rsidR="00B277F4">
        <w:rPr>
          <w:rFonts w:ascii="Times New Roman" w:hAnsi="Times New Roman" w:cs="Times New Roman"/>
          <w:sz w:val="24"/>
          <w:szCs w:val="24"/>
        </w:rPr>
        <w:t>paragraph</w:t>
      </w:r>
      <w:r w:rsidR="00B277F4" w:rsidRPr="00C04DFF">
        <w:rPr>
          <w:rFonts w:ascii="Times New Roman" w:hAnsi="Times New Roman" w:cs="Times New Roman"/>
          <w:sz w:val="24"/>
          <w:szCs w:val="24"/>
        </w:rPr>
        <w:t xml:space="preserve"> </w:t>
      </w:r>
      <w:r w:rsidRPr="00C04DFF">
        <w:rPr>
          <w:rFonts w:ascii="Times New Roman" w:hAnsi="Times New Roman" w:cs="Times New Roman"/>
          <w:sz w:val="24"/>
          <w:szCs w:val="24"/>
        </w:rPr>
        <w:t xml:space="preserve">51(xxix) of the </w:t>
      </w:r>
      <w:proofErr w:type="gramStart"/>
      <w:r w:rsidRPr="00C04DFF">
        <w:rPr>
          <w:rFonts w:ascii="Times New Roman" w:hAnsi="Times New Roman" w:cs="Times New Roman"/>
          <w:sz w:val="24"/>
          <w:szCs w:val="24"/>
        </w:rPr>
        <w:t>Constitution;</w:t>
      </w:r>
      <w:proofErr w:type="gramEnd"/>
    </w:p>
    <w:p w14:paraId="27BFB676" w14:textId="36EAD82E" w:rsidR="005307F0" w:rsidRPr="00C04DFF" w:rsidRDefault="005307F0" w:rsidP="007D0E27">
      <w:pPr>
        <w:numPr>
          <w:ilvl w:val="0"/>
          <w:numId w:val="9"/>
        </w:numPr>
        <w:rPr>
          <w:rFonts w:ascii="Times New Roman" w:hAnsi="Times New Roman" w:cs="Times New Roman"/>
          <w:sz w:val="24"/>
          <w:szCs w:val="24"/>
        </w:rPr>
      </w:pPr>
      <w:r w:rsidRPr="00C04DFF">
        <w:rPr>
          <w:rFonts w:ascii="Times New Roman" w:hAnsi="Times New Roman" w:cs="Times New Roman"/>
          <w:sz w:val="24"/>
          <w:szCs w:val="24"/>
        </w:rPr>
        <w:t xml:space="preserve">the races power in paragraph 51(xxvi) of the Constitution; </w:t>
      </w:r>
      <w:r w:rsidR="00AF4423" w:rsidRPr="00C04DFF">
        <w:rPr>
          <w:rFonts w:ascii="Times New Roman" w:hAnsi="Times New Roman" w:cs="Times New Roman"/>
          <w:sz w:val="24"/>
          <w:szCs w:val="24"/>
        </w:rPr>
        <w:t>and</w:t>
      </w:r>
    </w:p>
    <w:p w14:paraId="00C7975A" w14:textId="2737E4D6" w:rsidR="005307F0" w:rsidRPr="00C04DFF" w:rsidRDefault="005307F0" w:rsidP="007D0E27">
      <w:pPr>
        <w:numPr>
          <w:ilvl w:val="0"/>
          <w:numId w:val="9"/>
        </w:numPr>
        <w:rPr>
          <w:rFonts w:ascii="Times New Roman" w:hAnsi="Times New Roman" w:cs="Times New Roman"/>
          <w:sz w:val="24"/>
          <w:szCs w:val="24"/>
        </w:rPr>
      </w:pPr>
      <w:r w:rsidRPr="00C04DFF">
        <w:rPr>
          <w:rFonts w:ascii="Times New Roman" w:hAnsi="Times New Roman" w:cs="Times New Roman"/>
          <w:sz w:val="24"/>
          <w:szCs w:val="24"/>
        </w:rPr>
        <w:t>the trade and commerce power in paragraph 51(</w:t>
      </w:r>
      <w:proofErr w:type="spellStart"/>
      <w:r w:rsidRPr="00C04DFF">
        <w:rPr>
          <w:rFonts w:ascii="Times New Roman" w:hAnsi="Times New Roman" w:cs="Times New Roman"/>
          <w:sz w:val="24"/>
          <w:szCs w:val="24"/>
        </w:rPr>
        <w:t>i</w:t>
      </w:r>
      <w:proofErr w:type="spellEnd"/>
      <w:r w:rsidRPr="00C04DFF">
        <w:rPr>
          <w:rFonts w:ascii="Times New Roman" w:hAnsi="Times New Roman" w:cs="Times New Roman"/>
          <w:sz w:val="24"/>
          <w:szCs w:val="24"/>
        </w:rPr>
        <w:t xml:space="preserve">) of the Constitution. </w:t>
      </w:r>
    </w:p>
    <w:p w14:paraId="0405F9F1" w14:textId="77777777" w:rsidR="005307F0" w:rsidRPr="00C04DFF" w:rsidRDefault="005307F0" w:rsidP="005307F0">
      <w:pPr>
        <w:rPr>
          <w:rFonts w:ascii="Times New Roman" w:hAnsi="Times New Roman" w:cs="Times New Roman"/>
          <w:sz w:val="24"/>
          <w:szCs w:val="24"/>
        </w:rPr>
      </w:pPr>
    </w:p>
    <w:p w14:paraId="74524666" w14:textId="77777777" w:rsidR="008B4528" w:rsidRPr="00C04DFF" w:rsidRDefault="008B4528" w:rsidP="008B4528">
      <w:pPr>
        <w:rPr>
          <w:rFonts w:ascii="Times New Roman" w:hAnsi="Times New Roman" w:cs="Times New Roman"/>
          <w:b/>
          <w:bCs/>
          <w:sz w:val="24"/>
          <w:szCs w:val="24"/>
        </w:rPr>
      </w:pPr>
      <w:r w:rsidRPr="00C04DFF">
        <w:rPr>
          <w:rFonts w:ascii="Times New Roman" w:hAnsi="Times New Roman" w:cs="Times New Roman"/>
          <w:b/>
          <w:bCs/>
          <w:sz w:val="24"/>
          <w:szCs w:val="24"/>
        </w:rPr>
        <w:t xml:space="preserve">Executive power and express incidental power, including the nationhood </w:t>
      </w:r>
      <w:proofErr w:type="gramStart"/>
      <w:r w:rsidRPr="00C04DFF">
        <w:rPr>
          <w:rFonts w:ascii="Times New Roman" w:hAnsi="Times New Roman" w:cs="Times New Roman"/>
          <w:b/>
          <w:bCs/>
          <w:sz w:val="24"/>
          <w:szCs w:val="24"/>
        </w:rPr>
        <w:t>aspect</w:t>
      </w:r>
      <w:proofErr w:type="gramEnd"/>
    </w:p>
    <w:p w14:paraId="1363B711" w14:textId="77777777" w:rsidR="008B4528" w:rsidRPr="00C04DFF" w:rsidRDefault="008B4528" w:rsidP="008B4528">
      <w:pPr>
        <w:rPr>
          <w:rFonts w:ascii="Times New Roman" w:hAnsi="Times New Roman" w:cs="Times New Roman"/>
          <w:b/>
          <w:bCs/>
          <w:sz w:val="24"/>
          <w:szCs w:val="24"/>
        </w:rPr>
      </w:pPr>
    </w:p>
    <w:p w14:paraId="7372D313" w14:textId="3D37EB7F" w:rsidR="008B4528" w:rsidRPr="00C04DFF" w:rsidRDefault="008B4528" w:rsidP="008B4528">
      <w:pPr>
        <w:rPr>
          <w:rFonts w:ascii="Times New Roman" w:hAnsi="Times New Roman" w:cs="Times New Roman"/>
          <w:sz w:val="24"/>
          <w:szCs w:val="24"/>
        </w:rPr>
      </w:pPr>
      <w:r w:rsidRPr="00C04DFF">
        <w:rPr>
          <w:rFonts w:ascii="Times New Roman" w:hAnsi="Times New Roman" w:cs="Times New Roman"/>
          <w:sz w:val="24"/>
          <w:szCs w:val="24"/>
        </w:rPr>
        <w:t xml:space="preserve">The express incidental power in </w:t>
      </w:r>
      <w:r w:rsidR="00EA1BFB">
        <w:rPr>
          <w:rFonts w:ascii="Times New Roman" w:hAnsi="Times New Roman" w:cs="Times New Roman"/>
          <w:sz w:val="24"/>
          <w:szCs w:val="24"/>
        </w:rPr>
        <w:t>paragraph</w:t>
      </w:r>
      <w:r w:rsidR="00EA1BFB" w:rsidRPr="00C04DFF">
        <w:rPr>
          <w:rFonts w:ascii="Times New Roman" w:hAnsi="Times New Roman" w:cs="Times New Roman"/>
          <w:sz w:val="24"/>
          <w:szCs w:val="24"/>
        </w:rPr>
        <w:t xml:space="preserve"> </w:t>
      </w:r>
      <w:r w:rsidRPr="00C04DFF">
        <w:rPr>
          <w:rFonts w:ascii="Times New Roman" w:hAnsi="Times New Roman" w:cs="Times New Roman"/>
          <w:sz w:val="24"/>
          <w:szCs w:val="24"/>
        </w:rPr>
        <w:t xml:space="preserve">51(xxxix) of the Constitution empowers the Parliament to make laws with respect to matters incidental to the execution of any power vested in the Parliament, the </w:t>
      </w:r>
      <w:proofErr w:type="gramStart"/>
      <w:r w:rsidRPr="00C04DFF">
        <w:rPr>
          <w:rFonts w:ascii="Times New Roman" w:hAnsi="Times New Roman" w:cs="Times New Roman"/>
          <w:sz w:val="24"/>
          <w:szCs w:val="24"/>
        </w:rPr>
        <w:t>executive</w:t>
      </w:r>
      <w:proofErr w:type="gramEnd"/>
      <w:r w:rsidRPr="00C04DFF">
        <w:rPr>
          <w:rFonts w:ascii="Times New Roman" w:hAnsi="Times New Roman" w:cs="Times New Roman"/>
          <w:sz w:val="24"/>
          <w:szCs w:val="24"/>
        </w:rPr>
        <w:t xml:space="preserve"> or the courts by the Constitution. Section 61 of the Constitution supports activities that are peculiarly adapted to the government of a nation and cannot be carried o</w:t>
      </w:r>
      <w:r w:rsidR="0010311F">
        <w:rPr>
          <w:rFonts w:ascii="Times New Roman" w:hAnsi="Times New Roman" w:cs="Times New Roman"/>
          <w:sz w:val="24"/>
          <w:szCs w:val="24"/>
        </w:rPr>
        <w:t>ut</w:t>
      </w:r>
      <w:r w:rsidRPr="00C04DFF">
        <w:rPr>
          <w:rFonts w:ascii="Times New Roman" w:hAnsi="Times New Roman" w:cs="Times New Roman"/>
          <w:sz w:val="24"/>
          <w:szCs w:val="24"/>
        </w:rPr>
        <w:t xml:space="preserve"> for the benefit of the nation otherwise than by the Commonwealth.</w:t>
      </w:r>
    </w:p>
    <w:p w14:paraId="1718802F" w14:textId="77777777" w:rsidR="008B4528" w:rsidRPr="00C04DFF" w:rsidRDefault="008B4528" w:rsidP="008B4528">
      <w:pPr>
        <w:rPr>
          <w:rFonts w:ascii="Times New Roman" w:hAnsi="Times New Roman" w:cs="Times New Roman"/>
          <w:sz w:val="24"/>
          <w:szCs w:val="24"/>
        </w:rPr>
      </w:pPr>
    </w:p>
    <w:p w14:paraId="21FA3D5A" w14:textId="1137451B" w:rsidR="008B4528" w:rsidRPr="00C04DFF" w:rsidRDefault="001D1345" w:rsidP="005307F0">
      <w:pPr>
        <w:rPr>
          <w:rFonts w:ascii="Times New Roman" w:hAnsi="Times New Roman" w:cs="Times New Roman"/>
          <w:sz w:val="24"/>
          <w:szCs w:val="24"/>
        </w:rPr>
      </w:pPr>
      <w:r w:rsidRPr="219B9B4A">
        <w:rPr>
          <w:rFonts w:ascii="Times New Roman" w:hAnsi="Times New Roman" w:cs="Times New Roman"/>
          <w:sz w:val="24"/>
          <w:szCs w:val="24"/>
        </w:rPr>
        <w:t>The program will deliver an improved understanding of Australia’s potential for</w:t>
      </w:r>
      <w:r w:rsidR="00F941E1" w:rsidRPr="219B9B4A">
        <w:rPr>
          <w:rFonts w:ascii="Times New Roman" w:hAnsi="Times New Roman" w:cs="Times New Roman"/>
          <w:sz w:val="24"/>
          <w:szCs w:val="24"/>
        </w:rPr>
        <w:t xml:space="preserve"> </w:t>
      </w:r>
      <w:r w:rsidRPr="219B9B4A">
        <w:rPr>
          <w:rFonts w:ascii="Times New Roman" w:hAnsi="Times New Roman" w:cs="Times New Roman"/>
          <w:sz w:val="24"/>
          <w:szCs w:val="24"/>
        </w:rPr>
        <w:t xml:space="preserve">mineral, </w:t>
      </w:r>
      <w:proofErr w:type="gramStart"/>
      <w:r w:rsidRPr="219B9B4A">
        <w:rPr>
          <w:rFonts w:ascii="Times New Roman" w:hAnsi="Times New Roman" w:cs="Times New Roman"/>
          <w:sz w:val="24"/>
          <w:szCs w:val="24"/>
        </w:rPr>
        <w:t>energy</w:t>
      </w:r>
      <w:proofErr w:type="gramEnd"/>
      <w:r w:rsidRPr="219B9B4A">
        <w:rPr>
          <w:rFonts w:ascii="Times New Roman" w:hAnsi="Times New Roman" w:cs="Times New Roman"/>
          <w:sz w:val="24"/>
          <w:szCs w:val="24"/>
        </w:rPr>
        <w:t xml:space="preserve"> and groundwater resources onshore and offshore.</w:t>
      </w:r>
    </w:p>
    <w:p w14:paraId="18107AF7" w14:textId="77777777" w:rsidR="008B4528" w:rsidRPr="00C04DFF" w:rsidRDefault="008B4528" w:rsidP="005307F0">
      <w:pPr>
        <w:rPr>
          <w:rFonts w:ascii="Times New Roman" w:hAnsi="Times New Roman" w:cs="Times New Roman"/>
          <w:sz w:val="24"/>
          <w:szCs w:val="24"/>
        </w:rPr>
      </w:pPr>
    </w:p>
    <w:p w14:paraId="4B4A2454" w14:textId="77777777" w:rsidR="005307F0" w:rsidRPr="00C04DFF" w:rsidRDefault="005307F0" w:rsidP="005307F0">
      <w:pPr>
        <w:rPr>
          <w:rFonts w:ascii="Times New Roman" w:hAnsi="Times New Roman" w:cs="Times New Roman"/>
          <w:b/>
          <w:bCs/>
          <w:sz w:val="24"/>
          <w:szCs w:val="24"/>
        </w:rPr>
      </w:pPr>
      <w:r w:rsidRPr="00C04DFF">
        <w:rPr>
          <w:rFonts w:ascii="Times New Roman" w:hAnsi="Times New Roman" w:cs="Times New Roman"/>
          <w:b/>
          <w:bCs/>
          <w:sz w:val="24"/>
          <w:szCs w:val="24"/>
        </w:rPr>
        <w:t>External affairs power</w:t>
      </w:r>
    </w:p>
    <w:p w14:paraId="7660991B" w14:textId="4DB09449" w:rsidR="00013623" w:rsidRPr="00C04DFF" w:rsidRDefault="00013623" w:rsidP="005307F0">
      <w:pPr>
        <w:rPr>
          <w:rFonts w:ascii="Times New Roman" w:hAnsi="Times New Roman" w:cs="Times New Roman"/>
          <w:b/>
          <w:bCs/>
          <w:sz w:val="24"/>
          <w:szCs w:val="24"/>
        </w:rPr>
      </w:pPr>
    </w:p>
    <w:p w14:paraId="687B5D75" w14:textId="5CB594D3" w:rsidR="00EA1BFB" w:rsidRDefault="007836EB" w:rsidP="00B7258F">
      <w:pPr>
        <w:rPr>
          <w:rFonts w:ascii="Times New Roman" w:hAnsi="Times New Roman" w:cs="Times New Roman"/>
          <w:sz w:val="24"/>
          <w:szCs w:val="24"/>
        </w:rPr>
      </w:pPr>
      <w:r>
        <w:rPr>
          <w:rFonts w:ascii="Times New Roman" w:hAnsi="Times New Roman" w:cs="Times New Roman"/>
          <w:bCs/>
          <w:sz w:val="24"/>
          <w:szCs w:val="24"/>
        </w:rPr>
        <w:t>Paragraph</w:t>
      </w:r>
      <w:r w:rsidR="00D8126C" w:rsidRPr="0015703A">
        <w:rPr>
          <w:rFonts w:ascii="Times New Roman" w:hAnsi="Times New Roman" w:cs="Times New Roman"/>
          <w:bCs/>
          <w:sz w:val="24"/>
          <w:szCs w:val="24"/>
        </w:rPr>
        <w:t xml:space="preserve"> 51(xxix) of the Constitution empowers the Parliament to make laws with respect to ‘external </w:t>
      </w:r>
      <w:proofErr w:type="gramStart"/>
      <w:r w:rsidR="00D8126C" w:rsidRPr="0015703A">
        <w:rPr>
          <w:rFonts w:ascii="Times New Roman" w:hAnsi="Times New Roman" w:cs="Times New Roman"/>
          <w:bCs/>
          <w:sz w:val="24"/>
          <w:szCs w:val="24"/>
        </w:rPr>
        <w:t>affairs’</w:t>
      </w:r>
      <w:proofErr w:type="gramEnd"/>
      <w:r w:rsidR="00D8126C" w:rsidRPr="0015703A">
        <w:rPr>
          <w:rFonts w:ascii="Times New Roman" w:hAnsi="Times New Roman" w:cs="Times New Roman"/>
          <w:bCs/>
          <w:sz w:val="24"/>
          <w:szCs w:val="24"/>
        </w:rPr>
        <w:t>.</w:t>
      </w:r>
    </w:p>
    <w:p w14:paraId="79AD0430" w14:textId="77777777" w:rsidR="00EA1BFB" w:rsidRDefault="00EA1BFB" w:rsidP="00B7258F">
      <w:pPr>
        <w:rPr>
          <w:rFonts w:ascii="Times New Roman" w:hAnsi="Times New Roman" w:cs="Times New Roman"/>
          <w:sz w:val="24"/>
          <w:szCs w:val="24"/>
        </w:rPr>
      </w:pPr>
    </w:p>
    <w:p w14:paraId="58E21C58" w14:textId="23B027B0" w:rsidR="00B7258F" w:rsidRDefault="00C813A5" w:rsidP="00B7258F">
      <w:pPr>
        <w:rPr>
          <w:rFonts w:ascii="Times New Roman" w:hAnsi="Times New Roman" w:cs="Times New Roman"/>
          <w:i/>
          <w:iCs/>
          <w:sz w:val="24"/>
          <w:szCs w:val="24"/>
        </w:rPr>
      </w:pPr>
      <w:r w:rsidRPr="00C04DFF">
        <w:rPr>
          <w:rFonts w:ascii="Times New Roman" w:hAnsi="Times New Roman" w:cs="Times New Roman"/>
          <w:sz w:val="24"/>
          <w:szCs w:val="24"/>
        </w:rPr>
        <w:t>The external affairs power supports legislation implementing Australia’s international obligations under treaties to which it is a party.</w:t>
      </w:r>
      <w:r w:rsidR="00B7258F">
        <w:rPr>
          <w:rFonts w:ascii="Times New Roman" w:hAnsi="Times New Roman" w:cs="Times New Roman"/>
          <w:sz w:val="24"/>
          <w:szCs w:val="24"/>
        </w:rPr>
        <w:t xml:space="preserve"> </w:t>
      </w:r>
    </w:p>
    <w:p w14:paraId="21E50590" w14:textId="77777777" w:rsidR="00B7258F" w:rsidRDefault="00B7258F" w:rsidP="005307F0">
      <w:pPr>
        <w:rPr>
          <w:rFonts w:ascii="Times New Roman" w:hAnsi="Times New Roman" w:cs="Times New Roman"/>
          <w:i/>
          <w:iCs/>
          <w:sz w:val="24"/>
          <w:szCs w:val="24"/>
        </w:rPr>
      </w:pPr>
    </w:p>
    <w:p w14:paraId="7965D228" w14:textId="6CF74DF7" w:rsidR="00B7258F" w:rsidRPr="0015703A" w:rsidRDefault="00B7258F" w:rsidP="005307F0">
      <w:pPr>
        <w:rPr>
          <w:rFonts w:ascii="Times New Roman" w:hAnsi="Times New Roman" w:cs="Times New Roman"/>
          <w:iCs/>
          <w:sz w:val="24"/>
          <w:szCs w:val="24"/>
        </w:rPr>
      </w:pPr>
      <w:r>
        <w:rPr>
          <w:rFonts w:ascii="Times New Roman" w:hAnsi="Times New Roman" w:cs="Times New Roman"/>
          <w:iCs/>
          <w:sz w:val="24"/>
          <w:szCs w:val="24"/>
        </w:rPr>
        <w:t xml:space="preserve">Australia has the following international obligations under Article 2 of the </w:t>
      </w:r>
      <w:r>
        <w:rPr>
          <w:rFonts w:ascii="Times New Roman" w:hAnsi="Times New Roman" w:cs="Times New Roman"/>
          <w:i/>
          <w:iCs/>
          <w:sz w:val="24"/>
          <w:szCs w:val="24"/>
        </w:rPr>
        <w:t xml:space="preserve">United Nations Framework Convention on Climate Change </w:t>
      </w:r>
      <w:r>
        <w:rPr>
          <w:rFonts w:ascii="Times New Roman" w:hAnsi="Times New Roman" w:cs="Times New Roman"/>
          <w:iCs/>
          <w:sz w:val="24"/>
          <w:szCs w:val="24"/>
        </w:rPr>
        <w:t xml:space="preserve">[1994] ATS 2 (UNFCCC), Article 4.2 of the </w:t>
      </w:r>
      <w:r>
        <w:rPr>
          <w:rFonts w:ascii="Times New Roman" w:hAnsi="Times New Roman" w:cs="Times New Roman"/>
          <w:i/>
          <w:iCs/>
          <w:sz w:val="24"/>
          <w:szCs w:val="24"/>
        </w:rPr>
        <w:t xml:space="preserve">Paris Agreement </w:t>
      </w:r>
      <w:r>
        <w:rPr>
          <w:rFonts w:ascii="Times New Roman" w:hAnsi="Times New Roman" w:cs="Times New Roman"/>
          <w:iCs/>
          <w:sz w:val="24"/>
          <w:szCs w:val="24"/>
        </w:rPr>
        <w:t xml:space="preserve">[2016] ATS 24 and Article 10(b) of the </w:t>
      </w:r>
      <w:r>
        <w:rPr>
          <w:rFonts w:ascii="Times New Roman" w:hAnsi="Times New Roman" w:cs="Times New Roman"/>
          <w:i/>
          <w:iCs/>
          <w:sz w:val="24"/>
          <w:szCs w:val="24"/>
        </w:rPr>
        <w:t>Kyoto Protocol</w:t>
      </w:r>
      <w:r w:rsidR="00B916AA">
        <w:rPr>
          <w:rFonts w:ascii="Times New Roman" w:hAnsi="Times New Roman" w:cs="Times New Roman"/>
          <w:iCs/>
          <w:sz w:val="24"/>
          <w:szCs w:val="24"/>
        </w:rPr>
        <w:t xml:space="preserve"> to the UNFCCC.</w:t>
      </w:r>
    </w:p>
    <w:p w14:paraId="6B4102C0" w14:textId="77777777" w:rsidR="00B7258F" w:rsidRDefault="00B7258F" w:rsidP="005307F0">
      <w:pPr>
        <w:rPr>
          <w:rFonts w:ascii="Times New Roman" w:hAnsi="Times New Roman" w:cs="Times New Roman"/>
          <w:i/>
          <w:iCs/>
          <w:sz w:val="24"/>
          <w:szCs w:val="24"/>
        </w:rPr>
      </w:pPr>
    </w:p>
    <w:p w14:paraId="1FB5618A" w14:textId="64409662" w:rsidR="00B7258F" w:rsidRDefault="00B7258F" w:rsidP="005307F0">
      <w:pPr>
        <w:rPr>
          <w:rFonts w:ascii="Times New Roman" w:hAnsi="Times New Roman" w:cs="Times New Roman"/>
          <w:sz w:val="24"/>
          <w:szCs w:val="24"/>
        </w:rPr>
      </w:pPr>
      <w:r>
        <w:rPr>
          <w:rFonts w:ascii="Times New Roman" w:hAnsi="Times New Roman" w:cs="Times New Roman"/>
          <w:sz w:val="24"/>
          <w:szCs w:val="24"/>
        </w:rPr>
        <w:t xml:space="preserve">Article 2 of the </w:t>
      </w:r>
      <w:r w:rsidR="00EC7B89" w:rsidRPr="00C04DFF">
        <w:rPr>
          <w:rFonts w:ascii="Times New Roman" w:hAnsi="Times New Roman" w:cs="Times New Roman"/>
          <w:sz w:val="24"/>
          <w:szCs w:val="24"/>
        </w:rPr>
        <w:t>UNFCCC</w:t>
      </w:r>
      <w:r w:rsidR="00982C76">
        <w:rPr>
          <w:rFonts w:ascii="Times New Roman" w:hAnsi="Times New Roman" w:cs="Times New Roman"/>
          <w:sz w:val="24"/>
          <w:szCs w:val="24"/>
        </w:rPr>
        <w:t xml:space="preserve"> </w:t>
      </w:r>
      <w:r>
        <w:rPr>
          <w:rFonts w:ascii="Times New Roman" w:hAnsi="Times New Roman" w:cs="Times New Roman"/>
          <w:sz w:val="24"/>
          <w:szCs w:val="24"/>
        </w:rPr>
        <w:t xml:space="preserve">lists the ultimate objective of the Convention, </w:t>
      </w:r>
      <w:r w:rsidR="00084A02">
        <w:rPr>
          <w:rFonts w:ascii="Times New Roman" w:hAnsi="Times New Roman" w:cs="Times New Roman"/>
          <w:sz w:val="24"/>
          <w:szCs w:val="24"/>
        </w:rPr>
        <w:t xml:space="preserve">and any legal instruments that the Conference of the Parties may adopt, </w:t>
      </w:r>
      <w:r>
        <w:rPr>
          <w:rFonts w:ascii="Times New Roman" w:hAnsi="Times New Roman" w:cs="Times New Roman"/>
          <w:sz w:val="24"/>
          <w:szCs w:val="24"/>
        </w:rPr>
        <w:t>as</w:t>
      </w:r>
      <w:r w:rsidR="00982C76">
        <w:rPr>
          <w:rFonts w:ascii="Times New Roman" w:hAnsi="Times New Roman" w:cs="Times New Roman"/>
          <w:sz w:val="24"/>
          <w:szCs w:val="24"/>
        </w:rPr>
        <w:t xml:space="preserve"> the </w:t>
      </w:r>
      <w:r w:rsidR="00EC7B89" w:rsidRPr="00C04DFF">
        <w:rPr>
          <w:rFonts w:ascii="Times New Roman" w:hAnsi="Times New Roman" w:cs="Times New Roman"/>
          <w:sz w:val="24"/>
          <w:szCs w:val="24"/>
        </w:rPr>
        <w:t>‘stabilization of greenhouse gas concentrations in the atmosphere at a level that would prevent dangerous anthropogenic interference with the climate system’</w:t>
      </w:r>
      <w:r w:rsidR="00084A02">
        <w:rPr>
          <w:rFonts w:ascii="Times New Roman" w:hAnsi="Times New Roman" w:cs="Times New Roman"/>
          <w:sz w:val="24"/>
          <w:szCs w:val="24"/>
        </w:rPr>
        <w:t>.</w:t>
      </w:r>
      <w:r w:rsidR="00EC7B89" w:rsidRPr="00C04DFF">
        <w:rPr>
          <w:rFonts w:ascii="Times New Roman" w:hAnsi="Times New Roman" w:cs="Times New Roman"/>
          <w:sz w:val="24"/>
          <w:szCs w:val="24"/>
        </w:rPr>
        <w:t xml:space="preserve">  </w:t>
      </w:r>
    </w:p>
    <w:p w14:paraId="1CDADCDB" w14:textId="77777777" w:rsidR="00B7258F" w:rsidRDefault="00B7258F" w:rsidP="005307F0">
      <w:pPr>
        <w:rPr>
          <w:rFonts w:ascii="Times New Roman" w:hAnsi="Times New Roman" w:cs="Times New Roman"/>
          <w:i/>
          <w:iCs/>
          <w:sz w:val="24"/>
          <w:szCs w:val="24"/>
        </w:rPr>
      </w:pPr>
    </w:p>
    <w:p w14:paraId="1FE551EC" w14:textId="08EC5D5B" w:rsidR="00B7258F" w:rsidRDefault="00084A02" w:rsidP="005307F0">
      <w:pPr>
        <w:rPr>
          <w:rFonts w:ascii="Times New Roman" w:hAnsi="Times New Roman" w:cs="Times New Roman"/>
          <w:sz w:val="24"/>
          <w:szCs w:val="24"/>
        </w:rPr>
      </w:pPr>
      <w:r>
        <w:rPr>
          <w:rFonts w:ascii="Times New Roman" w:hAnsi="Times New Roman" w:cs="Times New Roman"/>
          <w:sz w:val="24"/>
          <w:szCs w:val="24"/>
        </w:rPr>
        <w:t xml:space="preserve">Article 4.2 of the </w:t>
      </w:r>
      <w:r>
        <w:rPr>
          <w:rFonts w:ascii="Times New Roman" w:hAnsi="Times New Roman" w:cs="Times New Roman"/>
          <w:i/>
          <w:sz w:val="24"/>
          <w:szCs w:val="24"/>
        </w:rPr>
        <w:t xml:space="preserve">Paris Agreement </w:t>
      </w:r>
      <w:r w:rsidR="00EC7B89" w:rsidRPr="00C04DFF">
        <w:rPr>
          <w:rFonts w:ascii="Times New Roman" w:hAnsi="Times New Roman" w:cs="Times New Roman"/>
          <w:sz w:val="24"/>
          <w:szCs w:val="24"/>
        </w:rPr>
        <w:t xml:space="preserve">obliges </w:t>
      </w:r>
      <w:r w:rsidR="00514D38">
        <w:rPr>
          <w:rFonts w:ascii="Times New Roman" w:hAnsi="Times New Roman" w:cs="Times New Roman"/>
          <w:sz w:val="24"/>
          <w:szCs w:val="24"/>
        </w:rPr>
        <w:t>State-</w:t>
      </w:r>
      <w:r w:rsidR="00EC7B89" w:rsidRPr="00C04DFF">
        <w:rPr>
          <w:rFonts w:ascii="Times New Roman" w:hAnsi="Times New Roman" w:cs="Times New Roman"/>
          <w:sz w:val="24"/>
          <w:szCs w:val="24"/>
        </w:rPr>
        <w:t>Parties to take domestic</w:t>
      </w:r>
      <w:r w:rsidR="00B916AA">
        <w:rPr>
          <w:rFonts w:ascii="Times New Roman" w:hAnsi="Times New Roman" w:cs="Times New Roman"/>
          <w:sz w:val="24"/>
          <w:szCs w:val="24"/>
        </w:rPr>
        <w:t xml:space="preserve"> </w:t>
      </w:r>
      <w:r w:rsidR="00EC7B89" w:rsidRPr="00C04DFF">
        <w:rPr>
          <w:rFonts w:ascii="Times New Roman" w:hAnsi="Times New Roman" w:cs="Times New Roman"/>
          <w:sz w:val="24"/>
          <w:szCs w:val="24"/>
        </w:rPr>
        <w:t>measures</w:t>
      </w:r>
      <w:r w:rsidR="00B916AA">
        <w:rPr>
          <w:rFonts w:ascii="Times New Roman" w:hAnsi="Times New Roman" w:cs="Times New Roman"/>
          <w:sz w:val="24"/>
          <w:szCs w:val="24"/>
        </w:rPr>
        <w:t xml:space="preserve"> to mitigate the effects of climate change</w:t>
      </w:r>
      <w:r w:rsidR="00EC7B89" w:rsidRPr="00C04DFF">
        <w:rPr>
          <w:rFonts w:ascii="Times New Roman" w:hAnsi="Times New Roman" w:cs="Times New Roman"/>
          <w:sz w:val="24"/>
          <w:szCs w:val="24"/>
        </w:rPr>
        <w:t xml:space="preserve"> ‘with the aim of achieving the objectives’ of </w:t>
      </w:r>
      <w:r w:rsidR="00B916AA">
        <w:rPr>
          <w:rFonts w:ascii="Times New Roman" w:hAnsi="Times New Roman" w:cs="Times New Roman"/>
          <w:sz w:val="24"/>
          <w:szCs w:val="24"/>
        </w:rPr>
        <w:t>their nationally determined contributions.</w:t>
      </w:r>
    </w:p>
    <w:p w14:paraId="72DEA4E8" w14:textId="110A122E" w:rsidR="005307F0" w:rsidRDefault="00B916AA" w:rsidP="005307F0">
      <w:pPr>
        <w:rPr>
          <w:rFonts w:ascii="Times New Roman" w:hAnsi="Times New Roman" w:cs="Times New Roman"/>
          <w:sz w:val="24"/>
          <w:szCs w:val="24"/>
        </w:rPr>
      </w:pPr>
      <w:r>
        <w:rPr>
          <w:rFonts w:ascii="Times New Roman" w:hAnsi="Times New Roman" w:cs="Times New Roman"/>
          <w:sz w:val="24"/>
          <w:szCs w:val="24"/>
        </w:rPr>
        <w:t>Article 10(b) of t</w:t>
      </w:r>
      <w:r w:rsidR="00EC7B89" w:rsidRPr="00C04DFF">
        <w:rPr>
          <w:rFonts w:ascii="Times New Roman" w:hAnsi="Times New Roman" w:cs="Times New Roman"/>
          <w:sz w:val="24"/>
          <w:szCs w:val="24"/>
        </w:rPr>
        <w:t xml:space="preserve">he </w:t>
      </w:r>
      <w:r w:rsidR="00EC7B89" w:rsidRPr="00C04DFF">
        <w:rPr>
          <w:rFonts w:ascii="Times New Roman" w:hAnsi="Times New Roman" w:cs="Times New Roman"/>
          <w:i/>
          <w:iCs/>
          <w:sz w:val="24"/>
          <w:szCs w:val="24"/>
        </w:rPr>
        <w:t>Kyoto Protocol</w:t>
      </w:r>
      <w:r w:rsidR="00EC7B89" w:rsidRPr="00C04DFF">
        <w:rPr>
          <w:rFonts w:ascii="Times New Roman" w:hAnsi="Times New Roman" w:cs="Times New Roman"/>
          <w:sz w:val="24"/>
          <w:szCs w:val="24"/>
        </w:rPr>
        <w:t xml:space="preserve"> to the UNFCCC </w:t>
      </w:r>
      <w:r>
        <w:rPr>
          <w:rFonts w:ascii="Times New Roman" w:hAnsi="Times New Roman" w:cs="Times New Roman"/>
          <w:sz w:val="24"/>
          <w:szCs w:val="24"/>
        </w:rPr>
        <w:t xml:space="preserve">requires State-Parties to implement national and regional programmes containing measures to mitigate climate change, including measures </w:t>
      </w:r>
      <w:r w:rsidR="007836EB">
        <w:rPr>
          <w:rFonts w:ascii="Times New Roman" w:hAnsi="Times New Roman" w:cs="Times New Roman"/>
          <w:sz w:val="24"/>
          <w:szCs w:val="24"/>
        </w:rPr>
        <w:t xml:space="preserve">relating to the abatement of increases in greenhouse gas emissions, which may concern the energy, </w:t>
      </w:r>
      <w:proofErr w:type="gramStart"/>
      <w:r w:rsidR="007836EB">
        <w:rPr>
          <w:rFonts w:ascii="Times New Roman" w:hAnsi="Times New Roman" w:cs="Times New Roman"/>
          <w:sz w:val="24"/>
          <w:szCs w:val="24"/>
        </w:rPr>
        <w:t>transport</w:t>
      </w:r>
      <w:proofErr w:type="gramEnd"/>
      <w:r w:rsidR="007836EB">
        <w:rPr>
          <w:rFonts w:ascii="Times New Roman" w:hAnsi="Times New Roman" w:cs="Times New Roman"/>
          <w:sz w:val="24"/>
          <w:szCs w:val="24"/>
        </w:rPr>
        <w:t xml:space="preserve"> and industry sectors.</w:t>
      </w:r>
    </w:p>
    <w:p w14:paraId="4882E859" w14:textId="61187FAA" w:rsidR="007836EB" w:rsidRDefault="007836EB" w:rsidP="005307F0">
      <w:pPr>
        <w:rPr>
          <w:rFonts w:ascii="Times New Roman" w:hAnsi="Times New Roman" w:cs="Times New Roman"/>
          <w:sz w:val="24"/>
          <w:szCs w:val="24"/>
        </w:rPr>
      </w:pPr>
    </w:p>
    <w:p w14:paraId="707CB9A2" w14:textId="77777777" w:rsidR="002A5F68" w:rsidRDefault="002A5F68" w:rsidP="005307F0">
      <w:pPr>
        <w:rPr>
          <w:rFonts w:ascii="Times New Roman" w:hAnsi="Times New Roman" w:cs="Times New Roman"/>
          <w:sz w:val="24"/>
          <w:szCs w:val="24"/>
        </w:rPr>
      </w:pPr>
    </w:p>
    <w:p w14:paraId="44C9D223" w14:textId="0F6DB70A" w:rsidR="007836EB" w:rsidRDefault="3008F981" w:rsidP="50642B45">
      <w:pPr>
        <w:rPr>
          <w:rFonts w:ascii="Times New Roman" w:hAnsi="Times New Roman" w:cs="Times New Roman"/>
          <w:sz w:val="24"/>
          <w:szCs w:val="24"/>
        </w:rPr>
      </w:pPr>
      <w:r w:rsidRPr="50642B45">
        <w:rPr>
          <w:rFonts w:ascii="Times New Roman" w:eastAsia="Times New Roman" w:hAnsi="Times New Roman" w:cs="Times New Roman"/>
          <w:color w:val="000000" w:themeColor="text1"/>
          <w:sz w:val="24"/>
          <w:szCs w:val="24"/>
        </w:rPr>
        <w:lastRenderedPageBreak/>
        <w:t xml:space="preserve">The program will deliver an improved understanding of Australia’s potential for mineral, </w:t>
      </w:r>
      <w:proofErr w:type="gramStart"/>
      <w:r w:rsidRPr="50642B45">
        <w:rPr>
          <w:rFonts w:ascii="Times New Roman" w:eastAsia="Times New Roman" w:hAnsi="Times New Roman" w:cs="Times New Roman"/>
          <w:color w:val="000000" w:themeColor="text1"/>
          <w:sz w:val="24"/>
          <w:szCs w:val="24"/>
        </w:rPr>
        <w:t>energy</w:t>
      </w:r>
      <w:proofErr w:type="gramEnd"/>
      <w:r w:rsidRPr="50642B45">
        <w:rPr>
          <w:rFonts w:ascii="Times New Roman" w:eastAsia="Times New Roman" w:hAnsi="Times New Roman" w:cs="Times New Roman"/>
          <w:color w:val="000000" w:themeColor="text1"/>
          <w:sz w:val="24"/>
          <w:szCs w:val="24"/>
        </w:rPr>
        <w:t xml:space="preserve"> and groundwater resources onshore and offshore. It will accelerate resource discovery and development, identify resources required by a net-zero economy, supporting Australia’s energy transition, and enable collaboration and research with international partners on global resource systems and geology for the benefit of Australia.  </w:t>
      </w:r>
      <w:r w:rsidRPr="50642B45">
        <w:rPr>
          <w:rFonts w:ascii="Times New Roman" w:eastAsia="Times New Roman" w:hAnsi="Times New Roman" w:cs="Times New Roman"/>
          <w:sz w:val="24"/>
          <w:szCs w:val="24"/>
        </w:rPr>
        <w:t xml:space="preserve"> </w:t>
      </w:r>
    </w:p>
    <w:p w14:paraId="0E6968F4" w14:textId="77777777" w:rsidR="00CF01D4" w:rsidRPr="00C04DFF" w:rsidRDefault="00CF01D4" w:rsidP="005307F0">
      <w:pPr>
        <w:rPr>
          <w:rFonts w:ascii="Times New Roman" w:hAnsi="Times New Roman" w:cs="Times New Roman"/>
          <w:sz w:val="24"/>
          <w:szCs w:val="24"/>
        </w:rPr>
      </w:pPr>
    </w:p>
    <w:p w14:paraId="68BEECDA" w14:textId="00EACBC4" w:rsidR="00D8126C" w:rsidRPr="00C04DFF" w:rsidRDefault="0ED659E6" w:rsidP="005307F0">
      <w:pPr>
        <w:rPr>
          <w:rFonts w:ascii="Times New Roman" w:hAnsi="Times New Roman" w:cs="Times New Roman"/>
          <w:sz w:val="24"/>
          <w:szCs w:val="24"/>
        </w:rPr>
      </w:pPr>
      <w:r w:rsidRPr="00C04DFF">
        <w:rPr>
          <w:rFonts w:ascii="Times New Roman" w:hAnsi="Times New Roman" w:cs="Times New Roman"/>
          <w:sz w:val="24"/>
          <w:szCs w:val="24"/>
        </w:rPr>
        <w:t xml:space="preserve">The external affairs power supports legislation with respect to matters or things outside the geographical limits of Australia. </w:t>
      </w:r>
    </w:p>
    <w:p w14:paraId="2EFC7094" w14:textId="4E19AFE3" w:rsidR="008B4B66" w:rsidRPr="00C04DFF" w:rsidRDefault="008B4B66" w:rsidP="005307F0">
      <w:pPr>
        <w:rPr>
          <w:rFonts w:ascii="Times New Roman" w:hAnsi="Times New Roman" w:cs="Times New Roman"/>
          <w:sz w:val="24"/>
          <w:szCs w:val="24"/>
        </w:rPr>
      </w:pPr>
    </w:p>
    <w:p w14:paraId="2577B74F" w14:textId="77777777" w:rsidR="008B4B66" w:rsidRPr="00C04DFF" w:rsidRDefault="008B4B66" w:rsidP="005307F0">
      <w:pPr>
        <w:rPr>
          <w:rFonts w:ascii="Times New Roman" w:hAnsi="Times New Roman" w:cs="Times New Roman"/>
          <w:b/>
          <w:bCs/>
          <w:sz w:val="24"/>
          <w:szCs w:val="24"/>
        </w:rPr>
      </w:pPr>
      <w:r w:rsidRPr="00C04DFF">
        <w:rPr>
          <w:rFonts w:ascii="Times New Roman" w:hAnsi="Times New Roman" w:cs="Times New Roman"/>
          <w:b/>
          <w:bCs/>
          <w:sz w:val="24"/>
          <w:szCs w:val="24"/>
        </w:rPr>
        <w:t>Races power</w:t>
      </w:r>
    </w:p>
    <w:p w14:paraId="7CC0077F" w14:textId="0EE87C5D" w:rsidR="00013623" w:rsidRPr="00C04DFF" w:rsidRDefault="00013623" w:rsidP="005307F0">
      <w:pPr>
        <w:rPr>
          <w:rFonts w:ascii="Times New Roman" w:hAnsi="Times New Roman" w:cs="Times New Roman"/>
          <w:b/>
          <w:bCs/>
          <w:sz w:val="24"/>
          <w:szCs w:val="24"/>
        </w:rPr>
      </w:pPr>
    </w:p>
    <w:p w14:paraId="6B686E91" w14:textId="35D25EDC" w:rsidR="00315372" w:rsidRDefault="0090121A">
      <w:pPr>
        <w:spacing w:after="120"/>
        <w:rPr>
          <w:rFonts w:ascii="Times New Roman" w:hAnsi="Times New Roman" w:cs="Times New Roman"/>
          <w:sz w:val="24"/>
          <w:szCs w:val="24"/>
        </w:rPr>
      </w:pPr>
      <w:r>
        <w:rPr>
          <w:rFonts w:ascii="Times New Roman" w:hAnsi="Times New Roman" w:cs="Times New Roman"/>
          <w:bCs/>
          <w:sz w:val="24"/>
          <w:szCs w:val="24"/>
        </w:rPr>
        <w:t>Paragraph</w:t>
      </w:r>
      <w:r w:rsidR="003A2240" w:rsidRPr="0015703A">
        <w:rPr>
          <w:rFonts w:ascii="Times New Roman" w:hAnsi="Times New Roman" w:cs="Times New Roman"/>
          <w:bCs/>
          <w:sz w:val="24"/>
          <w:szCs w:val="24"/>
        </w:rPr>
        <w:t xml:space="preserve"> 51(xxvi) of the Constitution empowers the Parliament to make laws </w:t>
      </w:r>
      <w:r w:rsidR="7B446855" w:rsidRPr="00C04DFF">
        <w:rPr>
          <w:rFonts w:ascii="Times New Roman" w:hAnsi="Times New Roman" w:cs="Times New Roman"/>
          <w:sz w:val="24"/>
          <w:szCs w:val="24"/>
        </w:rPr>
        <w:t xml:space="preserve">with respect to ‘the people of any race for whom it is deemed necessary to make special </w:t>
      </w:r>
      <w:proofErr w:type="gramStart"/>
      <w:r w:rsidR="7B446855" w:rsidRPr="00C04DFF">
        <w:rPr>
          <w:rFonts w:ascii="Times New Roman" w:hAnsi="Times New Roman" w:cs="Times New Roman"/>
          <w:sz w:val="24"/>
          <w:szCs w:val="24"/>
        </w:rPr>
        <w:t>laws’</w:t>
      </w:r>
      <w:proofErr w:type="gramEnd"/>
      <w:r w:rsidR="7B446855" w:rsidRPr="00C04DFF">
        <w:rPr>
          <w:rFonts w:ascii="Times New Roman" w:hAnsi="Times New Roman" w:cs="Times New Roman"/>
          <w:sz w:val="24"/>
          <w:szCs w:val="24"/>
        </w:rPr>
        <w:t xml:space="preserve">. </w:t>
      </w:r>
    </w:p>
    <w:p w14:paraId="2484A8E5" w14:textId="552A8077" w:rsidR="00567800" w:rsidRPr="00C04DFF" w:rsidRDefault="00315372" w:rsidP="00315372">
      <w:pPr>
        <w:spacing w:after="120"/>
        <w:rPr>
          <w:rFonts w:ascii="Times New Roman" w:hAnsi="Times New Roman" w:cs="Times New Roman"/>
          <w:sz w:val="24"/>
          <w:szCs w:val="24"/>
        </w:rPr>
      </w:pPr>
      <w:r>
        <w:rPr>
          <w:rFonts w:ascii="Times New Roman" w:hAnsi="Times New Roman" w:cs="Times New Roman"/>
          <w:sz w:val="24"/>
          <w:szCs w:val="24"/>
        </w:rPr>
        <w:t>T</w:t>
      </w:r>
      <w:r w:rsidR="7B446855" w:rsidRPr="00C04DFF">
        <w:rPr>
          <w:rFonts w:ascii="Times New Roman" w:hAnsi="Times New Roman" w:cs="Times New Roman"/>
          <w:sz w:val="24"/>
          <w:szCs w:val="24"/>
        </w:rPr>
        <w:t xml:space="preserve">he </w:t>
      </w:r>
      <w:r w:rsidR="158B42AD" w:rsidRPr="00C04DFF">
        <w:rPr>
          <w:rFonts w:ascii="Times New Roman" w:hAnsi="Times New Roman" w:cs="Times New Roman"/>
          <w:sz w:val="24"/>
          <w:szCs w:val="24"/>
        </w:rPr>
        <w:t>p</w:t>
      </w:r>
      <w:r w:rsidR="7B446855" w:rsidRPr="00C04DFF">
        <w:rPr>
          <w:rFonts w:ascii="Times New Roman" w:hAnsi="Times New Roman" w:cs="Times New Roman"/>
          <w:sz w:val="24"/>
          <w:szCs w:val="24"/>
        </w:rPr>
        <w:t xml:space="preserve">rogram proposes the establishment of a First Nations </w:t>
      </w:r>
      <w:r w:rsidR="2FAE8647" w:rsidRPr="00C04DFF">
        <w:rPr>
          <w:rFonts w:ascii="Times New Roman" w:hAnsi="Times New Roman" w:cs="Times New Roman"/>
          <w:sz w:val="24"/>
          <w:szCs w:val="24"/>
        </w:rPr>
        <w:t>Steering Committee</w:t>
      </w:r>
      <w:r w:rsidR="7B446855" w:rsidRPr="00C04DFF">
        <w:rPr>
          <w:rFonts w:ascii="Times New Roman" w:hAnsi="Times New Roman" w:cs="Times New Roman"/>
          <w:sz w:val="24"/>
          <w:szCs w:val="24"/>
        </w:rPr>
        <w:t xml:space="preserve"> and </w:t>
      </w:r>
      <w:r w:rsidR="2FAE8647" w:rsidRPr="00C04DFF">
        <w:rPr>
          <w:rFonts w:ascii="Times New Roman" w:hAnsi="Times New Roman" w:cs="Times New Roman"/>
          <w:sz w:val="24"/>
          <w:szCs w:val="24"/>
        </w:rPr>
        <w:t xml:space="preserve">facilitation of </w:t>
      </w:r>
      <w:r w:rsidR="09F8F1E5" w:rsidRPr="00C04DFF">
        <w:rPr>
          <w:rFonts w:ascii="Times New Roman" w:hAnsi="Times New Roman" w:cs="Times New Roman"/>
          <w:sz w:val="24"/>
          <w:szCs w:val="24"/>
        </w:rPr>
        <w:t xml:space="preserve">skills </w:t>
      </w:r>
      <w:r w:rsidR="62A5245A" w:rsidRPr="00C04DFF">
        <w:rPr>
          <w:rFonts w:ascii="Times New Roman" w:hAnsi="Times New Roman" w:cs="Times New Roman"/>
          <w:sz w:val="24"/>
          <w:szCs w:val="24"/>
        </w:rPr>
        <w:t xml:space="preserve">and knowledge sharing with </w:t>
      </w:r>
      <w:r w:rsidR="7B446855" w:rsidRPr="00C04DFF">
        <w:rPr>
          <w:rFonts w:ascii="Times New Roman" w:hAnsi="Times New Roman" w:cs="Times New Roman"/>
          <w:sz w:val="24"/>
          <w:szCs w:val="24"/>
        </w:rPr>
        <w:t xml:space="preserve">First </w:t>
      </w:r>
      <w:r w:rsidR="3A7C3538" w:rsidRPr="00C04DFF">
        <w:rPr>
          <w:rFonts w:ascii="Times New Roman" w:hAnsi="Times New Roman" w:cs="Times New Roman"/>
          <w:sz w:val="24"/>
          <w:szCs w:val="24"/>
        </w:rPr>
        <w:t>N</w:t>
      </w:r>
      <w:r w:rsidR="7B446855" w:rsidRPr="00C04DFF">
        <w:rPr>
          <w:rFonts w:ascii="Times New Roman" w:hAnsi="Times New Roman" w:cs="Times New Roman"/>
          <w:sz w:val="24"/>
          <w:szCs w:val="24"/>
        </w:rPr>
        <w:t xml:space="preserve">ations </w:t>
      </w:r>
      <w:r w:rsidR="60BF549A" w:rsidRPr="00C04DFF">
        <w:rPr>
          <w:rFonts w:ascii="Times New Roman" w:hAnsi="Times New Roman" w:cs="Times New Roman"/>
          <w:sz w:val="24"/>
          <w:szCs w:val="24"/>
        </w:rPr>
        <w:t xml:space="preserve">for example through a </w:t>
      </w:r>
      <w:r w:rsidR="2FAE8647" w:rsidRPr="00C04DFF">
        <w:rPr>
          <w:rFonts w:ascii="Times New Roman" w:hAnsi="Times New Roman" w:cs="Times New Roman"/>
          <w:sz w:val="24"/>
          <w:szCs w:val="24"/>
        </w:rPr>
        <w:t>cadetship</w:t>
      </w:r>
      <w:r w:rsidR="7B446855" w:rsidRPr="00C04DFF">
        <w:rPr>
          <w:rFonts w:ascii="Times New Roman" w:hAnsi="Times New Roman" w:cs="Times New Roman"/>
          <w:sz w:val="24"/>
          <w:szCs w:val="24"/>
        </w:rPr>
        <w:t xml:space="preserve"> program. The </w:t>
      </w:r>
      <w:r w:rsidR="158B42AD" w:rsidRPr="00C04DFF">
        <w:rPr>
          <w:rFonts w:ascii="Times New Roman" w:hAnsi="Times New Roman" w:cs="Times New Roman"/>
          <w:sz w:val="24"/>
          <w:szCs w:val="24"/>
        </w:rPr>
        <w:t>p</w:t>
      </w:r>
      <w:r w:rsidR="7B446855" w:rsidRPr="00C04DFF">
        <w:rPr>
          <w:rFonts w:ascii="Times New Roman" w:hAnsi="Times New Roman" w:cs="Times New Roman"/>
          <w:sz w:val="24"/>
          <w:szCs w:val="24"/>
        </w:rPr>
        <w:t>rogram also</w:t>
      </w:r>
      <w:r w:rsidR="2FAE8647" w:rsidRPr="00C04DFF">
        <w:rPr>
          <w:rFonts w:ascii="Times New Roman" w:hAnsi="Times New Roman" w:cs="Times New Roman"/>
          <w:sz w:val="24"/>
          <w:szCs w:val="24"/>
        </w:rPr>
        <w:t xml:space="preserve"> proposes to undertake regional</w:t>
      </w:r>
      <w:r w:rsidR="7B446855" w:rsidRPr="00C04DFF">
        <w:rPr>
          <w:rFonts w:ascii="Times New Roman" w:hAnsi="Times New Roman" w:cs="Times New Roman"/>
          <w:sz w:val="24"/>
          <w:szCs w:val="24"/>
        </w:rPr>
        <w:t xml:space="preserve"> assessment</w:t>
      </w:r>
      <w:r w:rsidR="299B06EB" w:rsidRPr="00C04DFF">
        <w:rPr>
          <w:rFonts w:ascii="Times New Roman" w:hAnsi="Times New Roman" w:cs="Times New Roman"/>
          <w:sz w:val="24"/>
          <w:szCs w:val="24"/>
        </w:rPr>
        <w:t>s</w:t>
      </w:r>
      <w:r w:rsidR="7B446855" w:rsidRPr="00C04DFF">
        <w:rPr>
          <w:rFonts w:ascii="Times New Roman" w:hAnsi="Times New Roman" w:cs="Times New Roman"/>
          <w:sz w:val="24"/>
          <w:szCs w:val="24"/>
        </w:rPr>
        <w:t xml:space="preserve"> in partnership with First Nations Groups on </w:t>
      </w:r>
      <w:r>
        <w:rPr>
          <w:rFonts w:ascii="Times New Roman" w:hAnsi="Times New Roman" w:cs="Times New Roman"/>
          <w:sz w:val="24"/>
          <w:szCs w:val="24"/>
        </w:rPr>
        <w:t>I</w:t>
      </w:r>
      <w:r w:rsidR="2FAE8647" w:rsidRPr="00C04DFF">
        <w:rPr>
          <w:rFonts w:ascii="Times New Roman" w:hAnsi="Times New Roman" w:cs="Times New Roman"/>
          <w:sz w:val="24"/>
          <w:szCs w:val="24"/>
        </w:rPr>
        <w:t>ndigenous</w:t>
      </w:r>
      <w:r w:rsidR="7B446855" w:rsidRPr="00C04DFF">
        <w:rPr>
          <w:rFonts w:ascii="Times New Roman" w:hAnsi="Times New Roman" w:cs="Times New Roman"/>
          <w:sz w:val="24"/>
          <w:szCs w:val="24"/>
        </w:rPr>
        <w:t xml:space="preserve"> Estate. Providing detailed data about the resource potential of </w:t>
      </w:r>
      <w:r>
        <w:rPr>
          <w:rFonts w:ascii="Times New Roman" w:hAnsi="Times New Roman" w:cs="Times New Roman"/>
          <w:sz w:val="24"/>
          <w:szCs w:val="24"/>
        </w:rPr>
        <w:t>I</w:t>
      </w:r>
      <w:r w:rsidR="2FAE8647" w:rsidRPr="00C04DFF">
        <w:rPr>
          <w:rFonts w:ascii="Times New Roman" w:hAnsi="Times New Roman" w:cs="Times New Roman"/>
          <w:sz w:val="24"/>
          <w:szCs w:val="24"/>
        </w:rPr>
        <w:t xml:space="preserve">ndigenous </w:t>
      </w:r>
      <w:r w:rsidR="7B446855" w:rsidRPr="00C04DFF">
        <w:rPr>
          <w:rFonts w:ascii="Times New Roman" w:hAnsi="Times New Roman" w:cs="Times New Roman"/>
          <w:sz w:val="24"/>
          <w:szCs w:val="24"/>
        </w:rPr>
        <w:t>Estate will</w:t>
      </w:r>
      <w:r>
        <w:rPr>
          <w:rFonts w:ascii="Times New Roman" w:hAnsi="Times New Roman" w:cs="Times New Roman"/>
          <w:sz w:val="24"/>
          <w:szCs w:val="24"/>
        </w:rPr>
        <w:t xml:space="preserve"> empower First Nations peoples to manage their land and water resources. </w:t>
      </w:r>
    </w:p>
    <w:p w14:paraId="105013B7" w14:textId="77777777" w:rsidR="00567800" w:rsidRPr="00C04DFF" w:rsidRDefault="00567800" w:rsidP="005307F0">
      <w:pPr>
        <w:rPr>
          <w:rFonts w:ascii="Times New Roman" w:hAnsi="Times New Roman" w:cs="Times New Roman"/>
          <w:b/>
          <w:bCs/>
          <w:sz w:val="24"/>
          <w:szCs w:val="24"/>
        </w:rPr>
      </w:pPr>
      <w:r w:rsidRPr="00C04DFF">
        <w:rPr>
          <w:rFonts w:ascii="Times New Roman" w:hAnsi="Times New Roman" w:cs="Times New Roman"/>
          <w:b/>
          <w:bCs/>
          <w:sz w:val="24"/>
          <w:szCs w:val="24"/>
        </w:rPr>
        <w:t xml:space="preserve">Trade and commerce power </w:t>
      </w:r>
    </w:p>
    <w:p w14:paraId="6B1101A2" w14:textId="77777777" w:rsidR="00013623" w:rsidRPr="00C04DFF" w:rsidRDefault="00013623" w:rsidP="005307F0">
      <w:pPr>
        <w:rPr>
          <w:rFonts w:ascii="Times New Roman" w:hAnsi="Times New Roman" w:cs="Times New Roman"/>
          <w:b/>
          <w:bCs/>
          <w:sz w:val="24"/>
          <w:szCs w:val="24"/>
        </w:rPr>
      </w:pPr>
    </w:p>
    <w:p w14:paraId="66D93520" w14:textId="2CCCB394" w:rsidR="00D6536A" w:rsidRPr="00C04DFF" w:rsidRDefault="00661E8D" w:rsidP="005307F0">
      <w:pPr>
        <w:rPr>
          <w:rFonts w:ascii="Times New Roman" w:hAnsi="Times New Roman" w:cs="Times New Roman"/>
          <w:sz w:val="24"/>
          <w:szCs w:val="24"/>
        </w:rPr>
      </w:pPr>
      <w:r>
        <w:rPr>
          <w:rFonts w:ascii="Times New Roman" w:hAnsi="Times New Roman" w:cs="Times New Roman"/>
          <w:sz w:val="24"/>
          <w:szCs w:val="24"/>
        </w:rPr>
        <w:t>Paragraph</w:t>
      </w:r>
      <w:r w:rsidR="001656E6" w:rsidRPr="00C04DFF">
        <w:rPr>
          <w:rFonts w:ascii="Times New Roman" w:hAnsi="Times New Roman" w:cs="Times New Roman"/>
          <w:sz w:val="24"/>
          <w:szCs w:val="24"/>
        </w:rPr>
        <w:t xml:space="preserve"> 51(</w:t>
      </w:r>
      <w:proofErr w:type="spellStart"/>
      <w:r w:rsidR="001656E6" w:rsidRPr="00C04DFF">
        <w:rPr>
          <w:rFonts w:ascii="Times New Roman" w:hAnsi="Times New Roman" w:cs="Times New Roman"/>
          <w:sz w:val="24"/>
          <w:szCs w:val="24"/>
        </w:rPr>
        <w:t>i</w:t>
      </w:r>
      <w:proofErr w:type="spellEnd"/>
      <w:r w:rsidR="001656E6" w:rsidRPr="00C04DFF">
        <w:rPr>
          <w:rFonts w:ascii="Times New Roman" w:hAnsi="Times New Roman" w:cs="Times New Roman"/>
          <w:sz w:val="24"/>
          <w:szCs w:val="24"/>
        </w:rPr>
        <w:t xml:space="preserve">) of the Constitution empowers the Parliament to make laws with respect to ‘trade and commerce with other countries, and among the </w:t>
      </w:r>
      <w:proofErr w:type="gramStart"/>
      <w:r w:rsidR="001656E6" w:rsidRPr="00C04DFF">
        <w:rPr>
          <w:rFonts w:ascii="Times New Roman" w:hAnsi="Times New Roman" w:cs="Times New Roman"/>
          <w:sz w:val="24"/>
          <w:szCs w:val="24"/>
        </w:rPr>
        <w:t>states’</w:t>
      </w:r>
      <w:proofErr w:type="gramEnd"/>
      <w:r w:rsidR="001656E6" w:rsidRPr="00C04DFF">
        <w:rPr>
          <w:rFonts w:ascii="Times New Roman" w:hAnsi="Times New Roman" w:cs="Times New Roman"/>
          <w:sz w:val="24"/>
          <w:szCs w:val="24"/>
        </w:rPr>
        <w:t>.</w:t>
      </w:r>
    </w:p>
    <w:p w14:paraId="7641CDE7" w14:textId="77777777" w:rsidR="001656E6" w:rsidRPr="00C04DFF" w:rsidRDefault="001656E6" w:rsidP="005307F0">
      <w:pPr>
        <w:rPr>
          <w:rFonts w:ascii="Times New Roman" w:hAnsi="Times New Roman" w:cs="Times New Roman"/>
          <w:sz w:val="24"/>
          <w:szCs w:val="24"/>
        </w:rPr>
      </w:pPr>
    </w:p>
    <w:p w14:paraId="06789FDD" w14:textId="48A78436" w:rsidR="00567800" w:rsidRPr="00C04DFF" w:rsidRDefault="00955FB3" w:rsidP="005307F0">
      <w:pPr>
        <w:rPr>
          <w:rFonts w:ascii="Times New Roman" w:hAnsi="Times New Roman" w:cs="Times New Roman"/>
          <w:sz w:val="24"/>
          <w:szCs w:val="24"/>
        </w:rPr>
      </w:pPr>
      <w:r>
        <w:rPr>
          <w:rFonts w:ascii="Times New Roman" w:hAnsi="Times New Roman" w:cs="Times New Roman"/>
          <w:sz w:val="24"/>
          <w:szCs w:val="24"/>
        </w:rPr>
        <w:t>The program</w:t>
      </w:r>
      <w:r w:rsidR="00567800" w:rsidRPr="00C04DFF">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FD707A">
        <w:rPr>
          <w:rFonts w:ascii="Times New Roman" w:hAnsi="Times New Roman" w:cs="Times New Roman"/>
          <w:sz w:val="24"/>
          <w:szCs w:val="24"/>
        </w:rPr>
        <w:t>support Australia’s energy transition to a net-zero economy, including by attracting investment and accelerating the discovery and development of Australia’s critical minerals and other resources.</w:t>
      </w:r>
      <w:r w:rsidR="00567800" w:rsidRPr="00C04DFF">
        <w:rPr>
          <w:rFonts w:ascii="Times New Roman" w:hAnsi="Times New Roman" w:cs="Times New Roman"/>
          <w:sz w:val="24"/>
          <w:szCs w:val="24"/>
        </w:rPr>
        <w:t xml:space="preserve"> </w:t>
      </w:r>
    </w:p>
    <w:p w14:paraId="5C998613" w14:textId="77777777" w:rsidR="007D0E27" w:rsidRPr="00C04DFF" w:rsidRDefault="007D0E27">
      <w:pPr>
        <w:rPr>
          <w:rFonts w:ascii="Times New Roman" w:hAnsi="Times New Roman" w:cs="Times New Roman"/>
          <w:sz w:val="24"/>
          <w:szCs w:val="24"/>
        </w:rPr>
      </w:pPr>
    </w:p>
    <w:p w14:paraId="08B967DD" w14:textId="7D1FA285" w:rsidR="00287BE0" w:rsidRPr="00C04DFF" w:rsidRDefault="002A5F68">
      <w:pPr>
        <w:pStyle w:val="ParaNumbering"/>
        <w:tabs>
          <w:tab w:val="clear" w:pos="360"/>
          <w:tab w:val="clear" w:pos="567"/>
        </w:tabs>
        <w:spacing w:after="0" w:line="240" w:lineRule="auto"/>
        <w:rPr>
          <w:color w:val="000000"/>
        </w:rPr>
      </w:pPr>
      <w:r>
        <w:rPr>
          <w:color w:val="000000"/>
        </w:rPr>
        <w:t>Further d</w:t>
      </w:r>
      <w:r w:rsidR="00287BE0" w:rsidRPr="00C04DFF">
        <w:rPr>
          <w:color w:val="000000"/>
        </w:rPr>
        <w:t xml:space="preserve">etails of the </w:t>
      </w:r>
      <w:r w:rsidR="009F51BB" w:rsidRPr="00C04DFF">
        <w:rPr>
          <w:color w:val="000000"/>
        </w:rPr>
        <w:t>Legislative Instrument</w:t>
      </w:r>
      <w:r w:rsidR="00287BE0" w:rsidRPr="00C04DFF">
        <w:rPr>
          <w:color w:val="000000"/>
        </w:rPr>
        <w:t xml:space="preserve"> are set out at </w:t>
      </w:r>
      <w:r w:rsidR="00287BE0" w:rsidRPr="00C04DFF">
        <w:rPr>
          <w:b/>
          <w:bCs/>
          <w:color w:val="000000"/>
          <w:u w:val="single"/>
        </w:rPr>
        <w:t>Attachment A</w:t>
      </w:r>
      <w:r w:rsidR="00287BE0" w:rsidRPr="00C04DFF">
        <w:rPr>
          <w:color w:val="000000"/>
        </w:rPr>
        <w:t xml:space="preserve">.  </w:t>
      </w:r>
    </w:p>
    <w:p w14:paraId="4BD23E69" w14:textId="77777777" w:rsidR="00287BE0" w:rsidRPr="00C04DFF" w:rsidRDefault="00287BE0">
      <w:pPr>
        <w:pStyle w:val="ParaNumbering"/>
        <w:tabs>
          <w:tab w:val="clear" w:pos="360"/>
          <w:tab w:val="clear" w:pos="567"/>
        </w:tabs>
        <w:spacing w:after="120" w:line="240" w:lineRule="auto"/>
        <w:rPr>
          <w:color w:val="000000"/>
        </w:rPr>
      </w:pPr>
    </w:p>
    <w:p w14:paraId="5BB113AA" w14:textId="77777777" w:rsidR="00187E8F" w:rsidRPr="00C04DFF" w:rsidRDefault="00187E8F">
      <w:pPr>
        <w:pStyle w:val="ParaNumbering"/>
        <w:tabs>
          <w:tab w:val="clear" w:pos="360"/>
          <w:tab w:val="clear" w:pos="567"/>
        </w:tabs>
        <w:spacing w:after="120" w:line="240" w:lineRule="auto"/>
        <w:rPr>
          <w:b/>
          <w:bCs/>
          <w:color w:val="000000"/>
          <w:u w:val="single"/>
        </w:rPr>
      </w:pPr>
      <w:r w:rsidRPr="00C04DFF">
        <w:rPr>
          <w:b/>
          <w:bCs/>
          <w:color w:val="000000"/>
          <w:u w:val="single"/>
        </w:rPr>
        <w:t>Authority</w:t>
      </w:r>
    </w:p>
    <w:p w14:paraId="334C5293" w14:textId="77777777" w:rsidR="00287BE0" w:rsidRPr="00C04DFF" w:rsidRDefault="00187E8F" w:rsidP="00187E8F">
      <w:pPr>
        <w:pStyle w:val="ParaNumbering"/>
        <w:tabs>
          <w:tab w:val="clear" w:pos="360"/>
          <w:tab w:val="clear" w:pos="567"/>
        </w:tabs>
        <w:spacing w:after="0" w:line="240" w:lineRule="auto"/>
        <w:rPr>
          <w:color w:val="000000"/>
        </w:rPr>
      </w:pPr>
      <w:r w:rsidRPr="00C04DFF">
        <w:rPr>
          <w:color w:val="000000"/>
        </w:rPr>
        <w:t xml:space="preserve">Section 33 of the IR&amp;D Act provides authority for the Legislative Instrument. </w:t>
      </w:r>
    </w:p>
    <w:p w14:paraId="1208A7DF" w14:textId="77777777" w:rsidR="00187E8F" w:rsidRPr="00C04DFF" w:rsidRDefault="00187E8F" w:rsidP="00187E8F">
      <w:pPr>
        <w:pStyle w:val="ParaNumbering"/>
        <w:tabs>
          <w:tab w:val="clear" w:pos="360"/>
          <w:tab w:val="clear" w:pos="567"/>
        </w:tabs>
        <w:spacing w:after="0" w:line="240" w:lineRule="auto"/>
        <w:rPr>
          <w:b/>
          <w:bCs/>
        </w:rPr>
      </w:pPr>
    </w:p>
    <w:p w14:paraId="711CE103" w14:textId="77777777" w:rsidR="00287BE0" w:rsidRPr="00C04DFF" w:rsidRDefault="00287BE0">
      <w:pPr>
        <w:spacing w:after="120"/>
        <w:rPr>
          <w:rFonts w:ascii="Times New Roman" w:hAnsi="Times New Roman" w:cs="Times New Roman"/>
          <w:b/>
          <w:bCs/>
          <w:sz w:val="24"/>
          <w:szCs w:val="24"/>
          <w:u w:val="single"/>
        </w:rPr>
      </w:pPr>
      <w:r w:rsidRPr="00C04DFF">
        <w:rPr>
          <w:rFonts w:ascii="Times New Roman" w:hAnsi="Times New Roman" w:cs="Times New Roman"/>
          <w:b/>
          <w:bCs/>
          <w:sz w:val="24"/>
          <w:szCs w:val="24"/>
          <w:u w:val="single"/>
        </w:rPr>
        <w:t>Consultation</w:t>
      </w:r>
    </w:p>
    <w:p w14:paraId="3B469A79" w14:textId="77777777" w:rsidR="00696201" w:rsidRPr="00696201" w:rsidRDefault="00696201" w:rsidP="00696201">
      <w:pPr>
        <w:rPr>
          <w:rFonts w:ascii="Times New Roman" w:hAnsi="Times New Roman" w:cs="Times New Roman"/>
          <w:color w:val="000000"/>
          <w:sz w:val="24"/>
          <w:szCs w:val="24"/>
        </w:rPr>
      </w:pPr>
      <w:bookmarkStart w:id="1" w:name="_Hlk182833037"/>
      <w:r w:rsidRPr="00696201">
        <w:rPr>
          <w:rFonts w:ascii="Times New Roman" w:hAnsi="Times New Roman" w:cs="Times New Roman"/>
          <w:color w:val="000000"/>
          <w:sz w:val="24"/>
          <w:szCs w:val="24"/>
        </w:rPr>
        <w:t xml:space="preserve">Geoscience Australia undertook a broad consultation process with key stakeholders, including representatives from academia, industry, state and territory governments, and geological survey agencies as well as relevant Australian Government departments and science agencies, to inform the implementation of the program. The consultations provided insights that shaped the program’s objectives and priorities, which is the subject of the Legislative Instrument. </w:t>
      </w:r>
    </w:p>
    <w:p w14:paraId="4DE565D3" w14:textId="77777777" w:rsidR="005322F0" w:rsidRDefault="005322F0" w:rsidP="00187E8F">
      <w:pPr>
        <w:rPr>
          <w:rFonts w:ascii="Times New Roman" w:hAnsi="Times New Roman" w:cs="Times New Roman"/>
          <w:color w:val="000000"/>
          <w:sz w:val="24"/>
          <w:szCs w:val="24"/>
        </w:rPr>
      </w:pPr>
    </w:p>
    <w:p w14:paraId="21B4CE87" w14:textId="2CDC3042" w:rsidR="005322F0" w:rsidRDefault="005322F0" w:rsidP="00187E8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Geoscience Australia and the Department collaborated </w:t>
      </w:r>
      <w:r w:rsidR="00452751">
        <w:rPr>
          <w:rFonts w:ascii="Times New Roman" w:hAnsi="Times New Roman" w:cs="Times New Roman"/>
          <w:color w:val="000000"/>
          <w:sz w:val="24"/>
          <w:szCs w:val="24"/>
        </w:rPr>
        <w:t xml:space="preserve">closely </w:t>
      </w:r>
      <w:r>
        <w:rPr>
          <w:rFonts w:ascii="Times New Roman" w:hAnsi="Times New Roman" w:cs="Times New Roman"/>
          <w:color w:val="000000"/>
          <w:sz w:val="24"/>
          <w:szCs w:val="24"/>
        </w:rPr>
        <w:t xml:space="preserve">on the development and drafting of </w:t>
      </w:r>
      <w:r w:rsidR="00452751">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Legislative Instrument</w:t>
      </w:r>
      <w:r w:rsidR="00452751">
        <w:rPr>
          <w:rFonts w:ascii="Times New Roman" w:hAnsi="Times New Roman" w:cs="Times New Roman"/>
          <w:color w:val="000000"/>
          <w:sz w:val="24"/>
          <w:szCs w:val="24"/>
        </w:rPr>
        <w:t xml:space="preserve">, to ensure the Legislative Instrument effectively supports the program’s objectives in accordance with legislative and regulatory requirements. </w:t>
      </w:r>
    </w:p>
    <w:p w14:paraId="513B4294" w14:textId="77777777" w:rsidR="006322E6" w:rsidRDefault="006322E6" w:rsidP="00187E8F">
      <w:pPr>
        <w:rPr>
          <w:rFonts w:ascii="Times New Roman" w:hAnsi="Times New Roman" w:cs="Times New Roman"/>
          <w:color w:val="000000"/>
          <w:sz w:val="24"/>
          <w:szCs w:val="24"/>
        </w:rPr>
      </w:pPr>
    </w:p>
    <w:p w14:paraId="4BC42C8D" w14:textId="01200C90" w:rsidR="00F97BC4" w:rsidRDefault="00287BE0" w:rsidP="00187E8F">
      <w:pPr>
        <w:rPr>
          <w:rFonts w:ascii="Times New Roman" w:hAnsi="Times New Roman" w:cs="Times New Roman"/>
          <w:color w:val="000000"/>
          <w:sz w:val="24"/>
          <w:szCs w:val="24"/>
        </w:rPr>
      </w:pPr>
      <w:r w:rsidRPr="00C04DFF">
        <w:rPr>
          <w:rFonts w:ascii="Times New Roman" w:hAnsi="Times New Roman" w:cs="Times New Roman"/>
          <w:color w:val="000000"/>
          <w:sz w:val="24"/>
          <w:szCs w:val="24"/>
        </w:rPr>
        <w:t xml:space="preserve">In accordance with section 17 of the </w:t>
      </w:r>
      <w:r w:rsidRPr="00C04DFF">
        <w:rPr>
          <w:rFonts w:ascii="Times New Roman" w:hAnsi="Times New Roman" w:cs="Times New Roman"/>
          <w:i/>
          <w:iCs/>
          <w:color w:val="000000"/>
          <w:sz w:val="24"/>
          <w:szCs w:val="24"/>
        </w:rPr>
        <w:t>Legislation Act 2003</w:t>
      </w:r>
      <w:r w:rsidRPr="00C04DFF">
        <w:rPr>
          <w:rFonts w:ascii="Times New Roman" w:hAnsi="Times New Roman" w:cs="Times New Roman"/>
          <w:color w:val="000000"/>
          <w:sz w:val="24"/>
          <w:szCs w:val="24"/>
        </w:rPr>
        <w:t>,</w:t>
      </w:r>
      <w:r w:rsidR="00F97BC4">
        <w:rPr>
          <w:rFonts w:ascii="Times New Roman" w:hAnsi="Times New Roman" w:cs="Times New Roman"/>
          <w:color w:val="000000"/>
          <w:sz w:val="24"/>
          <w:szCs w:val="24"/>
        </w:rPr>
        <w:t xml:space="preserve"> the Attorney-General’s Department has been consulted on this Legislative Instrument. </w:t>
      </w:r>
    </w:p>
    <w:bookmarkEnd w:id="1"/>
    <w:p w14:paraId="6DD0EAAF" w14:textId="77777777" w:rsidR="008205E8" w:rsidRPr="00C04DFF" w:rsidRDefault="008205E8" w:rsidP="00187E8F">
      <w:pPr>
        <w:rPr>
          <w:rFonts w:ascii="Times New Roman" w:hAnsi="Times New Roman" w:cs="Times New Roman"/>
          <w:color w:val="000000"/>
          <w:sz w:val="24"/>
          <w:szCs w:val="24"/>
        </w:rPr>
      </w:pPr>
    </w:p>
    <w:p w14:paraId="02C832CA" w14:textId="77777777" w:rsidR="008205E8" w:rsidRPr="00C04DFF" w:rsidRDefault="008205E8" w:rsidP="00187E8F">
      <w:pPr>
        <w:rPr>
          <w:rFonts w:ascii="Times New Roman" w:hAnsi="Times New Roman" w:cs="Times New Roman"/>
          <w:b/>
          <w:bCs/>
          <w:color w:val="000000"/>
          <w:sz w:val="24"/>
          <w:szCs w:val="24"/>
          <w:u w:val="single"/>
        </w:rPr>
      </w:pPr>
      <w:r w:rsidRPr="00C04DFF">
        <w:rPr>
          <w:rFonts w:ascii="Times New Roman" w:hAnsi="Times New Roman" w:cs="Times New Roman"/>
          <w:b/>
          <w:bCs/>
          <w:color w:val="000000"/>
          <w:sz w:val="24"/>
          <w:szCs w:val="24"/>
          <w:u w:val="single"/>
        </w:rPr>
        <w:lastRenderedPageBreak/>
        <w:t>Regulatory Impact</w:t>
      </w:r>
    </w:p>
    <w:p w14:paraId="5551228F" w14:textId="77777777" w:rsidR="008205E8" w:rsidRPr="00C04DFF" w:rsidRDefault="008205E8" w:rsidP="00187E8F">
      <w:pPr>
        <w:rPr>
          <w:rFonts w:ascii="Times New Roman" w:hAnsi="Times New Roman" w:cs="Times New Roman"/>
          <w:color w:val="000000"/>
          <w:sz w:val="24"/>
          <w:szCs w:val="24"/>
        </w:rPr>
      </w:pPr>
    </w:p>
    <w:p w14:paraId="24A7A41E" w14:textId="74777231" w:rsidR="008205E8" w:rsidRPr="00C04DFF" w:rsidRDefault="008205E8" w:rsidP="00187E8F">
      <w:pPr>
        <w:rPr>
          <w:rFonts w:ascii="Times New Roman" w:hAnsi="Times New Roman" w:cs="Times New Roman"/>
          <w:color w:val="000000"/>
          <w:sz w:val="24"/>
          <w:szCs w:val="24"/>
        </w:rPr>
      </w:pPr>
      <w:r w:rsidRPr="00C04DFF">
        <w:rPr>
          <w:rFonts w:ascii="Times New Roman" w:hAnsi="Times New Roman" w:cs="Times New Roman"/>
          <w:color w:val="000000"/>
          <w:sz w:val="24"/>
          <w:szCs w:val="24"/>
        </w:rPr>
        <w:t xml:space="preserve">A regulation impact statement is not </w:t>
      </w:r>
      <w:r w:rsidR="0009433F" w:rsidRPr="00C04DFF">
        <w:rPr>
          <w:rFonts w:ascii="Times New Roman" w:hAnsi="Times New Roman" w:cs="Times New Roman"/>
          <w:color w:val="000000"/>
          <w:sz w:val="24"/>
          <w:szCs w:val="24"/>
        </w:rPr>
        <w:t>required as this</w:t>
      </w:r>
      <w:r w:rsidRPr="00C04DFF">
        <w:rPr>
          <w:rFonts w:ascii="Times New Roman" w:hAnsi="Times New Roman" w:cs="Times New Roman"/>
          <w:color w:val="000000"/>
          <w:sz w:val="24"/>
          <w:szCs w:val="24"/>
        </w:rPr>
        <w:t xml:space="preserve"> Legislative Instrument only applies to non-corporate Commonwealth entities and does not adversely affect the private sector.</w:t>
      </w:r>
      <w:r w:rsidR="00F97BC4">
        <w:rPr>
          <w:rFonts w:ascii="Times New Roman" w:hAnsi="Times New Roman" w:cs="Times New Roman"/>
          <w:color w:val="000000"/>
          <w:sz w:val="24"/>
          <w:szCs w:val="24"/>
        </w:rPr>
        <w:t xml:space="preserve"> It is estimated that the regulatory burden is likely to be minor (Office of Impact Analysis reference number </w:t>
      </w:r>
      <w:r w:rsidR="00F97BC4" w:rsidRPr="00F97BC4">
        <w:rPr>
          <w:rFonts w:ascii="Times New Roman" w:hAnsi="Times New Roman" w:cs="Times New Roman"/>
          <w:color w:val="000000"/>
          <w:sz w:val="24"/>
          <w:szCs w:val="24"/>
        </w:rPr>
        <w:t>OIA24-06433</w:t>
      </w:r>
      <w:r w:rsidR="00F97BC4">
        <w:rPr>
          <w:rFonts w:ascii="Times New Roman" w:hAnsi="Times New Roman" w:cs="Times New Roman"/>
          <w:color w:val="000000"/>
          <w:sz w:val="24"/>
          <w:szCs w:val="24"/>
        </w:rPr>
        <w:t>).</w:t>
      </w:r>
    </w:p>
    <w:p w14:paraId="3AB233C6" w14:textId="77777777" w:rsidR="006322E6" w:rsidRDefault="006322E6" w:rsidP="00187E8F">
      <w:pPr>
        <w:rPr>
          <w:rFonts w:ascii="Times New Roman" w:hAnsi="Times New Roman" w:cs="Times New Roman"/>
          <w:b/>
          <w:bCs/>
          <w:color w:val="000000"/>
          <w:sz w:val="24"/>
          <w:szCs w:val="24"/>
          <w:u w:val="single"/>
        </w:rPr>
      </w:pPr>
    </w:p>
    <w:p w14:paraId="65940162" w14:textId="5C0EB13C" w:rsidR="008205E8" w:rsidRPr="00C04DFF" w:rsidRDefault="008205E8" w:rsidP="00187E8F">
      <w:pPr>
        <w:rPr>
          <w:rFonts w:ascii="Times New Roman" w:hAnsi="Times New Roman" w:cs="Times New Roman"/>
          <w:b/>
          <w:bCs/>
          <w:color w:val="000000"/>
          <w:sz w:val="24"/>
          <w:szCs w:val="24"/>
          <w:u w:val="single"/>
        </w:rPr>
      </w:pPr>
      <w:r w:rsidRPr="00C04DFF">
        <w:rPr>
          <w:rFonts w:ascii="Times New Roman" w:hAnsi="Times New Roman" w:cs="Times New Roman"/>
          <w:b/>
          <w:bCs/>
          <w:color w:val="000000"/>
          <w:sz w:val="24"/>
          <w:szCs w:val="24"/>
          <w:u w:val="single"/>
        </w:rPr>
        <w:t>Statement of Compatibility with Human Rights</w:t>
      </w:r>
    </w:p>
    <w:p w14:paraId="7A05E743" w14:textId="77777777" w:rsidR="008205E8" w:rsidRPr="00C04DFF" w:rsidRDefault="008205E8" w:rsidP="00187E8F">
      <w:pPr>
        <w:rPr>
          <w:rFonts w:ascii="Times New Roman" w:hAnsi="Times New Roman" w:cs="Times New Roman"/>
          <w:color w:val="000000"/>
          <w:sz w:val="24"/>
          <w:szCs w:val="24"/>
        </w:rPr>
      </w:pPr>
    </w:p>
    <w:p w14:paraId="556EC55A" w14:textId="0E5FEEBA" w:rsidR="004F4FC1" w:rsidRDefault="008205E8" w:rsidP="004F4FC1">
      <w:pPr>
        <w:pStyle w:val="ParaNumbering"/>
        <w:tabs>
          <w:tab w:val="clear" w:pos="360"/>
          <w:tab w:val="clear" w:pos="567"/>
        </w:tabs>
        <w:spacing w:after="0" w:line="240" w:lineRule="auto"/>
        <w:rPr>
          <w:color w:val="000000"/>
        </w:rPr>
      </w:pPr>
      <w:r w:rsidRPr="00C04DFF">
        <w:rPr>
          <w:color w:val="000000"/>
        </w:rPr>
        <w:t xml:space="preserve">A Statement of Compatibility with Human Rights </w:t>
      </w:r>
      <w:r w:rsidR="002A5F68">
        <w:rPr>
          <w:color w:val="000000"/>
        </w:rPr>
        <w:t xml:space="preserve">for the purposes of Part 3 of the </w:t>
      </w:r>
      <w:r w:rsidR="002A5F68" w:rsidRPr="005B1CDD">
        <w:rPr>
          <w:rFonts w:eastAsia="Times New Roman"/>
          <w:i/>
          <w:iCs/>
          <w:color w:val="000000"/>
          <w:lang w:val="en-GB" w:eastAsia="en-AU"/>
        </w:rPr>
        <w:t>Human Rights (Parliamentary Scrutiny) Act 2011</w:t>
      </w:r>
      <w:r w:rsidR="002A5F68" w:rsidRPr="005B1CDD">
        <w:rPr>
          <w:rFonts w:eastAsia="Times New Roman"/>
          <w:color w:val="000000"/>
          <w:lang w:val="en-GB" w:eastAsia="en-AU"/>
        </w:rPr>
        <w:t> </w:t>
      </w:r>
      <w:r w:rsidRPr="00C04DFF">
        <w:rPr>
          <w:color w:val="000000"/>
        </w:rPr>
        <w:t xml:space="preserve">is at </w:t>
      </w:r>
      <w:r w:rsidRPr="00C04DFF">
        <w:rPr>
          <w:b/>
          <w:bCs/>
          <w:color w:val="000000"/>
          <w:u w:val="single"/>
        </w:rPr>
        <w:t>Attachment B</w:t>
      </w:r>
      <w:r w:rsidRPr="00C04DFF">
        <w:rPr>
          <w:color w:val="000000"/>
        </w:rPr>
        <w:t>.</w:t>
      </w:r>
      <w:r w:rsidRPr="00013623">
        <w:rPr>
          <w:color w:val="000000"/>
        </w:rPr>
        <w:t xml:space="preserve"> </w:t>
      </w:r>
    </w:p>
    <w:p w14:paraId="5A91FA32" w14:textId="77777777" w:rsidR="004F4FC1" w:rsidRDefault="004F4FC1" w:rsidP="004F4FC1">
      <w:pPr>
        <w:pStyle w:val="ParaNumbering"/>
        <w:tabs>
          <w:tab w:val="clear" w:pos="360"/>
          <w:tab w:val="clear" w:pos="567"/>
        </w:tabs>
        <w:spacing w:after="0" w:line="240" w:lineRule="auto"/>
        <w:rPr>
          <w:color w:val="000000"/>
        </w:rPr>
      </w:pPr>
    </w:p>
    <w:p w14:paraId="29C16B86" w14:textId="7C46A9F6" w:rsidR="0018057F" w:rsidRDefault="0018057F">
      <w:pPr>
        <w:spacing w:after="160" w:line="259" w:lineRule="auto"/>
        <w:rPr>
          <w:rFonts w:ascii="Times New Roman" w:hAnsi="Times New Roman" w:cs="Times New Roman"/>
          <w:color w:val="000000"/>
          <w:sz w:val="24"/>
          <w:szCs w:val="24"/>
          <w:lang w:eastAsia="en-US"/>
        </w:rPr>
      </w:pPr>
      <w:r>
        <w:rPr>
          <w:color w:val="000000"/>
        </w:rPr>
        <w:br w:type="page"/>
      </w:r>
    </w:p>
    <w:p w14:paraId="3DF3465B" w14:textId="1A768D78" w:rsidR="0018057F" w:rsidRDefault="0018057F" w:rsidP="0018057F">
      <w:pPr>
        <w:pStyle w:val="ParaNumbering"/>
        <w:tabs>
          <w:tab w:val="clear" w:pos="360"/>
          <w:tab w:val="clear" w:pos="567"/>
        </w:tabs>
        <w:spacing w:after="0" w:line="240" w:lineRule="auto"/>
        <w:jc w:val="right"/>
        <w:rPr>
          <w:b/>
          <w:bCs/>
          <w:color w:val="000000"/>
          <w:u w:val="single"/>
        </w:rPr>
      </w:pPr>
      <w:r w:rsidRPr="0018057F">
        <w:rPr>
          <w:b/>
          <w:bCs/>
          <w:color w:val="000000"/>
          <w:u w:val="single"/>
        </w:rPr>
        <w:lastRenderedPageBreak/>
        <w:t>Attachment A</w:t>
      </w:r>
    </w:p>
    <w:p w14:paraId="04FD9976" w14:textId="77777777" w:rsidR="0018057F" w:rsidRPr="0018057F" w:rsidRDefault="0018057F" w:rsidP="0018057F">
      <w:pPr>
        <w:pStyle w:val="ParaNumbering"/>
        <w:tabs>
          <w:tab w:val="clear" w:pos="360"/>
          <w:tab w:val="clear" w:pos="567"/>
        </w:tabs>
        <w:spacing w:after="0" w:line="240" w:lineRule="auto"/>
        <w:jc w:val="right"/>
        <w:rPr>
          <w:b/>
          <w:bCs/>
          <w:color w:val="000000"/>
          <w:u w:val="single"/>
        </w:rPr>
      </w:pPr>
    </w:p>
    <w:p w14:paraId="33C055E9" w14:textId="1B34FB1B" w:rsidR="00287BE0" w:rsidRPr="00013623" w:rsidRDefault="00287BE0" w:rsidP="004F4FC1">
      <w:pPr>
        <w:pStyle w:val="ParaNumbering"/>
        <w:tabs>
          <w:tab w:val="clear" w:pos="360"/>
          <w:tab w:val="clear" w:pos="567"/>
        </w:tabs>
        <w:spacing w:after="0" w:line="240" w:lineRule="auto"/>
        <w:rPr>
          <w:b/>
          <w:bCs/>
          <w:i/>
          <w:iCs/>
          <w:color w:val="000000"/>
          <w:u w:val="single"/>
        </w:rPr>
      </w:pPr>
      <w:r w:rsidRPr="00013623">
        <w:rPr>
          <w:b/>
          <w:bCs/>
          <w:color w:val="000000"/>
          <w:u w:val="single"/>
        </w:rPr>
        <w:t xml:space="preserve">Details of the </w:t>
      </w:r>
      <w:r w:rsidR="00187E8F" w:rsidRPr="00013623">
        <w:rPr>
          <w:b/>
          <w:bCs/>
          <w:i/>
          <w:iCs/>
          <w:color w:val="000000"/>
          <w:u w:val="single"/>
        </w:rPr>
        <w:t>Industry Research and Development (Resourcing Australia’s Prosperity Program) Instrument 2024</w:t>
      </w:r>
    </w:p>
    <w:p w14:paraId="1B8C77CB" w14:textId="77777777" w:rsidR="00287BE0" w:rsidRPr="00013623" w:rsidRDefault="00287BE0" w:rsidP="00C019A2">
      <w:pPr>
        <w:spacing w:before="240" w:after="120"/>
        <w:rPr>
          <w:rFonts w:ascii="Times New Roman" w:hAnsi="Times New Roman" w:cs="Times New Roman"/>
          <w:b/>
          <w:bCs/>
          <w:color w:val="000000"/>
          <w:sz w:val="24"/>
          <w:szCs w:val="24"/>
        </w:rPr>
      </w:pPr>
      <w:r w:rsidRPr="00013623">
        <w:rPr>
          <w:rFonts w:ascii="Times New Roman" w:hAnsi="Times New Roman" w:cs="Times New Roman"/>
          <w:b/>
          <w:bCs/>
          <w:color w:val="000000"/>
          <w:sz w:val="24"/>
          <w:szCs w:val="24"/>
        </w:rPr>
        <w:t xml:space="preserve">Section 1 – Name </w:t>
      </w:r>
      <w:r w:rsidR="00187E8F" w:rsidRPr="00013623">
        <w:rPr>
          <w:rFonts w:ascii="Times New Roman" w:hAnsi="Times New Roman" w:cs="Times New Roman"/>
          <w:b/>
          <w:bCs/>
          <w:color w:val="000000"/>
          <w:sz w:val="24"/>
          <w:szCs w:val="24"/>
        </w:rPr>
        <w:t>of Instrument</w:t>
      </w:r>
    </w:p>
    <w:p w14:paraId="0221647B" w14:textId="54BB7E4F" w:rsidR="00287BE0" w:rsidRDefault="1A6B82C5" w:rsidP="00C019A2">
      <w:pPr>
        <w:rPr>
          <w:rFonts w:ascii="Times New Roman" w:hAnsi="Times New Roman" w:cs="Times New Roman"/>
          <w:sz w:val="24"/>
          <w:szCs w:val="24"/>
        </w:rPr>
      </w:pPr>
      <w:r w:rsidRPr="70A12196">
        <w:rPr>
          <w:rFonts w:ascii="Times New Roman" w:hAnsi="Times New Roman" w:cs="Times New Roman"/>
          <w:color w:val="000000" w:themeColor="text1"/>
          <w:sz w:val="24"/>
          <w:szCs w:val="24"/>
        </w:rPr>
        <w:t xml:space="preserve">This section </w:t>
      </w:r>
      <w:r w:rsidR="7DF3F913" w:rsidRPr="70A12196">
        <w:rPr>
          <w:rFonts w:ascii="Times New Roman" w:hAnsi="Times New Roman" w:cs="Times New Roman"/>
          <w:color w:val="000000" w:themeColor="text1"/>
          <w:sz w:val="24"/>
          <w:szCs w:val="24"/>
        </w:rPr>
        <w:t xml:space="preserve">specifies the name of the Legislative Instrument as the </w:t>
      </w:r>
      <w:r w:rsidR="7DF3F913" w:rsidRPr="70A12196">
        <w:rPr>
          <w:rFonts w:ascii="Times New Roman" w:hAnsi="Times New Roman" w:cs="Times New Roman"/>
          <w:i/>
          <w:iCs/>
          <w:color w:val="000000" w:themeColor="text1"/>
          <w:sz w:val="24"/>
          <w:szCs w:val="24"/>
        </w:rPr>
        <w:t>Industry Research and Development (Resourcing Australia’s Prosperity Program) Instrument 2024</w:t>
      </w:r>
      <w:r w:rsidRPr="70A12196">
        <w:rPr>
          <w:rFonts w:ascii="Times New Roman" w:hAnsi="Times New Roman" w:cs="Times New Roman"/>
          <w:sz w:val="24"/>
          <w:szCs w:val="24"/>
        </w:rPr>
        <w:t>.</w:t>
      </w:r>
    </w:p>
    <w:p w14:paraId="31344B4A" w14:textId="77777777" w:rsidR="00975022" w:rsidRDefault="00975022">
      <w:pPr>
        <w:spacing w:after="120"/>
        <w:rPr>
          <w:rFonts w:ascii="Times New Roman" w:hAnsi="Times New Roman" w:cs="Times New Roman"/>
          <w:sz w:val="24"/>
          <w:szCs w:val="24"/>
        </w:rPr>
      </w:pPr>
    </w:p>
    <w:p w14:paraId="048DC828" w14:textId="77777777" w:rsidR="00287BE0" w:rsidRPr="00013623" w:rsidRDefault="00287BE0">
      <w:pPr>
        <w:spacing w:after="120"/>
        <w:rPr>
          <w:rFonts w:ascii="Times New Roman" w:hAnsi="Times New Roman" w:cs="Times New Roman"/>
          <w:b/>
          <w:bCs/>
          <w:color w:val="000000"/>
          <w:sz w:val="24"/>
          <w:szCs w:val="24"/>
        </w:rPr>
      </w:pPr>
      <w:r w:rsidRPr="00013623">
        <w:rPr>
          <w:rFonts w:ascii="Times New Roman" w:hAnsi="Times New Roman" w:cs="Times New Roman"/>
          <w:b/>
          <w:bCs/>
          <w:color w:val="000000"/>
          <w:sz w:val="24"/>
          <w:szCs w:val="24"/>
        </w:rPr>
        <w:t xml:space="preserve">Section 2 – Commencement </w:t>
      </w:r>
    </w:p>
    <w:p w14:paraId="30D31E2A" w14:textId="77777777" w:rsidR="00287BE0" w:rsidRDefault="004B0F03" w:rsidP="00C019A2">
      <w:pPr>
        <w:rPr>
          <w:rFonts w:ascii="Times New Roman" w:hAnsi="Times New Roman" w:cs="Times New Roman"/>
          <w:color w:val="000000"/>
          <w:sz w:val="24"/>
          <w:szCs w:val="24"/>
        </w:rPr>
      </w:pPr>
      <w:r w:rsidRPr="00013623">
        <w:rPr>
          <w:rFonts w:ascii="Times New Roman" w:hAnsi="Times New Roman" w:cs="Times New Roman"/>
          <w:color w:val="000000"/>
          <w:sz w:val="24"/>
          <w:szCs w:val="24"/>
        </w:rPr>
        <w:t>This section provides that the Legislative Instrument commences on the day after registration on the Federal Register of Legislation.</w:t>
      </w:r>
    </w:p>
    <w:p w14:paraId="31227250" w14:textId="77777777" w:rsidR="00975022" w:rsidRPr="00013623" w:rsidRDefault="00975022">
      <w:pPr>
        <w:spacing w:after="120"/>
        <w:rPr>
          <w:rFonts w:ascii="Times New Roman" w:hAnsi="Times New Roman" w:cs="Times New Roman"/>
          <w:color w:val="000000"/>
          <w:sz w:val="24"/>
          <w:szCs w:val="24"/>
        </w:rPr>
      </w:pPr>
    </w:p>
    <w:p w14:paraId="5C82BA3A" w14:textId="77777777" w:rsidR="00287BE0" w:rsidRPr="00013623" w:rsidRDefault="00287BE0">
      <w:pPr>
        <w:spacing w:after="120"/>
        <w:rPr>
          <w:rFonts w:ascii="Times New Roman" w:hAnsi="Times New Roman" w:cs="Times New Roman"/>
          <w:b/>
          <w:bCs/>
          <w:i/>
          <w:iCs/>
          <w:color w:val="000000"/>
          <w:sz w:val="24"/>
          <w:szCs w:val="24"/>
        </w:rPr>
      </w:pPr>
      <w:r w:rsidRPr="00013623">
        <w:rPr>
          <w:rFonts w:ascii="Times New Roman" w:hAnsi="Times New Roman" w:cs="Times New Roman"/>
          <w:b/>
          <w:bCs/>
          <w:color w:val="000000"/>
          <w:sz w:val="24"/>
          <w:szCs w:val="24"/>
        </w:rPr>
        <w:t>Section 3 – Authority</w:t>
      </w:r>
      <w:r w:rsidRPr="00013623">
        <w:rPr>
          <w:rFonts w:ascii="Times New Roman" w:hAnsi="Times New Roman" w:cs="Times New Roman"/>
          <w:b/>
          <w:bCs/>
          <w:i/>
          <w:iCs/>
          <w:color w:val="000000"/>
          <w:sz w:val="24"/>
          <w:szCs w:val="24"/>
        </w:rPr>
        <w:t xml:space="preserve"> </w:t>
      </w:r>
    </w:p>
    <w:p w14:paraId="146B9AAB" w14:textId="2FA3E0EB" w:rsidR="00287BE0" w:rsidRPr="00013623" w:rsidRDefault="004B0F03" w:rsidP="00C019A2">
      <w:pPr>
        <w:rPr>
          <w:rFonts w:ascii="Times New Roman" w:hAnsi="Times New Roman" w:cs="Times New Roman"/>
          <w:color w:val="000000"/>
          <w:sz w:val="24"/>
          <w:szCs w:val="24"/>
        </w:rPr>
      </w:pPr>
      <w:r w:rsidRPr="00013623">
        <w:rPr>
          <w:rFonts w:ascii="Times New Roman" w:hAnsi="Times New Roman" w:cs="Times New Roman"/>
          <w:color w:val="000000"/>
          <w:sz w:val="24"/>
          <w:szCs w:val="24"/>
        </w:rPr>
        <w:t>This section specifies the provision of the IR&amp;D Act under which the Legislative Instrument is made</w:t>
      </w:r>
      <w:r w:rsidR="00287BE0" w:rsidRPr="00013623">
        <w:rPr>
          <w:rFonts w:ascii="Times New Roman" w:hAnsi="Times New Roman" w:cs="Times New Roman"/>
          <w:color w:val="000000"/>
          <w:sz w:val="24"/>
          <w:szCs w:val="24"/>
        </w:rPr>
        <w:t>.</w:t>
      </w:r>
    </w:p>
    <w:p w14:paraId="7F194837" w14:textId="77777777" w:rsidR="00287BE0" w:rsidRPr="00013623" w:rsidRDefault="00287BE0">
      <w:pPr>
        <w:spacing w:after="120"/>
        <w:rPr>
          <w:rFonts w:ascii="Times New Roman" w:hAnsi="Times New Roman" w:cs="Times New Roman"/>
          <w:color w:val="000000"/>
          <w:sz w:val="24"/>
          <w:szCs w:val="24"/>
        </w:rPr>
      </w:pPr>
    </w:p>
    <w:p w14:paraId="07F46BBB" w14:textId="77777777" w:rsidR="00287BE0" w:rsidRPr="00013623" w:rsidRDefault="00287BE0">
      <w:pPr>
        <w:spacing w:after="120"/>
        <w:rPr>
          <w:rFonts w:ascii="Times New Roman" w:hAnsi="Times New Roman" w:cs="Times New Roman"/>
          <w:b/>
          <w:bCs/>
          <w:i/>
          <w:iCs/>
          <w:color w:val="000000"/>
          <w:sz w:val="24"/>
          <w:szCs w:val="24"/>
        </w:rPr>
      </w:pPr>
      <w:r w:rsidRPr="00013623">
        <w:rPr>
          <w:rFonts w:ascii="Times New Roman" w:hAnsi="Times New Roman" w:cs="Times New Roman"/>
          <w:b/>
          <w:bCs/>
          <w:color w:val="000000"/>
          <w:sz w:val="24"/>
          <w:szCs w:val="24"/>
        </w:rPr>
        <w:t xml:space="preserve">Section 4 – </w:t>
      </w:r>
      <w:r w:rsidR="004A2436" w:rsidRPr="00013623">
        <w:rPr>
          <w:rFonts w:ascii="Times New Roman" w:hAnsi="Times New Roman" w:cs="Times New Roman"/>
          <w:b/>
          <w:bCs/>
          <w:color w:val="000000"/>
          <w:sz w:val="24"/>
          <w:szCs w:val="24"/>
        </w:rPr>
        <w:t>Definitions</w:t>
      </w:r>
      <w:r w:rsidRPr="00013623">
        <w:rPr>
          <w:rFonts w:ascii="Times New Roman" w:hAnsi="Times New Roman" w:cs="Times New Roman"/>
          <w:b/>
          <w:bCs/>
          <w:i/>
          <w:iCs/>
          <w:color w:val="000000"/>
          <w:sz w:val="24"/>
          <w:szCs w:val="24"/>
        </w:rPr>
        <w:t xml:space="preserve"> </w:t>
      </w:r>
    </w:p>
    <w:p w14:paraId="0C97F68F" w14:textId="77777777" w:rsidR="00287BE0" w:rsidRPr="00013623" w:rsidRDefault="004A2436" w:rsidP="00C019A2">
      <w:pPr>
        <w:rPr>
          <w:rFonts w:ascii="Times New Roman" w:hAnsi="Times New Roman" w:cs="Times New Roman"/>
          <w:color w:val="000000"/>
          <w:sz w:val="24"/>
          <w:szCs w:val="24"/>
        </w:rPr>
      </w:pPr>
      <w:r w:rsidRPr="00013623">
        <w:rPr>
          <w:rFonts w:ascii="Times New Roman" w:hAnsi="Times New Roman" w:cs="Times New Roman"/>
          <w:color w:val="000000"/>
          <w:sz w:val="24"/>
          <w:szCs w:val="24"/>
        </w:rPr>
        <w:t xml:space="preserve">This item provides for definitions of terms used in the Legislative Instrument, namely </w:t>
      </w:r>
      <w:r w:rsidRPr="00013623">
        <w:rPr>
          <w:rFonts w:ascii="Times New Roman" w:hAnsi="Times New Roman" w:cs="Times New Roman"/>
          <w:b/>
          <w:bCs/>
          <w:i/>
          <w:iCs/>
          <w:color w:val="000000"/>
          <w:sz w:val="24"/>
          <w:szCs w:val="24"/>
        </w:rPr>
        <w:t>Act</w:t>
      </w:r>
      <w:r w:rsidRPr="00013623">
        <w:rPr>
          <w:rFonts w:ascii="Times New Roman" w:hAnsi="Times New Roman" w:cs="Times New Roman"/>
          <w:color w:val="000000"/>
          <w:sz w:val="24"/>
          <w:szCs w:val="24"/>
        </w:rPr>
        <w:t xml:space="preserve"> and </w:t>
      </w:r>
      <w:r w:rsidRPr="00013623">
        <w:rPr>
          <w:rFonts w:ascii="Times New Roman" w:hAnsi="Times New Roman" w:cs="Times New Roman"/>
          <w:b/>
          <w:bCs/>
          <w:i/>
          <w:iCs/>
          <w:color w:val="000000"/>
          <w:sz w:val="24"/>
          <w:szCs w:val="24"/>
        </w:rPr>
        <w:t>program</w:t>
      </w:r>
      <w:r w:rsidRPr="00013623">
        <w:rPr>
          <w:rFonts w:ascii="Times New Roman" w:hAnsi="Times New Roman" w:cs="Times New Roman"/>
          <w:color w:val="000000"/>
          <w:sz w:val="24"/>
          <w:szCs w:val="24"/>
        </w:rPr>
        <w:t>.</w:t>
      </w:r>
    </w:p>
    <w:p w14:paraId="3CDA8B6A" w14:textId="77777777" w:rsidR="008A24E8" w:rsidRPr="00013623" w:rsidRDefault="008A24E8">
      <w:pPr>
        <w:spacing w:after="120"/>
        <w:rPr>
          <w:rFonts w:ascii="Times New Roman" w:hAnsi="Times New Roman" w:cs="Times New Roman"/>
          <w:color w:val="000000"/>
          <w:sz w:val="24"/>
          <w:szCs w:val="24"/>
        </w:rPr>
      </w:pPr>
    </w:p>
    <w:p w14:paraId="27233594" w14:textId="77777777" w:rsidR="008A24E8" w:rsidRPr="00013623" w:rsidRDefault="008A24E8" w:rsidP="008A24E8">
      <w:pPr>
        <w:spacing w:after="120"/>
        <w:rPr>
          <w:rFonts w:ascii="Times New Roman" w:hAnsi="Times New Roman" w:cs="Times New Roman"/>
          <w:b/>
          <w:bCs/>
          <w:i/>
          <w:iCs/>
          <w:color w:val="000000"/>
          <w:sz w:val="24"/>
          <w:szCs w:val="24"/>
        </w:rPr>
      </w:pPr>
      <w:r w:rsidRPr="00013623">
        <w:rPr>
          <w:rFonts w:ascii="Times New Roman" w:hAnsi="Times New Roman" w:cs="Times New Roman"/>
          <w:b/>
          <w:bCs/>
          <w:color w:val="000000"/>
          <w:sz w:val="24"/>
          <w:szCs w:val="24"/>
        </w:rPr>
        <w:t>Section 5 – Prescribed program</w:t>
      </w:r>
      <w:r w:rsidRPr="00013623">
        <w:rPr>
          <w:rFonts w:ascii="Times New Roman" w:hAnsi="Times New Roman" w:cs="Times New Roman"/>
          <w:b/>
          <w:bCs/>
          <w:i/>
          <w:iCs/>
          <w:color w:val="000000"/>
          <w:sz w:val="24"/>
          <w:szCs w:val="24"/>
        </w:rPr>
        <w:t xml:space="preserve"> </w:t>
      </w:r>
    </w:p>
    <w:p w14:paraId="6C88012B" w14:textId="2D3843A1" w:rsidR="008A24E8" w:rsidRPr="00013623" w:rsidRDefault="1EC24595" w:rsidP="00C019A2">
      <w:pPr>
        <w:rPr>
          <w:rFonts w:ascii="Times New Roman" w:hAnsi="Times New Roman" w:cs="Times New Roman"/>
          <w:color w:val="000000"/>
          <w:sz w:val="24"/>
          <w:szCs w:val="24"/>
        </w:rPr>
      </w:pPr>
      <w:r w:rsidRPr="70A12196">
        <w:rPr>
          <w:rFonts w:ascii="Times New Roman" w:hAnsi="Times New Roman" w:cs="Times New Roman"/>
          <w:color w:val="000000" w:themeColor="text1"/>
          <w:sz w:val="24"/>
          <w:szCs w:val="24"/>
        </w:rPr>
        <w:t xml:space="preserve">This section prescribes the program for the purposes of section 33(1) of the IR&amp;D Act. </w:t>
      </w:r>
    </w:p>
    <w:p w14:paraId="38A1CCBA" w14:textId="77777777" w:rsidR="008A24E8" w:rsidRPr="00013623" w:rsidRDefault="008A24E8" w:rsidP="008A24E8">
      <w:pPr>
        <w:spacing w:after="120"/>
        <w:rPr>
          <w:rFonts w:ascii="Times New Roman" w:hAnsi="Times New Roman" w:cs="Times New Roman"/>
          <w:color w:val="000000"/>
          <w:sz w:val="24"/>
          <w:szCs w:val="24"/>
        </w:rPr>
      </w:pPr>
    </w:p>
    <w:p w14:paraId="3237CA05" w14:textId="70496D0A" w:rsidR="008A24E8" w:rsidRDefault="10F2A154" w:rsidP="00C019A2">
      <w:pPr>
        <w:rPr>
          <w:rFonts w:ascii="Times New Roman" w:hAnsi="Times New Roman" w:cs="Times New Roman"/>
          <w:color w:val="000000" w:themeColor="text1"/>
          <w:sz w:val="24"/>
          <w:szCs w:val="24"/>
        </w:rPr>
      </w:pPr>
      <w:r w:rsidRPr="70A12196">
        <w:rPr>
          <w:rFonts w:ascii="Times New Roman" w:hAnsi="Times New Roman" w:cs="Times New Roman"/>
          <w:color w:val="000000" w:themeColor="text1"/>
          <w:sz w:val="24"/>
          <w:szCs w:val="24"/>
        </w:rPr>
        <w:t xml:space="preserve">The program provides funding to deliver an improved understanding of Australia’s potential for mineral, </w:t>
      </w:r>
      <w:proofErr w:type="gramStart"/>
      <w:r w:rsidRPr="70A12196">
        <w:rPr>
          <w:rFonts w:ascii="Times New Roman" w:hAnsi="Times New Roman" w:cs="Times New Roman"/>
          <w:color w:val="000000" w:themeColor="text1"/>
          <w:sz w:val="24"/>
          <w:szCs w:val="24"/>
        </w:rPr>
        <w:t>energy</w:t>
      </w:r>
      <w:proofErr w:type="gramEnd"/>
      <w:r w:rsidRPr="70A12196">
        <w:rPr>
          <w:rFonts w:ascii="Times New Roman" w:hAnsi="Times New Roman" w:cs="Times New Roman"/>
          <w:color w:val="000000" w:themeColor="text1"/>
          <w:sz w:val="24"/>
          <w:szCs w:val="24"/>
        </w:rPr>
        <w:t xml:space="preserve"> and groundwater resources onshore and offshore. The program will identify the resources for a net zero emissions economy, attract investment, accelerate </w:t>
      </w:r>
      <w:r w:rsidR="4DF7A1D7" w:rsidRPr="70A12196">
        <w:rPr>
          <w:rFonts w:ascii="Times New Roman" w:hAnsi="Times New Roman" w:cs="Times New Roman"/>
          <w:color w:val="000000" w:themeColor="text1"/>
          <w:sz w:val="24"/>
          <w:szCs w:val="24"/>
        </w:rPr>
        <w:t xml:space="preserve">resource </w:t>
      </w:r>
      <w:r w:rsidRPr="70A12196">
        <w:rPr>
          <w:rFonts w:ascii="Times New Roman" w:hAnsi="Times New Roman" w:cs="Times New Roman"/>
          <w:color w:val="000000" w:themeColor="text1"/>
          <w:sz w:val="24"/>
          <w:szCs w:val="24"/>
        </w:rPr>
        <w:t>discovery and development, secure Australia’s sovereign capability in critical resources development</w:t>
      </w:r>
      <w:r w:rsidR="13C4967E" w:rsidRPr="009B6B2D">
        <w:rPr>
          <w:rFonts w:ascii="Times New Roman" w:eastAsia="Times New Roman" w:hAnsi="Times New Roman" w:cs="Times New Roman"/>
        </w:rPr>
        <w:t>, support agriculture</w:t>
      </w:r>
      <w:r w:rsidRPr="009B6B2D">
        <w:rPr>
          <w:rFonts w:ascii="Times New Roman" w:hAnsi="Times New Roman" w:cs="Times New Roman"/>
          <w:sz w:val="24"/>
          <w:szCs w:val="24"/>
        </w:rPr>
        <w:t xml:space="preserve"> </w:t>
      </w:r>
      <w:r w:rsidRPr="009B6B2D">
        <w:rPr>
          <w:rFonts w:ascii="Times New Roman" w:hAnsi="Times New Roman" w:cs="Times New Roman"/>
          <w:color w:val="000000" w:themeColor="text1"/>
          <w:sz w:val="24"/>
          <w:szCs w:val="24"/>
        </w:rPr>
        <w:t>and</w:t>
      </w:r>
      <w:r w:rsidRPr="70A12196">
        <w:rPr>
          <w:rFonts w:ascii="Times New Roman" w:hAnsi="Times New Roman" w:cs="Times New Roman"/>
          <w:color w:val="000000" w:themeColor="text1"/>
          <w:sz w:val="24"/>
          <w:szCs w:val="24"/>
        </w:rPr>
        <w:t xml:space="preserve"> support sustainable management of our natural resources. It will also empower First Nations peoples and local community to understand and manage their land and water resources.</w:t>
      </w:r>
    </w:p>
    <w:p w14:paraId="04E0153F" w14:textId="77777777" w:rsidR="0018057F" w:rsidRPr="00013623" w:rsidRDefault="0018057F">
      <w:pPr>
        <w:spacing w:after="120"/>
        <w:rPr>
          <w:rFonts w:ascii="Times New Roman" w:hAnsi="Times New Roman" w:cs="Times New Roman"/>
          <w:color w:val="000000"/>
          <w:sz w:val="24"/>
          <w:szCs w:val="24"/>
        </w:rPr>
      </w:pPr>
    </w:p>
    <w:p w14:paraId="48C1C1EF" w14:textId="732028B8" w:rsidR="00287BE0" w:rsidRDefault="008A24E8">
      <w:pPr>
        <w:spacing w:after="120"/>
        <w:rPr>
          <w:rFonts w:ascii="Times New Roman" w:hAnsi="Times New Roman" w:cs="Times New Roman"/>
          <w:b/>
          <w:bCs/>
          <w:color w:val="000000"/>
          <w:sz w:val="24"/>
          <w:szCs w:val="24"/>
        </w:rPr>
      </w:pPr>
      <w:r w:rsidRPr="00013623">
        <w:rPr>
          <w:rFonts w:ascii="Times New Roman" w:hAnsi="Times New Roman" w:cs="Times New Roman"/>
          <w:b/>
          <w:bCs/>
          <w:color w:val="000000"/>
          <w:sz w:val="24"/>
          <w:szCs w:val="24"/>
        </w:rPr>
        <w:t>Section 6 – Specified Legislative Power</w:t>
      </w:r>
    </w:p>
    <w:p w14:paraId="60E6E855" w14:textId="77777777" w:rsidR="008A24E8" w:rsidRPr="00013623" w:rsidRDefault="008A24E8">
      <w:pPr>
        <w:spacing w:after="120"/>
        <w:rPr>
          <w:rFonts w:ascii="Times New Roman" w:hAnsi="Times New Roman" w:cs="Times New Roman"/>
          <w:color w:val="000000"/>
          <w:sz w:val="24"/>
          <w:szCs w:val="24"/>
        </w:rPr>
      </w:pPr>
      <w:r w:rsidRPr="00013623">
        <w:rPr>
          <w:rFonts w:ascii="Times New Roman" w:hAnsi="Times New Roman" w:cs="Times New Roman"/>
          <w:color w:val="000000"/>
          <w:sz w:val="24"/>
          <w:szCs w:val="24"/>
        </w:rPr>
        <w:t>This section specifies that, for the purposes of subsection</w:t>
      </w:r>
      <w:r w:rsidR="001268B1" w:rsidRPr="00013623">
        <w:rPr>
          <w:rFonts w:ascii="Times New Roman" w:hAnsi="Times New Roman" w:cs="Times New Roman"/>
          <w:color w:val="000000"/>
          <w:sz w:val="24"/>
          <w:szCs w:val="24"/>
        </w:rPr>
        <w:t xml:space="preserve"> 33(3) of the Act, the powers of the Parliament to make laws with respect to the following are specified:</w:t>
      </w:r>
    </w:p>
    <w:p w14:paraId="156BE970" w14:textId="4493E77B" w:rsidR="001268B1" w:rsidRPr="00DA5E77" w:rsidRDefault="001268B1" w:rsidP="001268B1">
      <w:pPr>
        <w:numPr>
          <w:ilvl w:val="0"/>
          <w:numId w:val="10"/>
        </w:numPr>
        <w:spacing w:after="120"/>
        <w:rPr>
          <w:rFonts w:ascii="Times New Roman" w:hAnsi="Times New Roman" w:cs="Times New Roman"/>
          <w:color w:val="000000"/>
          <w:sz w:val="24"/>
          <w:szCs w:val="24"/>
        </w:rPr>
      </w:pPr>
      <w:r w:rsidRPr="00DA5E77">
        <w:rPr>
          <w:rFonts w:ascii="Times New Roman" w:hAnsi="Times New Roman" w:cs="Times New Roman"/>
          <w:color w:val="000000"/>
          <w:sz w:val="24"/>
          <w:szCs w:val="24"/>
        </w:rPr>
        <w:t xml:space="preserve">enterprises and activities that are peculiarly adapted to the government of a nation and cannot otherwise be carried on for the benefit of the nation (see </w:t>
      </w:r>
      <w:r w:rsidR="002024F3">
        <w:rPr>
          <w:rFonts w:ascii="Times New Roman" w:hAnsi="Times New Roman" w:cs="Times New Roman"/>
          <w:color w:val="000000"/>
          <w:sz w:val="24"/>
          <w:szCs w:val="24"/>
        </w:rPr>
        <w:t>paragraph</w:t>
      </w:r>
      <w:r w:rsidR="002024F3" w:rsidRPr="00DA5E77">
        <w:rPr>
          <w:rFonts w:ascii="Times New Roman" w:hAnsi="Times New Roman" w:cs="Times New Roman"/>
          <w:color w:val="000000"/>
          <w:sz w:val="24"/>
          <w:szCs w:val="24"/>
        </w:rPr>
        <w:t xml:space="preserve"> </w:t>
      </w:r>
      <w:r w:rsidRPr="00DA5E77">
        <w:rPr>
          <w:rFonts w:ascii="Times New Roman" w:hAnsi="Times New Roman" w:cs="Times New Roman"/>
          <w:color w:val="000000"/>
          <w:sz w:val="24"/>
          <w:szCs w:val="24"/>
        </w:rPr>
        <w:t>51(xxxix) and section 61 of the Constitution</w:t>
      </w:r>
      <w:proofErr w:type="gramStart"/>
      <w:r w:rsidRPr="00DA5E77">
        <w:rPr>
          <w:rFonts w:ascii="Times New Roman" w:hAnsi="Times New Roman" w:cs="Times New Roman"/>
          <w:color w:val="000000"/>
          <w:sz w:val="24"/>
          <w:szCs w:val="24"/>
        </w:rPr>
        <w:t>);</w:t>
      </w:r>
      <w:proofErr w:type="gramEnd"/>
    </w:p>
    <w:p w14:paraId="67E71805" w14:textId="4BB7509A" w:rsidR="0044302F" w:rsidRPr="00013623" w:rsidRDefault="0044302F" w:rsidP="0044302F">
      <w:pPr>
        <w:numPr>
          <w:ilvl w:val="0"/>
          <w:numId w:val="10"/>
        </w:numPr>
        <w:spacing w:after="120"/>
        <w:rPr>
          <w:rFonts w:ascii="Times New Roman" w:hAnsi="Times New Roman" w:cs="Times New Roman"/>
          <w:color w:val="000000"/>
          <w:sz w:val="24"/>
          <w:szCs w:val="24"/>
        </w:rPr>
      </w:pPr>
      <w:r w:rsidRPr="00013623">
        <w:rPr>
          <w:rFonts w:ascii="Times New Roman" w:hAnsi="Times New Roman" w:cs="Times New Roman"/>
          <w:color w:val="000000"/>
          <w:sz w:val="24"/>
          <w:szCs w:val="24"/>
        </w:rPr>
        <w:t xml:space="preserve">the external affairs power in </w:t>
      </w:r>
      <w:r w:rsidR="00FD707A">
        <w:rPr>
          <w:rFonts w:ascii="Times New Roman" w:hAnsi="Times New Roman" w:cs="Times New Roman"/>
          <w:color w:val="000000"/>
          <w:sz w:val="24"/>
          <w:szCs w:val="24"/>
        </w:rPr>
        <w:t>paragraph</w:t>
      </w:r>
      <w:r w:rsidR="00FD707A" w:rsidRPr="00013623">
        <w:rPr>
          <w:rFonts w:ascii="Times New Roman" w:hAnsi="Times New Roman" w:cs="Times New Roman"/>
          <w:color w:val="000000"/>
          <w:sz w:val="24"/>
          <w:szCs w:val="24"/>
        </w:rPr>
        <w:t xml:space="preserve"> </w:t>
      </w:r>
      <w:r w:rsidRPr="00013623">
        <w:rPr>
          <w:rFonts w:ascii="Times New Roman" w:hAnsi="Times New Roman" w:cs="Times New Roman"/>
          <w:color w:val="000000"/>
          <w:sz w:val="24"/>
          <w:szCs w:val="24"/>
        </w:rPr>
        <w:t xml:space="preserve">51(xxix) of the </w:t>
      </w:r>
      <w:proofErr w:type="gramStart"/>
      <w:r w:rsidRPr="00013623">
        <w:rPr>
          <w:rFonts w:ascii="Times New Roman" w:hAnsi="Times New Roman" w:cs="Times New Roman"/>
          <w:color w:val="000000"/>
          <w:sz w:val="24"/>
          <w:szCs w:val="24"/>
        </w:rPr>
        <w:t>Constitution;</w:t>
      </w:r>
      <w:proofErr w:type="gramEnd"/>
    </w:p>
    <w:p w14:paraId="279169B6" w14:textId="355015AB" w:rsidR="001268B1" w:rsidRPr="00013623" w:rsidRDefault="001268B1" w:rsidP="001268B1">
      <w:pPr>
        <w:numPr>
          <w:ilvl w:val="0"/>
          <w:numId w:val="10"/>
        </w:numPr>
        <w:spacing w:after="120"/>
        <w:rPr>
          <w:rFonts w:ascii="Times New Roman" w:hAnsi="Times New Roman" w:cs="Times New Roman"/>
          <w:color w:val="000000"/>
          <w:sz w:val="24"/>
          <w:szCs w:val="24"/>
        </w:rPr>
      </w:pPr>
      <w:r w:rsidRPr="00013623">
        <w:rPr>
          <w:rFonts w:ascii="Times New Roman" w:hAnsi="Times New Roman" w:cs="Times New Roman"/>
          <w:sz w:val="24"/>
          <w:szCs w:val="24"/>
        </w:rPr>
        <w:t xml:space="preserve">the races power in </w:t>
      </w:r>
      <w:r w:rsidR="00FD707A">
        <w:rPr>
          <w:rFonts w:ascii="Times New Roman" w:hAnsi="Times New Roman" w:cs="Times New Roman"/>
          <w:sz w:val="24"/>
          <w:szCs w:val="24"/>
        </w:rPr>
        <w:t>paragraph</w:t>
      </w:r>
      <w:r w:rsidR="00FD707A" w:rsidRPr="00013623">
        <w:rPr>
          <w:rFonts w:ascii="Times New Roman" w:hAnsi="Times New Roman" w:cs="Times New Roman"/>
          <w:sz w:val="24"/>
          <w:szCs w:val="24"/>
        </w:rPr>
        <w:t xml:space="preserve"> </w:t>
      </w:r>
      <w:r w:rsidRPr="00013623">
        <w:rPr>
          <w:rFonts w:ascii="Times New Roman" w:hAnsi="Times New Roman" w:cs="Times New Roman"/>
          <w:sz w:val="24"/>
          <w:szCs w:val="24"/>
        </w:rPr>
        <w:t>51(xxvi) of the Constitution;</w:t>
      </w:r>
      <w:r w:rsidR="00572D33">
        <w:rPr>
          <w:rFonts w:ascii="Times New Roman" w:hAnsi="Times New Roman" w:cs="Times New Roman"/>
          <w:sz w:val="24"/>
          <w:szCs w:val="24"/>
        </w:rPr>
        <w:t xml:space="preserve"> and</w:t>
      </w:r>
    </w:p>
    <w:p w14:paraId="4EC63162" w14:textId="2D12D5F9" w:rsidR="002A5F68" w:rsidRDefault="001268B1" w:rsidP="002A5F68">
      <w:pPr>
        <w:numPr>
          <w:ilvl w:val="0"/>
          <w:numId w:val="10"/>
        </w:numPr>
        <w:spacing w:after="120"/>
        <w:rPr>
          <w:rFonts w:ascii="Times New Roman" w:hAnsi="Times New Roman" w:cs="Times New Roman"/>
          <w:color w:val="000000"/>
          <w:sz w:val="24"/>
          <w:szCs w:val="24"/>
        </w:rPr>
      </w:pPr>
      <w:r w:rsidRPr="00C019A2">
        <w:rPr>
          <w:rFonts w:ascii="Times New Roman" w:hAnsi="Times New Roman" w:cs="Times New Roman"/>
          <w:sz w:val="24"/>
          <w:szCs w:val="24"/>
        </w:rPr>
        <w:t xml:space="preserve">the trade and commerce power in </w:t>
      </w:r>
      <w:r w:rsidR="00FD707A" w:rsidRPr="00C019A2">
        <w:rPr>
          <w:rFonts w:ascii="Times New Roman" w:hAnsi="Times New Roman" w:cs="Times New Roman"/>
          <w:sz w:val="24"/>
          <w:szCs w:val="24"/>
        </w:rPr>
        <w:t xml:space="preserve">paragraph </w:t>
      </w:r>
      <w:r w:rsidRPr="00C019A2">
        <w:rPr>
          <w:rFonts w:ascii="Times New Roman" w:hAnsi="Times New Roman" w:cs="Times New Roman"/>
          <w:sz w:val="24"/>
          <w:szCs w:val="24"/>
        </w:rPr>
        <w:t>51(</w:t>
      </w:r>
      <w:proofErr w:type="spellStart"/>
      <w:r w:rsidRPr="00C019A2">
        <w:rPr>
          <w:rFonts w:ascii="Times New Roman" w:hAnsi="Times New Roman" w:cs="Times New Roman"/>
          <w:sz w:val="24"/>
          <w:szCs w:val="24"/>
        </w:rPr>
        <w:t>i</w:t>
      </w:r>
      <w:proofErr w:type="spellEnd"/>
      <w:r w:rsidRPr="00C019A2">
        <w:rPr>
          <w:rFonts w:ascii="Times New Roman" w:hAnsi="Times New Roman" w:cs="Times New Roman"/>
          <w:sz w:val="24"/>
          <w:szCs w:val="24"/>
        </w:rPr>
        <w:t>) of the Constitution.</w:t>
      </w:r>
    </w:p>
    <w:p w14:paraId="46A77A4A" w14:textId="77777777" w:rsidR="002A5F68" w:rsidRDefault="002A5F68">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4F09862" w14:textId="119CB0F6" w:rsidR="002A5F68" w:rsidRPr="00B66B9B" w:rsidRDefault="002A5F68" w:rsidP="00B66B9B">
      <w:pPr>
        <w:spacing w:after="120"/>
        <w:ind w:left="720"/>
        <w:jc w:val="right"/>
        <w:rPr>
          <w:rFonts w:ascii="Times New Roman" w:hAnsi="Times New Roman" w:cs="Times New Roman"/>
          <w:b/>
          <w:bCs/>
          <w:color w:val="000000"/>
          <w:sz w:val="24"/>
          <w:szCs w:val="24"/>
          <w:u w:val="single"/>
        </w:rPr>
      </w:pPr>
      <w:r w:rsidRPr="00B66B9B">
        <w:rPr>
          <w:rFonts w:ascii="Times New Roman" w:hAnsi="Times New Roman" w:cs="Times New Roman"/>
          <w:b/>
          <w:bCs/>
          <w:color w:val="000000"/>
          <w:sz w:val="24"/>
          <w:szCs w:val="24"/>
          <w:u w:val="single"/>
        </w:rPr>
        <w:lastRenderedPageBreak/>
        <w:t>Attachment B</w:t>
      </w:r>
    </w:p>
    <w:p w14:paraId="237F6E14" w14:textId="233D0DF3" w:rsidR="00287BE0" w:rsidRPr="00B66B9B" w:rsidRDefault="00287BE0" w:rsidP="00B66B9B">
      <w:pPr>
        <w:spacing w:after="120"/>
        <w:jc w:val="center"/>
        <w:rPr>
          <w:rFonts w:ascii="Times New Roman" w:hAnsi="Times New Roman" w:cs="Times New Roman"/>
          <w:b/>
          <w:bCs/>
          <w:sz w:val="28"/>
          <w:szCs w:val="28"/>
        </w:rPr>
      </w:pPr>
      <w:r w:rsidRPr="00B66B9B">
        <w:rPr>
          <w:rFonts w:ascii="Times New Roman" w:hAnsi="Times New Roman" w:cs="Times New Roman"/>
          <w:b/>
          <w:bCs/>
          <w:sz w:val="28"/>
          <w:szCs w:val="28"/>
        </w:rPr>
        <w:t>Statement of Compatibility with Human Rights</w:t>
      </w:r>
    </w:p>
    <w:p w14:paraId="6AAEA884" w14:textId="77777777" w:rsidR="00287BE0" w:rsidRPr="00013623" w:rsidRDefault="00287BE0">
      <w:pPr>
        <w:pStyle w:val="paranumbering0"/>
        <w:spacing w:before="0" w:beforeAutospacing="0" w:after="120" w:afterAutospacing="0"/>
        <w:jc w:val="center"/>
      </w:pPr>
    </w:p>
    <w:p w14:paraId="4983B315" w14:textId="77777777" w:rsidR="00287BE0" w:rsidRPr="00013623" w:rsidRDefault="00287BE0">
      <w:pPr>
        <w:pStyle w:val="paranumbering0"/>
        <w:spacing w:before="0" w:beforeAutospacing="0" w:after="120" w:afterAutospacing="0"/>
        <w:jc w:val="center"/>
      </w:pPr>
      <w:r w:rsidRPr="00013623">
        <w:t xml:space="preserve">Prepared in accordance with Part 3 of the </w:t>
      </w:r>
      <w:r w:rsidRPr="00013623">
        <w:rPr>
          <w:i/>
          <w:iCs/>
        </w:rPr>
        <w:t>Human Rights (Parliamentary Scrutiny) Act 2011</w:t>
      </w:r>
    </w:p>
    <w:p w14:paraId="5C7A1261" w14:textId="77777777" w:rsidR="00287BE0" w:rsidRPr="00013623" w:rsidRDefault="00287BE0">
      <w:pPr>
        <w:pStyle w:val="paranumbering0"/>
        <w:spacing w:before="0" w:beforeAutospacing="0" w:after="120" w:afterAutospacing="0"/>
      </w:pPr>
    </w:p>
    <w:p w14:paraId="522006B4" w14:textId="77777777" w:rsidR="00287BE0" w:rsidRPr="00013623" w:rsidRDefault="001268B1" w:rsidP="001268B1">
      <w:pPr>
        <w:pStyle w:val="paranumbering0"/>
        <w:spacing w:before="0" w:beforeAutospacing="0" w:after="120" w:afterAutospacing="0"/>
        <w:jc w:val="center"/>
      </w:pPr>
      <w:r w:rsidRPr="00013623">
        <w:rPr>
          <w:i/>
          <w:iCs/>
          <w:color w:val="000000"/>
        </w:rPr>
        <w:t>Industry Research and Development (Resourcing Australia’s Prosperity Program) Instrument 2024</w:t>
      </w:r>
    </w:p>
    <w:p w14:paraId="31ADFDB6" w14:textId="77777777" w:rsidR="00287BE0" w:rsidRPr="00013623" w:rsidRDefault="00287BE0">
      <w:pPr>
        <w:pStyle w:val="paranumbering0"/>
        <w:spacing w:before="0" w:beforeAutospacing="0" w:after="120" w:afterAutospacing="0"/>
      </w:pPr>
      <w:r w:rsidRPr="00013623">
        <w:t xml:space="preserve">This </w:t>
      </w:r>
      <w:r w:rsidR="001268B1" w:rsidRPr="00013623">
        <w:t>Legislative Instrument</w:t>
      </w:r>
      <w:r w:rsidRPr="00013623">
        <w:t xml:space="preserve"> is compatible with the human rights and freedoms recognised or declared in the international instruments listed in section 3 of the </w:t>
      </w:r>
      <w:r w:rsidRPr="00013623">
        <w:rPr>
          <w:i/>
          <w:iCs/>
        </w:rPr>
        <w:t>Human Rights (Parliamentary Scrutiny) Act 2011.</w:t>
      </w:r>
    </w:p>
    <w:p w14:paraId="7AEAEC2E" w14:textId="77777777" w:rsidR="00287BE0" w:rsidRPr="00013623" w:rsidRDefault="00287BE0">
      <w:pPr>
        <w:pStyle w:val="paranumbering0"/>
        <w:spacing w:before="0" w:beforeAutospacing="0" w:after="120" w:afterAutospacing="0"/>
      </w:pPr>
    </w:p>
    <w:p w14:paraId="2173A257" w14:textId="77777777" w:rsidR="00287BE0" w:rsidRPr="00013623" w:rsidRDefault="00287BE0" w:rsidP="00350EC0">
      <w:pPr>
        <w:pStyle w:val="paranumbering0"/>
        <w:spacing w:before="0" w:beforeAutospacing="0" w:after="0" w:afterAutospacing="0"/>
        <w:rPr>
          <w:b/>
          <w:bCs/>
        </w:rPr>
      </w:pPr>
      <w:r w:rsidRPr="00013623">
        <w:rPr>
          <w:b/>
          <w:bCs/>
        </w:rPr>
        <w:t>Overview of the Legislative Instrument</w:t>
      </w:r>
    </w:p>
    <w:p w14:paraId="6C27A05F" w14:textId="77777777" w:rsidR="00287BE0" w:rsidRPr="00013623" w:rsidRDefault="00287BE0">
      <w:pPr>
        <w:rPr>
          <w:rFonts w:ascii="Times New Roman" w:hAnsi="Times New Roman" w:cs="Times New Roman"/>
          <w:sz w:val="24"/>
          <w:szCs w:val="24"/>
        </w:rPr>
      </w:pPr>
    </w:p>
    <w:p w14:paraId="47404244" w14:textId="77777777" w:rsidR="001268B1" w:rsidRPr="004D014E" w:rsidRDefault="001268B1">
      <w:pPr>
        <w:rPr>
          <w:rFonts w:ascii="Times New Roman" w:hAnsi="Times New Roman" w:cs="Times New Roman"/>
          <w:color w:val="000000"/>
          <w:sz w:val="24"/>
          <w:szCs w:val="24"/>
        </w:rPr>
      </w:pPr>
      <w:r w:rsidRPr="00013623">
        <w:rPr>
          <w:rFonts w:ascii="Times New Roman" w:hAnsi="Times New Roman" w:cs="Times New Roman"/>
          <w:sz w:val="24"/>
          <w:szCs w:val="24"/>
        </w:rPr>
        <w:t xml:space="preserve">The </w:t>
      </w:r>
      <w:r w:rsidRPr="00013623">
        <w:rPr>
          <w:rFonts w:ascii="Times New Roman" w:hAnsi="Times New Roman" w:cs="Times New Roman"/>
          <w:i/>
          <w:iCs/>
          <w:color w:val="000000"/>
          <w:sz w:val="24"/>
          <w:szCs w:val="24"/>
        </w:rPr>
        <w:t xml:space="preserve">Industry Research and Development (Resourcing Australia’s Prosperity Program) Instrument </w:t>
      </w:r>
      <w:r w:rsidRPr="004D014E">
        <w:rPr>
          <w:rFonts w:ascii="Times New Roman" w:hAnsi="Times New Roman" w:cs="Times New Roman"/>
          <w:i/>
          <w:iCs/>
          <w:color w:val="000000"/>
          <w:sz w:val="24"/>
          <w:szCs w:val="24"/>
        </w:rPr>
        <w:t xml:space="preserve">2024 </w:t>
      </w:r>
      <w:r w:rsidRPr="004D014E">
        <w:rPr>
          <w:rFonts w:ascii="Times New Roman" w:hAnsi="Times New Roman" w:cs="Times New Roman"/>
          <w:color w:val="000000"/>
          <w:sz w:val="24"/>
          <w:szCs w:val="24"/>
        </w:rPr>
        <w:t>(the Legislative Instrument) provides legislative authority to commit Commonwealth funding for the Resourcing Australia’s Prosperity Program (the program).</w:t>
      </w:r>
    </w:p>
    <w:p w14:paraId="073AF7F5" w14:textId="77777777" w:rsidR="001268B1" w:rsidRPr="004D014E" w:rsidRDefault="001268B1">
      <w:pPr>
        <w:rPr>
          <w:rFonts w:ascii="Times New Roman" w:hAnsi="Times New Roman" w:cs="Times New Roman"/>
          <w:color w:val="000000"/>
          <w:sz w:val="24"/>
          <w:szCs w:val="24"/>
        </w:rPr>
      </w:pPr>
    </w:p>
    <w:p w14:paraId="7C472FE4" w14:textId="0EBC0C54" w:rsidR="001268B1" w:rsidRPr="00013623" w:rsidRDefault="131420FD" w:rsidP="001268B1">
      <w:pPr>
        <w:spacing w:after="120"/>
        <w:rPr>
          <w:rFonts w:ascii="Times New Roman" w:hAnsi="Times New Roman" w:cs="Times New Roman"/>
          <w:color w:val="000000"/>
          <w:sz w:val="24"/>
          <w:szCs w:val="24"/>
        </w:rPr>
      </w:pPr>
      <w:r w:rsidRPr="70A12196">
        <w:rPr>
          <w:rFonts w:ascii="Times New Roman" w:hAnsi="Times New Roman" w:cs="Times New Roman"/>
          <w:color w:val="000000" w:themeColor="text1"/>
          <w:sz w:val="24"/>
          <w:szCs w:val="24"/>
        </w:rPr>
        <w:t xml:space="preserve">The program will allow Geoscience Australia to </w:t>
      </w:r>
      <w:r w:rsidR="10F2A154" w:rsidRPr="70A12196">
        <w:rPr>
          <w:rFonts w:ascii="Times New Roman" w:hAnsi="Times New Roman" w:cs="Times New Roman"/>
          <w:color w:val="000000" w:themeColor="text1"/>
          <w:sz w:val="24"/>
          <w:szCs w:val="24"/>
        </w:rPr>
        <w:t xml:space="preserve">deliver an improved understanding of Australia’s potential for mineral, </w:t>
      </w:r>
      <w:proofErr w:type="gramStart"/>
      <w:r w:rsidR="10F2A154" w:rsidRPr="70A12196">
        <w:rPr>
          <w:rFonts w:ascii="Times New Roman" w:hAnsi="Times New Roman" w:cs="Times New Roman"/>
          <w:color w:val="000000" w:themeColor="text1"/>
          <w:sz w:val="24"/>
          <w:szCs w:val="24"/>
        </w:rPr>
        <w:t>energy</w:t>
      </w:r>
      <w:proofErr w:type="gramEnd"/>
      <w:r w:rsidR="10F2A154" w:rsidRPr="70A12196">
        <w:rPr>
          <w:rFonts w:ascii="Times New Roman" w:hAnsi="Times New Roman" w:cs="Times New Roman"/>
          <w:color w:val="000000" w:themeColor="text1"/>
          <w:sz w:val="24"/>
          <w:szCs w:val="24"/>
        </w:rPr>
        <w:t xml:space="preserve"> and groundwater resources onshore and offshore. The program will identify the resources for a net zero emissions economy, attract investment, accelerate </w:t>
      </w:r>
      <w:r w:rsidR="45FEA19F" w:rsidRPr="70A12196">
        <w:rPr>
          <w:rFonts w:ascii="Times New Roman" w:hAnsi="Times New Roman" w:cs="Times New Roman"/>
          <w:color w:val="000000" w:themeColor="text1"/>
          <w:sz w:val="24"/>
          <w:szCs w:val="24"/>
        </w:rPr>
        <w:t xml:space="preserve">resource </w:t>
      </w:r>
      <w:r w:rsidR="10F2A154" w:rsidRPr="70A12196">
        <w:rPr>
          <w:rFonts w:ascii="Times New Roman" w:hAnsi="Times New Roman" w:cs="Times New Roman"/>
          <w:color w:val="000000" w:themeColor="text1"/>
          <w:sz w:val="24"/>
          <w:szCs w:val="24"/>
        </w:rPr>
        <w:t>discovery and development, secure Australia’s sovereign capability in critical resources development</w:t>
      </w:r>
      <w:r w:rsidR="09618A9A" w:rsidRPr="70A12196">
        <w:rPr>
          <w:rFonts w:ascii="Times New Roman" w:hAnsi="Times New Roman" w:cs="Times New Roman"/>
          <w:color w:val="000000" w:themeColor="text1"/>
          <w:sz w:val="24"/>
          <w:szCs w:val="24"/>
        </w:rPr>
        <w:t>, support agriculture</w:t>
      </w:r>
      <w:r w:rsidR="10F2A154" w:rsidRPr="70A12196">
        <w:rPr>
          <w:rFonts w:ascii="Times New Roman" w:hAnsi="Times New Roman" w:cs="Times New Roman"/>
          <w:color w:val="000000" w:themeColor="text1"/>
          <w:sz w:val="24"/>
          <w:szCs w:val="24"/>
        </w:rPr>
        <w:t xml:space="preserve"> and support sustainable management of our natural resources. It will also empower First Nations peoples and local community to understand and manage their land and water resources.</w:t>
      </w:r>
    </w:p>
    <w:p w14:paraId="52053F61" w14:textId="77777777" w:rsidR="001268B1" w:rsidRPr="00013623" w:rsidRDefault="001268B1">
      <w:pPr>
        <w:rPr>
          <w:rFonts w:ascii="Times New Roman" w:hAnsi="Times New Roman" w:cs="Times New Roman"/>
          <w:sz w:val="24"/>
          <w:szCs w:val="24"/>
        </w:rPr>
      </w:pPr>
    </w:p>
    <w:p w14:paraId="2E5D4854" w14:textId="77777777" w:rsidR="00287BE0" w:rsidRPr="00013623" w:rsidRDefault="00287BE0">
      <w:pPr>
        <w:pStyle w:val="paranumbering0"/>
        <w:spacing w:before="0" w:beforeAutospacing="0" w:after="0" w:afterAutospacing="0"/>
        <w:rPr>
          <w:b/>
          <w:bCs/>
        </w:rPr>
      </w:pPr>
      <w:r w:rsidRPr="00013623">
        <w:rPr>
          <w:b/>
          <w:bCs/>
        </w:rPr>
        <w:t>Human rights implications</w:t>
      </w:r>
    </w:p>
    <w:p w14:paraId="4BAC7B0F" w14:textId="77777777" w:rsidR="00287BE0" w:rsidRPr="00013623" w:rsidRDefault="00287BE0">
      <w:pPr>
        <w:pStyle w:val="paranumbering0"/>
        <w:spacing w:before="0" w:beforeAutospacing="0" w:after="120" w:afterAutospacing="0"/>
      </w:pPr>
    </w:p>
    <w:p w14:paraId="32F9BF4C" w14:textId="77777777" w:rsidR="00287BE0" w:rsidRPr="00013623" w:rsidRDefault="00EB7B2C">
      <w:pPr>
        <w:pStyle w:val="paranumbering0"/>
        <w:spacing w:before="0" w:beforeAutospacing="0" w:after="0" w:afterAutospacing="0"/>
      </w:pPr>
      <w:r w:rsidRPr="00013623">
        <w:t xml:space="preserve">This Legislative Instrument engages the rights to equality and non-discrimination because it assists the interests of a particular group in the community who could be viewed as disadvantaged, being First Nations Australians. </w:t>
      </w:r>
    </w:p>
    <w:p w14:paraId="322CA013" w14:textId="77777777" w:rsidR="00EB7B2C" w:rsidRPr="00013623" w:rsidRDefault="00EB7B2C">
      <w:pPr>
        <w:pStyle w:val="paranumbering0"/>
        <w:spacing w:before="0" w:beforeAutospacing="0" w:after="0" w:afterAutospacing="0"/>
      </w:pPr>
    </w:p>
    <w:p w14:paraId="7505CE18" w14:textId="77777777" w:rsidR="00EB7B2C" w:rsidRDefault="00EB7B2C">
      <w:pPr>
        <w:pStyle w:val="paranumbering0"/>
        <w:spacing w:before="0" w:beforeAutospacing="0" w:after="0" w:afterAutospacing="0"/>
        <w:rPr>
          <w:u w:val="single"/>
        </w:rPr>
      </w:pPr>
      <w:r w:rsidRPr="00013623">
        <w:rPr>
          <w:u w:val="single"/>
        </w:rPr>
        <w:t>Rights to equality and non-discrimination</w:t>
      </w:r>
    </w:p>
    <w:p w14:paraId="7AC05CB6" w14:textId="77777777" w:rsidR="001603D2" w:rsidRPr="00013623" w:rsidRDefault="001603D2">
      <w:pPr>
        <w:pStyle w:val="paranumbering0"/>
        <w:spacing w:before="0" w:beforeAutospacing="0" w:after="0" w:afterAutospacing="0"/>
        <w:rPr>
          <w:u w:val="single"/>
        </w:rPr>
      </w:pPr>
    </w:p>
    <w:p w14:paraId="40B1A4D5" w14:textId="77777777" w:rsidR="00EB7B2C" w:rsidRPr="00013623" w:rsidRDefault="00EB7B2C">
      <w:pPr>
        <w:pStyle w:val="paranumbering0"/>
        <w:spacing w:before="0" w:beforeAutospacing="0" w:after="0" w:afterAutospacing="0"/>
      </w:pPr>
      <w:r w:rsidRPr="00013623">
        <w:t xml:space="preserve">Article 2(1) of the </w:t>
      </w:r>
      <w:r w:rsidRPr="00013623">
        <w:rPr>
          <w:i/>
          <w:iCs/>
        </w:rPr>
        <w:t>International Covenant on Civil and Political Rights</w:t>
      </w:r>
      <w:r w:rsidRPr="00013623">
        <w:t>, opened for signature 19 December 1966, 999 UNTS 171 (entered into force in full on 28 January 1993) (</w:t>
      </w:r>
      <w:r w:rsidRPr="00013623">
        <w:rPr>
          <w:b/>
          <w:bCs/>
        </w:rPr>
        <w:t>ICCPR</w:t>
      </w:r>
      <w:r w:rsidRPr="00013623">
        <w:t xml:space="preserve">), and Article 2(2) of the </w:t>
      </w:r>
      <w:r w:rsidRPr="00013623">
        <w:rPr>
          <w:i/>
          <w:iCs/>
        </w:rPr>
        <w:t>International Covenant on Economic, Social and Cultural Rights</w:t>
      </w:r>
      <w:r w:rsidRPr="00013623">
        <w:t>, opened for signature 16 December 1966</w:t>
      </w:r>
      <w:r w:rsidR="0077652E" w:rsidRPr="00013623">
        <w:t>, 999 UNTS 3 (entered into force 3 January 1976) (</w:t>
      </w:r>
      <w:r w:rsidR="0077652E" w:rsidRPr="00013623">
        <w:rPr>
          <w:b/>
          <w:bCs/>
        </w:rPr>
        <w:t>ICESCR</w:t>
      </w:r>
      <w:r w:rsidR="0077652E" w:rsidRPr="00013623">
        <w:t xml:space="preserve">) require State Parties to respect and ensure to all individuals the rights recognised in the Covenants without distinction of any kind, such as race, colour, sex, language, religion, political or other opinion, national or social origin, property, birth or other status. The right to equal protection of the law is recognised in Article 26 of the ICCPR. Article 2(2) of the ICESCR, and Articles 2(1) and 5 of the </w:t>
      </w:r>
      <w:r w:rsidR="0077652E" w:rsidRPr="001603D2">
        <w:rPr>
          <w:i/>
          <w:iCs/>
        </w:rPr>
        <w:t>International Convention on the Elimination of All Forms of Racial Discrimination</w:t>
      </w:r>
      <w:r w:rsidR="0077652E" w:rsidRPr="00013623">
        <w:t>, opened for signature 21 December 1965, 660 UNTS 195 (entered into force 4 January 1969) (</w:t>
      </w:r>
      <w:r w:rsidR="0077652E" w:rsidRPr="00EB64C0">
        <w:rPr>
          <w:b/>
          <w:bCs/>
        </w:rPr>
        <w:t>CERD</w:t>
      </w:r>
      <w:r w:rsidR="0077652E" w:rsidRPr="00013623">
        <w:t xml:space="preserve">) prohibit discriminations </w:t>
      </w:r>
      <w:proofErr w:type="gramStart"/>
      <w:r w:rsidR="0077652E" w:rsidRPr="00013623">
        <w:t>on the basis of</w:t>
      </w:r>
      <w:proofErr w:type="gramEnd"/>
      <w:r w:rsidR="0077652E" w:rsidRPr="00013623">
        <w:t xml:space="preserve"> race.</w:t>
      </w:r>
    </w:p>
    <w:p w14:paraId="7A0D5CD0" w14:textId="77777777" w:rsidR="0077652E" w:rsidRPr="00013623" w:rsidRDefault="0077652E">
      <w:pPr>
        <w:pStyle w:val="paranumbering0"/>
        <w:spacing w:before="0" w:beforeAutospacing="0" w:after="0" w:afterAutospacing="0"/>
      </w:pPr>
    </w:p>
    <w:p w14:paraId="6DAE84CE" w14:textId="77777777" w:rsidR="0077652E" w:rsidRPr="004D014E" w:rsidRDefault="0077652E">
      <w:pPr>
        <w:pStyle w:val="paranumbering0"/>
        <w:spacing w:before="0" w:beforeAutospacing="0" w:after="0" w:afterAutospacing="0"/>
      </w:pPr>
      <w:r w:rsidRPr="00013623">
        <w:lastRenderedPageBreak/>
        <w:t>Differences in treatment will not amount to prohibited discrimination (that is, they will be legitimate) if the reasons for such differentiation are reasonable and objective and if the aim is to achieve a purpose which is legitimate. The Committee on the Elimination of Racial</w:t>
      </w:r>
      <w:r w:rsidR="00EB64C0">
        <w:t xml:space="preserve"> </w:t>
      </w:r>
      <w:r w:rsidRPr="00013623">
        <w:t xml:space="preserve">Discrimination, </w:t>
      </w:r>
      <w:r w:rsidRPr="00013623">
        <w:rPr>
          <w:i/>
          <w:iCs/>
        </w:rPr>
        <w:t>General Recommendation No. 32 : The meaning and scope of special measures in the International Convention on the Elimination of Racial Discrimination, 75</w:t>
      </w:r>
      <w:r w:rsidRPr="00013623">
        <w:rPr>
          <w:i/>
          <w:iCs/>
          <w:vertAlign w:val="superscript"/>
        </w:rPr>
        <w:t>th</w:t>
      </w:r>
      <w:r w:rsidRPr="00013623">
        <w:rPr>
          <w:i/>
          <w:iCs/>
        </w:rPr>
        <w:t xml:space="preserve"> session</w:t>
      </w:r>
      <w:r w:rsidRPr="00013623">
        <w:t xml:space="preserve">, UN Doc CERD/C/GC/32 (24 September 2009), paragraph 8, recognises that ‘non-discrimination’ does not necessitate uniform treatment when there are significant differences in situation </w:t>
      </w:r>
      <w:r w:rsidRPr="004D014E">
        <w:t xml:space="preserve">between one person or group and another, or, in other words, if there is an objective and reasonable justification for differential treatment. </w:t>
      </w:r>
    </w:p>
    <w:p w14:paraId="5B29CCBE" w14:textId="77777777" w:rsidR="0077652E" w:rsidRPr="004D014E" w:rsidRDefault="0077652E">
      <w:pPr>
        <w:pStyle w:val="paranumbering0"/>
        <w:spacing w:before="0" w:beforeAutospacing="0" w:after="0" w:afterAutospacing="0"/>
      </w:pPr>
    </w:p>
    <w:p w14:paraId="6DA0833E" w14:textId="77777777" w:rsidR="0077652E" w:rsidRPr="004D014E" w:rsidRDefault="0077652E">
      <w:pPr>
        <w:pStyle w:val="paranumbering0"/>
        <w:spacing w:before="0" w:beforeAutospacing="0" w:after="0" w:afterAutospacing="0"/>
      </w:pPr>
      <w:r w:rsidRPr="004D014E">
        <w:t>This Legislative Instrument engages the rights to equality and non-discrimination because it supports the interests of First Nations Australians therefore it applies to a certain group of persons within the population and draws a distinction between persons who are First Nations Australians.</w:t>
      </w:r>
    </w:p>
    <w:p w14:paraId="41D7C2C8" w14:textId="77777777" w:rsidR="0077652E" w:rsidRPr="004D014E" w:rsidRDefault="0077652E">
      <w:pPr>
        <w:pStyle w:val="paranumbering0"/>
        <w:spacing w:before="0" w:beforeAutospacing="0" w:after="0" w:afterAutospacing="0"/>
      </w:pPr>
    </w:p>
    <w:p w14:paraId="0D5843CF" w14:textId="5F31A564" w:rsidR="0077652E" w:rsidRPr="004D014E" w:rsidRDefault="0077652E">
      <w:pPr>
        <w:pStyle w:val="paranumbering0"/>
        <w:spacing w:before="0" w:beforeAutospacing="0" w:after="0" w:afterAutospacing="0"/>
      </w:pPr>
      <w:r w:rsidRPr="004D014E">
        <w:t xml:space="preserve">Although, prima facie, this program </w:t>
      </w:r>
      <w:r w:rsidR="001D1345" w:rsidRPr="009B6B2D">
        <w:t xml:space="preserve">specifically identifies </w:t>
      </w:r>
      <w:r w:rsidR="004D014E" w:rsidRPr="009B6B2D">
        <w:t>that it will work with First Nations people including to empower them to understand and manage their land and water resources</w:t>
      </w:r>
      <w:r w:rsidRPr="004D014E">
        <w:t xml:space="preserve">, the purpose which the program aims to achieve is legitimate and the reasons for differentiation are reasonable and objective. </w:t>
      </w:r>
    </w:p>
    <w:p w14:paraId="0E2E04D0" w14:textId="77777777" w:rsidR="0077652E" w:rsidRPr="004D014E" w:rsidRDefault="0077652E">
      <w:pPr>
        <w:pStyle w:val="paranumbering0"/>
        <w:spacing w:before="0" w:beforeAutospacing="0" w:after="0" w:afterAutospacing="0"/>
      </w:pPr>
    </w:p>
    <w:p w14:paraId="167B6446" w14:textId="4091B0C8" w:rsidR="0077652E" w:rsidRPr="00013623" w:rsidRDefault="496D1069" w:rsidP="70A12196">
      <w:pPr>
        <w:pStyle w:val="paranumbering0"/>
        <w:spacing w:before="0" w:beforeAutospacing="0" w:after="0" w:afterAutospacing="0"/>
      </w:pPr>
      <w:r>
        <w:t xml:space="preserve">This program positively draws upon each of the above principles and statements of International Humans Rights instruments through the various measures and initiatives set out above. This program aims to promote rights to equality and non-discrimination </w:t>
      </w:r>
      <w:r w:rsidR="2B19B496">
        <w:t>by providing</w:t>
      </w:r>
      <w:r>
        <w:t xml:space="preserve"> detailed data about the resource potential of </w:t>
      </w:r>
      <w:r w:rsidR="00E04B28">
        <w:t>I</w:t>
      </w:r>
      <w:r w:rsidR="35C5C147">
        <w:t xml:space="preserve">ndigenous </w:t>
      </w:r>
      <w:r w:rsidR="2B19B496">
        <w:t xml:space="preserve">Estate. </w:t>
      </w:r>
    </w:p>
    <w:p w14:paraId="16C29A90" w14:textId="77777777" w:rsidR="00287BE0" w:rsidRPr="00013623" w:rsidRDefault="00287BE0">
      <w:pPr>
        <w:pStyle w:val="paranumbering0"/>
        <w:spacing w:before="0" w:beforeAutospacing="0" w:after="0" w:afterAutospacing="0"/>
      </w:pPr>
    </w:p>
    <w:p w14:paraId="42B04494" w14:textId="77777777" w:rsidR="00287BE0" w:rsidRPr="00013623" w:rsidRDefault="00287BE0">
      <w:pPr>
        <w:rPr>
          <w:rFonts w:ascii="Times New Roman" w:hAnsi="Times New Roman" w:cs="Times New Roman"/>
          <w:b/>
          <w:bCs/>
          <w:sz w:val="24"/>
          <w:szCs w:val="24"/>
        </w:rPr>
      </w:pPr>
      <w:r w:rsidRPr="00013623">
        <w:rPr>
          <w:rFonts w:ascii="Times New Roman" w:hAnsi="Times New Roman" w:cs="Times New Roman"/>
          <w:b/>
          <w:bCs/>
          <w:sz w:val="24"/>
          <w:szCs w:val="24"/>
        </w:rPr>
        <w:t>Conclusion</w:t>
      </w:r>
    </w:p>
    <w:p w14:paraId="7F43B96E" w14:textId="77777777" w:rsidR="00287BE0" w:rsidRPr="00013623" w:rsidRDefault="00287BE0">
      <w:pPr>
        <w:pStyle w:val="paranumbering0"/>
        <w:spacing w:before="0" w:beforeAutospacing="0" w:after="0" w:afterAutospacing="0"/>
      </w:pPr>
    </w:p>
    <w:p w14:paraId="642D9EBB" w14:textId="77777777" w:rsidR="00287BE0" w:rsidRPr="00013623" w:rsidRDefault="007C3E05">
      <w:pPr>
        <w:pStyle w:val="paranumbering0"/>
        <w:spacing w:before="0" w:beforeAutospacing="0" w:after="120" w:afterAutospacing="0"/>
      </w:pPr>
      <w:r w:rsidRPr="00013623">
        <w:t>This Legislative Instrument is compatible with human rights as it promotes and recognises the rights to equality and non-discrimination provisions of international human rights instruments and conventions and does not raise any human rights issues.</w:t>
      </w:r>
    </w:p>
    <w:p w14:paraId="452F49D2" w14:textId="77777777" w:rsidR="00287BE0" w:rsidRPr="00013623" w:rsidRDefault="00287BE0">
      <w:pPr>
        <w:pStyle w:val="paranumbering0"/>
        <w:spacing w:before="0" w:beforeAutospacing="0" w:after="120" w:afterAutospacing="0"/>
      </w:pPr>
    </w:p>
    <w:p w14:paraId="422FC79E" w14:textId="77777777" w:rsidR="00287BE0" w:rsidRPr="00013623" w:rsidRDefault="007C3E05">
      <w:pPr>
        <w:pStyle w:val="paranumbering0"/>
        <w:spacing w:before="0" w:beforeAutospacing="0" w:after="120" w:afterAutospacing="0"/>
        <w:jc w:val="center"/>
        <w:rPr>
          <w:b/>
          <w:bCs/>
        </w:rPr>
      </w:pPr>
      <w:r w:rsidRPr="00013623">
        <w:rPr>
          <w:b/>
          <w:bCs/>
        </w:rPr>
        <w:t>The Hon Madeleine King MP</w:t>
      </w:r>
    </w:p>
    <w:p w14:paraId="3E09D96E" w14:textId="77777777" w:rsidR="00287BE0" w:rsidRPr="00013623" w:rsidRDefault="00287BE0">
      <w:pPr>
        <w:pStyle w:val="paranumbering0"/>
        <w:spacing w:before="0" w:beforeAutospacing="0" w:after="120" w:afterAutospacing="0"/>
        <w:jc w:val="center"/>
      </w:pPr>
      <w:r w:rsidRPr="00013623">
        <w:rPr>
          <w:b/>
          <w:bCs/>
        </w:rPr>
        <w:t xml:space="preserve">Minister for </w:t>
      </w:r>
      <w:r w:rsidR="007C3E05" w:rsidRPr="00013623">
        <w:rPr>
          <w:b/>
          <w:bCs/>
        </w:rPr>
        <w:t>Resources</w:t>
      </w:r>
    </w:p>
    <w:sectPr w:rsidR="00287BE0" w:rsidRPr="00013623" w:rsidSect="004F4FC1">
      <w:headerReference w:type="default" r:id="rId12"/>
      <w:footerReference w:type="default" r:id="rId13"/>
      <w:headerReference w:type="firs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0623" w14:textId="77777777" w:rsidR="005B0A17" w:rsidRDefault="005B0A17">
      <w:pPr>
        <w:rPr>
          <w:rFonts w:ascii="Times New Roman" w:hAnsi="Times New Roman" w:cs="Times New Roman"/>
        </w:rPr>
      </w:pPr>
      <w:r>
        <w:rPr>
          <w:rFonts w:ascii="Times New Roman" w:hAnsi="Times New Roman" w:cs="Times New Roman"/>
        </w:rPr>
        <w:separator/>
      </w:r>
    </w:p>
  </w:endnote>
  <w:endnote w:type="continuationSeparator" w:id="0">
    <w:p w14:paraId="758BF841" w14:textId="77777777" w:rsidR="005B0A17" w:rsidRDefault="005B0A1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722647"/>
      <w:docPartObj>
        <w:docPartGallery w:val="Page Numbers (Bottom of Page)"/>
        <w:docPartUnique/>
      </w:docPartObj>
    </w:sdtPr>
    <w:sdtEndPr>
      <w:rPr>
        <w:rFonts w:ascii="Times New Roman" w:hAnsi="Times New Roman" w:cs="Times New Roman"/>
        <w:noProof/>
      </w:rPr>
    </w:sdtEndPr>
    <w:sdtContent>
      <w:p w14:paraId="47C39E19" w14:textId="3336EBEB" w:rsidR="004F4FC1" w:rsidRPr="004F4FC1" w:rsidRDefault="004F4FC1">
        <w:pPr>
          <w:pStyle w:val="Footer"/>
          <w:jc w:val="center"/>
          <w:rPr>
            <w:rFonts w:ascii="Times New Roman" w:hAnsi="Times New Roman" w:cs="Times New Roman"/>
          </w:rPr>
        </w:pPr>
        <w:r w:rsidRPr="004F4FC1">
          <w:rPr>
            <w:rFonts w:ascii="Times New Roman" w:hAnsi="Times New Roman" w:cs="Times New Roman"/>
          </w:rPr>
          <w:fldChar w:fldCharType="begin"/>
        </w:r>
        <w:r w:rsidRPr="004F4FC1">
          <w:rPr>
            <w:rFonts w:ascii="Times New Roman" w:hAnsi="Times New Roman" w:cs="Times New Roman"/>
          </w:rPr>
          <w:instrText xml:space="preserve"> PAGE   \* MERGEFORMAT </w:instrText>
        </w:r>
        <w:r w:rsidRPr="004F4FC1">
          <w:rPr>
            <w:rFonts w:ascii="Times New Roman" w:hAnsi="Times New Roman" w:cs="Times New Roman"/>
          </w:rPr>
          <w:fldChar w:fldCharType="separate"/>
        </w:r>
        <w:r w:rsidRPr="004F4FC1">
          <w:rPr>
            <w:rFonts w:ascii="Times New Roman" w:hAnsi="Times New Roman" w:cs="Times New Roman"/>
            <w:noProof/>
          </w:rPr>
          <w:t>2</w:t>
        </w:r>
        <w:r w:rsidRPr="004F4FC1">
          <w:rPr>
            <w:rFonts w:ascii="Times New Roman" w:hAnsi="Times New Roman" w:cs="Times New Roman"/>
            <w:noProof/>
          </w:rPr>
          <w:fldChar w:fldCharType="end"/>
        </w:r>
      </w:p>
    </w:sdtContent>
  </w:sdt>
  <w:p w14:paraId="200B456A" w14:textId="77777777" w:rsidR="004F4FC1" w:rsidRDefault="004F4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FFAB" w14:textId="77777777" w:rsidR="005B0A17" w:rsidRDefault="005B0A17">
      <w:pPr>
        <w:rPr>
          <w:rFonts w:ascii="Times New Roman" w:hAnsi="Times New Roman" w:cs="Times New Roman"/>
        </w:rPr>
      </w:pPr>
      <w:r>
        <w:rPr>
          <w:rFonts w:ascii="Times New Roman" w:hAnsi="Times New Roman" w:cs="Times New Roman"/>
        </w:rPr>
        <w:separator/>
      </w:r>
    </w:p>
  </w:footnote>
  <w:footnote w:type="continuationSeparator" w:id="0">
    <w:p w14:paraId="4F5DD4D5" w14:textId="77777777" w:rsidR="005B0A17" w:rsidRDefault="005B0A1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3AFA" w14:textId="2FED903F" w:rsidR="00955FB3" w:rsidRDefault="0057755C">
    <w:pPr>
      <w:pStyle w:val="Header"/>
    </w:pPr>
    <w:r>
      <w:rPr>
        <w:noProof/>
      </w:rPr>
      <mc:AlternateContent>
        <mc:Choice Requires="wps">
          <w:drawing>
            <wp:anchor distT="0" distB="0" distL="114300" distR="114300" simplePos="0" relativeHeight="251673600" behindDoc="0" locked="0" layoutInCell="1" allowOverlap="1" wp14:anchorId="797A9BB1" wp14:editId="1C704FA7">
              <wp:simplePos x="0" y="0"/>
              <wp:positionH relativeFrom="column">
                <wp:posOffset>-914400</wp:posOffset>
              </wp:positionH>
              <wp:positionV relativeFrom="paragraph">
                <wp:posOffset>-449580</wp:posOffset>
              </wp:positionV>
              <wp:extent cx="1397000" cy="457200"/>
              <wp:effectExtent l="0" t="0" r="0" b="0"/>
              <wp:wrapNone/>
              <wp:docPr id="718140024" name="janusSEAL SC Heade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003989" w14:textId="37CCC72C" w:rsidR="0057755C" w:rsidRPr="00144306" w:rsidRDefault="0057755C">
                          <w:pP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7A9BB1" id="_x0000_t202" coordsize="21600,21600" o:spt="202" path="m,l,21600r21600,l21600,xe">
              <v:stroke joinstyle="miter"/>
              <v:path gradientshapeok="t" o:connecttype="rect"/>
            </v:shapetype>
            <v:shape id="janusSEAL SC Header" o:spid="_x0000_s1026" type="#_x0000_t202" style="position:absolute;margin-left:-1in;margin-top:-35.4pt;width:110pt;height:36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AfdTwe3gAAAAkBAAAPAAAAZHJzL2Rvd25yZXYueG1sTI9BT8MwDIXvSPyHyEjctnRj2lBp&#10;OqFJ7II4bCC4uo3XVm2cqsm6wq+fOcHN9nt6/l62nVynRhpC49nAYp6AIi69bbgy8PH+MnsEFSKy&#10;xc4zGfimANv89ibD1PoLH2g8xkpJCIcUDdQx9qnWoazJYZj7nli0kx8cRlmHStsBLxLuOr1MkrV2&#10;2LB8qLGnXU1lezw7A2/4uY/j1Jb7tj/ZL9cXu4efV2Pu76bnJ1CRpvhnhl98QYdcmAp/ZhtUZ2C2&#10;WK2kTJRpk0gJsWzWcijEugSdZ/p/g/wKAAD//wMAUEsBAi0AFAAGAAgAAAAhALaDOJL+AAAA4QEA&#10;ABMAAAAAAAAAAAAAAAAAAAAAAFtDb250ZW50X1R5cGVzXS54bWxQSwECLQAUAAYACAAAACEAOP0h&#10;/9YAAACUAQAACwAAAAAAAAAAAAAAAAAvAQAAX3JlbHMvLnJlbHNQSwECLQAUAAYACAAAACEAXHX0&#10;WBECAAAqBAAADgAAAAAAAAAAAAAAAAAuAgAAZHJzL2Uyb0RvYy54bWxQSwECLQAUAAYACAAAACEA&#10;H3U8Ht4AAAAJAQAADwAAAAAAAAAAAAAAAABrBAAAZHJzL2Rvd25yZXYueG1sUEsFBgAAAAAEAAQA&#10;8wAAAHYFAAAAAA==&#10;" filled="f" stroked="f" strokeweight=".5pt">
              <v:textbox style="mso-fit-shape-to-text:t">
                <w:txbxContent>
                  <w:p w14:paraId="31003989" w14:textId="37CCC72C" w:rsidR="0057755C" w:rsidRPr="00144306" w:rsidRDefault="0057755C">
                    <w:pPr>
                      <w:rPr>
                        <w:rFonts w:ascii="Arial" w:hAnsi="Arial" w:cs="Arial"/>
                        <w:b/>
                        <w:color w:val="FF0000"/>
                        <w:sz w:val="24"/>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8D3D" w14:textId="181E0F76" w:rsidR="00955FB3" w:rsidRDefault="00955FB3">
    <w:pPr>
      <w:pStyle w:val="Header"/>
      <w:jc w:val="right"/>
      <w:rPr>
        <w:b/>
        <w:bCs/>
        <w:u w:val="single"/>
      </w:rPr>
    </w:pPr>
    <w:r>
      <w:rPr>
        <w:b/>
        <w:bCs/>
        <w:u w:val="single"/>
      </w:rPr>
      <w:t>Attachment B</w:t>
    </w:r>
  </w:p>
  <w:p w14:paraId="164E1D9A" w14:textId="77777777" w:rsidR="00955FB3" w:rsidRDefault="00955F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5079"/>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8191A"/>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2CE6918"/>
    <w:multiLevelType w:val="multilevel"/>
    <w:tmpl w:val="FFFFFFFF"/>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3" w15:restartNumberingAfterBreak="0">
    <w:nsid w:val="58521CAA"/>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D7582B"/>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6A67DF"/>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845DB6"/>
    <w:multiLevelType w:val="multilevel"/>
    <w:tmpl w:val="FFFFFFFF"/>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CC93C0A"/>
    <w:multiLevelType w:val="multilevel"/>
    <w:tmpl w:val="FFFFFFFF"/>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8" w15:restartNumberingAfterBreak="0">
    <w:nsid w:val="6FF7250A"/>
    <w:multiLevelType w:val="multilevel"/>
    <w:tmpl w:val="FFFFFFFF"/>
    <w:lvl w:ilvl="0">
      <w:start w:val="1"/>
      <w:numFmt w:val="bullet"/>
      <w:lvlText w:val=""/>
      <w:lvlJc w:val="left"/>
      <w:pPr>
        <w:tabs>
          <w:tab w:val="num" w:pos="357"/>
        </w:tabs>
        <w:ind w:left="720" w:hanging="363"/>
      </w:pPr>
      <w:rPr>
        <w:rFonts w:ascii="Symbol" w:hAnsi="Symbol" w:hint="default"/>
        <w:b w:val="0"/>
        <w:i w:val="0"/>
        <w:caps w:val="0"/>
        <w:smallCaps w:val="0"/>
        <w:strike w:val="0"/>
        <w:dstrike w:val="0"/>
        <w:vanish w:val="0"/>
        <w:color w:val="auto"/>
        <w:spacing w:val="0"/>
        <w:kern w:val="0"/>
        <w:position w:val="0"/>
        <w:sz w:val="20"/>
        <w:u w:val="none"/>
        <w:effect w:val="none"/>
        <w:vertAlign w:val="baseline"/>
      </w:rPr>
    </w:lvl>
    <w:lvl w:ilvl="1">
      <w:numFmt w:val="bullet"/>
      <w:lvlText w:val="–"/>
      <w:lvlJc w:val="left"/>
      <w:pPr>
        <w:tabs>
          <w:tab w:val="num" w:pos="567"/>
        </w:tabs>
        <w:ind w:left="567" w:hanging="284"/>
      </w:pPr>
      <w:rPr>
        <w:rFonts w:ascii="Times New Roman" w:hAnsi="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ascii="Times New Roman" w:hAnsi="Times New Roman" w:cs="Times New Roman" w:hint="default"/>
        <w:b w:val="0"/>
        <w:bCs w:val="0"/>
        <w:i w:val="0"/>
        <w:iCs w:val="0"/>
      </w:rPr>
    </w:lvl>
    <w:lvl w:ilvl="4">
      <w:start w:val="1"/>
      <w:numFmt w:val="lowerLetter"/>
      <w:lvlText w:val="(%5)"/>
      <w:lvlJc w:val="left"/>
      <w:pPr>
        <w:tabs>
          <w:tab w:val="num" w:pos="1800"/>
        </w:tabs>
        <w:ind w:left="1800" w:hanging="360"/>
      </w:pPr>
      <w:rPr>
        <w:rFonts w:ascii="Times New Roman" w:hAnsi="Times New Roman" w:cs="Times New Roman" w:hint="default"/>
        <w:b w:val="0"/>
        <w:bCs w:val="0"/>
        <w:i w:val="0"/>
        <w:iCs w:val="0"/>
      </w:rPr>
    </w:lvl>
    <w:lvl w:ilvl="5">
      <w:start w:val="1"/>
      <w:numFmt w:val="lowerRoman"/>
      <w:lvlText w:val="(%6)"/>
      <w:lvlJc w:val="left"/>
      <w:pPr>
        <w:tabs>
          <w:tab w:val="num" w:pos="2160"/>
        </w:tabs>
        <w:ind w:left="2160" w:hanging="360"/>
      </w:pPr>
      <w:rPr>
        <w:rFonts w:ascii="Times New Roman" w:hAnsi="Times New Roman" w:cs="Times New Roman" w:hint="default"/>
        <w:b w:val="0"/>
        <w:bCs w:val="0"/>
        <w:i w:val="0"/>
        <w:iCs w:val="0"/>
      </w:rPr>
    </w:lvl>
    <w:lvl w:ilvl="6">
      <w:start w:val="1"/>
      <w:numFmt w:val="decimal"/>
      <w:lvlText w:val="%7."/>
      <w:lvlJc w:val="left"/>
      <w:pPr>
        <w:tabs>
          <w:tab w:val="num" w:pos="2520"/>
        </w:tabs>
        <w:ind w:left="2520" w:hanging="360"/>
      </w:pPr>
      <w:rPr>
        <w:rFonts w:ascii="Times New Roman" w:hAnsi="Times New Roman" w:cs="Times New Roman"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b w:val="0"/>
        <w:bCs w:val="0"/>
        <w:i w:val="0"/>
        <w:iCs w:val="0"/>
      </w:rPr>
    </w:lvl>
    <w:lvl w:ilvl="8">
      <w:start w:val="1"/>
      <w:numFmt w:val="lowerRoman"/>
      <w:lvlText w:val="%9."/>
      <w:lvlJc w:val="left"/>
      <w:pPr>
        <w:tabs>
          <w:tab w:val="num" w:pos="3240"/>
        </w:tabs>
        <w:ind w:left="3240" w:hanging="360"/>
      </w:pPr>
      <w:rPr>
        <w:rFonts w:ascii="Times New Roman" w:hAnsi="Times New Roman" w:cs="Times New Roman" w:hint="default"/>
        <w:b w:val="0"/>
        <w:bCs w:val="0"/>
        <w:i w:val="0"/>
        <w:iCs w:val="0"/>
      </w:rPr>
    </w:lvl>
  </w:abstractNum>
  <w:abstractNum w:abstractNumId="9" w15:restartNumberingAfterBreak="0">
    <w:nsid w:val="75E931D6"/>
    <w:multiLevelType w:val="multilevel"/>
    <w:tmpl w:val="FFFFFFFF"/>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41028488">
    <w:abstractNumId w:val="1"/>
  </w:num>
  <w:num w:numId="2" w16cid:durableId="515073317">
    <w:abstractNumId w:val="2"/>
  </w:num>
  <w:num w:numId="3" w16cid:durableId="1058286600">
    <w:abstractNumId w:val="7"/>
  </w:num>
  <w:num w:numId="4" w16cid:durableId="1424187301">
    <w:abstractNumId w:val="8"/>
  </w:num>
  <w:num w:numId="5" w16cid:durableId="919025394">
    <w:abstractNumId w:val="9"/>
  </w:num>
  <w:num w:numId="6" w16cid:durableId="2022388089">
    <w:abstractNumId w:val="6"/>
  </w:num>
  <w:num w:numId="7" w16cid:durableId="1295797117">
    <w:abstractNumId w:val="3"/>
  </w:num>
  <w:num w:numId="8" w16cid:durableId="1186097175">
    <w:abstractNumId w:val="5"/>
  </w:num>
  <w:num w:numId="9" w16cid:durableId="1812750523">
    <w:abstractNumId w:val="0"/>
  </w:num>
  <w:num w:numId="10" w16cid:durableId="220795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23"/>
    <w:rsid w:val="00007779"/>
    <w:rsid w:val="00013623"/>
    <w:rsid w:val="00021B7D"/>
    <w:rsid w:val="00034217"/>
    <w:rsid w:val="0005006C"/>
    <w:rsid w:val="00055B97"/>
    <w:rsid w:val="00064D98"/>
    <w:rsid w:val="00067071"/>
    <w:rsid w:val="000759B2"/>
    <w:rsid w:val="00084A02"/>
    <w:rsid w:val="0009433F"/>
    <w:rsid w:val="000B08E3"/>
    <w:rsid w:val="000B626B"/>
    <w:rsid w:val="000B712D"/>
    <w:rsid w:val="000B75BA"/>
    <w:rsid w:val="000E126F"/>
    <w:rsid w:val="000E1AC9"/>
    <w:rsid w:val="00100308"/>
    <w:rsid w:val="0010311F"/>
    <w:rsid w:val="0012543A"/>
    <w:rsid w:val="001268B1"/>
    <w:rsid w:val="00144306"/>
    <w:rsid w:val="00151AC6"/>
    <w:rsid w:val="0015703A"/>
    <w:rsid w:val="001603D2"/>
    <w:rsid w:val="0016055D"/>
    <w:rsid w:val="00160C53"/>
    <w:rsid w:val="001656E6"/>
    <w:rsid w:val="00170F38"/>
    <w:rsid w:val="001727EE"/>
    <w:rsid w:val="0018057F"/>
    <w:rsid w:val="00187E8F"/>
    <w:rsid w:val="00192E38"/>
    <w:rsid w:val="001930F1"/>
    <w:rsid w:val="001B53B8"/>
    <w:rsid w:val="001B5C35"/>
    <w:rsid w:val="001C43C8"/>
    <w:rsid w:val="001D1345"/>
    <w:rsid w:val="001F2994"/>
    <w:rsid w:val="002024F3"/>
    <w:rsid w:val="0021192D"/>
    <w:rsid w:val="00225351"/>
    <w:rsid w:val="00247CFC"/>
    <w:rsid w:val="002756AF"/>
    <w:rsid w:val="00287BE0"/>
    <w:rsid w:val="002A5F68"/>
    <w:rsid w:val="002B294F"/>
    <w:rsid w:val="002C415A"/>
    <w:rsid w:val="002D4C00"/>
    <w:rsid w:val="002F5F6E"/>
    <w:rsid w:val="002F6378"/>
    <w:rsid w:val="00313A40"/>
    <w:rsid w:val="00313A59"/>
    <w:rsid w:val="00315372"/>
    <w:rsid w:val="00324246"/>
    <w:rsid w:val="00340CA2"/>
    <w:rsid w:val="00346ED8"/>
    <w:rsid w:val="00350EC0"/>
    <w:rsid w:val="00383E77"/>
    <w:rsid w:val="003A2240"/>
    <w:rsid w:val="003B0610"/>
    <w:rsid w:val="003E7F84"/>
    <w:rsid w:val="00410154"/>
    <w:rsid w:val="0041376F"/>
    <w:rsid w:val="00417223"/>
    <w:rsid w:val="0044302F"/>
    <w:rsid w:val="00452751"/>
    <w:rsid w:val="00475247"/>
    <w:rsid w:val="00494217"/>
    <w:rsid w:val="004A2436"/>
    <w:rsid w:val="004B0F03"/>
    <w:rsid w:val="004D014E"/>
    <w:rsid w:val="004D279D"/>
    <w:rsid w:val="004E5FB6"/>
    <w:rsid w:val="004F4FC1"/>
    <w:rsid w:val="004F6FE5"/>
    <w:rsid w:val="00514D38"/>
    <w:rsid w:val="00524344"/>
    <w:rsid w:val="0052501F"/>
    <w:rsid w:val="00527CE2"/>
    <w:rsid w:val="005307F0"/>
    <w:rsid w:val="005322F0"/>
    <w:rsid w:val="005369D3"/>
    <w:rsid w:val="00552C62"/>
    <w:rsid w:val="00567800"/>
    <w:rsid w:val="00572D33"/>
    <w:rsid w:val="005757B0"/>
    <w:rsid w:val="0057755C"/>
    <w:rsid w:val="0057760F"/>
    <w:rsid w:val="005B0A17"/>
    <w:rsid w:val="005B6226"/>
    <w:rsid w:val="005C6F80"/>
    <w:rsid w:val="00630EA0"/>
    <w:rsid w:val="006322E6"/>
    <w:rsid w:val="00661E8D"/>
    <w:rsid w:val="00672A3C"/>
    <w:rsid w:val="00687886"/>
    <w:rsid w:val="0069026A"/>
    <w:rsid w:val="00696201"/>
    <w:rsid w:val="006D3817"/>
    <w:rsid w:val="006E521E"/>
    <w:rsid w:val="00717014"/>
    <w:rsid w:val="0073140D"/>
    <w:rsid w:val="0077652E"/>
    <w:rsid w:val="00780253"/>
    <w:rsid w:val="007836EB"/>
    <w:rsid w:val="00787FA1"/>
    <w:rsid w:val="007A1FA2"/>
    <w:rsid w:val="007A6FE4"/>
    <w:rsid w:val="007C3E05"/>
    <w:rsid w:val="007C7748"/>
    <w:rsid w:val="007D0E27"/>
    <w:rsid w:val="007D78F9"/>
    <w:rsid w:val="008021CC"/>
    <w:rsid w:val="008205E8"/>
    <w:rsid w:val="008A24E8"/>
    <w:rsid w:val="008A4AC7"/>
    <w:rsid w:val="008B4528"/>
    <w:rsid w:val="008B4B66"/>
    <w:rsid w:val="008B52B0"/>
    <w:rsid w:val="008C2C01"/>
    <w:rsid w:val="0090121A"/>
    <w:rsid w:val="009124E5"/>
    <w:rsid w:val="00915E72"/>
    <w:rsid w:val="0093029C"/>
    <w:rsid w:val="00936C76"/>
    <w:rsid w:val="009514B1"/>
    <w:rsid w:val="00955FB3"/>
    <w:rsid w:val="00975022"/>
    <w:rsid w:val="00982C76"/>
    <w:rsid w:val="00994725"/>
    <w:rsid w:val="009A2532"/>
    <w:rsid w:val="009B6B2D"/>
    <w:rsid w:val="009F51BB"/>
    <w:rsid w:val="00A203E4"/>
    <w:rsid w:val="00A219BC"/>
    <w:rsid w:val="00A51381"/>
    <w:rsid w:val="00A54ADA"/>
    <w:rsid w:val="00A603F6"/>
    <w:rsid w:val="00A771D8"/>
    <w:rsid w:val="00A77EA3"/>
    <w:rsid w:val="00AD1DF5"/>
    <w:rsid w:val="00AE2333"/>
    <w:rsid w:val="00AF4423"/>
    <w:rsid w:val="00B04C32"/>
    <w:rsid w:val="00B141DA"/>
    <w:rsid w:val="00B277F4"/>
    <w:rsid w:val="00B50C91"/>
    <w:rsid w:val="00B612B0"/>
    <w:rsid w:val="00B655FC"/>
    <w:rsid w:val="00B66B9B"/>
    <w:rsid w:val="00B67988"/>
    <w:rsid w:val="00B7258F"/>
    <w:rsid w:val="00B73446"/>
    <w:rsid w:val="00B916AA"/>
    <w:rsid w:val="00BB5798"/>
    <w:rsid w:val="00BE08CB"/>
    <w:rsid w:val="00C019A2"/>
    <w:rsid w:val="00C046DA"/>
    <w:rsid w:val="00C04DFF"/>
    <w:rsid w:val="00C337AD"/>
    <w:rsid w:val="00C3398B"/>
    <w:rsid w:val="00C5133E"/>
    <w:rsid w:val="00C6279E"/>
    <w:rsid w:val="00C813A5"/>
    <w:rsid w:val="00CA4BC2"/>
    <w:rsid w:val="00CB687B"/>
    <w:rsid w:val="00CC0116"/>
    <w:rsid w:val="00CC7888"/>
    <w:rsid w:val="00CE0633"/>
    <w:rsid w:val="00CF01D4"/>
    <w:rsid w:val="00D43D5B"/>
    <w:rsid w:val="00D6536A"/>
    <w:rsid w:val="00D67B5D"/>
    <w:rsid w:val="00D8126C"/>
    <w:rsid w:val="00D84D6B"/>
    <w:rsid w:val="00D87D62"/>
    <w:rsid w:val="00D927F3"/>
    <w:rsid w:val="00DA5E77"/>
    <w:rsid w:val="00DD4157"/>
    <w:rsid w:val="00DE64F1"/>
    <w:rsid w:val="00DF08E9"/>
    <w:rsid w:val="00DF38B2"/>
    <w:rsid w:val="00E04B28"/>
    <w:rsid w:val="00E20723"/>
    <w:rsid w:val="00E24A12"/>
    <w:rsid w:val="00E257E1"/>
    <w:rsid w:val="00E32CC8"/>
    <w:rsid w:val="00E34085"/>
    <w:rsid w:val="00E35C29"/>
    <w:rsid w:val="00E41CC3"/>
    <w:rsid w:val="00E50043"/>
    <w:rsid w:val="00E51FEE"/>
    <w:rsid w:val="00E542AA"/>
    <w:rsid w:val="00EA1BFB"/>
    <w:rsid w:val="00EA7141"/>
    <w:rsid w:val="00EB64C0"/>
    <w:rsid w:val="00EB7AD5"/>
    <w:rsid w:val="00EB7B2C"/>
    <w:rsid w:val="00EC7B89"/>
    <w:rsid w:val="00EF7F14"/>
    <w:rsid w:val="00F03B21"/>
    <w:rsid w:val="00F510CE"/>
    <w:rsid w:val="00F65AC3"/>
    <w:rsid w:val="00F927B1"/>
    <w:rsid w:val="00F941E1"/>
    <w:rsid w:val="00F97BC4"/>
    <w:rsid w:val="00FB14FC"/>
    <w:rsid w:val="00FC0431"/>
    <w:rsid w:val="00FC50B4"/>
    <w:rsid w:val="00FD3BCB"/>
    <w:rsid w:val="00FD707A"/>
    <w:rsid w:val="00FF261B"/>
    <w:rsid w:val="021B4F7B"/>
    <w:rsid w:val="03E3A72B"/>
    <w:rsid w:val="09618A9A"/>
    <w:rsid w:val="09F8F1E5"/>
    <w:rsid w:val="0A3A6E7D"/>
    <w:rsid w:val="0A3BBAD8"/>
    <w:rsid w:val="0ED659E6"/>
    <w:rsid w:val="10D07E0B"/>
    <w:rsid w:val="10F2A154"/>
    <w:rsid w:val="12731F46"/>
    <w:rsid w:val="12B38FFB"/>
    <w:rsid w:val="131420FD"/>
    <w:rsid w:val="13C4967E"/>
    <w:rsid w:val="158B42AD"/>
    <w:rsid w:val="175C677A"/>
    <w:rsid w:val="1793BC57"/>
    <w:rsid w:val="18E3CACB"/>
    <w:rsid w:val="1A6B82C5"/>
    <w:rsid w:val="1A9292F5"/>
    <w:rsid w:val="1A9F74B8"/>
    <w:rsid w:val="1C1CA29E"/>
    <w:rsid w:val="1C5C34F5"/>
    <w:rsid w:val="1CC5B4AE"/>
    <w:rsid w:val="1EC24595"/>
    <w:rsid w:val="219B9B4A"/>
    <w:rsid w:val="25102695"/>
    <w:rsid w:val="275E1168"/>
    <w:rsid w:val="299B06EB"/>
    <w:rsid w:val="2B19B496"/>
    <w:rsid w:val="2B633A95"/>
    <w:rsid w:val="2C1706EA"/>
    <w:rsid w:val="2D90352D"/>
    <w:rsid w:val="2DDF9074"/>
    <w:rsid w:val="2E875E16"/>
    <w:rsid w:val="2FAE8647"/>
    <w:rsid w:val="3008F981"/>
    <w:rsid w:val="31FD87DE"/>
    <w:rsid w:val="335A3E9E"/>
    <w:rsid w:val="335B2219"/>
    <w:rsid w:val="35C5C147"/>
    <w:rsid w:val="370A8C6B"/>
    <w:rsid w:val="3788FA04"/>
    <w:rsid w:val="397AA23D"/>
    <w:rsid w:val="39E06645"/>
    <w:rsid w:val="3A1D85D7"/>
    <w:rsid w:val="3A32A726"/>
    <w:rsid w:val="3A7C3538"/>
    <w:rsid w:val="3B249344"/>
    <w:rsid w:val="3BF6A445"/>
    <w:rsid w:val="3E4E57DB"/>
    <w:rsid w:val="415DB5A3"/>
    <w:rsid w:val="41EBE9CB"/>
    <w:rsid w:val="45FEA19F"/>
    <w:rsid w:val="496D1069"/>
    <w:rsid w:val="4A581148"/>
    <w:rsid w:val="4A7A8CF1"/>
    <w:rsid w:val="4A8F8459"/>
    <w:rsid w:val="4ABE4B8B"/>
    <w:rsid w:val="4C142137"/>
    <w:rsid w:val="4DF7A1D7"/>
    <w:rsid w:val="4EC3A486"/>
    <w:rsid w:val="4F72EE37"/>
    <w:rsid w:val="5012557A"/>
    <w:rsid w:val="50642B45"/>
    <w:rsid w:val="56FE6473"/>
    <w:rsid w:val="5E724087"/>
    <w:rsid w:val="5EF4735E"/>
    <w:rsid w:val="5F9C13A0"/>
    <w:rsid w:val="60BF549A"/>
    <w:rsid w:val="62A5245A"/>
    <w:rsid w:val="635C1B96"/>
    <w:rsid w:val="65C641C8"/>
    <w:rsid w:val="67A7CFC0"/>
    <w:rsid w:val="69925647"/>
    <w:rsid w:val="6F41E60C"/>
    <w:rsid w:val="70372C84"/>
    <w:rsid w:val="70A12196"/>
    <w:rsid w:val="73FF2953"/>
    <w:rsid w:val="74D2A096"/>
    <w:rsid w:val="76061D61"/>
    <w:rsid w:val="77CC32D1"/>
    <w:rsid w:val="7B446855"/>
    <w:rsid w:val="7DE7F546"/>
    <w:rsid w:val="7DF3F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E4361"/>
  <w14:defaultImageDpi w14:val="96"/>
  <w15:docId w15:val="{DF19A928-2E0D-4559-89B8-30F2F79A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77"/>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uiPriority w:val="99"/>
    <w:qFormat/>
    <w:pPr>
      <w:ind w:left="720"/>
    </w:pPr>
    <w:rPr>
      <w:rFonts w:ascii="Times New Roman" w:hAnsi="Times New Roman" w:cs="Times New Roman"/>
      <w:color w:val="000000"/>
      <w:sz w:val="24"/>
      <w:szCs w:val="24"/>
      <w:lang w:eastAsia="en-US"/>
    </w:rPr>
  </w:style>
  <w:style w:type="paragraph" w:styleId="Header">
    <w:name w:val="header"/>
    <w:basedOn w:val="Normal"/>
    <w:link w:val="HeaderChar"/>
    <w:uiPriority w:val="99"/>
    <w:pPr>
      <w:tabs>
        <w:tab w:val="center" w:pos="4153"/>
        <w:tab w:val="right" w:pos="8306"/>
      </w:tabs>
    </w:pPr>
    <w:rPr>
      <w:rFonts w:ascii="Times New Roman" w:hAnsi="Times New Roman" w:cs="Times New Roman"/>
      <w:sz w:val="24"/>
      <w:szCs w:val="24"/>
    </w:rPr>
  </w:style>
  <w:style w:type="character" w:customStyle="1" w:styleId="HeaderChar">
    <w:name w:val="Header Char"/>
    <w:basedOn w:val="DefaultParagraphFont"/>
    <w:link w:val="Header"/>
    <w:uiPriority w:val="99"/>
    <w:rPr>
      <w:rFonts w:ascii="Times New Roman" w:hAnsi="Times New Roman" w:cs="Times New Roman"/>
      <w:sz w:val="20"/>
      <w:szCs w:val="20"/>
      <w:lang w:val="x-none" w:eastAsia="en-AU"/>
    </w:rPr>
  </w:style>
  <w:style w:type="paragraph" w:customStyle="1" w:styleId="ParaNumbering">
    <w:name w:val="Para Numbering"/>
    <w:basedOn w:val="Normal"/>
    <w:uiPriority w:val="99"/>
    <w:pPr>
      <w:tabs>
        <w:tab w:val="num" w:pos="360"/>
        <w:tab w:val="left" w:pos="567"/>
      </w:tabs>
      <w:spacing w:after="240" w:line="240" w:lineRule="atLeast"/>
    </w:pPr>
    <w:rPr>
      <w:rFonts w:ascii="Times New Roman" w:hAnsi="Times New Roman" w:cs="Times New Roman"/>
      <w:sz w:val="24"/>
      <w:szCs w:val="24"/>
      <w:lang w:eastAsia="en-US"/>
    </w:rPr>
  </w:style>
  <w:style w:type="character" w:customStyle="1" w:styleId="ListParagraphChar">
    <w:name w:val="List Paragraph Char"/>
    <w:aliases w:val="NFP GP Bulleted List Char,List Paragraph1 Char,Recommendation Char,List Paragraph11 Char"/>
    <w:uiPriority w:val="99"/>
    <w:rPr>
      <w:rFonts w:ascii="Times New Roman" w:hAnsi="Times New Roman"/>
      <w:color w:val="000000"/>
      <w:sz w:val="24"/>
    </w:rPr>
  </w:style>
  <w:style w:type="paragraph" w:customStyle="1" w:styleId="paranumbering0">
    <w:name w:val="paranumbering"/>
    <w:basedOn w:val="Normal"/>
    <w:uiPriority w:val="99"/>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Calibri"/>
      <w:b/>
      <w:bCs/>
      <w:sz w:val="20"/>
      <w:szCs w:val="20"/>
      <w:lang w:val="x-none" w:eastAsia="en-AU"/>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x-none" w:eastAsia="en-AU"/>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Calibri"/>
      <w:lang w:val="x-none" w:eastAsia="en-AU"/>
    </w:rPr>
  </w:style>
  <w:style w:type="character" w:styleId="Hyperlink">
    <w:name w:val="Hyperlink"/>
    <w:basedOn w:val="DefaultParagraphFont"/>
    <w:uiPriority w:val="99"/>
    <w:unhideWhenUsed/>
    <w:rsid w:val="002F6378"/>
    <w:rPr>
      <w:rFonts w:cs="Times New Roman"/>
      <w:color w:val="0563C1" w:themeColor="hyperlink"/>
      <w:u w:val="single"/>
    </w:rPr>
  </w:style>
  <w:style w:type="character" w:styleId="UnresolvedMention">
    <w:name w:val="Unresolved Mention"/>
    <w:basedOn w:val="DefaultParagraphFont"/>
    <w:uiPriority w:val="99"/>
    <w:semiHidden/>
    <w:unhideWhenUsed/>
    <w:rsid w:val="002F6378"/>
    <w:rPr>
      <w:rFonts w:cs="Times New Roman"/>
      <w:color w:val="605E5C"/>
      <w:shd w:val="clear" w:color="auto" w:fill="E1DFDD"/>
    </w:rPr>
  </w:style>
  <w:style w:type="paragraph" w:styleId="Revision">
    <w:name w:val="Revision"/>
    <w:hidden/>
    <w:uiPriority w:val="99"/>
    <w:semiHidden/>
    <w:rsid w:val="008B4528"/>
    <w:pPr>
      <w:spacing w:after="0" w:line="240" w:lineRule="auto"/>
    </w:pPr>
    <w:rPr>
      <w:rFonts w:ascii="Calibri" w:hAnsi="Calibri" w:cs="Calibri"/>
      <w:kern w:val="0"/>
    </w:rPr>
  </w:style>
  <w:style w:type="character" w:styleId="FollowedHyperlink">
    <w:name w:val="FollowedHyperlink"/>
    <w:basedOn w:val="DefaultParagraphFont"/>
    <w:uiPriority w:val="99"/>
    <w:semiHidden/>
    <w:unhideWhenUsed/>
    <w:rsid w:val="00494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AB061E2525AFC4687FA0DBFF779A5D1" ma:contentTypeVersion="" ma:contentTypeDescription="PDMS Document Site Content Type" ma:contentTypeScope="" ma:versionID="45f15b37d3baa08634437826b1da6afe">
  <xsd:schema xmlns:xsd="http://www.w3.org/2001/XMLSchema" xmlns:xs="http://www.w3.org/2001/XMLSchema" xmlns:p="http://schemas.microsoft.com/office/2006/metadata/properties" xmlns:ns2="828E0535-D1E0-45AF-BE7D-589E48B9475C" targetNamespace="http://schemas.microsoft.com/office/2006/metadata/properties" ma:root="true" ma:fieldsID="914b5d171da77db9c676c1d10b3b5eb2" ns2:_="">
    <xsd:import namespace="828E0535-D1E0-45AF-BE7D-589E48B9475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E0535-D1E0-45AF-BE7D-589E48B9475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 D o c u m e n t s ! 5 2 8 8 8 1 9 2 . 1 < / d o c u m e n t i d >  
     < s e n d e r i d > A P P E L L < / s e n d e r i d >  
     < s e n d e r e m a i l > L Y L A . A P P E L @ A G S . G O V . A U < / s e n d e r e m a i l >  
     < l a s t m o d i f i e d > 2 0 2 4 - 1 0 - 1 5 T 0 8 : 2 5 : 0 0 . 0 0 0 0 0 0 0 + 1 1 : 0 0 < / l a s t m o d i f i e d >  
     < d a t a b a s e > D o c u m e n t s 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828E0535-D1E0-45AF-BE7D-589E48B9475C" xsi:nil="true"/>
  </documentManagement>
</p:properties>
</file>

<file path=customXml/itemProps1.xml><?xml version="1.0" encoding="utf-8"?>
<ds:datastoreItem xmlns:ds="http://schemas.openxmlformats.org/officeDocument/2006/customXml" ds:itemID="{BDDADF07-D7A0-4B56-9F17-0B722B3DB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E0535-D1E0-45AF-BE7D-589E48B94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4589B-703E-4A0F-B96B-95E21165E127}">
  <ds:schemaRefs>
    <ds:schemaRef ds:uri="http://schemas.microsoft.com/sharepoint/v3/contenttype/forms"/>
  </ds:schemaRefs>
</ds:datastoreItem>
</file>

<file path=customXml/itemProps3.xml><?xml version="1.0" encoding="utf-8"?>
<ds:datastoreItem xmlns:ds="http://schemas.openxmlformats.org/officeDocument/2006/customXml" ds:itemID="{23C982B2-E36E-4038-9EB8-1E16BB3CEC2F}">
  <ds:schemaRefs>
    <ds:schemaRef ds:uri="http://www.imanage.com/work/xmlschema"/>
  </ds:schemaRefs>
</ds:datastoreItem>
</file>

<file path=customXml/itemProps4.xml><?xml version="1.0" encoding="utf-8"?>
<ds:datastoreItem xmlns:ds="http://schemas.openxmlformats.org/officeDocument/2006/customXml" ds:itemID="{6699AF70-B360-4131-8683-FF05384AE315}">
  <ds:schemaRefs>
    <ds:schemaRef ds:uri="http://schemas.openxmlformats.org/officeDocument/2006/bibliography"/>
  </ds:schemaRefs>
</ds:datastoreItem>
</file>

<file path=customXml/itemProps5.xml><?xml version="1.0" encoding="utf-8"?>
<ds:datastoreItem xmlns:ds="http://schemas.openxmlformats.org/officeDocument/2006/customXml" ds:itemID="{46462D2C-E66B-4D24-9B57-0E7C3BAE6B58}">
  <ds:schemaRefs>
    <ds:schemaRef ds:uri="http://schemas.microsoft.com/office/2006/metadata/properties"/>
    <ds:schemaRef ds:uri="http://purl.org/dc/elements/1.1/"/>
    <ds:schemaRef ds:uri="http://purl.org/dc/dcmitype/"/>
    <ds:schemaRef ds:uri="http://schemas.microsoft.com/office/2006/documentManagement/types"/>
    <ds:schemaRef ds:uri="828E0535-D1E0-45AF-BE7D-589E48B9475C"/>
    <ds:schemaRef ds:uri="http://purl.org/dc/term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2593</Words>
  <Characters>15854</Characters>
  <Application>Microsoft Office Word</Application>
  <DocSecurity>4</DocSecurity>
  <Lines>132</Lines>
  <Paragraphs>36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FINANCE</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Eric Shek</dc:creator>
  <cp:keywords>[SEC=OFFICIAL]</cp:keywords>
  <dc:description/>
  <cp:lastModifiedBy>Tsakalos, Nick</cp:lastModifiedBy>
  <cp:revision>2</cp:revision>
  <cp:lastPrinted>2016-09-12T04:01:00Z</cp:lastPrinted>
  <dcterms:created xsi:type="dcterms:W3CDTF">2024-11-29T00:17:00Z</dcterms:created>
  <dcterms:modified xsi:type="dcterms:W3CDTF">2024-11-29T00:17:00Z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v=2022.1;a=SHA256;h=223AD0D650E73D57F6CC638A40EAAB89E846CD3C1378BFEE1F7CC20E4FD88FCA</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2024-09-16T01:30:01Z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137AADF6E7956F566B5C9661F02C9A496392B378</vt:lpwstr>
  </property>
  <property fmtid="{D5CDD505-2E9C-101B-9397-08002B2CF9AE}" pid="14" name="PM_DisplayValueSecClassificationWithQualifier">
    <vt:lpwstr>OFFICIAL</vt:lpwstr>
  </property>
  <property fmtid="{D5CDD505-2E9C-101B-9397-08002B2CF9AE}" pid="15" name="PM_Originating_FileId">
    <vt:lpwstr>FB7F43E5C79247E88D6D2D6F02EDEC58</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98FDFDD32FFDAFDED7930ACC0FB224B1F4DC8C3530E33CE6AA0378F160CA1949</vt:lpwstr>
  </property>
  <property fmtid="{D5CDD505-2E9C-101B-9397-08002B2CF9AE}" pid="21" name="PM_OriginatorDomainName_SHA256">
    <vt:lpwstr>BBC6AAC1AD698622FC95EF52AD2A8867E0A2D03CCD219127EFFE7CEAE58B01AB</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7DA4CD9CBF2C4ACB322225B8AF6EE948</vt:lpwstr>
  </property>
  <property fmtid="{D5CDD505-2E9C-101B-9397-08002B2CF9AE}" pid="25" name="PM_Hash_Salt">
    <vt:lpwstr>553B11FCB8FF8F07E69D25AC714DBB06</vt:lpwstr>
  </property>
  <property fmtid="{D5CDD505-2E9C-101B-9397-08002B2CF9AE}" pid="26" name="PM_Hash_SHA1">
    <vt:lpwstr>2C05273529362B3FB5C279C68E6CA24394DD3AEA</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Expires">
    <vt:lpwstr/>
  </property>
  <property fmtid="{D5CDD505-2E9C-101B-9397-08002B2CF9AE}" pid="30" name="PM_DownTo">
    <vt:lpwstr/>
  </property>
  <property fmtid="{D5CDD505-2E9C-101B-9397-08002B2CF9AE}" pid="31" name="ContentTypeId">
    <vt:lpwstr>0x010100266966F133664895A6EE3632470D45F5007AB061E2525AFC4687FA0DBFF779A5D1</vt:lpwstr>
  </property>
  <property fmtid="{D5CDD505-2E9C-101B-9397-08002B2CF9AE}" pid="32" name="MediaServiceImageTags">
    <vt:lpwstr/>
  </property>
  <property fmtid="{D5CDD505-2E9C-101B-9397-08002B2CF9AE}" pid="33" name="checkforsharepointfields">
    <vt:lpwstr>True</vt:lpwstr>
  </property>
  <property fmtid="{D5CDD505-2E9C-101B-9397-08002B2CF9AE}" pid="34" name="Template Filename">
    <vt:lpwstr/>
  </property>
  <property fmtid="{D5CDD505-2E9C-101B-9397-08002B2CF9AE}" pid="35" name="ObjectiveRef">
    <vt:lpwstr>Removed</vt:lpwstr>
  </property>
  <property fmtid="{D5CDD505-2E9C-101B-9397-08002B2CF9AE}" pid="36" name="iManageRef">
    <vt:lpwstr>Updated</vt:lpwstr>
  </property>
  <property fmtid="{D5CDD505-2E9C-101B-9397-08002B2CF9AE}" pid="37" name="LeadingLawyers">
    <vt:lpwstr>Removed</vt:lpwstr>
  </property>
</Properties>
</file>