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BEFEFB3" w14:textId="77777777" w:rsidR="00684E2D" w:rsidRDefault="00684E2D" w:rsidP="002A045B">
      <w:pPr>
        <w:spacing w:before="0"/>
        <w:jc w:val="center"/>
        <w:rPr>
          <w:rFonts w:ascii="Times New Roman" w:hAnsi="Times New Roman"/>
          <w:b/>
          <w:bCs/>
          <w:sz w:val="24"/>
          <w:szCs w:val="24"/>
          <w:u w:val="single"/>
          <w:lang w:eastAsia="ja-JP"/>
        </w:rPr>
      </w:pPr>
    </w:p>
    <w:p w14:paraId="6B37730C" w14:textId="5E5E8A63" w:rsidR="00905F94" w:rsidRPr="00ED4294" w:rsidRDefault="006B5C04" w:rsidP="002A045B">
      <w:pPr>
        <w:spacing w:before="0"/>
        <w:jc w:val="center"/>
        <w:rPr>
          <w:rFonts w:ascii="Times New Roman" w:hAnsi="Times New Roman"/>
          <w:b/>
          <w:bCs/>
          <w:sz w:val="24"/>
          <w:szCs w:val="24"/>
          <w:u w:val="single"/>
          <w:lang w:eastAsia="ja-JP"/>
        </w:rPr>
      </w:pPr>
      <w:r w:rsidRPr="00ED4294">
        <w:rPr>
          <w:rFonts w:ascii="Times New Roman" w:hAnsi="Times New Roman"/>
          <w:b/>
          <w:bCs/>
          <w:sz w:val="24"/>
          <w:szCs w:val="24"/>
          <w:u w:val="single"/>
          <w:lang w:eastAsia="ja-JP"/>
        </w:rPr>
        <w:t>EXPLANATORY STATEMENT</w:t>
      </w:r>
    </w:p>
    <w:p w14:paraId="61BBC970" w14:textId="77777777" w:rsidR="002A045B" w:rsidRPr="00ED4294" w:rsidRDefault="002A045B" w:rsidP="00B45A75">
      <w:pPr>
        <w:spacing w:before="0"/>
        <w:rPr>
          <w:rFonts w:ascii="Times New Roman" w:hAnsi="Times New Roman"/>
          <w:sz w:val="24"/>
          <w:szCs w:val="24"/>
          <w:lang w:eastAsia="ja-JP"/>
        </w:rPr>
      </w:pPr>
    </w:p>
    <w:p w14:paraId="7F89E2BF" w14:textId="77A5F3DD" w:rsidR="006B5C04" w:rsidRPr="00ED4294" w:rsidRDefault="006B5C04" w:rsidP="002A045B">
      <w:pPr>
        <w:spacing w:before="0"/>
        <w:jc w:val="center"/>
        <w:rPr>
          <w:rFonts w:ascii="Times New Roman" w:hAnsi="Times New Roman"/>
          <w:sz w:val="24"/>
          <w:szCs w:val="24"/>
          <w:u w:val="single"/>
          <w:lang w:eastAsia="ja-JP"/>
        </w:rPr>
      </w:pPr>
      <w:r w:rsidRPr="00ED4294">
        <w:rPr>
          <w:rFonts w:ascii="Times New Roman" w:hAnsi="Times New Roman"/>
          <w:sz w:val="24"/>
          <w:szCs w:val="24"/>
          <w:u w:val="single"/>
          <w:lang w:eastAsia="ja-JP"/>
        </w:rPr>
        <w:t xml:space="preserve">Issued by Authority of the Minister for </w:t>
      </w:r>
      <w:r w:rsidR="006B743C" w:rsidRPr="00ED4294">
        <w:rPr>
          <w:rFonts w:ascii="Times New Roman" w:hAnsi="Times New Roman"/>
          <w:sz w:val="24"/>
          <w:szCs w:val="24"/>
          <w:u w:val="single"/>
          <w:lang w:eastAsia="ja-JP"/>
        </w:rPr>
        <w:t>Agriculture, Fisheries and Forestry</w:t>
      </w:r>
    </w:p>
    <w:p w14:paraId="360B0692" w14:textId="77777777" w:rsidR="002A045B" w:rsidRPr="00BF3C22" w:rsidRDefault="002A045B" w:rsidP="002A045B">
      <w:pPr>
        <w:spacing w:before="0"/>
        <w:jc w:val="center"/>
        <w:rPr>
          <w:rFonts w:ascii="Times New Roman" w:hAnsi="Times New Roman"/>
          <w:sz w:val="24"/>
          <w:szCs w:val="24"/>
          <w:lang w:eastAsia="ja-JP"/>
        </w:rPr>
      </w:pPr>
    </w:p>
    <w:p w14:paraId="5E053637" w14:textId="7E0671C3" w:rsidR="006B5C04" w:rsidRPr="00ED4294" w:rsidRDefault="006B743C" w:rsidP="002A045B">
      <w:pPr>
        <w:spacing w:before="0"/>
        <w:jc w:val="center"/>
        <w:rPr>
          <w:rFonts w:ascii="Times New Roman" w:hAnsi="Times New Roman"/>
          <w:sz w:val="24"/>
          <w:szCs w:val="24"/>
          <w:lang w:eastAsia="ja-JP"/>
        </w:rPr>
      </w:pPr>
      <w:r w:rsidRPr="00ED4294">
        <w:rPr>
          <w:rFonts w:ascii="Times New Roman" w:hAnsi="Times New Roman"/>
          <w:i/>
          <w:iCs/>
          <w:sz w:val="24"/>
          <w:szCs w:val="24"/>
          <w:lang w:eastAsia="ja-JP"/>
        </w:rPr>
        <w:t xml:space="preserve">Biosecurity </w:t>
      </w:r>
      <w:r w:rsidR="00FB40FF">
        <w:rPr>
          <w:rFonts w:ascii="Times New Roman" w:hAnsi="Times New Roman"/>
          <w:i/>
          <w:iCs/>
          <w:sz w:val="24"/>
          <w:szCs w:val="24"/>
          <w:lang w:eastAsia="ja-JP"/>
        </w:rPr>
        <w:t>Act 2015</w:t>
      </w:r>
    </w:p>
    <w:p w14:paraId="2B7AC608" w14:textId="77777777" w:rsidR="002A045B" w:rsidRPr="00ED4294" w:rsidRDefault="002A045B" w:rsidP="002A045B">
      <w:pPr>
        <w:spacing w:before="0"/>
        <w:jc w:val="center"/>
        <w:rPr>
          <w:rFonts w:ascii="Times New Roman" w:hAnsi="Times New Roman"/>
          <w:i/>
          <w:iCs/>
          <w:sz w:val="24"/>
          <w:szCs w:val="24"/>
          <w:lang w:eastAsia="ja-JP"/>
        </w:rPr>
      </w:pPr>
    </w:p>
    <w:p w14:paraId="39CA613A" w14:textId="7CA95FEB" w:rsidR="006B5C04" w:rsidRPr="00ED4294" w:rsidRDefault="006B743C" w:rsidP="002A045B">
      <w:pPr>
        <w:spacing w:before="0"/>
        <w:jc w:val="center"/>
        <w:rPr>
          <w:rFonts w:ascii="Times New Roman" w:hAnsi="Times New Roman"/>
          <w:sz w:val="24"/>
          <w:szCs w:val="24"/>
          <w:lang w:eastAsia="ja-JP"/>
        </w:rPr>
      </w:pPr>
      <w:bookmarkStart w:id="0" w:name="_Hlk166153221"/>
      <w:r w:rsidRPr="00ED4294">
        <w:rPr>
          <w:rFonts w:ascii="Times New Roman" w:hAnsi="Times New Roman"/>
          <w:i/>
          <w:iCs/>
          <w:sz w:val="24"/>
          <w:szCs w:val="24"/>
          <w:lang w:eastAsia="ja-JP"/>
        </w:rPr>
        <w:t>Biosecurity</w:t>
      </w:r>
      <w:r w:rsidR="00E13E66">
        <w:rPr>
          <w:rFonts w:ascii="Times New Roman" w:hAnsi="Times New Roman"/>
          <w:i/>
          <w:iCs/>
          <w:sz w:val="24"/>
          <w:szCs w:val="24"/>
          <w:lang w:eastAsia="ja-JP"/>
        </w:rPr>
        <w:t xml:space="preserve"> (F</w:t>
      </w:r>
      <w:r w:rsidR="00541C7E">
        <w:rPr>
          <w:rFonts w:ascii="Times New Roman" w:hAnsi="Times New Roman"/>
          <w:i/>
          <w:iCs/>
          <w:sz w:val="24"/>
          <w:szCs w:val="24"/>
          <w:lang w:eastAsia="ja-JP"/>
        </w:rPr>
        <w:t>irst Point of Entry—Port of Wyndham</w:t>
      </w:r>
      <w:r w:rsidR="00E13E66">
        <w:rPr>
          <w:rFonts w:ascii="Times New Roman" w:hAnsi="Times New Roman"/>
          <w:i/>
          <w:iCs/>
          <w:sz w:val="24"/>
          <w:szCs w:val="24"/>
          <w:lang w:eastAsia="ja-JP"/>
        </w:rPr>
        <w:t>)</w:t>
      </w:r>
      <w:r w:rsidR="00541C7E">
        <w:rPr>
          <w:rFonts w:ascii="Times New Roman" w:hAnsi="Times New Roman"/>
          <w:i/>
          <w:iCs/>
          <w:sz w:val="24"/>
          <w:szCs w:val="24"/>
          <w:lang w:eastAsia="ja-JP"/>
        </w:rPr>
        <w:t xml:space="preserve"> Amendment (</w:t>
      </w:r>
      <w:r w:rsidR="00652628">
        <w:rPr>
          <w:rFonts w:ascii="Times New Roman" w:hAnsi="Times New Roman"/>
          <w:i/>
          <w:iCs/>
          <w:sz w:val="24"/>
          <w:szCs w:val="24"/>
          <w:lang w:eastAsia="ja-JP"/>
        </w:rPr>
        <w:t>2024 Measures No. 1</w:t>
      </w:r>
      <w:r w:rsidR="00541C7E">
        <w:rPr>
          <w:rFonts w:ascii="Times New Roman" w:hAnsi="Times New Roman"/>
          <w:i/>
          <w:iCs/>
          <w:sz w:val="24"/>
          <w:szCs w:val="24"/>
          <w:lang w:eastAsia="ja-JP"/>
        </w:rPr>
        <w:t>) Determination</w:t>
      </w:r>
      <w:r w:rsidR="00FB40FF">
        <w:rPr>
          <w:rFonts w:ascii="Times New Roman" w:hAnsi="Times New Roman"/>
          <w:i/>
          <w:iCs/>
          <w:sz w:val="24"/>
          <w:szCs w:val="24"/>
          <w:lang w:eastAsia="ja-JP"/>
        </w:rPr>
        <w:t xml:space="preserve"> 2024</w:t>
      </w:r>
    </w:p>
    <w:bookmarkEnd w:id="0"/>
    <w:p w14:paraId="03F321D8" w14:textId="77777777" w:rsidR="002A045B" w:rsidRPr="00ED4294" w:rsidRDefault="002A045B" w:rsidP="002A045B">
      <w:pPr>
        <w:spacing w:before="0"/>
        <w:jc w:val="center"/>
        <w:rPr>
          <w:rFonts w:ascii="Times New Roman" w:hAnsi="Times New Roman"/>
          <w:sz w:val="24"/>
          <w:szCs w:val="24"/>
          <w:lang w:eastAsia="ja-JP"/>
        </w:rPr>
      </w:pPr>
    </w:p>
    <w:p w14:paraId="4A084996" w14:textId="0D247593" w:rsidR="006B5C04" w:rsidRPr="00E51722" w:rsidRDefault="006B5C04"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Legislative Authority</w:t>
      </w:r>
    </w:p>
    <w:p w14:paraId="60C8C912" w14:textId="77777777" w:rsidR="002A045B" w:rsidRPr="00E51722" w:rsidRDefault="002A045B" w:rsidP="002A045B">
      <w:pPr>
        <w:spacing w:before="0"/>
        <w:rPr>
          <w:rFonts w:ascii="Times New Roman" w:hAnsi="Times New Roman"/>
          <w:sz w:val="24"/>
          <w:szCs w:val="24"/>
          <w:lang w:eastAsia="ja-JP"/>
        </w:rPr>
      </w:pPr>
    </w:p>
    <w:p w14:paraId="1ADFF1BE" w14:textId="4DD1918A" w:rsidR="00E13E66" w:rsidRDefault="006B743C" w:rsidP="00AB247E">
      <w:pPr>
        <w:shd w:val="clear" w:color="auto" w:fill="FFFFFF"/>
        <w:spacing w:before="0" w:line="235" w:lineRule="atLeast"/>
        <w:rPr>
          <w:rFonts w:ascii="Times New Roman" w:eastAsia="Times New Roman" w:hAnsi="Times New Roman"/>
          <w:color w:val="000000"/>
          <w:sz w:val="24"/>
          <w:szCs w:val="24"/>
          <w:lang w:eastAsia="en-AU"/>
        </w:rPr>
      </w:pPr>
      <w:bookmarkStart w:id="1" w:name="_Hlk180144543"/>
      <w:r w:rsidRPr="00E51722">
        <w:rPr>
          <w:rFonts w:ascii="Times New Roman" w:eastAsia="Times New Roman" w:hAnsi="Times New Roman"/>
          <w:color w:val="000000"/>
          <w:sz w:val="24"/>
          <w:szCs w:val="24"/>
          <w:lang w:eastAsia="en-AU"/>
        </w:rPr>
        <w:t>The </w:t>
      </w:r>
      <w:r w:rsidR="00FB40FF">
        <w:rPr>
          <w:rFonts w:ascii="Times New Roman" w:eastAsia="Times New Roman" w:hAnsi="Times New Roman"/>
          <w:i/>
          <w:iCs/>
          <w:color w:val="000000"/>
          <w:sz w:val="24"/>
          <w:szCs w:val="24"/>
          <w:lang w:eastAsia="en-AU"/>
        </w:rPr>
        <w:t xml:space="preserve">Biosecurity Act 2015 </w:t>
      </w:r>
      <w:r w:rsidR="00FB40FF">
        <w:rPr>
          <w:rFonts w:ascii="Times New Roman" w:eastAsia="Times New Roman" w:hAnsi="Times New Roman"/>
          <w:color w:val="000000"/>
          <w:sz w:val="24"/>
          <w:szCs w:val="24"/>
          <w:lang w:eastAsia="en-AU"/>
        </w:rPr>
        <w:t xml:space="preserve">(the </w:t>
      </w:r>
      <w:r w:rsidR="00EC1FCD">
        <w:rPr>
          <w:rFonts w:ascii="Times New Roman" w:eastAsia="Times New Roman" w:hAnsi="Times New Roman"/>
          <w:color w:val="000000"/>
          <w:sz w:val="24"/>
          <w:szCs w:val="24"/>
          <w:lang w:eastAsia="en-AU"/>
        </w:rPr>
        <w:t xml:space="preserve">Biosecurity </w:t>
      </w:r>
      <w:r w:rsidR="00FB40FF">
        <w:rPr>
          <w:rFonts w:ascii="Times New Roman" w:eastAsia="Times New Roman" w:hAnsi="Times New Roman"/>
          <w:color w:val="000000"/>
          <w:sz w:val="24"/>
          <w:szCs w:val="24"/>
          <w:lang w:eastAsia="en-AU"/>
        </w:rPr>
        <w:t xml:space="preserve">Act) </w:t>
      </w:r>
      <w:r w:rsidR="00E13E66">
        <w:rPr>
          <w:rFonts w:ascii="Times New Roman" w:eastAsia="Times New Roman" w:hAnsi="Times New Roman"/>
          <w:color w:val="000000"/>
          <w:sz w:val="24"/>
          <w:szCs w:val="24"/>
          <w:lang w:eastAsia="en-AU"/>
        </w:rPr>
        <w:t xml:space="preserve">provides the regulatory framework for the management of diseases and pests that may cause harm to human, animal or plant health or the environment. </w:t>
      </w:r>
    </w:p>
    <w:p w14:paraId="6B74F2D1" w14:textId="77777777" w:rsidR="00057767" w:rsidRDefault="00057767" w:rsidP="00AB247E">
      <w:pPr>
        <w:shd w:val="clear" w:color="auto" w:fill="FFFFFF"/>
        <w:spacing w:before="0" w:line="235" w:lineRule="atLeast"/>
        <w:rPr>
          <w:rFonts w:ascii="Times New Roman" w:eastAsia="Times New Roman" w:hAnsi="Times New Roman"/>
          <w:color w:val="000000"/>
          <w:sz w:val="24"/>
          <w:szCs w:val="24"/>
          <w:lang w:eastAsia="en-AU"/>
        </w:rPr>
      </w:pPr>
    </w:p>
    <w:p w14:paraId="51945294" w14:textId="41B2261A" w:rsidR="00057767" w:rsidRPr="00057767" w:rsidRDefault="00057767" w:rsidP="00AB247E">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The </w:t>
      </w:r>
      <w:r>
        <w:rPr>
          <w:rFonts w:ascii="Times New Roman" w:eastAsia="Times New Roman" w:hAnsi="Times New Roman"/>
          <w:i/>
          <w:iCs/>
          <w:color w:val="000000"/>
          <w:sz w:val="24"/>
          <w:szCs w:val="24"/>
          <w:lang w:eastAsia="en-AU"/>
        </w:rPr>
        <w:t>Biosecurity (First Point of Entry—Port of Wyndham) Amendment (</w:t>
      </w:r>
      <w:r w:rsidR="00652628">
        <w:rPr>
          <w:rFonts w:ascii="Times New Roman" w:eastAsia="Times New Roman" w:hAnsi="Times New Roman"/>
          <w:i/>
          <w:iCs/>
          <w:color w:val="000000"/>
          <w:sz w:val="24"/>
          <w:szCs w:val="24"/>
          <w:lang w:eastAsia="en-AU"/>
        </w:rPr>
        <w:t>2024 Measures No.1</w:t>
      </w:r>
      <w:r>
        <w:rPr>
          <w:rFonts w:ascii="Times New Roman" w:eastAsia="Times New Roman" w:hAnsi="Times New Roman"/>
          <w:i/>
          <w:iCs/>
          <w:color w:val="000000"/>
          <w:sz w:val="24"/>
          <w:szCs w:val="24"/>
          <w:lang w:eastAsia="en-AU"/>
        </w:rPr>
        <w:t>) Determination 2024</w:t>
      </w:r>
      <w:r>
        <w:rPr>
          <w:rFonts w:ascii="Times New Roman" w:eastAsia="Times New Roman" w:hAnsi="Times New Roman"/>
          <w:color w:val="000000"/>
          <w:sz w:val="24"/>
          <w:szCs w:val="24"/>
          <w:lang w:eastAsia="en-AU"/>
        </w:rPr>
        <w:t xml:space="preserve"> (the Amendment Determination) is made under section 2</w:t>
      </w:r>
      <w:r w:rsidR="00EC1FCD">
        <w:rPr>
          <w:rFonts w:ascii="Times New Roman" w:eastAsia="Times New Roman" w:hAnsi="Times New Roman"/>
          <w:color w:val="000000"/>
          <w:sz w:val="24"/>
          <w:szCs w:val="24"/>
          <w:lang w:eastAsia="en-AU"/>
        </w:rPr>
        <w:t>33</w:t>
      </w:r>
      <w:r>
        <w:rPr>
          <w:rFonts w:ascii="Times New Roman" w:eastAsia="Times New Roman" w:hAnsi="Times New Roman"/>
          <w:color w:val="000000"/>
          <w:sz w:val="24"/>
          <w:szCs w:val="24"/>
          <w:lang w:eastAsia="en-AU"/>
        </w:rPr>
        <w:t xml:space="preserve"> of the </w:t>
      </w:r>
      <w:r w:rsidR="00EC1FCD">
        <w:rPr>
          <w:rFonts w:ascii="Times New Roman" w:eastAsia="Times New Roman" w:hAnsi="Times New Roman"/>
          <w:color w:val="000000"/>
          <w:sz w:val="24"/>
          <w:szCs w:val="24"/>
          <w:lang w:eastAsia="en-AU"/>
        </w:rPr>
        <w:t xml:space="preserve">Biosecurity </w:t>
      </w:r>
      <w:r>
        <w:rPr>
          <w:rFonts w:ascii="Times New Roman" w:eastAsia="Times New Roman" w:hAnsi="Times New Roman"/>
          <w:color w:val="000000"/>
          <w:sz w:val="24"/>
          <w:szCs w:val="24"/>
          <w:lang w:eastAsia="en-AU"/>
        </w:rPr>
        <w:t xml:space="preserve">Act. The Amendment Determination makes amendments to the </w:t>
      </w:r>
      <w:r>
        <w:rPr>
          <w:rFonts w:ascii="Times New Roman" w:eastAsia="Times New Roman" w:hAnsi="Times New Roman"/>
          <w:i/>
          <w:iCs/>
          <w:color w:val="000000"/>
          <w:sz w:val="24"/>
          <w:szCs w:val="24"/>
          <w:lang w:eastAsia="en-AU"/>
        </w:rPr>
        <w:t>Biosecurity (First Point of Entry—Port of Wyndham) Determination 2019</w:t>
      </w:r>
      <w:r>
        <w:rPr>
          <w:rFonts w:ascii="Times New Roman" w:eastAsia="Times New Roman" w:hAnsi="Times New Roman"/>
          <w:color w:val="000000"/>
          <w:sz w:val="24"/>
          <w:szCs w:val="24"/>
          <w:lang w:eastAsia="en-AU"/>
        </w:rPr>
        <w:t xml:space="preserve"> (the Port of Wyndham Determination). The Port of Wyndham Determination is made under subsection 229(1) of the </w:t>
      </w:r>
      <w:r w:rsidR="00EC1FCD">
        <w:rPr>
          <w:rFonts w:ascii="Times New Roman" w:eastAsia="Times New Roman" w:hAnsi="Times New Roman"/>
          <w:color w:val="000000"/>
          <w:sz w:val="24"/>
          <w:szCs w:val="24"/>
          <w:lang w:eastAsia="en-AU"/>
        </w:rPr>
        <w:t xml:space="preserve">Biosecurity </w:t>
      </w:r>
      <w:r>
        <w:rPr>
          <w:rFonts w:ascii="Times New Roman" w:eastAsia="Times New Roman" w:hAnsi="Times New Roman"/>
          <w:color w:val="000000"/>
          <w:sz w:val="24"/>
          <w:szCs w:val="24"/>
          <w:lang w:eastAsia="en-AU"/>
        </w:rPr>
        <w:t xml:space="preserve">Act. </w:t>
      </w:r>
    </w:p>
    <w:p w14:paraId="54DC83F8" w14:textId="77777777" w:rsidR="00E13E66" w:rsidRDefault="00E13E66" w:rsidP="00AB247E">
      <w:pPr>
        <w:shd w:val="clear" w:color="auto" w:fill="FFFFFF"/>
        <w:spacing w:before="0" w:line="235" w:lineRule="atLeast"/>
        <w:rPr>
          <w:rFonts w:ascii="Times New Roman" w:eastAsia="Times New Roman" w:hAnsi="Times New Roman"/>
          <w:color w:val="000000"/>
          <w:sz w:val="24"/>
          <w:szCs w:val="24"/>
          <w:lang w:eastAsia="en-AU"/>
        </w:rPr>
      </w:pPr>
    </w:p>
    <w:p w14:paraId="642C204E" w14:textId="3B619350" w:rsidR="00E13E66" w:rsidRDefault="00057767" w:rsidP="00AB247E">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Section 233 of the </w:t>
      </w:r>
      <w:r w:rsidR="00EC1FCD">
        <w:rPr>
          <w:rFonts w:ascii="Times New Roman" w:eastAsia="Times New Roman" w:hAnsi="Times New Roman"/>
          <w:color w:val="000000"/>
          <w:sz w:val="24"/>
          <w:szCs w:val="24"/>
          <w:lang w:eastAsia="en-AU"/>
        </w:rPr>
        <w:t xml:space="preserve">Biosecurity </w:t>
      </w:r>
      <w:r>
        <w:rPr>
          <w:rFonts w:ascii="Times New Roman" w:eastAsia="Times New Roman" w:hAnsi="Times New Roman"/>
          <w:color w:val="000000"/>
          <w:sz w:val="24"/>
          <w:szCs w:val="24"/>
          <w:lang w:eastAsia="en-AU"/>
        </w:rPr>
        <w:t>Act provides that if a determination is made under subsection 2</w:t>
      </w:r>
      <w:r w:rsidR="003B02B7">
        <w:rPr>
          <w:rFonts w:ascii="Times New Roman" w:eastAsia="Times New Roman" w:hAnsi="Times New Roman"/>
          <w:color w:val="000000"/>
          <w:sz w:val="24"/>
          <w:szCs w:val="24"/>
          <w:lang w:eastAsia="en-AU"/>
        </w:rPr>
        <w:t>2</w:t>
      </w:r>
      <w:r>
        <w:rPr>
          <w:rFonts w:ascii="Times New Roman" w:eastAsia="Times New Roman" w:hAnsi="Times New Roman"/>
          <w:color w:val="000000"/>
          <w:sz w:val="24"/>
          <w:szCs w:val="24"/>
          <w:lang w:eastAsia="en-AU"/>
        </w:rPr>
        <w:t>9(1) in relation to a port</w:t>
      </w:r>
      <w:r w:rsidR="003B02B7">
        <w:rPr>
          <w:rFonts w:ascii="Times New Roman" w:eastAsia="Times New Roman" w:hAnsi="Times New Roman"/>
          <w:color w:val="000000"/>
          <w:sz w:val="24"/>
          <w:szCs w:val="24"/>
          <w:lang w:eastAsia="en-AU"/>
        </w:rPr>
        <w:t>, the Director who made the determination may vary or revoke the determination, or vary the conditions specified in the determination (including by imposing new conditions), if the Director is satisfied of any of the matters set out in paragraphs 233(a)</w:t>
      </w:r>
      <w:r w:rsidR="00674BF6">
        <w:rPr>
          <w:rFonts w:ascii="Times New Roman" w:eastAsia="Times New Roman" w:hAnsi="Times New Roman"/>
          <w:color w:val="000000"/>
          <w:sz w:val="24"/>
          <w:szCs w:val="24"/>
          <w:lang w:eastAsia="en-AU"/>
        </w:rPr>
        <w:t xml:space="preserve"> to 233</w:t>
      </w:r>
      <w:r w:rsidR="003B02B7">
        <w:rPr>
          <w:rFonts w:ascii="Times New Roman" w:eastAsia="Times New Roman" w:hAnsi="Times New Roman"/>
          <w:color w:val="000000"/>
          <w:sz w:val="24"/>
          <w:szCs w:val="24"/>
          <w:lang w:eastAsia="en-AU"/>
        </w:rPr>
        <w:t xml:space="preserve">(e) of the </w:t>
      </w:r>
      <w:r w:rsidR="00EC1FCD">
        <w:rPr>
          <w:rFonts w:ascii="Times New Roman" w:eastAsia="Times New Roman" w:hAnsi="Times New Roman"/>
          <w:color w:val="000000"/>
          <w:sz w:val="24"/>
          <w:szCs w:val="24"/>
          <w:lang w:eastAsia="en-AU"/>
        </w:rPr>
        <w:t xml:space="preserve">Biosecurity </w:t>
      </w:r>
      <w:r w:rsidR="003B02B7">
        <w:rPr>
          <w:rFonts w:ascii="Times New Roman" w:eastAsia="Times New Roman" w:hAnsi="Times New Roman"/>
          <w:color w:val="000000"/>
          <w:sz w:val="24"/>
          <w:szCs w:val="24"/>
          <w:lang w:eastAsia="en-AU"/>
        </w:rPr>
        <w:t>Act.</w:t>
      </w:r>
    </w:p>
    <w:p w14:paraId="213E7398" w14:textId="77777777" w:rsidR="003B02B7" w:rsidRDefault="003B02B7" w:rsidP="00AB247E">
      <w:pPr>
        <w:shd w:val="clear" w:color="auto" w:fill="FFFFFF"/>
        <w:spacing w:before="0" w:line="235" w:lineRule="atLeast"/>
        <w:rPr>
          <w:rFonts w:ascii="Times New Roman" w:eastAsia="Times New Roman" w:hAnsi="Times New Roman"/>
          <w:color w:val="000000"/>
          <w:sz w:val="24"/>
          <w:szCs w:val="24"/>
          <w:lang w:eastAsia="en-AU"/>
        </w:rPr>
      </w:pPr>
    </w:p>
    <w:p w14:paraId="373992E9" w14:textId="6A6C9CB8" w:rsidR="00E13E66" w:rsidRPr="003B02B7" w:rsidRDefault="003B02B7" w:rsidP="00AB247E">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Paragraph 233(e) of the </w:t>
      </w:r>
      <w:r w:rsidR="00EC1FCD">
        <w:rPr>
          <w:rFonts w:ascii="Times New Roman" w:eastAsia="Times New Roman" w:hAnsi="Times New Roman"/>
          <w:color w:val="000000"/>
          <w:sz w:val="24"/>
          <w:szCs w:val="24"/>
          <w:lang w:eastAsia="en-AU"/>
        </w:rPr>
        <w:t xml:space="preserve">Biosecurity </w:t>
      </w:r>
      <w:r>
        <w:rPr>
          <w:rFonts w:ascii="Times New Roman" w:eastAsia="Times New Roman" w:hAnsi="Times New Roman"/>
          <w:color w:val="000000"/>
          <w:sz w:val="24"/>
          <w:szCs w:val="24"/>
          <w:lang w:eastAsia="en-AU"/>
        </w:rPr>
        <w:t xml:space="preserve">Act provides that one of these matters is that </w:t>
      </w:r>
      <w:r w:rsidR="00EC1FCD">
        <w:rPr>
          <w:rFonts w:ascii="Times New Roman" w:eastAsia="Times New Roman" w:hAnsi="Times New Roman"/>
          <w:color w:val="000000"/>
          <w:sz w:val="24"/>
          <w:szCs w:val="24"/>
          <w:lang w:eastAsia="en-AU"/>
        </w:rPr>
        <w:t xml:space="preserve">a </w:t>
      </w:r>
      <w:r>
        <w:rPr>
          <w:rFonts w:ascii="Times New Roman" w:eastAsia="Times New Roman" w:hAnsi="Times New Roman"/>
          <w:color w:val="000000"/>
          <w:sz w:val="24"/>
          <w:szCs w:val="24"/>
          <w:lang w:eastAsia="en-AU"/>
        </w:rPr>
        <w:t>circumstance prescribed by the regulations has occurred. Paragraph 5</w:t>
      </w:r>
      <w:r w:rsidR="00794196">
        <w:rPr>
          <w:rFonts w:ascii="Times New Roman" w:eastAsia="Times New Roman" w:hAnsi="Times New Roman"/>
          <w:color w:val="000000"/>
          <w:sz w:val="24"/>
          <w:szCs w:val="24"/>
          <w:lang w:eastAsia="en-AU"/>
        </w:rPr>
        <w:t>9</w:t>
      </w:r>
      <w:r>
        <w:rPr>
          <w:rFonts w:ascii="Times New Roman" w:eastAsia="Times New Roman" w:hAnsi="Times New Roman"/>
          <w:color w:val="000000"/>
          <w:sz w:val="24"/>
          <w:szCs w:val="24"/>
          <w:lang w:eastAsia="en-AU"/>
        </w:rPr>
        <w:t xml:space="preserve">(c) of the </w:t>
      </w:r>
      <w:r>
        <w:rPr>
          <w:rFonts w:ascii="Times New Roman" w:eastAsia="Times New Roman" w:hAnsi="Times New Roman"/>
          <w:i/>
          <w:iCs/>
          <w:color w:val="000000"/>
          <w:sz w:val="24"/>
          <w:szCs w:val="24"/>
          <w:lang w:eastAsia="en-AU"/>
        </w:rPr>
        <w:t>Biosecurity Regulation 2016</w:t>
      </w:r>
      <w:r>
        <w:rPr>
          <w:rFonts w:ascii="Times New Roman" w:eastAsia="Times New Roman" w:hAnsi="Times New Roman"/>
          <w:color w:val="000000"/>
          <w:sz w:val="24"/>
          <w:szCs w:val="24"/>
          <w:lang w:eastAsia="en-AU"/>
        </w:rPr>
        <w:t xml:space="preserve"> (the Regulation) provides that a circumstance in which the Director may vary a determination under section 233 of the </w:t>
      </w:r>
      <w:r w:rsidR="00EC1FCD">
        <w:rPr>
          <w:rFonts w:ascii="Times New Roman" w:eastAsia="Times New Roman" w:hAnsi="Times New Roman"/>
          <w:color w:val="000000"/>
          <w:sz w:val="24"/>
          <w:szCs w:val="24"/>
          <w:lang w:eastAsia="en-AU"/>
        </w:rPr>
        <w:t xml:space="preserve">Biosecurity </w:t>
      </w:r>
      <w:r>
        <w:rPr>
          <w:rFonts w:ascii="Times New Roman" w:eastAsia="Times New Roman" w:hAnsi="Times New Roman"/>
          <w:color w:val="000000"/>
          <w:sz w:val="24"/>
          <w:szCs w:val="24"/>
          <w:lang w:eastAsia="en-AU"/>
        </w:rPr>
        <w:t>Act in relation to a port</w:t>
      </w:r>
      <w:r w:rsidR="00674BF6">
        <w:rPr>
          <w:rFonts w:ascii="Times New Roman" w:eastAsia="Times New Roman" w:hAnsi="Times New Roman"/>
          <w:color w:val="000000"/>
          <w:sz w:val="24"/>
          <w:szCs w:val="24"/>
          <w:lang w:eastAsia="en-AU"/>
        </w:rPr>
        <w:t>,</w:t>
      </w:r>
      <w:r>
        <w:rPr>
          <w:rFonts w:ascii="Times New Roman" w:eastAsia="Times New Roman" w:hAnsi="Times New Roman"/>
          <w:color w:val="000000"/>
          <w:sz w:val="24"/>
          <w:szCs w:val="24"/>
          <w:lang w:eastAsia="en-AU"/>
        </w:rPr>
        <w:t xml:space="preserve"> is that the operator of the port has requested the variation or revocation of the determination, or the variation of the conditions in the determination. The operator</w:t>
      </w:r>
      <w:r w:rsidR="004D1A28">
        <w:rPr>
          <w:rFonts w:ascii="Times New Roman" w:eastAsia="Times New Roman" w:hAnsi="Times New Roman"/>
          <w:color w:val="000000"/>
          <w:sz w:val="24"/>
          <w:szCs w:val="24"/>
          <w:lang w:eastAsia="en-AU"/>
        </w:rPr>
        <w:t>s</w:t>
      </w:r>
      <w:r>
        <w:rPr>
          <w:rFonts w:ascii="Times New Roman" w:eastAsia="Times New Roman" w:hAnsi="Times New Roman"/>
          <w:color w:val="000000"/>
          <w:sz w:val="24"/>
          <w:szCs w:val="24"/>
          <w:lang w:eastAsia="en-AU"/>
        </w:rPr>
        <w:t xml:space="preserve"> at the Port of Wyndham ha</w:t>
      </w:r>
      <w:r w:rsidR="00652628">
        <w:rPr>
          <w:rFonts w:ascii="Times New Roman" w:eastAsia="Times New Roman" w:hAnsi="Times New Roman"/>
          <w:color w:val="000000"/>
          <w:sz w:val="24"/>
          <w:szCs w:val="24"/>
          <w:lang w:eastAsia="en-AU"/>
        </w:rPr>
        <w:t>ve</w:t>
      </w:r>
      <w:r>
        <w:rPr>
          <w:rFonts w:ascii="Times New Roman" w:eastAsia="Times New Roman" w:hAnsi="Times New Roman"/>
          <w:color w:val="000000"/>
          <w:sz w:val="24"/>
          <w:szCs w:val="24"/>
          <w:lang w:eastAsia="en-AU"/>
        </w:rPr>
        <w:t xml:space="preserve"> requested a variation </w:t>
      </w:r>
      <w:r w:rsidR="00F97162">
        <w:rPr>
          <w:rFonts w:ascii="Times New Roman" w:eastAsia="Times New Roman" w:hAnsi="Times New Roman"/>
          <w:color w:val="000000"/>
          <w:sz w:val="24"/>
          <w:szCs w:val="24"/>
          <w:lang w:eastAsia="en-AU"/>
        </w:rPr>
        <w:t>of</w:t>
      </w:r>
      <w:r w:rsidR="00026CEA">
        <w:rPr>
          <w:rFonts w:ascii="Times New Roman" w:eastAsia="Times New Roman" w:hAnsi="Times New Roman"/>
          <w:color w:val="000000"/>
          <w:sz w:val="24"/>
          <w:szCs w:val="24"/>
          <w:lang w:eastAsia="en-AU"/>
        </w:rPr>
        <w:t xml:space="preserve"> the</w:t>
      </w:r>
      <w:r>
        <w:rPr>
          <w:rFonts w:ascii="Times New Roman" w:eastAsia="Times New Roman" w:hAnsi="Times New Roman"/>
          <w:color w:val="000000"/>
          <w:sz w:val="24"/>
          <w:szCs w:val="24"/>
          <w:lang w:eastAsia="en-AU"/>
        </w:rPr>
        <w:t xml:space="preserve"> Port of Wyndham Determination. </w:t>
      </w:r>
    </w:p>
    <w:bookmarkEnd w:id="1"/>
    <w:p w14:paraId="72572818" w14:textId="77777777" w:rsidR="002A045B" w:rsidRPr="00E51722" w:rsidRDefault="002A045B" w:rsidP="002A045B">
      <w:pPr>
        <w:spacing w:before="0"/>
        <w:rPr>
          <w:rFonts w:ascii="Times New Roman" w:hAnsi="Times New Roman"/>
          <w:sz w:val="24"/>
          <w:szCs w:val="24"/>
          <w:lang w:eastAsia="ja-JP"/>
        </w:rPr>
      </w:pPr>
    </w:p>
    <w:p w14:paraId="420EA17A" w14:textId="29A725DE" w:rsidR="006B5C04" w:rsidRPr="00E51722" w:rsidRDefault="006B5C04" w:rsidP="002A045B">
      <w:pPr>
        <w:spacing w:before="0"/>
        <w:rPr>
          <w:rFonts w:ascii="Times New Roman" w:hAnsi="Times New Roman"/>
          <w:sz w:val="24"/>
          <w:szCs w:val="24"/>
          <w:lang w:eastAsia="ja-JP"/>
        </w:rPr>
      </w:pPr>
      <w:r w:rsidRPr="00E51722">
        <w:rPr>
          <w:rFonts w:ascii="Times New Roman" w:hAnsi="Times New Roman"/>
          <w:b/>
          <w:bCs/>
          <w:sz w:val="24"/>
          <w:szCs w:val="24"/>
          <w:lang w:eastAsia="ja-JP"/>
        </w:rPr>
        <w:t>Purpose</w:t>
      </w:r>
    </w:p>
    <w:p w14:paraId="5B39EC73" w14:textId="77777777" w:rsidR="002A045B" w:rsidRDefault="002A045B" w:rsidP="002A045B">
      <w:pPr>
        <w:spacing w:before="0"/>
        <w:rPr>
          <w:rFonts w:ascii="Times New Roman" w:hAnsi="Times New Roman"/>
          <w:sz w:val="24"/>
          <w:szCs w:val="24"/>
          <w:lang w:eastAsia="ja-JP"/>
        </w:rPr>
      </w:pPr>
    </w:p>
    <w:p w14:paraId="3B862196" w14:textId="29C5F5F1" w:rsidR="004D1A28" w:rsidRDefault="007F4619" w:rsidP="002A045B">
      <w:pPr>
        <w:spacing w:before="0"/>
        <w:rPr>
          <w:rFonts w:ascii="Times New Roman" w:hAnsi="Times New Roman"/>
          <w:sz w:val="24"/>
          <w:szCs w:val="24"/>
          <w:lang w:eastAsia="ja-JP"/>
        </w:rPr>
      </w:pPr>
      <w:bookmarkStart w:id="2" w:name="_Hlk180144555"/>
      <w:r>
        <w:rPr>
          <w:rFonts w:ascii="Times New Roman" w:hAnsi="Times New Roman"/>
          <w:sz w:val="24"/>
          <w:szCs w:val="24"/>
          <w:lang w:eastAsia="ja-JP"/>
        </w:rPr>
        <w:t>The purpose of the</w:t>
      </w:r>
      <w:r w:rsidR="00794196">
        <w:rPr>
          <w:rFonts w:ascii="Times New Roman" w:hAnsi="Times New Roman"/>
          <w:sz w:val="24"/>
          <w:szCs w:val="24"/>
          <w:lang w:eastAsia="ja-JP"/>
        </w:rPr>
        <w:t xml:space="preserve"> Amendment Determination</w:t>
      </w:r>
      <w:r w:rsidR="000B0AB7">
        <w:rPr>
          <w:rFonts w:ascii="Times New Roman" w:hAnsi="Times New Roman"/>
          <w:sz w:val="24"/>
          <w:szCs w:val="24"/>
          <w:lang w:eastAsia="ja-JP"/>
        </w:rPr>
        <w:t xml:space="preserve"> is</w:t>
      </w:r>
      <w:r w:rsidR="00A27C35">
        <w:rPr>
          <w:rFonts w:ascii="Times New Roman" w:hAnsi="Times New Roman"/>
          <w:sz w:val="24"/>
          <w:szCs w:val="24"/>
          <w:lang w:eastAsia="ja-JP"/>
        </w:rPr>
        <w:t xml:space="preserve"> to</w:t>
      </w:r>
      <w:r w:rsidR="004D1A28">
        <w:rPr>
          <w:rFonts w:ascii="Times New Roman" w:hAnsi="Times New Roman"/>
          <w:sz w:val="24"/>
          <w:szCs w:val="24"/>
          <w:lang w:eastAsia="ja-JP"/>
        </w:rPr>
        <w:t xml:space="preserve">: </w:t>
      </w:r>
    </w:p>
    <w:p w14:paraId="4C50CD40" w14:textId="6E843450" w:rsidR="004D1A28" w:rsidRDefault="00E91037" w:rsidP="004D1A28">
      <w:pPr>
        <w:pStyle w:val="ListParagraph"/>
        <w:numPr>
          <w:ilvl w:val="0"/>
          <w:numId w:val="28"/>
        </w:numPr>
        <w:spacing w:before="0"/>
        <w:rPr>
          <w:rFonts w:ascii="Times New Roman" w:hAnsi="Times New Roman"/>
          <w:sz w:val="24"/>
          <w:szCs w:val="24"/>
          <w:lang w:eastAsia="ja-JP"/>
        </w:rPr>
      </w:pPr>
      <w:r w:rsidRPr="00A90665">
        <w:rPr>
          <w:rFonts w:ascii="Times New Roman" w:hAnsi="Times New Roman"/>
          <w:sz w:val="24"/>
          <w:szCs w:val="24"/>
          <w:lang w:eastAsia="ja-JP"/>
        </w:rPr>
        <w:t xml:space="preserve">vary the Port of Wyndham Determination </w:t>
      </w:r>
      <w:r w:rsidR="00026CEA" w:rsidRPr="00A90665">
        <w:rPr>
          <w:rFonts w:ascii="Times New Roman" w:hAnsi="Times New Roman"/>
          <w:sz w:val="24"/>
          <w:szCs w:val="24"/>
          <w:lang w:eastAsia="ja-JP"/>
        </w:rPr>
        <w:t>to de</w:t>
      </w:r>
      <w:r w:rsidR="001F0427" w:rsidRPr="00A90665">
        <w:rPr>
          <w:rFonts w:ascii="Times New Roman" w:hAnsi="Times New Roman"/>
          <w:sz w:val="24"/>
          <w:szCs w:val="24"/>
          <w:lang w:eastAsia="ja-JP"/>
        </w:rPr>
        <w:t>termine the Port of Wyndham as a first point of entry for</w:t>
      </w:r>
      <w:r w:rsidR="004F7D4F" w:rsidRPr="00A90665">
        <w:rPr>
          <w:rFonts w:ascii="Times New Roman" w:hAnsi="Times New Roman"/>
          <w:sz w:val="24"/>
          <w:szCs w:val="24"/>
          <w:lang w:eastAsia="ja-JP"/>
        </w:rPr>
        <w:t xml:space="preserve"> an additional class of goods, being</w:t>
      </w:r>
      <w:r w:rsidR="001F0427" w:rsidRPr="00A90665">
        <w:rPr>
          <w:rFonts w:ascii="Times New Roman" w:hAnsi="Times New Roman"/>
          <w:sz w:val="24"/>
          <w:szCs w:val="24"/>
          <w:lang w:eastAsia="ja-JP"/>
        </w:rPr>
        <w:t xml:space="preserve"> </w:t>
      </w:r>
      <w:r w:rsidR="00290699" w:rsidRPr="00A90665">
        <w:rPr>
          <w:rFonts w:ascii="Times New Roman" w:hAnsi="Times New Roman"/>
          <w:sz w:val="24"/>
          <w:szCs w:val="24"/>
          <w:lang w:eastAsia="ja-JP"/>
        </w:rPr>
        <w:t>“</w:t>
      </w:r>
      <w:r w:rsidR="001F0427" w:rsidRPr="00A90665">
        <w:rPr>
          <w:rFonts w:ascii="Times New Roman" w:hAnsi="Times New Roman"/>
          <w:sz w:val="24"/>
          <w:szCs w:val="24"/>
          <w:lang w:eastAsia="ja-JP"/>
        </w:rPr>
        <w:t>inorganic bulk goods</w:t>
      </w:r>
      <w:r w:rsidR="00290699" w:rsidRPr="00A90665">
        <w:rPr>
          <w:rFonts w:ascii="Times New Roman" w:hAnsi="Times New Roman"/>
          <w:sz w:val="24"/>
          <w:szCs w:val="24"/>
          <w:lang w:eastAsia="ja-JP"/>
        </w:rPr>
        <w:t>”</w:t>
      </w:r>
      <w:r w:rsidR="001F0427" w:rsidRPr="00A90665">
        <w:rPr>
          <w:rFonts w:ascii="Times New Roman" w:hAnsi="Times New Roman"/>
          <w:sz w:val="24"/>
          <w:szCs w:val="24"/>
          <w:lang w:eastAsia="ja-JP"/>
        </w:rPr>
        <w:t xml:space="preserve">, in addition to baggage carried on a vessel other than a non-commercial vessel or a passenger vessel </w:t>
      </w:r>
    </w:p>
    <w:p w14:paraId="2BD9A79C" w14:textId="0833DC58" w:rsidR="000D36EB" w:rsidRPr="004D1A28" w:rsidRDefault="001F0427" w:rsidP="00A90665">
      <w:pPr>
        <w:pStyle w:val="ListParagraph"/>
        <w:numPr>
          <w:ilvl w:val="0"/>
          <w:numId w:val="28"/>
        </w:numPr>
        <w:spacing w:before="0"/>
        <w:rPr>
          <w:rFonts w:ascii="Times New Roman" w:hAnsi="Times New Roman"/>
          <w:sz w:val="24"/>
          <w:szCs w:val="24"/>
          <w:lang w:eastAsia="ja-JP"/>
        </w:rPr>
      </w:pPr>
      <w:r w:rsidRPr="00A90665">
        <w:rPr>
          <w:rFonts w:ascii="Times New Roman" w:hAnsi="Times New Roman"/>
          <w:sz w:val="24"/>
          <w:szCs w:val="24"/>
          <w:lang w:eastAsia="ja-JP"/>
        </w:rPr>
        <w:t xml:space="preserve">designate Wyndham Wharf as </w:t>
      </w:r>
      <w:r w:rsidR="000D36EB" w:rsidRPr="00A90665">
        <w:rPr>
          <w:rFonts w:ascii="Times New Roman" w:hAnsi="Times New Roman"/>
          <w:sz w:val="24"/>
          <w:szCs w:val="24"/>
          <w:lang w:eastAsia="ja-JP"/>
        </w:rPr>
        <w:t xml:space="preserve">a </w:t>
      </w:r>
      <w:r w:rsidRPr="00A90665">
        <w:rPr>
          <w:rFonts w:ascii="Times New Roman" w:hAnsi="Times New Roman"/>
          <w:sz w:val="24"/>
          <w:szCs w:val="24"/>
          <w:lang w:eastAsia="ja-JP"/>
        </w:rPr>
        <w:t xml:space="preserve">biosecurity entry point </w:t>
      </w:r>
      <w:r w:rsidR="000D36EB" w:rsidRPr="00A90665">
        <w:rPr>
          <w:rFonts w:ascii="Times New Roman" w:hAnsi="Times New Roman"/>
          <w:sz w:val="24"/>
          <w:szCs w:val="24"/>
          <w:lang w:eastAsia="ja-JP"/>
        </w:rPr>
        <w:t xml:space="preserve">(BEP) </w:t>
      </w:r>
      <w:r w:rsidRPr="00A90665">
        <w:rPr>
          <w:rFonts w:ascii="Times New Roman" w:hAnsi="Times New Roman"/>
          <w:sz w:val="24"/>
          <w:szCs w:val="24"/>
          <w:lang w:eastAsia="ja-JP"/>
        </w:rPr>
        <w:t xml:space="preserve">for inorganic bulk goods </w:t>
      </w:r>
    </w:p>
    <w:p w14:paraId="2E3DB378" w14:textId="02413599" w:rsidR="000D36EB" w:rsidRPr="00A90665" w:rsidRDefault="004D1A28" w:rsidP="00A90665">
      <w:pPr>
        <w:pStyle w:val="ListParagraph"/>
        <w:numPr>
          <w:ilvl w:val="0"/>
          <w:numId w:val="28"/>
        </w:numPr>
        <w:spacing w:before="0"/>
        <w:rPr>
          <w:rFonts w:ascii="Times New Roman" w:hAnsi="Times New Roman"/>
          <w:sz w:val="24"/>
          <w:szCs w:val="24"/>
          <w:lang w:eastAsia="ja-JP"/>
        </w:rPr>
      </w:pPr>
      <w:r>
        <w:rPr>
          <w:rFonts w:ascii="Times New Roman" w:hAnsi="Times New Roman"/>
          <w:sz w:val="24"/>
          <w:szCs w:val="24"/>
          <w:lang w:eastAsia="ja-JP"/>
        </w:rPr>
        <w:t xml:space="preserve">designate </w:t>
      </w:r>
      <w:r w:rsidR="000D36EB" w:rsidRPr="00A90665">
        <w:rPr>
          <w:rFonts w:ascii="Times New Roman" w:hAnsi="Times New Roman"/>
          <w:sz w:val="24"/>
          <w:szCs w:val="24"/>
          <w:lang w:eastAsia="ja-JP"/>
        </w:rPr>
        <w:t>Wyndham Anchorage Point as a BEP for passenger vessels</w:t>
      </w:r>
      <w:r>
        <w:rPr>
          <w:rFonts w:ascii="Times New Roman" w:hAnsi="Times New Roman"/>
          <w:sz w:val="24"/>
          <w:szCs w:val="24"/>
          <w:lang w:eastAsia="ja-JP"/>
        </w:rPr>
        <w:t xml:space="preserve">, in addition to the existing BEP for such vessels, </w:t>
      </w:r>
      <w:r w:rsidR="000D36EB" w:rsidRPr="00A90665">
        <w:rPr>
          <w:rFonts w:ascii="Times New Roman" w:hAnsi="Times New Roman"/>
          <w:sz w:val="24"/>
          <w:szCs w:val="24"/>
          <w:lang w:eastAsia="ja-JP"/>
        </w:rPr>
        <w:t xml:space="preserve">Wyndham </w:t>
      </w:r>
      <w:r w:rsidR="001D781D" w:rsidRPr="00A90665">
        <w:rPr>
          <w:rFonts w:ascii="Times New Roman" w:hAnsi="Times New Roman"/>
          <w:sz w:val="24"/>
          <w:szCs w:val="24"/>
          <w:lang w:eastAsia="ja-JP"/>
        </w:rPr>
        <w:t>W</w:t>
      </w:r>
      <w:r w:rsidR="000D36EB" w:rsidRPr="00A90665">
        <w:rPr>
          <w:rFonts w:ascii="Times New Roman" w:hAnsi="Times New Roman"/>
          <w:sz w:val="24"/>
          <w:szCs w:val="24"/>
          <w:lang w:eastAsia="ja-JP"/>
        </w:rPr>
        <w:t>harf</w:t>
      </w:r>
      <w:r>
        <w:rPr>
          <w:rFonts w:ascii="Times New Roman" w:hAnsi="Times New Roman"/>
          <w:sz w:val="24"/>
          <w:szCs w:val="24"/>
          <w:lang w:eastAsia="ja-JP"/>
        </w:rPr>
        <w:t>.</w:t>
      </w:r>
      <w:r w:rsidR="000D36EB" w:rsidRPr="00A90665">
        <w:rPr>
          <w:rFonts w:ascii="Times New Roman" w:hAnsi="Times New Roman"/>
          <w:sz w:val="24"/>
          <w:szCs w:val="24"/>
          <w:lang w:eastAsia="ja-JP"/>
        </w:rPr>
        <w:t xml:space="preserve"> </w:t>
      </w:r>
    </w:p>
    <w:p w14:paraId="3C686DE6" w14:textId="77777777" w:rsidR="001107AF" w:rsidRDefault="001107AF" w:rsidP="00013E0D">
      <w:pPr>
        <w:spacing w:before="0"/>
        <w:rPr>
          <w:rFonts w:ascii="Times New Roman" w:hAnsi="Times New Roman"/>
          <w:sz w:val="24"/>
          <w:szCs w:val="24"/>
          <w:lang w:eastAsia="ja-JP"/>
        </w:rPr>
      </w:pPr>
      <w:bookmarkStart w:id="3" w:name="_Hlk161934309"/>
      <w:bookmarkEnd w:id="2"/>
    </w:p>
    <w:p w14:paraId="40FF2024" w14:textId="77777777" w:rsidR="00434F29" w:rsidRDefault="00434F29" w:rsidP="00013E0D">
      <w:pPr>
        <w:spacing w:before="0"/>
        <w:rPr>
          <w:rFonts w:ascii="Times New Roman" w:hAnsi="Times New Roman"/>
          <w:sz w:val="24"/>
          <w:szCs w:val="24"/>
          <w:lang w:eastAsia="ja-JP"/>
        </w:rPr>
        <w:sectPr w:rsidR="00434F29" w:rsidSect="00434F29">
          <w:footerReference w:type="even" r:id="rId8"/>
          <w:footerReference w:type="default" r:id="rId9"/>
          <w:footerReference w:type="first" r:id="rId10"/>
          <w:pgSz w:w="11906" w:h="16838"/>
          <w:pgMar w:top="1440" w:right="1440" w:bottom="1440" w:left="1440" w:header="708" w:footer="708" w:gutter="0"/>
          <w:cols w:space="708"/>
          <w:titlePg/>
          <w:docGrid w:linePitch="360"/>
        </w:sectPr>
      </w:pPr>
    </w:p>
    <w:p w14:paraId="64973D98" w14:textId="77777777" w:rsidR="00CA1B35" w:rsidRDefault="00CA1B35" w:rsidP="00013E0D">
      <w:pPr>
        <w:spacing w:before="0"/>
        <w:rPr>
          <w:rFonts w:ascii="Times New Roman" w:hAnsi="Times New Roman"/>
          <w:sz w:val="24"/>
          <w:szCs w:val="24"/>
          <w:lang w:eastAsia="ja-JP"/>
        </w:rPr>
      </w:pPr>
    </w:p>
    <w:bookmarkEnd w:id="3"/>
    <w:p w14:paraId="05326D62" w14:textId="3BB40E17" w:rsidR="00091BB1" w:rsidRPr="00E51722" w:rsidRDefault="00091BB1"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Background</w:t>
      </w:r>
    </w:p>
    <w:p w14:paraId="68980BD0" w14:textId="77777777" w:rsidR="002A045B" w:rsidRPr="00E51722" w:rsidRDefault="002A045B" w:rsidP="002A045B">
      <w:pPr>
        <w:spacing w:before="0"/>
        <w:rPr>
          <w:rFonts w:ascii="Times New Roman" w:hAnsi="Times New Roman"/>
          <w:sz w:val="24"/>
          <w:szCs w:val="24"/>
          <w:lang w:eastAsia="ja-JP"/>
        </w:rPr>
      </w:pPr>
    </w:p>
    <w:p w14:paraId="44E14EE0" w14:textId="4CF8CAEA" w:rsidR="00AA5ABF" w:rsidRDefault="00AA5ABF" w:rsidP="00AA5ABF">
      <w:pPr>
        <w:shd w:val="clear" w:color="auto" w:fill="FFFFFF"/>
        <w:spacing w:before="0"/>
        <w:rPr>
          <w:rFonts w:ascii="Times New Roman" w:eastAsia="Times New Roman" w:hAnsi="Times New Roman"/>
          <w:color w:val="000000"/>
          <w:sz w:val="24"/>
          <w:szCs w:val="24"/>
          <w:lang w:eastAsia="en-AU"/>
        </w:rPr>
      </w:pPr>
      <w:bookmarkStart w:id="4" w:name="_Hlk180144567"/>
      <w:r w:rsidRPr="00E51722">
        <w:rPr>
          <w:rFonts w:ascii="Times New Roman" w:eastAsia="Times New Roman" w:hAnsi="Times New Roman"/>
          <w:color w:val="000000"/>
          <w:sz w:val="24"/>
          <w:szCs w:val="24"/>
          <w:lang w:eastAsia="en-AU"/>
        </w:rPr>
        <w:t xml:space="preserve">The </w:t>
      </w:r>
      <w:r w:rsidR="00057A47" w:rsidRPr="00E51722">
        <w:rPr>
          <w:rFonts w:ascii="Times New Roman" w:eastAsia="Times New Roman" w:hAnsi="Times New Roman"/>
          <w:color w:val="000000"/>
          <w:sz w:val="24"/>
          <w:szCs w:val="24"/>
          <w:lang w:eastAsia="en-AU"/>
        </w:rPr>
        <w:t>Department of Agriculture, Fisheries and Forestry (the department)</w:t>
      </w:r>
      <w:r w:rsidRPr="00E51722">
        <w:rPr>
          <w:rFonts w:ascii="Times New Roman" w:eastAsia="Times New Roman" w:hAnsi="Times New Roman"/>
          <w:color w:val="000000"/>
          <w:sz w:val="24"/>
          <w:szCs w:val="24"/>
          <w:lang w:eastAsia="en-AU"/>
        </w:rPr>
        <w:t xml:space="preserve"> </w:t>
      </w:r>
      <w:r w:rsidR="005045BA">
        <w:rPr>
          <w:rFonts w:ascii="Times New Roman" w:eastAsia="Times New Roman" w:hAnsi="Times New Roman"/>
          <w:color w:val="000000"/>
          <w:sz w:val="24"/>
          <w:szCs w:val="24"/>
          <w:lang w:eastAsia="en-AU"/>
        </w:rPr>
        <w:t xml:space="preserve">administers the </w:t>
      </w:r>
      <w:r w:rsidR="00EC1FCD">
        <w:rPr>
          <w:rFonts w:ascii="Times New Roman" w:eastAsia="Times New Roman" w:hAnsi="Times New Roman"/>
          <w:color w:val="000000"/>
          <w:sz w:val="24"/>
          <w:szCs w:val="24"/>
          <w:lang w:eastAsia="en-AU"/>
        </w:rPr>
        <w:t xml:space="preserve">Biosecurity </w:t>
      </w:r>
      <w:r w:rsidR="005045BA">
        <w:rPr>
          <w:rFonts w:ascii="Times New Roman" w:eastAsia="Times New Roman" w:hAnsi="Times New Roman"/>
          <w:color w:val="000000"/>
          <w:sz w:val="24"/>
          <w:szCs w:val="24"/>
          <w:lang w:eastAsia="en-AU"/>
        </w:rPr>
        <w:t xml:space="preserve">Act to manage biosecurity threats </w:t>
      </w:r>
      <w:r w:rsidRPr="00E51722">
        <w:rPr>
          <w:rFonts w:ascii="Times New Roman" w:eastAsia="Times New Roman" w:hAnsi="Times New Roman"/>
          <w:color w:val="000000"/>
          <w:sz w:val="24"/>
          <w:szCs w:val="24"/>
          <w:lang w:eastAsia="en-AU"/>
        </w:rPr>
        <w:t>that may cause harm to human, animal or plant health or the environment</w:t>
      </w:r>
      <w:r w:rsidR="00652628">
        <w:rPr>
          <w:rFonts w:ascii="Times New Roman" w:eastAsia="Times New Roman" w:hAnsi="Times New Roman"/>
          <w:color w:val="000000"/>
          <w:sz w:val="24"/>
          <w:szCs w:val="24"/>
          <w:lang w:eastAsia="en-AU"/>
        </w:rPr>
        <w:t>. The Biosecurity Act</w:t>
      </w:r>
      <w:r w:rsidR="00EC1FCD">
        <w:rPr>
          <w:rFonts w:ascii="Times New Roman" w:eastAsia="Times New Roman" w:hAnsi="Times New Roman"/>
          <w:color w:val="000000"/>
          <w:sz w:val="24"/>
          <w:szCs w:val="24"/>
          <w:lang w:eastAsia="en-AU"/>
        </w:rPr>
        <w:t xml:space="preserve"> provides the Commonwealth with powers to assess and manage biosecurity risk, among other things. </w:t>
      </w:r>
      <w:r w:rsidR="001C6F7E">
        <w:rPr>
          <w:rFonts w:ascii="Times New Roman" w:eastAsia="Times New Roman" w:hAnsi="Times New Roman"/>
          <w:color w:val="000000"/>
          <w:sz w:val="24"/>
          <w:szCs w:val="24"/>
          <w:lang w:eastAsia="en-AU"/>
        </w:rPr>
        <w:t>“</w:t>
      </w:r>
      <w:r w:rsidR="00EC1FCD">
        <w:rPr>
          <w:rFonts w:ascii="Times New Roman" w:eastAsia="Times New Roman" w:hAnsi="Times New Roman"/>
          <w:color w:val="000000"/>
          <w:sz w:val="24"/>
          <w:szCs w:val="24"/>
          <w:lang w:eastAsia="en-AU"/>
        </w:rPr>
        <w:t>Biosecurity risk</w:t>
      </w:r>
      <w:r w:rsidR="00652628">
        <w:rPr>
          <w:rFonts w:ascii="Times New Roman" w:eastAsia="Times New Roman" w:hAnsi="Times New Roman"/>
          <w:color w:val="000000"/>
          <w:sz w:val="24"/>
          <w:szCs w:val="24"/>
          <w:lang w:eastAsia="en-AU"/>
        </w:rPr>
        <w:t>”</w:t>
      </w:r>
      <w:r w:rsidR="00EC1FCD">
        <w:rPr>
          <w:rFonts w:ascii="Times New Roman" w:eastAsia="Times New Roman" w:hAnsi="Times New Roman"/>
          <w:color w:val="000000"/>
          <w:sz w:val="24"/>
          <w:szCs w:val="24"/>
          <w:lang w:eastAsia="en-AU"/>
        </w:rPr>
        <w:t xml:space="preserve"> is defined in section 9 of the Biosecurity Act. </w:t>
      </w:r>
    </w:p>
    <w:p w14:paraId="731C69A3" w14:textId="77777777" w:rsidR="009C016B" w:rsidRPr="00AC1CF1" w:rsidRDefault="009C016B" w:rsidP="00AA5ABF">
      <w:pPr>
        <w:shd w:val="clear" w:color="auto" w:fill="FFFFFF"/>
        <w:spacing w:before="0"/>
        <w:rPr>
          <w:rFonts w:ascii="Times New Roman" w:eastAsia="Times New Roman" w:hAnsi="Times New Roman"/>
          <w:color w:val="000000"/>
          <w:sz w:val="24"/>
          <w:szCs w:val="24"/>
          <w:lang w:eastAsia="en-AU"/>
        </w:rPr>
      </w:pPr>
    </w:p>
    <w:p w14:paraId="2F71AB20" w14:textId="7F8D559C" w:rsidR="00751313" w:rsidRPr="00751313" w:rsidRDefault="00E57273" w:rsidP="20BDF2D5">
      <w:pPr>
        <w:shd w:val="clear" w:color="auto" w:fill="FFFFFF" w:themeFill="background1"/>
        <w:spacing w:before="0"/>
        <w:rPr>
          <w:rFonts w:ascii="Times New Roman" w:eastAsia="Times New Roman" w:hAnsi="Times New Roman"/>
          <w:color w:val="000000"/>
          <w:sz w:val="24"/>
          <w:szCs w:val="24"/>
          <w:lang w:eastAsia="en-AU"/>
        </w:rPr>
      </w:pPr>
      <w:r w:rsidRPr="1EB352EF">
        <w:rPr>
          <w:rFonts w:ascii="Times New Roman" w:hAnsi="Times New Roman"/>
          <w:color w:val="000000" w:themeColor="text1"/>
          <w:sz w:val="24"/>
          <w:szCs w:val="24"/>
        </w:rPr>
        <w:t xml:space="preserve">The </w:t>
      </w:r>
      <w:r w:rsidR="00751313" w:rsidRPr="1EB352EF">
        <w:rPr>
          <w:rFonts w:ascii="Times New Roman" w:hAnsi="Times New Roman"/>
          <w:color w:val="000000" w:themeColor="text1"/>
          <w:sz w:val="24"/>
          <w:szCs w:val="24"/>
        </w:rPr>
        <w:t>Port of Wyndham Determination commenced on 16 June 2019</w:t>
      </w:r>
      <w:r w:rsidR="009C016B" w:rsidRPr="1EB352EF">
        <w:rPr>
          <w:rFonts w:ascii="Times New Roman" w:hAnsi="Times New Roman"/>
          <w:color w:val="000000" w:themeColor="text1"/>
          <w:sz w:val="24"/>
          <w:szCs w:val="24"/>
        </w:rPr>
        <w:t xml:space="preserve">, </w:t>
      </w:r>
      <w:r w:rsidR="00751313" w:rsidRPr="1EB352EF">
        <w:rPr>
          <w:rFonts w:ascii="Times New Roman" w:hAnsi="Times New Roman"/>
          <w:color w:val="000000" w:themeColor="text1"/>
          <w:sz w:val="24"/>
          <w:szCs w:val="24"/>
        </w:rPr>
        <w:t xml:space="preserve">which determined </w:t>
      </w:r>
      <w:r w:rsidR="009C016B" w:rsidRPr="1EB352EF">
        <w:rPr>
          <w:rFonts w:ascii="Times New Roman" w:hAnsi="Times New Roman"/>
          <w:color w:val="000000" w:themeColor="text1"/>
          <w:sz w:val="24"/>
          <w:szCs w:val="24"/>
        </w:rPr>
        <w:t>the Port of Wyndham as a first point of entry for vessels other than non-commercial vessels</w:t>
      </w:r>
      <w:r w:rsidR="00BF682F" w:rsidRPr="1EB352EF">
        <w:rPr>
          <w:rFonts w:ascii="Times New Roman" w:hAnsi="Times New Roman"/>
          <w:color w:val="000000" w:themeColor="text1"/>
          <w:sz w:val="24"/>
          <w:szCs w:val="24"/>
        </w:rPr>
        <w:t xml:space="preserve"> and </w:t>
      </w:r>
      <w:r w:rsidR="00751313" w:rsidRPr="1EB352EF">
        <w:rPr>
          <w:rFonts w:ascii="Times New Roman" w:hAnsi="Times New Roman"/>
          <w:color w:val="000000" w:themeColor="text1"/>
          <w:sz w:val="24"/>
          <w:szCs w:val="24"/>
        </w:rPr>
        <w:t>baggage carried on a vessel other than a non</w:t>
      </w:r>
      <w:r w:rsidR="691B6BB2" w:rsidRPr="1EB352EF">
        <w:rPr>
          <w:rFonts w:ascii="Times New Roman" w:hAnsi="Times New Roman"/>
          <w:color w:val="000000" w:themeColor="text1"/>
          <w:sz w:val="24"/>
          <w:szCs w:val="24"/>
        </w:rPr>
        <w:t>-</w:t>
      </w:r>
      <w:r w:rsidR="00751313" w:rsidRPr="1EB352EF">
        <w:rPr>
          <w:rFonts w:ascii="Times New Roman" w:hAnsi="Times New Roman"/>
          <w:color w:val="000000" w:themeColor="text1"/>
          <w:sz w:val="24"/>
          <w:szCs w:val="24"/>
        </w:rPr>
        <w:t>commercial vessel or a passenger vessel.</w:t>
      </w:r>
      <w:r w:rsidR="00BF682F" w:rsidRPr="1EB352EF">
        <w:rPr>
          <w:rFonts w:ascii="Times New Roman" w:hAnsi="Times New Roman"/>
          <w:color w:val="000000" w:themeColor="text1"/>
          <w:sz w:val="24"/>
          <w:szCs w:val="24"/>
        </w:rPr>
        <w:t xml:space="preserve"> </w:t>
      </w:r>
      <w:r w:rsidR="00AC1CF1" w:rsidRPr="1EB352EF">
        <w:rPr>
          <w:rFonts w:ascii="Times New Roman" w:hAnsi="Times New Roman"/>
          <w:color w:val="000000" w:themeColor="text1"/>
          <w:sz w:val="24"/>
          <w:szCs w:val="24"/>
        </w:rPr>
        <w:t>T</w:t>
      </w:r>
      <w:r w:rsidR="00A00A77" w:rsidRPr="1EB352EF">
        <w:rPr>
          <w:rFonts w:ascii="Times New Roman" w:hAnsi="Times New Roman"/>
          <w:color w:val="000000" w:themeColor="text1"/>
          <w:sz w:val="24"/>
          <w:szCs w:val="24"/>
        </w:rPr>
        <w:t>he Director of Biosecurity was satisfied that the Port of Wyndham met the requirements of subsection 229(2) of the Biosecurity Act.</w:t>
      </w:r>
      <w:r w:rsidR="00AA5ABF" w:rsidRPr="1EB352EF">
        <w:rPr>
          <w:rFonts w:ascii="Times New Roman" w:eastAsia="Times New Roman" w:hAnsi="Times New Roman"/>
          <w:color w:val="000000" w:themeColor="text1"/>
          <w:sz w:val="24"/>
          <w:szCs w:val="24"/>
          <w:lang w:eastAsia="en-AU"/>
        </w:rPr>
        <w:t> </w:t>
      </w:r>
    </w:p>
    <w:bookmarkEnd w:id="4"/>
    <w:p w14:paraId="2BDB886C" w14:textId="77777777" w:rsidR="00300F32" w:rsidRDefault="00300F32" w:rsidP="001345C3">
      <w:pPr>
        <w:shd w:val="clear" w:color="auto" w:fill="FFFFFF"/>
        <w:spacing w:before="0"/>
        <w:rPr>
          <w:rFonts w:ascii="Times New Roman" w:hAnsi="Times New Roman"/>
          <w:sz w:val="24"/>
          <w:szCs w:val="24"/>
          <w:lang w:eastAsia="ja-JP"/>
        </w:rPr>
      </w:pPr>
    </w:p>
    <w:p w14:paraId="686D830A" w14:textId="7B61E729" w:rsidR="00202754" w:rsidRPr="00202754" w:rsidRDefault="00202754" w:rsidP="009E79FD">
      <w:pPr>
        <w:shd w:val="clear" w:color="auto" w:fill="FFFFFF"/>
        <w:spacing w:line="20" w:lineRule="atLeast"/>
        <w:rPr>
          <w:rFonts w:ascii="Times New Roman" w:eastAsia="Times New Roman" w:hAnsi="Times New Roman"/>
          <w:lang w:eastAsia="en-AU"/>
        </w:rPr>
      </w:pPr>
      <w:r>
        <w:rPr>
          <w:rFonts w:ascii="Times New Roman" w:eastAsia="Times New Roman" w:hAnsi="Times New Roman"/>
          <w:sz w:val="24"/>
          <w:szCs w:val="24"/>
          <w:lang w:eastAsia="en-AU"/>
        </w:rPr>
        <w:t xml:space="preserve">On </w:t>
      </w:r>
      <w:r w:rsidR="001D781D">
        <w:rPr>
          <w:rFonts w:ascii="Times New Roman" w:eastAsia="Times New Roman" w:hAnsi="Times New Roman"/>
          <w:sz w:val="24"/>
          <w:szCs w:val="24"/>
          <w:lang w:eastAsia="en-AU"/>
        </w:rPr>
        <w:t>10 April 2024</w:t>
      </w:r>
      <w:r>
        <w:rPr>
          <w:rFonts w:ascii="Times New Roman" w:eastAsia="Times New Roman" w:hAnsi="Times New Roman"/>
          <w:sz w:val="24"/>
          <w:szCs w:val="24"/>
          <w:lang w:eastAsia="en-AU"/>
        </w:rPr>
        <w:t xml:space="preserve">, </w:t>
      </w:r>
      <w:r w:rsidDel="00B7125B">
        <w:rPr>
          <w:rFonts w:ascii="Times New Roman" w:eastAsia="Times New Roman" w:hAnsi="Times New Roman"/>
          <w:sz w:val="24"/>
          <w:szCs w:val="24"/>
          <w:lang w:eastAsia="en-AU"/>
        </w:rPr>
        <w:t>the operator</w:t>
      </w:r>
      <w:r w:rsidR="004D1A28">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at the </w:t>
      </w:r>
      <w:r>
        <w:rPr>
          <w:rFonts w:ascii="Times New Roman" w:hAnsi="Times New Roman"/>
          <w:sz w:val="24"/>
          <w:szCs w:val="24"/>
          <w:lang w:eastAsia="ja-JP"/>
        </w:rPr>
        <w:t>Port of Wyndham</w:t>
      </w:r>
      <w:r w:rsidDel="00B7125B">
        <w:rPr>
          <w:rFonts w:ascii="Times New Roman" w:eastAsia="Times New Roman" w:hAnsi="Times New Roman"/>
          <w:sz w:val="24"/>
          <w:szCs w:val="24"/>
          <w:lang w:eastAsia="en-AU"/>
        </w:rPr>
        <w:t xml:space="preserve"> submitted a request to the department to vary the </w:t>
      </w:r>
      <w:r>
        <w:rPr>
          <w:rFonts w:ascii="Times New Roman" w:hAnsi="Times New Roman"/>
          <w:sz w:val="24"/>
          <w:szCs w:val="24"/>
          <w:lang w:eastAsia="ja-JP"/>
        </w:rPr>
        <w:t>Port of Wyndham</w:t>
      </w:r>
      <w:r w:rsidDel="00B7125B">
        <w:rPr>
          <w:rFonts w:ascii="Times New Roman" w:eastAsia="Times New Roman" w:hAnsi="Times New Roman"/>
          <w:sz w:val="24"/>
          <w:szCs w:val="24"/>
          <w:lang w:eastAsia="en-AU"/>
        </w:rPr>
        <w:t xml:space="preserve"> Determination for the purposes of </w:t>
      </w:r>
      <w:r w:rsidRPr="001D042B">
        <w:rPr>
          <w:rFonts w:ascii="Times New Roman" w:eastAsia="Times New Roman" w:hAnsi="Times New Roman"/>
          <w:sz w:val="24"/>
          <w:szCs w:val="24"/>
          <w:lang w:eastAsia="en-AU"/>
        </w:rPr>
        <w:t>determin</w:t>
      </w:r>
      <w:r>
        <w:rPr>
          <w:rFonts w:ascii="Times New Roman" w:eastAsia="Times New Roman" w:hAnsi="Times New Roman"/>
          <w:sz w:val="24"/>
          <w:szCs w:val="24"/>
          <w:lang w:eastAsia="en-AU"/>
        </w:rPr>
        <w:t>ing</w:t>
      </w:r>
      <w:r w:rsidRPr="001D042B">
        <w:rPr>
          <w:rFonts w:ascii="Times New Roman" w:eastAsia="Times New Roman" w:hAnsi="Times New Roman"/>
          <w:sz w:val="24"/>
          <w:szCs w:val="24"/>
          <w:lang w:eastAsia="en-AU"/>
        </w:rPr>
        <w:t xml:space="preserve"> </w:t>
      </w:r>
      <w:r>
        <w:rPr>
          <w:rFonts w:ascii="Times New Roman" w:hAnsi="Times New Roman"/>
          <w:sz w:val="24"/>
          <w:szCs w:val="24"/>
          <w:lang w:eastAsia="ja-JP"/>
        </w:rPr>
        <w:t>Port of Wyndham</w:t>
      </w:r>
      <w:r w:rsidRPr="001D042B">
        <w:rPr>
          <w:rFonts w:ascii="Times New Roman" w:eastAsia="Times New Roman" w:hAnsi="Times New Roman"/>
          <w:sz w:val="24"/>
          <w:szCs w:val="24"/>
          <w:lang w:eastAsia="en-AU"/>
        </w:rPr>
        <w:t xml:space="preserve"> as a first point of entry for </w:t>
      </w:r>
      <w:r>
        <w:rPr>
          <w:rFonts w:ascii="Times New Roman" w:eastAsia="Times New Roman" w:hAnsi="Times New Roman"/>
          <w:sz w:val="24"/>
          <w:szCs w:val="24"/>
          <w:lang w:eastAsia="en-AU"/>
        </w:rPr>
        <w:t xml:space="preserve">inorganic bulk goods, and </w:t>
      </w:r>
      <w:r w:rsidDel="00B7125B">
        <w:rPr>
          <w:rFonts w:ascii="Times New Roman" w:eastAsia="Times New Roman" w:hAnsi="Times New Roman"/>
          <w:sz w:val="24"/>
          <w:szCs w:val="24"/>
          <w:lang w:eastAsia="en-AU"/>
        </w:rPr>
        <w:t xml:space="preserve">designating </w:t>
      </w:r>
      <w:r w:rsidRPr="00202754">
        <w:rPr>
          <w:rFonts w:ascii="Times New Roman" w:eastAsia="Times New Roman" w:hAnsi="Times New Roman"/>
          <w:sz w:val="24"/>
          <w:szCs w:val="24"/>
          <w:lang w:eastAsia="en-AU"/>
        </w:rPr>
        <w:t>Wyndham Wharf</w:t>
      </w:r>
      <w:r>
        <w:rPr>
          <w:rFonts w:ascii="Times New Roman" w:eastAsia="Times New Roman" w:hAnsi="Times New Roman"/>
          <w:sz w:val="24"/>
          <w:szCs w:val="24"/>
          <w:lang w:eastAsia="en-AU"/>
        </w:rPr>
        <w:t xml:space="preserve"> as </w:t>
      </w:r>
      <w:r w:rsidR="001D781D">
        <w:rPr>
          <w:rFonts w:ascii="Times New Roman" w:eastAsia="Times New Roman" w:hAnsi="Times New Roman"/>
          <w:sz w:val="24"/>
          <w:szCs w:val="24"/>
          <w:lang w:eastAsia="en-AU"/>
        </w:rPr>
        <w:t>a</w:t>
      </w:r>
      <w:r w:rsidR="00144C36">
        <w:rPr>
          <w:rFonts w:ascii="Times New Roman" w:eastAsia="Times New Roman" w:hAnsi="Times New Roman"/>
          <w:sz w:val="24"/>
          <w:szCs w:val="24"/>
          <w:lang w:eastAsia="en-AU"/>
        </w:rPr>
        <w:t xml:space="preserve"> BEP</w:t>
      </w:r>
      <w:r>
        <w:rPr>
          <w:rFonts w:ascii="Times New Roman" w:eastAsia="Times New Roman" w:hAnsi="Times New Roman"/>
          <w:sz w:val="24"/>
          <w:szCs w:val="24"/>
          <w:lang w:eastAsia="en-AU"/>
        </w:rPr>
        <w:t xml:space="preserve"> for inorganic bulk goods.</w:t>
      </w:r>
    </w:p>
    <w:p w14:paraId="7EFF69DB" w14:textId="77777777" w:rsidR="00202754" w:rsidRDefault="00202754" w:rsidP="001345C3">
      <w:pPr>
        <w:shd w:val="clear" w:color="auto" w:fill="FFFFFF"/>
        <w:spacing w:before="0"/>
        <w:rPr>
          <w:rFonts w:ascii="Times New Roman" w:hAnsi="Times New Roman"/>
          <w:sz w:val="24"/>
          <w:szCs w:val="24"/>
          <w:lang w:eastAsia="ja-JP"/>
        </w:rPr>
      </w:pPr>
    </w:p>
    <w:p w14:paraId="5E981806" w14:textId="110FAEB3" w:rsidR="00BD040F" w:rsidRDefault="00BD040F" w:rsidP="1EB352EF">
      <w:pPr>
        <w:shd w:val="clear" w:color="auto" w:fill="FFFFFF" w:themeFill="background1"/>
        <w:spacing w:before="0"/>
        <w:rPr>
          <w:rFonts w:ascii="Times New Roman" w:hAnsi="Times New Roman"/>
          <w:sz w:val="24"/>
          <w:szCs w:val="24"/>
          <w:lang w:eastAsia="ja-JP"/>
        </w:rPr>
      </w:pPr>
      <w:r w:rsidRPr="0C3A8038">
        <w:rPr>
          <w:rFonts w:ascii="Times New Roman" w:hAnsi="Times New Roman"/>
          <w:sz w:val="24"/>
          <w:szCs w:val="24"/>
          <w:lang w:eastAsia="ja-JP"/>
        </w:rPr>
        <w:t>The port operator</w:t>
      </w:r>
      <w:r w:rsidR="004D1A28" w:rsidRPr="0C3A8038">
        <w:rPr>
          <w:rFonts w:ascii="Times New Roman" w:hAnsi="Times New Roman"/>
          <w:sz w:val="24"/>
          <w:szCs w:val="24"/>
          <w:lang w:eastAsia="ja-JP"/>
        </w:rPr>
        <w:t>s</w:t>
      </w:r>
      <w:r w:rsidRPr="0C3A8038">
        <w:rPr>
          <w:rFonts w:ascii="Times New Roman" w:hAnsi="Times New Roman"/>
          <w:sz w:val="24"/>
          <w:szCs w:val="24"/>
          <w:lang w:eastAsia="ja-JP"/>
        </w:rPr>
        <w:t xml:space="preserve">, </w:t>
      </w:r>
      <w:r w:rsidR="00020B93" w:rsidRPr="0C3A8038">
        <w:rPr>
          <w:rFonts w:ascii="Times New Roman" w:hAnsi="Times New Roman"/>
          <w:sz w:val="24"/>
          <w:szCs w:val="24"/>
          <w:lang w:eastAsia="ja-JP"/>
        </w:rPr>
        <w:t>supported by</w:t>
      </w:r>
      <w:r w:rsidRPr="0C3A8038">
        <w:rPr>
          <w:rFonts w:ascii="Times New Roman" w:hAnsi="Times New Roman"/>
          <w:sz w:val="24"/>
          <w:szCs w:val="24"/>
          <w:lang w:eastAsia="ja-JP"/>
        </w:rPr>
        <w:t xml:space="preserve"> representatives f</w:t>
      </w:r>
      <w:r w:rsidR="00144C36" w:rsidRPr="0C3A8038">
        <w:rPr>
          <w:rFonts w:ascii="Times New Roman" w:hAnsi="Times New Roman"/>
          <w:sz w:val="24"/>
          <w:szCs w:val="24"/>
          <w:lang w:eastAsia="ja-JP"/>
        </w:rPr>
        <w:t>rom</w:t>
      </w:r>
      <w:r w:rsidRPr="0C3A8038">
        <w:rPr>
          <w:rFonts w:ascii="Times New Roman" w:hAnsi="Times New Roman"/>
          <w:sz w:val="24"/>
          <w:szCs w:val="24"/>
          <w:lang w:eastAsia="ja-JP"/>
        </w:rPr>
        <w:t xml:space="preserve"> the agriculture industry, have requested </w:t>
      </w:r>
      <w:r w:rsidR="00C77AA6" w:rsidRPr="0C3A8038">
        <w:rPr>
          <w:rFonts w:ascii="Times New Roman" w:hAnsi="Times New Roman"/>
          <w:sz w:val="24"/>
          <w:szCs w:val="24"/>
          <w:lang w:eastAsia="ja-JP"/>
        </w:rPr>
        <w:t xml:space="preserve">this </w:t>
      </w:r>
      <w:r w:rsidR="00675DFD" w:rsidRPr="0C3A8038">
        <w:rPr>
          <w:rFonts w:ascii="Times New Roman" w:hAnsi="Times New Roman"/>
          <w:sz w:val="24"/>
          <w:szCs w:val="24"/>
          <w:lang w:eastAsia="ja-JP"/>
        </w:rPr>
        <w:t xml:space="preserve">primarily </w:t>
      </w:r>
      <w:r w:rsidRPr="0C3A8038">
        <w:rPr>
          <w:rFonts w:ascii="Times New Roman" w:hAnsi="Times New Roman"/>
          <w:sz w:val="24"/>
          <w:szCs w:val="24"/>
          <w:lang w:eastAsia="ja-JP"/>
        </w:rPr>
        <w:t xml:space="preserve">to </w:t>
      </w:r>
      <w:r w:rsidR="00C77AA6" w:rsidRPr="0C3A8038">
        <w:rPr>
          <w:rFonts w:ascii="Times New Roman" w:hAnsi="Times New Roman"/>
          <w:sz w:val="24"/>
          <w:szCs w:val="24"/>
          <w:lang w:eastAsia="ja-JP"/>
        </w:rPr>
        <w:t xml:space="preserve">allow the </w:t>
      </w:r>
      <w:r w:rsidRPr="0C3A8038">
        <w:rPr>
          <w:rFonts w:ascii="Times New Roman" w:hAnsi="Times New Roman"/>
          <w:sz w:val="24"/>
          <w:szCs w:val="24"/>
          <w:lang w:eastAsia="ja-JP"/>
        </w:rPr>
        <w:t xml:space="preserve">import </w:t>
      </w:r>
      <w:r w:rsidR="00C77AA6" w:rsidRPr="0C3A8038">
        <w:rPr>
          <w:rFonts w:ascii="Times New Roman" w:hAnsi="Times New Roman"/>
          <w:sz w:val="24"/>
          <w:szCs w:val="24"/>
          <w:lang w:eastAsia="ja-JP"/>
        </w:rPr>
        <w:t xml:space="preserve">of inorganic </w:t>
      </w:r>
      <w:r w:rsidRPr="0C3A8038">
        <w:rPr>
          <w:rFonts w:ascii="Times New Roman" w:hAnsi="Times New Roman"/>
          <w:sz w:val="24"/>
          <w:szCs w:val="24"/>
          <w:lang w:eastAsia="ja-JP"/>
        </w:rPr>
        <w:t>fertiliser to support cotton farming and other regional agricultural industries</w:t>
      </w:r>
      <w:r w:rsidR="00C77AA6" w:rsidRPr="0C3A8038">
        <w:rPr>
          <w:rFonts w:ascii="Times New Roman" w:hAnsi="Times New Roman"/>
          <w:sz w:val="24"/>
          <w:szCs w:val="24"/>
          <w:lang w:eastAsia="ja-JP"/>
        </w:rPr>
        <w:t>.</w:t>
      </w:r>
      <w:r w:rsidRPr="0C3A8038">
        <w:rPr>
          <w:rFonts w:ascii="Times New Roman" w:hAnsi="Times New Roman"/>
          <w:sz w:val="24"/>
          <w:szCs w:val="24"/>
          <w:lang w:eastAsia="ja-JP"/>
        </w:rPr>
        <w:t xml:space="preserve"> </w:t>
      </w:r>
      <w:r w:rsidR="00C77AA6" w:rsidRPr="0C3A8038">
        <w:rPr>
          <w:rFonts w:ascii="Times New Roman" w:hAnsi="Times New Roman"/>
          <w:sz w:val="24"/>
          <w:szCs w:val="24"/>
          <w:lang w:eastAsia="ja-JP"/>
        </w:rPr>
        <w:t xml:space="preserve">This is expected </w:t>
      </w:r>
      <w:r w:rsidRPr="0C3A8038">
        <w:rPr>
          <w:rFonts w:ascii="Times New Roman" w:hAnsi="Times New Roman"/>
          <w:sz w:val="24"/>
          <w:szCs w:val="24"/>
          <w:lang w:eastAsia="ja-JP"/>
        </w:rPr>
        <w:t>to benefit the Australian economy and regional employment in the Kimberley</w:t>
      </w:r>
      <w:r w:rsidR="00144C36" w:rsidRPr="0C3A8038">
        <w:rPr>
          <w:rFonts w:ascii="Times New Roman" w:hAnsi="Times New Roman"/>
          <w:sz w:val="24"/>
          <w:szCs w:val="24"/>
          <w:lang w:eastAsia="ja-JP"/>
        </w:rPr>
        <w:t xml:space="preserve"> region</w:t>
      </w:r>
      <w:r w:rsidRPr="0C3A8038">
        <w:rPr>
          <w:rFonts w:ascii="Times New Roman" w:hAnsi="Times New Roman"/>
          <w:sz w:val="24"/>
          <w:szCs w:val="24"/>
          <w:lang w:eastAsia="ja-JP"/>
        </w:rPr>
        <w:t>.</w:t>
      </w:r>
    </w:p>
    <w:p w14:paraId="3AB8A03C" w14:textId="77777777" w:rsidR="00BD040F" w:rsidRDefault="00BD040F" w:rsidP="001345C3">
      <w:pPr>
        <w:shd w:val="clear" w:color="auto" w:fill="FFFFFF"/>
        <w:spacing w:before="0"/>
        <w:rPr>
          <w:rFonts w:ascii="Times New Roman" w:hAnsi="Times New Roman"/>
          <w:sz w:val="24"/>
          <w:szCs w:val="24"/>
          <w:lang w:eastAsia="ja-JP"/>
        </w:rPr>
      </w:pPr>
    </w:p>
    <w:p w14:paraId="3AFD6283" w14:textId="0D530444" w:rsidR="00300F32" w:rsidRDefault="00300F32" w:rsidP="001345C3">
      <w:pPr>
        <w:shd w:val="clear" w:color="auto" w:fill="FFFFFF"/>
        <w:spacing w:before="0"/>
        <w:rPr>
          <w:rFonts w:ascii="Times New Roman" w:hAnsi="Times New Roman"/>
          <w:sz w:val="24"/>
          <w:szCs w:val="24"/>
          <w:lang w:eastAsia="ja-JP"/>
        </w:rPr>
      </w:pPr>
      <w:r>
        <w:rPr>
          <w:rFonts w:ascii="Times New Roman" w:hAnsi="Times New Roman"/>
          <w:sz w:val="24"/>
          <w:szCs w:val="24"/>
          <w:lang w:eastAsia="ja-JP"/>
        </w:rPr>
        <w:t>For the purposes of the Amendment Determination, the delegate of the Director of Biosecurity was satisfied that this request was a circumstance prescribed by the Regulation (see paragraph 5</w:t>
      </w:r>
      <w:r w:rsidR="00202754">
        <w:rPr>
          <w:rFonts w:ascii="Times New Roman" w:hAnsi="Times New Roman"/>
          <w:sz w:val="24"/>
          <w:szCs w:val="24"/>
          <w:lang w:eastAsia="ja-JP"/>
        </w:rPr>
        <w:t>9</w:t>
      </w:r>
      <w:r>
        <w:rPr>
          <w:rFonts w:ascii="Times New Roman" w:hAnsi="Times New Roman"/>
          <w:sz w:val="24"/>
          <w:szCs w:val="24"/>
          <w:lang w:eastAsia="ja-JP"/>
        </w:rPr>
        <w:t xml:space="preserve">(c) of the Regulation). The delegate could, therefore, consider whether to vary the Port of Wyndham Determination (see paragraph 233(e) of the Biosecurity Act). </w:t>
      </w:r>
    </w:p>
    <w:p w14:paraId="36946B47" w14:textId="77777777" w:rsidR="00300F32" w:rsidRDefault="00300F32" w:rsidP="001345C3">
      <w:pPr>
        <w:shd w:val="clear" w:color="auto" w:fill="FFFFFF"/>
        <w:spacing w:before="0"/>
        <w:rPr>
          <w:rFonts w:ascii="Times New Roman" w:hAnsi="Times New Roman"/>
          <w:sz w:val="24"/>
          <w:szCs w:val="24"/>
          <w:lang w:eastAsia="ja-JP"/>
        </w:rPr>
      </w:pPr>
    </w:p>
    <w:p w14:paraId="2EDA0605" w14:textId="16652FB8" w:rsidR="00300F32" w:rsidRDefault="00300F32" w:rsidP="001345C3">
      <w:pPr>
        <w:shd w:val="clear" w:color="auto" w:fill="FFFFFF"/>
        <w:spacing w:before="0"/>
        <w:rPr>
          <w:rFonts w:ascii="Times New Roman" w:hAnsi="Times New Roman"/>
          <w:sz w:val="24"/>
          <w:szCs w:val="24"/>
          <w:lang w:eastAsia="ja-JP"/>
        </w:rPr>
      </w:pPr>
      <w:r>
        <w:rPr>
          <w:rFonts w:ascii="Times New Roman" w:hAnsi="Times New Roman"/>
          <w:sz w:val="24"/>
          <w:szCs w:val="24"/>
          <w:lang w:eastAsia="ja-JP"/>
        </w:rPr>
        <w:t>The Port of Wyndham, as</w:t>
      </w:r>
      <w:r w:rsidR="00064F19">
        <w:rPr>
          <w:rFonts w:ascii="Times New Roman" w:hAnsi="Times New Roman"/>
          <w:sz w:val="24"/>
          <w:szCs w:val="24"/>
          <w:lang w:eastAsia="ja-JP"/>
        </w:rPr>
        <w:t xml:space="preserve"> a port, has </w:t>
      </w:r>
      <w:r w:rsidR="00FA705C">
        <w:rPr>
          <w:rFonts w:ascii="Times New Roman" w:hAnsi="Times New Roman"/>
          <w:sz w:val="24"/>
          <w:szCs w:val="24"/>
          <w:lang w:eastAsia="ja-JP"/>
        </w:rPr>
        <w:t>been assessed as having the required facilities to assess, and if necessary, treat biosecurity risks associated wit</w:t>
      </w:r>
      <w:r w:rsidR="00E714E2">
        <w:rPr>
          <w:rFonts w:ascii="Times New Roman" w:hAnsi="Times New Roman"/>
          <w:sz w:val="24"/>
          <w:szCs w:val="24"/>
          <w:lang w:eastAsia="ja-JP"/>
        </w:rPr>
        <w:t xml:space="preserve">h vessels other than non-commercial vessels, and </w:t>
      </w:r>
      <w:r w:rsidR="00675DFD">
        <w:rPr>
          <w:rFonts w:ascii="Times New Roman" w:hAnsi="Times New Roman"/>
          <w:sz w:val="24"/>
          <w:szCs w:val="24"/>
          <w:lang w:eastAsia="ja-JP"/>
        </w:rPr>
        <w:t xml:space="preserve">crew </w:t>
      </w:r>
      <w:r w:rsidR="00E714E2">
        <w:rPr>
          <w:rFonts w:ascii="Times New Roman" w:hAnsi="Times New Roman"/>
          <w:sz w:val="24"/>
          <w:szCs w:val="24"/>
          <w:lang w:eastAsia="ja-JP"/>
        </w:rPr>
        <w:t>baggage carried on vessels other than non-commercial or passenger vessels</w:t>
      </w:r>
      <w:r w:rsidR="00675DFD">
        <w:rPr>
          <w:rFonts w:ascii="Times New Roman" w:hAnsi="Times New Roman"/>
          <w:sz w:val="24"/>
          <w:szCs w:val="24"/>
          <w:lang w:eastAsia="ja-JP"/>
        </w:rPr>
        <w:t>,</w:t>
      </w:r>
      <w:r w:rsidR="00E714E2">
        <w:rPr>
          <w:rFonts w:ascii="Times New Roman" w:hAnsi="Times New Roman"/>
          <w:sz w:val="24"/>
          <w:szCs w:val="24"/>
          <w:lang w:eastAsia="ja-JP"/>
        </w:rPr>
        <w:t xml:space="preserve"> and inorganic </w:t>
      </w:r>
      <w:r w:rsidR="00202754">
        <w:rPr>
          <w:rFonts w:ascii="Times New Roman" w:hAnsi="Times New Roman"/>
          <w:sz w:val="24"/>
          <w:szCs w:val="24"/>
          <w:lang w:eastAsia="ja-JP"/>
        </w:rPr>
        <w:t xml:space="preserve">bulk </w:t>
      </w:r>
      <w:r w:rsidR="00E714E2">
        <w:rPr>
          <w:rFonts w:ascii="Times New Roman" w:hAnsi="Times New Roman"/>
          <w:sz w:val="24"/>
          <w:szCs w:val="24"/>
          <w:lang w:eastAsia="ja-JP"/>
        </w:rPr>
        <w:t>goods</w:t>
      </w:r>
      <w:r w:rsidR="00FA705C">
        <w:rPr>
          <w:rFonts w:ascii="Times New Roman" w:hAnsi="Times New Roman"/>
          <w:sz w:val="24"/>
          <w:szCs w:val="24"/>
          <w:lang w:eastAsia="ja-JP"/>
        </w:rPr>
        <w:t>.</w:t>
      </w:r>
      <w:r w:rsidR="00215FEA">
        <w:rPr>
          <w:rFonts w:ascii="Times New Roman" w:hAnsi="Times New Roman"/>
          <w:sz w:val="24"/>
          <w:szCs w:val="24"/>
          <w:lang w:eastAsia="ja-JP"/>
        </w:rPr>
        <w:t xml:space="preserve"> </w:t>
      </w:r>
      <w:proofErr w:type="gramStart"/>
      <w:r w:rsidR="00215FEA">
        <w:rPr>
          <w:rFonts w:ascii="Times New Roman" w:hAnsi="Times New Roman"/>
          <w:sz w:val="24"/>
          <w:szCs w:val="24"/>
          <w:lang w:eastAsia="ja-JP"/>
        </w:rPr>
        <w:t>In particular, i</w:t>
      </w:r>
      <w:r w:rsidR="00B84D49">
        <w:rPr>
          <w:rFonts w:ascii="Times New Roman" w:hAnsi="Times New Roman"/>
          <w:sz w:val="24"/>
          <w:szCs w:val="24"/>
          <w:lang w:eastAsia="ja-JP"/>
        </w:rPr>
        <w:t>t</w:t>
      </w:r>
      <w:proofErr w:type="gramEnd"/>
      <w:r w:rsidR="00B84D49">
        <w:rPr>
          <w:rFonts w:ascii="Times New Roman" w:hAnsi="Times New Roman"/>
          <w:sz w:val="24"/>
          <w:szCs w:val="24"/>
          <w:lang w:eastAsia="ja-JP"/>
        </w:rPr>
        <w:t xml:space="preserve"> has</w:t>
      </w:r>
      <w:r w:rsidR="0078611D" w:rsidRPr="0078611D">
        <w:rPr>
          <w:rFonts w:ascii="Times New Roman" w:hAnsi="Times New Roman"/>
          <w:sz w:val="24"/>
          <w:szCs w:val="24"/>
          <w:lang w:eastAsia="ja-JP"/>
        </w:rPr>
        <w:t xml:space="preserve"> been assessed by the department as having appropriate procedures in place for providing biosecurity measures, and as having adequate facilities and amenities available at the port for biosecurity and human biosecurity officers to perform functions or exercise powers under the Biosecurity Act.</w:t>
      </w:r>
    </w:p>
    <w:p w14:paraId="37A48D68" w14:textId="77777777" w:rsidR="00FA705C" w:rsidRDefault="00FA705C" w:rsidP="001345C3">
      <w:pPr>
        <w:shd w:val="clear" w:color="auto" w:fill="FFFFFF"/>
        <w:spacing w:before="0"/>
        <w:rPr>
          <w:rFonts w:ascii="Times New Roman" w:hAnsi="Times New Roman"/>
          <w:sz w:val="24"/>
          <w:szCs w:val="24"/>
          <w:lang w:eastAsia="ja-JP"/>
        </w:rPr>
      </w:pPr>
    </w:p>
    <w:p w14:paraId="03FD6CCF" w14:textId="597C8045" w:rsidR="00F06C50" w:rsidRDefault="00FA705C" w:rsidP="1EB352EF">
      <w:pPr>
        <w:shd w:val="clear" w:color="auto" w:fill="FFFFFF" w:themeFill="background1"/>
        <w:spacing w:before="0"/>
        <w:rPr>
          <w:rFonts w:ascii="Times New Roman" w:hAnsi="Times New Roman"/>
          <w:sz w:val="24"/>
          <w:szCs w:val="24"/>
          <w:lang w:eastAsia="ja-JP"/>
        </w:rPr>
      </w:pPr>
      <w:r w:rsidRPr="1EB352EF">
        <w:rPr>
          <w:rFonts w:ascii="Times New Roman" w:hAnsi="Times New Roman"/>
          <w:sz w:val="24"/>
          <w:szCs w:val="24"/>
          <w:lang w:eastAsia="ja-JP"/>
        </w:rPr>
        <w:t xml:space="preserve">The areas of the Port of Wyndham known as </w:t>
      </w:r>
      <w:bookmarkStart w:id="5" w:name="_Hlk182816463"/>
      <w:r w:rsidR="00290699" w:rsidRPr="1EB352EF">
        <w:rPr>
          <w:rFonts w:ascii="Times New Roman" w:hAnsi="Times New Roman"/>
          <w:sz w:val="24"/>
          <w:szCs w:val="24"/>
          <w:lang w:eastAsia="ja-JP"/>
        </w:rPr>
        <w:t>“</w:t>
      </w:r>
      <w:r w:rsidR="00E714E2" w:rsidRPr="1EB352EF">
        <w:rPr>
          <w:rFonts w:ascii="Times New Roman" w:hAnsi="Times New Roman"/>
          <w:sz w:val="24"/>
          <w:szCs w:val="24"/>
          <w:lang w:eastAsia="ja-JP"/>
        </w:rPr>
        <w:t>Wyndham Anchorage Point</w:t>
      </w:r>
      <w:r w:rsidR="00290699" w:rsidRPr="1EB352EF">
        <w:rPr>
          <w:rFonts w:ascii="Times New Roman" w:hAnsi="Times New Roman"/>
          <w:sz w:val="24"/>
          <w:szCs w:val="24"/>
          <w:lang w:eastAsia="ja-JP"/>
        </w:rPr>
        <w:t>”</w:t>
      </w:r>
      <w:r w:rsidRPr="1EB352EF">
        <w:rPr>
          <w:rFonts w:ascii="Times New Roman" w:hAnsi="Times New Roman"/>
          <w:sz w:val="24"/>
          <w:szCs w:val="24"/>
          <w:lang w:eastAsia="ja-JP"/>
        </w:rPr>
        <w:t xml:space="preserve"> and </w:t>
      </w:r>
      <w:r w:rsidR="00290699" w:rsidRPr="1EB352EF">
        <w:rPr>
          <w:rFonts w:ascii="Times New Roman" w:hAnsi="Times New Roman"/>
          <w:sz w:val="24"/>
          <w:szCs w:val="24"/>
          <w:lang w:eastAsia="ja-JP"/>
        </w:rPr>
        <w:t>“</w:t>
      </w:r>
      <w:r w:rsidR="00E714E2" w:rsidRPr="1EB352EF">
        <w:rPr>
          <w:rFonts w:ascii="Times New Roman" w:hAnsi="Times New Roman"/>
          <w:sz w:val="24"/>
          <w:szCs w:val="24"/>
          <w:lang w:eastAsia="ja-JP"/>
        </w:rPr>
        <w:t>Wyndham Wharf</w:t>
      </w:r>
      <w:r w:rsidR="00290699" w:rsidRPr="1EB352EF">
        <w:rPr>
          <w:rFonts w:ascii="Times New Roman" w:hAnsi="Times New Roman"/>
          <w:sz w:val="24"/>
          <w:szCs w:val="24"/>
          <w:lang w:eastAsia="ja-JP"/>
        </w:rPr>
        <w:t>”</w:t>
      </w:r>
      <w:r w:rsidRPr="1EB352EF">
        <w:rPr>
          <w:rFonts w:ascii="Times New Roman" w:hAnsi="Times New Roman"/>
          <w:sz w:val="24"/>
          <w:szCs w:val="24"/>
          <w:lang w:eastAsia="ja-JP"/>
        </w:rPr>
        <w:t xml:space="preserve"> </w:t>
      </w:r>
      <w:bookmarkEnd w:id="5"/>
      <w:r w:rsidRPr="1EB352EF">
        <w:rPr>
          <w:rFonts w:ascii="Times New Roman" w:hAnsi="Times New Roman"/>
          <w:sz w:val="24"/>
          <w:szCs w:val="24"/>
          <w:lang w:eastAsia="ja-JP"/>
        </w:rPr>
        <w:t xml:space="preserve">have been assessed as </w:t>
      </w:r>
      <w:r w:rsidR="00144C36" w:rsidRPr="1EB352EF">
        <w:rPr>
          <w:rFonts w:ascii="Times New Roman" w:hAnsi="Times New Roman"/>
          <w:sz w:val="24"/>
          <w:szCs w:val="24"/>
          <w:lang w:eastAsia="ja-JP"/>
        </w:rPr>
        <w:t>BEPs</w:t>
      </w:r>
      <w:r w:rsidRPr="1EB352EF">
        <w:rPr>
          <w:rFonts w:ascii="Times New Roman" w:hAnsi="Times New Roman"/>
          <w:sz w:val="24"/>
          <w:szCs w:val="24"/>
          <w:lang w:eastAsia="ja-JP"/>
        </w:rPr>
        <w:t xml:space="preserve"> </w:t>
      </w:r>
      <w:r w:rsidR="00F06C50" w:rsidRPr="1EB352EF">
        <w:rPr>
          <w:rFonts w:ascii="Times New Roman" w:hAnsi="Times New Roman"/>
          <w:sz w:val="24"/>
          <w:szCs w:val="24"/>
          <w:lang w:eastAsia="ja-JP"/>
        </w:rPr>
        <w:t xml:space="preserve">to receive vessels other than non-commercial vessels. Under the Port of Wyndham </w:t>
      </w:r>
      <w:r w:rsidR="005B0230" w:rsidRPr="1EB352EF">
        <w:rPr>
          <w:rFonts w:ascii="Times New Roman" w:hAnsi="Times New Roman"/>
          <w:sz w:val="24"/>
          <w:szCs w:val="24"/>
          <w:lang w:eastAsia="ja-JP"/>
        </w:rPr>
        <w:t>D</w:t>
      </w:r>
      <w:r w:rsidR="00F06C50" w:rsidRPr="1EB352EF">
        <w:rPr>
          <w:rFonts w:ascii="Times New Roman" w:hAnsi="Times New Roman"/>
          <w:sz w:val="24"/>
          <w:szCs w:val="24"/>
          <w:lang w:eastAsia="ja-JP"/>
        </w:rPr>
        <w:t xml:space="preserve">etermination, Wyndham Wharf was </w:t>
      </w:r>
      <w:r w:rsidR="005D2E47" w:rsidRPr="1EB352EF">
        <w:rPr>
          <w:rFonts w:ascii="Times New Roman" w:hAnsi="Times New Roman"/>
          <w:sz w:val="24"/>
          <w:szCs w:val="24"/>
          <w:lang w:eastAsia="ja-JP"/>
        </w:rPr>
        <w:t>designated</w:t>
      </w:r>
      <w:r w:rsidR="00F06C50" w:rsidRPr="1EB352EF">
        <w:rPr>
          <w:rFonts w:ascii="Times New Roman" w:hAnsi="Times New Roman"/>
          <w:sz w:val="24"/>
          <w:szCs w:val="24"/>
          <w:lang w:eastAsia="ja-JP"/>
        </w:rPr>
        <w:t xml:space="preserve"> as a </w:t>
      </w:r>
      <w:r w:rsidR="005B0230" w:rsidRPr="1EB352EF">
        <w:rPr>
          <w:rFonts w:ascii="Times New Roman" w:hAnsi="Times New Roman"/>
          <w:sz w:val="24"/>
          <w:szCs w:val="24"/>
          <w:lang w:eastAsia="ja-JP"/>
        </w:rPr>
        <w:t>BEP</w:t>
      </w:r>
      <w:r w:rsidR="00F06C50" w:rsidRPr="1EB352EF">
        <w:rPr>
          <w:rFonts w:ascii="Times New Roman" w:hAnsi="Times New Roman"/>
          <w:sz w:val="24"/>
          <w:szCs w:val="24"/>
          <w:lang w:eastAsia="ja-JP"/>
        </w:rPr>
        <w:t xml:space="preserve"> for </w:t>
      </w:r>
      <w:r w:rsidR="005B0230" w:rsidRPr="1EB352EF">
        <w:rPr>
          <w:rFonts w:ascii="Times New Roman" w:hAnsi="Times New Roman"/>
          <w:sz w:val="24"/>
          <w:szCs w:val="24"/>
          <w:lang w:eastAsia="ja-JP"/>
        </w:rPr>
        <w:t>p</w:t>
      </w:r>
      <w:r w:rsidR="00F06C50" w:rsidRPr="1EB352EF">
        <w:rPr>
          <w:rFonts w:ascii="Times New Roman" w:hAnsi="Times New Roman"/>
          <w:sz w:val="24"/>
          <w:szCs w:val="24"/>
          <w:lang w:eastAsia="ja-JP"/>
        </w:rPr>
        <w:t xml:space="preserve">assenger </w:t>
      </w:r>
      <w:r w:rsidR="005B0230" w:rsidRPr="1EB352EF">
        <w:rPr>
          <w:rFonts w:ascii="Times New Roman" w:hAnsi="Times New Roman"/>
          <w:sz w:val="24"/>
          <w:szCs w:val="24"/>
          <w:lang w:eastAsia="ja-JP"/>
        </w:rPr>
        <w:t>v</w:t>
      </w:r>
      <w:r w:rsidR="00F06C50" w:rsidRPr="1EB352EF">
        <w:rPr>
          <w:rFonts w:ascii="Times New Roman" w:hAnsi="Times New Roman"/>
          <w:sz w:val="24"/>
          <w:szCs w:val="24"/>
          <w:lang w:eastAsia="ja-JP"/>
        </w:rPr>
        <w:t>essels, but not Wyndham Anchorage Point. Th</w:t>
      </w:r>
      <w:r w:rsidR="005B0230" w:rsidRPr="1EB352EF">
        <w:rPr>
          <w:rFonts w:ascii="Times New Roman" w:hAnsi="Times New Roman"/>
          <w:sz w:val="24"/>
          <w:szCs w:val="24"/>
          <w:lang w:eastAsia="ja-JP"/>
        </w:rPr>
        <w:t>e</w:t>
      </w:r>
      <w:r w:rsidR="00F06C50" w:rsidRPr="1EB352EF">
        <w:rPr>
          <w:rFonts w:ascii="Times New Roman" w:hAnsi="Times New Roman"/>
          <w:sz w:val="24"/>
          <w:szCs w:val="24"/>
          <w:lang w:eastAsia="ja-JP"/>
        </w:rPr>
        <w:t xml:space="preserve"> </w:t>
      </w:r>
      <w:r w:rsidR="005B0230" w:rsidRPr="1EB352EF">
        <w:rPr>
          <w:rFonts w:ascii="Times New Roman" w:hAnsi="Times New Roman"/>
          <w:sz w:val="24"/>
          <w:szCs w:val="24"/>
          <w:lang w:eastAsia="ja-JP"/>
        </w:rPr>
        <w:t>Amendment D</w:t>
      </w:r>
      <w:r w:rsidR="00F06C50" w:rsidRPr="1EB352EF">
        <w:rPr>
          <w:rFonts w:ascii="Times New Roman" w:hAnsi="Times New Roman"/>
          <w:sz w:val="24"/>
          <w:szCs w:val="24"/>
          <w:lang w:eastAsia="ja-JP"/>
        </w:rPr>
        <w:t xml:space="preserve">etermination </w:t>
      </w:r>
      <w:r w:rsidR="005B0230" w:rsidRPr="1EB352EF">
        <w:rPr>
          <w:rFonts w:ascii="Times New Roman" w:hAnsi="Times New Roman"/>
          <w:sz w:val="24"/>
          <w:szCs w:val="24"/>
          <w:lang w:eastAsia="ja-JP"/>
        </w:rPr>
        <w:t>has the effect of including</w:t>
      </w:r>
      <w:r w:rsidR="00F06C50" w:rsidRPr="1EB352EF">
        <w:rPr>
          <w:rFonts w:ascii="Times New Roman" w:hAnsi="Times New Roman"/>
          <w:sz w:val="24"/>
          <w:szCs w:val="24"/>
          <w:lang w:eastAsia="ja-JP"/>
        </w:rPr>
        <w:t xml:space="preserve"> Wyndham Anchorage Point as an additional</w:t>
      </w:r>
      <w:r w:rsidR="005B0230" w:rsidRPr="1EB352EF">
        <w:rPr>
          <w:rFonts w:ascii="Times New Roman" w:hAnsi="Times New Roman"/>
          <w:sz w:val="24"/>
          <w:szCs w:val="24"/>
          <w:lang w:eastAsia="ja-JP"/>
        </w:rPr>
        <w:t xml:space="preserve"> BEP</w:t>
      </w:r>
      <w:r w:rsidR="00F06C50" w:rsidRPr="1EB352EF">
        <w:rPr>
          <w:rFonts w:ascii="Times New Roman" w:hAnsi="Times New Roman"/>
          <w:sz w:val="24"/>
          <w:szCs w:val="24"/>
          <w:lang w:eastAsia="ja-JP"/>
        </w:rPr>
        <w:t xml:space="preserve"> for </w:t>
      </w:r>
      <w:r w:rsidR="005B0230" w:rsidRPr="1EB352EF">
        <w:rPr>
          <w:rFonts w:ascii="Times New Roman" w:hAnsi="Times New Roman"/>
          <w:sz w:val="24"/>
          <w:szCs w:val="24"/>
          <w:lang w:eastAsia="ja-JP"/>
        </w:rPr>
        <w:t>p</w:t>
      </w:r>
      <w:r w:rsidR="005D5C14" w:rsidRPr="1EB352EF">
        <w:rPr>
          <w:rFonts w:ascii="Times New Roman" w:hAnsi="Times New Roman"/>
          <w:sz w:val="24"/>
          <w:szCs w:val="24"/>
          <w:lang w:eastAsia="ja-JP"/>
        </w:rPr>
        <w:t xml:space="preserve">assenger </w:t>
      </w:r>
      <w:r w:rsidR="005B0230" w:rsidRPr="1EB352EF">
        <w:rPr>
          <w:rFonts w:ascii="Times New Roman" w:hAnsi="Times New Roman"/>
          <w:sz w:val="24"/>
          <w:szCs w:val="24"/>
          <w:lang w:eastAsia="ja-JP"/>
        </w:rPr>
        <w:t>v</w:t>
      </w:r>
      <w:r w:rsidR="005D5C14" w:rsidRPr="1EB352EF">
        <w:rPr>
          <w:rFonts w:ascii="Times New Roman" w:hAnsi="Times New Roman"/>
          <w:sz w:val="24"/>
          <w:szCs w:val="24"/>
          <w:lang w:eastAsia="ja-JP"/>
        </w:rPr>
        <w:t>essels</w:t>
      </w:r>
      <w:r w:rsidR="00F06C50" w:rsidRPr="1EB352EF">
        <w:rPr>
          <w:rFonts w:ascii="Times New Roman" w:hAnsi="Times New Roman"/>
          <w:sz w:val="24"/>
          <w:szCs w:val="24"/>
          <w:lang w:eastAsia="ja-JP"/>
        </w:rPr>
        <w:t>.</w:t>
      </w:r>
      <w:r w:rsidR="005D5C14" w:rsidRPr="1EB352EF">
        <w:rPr>
          <w:rFonts w:ascii="Times New Roman" w:hAnsi="Times New Roman"/>
          <w:sz w:val="24"/>
          <w:szCs w:val="24"/>
          <w:lang w:eastAsia="ja-JP"/>
        </w:rPr>
        <w:t xml:space="preserve"> The port operator</w:t>
      </w:r>
      <w:r w:rsidR="005D2E47" w:rsidRPr="1EB352EF">
        <w:rPr>
          <w:rFonts w:ascii="Times New Roman" w:hAnsi="Times New Roman"/>
          <w:sz w:val="24"/>
          <w:szCs w:val="24"/>
          <w:lang w:eastAsia="ja-JP"/>
        </w:rPr>
        <w:t>s</w:t>
      </w:r>
      <w:r w:rsidR="005D5C14" w:rsidRPr="1EB352EF">
        <w:rPr>
          <w:rFonts w:ascii="Times New Roman" w:hAnsi="Times New Roman"/>
          <w:sz w:val="24"/>
          <w:szCs w:val="24"/>
          <w:lang w:eastAsia="ja-JP"/>
        </w:rPr>
        <w:t xml:space="preserve"> ha</w:t>
      </w:r>
      <w:r w:rsidR="005D2E47" w:rsidRPr="1EB352EF">
        <w:rPr>
          <w:rFonts w:ascii="Times New Roman" w:hAnsi="Times New Roman"/>
          <w:sz w:val="24"/>
          <w:szCs w:val="24"/>
          <w:lang w:eastAsia="ja-JP"/>
        </w:rPr>
        <w:t>ve</w:t>
      </w:r>
      <w:r w:rsidR="005D5C14" w:rsidRPr="1EB352EF">
        <w:rPr>
          <w:rFonts w:ascii="Times New Roman" w:hAnsi="Times New Roman"/>
          <w:sz w:val="24"/>
          <w:szCs w:val="24"/>
          <w:lang w:eastAsia="ja-JP"/>
        </w:rPr>
        <w:t xml:space="preserve"> requested this to allow the marine pilot to safely board the vessel</w:t>
      </w:r>
      <w:r w:rsidR="005B0230" w:rsidRPr="1EB352EF">
        <w:rPr>
          <w:rFonts w:ascii="Times New Roman" w:hAnsi="Times New Roman"/>
          <w:sz w:val="24"/>
          <w:szCs w:val="24"/>
          <w:lang w:eastAsia="ja-JP"/>
        </w:rPr>
        <w:t xml:space="preserve"> to</w:t>
      </w:r>
      <w:r w:rsidR="005D2E47" w:rsidRPr="1EB352EF">
        <w:rPr>
          <w:rFonts w:ascii="Times New Roman" w:hAnsi="Times New Roman"/>
          <w:sz w:val="24"/>
          <w:szCs w:val="24"/>
          <w:lang w:eastAsia="ja-JP"/>
        </w:rPr>
        <w:t xml:space="preserve"> </w:t>
      </w:r>
      <w:r w:rsidR="005D5C14" w:rsidRPr="1EB352EF">
        <w:rPr>
          <w:rFonts w:ascii="Times New Roman" w:hAnsi="Times New Roman"/>
          <w:sz w:val="24"/>
          <w:szCs w:val="24"/>
          <w:lang w:eastAsia="ja-JP"/>
        </w:rPr>
        <w:t>bring the vessel to the wharf.</w:t>
      </w:r>
      <w:r w:rsidR="005D2E47" w:rsidRPr="1EB352EF">
        <w:rPr>
          <w:rFonts w:ascii="Times New Roman" w:hAnsi="Times New Roman"/>
          <w:sz w:val="24"/>
          <w:szCs w:val="24"/>
          <w:lang w:eastAsia="ja-JP"/>
        </w:rPr>
        <w:t xml:space="preserve"> </w:t>
      </w:r>
    </w:p>
    <w:p w14:paraId="57842E50" w14:textId="77777777" w:rsidR="005D2E47" w:rsidRDefault="005D2E47" w:rsidP="001345C3">
      <w:pPr>
        <w:shd w:val="clear" w:color="auto" w:fill="FFFFFF"/>
        <w:spacing w:before="0"/>
        <w:rPr>
          <w:rFonts w:ascii="Times New Roman" w:hAnsi="Times New Roman"/>
          <w:sz w:val="24"/>
          <w:szCs w:val="24"/>
          <w:lang w:eastAsia="ja-JP"/>
        </w:rPr>
      </w:pPr>
    </w:p>
    <w:p w14:paraId="1337C542" w14:textId="77777777" w:rsidR="00434F29" w:rsidRDefault="00812DF9" w:rsidP="001345C3">
      <w:pPr>
        <w:shd w:val="clear" w:color="auto" w:fill="FFFFFF"/>
        <w:spacing w:before="0"/>
        <w:rPr>
          <w:rFonts w:ascii="Times New Roman" w:hAnsi="Times New Roman"/>
          <w:sz w:val="24"/>
          <w:szCs w:val="24"/>
          <w:lang w:eastAsia="ja-JP"/>
        </w:rPr>
        <w:sectPr w:rsidR="00434F29" w:rsidSect="00434F29">
          <w:footerReference w:type="first" r:id="rId11"/>
          <w:pgSz w:w="11906" w:h="16838"/>
          <w:pgMar w:top="1440" w:right="1440" w:bottom="1440" w:left="1440" w:header="708" w:footer="708" w:gutter="0"/>
          <w:cols w:space="708"/>
          <w:titlePg/>
          <w:docGrid w:linePitch="360"/>
        </w:sectPr>
      </w:pPr>
      <w:r>
        <w:rPr>
          <w:rFonts w:ascii="Times New Roman" w:hAnsi="Times New Roman"/>
          <w:sz w:val="24"/>
          <w:szCs w:val="24"/>
          <w:lang w:eastAsia="ja-JP"/>
        </w:rPr>
        <w:t xml:space="preserve">The Port of Wyndham has been assessed as </w:t>
      </w:r>
      <w:r w:rsidR="00FA705C">
        <w:rPr>
          <w:rFonts w:ascii="Times New Roman" w:hAnsi="Times New Roman"/>
          <w:sz w:val="24"/>
          <w:szCs w:val="24"/>
          <w:lang w:eastAsia="ja-JP"/>
        </w:rPr>
        <w:t xml:space="preserve">having the required facilities to </w:t>
      </w:r>
      <w:r>
        <w:rPr>
          <w:rFonts w:ascii="Times New Roman" w:hAnsi="Times New Roman"/>
          <w:sz w:val="24"/>
          <w:szCs w:val="24"/>
          <w:lang w:eastAsia="ja-JP"/>
        </w:rPr>
        <w:t xml:space="preserve">inspect </w:t>
      </w:r>
      <w:r w:rsidR="00FA705C">
        <w:rPr>
          <w:rFonts w:ascii="Times New Roman" w:hAnsi="Times New Roman"/>
          <w:sz w:val="24"/>
          <w:szCs w:val="24"/>
          <w:lang w:eastAsia="ja-JP"/>
        </w:rPr>
        <w:t xml:space="preserve">and, if necessary, treat biosecurity risks associated with </w:t>
      </w:r>
      <w:r w:rsidR="00E714E2">
        <w:rPr>
          <w:rFonts w:ascii="Times New Roman" w:hAnsi="Times New Roman"/>
          <w:sz w:val="24"/>
          <w:szCs w:val="24"/>
          <w:lang w:eastAsia="ja-JP"/>
        </w:rPr>
        <w:t>inorganic bulk goods, commensurate with the anticipated operations</w:t>
      </w:r>
      <w:r w:rsidR="003947BF">
        <w:rPr>
          <w:rFonts w:ascii="Times New Roman" w:hAnsi="Times New Roman"/>
          <w:sz w:val="24"/>
          <w:szCs w:val="24"/>
          <w:lang w:eastAsia="ja-JP"/>
        </w:rPr>
        <w:t xml:space="preserve"> of the port</w:t>
      </w:r>
      <w:r w:rsidR="00FA705C">
        <w:rPr>
          <w:rFonts w:ascii="Times New Roman" w:hAnsi="Times New Roman"/>
          <w:sz w:val="24"/>
          <w:szCs w:val="24"/>
          <w:lang w:eastAsia="ja-JP"/>
        </w:rPr>
        <w:t xml:space="preserve">. </w:t>
      </w:r>
      <w:r w:rsidR="0078611D">
        <w:rPr>
          <w:rFonts w:ascii="Times New Roman" w:hAnsi="Times New Roman"/>
          <w:sz w:val="24"/>
          <w:szCs w:val="24"/>
          <w:lang w:eastAsia="ja-JP"/>
        </w:rPr>
        <w:t>The department has assessed both</w:t>
      </w:r>
      <w:r w:rsidR="00E714E2">
        <w:rPr>
          <w:rFonts w:ascii="Times New Roman" w:hAnsi="Times New Roman"/>
          <w:sz w:val="24"/>
          <w:szCs w:val="24"/>
          <w:lang w:eastAsia="ja-JP"/>
        </w:rPr>
        <w:t xml:space="preserve"> Wyndham Anchorage Point</w:t>
      </w:r>
      <w:r w:rsidR="00FA705C">
        <w:rPr>
          <w:rFonts w:ascii="Times New Roman" w:hAnsi="Times New Roman"/>
          <w:sz w:val="24"/>
          <w:szCs w:val="24"/>
          <w:lang w:eastAsia="ja-JP"/>
        </w:rPr>
        <w:t xml:space="preserve"> </w:t>
      </w:r>
      <w:r w:rsidR="004E36B3">
        <w:rPr>
          <w:rFonts w:ascii="Times New Roman" w:hAnsi="Times New Roman"/>
          <w:sz w:val="24"/>
          <w:szCs w:val="24"/>
          <w:lang w:eastAsia="ja-JP"/>
        </w:rPr>
        <w:t xml:space="preserve">(for </w:t>
      </w:r>
      <w:r w:rsidR="005D2E47">
        <w:rPr>
          <w:rFonts w:ascii="Times New Roman" w:hAnsi="Times New Roman"/>
          <w:sz w:val="24"/>
          <w:szCs w:val="24"/>
          <w:lang w:eastAsia="ja-JP"/>
        </w:rPr>
        <w:t>passenger vessels</w:t>
      </w:r>
      <w:r w:rsidR="004E36B3">
        <w:rPr>
          <w:rFonts w:ascii="Times New Roman" w:hAnsi="Times New Roman"/>
          <w:sz w:val="24"/>
          <w:szCs w:val="24"/>
          <w:lang w:eastAsia="ja-JP"/>
        </w:rPr>
        <w:t xml:space="preserve">) </w:t>
      </w:r>
      <w:r w:rsidR="00FA705C">
        <w:rPr>
          <w:rFonts w:ascii="Times New Roman" w:hAnsi="Times New Roman"/>
          <w:sz w:val="24"/>
          <w:szCs w:val="24"/>
          <w:lang w:eastAsia="ja-JP"/>
        </w:rPr>
        <w:t xml:space="preserve">and </w:t>
      </w:r>
      <w:r w:rsidR="00E714E2">
        <w:rPr>
          <w:rFonts w:ascii="Times New Roman" w:hAnsi="Times New Roman"/>
          <w:sz w:val="24"/>
          <w:szCs w:val="24"/>
          <w:lang w:eastAsia="ja-JP"/>
        </w:rPr>
        <w:t>Wyndham Wharf</w:t>
      </w:r>
      <w:r w:rsidR="00FA705C">
        <w:rPr>
          <w:rFonts w:ascii="Times New Roman" w:hAnsi="Times New Roman"/>
          <w:sz w:val="24"/>
          <w:szCs w:val="24"/>
          <w:lang w:eastAsia="ja-JP"/>
        </w:rPr>
        <w:t xml:space="preserve"> </w:t>
      </w:r>
      <w:r w:rsidR="004E36B3">
        <w:rPr>
          <w:rFonts w:ascii="Times New Roman" w:hAnsi="Times New Roman"/>
          <w:sz w:val="24"/>
          <w:szCs w:val="24"/>
          <w:lang w:eastAsia="ja-JP"/>
        </w:rPr>
        <w:t xml:space="preserve">(for </w:t>
      </w:r>
      <w:proofErr w:type="gramStart"/>
      <w:r w:rsidR="005D2E47">
        <w:rPr>
          <w:rFonts w:ascii="Times New Roman" w:hAnsi="Times New Roman"/>
          <w:sz w:val="24"/>
          <w:szCs w:val="24"/>
          <w:lang w:eastAsia="ja-JP"/>
        </w:rPr>
        <w:t>a</w:t>
      </w:r>
      <w:proofErr w:type="gramEnd"/>
      <w:r w:rsidR="005D2E47">
        <w:rPr>
          <w:rFonts w:ascii="Times New Roman" w:hAnsi="Times New Roman"/>
          <w:sz w:val="24"/>
          <w:szCs w:val="24"/>
          <w:lang w:eastAsia="ja-JP"/>
        </w:rPr>
        <w:t xml:space="preserve"> </w:t>
      </w:r>
      <w:r w:rsidR="004E36B3">
        <w:rPr>
          <w:rFonts w:ascii="Times New Roman" w:hAnsi="Times New Roman"/>
          <w:sz w:val="24"/>
          <w:szCs w:val="24"/>
          <w:lang w:eastAsia="ja-JP"/>
        </w:rPr>
        <w:t xml:space="preserve">inorganic bulk goods) </w:t>
      </w:r>
      <w:r w:rsidR="0078611D">
        <w:rPr>
          <w:rFonts w:ascii="Times New Roman" w:hAnsi="Times New Roman"/>
          <w:sz w:val="24"/>
          <w:szCs w:val="24"/>
          <w:lang w:eastAsia="ja-JP"/>
        </w:rPr>
        <w:t xml:space="preserve">as </w:t>
      </w:r>
    </w:p>
    <w:p w14:paraId="0A44C433" w14:textId="4DFC0D5C" w:rsidR="00FA705C" w:rsidRDefault="00FA705C" w:rsidP="001345C3">
      <w:pPr>
        <w:shd w:val="clear" w:color="auto" w:fill="FFFFFF"/>
        <w:spacing w:before="0"/>
        <w:rPr>
          <w:rFonts w:ascii="Times New Roman" w:hAnsi="Times New Roman"/>
          <w:sz w:val="24"/>
          <w:szCs w:val="24"/>
          <w:lang w:eastAsia="ja-JP"/>
        </w:rPr>
      </w:pPr>
      <w:r>
        <w:rPr>
          <w:rFonts w:ascii="Times New Roman" w:hAnsi="Times New Roman"/>
          <w:sz w:val="24"/>
          <w:szCs w:val="24"/>
          <w:lang w:eastAsia="ja-JP"/>
        </w:rPr>
        <w:lastRenderedPageBreak/>
        <w:t>compl</w:t>
      </w:r>
      <w:r w:rsidR="00E714E2">
        <w:rPr>
          <w:rFonts w:ascii="Times New Roman" w:hAnsi="Times New Roman"/>
          <w:sz w:val="24"/>
          <w:szCs w:val="24"/>
          <w:lang w:eastAsia="ja-JP"/>
        </w:rPr>
        <w:t>y</w:t>
      </w:r>
      <w:r w:rsidR="0078611D">
        <w:rPr>
          <w:rFonts w:ascii="Times New Roman" w:hAnsi="Times New Roman"/>
          <w:sz w:val="24"/>
          <w:szCs w:val="24"/>
          <w:lang w:eastAsia="ja-JP"/>
        </w:rPr>
        <w:t>ing</w:t>
      </w:r>
      <w:r>
        <w:rPr>
          <w:rFonts w:ascii="Times New Roman" w:hAnsi="Times New Roman"/>
          <w:sz w:val="24"/>
          <w:szCs w:val="24"/>
          <w:lang w:eastAsia="ja-JP"/>
        </w:rPr>
        <w:t xml:space="preserve"> with the required regulatory standards and that the management of biosecurity risks at those </w:t>
      </w:r>
      <w:r w:rsidR="003947BF">
        <w:rPr>
          <w:rFonts w:ascii="Times New Roman" w:hAnsi="Times New Roman"/>
          <w:sz w:val="24"/>
          <w:szCs w:val="24"/>
          <w:lang w:eastAsia="ja-JP"/>
        </w:rPr>
        <w:t>areas</w:t>
      </w:r>
      <w:r>
        <w:rPr>
          <w:rFonts w:ascii="Times New Roman" w:hAnsi="Times New Roman"/>
          <w:sz w:val="24"/>
          <w:szCs w:val="24"/>
          <w:lang w:eastAsia="ja-JP"/>
        </w:rPr>
        <w:t xml:space="preserve"> is acceptable. </w:t>
      </w:r>
    </w:p>
    <w:p w14:paraId="55F01F00" w14:textId="77777777" w:rsidR="00E714E2" w:rsidRDefault="00E714E2" w:rsidP="001345C3">
      <w:pPr>
        <w:shd w:val="clear" w:color="auto" w:fill="FFFFFF"/>
        <w:spacing w:before="0"/>
        <w:rPr>
          <w:rFonts w:ascii="Times New Roman" w:hAnsi="Times New Roman"/>
          <w:sz w:val="24"/>
          <w:szCs w:val="24"/>
          <w:lang w:eastAsia="ja-JP"/>
        </w:rPr>
      </w:pPr>
    </w:p>
    <w:p w14:paraId="788637F1" w14:textId="720712CA" w:rsidR="00FA705C" w:rsidRDefault="00FA705C" w:rsidP="001345C3">
      <w:pPr>
        <w:shd w:val="clear" w:color="auto" w:fill="FFFFFF"/>
        <w:spacing w:before="0"/>
        <w:rPr>
          <w:rFonts w:ascii="Times New Roman" w:hAnsi="Times New Roman"/>
          <w:sz w:val="24"/>
          <w:szCs w:val="24"/>
          <w:lang w:eastAsia="ja-JP"/>
        </w:rPr>
      </w:pPr>
      <w:r>
        <w:rPr>
          <w:rFonts w:ascii="Times New Roman" w:hAnsi="Times New Roman"/>
          <w:sz w:val="24"/>
          <w:szCs w:val="24"/>
          <w:lang w:eastAsia="ja-JP"/>
        </w:rPr>
        <w:t xml:space="preserve">Therefore, the delegate of the Director of Biosecurity has made the Amendment Determination and varied the Port of Wyndham Determination for the purposes of section 233 of the Biosecurity Act. </w:t>
      </w:r>
    </w:p>
    <w:p w14:paraId="67D22920" w14:textId="77777777" w:rsidR="00E714E2" w:rsidRDefault="00E714E2" w:rsidP="002A045B">
      <w:pPr>
        <w:spacing w:before="0"/>
        <w:rPr>
          <w:rFonts w:ascii="Times New Roman" w:hAnsi="Times New Roman"/>
          <w:b/>
          <w:bCs/>
          <w:i/>
          <w:iCs/>
          <w:sz w:val="24"/>
          <w:szCs w:val="24"/>
          <w:lang w:eastAsia="ja-JP"/>
        </w:rPr>
      </w:pPr>
    </w:p>
    <w:p w14:paraId="3D227947" w14:textId="7F367923" w:rsidR="00091BB1" w:rsidRDefault="00091BB1"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Impact and Effect</w:t>
      </w:r>
    </w:p>
    <w:p w14:paraId="44A9CF4E" w14:textId="77777777" w:rsidR="00696B02" w:rsidRDefault="00696B02" w:rsidP="002A045B">
      <w:pPr>
        <w:spacing w:before="0"/>
        <w:rPr>
          <w:rFonts w:ascii="Times New Roman" w:hAnsi="Times New Roman"/>
          <w:sz w:val="24"/>
          <w:szCs w:val="24"/>
          <w:lang w:eastAsia="ja-JP"/>
        </w:rPr>
      </w:pPr>
    </w:p>
    <w:p w14:paraId="1DE5B217" w14:textId="576FA50A" w:rsidR="00C81B2A" w:rsidRDefault="00C81B2A" w:rsidP="002A045B">
      <w:pPr>
        <w:spacing w:before="0"/>
        <w:rPr>
          <w:rFonts w:ascii="Times New Roman" w:hAnsi="Times New Roman"/>
          <w:sz w:val="24"/>
          <w:szCs w:val="24"/>
          <w:lang w:eastAsia="ja-JP"/>
        </w:rPr>
      </w:pPr>
      <w:bookmarkStart w:id="6" w:name="_Hlk180144590"/>
      <w:r>
        <w:rPr>
          <w:rFonts w:ascii="Times New Roman" w:hAnsi="Times New Roman"/>
          <w:sz w:val="24"/>
          <w:szCs w:val="24"/>
          <w:lang w:eastAsia="ja-JP"/>
        </w:rPr>
        <w:t xml:space="preserve">The Amendment </w:t>
      </w:r>
      <w:r w:rsidR="00E91037">
        <w:rPr>
          <w:rFonts w:ascii="Times New Roman" w:hAnsi="Times New Roman"/>
          <w:sz w:val="24"/>
          <w:szCs w:val="24"/>
          <w:lang w:eastAsia="ja-JP"/>
        </w:rPr>
        <w:t>Determination</w:t>
      </w:r>
      <w:r>
        <w:rPr>
          <w:rFonts w:ascii="Times New Roman" w:hAnsi="Times New Roman"/>
          <w:sz w:val="24"/>
          <w:szCs w:val="24"/>
          <w:lang w:eastAsia="ja-JP"/>
        </w:rPr>
        <w:t xml:space="preserve"> </w:t>
      </w:r>
      <w:r w:rsidR="00E714E2">
        <w:rPr>
          <w:rFonts w:ascii="Times New Roman" w:hAnsi="Times New Roman"/>
          <w:sz w:val="24"/>
          <w:szCs w:val="24"/>
          <w:lang w:eastAsia="ja-JP"/>
        </w:rPr>
        <w:t>amends the Port of Wyndham Determination s</w:t>
      </w:r>
      <w:r w:rsidR="009E3A22">
        <w:rPr>
          <w:rFonts w:ascii="Times New Roman" w:hAnsi="Times New Roman"/>
          <w:sz w:val="24"/>
          <w:szCs w:val="24"/>
          <w:lang w:eastAsia="ja-JP"/>
        </w:rPr>
        <w:t>uch</w:t>
      </w:r>
      <w:r w:rsidR="00E714E2">
        <w:rPr>
          <w:rFonts w:ascii="Times New Roman" w:hAnsi="Times New Roman"/>
          <w:sz w:val="24"/>
          <w:szCs w:val="24"/>
          <w:lang w:eastAsia="ja-JP"/>
        </w:rPr>
        <w:t xml:space="preserve"> that the Port of Wyndham is determined as a first point of entry</w:t>
      </w:r>
      <w:r w:rsidR="003947BF">
        <w:rPr>
          <w:rFonts w:ascii="Times New Roman" w:hAnsi="Times New Roman"/>
          <w:sz w:val="24"/>
          <w:szCs w:val="24"/>
          <w:lang w:eastAsia="ja-JP"/>
        </w:rPr>
        <w:t xml:space="preserve"> for both baggage carried on a vessel other than a non-commercial or passenger vessel</w:t>
      </w:r>
      <w:r w:rsidR="004E36B3">
        <w:rPr>
          <w:rFonts w:ascii="Times New Roman" w:hAnsi="Times New Roman"/>
          <w:sz w:val="24"/>
          <w:szCs w:val="24"/>
          <w:lang w:eastAsia="ja-JP"/>
        </w:rPr>
        <w:t>,</w:t>
      </w:r>
      <w:r w:rsidR="003947BF">
        <w:rPr>
          <w:rFonts w:ascii="Times New Roman" w:hAnsi="Times New Roman"/>
          <w:sz w:val="24"/>
          <w:szCs w:val="24"/>
          <w:lang w:eastAsia="ja-JP"/>
        </w:rPr>
        <w:t xml:space="preserve"> and inorganic bulk goods. The Amendment Determination also amends the Port of Wyndham Determination to designate the area</w:t>
      </w:r>
      <w:r w:rsidR="004E36B3">
        <w:rPr>
          <w:rFonts w:ascii="Times New Roman" w:hAnsi="Times New Roman"/>
          <w:sz w:val="24"/>
          <w:szCs w:val="24"/>
          <w:lang w:eastAsia="ja-JP"/>
        </w:rPr>
        <w:t xml:space="preserve"> </w:t>
      </w:r>
      <w:r w:rsidR="003947BF">
        <w:rPr>
          <w:rFonts w:ascii="Times New Roman" w:hAnsi="Times New Roman"/>
          <w:sz w:val="24"/>
          <w:szCs w:val="24"/>
          <w:lang w:eastAsia="ja-JP"/>
        </w:rPr>
        <w:t xml:space="preserve">“Wyndham Wharf” as </w:t>
      </w:r>
      <w:r w:rsidR="009E3A22">
        <w:rPr>
          <w:rFonts w:ascii="Times New Roman" w:hAnsi="Times New Roman"/>
          <w:sz w:val="24"/>
          <w:szCs w:val="24"/>
          <w:lang w:eastAsia="ja-JP"/>
        </w:rPr>
        <w:t xml:space="preserve">a </w:t>
      </w:r>
      <w:r w:rsidR="00144C36">
        <w:rPr>
          <w:rFonts w:ascii="Times New Roman" w:hAnsi="Times New Roman"/>
          <w:sz w:val="24"/>
          <w:szCs w:val="24"/>
          <w:lang w:eastAsia="ja-JP"/>
        </w:rPr>
        <w:t>BEP</w:t>
      </w:r>
      <w:r w:rsidR="003947BF">
        <w:rPr>
          <w:rFonts w:ascii="Times New Roman" w:hAnsi="Times New Roman"/>
          <w:sz w:val="24"/>
          <w:szCs w:val="24"/>
          <w:lang w:eastAsia="ja-JP"/>
        </w:rPr>
        <w:t xml:space="preserve"> for inorganic bulk goods. Consequential to th</w:t>
      </w:r>
      <w:r w:rsidR="00404323">
        <w:rPr>
          <w:rFonts w:ascii="Times New Roman" w:hAnsi="Times New Roman"/>
          <w:sz w:val="24"/>
          <w:szCs w:val="24"/>
          <w:lang w:eastAsia="ja-JP"/>
        </w:rPr>
        <w:t>ese</w:t>
      </w:r>
      <w:r w:rsidR="003947BF">
        <w:rPr>
          <w:rFonts w:ascii="Times New Roman" w:hAnsi="Times New Roman"/>
          <w:sz w:val="24"/>
          <w:szCs w:val="24"/>
          <w:lang w:eastAsia="ja-JP"/>
        </w:rPr>
        <w:t xml:space="preserve"> amend</w:t>
      </w:r>
      <w:r w:rsidR="00404323">
        <w:rPr>
          <w:rFonts w:ascii="Times New Roman" w:hAnsi="Times New Roman"/>
          <w:sz w:val="24"/>
          <w:szCs w:val="24"/>
          <w:lang w:eastAsia="ja-JP"/>
        </w:rPr>
        <w:t>ments</w:t>
      </w:r>
      <w:r w:rsidR="003947BF">
        <w:rPr>
          <w:rFonts w:ascii="Times New Roman" w:hAnsi="Times New Roman"/>
          <w:sz w:val="24"/>
          <w:szCs w:val="24"/>
          <w:lang w:eastAsia="ja-JP"/>
        </w:rPr>
        <w:t xml:space="preserve">, the </w:t>
      </w:r>
      <w:r w:rsidR="00404323">
        <w:rPr>
          <w:rFonts w:ascii="Times New Roman" w:hAnsi="Times New Roman"/>
          <w:sz w:val="24"/>
          <w:szCs w:val="24"/>
          <w:lang w:eastAsia="ja-JP"/>
        </w:rPr>
        <w:t xml:space="preserve">Amendment Determination also </w:t>
      </w:r>
      <w:r w:rsidR="00290699">
        <w:rPr>
          <w:rFonts w:ascii="Times New Roman" w:hAnsi="Times New Roman"/>
          <w:sz w:val="24"/>
          <w:szCs w:val="24"/>
          <w:lang w:eastAsia="ja-JP"/>
        </w:rPr>
        <w:t>insert</w:t>
      </w:r>
      <w:r w:rsidR="0067216D">
        <w:rPr>
          <w:rFonts w:ascii="Times New Roman" w:hAnsi="Times New Roman"/>
          <w:sz w:val="24"/>
          <w:szCs w:val="24"/>
          <w:lang w:eastAsia="ja-JP"/>
        </w:rPr>
        <w:t>s</w:t>
      </w:r>
      <w:r w:rsidR="00290699">
        <w:rPr>
          <w:rFonts w:ascii="Times New Roman" w:hAnsi="Times New Roman"/>
          <w:sz w:val="24"/>
          <w:szCs w:val="24"/>
          <w:lang w:eastAsia="ja-JP"/>
        </w:rPr>
        <w:t xml:space="preserve"> a new </w:t>
      </w:r>
      <w:r w:rsidR="003947BF">
        <w:rPr>
          <w:rFonts w:ascii="Times New Roman" w:hAnsi="Times New Roman"/>
          <w:sz w:val="24"/>
          <w:szCs w:val="24"/>
          <w:lang w:eastAsia="ja-JP"/>
        </w:rPr>
        <w:t xml:space="preserve">definition </w:t>
      </w:r>
      <w:r w:rsidR="00290699">
        <w:rPr>
          <w:rFonts w:ascii="Times New Roman" w:hAnsi="Times New Roman"/>
          <w:sz w:val="24"/>
          <w:szCs w:val="24"/>
          <w:lang w:eastAsia="ja-JP"/>
        </w:rPr>
        <w:t>for “</w:t>
      </w:r>
      <w:r w:rsidR="003947BF">
        <w:rPr>
          <w:rFonts w:ascii="Times New Roman" w:hAnsi="Times New Roman"/>
          <w:sz w:val="24"/>
          <w:szCs w:val="24"/>
          <w:lang w:eastAsia="ja-JP"/>
        </w:rPr>
        <w:t>inorganic bulk goods</w:t>
      </w:r>
      <w:r w:rsidR="00290699">
        <w:rPr>
          <w:rFonts w:ascii="Times New Roman" w:hAnsi="Times New Roman"/>
          <w:sz w:val="24"/>
          <w:szCs w:val="24"/>
          <w:lang w:eastAsia="ja-JP"/>
        </w:rPr>
        <w:t>”</w:t>
      </w:r>
      <w:r w:rsidR="003947BF">
        <w:rPr>
          <w:rFonts w:ascii="Times New Roman" w:hAnsi="Times New Roman"/>
          <w:sz w:val="24"/>
          <w:szCs w:val="24"/>
          <w:lang w:eastAsia="ja-JP"/>
        </w:rPr>
        <w:t xml:space="preserve">. </w:t>
      </w:r>
    </w:p>
    <w:p w14:paraId="317EADB9" w14:textId="77777777" w:rsidR="00C81B2A" w:rsidRDefault="00C81B2A" w:rsidP="002A045B">
      <w:pPr>
        <w:spacing w:before="0"/>
        <w:rPr>
          <w:rFonts w:ascii="Times New Roman" w:hAnsi="Times New Roman"/>
          <w:sz w:val="24"/>
          <w:szCs w:val="24"/>
          <w:lang w:eastAsia="ja-JP"/>
        </w:rPr>
      </w:pPr>
    </w:p>
    <w:bookmarkEnd w:id="6"/>
    <w:p w14:paraId="650C6995" w14:textId="7B01156B" w:rsidR="009241A8" w:rsidRDefault="003947BF" w:rsidP="009241A8">
      <w:pPr>
        <w:spacing w:before="0"/>
        <w:rPr>
          <w:rFonts w:ascii="Times New Roman" w:hAnsi="Times New Roman"/>
          <w:sz w:val="24"/>
          <w:szCs w:val="24"/>
          <w:lang w:eastAsia="ja-JP"/>
        </w:rPr>
      </w:pPr>
      <w:r>
        <w:rPr>
          <w:rFonts w:ascii="Times New Roman" w:hAnsi="Times New Roman"/>
          <w:sz w:val="24"/>
          <w:szCs w:val="24"/>
          <w:lang w:eastAsia="ja-JP"/>
        </w:rPr>
        <w:t>“W</w:t>
      </w:r>
      <w:r w:rsidR="002C7DF5">
        <w:rPr>
          <w:rFonts w:ascii="Times New Roman" w:hAnsi="Times New Roman"/>
          <w:sz w:val="24"/>
          <w:szCs w:val="24"/>
          <w:lang w:eastAsia="ja-JP"/>
        </w:rPr>
        <w:t>yndham Anchorage Point” and “Wyndham Wharf” are existing areas in the Port of Wyndham that have been previously designated as</w:t>
      </w:r>
      <w:r w:rsidR="00144C36">
        <w:rPr>
          <w:rFonts w:ascii="Times New Roman" w:hAnsi="Times New Roman"/>
          <w:sz w:val="24"/>
          <w:szCs w:val="24"/>
          <w:lang w:eastAsia="ja-JP"/>
        </w:rPr>
        <w:t xml:space="preserve"> BEPs</w:t>
      </w:r>
      <w:r w:rsidR="002C7DF5">
        <w:rPr>
          <w:rFonts w:ascii="Times New Roman" w:hAnsi="Times New Roman"/>
          <w:sz w:val="24"/>
          <w:szCs w:val="24"/>
          <w:lang w:eastAsia="ja-JP"/>
        </w:rPr>
        <w:t xml:space="preserve"> for </w:t>
      </w:r>
      <w:r w:rsidR="004E36B3">
        <w:rPr>
          <w:rFonts w:ascii="Times New Roman" w:hAnsi="Times New Roman"/>
          <w:sz w:val="24"/>
          <w:szCs w:val="24"/>
          <w:lang w:eastAsia="ja-JP"/>
        </w:rPr>
        <w:t>vessels other than non-commercial vessels and passenger vessels</w:t>
      </w:r>
      <w:r w:rsidR="009E3A22">
        <w:rPr>
          <w:rFonts w:ascii="Times New Roman" w:hAnsi="Times New Roman"/>
          <w:sz w:val="24"/>
          <w:szCs w:val="24"/>
          <w:lang w:eastAsia="ja-JP"/>
        </w:rPr>
        <w:t>, and vessels other than non-commercial vessels, respectively</w:t>
      </w:r>
      <w:r w:rsidR="004E36B3">
        <w:rPr>
          <w:rFonts w:ascii="Times New Roman" w:hAnsi="Times New Roman"/>
          <w:sz w:val="24"/>
          <w:szCs w:val="24"/>
          <w:lang w:eastAsia="ja-JP"/>
        </w:rPr>
        <w:t xml:space="preserve">. </w:t>
      </w:r>
      <w:r w:rsidR="009E3A22">
        <w:rPr>
          <w:rFonts w:ascii="Times New Roman" w:hAnsi="Times New Roman"/>
          <w:sz w:val="24"/>
          <w:szCs w:val="24"/>
          <w:lang w:eastAsia="ja-JP"/>
        </w:rPr>
        <w:t>B</w:t>
      </w:r>
      <w:r w:rsidR="004E36B3">
        <w:rPr>
          <w:rFonts w:ascii="Times New Roman" w:hAnsi="Times New Roman"/>
          <w:sz w:val="24"/>
          <w:szCs w:val="24"/>
          <w:lang w:eastAsia="ja-JP"/>
        </w:rPr>
        <w:t>oth</w:t>
      </w:r>
      <w:r w:rsidR="00144C36">
        <w:rPr>
          <w:rFonts w:ascii="Times New Roman" w:hAnsi="Times New Roman"/>
          <w:sz w:val="24"/>
          <w:szCs w:val="24"/>
          <w:lang w:eastAsia="ja-JP"/>
        </w:rPr>
        <w:t xml:space="preserve"> areas</w:t>
      </w:r>
      <w:r w:rsidR="004E36B3">
        <w:rPr>
          <w:rFonts w:ascii="Times New Roman" w:hAnsi="Times New Roman"/>
          <w:sz w:val="24"/>
          <w:szCs w:val="24"/>
          <w:lang w:eastAsia="ja-JP"/>
        </w:rPr>
        <w:t xml:space="preserve"> are also </w:t>
      </w:r>
      <w:r w:rsidR="009E3A22">
        <w:rPr>
          <w:rFonts w:ascii="Times New Roman" w:hAnsi="Times New Roman"/>
          <w:sz w:val="24"/>
          <w:szCs w:val="24"/>
          <w:lang w:eastAsia="ja-JP"/>
        </w:rPr>
        <w:t>designated as BEPs</w:t>
      </w:r>
      <w:r w:rsidR="004E36B3">
        <w:rPr>
          <w:rFonts w:ascii="Times New Roman" w:hAnsi="Times New Roman"/>
          <w:sz w:val="24"/>
          <w:szCs w:val="24"/>
          <w:lang w:eastAsia="ja-JP"/>
        </w:rPr>
        <w:t xml:space="preserve"> for the unload</w:t>
      </w:r>
      <w:r w:rsidR="00144C36">
        <w:rPr>
          <w:rFonts w:ascii="Times New Roman" w:hAnsi="Times New Roman"/>
          <w:sz w:val="24"/>
          <w:szCs w:val="24"/>
          <w:lang w:eastAsia="ja-JP"/>
        </w:rPr>
        <w:t>ing</w:t>
      </w:r>
      <w:r w:rsidR="004E36B3">
        <w:rPr>
          <w:rFonts w:ascii="Times New Roman" w:hAnsi="Times New Roman"/>
          <w:sz w:val="24"/>
          <w:szCs w:val="24"/>
          <w:lang w:eastAsia="ja-JP"/>
        </w:rPr>
        <w:t xml:space="preserve"> of </w:t>
      </w:r>
      <w:r w:rsidR="002C7DF5">
        <w:rPr>
          <w:rFonts w:ascii="Times New Roman" w:hAnsi="Times New Roman"/>
          <w:sz w:val="24"/>
          <w:szCs w:val="24"/>
          <w:lang w:eastAsia="ja-JP"/>
        </w:rPr>
        <w:t>baggage carried on a vessel other than a non-commercial vessel or a passenger vessel</w:t>
      </w:r>
      <w:r w:rsidR="0054646A">
        <w:rPr>
          <w:rFonts w:ascii="Times New Roman" w:hAnsi="Times New Roman"/>
          <w:sz w:val="24"/>
          <w:szCs w:val="24"/>
          <w:lang w:eastAsia="ja-JP"/>
        </w:rPr>
        <w:t xml:space="preserve"> (for example, </w:t>
      </w:r>
      <w:r w:rsidR="009241A8">
        <w:rPr>
          <w:rFonts w:ascii="Times New Roman" w:hAnsi="Times New Roman"/>
          <w:sz w:val="24"/>
          <w:szCs w:val="24"/>
          <w:lang w:eastAsia="ja-JP"/>
        </w:rPr>
        <w:t>crew baggage from commercial vessels</w:t>
      </w:r>
      <w:r w:rsidR="0054646A">
        <w:rPr>
          <w:rFonts w:ascii="Times New Roman" w:hAnsi="Times New Roman"/>
          <w:sz w:val="24"/>
          <w:szCs w:val="24"/>
          <w:lang w:eastAsia="ja-JP"/>
        </w:rPr>
        <w:t>)</w:t>
      </w:r>
      <w:r w:rsidR="002C7DF5">
        <w:rPr>
          <w:rFonts w:ascii="Times New Roman" w:hAnsi="Times New Roman"/>
          <w:sz w:val="24"/>
          <w:szCs w:val="24"/>
          <w:lang w:eastAsia="ja-JP"/>
        </w:rPr>
        <w:t xml:space="preserve">. </w:t>
      </w:r>
    </w:p>
    <w:p w14:paraId="488B0FEA" w14:textId="77777777" w:rsidR="009241A8" w:rsidRDefault="009241A8" w:rsidP="009241A8">
      <w:pPr>
        <w:spacing w:before="0"/>
        <w:rPr>
          <w:rFonts w:ascii="Times New Roman" w:hAnsi="Times New Roman"/>
          <w:sz w:val="24"/>
          <w:szCs w:val="24"/>
          <w:lang w:eastAsia="ja-JP"/>
        </w:rPr>
      </w:pPr>
    </w:p>
    <w:p w14:paraId="44C8BFD3" w14:textId="53B4E945" w:rsidR="009241A8" w:rsidRDefault="009241A8" w:rsidP="009241A8">
      <w:pPr>
        <w:spacing w:before="0"/>
        <w:rPr>
          <w:rFonts w:ascii="Times New Roman" w:hAnsi="Times New Roman"/>
          <w:sz w:val="24"/>
          <w:szCs w:val="24"/>
          <w:lang w:eastAsia="ja-JP"/>
        </w:rPr>
      </w:pPr>
      <w:r>
        <w:rPr>
          <w:rFonts w:ascii="Times New Roman" w:hAnsi="Times New Roman"/>
          <w:sz w:val="24"/>
          <w:szCs w:val="24"/>
          <w:lang w:eastAsia="ja-JP"/>
        </w:rPr>
        <w:t>Th</w:t>
      </w:r>
      <w:r w:rsidR="0054646A">
        <w:rPr>
          <w:rFonts w:ascii="Times New Roman" w:hAnsi="Times New Roman"/>
          <w:sz w:val="24"/>
          <w:szCs w:val="24"/>
          <w:lang w:eastAsia="ja-JP"/>
        </w:rPr>
        <w:t xml:space="preserve">e Amendment Determination has the effect of </w:t>
      </w:r>
      <w:r w:rsidR="009E3A22">
        <w:rPr>
          <w:rFonts w:ascii="Times New Roman" w:hAnsi="Times New Roman"/>
          <w:sz w:val="24"/>
          <w:szCs w:val="24"/>
          <w:lang w:eastAsia="ja-JP"/>
        </w:rPr>
        <w:t>designating</w:t>
      </w:r>
      <w:r>
        <w:rPr>
          <w:rFonts w:ascii="Times New Roman" w:hAnsi="Times New Roman"/>
          <w:sz w:val="24"/>
          <w:szCs w:val="24"/>
          <w:lang w:eastAsia="ja-JP"/>
        </w:rPr>
        <w:t xml:space="preserve"> Wyndham Anchorage Point as a </w:t>
      </w:r>
      <w:r w:rsidR="00144C36">
        <w:rPr>
          <w:rFonts w:ascii="Times New Roman" w:hAnsi="Times New Roman"/>
          <w:sz w:val="24"/>
          <w:szCs w:val="24"/>
          <w:lang w:eastAsia="ja-JP"/>
        </w:rPr>
        <w:t>BEP</w:t>
      </w:r>
      <w:r>
        <w:rPr>
          <w:rFonts w:ascii="Times New Roman" w:hAnsi="Times New Roman"/>
          <w:sz w:val="24"/>
          <w:szCs w:val="24"/>
          <w:lang w:eastAsia="ja-JP"/>
        </w:rPr>
        <w:t xml:space="preserve"> for passenger vessels</w:t>
      </w:r>
      <w:r w:rsidR="009E3A22">
        <w:rPr>
          <w:rFonts w:ascii="Times New Roman" w:hAnsi="Times New Roman"/>
          <w:sz w:val="24"/>
          <w:szCs w:val="24"/>
          <w:lang w:eastAsia="ja-JP"/>
        </w:rPr>
        <w:t>.</w:t>
      </w:r>
      <w:r w:rsidR="00D93A1D">
        <w:rPr>
          <w:rFonts w:ascii="Times New Roman" w:hAnsi="Times New Roman"/>
          <w:sz w:val="24"/>
          <w:szCs w:val="24"/>
          <w:lang w:eastAsia="ja-JP"/>
        </w:rPr>
        <w:t xml:space="preserve"> </w:t>
      </w:r>
      <w:r w:rsidR="007356DF">
        <w:rPr>
          <w:rFonts w:ascii="Times New Roman" w:hAnsi="Times New Roman"/>
          <w:sz w:val="24"/>
          <w:szCs w:val="24"/>
          <w:lang w:eastAsia="ja-JP"/>
        </w:rPr>
        <w:t>U</w:t>
      </w:r>
      <w:r w:rsidR="009E3A22">
        <w:rPr>
          <w:rFonts w:ascii="Times New Roman" w:hAnsi="Times New Roman"/>
          <w:sz w:val="24"/>
          <w:szCs w:val="24"/>
          <w:lang w:eastAsia="ja-JP"/>
        </w:rPr>
        <w:t xml:space="preserve">nder the </w:t>
      </w:r>
      <w:r w:rsidR="007356DF">
        <w:rPr>
          <w:rFonts w:ascii="Times New Roman" w:hAnsi="Times New Roman"/>
          <w:sz w:val="24"/>
          <w:szCs w:val="24"/>
          <w:lang w:eastAsia="ja-JP"/>
        </w:rPr>
        <w:t xml:space="preserve">Port of Wyndham </w:t>
      </w:r>
      <w:r w:rsidR="009E3A22">
        <w:rPr>
          <w:rFonts w:ascii="Times New Roman" w:hAnsi="Times New Roman"/>
          <w:sz w:val="24"/>
          <w:szCs w:val="24"/>
          <w:lang w:eastAsia="ja-JP"/>
        </w:rPr>
        <w:t>Determination</w:t>
      </w:r>
      <w:r w:rsidR="007356DF">
        <w:rPr>
          <w:rFonts w:ascii="Times New Roman" w:hAnsi="Times New Roman"/>
          <w:sz w:val="24"/>
          <w:szCs w:val="24"/>
          <w:lang w:eastAsia="ja-JP"/>
        </w:rPr>
        <w:t xml:space="preserve"> as amended</w:t>
      </w:r>
      <w:r w:rsidR="009E3A22">
        <w:rPr>
          <w:rFonts w:ascii="Times New Roman" w:hAnsi="Times New Roman"/>
          <w:sz w:val="24"/>
          <w:szCs w:val="24"/>
          <w:lang w:eastAsia="ja-JP"/>
        </w:rPr>
        <w:t xml:space="preserve">, neither Wyndham Anchorage Point </w:t>
      </w:r>
      <w:r w:rsidR="007356DF">
        <w:rPr>
          <w:rFonts w:ascii="Times New Roman" w:hAnsi="Times New Roman"/>
          <w:sz w:val="24"/>
          <w:szCs w:val="24"/>
          <w:lang w:eastAsia="ja-JP"/>
        </w:rPr>
        <w:t>n</w:t>
      </w:r>
      <w:r w:rsidR="009E3A22">
        <w:rPr>
          <w:rFonts w:ascii="Times New Roman" w:hAnsi="Times New Roman"/>
          <w:sz w:val="24"/>
          <w:szCs w:val="24"/>
          <w:lang w:eastAsia="ja-JP"/>
        </w:rPr>
        <w:t>or Wyndham Wharf will be designated as BEPs for</w:t>
      </w:r>
      <w:r w:rsidR="00D93A1D">
        <w:rPr>
          <w:rFonts w:ascii="Times New Roman" w:hAnsi="Times New Roman"/>
          <w:sz w:val="24"/>
          <w:szCs w:val="24"/>
          <w:lang w:eastAsia="ja-JP"/>
        </w:rPr>
        <w:t xml:space="preserve"> passenger vessel baggage</w:t>
      </w:r>
      <w:r>
        <w:rPr>
          <w:rFonts w:ascii="Times New Roman" w:hAnsi="Times New Roman"/>
          <w:sz w:val="24"/>
          <w:szCs w:val="24"/>
          <w:lang w:eastAsia="ja-JP"/>
        </w:rPr>
        <w:t>.</w:t>
      </w:r>
    </w:p>
    <w:p w14:paraId="02ACAE82" w14:textId="77777777" w:rsidR="00D93A1D" w:rsidRDefault="00D93A1D" w:rsidP="009241A8">
      <w:pPr>
        <w:spacing w:before="0"/>
        <w:rPr>
          <w:rFonts w:ascii="Times New Roman" w:hAnsi="Times New Roman"/>
          <w:sz w:val="24"/>
          <w:szCs w:val="24"/>
          <w:lang w:eastAsia="ja-JP"/>
        </w:rPr>
      </w:pPr>
    </w:p>
    <w:p w14:paraId="0239C0DD" w14:textId="0245088C" w:rsidR="002C7DF5" w:rsidRDefault="002C7DF5" w:rsidP="007C2B25">
      <w:pPr>
        <w:spacing w:before="0"/>
        <w:rPr>
          <w:rFonts w:ascii="Times New Roman" w:hAnsi="Times New Roman"/>
          <w:sz w:val="24"/>
          <w:szCs w:val="24"/>
          <w:lang w:eastAsia="ja-JP"/>
        </w:rPr>
      </w:pPr>
      <w:r>
        <w:rPr>
          <w:rFonts w:ascii="Times New Roman" w:hAnsi="Times New Roman"/>
          <w:sz w:val="24"/>
          <w:szCs w:val="24"/>
          <w:lang w:eastAsia="ja-JP"/>
        </w:rPr>
        <w:t xml:space="preserve">Both </w:t>
      </w:r>
      <w:r w:rsidR="00D93A1D">
        <w:rPr>
          <w:rFonts w:ascii="Times New Roman" w:hAnsi="Times New Roman"/>
          <w:sz w:val="24"/>
          <w:szCs w:val="24"/>
          <w:lang w:eastAsia="ja-JP"/>
        </w:rPr>
        <w:t xml:space="preserve">Wyndham Wharf and Wyndham Anchorage Point </w:t>
      </w:r>
      <w:r>
        <w:rPr>
          <w:rFonts w:ascii="Times New Roman" w:hAnsi="Times New Roman"/>
          <w:sz w:val="24"/>
          <w:szCs w:val="24"/>
          <w:lang w:eastAsia="ja-JP"/>
        </w:rPr>
        <w:t xml:space="preserve">have been assessed as compliant with the required regulatory standards and able to manage biosecurity risks associated with </w:t>
      </w:r>
      <w:r w:rsidR="001107AF">
        <w:rPr>
          <w:rFonts w:ascii="Times New Roman" w:hAnsi="Times New Roman"/>
          <w:sz w:val="24"/>
          <w:szCs w:val="24"/>
          <w:lang w:eastAsia="ja-JP"/>
        </w:rPr>
        <w:t>inorganic bulk goods</w:t>
      </w:r>
      <w:r w:rsidR="009E3A22">
        <w:rPr>
          <w:rFonts w:ascii="Times New Roman" w:hAnsi="Times New Roman"/>
          <w:sz w:val="24"/>
          <w:szCs w:val="24"/>
          <w:lang w:eastAsia="ja-JP"/>
        </w:rPr>
        <w:t xml:space="preserve"> and passenger vessels, respectively,</w:t>
      </w:r>
      <w:r w:rsidR="001107AF">
        <w:rPr>
          <w:rFonts w:ascii="Times New Roman" w:hAnsi="Times New Roman"/>
          <w:sz w:val="24"/>
          <w:szCs w:val="24"/>
          <w:lang w:eastAsia="ja-JP"/>
        </w:rPr>
        <w:t xml:space="preserve"> to an acceptable level. </w:t>
      </w:r>
    </w:p>
    <w:p w14:paraId="4FEE6467" w14:textId="77777777" w:rsidR="002C7DF5" w:rsidRDefault="002C7DF5" w:rsidP="007C2B25">
      <w:pPr>
        <w:spacing w:before="0"/>
        <w:rPr>
          <w:rFonts w:ascii="Times New Roman" w:hAnsi="Times New Roman"/>
          <w:sz w:val="24"/>
          <w:szCs w:val="24"/>
          <w:lang w:eastAsia="ja-JP"/>
        </w:rPr>
      </w:pPr>
    </w:p>
    <w:p w14:paraId="0E788DEF" w14:textId="16DE2F7C" w:rsidR="00A84E2E" w:rsidRPr="00E51722" w:rsidRDefault="00A84E2E" w:rsidP="009E0D02">
      <w:pPr>
        <w:keepNext/>
        <w:spacing w:before="0"/>
        <w:rPr>
          <w:rFonts w:ascii="Times New Roman" w:hAnsi="Times New Roman"/>
          <w:b/>
          <w:bCs/>
          <w:sz w:val="24"/>
          <w:szCs w:val="24"/>
          <w:lang w:eastAsia="ja-JP"/>
        </w:rPr>
      </w:pPr>
      <w:r w:rsidRPr="00E51722">
        <w:rPr>
          <w:rFonts w:ascii="Times New Roman" w:hAnsi="Times New Roman"/>
          <w:b/>
          <w:bCs/>
          <w:sz w:val="24"/>
          <w:szCs w:val="24"/>
          <w:lang w:eastAsia="ja-JP"/>
        </w:rPr>
        <w:t>Consultation</w:t>
      </w:r>
    </w:p>
    <w:p w14:paraId="275FEB96" w14:textId="77777777" w:rsidR="001F7F50" w:rsidRPr="00E51722" w:rsidRDefault="001F7F50" w:rsidP="009E0D02">
      <w:pPr>
        <w:keepNext/>
        <w:spacing w:before="0"/>
        <w:rPr>
          <w:rFonts w:ascii="Times New Roman" w:hAnsi="Times New Roman"/>
          <w:sz w:val="24"/>
          <w:szCs w:val="24"/>
          <w:lang w:eastAsia="ja-JP"/>
        </w:rPr>
      </w:pPr>
    </w:p>
    <w:p w14:paraId="1123A863" w14:textId="68CADCBE" w:rsidR="00B63EA5" w:rsidRDefault="00BF682F" w:rsidP="00B63EA5">
      <w:pPr>
        <w:spacing w:before="0"/>
        <w:rPr>
          <w:rFonts w:ascii="Times New Roman" w:hAnsi="Times New Roman"/>
          <w:sz w:val="24"/>
          <w:szCs w:val="24"/>
          <w:lang w:eastAsia="ja-JP"/>
        </w:rPr>
      </w:pPr>
      <w:bookmarkStart w:id="7" w:name="_Hlk180144603"/>
      <w:r>
        <w:rPr>
          <w:rFonts w:ascii="Times New Roman" w:hAnsi="Times New Roman"/>
          <w:sz w:val="24"/>
          <w:szCs w:val="24"/>
          <w:lang w:eastAsia="ja-JP"/>
        </w:rPr>
        <w:t>In considering whether to make the Amendment Determination, the department engaged directly with the operator</w:t>
      </w:r>
      <w:r w:rsidR="009E3A22">
        <w:rPr>
          <w:rFonts w:ascii="Times New Roman" w:hAnsi="Times New Roman"/>
          <w:sz w:val="24"/>
          <w:szCs w:val="24"/>
          <w:lang w:eastAsia="ja-JP"/>
        </w:rPr>
        <w:t>s</w:t>
      </w:r>
      <w:r>
        <w:rPr>
          <w:rFonts w:ascii="Times New Roman" w:hAnsi="Times New Roman"/>
          <w:sz w:val="24"/>
          <w:szCs w:val="24"/>
          <w:lang w:eastAsia="ja-JP"/>
        </w:rPr>
        <w:t xml:space="preserve"> at the Port of Wyndham. </w:t>
      </w:r>
    </w:p>
    <w:p w14:paraId="02BC2710" w14:textId="77777777" w:rsidR="00EC390A" w:rsidRDefault="00EC390A" w:rsidP="00B63EA5">
      <w:pPr>
        <w:spacing w:before="0"/>
        <w:rPr>
          <w:rFonts w:ascii="Times New Roman" w:hAnsi="Times New Roman"/>
          <w:sz w:val="24"/>
          <w:szCs w:val="24"/>
          <w:lang w:eastAsia="ja-JP"/>
        </w:rPr>
      </w:pPr>
    </w:p>
    <w:p w14:paraId="2E51F820" w14:textId="7E845353" w:rsidR="003029A6" w:rsidRDefault="003029A6" w:rsidP="00B63EA5">
      <w:pPr>
        <w:spacing w:before="0"/>
        <w:rPr>
          <w:rFonts w:ascii="Times New Roman" w:hAnsi="Times New Roman"/>
          <w:sz w:val="24"/>
          <w:szCs w:val="24"/>
          <w:lang w:eastAsia="ja-JP"/>
        </w:rPr>
      </w:pPr>
      <w:r>
        <w:rPr>
          <w:rFonts w:ascii="Times New Roman" w:hAnsi="Times New Roman"/>
          <w:sz w:val="24"/>
          <w:szCs w:val="24"/>
          <w:lang w:eastAsia="ja-JP"/>
        </w:rPr>
        <w:t xml:space="preserve">The department has </w:t>
      </w:r>
      <w:r w:rsidR="009929E5">
        <w:rPr>
          <w:rFonts w:ascii="Times New Roman" w:hAnsi="Times New Roman"/>
          <w:sz w:val="24"/>
          <w:szCs w:val="24"/>
          <w:lang w:eastAsia="ja-JP"/>
        </w:rPr>
        <w:t xml:space="preserve">also </w:t>
      </w:r>
      <w:r>
        <w:rPr>
          <w:rFonts w:ascii="Times New Roman" w:hAnsi="Times New Roman"/>
          <w:sz w:val="24"/>
          <w:szCs w:val="24"/>
          <w:lang w:eastAsia="ja-JP"/>
        </w:rPr>
        <w:t>consulted with the Department of Transport (Western Australia), Kimberley Ports Authority, Ord District Co-operative Limited, Regional Development Australia Kimberley and the Department of Infrastructure, Transport, Regional Development, Communications and the Arts.</w:t>
      </w:r>
    </w:p>
    <w:p w14:paraId="56A70759" w14:textId="77777777" w:rsidR="00EC390A" w:rsidRDefault="00EC390A" w:rsidP="00B63EA5">
      <w:pPr>
        <w:spacing w:before="0"/>
        <w:rPr>
          <w:rFonts w:ascii="Times New Roman" w:hAnsi="Times New Roman"/>
          <w:sz w:val="24"/>
          <w:szCs w:val="24"/>
          <w:lang w:eastAsia="ja-JP"/>
        </w:rPr>
      </w:pPr>
    </w:p>
    <w:p w14:paraId="68DADE95" w14:textId="4D14CF77" w:rsidR="00EC390A" w:rsidRDefault="00EC390A" w:rsidP="00B63EA5">
      <w:pPr>
        <w:spacing w:before="0"/>
        <w:rPr>
          <w:rFonts w:ascii="Times New Roman" w:hAnsi="Times New Roman"/>
          <w:sz w:val="24"/>
          <w:szCs w:val="24"/>
          <w:lang w:eastAsia="ja-JP"/>
        </w:rPr>
      </w:pPr>
      <w:r>
        <w:rPr>
          <w:rFonts w:ascii="Times New Roman" w:hAnsi="Times New Roman"/>
          <w:sz w:val="24"/>
          <w:szCs w:val="24"/>
          <w:lang w:eastAsia="ja-JP"/>
        </w:rPr>
        <w:t xml:space="preserve">The Department of Health and Aged Care has also been consulted in relation to the Amendment Determination and provided a letter of endorsement on </w:t>
      </w:r>
      <w:r w:rsidR="00144C36">
        <w:rPr>
          <w:rFonts w:ascii="Times New Roman" w:hAnsi="Times New Roman"/>
          <w:sz w:val="24"/>
          <w:szCs w:val="24"/>
          <w:lang w:eastAsia="ja-JP"/>
        </w:rPr>
        <w:t>21 November 2024</w:t>
      </w:r>
      <w:r>
        <w:rPr>
          <w:rFonts w:ascii="Times New Roman" w:hAnsi="Times New Roman"/>
          <w:sz w:val="24"/>
          <w:szCs w:val="24"/>
          <w:lang w:eastAsia="ja-JP"/>
        </w:rPr>
        <w:t xml:space="preserve">. </w:t>
      </w:r>
    </w:p>
    <w:p w14:paraId="40FF76E4" w14:textId="77777777" w:rsidR="003752D6" w:rsidRDefault="003752D6" w:rsidP="00B63EA5">
      <w:pPr>
        <w:spacing w:before="0"/>
        <w:rPr>
          <w:rFonts w:ascii="Times New Roman" w:hAnsi="Times New Roman"/>
          <w:sz w:val="24"/>
          <w:szCs w:val="24"/>
          <w:lang w:eastAsia="ja-JP"/>
        </w:rPr>
      </w:pPr>
    </w:p>
    <w:p w14:paraId="7209D350" w14:textId="7BB4B704" w:rsidR="003752D6" w:rsidRPr="003752D6" w:rsidRDefault="003752D6" w:rsidP="002A045B">
      <w:pPr>
        <w:spacing w:before="0"/>
        <w:rPr>
          <w:rFonts w:ascii="Times New Roman" w:hAnsi="Times New Roman"/>
          <w:strike/>
          <w:sz w:val="20"/>
          <w:szCs w:val="20"/>
          <w:lang w:eastAsia="ja-JP"/>
        </w:rPr>
      </w:pPr>
      <w:r w:rsidRPr="5112B2A2">
        <w:rPr>
          <w:rFonts w:ascii="Times New Roman" w:hAnsi="Times New Roman"/>
          <w:sz w:val="24"/>
          <w:szCs w:val="24"/>
          <w:lang w:eastAsia="ja-JP"/>
        </w:rPr>
        <w:t xml:space="preserve">The former Office of Best Practice Regulation (OBPR), </w:t>
      </w:r>
      <w:r w:rsidR="00290699" w:rsidRPr="5112B2A2">
        <w:rPr>
          <w:rFonts w:ascii="Times New Roman" w:hAnsi="Times New Roman"/>
          <w:sz w:val="24"/>
          <w:szCs w:val="24"/>
          <w:lang w:eastAsia="ja-JP"/>
        </w:rPr>
        <w:t>now</w:t>
      </w:r>
      <w:r w:rsidRPr="5112B2A2">
        <w:rPr>
          <w:rFonts w:ascii="Times New Roman" w:hAnsi="Times New Roman"/>
          <w:sz w:val="24"/>
          <w:szCs w:val="24"/>
          <w:lang w:eastAsia="ja-JP"/>
        </w:rPr>
        <w:t xml:space="preserve"> the Office of Impact Assessment, was consulted in the preparation of the Regulation Impact Statement (RIS) for the Biosecurity Bill 2014 (OBPR ID: 25191). The OBPR advised on 31 March 2016 that a RIS is not required and, further to this, confirmed this advice in the context of extension and amendment instruments on 30 May 2019. </w:t>
      </w:r>
      <w:bookmarkEnd w:id="7"/>
    </w:p>
    <w:p w14:paraId="13C4678F" w14:textId="0DB979C5" w:rsidR="00A84E2E" w:rsidRPr="00E51722" w:rsidRDefault="00A84E2E"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lastRenderedPageBreak/>
        <w:t>Details</w:t>
      </w:r>
      <w:r w:rsidR="00EC390A">
        <w:rPr>
          <w:rFonts w:ascii="Times New Roman" w:hAnsi="Times New Roman"/>
          <w:b/>
          <w:bCs/>
          <w:sz w:val="24"/>
          <w:szCs w:val="24"/>
          <w:lang w:eastAsia="ja-JP"/>
        </w:rPr>
        <w:t xml:space="preserve"> </w:t>
      </w:r>
      <w:r w:rsidRPr="00E51722">
        <w:rPr>
          <w:rFonts w:ascii="Times New Roman" w:hAnsi="Times New Roman"/>
          <w:b/>
          <w:bCs/>
          <w:sz w:val="24"/>
          <w:szCs w:val="24"/>
          <w:lang w:eastAsia="ja-JP"/>
        </w:rPr>
        <w:t>/ Operation</w:t>
      </w:r>
    </w:p>
    <w:p w14:paraId="0347E4DC" w14:textId="0AD2A1A2" w:rsidR="002A045B" w:rsidRPr="00E51722" w:rsidRDefault="002A045B" w:rsidP="00EC390A">
      <w:pPr>
        <w:tabs>
          <w:tab w:val="left" w:pos="2840"/>
        </w:tabs>
        <w:spacing w:before="0"/>
        <w:rPr>
          <w:rFonts w:ascii="Times New Roman" w:hAnsi="Times New Roman"/>
          <w:sz w:val="24"/>
          <w:szCs w:val="24"/>
          <w:lang w:eastAsia="ja-JP"/>
        </w:rPr>
      </w:pPr>
      <w:bookmarkStart w:id="8" w:name="_Hlk180144623"/>
    </w:p>
    <w:p w14:paraId="7C12037F" w14:textId="2EA4C57E" w:rsidR="002A045B" w:rsidRPr="00E51722" w:rsidRDefault="002A045B" w:rsidP="00021526">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w:t>
      </w:r>
      <w:r w:rsidR="00513CB9" w:rsidRPr="00E51722">
        <w:rPr>
          <w:rFonts w:ascii="Times New Roman" w:hAnsi="Times New Roman"/>
          <w:sz w:val="24"/>
          <w:szCs w:val="24"/>
          <w:lang w:eastAsia="ja-JP"/>
        </w:rPr>
        <w:t xml:space="preserve">Amendment </w:t>
      </w:r>
      <w:r w:rsidR="00280091">
        <w:rPr>
          <w:rFonts w:ascii="Times New Roman" w:hAnsi="Times New Roman"/>
          <w:sz w:val="24"/>
          <w:szCs w:val="24"/>
          <w:lang w:eastAsia="ja-JP"/>
        </w:rPr>
        <w:t>Determination</w:t>
      </w:r>
      <w:r w:rsidRPr="00E51722">
        <w:rPr>
          <w:rFonts w:ascii="Times New Roman" w:hAnsi="Times New Roman"/>
          <w:sz w:val="24"/>
          <w:szCs w:val="24"/>
          <w:lang w:eastAsia="ja-JP"/>
        </w:rPr>
        <w:t xml:space="preserve"> commence</w:t>
      </w:r>
      <w:r w:rsidR="00280091">
        <w:rPr>
          <w:rFonts w:ascii="Times New Roman" w:hAnsi="Times New Roman"/>
          <w:sz w:val="24"/>
          <w:szCs w:val="24"/>
          <w:lang w:eastAsia="ja-JP"/>
        </w:rPr>
        <w:t>s</w:t>
      </w:r>
      <w:r w:rsidR="00AA5ABF" w:rsidRPr="00E51722">
        <w:rPr>
          <w:rFonts w:ascii="Times New Roman" w:hAnsi="Times New Roman"/>
          <w:sz w:val="24"/>
          <w:szCs w:val="24"/>
          <w:lang w:eastAsia="ja-JP"/>
        </w:rPr>
        <w:t xml:space="preserve"> on</w:t>
      </w:r>
      <w:r w:rsidR="00280091">
        <w:rPr>
          <w:rFonts w:ascii="Times New Roman" w:hAnsi="Times New Roman"/>
          <w:sz w:val="24"/>
          <w:szCs w:val="24"/>
          <w:lang w:eastAsia="ja-JP"/>
        </w:rPr>
        <w:t xml:space="preserve"> the day after the instrument was registered on the Federal Register of Legislation.</w:t>
      </w:r>
    </w:p>
    <w:p w14:paraId="29C6DB2D" w14:textId="77777777" w:rsidR="002A045B" w:rsidRPr="00E51722" w:rsidRDefault="002A045B" w:rsidP="00021526">
      <w:pPr>
        <w:spacing w:before="0"/>
        <w:rPr>
          <w:rFonts w:ascii="Times New Roman" w:hAnsi="Times New Roman"/>
          <w:sz w:val="24"/>
          <w:szCs w:val="24"/>
          <w:lang w:eastAsia="ja-JP"/>
        </w:rPr>
      </w:pPr>
    </w:p>
    <w:p w14:paraId="36B4D288" w14:textId="0CD5274E" w:rsidR="0067798E" w:rsidRPr="00E51722" w:rsidRDefault="00A84E2E" w:rsidP="00021526">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Details of the </w:t>
      </w:r>
      <w:r w:rsidR="00513CB9" w:rsidRPr="00E51722">
        <w:rPr>
          <w:rFonts w:ascii="Times New Roman" w:hAnsi="Times New Roman"/>
          <w:sz w:val="24"/>
          <w:szCs w:val="24"/>
          <w:lang w:eastAsia="ja-JP"/>
        </w:rPr>
        <w:t xml:space="preserve">Amendment </w:t>
      </w:r>
      <w:r w:rsidR="00280091">
        <w:rPr>
          <w:rFonts w:ascii="Times New Roman" w:hAnsi="Times New Roman"/>
          <w:sz w:val="24"/>
          <w:szCs w:val="24"/>
          <w:lang w:eastAsia="ja-JP"/>
        </w:rPr>
        <w:t>Determination</w:t>
      </w:r>
      <w:r w:rsidRPr="00E51722">
        <w:rPr>
          <w:rFonts w:ascii="Times New Roman" w:hAnsi="Times New Roman"/>
          <w:sz w:val="24"/>
          <w:szCs w:val="24"/>
          <w:lang w:eastAsia="ja-JP"/>
        </w:rPr>
        <w:t xml:space="preserve"> </w:t>
      </w:r>
      <w:r w:rsidR="00057A47" w:rsidRPr="00E51722">
        <w:rPr>
          <w:rFonts w:ascii="Times New Roman" w:hAnsi="Times New Roman"/>
          <w:sz w:val="24"/>
          <w:szCs w:val="24"/>
          <w:lang w:eastAsia="ja-JP"/>
        </w:rPr>
        <w:t xml:space="preserve">are </w:t>
      </w:r>
      <w:r w:rsidRPr="00E51722">
        <w:rPr>
          <w:rFonts w:ascii="Times New Roman" w:hAnsi="Times New Roman"/>
          <w:sz w:val="24"/>
          <w:szCs w:val="24"/>
          <w:lang w:eastAsia="ja-JP"/>
        </w:rPr>
        <w:t>set out in</w:t>
      </w:r>
      <w:r w:rsidR="00E91037">
        <w:rPr>
          <w:rFonts w:ascii="Times New Roman" w:hAnsi="Times New Roman"/>
          <w:sz w:val="24"/>
          <w:szCs w:val="24"/>
          <w:lang w:eastAsia="ja-JP"/>
        </w:rPr>
        <w:t xml:space="preserve"> the</w:t>
      </w:r>
      <w:r w:rsidRPr="00E51722">
        <w:rPr>
          <w:rFonts w:ascii="Times New Roman" w:hAnsi="Times New Roman"/>
          <w:sz w:val="24"/>
          <w:szCs w:val="24"/>
          <w:lang w:eastAsia="ja-JP"/>
        </w:rPr>
        <w:t xml:space="preserve"> </w:t>
      </w:r>
      <w:r w:rsidRPr="00E51722">
        <w:rPr>
          <w:rFonts w:ascii="Times New Roman" w:hAnsi="Times New Roman"/>
          <w:sz w:val="24"/>
          <w:szCs w:val="24"/>
          <w:u w:val="single"/>
          <w:lang w:eastAsia="ja-JP"/>
        </w:rPr>
        <w:t>Attachment</w:t>
      </w:r>
      <w:r w:rsidRPr="00E51722">
        <w:rPr>
          <w:rFonts w:ascii="Times New Roman" w:hAnsi="Times New Roman"/>
          <w:sz w:val="24"/>
          <w:szCs w:val="24"/>
          <w:lang w:eastAsia="ja-JP"/>
        </w:rPr>
        <w:t>.</w:t>
      </w:r>
    </w:p>
    <w:bookmarkEnd w:id="8"/>
    <w:p w14:paraId="3DFE2D48" w14:textId="77777777" w:rsidR="002A045B" w:rsidRPr="00E51722" w:rsidRDefault="002A045B" w:rsidP="00513CB9">
      <w:pPr>
        <w:spacing w:before="0"/>
        <w:rPr>
          <w:rFonts w:ascii="Times New Roman" w:hAnsi="Times New Roman"/>
          <w:sz w:val="24"/>
          <w:szCs w:val="24"/>
          <w:lang w:eastAsia="ja-JP"/>
        </w:rPr>
      </w:pPr>
    </w:p>
    <w:p w14:paraId="03F0CA74" w14:textId="7D10D11D" w:rsidR="0067798E" w:rsidRPr="00E51722" w:rsidRDefault="0067798E"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Other</w:t>
      </w:r>
    </w:p>
    <w:p w14:paraId="5AB76077" w14:textId="77777777" w:rsidR="002A045B" w:rsidRPr="00E51722" w:rsidRDefault="002A045B" w:rsidP="002A045B">
      <w:pPr>
        <w:spacing w:before="0"/>
        <w:rPr>
          <w:rFonts w:ascii="Times New Roman" w:hAnsi="Times New Roman"/>
          <w:sz w:val="24"/>
          <w:szCs w:val="24"/>
          <w:lang w:eastAsia="ja-JP"/>
        </w:rPr>
      </w:pPr>
    </w:p>
    <w:p w14:paraId="3BAEB51A" w14:textId="0FEBEC93" w:rsidR="009E675C" w:rsidRDefault="009E675C" w:rsidP="002A045B">
      <w:pPr>
        <w:spacing w:before="0"/>
        <w:rPr>
          <w:rFonts w:ascii="Times New Roman" w:hAnsi="Times New Roman"/>
          <w:sz w:val="24"/>
          <w:szCs w:val="24"/>
          <w:lang w:eastAsia="ja-JP"/>
        </w:rPr>
      </w:pPr>
      <w:r>
        <w:rPr>
          <w:rFonts w:ascii="Times New Roman" w:hAnsi="Times New Roman"/>
          <w:sz w:val="24"/>
          <w:szCs w:val="24"/>
          <w:lang w:eastAsia="ja-JP"/>
        </w:rPr>
        <w:t>The Amendment Determination is a legislative instrument</w:t>
      </w:r>
      <w:r w:rsidR="00EC390A">
        <w:rPr>
          <w:rFonts w:ascii="Times New Roman" w:hAnsi="Times New Roman"/>
          <w:sz w:val="24"/>
          <w:szCs w:val="24"/>
          <w:lang w:eastAsia="ja-JP"/>
        </w:rPr>
        <w:t xml:space="preserve"> for the purposes of the </w:t>
      </w:r>
      <w:r w:rsidR="00EC390A">
        <w:rPr>
          <w:rFonts w:ascii="Times New Roman" w:hAnsi="Times New Roman"/>
          <w:i/>
          <w:iCs/>
          <w:sz w:val="24"/>
          <w:szCs w:val="24"/>
          <w:lang w:eastAsia="ja-JP"/>
        </w:rPr>
        <w:t>Legislation Act 2003</w:t>
      </w:r>
      <w:r w:rsidR="008D4E9E">
        <w:rPr>
          <w:rFonts w:ascii="Times New Roman" w:hAnsi="Times New Roman"/>
          <w:sz w:val="24"/>
          <w:szCs w:val="24"/>
          <w:lang w:eastAsia="ja-JP"/>
        </w:rPr>
        <w:t xml:space="preserve"> (the Legislation Act)</w:t>
      </w:r>
      <w:r>
        <w:rPr>
          <w:rFonts w:ascii="Times New Roman" w:hAnsi="Times New Roman"/>
          <w:sz w:val="24"/>
          <w:szCs w:val="24"/>
          <w:lang w:eastAsia="ja-JP"/>
        </w:rPr>
        <w:t xml:space="preserve">, but under paragraph 234(b) of the </w:t>
      </w:r>
      <w:r w:rsidR="00300F32">
        <w:rPr>
          <w:rFonts w:ascii="Times New Roman" w:hAnsi="Times New Roman"/>
          <w:sz w:val="24"/>
          <w:szCs w:val="24"/>
          <w:lang w:eastAsia="ja-JP"/>
        </w:rPr>
        <w:t xml:space="preserve">Biosecurity </w:t>
      </w:r>
      <w:r>
        <w:rPr>
          <w:rFonts w:ascii="Times New Roman" w:hAnsi="Times New Roman"/>
          <w:sz w:val="24"/>
          <w:szCs w:val="24"/>
          <w:lang w:eastAsia="ja-JP"/>
        </w:rPr>
        <w:t>Act, section 42 (disallowance) of the</w:t>
      </w:r>
      <w:r w:rsidR="008D4E9E">
        <w:rPr>
          <w:rFonts w:ascii="Times New Roman" w:hAnsi="Times New Roman"/>
          <w:sz w:val="24"/>
          <w:szCs w:val="24"/>
          <w:lang w:eastAsia="ja-JP"/>
        </w:rPr>
        <w:t xml:space="preserve"> Legislation Act</w:t>
      </w:r>
      <w:r>
        <w:rPr>
          <w:rFonts w:ascii="Times New Roman" w:hAnsi="Times New Roman"/>
          <w:sz w:val="24"/>
          <w:szCs w:val="24"/>
          <w:lang w:eastAsia="ja-JP"/>
        </w:rPr>
        <w:t xml:space="preserve"> does not apply to the </w:t>
      </w:r>
      <w:r w:rsidR="00D318DF">
        <w:rPr>
          <w:rFonts w:ascii="Times New Roman" w:hAnsi="Times New Roman"/>
          <w:sz w:val="24"/>
          <w:szCs w:val="24"/>
          <w:lang w:eastAsia="ja-JP"/>
        </w:rPr>
        <w:t xml:space="preserve">Amendment </w:t>
      </w:r>
      <w:r>
        <w:rPr>
          <w:rFonts w:ascii="Times New Roman" w:hAnsi="Times New Roman"/>
          <w:sz w:val="24"/>
          <w:szCs w:val="24"/>
          <w:lang w:eastAsia="ja-JP"/>
        </w:rPr>
        <w:t xml:space="preserve">Determination. </w:t>
      </w:r>
    </w:p>
    <w:p w14:paraId="48C9B8CD" w14:textId="77777777" w:rsidR="009E675C" w:rsidRDefault="009E675C" w:rsidP="002A045B">
      <w:pPr>
        <w:spacing w:before="0"/>
        <w:rPr>
          <w:rFonts w:ascii="Times New Roman" w:hAnsi="Times New Roman"/>
          <w:sz w:val="24"/>
          <w:szCs w:val="24"/>
          <w:lang w:eastAsia="ja-JP"/>
        </w:rPr>
      </w:pPr>
    </w:p>
    <w:p w14:paraId="4CF1EF50" w14:textId="07B882A9" w:rsidR="009E675C" w:rsidRDefault="009E675C"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exemption from disallowance for the instrument is set out in primary legislation. The justification for the instrument being exempt includes that the Amendment Determination, by varying the </w:t>
      </w:r>
      <w:r w:rsidR="005910A0">
        <w:rPr>
          <w:rFonts w:ascii="Times New Roman" w:hAnsi="Times New Roman"/>
          <w:sz w:val="24"/>
          <w:szCs w:val="24"/>
          <w:lang w:eastAsia="ja-JP"/>
        </w:rPr>
        <w:t>Port of Wyndham</w:t>
      </w:r>
      <w:r>
        <w:rPr>
          <w:rFonts w:ascii="Times New Roman" w:hAnsi="Times New Roman"/>
          <w:sz w:val="24"/>
          <w:szCs w:val="24"/>
          <w:lang w:eastAsia="ja-JP"/>
        </w:rPr>
        <w:t xml:space="preserve"> Determination, implements technically and scientifically based decisions to manage biosecurity risks arising from vessels, and the goods they carry, arriving in Australian territory from overseas, and thereby enables the government to uphold the objectives of the biosecurity framework. </w:t>
      </w:r>
    </w:p>
    <w:p w14:paraId="6E488FE1" w14:textId="77777777" w:rsidR="008D4E9E" w:rsidRDefault="008D4E9E" w:rsidP="002A045B">
      <w:pPr>
        <w:spacing w:before="0"/>
        <w:rPr>
          <w:rFonts w:ascii="Times New Roman" w:hAnsi="Times New Roman"/>
          <w:sz w:val="24"/>
          <w:szCs w:val="24"/>
          <w:lang w:eastAsia="ja-JP"/>
        </w:rPr>
      </w:pPr>
    </w:p>
    <w:p w14:paraId="3F5285C0" w14:textId="2CAFAC77" w:rsidR="008D4E9E" w:rsidRDefault="008D4E9E" w:rsidP="002A045B">
      <w:pPr>
        <w:spacing w:before="0"/>
        <w:rPr>
          <w:rFonts w:ascii="Times New Roman" w:hAnsi="Times New Roman"/>
          <w:sz w:val="24"/>
          <w:szCs w:val="24"/>
          <w:lang w:eastAsia="ja-JP"/>
        </w:rPr>
      </w:pPr>
      <w:r>
        <w:rPr>
          <w:rFonts w:ascii="Times New Roman" w:hAnsi="Times New Roman"/>
          <w:sz w:val="24"/>
          <w:szCs w:val="24"/>
          <w:lang w:eastAsia="ja-JP"/>
        </w:rPr>
        <w:t xml:space="preserve">Varying the Port of Wyndham Determination to be a first point of entry for inorganic bulk goods and to designate Wyndham Wharf as </w:t>
      </w:r>
      <w:r w:rsidR="00144C36">
        <w:rPr>
          <w:rFonts w:ascii="Times New Roman" w:hAnsi="Times New Roman"/>
          <w:sz w:val="24"/>
          <w:szCs w:val="24"/>
          <w:lang w:eastAsia="ja-JP"/>
        </w:rPr>
        <w:t>a BEP</w:t>
      </w:r>
      <w:r>
        <w:rPr>
          <w:rFonts w:ascii="Times New Roman" w:hAnsi="Times New Roman"/>
          <w:sz w:val="24"/>
          <w:szCs w:val="24"/>
          <w:lang w:eastAsia="ja-JP"/>
        </w:rPr>
        <w:t xml:space="preserve"> for inorganic bulk goods is based on a technical and scientific decision</w:t>
      </w:r>
      <w:r w:rsidR="00D230D1">
        <w:rPr>
          <w:rFonts w:ascii="Times New Roman" w:hAnsi="Times New Roman"/>
          <w:sz w:val="24"/>
          <w:szCs w:val="24"/>
          <w:lang w:eastAsia="ja-JP"/>
        </w:rPr>
        <w:t xml:space="preserve"> in relation to the management of biosecurity risk</w:t>
      </w:r>
      <w:r>
        <w:rPr>
          <w:rFonts w:ascii="Times New Roman" w:hAnsi="Times New Roman"/>
          <w:sz w:val="24"/>
          <w:szCs w:val="24"/>
          <w:lang w:eastAsia="ja-JP"/>
        </w:rPr>
        <w:t xml:space="preserve">. It is critical that the implementation of the scientific and technical decision is effective to ensure that biosecurity risk is managed to an </w:t>
      </w:r>
      <w:r w:rsidR="00400EE6">
        <w:rPr>
          <w:rFonts w:ascii="Times New Roman" w:hAnsi="Times New Roman"/>
          <w:sz w:val="24"/>
          <w:szCs w:val="24"/>
          <w:lang w:eastAsia="ja-JP"/>
        </w:rPr>
        <w:t xml:space="preserve">acceptable </w:t>
      </w:r>
      <w:r>
        <w:rPr>
          <w:rFonts w:ascii="Times New Roman" w:hAnsi="Times New Roman"/>
          <w:sz w:val="24"/>
          <w:szCs w:val="24"/>
          <w:lang w:eastAsia="ja-JP"/>
        </w:rPr>
        <w:t xml:space="preserve">level. </w:t>
      </w:r>
    </w:p>
    <w:p w14:paraId="4E1DD028" w14:textId="19628937" w:rsidR="009E675C" w:rsidRDefault="00400EE6" w:rsidP="0054646A">
      <w:pPr>
        <w:shd w:val="clear" w:color="auto" w:fill="FFFFFF"/>
        <w:rPr>
          <w:rFonts w:ascii="Times New Roman" w:hAnsi="Times New Roman"/>
          <w:sz w:val="24"/>
          <w:szCs w:val="24"/>
          <w:lang w:eastAsia="ja-JP"/>
        </w:rPr>
      </w:pPr>
      <w:r w:rsidRPr="006D27D3">
        <w:rPr>
          <w:rFonts w:ascii="Times New Roman" w:eastAsia="Times New Roman" w:hAnsi="Times New Roman"/>
          <w:color w:val="000000" w:themeColor="text1"/>
          <w:sz w:val="24"/>
          <w:szCs w:val="24"/>
          <w:lang w:eastAsia="en-AU"/>
        </w:rPr>
        <w:t xml:space="preserve">It is also critical that stakeholders who make decisions in reliance on the </w:t>
      </w:r>
      <w:r>
        <w:rPr>
          <w:rFonts w:ascii="Times New Roman" w:hAnsi="Times New Roman"/>
          <w:sz w:val="24"/>
          <w:szCs w:val="24"/>
          <w:lang w:eastAsia="ja-JP"/>
        </w:rPr>
        <w:t xml:space="preserve">Port of Wyndham </w:t>
      </w:r>
      <w:r>
        <w:rPr>
          <w:rFonts w:ascii="Times New Roman" w:eastAsia="Times New Roman" w:hAnsi="Times New Roman"/>
          <w:color w:val="000000" w:themeColor="text1"/>
          <w:sz w:val="24"/>
          <w:szCs w:val="24"/>
          <w:lang w:eastAsia="en-AU"/>
        </w:rPr>
        <w:t>Determination</w:t>
      </w:r>
      <w:r w:rsidR="00D230D1">
        <w:rPr>
          <w:rFonts w:ascii="Times New Roman" w:eastAsia="Times New Roman" w:hAnsi="Times New Roman"/>
          <w:color w:val="000000" w:themeColor="text1"/>
          <w:sz w:val="24"/>
          <w:szCs w:val="24"/>
          <w:lang w:eastAsia="en-AU"/>
        </w:rPr>
        <w:t xml:space="preserve"> (and the Amendment Determination)</w:t>
      </w:r>
      <w:r>
        <w:rPr>
          <w:rFonts w:ascii="Times New Roman" w:eastAsia="Times New Roman" w:hAnsi="Times New Roman"/>
          <w:color w:val="000000" w:themeColor="text1"/>
          <w:sz w:val="24"/>
          <w:szCs w:val="24"/>
          <w:lang w:eastAsia="en-AU"/>
        </w:rPr>
        <w:t xml:space="preserve"> </w:t>
      </w:r>
      <w:r w:rsidRPr="006D27D3">
        <w:rPr>
          <w:rFonts w:ascii="Times New Roman" w:eastAsia="Times New Roman" w:hAnsi="Times New Roman"/>
          <w:color w:val="000000" w:themeColor="text1"/>
          <w:sz w:val="24"/>
          <w:szCs w:val="24"/>
          <w:lang w:eastAsia="en-AU"/>
        </w:rPr>
        <w:t>have certainty as to first point of entry arrangements</w:t>
      </w:r>
      <w:r>
        <w:rPr>
          <w:rFonts w:ascii="Times New Roman" w:eastAsia="Times New Roman" w:hAnsi="Times New Roman"/>
          <w:color w:val="000000" w:themeColor="text1"/>
          <w:sz w:val="24"/>
          <w:szCs w:val="24"/>
          <w:lang w:eastAsia="en-AU"/>
        </w:rPr>
        <w:t xml:space="preserve">, including arrangements in relation to </w:t>
      </w:r>
      <w:r w:rsidR="00144C36">
        <w:rPr>
          <w:rFonts w:ascii="Times New Roman" w:eastAsia="Times New Roman" w:hAnsi="Times New Roman"/>
          <w:color w:val="000000" w:themeColor="text1"/>
          <w:sz w:val="24"/>
          <w:szCs w:val="24"/>
          <w:lang w:eastAsia="en-AU"/>
        </w:rPr>
        <w:t>BEPs</w:t>
      </w:r>
      <w:r w:rsidRPr="006D27D3">
        <w:rPr>
          <w:rFonts w:ascii="Times New Roman" w:eastAsia="Times New Roman" w:hAnsi="Times New Roman"/>
          <w:color w:val="000000" w:themeColor="text1"/>
          <w:sz w:val="24"/>
          <w:szCs w:val="24"/>
          <w:lang w:eastAsia="en-AU"/>
        </w:rPr>
        <w:t xml:space="preserve">. A lack of certainty could cause </w:t>
      </w:r>
      <w:r>
        <w:rPr>
          <w:rFonts w:ascii="Times New Roman" w:eastAsia="Times New Roman" w:hAnsi="Times New Roman"/>
          <w:color w:val="000000" w:themeColor="text1"/>
          <w:sz w:val="24"/>
          <w:szCs w:val="24"/>
          <w:lang w:eastAsia="en-AU"/>
        </w:rPr>
        <w:t>confusion and disruption, and potentially undermine Australia’s biosecurity framework</w:t>
      </w:r>
      <w:r w:rsidRPr="006D27D3">
        <w:rPr>
          <w:rFonts w:ascii="Times New Roman" w:eastAsia="Times New Roman" w:hAnsi="Times New Roman"/>
          <w:color w:val="000000" w:themeColor="text1"/>
          <w:sz w:val="24"/>
          <w:szCs w:val="24"/>
          <w:lang w:eastAsia="en-AU"/>
        </w:rPr>
        <w:t>.</w:t>
      </w:r>
      <w:r w:rsidRPr="00383754">
        <w:rPr>
          <w:rFonts w:ascii="Times New Roman" w:eastAsia="Times New Roman" w:hAnsi="Times New Roman"/>
          <w:sz w:val="24"/>
          <w:szCs w:val="24"/>
          <w:lang w:eastAsia="en-AU"/>
        </w:rPr>
        <w:t xml:space="preserve"> </w:t>
      </w:r>
      <w:r w:rsidRPr="00334690">
        <w:rPr>
          <w:rFonts w:ascii="Times New Roman" w:eastAsia="Times New Roman" w:hAnsi="Times New Roman"/>
          <w:color w:val="000000" w:themeColor="text1"/>
          <w:sz w:val="24"/>
          <w:szCs w:val="24"/>
          <w:lang w:eastAsia="en-AU"/>
        </w:rPr>
        <w:t xml:space="preserve">For example, neither </w:t>
      </w:r>
      <w:r>
        <w:rPr>
          <w:rFonts w:ascii="Times New Roman" w:eastAsia="Times New Roman" w:hAnsi="Times New Roman"/>
          <w:color w:val="000000" w:themeColor="text1"/>
          <w:sz w:val="24"/>
          <w:szCs w:val="24"/>
          <w:lang w:eastAsia="en-AU"/>
        </w:rPr>
        <w:t>vessels</w:t>
      </w:r>
      <w:r w:rsidRPr="00334690">
        <w:rPr>
          <w:rFonts w:ascii="Times New Roman" w:eastAsia="Times New Roman" w:hAnsi="Times New Roman"/>
          <w:color w:val="000000" w:themeColor="text1"/>
          <w:sz w:val="24"/>
          <w:szCs w:val="24"/>
          <w:lang w:eastAsia="en-AU"/>
        </w:rPr>
        <w:t xml:space="preserve"> travelling to </w:t>
      </w:r>
      <w:r>
        <w:rPr>
          <w:rFonts w:ascii="Times New Roman" w:hAnsi="Times New Roman"/>
          <w:sz w:val="24"/>
          <w:szCs w:val="24"/>
          <w:lang w:eastAsia="ja-JP"/>
        </w:rPr>
        <w:t xml:space="preserve">Port of Wyndham </w:t>
      </w:r>
      <w:r w:rsidRPr="00334690">
        <w:rPr>
          <w:rFonts w:ascii="Times New Roman" w:eastAsia="Times New Roman" w:hAnsi="Times New Roman"/>
          <w:color w:val="000000" w:themeColor="text1"/>
          <w:sz w:val="24"/>
          <w:szCs w:val="24"/>
          <w:lang w:eastAsia="en-AU"/>
        </w:rPr>
        <w:t xml:space="preserve">nor biosecurity officials at that </w:t>
      </w:r>
      <w:r>
        <w:rPr>
          <w:rFonts w:ascii="Times New Roman" w:eastAsia="Times New Roman" w:hAnsi="Times New Roman"/>
          <w:color w:val="000000" w:themeColor="text1"/>
          <w:sz w:val="24"/>
          <w:szCs w:val="24"/>
          <w:lang w:eastAsia="en-AU"/>
        </w:rPr>
        <w:t xml:space="preserve">port </w:t>
      </w:r>
      <w:r w:rsidRPr="00334690">
        <w:rPr>
          <w:rFonts w:ascii="Times New Roman" w:eastAsia="Times New Roman" w:hAnsi="Times New Roman"/>
          <w:color w:val="000000" w:themeColor="text1"/>
          <w:sz w:val="24"/>
          <w:szCs w:val="24"/>
          <w:lang w:eastAsia="en-AU"/>
        </w:rPr>
        <w:t>could be certain of arrangements upon arrival in relation to</w:t>
      </w:r>
      <w:r>
        <w:rPr>
          <w:rFonts w:ascii="Times New Roman" w:eastAsia="Times New Roman" w:hAnsi="Times New Roman"/>
          <w:color w:val="000000" w:themeColor="text1"/>
          <w:sz w:val="24"/>
          <w:szCs w:val="24"/>
          <w:lang w:eastAsia="en-AU"/>
        </w:rPr>
        <w:t xml:space="preserve"> </w:t>
      </w:r>
      <w:r w:rsidR="00B43F7F">
        <w:rPr>
          <w:rFonts w:ascii="Times New Roman" w:eastAsia="Times New Roman" w:hAnsi="Times New Roman"/>
          <w:color w:val="000000" w:themeColor="text1"/>
          <w:sz w:val="24"/>
          <w:szCs w:val="24"/>
          <w:lang w:eastAsia="en-AU"/>
        </w:rPr>
        <w:t xml:space="preserve">the </w:t>
      </w:r>
      <w:r w:rsidR="00144C36">
        <w:rPr>
          <w:rFonts w:ascii="Times New Roman" w:eastAsia="Times New Roman" w:hAnsi="Times New Roman"/>
          <w:color w:val="000000" w:themeColor="text1"/>
          <w:sz w:val="24"/>
          <w:szCs w:val="24"/>
          <w:lang w:eastAsia="en-AU"/>
        </w:rPr>
        <w:t>BEPs</w:t>
      </w:r>
      <w:r w:rsidRPr="00334690">
        <w:rPr>
          <w:rFonts w:ascii="Times New Roman" w:eastAsia="Times New Roman" w:hAnsi="Times New Roman"/>
          <w:color w:val="000000" w:themeColor="text1"/>
          <w:sz w:val="24"/>
          <w:szCs w:val="24"/>
          <w:lang w:eastAsia="en-AU"/>
        </w:rPr>
        <w:t xml:space="preserve"> until after the expiry of a disallowance period.</w:t>
      </w:r>
      <w:r>
        <w:rPr>
          <w:rFonts w:ascii="Times New Roman" w:eastAsia="Times New Roman" w:hAnsi="Times New Roman"/>
          <w:color w:val="000000" w:themeColor="text1"/>
          <w:sz w:val="24"/>
          <w:szCs w:val="24"/>
          <w:lang w:eastAsia="en-AU"/>
        </w:rPr>
        <w:t xml:space="preserve"> </w:t>
      </w:r>
      <w:r w:rsidR="0054646A">
        <w:rPr>
          <w:rFonts w:ascii="Times New Roman" w:eastAsia="Times New Roman" w:hAnsi="Times New Roman"/>
          <w:color w:val="000000" w:themeColor="text1"/>
          <w:sz w:val="24"/>
          <w:szCs w:val="24"/>
          <w:lang w:eastAsia="en-AU"/>
        </w:rPr>
        <w:t>Certainty around the ability for inorganic bulk goods such as fertiliser to arrive at the Port of Wyndham</w:t>
      </w:r>
      <w:r w:rsidR="00144C36">
        <w:rPr>
          <w:rFonts w:ascii="Times New Roman" w:eastAsia="Times New Roman" w:hAnsi="Times New Roman"/>
          <w:color w:val="000000" w:themeColor="text1"/>
          <w:sz w:val="24"/>
          <w:szCs w:val="24"/>
          <w:lang w:eastAsia="en-AU"/>
        </w:rPr>
        <w:t xml:space="preserve"> </w:t>
      </w:r>
      <w:r w:rsidR="00B43F7F">
        <w:rPr>
          <w:rFonts w:ascii="Times New Roman" w:eastAsia="Times New Roman" w:hAnsi="Times New Roman"/>
          <w:color w:val="000000" w:themeColor="text1"/>
          <w:sz w:val="24"/>
          <w:szCs w:val="24"/>
          <w:lang w:eastAsia="en-AU"/>
        </w:rPr>
        <w:t>is necessary for</w:t>
      </w:r>
      <w:r w:rsidR="00542AF5">
        <w:rPr>
          <w:rFonts w:ascii="Times New Roman" w:eastAsia="Times New Roman" w:hAnsi="Times New Roman"/>
          <w:color w:val="000000" w:themeColor="text1"/>
          <w:sz w:val="24"/>
          <w:szCs w:val="24"/>
          <w:lang w:eastAsia="en-AU"/>
        </w:rPr>
        <w:t xml:space="preserve"> farmers to plan</w:t>
      </w:r>
      <w:r w:rsidR="00144C36">
        <w:rPr>
          <w:rFonts w:ascii="Times New Roman" w:eastAsia="Times New Roman" w:hAnsi="Times New Roman"/>
          <w:color w:val="000000" w:themeColor="text1"/>
          <w:sz w:val="24"/>
          <w:szCs w:val="24"/>
          <w:lang w:eastAsia="en-AU"/>
        </w:rPr>
        <w:t xml:space="preserve"> </w:t>
      </w:r>
      <w:proofErr w:type="gramStart"/>
      <w:r w:rsidR="00144C36">
        <w:rPr>
          <w:rFonts w:ascii="Times New Roman" w:eastAsia="Times New Roman" w:hAnsi="Times New Roman"/>
          <w:color w:val="000000" w:themeColor="text1"/>
          <w:sz w:val="24"/>
          <w:szCs w:val="24"/>
          <w:lang w:eastAsia="en-AU"/>
        </w:rPr>
        <w:t>for,</w:t>
      </w:r>
      <w:r w:rsidR="00542AF5">
        <w:rPr>
          <w:rFonts w:ascii="Times New Roman" w:eastAsia="Times New Roman" w:hAnsi="Times New Roman"/>
          <w:color w:val="000000" w:themeColor="text1"/>
          <w:sz w:val="24"/>
          <w:szCs w:val="24"/>
          <w:lang w:eastAsia="en-AU"/>
        </w:rPr>
        <w:t xml:space="preserve"> and</w:t>
      </w:r>
      <w:proofErr w:type="gramEnd"/>
      <w:r w:rsidR="00542AF5">
        <w:rPr>
          <w:rFonts w:ascii="Times New Roman" w:eastAsia="Times New Roman" w:hAnsi="Times New Roman"/>
          <w:color w:val="000000" w:themeColor="text1"/>
          <w:sz w:val="24"/>
          <w:szCs w:val="24"/>
          <w:lang w:eastAsia="en-AU"/>
        </w:rPr>
        <w:t xml:space="preserve"> </w:t>
      </w:r>
      <w:r w:rsidR="00144C36">
        <w:rPr>
          <w:rFonts w:ascii="Times New Roman" w:eastAsia="Times New Roman" w:hAnsi="Times New Roman"/>
          <w:color w:val="000000" w:themeColor="text1"/>
          <w:sz w:val="24"/>
          <w:szCs w:val="24"/>
          <w:lang w:eastAsia="en-AU"/>
        </w:rPr>
        <w:t>operate</w:t>
      </w:r>
      <w:r w:rsidR="00542AF5">
        <w:rPr>
          <w:rFonts w:ascii="Times New Roman" w:eastAsia="Times New Roman" w:hAnsi="Times New Roman"/>
          <w:color w:val="000000" w:themeColor="text1"/>
          <w:sz w:val="24"/>
          <w:szCs w:val="24"/>
          <w:lang w:eastAsia="en-AU"/>
        </w:rPr>
        <w:t xml:space="preserve"> their businesses and achieve cost effective </w:t>
      </w:r>
      <w:r w:rsidR="0030286F">
        <w:rPr>
          <w:rFonts w:ascii="Times New Roman" w:eastAsia="Times New Roman" w:hAnsi="Times New Roman"/>
          <w:color w:val="000000" w:themeColor="text1"/>
          <w:sz w:val="24"/>
          <w:szCs w:val="24"/>
          <w:lang w:eastAsia="en-AU"/>
        </w:rPr>
        <w:t xml:space="preserve">agricultural </w:t>
      </w:r>
      <w:r w:rsidR="00542AF5">
        <w:rPr>
          <w:rFonts w:ascii="Times New Roman" w:eastAsia="Times New Roman" w:hAnsi="Times New Roman"/>
          <w:color w:val="000000" w:themeColor="text1"/>
          <w:sz w:val="24"/>
          <w:szCs w:val="24"/>
          <w:lang w:eastAsia="en-AU"/>
        </w:rPr>
        <w:t>production.</w:t>
      </w:r>
      <w:r w:rsidR="0030286F">
        <w:rPr>
          <w:rFonts w:ascii="Times New Roman" w:eastAsia="Times New Roman" w:hAnsi="Times New Roman"/>
          <w:color w:val="000000" w:themeColor="text1"/>
          <w:sz w:val="24"/>
          <w:szCs w:val="24"/>
          <w:lang w:eastAsia="en-AU"/>
        </w:rPr>
        <w:t xml:space="preserve"> </w:t>
      </w:r>
    </w:p>
    <w:p w14:paraId="66717EEE" w14:textId="77777777" w:rsidR="0030286F" w:rsidRDefault="0030286F" w:rsidP="002A045B">
      <w:pPr>
        <w:spacing w:before="0"/>
        <w:rPr>
          <w:rFonts w:ascii="Times New Roman" w:hAnsi="Times New Roman"/>
          <w:sz w:val="24"/>
          <w:szCs w:val="24"/>
          <w:lang w:eastAsia="ja-JP"/>
        </w:rPr>
      </w:pPr>
    </w:p>
    <w:p w14:paraId="71A0FE2C" w14:textId="77777777" w:rsidR="00B84194" w:rsidRDefault="00236211" w:rsidP="002A045B">
      <w:pPr>
        <w:spacing w:before="0"/>
        <w:rPr>
          <w:rFonts w:ascii="Times New Roman" w:hAnsi="Times New Roman"/>
          <w:sz w:val="24"/>
          <w:szCs w:val="24"/>
          <w:lang w:eastAsia="ja-JP"/>
        </w:rPr>
      </w:pPr>
      <w:r>
        <w:rPr>
          <w:rFonts w:ascii="Times New Roman" w:hAnsi="Times New Roman"/>
          <w:sz w:val="24"/>
          <w:szCs w:val="24"/>
          <w:lang w:eastAsia="ja-JP"/>
        </w:rPr>
        <w:t xml:space="preserve">A statement of compatibility with human rights, prepared under subsection 9(1) of the </w:t>
      </w:r>
      <w:r>
        <w:rPr>
          <w:rFonts w:ascii="Times New Roman" w:hAnsi="Times New Roman"/>
          <w:i/>
          <w:iCs/>
          <w:sz w:val="24"/>
          <w:szCs w:val="24"/>
          <w:lang w:eastAsia="ja-JP"/>
        </w:rPr>
        <w:t xml:space="preserve">Human Rights (Parliamentary Scrutiny) Act </w:t>
      </w:r>
      <w:r w:rsidRPr="00236211">
        <w:rPr>
          <w:rFonts w:ascii="Times New Roman" w:hAnsi="Times New Roman"/>
          <w:sz w:val="24"/>
          <w:szCs w:val="24"/>
          <w:lang w:eastAsia="ja-JP"/>
        </w:rPr>
        <w:t>2011</w:t>
      </w:r>
      <w:r>
        <w:rPr>
          <w:rFonts w:ascii="Times New Roman" w:hAnsi="Times New Roman"/>
          <w:sz w:val="24"/>
          <w:szCs w:val="24"/>
          <w:lang w:eastAsia="ja-JP"/>
        </w:rPr>
        <w:t xml:space="preserve"> is not required, as paragraph 15J(2)(f) of the</w:t>
      </w:r>
      <w:r w:rsidR="008D4E9E">
        <w:rPr>
          <w:rFonts w:ascii="Times New Roman" w:hAnsi="Times New Roman"/>
          <w:sz w:val="24"/>
          <w:szCs w:val="24"/>
          <w:lang w:eastAsia="ja-JP"/>
        </w:rPr>
        <w:t xml:space="preserve"> Legislation Act</w:t>
      </w:r>
      <w:r>
        <w:rPr>
          <w:rFonts w:ascii="Times New Roman" w:hAnsi="Times New Roman"/>
          <w:i/>
          <w:iCs/>
          <w:sz w:val="24"/>
          <w:szCs w:val="24"/>
          <w:lang w:eastAsia="ja-JP"/>
        </w:rPr>
        <w:t xml:space="preserve"> </w:t>
      </w:r>
      <w:r>
        <w:rPr>
          <w:rFonts w:ascii="Times New Roman" w:hAnsi="Times New Roman"/>
          <w:sz w:val="24"/>
          <w:szCs w:val="24"/>
          <w:lang w:eastAsia="ja-JP"/>
        </w:rPr>
        <w:t>only requires a statement of compatibility</w:t>
      </w:r>
      <w:r w:rsidR="007D65DF">
        <w:rPr>
          <w:rFonts w:ascii="Times New Roman" w:hAnsi="Times New Roman"/>
          <w:sz w:val="24"/>
          <w:szCs w:val="24"/>
          <w:lang w:eastAsia="ja-JP"/>
        </w:rPr>
        <w:t xml:space="preserve"> of human rights to be prepared for disallowable legislative instruments.</w:t>
      </w:r>
    </w:p>
    <w:p w14:paraId="0BB42015" w14:textId="77777777" w:rsidR="00B84194" w:rsidRDefault="00B84194" w:rsidP="00B84194">
      <w:pPr>
        <w:rPr>
          <w:rFonts w:ascii="Times New Roman" w:hAnsi="Times New Roman"/>
          <w:sz w:val="24"/>
          <w:szCs w:val="24"/>
          <w:lang w:eastAsia="ja-JP"/>
        </w:rPr>
      </w:pPr>
    </w:p>
    <w:p w14:paraId="1D857A29" w14:textId="77777777" w:rsidR="00B84194" w:rsidRPr="00B84194" w:rsidRDefault="00B84194" w:rsidP="00B84194">
      <w:pPr>
        <w:rPr>
          <w:rFonts w:ascii="Times New Roman" w:hAnsi="Times New Roman"/>
          <w:sz w:val="24"/>
          <w:szCs w:val="24"/>
          <w:lang w:eastAsia="ja-JP"/>
        </w:rPr>
        <w:sectPr w:rsidR="00B84194" w:rsidRPr="00B84194" w:rsidSect="00434F29">
          <w:footerReference w:type="even" r:id="rId12"/>
          <w:footerReference w:type="default" r:id="rId13"/>
          <w:footerReference w:type="first" r:id="rId14"/>
          <w:pgSz w:w="11906" w:h="16838"/>
          <w:pgMar w:top="1440" w:right="1440" w:bottom="1440" w:left="1440" w:header="708" w:footer="708" w:gutter="0"/>
          <w:cols w:space="708"/>
          <w:titlePg/>
          <w:docGrid w:linePitch="360"/>
        </w:sectPr>
      </w:pPr>
    </w:p>
    <w:p w14:paraId="1450330D" w14:textId="5659EAA9" w:rsidR="00512D19" w:rsidRPr="00E51722" w:rsidRDefault="00512D19" w:rsidP="002A045B">
      <w:pPr>
        <w:spacing w:before="0"/>
        <w:jc w:val="right"/>
        <w:rPr>
          <w:rFonts w:ascii="Times New Roman" w:hAnsi="Times New Roman"/>
          <w:sz w:val="24"/>
          <w:szCs w:val="24"/>
          <w:lang w:eastAsia="ja-JP"/>
        </w:rPr>
      </w:pPr>
      <w:bookmarkStart w:id="9" w:name="_Hlk180144668"/>
      <w:r w:rsidRPr="00E51722">
        <w:rPr>
          <w:rFonts w:ascii="Times New Roman" w:hAnsi="Times New Roman"/>
          <w:b/>
          <w:bCs/>
          <w:sz w:val="24"/>
          <w:szCs w:val="24"/>
          <w:u w:val="single"/>
          <w:lang w:eastAsia="ja-JP"/>
        </w:rPr>
        <w:lastRenderedPageBreak/>
        <w:t>ATTACHMENT</w:t>
      </w:r>
    </w:p>
    <w:p w14:paraId="2CB99C48" w14:textId="77777777" w:rsidR="003A5CEA" w:rsidRPr="00BF3C22" w:rsidRDefault="003A5CEA" w:rsidP="003A5CEA">
      <w:pPr>
        <w:spacing w:before="0"/>
        <w:rPr>
          <w:rFonts w:ascii="Times New Roman" w:hAnsi="Times New Roman"/>
          <w:b/>
          <w:bCs/>
          <w:sz w:val="24"/>
          <w:szCs w:val="24"/>
          <w:lang w:eastAsia="ja-JP"/>
        </w:rPr>
      </w:pPr>
    </w:p>
    <w:p w14:paraId="4A6067B5" w14:textId="73BA4463" w:rsidR="003A5CEA" w:rsidRPr="00740279" w:rsidRDefault="003A5CEA" w:rsidP="003A5CEA">
      <w:pPr>
        <w:spacing w:before="0"/>
        <w:rPr>
          <w:rFonts w:ascii="Times New Roman" w:hAnsi="Times New Roman"/>
          <w:b/>
          <w:bCs/>
          <w:sz w:val="24"/>
          <w:szCs w:val="24"/>
          <w:u w:val="single"/>
          <w:lang w:eastAsia="ja-JP"/>
        </w:rPr>
      </w:pPr>
      <w:r w:rsidRPr="00740279">
        <w:rPr>
          <w:rFonts w:ascii="Times New Roman" w:hAnsi="Times New Roman"/>
          <w:b/>
          <w:bCs/>
          <w:sz w:val="24"/>
          <w:szCs w:val="24"/>
          <w:u w:val="single"/>
          <w:lang w:eastAsia="ja-JP"/>
        </w:rPr>
        <w:t xml:space="preserve">Details of the </w:t>
      </w:r>
      <w:r w:rsidRPr="00740279">
        <w:rPr>
          <w:rFonts w:ascii="Times New Roman" w:hAnsi="Times New Roman"/>
          <w:b/>
          <w:bCs/>
          <w:i/>
          <w:iCs/>
          <w:sz w:val="24"/>
          <w:szCs w:val="24"/>
          <w:u w:val="single"/>
          <w:lang w:eastAsia="ja-JP"/>
        </w:rPr>
        <w:t xml:space="preserve">Biosecurity </w:t>
      </w:r>
      <w:r w:rsidR="00280091">
        <w:rPr>
          <w:rFonts w:ascii="Times New Roman" w:hAnsi="Times New Roman"/>
          <w:b/>
          <w:bCs/>
          <w:i/>
          <w:iCs/>
          <w:sz w:val="24"/>
          <w:szCs w:val="24"/>
          <w:u w:val="single"/>
          <w:lang w:eastAsia="ja-JP"/>
        </w:rPr>
        <w:t>(First Point of Entry—Port of Wyndham) Amendment (</w:t>
      </w:r>
      <w:r w:rsidR="005D7EEE">
        <w:rPr>
          <w:rFonts w:ascii="Times New Roman" w:hAnsi="Times New Roman"/>
          <w:b/>
          <w:bCs/>
          <w:i/>
          <w:iCs/>
          <w:sz w:val="24"/>
          <w:szCs w:val="24"/>
          <w:u w:val="single"/>
          <w:lang w:eastAsia="ja-JP"/>
        </w:rPr>
        <w:t>2024 Measures No. 1</w:t>
      </w:r>
      <w:r w:rsidR="00280091">
        <w:rPr>
          <w:rFonts w:ascii="Times New Roman" w:hAnsi="Times New Roman"/>
          <w:b/>
          <w:bCs/>
          <w:i/>
          <w:iCs/>
          <w:sz w:val="24"/>
          <w:szCs w:val="24"/>
          <w:u w:val="single"/>
          <w:lang w:eastAsia="ja-JP"/>
        </w:rPr>
        <w:t xml:space="preserve">) Determination </w:t>
      </w:r>
      <w:r w:rsidR="00280091" w:rsidRPr="00280091">
        <w:rPr>
          <w:rFonts w:ascii="Times New Roman" w:hAnsi="Times New Roman"/>
          <w:b/>
          <w:bCs/>
          <w:i/>
          <w:iCs/>
          <w:sz w:val="24"/>
          <w:szCs w:val="24"/>
          <w:u w:val="single"/>
          <w:lang w:eastAsia="ja-JP"/>
        </w:rPr>
        <w:t>2024</w:t>
      </w:r>
    </w:p>
    <w:p w14:paraId="641E6406" w14:textId="77777777" w:rsidR="009509D3" w:rsidRPr="00BF3C22" w:rsidRDefault="009509D3" w:rsidP="003A5CEA">
      <w:pPr>
        <w:spacing w:before="0"/>
        <w:rPr>
          <w:rFonts w:ascii="Times New Roman" w:hAnsi="Times New Roman"/>
          <w:b/>
          <w:bCs/>
          <w:sz w:val="24"/>
          <w:szCs w:val="24"/>
          <w:lang w:eastAsia="ja-JP"/>
        </w:rPr>
      </w:pPr>
    </w:p>
    <w:p w14:paraId="538B9F2E"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1 – Name</w:t>
      </w:r>
    </w:p>
    <w:p w14:paraId="2E6698A1" w14:textId="77777777" w:rsidR="003A5CEA" w:rsidRPr="00740279" w:rsidRDefault="003A5CEA" w:rsidP="003A5CEA">
      <w:pPr>
        <w:spacing w:before="0"/>
        <w:rPr>
          <w:rFonts w:ascii="Times New Roman" w:hAnsi="Times New Roman"/>
          <w:sz w:val="24"/>
          <w:szCs w:val="24"/>
          <w:lang w:eastAsia="ja-JP"/>
        </w:rPr>
      </w:pPr>
    </w:p>
    <w:p w14:paraId="3F595891" w14:textId="4BDE7915" w:rsidR="00280091" w:rsidRPr="00280091" w:rsidRDefault="003A5CEA" w:rsidP="00280091">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name of the instrument is the </w:t>
      </w:r>
      <w:r w:rsidR="00280091" w:rsidRPr="00280091">
        <w:rPr>
          <w:rFonts w:ascii="Times New Roman" w:hAnsi="Times New Roman"/>
          <w:i/>
          <w:iCs/>
          <w:sz w:val="24"/>
          <w:szCs w:val="24"/>
          <w:lang w:eastAsia="ja-JP"/>
        </w:rPr>
        <w:t>Biosecurity (First Point of Entry—Port of Wyndham) Amendment (</w:t>
      </w:r>
      <w:r w:rsidR="005D7EEE">
        <w:rPr>
          <w:rFonts w:ascii="Times New Roman" w:hAnsi="Times New Roman"/>
          <w:i/>
          <w:iCs/>
          <w:sz w:val="24"/>
          <w:szCs w:val="24"/>
          <w:lang w:eastAsia="ja-JP"/>
        </w:rPr>
        <w:t>2024 Measures No. 1</w:t>
      </w:r>
      <w:r w:rsidR="00280091" w:rsidRPr="00280091">
        <w:rPr>
          <w:rFonts w:ascii="Times New Roman" w:hAnsi="Times New Roman"/>
          <w:i/>
          <w:iCs/>
          <w:sz w:val="24"/>
          <w:szCs w:val="24"/>
          <w:lang w:eastAsia="ja-JP"/>
        </w:rPr>
        <w:t>) Determination 2024</w:t>
      </w:r>
      <w:r w:rsidR="00280091">
        <w:rPr>
          <w:rFonts w:ascii="Times New Roman" w:hAnsi="Times New Roman"/>
          <w:sz w:val="24"/>
          <w:szCs w:val="24"/>
          <w:lang w:eastAsia="ja-JP"/>
        </w:rPr>
        <w:t xml:space="preserve"> (the Amendment Determination). </w:t>
      </w:r>
    </w:p>
    <w:p w14:paraId="07DFC3E9" w14:textId="7BB33827" w:rsidR="003A5CEA" w:rsidRPr="00740279" w:rsidRDefault="003A5CEA" w:rsidP="003A5CEA">
      <w:pPr>
        <w:spacing w:before="0"/>
        <w:rPr>
          <w:rFonts w:ascii="Times New Roman" w:hAnsi="Times New Roman"/>
          <w:sz w:val="24"/>
          <w:szCs w:val="24"/>
          <w:lang w:eastAsia="ja-JP"/>
        </w:rPr>
      </w:pPr>
    </w:p>
    <w:p w14:paraId="2E6B69CF"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2 – Commencement</w:t>
      </w:r>
    </w:p>
    <w:p w14:paraId="69C6EB76" w14:textId="77777777" w:rsidR="003A5CEA" w:rsidRPr="00740279" w:rsidRDefault="003A5CEA" w:rsidP="003A5CEA">
      <w:pPr>
        <w:spacing w:before="0"/>
        <w:rPr>
          <w:rFonts w:ascii="Times New Roman" w:hAnsi="Times New Roman"/>
          <w:sz w:val="24"/>
          <w:szCs w:val="24"/>
          <w:lang w:eastAsia="ja-JP"/>
        </w:rPr>
      </w:pPr>
    </w:p>
    <w:p w14:paraId="0F43EFBA" w14:textId="005057C5" w:rsidR="003A5CEA" w:rsidRPr="00740279" w:rsidRDefault="00E046B6" w:rsidP="003A5CEA">
      <w:pPr>
        <w:spacing w:before="0"/>
        <w:rPr>
          <w:rFonts w:ascii="Times New Roman" w:hAnsi="Times New Roman"/>
          <w:sz w:val="24"/>
          <w:szCs w:val="24"/>
          <w:lang w:eastAsia="ja-JP"/>
        </w:rPr>
      </w:pPr>
      <w:r>
        <w:rPr>
          <w:rFonts w:ascii="Times New Roman" w:hAnsi="Times New Roman"/>
          <w:sz w:val="24"/>
          <w:szCs w:val="24"/>
          <w:lang w:eastAsia="ja-JP"/>
        </w:rPr>
        <w:t>Sub</w:t>
      </w:r>
      <w:r w:rsidR="003A5CEA" w:rsidRPr="00740279">
        <w:rPr>
          <w:rFonts w:ascii="Times New Roman" w:hAnsi="Times New Roman"/>
          <w:sz w:val="24"/>
          <w:szCs w:val="24"/>
          <w:lang w:eastAsia="ja-JP"/>
        </w:rPr>
        <w:t xml:space="preserve">section </w:t>
      </w:r>
      <w:r>
        <w:rPr>
          <w:rFonts w:ascii="Times New Roman" w:hAnsi="Times New Roman"/>
          <w:sz w:val="24"/>
          <w:szCs w:val="24"/>
          <w:lang w:eastAsia="ja-JP"/>
        </w:rPr>
        <w:t xml:space="preserve">2(1) </w:t>
      </w:r>
      <w:r w:rsidR="003A5CEA" w:rsidRPr="00740279">
        <w:rPr>
          <w:rFonts w:ascii="Times New Roman" w:hAnsi="Times New Roman"/>
          <w:sz w:val="24"/>
          <w:szCs w:val="24"/>
          <w:lang w:eastAsia="ja-JP"/>
        </w:rPr>
        <w:t>provide</w:t>
      </w:r>
      <w:r w:rsidR="003A5CEA">
        <w:rPr>
          <w:rFonts w:ascii="Times New Roman" w:hAnsi="Times New Roman"/>
          <w:sz w:val="24"/>
          <w:szCs w:val="24"/>
          <w:lang w:eastAsia="ja-JP"/>
        </w:rPr>
        <w:t>s</w:t>
      </w:r>
      <w:r w:rsidR="006A22D8">
        <w:rPr>
          <w:rFonts w:ascii="Times New Roman" w:hAnsi="Times New Roman"/>
          <w:sz w:val="24"/>
          <w:szCs w:val="24"/>
          <w:lang w:eastAsia="ja-JP"/>
        </w:rPr>
        <w:t xml:space="preserve"> for the</w:t>
      </w:r>
      <w:r w:rsidR="003A5CEA" w:rsidRPr="00740279">
        <w:rPr>
          <w:rFonts w:ascii="Times New Roman" w:hAnsi="Times New Roman"/>
          <w:sz w:val="24"/>
          <w:szCs w:val="24"/>
          <w:lang w:eastAsia="ja-JP"/>
        </w:rPr>
        <w:t xml:space="preserve"> </w:t>
      </w:r>
      <w:r w:rsidR="003A5CEA">
        <w:rPr>
          <w:rFonts w:ascii="Times New Roman" w:hAnsi="Times New Roman"/>
          <w:sz w:val="24"/>
          <w:szCs w:val="24"/>
          <w:lang w:eastAsia="ja-JP"/>
        </w:rPr>
        <w:t>Amendment</w:t>
      </w:r>
      <w:r w:rsidR="003A5CEA" w:rsidRPr="00740279">
        <w:rPr>
          <w:rFonts w:ascii="Times New Roman" w:hAnsi="Times New Roman"/>
          <w:sz w:val="24"/>
          <w:szCs w:val="24"/>
          <w:lang w:eastAsia="ja-JP"/>
        </w:rPr>
        <w:t xml:space="preserve"> </w:t>
      </w:r>
      <w:r w:rsidR="00280091">
        <w:rPr>
          <w:rFonts w:ascii="Times New Roman" w:hAnsi="Times New Roman"/>
          <w:sz w:val="24"/>
          <w:szCs w:val="24"/>
          <w:lang w:eastAsia="ja-JP"/>
        </w:rPr>
        <w:t>Determination</w:t>
      </w:r>
      <w:r w:rsidR="006A22D8">
        <w:rPr>
          <w:rFonts w:ascii="Times New Roman" w:hAnsi="Times New Roman"/>
          <w:sz w:val="24"/>
          <w:szCs w:val="24"/>
          <w:lang w:eastAsia="ja-JP"/>
        </w:rPr>
        <w:t xml:space="preserve"> to</w:t>
      </w:r>
      <w:r w:rsidR="003A5CEA" w:rsidRPr="00740279">
        <w:rPr>
          <w:rFonts w:ascii="Times New Roman" w:hAnsi="Times New Roman"/>
          <w:sz w:val="24"/>
          <w:szCs w:val="24"/>
          <w:lang w:eastAsia="ja-JP"/>
        </w:rPr>
        <w:t xml:space="preserve"> commence </w:t>
      </w:r>
      <w:r w:rsidR="00231DB8">
        <w:rPr>
          <w:rFonts w:ascii="Times New Roman" w:hAnsi="Times New Roman"/>
          <w:sz w:val="24"/>
          <w:szCs w:val="24"/>
          <w:lang w:eastAsia="ja-JP"/>
        </w:rPr>
        <w:t xml:space="preserve">on </w:t>
      </w:r>
      <w:r w:rsidR="006A22D8">
        <w:rPr>
          <w:rFonts w:ascii="Times New Roman" w:hAnsi="Times New Roman"/>
          <w:sz w:val="24"/>
          <w:szCs w:val="24"/>
          <w:lang w:eastAsia="ja-JP"/>
        </w:rPr>
        <w:t xml:space="preserve">the day after it is registered. </w:t>
      </w:r>
    </w:p>
    <w:p w14:paraId="3C506E97" w14:textId="77777777" w:rsidR="003A5CEA" w:rsidRPr="00740279" w:rsidRDefault="003A5CEA" w:rsidP="003A5CEA">
      <w:pPr>
        <w:spacing w:before="0"/>
        <w:rPr>
          <w:rFonts w:ascii="Times New Roman" w:hAnsi="Times New Roman"/>
          <w:sz w:val="24"/>
          <w:szCs w:val="24"/>
          <w:lang w:eastAsia="ja-JP"/>
        </w:rPr>
      </w:pPr>
    </w:p>
    <w:p w14:paraId="74AF5D49" w14:textId="759ACEB0" w:rsidR="003A5CEA"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The note below the table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table relates only to the provisions of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w:t>
      </w:r>
      <w:r w:rsidR="006A22D8">
        <w:rPr>
          <w:rFonts w:ascii="Times New Roman" w:hAnsi="Times New Roman"/>
          <w:sz w:val="24"/>
          <w:szCs w:val="24"/>
          <w:lang w:eastAsia="ja-JP"/>
        </w:rPr>
        <w:t>Determination</w:t>
      </w:r>
      <w:r w:rsidRPr="00740279">
        <w:rPr>
          <w:rFonts w:ascii="Times New Roman" w:hAnsi="Times New Roman"/>
          <w:sz w:val="24"/>
          <w:szCs w:val="24"/>
          <w:lang w:eastAsia="ja-JP"/>
        </w:rPr>
        <w:t xml:space="preserve"> as originally made. </w:t>
      </w:r>
      <w:r>
        <w:rPr>
          <w:rFonts w:ascii="Times New Roman" w:hAnsi="Times New Roman"/>
          <w:sz w:val="24"/>
          <w:szCs w:val="24"/>
          <w:lang w:eastAsia="ja-JP"/>
        </w:rPr>
        <w:t xml:space="preserve">The table will </w:t>
      </w:r>
      <w:r w:rsidRPr="00740279">
        <w:rPr>
          <w:rFonts w:ascii="Times New Roman" w:hAnsi="Times New Roman"/>
          <w:sz w:val="24"/>
          <w:szCs w:val="24"/>
          <w:lang w:eastAsia="ja-JP"/>
        </w:rPr>
        <w:t xml:space="preserve">not be amended to deal with later amendments of the </w:t>
      </w:r>
      <w:r w:rsidR="00AC7A8E">
        <w:rPr>
          <w:rFonts w:ascii="Times New Roman" w:hAnsi="Times New Roman"/>
          <w:sz w:val="24"/>
          <w:szCs w:val="24"/>
          <w:lang w:eastAsia="ja-JP"/>
        </w:rPr>
        <w:t>Amendment</w:t>
      </w:r>
      <w:r w:rsidRPr="00740279">
        <w:rPr>
          <w:rFonts w:ascii="Times New Roman" w:hAnsi="Times New Roman"/>
          <w:sz w:val="24"/>
          <w:szCs w:val="24"/>
          <w:lang w:eastAsia="ja-JP"/>
        </w:rPr>
        <w:t xml:space="preserve"> </w:t>
      </w:r>
      <w:r w:rsidR="006A22D8">
        <w:rPr>
          <w:rFonts w:ascii="Times New Roman" w:hAnsi="Times New Roman"/>
          <w:sz w:val="24"/>
          <w:szCs w:val="24"/>
          <w:lang w:eastAsia="ja-JP"/>
        </w:rPr>
        <w:t>Determination</w:t>
      </w:r>
      <w:r w:rsidRPr="00740279">
        <w:rPr>
          <w:rFonts w:ascii="Times New Roman" w:hAnsi="Times New Roman"/>
          <w:sz w:val="24"/>
          <w:szCs w:val="24"/>
          <w:lang w:eastAsia="ja-JP"/>
        </w:rPr>
        <w:t xml:space="preserve">. The purpose of this note </w:t>
      </w:r>
      <w:r>
        <w:rPr>
          <w:rFonts w:ascii="Times New Roman" w:hAnsi="Times New Roman"/>
          <w:sz w:val="24"/>
          <w:szCs w:val="24"/>
          <w:lang w:eastAsia="ja-JP"/>
        </w:rPr>
        <w:t xml:space="preserve">is </w:t>
      </w:r>
      <w:r w:rsidRPr="00740279">
        <w:rPr>
          <w:rFonts w:ascii="Times New Roman" w:hAnsi="Times New Roman"/>
          <w:sz w:val="24"/>
          <w:szCs w:val="24"/>
          <w:lang w:eastAsia="ja-JP"/>
        </w:rPr>
        <w:t xml:space="preserve">to clarify that the commencement of any subsequent amendments </w:t>
      </w:r>
      <w:r>
        <w:rPr>
          <w:rFonts w:ascii="Times New Roman" w:hAnsi="Times New Roman"/>
          <w:sz w:val="24"/>
          <w:szCs w:val="24"/>
          <w:lang w:eastAsia="ja-JP"/>
        </w:rPr>
        <w:t>will</w:t>
      </w:r>
      <w:r w:rsidRPr="00740279">
        <w:rPr>
          <w:rFonts w:ascii="Times New Roman" w:hAnsi="Times New Roman"/>
          <w:sz w:val="24"/>
          <w:szCs w:val="24"/>
          <w:lang w:eastAsia="ja-JP"/>
        </w:rPr>
        <w:t xml:space="preserve"> not be reflected in this table.</w:t>
      </w:r>
    </w:p>
    <w:p w14:paraId="6B46FCD6" w14:textId="77777777" w:rsidR="00E046B6" w:rsidRDefault="00E046B6" w:rsidP="003A5CEA">
      <w:pPr>
        <w:spacing w:before="0"/>
        <w:rPr>
          <w:rFonts w:ascii="Times New Roman" w:hAnsi="Times New Roman"/>
          <w:sz w:val="24"/>
          <w:szCs w:val="24"/>
          <w:lang w:eastAsia="ja-JP"/>
        </w:rPr>
      </w:pPr>
    </w:p>
    <w:p w14:paraId="42DDAB6F" w14:textId="0997A151" w:rsidR="00E046B6" w:rsidRPr="00740279" w:rsidRDefault="00E046B6" w:rsidP="003A5CEA">
      <w:pPr>
        <w:spacing w:before="0"/>
        <w:rPr>
          <w:rFonts w:ascii="Times New Roman" w:hAnsi="Times New Roman"/>
          <w:sz w:val="24"/>
          <w:szCs w:val="24"/>
          <w:lang w:eastAsia="ja-JP"/>
        </w:rPr>
      </w:pPr>
      <w:r>
        <w:rPr>
          <w:rFonts w:ascii="Times New Roman" w:hAnsi="Times New Roman"/>
          <w:sz w:val="24"/>
          <w:szCs w:val="24"/>
          <w:lang w:eastAsia="ja-JP"/>
        </w:rPr>
        <w:t>Subsection 2(2) provides that any information in column 3 of the table is not part of the instrument. Information may be inserted in that column, or information in it may be edited, in any published version of the instrument.</w:t>
      </w:r>
    </w:p>
    <w:p w14:paraId="069AAFD6" w14:textId="77777777" w:rsidR="003A5CEA" w:rsidRPr="00740279" w:rsidRDefault="003A5CEA" w:rsidP="003A5CEA">
      <w:pPr>
        <w:spacing w:before="0"/>
        <w:rPr>
          <w:rFonts w:ascii="Times New Roman" w:hAnsi="Times New Roman"/>
          <w:sz w:val="24"/>
          <w:szCs w:val="24"/>
          <w:lang w:eastAsia="ja-JP"/>
        </w:rPr>
      </w:pPr>
    </w:p>
    <w:p w14:paraId="77585106"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3 – Authority</w:t>
      </w:r>
    </w:p>
    <w:p w14:paraId="12293A6F" w14:textId="77777777" w:rsidR="003A5CEA" w:rsidRPr="00740279" w:rsidRDefault="003A5CEA" w:rsidP="003A5CEA">
      <w:pPr>
        <w:spacing w:before="0"/>
        <w:rPr>
          <w:rFonts w:ascii="Times New Roman" w:hAnsi="Times New Roman"/>
          <w:sz w:val="24"/>
          <w:szCs w:val="24"/>
          <w:lang w:eastAsia="ja-JP"/>
        </w:rPr>
      </w:pPr>
    </w:p>
    <w:p w14:paraId="52B3737D" w14:textId="046FB875"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w:t>
      </w:r>
      <w:r w:rsidR="00E14891">
        <w:rPr>
          <w:rFonts w:ascii="Times New Roman" w:hAnsi="Times New Roman"/>
          <w:sz w:val="24"/>
          <w:szCs w:val="24"/>
          <w:lang w:eastAsia="ja-JP"/>
        </w:rPr>
        <w:t>Determination is</w:t>
      </w:r>
      <w:r w:rsidRPr="00740279">
        <w:rPr>
          <w:rFonts w:ascii="Times New Roman" w:hAnsi="Times New Roman"/>
          <w:sz w:val="24"/>
          <w:szCs w:val="24"/>
          <w:lang w:eastAsia="ja-JP"/>
        </w:rPr>
        <w:t xml:space="preserve"> made under </w:t>
      </w:r>
      <w:r w:rsidR="006A22D8">
        <w:rPr>
          <w:rFonts w:ascii="Times New Roman" w:hAnsi="Times New Roman"/>
          <w:sz w:val="24"/>
          <w:szCs w:val="24"/>
          <w:lang w:eastAsia="ja-JP"/>
        </w:rPr>
        <w:t>section 2</w:t>
      </w:r>
      <w:r w:rsidR="00685013">
        <w:rPr>
          <w:rFonts w:ascii="Times New Roman" w:hAnsi="Times New Roman"/>
          <w:sz w:val="24"/>
          <w:szCs w:val="24"/>
          <w:lang w:eastAsia="ja-JP"/>
        </w:rPr>
        <w:t>33</w:t>
      </w:r>
      <w:r w:rsidR="006A22D8">
        <w:rPr>
          <w:rFonts w:ascii="Times New Roman" w:hAnsi="Times New Roman"/>
          <w:sz w:val="24"/>
          <w:szCs w:val="24"/>
          <w:lang w:eastAsia="ja-JP"/>
        </w:rPr>
        <w:t xml:space="preserve"> of t</w:t>
      </w:r>
      <w:r w:rsidRPr="00740279">
        <w:rPr>
          <w:rFonts w:ascii="Times New Roman" w:hAnsi="Times New Roman"/>
          <w:sz w:val="24"/>
          <w:szCs w:val="24"/>
          <w:lang w:eastAsia="ja-JP"/>
        </w:rPr>
        <w:t xml:space="preserve">he </w:t>
      </w:r>
      <w:r w:rsidRPr="00740279">
        <w:rPr>
          <w:rFonts w:ascii="Times New Roman" w:hAnsi="Times New Roman"/>
          <w:i/>
          <w:iCs/>
          <w:sz w:val="24"/>
          <w:szCs w:val="24"/>
          <w:lang w:eastAsia="ja-JP"/>
        </w:rPr>
        <w:t xml:space="preserve">Biosecurity Act 2015 </w:t>
      </w:r>
      <w:r w:rsidRPr="00740279">
        <w:rPr>
          <w:rFonts w:ascii="Times New Roman" w:hAnsi="Times New Roman"/>
          <w:sz w:val="24"/>
          <w:szCs w:val="24"/>
          <w:lang w:eastAsia="ja-JP"/>
        </w:rPr>
        <w:t>(the</w:t>
      </w:r>
      <w:r w:rsidR="006A22D8">
        <w:rPr>
          <w:rFonts w:ascii="Times New Roman" w:hAnsi="Times New Roman"/>
          <w:sz w:val="24"/>
          <w:szCs w:val="24"/>
          <w:lang w:eastAsia="ja-JP"/>
        </w:rPr>
        <w:t xml:space="preserve"> Biosecurity</w:t>
      </w:r>
      <w:r w:rsidRPr="00740279">
        <w:rPr>
          <w:rFonts w:ascii="Times New Roman" w:hAnsi="Times New Roman"/>
          <w:sz w:val="24"/>
          <w:szCs w:val="24"/>
          <w:lang w:eastAsia="ja-JP"/>
        </w:rPr>
        <w:t xml:space="preserve"> Act)</w:t>
      </w:r>
      <w:r w:rsidRPr="00740279">
        <w:rPr>
          <w:rFonts w:ascii="Times New Roman" w:hAnsi="Times New Roman"/>
          <w:i/>
          <w:iCs/>
          <w:sz w:val="24"/>
          <w:szCs w:val="24"/>
          <w:lang w:eastAsia="ja-JP"/>
        </w:rPr>
        <w:t xml:space="preserve">. </w:t>
      </w:r>
    </w:p>
    <w:p w14:paraId="496260F8" w14:textId="77777777" w:rsidR="003A5CEA" w:rsidRPr="00740279" w:rsidRDefault="003A5CEA" w:rsidP="003A5CEA">
      <w:pPr>
        <w:spacing w:before="0"/>
        <w:rPr>
          <w:rFonts w:ascii="Times New Roman" w:hAnsi="Times New Roman"/>
          <w:sz w:val="24"/>
          <w:szCs w:val="24"/>
          <w:lang w:eastAsia="ja-JP"/>
        </w:rPr>
      </w:pPr>
    </w:p>
    <w:p w14:paraId="5E2EECC6" w14:textId="77777777" w:rsidR="003A5CEA" w:rsidRPr="00740279" w:rsidRDefault="003A5CEA" w:rsidP="003A5CEA">
      <w:pPr>
        <w:spacing w:before="0"/>
        <w:outlineLvl w:val="2"/>
        <w:rPr>
          <w:rFonts w:ascii="Times New Roman" w:hAnsi="Times New Roman"/>
          <w:sz w:val="24"/>
          <w:szCs w:val="24"/>
          <w:lang w:eastAsia="ja-JP"/>
        </w:rPr>
      </w:pPr>
      <w:r w:rsidRPr="00740279">
        <w:rPr>
          <w:rFonts w:ascii="Times New Roman" w:hAnsi="Times New Roman"/>
          <w:sz w:val="24"/>
          <w:szCs w:val="24"/>
          <w:u w:val="single"/>
          <w:lang w:eastAsia="ja-JP"/>
        </w:rPr>
        <w:t>Section 4 – Schedules</w:t>
      </w:r>
      <w:r w:rsidRPr="00740279">
        <w:rPr>
          <w:rFonts w:ascii="Times New Roman" w:hAnsi="Times New Roman"/>
          <w:sz w:val="24"/>
          <w:szCs w:val="24"/>
          <w:lang w:eastAsia="ja-JP"/>
        </w:rPr>
        <w:t xml:space="preserve"> </w:t>
      </w:r>
    </w:p>
    <w:p w14:paraId="493E4A3C" w14:textId="77777777" w:rsidR="003A5CEA" w:rsidRPr="00740279" w:rsidRDefault="003A5CEA" w:rsidP="003A5CEA">
      <w:pPr>
        <w:spacing w:before="0"/>
        <w:rPr>
          <w:rFonts w:ascii="Times New Roman" w:hAnsi="Times New Roman"/>
          <w:sz w:val="24"/>
          <w:szCs w:val="24"/>
          <w:lang w:eastAsia="ja-JP"/>
        </w:rPr>
      </w:pPr>
    </w:p>
    <w:p w14:paraId="75B2C59F" w14:textId="13F0771C"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w:t>
      </w:r>
      <w:r w:rsidR="00BA1562" w:rsidRPr="00BA1562">
        <w:rPr>
          <w:rFonts w:ascii="Times New Roman" w:hAnsi="Times New Roman"/>
          <w:sz w:val="24"/>
          <w:szCs w:val="24"/>
          <w:lang w:eastAsia="ja-JP"/>
        </w:rPr>
        <w:t>that each instrument that is specified in a Schedule to this instrument is amended or repealed as set out in the applicable items in the Schedule concerned, and any other item in a Schedule to this instrument has effect according to its terms.</w:t>
      </w:r>
    </w:p>
    <w:bookmarkEnd w:id="9"/>
    <w:p w14:paraId="66545F31" w14:textId="77777777" w:rsidR="003A5CEA" w:rsidRPr="00740279" w:rsidRDefault="003A5CEA" w:rsidP="003A5CEA">
      <w:pPr>
        <w:spacing w:before="0"/>
        <w:rPr>
          <w:rFonts w:ascii="Times New Roman" w:hAnsi="Times New Roman"/>
          <w:sz w:val="24"/>
          <w:szCs w:val="24"/>
          <w:lang w:eastAsia="ja-JP"/>
        </w:rPr>
      </w:pPr>
    </w:p>
    <w:p w14:paraId="4DD4D382" w14:textId="77777777"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br w:type="page"/>
      </w:r>
    </w:p>
    <w:p w14:paraId="78C313F7" w14:textId="77777777" w:rsidR="003A5CEA" w:rsidRPr="00740279" w:rsidRDefault="003A5CEA" w:rsidP="003A5CEA">
      <w:pPr>
        <w:spacing w:before="0"/>
        <w:outlineLvl w:val="2"/>
        <w:rPr>
          <w:rFonts w:ascii="Times New Roman" w:hAnsi="Times New Roman"/>
          <w:b/>
          <w:bCs/>
          <w:sz w:val="24"/>
          <w:szCs w:val="24"/>
          <w:u w:val="single"/>
          <w:lang w:eastAsia="ja-JP"/>
        </w:rPr>
      </w:pPr>
      <w:r w:rsidRPr="00740279">
        <w:rPr>
          <w:rFonts w:ascii="Times New Roman" w:hAnsi="Times New Roman"/>
          <w:b/>
          <w:bCs/>
          <w:sz w:val="24"/>
          <w:szCs w:val="24"/>
          <w:u w:val="single"/>
          <w:lang w:eastAsia="ja-JP"/>
        </w:rPr>
        <w:lastRenderedPageBreak/>
        <w:t>Schedule 1 – Amendments</w:t>
      </w:r>
    </w:p>
    <w:p w14:paraId="6EE1E097" w14:textId="77777777" w:rsidR="003A5CEA" w:rsidRDefault="003A5CEA" w:rsidP="003A5CEA">
      <w:pPr>
        <w:spacing w:before="0"/>
        <w:rPr>
          <w:rFonts w:ascii="Times New Roman" w:hAnsi="Times New Roman"/>
          <w:b/>
          <w:bCs/>
          <w:sz w:val="24"/>
          <w:szCs w:val="24"/>
          <w:lang w:eastAsia="ja-JP"/>
        </w:rPr>
      </w:pPr>
    </w:p>
    <w:p w14:paraId="31CDFFF4" w14:textId="2904BB93" w:rsidR="006F6FB0" w:rsidRDefault="006F6FB0" w:rsidP="003A5CEA">
      <w:pPr>
        <w:spacing w:before="0"/>
        <w:rPr>
          <w:rFonts w:ascii="Times New Roman" w:hAnsi="Times New Roman"/>
          <w:b/>
          <w:bCs/>
          <w:sz w:val="24"/>
          <w:szCs w:val="24"/>
          <w:lang w:eastAsia="ja-JP"/>
        </w:rPr>
      </w:pPr>
      <w:bookmarkStart w:id="10" w:name="_Hlk180144705"/>
      <w:r>
        <w:rPr>
          <w:rFonts w:ascii="Times New Roman" w:hAnsi="Times New Roman"/>
          <w:b/>
          <w:bCs/>
          <w:sz w:val="24"/>
          <w:szCs w:val="24"/>
          <w:lang w:eastAsia="ja-JP"/>
        </w:rPr>
        <w:t xml:space="preserve">Part 1 – Amendments </w:t>
      </w:r>
    </w:p>
    <w:p w14:paraId="41732901" w14:textId="77777777" w:rsidR="006F6FB0" w:rsidRPr="00740279" w:rsidRDefault="006F6FB0" w:rsidP="003A5CEA">
      <w:pPr>
        <w:spacing w:before="0"/>
        <w:rPr>
          <w:rFonts w:ascii="Times New Roman" w:hAnsi="Times New Roman"/>
          <w:b/>
          <w:bCs/>
          <w:sz w:val="24"/>
          <w:szCs w:val="24"/>
          <w:lang w:eastAsia="ja-JP"/>
        </w:rPr>
      </w:pPr>
    </w:p>
    <w:p w14:paraId="6A71F66A" w14:textId="2B39B879" w:rsidR="003A5CEA" w:rsidRPr="00740279" w:rsidRDefault="003A5CEA" w:rsidP="003A5CEA">
      <w:pPr>
        <w:spacing w:before="0"/>
        <w:rPr>
          <w:rFonts w:ascii="Times New Roman" w:hAnsi="Times New Roman"/>
          <w:i/>
          <w:iCs/>
          <w:sz w:val="24"/>
          <w:szCs w:val="24"/>
          <w:lang w:eastAsia="ja-JP"/>
        </w:rPr>
      </w:pPr>
      <w:r w:rsidRPr="00740279">
        <w:rPr>
          <w:rFonts w:ascii="Times New Roman" w:hAnsi="Times New Roman"/>
          <w:i/>
          <w:iCs/>
          <w:sz w:val="24"/>
          <w:szCs w:val="24"/>
          <w:lang w:eastAsia="ja-JP"/>
        </w:rPr>
        <w:t>Bio</w:t>
      </w:r>
      <w:r w:rsidR="00E14891">
        <w:rPr>
          <w:rFonts w:ascii="Times New Roman" w:hAnsi="Times New Roman"/>
          <w:i/>
          <w:iCs/>
          <w:sz w:val="24"/>
          <w:szCs w:val="24"/>
          <w:lang w:eastAsia="ja-JP"/>
        </w:rPr>
        <w:t>security (First Point of Entry—Port of Wyndham) Determination 2019</w:t>
      </w:r>
    </w:p>
    <w:bookmarkEnd w:id="10"/>
    <w:p w14:paraId="31074090" w14:textId="77777777" w:rsidR="003A5CEA" w:rsidRPr="00740279" w:rsidRDefault="003A5CEA" w:rsidP="003A5CEA">
      <w:pPr>
        <w:spacing w:before="0"/>
        <w:rPr>
          <w:rFonts w:ascii="Times New Roman" w:eastAsia="Times New Roman" w:hAnsi="Times New Roman"/>
          <w:sz w:val="24"/>
          <w:szCs w:val="24"/>
          <w:lang w:eastAsia="en-AU"/>
        </w:rPr>
      </w:pPr>
    </w:p>
    <w:p w14:paraId="7E44980B" w14:textId="3B0BA10D" w:rsidR="003A5CEA" w:rsidRPr="00740279" w:rsidRDefault="003A5CEA" w:rsidP="003A5CEA">
      <w:pPr>
        <w:spacing w:before="0"/>
        <w:outlineLvl w:val="3"/>
        <w:rPr>
          <w:rFonts w:ascii="Times New Roman" w:hAnsi="Times New Roman"/>
          <w:b/>
          <w:bCs/>
          <w:sz w:val="24"/>
          <w:szCs w:val="24"/>
          <w:lang w:eastAsia="ja-JP"/>
        </w:rPr>
      </w:pPr>
      <w:r w:rsidRPr="00740279">
        <w:rPr>
          <w:rFonts w:ascii="Times New Roman" w:hAnsi="Times New Roman"/>
          <w:b/>
          <w:bCs/>
          <w:sz w:val="24"/>
          <w:szCs w:val="24"/>
          <w:lang w:eastAsia="ja-JP"/>
        </w:rPr>
        <w:t xml:space="preserve">Item [1] – </w:t>
      </w:r>
      <w:r w:rsidR="000C6B88">
        <w:rPr>
          <w:rFonts w:ascii="Times New Roman" w:hAnsi="Times New Roman"/>
          <w:b/>
          <w:bCs/>
          <w:sz w:val="24"/>
          <w:szCs w:val="24"/>
          <w:lang w:eastAsia="ja-JP"/>
        </w:rPr>
        <w:t>In the appropriate position in section 4</w:t>
      </w:r>
    </w:p>
    <w:p w14:paraId="2889E5FE" w14:textId="77777777" w:rsidR="003A5CEA" w:rsidRPr="00740279" w:rsidRDefault="003A5CEA" w:rsidP="003A5CEA">
      <w:pPr>
        <w:spacing w:before="0"/>
        <w:rPr>
          <w:rFonts w:ascii="Times New Roman" w:hAnsi="Times New Roman"/>
          <w:sz w:val="24"/>
          <w:szCs w:val="24"/>
          <w:lang w:eastAsia="ja-JP"/>
        </w:rPr>
      </w:pPr>
    </w:p>
    <w:p w14:paraId="48332E98" w14:textId="102F925A" w:rsidR="00081CD4" w:rsidRDefault="000C6B88" w:rsidP="002D1993">
      <w:pPr>
        <w:spacing w:before="0"/>
        <w:rPr>
          <w:rFonts w:ascii="Times New Roman" w:hAnsi="Times New Roman"/>
          <w:sz w:val="24"/>
          <w:szCs w:val="24"/>
          <w:lang w:eastAsia="ja-JP"/>
        </w:rPr>
      </w:pPr>
      <w:bookmarkStart w:id="11" w:name="_Hlk180144762"/>
      <w:r>
        <w:rPr>
          <w:rFonts w:ascii="Times New Roman" w:hAnsi="Times New Roman"/>
          <w:sz w:val="24"/>
          <w:szCs w:val="24"/>
          <w:lang w:eastAsia="ja-JP"/>
        </w:rPr>
        <w:t xml:space="preserve">Item 1 inserts a definition of “Inorganic bulk goods” in section 4 of the </w:t>
      </w:r>
      <w:r>
        <w:rPr>
          <w:rFonts w:ascii="Times New Roman" w:hAnsi="Times New Roman"/>
          <w:i/>
          <w:iCs/>
          <w:sz w:val="24"/>
          <w:szCs w:val="24"/>
          <w:lang w:eastAsia="ja-JP"/>
        </w:rPr>
        <w:t xml:space="preserve">Biosecurity (First Point of Entry—Port of Wyndham) Determination 2019 </w:t>
      </w:r>
      <w:r>
        <w:rPr>
          <w:rFonts w:ascii="Times New Roman" w:hAnsi="Times New Roman"/>
          <w:sz w:val="24"/>
          <w:szCs w:val="24"/>
          <w:lang w:eastAsia="ja-JP"/>
        </w:rPr>
        <w:t>(the Port of Wyndham Determination).</w:t>
      </w:r>
      <w:r w:rsidR="009C5161">
        <w:rPr>
          <w:rFonts w:ascii="Times New Roman" w:hAnsi="Times New Roman"/>
          <w:sz w:val="24"/>
          <w:szCs w:val="24"/>
          <w:lang w:eastAsia="ja-JP"/>
        </w:rPr>
        <w:t xml:space="preserve"> The </w:t>
      </w:r>
      <w:r w:rsidR="00E33B6D">
        <w:rPr>
          <w:rFonts w:ascii="Times New Roman" w:hAnsi="Times New Roman"/>
          <w:sz w:val="24"/>
          <w:szCs w:val="24"/>
          <w:lang w:eastAsia="ja-JP"/>
        </w:rPr>
        <w:t xml:space="preserve">new </w:t>
      </w:r>
      <w:r w:rsidR="009C5161">
        <w:rPr>
          <w:rFonts w:ascii="Times New Roman" w:hAnsi="Times New Roman"/>
          <w:sz w:val="24"/>
          <w:szCs w:val="24"/>
          <w:lang w:eastAsia="ja-JP"/>
        </w:rPr>
        <w:t>definition</w:t>
      </w:r>
      <w:r w:rsidR="0051263F">
        <w:rPr>
          <w:rFonts w:ascii="Times New Roman" w:hAnsi="Times New Roman"/>
          <w:sz w:val="24"/>
          <w:szCs w:val="24"/>
          <w:lang w:eastAsia="ja-JP"/>
        </w:rPr>
        <w:t xml:space="preserve"> </w:t>
      </w:r>
      <w:r w:rsidR="00E33B6D">
        <w:rPr>
          <w:rFonts w:ascii="Times New Roman" w:hAnsi="Times New Roman"/>
          <w:sz w:val="24"/>
          <w:szCs w:val="24"/>
          <w:lang w:eastAsia="ja-JP"/>
        </w:rPr>
        <w:t>provides that “</w:t>
      </w:r>
      <w:r w:rsidR="0051263F">
        <w:rPr>
          <w:rFonts w:ascii="Times New Roman" w:hAnsi="Times New Roman"/>
          <w:sz w:val="24"/>
          <w:szCs w:val="24"/>
          <w:lang w:eastAsia="ja-JP"/>
        </w:rPr>
        <w:t>i</w:t>
      </w:r>
      <w:r w:rsidR="009C5161">
        <w:rPr>
          <w:rFonts w:ascii="Times New Roman" w:hAnsi="Times New Roman"/>
          <w:sz w:val="24"/>
          <w:szCs w:val="24"/>
          <w:lang w:eastAsia="ja-JP"/>
        </w:rPr>
        <w:t>norganic bulk goods</w:t>
      </w:r>
      <w:r w:rsidR="00E33B6D">
        <w:rPr>
          <w:rFonts w:ascii="Times New Roman" w:hAnsi="Times New Roman"/>
          <w:sz w:val="24"/>
          <w:szCs w:val="24"/>
          <w:lang w:eastAsia="ja-JP"/>
        </w:rPr>
        <w:t>”</w:t>
      </w:r>
      <w:r w:rsidR="009C5161">
        <w:rPr>
          <w:rFonts w:ascii="Times New Roman" w:hAnsi="Times New Roman"/>
          <w:sz w:val="24"/>
          <w:szCs w:val="24"/>
          <w:lang w:eastAsia="ja-JP"/>
        </w:rPr>
        <w:t xml:space="preserve"> </w:t>
      </w:r>
      <w:r w:rsidR="0051263F">
        <w:rPr>
          <w:rFonts w:ascii="Times New Roman" w:hAnsi="Times New Roman"/>
          <w:sz w:val="24"/>
          <w:szCs w:val="24"/>
          <w:lang w:eastAsia="ja-JP"/>
        </w:rPr>
        <w:t>means chemicals, ores, minerals or gases that are both brought or imported into Australian territory in bulk</w:t>
      </w:r>
      <w:r w:rsidR="0092214F">
        <w:rPr>
          <w:rFonts w:ascii="Times New Roman" w:hAnsi="Times New Roman"/>
          <w:sz w:val="24"/>
          <w:szCs w:val="24"/>
          <w:lang w:eastAsia="ja-JP"/>
        </w:rPr>
        <w:t>,</w:t>
      </w:r>
      <w:r w:rsidR="0051263F">
        <w:rPr>
          <w:rFonts w:ascii="Times New Roman" w:hAnsi="Times New Roman"/>
          <w:sz w:val="24"/>
          <w:szCs w:val="24"/>
          <w:lang w:eastAsia="ja-JP"/>
        </w:rPr>
        <w:t xml:space="preserve"> and do not contain animals, plants, organic compounds or microbes. </w:t>
      </w:r>
    </w:p>
    <w:bookmarkEnd w:id="11"/>
    <w:p w14:paraId="3A5A4CB4" w14:textId="77777777" w:rsidR="002D1993" w:rsidRPr="00740279" w:rsidRDefault="002D1993" w:rsidP="003A5CEA">
      <w:pPr>
        <w:spacing w:before="0"/>
        <w:rPr>
          <w:rFonts w:ascii="Times New Roman" w:hAnsi="Times New Roman"/>
          <w:sz w:val="24"/>
          <w:szCs w:val="24"/>
          <w:lang w:eastAsia="ja-JP"/>
        </w:rPr>
      </w:pPr>
    </w:p>
    <w:p w14:paraId="5ED4663C" w14:textId="25BBA10B" w:rsidR="003E7CB0" w:rsidRPr="00740279" w:rsidRDefault="003E7CB0" w:rsidP="003E7CB0">
      <w:pPr>
        <w:keepNext/>
        <w:spacing w:before="0"/>
        <w:outlineLvl w:val="3"/>
        <w:rPr>
          <w:rFonts w:ascii="Times New Roman" w:hAnsi="Times New Roman"/>
          <w:b/>
          <w:bCs/>
          <w:sz w:val="24"/>
          <w:szCs w:val="24"/>
          <w:lang w:eastAsia="ja-JP"/>
        </w:rPr>
      </w:pPr>
      <w:r w:rsidRPr="00740279">
        <w:rPr>
          <w:rFonts w:ascii="Times New Roman" w:hAnsi="Times New Roman"/>
          <w:b/>
          <w:bCs/>
          <w:sz w:val="24"/>
          <w:szCs w:val="24"/>
          <w:lang w:eastAsia="ja-JP"/>
        </w:rPr>
        <w:t xml:space="preserve">Item [2] – </w:t>
      </w:r>
      <w:r w:rsidR="0051263F">
        <w:rPr>
          <w:rFonts w:ascii="Times New Roman" w:hAnsi="Times New Roman"/>
          <w:b/>
          <w:bCs/>
          <w:sz w:val="24"/>
          <w:szCs w:val="24"/>
          <w:lang w:eastAsia="ja-JP"/>
        </w:rPr>
        <w:t>Section 6</w:t>
      </w:r>
    </w:p>
    <w:p w14:paraId="1562FA65" w14:textId="77777777" w:rsidR="003E7CB0" w:rsidRDefault="003E7CB0" w:rsidP="003E7CB0">
      <w:pPr>
        <w:keepNext/>
        <w:spacing w:before="0"/>
        <w:rPr>
          <w:rFonts w:ascii="Times New Roman" w:hAnsi="Times New Roman"/>
          <w:sz w:val="24"/>
          <w:szCs w:val="24"/>
          <w:lang w:eastAsia="ja-JP"/>
        </w:rPr>
      </w:pPr>
    </w:p>
    <w:p w14:paraId="5352F984" w14:textId="0C0E4184" w:rsidR="00054D2E" w:rsidRDefault="0096594D" w:rsidP="002D1993">
      <w:pPr>
        <w:keepNext/>
        <w:spacing w:before="0"/>
        <w:rPr>
          <w:rFonts w:ascii="Times New Roman" w:hAnsi="Times New Roman"/>
          <w:sz w:val="24"/>
          <w:szCs w:val="24"/>
          <w:lang w:eastAsia="ja-JP"/>
        </w:rPr>
      </w:pPr>
      <w:bookmarkStart w:id="12" w:name="_Hlk180144810"/>
      <w:r>
        <w:rPr>
          <w:rFonts w:ascii="Times New Roman" w:hAnsi="Times New Roman"/>
          <w:sz w:val="24"/>
          <w:szCs w:val="24"/>
          <w:lang w:eastAsia="ja-JP"/>
        </w:rPr>
        <w:t>Item 2</w:t>
      </w:r>
      <w:r w:rsidR="002D1993" w:rsidRPr="002D1993">
        <w:rPr>
          <w:rFonts w:ascii="Times New Roman" w:hAnsi="Times New Roman"/>
          <w:sz w:val="24"/>
          <w:szCs w:val="24"/>
          <w:lang w:eastAsia="ja-JP"/>
        </w:rPr>
        <w:t xml:space="preserve"> </w:t>
      </w:r>
      <w:r w:rsidR="0051263F">
        <w:rPr>
          <w:rFonts w:ascii="Times New Roman" w:hAnsi="Times New Roman"/>
          <w:sz w:val="24"/>
          <w:szCs w:val="24"/>
          <w:lang w:eastAsia="ja-JP"/>
        </w:rPr>
        <w:t>repeals existing section</w:t>
      </w:r>
      <w:r w:rsidR="00054D2E">
        <w:rPr>
          <w:rFonts w:ascii="Times New Roman" w:hAnsi="Times New Roman"/>
          <w:sz w:val="24"/>
          <w:szCs w:val="24"/>
          <w:lang w:eastAsia="ja-JP"/>
        </w:rPr>
        <w:t xml:space="preserve"> 6 of the Port of Wyndham Determination</w:t>
      </w:r>
      <w:r w:rsidR="0051263F">
        <w:rPr>
          <w:rFonts w:ascii="Times New Roman" w:hAnsi="Times New Roman"/>
          <w:sz w:val="24"/>
          <w:szCs w:val="24"/>
          <w:lang w:eastAsia="ja-JP"/>
        </w:rPr>
        <w:t xml:space="preserve"> and substitutes a new section</w:t>
      </w:r>
      <w:r w:rsidR="00E33B6D">
        <w:rPr>
          <w:rFonts w:ascii="Times New Roman" w:hAnsi="Times New Roman"/>
          <w:sz w:val="24"/>
          <w:szCs w:val="24"/>
          <w:lang w:eastAsia="ja-JP"/>
        </w:rPr>
        <w:t xml:space="preserve"> titled</w:t>
      </w:r>
      <w:r w:rsidR="0051263F">
        <w:rPr>
          <w:rFonts w:ascii="Times New Roman" w:hAnsi="Times New Roman"/>
          <w:sz w:val="24"/>
          <w:szCs w:val="24"/>
          <w:lang w:eastAsia="ja-JP"/>
        </w:rPr>
        <w:t xml:space="preserve"> “First point of entry—goods”. </w:t>
      </w:r>
      <w:bookmarkStart w:id="13" w:name="_Hlk180144820"/>
      <w:bookmarkEnd w:id="12"/>
    </w:p>
    <w:p w14:paraId="46CE8E6A" w14:textId="77777777" w:rsidR="00054D2E" w:rsidRDefault="00054D2E" w:rsidP="002D1993">
      <w:pPr>
        <w:keepNext/>
        <w:spacing w:before="0"/>
        <w:rPr>
          <w:rFonts w:ascii="Times New Roman" w:hAnsi="Times New Roman"/>
          <w:sz w:val="24"/>
          <w:szCs w:val="24"/>
          <w:lang w:eastAsia="ja-JP"/>
        </w:rPr>
      </w:pPr>
    </w:p>
    <w:p w14:paraId="353F028C" w14:textId="39CC7C51" w:rsidR="00041DD9" w:rsidRDefault="00E33B6D" w:rsidP="002D1993">
      <w:pPr>
        <w:keepNext/>
        <w:spacing w:before="0"/>
        <w:rPr>
          <w:rFonts w:ascii="Times New Roman" w:hAnsi="Times New Roman"/>
          <w:sz w:val="24"/>
          <w:szCs w:val="24"/>
          <w:lang w:eastAsia="ja-JP"/>
        </w:rPr>
      </w:pPr>
      <w:r>
        <w:rPr>
          <w:rFonts w:ascii="Times New Roman" w:hAnsi="Times New Roman"/>
          <w:sz w:val="24"/>
          <w:szCs w:val="24"/>
          <w:lang w:eastAsia="ja-JP"/>
        </w:rPr>
        <w:t>New section 6 provides that</w:t>
      </w:r>
      <w:r w:rsidR="0051263F">
        <w:rPr>
          <w:rFonts w:ascii="Times New Roman" w:hAnsi="Times New Roman"/>
          <w:sz w:val="24"/>
          <w:szCs w:val="24"/>
          <w:lang w:eastAsia="ja-JP"/>
        </w:rPr>
        <w:t xml:space="preserve"> </w:t>
      </w:r>
      <w:r w:rsidR="00933734">
        <w:rPr>
          <w:rFonts w:ascii="Times New Roman" w:hAnsi="Times New Roman"/>
          <w:sz w:val="24"/>
          <w:szCs w:val="24"/>
          <w:lang w:eastAsia="ja-JP"/>
        </w:rPr>
        <w:t xml:space="preserve">the </w:t>
      </w:r>
      <w:r w:rsidR="0051263F">
        <w:rPr>
          <w:rFonts w:ascii="Times New Roman" w:hAnsi="Times New Roman"/>
          <w:sz w:val="24"/>
          <w:szCs w:val="24"/>
          <w:lang w:eastAsia="ja-JP"/>
        </w:rPr>
        <w:t xml:space="preserve">Port of Wyndham </w:t>
      </w:r>
      <w:r>
        <w:rPr>
          <w:rFonts w:ascii="Times New Roman" w:hAnsi="Times New Roman"/>
          <w:sz w:val="24"/>
          <w:szCs w:val="24"/>
          <w:lang w:eastAsia="ja-JP"/>
        </w:rPr>
        <w:t xml:space="preserve">is </w:t>
      </w:r>
      <w:r w:rsidR="0051263F">
        <w:rPr>
          <w:rFonts w:ascii="Times New Roman" w:hAnsi="Times New Roman"/>
          <w:sz w:val="24"/>
          <w:szCs w:val="24"/>
          <w:lang w:eastAsia="ja-JP"/>
        </w:rPr>
        <w:t>a first point</w:t>
      </w:r>
      <w:r w:rsidR="00054D2E">
        <w:rPr>
          <w:rFonts w:ascii="Times New Roman" w:hAnsi="Times New Roman"/>
          <w:sz w:val="24"/>
          <w:szCs w:val="24"/>
          <w:lang w:eastAsia="ja-JP"/>
        </w:rPr>
        <w:t xml:space="preserve"> of</w:t>
      </w:r>
      <w:r w:rsidR="0051263F">
        <w:rPr>
          <w:rFonts w:ascii="Times New Roman" w:hAnsi="Times New Roman"/>
          <w:sz w:val="24"/>
          <w:szCs w:val="24"/>
          <w:lang w:eastAsia="ja-JP"/>
        </w:rPr>
        <w:t xml:space="preserve"> entry for inorganic bulk goods</w:t>
      </w:r>
      <w:r>
        <w:rPr>
          <w:rFonts w:ascii="Times New Roman" w:hAnsi="Times New Roman"/>
          <w:sz w:val="24"/>
          <w:szCs w:val="24"/>
          <w:lang w:eastAsia="ja-JP"/>
        </w:rPr>
        <w:t>,</w:t>
      </w:r>
      <w:r w:rsidR="0051263F">
        <w:rPr>
          <w:rFonts w:ascii="Times New Roman" w:hAnsi="Times New Roman"/>
          <w:sz w:val="24"/>
          <w:szCs w:val="24"/>
          <w:lang w:eastAsia="ja-JP"/>
        </w:rPr>
        <w:t xml:space="preserve"> </w:t>
      </w:r>
      <w:r>
        <w:rPr>
          <w:rFonts w:ascii="Times New Roman" w:hAnsi="Times New Roman"/>
          <w:sz w:val="24"/>
          <w:szCs w:val="24"/>
          <w:lang w:eastAsia="ja-JP"/>
        </w:rPr>
        <w:t>as well as</w:t>
      </w:r>
      <w:r w:rsidR="0051263F">
        <w:rPr>
          <w:rFonts w:ascii="Times New Roman" w:hAnsi="Times New Roman"/>
          <w:sz w:val="24"/>
          <w:szCs w:val="24"/>
          <w:lang w:eastAsia="ja-JP"/>
        </w:rPr>
        <w:t xml:space="preserve"> baggage carried on a vessel other than a non-commercial vessel or a passenger vessel. </w:t>
      </w:r>
    </w:p>
    <w:p w14:paraId="05E27F23" w14:textId="77777777" w:rsidR="00F83E45" w:rsidRDefault="00F83E45" w:rsidP="002D1993">
      <w:pPr>
        <w:keepNext/>
        <w:spacing w:before="0"/>
        <w:rPr>
          <w:rFonts w:ascii="Times New Roman" w:hAnsi="Times New Roman"/>
          <w:sz w:val="24"/>
          <w:szCs w:val="24"/>
          <w:lang w:eastAsia="ja-JP"/>
        </w:rPr>
      </w:pPr>
    </w:p>
    <w:p w14:paraId="4CCBC392" w14:textId="6DA3DCED" w:rsidR="00F83E45" w:rsidRDefault="00F83E45" w:rsidP="002D1993">
      <w:pPr>
        <w:keepNext/>
        <w:spacing w:before="0"/>
        <w:rPr>
          <w:rFonts w:ascii="Times New Roman" w:hAnsi="Times New Roman"/>
          <w:sz w:val="24"/>
          <w:szCs w:val="24"/>
          <w:lang w:eastAsia="ja-JP"/>
        </w:rPr>
      </w:pPr>
      <w:r>
        <w:rPr>
          <w:rFonts w:ascii="Times New Roman" w:hAnsi="Times New Roman"/>
          <w:sz w:val="24"/>
          <w:szCs w:val="24"/>
          <w:lang w:eastAsia="ja-JP"/>
        </w:rPr>
        <w:t xml:space="preserve">Note 1 under new section 6 provides that </w:t>
      </w:r>
      <w:r w:rsidRPr="00F83E45">
        <w:rPr>
          <w:rFonts w:ascii="Times New Roman" w:hAnsi="Times New Roman"/>
          <w:sz w:val="24"/>
          <w:szCs w:val="24"/>
          <w:lang w:eastAsia="ja-JP"/>
        </w:rPr>
        <w:t>Port of Wyndham is not a first point of entry for any other goods.</w:t>
      </w:r>
      <w:r>
        <w:rPr>
          <w:rFonts w:ascii="Times New Roman" w:hAnsi="Times New Roman"/>
          <w:sz w:val="24"/>
          <w:szCs w:val="24"/>
          <w:lang w:eastAsia="ja-JP"/>
        </w:rPr>
        <w:t xml:space="preserve"> Note 2 under new section 6 directs the reader to </w:t>
      </w:r>
      <w:r w:rsidRPr="00F83E45">
        <w:rPr>
          <w:rFonts w:ascii="Times New Roman" w:hAnsi="Times New Roman"/>
          <w:sz w:val="24"/>
          <w:szCs w:val="24"/>
          <w:lang w:eastAsia="ja-JP"/>
        </w:rPr>
        <w:t xml:space="preserve">sections 173 and 174 of the </w:t>
      </w:r>
      <w:r>
        <w:rPr>
          <w:rFonts w:ascii="Times New Roman" w:hAnsi="Times New Roman"/>
          <w:sz w:val="24"/>
          <w:szCs w:val="24"/>
          <w:lang w:eastAsia="ja-JP"/>
        </w:rPr>
        <w:t xml:space="preserve">Biosecurity </w:t>
      </w:r>
      <w:r w:rsidRPr="00F83E45">
        <w:rPr>
          <w:rFonts w:ascii="Times New Roman" w:hAnsi="Times New Roman"/>
          <w:sz w:val="24"/>
          <w:szCs w:val="24"/>
          <w:lang w:eastAsia="ja-JP"/>
        </w:rPr>
        <w:t>Act (which deal with prohibited goods and conditionally non</w:t>
      </w:r>
      <w:r w:rsidRPr="00F83E45">
        <w:rPr>
          <w:rFonts w:ascii="Times New Roman" w:hAnsi="Times New Roman"/>
          <w:sz w:val="24"/>
          <w:szCs w:val="24"/>
          <w:lang w:eastAsia="ja-JP"/>
        </w:rPr>
        <w:noBreakHyphen/>
        <w:t>prohibited goods) and any determinations made under those sections</w:t>
      </w:r>
      <w:r>
        <w:rPr>
          <w:rFonts w:ascii="Times New Roman" w:hAnsi="Times New Roman"/>
          <w:sz w:val="24"/>
          <w:szCs w:val="24"/>
          <w:lang w:eastAsia="ja-JP"/>
        </w:rPr>
        <w:t>, f</w:t>
      </w:r>
      <w:r w:rsidRPr="00F83E45">
        <w:rPr>
          <w:rFonts w:ascii="Times New Roman" w:hAnsi="Times New Roman"/>
          <w:sz w:val="24"/>
          <w:szCs w:val="24"/>
          <w:lang w:eastAsia="ja-JP"/>
        </w:rPr>
        <w:t xml:space="preserve">or other matters relating to whether </w:t>
      </w:r>
      <w:proofErr w:type="gramStart"/>
      <w:r w:rsidRPr="00F83E45">
        <w:rPr>
          <w:rFonts w:ascii="Times New Roman" w:hAnsi="Times New Roman"/>
          <w:sz w:val="24"/>
          <w:szCs w:val="24"/>
          <w:lang w:eastAsia="ja-JP"/>
        </w:rPr>
        <w:t>particular goods</w:t>
      </w:r>
      <w:proofErr w:type="gramEnd"/>
      <w:r w:rsidRPr="00F83E45">
        <w:rPr>
          <w:rFonts w:ascii="Times New Roman" w:hAnsi="Times New Roman"/>
          <w:sz w:val="24"/>
          <w:szCs w:val="24"/>
          <w:lang w:eastAsia="ja-JP"/>
        </w:rPr>
        <w:t xml:space="preserve"> may be brought into a particular first point of entry</w:t>
      </w:r>
      <w:r>
        <w:rPr>
          <w:rFonts w:ascii="Times New Roman" w:hAnsi="Times New Roman"/>
          <w:sz w:val="24"/>
          <w:szCs w:val="24"/>
          <w:lang w:eastAsia="ja-JP"/>
        </w:rPr>
        <w:t xml:space="preserve">. These notes are the same as the notes </w:t>
      </w:r>
      <w:r w:rsidR="001E4F2D">
        <w:rPr>
          <w:rFonts w:ascii="Times New Roman" w:hAnsi="Times New Roman"/>
          <w:sz w:val="24"/>
          <w:szCs w:val="24"/>
          <w:lang w:eastAsia="ja-JP"/>
        </w:rPr>
        <w:t xml:space="preserve">that currently exist </w:t>
      </w:r>
      <w:r>
        <w:rPr>
          <w:rFonts w:ascii="Times New Roman" w:hAnsi="Times New Roman"/>
          <w:sz w:val="24"/>
          <w:szCs w:val="24"/>
          <w:lang w:eastAsia="ja-JP"/>
        </w:rPr>
        <w:t xml:space="preserve">under section 6 of the Port of Wyndham Determination.  </w:t>
      </w:r>
    </w:p>
    <w:bookmarkEnd w:id="13"/>
    <w:p w14:paraId="0EEADC28" w14:textId="3167E1AC" w:rsidR="00781601" w:rsidRDefault="00781601">
      <w:pPr>
        <w:spacing w:before="0"/>
        <w:rPr>
          <w:rFonts w:ascii="Times New Roman" w:hAnsi="Times New Roman"/>
          <w:sz w:val="24"/>
          <w:szCs w:val="24"/>
          <w:lang w:eastAsia="ja-JP"/>
        </w:rPr>
      </w:pPr>
    </w:p>
    <w:p w14:paraId="1B6C4BB5" w14:textId="49BC1BDF" w:rsidR="00933734" w:rsidRPr="00740279" w:rsidRDefault="00933734" w:rsidP="00933734">
      <w:pPr>
        <w:keepNext/>
        <w:spacing w:before="0"/>
        <w:outlineLvl w:val="3"/>
        <w:rPr>
          <w:rFonts w:ascii="Times New Roman" w:hAnsi="Times New Roman"/>
          <w:b/>
          <w:bCs/>
          <w:sz w:val="24"/>
          <w:szCs w:val="24"/>
          <w:lang w:eastAsia="ja-JP"/>
        </w:rPr>
      </w:pPr>
      <w:r w:rsidRPr="00740279">
        <w:rPr>
          <w:rFonts w:ascii="Times New Roman" w:hAnsi="Times New Roman"/>
          <w:b/>
          <w:bCs/>
          <w:sz w:val="24"/>
          <w:szCs w:val="24"/>
          <w:lang w:eastAsia="ja-JP"/>
        </w:rPr>
        <w:t>Item [</w:t>
      </w:r>
      <w:r>
        <w:rPr>
          <w:rFonts w:ascii="Times New Roman" w:hAnsi="Times New Roman"/>
          <w:b/>
          <w:bCs/>
          <w:sz w:val="24"/>
          <w:szCs w:val="24"/>
          <w:lang w:eastAsia="ja-JP"/>
        </w:rPr>
        <w:t>3</w:t>
      </w:r>
      <w:r w:rsidRPr="00740279">
        <w:rPr>
          <w:rFonts w:ascii="Times New Roman" w:hAnsi="Times New Roman"/>
          <w:b/>
          <w:bCs/>
          <w:sz w:val="24"/>
          <w:szCs w:val="24"/>
          <w:lang w:eastAsia="ja-JP"/>
        </w:rPr>
        <w:t xml:space="preserve">] – </w:t>
      </w:r>
      <w:r>
        <w:rPr>
          <w:rFonts w:ascii="Times New Roman" w:hAnsi="Times New Roman"/>
          <w:b/>
          <w:bCs/>
          <w:sz w:val="24"/>
          <w:szCs w:val="24"/>
          <w:lang w:eastAsia="ja-JP"/>
        </w:rPr>
        <w:t>Section 7</w:t>
      </w:r>
    </w:p>
    <w:p w14:paraId="463149D1" w14:textId="77777777" w:rsidR="00933734" w:rsidRDefault="00933734">
      <w:pPr>
        <w:spacing w:before="0"/>
        <w:rPr>
          <w:rFonts w:ascii="Times New Roman" w:hAnsi="Times New Roman"/>
          <w:sz w:val="24"/>
          <w:szCs w:val="24"/>
          <w:lang w:eastAsia="ja-JP"/>
        </w:rPr>
      </w:pPr>
    </w:p>
    <w:p w14:paraId="0051C8B6" w14:textId="7C133D50" w:rsidR="00933734" w:rsidRDefault="00933734">
      <w:pPr>
        <w:spacing w:before="0"/>
        <w:rPr>
          <w:rFonts w:ascii="Times New Roman" w:hAnsi="Times New Roman"/>
          <w:sz w:val="24"/>
          <w:szCs w:val="24"/>
          <w:lang w:eastAsia="ja-JP"/>
        </w:rPr>
      </w:pPr>
      <w:r>
        <w:rPr>
          <w:rFonts w:ascii="Times New Roman" w:hAnsi="Times New Roman"/>
          <w:sz w:val="24"/>
          <w:szCs w:val="24"/>
          <w:lang w:eastAsia="ja-JP"/>
        </w:rPr>
        <w:t xml:space="preserve">Item 3 repeals existing section 7 of the Port of Wyndham Determination and substitutes a new section titled “Biosecurity entry points—vessels”. </w:t>
      </w:r>
    </w:p>
    <w:p w14:paraId="47FE11BA" w14:textId="77777777" w:rsidR="00933734" w:rsidRDefault="00933734">
      <w:pPr>
        <w:spacing w:before="0"/>
        <w:rPr>
          <w:rFonts w:ascii="Times New Roman" w:hAnsi="Times New Roman"/>
          <w:sz w:val="24"/>
          <w:szCs w:val="24"/>
          <w:lang w:eastAsia="ja-JP"/>
        </w:rPr>
      </w:pPr>
    </w:p>
    <w:p w14:paraId="3F68971D" w14:textId="71C69920" w:rsidR="00933734" w:rsidRDefault="00933734">
      <w:pPr>
        <w:spacing w:before="0"/>
        <w:rPr>
          <w:rFonts w:ascii="Times New Roman" w:hAnsi="Times New Roman"/>
          <w:sz w:val="24"/>
          <w:szCs w:val="24"/>
          <w:lang w:eastAsia="ja-JP"/>
        </w:rPr>
      </w:pPr>
      <w:r>
        <w:rPr>
          <w:rFonts w:ascii="Times New Roman" w:hAnsi="Times New Roman"/>
          <w:sz w:val="24"/>
          <w:szCs w:val="24"/>
          <w:lang w:eastAsia="ja-JP"/>
        </w:rPr>
        <w:t>New section 7 designates that both Wyndham Anchorage Point and Wyndham Wharf are biosecurity entry points for vessels other than non-commercial vessels. The effect of this amendment is that vessels other than non-commercial vessels, including passenger vessels</w:t>
      </w:r>
      <w:r w:rsidR="006A6BB1">
        <w:rPr>
          <w:rFonts w:ascii="Times New Roman" w:hAnsi="Times New Roman"/>
          <w:sz w:val="24"/>
          <w:szCs w:val="24"/>
          <w:lang w:eastAsia="ja-JP"/>
        </w:rPr>
        <w:t>,</w:t>
      </w:r>
      <w:r>
        <w:rPr>
          <w:rFonts w:ascii="Times New Roman" w:hAnsi="Times New Roman"/>
          <w:sz w:val="24"/>
          <w:szCs w:val="24"/>
          <w:lang w:eastAsia="ja-JP"/>
        </w:rPr>
        <w:t xml:space="preserve"> </w:t>
      </w:r>
      <w:proofErr w:type="gramStart"/>
      <w:r>
        <w:rPr>
          <w:rFonts w:ascii="Times New Roman" w:hAnsi="Times New Roman"/>
          <w:sz w:val="24"/>
          <w:szCs w:val="24"/>
          <w:lang w:eastAsia="ja-JP"/>
        </w:rPr>
        <w:t>are able to</w:t>
      </w:r>
      <w:proofErr w:type="gramEnd"/>
      <w:r>
        <w:rPr>
          <w:rFonts w:ascii="Times New Roman" w:hAnsi="Times New Roman"/>
          <w:sz w:val="24"/>
          <w:szCs w:val="24"/>
          <w:lang w:eastAsia="ja-JP"/>
        </w:rPr>
        <w:t xml:space="preserve"> arrive at both Wyndham Anchorage Point and Wyndham Wharf, rather than Wyndham Wharf only. </w:t>
      </w:r>
    </w:p>
    <w:p w14:paraId="2DEB3668" w14:textId="77777777" w:rsidR="00E24408" w:rsidRDefault="00E24408">
      <w:pPr>
        <w:spacing w:before="0"/>
        <w:rPr>
          <w:rFonts w:ascii="Times New Roman" w:hAnsi="Times New Roman"/>
          <w:sz w:val="24"/>
          <w:szCs w:val="24"/>
          <w:lang w:eastAsia="ja-JP"/>
        </w:rPr>
      </w:pPr>
    </w:p>
    <w:p w14:paraId="2162E685" w14:textId="6A324033" w:rsidR="00BF3C22" w:rsidRDefault="00F83E45">
      <w:pPr>
        <w:spacing w:before="0"/>
        <w:rPr>
          <w:rFonts w:ascii="Times New Roman" w:hAnsi="Times New Roman"/>
          <w:sz w:val="24"/>
          <w:szCs w:val="24"/>
          <w:lang w:eastAsia="ja-JP"/>
        </w:rPr>
      </w:pPr>
      <w:r>
        <w:rPr>
          <w:rFonts w:ascii="Times New Roman" w:hAnsi="Times New Roman"/>
          <w:sz w:val="24"/>
          <w:szCs w:val="24"/>
          <w:lang w:eastAsia="ja-JP"/>
        </w:rPr>
        <w:t>The note under new section 7 reflects that t</w:t>
      </w:r>
      <w:r w:rsidR="00E24408">
        <w:rPr>
          <w:rFonts w:ascii="Times New Roman" w:hAnsi="Times New Roman"/>
          <w:sz w:val="24"/>
          <w:szCs w:val="24"/>
          <w:lang w:eastAsia="ja-JP"/>
        </w:rPr>
        <w:t xml:space="preserve">he effect of section 246 of the Biosecurity Act is that, unless limited exceptions apply, where a biosecurity entry point has been designated for a class of vessels, the person in charge of the vessel arriving at a first point of entry (in this case, the Port of Wyndham) must ensure that the vessel is brought to a biosecurity entry point designated for that class of vessel as soon as practicable. As a result, all vessels other than non-commercial vessels must be brought to either Wyndham Anchorage Point or Wyndham, as appropriate. </w:t>
      </w:r>
      <w:r>
        <w:rPr>
          <w:rFonts w:ascii="Times New Roman" w:hAnsi="Times New Roman"/>
          <w:sz w:val="24"/>
          <w:szCs w:val="24"/>
          <w:lang w:eastAsia="ja-JP"/>
        </w:rPr>
        <w:t xml:space="preserve">The note under new section 7 is the same as the note under </w:t>
      </w:r>
      <w:r w:rsidR="001E4F2D">
        <w:rPr>
          <w:rFonts w:ascii="Times New Roman" w:hAnsi="Times New Roman"/>
          <w:sz w:val="24"/>
          <w:szCs w:val="24"/>
          <w:lang w:eastAsia="ja-JP"/>
        </w:rPr>
        <w:t xml:space="preserve">existing </w:t>
      </w:r>
      <w:r>
        <w:rPr>
          <w:rFonts w:ascii="Times New Roman" w:hAnsi="Times New Roman"/>
          <w:sz w:val="24"/>
          <w:szCs w:val="24"/>
          <w:lang w:eastAsia="ja-JP"/>
        </w:rPr>
        <w:t>section 7 of the Port of Wyndham Determination.</w:t>
      </w:r>
    </w:p>
    <w:p w14:paraId="17DD8C99" w14:textId="77777777" w:rsidR="00B84194" w:rsidRDefault="00B84194">
      <w:pPr>
        <w:spacing w:before="0"/>
        <w:rPr>
          <w:rFonts w:ascii="Times New Roman" w:hAnsi="Times New Roman"/>
          <w:sz w:val="24"/>
          <w:szCs w:val="24"/>
          <w:lang w:eastAsia="ja-JP"/>
        </w:rPr>
        <w:sectPr w:rsidR="00B84194" w:rsidSect="00434F29">
          <w:footerReference w:type="even" r:id="rId15"/>
          <w:footerReference w:type="first" r:id="rId16"/>
          <w:pgSz w:w="11906" w:h="16838"/>
          <w:pgMar w:top="1440" w:right="1440" w:bottom="1440" w:left="1440" w:header="708" w:footer="708" w:gutter="0"/>
          <w:cols w:space="708"/>
          <w:titlePg/>
          <w:docGrid w:linePitch="360"/>
        </w:sectPr>
      </w:pPr>
    </w:p>
    <w:p w14:paraId="34181083" w14:textId="77777777" w:rsidR="00933734" w:rsidRDefault="00933734">
      <w:pPr>
        <w:spacing w:before="0"/>
        <w:rPr>
          <w:rFonts w:ascii="Times New Roman" w:hAnsi="Times New Roman"/>
          <w:sz w:val="24"/>
          <w:szCs w:val="24"/>
          <w:lang w:eastAsia="ja-JP"/>
        </w:rPr>
      </w:pPr>
    </w:p>
    <w:p w14:paraId="5358E7EC" w14:textId="3E1F656C" w:rsidR="002D1993" w:rsidRPr="00781601" w:rsidRDefault="002D1993" w:rsidP="00781601">
      <w:pPr>
        <w:spacing w:before="0"/>
        <w:rPr>
          <w:rFonts w:ascii="Times New Roman" w:hAnsi="Times New Roman"/>
          <w:sz w:val="24"/>
          <w:szCs w:val="24"/>
          <w:lang w:eastAsia="ja-JP"/>
        </w:rPr>
      </w:pPr>
      <w:r w:rsidRPr="00740279">
        <w:rPr>
          <w:rFonts w:ascii="Times New Roman" w:hAnsi="Times New Roman"/>
          <w:b/>
          <w:bCs/>
          <w:sz w:val="24"/>
          <w:szCs w:val="24"/>
          <w:lang w:eastAsia="ja-JP"/>
        </w:rPr>
        <w:t>Item [</w:t>
      </w:r>
      <w:r w:rsidR="00933734">
        <w:rPr>
          <w:rFonts w:ascii="Times New Roman" w:hAnsi="Times New Roman"/>
          <w:b/>
          <w:bCs/>
          <w:sz w:val="24"/>
          <w:szCs w:val="24"/>
          <w:lang w:eastAsia="ja-JP"/>
        </w:rPr>
        <w:t>4</w:t>
      </w:r>
      <w:r w:rsidRPr="00740279">
        <w:rPr>
          <w:rFonts w:ascii="Times New Roman" w:hAnsi="Times New Roman"/>
          <w:b/>
          <w:bCs/>
          <w:sz w:val="24"/>
          <w:szCs w:val="24"/>
          <w:lang w:eastAsia="ja-JP"/>
        </w:rPr>
        <w:t xml:space="preserve">] – </w:t>
      </w:r>
      <w:r w:rsidR="00420A6B">
        <w:rPr>
          <w:rFonts w:ascii="Times New Roman" w:hAnsi="Times New Roman"/>
          <w:b/>
          <w:bCs/>
          <w:sz w:val="24"/>
          <w:szCs w:val="24"/>
          <w:lang w:eastAsia="ja-JP"/>
        </w:rPr>
        <w:t>S</w:t>
      </w:r>
      <w:r w:rsidR="0051263F">
        <w:rPr>
          <w:rFonts w:ascii="Times New Roman" w:hAnsi="Times New Roman"/>
          <w:b/>
          <w:bCs/>
          <w:sz w:val="24"/>
          <w:szCs w:val="24"/>
          <w:lang w:eastAsia="ja-JP"/>
        </w:rPr>
        <w:t>ection 8 (after table item 1)</w:t>
      </w:r>
    </w:p>
    <w:p w14:paraId="28B592A8" w14:textId="0FF041B2" w:rsidR="006F6FB0" w:rsidRDefault="0096594D" w:rsidP="00E14891">
      <w:pPr>
        <w:spacing w:before="240"/>
        <w:rPr>
          <w:rFonts w:ascii="Times New Roman" w:hAnsi="Times New Roman"/>
          <w:sz w:val="24"/>
          <w:szCs w:val="24"/>
          <w:lang w:eastAsia="ja-JP"/>
        </w:rPr>
      </w:pPr>
      <w:r>
        <w:rPr>
          <w:rFonts w:ascii="Times New Roman" w:hAnsi="Times New Roman"/>
          <w:sz w:val="24"/>
          <w:szCs w:val="24"/>
          <w:lang w:eastAsia="ja-JP"/>
        </w:rPr>
        <w:t>I</w:t>
      </w:r>
      <w:r w:rsidR="002D1993">
        <w:rPr>
          <w:rFonts w:ascii="Times New Roman" w:hAnsi="Times New Roman"/>
          <w:sz w:val="24"/>
          <w:szCs w:val="24"/>
          <w:lang w:eastAsia="ja-JP"/>
        </w:rPr>
        <w:t>tem</w:t>
      </w:r>
      <w:r>
        <w:rPr>
          <w:rFonts w:ascii="Times New Roman" w:hAnsi="Times New Roman"/>
          <w:sz w:val="24"/>
          <w:szCs w:val="24"/>
          <w:lang w:eastAsia="ja-JP"/>
        </w:rPr>
        <w:t xml:space="preserve"> </w:t>
      </w:r>
      <w:r w:rsidR="00933734">
        <w:rPr>
          <w:rFonts w:ascii="Times New Roman" w:hAnsi="Times New Roman"/>
          <w:sz w:val="24"/>
          <w:szCs w:val="24"/>
          <w:lang w:eastAsia="ja-JP"/>
        </w:rPr>
        <w:t>4</w:t>
      </w:r>
      <w:r w:rsidR="00054D2E">
        <w:rPr>
          <w:rFonts w:ascii="Times New Roman" w:hAnsi="Times New Roman"/>
          <w:sz w:val="24"/>
          <w:szCs w:val="24"/>
          <w:lang w:eastAsia="ja-JP"/>
        </w:rPr>
        <w:t xml:space="preserve"> </w:t>
      </w:r>
      <w:r w:rsidR="007E2307">
        <w:rPr>
          <w:rFonts w:ascii="Times New Roman" w:hAnsi="Times New Roman"/>
          <w:sz w:val="24"/>
          <w:szCs w:val="24"/>
          <w:lang w:eastAsia="ja-JP"/>
        </w:rPr>
        <w:t xml:space="preserve">inserts new table item 2 after table item 1 in </w:t>
      </w:r>
      <w:r w:rsidR="00054D2E">
        <w:rPr>
          <w:rFonts w:ascii="Times New Roman" w:hAnsi="Times New Roman"/>
          <w:sz w:val="24"/>
          <w:szCs w:val="24"/>
          <w:lang w:eastAsia="ja-JP"/>
        </w:rPr>
        <w:t>the table in section 8 of the Port of Wyndham Determination</w:t>
      </w:r>
      <w:r w:rsidR="007E2307">
        <w:rPr>
          <w:rFonts w:ascii="Times New Roman" w:hAnsi="Times New Roman"/>
          <w:sz w:val="24"/>
          <w:szCs w:val="24"/>
          <w:lang w:eastAsia="ja-JP"/>
        </w:rPr>
        <w:t xml:space="preserve">. </w:t>
      </w:r>
      <w:r w:rsidR="00054D2E">
        <w:rPr>
          <w:rFonts w:ascii="Times New Roman" w:hAnsi="Times New Roman"/>
          <w:sz w:val="24"/>
          <w:szCs w:val="24"/>
          <w:lang w:eastAsia="ja-JP"/>
        </w:rPr>
        <w:t xml:space="preserve"> </w:t>
      </w:r>
      <w:r w:rsidR="007E2307">
        <w:rPr>
          <w:rFonts w:ascii="Times New Roman" w:hAnsi="Times New Roman"/>
          <w:sz w:val="24"/>
          <w:szCs w:val="24"/>
          <w:lang w:eastAsia="ja-JP"/>
        </w:rPr>
        <w:t>New table item 2 provides for</w:t>
      </w:r>
      <w:r w:rsidR="00054D2E">
        <w:rPr>
          <w:rFonts w:ascii="Times New Roman" w:hAnsi="Times New Roman"/>
          <w:sz w:val="24"/>
          <w:szCs w:val="24"/>
          <w:lang w:eastAsia="ja-JP"/>
        </w:rPr>
        <w:t xml:space="preserve"> inorganic bulk goods </w:t>
      </w:r>
      <w:r w:rsidR="007E2307">
        <w:rPr>
          <w:rFonts w:ascii="Times New Roman" w:hAnsi="Times New Roman"/>
          <w:sz w:val="24"/>
          <w:szCs w:val="24"/>
          <w:lang w:eastAsia="ja-JP"/>
        </w:rPr>
        <w:t xml:space="preserve">(in </w:t>
      </w:r>
      <w:r w:rsidR="00054D2E">
        <w:rPr>
          <w:rFonts w:ascii="Times New Roman" w:hAnsi="Times New Roman"/>
          <w:sz w:val="24"/>
          <w:szCs w:val="24"/>
          <w:lang w:eastAsia="ja-JP"/>
        </w:rPr>
        <w:t xml:space="preserve">column 1 </w:t>
      </w:r>
      <w:r w:rsidR="007E2307">
        <w:rPr>
          <w:rFonts w:ascii="Times New Roman" w:hAnsi="Times New Roman"/>
          <w:sz w:val="24"/>
          <w:szCs w:val="24"/>
          <w:lang w:eastAsia="ja-JP"/>
        </w:rPr>
        <w:t>of the table, which provides for g</w:t>
      </w:r>
      <w:r w:rsidR="00054D2E">
        <w:rPr>
          <w:rFonts w:ascii="Times New Roman" w:hAnsi="Times New Roman"/>
          <w:sz w:val="24"/>
          <w:szCs w:val="24"/>
          <w:lang w:eastAsia="ja-JP"/>
        </w:rPr>
        <w:t>oods</w:t>
      </w:r>
      <w:r w:rsidR="007E2307">
        <w:rPr>
          <w:rFonts w:ascii="Times New Roman" w:hAnsi="Times New Roman"/>
          <w:sz w:val="24"/>
          <w:szCs w:val="24"/>
          <w:lang w:eastAsia="ja-JP"/>
        </w:rPr>
        <w:t>)</w:t>
      </w:r>
      <w:r w:rsidR="00054D2E">
        <w:rPr>
          <w:rFonts w:ascii="Times New Roman" w:hAnsi="Times New Roman"/>
          <w:sz w:val="24"/>
          <w:szCs w:val="24"/>
          <w:lang w:eastAsia="ja-JP"/>
        </w:rPr>
        <w:t xml:space="preserve"> and Wyndham Wharf </w:t>
      </w:r>
      <w:r w:rsidR="007E2307">
        <w:rPr>
          <w:rFonts w:ascii="Times New Roman" w:hAnsi="Times New Roman"/>
          <w:sz w:val="24"/>
          <w:szCs w:val="24"/>
          <w:lang w:eastAsia="ja-JP"/>
        </w:rPr>
        <w:t xml:space="preserve">(in </w:t>
      </w:r>
      <w:r w:rsidR="00054D2E">
        <w:rPr>
          <w:rFonts w:ascii="Times New Roman" w:hAnsi="Times New Roman"/>
          <w:sz w:val="24"/>
          <w:szCs w:val="24"/>
          <w:lang w:eastAsia="ja-JP"/>
        </w:rPr>
        <w:t xml:space="preserve">column 2 </w:t>
      </w:r>
      <w:r w:rsidR="007E2307">
        <w:rPr>
          <w:rFonts w:ascii="Times New Roman" w:hAnsi="Times New Roman"/>
          <w:sz w:val="24"/>
          <w:szCs w:val="24"/>
          <w:lang w:eastAsia="ja-JP"/>
        </w:rPr>
        <w:t>of the table, which provides for a</w:t>
      </w:r>
      <w:r w:rsidR="00054D2E">
        <w:rPr>
          <w:rFonts w:ascii="Times New Roman" w:hAnsi="Times New Roman"/>
          <w:sz w:val="24"/>
          <w:szCs w:val="24"/>
          <w:lang w:eastAsia="ja-JP"/>
        </w:rPr>
        <w:t>reas</w:t>
      </w:r>
      <w:r w:rsidR="007E2307">
        <w:rPr>
          <w:rFonts w:ascii="Times New Roman" w:hAnsi="Times New Roman"/>
          <w:sz w:val="24"/>
          <w:szCs w:val="24"/>
          <w:lang w:eastAsia="ja-JP"/>
        </w:rPr>
        <w:t>)</w:t>
      </w:r>
      <w:r w:rsidR="00054D2E">
        <w:rPr>
          <w:rFonts w:ascii="Times New Roman" w:hAnsi="Times New Roman"/>
          <w:sz w:val="24"/>
          <w:szCs w:val="24"/>
          <w:lang w:eastAsia="ja-JP"/>
        </w:rPr>
        <w:t xml:space="preserve">. </w:t>
      </w:r>
    </w:p>
    <w:p w14:paraId="2B6DAA49" w14:textId="5605CDBA" w:rsidR="007E2307" w:rsidRDefault="007E2307" w:rsidP="00E14891">
      <w:pPr>
        <w:spacing w:before="240"/>
        <w:rPr>
          <w:rFonts w:ascii="Times New Roman" w:hAnsi="Times New Roman"/>
          <w:sz w:val="24"/>
          <w:szCs w:val="24"/>
          <w:lang w:eastAsia="ja-JP"/>
        </w:rPr>
      </w:pPr>
      <w:r>
        <w:rPr>
          <w:rFonts w:ascii="Times New Roman" w:hAnsi="Times New Roman"/>
          <w:sz w:val="24"/>
          <w:szCs w:val="24"/>
          <w:lang w:eastAsia="ja-JP"/>
        </w:rPr>
        <w:t>Existing section 8 of the Port of Wyndham Determination provides that e</w:t>
      </w:r>
      <w:r w:rsidRPr="007E2307">
        <w:rPr>
          <w:rFonts w:ascii="Times New Roman" w:hAnsi="Times New Roman"/>
          <w:sz w:val="24"/>
          <w:szCs w:val="24"/>
          <w:lang w:eastAsia="ja-JP"/>
        </w:rPr>
        <w:t xml:space="preserve">ach area of Port of Wyndham specified in column 2 of an item </w:t>
      </w:r>
      <w:r>
        <w:rPr>
          <w:rFonts w:ascii="Times New Roman" w:hAnsi="Times New Roman"/>
          <w:sz w:val="24"/>
          <w:szCs w:val="24"/>
          <w:lang w:eastAsia="ja-JP"/>
        </w:rPr>
        <w:t>in</w:t>
      </w:r>
      <w:r w:rsidRPr="007E2307">
        <w:rPr>
          <w:rFonts w:ascii="Times New Roman" w:hAnsi="Times New Roman"/>
          <w:sz w:val="24"/>
          <w:szCs w:val="24"/>
          <w:lang w:eastAsia="ja-JP"/>
        </w:rPr>
        <w:t xml:space="preserve"> the table is designated as a biosecurity entry point for goods, or goods included in a class of goods, specified in column 1 of the item.</w:t>
      </w:r>
    </w:p>
    <w:p w14:paraId="32647E8C" w14:textId="2E7A6A4F" w:rsidR="00054D2E" w:rsidRDefault="00054D2E" w:rsidP="00E14891">
      <w:pPr>
        <w:spacing w:before="240"/>
        <w:rPr>
          <w:rFonts w:ascii="Times New Roman" w:hAnsi="Times New Roman"/>
          <w:sz w:val="24"/>
          <w:szCs w:val="24"/>
          <w:lang w:eastAsia="ja-JP"/>
        </w:rPr>
      </w:pPr>
      <w:r>
        <w:rPr>
          <w:rFonts w:ascii="Times New Roman" w:hAnsi="Times New Roman"/>
          <w:sz w:val="24"/>
          <w:szCs w:val="24"/>
          <w:lang w:eastAsia="ja-JP"/>
        </w:rPr>
        <w:t>The effect of this amendment is that Wyndham Wharf</w:t>
      </w:r>
      <w:r w:rsidR="007E2307">
        <w:rPr>
          <w:rFonts w:ascii="Times New Roman" w:hAnsi="Times New Roman"/>
          <w:sz w:val="24"/>
          <w:szCs w:val="24"/>
          <w:lang w:eastAsia="ja-JP"/>
        </w:rPr>
        <w:t xml:space="preserve"> </w:t>
      </w:r>
      <w:r w:rsidR="002B19FB">
        <w:rPr>
          <w:rFonts w:ascii="Times New Roman" w:hAnsi="Times New Roman"/>
          <w:sz w:val="24"/>
          <w:szCs w:val="24"/>
          <w:lang w:eastAsia="ja-JP"/>
        </w:rPr>
        <w:t xml:space="preserve">is </w:t>
      </w:r>
      <w:r w:rsidR="007E2307">
        <w:rPr>
          <w:rFonts w:ascii="Times New Roman" w:hAnsi="Times New Roman"/>
          <w:sz w:val="24"/>
          <w:szCs w:val="24"/>
          <w:lang w:eastAsia="ja-JP"/>
        </w:rPr>
        <w:t>designated</w:t>
      </w:r>
      <w:r>
        <w:rPr>
          <w:rFonts w:ascii="Times New Roman" w:hAnsi="Times New Roman"/>
          <w:sz w:val="24"/>
          <w:szCs w:val="24"/>
          <w:lang w:eastAsia="ja-JP"/>
        </w:rPr>
        <w:t xml:space="preserve"> as </w:t>
      </w:r>
      <w:r w:rsidR="002B19FB">
        <w:rPr>
          <w:rFonts w:ascii="Times New Roman" w:hAnsi="Times New Roman"/>
          <w:sz w:val="24"/>
          <w:szCs w:val="24"/>
          <w:lang w:eastAsia="ja-JP"/>
        </w:rPr>
        <w:t xml:space="preserve">a </w:t>
      </w:r>
      <w:r>
        <w:rPr>
          <w:rFonts w:ascii="Times New Roman" w:hAnsi="Times New Roman"/>
          <w:sz w:val="24"/>
          <w:szCs w:val="24"/>
          <w:lang w:eastAsia="ja-JP"/>
        </w:rPr>
        <w:t xml:space="preserve">biosecurity entry point for inorganic bulk goods. </w:t>
      </w:r>
    </w:p>
    <w:p w14:paraId="41603546" w14:textId="106237C6" w:rsidR="00A0508C" w:rsidRPr="006F6FB0" w:rsidRDefault="00A0508C" w:rsidP="00E14891">
      <w:pPr>
        <w:spacing w:before="240"/>
        <w:rPr>
          <w:rFonts w:ascii="Times New Roman" w:hAnsi="Times New Roman"/>
          <w:sz w:val="24"/>
          <w:szCs w:val="24"/>
          <w:lang w:eastAsia="ja-JP"/>
        </w:rPr>
      </w:pPr>
      <w:r>
        <w:rPr>
          <w:rFonts w:ascii="Times New Roman" w:hAnsi="Times New Roman"/>
          <w:sz w:val="24"/>
          <w:szCs w:val="24"/>
          <w:lang w:eastAsia="ja-JP"/>
        </w:rPr>
        <w:t xml:space="preserve">The effect of section 147 of the Biosecurity Act is that, unless limited exceptions apply, where a biosecurity entry point has been designated for a class of goods, the person in charge of the vessel arriving at a first point of entry (in this case, the Port of Wyndham) must ensure that the goods that are to be unloaded from the vessel are brought to the biosecurity entry point for those goods as soon as practicable. As a result, inorganic bulk goods arriving at the Port of Wyndham must be brought to Wyndham Wharf. </w:t>
      </w:r>
    </w:p>
    <w:sectPr w:rsidR="00A0508C" w:rsidRPr="006F6FB0" w:rsidSect="00434F29">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5CAD" w14:textId="77777777" w:rsidR="000B7C61" w:rsidRDefault="000B7C61">
      <w:r>
        <w:separator/>
      </w:r>
    </w:p>
  </w:endnote>
  <w:endnote w:type="continuationSeparator" w:id="0">
    <w:p w14:paraId="4142D906" w14:textId="77777777" w:rsidR="000B7C61" w:rsidRDefault="000B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C9C3" w14:textId="3B1C0998" w:rsidR="00434F29" w:rsidRPr="00434F29" w:rsidRDefault="00434F29" w:rsidP="00434F29">
    <w:pPr>
      <w:pStyle w:val="Footer"/>
      <w:jc w:val="center"/>
      <w:rPr>
        <w:rFonts w:ascii="Times New Roman" w:hAnsi="Times New Roman"/>
        <w:sz w:val="24"/>
        <w:szCs w:val="24"/>
      </w:rPr>
    </w:pPr>
    <w:r>
      <w:rPr>
        <w:rFonts w:ascii="Times New Roman" w:hAnsi="Times New Roman"/>
        <w:sz w:val="24"/>
        <w:szCs w:val="24"/>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5675" w14:textId="1F84D4EA" w:rsidR="00B84194" w:rsidRPr="00434F29" w:rsidRDefault="00B84194" w:rsidP="00434F29">
    <w:pPr>
      <w:pStyle w:val="Footer"/>
      <w:jc w:val="center"/>
      <w:rPr>
        <w:rFonts w:ascii="Times New Roman" w:hAnsi="Times New Roman"/>
        <w:sz w:val="24"/>
        <w:szCs w:val="24"/>
      </w:rPr>
    </w:pPr>
    <w:r>
      <w:rPr>
        <w:rFonts w:ascii="Times New Roman" w:hAnsi="Times New Roman"/>
        <w:sz w:val="24"/>
        <w:szCs w:val="24"/>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7CDF" w14:textId="1A2B49E2" w:rsidR="00C6669A" w:rsidRPr="002A045B" w:rsidRDefault="009179C3" w:rsidP="002A045B">
    <w:pPr>
      <w:pStyle w:val="Footer"/>
      <w:jc w:val="center"/>
      <w:rPr>
        <w:rFonts w:ascii="Times New Roman" w:hAnsi="Times New Roman"/>
        <w:sz w:val="24"/>
        <w:szCs w:val="24"/>
      </w:rPr>
    </w:pPr>
    <w:sdt>
      <w:sdtPr>
        <w:rPr>
          <w:rFonts w:ascii="Times New Roman" w:hAnsi="Times New Roman"/>
          <w:sz w:val="24"/>
          <w:szCs w:val="24"/>
        </w:rPr>
        <w:id w:val="-1553465373"/>
        <w:docPartObj>
          <w:docPartGallery w:val="Page Numbers (Bottom of Page)"/>
          <w:docPartUnique/>
        </w:docPartObj>
      </w:sdtPr>
      <w:sdtEndPr>
        <w:rPr>
          <w:noProof/>
        </w:rPr>
      </w:sdtEndPr>
      <w:sdtContent>
        <w:r w:rsidR="002A045B" w:rsidRPr="002A045B">
          <w:rPr>
            <w:rFonts w:ascii="Times New Roman" w:hAnsi="Times New Roman"/>
            <w:noProof/>
            <w:sz w:val="24"/>
            <w:szCs w:val="24"/>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A883" w14:textId="02B550F9" w:rsidR="00434F29" w:rsidRPr="00434F29" w:rsidRDefault="00434F29" w:rsidP="00434F29">
    <w:pPr>
      <w:pStyle w:val="Footer"/>
      <w:jc w:val="center"/>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28F6E" w14:textId="77777777" w:rsidR="00434F29" w:rsidRPr="00434F29" w:rsidRDefault="00434F29" w:rsidP="00434F29">
    <w:pPr>
      <w:pStyle w:val="Footer"/>
      <w:jc w:val="center"/>
      <w:rPr>
        <w:rFonts w:ascii="Times New Roman" w:hAnsi="Times New Roman"/>
        <w:sz w:val="24"/>
        <w:szCs w:val="24"/>
      </w:rPr>
    </w:pPr>
    <w:r>
      <w:rPr>
        <w:rFonts w:ascii="Times New Roman" w:hAnsi="Times New Roman"/>
        <w:sz w:val="24"/>
        <w:szCs w:val="24"/>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B7669" w14:textId="3691EB95" w:rsidR="00434F29" w:rsidRPr="00434F29" w:rsidRDefault="00B84194" w:rsidP="00434F29">
    <w:pPr>
      <w:pStyle w:val="Footer"/>
      <w:jc w:val="center"/>
      <w:rPr>
        <w:rFonts w:ascii="Times New Roman" w:hAnsi="Times New Roman"/>
        <w:sz w:val="24"/>
        <w:szCs w:val="24"/>
      </w:rPr>
    </w:pPr>
    <w:r>
      <w:rPr>
        <w:rFonts w:ascii="Times New Roman" w:hAnsi="Times New Roman"/>
        <w:sz w:val="24"/>
        <w:szCs w:val="24"/>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EEF9" w14:textId="7DD963FB" w:rsidR="00434F29" w:rsidRPr="002A045B" w:rsidRDefault="009179C3" w:rsidP="002A045B">
    <w:pPr>
      <w:pStyle w:val="Footer"/>
      <w:jc w:val="center"/>
      <w:rPr>
        <w:rFonts w:ascii="Times New Roman" w:hAnsi="Times New Roman"/>
        <w:sz w:val="24"/>
        <w:szCs w:val="24"/>
      </w:rPr>
    </w:pPr>
    <w:sdt>
      <w:sdtPr>
        <w:rPr>
          <w:rFonts w:ascii="Times New Roman" w:hAnsi="Times New Roman"/>
          <w:sz w:val="24"/>
          <w:szCs w:val="24"/>
        </w:rPr>
        <w:id w:val="-132870612"/>
        <w:docPartObj>
          <w:docPartGallery w:val="Page Numbers (Bottom of Page)"/>
          <w:docPartUnique/>
        </w:docPartObj>
      </w:sdtPr>
      <w:sdtEndPr>
        <w:rPr>
          <w:noProof/>
        </w:rPr>
      </w:sdtEndPr>
      <w:sdtContent>
        <w:r w:rsidR="00B84194">
          <w:rPr>
            <w:rFonts w:ascii="Times New Roman" w:hAnsi="Times New Roman"/>
            <w:noProof/>
            <w:sz w:val="24"/>
            <w:szCs w:val="24"/>
          </w:rPr>
          <w:t>5</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0CB5" w14:textId="2B1B2871" w:rsidR="00434F29" w:rsidRPr="00434F29" w:rsidRDefault="00B84194" w:rsidP="00434F29">
    <w:pPr>
      <w:pStyle w:val="Footer"/>
      <w:jc w:val="center"/>
      <w:rPr>
        <w:rFonts w:ascii="Times New Roman" w:hAnsi="Times New Roman"/>
        <w:sz w:val="24"/>
        <w:szCs w:val="24"/>
      </w:rPr>
    </w:pPr>
    <w:r>
      <w:rPr>
        <w:rFonts w:ascii="Times New Roman" w:hAnsi="Times New Roman"/>
        <w:sz w:val="24"/>
        <w:szCs w:val="24"/>
      </w:rPr>
      <w:t>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47FE" w14:textId="0C8506B9" w:rsidR="00B84194" w:rsidRPr="00434F29" w:rsidRDefault="00B84194" w:rsidP="00434F29">
    <w:pPr>
      <w:pStyle w:val="Footer"/>
      <w:jc w:val="center"/>
      <w:rPr>
        <w:rFonts w:ascii="Times New Roman" w:hAnsi="Times New Roman"/>
        <w:sz w:val="24"/>
        <w:szCs w:val="24"/>
      </w:rPr>
    </w:pPr>
    <w:r>
      <w:rPr>
        <w:rFonts w:ascii="Times New Roman" w:hAnsi="Times New Roman"/>
        <w:sz w:val="24"/>
        <w:szCs w:val="24"/>
      </w:rPr>
      <w:t>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88E7" w14:textId="77777777" w:rsidR="00B84194" w:rsidRPr="00434F29" w:rsidRDefault="00B84194" w:rsidP="00434F29">
    <w:pPr>
      <w:pStyle w:val="Footer"/>
      <w:jc w:val="center"/>
      <w:rPr>
        <w:rFonts w:ascii="Times New Roman" w:hAnsi="Times New Roman"/>
        <w:sz w:val="24"/>
        <w:szCs w:val="24"/>
      </w:rPr>
    </w:pPr>
    <w:r>
      <w:rPr>
        <w:rFonts w:ascii="Times New Roman" w:hAnsi="Times New Roman"/>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3978A" w14:textId="77777777" w:rsidR="000B7C61" w:rsidRDefault="000B7C61">
      <w:r>
        <w:separator/>
      </w:r>
    </w:p>
  </w:footnote>
  <w:footnote w:type="continuationSeparator" w:id="0">
    <w:p w14:paraId="3052CCCC" w14:textId="77777777" w:rsidR="000B7C61" w:rsidRDefault="000B7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71433EA"/>
    <w:multiLevelType w:val="hybridMultilevel"/>
    <w:tmpl w:val="13A876EE"/>
    <w:lvl w:ilvl="0" w:tplc="2F369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45CDF"/>
    <w:multiLevelType w:val="hybridMultilevel"/>
    <w:tmpl w:val="ED56BBC6"/>
    <w:lvl w:ilvl="0" w:tplc="09905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87DBE"/>
    <w:multiLevelType w:val="hybridMultilevel"/>
    <w:tmpl w:val="55A27ED8"/>
    <w:lvl w:ilvl="0" w:tplc="8AF67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A913599"/>
    <w:multiLevelType w:val="multilevel"/>
    <w:tmpl w:val="02AA8FA0"/>
    <w:numStyleLink w:val="ListBullets"/>
  </w:abstractNum>
  <w:abstractNum w:abstractNumId="8" w15:restartNumberingAfterBreak="0">
    <w:nsid w:val="2F2425AB"/>
    <w:multiLevelType w:val="multilevel"/>
    <w:tmpl w:val="BC8603C0"/>
    <w:numStyleLink w:val="ListNumbers"/>
  </w:abstractNum>
  <w:abstractNum w:abstractNumId="9" w15:restartNumberingAfterBreak="0">
    <w:nsid w:val="325776BB"/>
    <w:multiLevelType w:val="hybridMultilevel"/>
    <w:tmpl w:val="5F941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B2EC3"/>
    <w:multiLevelType w:val="hybridMultilevel"/>
    <w:tmpl w:val="C05AD4B2"/>
    <w:lvl w:ilvl="0" w:tplc="2F74E2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F32A8E"/>
    <w:multiLevelType w:val="hybridMultilevel"/>
    <w:tmpl w:val="EC205104"/>
    <w:lvl w:ilvl="0" w:tplc="4D6C941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E74C7D"/>
    <w:multiLevelType w:val="hybridMultilevel"/>
    <w:tmpl w:val="0C40727E"/>
    <w:lvl w:ilvl="0" w:tplc="7D72DC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A5B1553"/>
    <w:multiLevelType w:val="hybridMultilevel"/>
    <w:tmpl w:val="21B2EC36"/>
    <w:lvl w:ilvl="0" w:tplc="4D6C94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C7E17E3"/>
    <w:multiLevelType w:val="hybridMultilevel"/>
    <w:tmpl w:val="3E6E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A747C6"/>
    <w:multiLevelType w:val="hybridMultilevel"/>
    <w:tmpl w:val="1E46BB2E"/>
    <w:lvl w:ilvl="0" w:tplc="0FCC6D0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D2A54C0"/>
    <w:multiLevelType w:val="hybridMultilevel"/>
    <w:tmpl w:val="0CE2B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BF2894"/>
    <w:multiLevelType w:val="hybridMultilevel"/>
    <w:tmpl w:val="27CC4B5A"/>
    <w:lvl w:ilvl="0" w:tplc="E230F8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663F3C"/>
    <w:multiLevelType w:val="hybridMultilevel"/>
    <w:tmpl w:val="68D07E9C"/>
    <w:lvl w:ilvl="0" w:tplc="1BE68D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824150"/>
    <w:multiLevelType w:val="hybridMultilevel"/>
    <w:tmpl w:val="87C29028"/>
    <w:lvl w:ilvl="0" w:tplc="7EAC33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FD4C67"/>
    <w:multiLevelType w:val="hybridMultilevel"/>
    <w:tmpl w:val="EE885796"/>
    <w:lvl w:ilvl="0" w:tplc="3836EF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7263D29"/>
    <w:multiLevelType w:val="hybridMultilevel"/>
    <w:tmpl w:val="D55A80E2"/>
    <w:lvl w:ilvl="0" w:tplc="7562B3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CD0701"/>
    <w:multiLevelType w:val="hybridMultilevel"/>
    <w:tmpl w:val="86BC6E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213226646">
    <w:abstractNumId w:val="16"/>
  </w:num>
  <w:num w:numId="2" w16cid:durableId="495730983">
    <w:abstractNumId w:val="13"/>
  </w:num>
  <w:num w:numId="3" w16cid:durableId="1492060557">
    <w:abstractNumId w:val="4"/>
  </w:num>
  <w:num w:numId="4" w16cid:durableId="1998612409">
    <w:abstractNumId w:val="5"/>
  </w:num>
  <w:num w:numId="5" w16cid:durableId="1819883461">
    <w:abstractNumId w:val="0"/>
  </w:num>
  <w:num w:numId="6" w16cid:durableId="1355497123">
    <w:abstractNumId w:val="7"/>
  </w:num>
  <w:num w:numId="7" w16cid:durableId="1192718331">
    <w:abstractNumId w:val="25"/>
  </w:num>
  <w:num w:numId="8" w16cid:durableId="859199572">
    <w:abstractNumId w:val="8"/>
  </w:num>
  <w:num w:numId="9" w16cid:durableId="2035157522">
    <w:abstractNumId w:val="17"/>
  </w:num>
  <w:num w:numId="10" w16cid:durableId="613252169">
    <w:abstractNumId w:val="6"/>
  </w:num>
  <w:num w:numId="11" w16cid:durableId="1903560041">
    <w:abstractNumId w:val="12"/>
  </w:num>
  <w:num w:numId="12" w16cid:durableId="2109160367">
    <w:abstractNumId w:val="11"/>
  </w:num>
  <w:num w:numId="13" w16cid:durableId="1119495640">
    <w:abstractNumId w:val="19"/>
  </w:num>
  <w:num w:numId="14" w16cid:durableId="1087845241">
    <w:abstractNumId w:val="18"/>
  </w:num>
  <w:num w:numId="15" w16cid:durableId="1036080144">
    <w:abstractNumId w:val="9"/>
  </w:num>
  <w:num w:numId="16" w16cid:durableId="1546215656">
    <w:abstractNumId w:val="20"/>
  </w:num>
  <w:num w:numId="17" w16cid:durableId="1178694917">
    <w:abstractNumId w:val="24"/>
  </w:num>
  <w:num w:numId="18" w16cid:durableId="1703625233">
    <w:abstractNumId w:val="3"/>
  </w:num>
  <w:num w:numId="19" w16cid:durableId="137499860">
    <w:abstractNumId w:val="26"/>
  </w:num>
  <w:num w:numId="20" w16cid:durableId="922253379">
    <w:abstractNumId w:val="21"/>
  </w:num>
  <w:num w:numId="21" w16cid:durableId="562449583">
    <w:abstractNumId w:val="1"/>
  </w:num>
  <w:num w:numId="22" w16cid:durableId="2105571277">
    <w:abstractNumId w:val="23"/>
  </w:num>
  <w:num w:numId="23" w16cid:durableId="448167221">
    <w:abstractNumId w:val="14"/>
  </w:num>
  <w:num w:numId="24" w16cid:durableId="1697191356">
    <w:abstractNumId w:val="2"/>
  </w:num>
  <w:num w:numId="25" w16cid:durableId="2102948541">
    <w:abstractNumId w:val="22"/>
  </w:num>
  <w:num w:numId="26" w16cid:durableId="2035493176">
    <w:abstractNumId w:val="15"/>
  </w:num>
  <w:num w:numId="27" w16cid:durableId="914051194">
    <w:abstractNumId w:val="10"/>
  </w:num>
  <w:num w:numId="28" w16cid:durableId="571040096">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5FEF"/>
    <w:rsid w:val="00007304"/>
    <w:rsid w:val="000103DD"/>
    <w:rsid w:val="00013E0D"/>
    <w:rsid w:val="00015AD9"/>
    <w:rsid w:val="00020B93"/>
    <w:rsid w:val="00021526"/>
    <w:rsid w:val="00025626"/>
    <w:rsid w:val="00026CEA"/>
    <w:rsid w:val="00027B48"/>
    <w:rsid w:val="00035336"/>
    <w:rsid w:val="000419F2"/>
    <w:rsid w:val="00041DD9"/>
    <w:rsid w:val="00045B9C"/>
    <w:rsid w:val="00054D2E"/>
    <w:rsid w:val="00057767"/>
    <w:rsid w:val="00057A47"/>
    <w:rsid w:val="0006127B"/>
    <w:rsid w:val="000623DE"/>
    <w:rsid w:val="00064F19"/>
    <w:rsid w:val="00071951"/>
    <w:rsid w:val="00072D05"/>
    <w:rsid w:val="00081CD4"/>
    <w:rsid w:val="000825FA"/>
    <w:rsid w:val="00084C2E"/>
    <w:rsid w:val="000874AC"/>
    <w:rsid w:val="00091BB1"/>
    <w:rsid w:val="00092FB5"/>
    <w:rsid w:val="00093D9C"/>
    <w:rsid w:val="000B0AB7"/>
    <w:rsid w:val="000B7C61"/>
    <w:rsid w:val="000C0010"/>
    <w:rsid w:val="000C0DA9"/>
    <w:rsid w:val="000C69D8"/>
    <w:rsid w:val="000C6B88"/>
    <w:rsid w:val="000C7382"/>
    <w:rsid w:val="000D36EB"/>
    <w:rsid w:val="000D75E9"/>
    <w:rsid w:val="000E26A0"/>
    <w:rsid w:val="000E3531"/>
    <w:rsid w:val="000F2500"/>
    <w:rsid w:val="000F3595"/>
    <w:rsid w:val="000F567E"/>
    <w:rsid w:val="001010E5"/>
    <w:rsid w:val="0010127F"/>
    <w:rsid w:val="00102529"/>
    <w:rsid w:val="00105F22"/>
    <w:rsid w:val="001072BF"/>
    <w:rsid w:val="001107AF"/>
    <w:rsid w:val="00114D30"/>
    <w:rsid w:val="00116F52"/>
    <w:rsid w:val="001345C3"/>
    <w:rsid w:val="001350FD"/>
    <w:rsid w:val="00135539"/>
    <w:rsid w:val="00144C36"/>
    <w:rsid w:val="00147F1D"/>
    <w:rsid w:val="00166C9A"/>
    <w:rsid w:val="00172CFB"/>
    <w:rsid w:val="0017793C"/>
    <w:rsid w:val="0018195F"/>
    <w:rsid w:val="00182C47"/>
    <w:rsid w:val="00192725"/>
    <w:rsid w:val="0019391B"/>
    <w:rsid w:val="001946E1"/>
    <w:rsid w:val="001961B7"/>
    <w:rsid w:val="001A00C3"/>
    <w:rsid w:val="001A24FE"/>
    <w:rsid w:val="001B3CD3"/>
    <w:rsid w:val="001C13E0"/>
    <w:rsid w:val="001C1499"/>
    <w:rsid w:val="001C3D44"/>
    <w:rsid w:val="001C64AB"/>
    <w:rsid w:val="001C69F5"/>
    <w:rsid w:val="001C6F7E"/>
    <w:rsid w:val="001D5AA0"/>
    <w:rsid w:val="001D6B15"/>
    <w:rsid w:val="001D781D"/>
    <w:rsid w:val="001E4F2D"/>
    <w:rsid w:val="001E5F19"/>
    <w:rsid w:val="001F0316"/>
    <w:rsid w:val="001F0427"/>
    <w:rsid w:val="001F4E93"/>
    <w:rsid w:val="001F7F50"/>
    <w:rsid w:val="0020164B"/>
    <w:rsid w:val="00202754"/>
    <w:rsid w:val="00203BAD"/>
    <w:rsid w:val="00210191"/>
    <w:rsid w:val="00215FEA"/>
    <w:rsid w:val="00216646"/>
    <w:rsid w:val="00220ECB"/>
    <w:rsid w:val="00222C7C"/>
    <w:rsid w:val="00227312"/>
    <w:rsid w:val="00231DB8"/>
    <w:rsid w:val="0023477B"/>
    <w:rsid w:val="00235726"/>
    <w:rsid w:val="00236211"/>
    <w:rsid w:val="0024139D"/>
    <w:rsid w:val="002463BE"/>
    <w:rsid w:val="002515DB"/>
    <w:rsid w:val="002519BF"/>
    <w:rsid w:val="002524C2"/>
    <w:rsid w:val="002525CF"/>
    <w:rsid w:val="002635CD"/>
    <w:rsid w:val="00266636"/>
    <w:rsid w:val="0027065E"/>
    <w:rsid w:val="00275EA1"/>
    <w:rsid w:val="002778D4"/>
    <w:rsid w:val="00280091"/>
    <w:rsid w:val="00285632"/>
    <w:rsid w:val="002879D3"/>
    <w:rsid w:val="002903EC"/>
    <w:rsid w:val="00290699"/>
    <w:rsid w:val="0029253B"/>
    <w:rsid w:val="00296934"/>
    <w:rsid w:val="00296CB9"/>
    <w:rsid w:val="002A045B"/>
    <w:rsid w:val="002A7B1F"/>
    <w:rsid w:val="002B0094"/>
    <w:rsid w:val="002B19FB"/>
    <w:rsid w:val="002B46CC"/>
    <w:rsid w:val="002C3D2B"/>
    <w:rsid w:val="002C7416"/>
    <w:rsid w:val="002C7DF5"/>
    <w:rsid w:val="002D1993"/>
    <w:rsid w:val="002E06EE"/>
    <w:rsid w:val="002E2668"/>
    <w:rsid w:val="002F3206"/>
    <w:rsid w:val="00300F32"/>
    <w:rsid w:val="003010B9"/>
    <w:rsid w:val="00302402"/>
    <w:rsid w:val="0030286F"/>
    <w:rsid w:val="003029A6"/>
    <w:rsid w:val="00302D9E"/>
    <w:rsid w:val="003041EA"/>
    <w:rsid w:val="00304B7F"/>
    <w:rsid w:val="00305F8D"/>
    <w:rsid w:val="003069D2"/>
    <w:rsid w:val="003129DD"/>
    <w:rsid w:val="00320C06"/>
    <w:rsid w:val="0032592D"/>
    <w:rsid w:val="00327ED8"/>
    <w:rsid w:val="00337399"/>
    <w:rsid w:val="003414F8"/>
    <w:rsid w:val="003439AB"/>
    <w:rsid w:val="00344DAD"/>
    <w:rsid w:val="0035008F"/>
    <w:rsid w:val="00353544"/>
    <w:rsid w:val="003752D6"/>
    <w:rsid w:val="00376258"/>
    <w:rsid w:val="00377E38"/>
    <w:rsid w:val="0038002F"/>
    <w:rsid w:val="0038726B"/>
    <w:rsid w:val="003947BF"/>
    <w:rsid w:val="003A066C"/>
    <w:rsid w:val="003A3EEC"/>
    <w:rsid w:val="003A5CEA"/>
    <w:rsid w:val="003A5F38"/>
    <w:rsid w:val="003A7918"/>
    <w:rsid w:val="003B00ED"/>
    <w:rsid w:val="003B02B7"/>
    <w:rsid w:val="003B124F"/>
    <w:rsid w:val="003B7117"/>
    <w:rsid w:val="003B7384"/>
    <w:rsid w:val="003C270F"/>
    <w:rsid w:val="003C3C9F"/>
    <w:rsid w:val="003C55F3"/>
    <w:rsid w:val="003C6D01"/>
    <w:rsid w:val="003D54EC"/>
    <w:rsid w:val="003E3CBB"/>
    <w:rsid w:val="003E7CB0"/>
    <w:rsid w:val="003F4D9B"/>
    <w:rsid w:val="003F5D73"/>
    <w:rsid w:val="00400EE6"/>
    <w:rsid w:val="00404323"/>
    <w:rsid w:val="0040692F"/>
    <w:rsid w:val="00415C09"/>
    <w:rsid w:val="004203A6"/>
    <w:rsid w:val="00420A6B"/>
    <w:rsid w:val="00425E1C"/>
    <w:rsid w:val="00425FAB"/>
    <w:rsid w:val="0043179B"/>
    <w:rsid w:val="00434D75"/>
    <w:rsid w:val="00434F20"/>
    <w:rsid w:val="00434F29"/>
    <w:rsid w:val="004410DA"/>
    <w:rsid w:val="004419A7"/>
    <w:rsid w:val="00444EF4"/>
    <w:rsid w:val="00447A7E"/>
    <w:rsid w:val="00450B96"/>
    <w:rsid w:val="00461807"/>
    <w:rsid w:val="0046221F"/>
    <w:rsid w:val="00462924"/>
    <w:rsid w:val="00464705"/>
    <w:rsid w:val="0046551B"/>
    <w:rsid w:val="00465BC4"/>
    <w:rsid w:val="00477D2C"/>
    <w:rsid w:val="00494339"/>
    <w:rsid w:val="004A0E52"/>
    <w:rsid w:val="004A1751"/>
    <w:rsid w:val="004A7625"/>
    <w:rsid w:val="004B61FB"/>
    <w:rsid w:val="004B6456"/>
    <w:rsid w:val="004C28AA"/>
    <w:rsid w:val="004C5209"/>
    <w:rsid w:val="004D0D99"/>
    <w:rsid w:val="004D1A28"/>
    <w:rsid w:val="004D4F5F"/>
    <w:rsid w:val="004D52C1"/>
    <w:rsid w:val="004E1628"/>
    <w:rsid w:val="004E36B3"/>
    <w:rsid w:val="004E42C8"/>
    <w:rsid w:val="004E44E9"/>
    <w:rsid w:val="004E766C"/>
    <w:rsid w:val="004F4374"/>
    <w:rsid w:val="004F4E18"/>
    <w:rsid w:val="004F6283"/>
    <w:rsid w:val="004F7D4F"/>
    <w:rsid w:val="004F7DE1"/>
    <w:rsid w:val="00500CE3"/>
    <w:rsid w:val="00501244"/>
    <w:rsid w:val="005045BA"/>
    <w:rsid w:val="0051153E"/>
    <w:rsid w:val="0051263F"/>
    <w:rsid w:val="0051284E"/>
    <w:rsid w:val="00512D19"/>
    <w:rsid w:val="00513CB9"/>
    <w:rsid w:val="0052004B"/>
    <w:rsid w:val="005215A7"/>
    <w:rsid w:val="00531278"/>
    <w:rsid w:val="00541C7E"/>
    <w:rsid w:val="00542AF5"/>
    <w:rsid w:val="0054646A"/>
    <w:rsid w:val="0054747E"/>
    <w:rsid w:val="00552D28"/>
    <w:rsid w:val="005536B5"/>
    <w:rsid w:val="00553833"/>
    <w:rsid w:val="00554E6D"/>
    <w:rsid w:val="0056602A"/>
    <w:rsid w:val="005717C5"/>
    <w:rsid w:val="00573DCC"/>
    <w:rsid w:val="00587058"/>
    <w:rsid w:val="005910A0"/>
    <w:rsid w:val="005A2509"/>
    <w:rsid w:val="005B0230"/>
    <w:rsid w:val="005B06A5"/>
    <w:rsid w:val="005B2ADA"/>
    <w:rsid w:val="005B34D8"/>
    <w:rsid w:val="005B51F3"/>
    <w:rsid w:val="005B768F"/>
    <w:rsid w:val="005C07F3"/>
    <w:rsid w:val="005C080B"/>
    <w:rsid w:val="005C0977"/>
    <w:rsid w:val="005C2448"/>
    <w:rsid w:val="005C45EE"/>
    <w:rsid w:val="005D071B"/>
    <w:rsid w:val="005D0A84"/>
    <w:rsid w:val="005D2E47"/>
    <w:rsid w:val="005D505D"/>
    <w:rsid w:val="005D5C14"/>
    <w:rsid w:val="005D7EEE"/>
    <w:rsid w:val="005E2B61"/>
    <w:rsid w:val="005E469E"/>
    <w:rsid w:val="005E4F1B"/>
    <w:rsid w:val="005E616F"/>
    <w:rsid w:val="005F210E"/>
    <w:rsid w:val="00600DA5"/>
    <w:rsid w:val="006013E4"/>
    <w:rsid w:val="006122CB"/>
    <w:rsid w:val="0061368F"/>
    <w:rsid w:val="00614559"/>
    <w:rsid w:val="006229FE"/>
    <w:rsid w:val="0062617B"/>
    <w:rsid w:val="006261D5"/>
    <w:rsid w:val="0062695B"/>
    <w:rsid w:val="00626C88"/>
    <w:rsid w:val="00626E31"/>
    <w:rsid w:val="006311C8"/>
    <w:rsid w:val="00633886"/>
    <w:rsid w:val="00636B1A"/>
    <w:rsid w:val="00637A51"/>
    <w:rsid w:val="00641087"/>
    <w:rsid w:val="006456F9"/>
    <w:rsid w:val="00652628"/>
    <w:rsid w:val="006566F4"/>
    <w:rsid w:val="0065672C"/>
    <w:rsid w:val="006630B7"/>
    <w:rsid w:val="0067216D"/>
    <w:rsid w:val="006727A6"/>
    <w:rsid w:val="00674BF6"/>
    <w:rsid w:val="00675DFD"/>
    <w:rsid w:val="0067798E"/>
    <w:rsid w:val="00677FE2"/>
    <w:rsid w:val="006824A3"/>
    <w:rsid w:val="00684E2D"/>
    <w:rsid w:val="00685013"/>
    <w:rsid w:val="00687367"/>
    <w:rsid w:val="00694D1F"/>
    <w:rsid w:val="006962BB"/>
    <w:rsid w:val="00696B02"/>
    <w:rsid w:val="006A22D8"/>
    <w:rsid w:val="006A2723"/>
    <w:rsid w:val="006A6BB1"/>
    <w:rsid w:val="006B12F4"/>
    <w:rsid w:val="006B3EF3"/>
    <w:rsid w:val="006B5C04"/>
    <w:rsid w:val="006B743C"/>
    <w:rsid w:val="006C0F4C"/>
    <w:rsid w:val="006D58D3"/>
    <w:rsid w:val="006D66F8"/>
    <w:rsid w:val="006E08CD"/>
    <w:rsid w:val="006E3F91"/>
    <w:rsid w:val="006E4201"/>
    <w:rsid w:val="006F1F83"/>
    <w:rsid w:val="006F278D"/>
    <w:rsid w:val="006F4197"/>
    <w:rsid w:val="006F6FB0"/>
    <w:rsid w:val="006F7A4A"/>
    <w:rsid w:val="007058C4"/>
    <w:rsid w:val="007244E2"/>
    <w:rsid w:val="007356DF"/>
    <w:rsid w:val="00737DBA"/>
    <w:rsid w:val="00743F39"/>
    <w:rsid w:val="00751313"/>
    <w:rsid w:val="00760954"/>
    <w:rsid w:val="00765BA3"/>
    <w:rsid w:val="007703B4"/>
    <w:rsid w:val="00774553"/>
    <w:rsid w:val="00781601"/>
    <w:rsid w:val="00785626"/>
    <w:rsid w:val="0078611D"/>
    <w:rsid w:val="00794196"/>
    <w:rsid w:val="007A185B"/>
    <w:rsid w:val="007A3112"/>
    <w:rsid w:val="007B0CF4"/>
    <w:rsid w:val="007C129B"/>
    <w:rsid w:val="007C160C"/>
    <w:rsid w:val="007C2B25"/>
    <w:rsid w:val="007C34BB"/>
    <w:rsid w:val="007C666B"/>
    <w:rsid w:val="007C6A8F"/>
    <w:rsid w:val="007D4E7E"/>
    <w:rsid w:val="007D5CA1"/>
    <w:rsid w:val="007D65DF"/>
    <w:rsid w:val="007E056F"/>
    <w:rsid w:val="007E1DBA"/>
    <w:rsid w:val="007E1F45"/>
    <w:rsid w:val="007E2307"/>
    <w:rsid w:val="007F40D9"/>
    <w:rsid w:val="007F4619"/>
    <w:rsid w:val="00802077"/>
    <w:rsid w:val="00810245"/>
    <w:rsid w:val="00812DF9"/>
    <w:rsid w:val="00814AD0"/>
    <w:rsid w:val="0082224D"/>
    <w:rsid w:val="00822C60"/>
    <w:rsid w:val="00823BC7"/>
    <w:rsid w:val="008378D0"/>
    <w:rsid w:val="00856861"/>
    <w:rsid w:val="00856871"/>
    <w:rsid w:val="00865989"/>
    <w:rsid w:val="00870127"/>
    <w:rsid w:val="0087153D"/>
    <w:rsid w:val="0087588A"/>
    <w:rsid w:val="00876B83"/>
    <w:rsid w:val="00885734"/>
    <w:rsid w:val="008861AE"/>
    <w:rsid w:val="008878BE"/>
    <w:rsid w:val="00887C4B"/>
    <w:rsid w:val="00892609"/>
    <w:rsid w:val="0089754A"/>
    <w:rsid w:val="008A32AC"/>
    <w:rsid w:val="008A379D"/>
    <w:rsid w:val="008A4EFA"/>
    <w:rsid w:val="008A572F"/>
    <w:rsid w:val="008C085C"/>
    <w:rsid w:val="008C4033"/>
    <w:rsid w:val="008D0EC3"/>
    <w:rsid w:val="008D12C0"/>
    <w:rsid w:val="008D23E2"/>
    <w:rsid w:val="008D3439"/>
    <w:rsid w:val="008D3A3C"/>
    <w:rsid w:val="008D4E9E"/>
    <w:rsid w:val="008F7FC7"/>
    <w:rsid w:val="00900DB1"/>
    <w:rsid w:val="00905F94"/>
    <w:rsid w:val="00912EBD"/>
    <w:rsid w:val="00916C00"/>
    <w:rsid w:val="009179C3"/>
    <w:rsid w:val="0092214F"/>
    <w:rsid w:val="009241A8"/>
    <w:rsid w:val="00924278"/>
    <w:rsid w:val="0092686F"/>
    <w:rsid w:val="00933734"/>
    <w:rsid w:val="00934497"/>
    <w:rsid w:val="00934A14"/>
    <w:rsid w:val="009425CE"/>
    <w:rsid w:val="009509D3"/>
    <w:rsid w:val="0095560C"/>
    <w:rsid w:val="009604BC"/>
    <w:rsid w:val="00961734"/>
    <w:rsid w:val="00962274"/>
    <w:rsid w:val="0096594D"/>
    <w:rsid w:val="009763CB"/>
    <w:rsid w:val="00981122"/>
    <w:rsid w:val="009864EE"/>
    <w:rsid w:val="009879C3"/>
    <w:rsid w:val="009929E5"/>
    <w:rsid w:val="0099548E"/>
    <w:rsid w:val="00995D81"/>
    <w:rsid w:val="009A71EE"/>
    <w:rsid w:val="009A7F71"/>
    <w:rsid w:val="009B2576"/>
    <w:rsid w:val="009B2BC9"/>
    <w:rsid w:val="009C016B"/>
    <w:rsid w:val="009C4813"/>
    <w:rsid w:val="009C5161"/>
    <w:rsid w:val="009D2B9D"/>
    <w:rsid w:val="009D3777"/>
    <w:rsid w:val="009D37D5"/>
    <w:rsid w:val="009E0D02"/>
    <w:rsid w:val="009E3A22"/>
    <w:rsid w:val="009E4376"/>
    <w:rsid w:val="009E4F02"/>
    <w:rsid w:val="009E5B91"/>
    <w:rsid w:val="009E675C"/>
    <w:rsid w:val="009E79FD"/>
    <w:rsid w:val="009F7CD6"/>
    <w:rsid w:val="00A009C5"/>
    <w:rsid w:val="00A00A77"/>
    <w:rsid w:val="00A0443D"/>
    <w:rsid w:val="00A0508C"/>
    <w:rsid w:val="00A1251F"/>
    <w:rsid w:val="00A1442A"/>
    <w:rsid w:val="00A244BE"/>
    <w:rsid w:val="00A27C35"/>
    <w:rsid w:val="00A302D8"/>
    <w:rsid w:val="00A35FED"/>
    <w:rsid w:val="00A418DA"/>
    <w:rsid w:val="00A41AE0"/>
    <w:rsid w:val="00A4432C"/>
    <w:rsid w:val="00A536CE"/>
    <w:rsid w:val="00A55616"/>
    <w:rsid w:val="00A55919"/>
    <w:rsid w:val="00A57C8E"/>
    <w:rsid w:val="00A7311C"/>
    <w:rsid w:val="00A84E2E"/>
    <w:rsid w:val="00A90665"/>
    <w:rsid w:val="00A92670"/>
    <w:rsid w:val="00A9690B"/>
    <w:rsid w:val="00A96E7B"/>
    <w:rsid w:val="00AA0EF7"/>
    <w:rsid w:val="00AA4B88"/>
    <w:rsid w:val="00AA5ABF"/>
    <w:rsid w:val="00AA662B"/>
    <w:rsid w:val="00AA7E5E"/>
    <w:rsid w:val="00AB247E"/>
    <w:rsid w:val="00AB31AB"/>
    <w:rsid w:val="00AC1CF1"/>
    <w:rsid w:val="00AC636C"/>
    <w:rsid w:val="00AC7A8E"/>
    <w:rsid w:val="00AD1078"/>
    <w:rsid w:val="00AD4A40"/>
    <w:rsid w:val="00AD72A1"/>
    <w:rsid w:val="00AE0971"/>
    <w:rsid w:val="00AE4893"/>
    <w:rsid w:val="00AF00A6"/>
    <w:rsid w:val="00AF0E6C"/>
    <w:rsid w:val="00B00005"/>
    <w:rsid w:val="00B02F6D"/>
    <w:rsid w:val="00B1083B"/>
    <w:rsid w:val="00B11612"/>
    <w:rsid w:val="00B11C29"/>
    <w:rsid w:val="00B12139"/>
    <w:rsid w:val="00B16F6E"/>
    <w:rsid w:val="00B217C5"/>
    <w:rsid w:val="00B238E6"/>
    <w:rsid w:val="00B24474"/>
    <w:rsid w:val="00B24D96"/>
    <w:rsid w:val="00B2722C"/>
    <w:rsid w:val="00B3074D"/>
    <w:rsid w:val="00B323C2"/>
    <w:rsid w:val="00B34689"/>
    <w:rsid w:val="00B35571"/>
    <w:rsid w:val="00B375CC"/>
    <w:rsid w:val="00B379D1"/>
    <w:rsid w:val="00B43F7F"/>
    <w:rsid w:val="00B44F4C"/>
    <w:rsid w:val="00B45A75"/>
    <w:rsid w:val="00B50300"/>
    <w:rsid w:val="00B56C73"/>
    <w:rsid w:val="00B57188"/>
    <w:rsid w:val="00B63EA5"/>
    <w:rsid w:val="00B6468A"/>
    <w:rsid w:val="00B64C6D"/>
    <w:rsid w:val="00B6678A"/>
    <w:rsid w:val="00B66E47"/>
    <w:rsid w:val="00B81428"/>
    <w:rsid w:val="00B84194"/>
    <w:rsid w:val="00B84D49"/>
    <w:rsid w:val="00B85611"/>
    <w:rsid w:val="00B95BF6"/>
    <w:rsid w:val="00BA1562"/>
    <w:rsid w:val="00BA28D1"/>
    <w:rsid w:val="00BA65B1"/>
    <w:rsid w:val="00BA7789"/>
    <w:rsid w:val="00BB131E"/>
    <w:rsid w:val="00BC4600"/>
    <w:rsid w:val="00BC4A88"/>
    <w:rsid w:val="00BC5761"/>
    <w:rsid w:val="00BD040F"/>
    <w:rsid w:val="00BD5164"/>
    <w:rsid w:val="00BE1EE1"/>
    <w:rsid w:val="00BE3F90"/>
    <w:rsid w:val="00BE5EF0"/>
    <w:rsid w:val="00BE730A"/>
    <w:rsid w:val="00BF043A"/>
    <w:rsid w:val="00BF345D"/>
    <w:rsid w:val="00BF3C22"/>
    <w:rsid w:val="00BF682F"/>
    <w:rsid w:val="00C01174"/>
    <w:rsid w:val="00C106F7"/>
    <w:rsid w:val="00C20B72"/>
    <w:rsid w:val="00C210D9"/>
    <w:rsid w:val="00C2335B"/>
    <w:rsid w:val="00C245B4"/>
    <w:rsid w:val="00C258BA"/>
    <w:rsid w:val="00C2735A"/>
    <w:rsid w:val="00C30804"/>
    <w:rsid w:val="00C341FA"/>
    <w:rsid w:val="00C3494C"/>
    <w:rsid w:val="00C439B0"/>
    <w:rsid w:val="00C47F6D"/>
    <w:rsid w:val="00C5235A"/>
    <w:rsid w:val="00C532A4"/>
    <w:rsid w:val="00C53664"/>
    <w:rsid w:val="00C53BCF"/>
    <w:rsid w:val="00C57679"/>
    <w:rsid w:val="00C60EC6"/>
    <w:rsid w:val="00C665FB"/>
    <w:rsid w:val="00C6669A"/>
    <w:rsid w:val="00C77AA6"/>
    <w:rsid w:val="00C8147D"/>
    <w:rsid w:val="00C81B2A"/>
    <w:rsid w:val="00C82108"/>
    <w:rsid w:val="00C86AE8"/>
    <w:rsid w:val="00C873E6"/>
    <w:rsid w:val="00C96BA4"/>
    <w:rsid w:val="00C97C9B"/>
    <w:rsid w:val="00CA1B35"/>
    <w:rsid w:val="00CA2EEC"/>
    <w:rsid w:val="00CB0854"/>
    <w:rsid w:val="00CB322F"/>
    <w:rsid w:val="00CB5E63"/>
    <w:rsid w:val="00CB78C3"/>
    <w:rsid w:val="00CC1AC4"/>
    <w:rsid w:val="00CC4AA7"/>
    <w:rsid w:val="00CC6811"/>
    <w:rsid w:val="00CD2B59"/>
    <w:rsid w:val="00CE05B2"/>
    <w:rsid w:val="00CE3FCC"/>
    <w:rsid w:val="00CE5A01"/>
    <w:rsid w:val="00CF2632"/>
    <w:rsid w:val="00D230D1"/>
    <w:rsid w:val="00D24135"/>
    <w:rsid w:val="00D26F6F"/>
    <w:rsid w:val="00D318DF"/>
    <w:rsid w:val="00D357CF"/>
    <w:rsid w:val="00D3608D"/>
    <w:rsid w:val="00D3689A"/>
    <w:rsid w:val="00D429D3"/>
    <w:rsid w:val="00D442F2"/>
    <w:rsid w:val="00D53290"/>
    <w:rsid w:val="00D63A09"/>
    <w:rsid w:val="00D6743A"/>
    <w:rsid w:val="00D77EA1"/>
    <w:rsid w:val="00D8249A"/>
    <w:rsid w:val="00D85665"/>
    <w:rsid w:val="00D85D66"/>
    <w:rsid w:val="00D90D91"/>
    <w:rsid w:val="00D93A1D"/>
    <w:rsid w:val="00D940C9"/>
    <w:rsid w:val="00D95F0D"/>
    <w:rsid w:val="00DA19AF"/>
    <w:rsid w:val="00DA29FC"/>
    <w:rsid w:val="00DA4367"/>
    <w:rsid w:val="00DA4C8C"/>
    <w:rsid w:val="00DA7C5C"/>
    <w:rsid w:val="00DB2C63"/>
    <w:rsid w:val="00DB7D17"/>
    <w:rsid w:val="00DC1117"/>
    <w:rsid w:val="00DD0B79"/>
    <w:rsid w:val="00DD31FC"/>
    <w:rsid w:val="00DD7F26"/>
    <w:rsid w:val="00DE2F3B"/>
    <w:rsid w:val="00DF0CD8"/>
    <w:rsid w:val="00DF2FCA"/>
    <w:rsid w:val="00DF6218"/>
    <w:rsid w:val="00DF71A7"/>
    <w:rsid w:val="00DF7783"/>
    <w:rsid w:val="00DF7C79"/>
    <w:rsid w:val="00E014CF"/>
    <w:rsid w:val="00E046B6"/>
    <w:rsid w:val="00E07090"/>
    <w:rsid w:val="00E13E66"/>
    <w:rsid w:val="00E14891"/>
    <w:rsid w:val="00E158CC"/>
    <w:rsid w:val="00E24408"/>
    <w:rsid w:val="00E31A43"/>
    <w:rsid w:val="00E3214D"/>
    <w:rsid w:val="00E33B6D"/>
    <w:rsid w:val="00E3780B"/>
    <w:rsid w:val="00E46F18"/>
    <w:rsid w:val="00E505D6"/>
    <w:rsid w:val="00E51722"/>
    <w:rsid w:val="00E52C1F"/>
    <w:rsid w:val="00E57273"/>
    <w:rsid w:val="00E67347"/>
    <w:rsid w:val="00E714E2"/>
    <w:rsid w:val="00E81744"/>
    <w:rsid w:val="00E818AD"/>
    <w:rsid w:val="00E84B54"/>
    <w:rsid w:val="00E87B18"/>
    <w:rsid w:val="00E91037"/>
    <w:rsid w:val="00E941E1"/>
    <w:rsid w:val="00E94AFD"/>
    <w:rsid w:val="00EA6212"/>
    <w:rsid w:val="00EB4900"/>
    <w:rsid w:val="00EB531B"/>
    <w:rsid w:val="00EC1F02"/>
    <w:rsid w:val="00EC1FCD"/>
    <w:rsid w:val="00EC390A"/>
    <w:rsid w:val="00EC79B2"/>
    <w:rsid w:val="00ED4294"/>
    <w:rsid w:val="00ED51E5"/>
    <w:rsid w:val="00EE2D64"/>
    <w:rsid w:val="00EE4102"/>
    <w:rsid w:val="00EE50CF"/>
    <w:rsid w:val="00EE781D"/>
    <w:rsid w:val="00EF2400"/>
    <w:rsid w:val="00F04544"/>
    <w:rsid w:val="00F06C50"/>
    <w:rsid w:val="00F112ED"/>
    <w:rsid w:val="00F12F4B"/>
    <w:rsid w:val="00F177C0"/>
    <w:rsid w:val="00F25155"/>
    <w:rsid w:val="00F26DDC"/>
    <w:rsid w:val="00F301E6"/>
    <w:rsid w:val="00F3272D"/>
    <w:rsid w:val="00F37C0D"/>
    <w:rsid w:val="00F51C9E"/>
    <w:rsid w:val="00F52632"/>
    <w:rsid w:val="00F555DF"/>
    <w:rsid w:val="00F639B5"/>
    <w:rsid w:val="00F6408A"/>
    <w:rsid w:val="00F65D37"/>
    <w:rsid w:val="00F804B5"/>
    <w:rsid w:val="00F80D24"/>
    <w:rsid w:val="00F83867"/>
    <w:rsid w:val="00F83E45"/>
    <w:rsid w:val="00F8501D"/>
    <w:rsid w:val="00F8546B"/>
    <w:rsid w:val="00F9125F"/>
    <w:rsid w:val="00F9383E"/>
    <w:rsid w:val="00F97162"/>
    <w:rsid w:val="00FA1A8D"/>
    <w:rsid w:val="00FA6325"/>
    <w:rsid w:val="00FA705C"/>
    <w:rsid w:val="00FB40FF"/>
    <w:rsid w:val="00FB509B"/>
    <w:rsid w:val="00FB5E27"/>
    <w:rsid w:val="00FB7AE6"/>
    <w:rsid w:val="00FC6030"/>
    <w:rsid w:val="00FD517D"/>
    <w:rsid w:val="00FD7F08"/>
    <w:rsid w:val="00FE3F1E"/>
    <w:rsid w:val="00FF32D1"/>
    <w:rsid w:val="00FF4E46"/>
    <w:rsid w:val="0C3A8038"/>
    <w:rsid w:val="1EB352EF"/>
    <w:rsid w:val="20BDF2D5"/>
    <w:rsid w:val="30C25709"/>
    <w:rsid w:val="3CAC467B"/>
    <w:rsid w:val="5112B2A2"/>
    <w:rsid w:val="58F2A310"/>
    <w:rsid w:val="691B6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C86AE8"/>
    <w:rPr>
      <w:sz w:val="22"/>
      <w:szCs w:val="22"/>
      <w:lang w:eastAsia="en-US"/>
    </w:rPr>
  </w:style>
  <w:style w:type="numbering" w:customStyle="1" w:styleId="List11">
    <w:name w:val="List11"/>
    <w:basedOn w:val="NoList"/>
    <w:uiPriority w:val="99"/>
    <w:rsid w:val="0018195F"/>
  </w:style>
  <w:style w:type="paragraph" w:customStyle="1" w:styleId="Normal-em">
    <w:name w:val="Normal-em"/>
    <w:basedOn w:val="Normal"/>
    <w:rsid w:val="0018195F"/>
    <w:pPr>
      <w:spacing w:before="0" w:after="120" w:line="264" w:lineRule="auto"/>
    </w:pPr>
    <w:rPr>
      <w:rFonts w:ascii="Times New Roman" w:eastAsia="Times New Roman" w:hAnsi="Times New Roman"/>
      <w:color w:val="000000"/>
      <w:sz w:val="24"/>
      <w:szCs w:val="20"/>
    </w:rPr>
  </w:style>
  <w:style w:type="paragraph" w:customStyle="1" w:styleId="tabletext0">
    <w:name w:val="tabletext"/>
    <w:basedOn w:val="Normal"/>
    <w:rsid w:val="004F7D4F"/>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202754"/>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515876399">
      <w:bodyDiv w:val="1"/>
      <w:marLeft w:val="0"/>
      <w:marRight w:val="0"/>
      <w:marTop w:val="0"/>
      <w:marBottom w:val="0"/>
      <w:divBdr>
        <w:top w:val="none" w:sz="0" w:space="0" w:color="auto"/>
        <w:left w:val="none" w:sz="0" w:space="0" w:color="auto"/>
        <w:bottom w:val="none" w:sz="0" w:space="0" w:color="auto"/>
        <w:right w:val="none" w:sz="0" w:space="0" w:color="auto"/>
      </w:divBdr>
    </w:div>
    <w:div w:id="1633289675">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377BA-CC94-4664-B547-351F4E73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2024-11-26T00:34:00Z</dcterms:created>
  <dcterms:modified xsi:type="dcterms:W3CDTF">2024-11-27T05:43:00Z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2024-11-26T00:34:27Z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26b97fff-c303-4f63-9ea1-bd53b3f08c40</vt:lpwstr>
  </property>
  <property fmtid="{D5CDD505-2E9C-101B-9397-08002B2CF9AE}" pid="8" name="MSIP_Label_473bcc6b-73b7-4ef5-b413-c44cd14a40ad_ContentBits">
    <vt:lpwstr>0</vt:lpwstr>
  </property>
</Properties>
</file>