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24EE1" w14:textId="77777777" w:rsidR="000A7712" w:rsidRPr="006478C6" w:rsidRDefault="000A7712" w:rsidP="006478C6">
      <w:pPr>
        <w:spacing w:after="60"/>
        <w:rPr>
          <w:rFonts w:ascii="Arial" w:hAnsi="Arial" w:cs="Arial"/>
          <w:b/>
          <w:bCs/>
        </w:rPr>
      </w:pPr>
      <w:r w:rsidRPr="006478C6">
        <w:rPr>
          <w:rFonts w:ascii="Arial" w:hAnsi="Arial" w:cs="Arial"/>
          <w:b/>
          <w:bCs/>
        </w:rPr>
        <w:t>Explanatory Statement</w:t>
      </w:r>
    </w:p>
    <w:p w14:paraId="7408DD16" w14:textId="77777777" w:rsidR="00D43CD1" w:rsidRPr="006478C6" w:rsidRDefault="00D43CD1" w:rsidP="006478C6">
      <w:pPr>
        <w:spacing w:before="180" w:after="60"/>
        <w:rPr>
          <w:rFonts w:ascii="Arial" w:hAnsi="Arial" w:cs="Arial"/>
          <w:b/>
          <w:bCs/>
        </w:rPr>
      </w:pPr>
      <w:r w:rsidRPr="006478C6">
        <w:rPr>
          <w:rFonts w:ascii="Arial" w:hAnsi="Arial" w:cs="Arial"/>
          <w:b/>
          <w:bCs/>
        </w:rPr>
        <w:t xml:space="preserve">Civil Aviation </w:t>
      </w:r>
      <w:r w:rsidR="00790CBB" w:rsidRPr="006478C6">
        <w:rPr>
          <w:rFonts w:ascii="Arial" w:hAnsi="Arial" w:cs="Arial"/>
          <w:b/>
          <w:bCs/>
        </w:rPr>
        <w:t xml:space="preserve">Safety </w:t>
      </w:r>
      <w:r w:rsidRPr="006478C6">
        <w:rPr>
          <w:rFonts w:ascii="Arial" w:hAnsi="Arial" w:cs="Arial"/>
          <w:b/>
          <w:bCs/>
        </w:rPr>
        <w:t>Regulations 19</w:t>
      </w:r>
      <w:r w:rsidR="00790CBB" w:rsidRPr="006478C6">
        <w:rPr>
          <w:rFonts w:ascii="Arial" w:hAnsi="Arial" w:cs="Arial"/>
          <w:b/>
          <w:bCs/>
        </w:rPr>
        <w:t>9</w:t>
      </w:r>
      <w:r w:rsidRPr="006478C6">
        <w:rPr>
          <w:rFonts w:ascii="Arial" w:hAnsi="Arial" w:cs="Arial"/>
          <w:b/>
          <w:bCs/>
        </w:rPr>
        <w:t>8</w:t>
      </w:r>
    </w:p>
    <w:p w14:paraId="13167C8C" w14:textId="0A2D9B3C" w:rsidR="000A7712" w:rsidRPr="006478C6" w:rsidRDefault="00A94AA7" w:rsidP="006478C6">
      <w:pPr>
        <w:spacing w:before="180" w:after="360"/>
        <w:rPr>
          <w:rFonts w:ascii="Arial" w:hAnsi="Arial" w:cs="Arial"/>
          <w:b/>
          <w:bCs/>
        </w:rPr>
      </w:pPr>
      <w:r w:rsidRPr="006478C6">
        <w:rPr>
          <w:rFonts w:ascii="Arial" w:hAnsi="Arial" w:cs="Arial"/>
          <w:b/>
          <w:bCs/>
        </w:rPr>
        <w:t>CASA EX</w:t>
      </w:r>
      <w:r w:rsidR="00F7564E">
        <w:rPr>
          <w:rFonts w:ascii="Arial" w:hAnsi="Arial" w:cs="Arial"/>
          <w:b/>
          <w:bCs/>
        </w:rPr>
        <w:t>82</w:t>
      </w:r>
      <w:r w:rsidRPr="006478C6">
        <w:rPr>
          <w:rFonts w:ascii="Arial" w:hAnsi="Arial" w:cs="Arial"/>
          <w:b/>
          <w:bCs/>
        </w:rPr>
        <w:t>/</w:t>
      </w:r>
      <w:r w:rsidR="00C3157D" w:rsidRPr="006478C6">
        <w:rPr>
          <w:rFonts w:ascii="Arial" w:hAnsi="Arial" w:cs="Arial"/>
          <w:b/>
          <w:bCs/>
        </w:rPr>
        <w:t>2</w:t>
      </w:r>
      <w:r w:rsidR="00F7564E">
        <w:rPr>
          <w:rFonts w:ascii="Arial" w:hAnsi="Arial" w:cs="Arial"/>
          <w:b/>
          <w:bCs/>
        </w:rPr>
        <w:t>4</w:t>
      </w:r>
      <w:r w:rsidR="0084629A" w:rsidRPr="006478C6">
        <w:rPr>
          <w:rFonts w:ascii="Arial" w:hAnsi="Arial" w:cs="Arial"/>
          <w:b/>
          <w:bCs/>
        </w:rPr>
        <w:t> </w:t>
      </w:r>
      <w:r w:rsidRPr="006478C6">
        <w:rPr>
          <w:rFonts w:ascii="Arial" w:hAnsi="Arial" w:cs="Arial"/>
          <w:b/>
          <w:bCs/>
        </w:rPr>
        <w:t xml:space="preserve">— Recording of </w:t>
      </w:r>
      <w:r w:rsidR="0096401F" w:rsidRPr="006478C6">
        <w:rPr>
          <w:rFonts w:ascii="Arial" w:hAnsi="Arial" w:cs="Arial"/>
          <w:b/>
          <w:bCs/>
        </w:rPr>
        <w:t>Time-in-service</w:t>
      </w:r>
      <w:r w:rsidRPr="006478C6">
        <w:rPr>
          <w:rFonts w:ascii="Arial" w:hAnsi="Arial" w:cs="Arial"/>
          <w:b/>
          <w:bCs/>
        </w:rPr>
        <w:t xml:space="preserve"> (Class A Aircraft) </w:t>
      </w:r>
      <w:r w:rsidR="00737ECE" w:rsidRPr="006478C6">
        <w:rPr>
          <w:rFonts w:ascii="Arial" w:hAnsi="Arial" w:cs="Arial"/>
          <w:b/>
          <w:bCs/>
        </w:rPr>
        <w:t>Exemption</w:t>
      </w:r>
      <w:r w:rsidR="00136800">
        <w:rPr>
          <w:rFonts w:ascii="Arial" w:hAnsi="Arial" w:cs="Arial"/>
          <w:b/>
          <w:bCs/>
        </w:rPr>
        <w:t> </w:t>
      </w:r>
      <w:r w:rsidRPr="006478C6">
        <w:rPr>
          <w:rFonts w:ascii="Arial" w:hAnsi="Arial" w:cs="Arial"/>
          <w:b/>
          <w:bCs/>
        </w:rPr>
        <w:t>20</w:t>
      </w:r>
      <w:r w:rsidR="00C3157D" w:rsidRPr="006478C6">
        <w:rPr>
          <w:rFonts w:ascii="Arial" w:hAnsi="Arial" w:cs="Arial"/>
          <w:b/>
          <w:bCs/>
        </w:rPr>
        <w:t>2</w:t>
      </w:r>
      <w:r w:rsidR="00F7564E">
        <w:rPr>
          <w:rFonts w:ascii="Arial" w:hAnsi="Arial" w:cs="Arial"/>
          <w:b/>
          <w:bCs/>
        </w:rPr>
        <w:t>4</w:t>
      </w:r>
    </w:p>
    <w:p w14:paraId="49DCF6A6" w14:textId="77777777" w:rsidR="00082569" w:rsidRPr="00082569" w:rsidRDefault="00082569" w:rsidP="00E002D2">
      <w:pPr>
        <w:rPr>
          <w:b/>
        </w:rPr>
      </w:pPr>
      <w:r w:rsidRPr="00082569">
        <w:rPr>
          <w:b/>
        </w:rPr>
        <w:t>Purpose</w:t>
      </w:r>
    </w:p>
    <w:p w14:paraId="3CEF1286" w14:textId="7F927198" w:rsidR="00082569" w:rsidRDefault="00EF6D66" w:rsidP="00E002D2">
      <w:r>
        <w:t xml:space="preserve">The purpose of this instrument is to exempt </w:t>
      </w:r>
      <w:r w:rsidR="00A94AA7">
        <w:t xml:space="preserve">each </w:t>
      </w:r>
      <w:r>
        <w:t xml:space="preserve">owner, operator and pilot in command </w:t>
      </w:r>
      <w:r w:rsidR="00A94AA7">
        <w:t xml:space="preserve">of a </w:t>
      </w:r>
      <w:r w:rsidR="008E642D">
        <w:t>c</w:t>
      </w:r>
      <w:r w:rsidR="00A94AA7">
        <w:t>lass</w:t>
      </w:r>
      <w:r w:rsidR="00EF394E">
        <w:t> </w:t>
      </w:r>
      <w:r w:rsidR="00A94AA7">
        <w:t xml:space="preserve">A aircraft </w:t>
      </w:r>
      <w:r>
        <w:t xml:space="preserve">from </w:t>
      </w:r>
      <w:r w:rsidR="00E613B6">
        <w:t xml:space="preserve">the </w:t>
      </w:r>
      <w:r>
        <w:t xml:space="preserve">requirement </w:t>
      </w:r>
      <w:r w:rsidR="00E613B6">
        <w:t xml:space="preserve">in </w:t>
      </w:r>
      <w:r w:rsidR="008E642D">
        <w:t>sub</w:t>
      </w:r>
      <w:r w:rsidR="00A94AA7">
        <w:t>regulation 43B</w:t>
      </w:r>
      <w:r w:rsidR="008E642D">
        <w:t>(1)</w:t>
      </w:r>
      <w:r w:rsidR="00A94AA7">
        <w:t xml:space="preserve"> of </w:t>
      </w:r>
      <w:r w:rsidR="00E613B6">
        <w:t xml:space="preserve">the </w:t>
      </w:r>
      <w:r w:rsidR="00E613B6" w:rsidRPr="00E613B6">
        <w:rPr>
          <w:i/>
        </w:rPr>
        <w:t>Civil Aviation Regulations</w:t>
      </w:r>
      <w:r w:rsidR="00EF394E">
        <w:rPr>
          <w:i/>
        </w:rPr>
        <w:t> </w:t>
      </w:r>
      <w:r w:rsidR="00E613B6" w:rsidRPr="00E613B6">
        <w:rPr>
          <w:i/>
        </w:rPr>
        <w:t>1988</w:t>
      </w:r>
      <w:r w:rsidR="00E613B6">
        <w:t xml:space="preserve"> (</w:t>
      </w:r>
      <w:r w:rsidR="00E613B6" w:rsidRPr="00E613B6">
        <w:rPr>
          <w:b/>
          <w:i/>
        </w:rPr>
        <w:t>CAR</w:t>
      </w:r>
      <w:r w:rsidR="00E613B6">
        <w:t xml:space="preserve">) </w:t>
      </w:r>
      <w:r>
        <w:t>to record total time</w:t>
      </w:r>
      <w:r w:rsidR="00EF394E">
        <w:noBreakHyphen/>
      </w:r>
      <w:r>
        <w:t>in</w:t>
      </w:r>
      <w:r w:rsidR="00EF394E">
        <w:noBreakHyphen/>
      </w:r>
      <w:r>
        <w:t xml:space="preserve">service of the </w:t>
      </w:r>
      <w:r w:rsidR="008E642D">
        <w:t>c</w:t>
      </w:r>
      <w:r>
        <w:t>lass</w:t>
      </w:r>
      <w:r w:rsidR="008E642D">
        <w:t> </w:t>
      </w:r>
      <w:r>
        <w:t xml:space="preserve">A aircraft after each completed day of flying operations. </w:t>
      </w:r>
      <w:r w:rsidR="0096401F">
        <w:t>The Civil Aviation Safety Authority (</w:t>
      </w:r>
      <w:r w:rsidR="0096401F" w:rsidRPr="0096401F">
        <w:rPr>
          <w:b/>
          <w:i/>
        </w:rPr>
        <w:t>CASA</w:t>
      </w:r>
      <w:r w:rsidR="0096401F">
        <w:t>) considers that t</w:t>
      </w:r>
      <w:r w:rsidR="00E613B6">
        <w:t xml:space="preserve">hese requirements are </w:t>
      </w:r>
      <w:r>
        <w:t xml:space="preserve">not necessary or appropriate </w:t>
      </w:r>
      <w:r w:rsidR="00A94AA7">
        <w:t>for class A aircraft, the continuing airworthiness requirements for which are managed through the aircraft maintenance control manual.</w:t>
      </w:r>
    </w:p>
    <w:p w14:paraId="7CD91D1D" w14:textId="77777777" w:rsidR="00CE11DB" w:rsidRPr="00593536" w:rsidRDefault="00CE11DB" w:rsidP="00E002D2"/>
    <w:p w14:paraId="303ECF3B" w14:textId="5C9C6FF8" w:rsidR="000A7712" w:rsidRPr="005C2B72" w:rsidRDefault="000A7712" w:rsidP="00593536">
      <w:pPr>
        <w:rPr>
          <w:b/>
        </w:rPr>
      </w:pPr>
      <w:r w:rsidRPr="005C2B72">
        <w:rPr>
          <w:b/>
        </w:rPr>
        <w:t>Legislation</w:t>
      </w:r>
    </w:p>
    <w:p w14:paraId="30866537" w14:textId="24591693" w:rsidR="00A94AA7" w:rsidRDefault="00A94AA7" w:rsidP="00A94AA7">
      <w:r>
        <w:t xml:space="preserve">Section 98 of the </w:t>
      </w:r>
      <w:r w:rsidRPr="0008465C">
        <w:rPr>
          <w:i/>
        </w:rPr>
        <w:t>Civil Aviation Act 1988</w:t>
      </w:r>
      <w:r>
        <w:t xml:space="preserve"> (the </w:t>
      </w:r>
      <w:r w:rsidRPr="00777D3F">
        <w:rPr>
          <w:b/>
          <w:i/>
        </w:rPr>
        <w:t>Act</w:t>
      </w:r>
      <w:r>
        <w:t xml:space="preserve">) empowers the Governor-General to make regulations for the Act and in the interests of the safety of air navigation. Relevantly, the Governor-General has made the </w:t>
      </w:r>
      <w:r>
        <w:rPr>
          <w:i/>
        </w:rPr>
        <w:t>Civil Aviation Safety Regulations</w:t>
      </w:r>
      <w:r w:rsidR="008E642D">
        <w:rPr>
          <w:i/>
        </w:rPr>
        <w:t> </w:t>
      </w:r>
      <w:r>
        <w:rPr>
          <w:i/>
        </w:rPr>
        <w:t xml:space="preserve">1998 </w:t>
      </w:r>
      <w:r>
        <w:t>(</w:t>
      </w:r>
      <w:r w:rsidRPr="00190610">
        <w:rPr>
          <w:b/>
          <w:i/>
        </w:rPr>
        <w:t>CASR</w:t>
      </w:r>
      <w:r>
        <w:t>) and CAR.</w:t>
      </w:r>
    </w:p>
    <w:p w14:paraId="2EE5BE2E" w14:textId="77777777" w:rsidR="00A94AA7" w:rsidRDefault="00A94AA7" w:rsidP="00A94AA7"/>
    <w:p w14:paraId="23E8EA5C" w14:textId="67D389C6" w:rsidR="000A7712" w:rsidRDefault="000A7712" w:rsidP="00593536">
      <w:r w:rsidRPr="002062ED">
        <w:t xml:space="preserve">Under subregulation 43B(1) of </w:t>
      </w:r>
      <w:r w:rsidRPr="007240D3">
        <w:t>CAR</w:t>
      </w:r>
      <w:r w:rsidR="00615473">
        <w:t>,</w:t>
      </w:r>
      <w:r w:rsidRPr="002062ED">
        <w:t xml:space="preserve"> it is an offence if, on completion of a day’s flying operations, the owner, operator or pilot in command of the aircraft fails to record on the mai</w:t>
      </w:r>
      <w:r w:rsidR="00D43CD1" w:rsidRPr="002062ED">
        <w:t>ntenance release the total time</w:t>
      </w:r>
      <w:r w:rsidR="00EF394E">
        <w:noBreakHyphen/>
      </w:r>
      <w:r w:rsidRPr="002062ED">
        <w:t>in</w:t>
      </w:r>
      <w:r w:rsidR="00EF394E">
        <w:noBreakHyphen/>
      </w:r>
      <w:r w:rsidRPr="002062ED">
        <w:t>service of the aircraft on that day.</w:t>
      </w:r>
    </w:p>
    <w:p w14:paraId="39739899" w14:textId="3F9EFCE6" w:rsidR="00593536" w:rsidRDefault="00593536" w:rsidP="00593536"/>
    <w:p w14:paraId="426AC719" w14:textId="65DCEBBB" w:rsidR="002A2E03" w:rsidRDefault="006D77FC" w:rsidP="00A94AA7">
      <w:r>
        <w:t xml:space="preserve">Regulation 42ZY of CAR </w:t>
      </w:r>
      <w:r w:rsidR="00505D01">
        <w:t xml:space="preserve">provides </w:t>
      </w:r>
      <w:r>
        <w:t>for the preparation of, and compliance with, a maintenance control manual for class A aircraft</w:t>
      </w:r>
      <w:r w:rsidR="002A2E03">
        <w:t xml:space="preserve"> and includes the matters that must be included in the manual</w:t>
      </w:r>
      <w:r>
        <w:t>.</w:t>
      </w:r>
    </w:p>
    <w:p w14:paraId="5CF58A78" w14:textId="77777777" w:rsidR="002A2E03" w:rsidRDefault="002A2E03" w:rsidP="00A94AA7"/>
    <w:p w14:paraId="25F97743" w14:textId="30365BEA" w:rsidR="005C0751" w:rsidRDefault="006D77FC" w:rsidP="00A94AA7">
      <w:r w:rsidRPr="0007121D">
        <w:rPr>
          <w:b/>
          <w:i/>
        </w:rPr>
        <w:t>Class A aircraft</w:t>
      </w:r>
      <w:r w:rsidRPr="002062ED">
        <w:t xml:space="preserve"> </w:t>
      </w:r>
      <w:r w:rsidR="00615473">
        <w:t>is</w:t>
      </w:r>
      <w:r>
        <w:t xml:space="preserve"> defined in regulation</w:t>
      </w:r>
      <w:r w:rsidR="00EF394E">
        <w:t> </w:t>
      </w:r>
      <w:r>
        <w:t>2 of CAR as</w:t>
      </w:r>
      <w:r w:rsidRPr="002062ED">
        <w:t xml:space="preserve"> </w:t>
      </w:r>
      <w:r w:rsidR="002B242B">
        <w:t xml:space="preserve">meaning an </w:t>
      </w:r>
      <w:r w:rsidRPr="002062ED">
        <w:t>Australian aircraft</w:t>
      </w:r>
      <w:r w:rsidR="005C0751">
        <w:t xml:space="preserve">, other than a balloon, </w:t>
      </w:r>
      <w:r w:rsidR="006250A6">
        <w:t xml:space="preserve">that satisfies </w:t>
      </w:r>
      <w:r w:rsidR="005C0751">
        <w:t>either or both of the following paragraphs:</w:t>
      </w:r>
    </w:p>
    <w:p w14:paraId="5C3670DE" w14:textId="32759188" w:rsidR="005C0751" w:rsidRDefault="00C91424" w:rsidP="00C91424">
      <w:pPr>
        <w:tabs>
          <w:tab w:val="right" w:pos="567"/>
          <w:tab w:val="left" w:pos="1191"/>
        </w:tabs>
        <w:spacing w:before="60" w:after="60"/>
        <w:ind w:left="454" w:hanging="454"/>
      </w:pPr>
      <w:r>
        <w:t>(a)</w:t>
      </w:r>
      <w:r>
        <w:tab/>
      </w:r>
      <w:r w:rsidR="005C0751">
        <w:t>the aircraft is certificated as a transport category aircraft;</w:t>
      </w:r>
    </w:p>
    <w:p w14:paraId="42F4E85C" w14:textId="131965AB" w:rsidR="006D77FC" w:rsidRDefault="00C91424" w:rsidP="00C91424">
      <w:pPr>
        <w:tabs>
          <w:tab w:val="right" w:pos="567"/>
          <w:tab w:val="left" w:pos="1191"/>
        </w:tabs>
        <w:spacing w:before="60" w:after="60"/>
        <w:ind w:left="454" w:hanging="454"/>
      </w:pPr>
      <w:r>
        <w:t>(b)</w:t>
      </w:r>
      <w:r>
        <w:tab/>
      </w:r>
      <w:r w:rsidR="005C0751">
        <w:t xml:space="preserve">the aircraft </w:t>
      </w:r>
      <w:r w:rsidR="008C2885">
        <w:t>is being used, or is to be used, by the holder of an Australian air transport AOC which authorises the use of that aircraft in scheduled air transport operations.</w:t>
      </w:r>
    </w:p>
    <w:p w14:paraId="67497470" w14:textId="77777777" w:rsidR="006D77FC" w:rsidRDefault="006D77FC" w:rsidP="00A94AA7"/>
    <w:p w14:paraId="54B9AC6D" w14:textId="40A7017B" w:rsidR="00A94AA7" w:rsidRDefault="00A94AA7" w:rsidP="00A94AA7">
      <w:r>
        <w:t>Subpart 11.F of CASR</w:t>
      </w:r>
      <w:r w:rsidRPr="004213FD">
        <w:t xml:space="preserve"> </w:t>
      </w:r>
      <w:r>
        <w:t>provides for the granting of exemptions from particular provisions of the regulations. Subregulation 11.160(1) of CASR provides that, for subsection</w:t>
      </w:r>
      <w:r w:rsidR="00EF394E">
        <w:t> </w:t>
      </w:r>
      <w:r>
        <w:t>98(5A) of the Act, CASA may grant an exemption from a provision of the regulations.</w:t>
      </w:r>
    </w:p>
    <w:p w14:paraId="7218C25D" w14:textId="77777777" w:rsidR="00A94AA7" w:rsidRDefault="00A94AA7" w:rsidP="00A94AA7"/>
    <w:p w14:paraId="3AE551C9" w14:textId="61F09E07" w:rsidR="00A94AA7" w:rsidRDefault="00A94AA7" w:rsidP="00A94AA7">
      <w:r>
        <w:t>Under subregulation 11.160(2) of CASR, an exemption may be granted to a person or a class of persons.</w:t>
      </w:r>
    </w:p>
    <w:p w14:paraId="2224DDF6" w14:textId="77777777" w:rsidR="00865438" w:rsidRPr="00CD0AF4" w:rsidRDefault="00865438" w:rsidP="00CD0AF4"/>
    <w:p w14:paraId="1DE244BA" w14:textId="66EB6448" w:rsidR="00A94AA7" w:rsidRDefault="00A94AA7" w:rsidP="00A94AA7">
      <w:r>
        <w:t>Under s</w:t>
      </w:r>
      <w:r w:rsidRPr="005E5D0B">
        <w:t>ubregulation 11.17</w:t>
      </w:r>
      <w:r>
        <w:t>5</w:t>
      </w:r>
      <w:r w:rsidRPr="005E5D0B">
        <w:t>(</w:t>
      </w:r>
      <w:r>
        <w:t>4</w:t>
      </w:r>
      <w:r w:rsidRPr="005E5D0B">
        <w:t>) of CASR</w:t>
      </w:r>
      <w:r>
        <w:t>,</w:t>
      </w:r>
      <w:r w:rsidRPr="005E5D0B">
        <w:t xml:space="preserve"> in deciding whether to </w:t>
      </w:r>
      <w:r>
        <w:t xml:space="preserve">reissue </w:t>
      </w:r>
      <w:r w:rsidRPr="005E5D0B">
        <w:t>an exemption</w:t>
      </w:r>
      <w:r>
        <w:t xml:space="preserve"> on an application by a person</w:t>
      </w:r>
      <w:r w:rsidRPr="005E5D0B">
        <w:t xml:space="preserve">, CASA must regard as paramount the preservation of </w:t>
      </w:r>
      <w:r>
        <w:t xml:space="preserve">at least </w:t>
      </w:r>
      <w:r w:rsidRPr="005E5D0B">
        <w:t>an acceptable level of aviation safety</w:t>
      </w:r>
      <w:r>
        <w:t>. CASA takes the same consideration into account when renewing an exemption on its own initiative.</w:t>
      </w:r>
    </w:p>
    <w:p w14:paraId="41EE95B0" w14:textId="77777777" w:rsidR="00A94AA7" w:rsidRPr="00CD0AF4" w:rsidRDefault="00A94AA7" w:rsidP="00CD0AF4"/>
    <w:p w14:paraId="04953D64" w14:textId="6F731404" w:rsidR="00A94AA7" w:rsidRPr="00CD0AF4" w:rsidRDefault="00865438" w:rsidP="00CD0AF4">
      <w:r w:rsidRPr="00CD0AF4">
        <w:t xml:space="preserve">Under subregulation 11.205(1) of CASR, CASA may impose conditions on an exemption in the interests of the safety of air navigation. </w:t>
      </w:r>
      <w:r w:rsidR="00004C6E" w:rsidRPr="00CD0AF4">
        <w:t>Under regulation 11.210, it is a strict liability offence not to comply with the obligations imposed by a condition.</w:t>
      </w:r>
    </w:p>
    <w:p w14:paraId="5AAF2567" w14:textId="77777777" w:rsidR="00A94AA7" w:rsidRPr="00CD0AF4" w:rsidRDefault="00A94AA7" w:rsidP="00CD0AF4"/>
    <w:p w14:paraId="7B63DBA3" w14:textId="2A61B9FF" w:rsidR="00865438" w:rsidRPr="00CD0AF4" w:rsidRDefault="00865438" w:rsidP="00CD0AF4">
      <w:r w:rsidRPr="00CD0AF4">
        <w:t xml:space="preserve">Under regulation 11.225 of CASR, an exemption must be published on the </w:t>
      </w:r>
      <w:r w:rsidR="00DE024E">
        <w:t>i</w:t>
      </w:r>
      <w:r w:rsidRPr="00CD0AF4">
        <w:t>nternet. Under subregulation</w:t>
      </w:r>
      <w:r w:rsidR="00EF394E">
        <w:t> </w:t>
      </w:r>
      <w:r w:rsidRPr="00CD0AF4">
        <w:t xml:space="preserve">11.230(1), </w:t>
      </w:r>
      <w:r w:rsidR="00A94AA7" w:rsidRPr="00CD0AF4">
        <w:t xml:space="preserve">the maximum duration of </w:t>
      </w:r>
      <w:r w:rsidRPr="00CD0AF4">
        <w:t xml:space="preserve">an exemption </w:t>
      </w:r>
      <w:r w:rsidR="00A94AA7" w:rsidRPr="00CD0AF4">
        <w:t xml:space="preserve">is </w:t>
      </w:r>
      <w:r w:rsidRPr="00CD0AF4">
        <w:t>3 years.</w:t>
      </w:r>
    </w:p>
    <w:p w14:paraId="1BC59DA0" w14:textId="77777777" w:rsidR="00A94AA7" w:rsidRPr="002062ED" w:rsidRDefault="00A94AA7" w:rsidP="00593536"/>
    <w:p w14:paraId="05D0FCFF" w14:textId="77777777" w:rsidR="000A7712" w:rsidRPr="002062ED" w:rsidRDefault="000A7712" w:rsidP="00EF394E">
      <w:pPr>
        <w:keepNext/>
        <w:rPr>
          <w:b/>
        </w:rPr>
      </w:pPr>
      <w:r w:rsidRPr="002062ED">
        <w:rPr>
          <w:b/>
        </w:rPr>
        <w:t>Background</w:t>
      </w:r>
    </w:p>
    <w:p w14:paraId="612738DC" w14:textId="5B2363A7" w:rsidR="0096401F" w:rsidRDefault="00004C6E" w:rsidP="00593536">
      <w:r>
        <w:t>Operators of class A aircraft are required to have a</w:t>
      </w:r>
      <w:r w:rsidR="0096401F">
        <w:t>n approved system of maintenance and a</w:t>
      </w:r>
      <w:r>
        <w:t xml:space="preserve"> maintenance control manual to ensure the management of the continuing airworthiness of the aircraft. </w:t>
      </w:r>
      <w:r w:rsidR="0096401F">
        <w:t xml:space="preserve">In </w:t>
      </w:r>
      <w:r w:rsidR="000A7712" w:rsidRPr="002062ED">
        <w:t xml:space="preserve">larger </w:t>
      </w:r>
      <w:r w:rsidR="0096401F">
        <w:t xml:space="preserve">operators, maintenance is often managed through </w:t>
      </w:r>
      <w:r w:rsidR="000A7712" w:rsidRPr="002062ED">
        <w:t xml:space="preserve">computerised </w:t>
      </w:r>
      <w:r w:rsidR="0096401F">
        <w:t>systems</w:t>
      </w:r>
      <w:r w:rsidR="000A7712" w:rsidRPr="002062ED">
        <w:t xml:space="preserve">. </w:t>
      </w:r>
      <w:r w:rsidR="0096401F">
        <w:t>In many cases, these systems and manuals do not require the recording of the time</w:t>
      </w:r>
      <w:r w:rsidR="005C7284">
        <w:noBreakHyphen/>
      </w:r>
      <w:r w:rsidR="0096401F">
        <w:t>in</w:t>
      </w:r>
      <w:r w:rsidR="005C7284">
        <w:noBreakHyphen/>
      </w:r>
      <w:r w:rsidR="0096401F">
        <w:t>service of an aircraft on the maintenance release document for the aircraft.</w:t>
      </w:r>
    </w:p>
    <w:p w14:paraId="51057550" w14:textId="77777777" w:rsidR="0096401F" w:rsidRDefault="0096401F" w:rsidP="00593536"/>
    <w:p w14:paraId="17269B2F" w14:textId="6C7F1E52" w:rsidR="0096401F" w:rsidRDefault="000A7712" w:rsidP="00593536">
      <w:r w:rsidRPr="002062ED">
        <w:t xml:space="preserve">Regulation 43B </w:t>
      </w:r>
      <w:r w:rsidR="00EF6D66">
        <w:t>of CAR</w:t>
      </w:r>
      <w:r w:rsidR="0096401F">
        <w:t xml:space="preserve"> is incompatible with the arrangements used for maintenance of most class</w:t>
      </w:r>
      <w:r w:rsidR="005C7284">
        <w:t> </w:t>
      </w:r>
      <w:r w:rsidR="0096401F">
        <w:t>A aircraft to the extent that the regulation requires the recording of the time</w:t>
      </w:r>
      <w:r w:rsidR="005C7284">
        <w:noBreakHyphen/>
      </w:r>
      <w:r w:rsidR="0096401F">
        <w:t>in</w:t>
      </w:r>
      <w:r w:rsidR="005C7284">
        <w:noBreakHyphen/>
      </w:r>
      <w:r w:rsidR="0096401F">
        <w:t>service of aircraft on the maintenance release.</w:t>
      </w:r>
    </w:p>
    <w:p w14:paraId="3576C6E9" w14:textId="77777777" w:rsidR="0096401F" w:rsidRDefault="0096401F" w:rsidP="00593536"/>
    <w:p w14:paraId="3DC33622" w14:textId="1B6440AE" w:rsidR="0096401F" w:rsidRDefault="0096401F" w:rsidP="00593536">
      <w:r>
        <w:t>Further, in the context of the arrangements for managing the continuing airworthiness of class</w:t>
      </w:r>
      <w:r w:rsidR="005C7284">
        <w:t> </w:t>
      </w:r>
      <w:r>
        <w:t>A aircraft, CASA does not consider there to be any safety imperative to requiring the time-in-service of a class A aircraft to be recorded on the maintenance release.</w:t>
      </w:r>
    </w:p>
    <w:p w14:paraId="25C62823" w14:textId="77777777" w:rsidR="00593536" w:rsidRDefault="00593536" w:rsidP="00593536"/>
    <w:p w14:paraId="37E8F790" w14:textId="12FC17D3" w:rsidR="00667A60" w:rsidRDefault="00667A60" w:rsidP="00593536">
      <w:r>
        <w:t xml:space="preserve">The instrument replaces instrument </w:t>
      </w:r>
      <w:r w:rsidRPr="00BD6BC7">
        <w:rPr>
          <w:i/>
          <w:iCs/>
        </w:rPr>
        <w:t>CASA EX</w:t>
      </w:r>
      <w:r w:rsidR="00F7552D" w:rsidRPr="00BD6BC7">
        <w:rPr>
          <w:i/>
          <w:iCs/>
        </w:rPr>
        <w:t>141/21</w:t>
      </w:r>
      <w:r w:rsidR="00BD6BC7" w:rsidRPr="00BD6BC7">
        <w:rPr>
          <w:i/>
          <w:iCs/>
        </w:rPr>
        <w:t>— Recording of Time-in-service (Class A Aircraft) Exemption 2021</w:t>
      </w:r>
      <w:r w:rsidR="00BD6BC7">
        <w:t xml:space="preserve"> </w:t>
      </w:r>
      <w:r w:rsidR="00EC4F6E">
        <w:t>that expired on 30 November 202</w:t>
      </w:r>
      <w:r w:rsidR="00793168">
        <w:t>4</w:t>
      </w:r>
      <w:r w:rsidR="00EC4F6E">
        <w:t>.</w:t>
      </w:r>
    </w:p>
    <w:p w14:paraId="06741E1A" w14:textId="77777777" w:rsidR="00525AEA" w:rsidRPr="002062ED" w:rsidRDefault="00525AEA" w:rsidP="00593536"/>
    <w:p w14:paraId="3DFE80C9" w14:textId="0A18C39E" w:rsidR="000A7712" w:rsidRPr="002062ED" w:rsidRDefault="000A7712" w:rsidP="00593536">
      <w:pPr>
        <w:rPr>
          <w:b/>
        </w:rPr>
      </w:pPr>
      <w:r w:rsidRPr="002062ED">
        <w:rPr>
          <w:b/>
        </w:rPr>
        <w:t>Instrument</w:t>
      </w:r>
    </w:p>
    <w:p w14:paraId="62F0B218" w14:textId="77777777" w:rsidR="00B446A2" w:rsidRDefault="00B446A2" w:rsidP="00593536">
      <w:r>
        <w:t>Section 1 of the instrument sets out the name of the instrument.</w:t>
      </w:r>
    </w:p>
    <w:p w14:paraId="4768EE10" w14:textId="77777777" w:rsidR="00622FD1" w:rsidRDefault="00622FD1" w:rsidP="00593536"/>
    <w:p w14:paraId="1193AEBC" w14:textId="77777777" w:rsidR="00B446A2" w:rsidRDefault="00B446A2" w:rsidP="00593536">
      <w:r>
        <w:t>Section 2 of the instrument sets out the duration of the instrument.</w:t>
      </w:r>
    </w:p>
    <w:p w14:paraId="4F676ABA" w14:textId="77777777" w:rsidR="00622FD1" w:rsidRDefault="00622FD1" w:rsidP="00593536"/>
    <w:p w14:paraId="51AE60B9" w14:textId="77777777" w:rsidR="008E3621" w:rsidRDefault="00B446A2" w:rsidP="00593536">
      <w:r>
        <w:t xml:space="preserve">Section </w:t>
      </w:r>
      <w:r w:rsidR="008162BD">
        <w:t>3 of the instrume</w:t>
      </w:r>
      <w:r w:rsidR="00491E69">
        <w:t xml:space="preserve">nt sets out a definition of </w:t>
      </w:r>
      <w:r w:rsidR="00491E69" w:rsidRPr="00622FD1">
        <w:rPr>
          <w:b/>
          <w:bCs/>
          <w:i/>
          <w:iCs/>
        </w:rPr>
        <w:t>maintenance control manual</w:t>
      </w:r>
      <w:r w:rsidR="00491E69">
        <w:rPr>
          <w:i/>
          <w:iCs/>
        </w:rPr>
        <w:t xml:space="preserve"> </w:t>
      </w:r>
      <w:r w:rsidR="008E3621">
        <w:t>for the instrument. This term has the same meaning as in regulation 42ZY of CAR.</w:t>
      </w:r>
    </w:p>
    <w:p w14:paraId="7D0B692B" w14:textId="77777777" w:rsidR="008E3621" w:rsidRDefault="008E3621" w:rsidP="00593536"/>
    <w:p w14:paraId="679F7017" w14:textId="5E29C944" w:rsidR="000A7712" w:rsidRDefault="006D77FC" w:rsidP="00593536">
      <w:r>
        <w:t>Section 4 of t</w:t>
      </w:r>
      <w:r w:rsidR="00B11DDB">
        <w:t xml:space="preserve">he instrument </w:t>
      </w:r>
      <w:r w:rsidR="000A7712" w:rsidRPr="002062ED">
        <w:t xml:space="preserve">exempts the owner, operator and pilot in command of a </w:t>
      </w:r>
      <w:r w:rsidR="008E642D">
        <w:t>c</w:t>
      </w:r>
      <w:r w:rsidR="000A7712" w:rsidRPr="002062ED">
        <w:t>lass</w:t>
      </w:r>
      <w:r w:rsidR="005C7284">
        <w:t> </w:t>
      </w:r>
      <w:r w:rsidR="000A7712" w:rsidRPr="002062ED">
        <w:t>A aircraft from the specific time</w:t>
      </w:r>
      <w:r w:rsidR="005C7284">
        <w:noBreakHyphen/>
      </w:r>
      <w:r w:rsidR="000A7712" w:rsidRPr="002062ED">
        <w:t>in</w:t>
      </w:r>
      <w:r w:rsidR="005C7284">
        <w:noBreakHyphen/>
      </w:r>
      <w:r w:rsidR="000A7712" w:rsidRPr="002062ED">
        <w:t xml:space="preserve">service recording requirements of </w:t>
      </w:r>
      <w:r w:rsidR="008E642D">
        <w:t>sub</w:t>
      </w:r>
      <w:r w:rsidR="000A7712" w:rsidRPr="002062ED">
        <w:t>regulation</w:t>
      </w:r>
      <w:r w:rsidR="006E137E" w:rsidRPr="002062ED">
        <w:t> </w:t>
      </w:r>
      <w:r w:rsidR="000A7712" w:rsidRPr="002062ED">
        <w:t>43B</w:t>
      </w:r>
      <w:r w:rsidR="008E642D">
        <w:t>(1)</w:t>
      </w:r>
      <w:r w:rsidR="000A7712" w:rsidRPr="002062ED">
        <w:t xml:space="preserve"> of CAR.</w:t>
      </w:r>
    </w:p>
    <w:p w14:paraId="6A9C10B9" w14:textId="77777777" w:rsidR="00593536" w:rsidRPr="002062ED" w:rsidRDefault="00593536" w:rsidP="00593536"/>
    <w:p w14:paraId="2F67528A" w14:textId="5370D70D" w:rsidR="006D77FC" w:rsidRDefault="006D77FC" w:rsidP="00593536">
      <w:r>
        <w:t>Subsection 5(1) of the instrument imposes a c</w:t>
      </w:r>
      <w:r w:rsidR="0096401F">
        <w:t xml:space="preserve">ondition on the </w:t>
      </w:r>
      <w:r w:rsidR="000A7712" w:rsidRPr="002062ED">
        <w:t xml:space="preserve">exemption </w:t>
      </w:r>
      <w:r>
        <w:t xml:space="preserve">that </w:t>
      </w:r>
      <w:r w:rsidR="0096401F">
        <w:t>require</w:t>
      </w:r>
      <w:r>
        <w:t>s</w:t>
      </w:r>
      <w:r w:rsidR="0096401F">
        <w:t xml:space="preserve"> t</w:t>
      </w:r>
      <w:r w:rsidR="000A7712" w:rsidRPr="002062ED">
        <w:t xml:space="preserve">he operator of the aircraft </w:t>
      </w:r>
      <w:r w:rsidR="0096401F">
        <w:t xml:space="preserve">to include, in its maintenance control manual, procedures </w:t>
      </w:r>
      <w:r>
        <w:t xml:space="preserve">relating to </w:t>
      </w:r>
      <w:r w:rsidR="0096401F">
        <w:t>the recording of the time-in-service of a class A aircraft. The procedures must be sufficient to</w:t>
      </w:r>
      <w:r w:rsidR="0017051F">
        <w:t xml:space="preserve"> </w:t>
      </w:r>
      <w:r w:rsidR="0096401F">
        <w:t>ensure that the continuing</w:t>
      </w:r>
      <w:r w:rsidR="000A7712" w:rsidRPr="002062ED">
        <w:t xml:space="preserve"> airworthiness requirements of the aircraft</w:t>
      </w:r>
      <w:r>
        <w:t xml:space="preserve"> are met, and the time</w:t>
      </w:r>
      <w:r w:rsidR="00D04218">
        <w:noBreakHyphen/>
      </w:r>
      <w:r>
        <w:t>in</w:t>
      </w:r>
      <w:r w:rsidR="00D04218">
        <w:noBreakHyphen/>
      </w:r>
      <w:r>
        <w:t xml:space="preserve">service information </w:t>
      </w:r>
      <w:r w:rsidR="0041575E">
        <w:t>is kept up</w:t>
      </w:r>
      <w:r w:rsidR="008E642D">
        <w:t xml:space="preserve"> </w:t>
      </w:r>
      <w:r w:rsidR="0041575E">
        <w:t>to</w:t>
      </w:r>
      <w:r w:rsidR="008E642D">
        <w:t xml:space="preserve"> </w:t>
      </w:r>
      <w:r w:rsidR="0041575E">
        <w:t>date</w:t>
      </w:r>
      <w:r w:rsidR="000A7712" w:rsidRPr="002062ED">
        <w:t>.</w:t>
      </w:r>
    </w:p>
    <w:p w14:paraId="1A64B98D" w14:textId="77777777" w:rsidR="006D77FC" w:rsidRDefault="006D77FC" w:rsidP="00593536"/>
    <w:p w14:paraId="5E29D02C" w14:textId="5CE95A5F" w:rsidR="000A7712" w:rsidRDefault="006D77FC" w:rsidP="00593536">
      <w:r>
        <w:t xml:space="preserve">Subsection 5(2) of the instrument imposes a condition on the </w:t>
      </w:r>
      <w:r w:rsidRPr="002062ED">
        <w:t xml:space="preserve">exemption </w:t>
      </w:r>
      <w:r>
        <w:t xml:space="preserve">that requires </w:t>
      </w:r>
      <w:r w:rsidR="00CD0AF4">
        <w:t>the</w:t>
      </w:r>
      <w:r>
        <w:t xml:space="preserve"> </w:t>
      </w:r>
      <w:r w:rsidR="00BB6B02">
        <w:t>operator</w:t>
      </w:r>
      <w:r>
        <w:t xml:space="preserve"> </w:t>
      </w:r>
      <w:r w:rsidR="00CD0AF4">
        <w:t xml:space="preserve">of the </w:t>
      </w:r>
      <w:r>
        <w:t>aircraft to ensure that, at the completion of flying operations on each day that the aircraft is flown, time</w:t>
      </w:r>
      <w:r w:rsidR="00D04218">
        <w:noBreakHyphen/>
      </w:r>
      <w:r>
        <w:t>in</w:t>
      </w:r>
      <w:r w:rsidR="00D04218">
        <w:noBreakHyphen/>
      </w:r>
      <w:r>
        <w:t>service information for the aircraft is recorded in accordance with the procedures required under subsection (1).</w:t>
      </w:r>
    </w:p>
    <w:p w14:paraId="05241024" w14:textId="77777777" w:rsidR="00593536" w:rsidRPr="002062ED" w:rsidRDefault="00593536" w:rsidP="00593536"/>
    <w:p w14:paraId="33A616BF" w14:textId="02E3EC37" w:rsidR="000A7712" w:rsidRDefault="000A7712" w:rsidP="00593536">
      <w:r w:rsidRPr="002062ED">
        <w:t xml:space="preserve">CASA </w:t>
      </w:r>
      <w:r w:rsidR="005C1D44">
        <w:t>has assessed the impact the instrumen</w:t>
      </w:r>
      <w:r w:rsidR="00150F70">
        <w:t>t</w:t>
      </w:r>
      <w:r w:rsidR="005C1D44">
        <w:t xml:space="preserve"> will have on aviation safety and </w:t>
      </w:r>
      <w:r w:rsidRPr="002062ED">
        <w:t>consider</w:t>
      </w:r>
      <w:r w:rsidR="0096401F">
        <w:t>s</w:t>
      </w:r>
      <w:r w:rsidRPr="002062ED">
        <w:t xml:space="preserve"> that the exemption will </w:t>
      </w:r>
      <w:r w:rsidR="0096401F">
        <w:t>preserve a level of safety that is at least acceptable</w:t>
      </w:r>
      <w:r w:rsidR="00150F70">
        <w:t>.</w:t>
      </w:r>
    </w:p>
    <w:p w14:paraId="225B9E2B" w14:textId="6C885A2A" w:rsidR="00A37253" w:rsidRDefault="00A37253" w:rsidP="00593536"/>
    <w:p w14:paraId="2E816F9E" w14:textId="4F8090F6" w:rsidR="00A37253" w:rsidRPr="002043D8" w:rsidRDefault="00A37253" w:rsidP="00A37253">
      <w:pPr>
        <w:keepNext/>
        <w:rPr>
          <w:b/>
          <w:bCs/>
          <w:lang w:eastAsia="en-AU"/>
        </w:rPr>
      </w:pPr>
      <w:r w:rsidRPr="002043D8">
        <w:rPr>
          <w:b/>
          <w:bCs/>
          <w:lang w:eastAsia="en-AU"/>
        </w:rPr>
        <w:lastRenderedPageBreak/>
        <w:t>Incorporation by reference</w:t>
      </w:r>
    </w:p>
    <w:p w14:paraId="5C6C075A" w14:textId="6822437F" w:rsidR="00A37253" w:rsidRDefault="00A37253" w:rsidP="00A37253">
      <w:r>
        <w:t xml:space="preserve">Under subsection 14(1) of the </w:t>
      </w:r>
      <w:r>
        <w:rPr>
          <w:i/>
          <w:iCs/>
        </w:rPr>
        <w:t>Legislation Act 2003</w:t>
      </w:r>
      <w:r>
        <w:t xml:space="preserve"> (the </w:t>
      </w:r>
      <w:r>
        <w:rPr>
          <w:b/>
          <w:bCs/>
          <w:i/>
          <w:iCs/>
        </w:rPr>
        <w:t>LA</w:t>
      </w:r>
      <w:r>
        <w:t>), a legislative instrument may make provision in relation to matters by applying, adopting or incorporating provisions of an Act or disallowable legislative instrument as in force at a particular time or as in force from time to time. A legislative instrument may also make provision in relation to matters by applying, adopting or incorporating any matter contained in any other instrument or writing as in force at, or before, the time the legislative instrument commences. Under subsection 14(2) of the LA, unless the contrary intention appears, the legislative instrument may not make provision in relation to a matter by applying, adopting or incorporating any matter contained in an instrument or other writing as in force or existing from time to time. However, subsection 98(5D) of the Act provides that, despite section 14 of the LA, a legislative instrument made under the Act or the regulations may apply, adopt or incorporate any matter contained in any instrument or other writing as in force or existing from time to time, even if the other instrument or writing (including a non-legislative instrument) does not yet exist when the legislative instrument is made.</w:t>
      </w:r>
    </w:p>
    <w:p w14:paraId="3762FD09" w14:textId="77777777" w:rsidR="00A37253" w:rsidRDefault="00A37253" w:rsidP="00A37253">
      <w:pPr>
        <w:rPr>
          <w:lang w:eastAsia="en-AU"/>
        </w:rPr>
      </w:pPr>
    </w:p>
    <w:p w14:paraId="0EA686FA" w14:textId="450AAEA3" w:rsidR="00A37253" w:rsidRPr="006478C6" w:rsidRDefault="00A37253" w:rsidP="006478C6">
      <w:r>
        <w:t>In accordance with paragraph 15J(2)(c) of the LA</w:t>
      </w:r>
      <w:r w:rsidRPr="00DB5ADC">
        <w:t xml:space="preserve">, the </w:t>
      </w:r>
      <w:r w:rsidR="00DB5ADC" w:rsidRPr="00DB5ADC">
        <w:t>instrument</w:t>
      </w:r>
      <w:r w:rsidR="00DB5ADC">
        <w:t xml:space="preserve"> </w:t>
      </w:r>
      <w:r>
        <w:t xml:space="preserve">incorporates an aircraft operator’s </w:t>
      </w:r>
      <w:r w:rsidR="00BC4334">
        <w:t>maintenance control</w:t>
      </w:r>
      <w:r>
        <w:t xml:space="preserve"> manual. </w:t>
      </w:r>
      <w:r w:rsidRPr="006478C6">
        <w:t xml:space="preserve">In accordance with subsection 98(5D) of the Act, </w:t>
      </w:r>
      <w:r w:rsidR="00BC4334" w:rsidRPr="006478C6">
        <w:t>this</w:t>
      </w:r>
      <w:r w:rsidRPr="006478C6">
        <w:t xml:space="preserve"> manual is incorporated as it exists from time to time. The manual is developed by a specific operator to outline their operations and compliance with applicable legislation. As such, a manual is commercial in confidence and therefore not freely available. CASA does not consider it necessary to make </w:t>
      </w:r>
      <w:r w:rsidR="00BC4334" w:rsidRPr="006478C6">
        <w:t xml:space="preserve">the </w:t>
      </w:r>
      <w:r w:rsidRPr="006478C6">
        <w:t>operator’s manual publicly available as each operator will have access to their manual as necessary for compliance with the instrument. The operator makes their manual available to their operating personnel.</w:t>
      </w:r>
    </w:p>
    <w:p w14:paraId="05C368B2" w14:textId="77777777" w:rsidR="00593536" w:rsidRPr="002062ED" w:rsidRDefault="00593536" w:rsidP="00593536"/>
    <w:p w14:paraId="349416D5" w14:textId="1092558B" w:rsidR="000A7712" w:rsidRPr="00790CBB" w:rsidRDefault="000A7712" w:rsidP="00593536">
      <w:pPr>
        <w:rPr>
          <w:b/>
          <w:i/>
        </w:rPr>
      </w:pPr>
      <w:r w:rsidRPr="00790CBB">
        <w:rPr>
          <w:b/>
          <w:i/>
        </w:rPr>
        <w:t>Legislati</w:t>
      </w:r>
      <w:r w:rsidR="006D77FC">
        <w:rPr>
          <w:b/>
          <w:i/>
        </w:rPr>
        <w:t>on</w:t>
      </w:r>
      <w:r w:rsidRPr="00790CBB">
        <w:rPr>
          <w:b/>
          <w:i/>
        </w:rPr>
        <w:t xml:space="preserve"> Act</w:t>
      </w:r>
      <w:r w:rsidR="00790CBB" w:rsidRPr="00790CBB">
        <w:rPr>
          <w:b/>
          <w:i/>
        </w:rPr>
        <w:t xml:space="preserve"> 2003</w:t>
      </w:r>
    </w:p>
    <w:p w14:paraId="303CBCA0" w14:textId="764B9289" w:rsidR="0041575E" w:rsidRDefault="0041575E" w:rsidP="00593536">
      <w:pPr>
        <w:rPr>
          <w:iCs/>
        </w:rPr>
      </w:pPr>
      <w:r w:rsidRPr="0041575E">
        <w:t>For subsection 98(5A) of the Act, CASA may, by instrument, grant an exemption from compliance with a provision of the regulations. An instrument issued under paragraph</w:t>
      </w:r>
      <w:r w:rsidR="00041513">
        <w:t> </w:t>
      </w:r>
      <w:r w:rsidRPr="0041575E">
        <w:t xml:space="preserve">98(5A)(a) of the Act is a legislative instrument if the instrument is expressed to apply to a class of persons or aircraft. The exemption applies to </w:t>
      </w:r>
      <w:r w:rsidR="00B11DDB">
        <w:t>a class of persons</w:t>
      </w:r>
      <w:r w:rsidR="00D41B77">
        <w:t xml:space="preserve">, in respect of </w:t>
      </w:r>
      <w:r w:rsidR="00D41B77" w:rsidRPr="0041575E">
        <w:t>a class of aircraft</w:t>
      </w:r>
      <w:r w:rsidRPr="0041575E">
        <w:t xml:space="preserve">. The exemption is, therefore, a legislative instrument and is </w:t>
      </w:r>
      <w:r w:rsidRPr="0041575E">
        <w:rPr>
          <w:iCs/>
        </w:rPr>
        <w:t xml:space="preserve">subject to tabling and disallowance in the Parliament under sections 38 and 42 of </w:t>
      </w:r>
      <w:r w:rsidRPr="0007121D">
        <w:rPr>
          <w:iCs/>
        </w:rPr>
        <w:t>the LA.</w:t>
      </w:r>
    </w:p>
    <w:p w14:paraId="02B79DE6" w14:textId="59313A06" w:rsidR="00C3157D" w:rsidRDefault="00C3157D" w:rsidP="00593536">
      <w:pPr>
        <w:rPr>
          <w:iCs/>
        </w:rPr>
      </w:pPr>
    </w:p>
    <w:p w14:paraId="745D1CE2" w14:textId="630F39F7" w:rsidR="00AD4FFF" w:rsidRPr="00AD4FFF" w:rsidRDefault="00AD4FFF" w:rsidP="00593536">
      <w:pPr>
        <w:rPr>
          <w:b/>
          <w:bCs/>
          <w:iCs/>
        </w:rPr>
      </w:pPr>
      <w:r w:rsidRPr="00AD4FFF">
        <w:rPr>
          <w:b/>
          <w:bCs/>
          <w:iCs/>
        </w:rPr>
        <w:t>Sunsetting</w:t>
      </w:r>
    </w:p>
    <w:p w14:paraId="1C7ED0E3" w14:textId="2C664FA9" w:rsidR="00C3157D" w:rsidRPr="00C3157D" w:rsidRDefault="00C3157D" w:rsidP="00C3157D">
      <w:pPr>
        <w:rPr>
          <w:color w:val="000000"/>
          <w:lang w:val="en-US"/>
        </w:rPr>
      </w:pPr>
      <w:r w:rsidRPr="00C3157D">
        <w:rPr>
          <w:color w:val="000000"/>
          <w:lang w:val="en-US"/>
        </w:rPr>
        <w:t>As the instrument relates to aviation safety and is made under CASR, Part</w:t>
      </w:r>
      <w:r w:rsidR="00D04218">
        <w:rPr>
          <w:color w:val="000000"/>
          <w:lang w:val="en-US"/>
        </w:rPr>
        <w:t> </w:t>
      </w:r>
      <w:r w:rsidRPr="00C3157D">
        <w:rPr>
          <w:color w:val="000000"/>
          <w:lang w:val="en-US"/>
        </w:rPr>
        <w:t>4 of Chapter</w:t>
      </w:r>
      <w:r w:rsidR="00D04218">
        <w:rPr>
          <w:color w:val="000000"/>
          <w:lang w:val="en-US"/>
        </w:rPr>
        <w:t> </w:t>
      </w:r>
      <w:r w:rsidRPr="00C3157D">
        <w:rPr>
          <w:color w:val="000000"/>
          <w:lang w:val="en-US"/>
        </w:rPr>
        <w:t xml:space="preserve">3 of the LA (the </w:t>
      </w:r>
      <w:r w:rsidRPr="00C3157D">
        <w:rPr>
          <w:b/>
          <w:bCs/>
          <w:i/>
          <w:iCs/>
          <w:color w:val="000000"/>
          <w:lang w:val="en-US"/>
        </w:rPr>
        <w:t>sunsetting provisions</w:t>
      </w:r>
      <w:r w:rsidRPr="00C3157D">
        <w:rPr>
          <w:color w:val="000000"/>
          <w:lang w:val="en-US"/>
        </w:rPr>
        <w:t>) does not apply to the instrument (item</w:t>
      </w:r>
      <w:r w:rsidR="00D04218">
        <w:rPr>
          <w:color w:val="000000"/>
          <w:lang w:val="en-US"/>
        </w:rPr>
        <w:t> </w:t>
      </w:r>
      <w:r w:rsidRPr="00C3157D">
        <w:rPr>
          <w:color w:val="000000"/>
          <w:lang w:val="en-US"/>
        </w:rPr>
        <w:t xml:space="preserve">15 of the table in section 12 of the </w:t>
      </w:r>
      <w:r w:rsidRPr="00C3157D">
        <w:rPr>
          <w:i/>
          <w:iCs/>
          <w:color w:val="000000"/>
          <w:lang w:val="en-US"/>
        </w:rPr>
        <w:t>Legislation (Exemptions and Other Matters) Regulation 2015</w:t>
      </w:r>
      <w:r w:rsidRPr="00C3157D">
        <w:rPr>
          <w:color w:val="000000"/>
          <w:lang w:val="en-US"/>
        </w:rPr>
        <w:t>).</w:t>
      </w:r>
    </w:p>
    <w:p w14:paraId="4820604B" w14:textId="77777777" w:rsidR="00C3157D" w:rsidRPr="00C3157D" w:rsidRDefault="00C3157D" w:rsidP="00C3157D">
      <w:pPr>
        <w:rPr>
          <w:rFonts w:ascii="Arial" w:hAnsi="Arial" w:cs="Arial"/>
          <w:i/>
          <w:color w:val="000000"/>
          <w:sz w:val="22"/>
          <w:szCs w:val="22"/>
          <w:lang w:val="en-US"/>
        </w:rPr>
      </w:pPr>
    </w:p>
    <w:p w14:paraId="1D1AF032" w14:textId="613A789B" w:rsidR="00C3157D" w:rsidRPr="00C3157D" w:rsidRDefault="00C3157D" w:rsidP="00C3157D">
      <w:pPr>
        <w:rPr>
          <w:color w:val="000000"/>
          <w:lang w:val="en-US"/>
        </w:rPr>
      </w:pPr>
      <w:r w:rsidRPr="00C3157D">
        <w:rPr>
          <w:color w:val="000000"/>
          <w:lang w:val="en-US"/>
        </w:rPr>
        <w:t>This instrument will be repealed at the end of 3</w:t>
      </w:r>
      <w:r w:rsidR="00397934">
        <w:rPr>
          <w:color w:val="000000"/>
          <w:lang w:val="en-US"/>
        </w:rPr>
        <w:t>1 October 202</w:t>
      </w:r>
      <w:r w:rsidR="00751725">
        <w:rPr>
          <w:color w:val="000000"/>
          <w:lang w:val="en-US"/>
        </w:rPr>
        <w:t>7</w:t>
      </w:r>
      <w:r w:rsidRPr="00C3157D">
        <w:rPr>
          <w:color w:val="000000"/>
          <w:lang w:val="en-US"/>
        </w:rPr>
        <w:t xml:space="preserve">, which will occur before the sunsetting provisions would have repealed the instrument if they had applied. </w:t>
      </w:r>
      <w:r w:rsidR="00041513">
        <w:rPr>
          <w:color w:val="000000"/>
          <w:lang w:val="en-US"/>
        </w:rPr>
        <w:t>Any renewal of t</w:t>
      </w:r>
      <w:r w:rsidR="00A30527">
        <w:rPr>
          <w:color w:val="000000"/>
          <w:lang w:val="en-US"/>
        </w:rPr>
        <w:t>he instrument</w:t>
      </w:r>
      <w:r w:rsidRPr="00C3157D">
        <w:rPr>
          <w:color w:val="000000"/>
          <w:lang w:val="en-US"/>
        </w:rPr>
        <w:t xml:space="preserve"> will be </w:t>
      </w:r>
      <w:r w:rsidRPr="00C3157D">
        <w:rPr>
          <w:iCs/>
          <w:color w:val="000000"/>
          <w:lang w:val="en-US"/>
        </w:rPr>
        <w:t>subject to tabling and disallowance in the Parliament under sections 38 and 42 of the LA.</w:t>
      </w:r>
      <w:r w:rsidRPr="00C3157D">
        <w:rPr>
          <w:color w:val="000000"/>
          <w:lang w:val="en-US"/>
        </w:rPr>
        <w:t xml:space="preserve"> The</w:t>
      </w:r>
      <w:r w:rsidR="00041513">
        <w:rPr>
          <w:color w:val="000000"/>
          <w:lang w:val="en-US"/>
        </w:rPr>
        <w:t>refore,</w:t>
      </w:r>
      <w:r w:rsidR="00772B4C">
        <w:rPr>
          <w:color w:val="000000"/>
          <w:lang w:val="en-US"/>
        </w:rPr>
        <w:t xml:space="preserve"> the</w:t>
      </w:r>
      <w:r w:rsidRPr="00C3157D">
        <w:rPr>
          <w:color w:val="000000"/>
          <w:lang w:val="en-US"/>
        </w:rPr>
        <w:t xml:space="preserve"> exemption from sunsetting does not affect parliamentary oversight of this instrument.</w:t>
      </w:r>
    </w:p>
    <w:p w14:paraId="508BDE3C" w14:textId="77777777" w:rsidR="00C3157D" w:rsidRDefault="00C3157D" w:rsidP="00593536">
      <w:pPr>
        <w:rPr>
          <w:iCs/>
        </w:rPr>
      </w:pPr>
    </w:p>
    <w:p w14:paraId="251D1866" w14:textId="77777777" w:rsidR="009B5E44" w:rsidRPr="009B5E44" w:rsidRDefault="009B5E44" w:rsidP="009B5E44">
      <w:pPr>
        <w:keepNext/>
        <w:rPr>
          <w:rFonts w:eastAsia="Calibri"/>
          <w:b/>
          <w:bCs/>
          <w:lang w:eastAsia="en-AU"/>
        </w:rPr>
      </w:pPr>
      <w:r w:rsidRPr="009B5E44">
        <w:rPr>
          <w:rFonts w:eastAsia="Calibri"/>
          <w:b/>
          <w:bCs/>
          <w:lang w:eastAsia="en-AU"/>
        </w:rPr>
        <w:t>Consultation</w:t>
      </w:r>
    </w:p>
    <w:p w14:paraId="1494A84C" w14:textId="09707F25" w:rsidR="00D41B77" w:rsidRDefault="009B5E44" w:rsidP="00D41B77">
      <w:r w:rsidRPr="009B5E44">
        <w:rPr>
          <w:rFonts w:eastAsia="Calibri"/>
          <w:lang w:eastAsia="en-AU"/>
        </w:rPr>
        <w:t>Consultation under section 17 of the LA has not been undertaken in this case. The</w:t>
      </w:r>
      <w:r w:rsidR="001C4930">
        <w:rPr>
          <w:rFonts w:eastAsia="Calibri"/>
          <w:lang w:eastAsia="en-AU"/>
        </w:rPr>
        <w:t xml:space="preserve">re have been similar instruments on this subject, most recently </w:t>
      </w:r>
      <w:r w:rsidRPr="009B5E44">
        <w:rPr>
          <w:rFonts w:eastAsia="Calibri"/>
          <w:lang w:eastAsia="en-AU"/>
        </w:rPr>
        <w:t>CASA EX</w:t>
      </w:r>
      <w:r w:rsidR="001C4930">
        <w:rPr>
          <w:rFonts w:eastAsia="Calibri"/>
          <w:lang w:eastAsia="en-AU"/>
        </w:rPr>
        <w:t>141/21.</w:t>
      </w:r>
      <w:r w:rsidR="00D41B77">
        <w:rPr>
          <w:rFonts w:eastAsia="Calibri"/>
          <w:lang w:eastAsia="en-AU"/>
        </w:rPr>
        <w:t xml:space="preserve"> Previous instruments have been </w:t>
      </w:r>
      <w:r w:rsidRPr="009B5E44">
        <w:rPr>
          <w:rFonts w:eastAsia="Calibri"/>
          <w:lang w:eastAsia="en-AU"/>
        </w:rPr>
        <w:t xml:space="preserve">widely accepted </w:t>
      </w:r>
      <w:r w:rsidR="00D41B77">
        <w:rPr>
          <w:rFonts w:eastAsia="Calibri"/>
          <w:lang w:eastAsia="en-AU"/>
        </w:rPr>
        <w:t>by owners, operators and pilots in command of class</w:t>
      </w:r>
      <w:r w:rsidR="00D04218">
        <w:rPr>
          <w:rFonts w:eastAsia="Calibri"/>
          <w:lang w:eastAsia="en-AU"/>
        </w:rPr>
        <w:t> </w:t>
      </w:r>
      <w:r w:rsidR="00D41B77">
        <w:rPr>
          <w:rFonts w:eastAsia="Calibri"/>
          <w:lang w:eastAsia="en-AU"/>
        </w:rPr>
        <w:t xml:space="preserve">A aircraft and have not been the subject of </w:t>
      </w:r>
      <w:r w:rsidR="00D41B77">
        <w:t>adverse feedback</w:t>
      </w:r>
      <w:r w:rsidR="00D41B77">
        <w:rPr>
          <w:rFonts w:eastAsia="Calibri"/>
          <w:lang w:eastAsia="en-AU"/>
        </w:rPr>
        <w:t xml:space="preserve">. </w:t>
      </w:r>
      <w:r w:rsidR="00D41B77" w:rsidRPr="00677A84">
        <w:t xml:space="preserve">The </w:t>
      </w:r>
      <w:r w:rsidR="00D41B77">
        <w:t xml:space="preserve">original </w:t>
      </w:r>
      <w:r w:rsidR="00D41B77" w:rsidRPr="00677A84">
        <w:t xml:space="preserve">instrument </w:t>
      </w:r>
      <w:r w:rsidR="00D41B77">
        <w:t xml:space="preserve">of this kind was requested by industry, and the instrument remains beneficial to industry by </w:t>
      </w:r>
      <w:r w:rsidR="00D41B77">
        <w:lastRenderedPageBreak/>
        <w:t>providing more flexibility to record time</w:t>
      </w:r>
      <w:r w:rsidR="008E642D">
        <w:noBreakHyphen/>
      </w:r>
      <w:r w:rsidR="00D41B77">
        <w:t>in</w:t>
      </w:r>
      <w:r w:rsidR="008E642D">
        <w:noBreakHyphen/>
      </w:r>
      <w:r w:rsidR="00D41B77">
        <w:t xml:space="preserve">service for class A aircraft other than on the maintenance release as required under </w:t>
      </w:r>
      <w:r w:rsidR="008E642D">
        <w:t>sub</w:t>
      </w:r>
      <w:r w:rsidR="00D41B77">
        <w:t>regulation</w:t>
      </w:r>
      <w:r w:rsidR="008E642D">
        <w:t> </w:t>
      </w:r>
      <w:r w:rsidR="00D41B77">
        <w:t>43B</w:t>
      </w:r>
      <w:r w:rsidR="008E642D">
        <w:t>(1)</w:t>
      </w:r>
      <w:r w:rsidR="00C00B0E">
        <w:t xml:space="preserve"> </w:t>
      </w:r>
      <w:r w:rsidR="00D41B77">
        <w:t>of CAR.</w:t>
      </w:r>
    </w:p>
    <w:p w14:paraId="4B24D0AF" w14:textId="77777777" w:rsidR="00D41B77" w:rsidRDefault="00D41B77" w:rsidP="00D41B77"/>
    <w:p w14:paraId="3DAB7F6A" w14:textId="12ED8ECF" w:rsidR="00A30527" w:rsidRDefault="006A2677" w:rsidP="00A30527">
      <w:r>
        <w:t xml:space="preserve">CASA has been unable to </w:t>
      </w:r>
      <w:r w:rsidR="00A30527">
        <w:t xml:space="preserve">progress </w:t>
      </w:r>
      <w:r w:rsidR="00A30527" w:rsidRPr="00CF31B0">
        <w:t xml:space="preserve">amendments </w:t>
      </w:r>
      <w:r w:rsidR="00A30527">
        <w:t xml:space="preserve">to CAR </w:t>
      </w:r>
      <w:r>
        <w:t xml:space="preserve">to render the exemption unnecessary due to other legislative priorities. </w:t>
      </w:r>
      <w:r w:rsidR="00A30527">
        <w:t>However, the aviation industry has continued to operate satisfactorily under the terms of the iterations of the exemption.</w:t>
      </w:r>
    </w:p>
    <w:p w14:paraId="4CFC2BF8" w14:textId="77777777" w:rsidR="00D41B77" w:rsidRPr="0041575E" w:rsidRDefault="00D41B77" w:rsidP="00D41B77">
      <w:pPr>
        <w:rPr>
          <w:iCs/>
        </w:rPr>
      </w:pPr>
    </w:p>
    <w:p w14:paraId="6C94E254" w14:textId="3AC7E2E2" w:rsidR="00D41B77" w:rsidRDefault="00D41B77" w:rsidP="00D41B77">
      <w:r>
        <w:t xml:space="preserve">In these circumstances CASA is satisfied that no </w:t>
      </w:r>
      <w:r w:rsidR="00772B4C">
        <w:t xml:space="preserve">further </w:t>
      </w:r>
      <w:r>
        <w:t>consultation is appropriate or necessary for this instrument for section 17 of the LA.</w:t>
      </w:r>
    </w:p>
    <w:p w14:paraId="26BB9F30" w14:textId="2D3D1929" w:rsidR="00D41B77" w:rsidRDefault="00D41B77" w:rsidP="00D41B77"/>
    <w:p w14:paraId="779EA58A" w14:textId="77777777" w:rsidR="00C3157D" w:rsidRPr="00C3157D" w:rsidRDefault="00C3157D" w:rsidP="00C3157D">
      <w:pPr>
        <w:keepNext/>
        <w:rPr>
          <w:rFonts w:eastAsia="Calibri"/>
          <w:b/>
          <w:bCs/>
          <w:color w:val="000000" w:themeColor="text1"/>
        </w:rPr>
      </w:pPr>
      <w:r w:rsidRPr="00C3157D">
        <w:rPr>
          <w:rFonts w:eastAsia="Calibri"/>
          <w:b/>
          <w:bCs/>
          <w:color w:val="000000" w:themeColor="text1"/>
        </w:rPr>
        <w:t>Sector risk, economic and cost impact</w:t>
      </w:r>
    </w:p>
    <w:p w14:paraId="1C418FD4" w14:textId="5A9519E3" w:rsidR="00C3157D" w:rsidRPr="00C3157D" w:rsidRDefault="00C3157D" w:rsidP="005A14F5">
      <w:pPr>
        <w:spacing w:after="60"/>
        <w:rPr>
          <w:rFonts w:eastAsia="Calibri"/>
          <w:color w:val="000000" w:themeColor="text1"/>
        </w:rPr>
      </w:pPr>
      <w:r w:rsidRPr="00C3157D">
        <w:rPr>
          <w:rFonts w:eastAsia="Calibri"/>
          <w:color w:val="000000" w:themeColor="text1"/>
        </w:rPr>
        <w:t>Subsection 9A(1) of the Act states that, in exercising its powers and performing its functions, CASA must regard the safety of air navigation as the most important consideration. Subsection 9A(3) of the Act states that, subject to subsection (1), in developing and promulgating aviation safety standards under paragraph 9(1)(c), CASA must:</w:t>
      </w:r>
    </w:p>
    <w:p w14:paraId="1A3772B0" w14:textId="77777777" w:rsidR="00C3157D" w:rsidRPr="00C3157D" w:rsidRDefault="00C3157D" w:rsidP="00C3157D">
      <w:pPr>
        <w:tabs>
          <w:tab w:val="right" w:pos="567"/>
          <w:tab w:val="left" w:pos="1191"/>
        </w:tabs>
        <w:spacing w:before="60" w:after="60"/>
        <w:ind w:left="454" w:hanging="454"/>
        <w:rPr>
          <w:color w:val="000000" w:themeColor="text1"/>
        </w:rPr>
      </w:pPr>
      <w:r w:rsidRPr="00C3157D">
        <w:rPr>
          <w:color w:val="000000" w:themeColor="text1"/>
        </w:rPr>
        <w:t>(a)</w:t>
      </w:r>
      <w:r w:rsidRPr="00C3157D">
        <w:rPr>
          <w:color w:val="000000" w:themeColor="text1"/>
        </w:rPr>
        <w:tab/>
        <w:t>consider the economic and cost impact on individuals, businesses and the community of the standards; and</w:t>
      </w:r>
    </w:p>
    <w:p w14:paraId="5C378607" w14:textId="77777777" w:rsidR="00C3157D" w:rsidRPr="00C3157D" w:rsidRDefault="00C3157D" w:rsidP="005A14F5">
      <w:pPr>
        <w:tabs>
          <w:tab w:val="right" w:pos="567"/>
          <w:tab w:val="left" w:pos="1191"/>
        </w:tabs>
        <w:spacing w:before="60"/>
        <w:ind w:left="454" w:hanging="454"/>
        <w:rPr>
          <w:color w:val="000000" w:themeColor="text1"/>
        </w:rPr>
      </w:pPr>
      <w:r w:rsidRPr="00C3157D">
        <w:rPr>
          <w:color w:val="000000" w:themeColor="text1"/>
        </w:rPr>
        <w:t>(b)</w:t>
      </w:r>
      <w:r w:rsidRPr="00C3157D">
        <w:rPr>
          <w:color w:val="000000" w:themeColor="text1"/>
        </w:rPr>
        <w:tab/>
        <w:t>take into account the differing risks associated with different industry sectors.</w:t>
      </w:r>
    </w:p>
    <w:p w14:paraId="591DAE4E" w14:textId="77777777" w:rsidR="00C3157D" w:rsidRPr="00C3157D" w:rsidRDefault="00C3157D" w:rsidP="00C3157D">
      <w:pPr>
        <w:rPr>
          <w:rFonts w:eastAsia="Calibri"/>
          <w:color w:val="000000" w:themeColor="text1"/>
        </w:rPr>
      </w:pPr>
    </w:p>
    <w:p w14:paraId="62B4D886" w14:textId="77777777" w:rsidR="00C3157D" w:rsidRPr="00C3157D" w:rsidRDefault="00C3157D" w:rsidP="00C3157D">
      <w:pPr>
        <w:rPr>
          <w:rFonts w:eastAsia="Calibri"/>
          <w:color w:val="000000" w:themeColor="text1"/>
        </w:rPr>
      </w:pPr>
      <w:r w:rsidRPr="00C3157D">
        <w:rPr>
          <w:rFonts w:eastAsia="Calibri"/>
          <w:color w:val="000000" w:themeColor="text1"/>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4EE385FD" w14:textId="77777777" w:rsidR="00C3157D" w:rsidRDefault="00C3157D" w:rsidP="00C3157D">
      <w:pPr>
        <w:rPr>
          <w:iCs/>
          <w:color w:val="000000" w:themeColor="text1"/>
        </w:rPr>
      </w:pPr>
    </w:p>
    <w:p w14:paraId="39532EAC" w14:textId="77777777" w:rsidR="0044460C" w:rsidRPr="00833358" w:rsidRDefault="0044460C" w:rsidP="0044460C">
      <w:r w:rsidRPr="00833358">
        <w:t>As the instrument replaces an expiring instrument with the same provisions and conditions, there will be no change of economic or cost impact on individuals, businesses or the community.</w:t>
      </w:r>
    </w:p>
    <w:p w14:paraId="2A23C542" w14:textId="77777777" w:rsidR="0044460C" w:rsidRPr="00D04218" w:rsidRDefault="0044460C" w:rsidP="00C3157D">
      <w:pPr>
        <w:rPr>
          <w:iCs/>
          <w:color w:val="000000" w:themeColor="text1"/>
        </w:rPr>
      </w:pPr>
    </w:p>
    <w:p w14:paraId="641309D2" w14:textId="30757714" w:rsidR="00152DC1" w:rsidRPr="00904859" w:rsidRDefault="00152DC1" w:rsidP="00C3157D">
      <w:pPr>
        <w:rPr>
          <w:b/>
          <w:bCs/>
          <w:color w:val="000000" w:themeColor="text1"/>
        </w:rPr>
      </w:pPr>
      <w:r w:rsidRPr="00904859">
        <w:rPr>
          <w:b/>
          <w:bCs/>
          <w:color w:val="000000" w:themeColor="text1"/>
        </w:rPr>
        <w:t>Impact on categories of operations</w:t>
      </w:r>
    </w:p>
    <w:p w14:paraId="21F6E915" w14:textId="049F2703" w:rsidR="006E4C74" w:rsidRPr="00904859" w:rsidRDefault="006E4C74" w:rsidP="006E4C74">
      <w:pPr>
        <w:rPr>
          <w:color w:val="000000" w:themeColor="text1"/>
        </w:rPr>
      </w:pPr>
      <w:r w:rsidRPr="00904859">
        <w:rPr>
          <w:color w:val="000000" w:themeColor="text1"/>
        </w:rPr>
        <w:t xml:space="preserve">The instrument </w:t>
      </w:r>
      <w:r w:rsidR="004A6D07" w:rsidRPr="00904859">
        <w:rPr>
          <w:color w:val="000000" w:themeColor="text1"/>
        </w:rPr>
        <w:t xml:space="preserve">will have a beneficial impact on </w:t>
      </w:r>
      <w:r w:rsidR="00B21F7E" w:rsidRPr="00904859">
        <w:rPr>
          <w:color w:val="000000" w:themeColor="text1"/>
        </w:rPr>
        <w:t xml:space="preserve">the operations of class A aircraft because it </w:t>
      </w:r>
      <w:r w:rsidRPr="00904859">
        <w:rPr>
          <w:color w:val="000000" w:themeColor="text1"/>
        </w:rPr>
        <w:t>permits the aviation industry to c</w:t>
      </w:r>
      <w:r w:rsidR="00C96E8C" w:rsidRPr="00904859">
        <w:rPr>
          <w:color w:val="000000" w:themeColor="text1"/>
        </w:rPr>
        <w:t xml:space="preserve">ontinue its </w:t>
      </w:r>
      <w:r w:rsidRPr="00904859">
        <w:rPr>
          <w:color w:val="000000" w:themeColor="text1"/>
        </w:rPr>
        <w:t>current practice</w:t>
      </w:r>
      <w:r w:rsidR="00C96E8C" w:rsidRPr="00904859">
        <w:rPr>
          <w:color w:val="000000" w:themeColor="text1"/>
        </w:rPr>
        <w:t>s</w:t>
      </w:r>
      <w:r w:rsidRPr="00904859">
        <w:rPr>
          <w:color w:val="000000" w:themeColor="text1"/>
        </w:rPr>
        <w:t xml:space="preserve"> relating to the recording of time</w:t>
      </w:r>
      <w:r w:rsidRPr="00904859">
        <w:rPr>
          <w:color w:val="000000" w:themeColor="text1"/>
        </w:rPr>
        <w:noBreakHyphen/>
        <w:t>in</w:t>
      </w:r>
      <w:r w:rsidRPr="00904859">
        <w:rPr>
          <w:color w:val="000000" w:themeColor="text1"/>
        </w:rPr>
        <w:noBreakHyphen/>
        <w:t xml:space="preserve">service of </w:t>
      </w:r>
      <w:r w:rsidR="00B918DF" w:rsidRPr="00904859">
        <w:rPr>
          <w:color w:val="000000" w:themeColor="text1"/>
        </w:rPr>
        <w:t>c</w:t>
      </w:r>
      <w:r w:rsidRPr="00904859">
        <w:rPr>
          <w:color w:val="000000" w:themeColor="text1"/>
        </w:rPr>
        <w:t>lass A aircraft.</w:t>
      </w:r>
    </w:p>
    <w:p w14:paraId="6A23D847" w14:textId="77777777" w:rsidR="00152DC1" w:rsidRPr="00904859" w:rsidRDefault="00152DC1" w:rsidP="00C3157D">
      <w:pPr>
        <w:rPr>
          <w:b/>
          <w:bCs/>
          <w:color w:val="000000" w:themeColor="text1"/>
        </w:rPr>
      </w:pPr>
    </w:p>
    <w:p w14:paraId="694FFA8A" w14:textId="38452AAF" w:rsidR="00152DC1" w:rsidRPr="00904859" w:rsidRDefault="00152DC1" w:rsidP="00C3157D">
      <w:pPr>
        <w:rPr>
          <w:b/>
          <w:bCs/>
          <w:color w:val="000000" w:themeColor="text1"/>
        </w:rPr>
      </w:pPr>
      <w:r w:rsidRPr="00904859">
        <w:rPr>
          <w:b/>
          <w:bCs/>
          <w:color w:val="000000" w:themeColor="text1"/>
        </w:rPr>
        <w:t>Impact on regional and remote communities</w:t>
      </w:r>
    </w:p>
    <w:p w14:paraId="311A8CE5" w14:textId="1A7617A0" w:rsidR="004A6D07" w:rsidRDefault="00366C89" w:rsidP="00D41B77">
      <w:r w:rsidRPr="00904859">
        <w:t xml:space="preserve">The instrument will have a beneficial impact on operators of </w:t>
      </w:r>
      <w:r w:rsidR="0055610B">
        <w:t>c</w:t>
      </w:r>
      <w:r w:rsidRPr="00904859">
        <w:t xml:space="preserve">lass A aircraft </w:t>
      </w:r>
      <w:r w:rsidR="00BE49E0" w:rsidRPr="00904859">
        <w:t>that are based in regional and remote areas for the reasons stated above</w:t>
      </w:r>
      <w:r w:rsidR="003105A5" w:rsidRPr="00904859">
        <w:t>.</w:t>
      </w:r>
    </w:p>
    <w:p w14:paraId="5D7B855E" w14:textId="77777777" w:rsidR="00BE49E0" w:rsidRDefault="00BE49E0" w:rsidP="00D41B77"/>
    <w:p w14:paraId="70312EF1" w14:textId="77777777" w:rsidR="0041575E" w:rsidRPr="0041575E" w:rsidRDefault="00790CBB" w:rsidP="00593536">
      <w:pPr>
        <w:autoSpaceDE w:val="0"/>
        <w:autoSpaceDN w:val="0"/>
        <w:adjustRightInd w:val="0"/>
        <w:rPr>
          <w:color w:val="000000"/>
          <w:lang w:eastAsia="en-AU"/>
        </w:rPr>
      </w:pPr>
      <w:r>
        <w:rPr>
          <w:b/>
          <w:iCs/>
          <w:color w:val="000000"/>
          <w:lang w:eastAsia="en-AU"/>
        </w:rPr>
        <w:t xml:space="preserve">Statement of </w:t>
      </w:r>
      <w:r w:rsidR="0041575E" w:rsidRPr="0041575E">
        <w:rPr>
          <w:b/>
          <w:iCs/>
          <w:color w:val="000000"/>
          <w:lang w:eastAsia="en-AU"/>
        </w:rPr>
        <w:t xml:space="preserve">Compatibility with </w:t>
      </w:r>
      <w:r>
        <w:rPr>
          <w:b/>
          <w:iCs/>
          <w:color w:val="000000"/>
          <w:lang w:eastAsia="en-AU"/>
        </w:rPr>
        <w:t>H</w:t>
      </w:r>
      <w:r w:rsidR="0041575E" w:rsidRPr="0041575E">
        <w:rPr>
          <w:b/>
          <w:iCs/>
          <w:color w:val="000000"/>
          <w:lang w:eastAsia="en-AU"/>
        </w:rPr>
        <w:t xml:space="preserve">uman </w:t>
      </w:r>
      <w:r>
        <w:rPr>
          <w:b/>
          <w:iCs/>
          <w:color w:val="000000"/>
          <w:lang w:eastAsia="en-AU"/>
        </w:rPr>
        <w:t>R</w:t>
      </w:r>
      <w:r w:rsidR="0041575E" w:rsidRPr="0041575E">
        <w:rPr>
          <w:b/>
          <w:iCs/>
          <w:color w:val="000000"/>
          <w:lang w:eastAsia="en-AU"/>
        </w:rPr>
        <w:t>ights</w:t>
      </w:r>
    </w:p>
    <w:p w14:paraId="29E2D015" w14:textId="4CA60919" w:rsidR="00B11DDB" w:rsidRPr="00910DA4" w:rsidRDefault="008E642D" w:rsidP="00B11DDB">
      <w:pPr>
        <w:rPr>
          <w:lang w:eastAsia="en-AU"/>
        </w:rPr>
      </w:pPr>
      <w:r w:rsidRPr="008E642D">
        <w:rPr>
          <w:lang w:eastAsia="en-AU"/>
        </w:rPr>
        <w:t xml:space="preserve">The Statement of Compatibility with Human Rights at Attachment 1 has been prepared in accordance with Part 3 of the </w:t>
      </w:r>
      <w:r w:rsidRPr="008E642D">
        <w:rPr>
          <w:i/>
          <w:lang w:eastAsia="en-AU"/>
        </w:rPr>
        <w:t>Human Rights (Parliamentary Scrutiny) Act</w:t>
      </w:r>
      <w:r>
        <w:rPr>
          <w:i/>
          <w:lang w:eastAsia="en-AU"/>
        </w:rPr>
        <w:t> </w:t>
      </w:r>
      <w:r w:rsidRPr="008E642D">
        <w:rPr>
          <w:i/>
          <w:lang w:eastAsia="en-AU"/>
        </w:rPr>
        <w:t>2011</w:t>
      </w:r>
      <w:r w:rsidRPr="008E642D">
        <w:rPr>
          <w:lang w:eastAsia="en-AU"/>
        </w:rPr>
        <w:t>. The instrument does not engage any of the applicable rights or freedoms, and is compatible with human rights, as it does not raise any human rights issues.</w:t>
      </w:r>
    </w:p>
    <w:p w14:paraId="7D558B45" w14:textId="77777777" w:rsidR="00B11DDB" w:rsidRDefault="00B11DDB" w:rsidP="00593536">
      <w:pPr>
        <w:autoSpaceDE w:val="0"/>
        <w:autoSpaceDN w:val="0"/>
        <w:adjustRightInd w:val="0"/>
        <w:rPr>
          <w:color w:val="000000"/>
          <w:lang w:eastAsia="en-AU"/>
        </w:rPr>
      </w:pPr>
    </w:p>
    <w:p w14:paraId="55CCC782" w14:textId="11C143F2" w:rsidR="00B11DDB" w:rsidRPr="00910DA4" w:rsidRDefault="00B11DDB" w:rsidP="00B11DDB">
      <w:pPr>
        <w:rPr>
          <w:b/>
          <w:lang w:eastAsia="en-AU"/>
        </w:rPr>
      </w:pPr>
      <w:r w:rsidRPr="00910DA4">
        <w:rPr>
          <w:b/>
          <w:lang w:eastAsia="en-AU"/>
        </w:rPr>
        <w:t xml:space="preserve">Office of </w:t>
      </w:r>
      <w:r w:rsidR="003F58CB">
        <w:rPr>
          <w:b/>
          <w:lang w:eastAsia="en-AU"/>
        </w:rPr>
        <w:t>Impact Analysis</w:t>
      </w:r>
      <w:r w:rsidR="000A639B">
        <w:rPr>
          <w:b/>
          <w:lang w:eastAsia="en-AU"/>
        </w:rPr>
        <w:t xml:space="preserve"> </w:t>
      </w:r>
      <w:r w:rsidR="000A639B">
        <w:rPr>
          <w:rFonts w:eastAsia="Calibri"/>
          <w:color w:val="000000" w:themeColor="text1"/>
        </w:rPr>
        <w:t>(</w:t>
      </w:r>
      <w:r w:rsidR="000A639B" w:rsidRPr="003A4E0A">
        <w:rPr>
          <w:rFonts w:eastAsia="Calibri"/>
          <w:b/>
          <w:bCs/>
          <w:i/>
          <w:iCs/>
          <w:color w:val="000000" w:themeColor="text1"/>
        </w:rPr>
        <w:t>OIA</w:t>
      </w:r>
      <w:r w:rsidR="000A639B">
        <w:rPr>
          <w:rFonts w:eastAsia="Calibri"/>
          <w:color w:val="000000" w:themeColor="text1"/>
        </w:rPr>
        <w:t>)</w:t>
      </w:r>
    </w:p>
    <w:p w14:paraId="2C0EA05E" w14:textId="5F2D7D73" w:rsidR="00B11DDB" w:rsidRPr="00910DA4" w:rsidRDefault="00B11DDB" w:rsidP="00B11DDB">
      <w:pPr>
        <w:rPr>
          <w:lang w:eastAsia="en-AU"/>
        </w:rPr>
      </w:pPr>
      <w:r w:rsidRPr="00910DA4">
        <w:rPr>
          <w:lang w:eastAsia="en-AU"/>
        </w:rPr>
        <w:t>A</w:t>
      </w:r>
      <w:r w:rsidR="000B2D64">
        <w:rPr>
          <w:lang w:eastAsia="en-AU"/>
        </w:rPr>
        <w:t xml:space="preserve">n </w:t>
      </w:r>
      <w:r w:rsidR="00A419DE">
        <w:rPr>
          <w:rFonts w:eastAsia="Calibri"/>
          <w:color w:val="000000" w:themeColor="text1"/>
        </w:rPr>
        <w:t>Impact Analysis (</w:t>
      </w:r>
      <w:r w:rsidR="00A419DE" w:rsidRPr="000E2C8B">
        <w:rPr>
          <w:rFonts w:eastAsia="Calibri"/>
          <w:b/>
          <w:bCs/>
          <w:i/>
          <w:iCs/>
          <w:color w:val="000000" w:themeColor="text1"/>
        </w:rPr>
        <w:t>IA</w:t>
      </w:r>
      <w:r w:rsidR="00A419DE">
        <w:rPr>
          <w:rFonts w:eastAsia="Calibri"/>
          <w:color w:val="000000" w:themeColor="text1"/>
        </w:rPr>
        <w:t xml:space="preserve">) </w:t>
      </w:r>
      <w:r w:rsidRPr="00910DA4">
        <w:rPr>
          <w:lang w:eastAsia="en-AU"/>
        </w:rPr>
        <w:t xml:space="preserve">is not required </w:t>
      </w:r>
      <w:r w:rsidR="009518BB">
        <w:rPr>
          <w:lang w:eastAsia="en-AU"/>
        </w:rPr>
        <w:t>in this case</w:t>
      </w:r>
      <w:r w:rsidR="00D83C0E">
        <w:rPr>
          <w:lang w:eastAsia="en-AU"/>
        </w:rPr>
        <w:t xml:space="preserve">, as the </w:t>
      </w:r>
      <w:r w:rsidRPr="00910DA4">
        <w:rPr>
          <w:lang w:eastAsia="en-AU"/>
        </w:rPr>
        <w:t xml:space="preserve">instrument is covered by a standing agreement between CASA and </w:t>
      </w:r>
      <w:r w:rsidR="000B2D64">
        <w:rPr>
          <w:lang w:eastAsia="en-AU"/>
        </w:rPr>
        <w:t xml:space="preserve">OIA </w:t>
      </w:r>
      <w:r w:rsidRPr="00910DA4">
        <w:rPr>
          <w:lang w:eastAsia="en-AU"/>
        </w:rPr>
        <w:t>under wh</w:t>
      </w:r>
      <w:r>
        <w:rPr>
          <w:lang w:eastAsia="en-AU"/>
        </w:rPr>
        <w:t>ich a</w:t>
      </w:r>
      <w:r w:rsidR="000B2D64">
        <w:rPr>
          <w:lang w:eastAsia="en-AU"/>
        </w:rPr>
        <w:t xml:space="preserve">n IA </w:t>
      </w:r>
      <w:r>
        <w:rPr>
          <w:lang w:eastAsia="en-AU"/>
        </w:rPr>
        <w:t xml:space="preserve">is not required </w:t>
      </w:r>
      <w:r w:rsidR="000B2D64">
        <w:rPr>
          <w:lang w:eastAsia="en-AU"/>
        </w:rPr>
        <w:t xml:space="preserve">for </w:t>
      </w:r>
      <w:r w:rsidR="002275F0">
        <w:rPr>
          <w:lang w:eastAsia="en-AU"/>
        </w:rPr>
        <w:t xml:space="preserve">exemptions </w:t>
      </w:r>
      <w:r>
        <w:rPr>
          <w:lang w:eastAsia="en-AU"/>
        </w:rPr>
        <w:t>(O</w:t>
      </w:r>
      <w:r w:rsidR="002275F0">
        <w:rPr>
          <w:lang w:eastAsia="en-AU"/>
        </w:rPr>
        <w:t>IA re</w:t>
      </w:r>
      <w:r w:rsidR="001974D2">
        <w:rPr>
          <w:lang w:eastAsia="en-AU"/>
        </w:rPr>
        <w:t>f</w:t>
      </w:r>
      <w:r w:rsidR="002275F0">
        <w:rPr>
          <w:lang w:eastAsia="en-AU"/>
        </w:rPr>
        <w:t>erence number: OIA23</w:t>
      </w:r>
      <w:r w:rsidR="001974D2">
        <w:rPr>
          <w:lang w:eastAsia="en-AU"/>
        </w:rPr>
        <w:t>-06252).</w:t>
      </w:r>
    </w:p>
    <w:p w14:paraId="482AFD55" w14:textId="77777777" w:rsidR="00B11DDB" w:rsidRPr="00910DA4" w:rsidRDefault="00B11DDB" w:rsidP="00B11DDB">
      <w:pPr>
        <w:rPr>
          <w:lang w:eastAsia="en-AU"/>
        </w:rPr>
      </w:pPr>
    </w:p>
    <w:p w14:paraId="34456EC9" w14:textId="77777777" w:rsidR="00B11DDB" w:rsidRPr="00910DA4" w:rsidRDefault="00B11DDB" w:rsidP="00B11DDB">
      <w:pPr>
        <w:rPr>
          <w:b/>
          <w:lang w:eastAsia="en-AU"/>
        </w:rPr>
      </w:pPr>
      <w:r w:rsidRPr="00910DA4">
        <w:rPr>
          <w:b/>
          <w:lang w:eastAsia="en-AU"/>
        </w:rPr>
        <w:t xml:space="preserve">Making and </w:t>
      </w:r>
      <w:r w:rsidR="0007121D" w:rsidRPr="0007121D">
        <w:rPr>
          <w:b/>
          <w:lang w:eastAsia="en-AU"/>
        </w:rPr>
        <w:t>c</w:t>
      </w:r>
      <w:r w:rsidRPr="00910DA4">
        <w:rPr>
          <w:b/>
          <w:lang w:eastAsia="en-AU"/>
        </w:rPr>
        <w:t>ommencement</w:t>
      </w:r>
    </w:p>
    <w:p w14:paraId="66B7E4BE" w14:textId="3B7B52BB" w:rsidR="00B11DDB" w:rsidRPr="00910DA4" w:rsidRDefault="00B11DDB" w:rsidP="00B11DDB">
      <w:pPr>
        <w:rPr>
          <w:lang w:eastAsia="en-AU"/>
        </w:rPr>
      </w:pPr>
      <w:r w:rsidRPr="00910DA4">
        <w:rPr>
          <w:lang w:eastAsia="en-AU"/>
        </w:rPr>
        <w:t>The instrument has been made by a delegate of CASA relying on the power of delegation under subregulation 11.260(1) of CASR.</w:t>
      </w:r>
    </w:p>
    <w:p w14:paraId="37CF310E" w14:textId="77777777" w:rsidR="00B11DDB" w:rsidRPr="00910DA4" w:rsidRDefault="00B11DDB" w:rsidP="00B11DDB">
      <w:pPr>
        <w:rPr>
          <w:lang w:eastAsia="en-AU"/>
        </w:rPr>
      </w:pPr>
    </w:p>
    <w:p w14:paraId="7C767A85" w14:textId="488388CC" w:rsidR="00B11DDB" w:rsidRPr="003413E3" w:rsidRDefault="00B11DDB" w:rsidP="00B11DDB">
      <w:pPr>
        <w:rPr>
          <w:lang w:eastAsia="en-AU"/>
        </w:rPr>
      </w:pPr>
      <w:r w:rsidRPr="00910DA4">
        <w:rPr>
          <w:lang w:eastAsia="en-AU"/>
        </w:rPr>
        <w:t xml:space="preserve">The exemption commences on </w:t>
      </w:r>
      <w:r w:rsidR="00CE55B6">
        <w:rPr>
          <w:lang w:eastAsia="en-AU"/>
        </w:rPr>
        <w:t>1 December 202</w:t>
      </w:r>
      <w:r w:rsidR="002F3DFD">
        <w:rPr>
          <w:lang w:eastAsia="en-AU"/>
        </w:rPr>
        <w:t>4</w:t>
      </w:r>
      <w:r w:rsidR="006D77FC">
        <w:rPr>
          <w:lang w:eastAsia="en-AU"/>
        </w:rPr>
        <w:t xml:space="preserve"> </w:t>
      </w:r>
      <w:r w:rsidRPr="00910DA4">
        <w:rPr>
          <w:lang w:eastAsia="en-AU"/>
        </w:rPr>
        <w:t xml:space="preserve">and </w:t>
      </w:r>
      <w:r w:rsidR="008E642D">
        <w:rPr>
          <w:lang w:eastAsia="en-AU"/>
        </w:rPr>
        <w:t>is</w:t>
      </w:r>
      <w:r w:rsidR="006D77FC">
        <w:rPr>
          <w:lang w:eastAsia="en-AU"/>
        </w:rPr>
        <w:t xml:space="preserve"> repealed </w:t>
      </w:r>
      <w:r w:rsidRPr="00910DA4">
        <w:rPr>
          <w:lang w:eastAsia="en-AU"/>
        </w:rPr>
        <w:t xml:space="preserve">at the end of </w:t>
      </w:r>
      <w:r w:rsidR="006D77FC">
        <w:rPr>
          <w:lang w:eastAsia="en-AU"/>
        </w:rPr>
        <w:t>3</w:t>
      </w:r>
      <w:r w:rsidR="002F3DFD">
        <w:rPr>
          <w:lang w:eastAsia="en-AU"/>
        </w:rPr>
        <w:t>1</w:t>
      </w:r>
      <w:r w:rsidR="00CE55B6">
        <w:rPr>
          <w:lang w:eastAsia="en-AU"/>
        </w:rPr>
        <w:t> </w:t>
      </w:r>
      <w:r w:rsidR="002F3DFD">
        <w:rPr>
          <w:lang w:eastAsia="en-AU"/>
        </w:rPr>
        <w:t>October</w:t>
      </w:r>
      <w:r w:rsidR="003340DB">
        <w:rPr>
          <w:lang w:eastAsia="en-AU"/>
        </w:rPr>
        <w:t> </w:t>
      </w:r>
      <w:r w:rsidR="002F3DFD">
        <w:rPr>
          <w:lang w:eastAsia="en-AU"/>
        </w:rPr>
        <w:t>2027.</w:t>
      </w:r>
    </w:p>
    <w:p w14:paraId="10A85E4F" w14:textId="77777777" w:rsidR="00304E43" w:rsidRPr="00BF04FA" w:rsidRDefault="00304E43" w:rsidP="00304E43">
      <w:pPr>
        <w:pageBreakBefore/>
        <w:jc w:val="right"/>
        <w:rPr>
          <w:b/>
        </w:rPr>
      </w:pPr>
      <w:r w:rsidRPr="00BF04FA">
        <w:rPr>
          <w:b/>
        </w:rPr>
        <w:lastRenderedPageBreak/>
        <w:t>Attachment 1</w:t>
      </w:r>
    </w:p>
    <w:p w14:paraId="2636C6E1" w14:textId="77777777" w:rsidR="00304E43" w:rsidRPr="00180BC4" w:rsidRDefault="00304E43" w:rsidP="00DB5ADC">
      <w:pPr>
        <w:spacing w:before="360" w:after="120"/>
        <w:jc w:val="center"/>
        <w:rPr>
          <w:b/>
          <w:sz w:val="28"/>
          <w:szCs w:val="28"/>
        </w:rPr>
      </w:pPr>
      <w:r w:rsidRPr="00180BC4">
        <w:rPr>
          <w:b/>
          <w:sz w:val="28"/>
          <w:szCs w:val="28"/>
        </w:rPr>
        <w:t>Statement of Compatibility with Human Rights</w:t>
      </w:r>
    </w:p>
    <w:p w14:paraId="1E7878D6" w14:textId="7BCCCF03" w:rsidR="00304E43" w:rsidRDefault="00304E43" w:rsidP="00DB5ADC">
      <w:pPr>
        <w:spacing w:before="120" w:after="120"/>
        <w:jc w:val="center"/>
        <w:rPr>
          <w:iCs/>
        </w:rPr>
      </w:pPr>
      <w:r w:rsidRPr="00180BC4">
        <w:rPr>
          <w:i/>
        </w:rPr>
        <w:t>Prepared in accordance with Part 3 of the</w:t>
      </w:r>
      <w:r w:rsidRPr="00180BC4">
        <w:rPr>
          <w:i/>
        </w:rPr>
        <w:br/>
        <w:t>Human Rights (Parliamentary Scrutiny) Act 2011</w:t>
      </w:r>
    </w:p>
    <w:p w14:paraId="7B2E9F78" w14:textId="77777777" w:rsidR="00DB5ADC" w:rsidRPr="00DB5ADC" w:rsidRDefault="00DB5ADC" w:rsidP="0005646C">
      <w:pPr>
        <w:spacing w:before="120" w:after="120"/>
        <w:rPr>
          <w:iCs/>
        </w:rPr>
      </w:pPr>
    </w:p>
    <w:p w14:paraId="074BC1EC" w14:textId="4C2D2BF5" w:rsidR="00304E43" w:rsidRPr="000D353F" w:rsidRDefault="00D41B77" w:rsidP="00DB5ADC">
      <w:pPr>
        <w:contextualSpacing/>
        <w:jc w:val="center"/>
        <w:rPr>
          <w:b/>
          <w:iCs/>
        </w:rPr>
      </w:pPr>
      <w:r w:rsidRPr="000D353F">
        <w:rPr>
          <w:b/>
          <w:iCs/>
        </w:rPr>
        <w:t>CASA EX</w:t>
      </w:r>
      <w:r w:rsidR="000159C0" w:rsidRPr="000D353F">
        <w:rPr>
          <w:b/>
          <w:iCs/>
        </w:rPr>
        <w:t>82</w:t>
      </w:r>
      <w:r w:rsidRPr="000D353F">
        <w:rPr>
          <w:b/>
          <w:iCs/>
        </w:rPr>
        <w:t>/</w:t>
      </w:r>
      <w:r w:rsidR="00C3157D" w:rsidRPr="000D353F">
        <w:rPr>
          <w:b/>
          <w:iCs/>
        </w:rPr>
        <w:t>2</w:t>
      </w:r>
      <w:r w:rsidR="000159C0" w:rsidRPr="000D353F">
        <w:rPr>
          <w:b/>
          <w:iCs/>
        </w:rPr>
        <w:t>4</w:t>
      </w:r>
      <w:r w:rsidR="008E642D" w:rsidRPr="000D353F">
        <w:rPr>
          <w:b/>
          <w:iCs/>
        </w:rPr>
        <w:t> </w:t>
      </w:r>
      <w:r w:rsidRPr="000D353F">
        <w:rPr>
          <w:b/>
          <w:iCs/>
        </w:rPr>
        <w:t>— Recording of Time-in-service (Class A Aircraft) Exemption</w:t>
      </w:r>
      <w:r w:rsidR="008E642D" w:rsidRPr="000D353F">
        <w:rPr>
          <w:b/>
          <w:iCs/>
        </w:rPr>
        <w:t> </w:t>
      </w:r>
      <w:r w:rsidRPr="000D353F">
        <w:rPr>
          <w:b/>
          <w:iCs/>
        </w:rPr>
        <w:t>20</w:t>
      </w:r>
      <w:r w:rsidR="00C3157D" w:rsidRPr="000D353F">
        <w:rPr>
          <w:b/>
          <w:iCs/>
        </w:rPr>
        <w:t>2</w:t>
      </w:r>
      <w:r w:rsidR="000159C0" w:rsidRPr="000D353F">
        <w:rPr>
          <w:b/>
          <w:iCs/>
        </w:rPr>
        <w:t>4</w:t>
      </w:r>
    </w:p>
    <w:p w14:paraId="26AF3173" w14:textId="77777777" w:rsidR="00DB5ADC" w:rsidRPr="00AB0D23" w:rsidRDefault="00DB5ADC" w:rsidP="00DB5ADC">
      <w:pPr>
        <w:contextualSpacing/>
        <w:rPr>
          <w:bCs/>
          <w:iCs/>
        </w:rPr>
      </w:pPr>
    </w:p>
    <w:p w14:paraId="005B273F" w14:textId="71622C2D" w:rsidR="00304E43" w:rsidRDefault="00304E43" w:rsidP="00DB5ADC">
      <w:pPr>
        <w:jc w:val="center"/>
      </w:pPr>
      <w:r w:rsidRPr="00180BC4">
        <w:t>This legislative instrument is compatible with the human rights and freedoms</w:t>
      </w:r>
      <w:r w:rsidR="00623D13">
        <w:br/>
      </w:r>
      <w:r w:rsidRPr="00180BC4">
        <w:t>recognised or declared in the international instruments listed in section 3 of the</w:t>
      </w:r>
      <w:r w:rsidRPr="00180BC4">
        <w:br/>
      </w:r>
      <w:r w:rsidRPr="00180BC4">
        <w:rPr>
          <w:i/>
        </w:rPr>
        <w:t>Human Rights (Parliamentary Scrutiny) Act 2011</w:t>
      </w:r>
      <w:r w:rsidRPr="00180BC4">
        <w:t>.</w:t>
      </w:r>
    </w:p>
    <w:p w14:paraId="4F2EB964" w14:textId="77777777" w:rsidR="00DB5ADC" w:rsidRPr="00180BC4" w:rsidRDefault="00DB5ADC" w:rsidP="002E0185">
      <w:pPr>
        <w:spacing w:before="360"/>
      </w:pPr>
    </w:p>
    <w:p w14:paraId="43FD4B51" w14:textId="77777777" w:rsidR="00304E43" w:rsidRPr="00180BC4" w:rsidRDefault="00304E43" w:rsidP="00304E43">
      <w:pPr>
        <w:tabs>
          <w:tab w:val="left" w:pos="1134"/>
          <w:tab w:val="left" w:pos="1701"/>
          <w:tab w:val="left" w:pos="2268"/>
          <w:tab w:val="left" w:pos="2835"/>
          <w:tab w:val="left" w:pos="3402"/>
        </w:tabs>
        <w:rPr>
          <w:b/>
          <w:lang w:eastAsia="en-AU"/>
        </w:rPr>
      </w:pPr>
      <w:r w:rsidRPr="00180BC4">
        <w:rPr>
          <w:b/>
          <w:lang w:eastAsia="en-AU"/>
        </w:rPr>
        <w:t>Overview of the legislative instrument</w:t>
      </w:r>
    </w:p>
    <w:p w14:paraId="60611790" w14:textId="6A0B7175" w:rsidR="00D41B77" w:rsidRDefault="00D41B77" w:rsidP="00D41B77">
      <w:r>
        <w:t xml:space="preserve">The purpose of this instrument is to exempt each owner, operator and pilot in command of a </w:t>
      </w:r>
      <w:r w:rsidR="008E642D">
        <w:t>c</w:t>
      </w:r>
      <w:r>
        <w:t>lass</w:t>
      </w:r>
      <w:r w:rsidR="00CE55B6">
        <w:t> </w:t>
      </w:r>
      <w:r>
        <w:t xml:space="preserve">A aircraft from the requirement in </w:t>
      </w:r>
      <w:r w:rsidR="008E642D">
        <w:t>sub</w:t>
      </w:r>
      <w:r>
        <w:t>regulation</w:t>
      </w:r>
      <w:r w:rsidR="008E642D">
        <w:t> </w:t>
      </w:r>
      <w:r>
        <w:t>43B</w:t>
      </w:r>
      <w:r w:rsidR="008E642D">
        <w:t xml:space="preserve">(1) </w:t>
      </w:r>
      <w:r>
        <w:t xml:space="preserve">of the </w:t>
      </w:r>
      <w:r w:rsidRPr="00E613B6">
        <w:rPr>
          <w:i/>
        </w:rPr>
        <w:t>Civil Aviation Regulations</w:t>
      </w:r>
      <w:r w:rsidR="008E642D">
        <w:rPr>
          <w:i/>
        </w:rPr>
        <w:t> </w:t>
      </w:r>
      <w:r w:rsidRPr="00E613B6">
        <w:rPr>
          <w:i/>
        </w:rPr>
        <w:t>1988</w:t>
      </w:r>
      <w:r>
        <w:t xml:space="preserve"> to record total time-in-service of the aircraft after each completed day of flying operations. The Civil Aviation Safety Authority (</w:t>
      </w:r>
      <w:r w:rsidRPr="0096401F">
        <w:rPr>
          <w:b/>
          <w:i/>
        </w:rPr>
        <w:t>CASA</w:t>
      </w:r>
      <w:r>
        <w:t>) considers that these requirements are not necessary or appropriate for class A aircraft, the continuing airworthiness requirements for which are managed through the aircraft maintenance control manual.</w:t>
      </w:r>
    </w:p>
    <w:p w14:paraId="7FD83E2E" w14:textId="77777777" w:rsidR="00304E43" w:rsidRDefault="00304E43" w:rsidP="00304E43">
      <w:pPr>
        <w:rPr>
          <w:lang w:eastAsia="en-AU"/>
        </w:rPr>
      </w:pPr>
    </w:p>
    <w:p w14:paraId="25D66CA3" w14:textId="653E9379" w:rsidR="00304E43" w:rsidRDefault="00304E43" w:rsidP="00304E43">
      <w:pPr>
        <w:rPr>
          <w:lang w:eastAsia="en-AU"/>
        </w:rPr>
      </w:pPr>
      <w:r>
        <w:rPr>
          <w:lang w:eastAsia="en-AU"/>
        </w:rPr>
        <w:t>The instrument is subject to conditions that CASA has imposed in the interests of aviation safety</w:t>
      </w:r>
      <w:r w:rsidR="00D41B77">
        <w:rPr>
          <w:lang w:eastAsia="en-AU"/>
        </w:rPr>
        <w:t xml:space="preserve">. The conditions ensure that appropriate procedures for the recording of the </w:t>
      </w:r>
      <w:r>
        <w:rPr>
          <w:lang w:eastAsia="en-AU"/>
        </w:rPr>
        <w:t>time</w:t>
      </w:r>
      <w:r w:rsidR="00CE55B6">
        <w:rPr>
          <w:lang w:eastAsia="en-AU"/>
        </w:rPr>
        <w:noBreakHyphen/>
      </w:r>
      <w:r>
        <w:rPr>
          <w:lang w:eastAsia="en-AU"/>
        </w:rPr>
        <w:t>in</w:t>
      </w:r>
      <w:r w:rsidR="00CE55B6">
        <w:rPr>
          <w:lang w:eastAsia="en-AU"/>
        </w:rPr>
        <w:noBreakHyphen/>
      </w:r>
      <w:r>
        <w:rPr>
          <w:lang w:eastAsia="en-AU"/>
        </w:rPr>
        <w:t xml:space="preserve">service </w:t>
      </w:r>
      <w:r w:rsidR="00D41B77">
        <w:rPr>
          <w:lang w:eastAsia="en-AU"/>
        </w:rPr>
        <w:t>of class A aircraft are included in the maintenance control manual, which manual is required to be prepared for such aircraft</w:t>
      </w:r>
      <w:r>
        <w:rPr>
          <w:lang w:eastAsia="en-AU"/>
        </w:rPr>
        <w:t>.</w:t>
      </w:r>
    </w:p>
    <w:p w14:paraId="2E1281DB" w14:textId="77777777" w:rsidR="00304E43" w:rsidRPr="00180BC4" w:rsidRDefault="00304E43" w:rsidP="00304E43">
      <w:pPr>
        <w:tabs>
          <w:tab w:val="left" w:pos="1134"/>
          <w:tab w:val="left" w:pos="1701"/>
          <w:tab w:val="left" w:pos="2268"/>
          <w:tab w:val="left" w:pos="2835"/>
          <w:tab w:val="left" w:pos="3402"/>
        </w:tabs>
        <w:rPr>
          <w:lang w:eastAsia="en-AU"/>
        </w:rPr>
      </w:pPr>
    </w:p>
    <w:p w14:paraId="170C83D4" w14:textId="77777777" w:rsidR="00304E43" w:rsidRPr="00180BC4" w:rsidRDefault="00304E43" w:rsidP="00304E43">
      <w:pPr>
        <w:tabs>
          <w:tab w:val="left" w:pos="1134"/>
          <w:tab w:val="left" w:pos="1701"/>
          <w:tab w:val="left" w:pos="2268"/>
          <w:tab w:val="left" w:pos="2835"/>
          <w:tab w:val="left" w:pos="3402"/>
        </w:tabs>
        <w:rPr>
          <w:b/>
          <w:lang w:eastAsia="en-AU"/>
        </w:rPr>
      </w:pPr>
      <w:r w:rsidRPr="00180BC4">
        <w:rPr>
          <w:b/>
          <w:lang w:eastAsia="en-AU"/>
        </w:rPr>
        <w:t>Human rights implications</w:t>
      </w:r>
    </w:p>
    <w:p w14:paraId="562A2A9D" w14:textId="77777777" w:rsidR="00304E43" w:rsidRPr="00180BC4" w:rsidRDefault="00304E43" w:rsidP="00304E43">
      <w:pPr>
        <w:tabs>
          <w:tab w:val="left" w:pos="1134"/>
          <w:tab w:val="left" w:pos="1701"/>
          <w:tab w:val="left" w:pos="2268"/>
          <w:tab w:val="left" w:pos="2835"/>
          <w:tab w:val="left" w:pos="3402"/>
        </w:tabs>
        <w:rPr>
          <w:lang w:eastAsia="en-AU"/>
        </w:rPr>
      </w:pPr>
      <w:r w:rsidRPr="00180BC4">
        <w:rPr>
          <w:lang w:eastAsia="en-AU"/>
        </w:rPr>
        <w:t>This legislative instrument does not engage any of the applicable rights or freedoms.</w:t>
      </w:r>
    </w:p>
    <w:p w14:paraId="2AB1B7A2" w14:textId="77777777" w:rsidR="00304E43" w:rsidRPr="00180BC4" w:rsidRDefault="00304E43" w:rsidP="00304E43">
      <w:pPr>
        <w:tabs>
          <w:tab w:val="left" w:pos="1134"/>
          <w:tab w:val="left" w:pos="1701"/>
          <w:tab w:val="left" w:pos="2268"/>
          <w:tab w:val="left" w:pos="2835"/>
          <w:tab w:val="left" w:pos="3402"/>
        </w:tabs>
        <w:rPr>
          <w:lang w:eastAsia="en-AU"/>
        </w:rPr>
      </w:pPr>
    </w:p>
    <w:p w14:paraId="7EDE7938" w14:textId="77777777" w:rsidR="00304E43" w:rsidRPr="00180BC4" w:rsidRDefault="00304E43" w:rsidP="00304E43">
      <w:pPr>
        <w:tabs>
          <w:tab w:val="left" w:pos="1134"/>
          <w:tab w:val="left" w:pos="1701"/>
          <w:tab w:val="left" w:pos="2268"/>
          <w:tab w:val="left" w:pos="2835"/>
          <w:tab w:val="left" w:pos="3402"/>
        </w:tabs>
        <w:rPr>
          <w:b/>
          <w:lang w:eastAsia="en-AU"/>
        </w:rPr>
      </w:pPr>
      <w:r w:rsidRPr="00180BC4">
        <w:rPr>
          <w:b/>
          <w:lang w:eastAsia="en-AU"/>
        </w:rPr>
        <w:t>Conclusion</w:t>
      </w:r>
    </w:p>
    <w:p w14:paraId="37DD6277" w14:textId="2CAC72AF" w:rsidR="00304E43" w:rsidRDefault="00304E43" w:rsidP="00304E43">
      <w:pPr>
        <w:tabs>
          <w:tab w:val="left" w:pos="1134"/>
          <w:tab w:val="left" w:pos="1701"/>
          <w:tab w:val="left" w:pos="2268"/>
          <w:tab w:val="left" w:pos="2835"/>
          <w:tab w:val="left" w:pos="3402"/>
        </w:tabs>
        <w:rPr>
          <w:lang w:eastAsia="en-AU"/>
        </w:rPr>
      </w:pPr>
      <w:r w:rsidRPr="00180BC4">
        <w:rPr>
          <w:lang w:eastAsia="en-AU"/>
        </w:rPr>
        <w:t>This legislative instrument is compatible with human rights as it does not raise any human rights issues.</w:t>
      </w:r>
    </w:p>
    <w:p w14:paraId="6EB8625D" w14:textId="32A26BDE" w:rsidR="00CE55B6" w:rsidRDefault="00CE55B6" w:rsidP="00304E43">
      <w:pPr>
        <w:tabs>
          <w:tab w:val="left" w:pos="1134"/>
          <w:tab w:val="left" w:pos="1701"/>
          <w:tab w:val="left" w:pos="2268"/>
          <w:tab w:val="left" w:pos="2835"/>
          <w:tab w:val="left" w:pos="3402"/>
        </w:tabs>
        <w:rPr>
          <w:lang w:eastAsia="en-AU"/>
        </w:rPr>
      </w:pPr>
    </w:p>
    <w:p w14:paraId="1C10F4A6" w14:textId="51864557" w:rsidR="00CE55B6" w:rsidRDefault="00CE55B6" w:rsidP="00304E43">
      <w:pPr>
        <w:tabs>
          <w:tab w:val="left" w:pos="1134"/>
          <w:tab w:val="left" w:pos="1701"/>
          <w:tab w:val="left" w:pos="2268"/>
          <w:tab w:val="left" w:pos="2835"/>
          <w:tab w:val="left" w:pos="3402"/>
        </w:tabs>
        <w:rPr>
          <w:lang w:eastAsia="en-AU"/>
        </w:rPr>
      </w:pPr>
    </w:p>
    <w:p w14:paraId="271F0DEC" w14:textId="77777777" w:rsidR="00CE55B6" w:rsidRPr="00180BC4" w:rsidRDefault="00CE55B6" w:rsidP="00304E43">
      <w:pPr>
        <w:tabs>
          <w:tab w:val="left" w:pos="1134"/>
          <w:tab w:val="left" w:pos="1701"/>
          <w:tab w:val="left" w:pos="2268"/>
          <w:tab w:val="left" w:pos="2835"/>
          <w:tab w:val="left" w:pos="3402"/>
        </w:tabs>
        <w:rPr>
          <w:lang w:eastAsia="en-AU"/>
        </w:rPr>
      </w:pPr>
    </w:p>
    <w:p w14:paraId="4317324B" w14:textId="77777777" w:rsidR="00304E43" w:rsidRPr="00180BC4" w:rsidRDefault="00304E43" w:rsidP="00CE55B6">
      <w:pPr>
        <w:tabs>
          <w:tab w:val="left" w:pos="1134"/>
          <w:tab w:val="left" w:pos="1701"/>
          <w:tab w:val="left" w:pos="2268"/>
          <w:tab w:val="left" w:pos="2835"/>
          <w:tab w:val="left" w:pos="3402"/>
        </w:tabs>
        <w:jc w:val="center"/>
        <w:rPr>
          <w:b/>
          <w:bCs/>
          <w:lang w:eastAsia="en-AU"/>
        </w:rPr>
      </w:pPr>
      <w:r w:rsidRPr="00180BC4">
        <w:rPr>
          <w:b/>
          <w:bCs/>
          <w:lang w:eastAsia="en-AU"/>
        </w:rPr>
        <w:t>Civil Aviation Safety Authority</w:t>
      </w:r>
    </w:p>
    <w:sectPr w:rsidR="00304E43" w:rsidRPr="00180BC4" w:rsidSect="00E00522">
      <w:headerReference w:type="even" r:id="rId10"/>
      <w:headerReference w:type="default" r:id="rId11"/>
      <w:footerReference w:type="even" r:id="rId12"/>
      <w:footerReference w:type="default" r:id="rId13"/>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C00D6" w14:textId="77777777" w:rsidR="008C28DC" w:rsidRDefault="008C28DC">
      <w:r>
        <w:separator/>
      </w:r>
    </w:p>
  </w:endnote>
  <w:endnote w:type="continuationSeparator" w:id="0">
    <w:p w14:paraId="408D81E7" w14:textId="77777777" w:rsidR="008C28DC" w:rsidRDefault="008C28DC">
      <w:r>
        <w:continuationSeparator/>
      </w:r>
    </w:p>
  </w:endnote>
  <w:endnote w:type="continuationNotice" w:id="1">
    <w:p w14:paraId="6ECAF83D" w14:textId="77777777" w:rsidR="008C28DC" w:rsidRDefault="008C28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914F6" w14:textId="77777777" w:rsidR="00666DF7" w:rsidRDefault="00666DF7" w:rsidP="00760EAE">
    <w:pPr>
      <w:framePr w:wrap="around" w:vAnchor="text" w:hAnchor="margin" w:xAlign="right" w:y="1"/>
    </w:pPr>
    <w:r>
      <w:fldChar w:fldCharType="begin"/>
    </w:r>
    <w:r>
      <w:instrText xml:space="preserve">PAGE  </w:instrText>
    </w:r>
    <w:r>
      <w:fldChar w:fldCharType="separate"/>
    </w:r>
    <w:r w:rsidR="000E4C19">
      <w:rPr>
        <w:noProof/>
      </w:rPr>
      <w:t>4</w:t>
    </w:r>
    <w:r>
      <w:fldChar w:fldCharType="end"/>
    </w:r>
  </w:p>
  <w:p w14:paraId="4255D9A3" w14:textId="77777777" w:rsidR="00666DF7" w:rsidRDefault="00666DF7" w:rsidP="00B4479A">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E9B78" w14:textId="77777777" w:rsidR="00666DF7" w:rsidRDefault="00666DF7" w:rsidP="00B4479A">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68DCE" w14:textId="77777777" w:rsidR="008C28DC" w:rsidRDefault="008C28DC">
      <w:r>
        <w:separator/>
      </w:r>
    </w:p>
  </w:footnote>
  <w:footnote w:type="continuationSeparator" w:id="0">
    <w:p w14:paraId="10962003" w14:textId="77777777" w:rsidR="008C28DC" w:rsidRDefault="008C28DC">
      <w:r>
        <w:continuationSeparator/>
      </w:r>
    </w:p>
  </w:footnote>
  <w:footnote w:type="continuationNotice" w:id="1">
    <w:p w14:paraId="2081FE07" w14:textId="77777777" w:rsidR="008C28DC" w:rsidRDefault="008C28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7A219" w14:textId="77777777" w:rsidR="00666DF7" w:rsidRDefault="00666DF7" w:rsidP="00545B58">
    <w:pPr>
      <w:framePr w:wrap="around" w:vAnchor="text" w:hAnchor="margin" w:xAlign="center" w:y="1"/>
    </w:pPr>
    <w:r>
      <w:fldChar w:fldCharType="begin"/>
    </w:r>
    <w:r>
      <w:instrText xml:space="preserve">PAGE  </w:instrText>
    </w:r>
    <w:r>
      <w:fldChar w:fldCharType="separate"/>
    </w:r>
    <w:r w:rsidR="000E4C19">
      <w:rPr>
        <w:noProof/>
      </w:rPr>
      <w:t>4</w:t>
    </w:r>
    <w:r>
      <w:fldChar w:fldCharType="end"/>
    </w:r>
  </w:p>
  <w:p w14:paraId="7A525446" w14:textId="77777777" w:rsidR="00666DF7" w:rsidRDefault="00666D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DD6F6" w14:textId="0CD68A32" w:rsidR="00666DF7" w:rsidRPr="00615473" w:rsidRDefault="00666DF7" w:rsidP="000A7712">
    <w:pPr>
      <w:jc w:val="center"/>
    </w:pPr>
    <w:r w:rsidRPr="00615473">
      <w:rPr>
        <w:rStyle w:val="PageNumber"/>
      </w:rPr>
      <w:fldChar w:fldCharType="begin"/>
    </w:r>
    <w:r w:rsidRPr="00615473">
      <w:rPr>
        <w:rStyle w:val="PageNumber"/>
      </w:rPr>
      <w:instrText xml:space="preserve"> PAGE </w:instrText>
    </w:r>
    <w:r w:rsidRPr="00615473">
      <w:rPr>
        <w:rStyle w:val="PageNumber"/>
      </w:rPr>
      <w:fldChar w:fldCharType="separate"/>
    </w:r>
    <w:r w:rsidR="00BB6B02">
      <w:rPr>
        <w:rStyle w:val="PageNumber"/>
        <w:noProof/>
      </w:rPr>
      <w:t>3</w:t>
    </w:r>
    <w:r w:rsidRPr="00615473">
      <w:rPr>
        <w:rStyle w:val="PageNumber"/>
      </w:rPr>
      <w:fldChar w:fldCharType="end"/>
    </w:r>
  </w:p>
  <w:p w14:paraId="272C9727" w14:textId="77777777" w:rsidR="00666DF7" w:rsidRDefault="00666D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C57A9"/>
    <w:multiLevelType w:val="hybridMultilevel"/>
    <w:tmpl w:val="C3E6D8E2"/>
    <w:lvl w:ilvl="0" w:tplc="D9AADE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76922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A75"/>
    <w:rsid w:val="00004C6E"/>
    <w:rsid w:val="000159C0"/>
    <w:rsid w:val="00041513"/>
    <w:rsid w:val="0005646C"/>
    <w:rsid w:val="00060463"/>
    <w:rsid w:val="0007121D"/>
    <w:rsid w:val="00077E1E"/>
    <w:rsid w:val="00082569"/>
    <w:rsid w:val="00083A6A"/>
    <w:rsid w:val="000866E7"/>
    <w:rsid w:val="000A639B"/>
    <w:rsid w:val="000A7712"/>
    <w:rsid w:val="000B2D64"/>
    <w:rsid w:val="000D353F"/>
    <w:rsid w:val="000E2C8B"/>
    <w:rsid w:val="000E4C19"/>
    <w:rsid w:val="000F0F53"/>
    <w:rsid w:val="000F66D6"/>
    <w:rsid w:val="001049D4"/>
    <w:rsid w:val="001121E3"/>
    <w:rsid w:val="00136800"/>
    <w:rsid w:val="00150F70"/>
    <w:rsid w:val="00152DC1"/>
    <w:rsid w:val="0017051F"/>
    <w:rsid w:val="001710F5"/>
    <w:rsid w:val="00180016"/>
    <w:rsid w:val="00186F89"/>
    <w:rsid w:val="00187967"/>
    <w:rsid w:val="001974D2"/>
    <w:rsid w:val="001C4930"/>
    <w:rsid w:val="002062ED"/>
    <w:rsid w:val="002275F0"/>
    <w:rsid w:val="00237F50"/>
    <w:rsid w:val="00251772"/>
    <w:rsid w:val="00255D36"/>
    <w:rsid w:val="002610E7"/>
    <w:rsid w:val="00270686"/>
    <w:rsid w:val="00271F9D"/>
    <w:rsid w:val="00274A63"/>
    <w:rsid w:val="002A2E03"/>
    <w:rsid w:val="002B242B"/>
    <w:rsid w:val="002B7A60"/>
    <w:rsid w:val="002E0185"/>
    <w:rsid w:val="002F3DFD"/>
    <w:rsid w:val="00304E43"/>
    <w:rsid w:val="0031009B"/>
    <w:rsid w:val="003105A5"/>
    <w:rsid w:val="00317109"/>
    <w:rsid w:val="00317AE8"/>
    <w:rsid w:val="0032325C"/>
    <w:rsid w:val="003340DB"/>
    <w:rsid w:val="003379B6"/>
    <w:rsid w:val="00346D0C"/>
    <w:rsid w:val="00352946"/>
    <w:rsid w:val="00366C89"/>
    <w:rsid w:val="00394A0F"/>
    <w:rsid w:val="00397934"/>
    <w:rsid w:val="003A4E0A"/>
    <w:rsid w:val="003B2EEF"/>
    <w:rsid w:val="003B5C3C"/>
    <w:rsid w:val="003C0D84"/>
    <w:rsid w:val="003F58CB"/>
    <w:rsid w:val="003F6520"/>
    <w:rsid w:val="00412A5C"/>
    <w:rsid w:val="00412B07"/>
    <w:rsid w:val="00413F57"/>
    <w:rsid w:val="0041575E"/>
    <w:rsid w:val="0041677C"/>
    <w:rsid w:val="00426704"/>
    <w:rsid w:val="00432C95"/>
    <w:rsid w:val="0044047E"/>
    <w:rsid w:val="0044460C"/>
    <w:rsid w:val="004511D5"/>
    <w:rsid w:val="00461076"/>
    <w:rsid w:val="00491E69"/>
    <w:rsid w:val="004950BE"/>
    <w:rsid w:val="004A6D07"/>
    <w:rsid w:val="004C239F"/>
    <w:rsid w:val="004E673A"/>
    <w:rsid w:val="004F68F2"/>
    <w:rsid w:val="00505710"/>
    <w:rsid w:val="00505D01"/>
    <w:rsid w:val="005252D2"/>
    <w:rsid w:val="00525AEA"/>
    <w:rsid w:val="00545B58"/>
    <w:rsid w:val="0055610B"/>
    <w:rsid w:val="005568BF"/>
    <w:rsid w:val="00565137"/>
    <w:rsid w:val="005842D1"/>
    <w:rsid w:val="00586ACD"/>
    <w:rsid w:val="00590143"/>
    <w:rsid w:val="00591275"/>
    <w:rsid w:val="00593536"/>
    <w:rsid w:val="005A14F5"/>
    <w:rsid w:val="005B092D"/>
    <w:rsid w:val="005C0751"/>
    <w:rsid w:val="005C1D44"/>
    <w:rsid w:val="005C7284"/>
    <w:rsid w:val="005E5FFC"/>
    <w:rsid w:val="005F2178"/>
    <w:rsid w:val="005F3B6C"/>
    <w:rsid w:val="00600A8F"/>
    <w:rsid w:val="00615473"/>
    <w:rsid w:val="00622FD1"/>
    <w:rsid w:val="00623D13"/>
    <w:rsid w:val="006250A6"/>
    <w:rsid w:val="00631758"/>
    <w:rsid w:val="006478C6"/>
    <w:rsid w:val="00666DF7"/>
    <w:rsid w:val="00667A60"/>
    <w:rsid w:val="006862FF"/>
    <w:rsid w:val="00691BAC"/>
    <w:rsid w:val="006A2677"/>
    <w:rsid w:val="006C119E"/>
    <w:rsid w:val="006C1464"/>
    <w:rsid w:val="006D77FC"/>
    <w:rsid w:val="006E137E"/>
    <w:rsid w:val="006E4C74"/>
    <w:rsid w:val="006F3B6B"/>
    <w:rsid w:val="006F7A5F"/>
    <w:rsid w:val="00713A04"/>
    <w:rsid w:val="007240D3"/>
    <w:rsid w:val="00737ECE"/>
    <w:rsid w:val="00751725"/>
    <w:rsid w:val="00757F85"/>
    <w:rsid w:val="00760EAE"/>
    <w:rsid w:val="00771099"/>
    <w:rsid w:val="00772B4C"/>
    <w:rsid w:val="0077721B"/>
    <w:rsid w:val="00777B58"/>
    <w:rsid w:val="007821CF"/>
    <w:rsid w:val="00782D75"/>
    <w:rsid w:val="007853E1"/>
    <w:rsid w:val="00790CBB"/>
    <w:rsid w:val="00792D19"/>
    <w:rsid w:val="00793168"/>
    <w:rsid w:val="00793FA9"/>
    <w:rsid w:val="007D3F6A"/>
    <w:rsid w:val="007F6B92"/>
    <w:rsid w:val="008162BD"/>
    <w:rsid w:val="00840D72"/>
    <w:rsid w:val="0084629A"/>
    <w:rsid w:val="00847BAD"/>
    <w:rsid w:val="00865438"/>
    <w:rsid w:val="00871322"/>
    <w:rsid w:val="00891D5A"/>
    <w:rsid w:val="008A0A77"/>
    <w:rsid w:val="008A3784"/>
    <w:rsid w:val="008C181E"/>
    <w:rsid w:val="008C2885"/>
    <w:rsid w:val="008C28DC"/>
    <w:rsid w:val="008E2884"/>
    <w:rsid w:val="008E3621"/>
    <w:rsid w:val="008E642D"/>
    <w:rsid w:val="008F2011"/>
    <w:rsid w:val="00904859"/>
    <w:rsid w:val="00925E44"/>
    <w:rsid w:val="009404EB"/>
    <w:rsid w:val="009518BB"/>
    <w:rsid w:val="00953372"/>
    <w:rsid w:val="0095370B"/>
    <w:rsid w:val="0096401F"/>
    <w:rsid w:val="00974171"/>
    <w:rsid w:val="009930DC"/>
    <w:rsid w:val="009B5E44"/>
    <w:rsid w:val="009C23AC"/>
    <w:rsid w:val="009C3750"/>
    <w:rsid w:val="009C4906"/>
    <w:rsid w:val="009F7B4D"/>
    <w:rsid w:val="00A0260A"/>
    <w:rsid w:val="00A03C36"/>
    <w:rsid w:val="00A30527"/>
    <w:rsid w:val="00A37253"/>
    <w:rsid w:val="00A419DE"/>
    <w:rsid w:val="00A42FE5"/>
    <w:rsid w:val="00A50DBC"/>
    <w:rsid w:val="00A53961"/>
    <w:rsid w:val="00A94AA7"/>
    <w:rsid w:val="00AB0D23"/>
    <w:rsid w:val="00AC1666"/>
    <w:rsid w:val="00AC2A6F"/>
    <w:rsid w:val="00AC2FEB"/>
    <w:rsid w:val="00AD4FFF"/>
    <w:rsid w:val="00AF16BD"/>
    <w:rsid w:val="00B011DB"/>
    <w:rsid w:val="00B11DDB"/>
    <w:rsid w:val="00B1667C"/>
    <w:rsid w:val="00B21F7E"/>
    <w:rsid w:val="00B239E4"/>
    <w:rsid w:val="00B24149"/>
    <w:rsid w:val="00B446A2"/>
    <w:rsid w:val="00B4479A"/>
    <w:rsid w:val="00B71DCC"/>
    <w:rsid w:val="00B918DF"/>
    <w:rsid w:val="00B93985"/>
    <w:rsid w:val="00BA5A75"/>
    <w:rsid w:val="00BB6B02"/>
    <w:rsid w:val="00BB6EA6"/>
    <w:rsid w:val="00BC4334"/>
    <w:rsid w:val="00BD6BC7"/>
    <w:rsid w:val="00BE49E0"/>
    <w:rsid w:val="00BE6E4B"/>
    <w:rsid w:val="00BF04FA"/>
    <w:rsid w:val="00C00B0E"/>
    <w:rsid w:val="00C1274C"/>
    <w:rsid w:val="00C3157D"/>
    <w:rsid w:val="00C37540"/>
    <w:rsid w:val="00C81E55"/>
    <w:rsid w:val="00C91424"/>
    <w:rsid w:val="00C96E8C"/>
    <w:rsid w:val="00C9775E"/>
    <w:rsid w:val="00CA4C0E"/>
    <w:rsid w:val="00CD0AF4"/>
    <w:rsid w:val="00CE11DB"/>
    <w:rsid w:val="00CE55B6"/>
    <w:rsid w:val="00CF14CC"/>
    <w:rsid w:val="00CF7AC4"/>
    <w:rsid w:val="00D04218"/>
    <w:rsid w:val="00D04ADA"/>
    <w:rsid w:val="00D37A0B"/>
    <w:rsid w:val="00D41B77"/>
    <w:rsid w:val="00D438D6"/>
    <w:rsid w:val="00D43CD1"/>
    <w:rsid w:val="00D53D84"/>
    <w:rsid w:val="00D54C87"/>
    <w:rsid w:val="00D81D06"/>
    <w:rsid w:val="00D83C0E"/>
    <w:rsid w:val="00D9606E"/>
    <w:rsid w:val="00DB5ADC"/>
    <w:rsid w:val="00DD53F8"/>
    <w:rsid w:val="00DE024E"/>
    <w:rsid w:val="00DE2E3D"/>
    <w:rsid w:val="00DE752E"/>
    <w:rsid w:val="00DF41D3"/>
    <w:rsid w:val="00E002D2"/>
    <w:rsid w:val="00E00522"/>
    <w:rsid w:val="00E30625"/>
    <w:rsid w:val="00E42B37"/>
    <w:rsid w:val="00E613B6"/>
    <w:rsid w:val="00EA2C25"/>
    <w:rsid w:val="00EB2EC6"/>
    <w:rsid w:val="00EC4F6E"/>
    <w:rsid w:val="00EE0C32"/>
    <w:rsid w:val="00EF394E"/>
    <w:rsid w:val="00EF6D66"/>
    <w:rsid w:val="00F11583"/>
    <w:rsid w:val="00F17813"/>
    <w:rsid w:val="00F35997"/>
    <w:rsid w:val="00F4254C"/>
    <w:rsid w:val="00F54626"/>
    <w:rsid w:val="00F65D2F"/>
    <w:rsid w:val="00F7552D"/>
    <w:rsid w:val="00F7564E"/>
    <w:rsid w:val="00FC3A0D"/>
    <w:rsid w:val="00FD5DBE"/>
    <w:rsid w:val="00FD7E01"/>
    <w:rsid w:val="00FE20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D8AB6D"/>
  <w15:docId w15:val="{D18CAAC7-435C-4031-A8FA-436A6710F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FD5DBE"/>
    <w:pPr>
      <w:spacing w:before="1320" w:after="480"/>
    </w:pPr>
    <w:rPr>
      <w:rFonts w:ascii="Arial" w:hAnsi="Arial"/>
      <w:sz w:val="24"/>
      <w:szCs w:val="24"/>
      <w:lang w:eastAsia="en-US"/>
    </w:rPr>
  </w:style>
  <w:style w:type="paragraph" w:customStyle="1" w:styleId="LDDescription">
    <w:name w:val="LD Description"/>
    <w:basedOn w:val="LDTitle"/>
    <w:rsid w:val="00FD5DBE"/>
    <w:pPr>
      <w:pBdr>
        <w:bottom w:val="single" w:sz="4" w:space="3" w:color="auto"/>
      </w:pBdr>
      <w:spacing w:before="360" w:after="120"/>
    </w:pPr>
    <w:rPr>
      <w:b/>
    </w:rPr>
  </w:style>
  <w:style w:type="paragraph" w:customStyle="1" w:styleId="LDAmendHeading">
    <w:name w:val="LDAmendHeading"/>
    <w:basedOn w:val="LDTitle"/>
    <w:next w:val="Normal"/>
    <w:rsid w:val="00FD5DBE"/>
    <w:pPr>
      <w:keepNext/>
      <w:spacing w:before="180" w:after="60"/>
      <w:ind w:left="720" w:hanging="720"/>
    </w:pPr>
    <w:rPr>
      <w:b/>
    </w:rPr>
  </w:style>
  <w:style w:type="paragraph" w:customStyle="1" w:styleId="LDBodytext">
    <w:name w:val="LDBody text"/>
    <w:link w:val="LDBodytextChar"/>
    <w:rsid w:val="00FD5DBE"/>
    <w:rPr>
      <w:sz w:val="24"/>
      <w:szCs w:val="24"/>
      <w:lang w:eastAsia="en-US"/>
    </w:rPr>
  </w:style>
  <w:style w:type="paragraph" w:customStyle="1" w:styleId="LDClause">
    <w:name w:val="LDClause"/>
    <w:basedOn w:val="LDBodytext"/>
    <w:rsid w:val="00FD5DBE"/>
    <w:pPr>
      <w:tabs>
        <w:tab w:val="right" w:pos="454"/>
        <w:tab w:val="left" w:pos="737"/>
      </w:tabs>
      <w:spacing w:before="60" w:after="60"/>
      <w:ind w:left="737" w:hanging="1021"/>
    </w:pPr>
  </w:style>
  <w:style w:type="paragraph" w:customStyle="1" w:styleId="LDScheduleClause">
    <w:name w:val="LDScheduleClause"/>
    <w:basedOn w:val="LDClause"/>
    <w:rsid w:val="00FD5DBE"/>
    <w:pPr>
      <w:ind w:left="738" w:hanging="851"/>
    </w:pPr>
  </w:style>
  <w:style w:type="paragraph" w:customStyle="1" w:styleId="LDAmendInstruction">
    <w:name w:val="LDAmendInstruction"/>
    <w:basedOn w:val="LDScheduleClause"/>
    <w:next w:val="Normal"/>
    <w:rsid w:val="00FD5DBE"/>
    <w:pPr>
      <w:keepNext/>
      <w:spacing w:before="120"/>
      <w:ind w:left="737" w:firstLine="0"/>
    </w:pPr>
    <w:rPr>
      <w:i/>
    </w:rPr>
  </w:style>
  <w:style w:type="paragraph" w:customStyle="1" w:styleId="LDAmendText">
    <w:name w:val="LDAmendText"/>
    <w:basedOn w:val="LDBodytext"/>
    <w:next w:val="LDAmendInstruction"/>
    <w:rsid w:val="00FD5DBE"/>
    <w:pPr>
      <w:spacing w:before="60" w:after="60"/>
      <w:ind w:left="964"/>
    </w:pPr>
  </w:style>
  <w:style w:type="character" w:customStyle="1" w:styleId="LDBodytextChar">
    <w:name w:val="LDBody text Char"/>
    <w:link w:val="LDBodytext"/>
    <w:rsid w:val="00FD5DBE"/>
    <w:rPr>
      <w:sz w:val="24"/>
      <w:szCs w:val="24"/>
      <w:lang w:val="en-AU" w:eastAsia="en-US" w:bidi="ar-SA"/>
    </w:rPr>
  </w:style>
  <w:style w:type="character" w:customStyle="1" w:styleId="LDCitation">
    <w:name w:val="LDCitation"/>
    <w:rsid w:val="00FD5DBE"/>
    <w:rPr>
      <w:i/>
      <w:iCs/>
    </w:rPr>
  </w:style>
  <w:style w:type="paragraph" w:customStyle="1" w:styleId="LDClauseHeading">
    <w:name w:val="LDClauseHeading"/>
    <w:basedOn w:val="LDTitle"/>
    <w:next w:val="LDClause"/>
    <w:rsid w:val="00FD5DBE"/>
    <w:pPr>
      <w:keepNext/>
      <w:tabs>
        <w:tab w:val="left" w:pos="737"/>
      </w:tabs>
      <w:spacing w:before="180" w:after="60"/>
      <w:ind w:left="737" w:hanging="737"/>
    </w:pPr>
    <w:rPr>
      <w:b/>
    </w:rPr>
  </w:style>
  <w:style w:type="paragraph" w:customStyle="1" w:styleId="LDDate">
    <w:name w:val="LDDate"/>
    <w:basedOn w:val="LDBodytext"/>
    <w:rsid w:val="00FD5DBE"/>
    <w:pPr>
      <w:spacing w:before="240"/>
    </w:pPr>
  </w:style>
  <w:style w:type="paragraph" w:customStyle="1" w:styleId="LDdefinition">
    <w:name w:val="LDdefinition"/>
    <w:basedOn w:val="LDClause"/>
    <w:rsid w:val="00FD5DBE"/>
    <w:pPr>
      <w:tabs>
        <w:tab w:val="clear" w:pos="454"/>
        <w:tab w:val="clear" w:pos="737"/>
      </w:tabs>
      <w:ind w:firstLine="0"/>
    </w:pPr>
  </w:style>
  <w:style w:type="paragraph" w:customStyle="1" w:styleId="LDEndLine">
    <w:name w:val="LDEndLine"/>
    <w:basedOn w:val="BodyText"/>
    <w:rsid w:val="00FD5DBE"/>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FD5DBE"/>
    <w:pPr>
      <w:spacing w:before="60"/>
    </w:pPr>
  </w:style>
  <w:style w:type="paragraph" w:customStyle="1" w:styleId="LDFooter">
    <w:name w:val="LDFooter"/>
    <w:basedOn w:val="LDBodytext"/>
    <w:rsid w:val="00FD5DBE"/>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FD5DBE"/>
    <w:pPr>
      <w:ind w:firstLine="0"/>
    </w:pPr>
    <w:rPr>
      <w:sz w:val="20"/>
    </w:rPr>
  </w:style>
  <w:style w:type="paragraph" w:customStyle="1" w:styleId="LDNotePara">
    <w:name w:val="LDNotePara"/>
    <w:basedOn w:val="LDNote"/>
    <w:rsid w:val="00FD5DBE"/>
    <w:pPr>
      <w:tabs>
        <w:tab w:val="clear" w:pos="454"/>
      </w:tabs>
      <w:ind w:left="1701" w:hanging="454"/>
    </w:pPr>
  </w:style>
  <w:style w:type="paragraph" w:customStyle="1" w:styleId="LDP1a">
    <w:name w:val="LDP1(a)"/>
    <w:basedOn w:val="LDClause"/>
    <w:rsid w:val="00FD5DBE"/>
    <w:pPr>
      <w:tabs>
        <w:tab w:val="clear" w:pos="454"/>
        <w:tab w:val="clear" w:pos="737"/>
        <w:tab w:val="left" w:pos="1191"/>
      </w:tabs>
      <w:ind w:left="1191" w:hanging="454"/>
    </w:pPr>
  </w:style>
  <w:style w:type="paragraph" w:customStyle="1" w:styleId="LDP2i">
    <w:name w:val="LDP2 (i)"/>
    <w:basedOn w:val="LDP1a"/>
    <w:rsid w:val="00FD5DBE"/>
    <w:pPr>
      <w:tabs>
        <w:tab w:val="clear" w:pos="1191"/>
        <w:tab w:val="right" w:pos="1418"/>
        <w:tab w:val="left" w:pos="1559"/>
      </w:tabs>
      <w:ind w:left="1588" w:hanging="1134"/>
    </w:pPr>
  </w:style>
  <w:style w:type="paragraph" w:customStyle="1" w:styleId="LDP3A">
    <w:name w:val="LDP3 (A)"/>
    <w:basedOn w:val="LDP2i"/>
    <w:rsid w:val="00FD5DBE"/>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FD5DBE"/>
    <w:pPr>
      <w:spacing w:before="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FD5DBE"/>
  </w:style>
  <w:style w:type="paragraph" w:customStyle="1" w:styleId="LDSchedSubclHead">
    <w:name w:val="LDSchedSubclHead"/>
    <w:basedOn w:val="LDScheduleClauseHead"/>
    <w:rsid w:val="00FD5DBE"/>
    <w:pPr>
      <w:tabs>
        <w:tab w:val="clear" w:pos="737"/>
        <w:tab w:val="left" w:pos="851"/>
      </w:tabs>
      <w:ind w:left="284"/>
    </w:pPr>
    <w:rPr>
      <w:b w:val="0"/>
    </w:rPr>
  </w:style>
  <w:style w:type="paragraph" w:customStyle="1" w:styleId="LDScheduleheading">
    <w:name w:val="LDSchedule heading"/>
    <w:basedOn w:val="LDTitle"/>
    <w:next w:val="LDBodytext"/>
    <w:rsid w:val="00FD5DBE"/>
    <w:pPr>
      <w:keepNext/>
      <w:tabs>
        <w:tab w:val="left" w:pos="1843"/>
      </w:tabs>
      <w:spacing w:before="480" w:after="120"/>
      <w:ind w:left="1843" w:hanging="1843"/>
    </w:pPr>
    <w:rPr>
      <w:rFonts w:cs="Arial"/>
      <w:b/>
    </w:rPr>
  </w:style>
  <w:style w:type="paragraph" w:customStyle="1" w:styleId="LDSignatory">
    <w:name w:val="LDSignatory"/>
    <w:basedOn w:val="LDBodytext"/>
    <w:next w:val="LDBodytext"/>
    <w:rsid w:val="00FD5DBE"/>
    <w:pPr>
      <w:keepNext/>
      <w:spacing w:before="900"/>
    </w:pPr>
  </w:style>
  <w:style w:type="paragraph" w:customStyle="1" w:styleId="LDSubclauseHead">
    <w:name w:val="LDSubclauseHead"/>
    <w:basedOn w:val="LDClauseHeading"/>
    <w:rsid w:val="00FD5DBE"/>
    <w:rPr>
      <w:b w:val="0"/>
    </w:rPr>
  </w:style>
  <w:style w:type="paragraph" w:customStyle="1" w:styleId="LDTableheading">
    <w:name w:val="LDTableheading"/>
    <w:basedOn w:val="LDBodytext"/>
    <w:rsid w:val="00FD5DBE"/>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FD5DBE"/>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974171"/>
    <w:pPr>
      <w:tabs>
        <w:tab w:val="right" w:pos="1134"/>
        <w:tab w:val="left" w:pos="1276"/>
        <w:tab w:val="right" w:pos="1843"/>
        <w:tab w:val="left" w:pos="1985"/>
        <w:tab w:val="right" w:pos="2552"/>
        <w:tab w:val="left" w:pos="2693"/>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styleId="BodyText3">
    <w:name w:val="Body Text 3"/>
    <w:basedOn w:val="Normal"/>
    <w:rsid w:val="000A7712"/>
    <w:pPr>
      <w:tabs>
        <w:tab w:val="left" w:pos="567"/>
      </w:tabs>
      <w:overflowPunct w:val="0"/>
      <w:autoSpaceDE w:val="0"/>
      <w:autoSpaceDN w:val="0"/>
      <w:adjustRightInd w:val="0"/>
      <w:spacing w:after="120"/>
      <w:textAlignment w:val="baseline"/>
    </w:pPr>
    <w:rPr>
      <w:rFonts w:ascii="Times New (W1)" w:hAnsi="Times New (W1)"/>
      <w:sz w:val="16"/>
      <w:szCs w:val="16"/>
    </w:rPr>
  </w:style>
  <w:style w:type="paragraph" w:customStyle="1" w:styleId="STANDARD">
    <w:name w:val="STANDARD"/>
    <w:basedOn w:val="Normal"/>
    <w:rsid w:val="000A7712"/>
    <w:pPr>
      <w:tabs>
        <w:tab w:val="left" w:pos="567"/>
        <w:tab w:val="left" w:pos="1134"/>
        <w:tab w:val="left" w:pos="1701"/>
        <w:tab w:val="left" w:pos="2268"/>
        <w:tab w:val="left" w:pos="2835"/>
        <w:tab w:val="left" w:pos="3402"/>
      </w:tabs>
      <w:overflowPunct w:val="0"/>
      <w:autoSpaceDE w:val="0"/>
      <w:autoSpaceDN w:val="0"/>
      <w:adjustRightInd w:val="0"/>
      <w:jc w:val="both"/>
      <w:textAlignment w:val="baseline"/>
    </w:pPr>
    <w:rPr>
      <w:szCs w:val="20"/>
      <w:lang w:val="en-GB"/>
    </w:rPr>
  </w:style>
  <w:style w:type="character" w:styleId="PageNumber">
    <w:name w:val="page number"/>
    <w:basedOn w:val="DefaultParagraphFont"/>
    <w:rsid w:val="000A7712"/>
  </w:style>
  <w:style w:type="paragraph" w:styleId="BalloonText">
    <w:name w:val="Balloon Text"/>
    <w:basedOn w:val="Normal"/>
    <w:semiHidden/>
    <w:rsid w:val="004E673A"/>
    <w:rPr>
      <w:rFonts w:ascii="Tahoma" w:hAnsi="Tahoma" w:cs="Tahoma"/>
      <w:sz w:val="16"/>
      <w:szCs w:val="16"/>
    </w:rPr>
  </w:style>
  <w:style w:type="character" w:customStyle="1" w:styleId="paragraphChar">
    <w:name w:val="paragraph Char"/>
    <w:aliases w:val="a Char"/>
    <w:basedOn w:val="DefaultParagraphFont"/>
    <w:link w:val="paragraph"/>
    <w:locked/>
    <w:rsid w:val="00A37253"/>
  </w:style>
  <w:style w:type="paragraph" w:customStyle="1" w:styleId="paragraph">
    <w:name w:val="paragraph"/>
    <w:aliases w:val="a,Paragraph"/>
    <w:basedOn w:val="Normal"/>
    <w:link w:val="paragraphChar"/>
    <w:rsid w:val="00A37253"/>
    <w:pPr>
      <w:tabs>
        <w:tab w:val="right" w:pos="1531"/>
      </w:tabs>
      <w:spacing w:before="40"/>
      <w:ind w:left="1644" w:hanging="1644"/>
    </w:pPr>
    <w:rPr>
      <w:sz w:val="20"/>
      <w:szCs w:val="20"/>
      <w:lang w:eastAsia="en-AU"/>
    </w:rPr>
  </w:style>
  <w:style w:type="character" w:customStyle="1" w:styleId="normaltextrun">
    <w:name w:val="normaltextrun"/>
    <w:basedOn w:val="DefaultParagraphFont"/>
    <w:rsid w:val="00A37253"/>
  </w:style>
  <w:style w:type="character" w:customStyle="1" w:styleId="eop">
    <w:name w:val="eop"/>
    <w:basedOn w:val="DefaultParagraphFont"/>
    <w:rsid w:val="00A37253"/>
  </w:style>
  <w:style w:type="table" w:styleId="TableGrid">
    <w:name w:val="Table Grid"/>
    <w:basedOn w:val="TableNormal"/>
    <w:uiPriority w:val="39"/>
    <w:rsid w:val="00A3725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751"/>
    <w:pPr>
      <w:ind w:left="720"/>
      <w:contextualSpacing/>
    </w:pPr>
  </w:style>
  <w:style w:type="paragraph" w:styleId="Revision">
    <w:name w:val="Revision"/>
    <w:hidden/>
    <w:uiPriority w:val="99"/>
    <w:semiHidden/>
    <w:rsid w:val="00366C89"/>
    <w:rPr>
      <w:sz w:val="24"/>
      <w:szCs w:val="24"/>
      <w:lang w:eastAsia="en-US"/>
    </w:rPr>
  </w:style>
  <w:style w:type="character" w:styleId="CommentReference">
    <w:name w:val="annotation reference"/>
    <w:basedOn w:val="DefaultParagraphFont"/>
    <w:semiHidden/>
    <w:unhideWhenUsed/>
    <w:rsid w:val="000F66D6"/>
    <w:rPr>
      <w:sz w:val="16"/>
      <w:szCs w:val="16"/>
    </w:rPr>
  </w:style>
  <w:style w:type="paragraph" w:styleId="CommentText">
    <w:name w:val="annotation text"/>
    <w:basedOn w:val="Normal"/>
    <w:link w:val="CommentTextChar"/>
    <w:unhideWhenUsed/>
    <w:rsid w:val="000F66D6"/>
    <w:rPr>
      <w:sz w:val="20"/>
      <w:szCs w:val="20"/>
    </w:rPr>
  </w:style>
  <w:style w:type="character" w:customStyle="1" w:styleId="CommentTextChar">
    <w:name w:val="Comment Text Char"/>
    <w:basedOn w:val="DefaultParagraphFont"/>
    <w:link w:val="CommentText"/>
    <w:rsid w:val="000F66D6"/>
    <w:rPr>
      <w:lang w:eastAsia="en-US"/>
    </w:rPr>
  </w:style>
  <w:style w:type="paragraph" w:styleId="CommentSubject">
    <w:name w:val="annotation subject"/>
    <w:basedOn w:val="CommentText"/>
    <w:next w:val="CommentText"/>
    <w:link w:val="CommentSubjectChar"/>
    <w:semiHidden/>
    <w:unhideWhenUsed/>
    <w:rsid w:val="000F66D6"/>
    <w:rPr>
      <w:b/>
      <w:bCs/>
    </w:rPr>
  </w:style>
  <w:style w:type="character" w:customStyle="1" w:styleId="CommentSubjectChar">
    <w:name w:val="Comment Subject Char"/>
    <w:basedOn w:val="CommentTextChar"/>
    <w:link w:val="CommentSubject"/>
    <w:semiHidden/>
    <w:rsid w:val="000F66D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898863">
      <w:bodyDiv w:val="1"/>
      <w:marLeft w:val="0"/>
      <w:marRight w:val="0"/>
      <w:marTop w:val="0"/>
      <w:marBottom w:val="0"/>
      <w:divBdr>
        <w:top w:val="none" w:sz="0" w:space="0" w:color="auto"/>
        <w:left w:val="none" w:sz="0" w:space="0" w:color="auto"/>
        <w:bottom w:val="none" w:sz="0" w:space="0" w:color="auto"/>
        <w:right w:val="none" w:sz="0" w:space="0" w:color="auto"/>
      </w:divBdr>
    </w:div>
    <w:div w:id="210476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V:\Legislative%20drafting\Drafting%20material\LD%20templates\LD%20drafting\LD%20instruments\LD%20explanatory%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ab0d64221b2232da4a984f6a4f20593d">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a20585382c418e898fa6528adbec4c06"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6FC5C7-F3FC-4B39-A17A-6C66297EFA2C}">
  <ds:schemaRefs>
    <ds:schemaRef ds:uri="http://schemas.microsoft.com/sharepoint/v3/contenttype/forms"/>
  </ds:schemaRefs>
</ds:datastoreItem>
</file>

<file path=customXml/itemProps2.xml><?xml version="1.0" encoding="utf-8"?>
<ds:datastoreItem xmlns:ds="http://schemas.openxmlformats.org/officeDocument/2006/customXml" ds:itemID="{E5B51552-5E8D-4964-9B63-DBA018611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9BF4E9-0394-407D-BD41-18324578C448}">
  <ds:schemaRefs>
    <ds:schemaRef ds:uri="http://purl.org/dc/terms/"/>
    <ds:schemaRef ds:uri="f8659690-d3c8-47b5-b3b3-85ad8ced11e2"/>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66e66ea9-5730-4944-8dab-9fca3d60fd0b"/>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LD explanatory statement.dot</Template>
  <TotalTime>67</TotalTime>
  <Pages>6</Pages>
  <Words>2164</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CASA EX82/24 — Explanatory Statement</vt:lpstr>
    </vt:vector>
  </TitlesOfParts>
  <Company>Civil Aviation Safety Authority</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EX82/24 — Explanatory Statement</dc:title>
  <dc:subject>Recording of Time-in-service (Class A Aircraft) Exemption 2024</dc:subject>
  <dc:creator>Civil Aviation Safety Authority</dc:creator>
  <cp:lastModifiedBy>O'Hagan, Danny</cp:lastModifiedBy>
  <cp:revision>46</cp:revision>
  <cp:lastPrinted>2024-11-20T06:36:00Z</cp:lastPrinted>
  <dcterms:created xsi:type="dcterms:W3CDTF">2024-11-18T20:30:00Z</dcterms:created>
  <dcterms:modified xsi:type="dcterms:W3CDTF">2024-11-26T11:45:00Z</dcterms:modified>
  <cp:category>Exemptions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