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70B09" w14:textId="77777777" w:rsidR="00451C34" w:rsidRPr="00DA463F" w:rsidRDefault="00451C34" w:rsidP="00451C34">
      <w:pPr>
        <w:autoSpaceDE w:val="0"/>
        <w:autoSpaceDN w:val="0"/>
        <w:adjustRightInd w:val="0"/>
        <w:jc w:val="center"/>
        <w:rPr>
          <w:b/>
          <w:bCs/>
          <w:sz w:val="22"/>
          <w:szCs w:val="22"/>
          <w:u w:val="single"/>
        </w:rPr>
      </w:pPr>
      <w:r w:rsidRPr="00DA463F">
        <w:rPr>
          <w:b/>
          <w:bCs/>
          <w:sz w:val="22"/>
          <w:szCs w:val="22"/>
          <w:u w:val="single"/>
        </w:rPr>
        <w:t>EXPLANATORY STATEMENT</w:t>
      </w:r>
    </w:p>
    <w:p w14:paraId="4B4F42AB" w14:textId="77777777" w:rsidR="00451C34" w:rsidRPr="00814D61" w:rsidRDefault="00451C34" w:rsidP="00451C34">
      <w:pPr>
        <w:autoSpaceDE w:val="0"/>
        <w:autoSpaceDN w:val="0"/>
        <w:adjustRightInd w:val="0"/>
        <w:jc w:val="center"/>
        <w:rPr>
          <w:b/>
          <w:sz w:val="22"/>
          <w:szCs w:val="22"/>
        </w:rPr>
      </w:pPr>
    </w:p>
    <w:p w14:paraId="3ABD7143" w14:textId="77777777" w:rsidR="00451C34" w:rsidRPr="00814D61" w:rsidRDefault="00451C34" w:rsidP="00451C34">
      <w:pPr>
        <w:autoSpaceDE w:val="0"/>
        <w:autoSpaceDN w:val="0"/>
        <w:adjustRightInd w:val="0"/>
        <w:jc w:val="center"/>
        <w:rPr>
          <w:b/>
          <w:sz w:val="22"/>
          <w:szCs w:val="22"/>
        </w:rPr>
      </w:pPr>
      <w:r w:rsidRPr="00814D61">
        <w:rPr>
          <w:b/>
          <w:sz w:val="22"/>
          <w:szCs w:val="22"/>
        </w:rPr>
        <w:t>Issued by the Authority of the Australian Fisheries Management Authority</w:t>
      </w:r>
    </w:p>
    <w:p w14:paraId="10AEFAB3" w14:textId="77777777" w:rsidR="00451C34" w:rsidRPr="00814D61" w:rsidRDefault="00451C34" w:rsidP="00451C34">
      <w:pPr>
        <w:autoSpaceDE w:val="0"/>
        <w:autoSpaceDN w:val="0"/>
        <w:adjustRightInd w:val="0"/>
        <w:jc w:val="center"/>
        <w:rPr>
          <w:b/>
          <w:sz w:val="22"/>
          <w:szCs w:val="22"/>
        </w:rPr>
      </w:pPr>
    </w:p>
    <w:p w14:paraId="23D452F6" w14:textId="77777777" w:rsidR="00451C34" w:rsidRPr="00814D61" w:rsidRDefault="00451C34" w:rsidP="00451C34">
      <w:pPr>
        <w:autoSpaceDE w:val="0"/>
        <w:autoSpaceDN w:val="0"/>
        <w:adjustRightInd w:val="0"/>
        <w:jc w:val="center"/>
        <w:rPr>
          <w:i/>
          <w:iCs/>
          <w:sz w:val="22"/>
          <w:szCs w:val="22"/>
        </w:rPr>
      </w:pPr>
      <w:r w:rsidRPr="00814D61">
        <w:rPr>
          <w:i/>
          <w:iCs/>
          <w:sz w:val="22"/>
          <w:szCs w:val="22"/>
        </w:rPr>
        <w:t>Fisheries Management Act 1991</w:t>
      </w:r>
    </w:p>
    <w:p w14:paraId="237F681B" w14:textId="109EEC4B" w:rsidR="00451C34" w:rsidRPr="00814D61" w:rsidRDefault="003F1176" w:rsidP="00451C34">
      <w:pPr>
        <w:autoSpaceDE w:val="0"/>
        <w:autoSpaceDN w:val="0"/>
        <w:adjustRightInd w:val="0"/>
        <w:jc w:val="center"/>
        <w:rPr>
          <w:i/>
          <w:iCs/>
          <w:sz w:val="22"/>
          <w:szCs w:val="22"/>
        </w:rPr>
      </w:pPr>
      <w:r w:rsidRPr="003F1176">
        <w:rPr>
          <w:i/>
          <w:iCs/>
          <w:sz w:val="22"/>
          <w:szCs w:val="22"/>
        </w:rPr>
        <w:t>Eastern</w:t>
      </w:r>
      <w:r w:rsidR="00451C34" w:rsidRPr="00814D61">
        <w:rPr>
          <w:i/>
          <w:iCs/>
          <w:sz w:val="22"/>
          <w:szCs w:val="22"/>
        </w:rPr>
        <w:t xml:space="preserve"> Tuna and Billfish Fishery Management Plan 20</w:t>
      </w:r>
      <w:r w:rsidR="00612239" w:rsidRPr="00814D61">
        <w:rPr>
          <w:i/>
          <w:iCs/>
          <w:sz w:val="22"/>
          <w:szCs w:val="22"/>
        </w:rPr>
        <w:t>10</w:t>
      </w:r>
    </w:p>
    <w:p w14:paraId="522DE90E" w14:textId="47B14572" w:rsidR="007D1474" w:rsidRPr="00814D61" w:rsidRDefault="007D1474">
      <w:pPr>
        <w:rPr>
          <w:sz w:val="22"/>
          <w:szCs w:val="22"/>
        </w:rPr>
      </w:pPr>
    </w:p>
    <w:p w14:paraId="09029CAC" w14:textId="2613824A" w:rsidR="00451C34" w:rsidRPr="00AF3538" w:rsidRDefault="00612239" w:rsidP="00451C34">
      <w:pPr>
        <w:autoSpaceDE w:val="0"/>
        <w:autoSpaceDN w:val="0"/>
        <w:adjustRightInd w:val="0"/>
        <w:jc w:val="center"/>
        <w:rPr>
          <w:b/>
          <w:i/>
          <w:iCs/>
          <w:sz w:val="22"/>
          <w:szCs w:val="22"/>
        </w:rPr>
      </w:pPr>
      <w:r w:rsidRPr="00AF3538">
        <w:rPr>
          <w:b/>
          <w:bCs/>
          <w:i/>
          <w:iCs/>
          <w:color w:val="000000"/>
          <w:sz w:val="22"/>
          <w:szCs w:val="22"/>
          <w:shd w:val="clear" w:color="auto" w:fill="FFFFFF"/>
        </w:rPr>
        <w:t>Eastern</w:t>
      </w:r>
      <w:r w:rsidR="00451C34" w:rsidRPr="00AF3538">
        <w:rPr>
          <w:b/>
          <w:bCs/>
          <w:i/>
          <w:iCs/>
          <w:color w:val="000000"/>
          <w:sz w:val="22"/>
          <w:szCs w:val="22"/>
          <w:shd w:val="clear" w:color="auto" w:fill="FFFFFF"/>
        </w:rPr>
        <w:t xml:space="preserve"> Tuna and Billfish Fishery</w:t>
      </w:r>
      <w:r w:rsidR="00303706" w:rsidRPr="00AF3538">
        <w:rPr>
          <w:rStyle w:val="apple-converted-space"/>
          <w:b/>
          <w:bCs/>
          <w:i/>
          <w:iCs/>
          <w:color w:val="000000"/>
          <w:sz w:val="22"/>
          <w:szCs w:val="22"/>
          <w:shd w:val="clear" w:color="auto" w:fill="FFFFFF"/>
        </w:rPr>
        <w:t xml:space="preserve"> (Fishing Season and Total Allowable Commercial Catch) Determination </w:t>
      </w:r>
      <w:r w:rsidR="00C54FBC">
        <w:rPr>
          <w:rStyle w:val="apple-converted-space"/>
          <w:b/>
          <w:bCs/>
          <w:i/>
          <w:iCs/>
          <w:color w:val="000000"/>
          <w:sz w:val="22"/>
          <w:szCs w:val="22"/>
          <w:shd w:val="clear" w:color="auto" w:fill="FFFFFF"/>
        </w:rPr>
        <w:t xml:space="preserve">(No.2) </w:t>
      </w:r>
      <w:r w:rsidR="00303706" w:rsidRPr="00AF3538">
        <w:rPr>
          <w:rStyle w:val="apple-converted-space"/>
          <w:b/>
          <w:bCs/>
          <w:i/>
          <w:iCs/>
          <w:color w:val="000000"/>
          <w:sz w:val="22"/>
          <w:szCs w:val="22"/>
          <w:shd w:val="clear" w:color="auto" w:fill="FFFFFF"/>
        </w:rPr>
        <w:t>202</w:t>
      </w:r>
      <w:r w:rsidR="00DA463F" w:rsidRPr="00AF3538">
        <w:rPr>
          <w:rStyle w:val="apple-converted-space"/>
          <w:b/>
          <w:bCs/>
          <w:i/>
          <w:iCs/>
          <w:color w:val="000000"/>
          <w:sz w:val="22"/>
          <w:szCs w:val="22"/>
          <w:shd w:val="clear" w:color="auto" w:fill="FFFFFF"/>
        </w:rPr>
        <w:t>4</w:t>
      </w:r>
    </w:p>
    <w:p w14:paraId="76C1EF34" w14:textId="40ABDB31" w:rsidR="00451C34" w:rsidRPr="00814D61" w:rsidRDefault="00451C34">
      <w:pPr>
        <w:rPr>
          <w:sz w:val="22"/>
          <w:szCs w:val="22"/>
        </w:rPr>
      </w:pPr>
    </w:p>
    <w:p w14:paraId="1C04B10F" w14:textId="407885CF" w:rsidR="00451C34" w:rsidRPr="00814D61" w:rsidRDefault="00451C34" w:rsidP="00DC4B41">
      <w:pPr>
        <w:autoSpaceDE w:val="0"/>
        <w:autoSpaceDN w:val="0"/>
        <w:adjustRightInd w:val="0"/>
        <w:spacing w:after="120" w:line="260" w:lineRule="atLeast"/>
        <w:jc w:val="both"/>
        <w:rPr>
          <w:rFonts w:eastAsia="Calibri"/>
          <w:sz w:val="22"/>
          <w:szCs w:val="22"/>
          <w:lang w:val="en-AU"/>
        </w:rPr>
      </w:pPr>
      <w:r w:rsidRPr="00814D61">
        <w:rPr>
          <w:rFonts w:eastAsia="Calibri"/>
          <w:sz w:val="22"/>
          <w:szCs w:val="22"/>
          <w:lang w:val="en-AU"/>
        </w:rPr>
        <w:t xml:space="preserve">Paragraph 17(6)(aa) of the </w:t>
      </w:r>
      <w:r w:rsidRPr="00AA0C9F">
        <w:rPr>
          <w:rFonts w:eastAsia="Calibri"/>
          <w:i/>
          <w:iCs/>
          <w:sz w:val="22"/>
          <w:szCs w:val="22"/>
          <w:lang w:val="en-AU"/>
        </w:rPr>
        <w:t>Fisheries Management Act</w:t>
      </w:r>
      <w:r w:rsidRPr="00814D61">
        <w:rPr>
          <w:rFonts w:eastAsia="Calibri"/>
          <w:sz w:val="22"/>
          <w:szCs w:val="22"/>
          <w:lang w:val="en-AU"/>
        </w:rPr>
        <w:t xml:space="preserve"> </w:t>
      </w:r>
      <w:r w:rsidRPr="00AA0C9F">
        <w:rPr>
          <w:rFonts w:eastAsia="Calibri"/>
          <w:i/>
          <w:iCs/>
          <w:sz w:val="22"/>
          <w:szCs w:val="22"/>
          <w:lang w:val="en-AU"/>
        </w:rPr>
        <w:t>1991</w:t>
      </w:r>
      <w:r w:rsidRPr="00814D61">
        <w:rPr>
          <w:rFonts w:eastAsia="Calibri"/>
          <w:sz w:val="22"/>
          <w:szCs w:val="22"/>
          <w:lang w:val="en-AU"/>
        </w:rPr>
        <w:t xml:space="preserve"> (</w:t>
      </w:r>
      <w:r w:rsidRPr="00C856C0">
        <w:rPr>
          <w:rFonts w:eastAsia="Calibri"/>
          <w:b/>
          <w:bCs/>
          <w:sz w:val="22"/>
          <w:szCs w:val="22"/>
          <w:lang w:val="en-AU"/>
        </w:rPr>
        <w:t xml:space="preserve">the </w:t>
      </w:r>
      <w:r w:rsidR="00DC50C4" w:rsidRPr="00C856C0">
        <w:rPr>
          <w:rFonts w:eastAsia="Calibri"/>
          <w:b/>
          <w:bCs/>
          <w:sz w:val="22"/>
          <w:szCs w:val="22"/>
          <w:lang w:val="en-AU"/>
        </w:rPr>
        <w:t xml:space="preserve">FM </w:t>
      </w:r>
      <w:r w:rsidRPr="00C856C0">
        <w:rPr>
          <w:rFonts w:eastAsia="Calibri"/>
          <w:b/>
          <w:bCs/>
          <w:sz w:val="22"/>
          <w:szCs w:val="22"/>
          <w:lang w:val="en-AU"/>
        </w:rPr>
        <w:t>Act</w:t>
      </w:r>
      <w:r w:rsidRPr="00814D61">
        <w:rPr>
          <w:rFonts w:eastAsia="Calibri"/>
          <w:sz w:val="22"/>
          <w:szCs w:val="22"/>
          <w:lang w:val="en-AU"/>
        </w:rPr>
        <w:t>) provides that a plan of management for a fishery may determine, or provide for AFMA to determine, the fishing capacity, measured by that method or those methods, permitted for the fishery or part of the fishery in respect of a particular period or periods.</w:t>
      </w:r>
    </w:p>
    <w:p w14:paraId="06D5ECA7" w14:textId="0C958C79" w:rsidR="00612239" w:rsidRPr="00814D61" w:rsidRDefault="00451C34" w:rsidP="00DC4B41">
      <w:pPr>
        <w:autoSpaceDE w:val="0"/>
        <w:autoSpaceDN w:val="0"/>
        <w:adjustRightInd w:val="0"/>
        <w:spacing w:after="120" w:line="260" w:lineRule="atLeast"/>
        <w:jc w:val="both"/>
        <w:rPr>
          <w:rFonts w:eastAsia="Calibri"/>
          <w:sz w:val="22"/>
          <w:szCs w:val="22"/>
          <w:lang w:val="en-AU"/>
        </w:rPr>
      </w:pPr>
      <w:r w:rsidRPr="00814D61">
        <w:rPr>
          <w:rFonts w:eastAsia="Calibri"/>
          <w:sz w:val="22"/>
          <w:szCs w:val="22"/>
          <w:lang w:val="en-AU"/>
        </w:rPr>
        <w:t xml:space="preserve">Subsection 3.2(1) of the </w:t>
      </w:r>
      <w:r w:rsidRPr="00AA0C9F">
        <w:rPr>
          <w:rFonts w:eastAsia="Calibri"/>
          <w:i/>
          <w:iCs/>
          <w:sz w:val="22"/>
          <w:szCs w:val="22"/>
          <w:lang w:val="en-AU"/>
        </w:rPr>
        <w:t>Eastern Tuna and Billfish Fishery Management Plan 2010</w:t>
      </w:r>
      <w:r w:rsidRPr="00814D61">
        <w:rPr>
          <w:rFonts w:eastAsia="Calibri"/>
          <w:sz w:val="22"/>
          <w:szCs w:val="22"/>
          <w:lang w:val="en-AU"/>
        </w:rPr>
        <w:t xml:space="preserve"> (</w:t>
      </w:r>
      <w:r w:rsidRPr="00C856C0">
        <w:rPr>
          <w:rFonts w:eastAsia="Calibri"/>
          <w:b/>
          <w:bCs/>
          <w:sz w:val="22"/>
          <w:szCs w:val="22"/>
          <w:lang w:val="en-AU"/>
        </w:rPr>
        <w:t xml:space="preserve">the </w:t>
      </w:r>
      <w:r w:rsidR="005E20C0" w:rsidRPr="00C856C0">
        <w:rPr>
          <w:rFonts w:eastAsia="Calibri"/>
          <w:b/>
          <w:bCs/>
          <w:sz w:val="22"/>
          <w:szCs w:val="22"/>
          <w:lang w:val="en-AU"/>
        </w:rPr>
        <w:t xml:space="preserve">Management </w:t>
      </w:r>
      <w:r w:rsidRPr="00C856C0">
        <w:rPr>
          <w:rFonts w:eastAsia="Calibri"/>
          <w:b/>
          <w:bCs/>
          <w:sz w:val="22"/>
          <w:szCs w:val="22"/>
          <w:lang w:val="en-AU"/>
        </w:rPr>
        <w:t>Plan</w:t>
      </w:r>
      <w:r w:rsidRPr="00814D61">
        <w:rPr>
          <w:rFonts w:eastAsia="Calibri"/>
          <w:sz w:val="22"/>
          <w:szCs w:val="22"/>
          <w:lang w:val="en-AU"/>
        </w:rPr>
        <w:t>) provides that before the start of each fishing season, AFMA must determine a total allowable commercial catch (</w:t>
      </w:r>
      <w:r w:rsidRPr="007857DD">
        <w:rPr>
          <w:rFonts w:eastAsia="Calibri"/>
          <w:b/>
          <w:bCs/>
          <w:sz w:val="22"/>
          <w:szCs w:val="22"/>
          <w:lang w:val="en-AU"/>
        </w:rPr>
        <w:t>TACC</w:t>
      </w:r>
      <w:r w:rsidRPr="00814D61">
        <w:rPr>
          <w:rFonts w:eastAsia="Calibri"/>
          <w:sz w:val="22"/>
          <w:szCs w:val="22"/>
          <w:lang w:val="en-AU"/>
        </w:rPr>
        <w:t>) for each quota species</w:t>
      </w:r>
      <w:r w:rsidR="00C05EF9" w:rsidRPr="00814D61">
        <w:rPr>
          <w:rFonts w:eastAsia="Calibri"/>
          <w:sz w:val="22"/>
          <w:szCs w:val="22"/>
          <w:lang w:val="en-AU"/>
        </w:rPr>
        <w:t xml:space="preserve"> for one or more seasons</w:t>
      </w:r>
      <w:r w:rsidRPr="00814D61">
        <w:rPr>
          <w:rFonts w:eastAsia="Calibri"/>
          <w:sz w:val="22"/>
          <w:szCs w:val="22"/>
          <w:lang w:val="en-AU"/>
        </w:rPr>
        <w:t xml:space="preserve">. </w:t>
      </w:r>
      <w:r w:rsidR="00612239" w:rsidRPr="00814D61">
        <w:rPr>
          <w:rFonts w:eastAsia="Calibri"/>
          <w:sz w:val="22"/>
          <w:szCs w:val="22"/>
          <w:lang w:val="en-AU"/>
        </w:rPr>
        <w:t xml:space="preserve">Section 1.3 of the </w:t>
      </w:r>
      <w:r w:rsidR="00D755AE">
        <w:rPr>
          <w:rFonts w:eastAsia="Calibri"/>
          <w:sz w:val="22"/>
          <w:szCs w:val="22"/>
          <w:lang w:val="en-AU"/>
        </w:rPr>
        <w:t xml:space="preserve">Management </w:t>
      </w:r>
      <w:r w:rsidR="00612239" w:rsidRPr="00814D61">
        <w:rPr>
          <w:rFonts w:eastAsia="Calibri"/>
          <w:sz w:val="22"/>
          <w:szCs w:val="22"/>
          <w:lang w:val="en-AU"/>
        </w:rPr>
        <w:t>Plan states that the fishing season means the period determined by AFMA.</w:t>
      </w:r>
    </w:p>
    <w:p w14:paraId="0D739534" w14:textId="1E4C81EA" w:rsidR="00525B1E" w:rsidRPr="00814D61" w:rsidRDefault="005E20C0" w:rsidP="00DC4B41">
      <w:pPr>
        <w:autoSpaceDE w:val="0"/>
        <w:autoSpaceDN w:val="0"/>
        <w:adjustRightInd w:val="0"/>
        <w:spacing w:after="120" w:line="260" w:lineRule="atLeast"/>
        <w:jc w:val="both"/>
        <w:rPr>
          <w:rFonts w:eastAsia="Calibri"/>
          <w:sz w:val="22"/>
          <w:szCs w:val="22"/>
          <w:lang w:val="en-AU"/>
        </w:rPr>
      </w:pPr>
      <w:r w:rsidRPr="00814D61">
        <w:rPr>
          <w:rFonts w:eastAsia="Calibri"/>
          <w:sz w:val="22"/>
          <w:szCs w:val="22"/>
          <w:lang w:val="en-AU"/>
        </w:rPr>
        <w:t>Subs</w:t>
      </w:r>
      <w:r w:rsidR="00612239" w:rsidRPr="00814D61">
        <w:rPr>
          <w:rFonts w:eastAsia="Calibri"/>
          <w:sz w:val="22"/>
          <w:szCs w:val="22"/>
          <w:lang w:val="en-AU"/>
        </w:rPr>
        <w:t>ection 3.2(5) of the</w:t>
      </w:r>
      <w:r w:rsidRPr="00814D61">
        <w:rPr>
          <w:rFonts w:eastAsia="Calibri"/>
          <w:sz w:val="22"/>
          <w:szCs w:val="22"/>
          <w:lang w:val="en-AU"/>
        </w:rPr>
        <w:t xml:space="preserve"> Management</w:t>
      </w:r>
      <w:r w:rsidR="00612239" w:rsidRPr="00814D61">
        <w:rPr>
          <w:rFonts w:eastAsia="Calibri"/>
          <w:sz w:val="22"/>
          <w:szCs w:val="22"/>
          <w:lang w:val="en-AU"/>
        </w:rPr>
        <w:t xml:space="preserve"> Plan provides that a determination of a TACC must specify the TACC, expressed as a whole weight; or another weight, as specified in the determination. The quota for each statutory fishing right (</w:t>
      </w:r>
      <w:r w:rsidR="00612239" w:rsidRPr="00000738">
        <w:rPr>
          <w:rFonts w:eastAsia="Calibri"/>
          <w:b/>
          <w:bCs/>
          <w:sz w:val="22"/>
          <w:szCs w:val="22"/>
          <w:lang w:val="en-AU"/>
        </w:rPr>
        <w:t>SFR</w:t>
      </w:r>
      <w:r w:rsidR="00612239" w:rsidRPr="00814D61">
        <w:rPr>
          <w:rFonts w:eastAsia="Calibri"/>
          <w:sz w:val="22"/>
          <w:szCs w:val="22"/>
          <w:lang w:val="en-AU"/>
        </w:rPr>
        <w:t xml:space="preserve">) for a quota species is determined by dividing the TACC for the species by the number of SFRs in force at the start of the fishing season.  </w:t>
      </w:r>
    </w:p>
    <w:p w14:paraId="78790FCC" w14:textId="30D29D59" w:rsidR="005E20C0" w:rsidRPr="00814D61" w:rsidRDefault="005E20C0" w:rsidP="00DC4B41">
      <w:pPr>
        <w:autoSpaceDE w:val="0"/>
        <w:autoSpaceDN w:val="0"/>
        <w:adjustRightInd w:val="0"/>
        <w:spacing w:after="120" w:line="260" w:lineRule="atLeast"/>
        <w:jc w:val="both"/>
        <w:rPr>
          <w:rFonts w:eastAsia="Calibri"/>
          <w:sz w:val="22"/>
          <w:szCs w:val="22"/>
          <w:lang w:val="en-AU"/>
        </w:rPr>
      </w:pPr>
      <w:r w:rsidRPr="00814D61">
        <w:rPr>
          <w:rFonts w:eastAsia="Calibri"/>
          <w:sz w:val="22"/>
          <w:szCs w:val="22"/>
          <w:lang w:val="en-AU"/>
        </w:rPr>
        <w:t xml:space="preserve">Subsection 3.2(4) of the Management </w:t>
      </w:r>
      <w:r w:rsidR="0076227F">
        <w:rPr>
          <w:rFonts w:eastAsia="Calibri"/>
          <w:sz w:val="22"/>
          <w:szCs w:val="22"/>
          <w:lang w:val="en-AU"/>
        </w:rPr>
        <w:t>P</w:t>
      </w:r>
      <w:r w:rsidRPr="00814D61">
        <w:rPr>
          <w:rFonts w:eastAsia="Calibri"/>
          <w:sz w:val="22"/>
          <w:szCs w:val="22"/>
          <w:lang w:val="en-AU"/>
        </w:rPr>
        <w:t xml:space="preserve">lan provides </w:t>
      </w:r>
      <w:r w:rsidR="00AF7084">
        <w:rPr>
          <w:rFonts w:eastAsia="Calibri"/>
          <w:sz w:val="22"/>
          <w:szCs w:val="22"/>
          <w:lang w:val="en-AU"/>
        </w:rPr>
        <w:t>that b</w:t>
      </w:r>
      <w:r w:rsidRPr="00814D61">
        <w:rPr>
          <w:rFonts w:eastAsia="Calibri"/>
          <w:sz w:val="22"/>
          <w:szCs w:val="22"/>
          <w:lang w:val="en-AU"/>
        </w:rPr>
        <w:t xml:space="preserve">efore determining a TACC AFMA must consider </w:t>
      </w:r>
      <w:r w:rsidRPr="00814D61">
        <w:rPr>
          <w:rFonts w:eastAsia="Calibri"/>
          <w:color w:val="000000" w:themeColor="text1"/>
          <w:sz w:val="22"/>
          <w:szCs w:val="22"/>
        </w:rPr>
        <w:t xml:space="preserve">information given by the advisory committee (established under section 56 of the </w:t>
      </w:r>
      <w:r w:rsidRPr="00814D61">
        <w:rPr>
          <w:rFonts w:eastAsia="Calibri"/>
          <w:i/>
          <w:iCs/>
          <w:color w:val="000000" w:themeColor="text1"/>
          <w:sz w:val="22"/>
          <w:szCs w:val="22"/>
        </w:rPr>
        <w:t xml:space="preserve">Fisheries Administration Act 1991 </w:t>
      </w:r>
      <w:r w:rsidRPr="00814D61">
        <w:rPr>
          <w:rFonts w:eastAsia="Calibri"/>
          <w:color w:val="000000" w:themeColor="text1"/>
          <w:sz w:val="22"/>
          <w:szCs w:val="22"/>
        </w:rPr>
        <w:t>(</w:t>
      </w:r>
      <w:r w:rsidRPr="003D2BFB">
        <w:rPr>
          <w:rFonts w:eastAsia="Calibri"/>
          <w:b/>
          <w:bCs/>
          <w:color w:val="000000" w:themeColor="text1"/>
          <w:sz w:val="22"/>
          <w:szCs w:val="22"/>
        </w:rPr>
        <w:t>the FA Act</w:t>
      </w:r>
      <w:r w:rsidRPr="00814D61">
        <w:rPr>
          <w:rFonts w:eastAsia="Calibri"/>
          <w:color w:val="000000" w:themeColor="text1"/>
          <w:sz w:val="22"/>
          <w:szCs w:val="22"/>
        </w:rPr>
        <w:t>)</w:t>
      </w:r>
      <w:r w:rsidRPr="00814D61">
        <w:rPr>
          <w:rFonts w:eastAsia="Calibri"/>
          <w:i/>
          <w:iCs/>
          <w:color w:val="000000" w:themeColor="text1"/>
          <w:sz w:val="22"/>
          <w:szCs w:val="22"/>
        </w:rPr>
        <w:t xml:space="preserve"> </w:t>
      </w:r>
      <w:r w:rsidRPr="00814D61">
        <w:rPr>
          <w:rFonts w:eastAsia="Calibri"/>
          <w:color w:val="000000" w:themeColor="text1"/>
          <w:sz w:val="22"/>
          <w:szCs w:val="22"/>
        </w:rPr>
        <w:t>to assist the Commission in the performance of its functions), other interested Australian and international bodies, and other interested persons. AFMA must also take into account all fishing mortality from all sectors including commercial, recreational, Indigenous and other users of the fishery.</w:t>
      </w:r>
      <w:r w:rsidR="00814D61" w:rsidRPr="00814D61">
        <w:rPr>
          <w:rFonts w:eastAsia="Calibri"/>
          <w:color w:val="000000" w:themeColor="text1"/>
          <w:sz w:val="22"/>
          <w:szCs w:val="22"/>
        </w:rPr>
        <w:t xml:space="preserve"> AFMA </w:t>
      </w:r>
      <w:r w:rsidR="00BE6626">
        <w:rPr>
          <w:rFonts w:eastAsia="Calibri"/>
          <w:color w:val="000000" w:themeColor="text1"/>
          <w:sz w:val="22"/>
          <w:szCs w:val="22"/>
        </w:rPr>
        <w:t xml:space="preserve">also applies </w:t>
      </w:r>
      <w:r w:rsidR="00814D61" w:rsidRPr="00814D61">
        <w:rPr>
          <w:rFonts w:eastAsia="Calibri"/>
          <w:color w:val="000000" w:themeColor="text1"/>
          <w:sz w:val="22"/>
          <w:szCs w:val="22"/>
        </w:rPr>
        <w:t>the Eastern Tuna and Billfish Fishery Harvest Strategy</w:t>
      </w:r>
      <w:r w:rsidR="009A7445">
        <w:rPr>
          <w:rStyle w:val="FootnoteReference"/>
          <w:rFonts w:eastAsia="Calibri"/>
          <w:color w:val="000000" w:themeColor="text1"/>
          <w:sz w:val="22"/>
          <w:szCs w:val="22"/>
        </w:rPr>
        <w:footnoteReference w:id="2"/>
      </w:r>
      <w:r w:rsidR="00814D61" w:rsidRPr="00814D61">
        <w:rPr>
          <w:rFonts w:eastAsia="Calibri"/>
          <w:color w:val="000000" w:themeColor="text1"/>
          <w:sz w:val="22"/>
          <w:szCs w:val="22"/>
        </w:rPr>
        <w:t xml:space="preserve"> and consider</w:t>
      </w:r>
      <w:r w:rsidR="00BE6626">
        <w:rPr>
          <w:rFonts w:eastAsia="Calibri"/>
          <w:color w:val="000000" w:themeColor="text1"/>
          <w:sz w:val="22"/>
          <w:szCs w:val="22"/>
        </w:rPr>
        <w:t>s</w:t>
      </w:r>
      <w:r w:rsidR="00814D61" w:rsidRPr="00814D61">
        <w:rPr>
          <w:rFonts w:eastAsia="Calibri"/>
          <w:color w:val="000000" w:themeColor="text1"/>
          <w:sz w:val="22"/>
          <w:szCs w:val="22"/>
        </w:rPr>
        <w:t xml:space="preserve"> information about the sustainability of marine species in the area of the fishery, the precautionary principle, any decision made by the Minister or intergovernmental ministerial council about resource sharing and the likely effect of any overcatch or undercatch provisions.</w:t>
      </w:r>
    </w:p>
    <w:p w14:paraId="13F829CC" w14:textId="2A87A3B7" w:rsidR="00612239" w:rsidRPr="00814D61" w:rsidRDefault="00612239" w:rsidP="00DC4B41">
      <w:pPr>
        <w:autoSpaceDE w:val="0"/>
        <w:autoSpaceDN w:val="0"/>
        <w:adjustRightInd w:val="0"/>
        <w:spacing w:after="120" w:line="260" w:lineRule="atLeast"/>
        <w:jc w:val="both"/>
        <w:rPr>
          <w:rFonts w:eastAsia="Calibri"/>
          <w:sz w:val="22"/>
          <w:szCs w:val="22"/>
          <w:lang w:val="en-AU"/>
        </w:rPr>
      </w:pPr>
      <w:r w:rsidRPr="00814D61">
        <w:rPr>
          <w:rFonts w:eastAsia="Calibri"/>
          <w:sz w:val="22"/>
          <w:szCs w:val="22"/>
          <w:lang w:val="en-AU"/>
        </w:rPr>
        <w:t>This instrument determines the fishing season for the 2025, 2026, and 2027</w:t>
      </w:r>
      <w:r w:rsidR="002B5AC4">
        <w:rPr>
          <w:rFonts w:eastAsia="Calibri"/>
          <w:sz w:val="22"/>
          <w:szCs w:val="22"/>
          <w:lang w:val="en-AU"/>
        </w:rPr>
        <w:t xml:space="preserve"> </w:t>
      </w:r>
      <w:r w:rsidR="002B5AC4" w:rsidRPr="00814D61">
        <w:rPr>
          <w:rFonts w:eastAsia="Calibri"/>
          <w:sz w:val="22"/>
          <w:szCs w:val="22"/>
          <w:lang w:val="en-AU"/>
        </w:rPr>
        <w:t>fishing seasons</w:t>
      </w:r>
      <w:r w:rsidRPr="00814D61">
        <w:rPr>
          <w:rFonts w:eastAsia="Calibri"/>
          <w:sz w:val="22"/>
          <w:szCs w:val="22"/>
          <w:lang w:val="en-AU"/>
        </w:rPr>
        <w:t xml:space="preserve"> </w:t>
      </w:r>
      <w:r w:rsidR="00525B1E" w:rsidRPr="00814D61">
        <w:rPr>
          <w:rFonts w:eastAsia="Calibri"/>
          <w:sz w:val="22"/>
          <w:szCs w:val="22"/>
          <w:lang w:val="en-AU"/>
        </w:rPr>
        <w:t>and</w:t>
      </w:r>
      <w:r w:rsidRPr="00814D61">
        <w:rPr>
          <w:rFonts w:eastAsia="Calibri"/>
          <w:sz w:val="22"/>
          <w:szCs w:val="22"/>
          <w:lang w:val="en-AU"/>
        </w:rPr>
        <w:t xml:space="preserve"> determines the TACC for the 2025, 2026 and 2027 fishing seasons </w:t>
      </w:r>
      <w:r w:rsidR="00F37D3E">
        <w:rPr>
          <w:rFonts w:eastAsia="Calibri"/>
          <w:sz w:val="22"/>
          <w:szCs w:val="22"/>
          <w:lang w:val="en-AU"/>
        </w:rPr>
        <w:t xml:space="preserve">for </w:t>
      </w:r>
      <w:r w:rsidR="00525B1E" w:rsidRPr="00814D61">
        <w:rPr>
          <w:rFonts w:eastAsia="Calibri"/>
          <w:sz w:val="22"/>
          <w:szCs w:val="22"/>
          <w:lang w:val="en-AU"/>
        </w:rPr>
        <w:t>the following quota species: Albacore Tuna, Yellowfin Tuna and Bigeye Tuna.</w:t>
      </w:r>
    </w:p>
    <w:p w14:paraId="77896BA7" w14:textId="790050B9" w:rsidR="00525B1E" w:rsidRDefault="00525B1E" w:rsidP="00DC4B41">
      <w:pPr>
        <w:autoSpaceDE w:val="0"/>
        <w:autoSpaceDN w:val="0"/>
        <w:adjustRightInd w:val="0"/>
        <w:spacing w:after="120" w:line="260" w:lineRule="atLeast"/>
        <w:jc w:val="both"/>
        <w:rPr>
          <w:rFonts w:eastAsia="Calibri"/>
          <w:sz w:val="22"/>
          <w:szCs w:val="22"/>
          <w:lang w:val="en-AU"/>
        </w:rPr>
      </w:pPr>
      <w:r w:rsidRPr="00814D61">
        <w:rPr>
          <w:rFonts w:eastAsia="Calibri"/>
          <w:sz w:val="22"/>
          <w:szCs w:val="22"/>
          <w:lang w:val="en-AU"/>
        </w:rPr>
        <w:t xml:space="preserve">This instrument also determines the TACC for the 2025 fishing season </w:t>
      </w:r>
      <w:r w:rsidR="00963885">
        <w:rPr>
          <w:rFonts w:eastAsia="Calibri"/>
          <w:sz w:val="22"/>
          <w:szCs w:val="22"/>
          <w:lang w:val="en-AU"/>
        </w:rPr>
        <w:t xml:space="preserve">for </w:t>
      </w:r>
      <w:r w:rsidRPr="00814D61">
        <w:rPr>
          <w:rFonts w:eastAsia="Calibri"/>
          <w:sz w:val="22"/>
          <w:szCs w:val="22"/>
          <w:lang w:val="en-AU"/>
        </w:rPr>
        <w:t>the following quota species: Striped Marlin and Broadbill Swordfish.</w:t>
      </w:r>
    </w:p>
    <w:p w14:paraId="1C25C07F" w14:textId="3ABDFE81" w:rsidR="00DC2235" w:rsidRPr="00DC2235" w:rsidRDefault="00DC2235" w:rsidP="00DC2235">
      <w:pPr>
        <w:shd w:val="clear" w:color="auto" w:fill="FFFFFF"/>
        <w:spacing w:after="120"/>
        <w:jc w:val="both"/>
        <w:rPr>
          <w:i/>
          <w:iCs/>
          <w:color w:val="000000"/>
          <w:sz w:val="22"/>
          <w:szCs w:val="22"/>
          <w:lang w:val="en-AU" w:eastAsia="en-AU"/>
        </w:rPr>
      </w:pPr>
      <w:r w:rsidRPr="00814D61">
        <w:rPr>
          <w:color w:val="000000"/>
          <w:sz w:val="22"/>
          <w:szCs w:val="22"/>
          <w:lang w:val="en-AU" w:eastAsia="en-AU"/>
        </w:rPr>
        <w:t xml:space="preserve">The </w:t>
      </w:r>
      <w:r w:rsidRPr="00814D61">
        <w:rPr>
          <w:i/>
          <w:iCs/>
          <w:color w:val="000000"/>
          <w:sz w:val="22"/>
          <w:szCs w:val="22"/>
          <w:lang w:val="en-AU" w:eastAsia="en-AU"/>
        </w:rPr>
        <w:t xml:space="preserve">Eastern Tuna and Billfish Fishery </w:t>
      </w:r>
      <w:r>
        <w:rPr>
          <w:i/>
          <w:iCs/>
          <w:color w:val="000000"/>
          <w:sz w:val="22"/>
          <w:szCs w:val="22"/>
          <w:lang w:val="en-AU" w:eastAsia="en-AU"/>
        </w:rPr>
        <w:t xml:space="preserve">(Fishing Season and </w:t>
      </w:r>
      <w:r w:rsidRPr="00814D61">
        <w:rPr>
          <w:i/>
          <w:iCs/>
          <w:color w:val="000000"/>
          <w:sz w:val="22"/>
          <w:szCs w:val="22"/>
          <w:lang w:val="en-AU" w:eastAsia="en-AU"/>
        </w:rPr>
        <w:t>Total Allowable Commercial Catch</w:t>
      </w:r>
      <w:r>
        <w:rPr>
          <w:i/>
          <w:iCs/>
          <w:color w:val="000000"/>
          <w:sz w:val="22"/>
          <w:szCs w:val="22"/>
          <w:lang w:val="en-AU" w:eastAsia="en-AU"/>
        </w:rPr>
        <w:t>)</w:t>
      </w:r>
      <w:r w:rsidRPr="00814D61">
        <w:rPr>
          <w:i/>
          <w:iCs/>
          <w:color w:val="000000"/>
          <w:sz w:val="22"/>
          <w:szCs w:val="22"/>
          <w:lang w:val="en-AU" w:eastAsia="en-AU"/>
        </w:rPr>
        <w:t xml:space="preserve"> Determination</w:t>
      </w:r>
      <w:r w:rsidR="00862F8F">
        <w:rPr>
          <w:i/>
          <w:iCs/>
          <w:color w:val="000000"/>
          <w:sz w:val="22"/>
          <w:szCs w:val="22"/>
          <w:lang w:val="en-AU" w:eastAsia="en-AU"/>
        </w:rPr>
        <w:t xml:space="preserve"> (No.2) </w:t>
      </w:r>
      <w:r w:rsidRPr="00814D61">
        <w:rPr>
          <w:i/>
          <w:iCs/>
          <w:color w:val="000000"/>
          <w:sz w:val="22"/>
          <w:szCs w:val="22"/>
          <w:lang w:val="en-AU" w:eastAsia="en-AU"/>
        </w:rPr>
        <w:t>202</w:t>
      </w:r>
      <w:r>
        <w:rPr>
          <w:i/>
          <w:iCs/>
          <w:color w:val="000000"/>
          <w:sz w:val="22"/>
          <w:szCs w:val="22"/>
          <w:lang w:val="en-AU" w:eastAsia="en-AU"/>
        </w:rPr>
        <w:t>4</w:t>
      </w:r>
      <w:r w:rsidRPr="00814D61">
        <w:rPr>
          <w:color w:val="000000"/>
          <w:sz w:val="22"/>
          <w:szCs w:val="22"/>
          <w:lang w:val="en-AU" w:eastAsia="en-AU"/>
        </w:rPr>
        <w:t xml:space="preserve"> </w:t>
      </w:r>
      <w:r w:rsidR="00BD614D">
        <w:rPr>
          <w:color w:val="000000"/>
          <w:sz w:val="22"/>
          <w:szCs w:val="22"/>
          <w:lang w:val="en-AU" w:eastAsia="en-AU"/>
        </w:rPr>
        <w:t>(</w:t>
      </w:r>
      <w:r w:rsidR="00BD614D" w:rsidRPr="00BD614D">
        <w:rPr>
          <w:b/>
          <w:bCs/>
          <w:color w:val="000000"/>
          <w:sz w:val="22"/>
          <w:szCs w:val="22"/>
          <w:lang w:val="en-AU" w:eastAsia="en-AU"/>
        </w:rPr>
        <w:t>the Determination</w:t>
      </w:r>
      <w:r w:rsidR="00BD614D">
        <w:rPr>
          <w:color w:val="000000"/>
          <w:sz w:val="22"/>
          <w:szCs w:val="22"/>
          <w:lang w:val="en-AU" w:eastAsia="en-AU"/>
        </w:rPr>
        <w:t xml:space="preserve">) </w:t>
      </w:r>
      <w:r w:rsidRPr="00814D61">
        <w:rPr>
          <w:color w:val="000000"/>
          <w:sz w:val="22"/>
          <w:szCs w:val="22"/>
          <w:lang w:val="en-AU" w:eastAsia="en-AU"/>
        </w:rPr>
        <w:t xml:space="preserve">is a legislative instrument for the purposes of the </w:t>
      </w:r>
      <w:r w:rsidRPr="00814D61">
        <w:rPr>
          <w:i/>
          <w:iCs/>
          <w:color w:val="000000"/>
          <w:sz w:val="22"/>
          <w:szCs w:val="22"/>
          <w:lang w:val="en-AU" w:eastAsia="en-AU"/>
        </w:rPr>
        <w:t>Legislation Act 2003.</w:t>
      </w:r>
    </w:p>
    <w:p w14:paraId="75F44C5E" w14:textId="77777777" w:rsidR="00525B1E" w:rsidRPr="00814D61" w:rsidRDefault="00525B1E" w:rsidP="00525B1E">
      <w:pPr>
        <w:autoSpaceDE w:val="0"/>
        <w:autoSpaceDN w:val="0"/>
        <w:adjustRightInd w:val="0"/>
        <w:spacing w:before="240" w:after="120" w:line="260" w:lineRule="atLeast"/>
        <w:rPr>
          <w:rFonts w:eastAsia="Calibri"/>
          <w:b/>
          <w:bCs/>
          <w:color w:val="000000"/>
          <w:sz w:val="22"/>
          <w:szCs w:val="22"/>
        </w:rPr>
      </w:pPr>
      <w:r w:rsidRPr="00814D61">
        <w:rPr>
          <w:rFonts w:eastAsia="Calibri"/>
          <w:b/>
          <w:bCs/>
          <w:color w:val="000000" w:themeColor="text1"/>
          <w:sz w:val="22"/>
          <w:szCs w:val="22"/>
        </w:rPr>
        <w:t>The Fishery</w:t>
      </w:r>
    </w:p>
    <w:p w14:paraId="3822BC18" w14:textId="77777777" w:rsidR="00525B1E" w:rsidRPr="00814D61" w:rsidRDefault="00525B1E" w:rsidP="00DC4B41">
      <w:pPr>
        <w:autoSpaceDE w:val="0"/>
        <w:autoSpaceDN w:val="0"/>
        <w:adjustRightInd w:val="0"/>
        <w:spacing w:after="120" w:line="260" w:lineRule="atLeast"/>
        <w:jc w:val="both"/>
        <w:rPr>
          <w:rFonts w:eastAsia="Calibri"/>
          <w:color w:val="000000"/>
          <w:sz w:val="22"/>
          <w:szCs w:val="22"/>
        </w:rPr>
      </w:pPr>
      <w:r w:rsidRPr="00814D61">
        <w:rPr>
          <w:rFonts w:eastAsia="Calibri"/>
          <w:color w:val="000000" w:themeColor="text1"/>
          <w:sz w:val="22"/>
          <w:szCs w:val="22"/>
        </w:rPr>
        <w:t>The Eastern Tuna and Billfish Fishery</w:t>
      </w:r>
      <w:r w:rsidRPr="00814D61">
        <w:rPr>
          <w:rFonts w:eastAsia="Calibri"/>
          <w:i/>
          <w:iCs/>
          <w:color w:val="000000" w:themeColor="text1"/>
          <w:sz w:val="22"/>
          <w:szCs w:val="22"/>
        </w:rPr>
        <w:t xml:space="preserve"> </w:t>
      </w:r>
      <w:r w:rsidRPr="00814D61">
        <w:rPr>
          <w:rFonts w:eastAsia="Calibri"/>
          <w:color w:val="000000" w:themeColor="text1"/>
          <w:sz w:val="22"/>
          <w:szCs w:val="22"/>
        </w:rPr>
        <w:t>(</w:t>
      </w:r>
      <w:r w:rsidRPr="00F63427">
        <w:rPr>
          <w:rFonts w:eastAsia="Calibri"/>
          <w:b/>
          <w:bCs/>
          <w:color w:val="000000" w:themeColor="text1"/>
          <w:sz w:val="22"/>
          <w:szCs w:val="22"/>
        </w:rPr>
        <w:t>ETBF</w:t>
      </w:r>
      <w:r w:rsidRPr="00814D61">
        <w:rPr>
          <w:rFonts w:eastAsia="Calibri"/>
          <w:color w:val="000000" w:themeColor="text1"/>
          <w:sz w:val="22"/>
          <w:szCs w:val="22"/>
        </w:rPr>
        <w:t>)</w:t>
      </w:r>
      <w:r w:rsidRPr="00814D61">
        <w:rPr>
          <w:rFonts w:eastAsia="Calibri"/>
          <w:i/>
          <w:iCs/>
          <w:color w:val="000000" w:themeColor="text1"/>
          <w:sz w:val="22"/>
          <w:szCs w:val="22"/>
        </w:rPr>
        <w:t xml:space="preserve"> </w:t>
      </w:r>
      <w:r w:rsidRPr="00814D61">
        <w:rPr>
          <w:rFonts w:eastAsia="Calibri"/>
          <w:color w:val="000000" w:themeColor="text1"/>
          <w:sz w:val="22"/>
          <w:szCs w:val="22"/>
        </w:rPr>
        <w:t>covers the area of waters in the Australian Exclusive Economic Zone (</w:t>
      </w:r>
      <w:r w:rsidRPr="00F63427">
        <w:rPr>
          <w:rFonts w:eastAsia="Calibri"/>
          <w:b/>
          <w:bCs/>
          <w:color w:val="000000" w:themeColor="text1"/>
          <w:sz w:val="22"/>
          <w:szCs w:val="22"/>
        </w:rPr>
        <w:t>EEZ</w:t>
      </w:r>
      <w:r w:rsidRPr="00814D61">
        <w:rPr>
          <w:rFonts w:eastAsia="Calibri"/>
          <w:color w:val="000000" w:themeColor="text1"/>
          <w:sz w:val="22"/>
          <w:szCs w:val="22"/>
        </w:rPr>
        <w:t>) included on the east coast of Australia between the South Australia/Victoria border and Cape York in the North. The ETBF also includes a restricted entry zone in the Coral Sea and a high seas zone that provides specific arrangements for fishing in the ETBF beyond the Australian EEZ.</w:t>
      </w:r>
    </w:p>
    <w:p w14:paraId="2796A7A2" w14:textId="7F250A6A" w:rsidR="00525B1E" w:rsidRPr="00814D61" w:rsidRDefault="00525B1E" w:rsidP="00DC4B41">
      <w:pPr>
        <w:autoSpaceDE w:val="0"/>
        <w:autoSpaceDN w:val="0"/>
        <w:adjustRightInd w:val="0"/>
        <w:spacing w:after="120" w:line="260" w:lineRule="atLeast"/>
        <w:jc w:val="both"/>
        <w:rPr>
          <w:rFonts w:eastAsia="Calibri"/>
          <w:color w:val="000000" w:themeColor="text1"/>
          <w:sz w:val="22"/>
          <w:szCs w:val="22"/>
        </w:rPr>
      </w:pPr>
      <w:r w:rsidRPr="00814D61">
        <w:rPr>
          <w:rFonts w:eastAsia="Calibri"/>
          <w:color w:val="000000" w:themeColor="text1"/>
          <w:sz w:val="22"/>
          <w:szCs w:val="22"/>
        </w:rPr>
        <w:lastRenderedPageBreak/>
        <w:t xml:space="preserve">Management in the ETBF is by output controls in the form of individually transferable quotas granted under the </w:t>
      </w:r>
      <w:r w:rsidR="006511DA">
        <w:rPr>
          <w:rFonts w:eastAsia="Calibri"/>
          <w:color w:val="000000" w:themeColor="text1"/>
          <w:sz w:val="22"/>
          <w:szCs w:val="22"/>
        </w:rPr>
        <w:t xml:space="preserve">Management </w:t>
      </w:r>
      <w:r w:rsidRPr="00814D61">
        <w:rPr>
          <w:rFonts w:eastAsia="Calibri"/>
          <w:color w:val="000000" w:themeColor="text1"/>
          <w:sz w:val="22"/>
          <w:szCs w:val="22"/>
        </w:rPr>
        <w:t xml:space="preserve">Plan. </w:t>
      </w:r>
    </w:p>
    <w:p w14:paraId="59A9AD32" w14:textId="77777777" w:rsidR="00525B1E" w:rsidRPr="00814D61" w:rsidRDefault="00525B1E" w:rsidP="00525B1E">
      <w:pPr>
        <w:autoSpaceDE w:val="0"/>
        <w:autoSpaceDN w:val="0"/>
        <w:adjustRightInd w:val="0"/>
        <w:spacing w:after="120" w:line="260" w:lineRule="atLeast"/>
        <w:rPr>
          <w:rFonts w:eastAsia="Calibri"/>
          <w:b/>
          <w:bCs/>
          <w:color w:val="000000"/>
          <w:sz w:val="22"/>
          <w:szCs w:val="22"/>
        </w:rPr>
      </w:pPr>
      <w:r w:rsidRPr="00814D61">
        <w:rPr>
          <w:rFonts w:eastAsia="Calibri"/>
          <w:b/>
          <w:bCs/>
          <w:color w:val="000000" w:themeColor="text1"/>
          <w:sz w:val="22"/>
          <w:szCs w:val="22"/>
        </w:rPr>
        <w:t>Consultation</w:t>
      </w:r>
    </w:p>
    <w:p w14:paraId="42058511" w14:textId="5BE2C6F7" w:rsidR="00521E33" w:rsidRPr="001B187D" w:rsidRDefault="00521E33" w:rsidP="00521E33">
      <w:pPr>
        <w:autoSpaceDE w:val="0"/>
        <w:autoSpaceDN w:val="0"/>
        <w:adjustRightInd w:val="0"/>
        <w:spacing w:after="120" w:line="260" w:lineRule="atLeast"/>
        <w:jc w:val="both"/>
        <w:rPr>
          <w:rFonts w:eastAsia="Calibri"/>
          <w:color w:val="000000" w:themeColor="text1"/>
          <w:sz w:val="22"/>
          <w:szCs w:val="22"/>
        </w:rPr>
      </w:pPr>
      <w:r w:rsidRPr="001B187D">
        <w:rPr>
          <w:rFonts w:eastAsia="Calibri"/>
          <w:color w:val="000000" w:themeColor="text1"/>
          <w:sz w:val="22"/>
          <w:szCs w:val="22"/>
        </w:rPr>
        <w:t>The Tropical Tuna Resource Assessment Group (</w:t>
      </w:r>
      <w:r w:rsidRPr="001B187D">
        <w:rPr>
          <w:rFonts w:eastAsia="Calibri"/>
          <w:b/>
          <w:bCs/>
          <w:color w:val="000000" w:themeColor="text1"/>
          <w:sz w:val="22"/>
          <w:szCs w:val="22"/>
        </w:rPr>
        <w:t>TTRAG</w:t>
      </w:r>
      <w:r w:rsidRPr="001B187D">
        <w:rPr>
          <w:rFonts w:eastAsia="Calibri"/>
          <w:color w:val="000000" w:themeColor="text1"/>
          <w:sz w:val="22"/>
          <w:szCs w:val="22"/>
        </w:rPr>
        <w:t xml:space="preserve">) provides scientific advice on </w:t>
      </w:r>
      <w:r w:rsidR="00EA24C9" w:rsidRPr="001B187D">
        <w:rPr>
          <w:rFonts w:eastAsia="Calibri"/>
          <w:color w:val="000000" w:themeColor="text1"/>
          <w:sz w:val="22"/>
          <w:szCs w:val="22"/>
        </w:rPr>
        <w:t>TACCs,</w:t>
      </w:r>
      <w:r w:rsidR="00EA24C9">
        <w:rPr>
          <w:rFonts w:eastAsia="Calibri"/>
          <w:color w:val="000000" w:themeColor="text1"/>
          <w:sz w:val="22"/>
          <w:szCs w:val="22"/>
        </w:rPr>
        <w:t xml:space="preserve"> and other scientific fisheries matters,</w:t>
      </w:r>
      <w:r w:rsidRPr="001B187D">
        <w:rPr>
          <w:rFonts w:eastAsia="Calibri"/>
          <w:color w:val="000000" w:themeColor="text1"/>
          <w:sz w:val="22"/>
          <w:szCs w:val="22"/>
        </w:rPr>
        <w:t xml:space="preserve"> for the ETBF. TTRAG comprises scientific, industry, recreational fishing and management stakeholders who are appointed following a public application process. Casual observers, together with </w:t>
      </w:r>
      <w:r w:rsidR="003B53D3">
        <w:rPr>
          <w:rFonts w:eastAsia="Calibri"/>
          <w:color w:val="000000" w:themeColor="text1"/>
          <w:sz w:val="22"/>
          <w:szCs w:val="22"/>
        </w:rPr>
        <w:t>i</w:t>
      </w:r>
      <w:r w:rsidRPr="001B187D">
        <w:rPr>
          <w:rFonts w:eastAsia="Calibri"/>
          <w:color w:val="000000" w:themeColor="text1"/>
          <w:sz w:val="22"/>
          <w:szCs w:val="22"/>
        </w:rPr>
        <w:t xml:space="preserve">nvited </w:t>
      </w:r>
      <w:r w:rsidR="003B53D3">
        <w:rPr>
          <w:rFonts w:eastAsia="Calibri"/>
          <w:color w:val="000000" w:themeColor="text1"/>
          <w:sz w:val="22"/>
          <w:szCs w:val="22"/>
        </w:rPr>
        <w:t>p</w:t>
      </w:r>
      <w:r w:rsidRPr="001B187D">
        <w:rPr>
          <w:rFonts w:eastAsia="Calibri"/>
          <w:color w:val="000000" w:themeColor="text1"/>
          <w:sz w:val="22"/>
          <w:szCs w:val="22"/>
        </w:rPr>
        <w:t xml:space="preserve">articipants, also attend TTRAG meetings. Tuna Australia, the peak industry body, is an </w:t>
      </w:r>
      <w:r w:rsidR="00AA5FA8">
        <w:rPr>
          <w:rFonts w:eastAsia="Calibri"/>
          <w:color w:val="000000" w:themeColor="text1"/>
          <w:sz w:val="22"/>
          <w:szCs w:val="22"/>
        </w:rPr>
        <w:t>i</w:t>
      </w:r>
      <w:r w:rsidRPr="001B187D">
        <w:rPr>
          <w:rFonts w:eastAsia="Calibri"/>
          <w:color w:val="000000" w:themeColor="text1"/>
          <w:sz w:val="22"/>
          <w:szCs w:val="22"/>
        </w:rPr>
        <w:t xml:space="preserve">nvited </w:t>
      </w:r>
      <w:r w:rsidR="00AA5FA8">
        <w:rPr>
          <w:rFonts w:eastAsia="Calibri"/>
          <w:color w:val="000000" w:themeColor="text1"/>
          <w:sz w:val="22"/>
          <w:szCs w:val="22"/>
        </w:rPr>
        <w:t>p</w:t>
      </w:r>
      <w:r w:rsidRPr="001B187D">
        <w:rPr>
          <w:rFonts w:eastAsia="Calibri"/>
          <w:color w:val="000000" w:themeColor="text1"/>
          <w:sz w:val="22"/>
          <w:szCs w:val="22"/>
        </w:rPr>
        <w:t>articipant to TTRAG. Advice from TTRAG is considered by the Tropical Tuna Management Advisory Committee (</w:t>
      </w:r>
      <w:r w:rsidRPr="001B187D">
        <w:rPr>
          <w:rFonts w:eastAsia="Calibri"/>
          <w:b/>
          <w:bCs/>
          <w:color w:val="000000" w:themeColor="text1"/>
          <w:sz w:val="22"/>
          <w:szCs w:val="22"/>
        </w:rPr>
        <w:t>TTMAC</w:t>
      </w:r>
      <w:r w:rsidRPr="001B187D">
        <w:rPr>
          <w:rFonts w:eastAsia="Calibri"/>
          <w:color w:val="000000" w:themeColor="text1"/>
          <w:sz w:val="22"/>
          <w:szCs w:val="22"/>
        </w:rPr>
        <w:t>) (comprising the same stakeholder groups as TTRAG),</w:t>
      </w:r>
      <w:r w:rsidRPr="001B187D">
        <w:rPr>
          <w:color w:val="000000" w:themeColor="text1"/>
          <w:sz w:val="22"/>
          <w:szCs w:val="22"/>
        </w:rPr>
        <w:t xml:space="preserve"> </w:t>
      </w:r>
      <w:r w:rsidRPr="001B187D">
        <w:rPr>
          <w:rFonts w:eastAsia="Calibri"/>
          <w:color w:val="000000" w:themeColor="text1"/>
          <w:sz w:val="22"/>
          <w:szCs w:val="22"/>
        </w:rPr>
        <w:t>which subsequently recommends TACCs for each quota species to the AFMA Commission.</w:t>
      </w:r>
    </w:p>
    <w:p w14:paraId="0A041177" w14:textId="6B601990" w:rsidR="00521E33" w:rsidRPr="001B187D" w:rsidRDefault="00163E5B" w:rsidP="00521E33">
      <w:pPr>
        <w:autoSpaceDE w:val="0"/>
        <w:autoSpaceDN w:val="0"/>
        <w:adjustRightInd w:val="0"/>
        <w:spacing w:after="120" w:line="260" w:lineRule="atLeast"/>
        <w:jc w:val="both"/>
        <w:rPr>
          <w:rFonts w:eastAsia="Calibri"/>
          <w:color w:val="000000" w:themeColor="text1"/>
          <w:sz w:val="22"/>
          <w:szCs w:val="22"/>
        </w:rPr>
      </w:pPr>
      <w:r>
        <w:rPr>
          <w:rFonts w:eastAsia="Calibri"/>
          <w:color w:val="000000" w:themeColor="text1"/>
          <w:sz w:val="22"/>
          <w:szCs w:val="22"/>
        </w:rPr>
        <w:t xml:space="preserve">The AFMA Commission considered </w:t>
      </w:r>
      <w:r w:rsidR="00521E33" w:rsidRPr="001B187D">
        <w:rPr>
          <w:rFonts w:eastAsia="Calibri"/>
          <w:color w:val="000000" w:themeColor="text1"/>
          <w:sz w:val="22"/>
          <w:szCs w:val="22"/>
        </w:rPr>
        <w:t>advice from TTMAC and TTRAG</w:t>
      </w:r>
      <w:r>
        <w:rPr>
          <w:rFonts w:eastAsia="Calibri"/>
          <w:color w:val="000000" w:themeColor="text1"/>
          <w:sz w:val="22"/>
          <w:szCs w:val="22"/>
        </w:rPr>
        <w:t xml:space="preserve"> and </w:t>
      </w:r>
      <w:r w:rsidR="00521E33" w:rsidRPr="001B187D">
        <w:rPr>
          <w:rFonts w:eastAsia="Calibri"/>
          <w:color w:val="000000" w:themeColor="text1"/>
          <w:sz w:val="22"/>
          <w:szCs w:val="22"/>
        </w:rPr>
        <w:t xml:space="preserve">determined the TACCs for all quota species at its meeting on 12-13 November 2024.  </w:t>
      </w:r>
    </w:p>
    <w:p w14:paraId="591EB9AD" w14:textId="77777777" w:rsidR="00521E33" w:rsidRPr="001B187D" w:rsidRDefault="00521E33" w:rsidP="00521E33">
      <w:pPr>
        <w:autoSpaceDE w:val="0"/>
        <w:autoSpaceDN w:val="0"/>
        <w:adjustRightInd w:val="0"/>
        <w:spacing w:after="120" w:line="260" w:lineRule="atLeast"/>
        <w:jc w:val="both"/>
        <w:rPr>
          <w:rFonts w:eastAsia="Calibri"/>
          <w:color w:val="000000" w:themeColor="text1"/>
          <w:sz w:val="22"/>
          <w:szCs w:val="22"/>
        </w:rPr>
      </w:pPr>
      <w:r w:rsidRPr="001B187D">
        <w:rPr>
          <w:rFonts w:eastAsia="Calibri"/>
          <w:color w:val="000000" w:themeColor="text1"/>
          <w:sz w:val="22"/>
          <w:szCs w:val="22"/>
        </w:rPr>
        <w:t>The AFMA Commission determined the TACCs for Albacore Tuna, Yellowfin Tuna and Bigeye Tuna for a period of three years and determined the TACCs for Broadbill Swordfish and Striped Marlin for a period of one year.</w:t>
      </w:r>
    </w:p>
    <w:p w14:paraId="0AC60B93" w14:textId="77777777" w:rsidR="00521E33" w:rsidRPr="001B187D" w:rsidRDefault="00521E33" w:rsidP="00521E33">
      <w:pPr>
        <w:autoSpaceDE w:val="0"/>
        <w:autoSpaceDN w:val="0"/>
        <w:adjustRightInd w:val="0"/>
        <w:spacing w:after="120" w:line="260" w:lineRule="atLeast"/>
        <w:jc w:val="both"/>
        <w:rPr>
          <w:rFonts w:eastAsia="Calibri"/>
          <w:color w:val="000000" w:themeColor="text1"/>
          <w:sz w:val="22"/>
          <w:szCs w:val="22"/>
        </w:rPr>
      </w:pPr>
      <w:r w:rsidRPr="001B187D">
        <w:rPr>
          <w:rFonts w:eastAsia="Calibri"/>
          <w:color w:val="000000" w:themeColor="text1"/>
          <w:sz w:val="22"/>
          <w:szCs w:val="22"/>
        </w:rPr>
        <w:t>Further, the AFMA Commission determined the fishery season to commence on 1 January in a given year and end on 31 December in the same year, based on advice from TTMAC and TTRAG.</w:t>
      </w:r>
    </w:p>
    <w:p w14:paraId="59DD24F2" w14:textId="4CBEC398" w:rsidR="00525B1E" w:rsidRPr="00814D61" w:rsidRDefault="00525B1E" w:rsidP="00DC4B41">
      <w:pPr>
        <w:spacing w:before="100" w:beforeAutospacing="1" w:after="100" w:afterAutospacing="1" w:line="260" w:lineRule="atLeast"/>
        <w:jc w:val="both"/>
        <w:rPr>
          <w:rFonts w:eastAsia="Calibri"/>
          <w:b/>
          <w:bCs/>
          <w:color w:val="000000"/>
          <w:sz w:val="22"/>
          <w:szCs w:val="22"/>
        </w:rPr>
      </w:pPr>
      <w:r w:rsidRPr="00814D61">
        <w:rPr>
          <w:rFonts w:eastAsia="Calibri"/>
          <w:b/>
          <w:bCs/>
          <w:color w:val="000000" w:themeColor="text1"/>
          <w:sz w:val="22"/>
          <w:szCs w:val="22"/>
        </w:rPr>
        <w:t xml:space="preserve">Impact </w:t>
      </w:r>
      <w:r w:rsidR="000C2FB6">
        <w:rPr>
          <w:rFonts w:eastAsia="Calibri"/>
          <w:b/>
          <w:bCs/>
          <w:color w:val="000000" w:themeColor="text1"/>
          <w:sz w:val="22"/>
          <w:szCs w:val="22"/>
        </w:rPr>
        <w:t xml:space="preserve">Analysis </w:t>
      </w:r>
    </w:p>
    <w:p w14:paraId="13DF3DAC" w14:textId="3A87DA57" w:rsidR="00525B1E" w:rsidRPr="00814D61" w:rsidRDefault="00525B1E" w:rsidP="00DC4B41">
      <w:pPr>
        <w:spacing w:after="220"/>
        <w:jc w:val="both"/>
        <w:rPr>
          <w:rFonts w:eastAsia="Calibri"/>
          <w:kern w:val="20"/>
          <w:sz w:val="22"/>
          <w:szCs w:val="22"/>
        </w:rPr>
      </w:pPr>
      <w:r w:rsidRPr="00814D61">
        <w:rPr>
          <w:rFonts w:eastAsia="Calibri"/>
          <w:kern w:val="20"/>
          <w:sz w:val="22"/>
          <w:szCs w:val="22"/>
        </w:rPr>
        <w:t xml:space="preserve">The Office of Impact Analysis advised that a </w:t>
      </w:r>
      <w:r w:rsidR="000C2FB6">
        <w:rPr>
          <w:rFonts w:eastAsia="Calibri"/>
          <w:kern w:val="20"/>
          <w:sz w:val="22"/>
          <w:szCs w:val="22"/>
        </w:rPr>
        <w:t xml:space="preserve">detailed </w:t>
      </w:r>
      <w:r w:rsidRPr="00814D61">
        <w:rPr>
          <w:rFonts w:eastAsia="Calibri"/>
          <w:kern w:val="20"/>
          <w:sz w:val="22"/>
          <w:szCs w:val="22"/>
        </w:rPr>
        <w:t xml:space="preserve">Impact </w:t>
      </w:r>
      <w:r w:rsidR="000C2FB6">
        <w:rPr>
          <w:rFonts w:eastAsia="Calibri"/>
          <w:kern w:val="20"/>
          <w:sz w:val="22"/>
          <w:szCs w:val="22"/>
        </w:rPr>
        <w:t>A</w:t>
      </w:r>
      <w:r w:rsidR="00274F1A">
        <w:rPr>
          <w:rFonts w:eastAsia="Calibri"/>
          <w:kern w:val="20"/>
          <w:sz w:val="22"/>
          <w:szCs w:val="22"/>
        </w:rPr>
        <w:t>nalysis</w:t>
      </w:r>
      <w:r w:rsidR="000C2FB6">
        <w:rPr>
          <w:rFonts w:eastAsia="Calibri"/>
          <w:kern w:val="20"/>
          <w:sz w:val="22"/>
          <w:szCs w:val="22"/>
        </w:rPr>
        <w:t xml:space="preserve"> </w:t>
      </w:r>
      <w:r w:rsidR="00830547">
        <w:rPr>
          <w:rFonts w:eastAsia="Calibri"/>
          <w:kern w:val="20"/>
          <w:sz w:val="22"/>
          <w:szCs w:val="22"/>
        </w:rPr>
        <w:t>i</w:t>
      </w:r>
      <w:r w:rsidRPr="00814D61">
        <w:rPr>
          <w:rFonts w:eastAsia="Calibri"/>
          <w:kern w:val="20"/>
          <w:sz w:val="22"/>
          <w:szCs w:val="22"/>
        </w:rPr>
        <w:t xml:space="preserve">s not required for this </w:t>
      </w:r>
      <w:r w:rsidR="00723102">
        <w:rPr>
          <w:rFonts w:eastAsia="Calibri"/>
          <w:kern w:val="20"/>
          <w:sz w:val="22"/>
          <w:szCs w:val="22"/>
        </w:rPr>
        <w:t>d</w:t>
      </w:r>
      <w:r w:rsidRPr="00814D61">
        <w:rPr>
          <w:rFonts w:eastAsia="Calibri"/>
          <w:kern w:val="20"/>
          <w:sz w:val="22"/>
          <w:szCs w:val="22"/>
        </w:rPr>
        <w:t>etermination</w:t>
      </w:r>
      <w:r w:rsidR="00B73082">
        <w:rPr>
          <w:rFonts w:eastAsia="Calibri"/>
          <w:kern w:val="20"/>
          <w:sz w:val="22"/>
          <w:szCs w:val="22"/>
        </w:rPr>
        <w:t>,</w:t>
      </w:r>
      <w:r w:rsidR="00830547">
        <w:rPr>
          <w:rFonts w:eastAsia="Calibri"/>
          <w:kern w:val="20"/>
          <w:sz w:val="22"/>
          <w:szCs w:val="22"/>
        </w:rPr>
        <w:t xml:space="preserve"> </w:t>
      </w:r>
      <w:r w:rsidRPr="00814D61">
        <w:rPr>
          <w:rFonts w:eastAsia="Calibri"/>
          <w:kern w:val="20"/>
          <w:sz w:val="22"/>
          <w:szCs w:val="22"/>
        </w:rPr>
        <w:t xml:space="preserve">consistent with the </w:t>
      </w:r>
      <w:r w:rsidR="00274F1A">
        <w:rPr>
          <w:rFonts w:eastAsia="Calibri"/>
          <w:kern w:val="20"/>
          <w:sz w:val="22"/>
          <w:szCs w:val="22"/>
        </w:rPr>
        <w:t xml:space="preserve">carve-out </w:t>
      </w:r>
      <w:r w:rsidRPr="00814D61">
        <w:rPr>
          <w:rFonts w:eastAsia="Calibri"/>
          <w:kern w:val="20"/>
          <w:sz w:val="22"/>
          <w:szCs w:val="22"/>
        </w:rPr>
        <w:t xml:space="preserve">agreement in place to cover all regulatory changes of a minor or machinery nature (OIA reference no. </w:t>
      </w:r>
      <w:r w:rsidR="005721C4" w:rsidRPr="005721C4">
        <w:rPr>
          <w:rFonts w:eastAsia="Calibri"/>
          <w:kern w:val="20"/>
          <w:sz w:val="22"/>
          <w:szCs w:val="22"/>
        </w:rPr>
        <w:t>OIA23-06107</w:t>
      </w:r>
      <w:r w:rsidRPr="00814D61">
        <w:rPr>
          <w:rFonts w:eastAsia="Calibri"/>
          <w:kern w:val="20"/>
          <w:sz w:val="22"/>
          <w:szCs w:val="22"/>
        </w:rPr>
        <w:t xml:space="preserve">).  </w:t>
      </w:r>
    </w:p>
    <w:p w14:paraId="764DAD39" w14:textId="77777777" w:rsidR="00525B1E" w:rsidRPr="00814D61" w:rsidRDefault="00525B1E" w:rsidP="00DC4B41">
      <w:pPr>
        <w:spacing w:before="240" w:line="240" w:lineRule="atLeast"/>
        <w:jc w:val="both"/>
        <w:rPr>
          <w:rFonts w:eastAsia="Calibri"/>
          <w:b/>
          <w:bCs/>
          <w:sz w:val="22"/>
          <w:szCs w:val="22"/>
        </w:rPr>
      </w:pPr>
      <w:r w:rsidRPr="00814D61">
        <w:rPr>
          <w:rFonts w:eastAsia="Calibri"/>
          <w:b/>
          <w:bCs/>
          <w:sz w:val="22"/>
          <w:szCs w:val="22"/>
        </w:rPr>
        <w:t xml:space="preserve">Statement of compatibility prepared in accordance with Part 3 of </w:t>
      </w:r>
      <w:r w:rsidRPr="00814D61">
        <w:rPr>
          <w:rFonts w:eastAsia="Calibri"/>
          <w:b/>
          <w:bCs/>
          <w:i/>
          <w:iCs/>
          <w:sz w:val="22"/>
          <w:szCs w:val="22"/>
        </w:rPr>
        <w:t>the Human Rights (Parliamentary Scrutiny) Act 2011</w:t>
      </w:r>
    </w:p>
    <w:p w14:paraId="12E16B4B" w14:textId="753277DF" w:rsidR="00E970C0" w:rsidRDefault="00525B1E" w:rsidP="00E970C0">
      <w:pPr>
        <w:spacing w:before="240" w:after="240" w:line="240" w:lineRule="atLeast"/>
        <w:jc w:val="both"/>
        <w:rPr>
          <w:rFonts w:eastAsia="Calibri"/>
          <w:sz w:val="22"/>
          <w:szCs w:val="22"/>
        </w:rPr>
      </w:pPr>
      <w:r w:rsidRPr="00814D61">
        <w:rPr>
          <w:rFonts w:eastAsia="Calibri"/>
          <w:sz w:val="22"/>
          <w:szCs w:val="22"/>
        </w:rPr>
        <w:t xml:space="preserve">AFMA assesses, under section 3 of the </w:t>
      </w:r>
      <w:r w:rsidRPr="00814D61">
        <w:rPr>
          <w:rFonts w:eastAsia="Calibri"/>
          <w:i/>
          <w:iCs/>
          <w:sz w:val="22"/>
          <w:szCs w:val="22"/>
        </w:rPr>
        <w:t>Human Rights (Parliamentary Scrutiny) Act 2011</w:t>
      </w:r>
      <w:r w:rsidRPr="00814D61">
        <w:rPr>
          <w:rFonts w:eastAsia="Calibri"/>
          <w:sz w:val="22"/>
          <w:szCs w:val="22"/>
        </w:rPr>
        <w:t>, that this legislative instrument is compatible with human rights. AFMA’s Statement of Compatibility is attached as a supporting document.</w:t>
      </w:r>
    </w:p>
    <w:p w14:paraId="4ADF8B66" w14:textId="7C004534" w:rsidR="00910DC5" w:rsidRPr="00E970C0" w:rsidRDefault="00525B1E" w:rsidP="00E970C0">
      <w:pPr>
        <w:spacing w:after="160" w:line="259" w:lineRule="auto"/>
        <w:rPr>
          <w:rFonts w:eastAsia="Calibri"/>
          <w:sz w:val="22"/>
          <w:szCs w:val="22"/>
        </w:rPr>
      </w:pPr>
      <w:r w:rsidRPr="00814D61">
        <w:rPr>
          <w:rFonts w:eastAsia="Calibri"/>
          <w:b/>
          <w:bCs/>
          <w:sz w:val="22"/>
          <w:szCs w:val="22"/>
        </w:rPr>
        <w:t>The Commission’s Decision</w:t>
      </w:r>
    </w:p>
    <w:p w14:paraId="143DB97F" w14:textId="7B655812" w:rsidR="00525B1E" w:rsidRPr="00814D61" w:rsidRDefault="00AB6EAD" w:rsidP="00DC4B41">
      <w:pPr>
        <w:autoSpaceDE w:val="0"/>
        <w:autoSpaceDN w:val="0"/>
        <w:adjustRightInd w:val="0"/>
        <w:spacing w:after="120" w:line="260" w:lineRule="atLeast"/>
        <w:jc w:val="both"/>
        <w:rPr>
          <w:rFonts w:eastAsia="Calibri"/>
          <w:color w:val="000000"/>
          <w:sz w:val="22"/>
          <w:szCs w:val="22"/>
        </w:rPr>
      </w:pPr>
      <w:r>
        <w:rPr>
          <w:rFonts w:eastAsia="Calibri"/>
          <w:color w:val="000000" w:themeColor="text1"/>
          <w:sz w:val="22"/>
          <w:szCs w:val="22"/>
        </w:rPr>
        <w:t>A</w:t>
      </w:r>
      <w:r w:rsidRPr="00D01E37">
        <w:rPr>
          <w:rFonts w:eastAsia="Calibri"/>
          <w:color w:val="000000" w:themeColor="text1"/>
          <w:sz w:val="22"/>
          <w:szCs w:val="22"/>
        </w:rPr>
        <w:t>t its meeting on 1</w:t>
      </w:r>
      <w:r w:rsidR="00EA24C9">
        <w:rPr>
          <w:rFonts w:eastAsia="Calibri"/>
          <w:color w:val="000000" w:themeColor="text1"/>
          <w:sz w:val="22"/>
          <w:szCs w:val="22"/>
        </w:rPr>
        <w:t>2</w:t>
      </w:r>
      <w:r w:rsidRPr="00D01E37">
        <w:rPr>
          <w:rFonts w:eastAsia="Calibri"/>
          <w:color w:val="000000" w:themeColor="text1"/>
          <w:sz w:val="22"/>
          <w:szCs w:val="22"/>
        </w:rPr>
        <w:t xml:space="preserve"> and 1</w:t>
      </w:r>
      <w:r w:rsidR="00EA24C9">
        <w:rPr>
          <w:rFonts w:eastAsia="Calibri"/>
          <w:color w:val="000000" w:themeColor="text1"/>
          <w:sz w:val="22"/>
          <w:szCs w:val="22"/>
        </w:rPr>
        <w:t>3</w:t>
      </w:r>
      <w:r w:rsidRPr="00D01E37">
        <w:rPr>
          <w:rFonts w:eastAsia="Calibri"/>
          <w:color w:val="000000" w:themeColor="text1"/>
          <w:sz w:val="22"/>
          <w:szCs w:val="22"/>
        </w:rPr>
        <w:t xml:space="preserve"> November 2024</w:t>
      </w:r>
      <w:r>
        <w:rPr>
          <w:rFonts w:eastAsia="Calibri"/>
          <w:color w:val="000000" w:themeColor="text1"/>
          <w:sz w:val="22"/>
          <w:szCs w:val="22"/>
        </w:rPr>
        <w:t>, t</w:t>
      </w:r>
      <w:r w:rsidR="00525B1E" w:rsidRPr="00814D61">
        <w:rPr>
          <w:rFonts w:eastAsia="Calibri"/>
          <w:color w:val="000000" w:themeColor="text1"/>
          <w:sz w:val="22"/>
          <w:szCs w:val="22"/>
        </w:rPr>
        <w:t xml:space="preserve">he AFMA Commission </w:t>
      </w:r>
      <w:r w:rsidR="00525B1E" w:rsidRPr="00D01E37">
        <w:rPr>
          <w:rFonts w:eastAsia="Calibri"/>
          <w:color w:val="000000" w:themeColor="text1"/>
          <w:sz w:val="22"/>
          <w:szCs w:val="22"/>
        </w:rPr>
        <w:t>determined the fishing season</w:t>
      </w:r>
      <w:r>
        <w:rPr>
          <w:rFonts w:eastAsia="Calibri"/>
          <w:color w:val="000000" w:themeColor="text1"/>
          <w:sz w:val="22"/>
          <w:szCs w:val="22"/>
        </w:rPr>
        <w:t xml:space="preserve">, </w:t>
      </w:r>
      <w:r w:rsidR="00525B1E" w:rsidRPr="00D01E37">
        <w:rPr>
          <w:rFonts w:eastAsia="Calibri"/>
          <w:color w:val="000000" w:themeColor="text1"/>
          <w:sz w:val="22"/>
          <w:szCs w:val="22"/>
        </w:rPr>
        <w:t xml:space="preserve">the TACC amounts for </w:t>
      </w:r>
      <w:r w:rsidR="006F56FE">
        <w:rPr>
          <w:rFonts w:eastAsia="Calibri"/>
          <w:color w:val="000000" w:themeColor="text1"/>
          <w:sz w:val="22"/>
          <w:szCs w:val="22"/>
        </w:rPr>
        <w:t xml:space="preserve">three </w:t>
      </w:r>
      <w:r w:rsidR="00525B1E" w:rsidRPr="00D01E37">
        <w:rPr>
          <w:rFonts w:eastAsia="Calibri"/>
          <w:color w:val="000000" w:themeColor="text1"/>
          <w:sz w:val="22"/>
          <w:szCs w:val="22"/>
        </w:rPr>
        <w:t xml:space="preserve">quota species for </w:t>
      </w:r>
      <w:r w:rsidR="006F56FE">
        <w:rPr>
          <w:rFonts w:eastAsia="Calibri"/>
          <w:color w:val="000000" w:themeColor="text1"/>
          <w:sz w:val="22"/>
          <w:szCs w:val="22"/>
        </w:rPr>
        <w:t xml:space="preserve">the next three </w:t>
      </w:r>
      <w:r w:rsidR="00525B1E" w:rsidRPr="00D01E37">
        <w:rPr>
          <w:rFonts w:eastAsia="Calibri"/>
          <w:color w:val="000000" w:themeColor="text1"/>
          <w:sz w:val="22"/>
          <w:szCs w:val="22"/>
        </w:rPr>
        <w:t xml:space="preserve">fishing </w:t>
      </w:r>
      <w:r w:rsidRPr="00D01E37">
        <w:rPr>
          <w:rFonts w:eastAsia="Calibri"/>
          <w:color w:val="000000" w:themeColor="text1"/>
          <w:sz w:val="22"/>
          <w:szCs w:val="22"/>
        </w:rPr>
        <w:t>season</w:t>
      </w:r>
      <w:r>
        <w:rPr>
          <w:rFonts w:eastAsia="Calibri"/>
          <w:color w:val="000000" w:themeColor="text1"/>
          <w:sz w:val="22"/>
          <w:szCs w:val="22"/>
        </w:rPr>
        <w:t>s</w:t>
      </w:r>
      <w:r w:rsidR="00152BDC">
        <w:rPr>
          <w:rFonts w:eastAsia="Calibri"/>
          <w:color w:val="000000" w:themeColor="text1"/>
          <w:sz w:val="22"/>
          <w:szCs w:val="22"/>
        </w:rPr>
        <w:t>,</w:t>
      </w:r>
      <w:r>
        <w:rPr>
          <w:rFonts w:eastAsia="Calibri"/>
          <w:color w:val="000000" w:themeColor="text1"/>
          <w:sz w:val="22"/>
          <w:szCs w:val="22"/>
        </w:rPr>
        <w:t xml:space="preserve"> and</w:t>
      </w:r>
      <w:r w:rsidR="006F56FE">
        <w:rPr>
          <w:rFonts w:eastAsia="Calibri"/>
          <w:color w:val="000000" w:themeColor="text1"/>
          <w:sz w:val="22"/>
          <w:szCs w:val="22"/>
        </w:rPr>
        <w:t xml:space="preserve"> the TACC amounts for the remaining two quota species for the </w:t>
      </w:r>
      <w:r>
        <w:rPr>
          <w:rFonts w:eastAsia="Calibri"/>
          <w:color w:val="000000" w:themeColor="text1"/>
          <w:sz w:val="22"/>
          <w:szCs w:val="22"/>
        </w:rPr>
        <w:t xml:space="preserve">next fishing season. </w:t>
      </w:r>
      <w:r w:rsidR="00525B1E" w:rsidRPr="00814D61">
        <w:rPr>
          <w:rFonts w:eastAsia="Calibri"/>
          <w:color w:val="000000" w:themeColor="text1"/>
          <w:sz w:val="22"/>
          <w:szCs w:val="22"/>
        </w:rPr>
        <w:t xml:space="preserve">In making its decision, the Commission took into account each of the matters specified in subsection 3.2(4) of the </w:t>
      </w:r>
      <w:r w:rsidR="00723102">
        <w:rPr>
          <w:rFonts w:eastAsia="Calibri"/>
          <w:color w:val="000000" w:themeColor="text1"/>
          <w:sz w:val="22"/>
          <w:szCs w:val="22"/>
        </w:rPr>
        <w:t xml:space="preserve">Management </w:t>
      </w:r>
      <w:r w:rsidR="00525B1E" w:rsidRPr="00814D61">
        <w:rPr>
          <w:rFonts w:eastAsia="Calibri"/>
          <w:color w:val="000000" w:themeColor="text1"/>
          <w:sz w:val="22"/>
          <w:szCs w:val="22"/>
        </w:rPr>
        <w:t xml:space="preserve">Plan.       </w:t>
      </w:r>
    </w:p>
    <w:p w14:paraId="1F020C90" w14:textId="5FF2117E" w:rsidR="00525B1E" w:rsidRPr="00814D61" w:rsidRDefault="00525B1E" w:rsidP="00DC4B41">
      <w:pPr>
        <w:autoSpaceDE w:val="0"/>
        <w:autoSpaceDN w:val="0"/>
        <w:adjustRightInd w:val="0"/>
        <w:spacing w:after="120" w:line="260" w:lineRule="atLeast"/>
        <w:jc w:val="both"/>
        <w:rPr>
          <w:rFonts w:eastAsia="Calibri"/>
          <w:color w:val="000000"/>
          <w:sz w:val="22"/>
          <w:szCs w:val="22"/>
        </w:rPr>
      </w:pPr>
      <w:r w:rsidRPr="00814D61">
        <w:rPr>
          <w:rFonts w:eastAsia="Calibri"/>
          <w:sz w:val="22"/>
          <w:szCs w:val="22"/>
        </w:rPr>
        <w:t xml:space="preserve">The Commission is satisfied that the </w:t>
      </w:r>
      <w:r w:rsidR="00AB7F5E">
        <w:rPr>
          <w:rFonts w:eastAsia="Calibri"/>
          <w:sz w:val="22"/>
          <w:szCs w:val="22"/>
        </w:rPr>
        <w:t>determination</w:t>
      </w:r>
      <w:r w:rsidRPr="00814D61">
        <w:rPr>
          <w:rFonts w:eastAsia="Calibri"/>
          <w:sz w:val="22"/>
          <w:szCs w:val="22"/>
        </w:rPr>
        <w:t xml:space="preserve"> is consistent with AFMA’s obligation to pursue its statutory objectives, specified in section 3 of the </w:t>
      </w:r>
      <w:r w:rsidR="00DC50C4">
        <w:rPr>
          <w:rFonts w:eastAsia="Calibri"/>
          <w:sz w:val="22"/>
          <w:szCs w:val="22"/>
        </w:rPr>
        <w:t xml:space="preserve">FM </w:t>
      </w:r>
      <w:r w:rsidRPr="00814D61">
        <w:rPr>
          <w:rFonts w:eastAsia="Calibri"/>
          <w:sz w:val="22"/>
          <w:szCs w:val="22"/>
        </w:rPr>
        <w:t xml:space="preserve">Act and section 6 of the FA Act. The Commission considered that significant weight should be given to the objective of ensuring that the exploitation of fisheries resources is conducted in a manner consistent with the principles of ecologically sustainable development, which includes the exercise of the precautionary principle (paragraphs 3(1)(b) of the FM Act and 6(b) of the FA Act). </w:t>
      </w:r>
    </w:p>
    <w:p w14:paraId="752678B8" w14:textId="0D9D9432" w:rsidR="00DC4B41" w:rsidRPr="007C4D54" w:rsidRDefault="00525B1E" w:rsidP="00DC4B41">
      <w:pPr>
        <w:autoSpaceDE w:val="0"/>
        <w:autoSpaceDN w:val="0"/>
        <w:adjustRightInd w:val="0"/>
        <w:spacing w:before="240" w:after="120" w:line="260" w:lineRule="atLeast"/>
        <w:jc w:val="both"/>
        <w:rPr>
          <w:rFonts w:eastAsia="Calibri"/>
          <w:color w:val="000000" w:themeColor="text1"/>
          <w:sz w:val="22"/>
          <w:szCs w:val="22"/>
        </w:rPr>
      </w:pPr>
      <w:r w:rsidRPr="00814D61">
        <w:rPr>
          <w:rFonts w:eastAsia="Calibri"/>
          <w:color w:val="000000" w:themeColor="text1"/>
          <w:sz w:val="22"/>
          <w:szCs w:val="22"/>
        </w:rPr>
        <w:t>Details of the Instrument are set out below:</w:t>
      </w:r>
    </w:p>
    <w:p w14:paraId="5FB9AA5C" w14:textId="410F068E" w:rsidR="00525B1E" w:rsidRPr="00814D61" w:rsidRDefault="00525B1E" w:rsidP="00DC4B41">
      <w:pPr>
        <w:autoSpaceDE w:val="0"/>
        <w:autoSpaceDN w:val="0"/>
        <w:adjustRightInd w:val="0"/>
        <w:spacing w:after="120" w:line="260" w:lineRule="atLeast"/>
        <w:ind w:left="993" w:hanging="993"/>
        <w:jc w:val="both"/>
        <w:rPr>
          <w:rFonts w:eastAsia="Calibri"/>
          <w:color w:val="000000"/>
          <w:sz w:val="22"/>
          <w:szCs w:val="22"/>
        </w:rPr>
      </w:pPr>
      <w:r w:rsidRPr="00814D61">
        <w:rPr>
          <w:rFonts w:eastAsia="Calibri"/>
          <w:b/>
          <w:bCs/>
          <w:i/>
          <w:iCs/>
          <w:color w:val="000000" w:themeColor="text1"/>
          <w:sz w:val="22"/>
          <w:szCs w:val="22"/>
        </w:rPr>
        <w:t>Clause 1</w:t>
      </w:r>
      <w:r w:rsidRPr="00814D61">
        <w:rPr>
          <w:sz w:val="22"/>
          <w:szCs w:val="22"/>
        </w:rPr>
        <w:tab/>
      </w:r>
      <w:r w:rsidRPr="00814D61">
        <w:rPr>
          <w:rFonts w:eastAsia="Calibri"/>
          <w:color w:val="000000" w:themeColor="text1"/>
          <w:sz w:val="22"/>
          <w:szCs w:val="22"/>
        </w:rPr>
        <w:t>provides</w:t>
      </w:r>
      <w:r w:rsidR="00F7078D">
        <w:rPr>
          <w:rFonts w:eastAsia="Calibri"/>
          <w:color w:val="000000" w:themeColor="text1"/>
          <w:sz w:val="22"/>
          <w:szCs w:val="22"/>
        </w:rPr>
        <w:t xml:space="preserve"> that the name of the </w:t>
      </w:r>
      <w:r w:rsidRPr="00814D61">
        <w:rPr>
          <w:rFonts w:eastAsia="Calibri"/>
          <w:color w:val="000000" w:themeColor="text1"/>
          <w:sz w:val="22"/>
          <w:szCs w:val="22"/>
        </w:rPr>
        <w:t xml:space="preserve">Determination </w:t>
      </w:r>
      <w:r w:rsidR="00F7078D">
        <w:rPr>
          <w:rFonts w:eastAsia="Calibri"/>
          <w:color w:val="000000" w:themeColor="text1"/>
          <w:sz w:val="22"/>
          <w:szCs w:val="22"/>
        </w:rPr>
        <w:t xml:space="preserve">is </w:t>
      </w:r>
      <w:r w:rsidRPr="00814D61">
        <w:rPr>
          <w:rFonts w:eastAsia="Calibri"/>
          <w:color w:val="000000" w:themeColor="text1"/>
          <w:sz w:val="22"/>
          <w:szCs w:val="22"/>
        </w:rPr>
        <w:t xml:space="preserve">the </w:t>
      </w:r>
      <w:r w:rsidRPr="00AF3538">
        <w:rPr>
          <w:rFonts w:eastAsia="Calibri"/>
          <w:i/>
          <w:iCs/>
          <w:color w:val="000000" w:themeColor="text1"/>
          <w:sz w:val="22"/>
          <w:szCs w:val="22"/>
        </w:rPr>
        <w:t xml:space="preserve">Eastern Tuna and Billfish Fishery (Fishing Season and Total Allowable Commercial Catch) Determination </w:t>
      </w:r>
      <w:r w:rsidR="0061371D">
        <w:rPr>
          <w:rFonts w:eastAsia="Calibri"/>
          <w:i/>
          <w:iCs/>
          <w:color w:val="000000" w:themeColor="text1"/>
          <w:sz w:val="22"/>
          <w:szCs w:val="22"/>
        </w:rPr>
        <w:t xml:space="preserve">(No.2) </w:t>
      </w:r>
      <w:r w:rsidRPr="00AF3538">
        <w:rPr>
          <w:rFonts w:eastAsia="Calibri"/>
          <w:i/>
          <w:iCs/>
          <w:color w:val="000000" w:themeColor="text1"/>
          <w:sz w:val="22"/>
          <w:szCs w:val="22"/>
        </w:rPr>
        <w:t>202</w:t>
      </w:r>
      <w:r w:rsidR="00F75D10">
        <w:rPr>
          <w:rFonts w:eastAsia="Calibri"/>
          <w:i/>
          <w:iCs/>
          <w:color w:val="000000" w:themeColor="text1"/>
          <w:sz w:val="22"/>
          <w:szCs w:val="22"/>
        </w:rPr>
        <w:t>4</w:t>
      </w:r>
      <w:r w:rsidRPr="00814D61">
        <w:rPr>
          <w:rFonts w:eastAsia="Calibri"/>
          <w:color w:val="000000" w:themeColor="text1"/>
          <w:sz w:val="22"/>
          <w:szCs w:val="22"/>
        </w:rPr>
        <w:t>.</w:t>
      </w:r>
    </w:p>
    <w:p w14:paraId="70C9724C" w14:textId="486D2867" w:rsidR="00525B1E" w:rsidRDefault="00525B1E" w:rsidP="00DC4B41">
      <w:pPr>
        <w:autoSpaceDE w:val="0"/>
        <w:autoSpaceDN w:val="0"/>
        <w:adjustRightInd w:val="0"/>
        <w:spacing w:after="120" w:line="260" w:lineRule="atLeast"/>
        <w:jc w:val="both"/>
        <w:rPr>
          <w:rFonts w:eastAsia="Calibri"/>
          <w:color w:val="000000" w:themeColor="text1"/>
          <w:sz w:val="22"/>
          <w:szCs w:val="22"/>
        </w:rPr>
      </w:pPr>
      <w:r w:rsidRPr="00814D61">
        <w:rPr>
          <w:rFonts w:eastAsia="Calibri"/>
          <w:b/>
          <w:bCs/>
          <w:i/>
          <w:iCs/>
          <w:color w:val="000000" w:themeColor="text1"/>
          <w:sz w:val="22"/>
          <w:szCs w:val="22"/>
        </w:rPr>
        <w:t xml:space="preserve">Clause 2    </w:t>
      </w:r>
      <w:r w:rsidRPr="00814D61">
        <w:rPr>
          <w:rFonts w:eastAsia="Calibri"/>
          <w:color w:val="000000" w:themeColor="text1"/>
          <w:sz w:val="22"/>
          <w:szCs w:val="22"/>
        </w:rPr>
        <w:t xml:space="preserve">provides that the </w:t>
      </w:r>
      <w:r w:rsidR="00EA0398">
        <w:rPr>
          <w:rFonts w:eastAsia="Calibri"/>
          <w:color w:val="000000" w:themeColor="text1"/>
          <w:sz w:val="22"/>
          <w:szCs w:val="22"/>
        </w:rPr>
        <w:t>Determination</w:t>
      </w:r>
      <w:r w:rsidRPr="00814D61">
        <w:rPr>
          <w:rFonts w:eastAsia="Calibri"/>
          <w:color w:val="000000" w:themeColor="text1"/>
          <w:sz w:val="22"/>
          <w:szCs w:val="22"/>
        </w:rPr>
        <w:t xml:space="preserve"> commences on 1 January 2025.</w:t>
      </w:r>
    </w:p>
    <w:p w14:paraId="5AF310B3" w14:textId="3A789D26" w:rsidR="00EA0398" w:rsidRDefault="00EA0398" w:rsidP="0095480F">
      <w:pPr>
        <w:autoSpaceDE w:val="0"/>
        <w:autoSpaceDN w:val="0"/>
        <w:adjustRightInd w:val="0"/>
        <w:spacing w:line="260" w:lineRule="atLeast"/>
        <w:jc w:val="both"/>
        <w:rPr>
          <w:rFonts w:eastAsia="Calibri"/>
          <w:color w:val="000000" w:themeColor="text1"/>
          <w:sz w:val="22"/>
          <w:szCs w:val="22"/>
        </w:rPr>
      </w:pPr>
      <w:r w:rsidRPr="0095480F">
        <w:rPr>
          <w:rFonts w:eastAsia="Calibri"/>
          <w:b/>
          <w:bCs/>
          <w:i/>
          <w:iCs/>
          <w:color w:val="000000" w:themeColor="text1"/>
          <w:sz w:val="22"/>
          <w:szCs w:val="22"/>
        </w:rPr>
        <w:t>Clause 3</w:t>
      </w:r>
      <w:r>
        <w:rPr>
          <w:rFonts w:eastAsia="Calibri"/>
          <w:color w:val="000000" w:themeColor="text1"/>
          <w:sz w:val="22"/>
          <w:szCs w:val="22"/>
        </w:rPr>
        <w:t xml:space="preserve">    provides that the Determination is </w:t>
      </w:r>
      <w:r w:rsidR="00982595">
        <w:rPr>
          <w:rFonts w:eastAsia="Calibri"/>
          <w:color w:val="000000" w:themeColor="text1"/>
          <w:sz w:val="22"/>
          <w:szCs w:val="22"/>
        </w:rPr>
        <w:t xml:space="preserve">made pursuant to </w:t>
      </w:r>
      <w:r w:rsidR="00F336EC">
        <w:rPr>
          <w:rFonts w:eastAsia="Calibri"/>
          <w:color w:val="000000" w:themeColor="text1"/>
          <w:sz w:val="22"/>
          <w:szCs w:val="22"/>
        </w:rPr>
        <w:t>paragraph 17(</w:t>
      </w:r>
      <w:r w:rsidR="00C22C67">
        <w:rPr>
          <w:rFonts w:eastAsia="Calibri"/>
          <w:color w:val="000000" w:themeColor="text1"/>
          <w:sz w:val="22"/>
          <w:szCs w:val="22"/>
        </w:rPr>
        <w:t>6)(</w:t>
      </w:r>
      <w:r w:rsidR="00F336EC">
        <w:rPr>
          <w:rFonts w:eastAsia="Calibri"/>
          <w:color w:val="000000" w:themeColor="text1"/>
          <w:sz w:val="22"/>
          <w:szCs w:val="22"/>
        </w:rPr>
        <w:t xml:space="preserve">aa) of the FM Act </w:t>
      </w:r>
      <w:r w:rsidR="00136AE9">
        <w:rPr>
          <w:rFonts w:eastAsia="Calibri"/>
          <w:color w:val="000000" w:themeColor="text1"/>
          <w:sz w:val="22"/>
          <w:szCs w:val="22"/>
        </w:rPr>
        <w:t xml:space="preserve">and </w:t>
      </w:r>
    </w:p>
    <w:p w14:paraId="2C0FD8EA" w14:textId="1C897375" w:rsidR="0095480F" w:rsidRDefault="00CC6E32" w:rsidP="00765114">
      <w:pPr>
        <w:autoSpaceDE w:val="0"/>
        <w:autoSpaceDN w:val="0"/>
        <w:adjustRightInd w:val="0"/>
        <w:spacing w:line="360" w:lineRule="auto"/>
        <w:jc w:val="both"/>
        <w:rPr>
          <w:rFonts w:eastAsia="Calibri"/>
          <w:color w:val="000000" w:themeColor="text1"/>
          <w:sz w:val="22"/>
          <w:szCs w:val="22"/>
        </w:rPr>
      </w:pPr>
      <w:r>
        <w:rPr>
          <w:rFonts w:eastAsia="Calibri"/>
          <w:color w:val="000000" w:themeColor="text1"/>
          <w:sz w:val="22"/>
          <w:szCs w:val="22"/>
        </w:rPr>
        <w:t xml:space="preserve">                  </w:t>
      </w:r>
      <w:r w:rsidR="00136AE9">
        <w:rPr>
          <w:rFonts w:eastAsia="Calibri"/>
          <w:color w:val="000000" w:themeColor="text1"/>
          <w:sz w:val="22"/>
          <w:szCs w:val="22"/>
        </w:rPr>
        <w:t>under sections 1.3 and 3.2</w:t>
      </w:r>
      <w:r w:rsidR="0095480F">
        <w:rPr>
          <w:rFonts w:eastAsia="Calibri"/>
          <w:color w:val="000000" w:themeColor="text1"/>
          <w:sz w:val="22"/>
          <w:szCs w:val="22"/>
        </w:rPr>
        <w:t xml:space="preserve"> of the Management Plan. </w:t>
      </w:r>
    </w:p>
    <w:p w14:paraId="7B32B681" w14:textId="6BC36E38" w:rsidR="00525B1E" w:rsidRDefault="00525B1E" w:rsidP="00DC4B41">
      <w:pPr>
        <w:autoSpaceDE w:val="0"/>
        <w:autoSpaceDN w:val="0"/>
        <w:adjustRightInd w:val="0"/>
        <w:spacing w:after="120" w:line="260" w:lineRule="atLeast"/>
        <w:ind w:left="993" w:hanging="993"/>
        <w:jc w:val="both"/>
        <w:rPr>
          <w:rFonts w:eastAsia="Calibri"/>
          <w:color w:val="000000" w:themeColor="text1"/>
          <w:sz w:val="22"/>
          <w:szCs w:val="22"/>
        </w:rPr>
      </w:pPr>
      <w:r w:rsidRPr="00814D61">
        <w:rPr>
          <w:rFonts w:eastAsia="Calibri"/>
          <w:b/>
          <w:bCs/>
          <w:i/>
          <w:iCs/>
          <w:color w:val="000000" w:themeColor="text1"/>
          <w:sz w:val="22"/>
          <w:szCs w:val="22"/>
        </w:rPr>
        <w:lastRenderedPageBreak/>
        <w:t xml:space="preserve">Clause </w:t>
      </w:r>
      <w:r w:rsidR="00AC0430">
        <w:rPr>
          <w:rFonts w:eastAsia="Calibri"/>
          <w:b/>
          <w:bCs/>
          <w:i/>
          <w:iCs/>
          <w:color w:val="000000" w:themeColor="text1"/>
          <w:sz w:val="22"/>
          <w:szCs w:val="22"/>
        </w:rPr>
        <w:t>4</w:t>
      </w:r>
      <w:r w:rsidRPr="00814D61">
        <w:rPr>
          <w:sz w:val="22"/>
          <w:szCs w:val="22"/>
        </w:rPr>
        <w:tab/>
      </w:r>
      <w:r w:rsidRPr="00814D61">
        <w:rPr>
          <w:rFonts w:eastAsia="Calibri"/>
          <w:color w:val="000000" w:themeColor="text1"/>
          <w:sz w:val="22"/>
          <w:szCs w:val="22"/>
        </w:rPr>
        <w:t xml:space="preserve">provides that </w:t>
      </w:r>
      <w:r w:rsidR="00757ACA">
        <w:rPr>
          <w:rFonts w:eastAsia="Calibri"/>
          <w:color w:val="000000" w:themeColor="text1"/>
          <w:sz w:val="22"/>
          <w:szCs w:val="22"/>
        </w:rPr>
        <w:t>a</w:t>
      </w:r>
      <w:r w:rsidR="003A33AD" w:rsidRPr="003A33AD">
        <w:rPr>
          <w:rFonts w:eastAsia="Calibri"/>
          <w:color w:val="000000" w:themeColor="text1"/>
          <w:sz w:val="22"/>
          <w:szCs w:val="22"/>
        </w:rPr>
        <w:t xml:space="preserve"> number of the expressions used in this instrument are defined in section 1.3 of the Management Plan, including the following</w:t>
      </w:r>
      <w:r w:rsidR="003A33AD">
        <w:rPr>
          <w:rFonts w:eastAsia="Calibri"/>
          <w:color w:val="000000" w:themeColor="text1"/>
          <w:sz w:val="22"/>
          <w:szCs w:val="22"/>
        </w:rPr>
        <w:t>:</w:t>
      </w:r>
    </w:p>
    <w:p w14:paraId="0396B932" w14:textId="21A8C7E2" w:rsidR="003A33AD" w:rsidRPr="00BA3238" w:rsidRDefault="00C85B1F" w:rsidP="007C4D54">
      <w:pPr>
        <w:autoSpaceDE w:val="0"/>
        <w:autoSpaceDN w:val="0"/>
        <w:adjustRightInd w:val="0"/>
        <w:spacing w:after="120" w:line="260" w:lineRule="atLeast"/>
        <w:ind w:left="1713" w:hanging="993"/>
        <w:jc w:val="both"/>
        <w:rPr>
          <w:rFonts w:eastAsia="Calibri"/>
          <w:color w:val="000000" w:themeColor="text1"/>
          <w:sz w:val="22"/>
          <w:szCs w:val="22"/>
        </w:rPr>
      </w:pPr>
      <w:r w:rsidRPr="00BA3238">
        <w:rPr>
          <w:rFonts w:eastAsia="Calibri"/>
          <w:b/>
          <w:bCs/>
          <w:color w:val="000000" w:themeColor="text1"/>
          <w:sz w:val="22"/>
          <w:szCs w:val="22"/>
        </w:rPr>
        <w:t xml:space="preserve">                  </w:t>
      </w:r>
      <w:r w:rsidR="0061785D" w:rsidRPr="009C595C">
        <w:rPr>
          <w:rFonts w:eastAsia="Calibri"/>
          <w:b/>
          <w:bCs/>
          <w:i/>
          <w:iCs/>
          <w:color w:val="000000" w:themeColor="text1"/>
          <w:sz w:val="22"/>
          <w:szCs w:val="22"/>
        </w:rPr>
        <w:t>fishing season</w:t>
      </w:r>
      <w:r w:rsidR="0061785D" w:rsidRPr="00BA3238">
        <w:rPr>
          <w:rFonts w:eastAsia="Calibri"/>
          <w:color w:val="000000" w:themeColor="text1"/>
          <w:sz w:val="22"/>
          <w:szCs w:val="22"/>
        </w:rPr>
        <w:t xml:space="preserve"> means the period determined by AFMA</w:t>
      </w:r>
    </w:p>
    <w:p w14:paraId="1F4467F5" w14:textId="28F85B3D" w:rsidR="0061785D" w:rsidRPr="00BA3238" w:rsidRDefault="0061785D" w:rsidP="007C4D54">
      <w:pPr>
        <w:autoSpaceDE w:val="0"/>
        <w:autoSpaceDN w:val="0"/>
        <w:adjustRightInd w:val="0"/>
        <w:spacing w:after="120" w:line="260" w:lineRule="atLeast"/>
        <w:ind w:left="1713" w:hanging="993"/>
        <w:jc w:val="both"/>
        <w:rPr>
          <w:rFonts w:eastAsia="Calibri"/>
          <w:color w:val="000000" w:themeColor="text1"/>
          <w:sz w:val="22"/>
          <w:szCs w:val="22"/>
        </w:rPr>
      </w:pPr>
      <w:r w:rsidRPr="00DA36E6">
        <w:rPr>
          <w:rFonts w:eastAsia="Calibri"/>
          <w:b/>
          <w:bCs/>
          <w:color w:val="000000" w:themeColor="text1"/>
          <w:sz w:val="22"/>
          <w:szCs w:val="22"/>
        </w:rPr>
        <w:t xml:space="preserve">                  </w:t>
      </w:r>
      <w:r w:rsidR="0083611D" w:rsidRPr="009C595C">
        <w:rPr>
          <w:rFonts w:eastAsia="Calibri"/>
          <w:b/>
          <w:bCs/>
          <w:i/>
          <w:iCs/>
          <w:color w:val="000000" w:themeColor="text1"/>
          <w:sz w:val="22"/>
          <w:szCs w:val="22"/>
        </w:rPr>
        <w:t>Eastern Tuna and Billfish Fishery</w:t>
      </w:r>
      <w:r w:rsidR="0083611D" w:rsidRPr="00BA3238">
        <w:rPr>
          <w:rFonts w:eastAsia="Calibri"/>
          <w:color w:val="000000" w:themeColor="text1"/>
          <w:sz w:val="22"/>
          <w:szCs w:val="22"/>
        </w:rPr>
        <w:t xml:space="preserve"> means fishing for fish of a primary species, a secondary species or both, in the area of the fishery.</w:t>
      </w:r>
    </w:p>
    <w:p w14:paraId="22C5C3EB" w14:textId="1D4E4BEC" w:rsidR="0083611D" w:rsidRPr="00BA3238" w:rsidRDefault="0083611D" w:rsidP="007C4D54">
      <w:pPr>
        <w:autoSpaceDE w:val="0"/>
        <w:autoSpaceDN w:val="0"/>
        <w:adjustRightInd w:val="0"/>
        <w:spacing w:after="120" w:line="260" w:lineRule="atLeast"/>
        <w:ind w:left="1713" w:hanging="993"/>
        <w:jc w:val="both"/>
        <w:rPr>
          <w:rFonts w:eastAsia="Calibri"/>
          <w:color w:val="000000" w:themeColor="text1"/>
          <w:sz w:val="22"/>
          <w:szCs w:val="22"/>
        </w:rPr>
      </w:pPr>
      <w:r w:rsidRPr="00BA3238">
        <w:rPr>
          <w:rFonts w:eastAsia="Calibri"/>
          <w:color w:val="000000" w:themeColor="text1"/>
          <w:sz w:val="22"/>
          <w:szCs w:val="22"/>
        </w:rPr>
        <w:t xml:space="preserve">                </w:t>
      </w:r>
      <w:r w:rsidR="0070679D" w:rsidRPr="00BA3238">
        <w:rPr>
          <w:rFonts w:eastAsia="Calibri"/>
          <w:color w:val="000000" w:themeColor="text1"/>
          <w:sz w:val="22"/>
          <w:szCs w:val="22"/>
        </w:rPr>
        <w:t xml:space="preserve"> </w:t>
      </w:r>
      <w:r w:rsidR="0070679D" w:rsidRPr="009C595C">
        <w:rPr>
          <w:rFonts w:eastAsia="Calibri"/>
          <w:b/>
          <w:bCs/>
          <w:i/>
          <w:iCs/>
          <w:color w:val="000000" w:themeColor="text1"/>
          <w:sz w:val="22"/>
          <w:szCs w:val="22"/>
        </w:rPr>
        <w:t>TACC, or total allowable commercial catch</w:t>
      </w:r>
      <w:r w:rsidR="0070679D" w:rsidRPr="00BA3238">
        <w:rPr>
          <w:rFonts w:eastAsia="Calibri"/>
          <w:color w:val="000000" w:themeColor="text1"/>
          <w:sz w:val="22"/>
          <w:szCs w:val="22"/>
        </w:rPr>
        <w:t>, for a quota species and a fishing season, means the total weight of fish of that species that, under this Management Plan, may be taken during that season.</w:t>
      </w:r>
    </w:p>
    <w:p w14:paraId="027A9A38" w14:textId="1A109DCC" w:rsidR="0070679D" w:rsidRPr="00BA3238" w:rsidRDefault="0070679D" w:rsidP="007C4D54">
      <w:pPr>
        <w:autoSpaceDE w:val="0"/>
        <w:autoSpaceDN w:val="0"/>
        <w:adjustRightInd w:val="0"/>
        <w:spacing w:after="120" w:line="260" w:lineRule="atLeast"/>
        <w:ind w:left="1713" w:hanging="993"/>
        <w:jc w:val="both"/>
        <w:rPr>
          <w:rFonts w:eastAsia="Calibri"/>
          <w:color w:val="000000" w:themeColor="text1"/>
          <w:sz w:val="22"/>
          <w:szCs w:val="22"/>
        </w:rPr>
      </w:pPr>
      <w:r w:rsidRPr="009C595C">
        <w:rPr>
          <w:rFonts w:eastAsia="Calibri"/>
          <w:i/>
          <w:iCs/>
          <w:color w:val="000000" w:themeColor="text1"/>
          <w:sz w:val="22"/>
          <w:szCs w:val="22"/>
        </w:rPr>
        <w:t xml:space="preserve">                  </w:t>
      </w:r>
      <w:r w:rsidRPr="009C595C">
        <w:rPr>
          <w:rFonts w:eastAsia="Calibri"/>
          <w:b/>
          <w:bCs/>
          <w:i/>
          <w:iCs/>
          <w:color w:val="000000" w:themeColor="text1"/>
          <w:sz w:val="22"/>
          <w:szCs w:val="22"/>
        </w:rPr>
        <w:t>quota species</w:t>
      </w:r>
      <w:r w:rsidRPr="00BA3238">
        <w:rPr>
          <w:rFonts w:eastAsia="Calibri"/>
          <w:color w:val="000000" w:themeColor="text1"/>
          <w:sz w:val="22"/>
          <w:szCs w:val="22"/>
        </w:rPr>
        <w:t xml:space="preserve"> means the following species:</w:t>
      </w:r>
    </w:p>
    <w:p w14:paraId="717C14B5" w14:textId="7B711ABB" w:rsidR="0070679D" w:rsidRPr="00BA3238" w:rsidRDefault="0070679D" w:rsidP="00C22C67">
      <w:pPr>
        <w:autoSpaceDE w:val="0"/>
        <w:autoSpaceDN w:val="0"/>
        <w:adjustRightInd w:val="0"/>
        <w:ind w:left="3153" w:hanging="993"/>
        <w:jc w:val="both"/>
        <w:rPr>
          <w:rFonts w:eastAsia="Calibri"/>
          <w:color w:val="000000" w:themeColor="text1"/>
          <w:sz w:val="22"/>
          <w:szCs w:val="22"/>
        </w:rPr>
      </w:pPr>
      <w:r w:rsidRPr="00BA3238">
        <w:rPr>
          <w:rFonts w:eastAsia="Calibri"/>
          <w:color w:val="000000" w:themeColor="text1"/>
          <w:sz w:val="22"/>
          <w:szCs w:val="22"/>
        </w:rPr>
        <w:t xml:space="preserve"> (a) albacore tuna (Thunnus alalunga)</w:t>
      </w:r>
    </w:p>
    <w:p w14:paraId="0D4C8E3D" w14:textId="71AA135B" w:rsidR="0070679D" w:rsidRPr="00BA3238" w:rsidRDefault="0070679D" w:rsidP="00C22C67">
      <w:pPr>
        <w:autoSpaceDE w:val="0"/>
        <w:autoSpaceDN w:val="0"/>
        <w:adjustRightInd w:val="0"/>
        <w:ind w:left="3153" w:hanging="993"/>
        <w:jc w:val="both"/>
        <w:rPr>
          <w:rFonts w:eastAsia="Calibri"/>
          <w:color w:val="000000" w:themeColor="text1"/>
          <w:sz w:val="22"/>
          <w:szCs w:val="22"/>
        </w:rPr>
      </w:pPr>
      <w:r w:rsidRPr="00BA3238">
        <w:rPr>
          <w:rFonts w:eastAsia="Calibri"/>
          <w:color w:val="000000" w:themeColor="text1"/>
          <w:sz w:val="22"/>
          <w:szCs w:val="22"/>
        </w:rPr>
        <w:t xml:space="preserve"> (b) bigeye tuna (Thunnus obesus)</w:t>
      </w:r>
    </w:p>
    <w:p w14:paraId="1917EA92" w14:textId="32957960" w:rsidR="0070679D" w:rsidRPr="00BA3238" w:rsidRDefault="0070679D" w:rsidP="00C22C67">
      <w:pPr>
        <w:autoSpaceDE w:val="0"/>
        <w:autoSpaceDN w:val="0"/>
        <w:adjustRightInd w:val="0"/>
        <w:ind w:left="3153" w:hanging="993"/>
        <w:jc w:val="both"/>
        <w:rPr>
          <w:rFonts w:eastAsia="Calibri"/>
          <w:color w:val="000000" w:themeColor="text1"/>
          <w:sz w:val="22"/>
          <w:szCs w:val="22"/>
        </w:rPr>
      </w:pPr>
      <w:r w:rsidRPr="00BA3238">
        <w:rPr>
          <w:rFonts w:eastAsia="Calibri"/>
          <w:color w:val="000000" w:themeColor="text1"/>
          <w:sz w:val="22"/>
          <w:szCs w:val="22"/>
        </w:rPr>
        <w:t xml:space="preserve"> (c) broadbill swordfish (Xiphias gladius)</w:t>
      </w:r>
    </w:p>
    <w:p w14:paraId="09C0FCAC" w14:textId="789F86AD" w:rsidR="0070679D" w:rsidRPr="00BA3238" w:rsidRDefault="0070679D" w:rsidP="00C22C67">
      <w:pPr>
        <w:autoSpaceDE w:val="0"/>
        <w:autoSpaceDN w:val="0"/>
        <w:adjustRightInd w:val="0"/>
        <w:ind w:left="3153" w:hanging="993"/>
        <w:jc w:val="both"/>
        <w:rPr>
          <w:rFonts w:eastAsia="Calibri"/>
          <w:color w:val="000000" w:themeColor="text1"/>
          <w:sz w:val="22"/>
          <w:szCs w:val="22"/>
        </w:rPr>
      </w:pPr>
      <w:r w:rsidRPr="00BA3238">
        <w:rPr>
          <w:rFonts w:eastAsia="Calibri"/>
          <w:color w:val="000000" w:themeColor="text1"/>
          <w:sz w:val="22"/>
          <w:szCs w:val="22"/>
        </w:rPr>
        <w:t xml:space="preserve"> (d) striped marlin (Tetrapturus audax)</w:t>
      </w:r>
    </w:p>
    <w:p w14:paraId="5E596E84" w14:textId="33AEC5D6" w:rsidR="00C85B1F" w:rsidRDefault="0070679D" w:rsidP="00AF7FF4">
      <w:pPr>
        <w:autoSpaceDE w:val="0"/>
        <w:autoSpaceDN w:val="0"/>
        <w:adjustRightInd w:val="0"/>
        <w:ind w:left="3153" w:hanging="993"/>
        <w:jc w:val="both"/>
        <w:rPr>
          <w:rFonts w:eastAsia="Calibri"/>
          <w:color w:val="000000" w:themeColor="text1"/>
          <w:sz w:val="22"/>
          <w:szCs w:val="22"/>
        </w:rPr>
      </w:pPr>
      <w:r w:rsidRPr="00BA3238">
        <w:rPr>
          <w:rFonts w:eastAsia="Calibri"/>
          <w:color w:val="000000" w:themeColor="text1"/>
          <w:sz w:val="22"/>
          <w:szCs w:val="22"/>
        </w:rPr>
        <w:t xml:space="preserve"> (e) yellowfin tuna (Thunnus albacares)</w:t>
      </w:r>
      <w:r w:rsidR="00F74AF4">
        <w:rPr>
          <w:rFonts w:eastAsia="Calibri"/>
          <w:color w:val="000000" w:themeColor="text1"/>
          <w:sz w:val="22"/>
          <w:szCs w:val="22"/>
        </w:rPr>
        <w:t>.</w:t>
      </w:r>
    </w:p>
    <w:p w14:paraId="0BEEE79F" w14:textId="77777777" w:rsidR="00AF7FF4" w:rsidRPr="00AF7FF4" w:rsidRDefault="00AF7FF4" w:rsidP="00AF7FF4">
      <w:pPr>
        <w:autoSpaceDE w:val="0"/>
        <w:autoSpaceDN w:val="0"/>
        <w:adjustRightInd w:val="0"/>
        <w:ind w:left="3153" w:hanging="993"/>
        <w:jc w:val="both"/>
        <w:rPr>
          <w:rFonts w:eastAsia="Calibri"/>
          <w:color w:val="000000" w:themeColor="text1"/>
          <w:sz w:val="22"/>
          <w:szCs w:val="22"/>
        </w:rPr>
      </w:pPr>
    </w:p>
    <w:p w14:paraId="39501144" w14:textId="463275C0" w:rsidR="00525B1E" w:rsidRPr="00814D61" w:rsidRDefault="00525B1E" w:rsidP="00DC4B41">
      <w:pPr>
        <w:autoSpaceDE w:val="0"/>
        <w:autoSpaceDN w:val="0"/>
        <w:adjustRightInd w:val="0"/>
        <w:spacing w:after="120" w:line="260" w:lineRule="atLeast"/>
        <w:ind w:left="993" w:hanging="993"/>
        <w:jc w:val="both"/>
        <w:rPr>
          <w:rFonts w:eastAsia="Calibri"/>
          <w:b/>
          <w:bCs/>
          <w:i/>
          <w:iCs/>
          <w:color w:val="000000"/>
          <w:sz w:val="22"/>
          <w:szCs w:val="22"/>
        </w:rPr>
      </w:pPr>
      <w:r w:rsidRPr="00814D61">
        <w:rPr>
          <w:rFonts w:eastAsia="Calibri"/>
          <w:b/>
          <w:bCs/>
          <w:i/>
          <w:iCs/>
          <w:color w:val="000000" w:themeColor="text1"/>
          <w:sz w:val="22"/>
          <w:szCs w:val="22"/>
        </w:rPr>
        <w:t>Clause 5</w:t>
      </w:r>
      <w:r w:rsidRPr="00814D61">
        <w:rPr>
          <w:sz w:val="22"/>
          <w:szCs w:val="22"/>
        </w:rPr>
        <w:tab/>
      </w:r>
      <w:r w:rsidRPr="00814D61">
        <w:rPr>
          <w:rFonts w:eastAsia="Calibri"/>
          <w:color w:val="000000" w:themeColor="text1"/>
          <w:sz w:val="22"/>
          <w:szCs w:val="22"/>
        </w:rPr>
        <w:t>provides that the</w:t>
      </w:r>
      <w:r w:rsidR="00A4534D">
        <w:rPr>
          <w:rFonts w:eastAsia="Calibri"/>
          <w:color w:val="000000" w:themeColor="text1"/>
          <w:sz w:val="22"/>
          <w:szCs w:val="22"/>
        </w:rPr>
        <w:t xml:space="preserve"> Determination </w:t>
      </w:r>
      <w:r w:rsidRPr="00814D61">
        <w:rPr>
          <w:rFonts w:eastAsia="Calibri"/>
          <w:color w:val="000000" w:themeColor="text1"/>
          <w:sz w:val="22"/>
          <w:szCs w:val="22"/>
        </w:rPr>
        <w:t>ceases on 31 December 2027</w:t>
      </w:r>
      <w:r w:rsidR="00ED11CD">
        <w:rPr>
          <w:rFonts w:eastAsia="Calibri"/>
          <w:color w:val="000000" w:themeColor="text1"/>
          <w:sz w:val="22"/>
          <w:szCs w:val="22"/>
        </w:rPr>
        <w:t xml:space="preserve"> unless </w:t>
      </w:r>
      <w:r w:rsidR="00C135DD">
        <w:rPr>
          <w:rFonts w:eastAsia="Calibri"/>
          <w:color w:val="000000" w:themeColor="text1"/>
          <w:sz w:val="22"/>
          <w:szCs w:val="22"/>
        </w:rPr>
        <w:t>revoked</w:t>
      </w:r>
      <w:r w:rsidR="00ED11CD">
        <w:rPr>
          <w:rFonts w:eastAsia="Calibri"/>
          <w:color w:val="000000" w:themeColor="text1"/>
          <w:sz w:val="22"/>
          <w:szCs w:val="22"/>
        </w:rPr>
        <w:t xml:space="preserve"> earlier</w:t>
      </w:r>
      <w:r w:rsidRPr="00814D61">
        <w:rPr>
          <w:rFonts w:eastAsia="Calibri"/>
          <w:color w:val="000000" w:themeColor="text1"/>
          <w:sz w:val="22"/>
          <w:szCs w:val="22"/>
        </w:rPr>
        <w:t>.</w:t>
      </w:r>
    </w:p>
    <w:p w14:paraId="4FB33179" w14:textId="46B2B4F7" w:rsidR="00525B1E" w:rsidRPr="00814D61" w:rsidRDefault="00525B1E" w:rsidP="00DC4B41">
      <w:pPr>
        <w:autoSpaceDE w:val="0"/>
        <w:autoSpaceDN w:val="0"/>
        <w:adjustRightInd w:val="0"/>
        <w:spacing w:after="120" w:line="260" w:lineRule="atLeast"/>
        <w:ind w:left="993" w:hanging="993"/>
        <w:jc w:val="both"/>
        <w:rPr>
          <w:rFonts w:eastAsia="Calibri"/>
          <w:color w:val="000000"/>
          <w:sz w:val="22"/>
          <w:szCs w:val="22"/>
        </w:rPr>
      </w:pPr>
      <w:r w:rsidRPr="00814D61">
        <w:rPr>
          <w:rFonts w:eastAsia="Calibri"/>
          <w:b/>
          <w:bCs/>
          <w:i/>
          <w:iCs/>
          <w:sz w:val="22"/>
          <w:szCs w:val="22"/>
        </w:rPr>
        <w:t>Clause 6</w:t>
      </w:r>
      <w:r w:rsidRPr="00814D61">
        <w:rPr>
          <w:sz w:val="22"/>
          <w:szCs w:val="22"/>
        </w:rPr>
        <w:tab/>
      </w:r>
      <w:r w:rsidRPr="00814D61">
        <w:rPr>
          <w:rFonts w:eastAsia="Calibri"/>
          <w:color w:val="000000" w:themeColor="text1"/>
          <w:sz w:val="22"/>
          <w:szCs w:val="22"/>
        </w:rPr>
        <w:t xml:space="preserve">determines the fishing season </w:t>
      </w:r>
      <w:r w:rsidR="00C135DD">
        <w:rPr>
          <w:rFonts w:eastAsia="Calibri"/>
          <w:color w:val="000000" w:themeColor="text1"/>
          <w:sz w:val="22"/>
          <w:szCs w:val="22"/>
        </w:rPr>
        <w:t xml:space="preserve">for the purpose of section 1.3 of the Management Plan </w:t>
      </w:r>
      <w:r w:rsidRPr="00814D61">
        <w:rPr>
          <w:rFonts w:eastAsia="Calibri"/>
          <w:color w:val="000000" w:themeColor="text1"/>
          <w:sz w:val="22"/>
          <w:szCs w:val="22"/>
        </w:rPr>
        <w:t xml:space="preserve">as the period commencing on 1 January in a given year and ending on 31 December in </w:t>
      </w:r>
      <w:r w:rsidR="00190F8A" w:rsidRPr="00814D61">
        <w:rPr>
          <w:rFonts w:eastAsia="Calibri"/>
          <w:color w:val="000000" w:themeColor="text1"/>
          <w:sz w:val="22"/>
          <w:szCs w:val="22"/>
        </w:rPr>
        <w:t xml:space="preserve">the same </w:t>
      </w:r>
      <w:r w:rsidRPr="00814D61">
        <w:rPr>
          <w:rFonts w:eastAsia="Calibri"/>
          <w:color w:val="000000" w:themeColor="text1"/>
          <w:sz w:val="22"/>
          <w:szCs w:val="22"/>
        </w:rPr>
        <w:t xml:space="preserve">year. </w:t>
      </w:r>
    </w:p>
    <w:p w14:paraId="287DCBA5" w14:textId="654FB85B" w:rsidR="00525B1E" w:rsidRPr="00814D61" w:rsidRDefault="00525B1E" w:rsidP="00DC4B41">
      <w:pPr>
        <w:autoSpaceDE w:val="0"/>
        <w:autoSpaceDN w:val="0"/>
        <w:adjustRightInd w:val="0"/>
        <w:spacing w:after="120" w:line="260" w:lineRule="atLeast"/>
        <w:ind w:left="993" w:hanging="993"/>
        <w:jc w:val="both"/>
        <w:rPr>
          <w:rFonts w:eastAsia="Calibri"/>
          <w:color w:val="000000"/>
          <w:sz w:val="22"/>
          <w:szCs w:val="22"/>
        </w:rPr>
      </w:pPr>
      <w:r w:rsidRPr="25F48C9D">
        <w:rPr>
          <w:rFonts w:eastAsia="Calibri"/>
          <w:b/>
          <w:bCs/>
          <w:i/>
          <w:iCs/>
          <w:sz w:val="22"/>
          <w:szCs w:val="22"/>
        </w:rPr>
        <w:t>Clause 7</w:t>
      </w:r>
      <w:r>
        <w:tab/>
      </w:r>
      <w:r w:rsidRPr="25F48C9D">
        <w:rPr>
          <w:rFonts w:eastAsia="Calibri"/>
          <w:color w:val="000000" w:themeColor="text1"/>
          <w:sz w:val="22"/>
          <w:szCs w:val="22"/>
        </w:rPr>
        <w:t xml:space="preserve">determines the Total Allowable Commercial Catch for </w:t>
      </w:r>
      <w:r w:rsidR="00190F8A" w:rsidRPr="25F48C9D">
        <w:rPr>
          <w:rFonts w:eastAsia="Calibri"/>
          <w:color w:val="000000" w:themeColor="text1"/>
          <w:sz w:val="22"/>
          <w:szCs w:val="22"/>
        </w:rPr>
        <w:t xml:space="preserve">three </w:t>
      </w:r>
      <w:r w:rsidRPr="25F48C9D">
        <w:rPr>
          <w:rFonts w:eastAsia="Calibri"/>
          <w:color w:val="000000" w:themeColor="text1"/>
          <w:sz w:val="22"/>
          <w:szCs w:val="22"/>
        </w:rPr>
        <w:t>of the five quota species Albacore Tuna, Bigeye Tuna, and Yellowfin Tuna for the 202</w:t>
      </w:r>
      <w:r w:rsidR="00190F8A" w:rsidRPr="25F48C9D">
        <w:rPr>
          <w:rFonts w:eastAsia="Calibri"/>
          <w:color w:val="000000" w:themeColor="text1"/>
          <w:sz w:val="22"/>
          <w:szCs w:val="22"/>
        </w:rPr>
        <w:t>5, 2026 and 2027</w:t>
      </w:r>
      <w:r w:rsidRPr="25F48C9D">
        <w:rPr>
          <w:rFonts w:eastAsia="Calibri"/>
          <w:color w:val="000000" w:themeColor="text1"/>
          <w:sz w:val="22"/>
          <w:szCs w:val="22"/>
        </w:rPr>
        <w:t xml:space="preserve"> fishing season</w:t>
      </w:r>
      <w:r w:rsidR="00190F8A" w:rsidRPr="25F48C9D">
        <w:rPr>
          <w:rFonts w:eastAsia="Calibri"/>
          <w:color w:val="000000" w:themeColor="text1"/>
          <w:sz w:val="22"/>
          <w:szCs w:val="22"/>
        </w:rPr>
        <w:t>s</w:t>
      </w:r>
      <w:r w:rsidRPr="25F48C9D">
        <w:rPr>
          <w:rFonts w:eastAsia="Calibri"/>
          <w:color w:val="000000" w:themeColor="text1"/>
          <w:sz w:val="22"/>
          <w:szCs w:val="22"/>
        </w:rPr>
        <w:t xml:space="preserve">. </w:t>
      </w:r>
      <w:r w:rsidR="2E24A843" w:rsidRPr="25F48C9D">
        <w:rPr>
          <w:rFonts w:eastAsia="Calibri"/>
          <w:color w:val="000000" w:themeColor="text1"/>
          <w:sz w:val="22"/>
          <w:szCs w:val="22"/>
        </w:rPr>
        <w:t>T</w:t>
      </w:r>
      <w:r w:rsidR="00124E2E" w:rsidRPr="25F48C9D">
        <w:rPr>
          <w:rFonts w:eastAsia="Calibri"/>
          <w:color w:val="000000" w:themeColor="text1"/>
          <w:sz w:val="22"/>
          <w:szCs w:val="22"/>
        </w:rPr>
        <w:t xml:space="preserve">he </w:t>
      </w:r>
      <w:r w:rsidR="005C7EC5" w:rsidRPr="25F48C9D">
        <w:rPr>
          <w:rFonts w:eastAsia="Calibri"/>
          <w:color w:val="000000" w:themeColor="text1"/>
          <w:sz w:val="22"/>
          <w:szCs w:val="22"/>
        </w:rPr>
        <w:t xml:space="preserve">Determination </w:t>
      </w:r>
      <w:r w:rsidR="481E7918" w:rsidRPr="25F48C9D">
        <w:rPr>
          <w:rFonts w:eastAsia="Calibri"/>
          <w:color w:val="000000" w:themeColor="text1"/>
          <w:sz w:val="22"/>
          <w:szCs w:val="22"/>
        </w:rPr>
        <w:t xml:space="preserve">also </w:t>
      </w:r>
      <w:r w:rsidR="00190F8A" w:rsidRPr="25F48C9D">
        <w:rPr>
          <w:rFonts w:eastAsia="Calibri"/>
          <w:color w:val="000000" w:themeColor="text1"/>
          <w:sz w:val="22"/>
          <w:szCs w:val="22"/>
        </w:rPr>
        <w:t>determines the Total Allowable Commercial Catch for the remaining two quota species Broadbill Swordfish and Striped Marlin for the 2025 fishing season.</w:t>
      </w:r>
    </w:p>
    <w:p w14:paraId="7CFA46DD" w14:textId="34145C6B" w:rsidR="00525B1E" w:rsidRDefault="00525B1E" w:rsidP="00525B1E">
      <w:pPr>
        <w:rPr>
          <w:rFonts w:eastAsia="Calibri"/>
          <w:sz w:val="22"/>
          <w:szCs w:val="22"/>
        </w:rPr>
      </w:pPr>
    </w:p>
    <w:p w14:paraId="0C2A3563" w14:textId="4A4ED980" w:rsidR="00703B78" w:rsidRDefault="00703B78" w:rsidP="00525B1E">
      <w:pPr>
        <w:rPr>
          <w:rFonts w:eastAsia="Calibri"/>
          <w:sz w:val="22"/>
          <w:szCs w:val="22"/>
        </w:rPr>
      </w:pPr>
    </w:p>
    <w:p w14:paraId="4DFAE8BA" w14:textId="2DBF109F" w:rsidR="00703B78" w:rsidRDefault="00703B78" w:rsidP="00525B1E">
      <w:pPr>
        <w:rPr>
          <w:rFonts w:eastAsia="Calibri"/>
          <w:sz w:val="22"/>
          <w:szCs w:val="22"/>
        </w:rPr>
      </w:pPr>
    </w:p>
    <w:p w14:paraId="15ED7091" w14:textId="5104251E" w:rsidR="00703B78" w:rsidRDefault="00703B78" w:rsidP="00525B1E">
      <w:pPr>
        <w:rPr>
          <w:rFonts w:eastAsia="Calibri"/>
          <w:sz w:val="22"/>
          <w:szCs w:val="22"/>
        </w:rPr>
      </w:pPr>
    </w:p>
    <w:p w14:paraId="2710E3D0" w14:textId="4E007C53" w:rsidR="00703B78" w:rsidRDefault="00703B78" w:rsidP="00525B1E">
      <w:pPr>
        <w:rPr>
          <w:rFonts w:eastAsia="Calibri"/>
          <w:sz w:val="22"/>
          <w:szCs w:val="22"/>
        </w:rPr>
      </w:pPr>
    </w:p>
    <w:p w14:paraId="4DCE7DEE" w14:textId="77777777" w:rsidR="00703B78" w:rsidRPr="00814D61" w:rsidRDefault="00703B78" w:rsidP="00525B1E">
      <w:pPr>
        <w:rPr>
          <w:rFonts w:eastAsia="Calibri"/>
          <w:sz w:val="22"/>
          <w:szCs w:val="22"/>
        </w:rPr>
      </w:pPr>
    </w:p>
    <w:p w14:paraId="14E655FB" w14:textId="77777777" w:rsidR="007C08E1" w:rsidRDefault="007C08E1" w:rsidP="00E6494C">
      <w:pPr>
        <w:jc w:val="center"/>
        <w:rPr>
          <w:b/>
          <w:sz w:val="22"/>
          <w:szCs w:val="22"/>
        </w:rPr>
      </w:pPr>
    </w:p>
    <w:p w14:paraId="54209AFD" w14:textId="77777777" w:rsidR="007C08E1" w:rsidRDefault="007C08E1" w:rsidP="00E6494C">
      <w:pPr>
        <w:jc w:val="center"/>
        <w:rPr>
          <w:b/>
          <w:sz w:val="22"/>
          <w:szCs w:val="22"/>
        </w:rPr>
      </w:pPr>
    </w:p>
    <w:p w14:paraId="0D249DEA" w14:textId="77777777" w:rsidR="007C08E1" w:rsidRDefault="007C08E1" w:rsidP="00E6494C">
      <w:pPr>
        <w:jc w:val="center"/>
        <w:rPr>
          <w:b/>
          <w:sz w:val="22"/>
          <w:szCs w:val="22"/>
        </w:rPr>
      </w:pPr>
    </w:p>
    <w:p w14:paraId="0F0918EA" w14:textId="77777777" w:rsidR="007C08E1" w:rsidRDefault="007C08E1" w:rsidP="00E6494C">
      <w:pPr>
        <w:jc w:val="center"/>
        <w:rPr>
          <w:b/>
          <w:sz w:val="22"/>
          <w:szCs w:val="22"/>
        </w:rPr>
      </w:pPr>
    </w:p>
    <w:p w14:paraId="0075E6D3" w14:textId="77777777" w:rsidR="007C08E1" w:rsidRDefault="007C08E1" w:rsidP="00E6494C">
      <w:pPr>
        <w:jc w:val="center"/>
        <w:rPr>
          <w:b/>
          <w:sz w:val="22"/>
          <w:szCs w:val="22"/>
        </w:rPr>
      </w:pPr>
    </w:p>
    <w:p w14:paraId="10581C6C" w14:textId="77777777" w:rsidR="007C08E1" w:rsidRDefault="007C08E1" w:rsidP="00E6494C">
      <w:pPr>
        <w:jc w:val="center"/>
        <w:rPr>
          <w:b/>
          <w:sz w:val="22"/>
          <w:szCs w:val="22"/>
        </w:rPr>
      </w:pPr>
    </w:p>
    <w:p w14:paraId="059BBBD1" w14:textId="77777777" w:rsidR="007C08E1" w:rsidRDefault="007C08E1" w:rsidP="00E6494C">
      <w:pPr>
        <w:jc w:val="center"/>
        <w:rPr>
          <w:b/>
          <w:sz w:val="22"/>
          <w:szCs w:val="22"/>
        </w:rPr>
      </w:pPr>
    </w:p>
    <w:p w14:paraId="68804156" w14:textId="77777777" w:rsidR="007C08E1" w:rsidRDefault="007C08E1" w:rsidP="00E6494C">
      <w:pPr>
        <w:jc w:val="center"/>
        <w:rPr>
          <w:b/>
          <w:sz w:val="22"/>
          <w:szCs w:val="22"/>
        </w:rPr>
      </w:pPr>
    </w:p>
    <w:p w14:paraId="062C8F7F" w14:textId="77777777" w:rsidR="007C08E1" w:rsidRDefault="007C08E1" w:rsidP="00E6494C">
      <w:pPr>
        <w:jc w:val="center"/>
        <w:rPr>
          <w:b/>
          <w:sz w:val="22"/>
          <w:szCs w:val="22"/>
        </w:rPr>
      </w:pPr>
    </w:p>
    <w:p w14:paraId="1AD170A6" w14:textId="77777777" w:rsidR="007C08E1" w:rsidRDefault="007C08E1" w:rsidP="00E6494C">
      <w:pPr>
        <w:jc w:val="center"/>
        <w:rPr>
          <w:b/>
          <w:sz w:val="22"/>
          <w:szCs w:val="22"/>
        </w:rPr>
      </w:pPr>
    </w:p>
    <w:p w14:paraId="4D39797F" w14:textId="77777777" w:rsidR="007C08E1" w:rsidRDefault="007C08E1" w:rsidP="00E6494C">
      <w:pPr>
        <w:jc w:val="center"/>
        <w:rPr>
          <w:b/>
          <w:sz w:val="22"/>
          <w:szCs w:val="22"/>
        </w:rPr>
      </w:pPr>
    </w:p>
    <w:p w14:paraId="08180CB4" w14:textId="77777777" w:rsidR="007C08E1" w:rsidRDefault="007C08E1" w:rsidP="00E6494C">
      <w:pPr>
        <w:jc w:val="center"/>
        <w:rPr>
          <w:b/>
          <w:sz w:val="22"/>
          <w:szCs w:val="22"/>
        </w:rPr>
      </w:pPr>
    </w:p>
    <w:p w14:paraId="6CB1B4BF" w14:textId="77777777" w:rsidR="007C08E1" w:rsidRDefault="007C08E1" w:rsidP="00E6494C">
      <w:pPr>
        <w:jc w:val="center"/>
        <w:rPr>
          <w:b/>
          <w:sz w:val="22"/>
          <w:szCs w:val="22"/>
        </w:rPr>
      </w:pPr>
    </w:p>
    <w:p w14:paraId="7C800703" w14:textId="77777777" w:rsidR="007C08E1" w:rsidRDefault="007C08E1" w:rsidP="00E6494C">
      <w:pPr>
        <w:jc w:val="center"/>
        <w:rPr>
          <w:b/>
          <w:sz w:val="22"/>
          <w:szCs w:val="22"/>
        </w:rPr>
      </w:pPr>
    </w:p>
    <w:p w14:paraId="6CDFD370" w14:textId="77777777" w:rsidR="007C08E1" w:rsidRDefault="007C08E1" w:rsidP="00E6494C">
      <w:pPr>
        <w:jc w:val="center"/>
        <w:rPr>
          <w:b/>
          <w:sz w:val="22"/>
          <w:szCs w:val="22"/>
        </w:rPr>
      </w:pPr>
    </w:p>
    <w:p w14:paraId="0784F78B" w14:textId="77777777" w:rsidR="007C08E1" w:rsidRDefault="007C08E1" w:rsidP="00E6494C">
      <w:pPr>
        <w:jc w:val="center"/>
        <w:rPr>
          <w:b/>
          <w:sz w:val="22"/>
          <w:szCs w:val="22"/>
        </w:rPr>
      </w:pPr>
    </w:p>
    <w:p w14:paraId="4A9E4277" w14:textId="77777777" w:rsidR="007C08E1" w:rsidRDefault="007C08E1" w:rsidP="00E6494C">
      <w:pPr>
        <w:jc w:val="center"/>
        <w:rPr>
          <w:b/>
          <w:sz w:val="22"/>
          <w:szCs w:val="22"/>
        </w:rPr>
      </w:pPr>
    </w:p>
    <w:p w14:paraId="2F9DB887" w14:textId="77777777" w:rsidR="007C08E1" w:rsidRDefault="007C08E1" w:rsidP="00E6494C">
      <w:pPr>
        <w:jc w:val="center"/>
        <w:rPr>
          <w:b/>
          <w:sz w:val="22"/>
          <w:szCs w:val="22"/>
        </w:rPr>
      </w:pPr>
    </w:p>
    <w:p w14:paraId="7B99031B" w14:textId="77777777" w:rsidR="007C08E1" w:rsidRDefault="007C08E1" w:rsidP="00E6494C">
      <w:pPr>
        <w:jc w:val="center"/>
        <w:rPr>
          <w:b/>
          <w:sz w:val="22"/>
          <w:szCs w:val="22"/>
        </w:rPr>
      </w:pPr>
    </w:p>
    <w:p w14:paraId="481053E8" w14:textId="77777777" w:rsidR="007C08E1" w:rsidRDefault="007C08E1" w:rsidP="004F555A">
      <w:pPr>
        <w:rPr>
          <w:b/>
          <w:sz w:val="22"/>
          <w:szCs w:val="22"/>
        </w:rPr>
      </w:pPr>
    </w:p>
    <w:p w14:paraId="1ABF1563" w14:textId="77777777" w:rsidR="007C08E1" w:rsidRDefault="007C08E1" w:rsidP="00E6494C">
      <w:pPr>
        <w:jc w:val="center"/>
        <w:rPr>
          <w:b/>
          <w:sz w:val="22"/>
          <w:szCs w:val="22"/>
        </w:rPr>
      </w:pPr>
    </w:p>
    <w:p w14:paraId="72F96F5D" w14:textId="356FBD54" w:rsidR="00525B1E" w:rsidRPr="00814D61" w:rsidRDefault="00525B1E" w:rsidP="00E6494C">
      <w:pPr>
        <w:jc w:val="center"/>
        <w:rPr>
          <w:b/>
          <w:sz w:val="22"/>
          <w:szCs w:val="22"/>
        </w:rPr>
      </w:pPr>
      <w:r w:rsidRPr="00814D61">
        <w:rPr>
          <w:b/>
          <w:sz w:val="22"/>
          <w:szCs w:val="22"/>
        </w:rPr>
        <w:t>Statement of Compatibility with Human Rights</w:t>
      </w:r>
    </w:p>
    <w:p w14:paraId="2D61025A" w14:textId="59D7CCD5" w:rsidR="00525B1E" w:rsidRDefault="00525B1E" w:rsidP="00386AC3">
      <w:pPr>
        <w:spacing w:before="120" w:after="120"/>
        <w:rPr>
          <w:sz w:val="22"/>
          <w:szCs w:val="22"/>
        </w:rPr>
      </w:pPr>
      <w:r w:rsidRPr="00814D61">
        <w:rPr>
          <w:i/>
          <w:sz w:val="22"/>
          <w:szCs w:val="22"/>
        </w:rPr>
        <w:t>Prepared in accordance with Part 3 of the Human Rights (Parliamentary Scrutiny) Act 2011</w:t>
      </w:r>
    </w:p>
    <w:p w14:paraId="46D9DF58" w14:textId="77777777" w:rsidR="00386AC3" w:rsidRPr="00814D61" w:rsidRDefault="00386AC3" w:rsidP="00386AC3">
      <w:pPr>
        <w:spacing w:before="120" w:after="120"/>
        <w:rPr>
          <w:sz w:val="22"/>
          <w:szCs w:val="22"/>
        </w:rPr>
      </w:pPr>
    </w:p>
    <w:p w14:paraId="173DB784" w14:textId="53FCBA1D" w:rsidR="000C1548" w:rsidRPr="000C1548" w:rsidRDefault="00525B1E" w:rsidP="000C1548">
      <w:pPr>
        <w:spacing w:before="120" w:after="120"/>
        <w:jc w:val="center"/>
        <w:rPr>
          <w:b/>
          <w:i/>
          <w:iCs/>
          <w:sz w:val="22"/>
          <w:szCs w:val="22"/>
        </w:rPr>
      </w:pPr>
      <w:r w:rsidRPr="00AF3538">
        <w:rPr>
          <w:b/>
          <w:i/>
          <w:iCs/>
          <w:sz w:val="22"/>
          <w:szCs w:val="22"/>
        </w:rPr>
        <w:t xml:space="preserve">Eastern Tuna and Billfish Fishery (Fishing Season and Total Allowable Commercial Catch) Determination </w:t>
      </w:r>
      <w:r w:rsidR="006B5BC2">
        <w:rPr>
          <w:b/>
          <w:i/>
          <w:iCs/>
          <w:sz w:val="22"/>
          <w:szCs w:val="22"/>
        </w:rPr>
        <w:t xml:space="preserve">(No.2) </w:t>
      </w:r>
      <w:r w:rsidRPr="00AF3538">
        <w:rPr>
          <w:b/>
          <w:i/>
          <w:iCs/>
          <w:sz w:val="22"/>
          <w:szCs w:val="22"/>
        </w:rPr>
        <w:t>202</w:t>
      </w:r>
      <w:r w:rsidR="00087C22" w:rsidRPr="00AF3538">
        <w:rPr>
          <w:b/>
          <w:i/>
          <w:iCs/>
          <w:sz w:val="22"/>
          <w:szCs w:val="22"/>
        </w:rPr>
        <w:t>4</w:t>
      </w:r>
    </w:p>
    <w:p w14:paraId="76472C6C" w14:textId="3E3E03F6" w:rsidR="00525B1E" w:rsidRPr="00814D61" w:rsidRDefault="00525B1E" w:rsidP="00000F61">
      <w:pPr>
        <w:spacing w:before="120" w:after="120"/>
        <w:rPr>
          <w:sz w:val="22"/>
          <w:szCs w:val="22"/>
        </w:rPr>
      </w:pPr>
      <w:r w:rsidRPr="00814D61">
        <w:rPr>
          <w:sz w:val="22"/>
          <w:szCs w:val="22"/>
        </w:rPr>
        <w:t xml:space="preserve">This Legislative Instrument is compatible with the human rights and freedoms recognised or declared in the international instruments listed in section 3 of the </w:t>
      </w:r>
      <w:r w:rsidRPr="00814D61">
        <w:rPr>
          <w:i/>
          <w:sz w:val="22"/>
          <w:szCs w:val="22"/>
        </w:rPr>
        <w:t>Human Rights (Parliamentary Scrutiny) Act 2011</w:t>
      </w:r>
      <w:r w:rsidRPr="00814D61">
        <w:rPr>
          <w:sz w:val="22"/>
          <w:szCs w:val="22"/>
        </w:rPr>
        <w:t>.</w:t>
      </w:r>
    </w:p>
    <w:p w14:paraId="06B61D5F" w14:textId="77777777" w:rsidR="00525B1E" w:rsidRPr="00814D61" w:rsidRDefault="00525B1E" w:rsidP="00525B1E">
      <w:pPr>
        <w:spacing w:before="120" w:after="120"/>
        <w:jc w:val="center"/>
        <w:rPr>
          <w:b/>
          <w:sz w:val="22"/>
          <w:szCs w:val="22"/>
        </w:rPr>
      </w:pPr>
      <w:r w:rsidRPr="00814D61">
        <w:rPr>
          <w:b/>
          <w:sz w:val="22"/>
          <w:szCs w:val="22"/>
        </w:rPr>
        <w:t>Overview of the Legislative Instrument</w:t>
      </w:r>
    </w:p>
    <w:p w14:paraId="46776424" w14:textId="32ABE643" w:rsidR="00E67788" w:rsidRPr="000C1548" w:rsidRDefault="00525B1E" w:rsidP="00525B1E">
      <w:pPr>
        <w:pStyle w:val="ListParagraph"/>
        <w:spacing w:before="120" w:after="120"/>
        <w:ind w:left="0"/>
        <w:jc w:val="both"/>
        <w:rPr>
          <w:rFonts w:ascii="Times New Roman" w:hAnsi="Times New Roman"/>
        </w:rPr>
      </w:pPr>
      <w:r w:rsidRPr="25F48C9D">
        <w:rPr>
          <w:rFonts w:ascii="Times New Roman" w:hAnsi="Times New Roman"/>
        </w:rPr>
        <w:t xml:space="preserve">The instrument determines the fishing season as the period season commencing on 1 January </w:t>
      </w:r>
      <w:r w:rsidR="00CD019D" w:rsidRPr="25F48C9D">
        <w:rPr>
          <w:rFonts w:ascii="Times New Roman" w:hAnsi="Times New Roman"/>
        </w:rPr>
        <w:t xml:space="preserve">in a given year </w:t>
      </w:r>
      <w:r w:rsidRPr="25F48C9D">
        <w:rPr>
          <w:rFonts w:ascii="Times New Roman" w:hAnsi="Times New Roman"/>
        </w:rPr>
        <w:t xml:space="preserve">and concluding on 31 December </w:t>
      </w:r>
      <w:r w:rsidR="00CD019D" w:rsidRPr="25F48C9D">
        <w:rPr>
          <w:rFonts w:ascii="Times New Roman" w:hAnsi="Times New Roman"/>
        </w:rPr>
        <w:t xml:space="preserve">in the same year. </w:t>
      </w:r>
      <w:r w:rsidR="008F2480" w:rsidRPr="25F48C9D">
        <w:rPr>
          <w:rFonts w:ascii="Times New Roman" w:hAnsi="Times New Roman"/>
        </w:rPr>
        <w:t xml:space="preserve">The Instrument </w:t>
      </w:r>
      <w:r w:rsidR="000E4123" w:rsidRPr="25F48C9D">
        <w:rPr>
          <w:rFonts w:ascii="Times New Roman" w:hAnsi="Times New Roman"/>
        </w:rPr>
        <w:t>determines the Total Allowable Commercial Catch for three of the five quota species: Albacore Tuna, Bigeye Tuna, and Yellowfin Tuna</w:t>
      </w:r>
      <w:r w:rsidR="008F2480" w:rsidRPr="25F48C9D">
        <w:rPr>
          <w:rFonts w:ascii="Times New Roman" w:hAnsi="Times New Roman"/>
        </w:rPr>
        <w:t xml:space="preserve"> in the Eastern Tuna and Billfish Fishery </w:t>
      </w:r>
      <w:r w:rsidR="000E4123" w:rsidRPr="25F48C9D">
        <w:rPr>
          <w:rFonts w:ascii="Times New Roman" w:hAnsi="Times New Roman"/>
        </w:rPr>
        <w:t xml:space="preserve">for the 2025, 2026 and 2027 fishing seasons. </w:t>
      </w:r>
      <w:r w:rsidR="2CC02739" w:rsidRPr="25F48C9D">
        <w:rPr>
          <w:rFonts w:ascii="Times New Roman" w:hAnsi="Times New Roman"/>
        </w:rPr>
        <w:t>The Determination also</w:t>
      </w:r>
      <w:r w:rsidR="000E4123" w:rsidRPr="25F48C9D">
        <w:rPr>
          <w:rFonts w:ascii="Times New Roman" w:hAnsi="Times New Roman"/>
        </w:rPr>
        <w:t xml:space="preserve"> determines the Total Allowable Commercial Catch for the remaining two quota species: Broadbill Swordfish and Striped Marlin</w:t>
      </w:r>
      <w:r w:rsidR="001963DE" w:rsidRPr="25F48C9D">
        <w:rPr>
          <w:rFonts w:ascii="Times New Roman" w:hAnsi="Times New Roman"/>
        </w:rPr>
        <w:t xml:space="preserve"> Eastern Tuna and Billfish Fishery</w:t>
      </w:r>
      <w:r w:rsidR="000E4123" w:rsidRPr="25F48C9D">
        <w:rPr>
          <w:rFonts w:ascii="Times New Roman" w:hAnsi="Times New Roman"/>
        </w:rPr>
        <w:t xml:space="preserve"> for the 2025 fishing season.</w:t>
      </w:r>
    </w:p>
    <w:p w14:paraId="50AFDE80" w14:textId="77777777" w:rsidR="00525B1E" w:rsidRPr="00814D61" w:rsidRDefault="00525B1E" w:rsidP="00525B1E">
      <w:pPr>
        <w:spacing w:before="120" w:after="120"/>
        <w:jc w:val="center"/>
        <w:rPr>
          <w:b/>
          <w:sz w:val="22"/>
          <w:szCs w:val="22"/>
        </w:rPr>
      </w:pPr>
      <w:r w:rsidRPr="00814D61">
        <w:rPr>
          <w:b/>
          <w:sz w:val="22"/>
          <w:szCs w:val="22"/>
        </w:rPr>
        <w:t>Human rights implications</w:t>
      </w:r>
    </w:p>
    <w:p w14:paraId="0CA85199" w14:textId="08EA87A1" w:rsidR="00525B1E" w:rsidRPr="00814D61" w:rsidRDefault="00525B1E" w:rsidP="00525B1E">
      <w:pPr>
        <w:spacing w:before="120" w:after="120"/>
        <w:rPr>
          <w:sz w:val="22"/>
          <w:szCs w:val="22"/>
        </w:rPr>
      </w:pPr>
      <w:r w:rsidRPr="00814D61">
        <w:rPr>
          <w:sz w:val="22"/>
          <w:szCs w:val="22"/>
        </w:rPr>
        <w:t>This Legislative Instrument does not engage any of the applicable rights or freedoms.</w:t>
      </w:r>
    </w:p>
    <w:p w14:paraId="304F0165" w14:textId="77777777" w:rsidR="00525B1E" w:rsidRPr="00814D61" w:rsidRDefault="00525B1E" w:rsidP="00525B1E">
      <w:pPr>
        <w:spacing w:before="120" w:after="120"/>
        <w:jc w:val="center"/>
        <w:rPr>
          <w:b/>
          <w:sz w:val="22"/>
          <w:szCs w:val="22"/>
        </w:rPr>
      </w:pPr>
      <w:r w:rsidRPr="00814D61">
        <w:rPr>
          <w:b/>
          <w:sz w:val="22"/>
          <w:szCs w:val="22"/>
        </w:rPr>
        <w:t>Conclusion</w:t>
      </w:r>
    </w:p>
    <w:p w14:paraId="61F55CFA" w14:textId="77777777" w:rsidR="00525B1E" w:rsidRPr="00814D61" w:rsidRDefault="00525B1E" w:rsidP="00525B1E">
      <w:pPr>
        <w:spacing w:before="120" w:after="120"/>
        <w:rPr>
          <w:sz w:val="22"/>
          <w:szCs w:val="22"/>
        </w:rPr>
      </w:pPr>
      <w:r w:rsidRPr="00814D61">
        <w:rPr>
          <w:sz w:val="22"/>
          <w:szCs w:val="22"/>
        </w:rPr>
        <w:t>This Legislative Instrument is compatible with human rights as it does not raise any human rights issues.</w:t>
      </w:r>
    </w:p>
    <w:p w14:paraId="5EFAE35C" w14:textId="77777777" w:rsidR="00525B1E" w:rsidRPr="00814D61" w:rsidRDefault="00525B1E" w:rsidP="00525B1E">
      <w:pPr>
        <w:spacing w:before="240" w:line="240" w:lineRule="atLeast"/>
        <w:rPr>
          <w:rFonts w:eastAsia="Calibri"/>
          <w:sz w:val="22"/>
          <w:szCs w:val="22"/>
        </w:rPr>
      </w:pPr>
    </w:p>
    <w:sectPr w:rsidR="00525B1E" w:rsidRPr="00814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0A7A6" w14:textId="77777777" w:rsidR="00F15B34" w:rsidRDefault="00F15B34" w:rsidP="00190F8A">
      <w:r>
        <w:separator/>
      </w:r>
    </w:p>
  </w:endnote>
  <w:endnote w:type="continuationSeparator" w:id="0">
    <w:p w14:paraId="5700F94F" w14:textId="77777777" w:rsidR="00F15B34" w:rsidRDefault="00F15B34" w:rsidP="00190F8A">
      <w:r>
        <w:continuationSeparator/>
      </w:r>
    </w:p>
  </w:endnote>
  <w:endnote w:type="continuationNotice" w:id="1">
    <w:p w14:paraId="6B0E7999" w14:textId="77777777" w:rsidR="00F15B34" w:rsidRDefault="00F15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6B580" w14:textId="77777777" w:rsidR="00F15B34" w:rsidRDefault="00F15B34" w:rsidP="00190F8A">
      <w:r>
        <w:separator/>
      </w:r>
    </w:p>
  </w:footnote>
  <w:footnote w:type="continuationSeparator" w:id="0">
    <w:p w14:paraId="5A3F7262" w14:textId="77777777" w:rsidR="00F15B34" w:rsidRDefault="00F15B34" w:rsidP="00190F8A">
      <w:r>
        <w:continuationSeparator/>
      </w:r>
    </w:p>
  </w:footnote>
  <w:footnote w:type="continuationNotice" w:id="1">
    <w:p w14:paraId="4B9745E9" w14:textId="77777777" w:rsidR="00F15B34" w:rsidRDefault="00F15B34"/>
  </w:footnote>
  <w:footnote w:id="2">
    <w:p w14:paraId="066EE3EB" w14:textId="14915C36" w:rsidR="009A7445" w:rsidRPr="009A7445" w:rsidRDefault="009A7445">
      <w:pPr>
        <w:pStyle w:val="FootnoteText"/>
        <w:rPr>
          <w:lang w:val="en-AU"/>
        </w:rPr>
      </w:pPr>
      <w:r w:rsidRPr="00F81DB2">
        <w:rPr>
          <w:rStyle w:val="FootnoteReference"/>
          <w:sz w:val="16"/>
          <w:szCs w:val="16"/>
        </w:rPr>
        <w:footnoteRef/>
      </w:r>
      <w:r w:rsidRPr="00F81DB2">
        <w:rPr>
          <w:sz w:val="16"/>
          <w:szCs w:val="16"/>
        </w:rPr>
        <w:t xml:space="preserve"> </w:t>
      </w:r>
      <w:r w:rsidR="00F81DB2" w:rsidRPr="00F81DB2">
        <w:rPr>
          <w:sz w:val="16"/>
          <w:szCs w:val="16"/>
        </w:rPr>
        <w:t xml:space="preserve">Paragraph 15J(2)(c) of the Legislation Act 2003 this instrument incorporates the document titled “Eastern Tuna and Billfish Fishery Harvest Strategy” as it applies on the date this legislative instrument commences. This document could in 2024 be viewed free of charge on the Australian Fisheries Management Authority’s website at </w:t>
      </w:r>
      <w:r w:rsidR="00BC303B" w:rsidRPr="00562B10">
        <w:rPr>
          <w:sz w:val="16"/>
          <w:szCs w:val="16"/>
        </w:rPr>
        <w:t>https://www.afma.gov.au/who-we-are/legislation-and-regulation</w:t>
      </w:r>
      <w:r w:rsidR="00BC303B">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34"/>
    <w:rsid w:val="00000738"/>
    <w:rsid w:val="00000F61"/>
    <w:rsid w:val="0002061F"/>
    <w:rsid w:val="00030ECE"/>
    <w:rsid w:val="00034E5A"/>
    <w:rsid w:val="000559D3"/>
    <w:rsid w:val="000618DC"/>
    <w:rsid w:val="00064042"/>
    <w:rsid w:val="000760EF"/>
    <w:rsid w:val="00082A8D"/>
    <w:rsid w:val="00087C22"/>
    <w:rsid w:val="000A6095"/>
    <w:rsid w:val="000B0B3C"/>
    <w:rsid w:val="000B465D"/>
    <w:rsid w:val="000B6FB8"/>
    <w:rsid w:val="000C1548"/>
    <w:rsid w:val="000C2FB6"/>
    <w:rsid w:val="000C4166"/>
    <w:rsid w:val="000C4B15"/>
    <w:rsid w:val="000D0300"/>
    <w:rsid w:val="000E1A1F"/>
    <w:rsid w:val="000E4123"/>
    <w:rsid w:val="000E50BC"/>
    <w:rsid w:val="000F60F1"/>
    <w:rsid w:val="00124E2E"/>
    <w:rsid w:val="00126BFE"/>
    <w:rsid w:val="00127AF9"/>
    <w:rsid w:val="00136AE9"/>
    <w:rsid w:val="00140688"/>
    <w:rsid w:val="00152BDC"/>
    <w:rsid w:val="00163E5B"/>
    <w:rsid w:val="0016615D"/>
    <w:rsid w:val="00182992"/>
    <w:rsid w:val="00182AE5"/>
    <w:rsid w:val="00190F8A"/>
    <w:rsid w:val="001939CD"/>
    <w:rsid w:val="00195403"/>
    <w:rsid w:val="001963DE"/>
    <w:rsid w:val="001B187D"/>
    <w:rsid w:val="001B3B0F"/>
    <w:rsid w:val="001D7DE1"/>
    <w:rsid w:val="001E7E3B"/>
    <w:rsid w:val="001F1A61"/>
    <w:rsid w:val="002178DF"/>
    <w:rsid w:val="002213F4"/>
    <w:rsid w:val="00225E2F"/>
    <w:rsid w:val="0023377C"/>
    <w:rsid w:val="002339EE"/>
    <w:rsid w:val="0023545C"/>
    <w:rsid w:val="00251C4D"/>
    <w:rsid w:val="00254F23"/>
    <w:rsid w:val="00274F1A"/>
    <w:rsid w:val="002A0411"/>
    <w:rsid w:val="002A67FA"/>
    <w:rsid w:val="002B4395"/>
    <w:rsid w:val="002B5AC4"/>
    <w:rsid w:val="002C4F4C"/>
    <w:rsid w:val="002D1135"/>
    <w:rsid w:val="002E5759"/>
    <w:rsid w:val="002E6A0E"/>
    <w:rsid w:val="00303706"/>
    <w:rsid w:val="0034343B"/>
    <w:rsid w:val="00356EB5"/>
    <w:rsid w:val="003616FE"/>
    <w:rsid w:val="00373A13"/>
    <w:rsid w:val="00385AD6"/>
    <w:rsid w:val="00386AC3"/>
    <w:rsid w:val="0039498A"/>
    <w:rsid w:val="003A33AD"/>
    <w:rsid w:val="003B002D"/>
    <w:rsid w:val="003B30F4"/>
    <w:rsid w:val="003B53D3"/>
    <w:rsid w:val="003D2BFB"/>
    <w:rsid w:val="003D338F"/>
    <w:rsid w:val="003D5432"/>
    <w:rsid w:val="003D6759"/>
    <w:rsid w:val="003E15BB"/>
    <w:rsid w:val="003E37F1"/>
    <w:rsid w:val="003E453D"/>
    <w:rsid w:val="003F1176"/>
    <w:rsid w:val="003F7AE1"/>
    <w:rsid w:val="00403F9A"/>
    <w:rsid w:val="00404324"/>
    <w:rsid w:val="00405052"/>
    <w:rsid w:val="00415261"/>
    <w:rsid w:val="00431889"/>
    <w:rsid w:val="00431F0E"/>
    <w:rsid w:val="00447BA5"/>
    <w:rsid w:val="00450F65"/>
    <w:rsid w:val="00451C34"/>
    <w:rsid w:val="00454066"/>
    <w:rsid w:val="00487297"/>
    <w:rsid w:val="004876C7"/>
    <w:rsid w:val="00497E5F"/>
    <w:rsid w:val="004A3082"/>
    <w:rsid w:val="004B4E40"/>
    <w:rsid w:val="004B5138"/>
    <w:rsid w:val="004B775B"/>
    <w:rsid w:val="004C1AF6"/>
    <w:rsid w:val="004C3472"/>
    <w:rsid w:val="004C7EF6"/>
    <w:rsid w:val="004D309C"/>
    <w:rsid w:val="004F1A07"/>
    <w:rsid w:val="004F555A"/>
    <w:rsid w:val="00500593"/>
    <w:rsid w:val="00504F5F"/>
    <w:rsid w:val="00521E33"/>
    <w:rsid w:val="00525B1E"/>
    <w:rsid w:val="00542ECE"/>
    <w:rsid w:val="00562B10"/>
    <w:rsid w:val="005721C4"/>
    <w:rsid w:val="00597D8C"/>
    <w:rsid w:val="005A6ADA"/>
    <w:rsid w:val="005C7EC5"/>
    <w:rsid w:val="005D0097"/>
    <w:rsid w:val="005E20C0"/>
    <w:rsid w:val="005F31E6"/>
    <w:rsid w:val="005F7C9A"/>
    <w:rsid w:val="00612239"/>
    <w:rsid w:val="0061371D"/>
    <w:rsid w:val="0061785D"/>
    <w:rsid w:val="006212B4"/>
    <w:rsid w:val="00622B01"/>
    <w:rsid w:val="0063681B"/>
    <w:rsid w:val="006511DA"/>
    <w:rsid w:val="00674127"/>
    <w:rsid w:val="006800DC"/>
    <w:rsid w:val="00687207"/>
    <w:rsid w:val="006873F7"/>
    <w:rsid w:val="00697ED9"/>
    <w:rsid w:val="006B5BC2"/>
    <w:rsid w:val="006D30DF"/>
    <w:rsid w:val="006E1481"/>
    <w:rsid w:val="006E552B"/>
    <w:rsid w:val="006F3456"/>
    <w:rsid w:val="006F56FE"/>
    <w:rsid w:val="006F7225"/>
    <w:rsid w:val="00703B78"/>
    <w:rsid w:val="0070679D"/>
    <w:rsid w:val="00712F5C"/>
    <w:rsid w:val="00723102"/>
    <w:rsid w:val="00726139"/>
    <w:rsid w:val="0073795A"/>
    <w:rsid w:val="00744EBE"/>
    <w:rsid w:val="00757ACA"/>
    <w:rsid w:val="0076063A"/>
    <w:rsid w:val="00761231"/>
    <w:rsid w:val="0076227F"/>
    <w:rsid w:val="00765114"/>
    <w:rsid w:val="007857DD"/>
    <w:rsid w:val="00786D5C"/>
    <w:rsid w:val="007903DC"/>
    <w:rsid w:val="007B0E37"/>
    <w:rsid w:val="007B5544"/>
    <w:rsid w:val="007C08E1"/>
    <w:rsid w:val="007C1340"/>
    <w:rsid w:val="007C4122"/>
    <w:rsid w:val="007C4D54"/>
    <w:rsid w:val="007D1474"/>
    <w:rsid w:val="007D226A"/>
    <w:rsid w:val="007D3FE9"/>
    <w:rsid w:val="007D7808"/>
    <w:rsid w:val="007E7020"/>
    <w:rsid w:val="0080112E"/>
    <w:rsid w:val="00805F67"/>
    <w:rsid w:val="00814D61"/>
    <w:rsid w:val="0082677A"/>
    <w:rsid w:val="00830547"/>
    <w:rsid w:val="00830B98"/>
    <w:rsid w:val="0083611D"/>
    <w:rsid w:val="00862F8F"/>
    <w:rsid w:val="008635C3"/>
    <w:rsid w:val="00880636"/>
    <w:rsid w:val="008A274C"/>
    <w:rsid w:val="008A5502"/>
    <w:rsid w:val="008C3CEF"/>
    <w:rsid w:val="008E4BC2"/>
    <w:rsid w:val="008F2480"/>
    <w:rsid w:val="008F2A0A"/>
    <w:rsid w:val="00910DC5"/>
    <w:rsid w:val="009119B8"/>
    <w:rsid w:val="00915029"/>
    <w:rsid w:val="00924211"/>
    <w:rsid w:val="0093622B"/>
    <w:rsid w:val="009463AD"/>
    <w:rsid w:val="00950B5D"/>
    <w:rsid w:val="0095480F"/>
    <w:rsid w:val="00961E2B"/>
    <w:rsid w:val="009627A7"/>
    <w:rsid w:val="00963885"/>
    <w:rsid w:val="00970131"/>
    <w:rsid w:val="00972A03"/>
    <w:rsid w:val="009802D9"/>
    <w:rsid w:val="00982595"/>
    <w:rsid w:val="00985D7E"/>
    <w:rsid w:val="00987D54"/>
    <w:rsid w:val="0099593A"/>
    <w:rsid w:val="009976FE"/>
    <w:rsid w:val="009A7445"/>
    <w:rsid w:val="009B3CF2"/>
    <w:rsid w:val="009B6DB7"/>
    <w:rsid w:val="009C595C"/>
    <w:rsid w:val="009C59BA"/>
    <w:rsid w:val="009D1D95"/>
    <w:rsid w:val="009D3DF6"/>
    <w:rsid w:val="009D452F"/>
    <w:rsid w:val="009E2FF2"/>
    <w:rsid w:val="00A033FD"/>
    <w:rsid w:val="00A04C23"/>
    <w:rsid w:val="00A1624C"/>
    <w:rsid w:val="00A369C6"/>
    <w:rsid w:val="00A36D22"/>
    <w:rsid w:val="00A4534D"/>
    <w:rsid w:val="00A60708"/>
    <w:rsid w:val="00A75337"/>
    <w:rsid w:val="00A77AEA"/>
    <w:rsid w:val="00A93A6E"/>
    <w:rsid w:val="00A95AB8"/>
    <w:rsid w:val="00AA09C6"/>
    <w:rsid w:val="00AA0C9F"/>
    <w:rsid w:val="00AA2DDA"/>
    <w:rsid w:val="00AA46D8"/>
    <w:rsid w:val="00AA5D05"/>
    <w:rsid w:val="00AA5FA8"/>
    <w:rsid w:val="00AB6EAD"/>
    <w:rsid w:val="00AB73B1"/>
    <w:rsid w:val="00AB7F5E"/>
    <w:rsid w:val="00AC0430"/>
    <w:rsid w:val="00AD069B"/>
    <w:rsid w:val="00AE66B5"/>
    <w:rsid w:val="00AF0D30"/>
    <w:rsid w:val="00AF3538"/>
    <w:rsid w:val="00AF4787"/>
    <w:rsid w:val="00AF7084"/>
    <w:rsid w:val="00AF7FF4"/>
    <w:rsid w:val="00B13164"/>
    <w:rsid w:val="00B14C2F"/>
    <w:rsid w:val="00B202E5"/>
    <w:rsid w:val="00B406EF"/>
    <w:rsid w:val="00B413EE"/>
    <w:rsid w:val="00B53641"/>
    <w:rsid w:val="00B71C8E"/>
    <w:rsid w:val="00B73082"/>
    <w:rsid w:val="00B850EF"/>
    <w:rsid w:val="00BA3238"/>
    <w:rsid w:val="00BB3070"/>
    <w:rsid w:val="00BC1B86"/>
    <w:rsid w:val="00BC303B"/>
    <w:rsid w:val="00BD614D"/>
    <w:rsid w:val="00BE6626"/>
    <w:rsid w:val="00BF00C8"/>
    <w:rsid w:val="00C05A62"/>
    <w:rsid w:val="00C05EF9"/>
    <w:rsid w:val="00C077DB"/>
    <w:rsid w:val="00C135DD"/>
    <w:rsid w:val="00C22C67"/>
    <w:rsid w:val="00C54FBC"/>
    <w:rsid w:val="00C62133"/>
    <w:rsid w:val="00C77F9A"/>
    <w:rsid w:val="00C80DEA"/>
    <w:rsid w:val="00C856C0"/>
    <w:rsid w:val="00C85B1F"/>
    <w:rsid w:val="00C90498"/>
    <w:rsid w:val="00C92242"/>
    <w:rsid w:val="00C9377A"/>
    <w:rsid w:val="00CB173F"/>
    <w:rsid w:val="00CC6E32"/>
    <w:rsid w:val="00CD019D"/>
    <w:rsid w:val="00CE43F2"/>
    <w:rsid w:val="00CF4E51"/>
    <w:rsid w:val="00CF5519"/>
    <w:rsid w:val="00D01E37"/>
    <w:rsid w:val="00D1003A"/>
    <w:rsid w:val="00D2381A"/>
    <w:rsid w:val="00D470E2"/>
    <w:rsid w:val="00D53BF6"/>
    <w:rsid w:val="00D6339E"/>
    <w:rsid w:val="00D755AE"/>
    <w:rsid w:val="00DA1C08"/>
    <w:rsid w:val="00DA36E6"/>
    <w:rsid w:val="00DA463F"/>
    <w:rsid w:val="00DA6ACC"/>
    <w:rsid w:val="00DB0331"/>
    <w:rsid w:val="00DB7FCD"/>
    <w:rsid w:val="00DC2235"/>
    <w:rsid w:val="00DC4B41"/>
    <w:rsid w:val="00DC50C4"/>
    <w:rsid w:val="00DD16D2"/>
    <w:rsid w:val="00DE12FC"/>
    <w:rsid w:val="00DF768D"/>
    <w:rsid w:val="00E02E3D"/>
    <w:rsid w:val="00E16D3E"/>
    <w:rsid w:val="00E35E42"/>
    <w:rsid w:val="00E479B1"/>
    <w:rsid w:val="00E601B5"/>
    <w:rsid w:val="00E622CE"/>
    <w:rsid w:val="00E62D5A"/>
    <w:rsid w:val="00E6494C"/>
    <w:rsid w:val="00E67788"/>
    <w:rsid w:val="00E73FE3"/>
    <w:rsid w:val="00E952EE"/>
    <w:rsid w:val="00E970C0"/>
    <w:rsid w:val="00E9774C"/>
    <w:rsid w:val="00EA0398"/>
    <w:rsid w:val="00EA136C"/>
    <w:rsid w:val="00EA24C9"/>
    <w:rsid w:val="00EC77F8"/>
    <w:rsid w:val="00ED0B33"/>
    <w:rsid w:val="00ED10CC"/>
    <w:rsid w:val="00ED11CD"/>
    <w:rsid w:val="00EF56E4"/>
    <w:rsid w:val="00F002D9"/>
    <w:rsid w:val="00F06774"/>
    <w:rsid w:val="00F10729"/>
    <w:rsid w:val="00F1348E"/>
    <w:rsid w:val="00F14754"/>
    <w:rsid w:val="00F15071"/>
    <w:rsid w:val="00F15B34"/>
    <w:rsid w:val="00F2001D"/>
    <w:rsid w:val="00F2289C"/>
    <w:rsid w:val="00F3212B"/>
    <w:rsid w:val="00F336EC"/>
    <w:rsid w:val="00F3547C"/>
    <w:rsid w:val="00F37D3E"/>
    <w:rsid w:val="00F41CE1"/>
    <w:rsid w:val="00F44FDD"/>
    <w:rsid w:val="00F514CE"/>
    <w:rsid w:val="00F533DE"/>
    <w:rsid w:val="00F53748"/>
    <w:rsid w:val="00F6297D"/>
    <w:rsid w:val="00F63427"/>
    <w:rsid w:val="00F7078D"/>
    <w:rsid w:val="00F74AF4"/>
    <w:rsid w:val="00F75D10"/>
    <w:rsid w:val="00F76D51"/>
    <w:rsid w:val="00F81DB2"/>
    <w:rsid w:val="00F915F2"/>
    <w:rsid w:val="00F92235"/>
    <w:rsid w:val="00FB09EC"/>
    <w:rsid w:val="00FC3D4E"/>
    <w:rsid w:val="00FC717D"/>
    <w:rsid w:val="00FD274E"/>
    <w:rsid w:val="00FD5111"/>
    <w:rsid w:val="00FD60B5"/>
    <w:rsid w:val="25F48C9D"/>
    <w:rsid w:val="2CC02739"/>
    <w:rsid w:val="2E24A843"/>
    <w:rsid w:val="41F37374"/>
    <w:rsid w:val="481E7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81A3"/>
  <w15:chartTrackingRefBased/>
  <w15:docId w15:val="{08BDC4A7-9C82-41FE-946F-099C3EE8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1C34"/>
  </w:style>
  <w:style w:type="paragraph" w:styleId="ListParagraph">
    <w:name w:val="List Paragraph"/>
    <w:basedOn w:val="Normal"/>
    <w:uiPriority w:val="34"/>
    <w:qFormat/>
    <w:rsid w:val="00525B1E"/>
    <w:pPr>
      <w:spacing w:after="200" w:line="276" w:lineRule="auto"/>
      <w:ind w:left="720"/>
      <w:contextualSpacing/>
    </w:pPr>
    <w:rPr>
      <w:rFonts w:ascii="Calibri" w:eastAsia="Calibri" w:hAnsi="Calibri"/>
      <w:sz w:val="22"/>
      <w:szCs w:val="22"/>
      <w:lang w:val="en-AU"/>
    </w:rPr>
  </w:style>
  <w:style w:type="paragraph" w:styleId="Header">
    <w:name w:val="header"/>
    <w:basedOn w:val="Normal"/>
    <w:link w:val="HeaderChar"/>
    <w:uiPriority w:val="99"/>
    <w:unhideWhenUsed/>
    <w:rsid w:val="00AF4787"/>
    <w:pPr>
      <w:tabs>
        <w:tab w:val="center" w:pos="4513"/>
        <w:tab w:val="right" w:pos="9026"/>
      </w:tabs>
    </w:pPr>
  </w:style>
  <w:style w:type="character" w:customStyle="1" w:styleId="HeaderChar">
    <w:name w:val="Header Char"/>
    <w:basedOn w:val="DefaultParagraphFont"/>
    <w:link w:val="Header"/>
    <w:uiPriority w:val="99"/>
    <w:rsid w:val="00AF478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787"/>
    <w:pPr>
      <w:tabs>
        <w:tab w:val="center" w:pos="4513"/>
        <w:tab w:val="right" w:pos="9026"/>
      </w:tabs>
    </w:pPr>
  </w:style>
  <w:style w:type="character" w:customStyle="1" w:styleId="FooterChar">
    <w:name w:val="Footer Char"/>
    <w:basedOn w:val="DefaultParagraphFont"/>
    <w:link w:val="Footer"/>
    <w:uiPriority w:val="99"/>
    <w:rsid w:val="00AF478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618DC"/>
    <w:rPr>
      <w:sz w:val="20"/>
      <w:szCs w:val="20"/>
    </w:rPr>
  </w:style>
  <w:style w:type="character" w:customStyle="1" w:styleId="FootnoteTextChar">
    <w:name w:val="Footnote Text Char"/>
    <w:basedOn w:val="DefaultParagraphFont"/>
    <w:link w:val="FootnoteText"/>
    <w:uiPriority w:val="99"/>
    <w:semiHidden/>
    <w:rsid w:val="000618D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618DC"/>
    <w:rPr>
      <w:vertAlign w:val="superscript"/>
    </w:rPr>
  </w:style>
  <w:style w:type="character" w:styleId="Hyperlink">
    <w:name w:val="Hyperlink"/>
    <w:basedOn w:val="DefaultParagraphFont"/>
    <w:uiPriority w:val="99"/>
    <w:unhideWhenUsed/>
    <w:rsid w:val="009A7445"/>
    <w:rPr>
      <w:color w:val="0563C1" w:themeColor="hyperlink"/>
      <w:u w:val="single"/>
    </w:rPr>
  </w:style>
  <w:style w:type="character" w:styleId="UnresolvedMention">
    <w:name w:val="Unresolved Mention"/>
    <w:basedOn w:val="DefaultParagraphFont"/>
    <w:uiPriority w:val="99"/>
    <w:semiHidden/>
    <w:unhideWhenUsed/>
    <w:rsid w:val="009A7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1b9356-9774-4515-b85f-82788657dd43">
      <Terms xmlns="http://schemas.microsoft.com/office/infopath/2007/PartnerControls"/>
    </lcf76f155ced4ddcb4097134ff3c332f>
    <TaxCatchAll xmlns="9dc7b98a-aa4a-4582-9fad-77df62eff277" xsi:nil="true"/>
    <_dlc_DocId xmlns="9dc7b98a-aa4a-4582-9fad-77df62eff277">AFMALPS-1462065136-6017</_dlc_DocId>
    <_dlc_DocIdUrl xmlns="9dc7b98a-aa4a-4582-9fad-77df62eff277">
      <Url>https://afmagovau.sharepoint.com/sites/LPS-PROD/_layouts/15/DocIdRedir.aspx?ID=AFMALPS-1462065136-6017</Url>
      <Description>AFMALPS-1462065136-6017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17542-BF52-41B1-86B5-B098D427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F9E87-7265-40FE-B784-3752180BFD8C}">
  <ds:schemaRefs>
    <ds:schemaRef ds:uri="d01b9356-9774-4515-b85f-82788657dd43"/>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9dc7b98a-aa4a-4582-9fad-77df62eff277"/>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D4A5C5C-42F5-4672-9F4F-B2B8433773DF}">
  <ds:schemaRefs>
    <ds:schemaRef ds:uri="http://schemas.openxmlformats.org/officeDocument/2006/bibliography"/>
  </ds:schemaRefs>
</ds:datastoreItem>
</file>

<file path=customXml/itemProps4.xml><?xml version="1.0" encoding="utf-8"?>
<ds:datastoreItem xmlns:ds="http://schemas.openxmlformats.org/officeDocument/2006/customXml" ds:itemID="{DA2A5056-3EA9-4525-951E-FBB1168FF276}">
  <ds:schemaRefs>
    <ds:schemaRef ds:uri="http://schemas.microsoft.com/sharepoint/events"/>
  </ds:schemaRefs>
</ds:datastoreItem>
</file>

<file path=customXml/itemProps5.xml><?xml version="1.0" encoding="utf-8"?>
<ds:datastoreItem xmlns:ds="http://schemas.openxmlformats.org/officeDocument/2006/customXml" ds:itemID="{2F55326A-9FB7-4762-BC86-A920C52C0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1419</Words>
  <Characters>8091</Characters>
  <Application>Microsoft Office Word</Application>
  <DocSecurity>0</DocSecurity>
  <Lines>67</Lines>
  <Paragraphs>18</Paragraphs>
  <ScaleCrop>false</ScaleCrop>
  <Company>Australian Fisheries Management Authority</Company>
  <LinksUpToDate>false</LinksUpToDate>
  <CharactersWithSpaces>9492</CharactersWithSpaces>
  <SharedDoc>false</SharedDoc>
  <HLinks>
    <vt:vector size="6" baseType="variant">
      <vt:variant>
        <vt:i4>5046340</vt:i4>
      </vt:variant>
      <vt:variant>
        <vt:i4>0</vt:i4>
      </vt:variant>
      <vt:variant>
        <vt:i4>0</vt:i4>
      </vt:variant>
      <vt:variant>
        <vt:i4>5</vt:i4>
      </vt:variant>
      <vt:variant>
        <vt:lpwstr>https://www.afma.gov.au/who-we-are/legislation-and-regulation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JAGGERS, William</dc:creator>
  <cp:keywords/>
  <dc:description/>
  <cp:lastModifiedBy>AFMA </cp:lastModifiedBy>
  <cp:revision>5</cp:revision>
  <cp:lastPrinted>2024-11-13T00:13:00Z</cp:lastPrinted>
  <dcterms:created xsi:type="dcterms:W3CDTF">2024-11-22T01:40:00Z</dcterms:created>
  <dcterms:modified xsi:type="dcterms:W3CDTF">2024-11-22T03:55:00Z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0702d6b0-0b18-4ef3-9924-1c857598cae4</vt:lpwstr>
  </property>
  <property fmtid="{D5CDD505-2E9C-101B-9397-08002B2CF9AE}" pid="3" name="ContentTypeId">
    <vt:lpwstr>0x01010012922EE4DB6956409625CCB71A6EB15A</vt:lpwstr>
  </property>
  <property fmtid="{D5CDD505-2E9C-101B-9397-08002B2CF9AE}" pid="4" name="_dlc_DocIdItemGuid">
    <vt:lpwstr>5a078816-fd43-4db4-ae40-2d8770fb78c4</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ies>
</file>