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03D8" w14:textId="77777777" w:rsidR="00F05695" w:rsidRPr="00E029FA" w:rsidRDefault="00F05695" w:rsidP="00F0569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E029FA">
        <w:rPr>
          <w:b/>
          <w:bCs/>
          <w:sz w:val="22"/>
          <w:szCs w:val="22"/>
          <w:u w:val="single"/>
        </w:rPr>
        <w:t>EXPLANATORY STATEMENT</w:t>
      </w:r>
    </w:p>
    <w:p w14:paraId="1798583A" w14:textId="77777777" w:rsidR="00F05695" w:rsidRPr="005F16A5" w:rsidRDefault="00F05695" w:rsidP="00F056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A7D6BFB" w14:textId="77777777" w:rsidR="00F05695" w:rsidRPr="005F16A5" w:rsidRDefault="00F05695" w:rsidP="00F056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F16A5">
        <w:rPr>
          <w:b/>
          <w:sz w:val="22"/>
          <w:szCs w:val="22"/>
        </w:rPr>
        <w:t>Issued by the Authority of the Australian Fisheries Management Authority</w:t>
      </w:r>
    </w:p>
    <w:p w14:paraId="48A45DE4" w14:textId="77777777" w:rsidR="00F05695" w:rsidRPr="005F16A5" w:rsidRDefault="00F05695" w:rsidP="00F056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4B2C845" w14:textId="77777777" w:rsidR="00F05695" w:rsidRPr="005F16A5" w:rsidRDefault="00F05695" w:rsidP="00F05695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5F16A5">
        <w:rPr>
          <w:i/>
          <w:iCs/>
          <w:sz w:val="22"/>
          <w:szCs w:val="22"/>
        </w:rPr>
        <w:t>Fisheries Management Act 1991</w:t>
      </w:r>
    </w:p>
    <w:p w14:paraId="39B9F41B" w14:textId="77777777" w:rsidR="00F05695" w:rsidRPr="005F16A5" w:rsidRDefault="00F05695" w:rsidP="00F05695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5F16A5">
        <w:rPr>
          <w:i/>
          <w:iCs/>
          <w:sz w:val="22"/>
          <w:szCs w:val="22"/>
        </w:rPr>
        <w:t>Western Tuna and Billfish Fishery Management Plan 2005</w:t>
      </w:r>
    </w:p>
    <w:p w14:paraId="2DD67F02" w14:textId="77777777" w:rsidR="00F05695" w:rsidRPr="005F16A5" w:rsidRDefault="00F05695" w:rsidP="00F056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60CB850" w14:textId="79F33417" w:rsidR="00E41A1E" w:rsidRDefault="00295E45" w:rsidP="00F05695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2"/>
          <w:szCs w:val="22"/>
          <w:shd w:val="clear" w:color="auto" w:fill="FFFFFF"/>
        </w:rPr>
      </w:pPr>
      <w:r w:rsidRPr="00295E4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Western Tuna and Billfish Fishery (Total Allowable Commercial Catch) Determination </w:t>
      </w:r>
      <w:r w:rsidR="00A5408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(No.2) </w:t>
      </w:r>
      <w:r w:rsidRPr="00295E45">
        <w:rPr>
          <w:b/>
          <w:bCs/>
          <w:i/>
          <w:iCs/>
          <w:color w:val="000000"/>
          <w:sz w:val="22"/>
          <w:szCs w:val="22"/>
          <w:shd w:val="clear" w:color="auto" w:fill="FFFFFF"/>
        </w:rPr>
        <w:t>2024</w:t>
      </w:r>
    </w:p>
    <w:p w14:paraId="2E819581" w14:textId="77777777" w:rsidR="00295E45" w:rsidRPr="005F16A5" w:rsidRDefault="00295E45" w:rsidP="00F056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C05B283" w14:textId="4C21A8BF" w:rsidR="00E41A1E" w:rsidRPr="005F16A5" w:rsidRDefault="00E41A1E" w:rsidP="00634669">
      <w:pPr>
        <w:shd w:val="clear" w:color="auto" w:fill="FFFFFF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>Paragraph 17(6)(aa) of the </w:t>
      </w:r>
      <w:r w:rsidRPr="005F16A5">
        <w:rPr>
          <w:i/>
          <w:iCs/>
          <w:color w:val="000000"/>
          <w:sz w:val="22"/>
          <w:szCs w:val="22"/>
          <w:lang w:val="en-AU" w:eastAsia="en-AU"/>
        </w:rPr>
        <w:t>Fisheries Management Act</w:t>
      </w:r>
      <w:r w:rsidRPr="005F16A5">
        <w:rPr>
          <w:color w:val="000000"/>
          <w:sz w:val="22"/>
          <w:szCs w:val="22"/>
          <w:lang w:val="en-AU" w:eastAsia="en-AU"/>
        </w:rPr>
        <w:t> </w:t>
      </w:r>
      <w:r w:rsidRPr="005F16A5">
        <w:rPr>
          <w:i/>
          <w:iCs/>
          <w:color w:val="000000"/>
          <w:sz w:val="22"/>
          <w:szCs w:val="22"/>
          <w:lang w:val="en-AU" w:eastAsia="en-AU"/>
        </w:rPr>
        <w:t>1991 </w:t>
      </w:r>
      <w:r w:rsidRPr="005F16A5">
        <w:rPr>
          <w:color w:val="000000"/>
          <w:sz w:val="22"/>
          <w:szCs w:val="22"/>
          <w:lang w:val="en-AU" w:eastAsia="en-AU"/>
        </w:rPr>
        <w:t>(</w:t>
      </w:r>
      <w:r w:rsidRPr="00980364">
        <w:rPr>
          <w:b/>
          <w:bCs/>
          <w:color w:val="000000"/>
          <w:sz w:val="22"/>
          <w:szCs w:val="22"/>
          <w:lang w:val="en-AU" w:eastAsia="en-AU"/>
        </w:rPr>
        <w:t>the Act</w:t>
      </w:r>
      <w:r w:rsidRPr="005F16A5">
        <w:rPr>
          <w:color w:val="000000"/>
          <w:sz w:val="22"/>
          <w:szCs w:val="22"/>
          <w:lang w:val="en-AU" w:eastAsia="en-AU"/>
        </w:rPr>
        <w:t xml:space="preserve">) provides that a plan of management made under the Act may provide for the Australian Fisheries Management Authority </w:t>
      </w:r>
      <w:r w:rsidRPr="000C78F6">
        <w:rPr>
          <w:color w:val="000000"/>
          <w:sz w:val="22"/>
          <w:szCs w:val="22"/>
          <w:lang w:val="en-AU" w:eastAsia="en-AU"/>
        </w:rPr>
        <w:t>(</w:t>
      </w:r>
      <w:r w:rsidRPr="00980364">
        <w:rPr>
          <w:b/>
          <w:bCs/>
          <w:color w:val="000000"/>
          <w:sz w:val="22"/>
          <w:szCs w:val="22"/>
          <w:lang w:val="en-AU" w:eastAsia="en-AU"/>
        </w:rPr>
        <w:t>AFMA</w:t>
      </w:r>
      <w:r w:rsidRPr="005F16A5">
        <w:rPr>
          <w:color w:val="000000"/>
          <w:sz w:val="22"/>
          <w:szCs w:val="22"/>
          <w:lang w:val="en-AU" w:eastAsia="en-AU"/>
        </w:rPr>
        <w:t>) to determine the fishing capacity permitted for the fishery or a part of the fishery in respect of a particular period or periods.</w:t>
      </w:r>
    </w:p>
    <w:p w14:paraId="1A96C877" w14:textId="0C67354B" w:rsidR="00E41A1E" w:rsidRPr="005F16A5" w:rsidRDefault="00D60EE4" w:rsidP="00634669">
      <w:pPr>
        <w:shd w:val="clear" w:color="auto" w:fill="FFFFFF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 xml:space="preserve">Subsection 11(1) of the </w:t>
      </w:r>
      <w:r w:rsidRPr="00E962B4">
        <w:rPr>
          <w:i/>
          <w:iCs/>
          <w:color w:val="000000"/>
          <w:sz w:val="22"/>
          <w:szCs w:val="22"/>
          <w:lang w:val="en-AU" w:eastAsia="en-AU"/>
        </w:rPr>
        <w:t>Western Tuna and Billfish Management Plan 2005</w:t>
      </w:r>
      <w:r w:rsidRPr="005F16A5">
        <w:rPr>
          <w:color w:val="000000"/>
          <w:sz w:val="22"/>
          <w:szCs w:val="22"/>
          <w:lang w:val="en-AU" w:eastAsia="en-AU"/>
        </w:rPr>
        <w:t xml:space="preserve"> (</w:t>
      </w:r>
      <w:r w:rsidRPr="00980364">
        <w:rPr>
          <w:b/>
          <w:bCs/>
          <w:color w:val="000000"/>
          <w:sz w:val="22"/>
          <w:szCs w:val="22"/>
          <w:lang w:val="en-AU" w:eastAsia="en-AU"/>
        </w:rPr>
        <w:t>Management Plan</w:t>
      </w:r>
      <w:r w:rsidRPr="005F16A5">
        <w:rPr>
          <w:color w:val="000000"/>
          <w:sz w:val="22"/>
          <w:szCs w:val="22"/>
          <w:lang w:val="en-AU" w:eastAsia="en-AU"/>
        </w:rPr>
        <w:t xml:space="preserve">) provides that AFMA must, before the start of each fishing season, determine the </w:t>
      </w:r>
      <w:r w:rsidR="000C0F1C">
        <w:rPr>
          <w:color w:val="000000"/>
          <w:sz w:val="22"/>
          <w:szCs w:val="22"/>
          <w:lang w:val="en-AU" w:eastAsia="en-AU"/>
        </w:rPr>
        <w:t>T</w:t>
      </w:r>
      <w:r w:rsidRPr="005F16A5">
        <w:rPr>
          <w:color w:val="000000"/>
          <w:sz w:val="22"/>
          <w:szCs w:val="22"/>
          <w:lang w:val="en-AU" w:eastAsia="en-AU"/>
        </w:rPr>
        <w:t>otal Allowable Commercial Catch (</w:t>
      </w:r>
      <w:r w:rsidRPr="003652EB">
        <w:rPr>
          <w:b/>
          <w:bCs/>
          <w:color w:val="000000"/>
          <w:sz w:val="22"/>
          <w:szCs w:val="22"/>
          <w:lang w:val="en-AU" w:eastAsia="en-AU"/>
        </w:rPr>
        <w:t>TACC</w:t>
      </w:r>
      <w:r w:rsidRPr="005F16A5">
        <w:rPr>
          <w:color w:val="000000"/>
          <w:sz w:val="22"/>
          <w:szCs w:val="22"/>
          <w:lang w:val="en-AU" w:eastAsia="en-AU"/>
        </w:rPr>
        <w:t xml:space="preserve">) for each quota species for the season. Subsection 11(3) of the Management </w:t>
      </w:r>
      <w:r w:rsidR="000C0F1C">
        <w:rPr>
          <w:color w:val="000000"/>
          <w:sz w:val="22"/>
          <w:szCs w:val="22"/>
          <w:lang w:val="en-AU" w:eastAsia="en-AU"/>
        </w:rPr>
        <w:t>P</w:t>
      </w:r>
      <w:r w:rsidRPr="005F16A5">
        <w:rPr>
          <w:color w:val="000000"/>
          <w:sz w:val="22"/>
          <w:szCs w:val="22"/>
          <w:lang w:val="en-AU" w:eastAsia="en-AU"/>
        </w:rPr>
        <w:t>lan provides that a determination of the TACC must specify</w:t>
      </w:r>
      <w:r w:rsidR="0070164D" w:rsidRPr="005F16A5">
        <w:rPr>
          <w:color w:val="000000"/>
          <w:sz w:val="22"/>
          <w:szCs w:val="22"/>
          <w:lang w:val="en-AU" w:eastAsia="en-AU"/>
        </w:rPr>
        <w:t xml:space="preserve"> the TACC, expressed as a whole weight or another weight, as specified in the determination.</w:t>
      </w:r>
      <w:r w:rsidR="00924DE0">
        <w:rPr>
          <w:color w:val="000000"/>
          <w:sz w:val="22"/>
          <w:szCs w:val="22"/>
          <w:lang w:val="en-AU" w:eastAsia="en-AU"/>
        </w:rPr>
        <w:t xml:space="preserve"> </w:t>
      </w:r>
      <w:r w:rsidR="00402122">
        <w:rPr>
          <w:color w:val="000000"/>
          <w:sz w:val="22"/>
          <w:szCs w:val="22"/>
          <w:lang w:val="en-AU" w:eastAsia="en-AU"/>
        </w:rPr>
        <w:t>Section 3 of th</w:t>
      </w:r>
      <w:r w:rsidR="00B7666E">
        <w:rPr>
          <w:color w:val="000000"/>
          <w:sz w:val="22"/>
          <w:szCs w:val="22"/>
          <w:lang w:val="en-AU" w:eastAsia="en-AU"/>
        </w:rPr>
        <w:t xml:space="preserve">e Management Plan provides that </w:t>
      </w:r>
      <w:r w:rsidR="00526043" w:rsidRPr="00526043">
        <w:rPr>
          <w:color w:val="000000"/>
          <w:sz w:val="22"/>
          <w:szCs w:val="22"/>
          <w:lang w:val="en-AU" w:eastAsia="en-AU"/>
        </w:rPr>
        <w:t>fishing season means the period determined by AFM</w:t>
      </w:r>
      <w:r w:rsidR="00526043">
        <w:rPr>
          <w:color w:val="000000"/>
          <w:sz w:val="22"/>
          <w:szCs w:val="22"/>
          <w:lang w:val="en-AU" w:eastAsia="en-AU"/>
        </w:rPr>
        <w:t xml:space="preserve">A. </w:t>
      </w:r>
      <w:r w:rsidR="00837F3F" w:rsidRPr="00837F3F">
        <w:rPr>
          <w:color w:val="000000"/>
          <w:sz w:val="22"/>
          <w:szCs w:val="22"/>
          <w:lang w:val="en-AU" w:eastAsia="en-AU"/>
        </w:rPr>
        <w:t xml:space="preserve">Section 6 of the </w:t>
      </w:r>
      <w:r w:rsidR="00837F3F" w:rsidRPr="00837F3F">
        <w:rPr>
          <w:i/>
          <w:iCs/>
          <w:color w:val="000000"/>
          <w:sz w:val="22"/>
          <w:szCs w:val="22"/>
          <w:lang w:val="en-AU" w:eastAsia="en-AU"/>
        </w:rPr>
        <w:t>Western Tuna and Billfish Fishery (Fishing Season) Determination 2022</w:t>
      </w:r>
      <w:r w:rsidR="00837F3F" w:rsidRPr="00837F3F">
        <w:rPr>
          <w:color w:val="000000"/>
          <w:sz w:val="22"/>
          <w:szCs w:val="22"/>
          <w:lang w:val="en-AU" w:eastAsia="en-AU"/>
        </w:rPr>
        <w:t xml:space="preserve"> determines that the fishing season in the Western Tuna and Billfish Fishery is the period starting on 1 February in a year and ending on 31 January in the following year.</w:t>
      </w:r>
    </w:p>
    <w:p w14:paraId="462FB5A9" w14:textId="4516E521" w:rsidR="0070164D" w:rsidRPr="005F16A5" w:rsidRDefault="0070164D" w:rsidP="00634669">
      <w:pPr>
        <w:shd w:val="clear" w:color="auto" w:fill="FFFFFF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 xml:space="preserve">Subsection 11(2) of the </w:t>
      </w:r>
      <w:r w:rsidR="00A3225D" w:rsidRPr="005F16A5">
        <w:rPr>
          <w:color w:val="000000"/>
          <w:sz w:val="22"/>
          <w:szCs w:val="22"/>
          <w:lang w:val="en-AU" w:eastAsia="en-AU"/>
        </w:rPr>
        <w:t xml:space="preserve">Management </w:t>
      </w:r>
      <w:r w:rsidRPr="005F16A5">
        <w:rPr>
          <w:color w:val="000000"/>
          <w:sz w:val="22"/>
          <w:szCs w:val="22"/>
          <w:lang w:val="en-AU" w:eastAsia="en-AU"/>
        </w:rPr>
        <w:t>Plan provides that, before AFMA determines a TACC for a quota species for a fishing season, it must consider information given by the advisory committee, other interested Australian and international bodies and other interested persons; the total estimated catch by the commercial, recreational, indigenous and any other users of the fishery; information about the sustainability of marine species in the area of the fishery; the reference points set for the stocks of quota species; the precautionary principle; any decision made by the Minister or an intergovernmental Ministerial Council about resource sharing in the fishery; any decision rule used for setting the TACC; and the likely effect, for the fishing season, of any overcatch permitted.</w:t>
      </w:r>
    </w:p>
    <w:p w14:paraId="2FB159AD" w14:textId="4E2FEAD4" w:rsidR="0070164D" w:rsidRPr="005F16A5" w:rsidRDefault="0070164D" w:rsidP="515159D8">
      <w:pPr>
        <w:shd w:val="clear" w:color="auto" w:fill="FFFFFF" w:themeFill="background1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515159D8">
        <w:rPr>
          <w:color w:val="000000" w:themeColor="text1"/>
          <w:sz w:val="22"/>
          <w:szCs w:val="22"/>
          <w:lang w:eastAsia="en-AU"/>
        </w:rPr>
        <w:t>The instrument determines the total allowable commercial catch for quota species in the Western Tuna and Billfish Fishery (</w:t>
      </w:r>
      <w:r w:rsidRPr="515159D8">
        <w:rPr>
          <w:b/>
          <w:color w:val="000000" w:themeColor="text1"/>
          <w:sz w:val="22"/>
          <w:szCs w:val="22"/>
          <w:lang w:eastAsia="en-AU"/>
        </w:rPr>
        <w:t>the Fishery</w:t>
      </w:r>
      <w:r w:rsidRPr="515159D8">
        <w:rPr>
          <w:color w:val="000000" w:themeColor="text1"/>
          <w:sz w:val="22"/>
          <w:szCs w:val="22"/>
          <w:lang w:eastAsia="en-AU"/>
        </w:rPr>
        <w:t>) for the 2025-26</w:t>
      </w:r>
      <w:r w:rsidR="00517BCD" w:rsidRPr="515159D8">
        <w:rPr>
          <w:color w:val="000000" w:themeColor="text1"/>
          <w:sz w:val="22"/>
          <w:szCs w:val="22"/>
          <w:lang w:eastAsia="en-AU"/>
        </w:rPr>
        <w:t>, 2026-27 and 2027-28</w:t>
      </w:r>
      <w:r w:rsidRPr="515159D8">
        <w:rPr>
          <w:color w:val="000000" w:themeColor="text1"/>
          <w:sz w:val="22"/>
          <w:szCs w:val="22"/>
          <w:lang w:eastAsia="en-AU"/>
        </w:rPr>
        <w:t xml:space="preserve"> fishing season</w:t>
      </w:r>
      <w:r w:rsidR="00517BCD" w:rsidRPr="515159D8">
        <w:rPr>
          <w:color w:val="000000" w:themeColor="text1"/>
          <w:sz w:val="22"/>
          <w:szCs w:val="22"/>
          <w:lang w:eastAsia="en-AU"/>
        </w:rPr>
        <w:t>s</w:t>
      </w:r>
      <w:r w:rsidRPr="515159D8">
        <w:rPr>
          <w:color w:val="000000" w:themeColor="text1"/>
          <w:sz w:val="22"/>
          <w:szCs w:val="22"/>
          <w:lang w:val="en-AU" w:eastAsia="en-AU"/>
        </w:rPr>
        <w:t>. </w:t>
      </w:r>
    </w:p>
    <w:p w14:paraId="0EDC6A45" w14:textId="262922B9" w:rsidR="008F3F58" w:rsidRPr="005F16A5" w:rsidRDefault="000D42CB" w:rsidP="00634669">
      <w:pPr>
        <w:shd w:val="clear" w:color="auto" w:fill="FFFFFF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 xml:space="preserve">The </w:t>
      </w:r>
      <w:r w:rsidR="005E5F72" w:rsidRPr="005E5F72">
        <w:rPr>
          <w:i/>
          <w:iCs/>
          <w:color w:val="000000"/>
          <w:sz w:val="22"/>
          <w:szCs w:val="22"/>
          <w:lang w:val="en-AU" w:eastAsia="en-AU"/>
        </w:rPr>
        <w:t>Western Tuna and Billfish Fishery (Total Allowable Commercial Catch) Determination</w:t>
      </w:r>
      <w:r w:rsidR="008F53EF">
        <w:rPr>
          <w:i/>
          <w:iCs/>
          <w:color w:val="000000"/>
          <w:sz w:val="22"/>
          <w:szCs w:val="22"/>
          <w:lang w:val="en-AU" w:eastAsia="en-AU"/>
        </w:rPr>
        <w:t xml:space="preserve"> </w:t>
      </w:r>
      <w:r w:rsidR="00A54085">
        <w:rPr>
          <w:i/>
          <w:iCs/>
          <w:color w:val="000000"/>
          <w:sz w:val="22"/>
          <w:szCs w:val="22"/>
          <w:lang w:val="en-AU" w:eastAsia="en-AU"/>
        </w:rPr>
        <w:t>(No.2)</w:t>
      </w:r>
      <w:r w:rsidR="005E5F72" w:rsidRPr="005E5F72">
        <w:rPr>
          <w:i/>
          <w:iCs/>
          <w:color w:val="000000"/>
          <w:sz w:val="22"/>
          <w:szCs w:val="22"/>
          <w:lang w:val="en-AU" w:eastAsia="en-AU"/>
        </w:rPr>
        <w:t xml:space="preserve"> 2024 </w:t>
      </w:r>
      <w:r w:rsidR="00A0211F" w:rsidRPr="005F16A5">
        <w:rPr>
          <w:color w:val="000000"/>
          <w:sz w:val="22"/>
          <w:szCs w:val="22"/>
          <w:lang w:val="en-AU" w:eastAsia="en-AU"/>
        </w:rPr>
        <w:t>(</w:t>
      </w:r>
      <w:r w:rsidR="00A0211F" w:rsidRPr="005E5F72">
        <w:rPr>
          <w:b/>
          <w:bCs/>
          <w:color w:val="000000"/>
          <w:sz w:val="22"/>
          <w:szCs w:val="22"/>
          <w:lang w:val="en-AU" w:eastAsia="en-AU"/>
        </w:rPr>
        <w:t>the Determination</w:t>
      </w:r>
      <w:r w:rsidR="00A0211F" w:rsidRPr="005F16A5">
        <w:rPr>
          <w:color w:val="000000"/>
          <w:sz w:val="22"/>
          <w:szCs w:val="22"/>
          <w:lang w:val="en-AU" w:eastAsia="en-AU"/>
        </w:rPr>
        <w:t>) is a legislative instr</w:t>
      </w:r>
      <w:r w:rsidR="008C16A7" w:rsidRPr="005F16A5">
        <w:rPr>
          <w:color w:val="000000"/>
          <w:sz w:val="22"/>
          <w:szCs w:val="22"/>
          <w:lang w:val="en-AU" w:eastAsia="en-AU"/>
        </w:rPr>
        <w:t xml:space="preserve">ument for the purposes of the </w:t>
      </w:r>
      <w:r w:rsidR="00D72D9C" w:rsidRPr="005F16A5">
        <w:rPr>
          <w:i/>
          <w:iCs/>
          <w:color w:val="000000"/>
          <w:sz w:val="22"/>
          <w:szCs w:val="22"/>
          <w:lang w:val="en-AU" w:eastAsia="en-AU"/>
        </w:rPr>
        <w:t>Legislation</w:t>
      </w:r>
      <w:r w:rsidR="008C16A7" w:rsidRPr="005F16A5">
        <w:rPr>
          <w:i/>
          <w:iCs/>
          <w:color w:val="000000"/>
          <w:sz w:val="22"/>
          <w:szCs w:val="22"/>
          <w:lang w:val="en-AU" w:eastAsia="en-AU"/>
        </w:rPr>
        <w:t xml:space="preserve"> Act 2003</w:t>
      </w:r>
      <w:r w:rsidR="008C16A7" w:rsidRPr="005F16A5">
        <w:rPr>
          <w:color w:val="000000"/>
          <w:sz w:val="22"/>
          <w:szCs w:val="22"/>
          <w:lang w:val="en-AU" w:eastAsia="en-AU"/>
        </w:rPr>
        <w:t>.</w:t>
      </w:r>
    </w:p>
    <w:p w14:paraId="218C712D" w14:textId="30CEC377" w:rsidR="0070164D" w:rsidRPr="005F16A5" w:rsidRDefault="0070164D" w:rsidP="0070164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F16A5">
        <w:rPr>
          <w:b/>
          <w:bCs/>
          <w:sz w:val="22"/>
          <w:szCs w:val="22"/>
        </w:rPr>
        <w:t>The Fishery</w:t>
      </w:r>
    </w:p>
    <w:p w14:paraId="072D8194" w14:textId="77777777" w:rsidR="0070164D" w:rsidRPr="005F16A5" w:rsidRDefault="0070164D" w:rsidP="0070164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84321" w14:textId="1B1EEF84" w:rsidR="005E5F72" w:rsidRDefault="0070164D" w:rsidP="00634669">
      <w:pPr>
        <w:shd w:val="clear" w:color="auto" w:fill="FFFFFF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>The Fishery covers the area of waters in the Australian Exclusive Economic Zone (</w:t>
      </w:r>
      <w:r w:rsidRPr="00015B68">
        <w:rPr>
          <w:b/>
          <w:bCs/>
          <w:color w:val="000000"/>
          <w:sz w:val="22"/>
          <w:szCs w:val="22"/>
          <w:lang w:val="en-AU" w:eastAsia="en-AU"/>
        </w:rPr>
        <w:t>EEZ</w:t>
      </w:r>
      <w:r w:rsidRPr="005F16A5">
        <w:rPr>
          <w:color w:val="000000"/>
          <w:sz w:val="22"/>
          <w:szCs w:val="22"/>
          <w:lang w:val="en-AU" w:eastAsia="en-AU"/>
        </w:rPr>
        <w:t xml:space="preserve">) included on the west coast of Australia, westward from Cape York Peninsula (142°30’E) off Queensland to 34°S off the west coast of Western Australia. It also extends eastward from 34°S off the west coast of Western Australia, across the Great Australian Bight to 141°E at the South Australian/Victorian border. The Fishery also includes Australian waters outside of 12 nm off Christmas Island and Cocos Keeling Islands. The </w:t>
      </w:r>
      <w:r w:rsidR="00E8762D">
        <w:rPr>
          <w:color w:val="000000"/>
          <w:sz w:val="22"/>
          <w:szCs w:val="22"/>
          <w:lang w:val="en-AU" w:eastAsia="en-AU"/>
        </w:rPr>
        <w:t xml:space="preserve">Management </w:t>
      </w:r>
      <w:r w:rsidRPr="005F16A5">
        <w:rPr>
          <w:color w:val="000000"/>
          <w:sz w:val="22"/>
          <w:szCs w:val="22"/>
          <w:lang w:val="en-AU" w:eastAsia="en-AU"/>
        </w:rPr>
        <w:t>Plan also applies to Australian boats fishing on the high seas within the Indian Ocean Tuna Commission’s (</w:t>
      </w:r>
      <w:r w:rsidRPr="00477549">
        <w:rPr>
          <w:b/>
          <w:bCs/>
          <w:color w:val="000000"/>
          <w:sz w:val="22"/>
          <w:szCs w:val="22"/>
          <w:lang w:val="en-AU" w:eastAsia="en-AU"/>
        </w:rPr>
        <w:t>IOTC</w:t>
      </w:r>
      <w:r w:rsidRPr="005F16A5">
        <w:rPr>
          <w:color w:val="000000"/>
          <w:sz w:val="22"/>
          <w:szCs w:val="22"/>
          <w:lang w:val="en-AU" w:eastAsia="en-AU"/>
        </w:rPr>
        <w:t xml:space="preserve">) Area of Competence. </w:t>
      </w:r>
    </w:p>
    <w:p w14:paraId="1D7B4992" w14:textId="5654EF7B" w:rsidR="0070164D" w:rsidRPr="005F16A5" w:rsidRDefault="0070164D" w:rsidP="00634669">
      <w:pPr>
        <w:shd w:val="clear" w:color="auto" w:fill="FFFFFF"/>
        <w:spacing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 xml:space="preserve">Management in the Fishery has been through output controls in the form of individually transferable quotas since the </w:t>
      </w:r>
      <w:r w:rsidR="00D15274">
        <w:rPr>
          <w:color w:val="000000"/>
          <w:sz w:val="22"/>
          <w:szCs w:val="22"/>
          <w:lang w:val="en-AU" w:eastAsia="en-AU"/>
        </w:rPr>
        <w:t xml:space="preserve">Management </w:t>
      </w:r>
      <w:r w:rsidRPr="005F16A5">
        <w:rPr>
          <w:color w:val="000000"/>
          <w:sz w:val="22"/>
          <w:szCs w:val="22"/>
          <w:lang w:val="en-AU" w:eastAsia="en-AU"/>
        </w:rPr>
        <w:t xml:space="preserve">Plan was determined in 2005. </w:t>
      </w:r>
    </w:p>
    <w:p w14:paraId="72CFFBD4" w14:textId="63F51046" w:rsidR="0070164D" w:rsidRDefault="0070164D" w:rsidP="0070164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F16A5">
        <w:rPr>
          <w:b/>
          <w:bCs/>
          <w:sz w:val="22"/>
          <w:szCs w:val="22"/>
        </w:rPr>
        <w:lastRenderedPageBreak/>
        <w:t>Consultation</w:t>
      </w:r>
    </w:p>
    <w:p w14:paraId="763BD6CE" w14:textId="77777777" w:rsidR="004D79F5" w:rsidRDefault="004D79F5" w:rsidP="0070164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161E743" w14:textId="77777777" w:rsidR="003520C0" w:rsidRPr="001B187D" w:rsidRDefault="003520C0" w:rsidP="003520C0">
      <w:pPr>
        <w:autoSpaceDE w:val="0"/>
        <w:autoSpaceDN w:val="0"/>
        <w:adjustRightInd w:val="0"/>
        <w:spacing w:after="120" w:line="260" w:lineRule="atLeast"/>
        <w:jc w:val="both"/>
        <w:rPr>
          <w:rFonts w:eastAsia="Calibri"/>
          <w:color w:val="000000" w:themeColor="text1"/>
          <w:sz w:val="22"/>
          <w:szCs w:val="22"/>
        </w:rPr>
      </w:pPr>
      <w:r w:rsidRPr="001B187D">
        <w:rPr>
          <w:rFonts w:eastAsia="Calibri"/>
          <w:color w:val="000000" w:themeColor="text1"/>
          <w:sz w:val="22"/>
          <w:szCs w:val="22"/>
        </w:rPr>
        <w:t>The Tropical Tuna Resource Assessment Group (</w:t>
      </w:r>
      <w:r w:rsidRPr="001B187D">
        <w:rPr>
          <w:rFonts w:eastAsia="Calibri"/>
          <w:b/>
          <w:bCs/>
          <w:color w:val="000000" w:themeColor="text1"/>
          <w:sz w:val="22"/>
          <w:szCs w:val="22"/>
        </w:rPr>
        <w:t>TTRAG</w:t>
      </w:r>
      <w:r w:rsidRPr="001B187D">
        <w:rPr>
          <w:rFonts w:eastAsia="Calibri"/>
          <w:color w:val="000000" w:themeColor="text1"/>
          <w:sz w:val="22"/>
          <w:szCs w:val="22"/>
        </w:rPr>
        <w:t>) provides scientific advice on TACCs,</w:t>
      </w:r>
      <w:r>
        <w:rPr>
          <w:rFonts w:eastAsia="Calibri"/>
          <w:color w:val="000000" w:themeColor="text1"/>
          <w:sz w:val="22"/>
          <w:szCs w:val="22"/>
        </w:rPr>
        <w:t xml:space="preserve"> and other scientific fisheries matters,</w:t>
      </w:r>
      <w:r w:rsidRPr="001B187D">
        <w:rPr>
          <w:rFonts w:eastAsia="Calibri"/>
          <w:color w:val="000000" w:themeColor="text1"/>
          <w:sz w:val="22"/>
          <w:szCs w:val="22"/>
        </w:rPr>
        <w:t xml:space="preserve"> for the ETBF. TTRAG comprises scientific, industry, recreational fishing and management stakeholders who are appointed following a public application process. Casual observers, together with </w:t>
      </w:r>
      <w:r>
        <w:rPr>
          <w:rFonts w:eastAsia="Calibri"/>
          <w:color w:val="000000" w:themeColor="text1"/>
          <w:sz w:val="22"/>
          <w:szCs w:val="22"/>
        </w:rPr>
        <w:t>i</w:t>
      </w:r>
      <w:r w:rsidRPr="001B187D">
        <w:rPr>
          <w:rFonts w:eastAsia="Calibri"/>
          <w:color w:val="000000" w:themeColor="text1"/>
          <w:sz w:val="22"/>
          <w:szCs w:val="22"/>
        </w:rPr>
        <w:t xml:space="preserve">nvited </w:t>
      </w:r>
      <w:r>
        <w:rPr>
          <w:rFonts w:eastAsia="Calibri"/>
          <w:color w:val="000000" w:themeColor="text1"/>
          <w:sz w:val="22"/>
          <w:szCs w:val="22"/>
        </w:rPr>
        <w:t>p</w:t>
      </w:r>
      <w:r w:rsidRPr="001B187D">
        <w:rPr>
          <w:rFonts w:eastAsia="Calibri"/>
          <w:color w:val="000000" w:themeColor="text1"/>
          <w:sz w:val="22"/>
          <w:szCs w:val="22"/>
        </w:rPr>
        <w:t xml:space="preserve">articipants, also attend TTRAG meetings. Tuna Australia, the peak industry body, is an </w:t>
      </w:r>
      <w:r>
        <w:rPr>
          <w:rFonts w:eastAsia="Calibri"/>
          <w:color w:val="000000" w:themeColor="text1"/>
          <w:sz w:val="22"/>
          <w:szCs w:val="22"/>
        </w:rPr>
        <w:t>i</w:t>
      </w:r>
      <w:r w:rsidRPr="001B187D">
        <w:rPr>
          <w:rFonts w:eastAsia="Calibri"/>
          <w:color w:val="000000" w:themeColor="text1"/>
          <w:sz w:val="22"/>
          <w:szCs w:val="22"/>
        </w:rPr>
        <w:t xml:space="preserve">nvited </w:t>
      </w:r>
      <w:r>
        <w:rPr>
          <w:rFonts w:eastAsia="Calibri"/>
          <w:color w:val="000000" w:themeColor="text1"/>
          <w:sz w:val="22"/>
          <w:szCs w:val="22"/>
        </w:rPr>
        <w:t>p</w:t>
      </w:r>
      <w:r w:rsidRPr="001B187D">
        <w:rPr>
          <w:rFonts w:eastAsia="Calibri"/>
          <w:color w:val="000000" w:themeColor="text1"/>
          <w:sz w:val="22"/>
          <w:szCs w:val="22"/>
        </w:rPr>
        <w:t>articipant to TTRAG. Advice from TTRAG is considered by the Tropical Tuna Management Advisory Committee (</w:t>
      </w:r>
      <w:r w:rsidRPr="001B187D">
        <w:rPr>
          <w:rFonts w:eastAsia="Calibri"/>
          <w:b/>
          <w:bCs/>
          <w:color w:val="000000" w:themeColor="text1"/>
          <w:sz w:val="22"/>
          <w:szCs w:val="22"/>
        </w:rPr>
        <w:t>TTMAC</w:t>
      </w:r>
      <w:r w:rsidRPr="001B187D">
        <w:rPr>
          <w:rFonts w:eastAsia="Calibri"/>
          <w:color w:val="000000" w:themeColor="text1"/>
          <w:sz w:val="22"/>
          <w:szCs w:val="22"/>
        </w:rPr>
        <w:t>) (comprising the same stakeholder groups as TTRAG),</w:t>
      </w:r>
      <w:r w:rsidRPr="001B187D">
        <w:rPr>
          <w:color w:val="000000" w:themeColor="text1"/>
          <w:sz w:val="22"/>
          <w:szCs w:val="22"/>
        </w:rPr>
        <w:t xml:space="preserve"> </w:t>
      </w:r>
      <w:r w:rsidRPr="001B187D">
        <w:rPr>
          <w:rFonts w:eastAsia="Calibri"/>
          <w:color w:val="000000" w:themeColor="text1"/>
          <w:sz w:val="22"/>
          <w:szCs w:val="22"/>
        </w:rPr>
        <w:t>which subsequently recommends TACCs for each quota species to the AFMA Commission.</w:t>
      </w:r>
    </w:p>
    <w:p w14:paraId="73F1B1E1" w14:textId="77777777" w:rsidR="003520C0" w:rsidRPr="001B187D" w:rsidRDefault="003520C0" w:rsidP="003520C0">
      <w:pPr>
        <w:autoSpaceDE w:val="0"/>
        <w:autoSpaceDN w:val="0"/>
        <w:adjustRightInd w:val="0"/>
        <w:spacing w:after="120" w:line="260" w:lineRule="atLeast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The AFMA Commission considered </w:t>
      </w:r>
      <w:r w:rsidRPr="001B187D">
        <w:rPr>
          <w:rFonts w:eastAsia="Calibri"/>
          <w:color w:val="000000" w:themeColor="text1"/>
          <w:sz w:val="22"/>
          <w:szCs w:val="22"/>
        </w:rPr>
        <w:t>advice from TTMAC and TTRAG</w:t>
      </w:r>
      <w:r>
        <w:rPr>
          <w:rFonts w:eastAsia="Calibri"/>
          <w:color w:val="000000" w:themeColor="text1"/>
          <w:sz w:val="22"/>
          <w:szCs w:val="22"/>
        </w:rPr>
        <w:t xml:space="preserve"> and </w:t>
      </w:r>
      <w:r w:rsidRPr="001B187D">
        <w:rPr>
          <w:rFonts w:eastAsia="Calibri"/>
          <w:color w:val="000000" w:themeColor="text1"/>
          <w:sz w:val="22"/>
          <w:szCs w:val="22"/>
        </w:rPr>
        <w:t xml:space="preserve">determined the TACCs for all quota species at its meeting on 12-13 November 2024.  </w:t>
      </w:r>
    </w:p>
    <w:p w14:paraId="2FFCE3E3" w14:textId="4A2DD441" w:rsidR="0070164D" w:rsidRPr="004921F2" w:rsidRDefault="00E87C5A" w:rsidP="00E87C5A">
      <w:pPr>
        <w:autoSpaceDE w:val="0"/>
        <w:autoSpaceDN w:val="0"/>
        <w:adjustRightInd w:val="0"/>
        <w:spacing w:after="120" w:line="260" w:lineRule="atLeast"/>
        <w:jc w:val="both"/>
        <w:rPr>
          <w:rFonts w:eastAsia="Calibri"/>
          <w:color w:val="000000" w:themeColor="text1"/>
          <w:sz w:val="22"/>
          <w:szCs w:val="22"/>
        </w:rPr>
      </w:pPr>
      <w:r w:rsidRPr="004921F2">
        <w:rPr>
          <w:rFonts w:eastAsia="Calibri"/>
          <w:color w:val="000000" w:themeColor="text1"/>
          <w:sz w:val="22"/>
          <w:szCs w:val="22"/>
        </w:rPr>
        <w:t>The AFMA Commission determined the TACCs for Yellowfin Tuna, Bigeye Tuna, Broadbill Swordfish and Striped Marlin for a period of three years.</w:t>
      </w:r>
    </w:p>
    <w:p w14:paraId="0B7B562F" w14:textId="44B4F5B6" w:rsidR="0070164D" w:rsidRPr="005F16A5" w:rsidRDefault="0070164D" w:rsidP="0070164D">
      <w:pPr>
        <w:shd w:val="clear" w:color="auto" w:fill="FFFFFF" w:themeFill="background1"/>
        <w:spacing w:after="120"/>
        <w:rPr>
          <w:color w:val="000000"/>
          <w:sz w:val="22"/>
          <w:szCs w:val="22"/>
          <w:lang w:val="en-AU"/>
        </w:rPr>
      </w:pPr>
      <w:r w:rsidRPr="005F16A5">
        <w:rPr>
          <w:b/>
          <w:sz w:val="22"/>
          <w:szCs w:val="22"/>
        </w:rPr>
        <w:t xml:space="preserve">Impact </w:t>
      </w:r>
      <w:r w:rsidR="00C70C8A">
        <w:rPr>
          <w:b/>
          <w:sz w:val="22"/>
          <w:szCs w:val="22"/>
        </w:rPr>
        <w:t xml:space="preserve">Assessment </w:t>
      </w:r>
    </w:p>
    <w:p w14:paraId="15A60D43" w14:textId="0BC4F07D" w:rsidR="0070164D" w:rsidRPr="00E962B4" w:rsidRDefault="0070164D" w:rsidP="00634669">
      <w:pPr>
        <w:spacing w:before="100" w:beforeAutospacing="1" w:after="100" w:afterAutospacing="1" w:line="276" w:lineRule="auto"/>
        <w:jc w:val="both"/>
        <w:rPr>
          <w:snapToGrid w:val="0"/>
          <w:kern w:val="20"/>
          <w:sz w:val="22"/>
          <w:szCs w:val="22"/>
        </w:rPr>
      </w:pPr>
      <w:r w:rsidRPr="005F16A5">
        <w:rPr>
          <w:color w:val="000000"/>
          <w:sz w:val="22"/>
          <w:szCs w:val="22"/>
          <w:shd w:val="clear" w:color="auto" w:fill="FFFFFF"/>
        </w:rPr>
        <w:t xml:space="preserve">The Office of Impact Analysis has advised that a </w:t>
      </w:r>
      <w:r w:rsidR="00C70C8A">
        <w:rPr>
          <w:color w:val="000000"/>
          <w:sz w:val="22"/>
          <w:szCs w:val="22"/>
          <w:shd w:val="clear" w:color="auto" w:fill="FFFFFF"/>
        </w:rPr>
        <w:t xml:space="preserve">detailed </w:t>
      </w:r>
      <w:r w:rsidRPr="005F16A5">
        <w:rPr>
          <w:color w:val="000000"/>
          <w:sz w:val="22"/>
          <w:szCs w:val="22"/>
          <w:shd w:val="clear" w:color="auto" w:fill="FFFFFF"/>
        </w:rPr>
        <w:t xml:space="preserve">Impact </w:t>
      </w:r>
      <w:r w:rsidR="00C70C8A">
        <w:rPr>
          <w:color w:val="000000"/>
          <w:sz w:val="22"/>
          <w:szCs w:val="22"/>
          <w:shd w:val="clear" w:color="auto" w:fill="FFFFFF"/>
        </w:rPr>
        <w:t xml:space="preserve">assessment </w:t>
      </w:r>
      <w:r w:rsidRPr="005F16A5">
        <w:rPr>
          <w:color w:val="000000"/>
          <w:sz w:val="22"/>
          <w:szCs w:val="22"/>
          <w:shd w:val="clear" w:color="auto" w:fill="FFFFFF"/>
        </w:rPr>
        <w:t xml:space="preserve">is not required for </w:t>
      </w:r>
      <w:r w:rsidR="00893505">
        <w:rPr>
          <w:color w:val="000000"/>
          <w:sz w:val="22"/>
          <w:szCs w:val="22"/>
          <w:shd w:val="clear" w:color="auto" w:fill="FFFFFF"/>
        </w:rPr>
        <w:t>this d</w:t>
      </w:r>
      <w:r w:rsidR="00893505" w:rsidRPr="005F16A5">
        <w:rPr>
          <w:color w:val="000000"/>
          <w:sz w:val="22"/>
          <w:szCs w:val="22"/>
          <w:shd w:val="clear" w:color="auto" w:fill="FFFFFF"/>
        </w:rPr>
        <w:t>etermination</w:t>
      </w:r>
      <w:r w:rsidR="003A2003">
        <w:rPr>
          <w:color w:val="000000"/>
          <w:sz w:val="22"/>
          <w:szCs w:val="22"/>
          <w:shd w:val="clear" w:color="auto" w:fill="FFFFFF"/>
        </w:rPr>
        <w:t>,</w:t>
      </w:r>
      <w:r w:rsidR="00893505">
        <w:rPr>
          <w:color w:val="000000"/>
          <w:sz w:val="22"/>
          <w:szCs w:val="22"/>
          <w:shd w:val="clear" w:color="auto" w:fill="FFFFFF"/>
        </w:rPr>
        <w:t xml:space="preserve"> </w:t>
      </w:r>
      <w:r w:rsidRPr="005F16A5">
        <w:rPr>
          <w:color w:val="000000"/>
          <w:sz w:val="22"/>
          <w:szCs w:val="22"/>
          <w:shd w:val="clear" w:color="auto" w:fill="FFFFFF"/>
        </w:rPr>
        <w:t xml:space="preserve">consistent with the agreement in place to cover all regulatory changes of a minor or machinery nature </w:t>
      </w:r>
      <w:r w:rsidRPr="005F16A5">
        <w:rPr>
          <w:snapToGrid w:val="0"/>
          <w:kern w:val="20"/>
          <w:sz w:val="22"/>
          <w:szCs w:val="22"/>
        </w:rPr>
        <w:t xml:space="preserve">(OIA reference </w:t>
      </w:r>
      <w:r w:rsidR="0091119B" w:rsidRPr="0091119B">
        <w:rPr>
          <w:snapToGrid w:val="0"/>
          <w:kern w:val="20"/>
          <w:sz w:val="22"/>
          <w:szCs w:val="22"/>
        </w:rPr>
        <w:t>OIA23-06107</w:t>
      </w:r>
      <w:r w:rsidR="00893505">
        <w:rPr>
          <w:snapToGrid w:val="0"/>
          <w:kern w:val="20"/>
          <w:sz w:val="22"/>
          <w:szCs w:val="22"/>
        </w:rPr>
        <w:t xml:space="preserve">). </w:t>
      </w:r>
    </w:p>
    <w:p w14:paraId="1E57820F" w14:textId="77777777" w:rsidR="0070164D" w:rsidRPr="005F16A5" w:rsidRDefault="0070164D" w:rsidP="00451E2D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5F16A5">
        <w:rPr>
          <w:b/>
          <w:sz w:val="22"/>
          <w:szCs w:val="22"/>
        </w:rPr>
        <w:t xml:space="preserve">Statement of compatibility prepared in accordance with Part 3 of the </w:t>
      </w:r>
      <w:r w:rsidRPr="005F16A5">
        <w:rPr>
          <w:b/>
          <w:i/>
          <w:sz w:val="22"/>
          <w:szCs w:val="22"/>
        </w:rPr>
        <w:t xml:space="preserve">Human Rights (Parliamentary Scrutiny) Act 2011 </w:t>
      </w:r>
    </w:p>
    <w:p w14:paraId="1E252E33" w14:textId="77777777" w:rsidR="0070164D" w:rsidRPr="005F16A5" w:rsidRDefault="0070164D" w:rsidP="00634669">
      <w:pPr>
        <w:pStyle w:val="heading0"/>
        <w:keepNext/>
        <w:spacing w:line="276" w:lineRule="auto"/>
        <w:jc w:val="both"/>
        <w:rPr>
          <w:rFonts w:ascii="Helvetica Neue" w:hAnsi="Helvetica Neue"/>
          <w:sz w:val="22"/>
          <w:szCs w:val="22"/>
        </w:rPr>
      </w:pPr>
      <w:r w:rsidRPr="005F16A5">
        <w:rPr>
          <w:sz w:val="22"/>
          <w:szCs w:val="22"/>
        </w:rPr>
        <w:t xml:space="preserve">The Authority assesses under section 3 of the </w:t>
      </w:r>
      <w:r w:rsidRPr="005F16A5">
        <w:rPr>
          <w:i/>
          <w:iCs/>
          <w:sz w:val="22"/>
          <w:szCs w:val="22"/>
        </w:rPr>
        <w:t xml:space="preserve">Human Rights (Parliamentary Scrutiny) Act 2011 </w:t>
      </w:r>
      <w:r w:rsidRPr="005F16A5">
        <w:rPr>
          <w:iCs/>
          <w:sz w:val="22"/>
          <w:szCs w:val="22"/>
        </w:rPr>
        <w:t>that this legislative instrument is compatible with human rights</w:t>
      </w:r>
      <w:r w:rsidRPr="005F16A5">
        <w:rPr>
          <w:sz w:val="22"/>
          <w:szCs w:val="22"/>
        </w:rPr>
        <w:t xml:space="preserve">. The Authority’s Statement of Compatibility is attached as a supporting document.  </w:t>
      </w:r>
    </w:p>
    <w:p w14:paraId="6BAFD418" w14:textId="5EA876FB" w:rsidR="0070164D" w:rsidRDefault="0070164D" w:rsidP="00634669">
      <w:pPr>
        <w:shd w:val="clear" w:color="auto" w:fill="FFFFFF"/>
        <w:spacing w:before="240" w:after="120" w:line="276" w:lineRule="auto"/>
        <w:jc w:val="both"/>
        <w:rPr>
          <w:color w:val="000000"/>
          <w:sz w:val="22"/>
          <w:szCs w:val="22"/>
          <w:lang w:val="en-AU" w:eastAsia="en-AU"/>
        </w:rPr>
      </w:pPr>
      <w:r w:rsidRPr="005F16A5">
        <w:rPr>
          <w:color w:val="000000"/>
          <w:sz w:val="22"/>
          <w:szCs w:val="22"/>
          <w:lang w:val="en-AU" w:eastAsia="en-AU"/>
        </w:rPr>
        <w:t>Details of the Determination are set out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B31B59" w14:paraId="35180959" w14:textId="77777777" w:rsidTr="00BB7D72">
        <w:tc>
          <w:tcPr>
            <w:tcW w:w="1129" w:type="dxa"/>
          </w:tcPr>
          <w:p w14:paraId="78FE1E96" w14:textId="1C9C7C08" w:rsidR="00B31B59" w:rsidRDefault="00B31B59" w:rsidP="00C35B60">
            <w:pPr>
              <w:spacing w:after="120" w:line="360" w:lineRule="atLeast"/>
              <w:rPr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Clause 1</w:t>
            </w:r>
          </w:p>
        </w:tc>
        <w:tc>
          <w:tcPr>
            <w:tcW w:w="7887" w:type="dxa"/>
          </w:tcPr>
          <w:p w14:paraId="47E847D1" w14:textId="33EC9590" w:rsidR="00B31B59" w:rsidRDefault="00B31B59" w:rsidP="00C35B60">
            <w:pPr>
              <w:spacing w:after="120" w:line="360" w:lineRule="atLeast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color w:val="000000"/>
                <w:sz w:val="22"/>
                <w:szCs w:val="22"/>
                <w:lang w:val="en-AU" w:eastAsia="en-AU"/>
              </w:rPr>
              <w:t xml:space="preserve">Provides for the Determination to be cited as the </w:t>
            </w:r>
            <w:r w:rsidR="00D81346" w:rsidRPr="00D81346">
              <w:rPr>
                <w:i/>
                <w:iCs/>
                <w:color w:val="000000"/>
                <w:sz w:val="22"/>
                <w:szCs w:val="22"/>
                <w:lang w:eastAsia="en-AU"/>
              </w:rPr>
              <w:t>Western Tuna and Billfish Fishery (Total Allowable Commercial Catch</w:t>
            </w:r>
            <w:r w:rsidR="00CC3F26">
              <w:rPr>
                <w:i/>
                <w:iCs/>
                <w:color w:val="000000"/>
                <w:sz w:val="22"/>
                <w:szCs w:val="22"/>
                <w:lang w:eastAsia="en-AU"/>
              </w:rPr>
              <w:t>)</w:t>
            </w:r>
            <w:r w:rsidR="00D81346" w:rsidRPr="00D813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Determination </w:t>
            </w:r>
            <w:r w:rsidR="00FD6693">
              <w:rPr>
                <w:i/>
                <w:iCs/>
                <w:color w:val="000000"/>
                <w:sz w:val="22"/>
                <w:szCs w:val="22"/>
                <w:lang w:eastAsia="en-AU"/>
              </w:rPr>
              <w:t>(No.2)</w:t>
            </w:r>
            <w:r w:rsidR="00854758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D81346" w:rsidRPr="00D81346">
              <w:rPr>
                <w:i/>
                <w:iCs/>
                <w:color w:val="000000"/>
                <w:sz w:val="22"/>
                <w:szCs w:val="22"/>
                <w:lang w:eastAsia="en-AU"/>
              </w:rPr>
              <w:t>2024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.</w:t>
            </w:r>
          </w:p>
        </w:tc>
      </w:tr>
      <w:tr w:rsidR="00B31B59" w14:paraId="5DE7DFCA" w14:textId="77777777" w:rsidTr="00BB7D72">
        <w:tc>
          <w:tcPr>
            <w:tcW w:w="1129" w:type="dxa"/>
          </w:tcPr>
          <w:p w14:paraId="762B6ECD" w14:textId="3D5BC043" w:rsidR="00B31B59" w:rsidRDefault="00B31B59" w:rsidP="00C35B60">
            <w:pPr>
              <w:spacing w:after="120" w:line="360" w:lineRule="atLeast"/>
              <w:rPr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Clause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7887" w:type="dxa"/>
          </w:tcPr>
          <w:p w14:paraId="7B4695A5" w14:textId="3549782B" w:rsidR="00B31B59" w:rsidRDefault="00B31B59" w:rsidP="00C35B60">
            <w:pPr>
              <w:spacing w:after="120" w:line="360" w:lineRule="atLeast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B31B59">
              <w:rPr>
                <w:color w:val="000000"/>
                <w:sz w:val="22"/>
                <w:szCs w:val="22"/>
                <w:lang w:val="en-AU" w:eastAsia="en-AU"/>
              </w:rPr>
              <w:t>Provides</w:t>
            </w:r>
            <w:r>
              <w:rPr>
                <w:color w:val="000000"/>
                <w:sz w:val="22"/>
                <w:szCs w:val="22"/>
                <w:lang w:val="en-AU" w:eastAsia="en-AU"/>
              </w:rPr>
              <w:t xml:space="preserve"> that the Instrument commences </w:t>
            </w:r>
            <w:r w:rsidRPr="00B31B59">
              <w:rPr>
                <w:color w:val="000000"/>
                <w:sz w:val="22"/>
                <w:szCs w:val="22"/>
                <w:lang w:val="en-AU" w:eastAsia="en-AU"/>
              </w:rPr>
              <w:t>on 1 February 2025</w:t>
            </w:r>
            <w:r w:rsidR="00D81346">
              <w:rPr>
                <w:color w:val="000000"/>
                <w:sz w:val="22"/>
                <w:szCs w:val="22"/>
                <w:lang w:val="en-AU" w:eastAsia="en-AU"/>
              </w:rPr>
              <w:t>.</w:t>
            </w:r>
          </w:p>
        </w:tc>
      </w:tr>
      <w:tr w:rsidR="00B31B59" w14:paraId="652A41C8" w14:textId="77777777" w:rsidTr="00BB7D72">
        <w:tc>
          <w:tcPr>
            <w:tcW w:w="1129" w:type="dxa"/>
          </w:tcPr>
          <w:p w14:paraId="2381242C" w14:textId="2945761E" w:rsidR="00B31B59" w:rsidRDefault="00B31B59" w:rsidP="00C35B60">
            <w:pPr>
              <w:spacing w:after="120" w:line="360" w:lineRule="atLeast"/>
              <w:rPr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Clause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7887" w:type="dxa"/>
          </w:tcPr>
          <w:p w14:paraId="2C557305" w14:textId="1153246B" w:rsidR="00B31B59" w:rsidRDefault="00B31B59" w:rsidP="00C35B60">
            <w:pPr>
              <w:spacing w:after="120" w:line="360" w:lineRule="atLeast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B31B59">
              <w:rPr>
                <w:color w:val="000000"/>
                <w:sz w:val="22"/>
                <w:szCs w:val="22"/>
                <w:lang w:val="en-AU" w:eastAsia="en-AU"/>
              </w:rPr>
              <w:t xml:space="preserve">Provides that the Instrument is made pursuant to paragraph 17(6)(aa) of the </w:t>
            </w:r>
            <w:r w:rsidRPr="00E962B4">
              <w:rPr>
                <w:i/>
                <w:iCs/>
                <w:color w:val="000000"/>
                <w:sz w:val="22"/>
                <w:szCs w:val="22"/>
                <w:lang w:val="en-AU" w:eastAsia="en-AU"/>
              </w:rPr>
              <w:t>Fisheries Management Act 1991</w:t>
            </w:r>
            <w:r>
              <w:rPr>
                <w:color w:val="000000"/>
                <w:sz w:val="22"/>
                <w:szCs w:val="22"/>
                <w:lang w:val="en-AU" w:eastAsia="en-AU"/>
              </w:rPr>
              <w:t xml:space="preserve"> and</w:t>
            </w:r>
            <w:r w:rsidRPr="00B31B59">
              <w:rPr>
                <w:color w:val="000000"/>
                <w:sz w:val="22"/>
                <w:szCs w:val="22"/>
                <w:lang w:val="en-AU" w:eastAsia="en-AU"/>
              </w:rPr>
              <w:t xml:space="preserve"> under </w:t>
            </w:r>
            <w:r w:rsidR="00D81346">
              <w:rPr>
                <w:color w:val="000000"/>
                <w:sz w:val="22"/>
                <w:szCs w:val="22"/>
                <w:lang w:val="en-AU" w:eastAsia="en-AU"/>
              </w:rPr>
              <w:t>sections 3 and 11</w:t>
            </w:r>
            <w:r w:rsidRPr="00B31B59">
              <w:rPr>
                <w:color w:val="000000"/>
                <w:sz w:val="22"/>
                <w:szCs w:val="22"/>
                <w:lang w:val="en-AU" w:eastAsia="en-AU"/>
              </w:rPr>
              <w:t xml:space="preserve"> of the </w:t>
            </w:r>
            <w:r w:rsidRPr="00E962B4">
              <w:rPr>
                <w:i/>
                <w:iCs/>
                <w:color w:val="000000"/>
                <w:sz w:val="22"/>
                <w:szCs w:val="22"/>
                <w:lang w:val="en-AU" w:eastAsia="en-AU"/>
              </w:rPr>
              <w:t>Western Tuna and Billfish Fishery Management Plan 2005</w:t>
            </w:r>
            <w:r w:rsidRPr="00B31B59">
              <w:rPr>
                <w:color w:val="000000"/>
                <w:sz w:val="22"/>
                <w:szCs w:val="22"/>
                <w:lang w:val="en-AU" w:eastAsia="en-AU"/>
              </w:rPr>
              <w:t>.</w:t>
            </w:r>
          </w:p>
        </w:tc>
      </w:tr>
      <w:tr w:rsidR="00B31B59" w14:paraId="272B4B58" w14:textId="77777777" w:rsidTr="00BB7D72">
        <w:tc>
          <w:tcPr>
            <w:tcW w:w="1129" w:type="dxa"/>
          </w:tcPr>
          <w:p w14:paraId="212A93FD" w14:textId="342EE448" w:rsidR="00B31B59" w:rsidRDefault="00B31B59" w:rsidP="00C35B60">
            <w:pPr>
              <w:spacing w:after="120" w:line="360" w:lineRule="atLeast"/>
              <w:rPr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Clause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7887" w:type="dxa"/>
          </w:tcPr>
          <w:p w14:paraId="57E83A15" w14:textId="136CFAD0" w:rsidR="00B31B59" w:rsidRDefault="006A1CF6" w:rsidP="00C35B60">
            <w:pPr>
              <w:spacing w:after="120" w:line="360" w:lineRule="atLeast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>
              <w:rPr>
                <w:color w:val="000000"/>
                <w:sz w:val="22"/>
                <w:szCs w:val="22"/>
                <w:lang w:val="en-AU" w:eastAsia="en-AU"/>
              </w:rPr>
              <w:t>P</w:t>
            </w:r>
            <w:r w:rsidR="00B31B59" w:rsidRPr="00B31B59">
              <w:rPr>
                <w:color w:val="000000"/>
                <w:sz w:val="22"/>
                <w:szCs w:val="22"/>
                <w:lang w:val="en-AU" w:eastAsia="en-AU"/>
              </w:rPr>
              <w:t xml:space="preserve">rovides that </w:t>
            </w:r>
            <w:r w:rsidR="00D9525B">
              <w:rPr>
                <w:color w:val="000000"/>
                <w:sz w:val="22"/>
                <w:szCs w:val="22"/>
                <w:lang w:val="en-AU" w:eastAsia="en-AU"/>
              </w:rPr>
              <w:t>a</w:t>
            </w:r>
            <w:r w:rsidR="00D9525B" w:rsidRPr="00D9525B">
              <w:rPr>
                <w:color w:val="000000"/>
                <w:sz w:val="22"/>
                <w:szCs w:val="22"/>
                <w:lang w:val="en-AU" w:eastAsia="en-AU"/>
              </w:rPr>
              <w:t xml:space="preserve"> number of the expressions used in this instrument are defined in the section 3 of the Management Plan, including the following</w:t>
            </w:r>
            <w:r w:rsidR="00D9525B">
              <w:rPr>
                <w:color w:val="000000"/>
                <w:sz w:val="22"/>
                <w:szCs w:val="22"/>
                <w:lang w:val="en-AU" w:eastAsia="en-AU"/>
              </w:rPr>
              <w:t>:</w:t>
            </w:r>
          </w:p>
          <w:p w14:paraId="254808D2" w14:textId="3ABE8156" w:rsidR="00375E29" w:rsidRDefault="007673EA" w:rsidP="00A932F5">
            <w:pPr>
              <w:spacing w:after="120" w:line="360" w:lineRule="atLeast"/>
              <w:ind w:left="720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0D5BB2">
              <w:rPr>
                <w:b/>
                <w:bCs/>
                <w:color w:val="000000"/>
                <w:sz w:val="22"/>
                <w:szCs w:val="22"/>
                <w:lang w:val="en-AU" w:eastAsia="en-AU"/>
              </w:rPr>
              <w:t>fishing season</w:t>
            </w:r>
            <w:r w:rsidRPr="007673EA">
              <w:rPr>
                <w:color w:val="000000"/>
                <w:sz w:val="22"/>
                <w:szCs w:val="22"/>
                <w:lang w:val="en-AU" w:eastAsia="en-AU"/>
              </w:rPr>
              <w:t xml:space="preserve"> means the period determined by AFMA</w:t>
            </w:r>
            <w:r w:rsidR="00D9525B">
              <w:rPr>
                <w:color w:val="000000"/>
                <w:sz w:val="22"/>
                <w:szCs w:val="22"/>
                <w:lang w:val="en-AU" w:eastAsia="en-AU"/>
              </w:rPr>
              <w:t>.</w:t>
            </w:r>
          </w:p>
          <w:p w14:paraId="3974973C" w14:textId="21091F33" w:rsidR="00D9525B" w:rsidRDefault="000821DE" w:rsidP="00A932F5">
            <w:pPr>
              <w:spacing w:after="120" w:line="360" w:lineRule="atLeast"/>
              <w:ind w:left="720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0D5BB2">
              <w:rPr>
                <w:b/>
                <w:bCs/>
                <w:color w:val="000000"/>
                <w:sz w:val="22"/>
                <w:szCs w:val="22"/>
                <w:lang w:val="en-AU" w:eastAsia="en-AU"/>
              </w:rPr>
              <w:t>Western Tuna and Billfish Fishery</w:t>
            </w:r>
            <w:r w:rsidRPr="000821DE">
              <w:rPr>
                <w:color w:val="000000"/>
                <w:sz w:val="22"/>
                <w:szCs w:val="22"/>
                <w:lang w:val="en-AU" w:eastAsia="en-AU"/>
              </w:rPr>
              <w:t xml:space="preserve"> means fishing for fish of primary species, secondary species or both, in the area of the fisher</w:t>
            </w:r>
            <w:r>
              <w:rPr>
                <w:color w:val="000000"/>
                <w:sz w:val="22"/>
                <w:szCs w:val="22"/>
                <w:lang w:val="en-AU" w:eastAsia="en-AU"/>
              </w:rPr>
              <w:t xml:space="preserve">y. </w:t>
            </w:r>
          </w:p>
          <w:p w14:paraId="75FEA56A" w14:textId="611DC777" w:rsidR="000821DE" w:rsidRDefault="000821DE" w:rsidP="00A932F5">
            <w:pPr>
              <w:spacing w:after="120" w:line="360" w:lineRule="atLeast"/>
              <w:ind w:left="720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0D5BB2">
              <w:rPr>
                <w:b/>
                <w:bCs/>
                <w:color w:val="000000"/>
                <w:sz w:val="22"/>
                <w:szCs w:val="22"/>
                <w:lang w:val="en-AU" w:eastAsia="en-AU"/>
              </w:rPr>
              <w:t>TACC, or total allowable commercial catch</w:t>
            </w:r>
            <w:r w:rsidRPr="000821DE">
              <w:rPr>
                <w:color w:val="000000"/>
                <w:sz w:val="22"/>
                <w:szCs w:val="22"/>
                <w:lang w:val="en-AU" w:eastAsia="en-AU"/>
              </w:rPr>
              <w:t>, for a quota species and a fishing season, means the total weight of fish of that species that, under this Management Plan, may be taken during that season.</w:t>
            </w:r>
          </w:p>
          <w:p w14:paraId="797C0DD3" w14:textId="28C6AC8A" w:rsidR="007673EA" w:rsidRDefault="004C50EF" w:rsidP="00A932F5">
            <w:pPr>
              <w:spacing w:after="120" w:line="360" w:lineRule="atLeast"/>
              <w:ind w:left="720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0D5BB2">
              <w:rPr>
                <w:b/>
                <w:bCs/>
                <w:color w:val="000000"/>
                <w:sz w:val="22"/>
                <w:szCs w:val="22"/>
                <w:lang w:val="en-AU" w:eastAsia="en-AU"/>
              </w:rPr>
              <w:lastRenderedPageBreak/>
              <w:t>quota species</w:t>
            </w:r>
            <w:r w:rsidRPr="004C50EF">
              <w:rPr>
                <w:color w:val="000000"/>
                <w:sz w:val="22"/>
                <w:szCs w:val="22"/>
                <w:lang w:val="en-AU" w:eastAsia="en-AU"/>
              </w:rPr>
              <w:t xml:space="preserve"> means a primary species that is subject to a quota</w:t>
            </w:r>
            <w:r w:rsidR="002C2F74">
              <w:rPr>
                <w:color w:val="000000"/>
                <w:sz w:val="22"/>
                <w:szCs w:val="22"/>
                <w:lang w:val="en-AU" w:eastAsia="en-AU"/>
              </w:rPr>
              <w:t>.</w:t>
            </w:r>
          </w:p>
        </w:tc>
      </w:tr>
      <w:tr w:rsidR="00B31B59" w14:paraId="7D61B903" w14:textId="77777777" w:rsidTr="00BB7D72">
        <w:tc>
          <w:tcPr>
            <w:tcW w:w="1129" w:type="dxa"/>
          </w:tcPr>
          <w:p w14:paraId="42F633D4" w14:textId="5CB56AC3" w:rsidR="009F3F02" w:rsidRPr="000E7ABB" w:rsidRDefault="00B31B59" w:rsidP="000E7ABB">
            <w:pPr>
              <w:spacing w:after="120" w:line="36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lastRenderedPageBreak/>
              <w:t xml:space="preserve">Clause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5</w:t>
            </w:r>
          </w:p>
        </w:tc>
        <w:tc>
          <w:tcPr>
            <w:tcW w:w="7887" w:type="dxa"/>
          </w:tcPr>
          <w:p w14:paraId="7A2F2314" w14:textId="7CEDDA25" w:rsidR="00A24240" w:rsidRDefault="00E23247" w:rsidP="00C35B60">
            <w:pPr>
              <w:spacing w:after="120" w:line="360" w:lineRule="atLeast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E23247">
              <w:rPr>
                <w:color w:val="000000"/>
                <w:sz w:val="22"/>
                <w:szCs w:val="22"/>
                <w:lang w:val="en-AU" w:eastAsia="en-AU"/>
              </w:rPr>
              <w:t>Provides that the instrument ceases on 31 January 2028</w:t>
            </w:r>
            <w:r>
              <w:rPr>
                <w:color w:val="000000"/>
                <w:sz w:val="22"/>
                <w:szCs w:val="22"/>
                <w:lang w:val="en-AU" w:eastAsia="en-AU"/>
              </w:rPr>
              <w:t xml:space="preserve"> unless revoked earlier. </w:t>
            </w:r>
          </w:p>
        </w:tc>
      </w:tr>
      <w:tr w:rsidR="00B31B59" w14:paraId="02F77C9A" w14:textId="77777777" w:rsidTr="00BB7D72">
        <w:tc>
          <w:tcPr>
            <w:tcW w:w="1129" w:type="dxa"/>
          </w:tcPr>
          <w:p w14:paraId="2903A6F2" w14:textId="23CF128B" w:rsidR="00B31B59" w:rsidRDefault="00B31B59" w:rsidP="00C35B60">
            <w:pPr>
              <w:spacing w:after="120" w:line="360" w:lineRule="atLeast"/>
              <w:rPr>
                <w:color w:val="000000"/>
                <w:sz w:val="22"/>
                <w:szCs w:val="22"/>
                <w:lang w:val="en-AU" w:eastAsia="en-AU"/>
              </w:rPr>
            </w:pPr>
            <w:r w:rsidRPr="005F16A5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Clause </w:t>
            </w:r>
            <w:r w:rsidR="007B6310">
              <w:rPr>
                <w:b/>
                <w:bCs/>
                <w:i/>
                <w:iCs/>
                <w:color w:val="000000"/>
                <w:sz w:val="22"/>
                <w:szCs w:val="22"/>
                <w:lang w:val="en-AU" w:eastAsia="en-AU"/>
              </w:rPr>
              <w:t>6</w:t>
            </w:r>
          </w:p>
        </w:tc>
        <w:tc>
          <w:tcPr>
            <w:tcW w:w="7887" w:type="dxa"/>
          </w:tcPr>
          <w:p w14:paraId="0C285953" w14:textId="42691EFF" w:rsidR="00B31B59" w:rsidRDefault="00E23247" w:rsidP="00C35B60">
            <w:pPr>
              <w:spacing w:after="120" w:line="360" w:lineRule="atLeast"/>
              <w:jc w:val="both"/>
              <w:rPr>
                <w:color w:val="000000"/>
                <w:sz w:val="22"/>
                <w:szCs w:val="22"/>
                <w:lang w:val="en-AU" w:eastAsia="en-AU"/>
              </w:rPr>
            </w:pPr>
            <w:r w:rsidRPr="00E23247">
              <w:rPr>
                <w:color w:val="000000"/>
                <w:sz w:val="22"/>
                <w:szCs w:val="22"/>
                <w:lang w:val="en-AU" w:eastAsia="en-AU"/>
              </w:rPr>
              <w:t xml:space="preserve">Determines </w:t>
            </w:r>
            <w:bookmarkStart w:id="0" w:name="_Hlk179368426"/>
            <w:r w:rsidRPr="00E23247">
              <w:rPr>
                <w:color w:val="000000"/>
                <w:sz w:val="22"/>
                <w:szCs w:val="22"/>
                <w:lang w:val="en-AU" w:eastAsia="en-AU"/>
              </w:rPr>
              <w:t>the total allowable commercial catch for quota species</w:t>
            </w:r>
            <w:r w:rsidR="002B06B7">
              <w:rPr>
                <w:color w:val="000000"/>
                <w:sz w:val="22"/>
                <w:szCs w:val="22"/>
                <w:lang w:val="en-AU" w:eastAsia="en-AU"/>
              </w:rPr>
              <w:t xml:space="preserve">: </w:t>
            </w:r>
            <w:r w:rsidR="003D645E" w:rsidRPr="003D645E">
              <w:rPr>
                <w:color w:val="000000"/>
                <w:sz w:val="22"/>
                <w:szCs w:val="22"/>
                <w:lang w:val="en-AU" w:eastAsia="en-AU"/>
              </w:rPr>
              <w:t>Bigeye Tuna</w:t>
            </w:r>
            <w:r w:rsidR="003D645E">
              <w:rPr>
                <w:color w:val="000000"/>
                <w:sz w:val="22"/>
                <w:szCs w:val="22"/>
                <w:lang w:val="en-AU" w:eastAsia="en-AU"/>
              </w:rPr>
              <w:t>,</w:t>
            </w:r>
            <w:r w:rsidR="00052E80">
              <w:rPr>
                <w:color w:val="000000"/>
                <w:sz w:val="22"/>
                <w:szCs w:val="22"/>
                <w:lang w:val="en-AU" w:eastAsia="en-AU"/>
              </w:rPr>
              <w:t xml:space="preserve"> </w:t>
            </w:r>
            <w:r w:rsidR="00052E80" w:rsidRPr="00052E80">
              <w:rPr>
                <w:color w:val="000000"/>
                <w:sz w:val="22"/>
                <w:szCs w:val="22"/>
                <w:lang w:val="en-AU" w:eastAsia="en-AU"/>
              </w:rPr>
              <w:t>Yellowfin Tuna</w:t>
            </w:r>
            <w:r w:rsidR="00052E80">
              <w:rPr>
                <w:color w:val="000000"/>
                <w:sz w:val="22"/>
                <w:szCs w:val="22"/>
                <w:lang w:val="en-AU" w:eastAsia="en-AU"/>
              </w:rPr>
              <w:t xml:space="preserve">, </w:t>
            </w:r>
            <w:r w:rsidR="000F3817" w:rsidRPr="000F3817">
              <w:rPr>
                <w:color w:val="000000"/>
                <w:sz w:val="22"/>
                <w:szCs w:val="22"/>
                <w:lang w:val="en-AU" w:eastAsia="en-AU"/>
              </w:rPr>
              <w:t>Broadbill Swordfish</w:t>
            </w:r>
            <w:r w:rsidR="000F3817">
              <w:rPr>
                <w:color w:val="000000"/>
                <w:sz w:val="22"/>
                <w:szCs w:val="22"/>
                <w:lang w:val="en-AU" w:eastAsia="en-AU"/>
              </w:rPr>
              <w:t xml:space="preserve"> and </w:t>
            </w:r>
            <w:r w:rsidR="007E7C2A" w:rsidRPr="007E7C2A">
              <w:rPr>
                <w:color w:val="000000"/>
                <w:sz w:val="22"/>
                <w:szCs w:val="22"/>
                <w:lang w:val="en-AU" w:eastAsia="en-AU"/>
              </w:rPr>
              <w:t>Striped Marlin</w:t>
            </w:r>
            <w:r w:rsidR="007E7C2A">
              <w:rPr>
                <w:color w:val="000000"/>
                <w:sz w:val="22"/>
                <w:szCs w:val="22"/>
                <w:lang w:val="en-AU" w:eastAsia="en-AU"/>
              </w:rPr>
              <w:t>,</w:t>
            </w:r>
            <w:r w:rsidRPr="00E23247">
              <w:rPr>
                <w:color w:val="000000"/>
                <w:sz w:val="22"/>
                <w:szCs w:val="22"/>
                <w:lang w:val="en-AU" w:eastAsia="en-AU"/>
              </w:rPr>
              <w:t xml:space="preserve"> in the Western Tuna and Billfish Fishery</w:t>
            </w:r>
            <w:r w:rsidR="007E7C2A">
              <w:rPr>
                <w:color w:val="000000"/>
                <w:sz w:val="22"/>
                <w:szCs w:val="22"/>
                <w:lang w:val="en-AU" w:eastAsia="en-AU"/>
              </w:rPr>
              <w:t xml:space="preserve">, </w:t>
            </w:r>
            <w:r w:rsidRPr="00E23247">
              <w:rPr>
                <w:color w:val="000000"/>
                <w:sz w:val="22"/>
                <w:szCs w:val="22"/>
                <w:lang w:val="en-AU" w:eastAsia="en-AU"/>
              </w:rPr>
              <w:t>for the 2025</w:t>
            </w:r>
            <w:r w:rsidR="003610FC">
              <w:rPr>
                <w:color w:val="000000"/>
                <w:sz w:val="22"/>
                <w:szCs w:val="22"/>
                <w:lang w:val="en-AU" w:eastAsia="en-AU"/>
              </w:rPr>
              <w:t>-</w:t>
            </w:r>
            <w:r w:rsidRPr="00E23247">
              <w:rPr>
                <w:color w:val="000000"/>
                <w:sz w:val="22"/>
                <w:szCs w:val="22"/>
                <w:lang w:val="en-AU" w:eastAsia="en-AU"/>
              </w:rPr>
              <w:t>26 fishing season commencing on 1 February 2025 and ending on 31 January 2026, the 2026</w:t>
            </w:r>
            <w:r w:rsidR="003610FC">
              <w:rPr>
                <w:color w:val="000000"/>
                <w:sz w:val="22"/>
                <w:szCs w:val="22"/>
                <w:lang w:val="en-AU" w:eastAsia="en-AU"/>
              </w:rPr>
              <w:t>-</w:t>
            </w:r>
            <w:r w:rsidRPr="00E23247">
              <w:rPr>
                <w:color w:val="000000"/>
                <w:sz w:val="22"/>
                <w:szCs w:val="22"/>
                <w:lang w:val="en-AU" w:eastAsia="en-AU"/>
              </w:rPr>
              <w:t>27 fishing season commencing on 1 February 2026 and ending on 31 January 2027, and the 2027</w:t>
            </w:r>
            <w:r w:rsidR="003610FC">
              <w:rPr>
                <w:color w:val="000000"/>
                <w:sz w:val="22"/>
                <w:szCs w:val="22"/>
                <w:lang w:val="en-AU" w:eastAsia="en-AU"/>
              </w:rPr>
              <w:t>-</w:t>
            </w:r>
            <w:r w:rsidRPr="00E23247">
              <w:rPr>
                <w:color w:val="000000"/>
                <w:sz w:val="22"/>
                <w:szCs w:val="22"/>
                <w:lang w:val="en-AU" w:eastAsia="en-AU"/>
              </w:rPr>
              <w:t>28 fishing season commencing on 1 February 2027 and ending on 31 January 2028</w:t>
            </w:r>
            <w:bookmarkEnd w:id="0"/>
            <w:r w:rsidRPr="00E23247">
              <w:rPr>
                <w:color w:val="000000"/>
                <w:sz w:val="22"/>
                <w:szCs w:val="22"/>
                <w:lang w:val="en-AU" w:eastAsia="en-AU"/>
              </w:rPr>
              <w:t>.</w:t>
            </w:r>
          </w:p>
        </w:tc>
      </w:tr>
    </w:tbl>
    <w:p w14:paraId="0BDA7815" w14:textId="4915A87E" w:rsidR="00C27B4A" w:rsidRDefault="00C27B4A" w:rsidP="0070164D">
      <w:pPr>
        <w:shd w:val="clear" w:color="auto" w:fill="FFFFFF"/>
        <w:spacing w:before="240" w:after="120" w:line="360" w:lineRule="atLeast"/>
        <w:rPr>
          <w:color w:val="000000"/>
          <w:sz w:val="22"/>
          <w:szCs w:val="22"/>
          <w:lang w:val="en-AU" w:eastAsia="en-AU"/>
        </w:rPr>
      </w:pPr>
    </w:p>
    <w:p w14:paraId="0041AE91" w14:textId="77777777" w:rsidR="006B00F5" w:rsidRDefault="006B00F5" w:rsidP="00E962B4">
      <w:pPr>
        <w:spacing w:after="200" w:line="276" w:lineRule="auto"/>
        <w:jc w:val="center"/>
        <w:rPr>
          <w:b/>
          <w:sz w:val="22"/>
          <w:szCs w:val="22"/>
        </w:rPr>
      </w:pPr>
    </w:p>
    <w:p w14:paraId="12CE5A34" w14:textId="77777777" w:rsidR="006B00F5" w:rsidRDefault="006B00F5" w:rsidP="0005497A">
      <w:pPr>
        <w:spacing w:after="200" w:line="276" w:lineRule="auto"/>
        <w:rPr>
          <w:b/>
          <w:sz w:val="22"/>
          <w:szCs w:val="22"/>
        </w:rPr>
      </w:pPr>
    </w:p>
    <w:p w14:paraId="3E0ADF95" w14:textId="77777777" w:rsidR="006B00F5" w:rsidRDefault="006B00F5" w:rsidP="00E962B4">
      <w:pPr>
        <w:spacing w:after="200" w:line="276" w:lineRule="auto"/>
        <w:jc w:val="center"/>
        <w:rPr>
          <w:b/>
          <w:sz w:val="22"/>
          <w:szCs w:val="22"/>
        </w:rPr>
      </w:pPr>
    </w:p>
    <w:p w14:paraId="59079BAE" w14:textId="77777777" w:rsidR="001B1179" w:rsidRDefault="001B1179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6D579BE3" w14:textId="77777777" w:rsidR="001B1179" w:rsidRDefault="001B1179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1E72C241" w14:textId="77777777" w:rsidR="001B1179" w:rsidRDefault="001B1179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29739EF2" w14:textId="77777777" w:rsidR="001B1179" w:rsidRDefault="001B1179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557C2A78" w14:textId="77777777" w:rsidR="00A8611B" w:rsidRDefault="00A8611B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1936B5BA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393BC1A5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161F3072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17AB5CD6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5DF3CD28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7793E3F5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4CB4B0FB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6CCC40F7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5F8603EA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4A2780CF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5EE99C52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13CA7A3A" w14:textId="77777777" w:rsidR="00D87333" w:rsidRDefault="00D87333" w:rsidP="00782FE7">
      <w:pPr>
        <w:spacing w:after="200" w:line="276" w:lineRule="auto"/>
        <w:jc w:val="center"/>
        <w:rPr>
          <w:b/>
          <w:sz w:val="22"/>
          <w:szCs w:val="22"/>
        </w:rPr>
      </w:pPr>
    </w:p>
    <w:p w14:paraId="6AF16BEB" w14:textId="0A5762F6" w:rsidR="0070164D" w:rsidRPr="00D54CE1" w:rsidRDefault="0070164D" w:rsidP="00782FE7">
      <w:pPr>
        <w:spacing w:after="200" w:line="276" w:lineRule="auto"/>
        <w:jc w:val="center"/>
        <w:rPr>
          <w:color w:val="000000"/>
          <w:sz w:val="22"/>
          <w:szCs w:val="22"/>
          <w:lang w:val="en-AU" w:eastAsia="en-AU"/>
        </w:rPr>
      </w:pPr>
      <w:r w:rsidRPr="005F16A5">
        <w:rPr>
          <w:b/>
          <w:sz w:val="22"/>
          <w:szCs w:val="22"/>
        </w:rPr>
        <w:lastRenderedPageBreak/>
        <w:t>Statement of Compatibility with Human Rights</w:t>
      </w:r>
    </w:p>
    <w:p w14:paraId="4AC6106E" w14:textId="77777777" w:rsidR="0070164D" w:rsidRPr="005F16A5" w:rsidRDefault="0070164D" w:rsidP="0070164D">
      <w:pPr>
        <w:spacing w:before="120" w:after="120"/>
        <w:rPr>
          <w:sz w:val="22"/>
          <w:szCs w:val="22"/>
        </w:rPr>
      </w:pPr>
      <w:r w:rsidRPr="005F16A5">
        <w:rPr>
          <w:i/>
          <w:sz w:val="22"/>
          <w:szCs w:val="22"/>
        </w:rPr>
        <w:t>Prepared in accordance with Part 3 of the Human Rights (Parliamentary Scrutiny) Act 2011</w:t>
      </w:r>
    </w:p>
    <w:p w14:paraId="2B7121C1" w14:textId="77777777" w:rsidR="0070164D" w:rsidRPr="005F16A5" w:rsidRDefault="0070164D" w:rsidP="0070164D">
      <w:pPr>
        <w:spacing w:before="120" w:after="120"/>
        <w:rPr>
          <w:sz w:val="22"/>
          <w:szCs w:val="22"/>
        </w:rPr>
      </w:pPr>
    </w:p>
    <w:p w14:paraId="6CAC3DBC" w14:textId="088F7948" w:rsidR="0070164D" w:rsidRPr="00E432D8" w:rsidRDefault="00E432D8" w:rsidP="00E432D8">
      <w:pPr>
        <w:spacing w:before="120" w:after="120"/>
        <w:jc w:val="center"/>
        <w:rPr>
          <w:i/>
          <w:iCs/>
          <w:sz w:val="22"/>
          <w:szCs w:val="22"/>
        </w:rPr>
      </w:pPr>
      <w:r w:rsidRPr="00E432D8">
        <w:rPr>
          <w:b/>
          <w:i/>
          <w:iCs/>
          <w:sz w:val="22"/>
          <w:szCs w:val="22"/>
        </w:rPr>
        <w:t>Western Tuna and Billfish Fishery (Total Allowable Commercial Catch) Determination</w:t>
      </w:r>
      <w:r w:rsidR="00A8611B">
        <w:rPr>
          <w:b/>
          <w:i/>
          <w:iCs/>
          <w:sz w:val="22"/>
          <w:szCs w:val="22"/>
        </w:rPr>
        <w:t xml:space="preserve"> (No.2)</w:t>
      </w:r>
      <w:r w:rsidRPr="00E432D8">
        <w:rPr>
          <w:b/>
          <w:i/>
          <w:iCs/>
          <w:sz w:val="22"/>
          <w:szCs w:val="22"/>
        </w:rPr>
        <w:t xml:space="preserve"> 2024</w:t>
      </w:r>
    </w:p>
    <w:p w14:paraId="101C384A" w14:textId="6F2226C0" w:rsidR="0070164D" w:rsidRPr="005F16A5" w:rsidRDefault="0070164D" w:rsidP="002714E5">
      <w:pPr>
        <w:spacing w:before="120" w:after="120" w:line="276" w:lineRule="auto"/>
        <w:jc w:val="both"/>
        <w:rPr>
          <w:sz w:val="22"/>
          <w:szCs w:val="22"/>
        </w:rPr>
      </w:pPr>
      <w:r w:rsidRPr="005F16A5">
        <w:rPr>
          <w:sz w:val="22"/>
          <w:szCs w:val="22"/>
        </w:rPr>
        <w:t xml:space="preserve">This Legislative Instrument is compatible with the human rights and freedoms recognised or declared in the international instruments listed in section 3 of the </w:t>
      </w:r>
      <w:r w:rsidRPr="005F16A5">
        <w:rPr>
          <w:i/>
          <w:sz w:val="22"/>
          <w:szCs w:val="22"/>
        </w:rPr>
        <w:t>Human Rights (Parliamentary Scrutiny) Act 2011</w:t>
      </w:r>
      <w:r w:rsidRPr="005F16A5">
        <w:rPr>
          <w:sz w:val="22"/>
          <w:szCs w:val="22"/>
        </w:rPr>
        <w:t>.</w:t>
      </w:r>
    </w:p>
    <w:p w14:paraId="25A82296" w14:textId="77777777" w:rsidR="0070164D" w:rsidRPr="005F16A5" w:rsidRDefault="0070164D" w:rsidP="0070164D">
      <w:pPr>
        <w:spacing w:before="120" w:after="120"/>
        <w:jc w:val="center"/>
        <w:rPr>
          <w:b/>
          <w:sz w:val="22"/>
          <w:szCs w:val="22"/>
        </w:rPr>
      </w:pPr>
      <w:r w:rsidRPr="005F16A5">
        <w:rPr>
          <w:b/>
          <w:sz w:val="22"/>
          <w:szCs w:val="22"/>
        </w:rPr>
        <w:t>Overview of the Legislative Instrument</w:t>
      </w:r>
    </w:p>
    <w:p w14:paraId="6CFCEA70" w14:textId="5B8E33DF" w:rsidR="00353CE4" w:rsidRPr="00353CE4" w:rsidRDefault="00353CE4" w:rsidP="00634669">
      <w:pPr>
        <w:pStyle w:val="AFMANormal"/>
        <w:spacing w:line="276" w:lineRule="auto"/>
        <w:rPr>
          <w:sz w:val="22"/>
          <w:szCs w:val="22"/>
          <w:lang w:val="en-US"/>
        </w:rPr>
      </w:pPr>
      <w:r w:rsidRPr="7B19648F">
        <w:rPr>
          <w:sz w:val="22"/>
          <w:szCs w:val="22"/>
          <w:lang w:val="en-US"/>
        </w:rPr>
        <w:t>This Instrument set</w:t>
      </w:r>
      <w:r w:rsidR="649BB07E" w:rsidRPr="7B19648F">
        <w:rPr>
          <w:sz w:val="22"/>
          <w:szCs w:val="22"/>
          <w:lang w:val="en-US"/>
        </w:rPr>
        <w:t>s</w:t>
      </w:r>
      <w:r w:rsidRPr="7B19648F">
        <w:rPr>
          <w:sz w:val="22"/>
          <w:szCs w:val="22"/>
          <w:lang w:val="en-US"/>
        </w:rPr>
        <w:t xml:space="preserve"> the total allowable commercial catch for quota species: Bigeye Tuna, Yellowfin Tuna, Broadbill Swordfish and Striped Marlin, in the Western Tuna and Billfish Fishery, for the 2025</w:t>
      </w:r>
      <w:r w:rsidR="006F071F">
        <w:rPr>
          <w:sz w:val="22"/>
          <w:szCs w:val="22"/>
          <w:lang w:val="en-US"/>
        </w:rPr>
        <w:t>-</w:t>
      </w:r>
      <w:r w:rsidRPr="7B19648F">
        <w:rPr>
          <w:sz w:val="22"/>
          <w:szCs w:val="22"/>
          <w:lang w:val="en-US"/>
        </w:rPr>
        <w:t>26 fishing season commencing on 1 February 2025 and ending on 31 January 2026, the 2026</w:t>
      </w:r>
      <w:r w:rsidR="006F071F">
        <w:rPr>
          <w:sz w:val="22"/>
          <w:szCs w:val="22"/>
          <w:lang w:val="en-US"/>
        </w:rPr>
        <w:t>-</w:t>
      </w:r>
      <w:r w:rsidRPr="7B19648F">
        <w:rPr>
          <w:sz w:val="22"/>
          <w:szCs w:val="22"/>
          <w:lang w:val="en-US"/>
        </w:rPr>
        <w:t>27 fishing season commencing on 1 February 2026 and ending on 31 January 2027, and the 2027</w:t>
      </w:r>
      <w:r w:rsidR="006F071F">
        <w:rPr>
          <w:sz w:val="22"/>
          <w:szCs w:val="22"/>
          <w:lang w:val="en-US"/>
        </w:rPr>
        <w:t>-</w:t>
      </w:r>
      <w:r w:rsidRPr="7B19648F">
        <w:rPr>
          <w:sz w:val="22"/>
          <w:szCs w:val="22"/>
          <w:lang w:val="en-US"/>
        </w:rPr>
        <w:t xml:space="preserve">28 fishing season commencing on 1 February 2027 and ending on 31 January 2028. </w:t>
      </w:r>
    </w:p>
    <w:p w14:paraId="1906B802" w14:textId="77777777" w:rsidR="0070164D" w:rsidRPr="005F16A5" w:rsidRDefault="0070164D" w:rsidP="0070164D">
      <w:pPr>
        <w:spacing w:before="120" w:after="120"/>
        <w:jc w:val="center"/>
        <w:rPr>
          <w:b/>
          <w:sz w:val="22"/>
          <w:szCs w:val="22"/>
        </w:rPr>
      </w:pPr>
      <w:r w:rsidRPr="005F16A5">
        <w:rPr>
          <w:b/>
          <w:sz w:val="22"/>
          <w:szCs w:val="22"/>
        </w:rPr>
        <w:t>Assessment of human rights implications</w:t>
      </w:r>
    </w:p>
    <w:p w14:paraId="42FA1CE5" w14:textId="2F418C03" w:rsidR="0070164D" w:rsidRPr="005F16A5" w:rsidRDefault="0070164D" w:rsidP="002714E5">
      <w:pPr>
        <w:spacing w:before="120" w:after="120"/>
        <w:jc w:val="both"/>
        <w:rPr>
          <w:sz w:val="22"/>
          <w:szCs w:val="22"/>
        </w:rPr>
      </w:pPr>
      <w:r w:rsidRPr="005F16A5">
        <w:rPr>
          <w:sz w:val="22"/>
          <w:szCs w:val="22"/>
        </w:rPr>
        <w:t>As this legislative instrument is of a mechanical nature, it does not engage any of the applicable rights or freedoms.</w:t>
      </w:r>
    </w:p>
    <w:p w14:paraId="103363B2" w14:textId="77777777" w:rsidR="0070164D" w:rsidRPr="005F16A5" w:rsidRDefault="0070164D" w:rsidP="0070164D">
      <w:pPr>
        <w:spacing w:before="120" w:after="120"/>
        <w:jc w:val="center"/>
        <w:rPr>
          <w:b/>
          <w:sz w:val="22"/>
          <w:szCs w:val="22"/>
        </w:rPr>
      </w:pPr>
      <w:r w:rsidRPr="005F16A5">
        <w:rPr>
          <w:b/>
          <w:sz w:val="22"/>
          <w:szCs w:val="22"/>
        </w:rPr>
        <w:t>Conclusion</w:t>
      </w:r>
    </w:p>
    <w:p w14:paraId="7E5EE705" w14:textId="07F77B2C" w:rsidR="0070164D" w:rsidRPr="005F16A5" w:rsidRDefault="0070164D" w:rsidP="00DA6DE4">
      <w:pPr>
        <w:spacing w:before="120" w:after="120"/>
        <w:jc w:val="both"/>
        <w:rPr>
          <w:sz w:val="22"/>
          <w:szCs w:val="22"/>
        </w:rPr>
      </w:pPr>
      <w:r w:rsidRPr="005F16A5">
        <w:rPr>
          <w:sz w:val="22"/>
          <w:szCs w:val="22"/>
        </w:rPr>
        <w:t>This Legislative Instrument is compatible with human rights as it does not raise any human rights issues.</w:t>
      </w:r>
    </w:p>
    <w:sectPr w:rsidR="0070164D" w:rsidRPr="005F1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DDBD1" w14:textId="77777777" w:rsidR="00164F5D" w:rsidRDefault="00164F5D" w:rsidP="00B85745">
      <w:r>
        <w:separator/>
      </w:r>
    </w:p>
  </w:endnote>
  <w:endnote w:type="continuationSeparator" w:id="0">
    <w:p w14:paraId="26DE1F1E" w14:textId="77777777" w:rsidR="00164F5D" w:rsidRDefault="00164F5D" w:rsidP="00B85745">
      <w:r>
        <w:continuationSeparator/>
      </w:r>
    </w:p>
  </w:endnote>
  <w:endnote w:type="continuationNotice" w:id="1">
    <w:p w14:paraId="23069368" w14:textId="77777777" w:rsidR="00164F5D" w:rsidRDefault="00164F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E358E" w14:textId="77777777" w:rsidR="00164F5D" w:rsidRDefault="00164F5D" w:rsidP="00B85745">
      <w:r>
        <w:separator/>
      </w:r>
    </w:p>
  </w:footnote>
  <w:footnote w:type="continuationSeparator" w:id="0">
    <w:p w14:paraId="588BB4E9" w14:textId="77777777" w:rsidR="00164F5D" w:rsidRDefault="00164F5D" w:rsidP="00B85745">
      <w:r>
        <w:continuationSeparator/>
      </w:r>
    </w:p>
  </w:footnote>
  <w:footnote w:type="continuationNotice" w:id="1">
    <w:p w14:paraId="08F7C548" w14:textId="77777777" w:rsidR="00164F5D" w:rsidRDefault="00164F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95"/>
    <w:rsid w:val="000029D4"/>
    <w:rsid w:val="00015B68"/>
    <w:rsid w:val="00052E80"/>
    <w:rsid w:val="0005497A"/>
    <w:rsid w:val="00076AFD"/>
    <w:rsid w:val="000821DE"/>
    <w:rsid w:val="000C0F1C"/>
    <w:rsid w:val="000C78F6"/>
    <w:rsid w:val="000D42CB"/>
    <w:rsid w:val="000D5BB2"/>
    <w:rsid w:val="000E7232"/>
    <w:rsid w:val="000E7ABB"/>
    <w:rsid w:val="000F0FC7"/>
    <w:rsid w:val="000F3817"/>
    <w:rsid w:val="001159E6"/>
    <w:rsid w:val="00164F5D"/>
    <w:rsid w:val="00180A1C"/>
    <w:rsid w:val="00182C16"/>
    <w:rsid w:val="001913EB"/>
    <w:rsid w:val="001B1179"/>
    <w:rsid w:val="001D275A"/>
    <w:rsid w:val="001E5FB9"/>
    <w:rsid w:val="002553A4"/>
    <w:rsid w:val="002714E5"/>
    <w:rsid w:val="00277E08"/>
    <w:rsid w:val="00290064"/>
    <w:rsid w:val="00295E45"/>
    <w:rsid w:val="002A6690"/>
    <w:rsid w:val="002B06B7"/>
    <w:rsid w:val="002C2E1E"/>
    <w:rsid w:val="002C2F74"/>
    <w:rsid w:val="002D4C46"/>
    <w:rsid w:val="002E6A0E"/>
    <w:rsid w:val="003217E9"/>
    <w:rsid w:val="003469F3"/>
    <w:rsid w:val="003520C0"/>
    <w:rsid w:val="00353CE4"/>
    <w:rsid w:val="003610FC"/>
    <w:rsid w:val="00362155"/>
    <w:rsid w:val="003652EB"/>
    <w:rsid w:val="00375E29"/>
    <w:rsid w:val="00392EAA"/>
    <w:rsid w:val="003A2003"/>
    <w:rsid w:val="003D4FFA"/>
    <w:rsid w:val="003D645E"/>
    <w:rsid w:val="003E5898"/>
    <w:rsid w:val="00402122"/>
    <w:rsid w:val="00451E2D"/>
    <w:rsid w:val="00464577"/>
    <w:rsid w:val="004710D8"/>
    <w:rsid w:val="00477549"/>
    <w:rsid w:val="004921F2"/>
    <w:rsid w:val="00492B8E"/>
    <w:rsid w:val="004C50EF"/>
    <w:rsid w:val="004D79F5"/>
    <w:rsid w:val="004E7585"/>
    <w:rsid w:val="00507FC9"/>
    <w:rsid w:val="00517BCD"/>
    <w:rsid w:val="00526043"/>
    <w:rsid w:val="00561713"/>
    <w:rsid w:val="00594222"/>
    <w:rsid w:val="005E5F72"/>
    <w:rsid w:val="005F16A5"/>
    <w:rsid w:val="00610A32"/>
    <w:rsid w:val="00623715"/>
    <w:rsid w:val="00634669"/>
    <w:rsid w:val="00656F9C"/>
    <w:rsid w:val="006A1CF6"/>
    <w:rsid w:val="006A35B6"/>
    <w:rsid w:val="006B00F5"/>
    <w:rsid w:val="006C10C8"/>
    <w:rsid w:val="006F071F"/>
    <w:rsid w:val="006F2141"/>
    <w:rsid w:val="0070164D"/>
    <w:rsid w:val="00703150"/>
    <w:rsid w:val="00735CB4"/>
    <w:rsid w:val="0074559B"/>
    <w:rsid w:val="00753E49"/>
    <w:rsid w:val="007673EA"/>
    <w:rsid w:val="00782FE7"/>
    <w:rsid w:val="00790CCB"/>
    <w:rsid w:val="007A6113"/>
    <w:rsid w:val="007B6310"/>
    <w:rsid w:val="007D011F"/>
    <w:rsid w:val="007D1474"/>
    <w:rsid w:val="007E7C2A"/>
    <w:rsid w:val="00837F3F"/>
    <w:rsid w:val="00854758"/>
    <w:rsid w:val="00872D10"/>
    <w:rsid w:val="00893505"/>
    <w:rsid w:val="00894A47"/>
    <w:rsid w:val="008C16A7"/>
    <w:rsid w:val="008C1707"/>
    <w:rsid w:val="008D6273"/>
    <w:rsid w:val="008E5C9D"/>
    <w:rsid w:val="008F3F58"/>
    <w:rsid w:val="008F53EF"/>
    <w:rsid w:val="0091119B"/>
    <w:rsid w:val="00913433"/>
    <w:rsid w:val="00917095"/>
    <w:rsid w:val="00924DE0"/>
    <w:rsid w:val="00945A2F"/>
    <w:rsid w:val="009521E4"/>
    <w:rsid w:val="00980364"/>
    <w:rsid w:val="009D44A2"/>
    <w:rsid w:val="009E4C25"/>
    <w:rsid w:val="009F3F02"/>
    <w:rsid w:val="00A0211F"/>
    <w:rsid w:val="00A11C74"/>
    <w:rsid w:val="00A2412E"/>
    <w:rsid w:val="00A24240"/>
    <w:rsid w:val="00A3225D"/>
    <w:rsid w:val="00A375B0"/>
    <w:rsid w:val="00A54085"/>
    <w:rsid w:val="00A8611B"/>
    <w:rsid w:val="00A86361"/>
    <w:rsid w:val="00A932F5"/>
    <w:rsid w:val="00A93F58"/>
    <w:rsid w:val="00AB6491"/>
    <w:rsid w:val="00AD5ED3"/>
    <w:rsid w:val="00AE5165"/>
    <w:rsid w:val="00AF0D30"/>
    <w:rsid w:val="00B041E4"/>
    <w:rsid w:val="00B31B59"/>
    <w:rsid w:val="00B32AE8"/>
    <w:rsid w:val="00B73F4D"/>
    <w:rsid w:val="00B7666E"/>
    <w:rsid w:val="00B85745"/>
    <w:rsid w:val="00B945A8"/>
    <w:rsid w:val="00BA25A0"/>
    <w:rsid w:val="00BB7D72"/>
    <w:rsid w:val="00BD6131"/>
    <w:rsid w:val="00BE741E"/>
    <w:rsid w:val="00C25ECB"/>
    <w:rsid w:val="00C27B4A"/>
    <w:rsid w:val="00C35B60"/>
    <w:rsid w:val="00C436B6"/>
    <w:rsid w:val="00C70C8A"/>
    <w:rsid w:val="00CC3F26"/>
    <w:rsid w:val="00D11E6F"/>
    <w:rsid w:val="00D15274"/>
    <w:rsid w:val="00D37BEF"/>
    <w:rsid w:val="00D5193F"/>
    <w:rsid w:val="00D54CE1"/>
    <w:rsid w:val="00D60EE4"/>
    <w:rsid w:val="00D72D9C"/>
    <w:rsid w:val="00D81346"/>
    <w:rsid w:val="00D87333"/>
    <w:rsid w:val="00D9525B"/>
    <w:rsid w:val="00DA6DE4"/>
    <w:rsid w:val="00DB74BD"/>
    <w:rsid w:val="00DE1013"/>
    <w:rsid w:val="00DF272C"/>
    <w:rsid w:val="00E029FA"/>
    <w:rsid w:val="00E23247"/>
    <w:rsid w:val="00E27F12"/>
    <w:rsid w:val="00E40948"/>
    <w:rsid w:val="00E41A1E"/>
    <w:rsid w:val="00E432D8"/>
    <w:rsid w:val="00E61E1C"/>
    <w:rsid w:val="00E83419"/>
    <w:rsid w:val="00E846B6"/>
    <w:rsid w:val="00E8762D"/>
    <w:rsid w:val="00E87C5A"/>
    <w:rsid w:val="00E962B4"/>
    <w:rsid w:val="00EA102F"/>
    <w:rsid w:val="00EA2201"/>
    <w:rsid w:val="00EB1EAE"/>
    <w:rsid w:val="00EB268C"/>
    <w:rsid w:val="00EF34BA"/>
    <w:rsid w:val="00EF3A59"/>
    <w:rsid w:val="00F05695"/>
    <w:rsid w:val="00F23BBB"/>
    <w:rsid w:val="00F37A13"/>
    <w:rsid w:val="00F47333"/>
    <w:rsid w:val="00F53FFD"/>
    <w:rsid w:val="00F7100E"/>
    <w:rsid w:val="00FC22D9"/>
    <w:rsid w:val="00FD6693"/>
    <w:rsid w:val="00FE0881"/>
    <w:rsid w:val="05DE46D6"/>
    <w:rsid w:val="06C44E25"/>
    <w:rsid w:val="07F11800"/>
    <w:rsid w:val="515159D8"/>
    <w:rsid w:val="649BB07E"/>
    <w:rsid w:val="7B19648F"/>
    <w:rsid w:val="7F2F8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5E0A9"/>
  <w15:chartTrackingRefBased/>
  <w15:docId w15:val="{95318861-85E1-4699-B0F5-A95CF44B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5695"/>
  </w:style>
  <w:style w:type="paragraph" w:customStyle="1" w:styleId="AFMANormal">
    <w:name w:val="AFMA Normal"/>
    <w:rsid w:val="0070164D"/>
    <w:pPr>
      <w:snapToGrid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20"/>
      <w:sz w:val="24"/>
      <w:szCs w:val="20"/>
    </w:rPr>
  </w:style>
  <w:style w:type="paragraph" w:customStyle="1" w:styleId="heading0">
    <w:name w:val="heading0"/>
    <w:basedOn w:val="Normal"/>
    <w:rsid w:val="0070164D"/>
    <w:pPr>
      <w:spacing w:before="100" w:beforeAutospacing="1" w:after="100" w:afterAutospacing="1"/>
    </w:pPr>
    <w:rPr>
      <w:lang w:val="en-AU" w:eastAsia="en-AU"/>
    </w:rPr>
  </w:style>
  <w:style w:type="table" w:styleId="TableGrid">
    <w:name w:val="Table Grid"/>
    <w:basedOn w:val="TableNormal"/>
    <w:uiPriority w:val="39"/>
    <w:rsid w:val="00B3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51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16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516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92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1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92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1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1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7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0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8C170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13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Flow_SignoffStatus xmlns="d01b9356-9774-4515-b85f-82788657dd43" xsi:nil="true"/>
    <DocumentStatus xmlns="9dc7b98a-aa4a-4582-9fad-77df62eff277">CEO Cleared</DocumentStatus>
    <_dlc_DocId xmlns="9dc7b98a-aa4a-4582-9fad-77df62eff277">AFMAROOT-685074830-35893</_dlc_DocId>
    <_dlc_DocIdUrl xmlns="9dc7b98a-aa4a-4582-9fad-77df62eff277">
      <Url>https://afmagovau.sharepoint.com/sites/AFMA-PROD/_layouts/15/DocIdRedir.aspx?ID=AFMAROOT-685074830-35893</Url>
      <Description>AFMAROOT-685074830-35893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0F75EB-85E9-424C-907B-259F1172EE3B}">
  <ds:schemaRefs>
    <ds:schemaRef ds:uri="http://schemas.microsoft.com/office/2006/metadata/properties"/>
    <ds:schemaRef ds:uri="http://schemas.microsoft.com/office/infopath/2007/PartnerControls"/>
    <ds:schemaRef ds:uri="d01b9356-9774-4515-b85f-82788657dd43"/>
    <ds:schemaRef ds:uri="9dc7b98a-aa4a-4582-9fad-77df62eff277"/>
  </ds:schemaRefs>
</ds:datastoreItem>
</file>

<file path=customXml/itemProps2.xml><?xml version="1.0" encoding="utf-8"?>
<ds:datastoreItem xmlns:ds="http://schemas.openxmlformats.org/officeDocument/2006/customXml" ds:itemID="{60B2E4B0-7DBD-47EC-8BA9-9D5CF9897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C5FCC-C4FE-4752-B58F-EDC30A69B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9E146-2D07-49F8-802E-8A955A7EF7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FAD9AC-8061-4C38-90FF-DEF420ADF03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6683</Characters>
  <Application>Microsoft Office Word</Application>
  <DocSecurity>0</DocSecurity>
  <Lines>55</Lines>
  <Paragraphs>15</Paragraphs>
  <ScaleCrop>false</ScaleCrop>
  <Company>Australian Fisheries Management Authority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JAGGERS, William</dc:creator>
  <cp:keywords/>
  <dc:description/>
  <cp:lastModifiedBy>AFMA </cp:lastModifiedBy>
  <cp:revision>4</cp:revision>
  <cp:lastPrinted>2024-10-27T22:59:00Z</cp:lastPrinted>
  <dcterms:created xsi:type="dcterms:W3CDTF">2024-11-22T01:12:00Z</dcterms:created>
  <dcterms:modified xsi:type="dcterms:W3CDTF">2024-11-22T01:14:00Z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ef842876-2449-421e-946f-b388954e5599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0a8e4383-f1fe-431c-9e46-53209e93715a</vt:lpwstr>
  </property>
  <property fmtid="{D5CDD505-2E9C-101B-9397-08002B2CF9AE}" pid="5" name="MediaServiceImageTags">
    <vt:lpwstr/>
  </property>
  <property fmtid="{D5CDD505-2E9C-101B-9397-08002B2CF9AE}" pid="6" name="SEC">
    <vt:lpwstr>OFFICIAL</vt:lpwstr>
  </property>
  <property fmtid="{D5CDD505-2E9C-101B-9397-08002B2CF9AE}" pid="7" name="ApplyMark">
    <vt:lpwstr>false</vt:lpwstr>
  </property>
</Properties>
</file>