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39FE" w14:textId="77777777" w:rsidR="00FA06CA" w:rsidRPr="005F1388" w:rsidRDefault="00FA06CA" w:rsidP="00FA06CA">
      <w:pPr>
        <w:rPr>
          <w:sz w:val="28"/>
        </w:rPr>
      </w:pPr>
      <w:r>
        <w:rPr>
          <w:noProof/>
          <w:lang w:eastAsia="en-AU"/>
        </w:rPr>
        <w:drawing>
          <wp:inline distT="0" distB="0" distL="0" distR="0" wp14:anchorId="0FDCE2F4" wp14:editId="62C117B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47AE06" w14:textId="77777777" w:rsidR="00FA06CA" w:rsidRPr="00E500D4" w:rsidRDefault="00FA06CA" w:rsidP="00FA06CA">
      <w:pPr>
        <w:rPr>
          <w:sz w:val="19"/>
        </w:rPr>
      </w:pPr>
    </w:p>
    <w:p w14:paraId="76EBF378" w14:textId="674F9621" w:rsidR="00FA06CA" w:rsidRPr="00E500D4" w:rsidRDefault="00667873" w:rsidP="00FA06CA">
      <w:pPr>
        <w:pStyle w:val="ShortT"/>
      </w:pPr>
      <w:r w:rsidRPr="00667873">
        <w:t>Future Fund Investment Mandate Direction</w:t>
      </w:r>
      <w:r>
        <w:t> </w:t>
      </w:r>
      <w:r w:rsidRPr="00667873">
        <w:t>2024</w:t>
      </w:r>
    </w:p>
    <w:p w14:paraId="54E833E2" w14:textId="1FAD99C0" w:rsidR="00FA06CA" w:rsidRPr="00BC5754" w:rsidRDefault="00667873" w:rsidP="00FA06CA">
      <w:pPr>
        <w:pStyle w:val="SignCoverPageStart"/>
        <w:spacing w:before="240"/>
        <w:rPr>
          <w:szCs w:val="22"/>
        </w:rPr>
      </w:pPr>
      <w:r w:rsidRPr="00667873">
        <w:rPr>
          <w:szCs w:val="22"/>
        </w:rPr>
        <w:t>We, Jim Chalmers, Treasurer, and Katy Gallagher, Minister for Finance, make the following direction.</w:t>
      </w:r>
    </w:p>
    <w:p w14:paraId="6B1B5784" w14:textId="0C8DE514"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8A22E7">
        <w:rPr>
          <w:szCs w:val="22"/>
        </w:rPr>
        <w:t xml:space="preserve">19 November </w:t>
      </w:r>
      <w:r w:rsidR="00667873">
        <w:rPr>
          <w:szCs w:val="22"/>
        </w:rPr>
        <w:t>2024</w:t>
      </w:r>
    </w:p>
    <w:p w14:paraId="1D51408F" w14:textId="6D6C0437" w:rsidR="00FA06CA" w:rsidRPr="00BC5754" w:rsidRDefault="00FA06CA" w:rsidP="00FA06CA">
      <w:pPr>
        <w:keepNext/>
        <w:tabs>
          <w:tab w:val="left" w:pos="3402"/>
        </w:tabs>
        <w:spacing w:before="840" w:after="1080" w:line="300" w:lineRule="atLeast"/>
        <w:ind w:right="397"/>
        <w:rPr>
          <w:szCs w:val="22"/>
        </w:rPr>
      </w:pPr>
    </w:p>
    <w:p w14:paraId="51266D44" w14:textId="16AEB411" w:rsidR="00FA06CA" w:rsidRPr="00BC5754" w:rsidRDefault="00667873" w:rsidP="00FA06CA">
      <w:pPr>
        <w:keepNext/>
        <w:tabs>
          <w:tab w:val="left" w:pos="3402"/>
        </w:tabs>
        <w:spacing w:before="480" w:line="300" w:lineRule="atLeast"/>
        <w:ind w:right="397"/>
        <w:rPr>
          <w:szCs w:val="22"/>
        </w:rPr>
      </w:pPr>
      <w:r>
        <w:rPr>
          <w:szCs w:val="22"/>
        </w:rPr>
        <w:t>Dr Jim Chalmers</w:t>
      </w:r>
      <w:r>
        <w:rPr>
          <w:szCs w:val="22"/>
        </w:rPr>
        <w:tab/>
      </w:r>
      <w:r>
        <w:rPr>
          <w:szCs w:val="22"/>
        </w:rPr>
        <w:tab/>
      </w:r>
      <w:r>
        <w:rPr>
          <w:szCs w:val="22"/>
        </w:rPr>
        <w:tab/>
        <w:t>Katy Gallagher</w:t>
      </w:r>
    </w:p>
    <w:p w14:paraId="4A3A9B56" w14:textId="62F37E5B" w:rsidR="00FA06CA" w:rsidRPr="00BC5754" w:rsidRDefault="00667873" w:rsidP="00FA06CA">
      <w:pPr>
        <w:pStyle w:val="SignCoverPageEnd"/>
        <w:rPr>
          <w:szCs w:val="22"/>
        </w:rPr>
      </w:pPr>
      <w:r>
        <w:rPr>
          <w:szCs w:val="22"/>
        </w:rPr>
        <w:t>Treasurer</w:t>
      </w:r>
      <w:r>
        <w:rPr>
          <w:szCs w:val="22"/>
        </w:rPr>
        <w:tab/>
      </w:r>
      <w:r>
        <w:rPr>
          <w:szCs w:val="22"/>
        </w:rPr>
        <w:tab/>
      </w:r>
      <w:r>
        <w:rPr>
          <w:szCs w:val="22"/>
        </w:rPr>
        <w:tab/>
        <w:t>Minister for Finance</w:t>
      </w:r>
    </w:p>
    <w:p w14:paraId="45661B4B" w14:textId="77777777" w:rsidR="00FA06CA" w:rsidRPr="00BC5754" w:rsidRDefault="00FA06CA" w:rsidP="00FA06CA">
      <w:pPr>
        <w:rPr>
          <w:rStyle w:val="CharAmSchNo"/>
        </w:rPr>
      </w:pPr>
    </w:p>
    <w:p w14:paraId="7931D90B"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0860822C"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796E792B"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1E2B66C0" w14:textId="77777777" w:rsidR="00FA06CA" w:rsidRDefault="00FA06CA" w:rsidP="00FA06CA">
      <w:pPr>
        <w:sectPr w:rsidR="00FA06CA">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2119E9C" w14:textId="77777777" w:rsidR="00FA06CA" w:rsidRDefault="00FA06CA" w:rsidP="00FA06CA">
      <w:pPr>
        <w:outlineLvl w:val="0"/>
        <w:rPr>
          <w:sz w:val="36"/>
        </w:rPr>
      </w:pPr>
      <w:r w:rsidRPr="007A1328">
        <w:rPr>
          <w:sz w:val="36"/>
        </w:rPr>
        <w:lastRenderedPageBreak/>
        <w:t>Contents</w:t>
      </w:r>
    </w:p>
    <w:p w14:paraId="4F666473" w14:textId="32373C65" w:rsidR="00667873" w:rsidRDefault="00FA06CA">
      <w:pPr>
        <w:pStyle w:val="TOC2"/>
        <w:rPr>
          <w:rFonts w:asciiTheme="minorHAnsi" w:eastAsiaTheme="minorEastAsia" w:hAnsiTheme="minorHAnsi" w:cstheme="minorBidi"/>
          <w:b w:val="0"/>
          <w:noProof/>
          <w:kern w:val="2"/>
          <w:sz w:val="22"/>
          <w:szCs w:val="22"/>
          <w14:ligatures w14:val="standardContextual"/>
        </w:rPr>
      </w:pPr>
      <w:r w:rsidRPr="00667873">
        <w:fldChar w:fldCharType="begin"/>
      </w:r>
      <w:r>
        <w:instrText xml:space="preserve"> TOC \o "1-9" </w:instrText>
      </w:r>
      <w:r w:rsidRPr="00667873">
        <w:fldChar w:fldCharType="separate"/>
      </w:r>
      <w:r w:rsidR="00667873">
        <w:rPr>
          <w:noProof/>
        </w:rPr>
        <w:t>Part 1—Preliminary</w:t>
      </w:r>
      <w:r w:rsidR="00667873">
        <w:rPr>
          <w:noProof/>
        </w:rPr>
        <w:tab/>
      </w:r>
      <w:r w:rsidR="00667873" w:rsidRPr="00667873">
        <w:rPr>
          <w:b w:val="0"/>
          <w:noProof/>
          <w:sz w:val="18"/>
        </w:rPr>
        <w:fldChar w:fldCharType="begin"/>
      </w:r>
      <w:r w:rsidR="00667873" w:rsidRPr="00667873">
        <w:rPr>
          <w:b w:val="0"/>
          <w:noProof/>
          <w:sz w:val="18"/>
        </w:rPr>
        <w:instrText xml:space="preserve"> PAGEREF _Toc177578496 \h </w:instrText>
      </w:r>
      <w:r w:rsidR="00667873" w:rsidRPr="00667873">
        <w:rPr>
          <w:b w:val="0"/>
          <w:noProof/>
          <w:sz w:val="18"/>
        </w:rPr>
      </w:r>
      <w:r w:rsidR="00667873" w:rsidRPr="00667873">
        <w:rPr>
          <w:b w:val="0"/>
          <w:noProof/>
          <w:sz w:val="18"/>
        </w:rPr>
        <w:fldChar w:fldCharType="separate"/>
      </w:r>
      <w:r w:rsidR="00505298">
        <w:rPr>
          <w:b w:val="0"/>
          <w:noProof/>
          <w:sz w:val="18"/>
        </w:rPr>
        <w:t>1</w:t>
      </w:r>
      <w:r w:rsidR="00667873" w:rsidRPr="00667873">
        <w:rPr>
          <w:b w:val="0"/>
          <w:noProof/>
          <w:sz w:val="18"/>
        </w:rPr>
        <w:fldChar w:fldCharType="end"/>
      </w:r>
    </w:p>
    <w:p w14:paraId="2628644C" w14:textId="12E26C27"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Pr>
          <w:noProof/>
        </w:rPr>
        <w:tab/>
      </w:r>
      <w:r w:rsidRPr="00667873">
        <w:rPr>
          <w:noProof/>
        </w:rPr>
        <w:fldChar w:fldCharType="begin"/>
      </w:r>
      <w:r w:rsidRPr="00667873">
        <w:rPr>
          <w:noProof/>
        </w:rPr>
        <w:instrText xml:space="preserve"> PAGEREF _Toc177578497 \h </w:instrText>
      </w:r>
      <w:r w:rsidRPr="00667873">
        <w:rPr>
          <w:noProof/>
        </w:rPr>
      </w:r>
      <w:r w:rsidRPr="00667873">
        <w:rPr>
          <w:noProof/>
        </w:rPr>
        <w:fldChar w:fldCharType="separate"/>
      </w:r>
      <w:r w:rsidR="00505298">
        <w:rPr>
          <w:noProof/>
        </w:rPr>
        <w:t>1</w:t>
      </w:r>
      <w:r w:rsidRPr="00667873">
        <w:rPr>
          <w:noProof/>
        </w:rPr>
        <w:fldChar w:fldCharType="end"/>
      </w:r>
    </w:p>
    <w:p w14:paraId="769C8D40" w14:textId="43FE0B7E"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667873">
        <w:rPr>
          <w:noProof/>
        </w:rPr>
        <w:fldChar w:fldCharType="begin"/>
      </w:r>
      <w:r w:rsidRPr="00667873">
        <w:rPr>
          <w:noProof/>
        </w:rPr>
        <w:instrText xml:space="preserve"> PAGEREF _Toc177578498 \h </w:instrText>
      </w:r>
      <w:r w:rsidRPr="00667873">
        <w:rPr>
          <w:noProof/>
        </w:rPr>
      </w:r>
      <w:r w:rsidRPr="00667873">
        <w:rPr>
          <w:noProof/>
        </w:rPr>
        <w:fldChar w:fldCharType="separate"/>
      </w:r>
      <w:r w:rsidR="00505298">
        <w:rPr>
          <w:noProof/>
        </w:rPr>
        <w:t>1</w:t>
      </w:r>
      <w:r w:rsidRPr="00667873">
        <w:rPr>
          <w:noProof/>
        </w:rPr>
        <w:fldChar w:fldCharType="end"/>
      </w:r>
    </w:p>
    <w:p w14:paraId="6EE3C1B0" w14:textId="4F92FB43"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667873">
        <w:rPr>
          <w:noProof/>
        </w:rPr>
        <w:fldChar w:fldCharType="begin"/>
      </w:r>
      <w:r w:rsidRPr="00667873">
        <w:rPr>
          <w:noProof/>
        </w:rPr>
        <w:instrText xml:space="preserve"> PAGEREF _Toc177578499 \h </w:instrText>
      </w:r>
      <w:r w:rsidRPr="00667873">
        <w:rPr>
          <w:noProof/>
        </w:rPr>
      </w:r>
      <w:r w:rsidRPr="00667873">
        <w:rPr>
          <w:noProof/>
        </w:rPr>
        <w:fldChar w:fldCharType="separate"/>
      </w:r>
      <w:r w:rsidR="00505298">
        <w:rPr>
          <w:noProof/>
        </w:rPr>
        <w:t>1</w:t>
      </w:r>
      <w:r w:rsidRPr="00667873">
        <w:rPr>
          <w:noProof/>
        </w:rPr>
        <w:fldChar w:fldCharType="end"/>
      </w:r>
    </w:p>
    <w:p w14:paraId="328A7D71" w14:textId="19716EB7"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667873">
        <w:rPr>
          <w:noProof/>
        </w:rPr>
        <w:fldChar w:fldCharType="begin"/>
      </w:r>
      <w:r w:rsidRPr="00667873">
        <w:rPr>
          <w:noProof/>
        </w:rPr>
        <w:instrText xml:space="preserve"> PAGEREF _Toc177578500 \h </w:instrText>
      </w:r>
      <w:r w:rsidRPr="00667873">
        <w:rPr>
          <w:noProof/>
        </w:rPr>
      </w:r>
      <w:r w:rsidRPr="00667873">
        <w:rPr>
          <w:noProof/>
        </w:rPr>
        <w:fldChar w:fldCharType="separate"/>
      </w:r>
      <w:r w:rsidR="00505298">
        <w:rPr>
          <w:noProof/>
        </w:rPr>
        <w:t>1</w:t>
      </w:r>
      <w:r w:rsidRPr="00667873">
        <w:rPr>
          <w:noProof/>
        </w:rPr>
        <w:fldChar w:fldCharType="end"/>
      </w:r>
    </w:p>
    <w:p w14:paraId="05FB1F50" w14:textId="39D79054"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5  Objects of this instrument</w:t>
      </w:r>
      <w:r>
        <w:rPr>
          <w:noProof/>
        </w:rPr>
        <w:tab/>
      </w:r>
      <w:r w:rsidRPr="00667873">
        <w:rPr>
          <w:noProof/>
        </w:rPr>
        <w:fldChar w:fldCharType="begin"/>
      </w:r>
      <w:r w:rsidRPr="00667873">
        <w:rPr>
          <w:noProof/>
        </w:rPr>
        <w:instrText xml:space="preserve"> PAGEREF _Toc177578501 \h </w:instrText>
      </w:r>
      <w:r w:rsidRPr="00667873">
        <w:rPr>
          <w:noProof/>
        </w:rPr>
      </w:r>
      <w:r w:rsidRPr="00667873">
        <w:rPr>
          <w:noProof/>
        </w:rPr>
        <w:fldChar w:fldCharType="separate"/>
      </w:r>
      <w:r w:rsidR="00505298">
        <w:rPr>
          <w:noProof/>
        </w:rPr>
        <w:t>1</w:t>
      </w:r>
      <w:r w:rsidRPr="00667873">
        <w:rPr>
          <w:noProof/>
        </w:rPr>
        <w:fldChar w:fldCharType="end"/>
      </w:r>
    </w:p>
    <w:p w14:paraId="0DECE993" w14:textId="39267921"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6  Definitions</w:t>
      </w:r>
      <w:r>
        <w:rPr>
          <w:noProof/>
        </w:rPr>
        <w:tab/>
      </w:r>
      <w:r w:rsidRPr="00667873">
        <w:rPr>
          <w:noProof/>
        </w:rPr>
        <w:fldChar w:fldCharType="begin"/>
      </w:r>
      <w:r w:rsidRPr="00667873">
        <w:rPr>
          <w:noProof/>
        </w:rPr>
        <w:instrText xml:space="preserve"> PAGEREF _Toc177578502 \h </w:instrText>
      </w:r>
      <w:r w:rsidRPr="00667873">
        <w:rPr>
          <w:noProof/>
        </w:rPr>
      </w:r>
      <w:r w:rsidRPr="00667873">
        <w:rPr>
          <w:noProof/>
        </w:rPr>
        <w:fldChar w:fldCharType="separate"/>
      </w:r>
      <w:r w:rsidR="00505298">
        <w:rPr>
          <w:noProof/>
        </w:rPr>
        <w:t>2</w:t>
      </w:r>
      <w:r w:rsidRPr="00667873">
        <w:rPr>
          <w:noProof/>
        </w:rPr>
        <w:fldChar w:fldCharType="end"/>
      </w:r>
    </w:p>
    <w:p w14:paraId="54C97801" w14:textId="203E6E7C" w:rsidR="00667873" w:rsidRDefault="00667873">
      <w:pPr>
        <w:pStyle w:val="TOC2"/>
        <w:rPr>
          <w:rFonts w:asciiTheme="minorHAnsi" w:eastAsiaTheme="minorEastAsia" w:hAnsiTheme="minorHAnsi" w:cstheme="minorBidi"/>
          <w:b w:val="0"/>
          <w:noProof/>
          <w:kern w:val="2"/>
          <w:sz w:val="22"/>
          <w:szCs w:val="22"/>
          <w14:ligatures w14:val="standardContextual"/>
        </w:rPr>
      </w:pPr>
      <w:r>
        <w:rPr>
          <w:noProof/>
        </w:rPr>
        <w:t>Part 2—Directions</w:t>
      </w:r>
      <w:r>
        <w:rPr>
          <w:noProof/>
        </w:rPr>
        <w:tab/>
      </w:r>
      <w:r w:rsidRPr="00667873">
        <w:rPr>
          <w:b w:val="0"/>
          <w:noProof/>
          <w:sz w:val="18"/>
        </w:rPr>
        <w:fldChar w:fldCharType="begin"/>
      </w:r>
      <w:r w:rsidRPr="00667873">
        <w:rPr>
          <w:b w:val="0"/>
          <w:noProof/>
          <w:sz w:val="18"/>
        </w:rPr>
        <w:instrText xml:space="preserve"> PAGEREF _Toc177578503 \h </w:instrText>
      </w:r>
      <w:r w:rsidRPr="00667873">
        <w:rPr>
          <w:b w:val="0"/>
          <w:noProof/>
          <w:sz w:val="18"/>
        </w:rPr>
      </w:r>
      <w:r w:rsidRPr="00667873">
        <w:rPr>
          <w:b w:val="0"/>
          <w:noProof/>
          <w:sz w:val="18"/>
        </w:rPr>
        <w:fldChar w:fldCharType="separate"/>
      </w:r>
      <w:r w:rsidR="00505298">
        <w:rPr>
          <w:b w:val="0"/>
          <w:noProof/>
          <w:sz w:val="18"/>
        </w:rPr>
        <w:t>3</w:t>
      </w:r>
      <w:r w:rsidRPr="00667873">
        <w:rPr>
          <w:b w:val="0"/>
          <w:noProof/>
          <w:sz w:val="18"/>
        </w:rPr>
        <w:fldChar w:fldCharType="end"/>
      </w:r>
    </w:p>
    <w:p w14:paraId="500DA2C4" w14:textId="18BDFA6F"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7  Investments in financial assets only</w:t>
      </w:r>
      <w:r>
        <w:rPr>
          <w:noProof/>
        </w:rPr>
        <w:tab/>
      </w:r>
      <w:r w:rsidRPr="00667873">
        <w:rPr>
          <w:noProof/>
        </w:rPr>
        <w:fldChar w:fldCharType="begin"/>
      </w:r>
      <w:r w:rsidRPr="00667873">
        <w:rPr>
          <w:noProof/>
        </w:rPr>
        <w:instrText xml:space="preserve"> PAGEREF _Toc177578504 \h </w:instrText>
      </w:r>
      <w:r w:rsidRPr="00667873">
        <w:rPr>
          <w:noProof/>
        </w:rPr>
      </w:r>
      <w:r w:rsidRPr="00667873">
        <w:rPr>
          <w:noProof/>
        </w:rPr>
        <w:fldChar w:fldCharType="separate"/>
      </w:r>
      <w:r w:rsidR="00505298">
        <w:rPr>
          <w:noProof/>
        </w:rPr>
        <w:t>3</w:t>
      </w:r>
      <w:r w:rsidRPr="00667873">
        <w:rPr>
          <w:noProof/>
        </w:rPr>
        <w:fldChar w:fldCharType="end"/>
      </w:r>
    </w:p>
    <w:p w14:paraId="362A2254" w14:textId="072F127D"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8  Maximise return</w:t>
      </w:r>
      <w:r>
        <w:rPr>
          <w:noProof/>
        </w:rPr>
        <w:tab/>
      </w:r>
      <w:r w:rsidRPr="00667873">
        <w:rPr>
          <w:noProof/>
        </w:rPr>
        <w:fldChar w:fldCharType="begin"/>
      </w:r>
      <w:r w:rsidRPr="00667873">
        <w:rPr>
          <w:noProof/>
        </w:rPr>
        <w:instrText xml:space="preserve"> PAGEREF _Toc177578505 \h </w:instrText>
      </w:r>
      <w:r w:rsidRPr="00667873">
        <w:rPr>
          <w:noProof/>
        </w:rPr>
      </w:r>
      <w:r w:rsidRPr="00667873">
        <w:rPr>
          <w:noProof/>
        </w:rPr>
        <w:fldChar w:fldCharType="separate"/>
      </w:r>
      <w:r w:rsidR="00505298">
        <w:rPr>
          <w:noProof/>
        </w:rPr>
        <w:t>3</w:t>
      </w:r>
      <w:r w:rsidRPr="00667873">
        <w:rPr>
          <w:noProof/>
        </w:rPr>
        <w:fldChar w:fldCharType="end"/>
      </w:r>
    </w:p>
    <w:p w14:paraId="0973C44A" w14:textId="735220F1"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9  National priorities</w:t>
      </w:r>
      <w:r>
        <w:rPr>
          <w:noProof/>
        </w:rPr>
        <w:tab/>
      </w:r>
      <w:r w:rsidRPr="00667873">
        <w:rPr>
          <w:noProof/>
        </w:rPr>
        <w:fldChar w:fldCharType="begin"/>
      </w:r>
      <w:r w:rsidRPr="00667873">
        <w:rPr>
          <w:noProof/>
        </w:rPr>
        <w:instrText xml:space="preserve"> PAGEREF _Toc177578506 \h </w:instrText>
      </w:r>
      <w:r w:rsidRPr="00667873">
        <w:rPr>
          <w:noProof/>
        </w:rPr>
      </w:r>
      <w:r w:rsidRPr="00667873">
        <w:rPr>
          <w:noProof/>
        </w:rPr>
        <w:fldChar w:fldCharType="separate"/>
      </w:r>
      <w:r w:rsidR="00505298">
        <w:rPr>
          <w:noProof/>
        </w:rPr>
        <w:t>3</w:t>
      </w:r>
      <w:r w:rsidRPr="00667873">
        <w:rPr>
          <w:noProof/>
        </w:rPr>
        <w:fldChar w:fldCharType="end"/>
      </w:r>
    </w:p>
    <w:p w14:paraId="393E0135" w14:textId="539864CA"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10  Benchmark return</w:t>
      </w:r>
      <w:r>
        <w:rPr>
          <w:noProof/>
        </w:rPr>
        <w:tab/>
      </w:r>
      <w:r w:rsidRPr="00667873">
        <w:rPr>
          <w:noProof/>
        </w:rPr>
        <w:fldChar w:fldCharType="begin"/>
      </w:r>
      <w:r w:rsidRPr="00667873">
        <w:rPr>
          <w:noProof/>
        </w:rPr>
        <w:instrText xml:space="preserve"> PAGEREF _Toc177578507 \h </w:instrText>
      </w:r>
      <w:r w:rsidRPr="00667873">
        <w:rPr>
          <w:noProof/>
        </w:rPr>
      </w:r>
      <w:r w:rsidRPr="00667873">
        <w:rPr>
          <w:noProof/>
        </w:rPr>
        <w:fldChar w:fldCharType="separate"/>
      </w:r>
      <w:r w:rsidR="00505298">
        <w:rPr>
          <w:noProof/>
        </w:rPr>
        <w:t>3</w:t>
      </w:r>
      <w:r w:rsidRPr="00667873">
        <w:rPr>
          <w:noProof/>
        </w:rPr>
        <w:fldChar w:fldCharType="end"/>
      </w:r>
    </w:p>
    <w:p w14:paraId="1AC11C2F" w14:textId="236C2582"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11  Limits on holdings in certain companies</w:t>
      </w:r>
      <w:r>
        <w:rPr>
          <w:noProof/>
        </w:rPr>
        <w:tab/>
      </w:r>
      <w:r w:rsidRPr="00667873">
        <w:rPr>
          <w:noProof/>
        </w:rPr>
        <w:fldChar w:fldCharType="begin"/>
      </w:r>
      <w:r w:rsidRPr="00667873">
        <w:rPr>
          <w:noProof/>
        </w:rPr>
        <w:instrText xml:space="preserve"> PAGEREF _Toc177578508 \h </w:instrText>
      </w:r>
      <w:r w:rsidRPr="00667873">
        <w:rPr>
          <w:noProof/>
        </w:rPr>
      </w:r>
      <w:r w:rsidRPr="00667873">
        <w:rPr>
          <w:noProof/>
        </w:rPr>
        <w:fldChar w:fldCharType="separate"/>
      </w:r>
      <w:r w:rsidR="00505298">
        <w:rPr>
          <w:noProof/>
        </w:rPr>
        <w:t>3</w:t>
      </w:r>
      <w:r w:rsidRPr="00667873">
        <w:rPr>
          <w:noProof/>
        </w:rPr>
        <w:fldChar w:fldCharType="end"/>
      </w:r>
    </w:p>
    <w:p w14:paraId="7D62E6F3" w14:textId="7FE6628D"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12  Board must consider impacts of investment strategy</w:t>
      </w:r>
      <w:r>
        <w:rPr>
          <w:noProof/>
        </w:rPr>
        <w:tab/>
      </w:r>
      <w:r w:rsidRPr="00667873">
        <w:rPr>
          <w:noProof/>
        </w:rPr>
        <w:fldChar w:fldCharType="begin"/>
      </w:r>
      <w:r w:rsidRPr="00667873">
        <w:rPr>
          <w:noProof/>
        </w:rPr>
        <w:instrText xml:space="preserve"> PAGEREF _Toc177578509 \h </w:instrText>
      </w:r>
      <w:r w:rsidRPr="00667873">
        <w:rPr>
          <w:noProof/>
        </w:rPr>
      </w:r>
      <w:r w:rsidRPr="00667873">
        <w:rPr>
          <w:noProof/>
        </w:rPr>
        <w:fldChar w:fldCharType="separate"/>
      </w:r>
      <w:r w:rsidR="00505298">
        <w:rPr>
          <w:noProof/>
        </w:rPr>
        <w:t>3</w:t>
      </w:r>
      <w:r w:rsidRPr="00667873">
        <w:rPr>
          <w:noProof/>
        </w:rPr>
        <w:fldChar w:fldCharType="end"/>
      </w:r>
    </w:p>
    <w:p w14:paraId="5642FB1A" w14:textId="245BDC50" w:rsidR="00667873" w:rsidRDefault="00667873">
      <w:pPr>
        <w:pStyle w:val="TOC5"/>
        <w:rPr>
          <w:rFonts w:asciiTheme="minorHAnsi" w:eastAsiaTheme="minorEastAsia" w:hAnsiTheme="minorHAnsi" w:cstheme="minorBidi"/>
          <w:noProof/>
          <w:kern w:val="2"/>
          <w:sz w:val="22"/>
          <w:szCs w:val="22"/>
          <w14:ligatures w14:val="standardContextual"/>
        </w:rPr>
      </w:pPr>
      <w:r>
        <w:rPr>
          <w:noProof/>
        </w:rPr>
        <w:t>13  Corporate governance</w:t>
      </w:r>
      <w:r>
        <w:rPr>
          <w:noProof/>
        </w:rPr>
        <w:tab/>
      </w:r>
      <w:r w:rsidRPr="00667873">
        <w:rPr>
          <w:noProof/>
        </w:rPr>
        <w:fldChar w:fldCharType="begin"/>
      </w:r>
      <w:r w:rsidRPr="00667873">
        <w:rPr>
          <w:noProof/>
        </w:rPr>
        <w:instrText xml:space="preserve"> PAGEREF _Toc177578510 \h </w:instrText>
      </w:r>
      <w:r w:rsidRPr="00667873">
        <w:rPr>
          <w:noProof/>
        </w:rPr>
      </w:r>
      <w:r w:rsidRPr="00667873">
        <w:rPr>
          <w:noProof/>
        </w:rPr>
        <w:fldChar w:fldCharType="separate"/>
      </w:r>
      <w:r w:rsidR="00505298">
        <w:rPr>
          <w:noProof/>
        </w:rPr>
        <w:t>4</w:t>
      </w:r>
      <w:r w:rsidRPr="00667873">
        <w:rPr>
          <w:noProof/>
        </w:rPr>
        <w:fldChar w:fldCharType="end"/>
      </w:r>
    </w:p>
    <w:p w14:paraId="62A7F3FA" w14:textId="2385151A" w:rsidR="00667873" w:rsidRDefault="00667873">
      <w:pPr>
        <w:pStyle w:val="TOC1"/>
        <w:rPr>
          <w:rFonts w:asciiTheme="minorHAnsi" w:eastAsiaTheme="minorEastAsia" w:hAnsiTheme="minorHAnsi" w:cstheme="minorBidi"/>
          <w:b w:val="0"/>
          <w:noProof/>
          <w:kern w:val="2"/>
          <w:sz w:val="22"/>
          <w:szCs w:val="22"/>
          <w14:ligatures w14:val="standardContextual"/>
        </w:rPr>
      </w:pPr>
      <w:r>
        <w:rPr>
          <w:noProof/>
        </w:rPr>
        <w:t>Schedule 1—Repeals</w:t>
      </w:r>
      <w:r>
        <w:rPr>
          <w:noProof/>
        </w:rPr>
        <w:tab/>
      </w:r>
      <w:r w:rsidRPr="00667873">
        <w:rPr>
          <w:b w:val="0"/>
          <w:noProof/>
          <w:sz w:val="18"/>
        </w:rPr>
        <w:fldChar w:fldCharType="begin"/>
      </w:r>
      <w:r w:rsidRPr="00667873">
        <w:rPr>
          <w:b w:val="0"/>
          <w:noProof/>
          <w:sz w:val="18"/>
        </w:rPr>
        <w:instrText xml:space="preserve"> PAGEREF _Toc177578511 \h </w:instrText>
      </w:r>
      <w:r w:rsidRPr="00667873">
        <w:rPr>
          <w:b w:val="0"/>
          <w:noProof/>
          <w:sz w:val="18"/>
        </w:rPr>
      </w:r>
      <w:r w:rsidRPr="00667873">
        <w:rPr>
          <w:b w:val="0"/>
          <w:noProof/>
          <w:sz w:val="18"/>
        </w:rPr>
        <w:fldChar w:fldCharType="separate"/>
      </w:r>
      <w:r w:rsidR="00505298">
        <w:rPr>
          <w:b w:val="0"/>
          <w:noProof/>
          <w:sz w:val="18"/>
        </w:rPr>
        <w:t>5</w:t>
      </w:r>
      <w:r w:rsidRPr="00667873">
        <w:rPr>
          <w:b w:val="0"/>
          <w:noProof/>
          <w:sz w:val="18"/>
        </w:rPr>
        <w:fldChar w:fldCharType="end"/>
      </w:r>
    </w:p>
    <w:p w14:paraId="6047AE5C" w14:textId="38F07FF0" w:rsidR="00667873" w:rsidRPr="00667873" w:rsidRDefault="00667873">
      <w:pPr>
        <w:pStyle w:val="TOC9"/>
        <w:rPr>
          <w:rFonts w:asciiTheme="minorHAnsi" w:eastAsiaTheme="minorEastAsia" w:hAnsiTheme="minorHAnsi" w:cstheme="minorBidi"/>
          <w:i w:val="0"/>
          <w:noProof/>
          <w:kern w:val="2"/>
          <w:sz w:val="18"/>
          <w:szCs w:val="22"/>
          <w14:ligatures w14:val="standardContextual"/>
        </w:rPr>
      </w:pPr>
      <w:r>
        <w:rPr>
          <w:noProof/>
        </w:rPr>
        <w:t>Future Fund Investment Mandate Direction 2017</w:t>
      </w:r>
      <w:r>
        <w:rPr>
          <w:noProof/>
        </w:rPr>
        <w:tab/>
      </w:r>
      <w:r w:rsidRPr="00667873">
        <w:rPr>
          <w:i w:val="0"/>
          <w:iCs/>
          <w:noProof/>
          <w:sz w:val="18"/>
        </w:rPr>
        <w:fldChar w:fldCharType="begin"/>
      </w:r>
      <w:r w:rsidRPr="00667873">
        <w:rPr>
          <w:i w:val="0"/>
          <w:iCs/>
          <w:noProof/>
          <w:sz w:val="18"/>
        </w:rPr>
        <w:instrText xml:space="preserve"> PAGEREF _Toc177578512 \h </w:instrText>
      </w:r>
      <w:r w:rsidRPr="00667873">
        <w:rPr>
          <w:i w:val="0"/>
          <w:iCs/>
          <w:noProof/>
          <w:sz w:val="18"/>
        </w:rPr>
      </w:r>
      <w:r w:rsidRPr="00667873">
        <w:rPr>
          <w:i w:val="0"/>
          <w:iCs/>
          <w:noProof/>
          <w:sz w:val="18"/>
        </w:rPr>
        <w:fldChar w:fldCharType="separate"/>
      </w:r>
      <w:r w:rsidR="00505298">
        <w:rPr>
          <w:i w:val="0"/>
          <w:iCs/>
          <w:noProof/>
          <w:sz w:val="18"/>
        </w:rPr>
        <w:t>5</w:t>
      </w:r>
      <w:r w:rsidRPr="00667873">
        <w:rPr>
          <w:i w:val="0"/>
          <w:iCs/>
          <w:noProof/>
          <w:sz w:val="18"/>
        </w:rPr>
        <w:fldChar w:fldCharType="end"/>
      </w:r>
    </w:p>
    <w:p w14:paraId="0C58BB5A" w14:textId="38F8F8E2" w:rsidR="00FA06CA" w:rsidRDefault="00FA06CA" w:rsidP="00FA06CA">
      <w:r w:rsidRPr="00667873">
        <w:rPr>
          <w:sz w:val="18"/>
        </w:rPr>
        <w:fldChar w:fldCharType="end"/>
      </w:r>
    </w:p>
    <w:p w14:paraId="43183174" w14:textId="77777777" w:rsidR="00FA06CA" w:rsidRDefault="00FA06CA" w:rsidP="00FA06CA">
      <w:pPr>
        <w:sectPr w:rsidR="00FA06CA">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2AC6260B" w14:textId="4C656628" w:rsidR="00667873" w:rsidRPr="00667873" w:rsidRDefault="00667873" w:rsidP="00667873">
      <w:pPr>
        <w:pStyle w:val="ActHead2"/>
        <w:pageBreakBefore/>
        <w:rPr>
          <w:lang w:eastAsia="en-US"/>
        </w:rPr>
      </w:pPr>
      <w:bookmarkStart w:id="16" w:name="_Toc177578496"/>
      <w:r w:rsidRPr="00667873">
        <w:rPr>
          <w:rStyle w:val="CharPartNo"/>
        </w:rPr>
        <w:lastRenderedPageBreak/>
        <w:t>Part 1</w:t>
      </w:r>
      <w:r>
        <w:t>—</w:t>
      </w:r>
      <w:r w:rsidRPr="00667873">
        <w:rPr>
          <w:rStyle w:val="CharPartText"/>
        </w:rPr>
        <w:t>Preliminary</w:t>
      </w:r>
      <w:bookmarkEnd w:id="16"/>
    </w:p>
    <w:p w14:paraId="0BB96FBF" w14:textId="77777777" w:rsidR="00FA06CA" w:rsidRDefault="00FA06CA" w:rsidP="00FA06CA">
      <w:pPr>
        <w:pStyle w:val="Header"/>
      </w:pPr>
      <w:r>
        <w:t xml:space="preserve">  </w:t>
      </w:r>
    </w:p>
    <w:p w14:paraId="6400A8EF" w14:textId="77777777" w:rsidR="00FA06CA" w:rsidRDefault="00FA06CA" w:rsidP="00FA06CA">
      <w:pPr>
        <w:pStyle w:val="ActHead5"/>
      </w:pPr>
      <w:bookmarkStart w:id="17" w:name="_Toc177578497"/>
      <w:r w:rsidRPr="00C2746F">
        <w:rPr>
          <w:rStyle w:val="CharSectno"/>
        </w:rPr>
        <w:t>1</w:t>
      </w:r>
      <w:r>
        <w:t xml:space="preserve">  Name</w:t>
      </w:r>
      <w:bookmarkEnd w:id="17"/>
    </w:p>
    <w:p w14:paraId="085DBBA9" w14:textId="5681F7C0" w:rsidR="00FA06CA" w:rsidRPr="009A038B" w:rsidRDefault="00FA06CA" w:rsidP="00FA06CA">
      <w:pPr>
        <w:pStyle w:val="subsection"/>
      </w:pPr>
      <w:r w:rsidRPr="009A038B">
        <w:tab/>
      </w:r>
      <w:r w:rsidRPr="009A038B">
        <w:tab/>
      </w:r>
      <w:r>
        <w:t xml:space="preserve">This instrument is the </w:t>
      </w:r>
      <w:r w:rsidR="00667873">
        <w:rPr>
          <w:i/>
          <w:noProof/>
        </w:rPr>
        <w:t>Future Fund Investment Mandate Direction 2024</w:t>
      </w:r>
      <w:r w:rsidRPr="009A038B">
        <w:t>.</w:t>
      </w:r>
    </w:p>
    <w:p w14:paraId="0EF4E5EA" w14:textId="77777777" w:rsidR="00FA06CA" w:rsidRDefault="00FA06CA" w:rsidP="00FA06CA">
      <w:pPr>
        <w:pStyle w:val="ActHead5"/>
      </w:pPr>
      <w:bookmarkStart w:id="18" w:name="_Toc177578498"/>
      <w:r w:rsidRPr="009A038B">
        <w:rPr>
          <w:rStyle w:val="CharSectno"/>
        </w:rPr>
        <w:t>2</w:t>
      </w:r>
      <w:r w:rsidRPr="009A038B">
        <w:t xml:space="preserve">  Commencement</w:t>
      </w:r>
      <w:bookmarkEnd w:id="18"/>
    </w:p>
    <w:p w14:paraId="6424F93A" w14:textId="3E0E905C" w:rsidR="00FA06CA" w:rsidRDefault="00FA06CA" w:rsidP="00FA06CA">
      <w:pPr>
        <w:pStyle w:val="subsection"/>
      </w:pPr>
      <w:r>
        <w:tab/>
        <w:t>(1)</w:t>
      </w:r>
      <w:r>
        <w:tab/>
        <w:t xml:space="preserve">Each provision of </w:t>
      </w:r>
      <w:r w:rsidR="00667873">
        <w:t xml:space="preserve">this </w:t>
      </w:r>
      <w:r>
        <w:t>instrument specified in column 1 of the table commences, or is taken to have commenced, in accordance with column 2 of the table. Any other statement in column 2 has effect according to its terms.</w:t>
      </w:r>
    </w:p>
    <w:p w14:paraId="797A2140"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74CA913B" w14:textId="77777777" w:rsidTr="00667873">
        <w:trPr>
          <w:cantSplit/>
          <w:tblHeader/>
        </w:trPr>
        <w:tc>
          <w:tcPr>
            <w:tcW w:w="8364" w:type="dxa"/>
            <w:gridSpan w:val="3"/>
            <w:tcBorders>
              <w:top w:val="single" w:sz="12" w:space="0" w:color="auto"/>
              <w:left w:val="nil"/>
              <w:bottom w:val="single" w:sz="6" w:space="0" w:color="auto"/>
              <w:right w:val="nil"/>
            </w:tcBorders>
            <w:hideMark/>
          </w:tcPr>
          <w:p w14:paraId="5D5A85C4" w14:textId="77777777" w:rsidR="00FA06CA" w:rsidRPr="00416235" w:rsidRDefault="00FA06CA">
            <w:pPr>
              <w:pStyle w:val="TableHeading"/>
            </w:pPr>
            <w:r w:rsidRPr="00416235">
              <w:t>Commencement information</w:t>
            </w:r>
          </w:p>
        </w:tc>
      </w:tr>
      <w:tr w:rsidR="00FA06CA" w:rsidRPr="00416235" w14:paraId="1EF705E3" w14:textId="77777777" w:rsidTr="00667873">
        <w:trPr>
          <w:cantSplit/>
          <w:tblHeader/>
        </w:trPr>
        <w:tc>
          <w:tcPr>
            <w:tcW w:w="2127" w:type="dxa"/>
            <w:tcBorders>
              <w:top w:val="single" w:sz="6" w:space="0" w:color="auto"/>
              <w:left w:val="nil"/>
              <w:bottom w:val="single" w:sz="6" w:space="0" w:color="auto"/>
              <w:right w:val="nil"/>
            </w:tcBorders>
            <w:hideMark/>
          </w:tcPr>
          <w:p w14:paraId="1A328D41"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2061C42B"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61AF5905" w14:textId="77777777" w:rsidR="00FA06CA" w:rsidRPr="00416235" w:rsidRDefault="00FA06CA">
            <w:pPr>
              <w:pStyle w:val="TableHeading"/>
            </w:pPr>
            <w:r w:rsidRPr="00416235">
              <w:t>Column 3</w:t>
            </w:r>
          </w:p>
        </w:tc>
      </w:tr>
      <w:tr w:rsidR="00FA06CA" w14:paraId="31B78A3E" w14:textId="77777777" w:rsidTr="00667873">
        <w:trPr>
          <w:cantSplit/>
          <w:tblHeader/>
        </w:trPr>
        <w:tc>
          <w:tcPr>
            <w:tcW w:w="2127" w:type="dxa"/>
            <w:tcBorders>
              <w:top w:val="single" w:sz="6" w:space="0" w:color="auto"/>
              <w:left w:val="nil"/>
              <w:bottom w:val="single" w:sz="12" w:space="0" w:color="auto"/>
              <w:right w:val="nil"/>
            </w:tcBorders>
            <w:hideMark/>
          </w:tcPr>
          <w:p w14:paraId="05A98C9E"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548430E2"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6E5443BD" w14:textId="77777777" w:rsidR="00FA06CA" w:rsidRPr="00416235" w:rsidRDefault="00FA06CA">
            <w:pPr>
              <w:pStyle w:val="TableHeading"/>
            </w:pPr>
            <w:r w:rsidRPr="00416235">
              <w:t>Date/Details</w:t>
            </w:r>
          </w:p>
        </w:tc>
      </w:tr>
      <w:tr w:rsidR="00FA06CA" w14:paraId="4CDBA885" w14:textId="77777777" w:rsidTr="00667873">
        <w:trPr>
          <w:cantSplit/>
        </w:trPr>
        <w:tc>
          <w:tcPr>
            <w:tcW w:w="2127" w:type="dxa"/>
            <w:tcBorders>
              <w:top w:val="single" w:sz="2" w:space="0" w:color="auto"/>
              <w:left w:val="nil"/>
              <w:bottom w:val="single" w:sz="12" w:space="0" w:color="auto"/>
              <w:right w:val="nil"/>
            </w:tcBorders>
            <w:hideMark/>
          </w:tcPr>
          <w:p w14:paraId="5089F15C" w14:textId="25D1B8F0" w:rsidR="00FA06CA" w:rsidRDefault="00667873">
            <w:pPr>
              <w:pStyle w:val="Tabletext"/>
            </w:pPr>
            <w:r>
              <w:t>1</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484F6703" w14:textId="77777777" w:rsidR="00FA06CA" w:rsidRDefault="00667873">
            <w:pPr>
              <w:pStyle w:val="Tabletext"/>
            </w:pPr>
            <w:r>
              <w:t>The later of:</w:t>
            </w:r>
          </w:p>
          <w:p w14:paraId="1F430AAF" w14:textId="77777777" w:rsidR="00667873" w:rsidRDefault="00667873" w:rsidP="00667873">
            <w:pPr>
              <w:pStyle w:val="Tablea"/>
            </w:pPr>
            <w:r>
              <w:t>(a) the 15</w:t>
            </w:r>
            <w:r w:rsidRPr="00667873">
              <w:rPr>
                <w:vertAlign w:val="superscript"/>
              </w:rPr>
              <w:t>th</w:t>
            </w:r>
            <w:r>
              <w:t xml:space="preserve"> day after this instrument is made; and</w:t>
            </w:r>
          </w:p>
          <w:p w14:paraId="56FD23E6" w14:textId="319CD436" w:rsidR="00667873" w:rsidRPr="00667873" w:rsidRDefault="00667873" w:rsidP="00667873">
            <w:pPr>
              <w:pStyle w:val="Tablea"/>
            </w:pPr>
            <w:r>
              <w:t>(b) the day after this instrument is registered.</w:t>
            </w:r>
          </w:p>
        </w:tc>
        <w:tc>
          <w:tcPr>
            <w:tcW w:w="1843" w:type="dxa"/>
            <w:tcBorders>
              <w:top w:val="single" w:sz="2" w:space="0" w:color="auto"/>
              <w:left w:val="nil"/>
              <w:bottom w:val="single" w:sz="12" w:space="0" w:color="auto"/>
              <w:right w:val="nil"/>
            </w:tcBorders>
          </w:tcPr>
          <w:p w14:paraId="4857015A" w14:textId="77777777" w:rsidR="00FA06CA" w:rsidRDefault="00FA06CA">
            <w:pPr>
              <w:pStyle w:val="Tabletext"/>
            </w:pPr>
          </w:p>
        </w:tc>
      </w:tr>
    </w:tbl>
    <w:p w14:paraId="21DCD374"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2FA8DA84"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BD3B777" w14:textId="77777777" w:rsidR="00FA06CA" w:rsidRDefault="00FA06CA" w:rsidP="00FA06CA">
      <w:pPr>
        <w:pStyle w:val="ActHead5"/>
      </w:pPr>
      <w:bookmarkStart w:id="19" w:name="_Toc177578499"/>
      <w:r w:rsidRPr="00C2746F">
        <w:rPr>
          <w:rStyle w:val="CharSectno"/>
        </w:rPr>
        <w:t>3</w:t>
      </w:r>
      <w:r>
        <w:t xml:space="preserve">  Authority</w:t>
      </w:r>
      <w:bookmarkEnd w:id="19"/>
    </w:p>
    <w:p w14:paraId="0432554F" w14:textId="1C3BD2D0" w:rsidR="00FA06CA" w:rsidRDefault="00FA06CA" w:rsidP="00667873">
      <w:pPr>
        <w:pStyle w:val="subsection"/>
        <w:tabs>
          <w:tab w:val="left" w:pos="1440"/>
          <w:tab w:val="left" w:pos="2160"/>
          <w:tab w:val="left" w:pos="2880"/>
          <w:tab w:val="left" w:pos="3600"/>
          <w:tab w:val="left" w:pos="4320"/>
          <w:tab w:val="left" w:pos="5040"/>
          <w:tab w:val="left" w:pos="5760"/>
          <w:tab w:val="left" w:pos="6915"/>
        </w:tabs>
      </w:pPr>
      <w:r>
        <w:tab/>
      </w:r>
      <w:r>
        <w:tab/>
        <w:t>This instrument is made under the</w:t>
      </w:r>
      <w:r w:rsidRPr="00FD30C3">
        <w:t xml:space="preserve"> </w:t>
      </w:r>
      <w:r w:rsidR="00667873">
        <w:rPr>
          <w:i/>
        </w:rPr>
        <w:t>Future Fund Act 2006</w:t>
      </w:r>
      <w:r w:rsidRPr="003C6231">
        <w:t>.</w:t>
      </w:r>
    </w:p>
    <w:p w14:paraId="31AC0E97" w14:textId="5AA1895C" w:rsidR="00667873" w:rsidRPr="00667873" w:rsidRDefault="00667873" w:rsidP="00667873">
      <w:pPr>
        <w:pStyle w:val="notetext"/>
      </w:pPr>
      <w:r>
        <w:rPr>
          <w:color w:val="000000"/>
          <w:szCs w:val="18"/>
        </w:rPr>
        <w:t>Note:</w:t>
      </w:r>
      <w:r>
        <w:rPr>
          <w:color w:val="000000"/>
          <w:szCs w:val="18"/>
        </w:rPr>
        <w:tab/>
        <w:t xml:space="preserve">Section 18 of the Act provides </w:t>
      </w:r>
      <w:r w:rsidRPr="00667873">
        <w:rPr>
          <w:color w:val="000000"/>
          <w:szCs w:val="18"/>
        </w:rPr>
        <w:t xml:space="preserve">responsible Ministers may give the Board </w:t>
      </w:r>
      <w:r>
        <w:rPr>
          <w:color w:val="000000"/>
          <w:szCs w:val="18"/>
        </w:rPr>
        <w:t xml:space="preserve">written </w:t>
      </w:r>
      <w:r w:rsidRPr="00667873">
        <w:rPr>
          <w:color w:val="000000"/>
          <w:szCs w:val="18"/>
        </w:rPr>
        <w:t>directions about the performance of its Future Fund investment functions</w:t>
      </w:r>
      <w:r>
        <w:rPr>
          <w:color w:val="000000"/>
          <w:szCs w:val="18"/>
        </w:rPr>
        <w:t xml:space="preserve">, to be </w:t>
      </w:r>
      <w:r w:rsidRPr="00667873">
        <w:rPr>
          <w:color w:val="000000"/>
          <w:szCs w:val="18"/>
        </w:rPr>
        <w:t>known collectively as the Future Fund Investment Mandate</w:t>
      </w:r>
      <w:r>
        <w:rPr>
          <w:color w:val="000000"/>
          <w:szCs w:val="18"/>
        </w:rPr>
        <w:t>.</w:t>
      </w:r>
    </w:p>
    <w:p w14:paraId="2A83B2FF" w14:textId="601C5823" w:rsidR="00667873" w:rsidRDefault="00667873" w:rsidP="00667873">
      <w:pPr>
        <w:pStyle w:val="ActHead5"/>
      </w:pPr>
      <w:bookmarkStart w:id="20" w:name="_Toc177578500"/>
      <w:r w:rsidRPr="00667873">
        <w:rPr>
          <w:rStyle w:val="CharSectno"/>
        </w:rPr>
        <w:t>4</w:t>
      </w:r>
      <w:r>
        <w:t xml:space="preserve">  Schedules</w:t>
      </w:r>
      <w:bookmarkEnd w:id="20"/>
    </w:p>
    <w:p w14:paraId="6C8723D9" w14:textId="77777777" w:rsidR="00667873" w:rsidRPr="00667873" w:rsidRDefault="00667873" w:rsidP="00667873">
      <w:pPr>
        <w:pStyle w:val="subsection"/>
        <w:rPr>
          <w:rStyle w:val="CharSectno"/>
        </w:rPr>
      </w:pPr>
      <w:r w:rsidRPr="00667873">
        <w:rPr>
          <w:rStyle w:val="CharSectno"/>
        </w:rPr>
        <w:tab/>
      </w:r>
      <w:r w:rsidRPr="00667873">
        <w:rPr>
          <w:rStyle w:val="CharSectno"/>
        </w:rPr>
        <w:tab/>
        <w:t>Each instrument that is specified in a Schedule to this instrument is amended or repealed as set out in the applicable items in the Schedule concerned, and any other item in a Schedule to this instrument has effect according to its terms.</w:t>
      </w:r>
    </w:p>
    <w:p w14:paraId="580504B3" w14:textId="53EC65E9" w:rsidR="00667873" w:rsidRDefault="00667873" w:rsidP="00667873">
      <w:pPr>
        <w:pStyle w:val="ActHead5"/>
      </w:pPr>
      <w:bookmarkStart w:id="21" w:name="_Toc177578501"/>
      <w:r w:rsidRPr="00667873">
        <w:rPr>
          <w:rStyle w:val="CharSectno"/>
        </w:rPr>
        <w:t>5</w:t>
      </w:r>
      <w:r>
        <w:t xml:space="preserve">  Objects of this instrument</w:t>
      </w:r>
      <w:bookmarkEnd w:id="21"/>
    </w:p>
    <w:p w14:paraId="4F562FEB" w14:textId="6F4BD3AD" w:rsidR="00667873" w:rsidRPr="00667873" w:rsidRDefault="00667873" w:rsidP="00667873">
      <w:pPr>
        <w:pStyle w:val="subsection"/>
        <w:rPr>
          <w:rStyle w:val="CharSectno"/>
        </w:rPr>
      </w:pPr>
      <w:r w:rsidRPr="00667873">
        <w:rPr>
          <w:rStyle w:val="CharSectno"/>
        </w:rPr>
        <w:tab/>
      </w:r>
      <w:r w:rsidRPr="00667873">
        <w:rPr>
          <w:rStyle w:val="CharSectno"/>
        </w:rPr>
        <w:tab/>
      </w:r>
      <w:r>
        <w:rPr>
          <w:rStyle w:val="CharSectno"/>
        </w:rPr>
        <w:t>The objects of this instrument are to</w:t>
      </w:r>
      <w:r w:rsidRPr="00667873">
        <w:rPr>
          <w:rStyle w:val="CharSectno"/>
        </w:rPr>
        <w:t>:</w:t>
      </w:r>
    </w:p>
    <w:p w14:paraId="387934EB" w14:textId="6B71C012" w:rsidR="00667873" w:rsidRPr="00667873" w:rsidRDefault="00667873" w:rsidP="00667873">
      <w:pPr>
        <w:pStyle w:val="paragraph"/>
      </w:pPr>
      <w:r w:rsidRPr="00667873">
        <w:tab/>
        <w:t>(a)</w:t>
      </w:r>
      <w:r w:rsidRPr="00667873">
        <w:tab/>
        <w:t>giv</w:t>
      </w:r>
      <w:r>
        <w:t>e</w:t>
      </w:r>
      <w:r w:rsidRPr="00667873">
        <w:t xml:space="preserve"> guidance to the Board in relation to the investment strategy for the Fund; and</w:t>
      </w:r>
    </w:p>
    <w:p w14:paraId="1CF00074" w14:textId="781E98CD" w:rsidR="00667873" w:rsidRPr="00667873" w:rsidRDefault="00667873" w:rsidP="00667873">
      <w:pPr>
        <w:pStyle w:val="paragraph"/>
      </w:pPr>
      <w:r>
        <w:tab/>
      </w:r>
      <w:r w:rsidRPr="00667873">
        <w:t>(b)</w:t>
      </w:r>
      <w:r w:rsidRPr="00667873">
        <w:tab/>
        <w:t>set out the Government’s expectations about how the Fund will be invested and managed by the Board; and</w:t>
      </w:r>
    </w:p>
    <w:p w14:paraId="3E4E16E4" w14:textId="7C9B4ACD" w:rsidR="00667873" w:rsidRPr="00667873" w:rsidRDefault="00667873" w:rsidP="00667873">
      <w:pPr>
        <w:pStyle w:val="paragraph"/>
      </w:pPr>
      <w:r w:rsidRPr="00667873">
        <w:tab/>
        <w:t>(c)</w:t>
      </w:r>
      <w:r w:rsidRPr="00667873">
        <w:tab/>
        <w:t>set out the Government’s expectations in relation to the policies to be pursued by the Board in relation to matters of risk and return and the allocation of the financial assets of the Fund.</w:t>
      </w:r>
    </w:p>
    <w:p w14:paraId="72C3705C" w14:textId="2BFCDA0A" w:rsidR="00667873" w:rsidRDefault="00667873" w:rsidP="00667873">
      <w:pPr>
        <w:pStyle w:val="ActHead5"/>
      </w:pPr>
      <w:bookmarkStart w:id="22" w:name="_Toc177578502"/>
      <w:r w:rsidRPr="00667873">
        <w:rPr>
          <w:rStyle w:val="CharSectno"/>
        </w:rPr>
        <w:lastRenderedPageBreak/>
        <w:t>6</w:t>
      </w:r>
      <w:r>
        <w:t xml:space="preserve">  Definitions</w:t>
      </w:r>
      <w:bookmarkEnd w:id="22"/>
    </w:p>
    <w:p w14:paraId="7FE26B21" w14:textId="77777777" w:rsidR="00667873" w:rsidRDefault="00667873" w:rsidP="00667873">
      <w:pPr>
        <w:pStyle w:val="notemargin"/>
      </w:pPr>
      <w:r w:rsidRPr="00667873">
        <w:t>Note:</w:t>
      </w:r>
      <w:r w:rsidRPr="00667873">
        <w:tab/>
        <w:t xml:space="preserve">Expressions have the same meaning in this instrument as in the </w:t>
      </w:r>
      <w:r w:rsidRPr="00667873">
        <w:rPr>
          <w:i/>
          <w:iCs/>
        </w:rPr>
        <w:t>Future Fund Act 2006</w:t>
      </w:r>
      <w:r w:rsidRPr="00667873">
        <w:t xml:space="preserve"> as in force from time to time—see paragraph 13(1)(b) of the </w:t>
      </w:r>
      <w:r w:rsidRPr="00667873">
        <w:rPr>
          <w:i/>
          <w:iCs/>
        </w:rPr>
        <w:t>Legislation Act 2003</w:t>
      </w:r>
      <w:r w:rsidRPr="00667873">
        <w:t>.</w:t>
      </w:r>
    </w:p>
    <w:p w14:paraId="348EA788" w14:textId="13F9F628" w:rsidR="00667873" w:rsidRDefault="00667873" w:rsidP="00667873">
      <w:pPr>
        <w:pStyle w:val="subsection"/>
      </w:pPr>
      <w:r>
        <w:tab/>
      </w:r>
      <w:r>
        <w:tab/>
        <w:t>In this instrument:</w:t>
      </w:r>
    </w:p>
    <w:p w14:paraId="0FCA1E63" w14:textId="010F0F88" w:rsidR="00667873" w:rsidRPr="00667873" w:rsidRDefault="00667873" w:rsidP="00667873">
      <w:pPr>
        <w:pStyle w:val="Definition"/>
      </w:pPr>
      <w:r>
        <w:rPr>
          <w:b/>
          <w:bCs/>
          <w:i/>
          <w:iCs/>
        </w:rPr>
        <w:t>CPI</w:t>
      </w:r>
      <w:r>
        <w:t xml:space="preserve"> means the </w:t>
      </w:r>
      <w:r w:rsidRPr="00667873">
        <w:t>All Groups Consumer Price Index</w:t>
      </w:r>
      <w:r>
        <w:t xml:space="preserve"> as published by the Australian Statistician.</w:t>
      </w:r>
    </w:p>
    <w:p w14:paraId="1FDD2C82" w14:textId="48C88337" w:rsidR="00667873" w:rsidRDefault="00667873" w:rsidP="00667873">
      <w:pPr>
        <w:pStyle w:val="Definition"/>
        <w:rPr>
          <w:szCs w:val="22"/>
        </w:rPr>
      </w:pPr>
      <w:r w:rsidRPr="00667873">
        <w:rPr>
          <w:b/>
          <w:bCs/>
          <w:i/>
          <w:iCs/>
        </w:rPr>
        <w:t>economic resilience and security infrastructure</w:t>
      </w:r>
      <w:r>
        <w:t xml:space="preserve"> means infrastructure </w:t>
      </w:r>
      <w:r>
        <w:rPr>
          <w:szCs w:val="22"/>
        </w:rPr>
        <w:t>for sectors of a national economy where having some level of domestic capability is necessary for, or an efficient way to improve, the resilience and security of the economy of the nation.</w:t>
      </w:r>
    </w:p>
    <w:p w14:paraId="665200AC" w14:textId="1CB09A35" w:rsidR="00667873" w:rsidRPr="00667873" w:rsidRDefault="00667873" w:rsidP="00667873">
      <w:pPr>
        <w:pStyle w:val="notetext"/>
        <w:rPr>
          <w:rStyle w:val="CharSectno"/>
        </w:rPr>
      </w:pPr>
      <w:r w:rsidRPr="00667873">
        <w:rPr>
          <w:rStyle w:val="CharSectno"/>
        </w:rPr>
        <w:t>Example:</w:t>
      </w:r>
      <w:r w:rsidRPr="00667873">
        <w:rPr>
          <w:rStyle w:val="CharSectno"/>
        </w:rPr>
        <w:tab/>
      </w:r>
      <w:r>
        <w:t>E</w:t>
      </w:r>
      <w:r w:rsidRPr="00667873">
        <w:t>conomic resilience and security</w:t>
      </w:r>
      <w:r>
        <w:t xml:space="preserve"> infrastructure</w:t>
      </w:r>
      <w:r w:rsidRPr="00667873">
        <w:rPr>
          <w:rStyle w:val="CharSectno"/>
        </w:rPr>
        <w:t xml:space="preserve"> </w:t>
      </w:r>
      <w:r>
        <w:rPr>
          <w:rStyle w:val="CharSectno"/>
        </w:rPr>
        <w:t xml:space="preserve">includes infrastructure </w:t>
      </w:r>
      <w:r w:rsidRPr="00667873">
        <w:rPr>
          <w:rStyle w:val="CharSectno"/>
        </w:rPr>
        <w:t>that supports domestic supply chains that are highly concentrated, vulnerable to disruption, or require diversification, to ensure these supply chains continue to operate effectively in the event of an external shock.</w:t>
      </w:r>
    </w:p>
    <w:p w14:paraId="61FF16FA" w14:textId="355EA0B2" w:rsidR="00074C41" w:rsidRPr="00AB3D7B" w:rsidRDefault="00074C41" w:rsidP="00667873">
      <w:pPr>
        <w:pStyle w:val="Definition"/>
      </w:pPr>
      <w:r>
        <w:rPr>
          <w:b/>
          <w:bCs/>
          <w:i/>
          <w:iCs/>
        </w:rPr>
        <w:t>energy transition</w:t>
      </w:r>
      <w:r w:rsidRPr="006853A0">
        <w:t xml:space="preserve"> </w:t>
      </w:r>
      <w:r>
        <w:t>means:</w:t>
      </w:r>
    </w:p>
    <w:p w14:paraId="0FAAD5CB" w14:textId="209230F5" w:rsidR="001F5343" w:rsidRDefault="006412B7" w:rsidP="00AB3D7B">
      <w:pPr>
        <w:pStyle w:val="paragraph"/>
      </w:pPr>
      <w:r>
        <w:tab/>
      </w:r>
      <w:r w:rsidR="001F5343">
        <w:t>(</w:t>
      </w:r>
      <w:r w:rsidR="00BD1F92">
        <w:t>a</w:t>
      </w:r>
      <w:r w:rsidR="001F5343">
        <w:t>)</w:t>
      </w:r>
      <w:r w:rsidR="001F5343">
        <w:tab/>
        <w:t>increasing the overall use of renewable and low emission energy sources;</w:t>
      </w:r>
      <w:r w:rsidR="00FC37E6">
        <w:t xml:space="preserve"> and</w:t>
      </w:r>
    </w:p>
    <w:p w14:paraId="0DCE858F" w14:textId="22EEB996" w:rsidR="00B11843" w:rsidRDefault="00C93522" w:rsidP="002E7A4F">
      <w:pPr>
        <w:pStyle w:val="paragraph"/>
      </w:pPr>
      <w:r>
        <w:rPr>
          <w:color w:val="000000"/>
        </w:rPr>
        <w:tab/>
      </w:r>
      <w:r w:rsidR="00B11843" w:rsidRPr="00C93522">
        <w:rPr>
          <w:color w:val="000000"/>
        </w:rPr>
        <w:t>(b)</w:t>
      </w:r>
      <w:r w:rsidR="00B11843" w:rsidRPr="00C93522">
        <w:rPr>
          <w:color w:val="000000"/>
        </w:rPr>
        <w:tab/>
      </w:r>
      <w:r w:rsidR="00B11843" w:rsidRPr="002E7A4F">
        <w:rPr>
          <w:color w:val="000000"/>
        </w:rPr>
        <w:t xml:space="preserve">increasing the capacity </w:t>
      </w:r>
      <w:r w:rsidR="00B11843" w:rsidRPr="002E7A4F">
        <w:t>and</w:t>
      </w:r>
      <w:r w:rsidR="00B11843" w:rsidRPr="00C93522">
        <w:rPr>
          <w:color w:val="000000"/>
        </w:rPr>
        <w:t xml:space="preserve"> efficiency of Australia’s energy infrastructure;</w:t>
      </w:r>
      <w:r w:rsidR="00FC37E6">
        <w:rPr>
          <w:color w:val="000000"/>
        </w:rPr>
        <w:t xml:space="preserve"> and</w:t>
      </w:r>
    </w:p>
    <w:p w14:paraId="382BF756" w14:textId="14236D9F" w:rsidR="001F5343" w:rsidRPr="00667873" w:rsidRDefault="001F5343" w:rsidP="00AB3D7B">
      <w:pPr>
        <w:pStyle w:val="paragraph"/>
      </w:pPr>
      <w:r>
        <w:tab/>
        <w:t>(</w:t>
      </w:r>
      <w:r w:rsidR="00BD1F92">
        <w:t>c</w:t>
      </w:r>
      <w:r>
        <w:t>)</w:t>
      </w:r>
      <w:r>
        <w:tab/>
        <w:t xml:space="preserve">decreasing Australia’s </w:t>
      </w:r>
      <w:r w:rsidR="00C93522">
        <w:t xml:space="preserve">overall </w:t>
      </w:r>
      <w:r>
        <w:t>reliance on high emission energy sources</w:t>
      </w:r>
      <w:r w:rsidR="007538C3">
        <w:t>, including by developing and improving technology</w:t>
      </w:r>
      <w:r w:rsidR="00AE1F3B">
        <w:t xml:space="preserve"> to achieve that objective</w:t>
      </w:r>
      <w:r w:rsidR="00CA1414">
        <w:t>.</w:t>
      </w:r>
    </w:p>
    <w:p w14:paraId="3D530475" w14:textId="3CE813A1" w:rsidR="00C4145A" w:rsidRPr="000E0358" w:rsidRDefault="001F5343" w:rsidP="001579FB">
      <w:pPr>
        <w:pStyle w:val="notetext"/>
      </w:pPr>
      <w:r>
        <w:t>Note:</w:t>
      </w:r>
      <w:r>
        <w:tab/>
      </w:r>
      <w:r w:rsidR="00C4145A">
        <w:t xml:space="preserve">The energy transition to net zero carbon emissions by 2050 may require the use of medium emission </w:t>
      </w:r>
      <w:r w:rsidR="001579FB">
        <w:t>energy sources to decrease Austral</w:t>
      </w:r>
      <w:r w:rsidR="402FA64B">
        <w:t>i</w:t>
      </w:r>
      <w:r w:rsidR="001579FB">
        <w:t>a’s overall carbon emissions during the transition period.</w:t>
      </w:r>
    </w:p>
    <w:p w14:paraId="01B751A3" w14:textId="771B00EA" w:rsidR="00667873" w:rsidRPr="00667873" w:rsidRDefault="00667873" w:rsidP="00667873">
      <w:pPr>
        <w:pStyle w:val="Definition"/>
      </w:pPr>
      <w:r w:rsidRPr="00667873">
        <w:rPr>
          <w:b/>
          <w:bCs/>
          <w:i/>
          <w:iCs/>
        </w:rPr>
        <w:t>infrastructure</w:t>
      </w:r>
      <w:r w:rsidRPr="00667873">
        <w:t xml:space="preserve"> includes:</w:t>
      </w:r>
    </w:p>
    <w:p w14:paraId="70C3910F" w14:textId="77777777" w:rsidR="00667873" w:rsidRPr="00667873" w:rsidRDefault="00667873" w:rsidP="00667873">
      <w:pPr>
        <w:pStyle w:val="paragraph"/>
      </w:pPr>
      <w:r w:rsidRPr="00667873">
        <w:tab/>
        <w:t>(a)</w:t>
      </w:r>
      <w:r w:rsidRPr="00667873">
        <w:tab/>
        <w:t>transport infrastructure; and</w:t>
      </w:r>
    </w:p>
    <w:p w14:paraId="19A0EB28" w14:textId="77777777" w:rsidR="00667873" w:rsidRPr="00667873" w:rsidRDefault="00667873" w:rsidP="00667873">
      <w:pPr>
        <w:pStyle w:val="paragraph"/>
      </w:pPr>
      <w:r w:rsidRPr="00667873">
        <w:tab/>
        <w:t>(b)</w:t>
      </w:r>
      <w:r w:rsidRPr="00667873">
        <w:tab/>
        <w:t>energy infrastructure; and</w:t>
      </w:r>
    </w:p>
    <w:p w14:paraId="4D6A2DEE" w14:textId="77777777" w:rsidR="00667873" w:rsidRPr="00667873" w:rsidRDefault="00667873" w:rsidP="00667873">
      <w:pPr>
        <w:pStyle w:val="paragraph"/>
      </w:pPr>
      <w:r w:rsidRPr="00667873">
        <w:tab/>
        <w:t>(c)</w:t>
      </w:r>
      <w:r w:rsidRPr="00667873">
        <w:tab/>
        <w:t>communication infrastructure; and</w:t>
      </w:r>
    </w:p>
    <w:p w14:paraId="7D70D97A" w14:textId="12CBD306" w:rsidR="00667873" w:rsidRDefault="00667873" w:rsidP="00667873">
      <w:pPr>
        <w:pStyle w:val="paragraph"/>
      </w:pPr>
      <w:r w:rsidRPr="00667873">
        <w:tab/>
        <w:t>(d)</w:t>
      </w:r>
      <w:r w:rsidRPr="00667873">
        <w:tab/>
        <w:t>water infrastructure</w:t>
      </w:r>
      <w:r>
        <w:t>; and</w:t>
      </w:r>
    </w:p>
    <w:p w14:paraId="209006F0" w14:textId="255FF7AC" w:rsidR="00667873" w:rsidRPr="00667873" w:rsidRDefault="00667873" w:rsidP="00667873">
      <w:pPr>
        <w:pStyle w:val="paragraph"/>
      </w:pPr>
      <w:r>
        <w:tab/>
        <w:t>(e)</w:t>
      </w:r>
      <w:r>
        <w:tab/>
      </w:r>
      <w:r w:rsidRPr="00667873">
        <w:t>economic resilience and security</w:t>
      </w:r>
      <w:r>
        <w:t xml:space="preserve"> infrastructure.</w:t>
      </w:r>
    </w:p>
    <w:p w14:paraId="47A78297" w14:textId="3D845AB0" w:rsidR="008F2637" w:rsidRDefault="008F2637" w:rsidP="008F2637">
      <w:pPr>
        <w:pStyle w:val="Definition"/>
      </w:pPr>
      <w:r w:rsidRPr="00667873">
        <w:rPr>
          <w:b/>
          <w:bCs/>
          <w:i/>
          <w:iCs/>
        </w:rPr>
        <w:t>net zero transformation</w:t>
      </w:r>
      <w:r w:rsidRPr="00667873">
        <w:t xml:space="preserve"> means reducing Australia’s net greenhouse gas emissions to zero by </w:t>
      </w:r>
      <w:r>
        <w:t xml:space="preserve">the year </w:t>
      </w:r>
      <w:r w:rsidRPr="00667873">
        <w:t>2050</w:t>
      </w:r>
      <w:r w:rsidR="00733990">
        <w:t>.</w:t>
      </w:r>
    </w:p>
    <w:p w14:paraId="6D540B3D" w14:textId="02D7F7FC" w:rsidR="00667873" w:rsidRPr="00667873" w:rsidRDefault="00667873" w:rsidP="00B119A2">
      <w:pPr>
        <w:pStyle w:val="Definition"/>
      </w:pPr>
      <w:r w:rsidRPr="00667873">
        <w:rPr>
          <w:b/>
          <w:bCs/>
          <w:i/>
          <w:iCs/>
        </w:rPr>
        <w:t xml:space="preserve">residential </w:t>
      </w:r>
      <w:r w:rsidR="001353D8">
        <w:rPr>
          <w:b/>
          <w:bCs/>
          <w:i/>
          <w:iCs/>
        </w:rPr>
        <w:t>housing</w:t>
      </w:r>
      <w:r w:rsidR="004A325C" w:rsidRPr="00B119A2">
        <w:rPr>
          <w:b/>
          <w:bCs/>
          <w:i/>
          <w:iCs/>
        </w:rPr>
        <w:t xml:space="preserve"> </w:t>
      </w:r>
      <w:r w:rsidR="004A325C" w:rsidRPr="00B119A2">
        <w:t>mean</w:t>
      </w:r>
      <w:r w:rsidR="003B432D">
        <w:t>s</w:t>
      </w:r>
      <w:r w:rsidR="004A325C" w:rsidRPr="00B119A2">
        <w:t xml:space="preserve"> </w:t>
      </w:r>
      <w:r w:rsidR="00AD7325">
        <w:t>residential premises</w:t>
      </w:r>
      <w:r w:rsidR="00C775E3" w:rsidRPr="00B119A2">
        <w:t xml:space="preserve"> </w:t>
      </w:r>
      <w:r w:rsidR="003B432D">
        <w:t xml:space="preserve">(within the meaning of </w:t>
      </w:r>
      <w:r w:rsidR="00C775E3" w:rsidRPr="00B119A2">
        <w:t xml:space="preserve">the </w:t>
      </w:r>
      <w:r w:rsidR="00AE7C07" w:rsidRPr="00C15A22">
        <w:rPr>
          <w:i/>
          <w:iCs/>
        </w:rPr>
        <w:t>A New Tax System (Goods and Services Tax) Act 1999</w:t>
      </w:r>
      <w:r w:rsidR="00D1681E">
        <w:t>.</w:t>
      </w:r>
    </w:p>
    <w:p w14:paraId="4C400EFB" w14:textId="77777777" w:rsidR="00667873" w:rsidRPr="00667873" w:rsidRDefault="00667873" w:rsidP="00667873">
      <w:pPr>
        <w:pStyle w:val="Definition"/>
        <w:rPr>
          <w:rStyle w:val="CharSectno"/>
        </w:rPr>
      </w:pPr>
      <w:r w:rsidRPr="00667873">
        <w:rPr>
          <w:b/>
          <w:bCs/>
          <w:i/>
          <w:iCs/>
        </w:rPr>
        <w:t>the Act</w:t>
      </w:r>
      <w:r w:rsidRPr="00667873">
        <w:t xml:space="preserve"> means the </w:t>
      </w:r>
      <w:r w:rsidRPr="00667873">
        <w:rPr>
          <w:i/>
          <w:iCs/>
        </w:rPr>
        <w:t>Future Fund</w:t>
      </w:r>
      <w:r w:rsidRPr="00667873">
        <w:rPr>
          <w:rStyle w:val="CharSectno"/>
          <w:i/>
          <w:iCs/>
        </w:rPr>
        <w:t xml:space="preserve"> Act 2006</w:t>
      </w:r>
      <w:r w:rsidRPr="00667873">
        <w:rPr>
          <w:rStyle w:val="CharSectno"/>
        </w:rPr>
        <w:t>.</w:t>
      </w:r>
    </w:p>
    <w:p w14:paraId="007D35B8" w14:textId="73098DEA" w:rsidR="00667873" w:rsidRPr="00667873" w:rsidRDefault="00667873" w:rsidP="00667873">
      <w:pPr>
        <w:pStyle w:val="ActHead2"/>
        <w:pageBreakBefore/>
        <w:rPr>
          <w:lang w:eastAsia="en-US"/>
        </w:rPr>
      </w:pPr>
      <w:bookmarkStart w:id="23" w:name="_Toc177578503"/>
      <w:r w:rsidRPr="00667873">
        <w:rPr>
          <w:rStyle w:val="CharPartNo"/>
        </w:rPr>
        <w:lastRenderedPageBreak/>
        <w:t>Part 2</w:t>
      </w:r>
      <w:r>
        <w:t>—</w:t>
      </w:r>
      <w:r w:rsidRPr="00667873">
        <w:rPr>
          <w:rStyle w:val="CharPartText"/>
        </w:rPr>
        <w:t>Directions</w:t>
      </w:r>
      <w:bookmarkEnd w:id="23"/>
    </w:p>
    <w:p w14:paraId="04498060" w14:textId="386C37F1" w:rsidR="00667873" w:rsidRDefault="00667873" w:rsidP="00667873">
      <w:pPr>
        <w:pStyle w:val="ActHead5"/>
      </w:pPr>
      <w:bookmarkStart w:id="24" w:name="_Toc177578504"/>
      <w:r w:rsidRPr="00667873">
        <w:rPr>
          <w:rStyle w:val="CharSectno"/>
        </w:rPr>
        <w:t>7</w:t>
      </w:r>
      <w:r>
        <w:t xml:space="preserve">  Investments in financial assets only</w:t>
      </w:r>
      <w:bookmarkEnd w:id="24"/>
    </w:p>
    <w:p w14:paraId="79731475" w14:textId="2EDFC140" w:rsidR="00667873" w:rsidRPr="00667873" w:rsidRDefault="00667873" w:rsidP="00667873">
      <w:pPr>
        <w:pStyle w:val="subsection"/>
        <w:rPr>
          <w:rStyle w:val="CharSectno"/>
        </w:rPr>
      </w:pPr>
      <w:r w:rsidRPr="00667873">
        <w:rPr>
          <w:rStyle w:val="CharSectno"/>
        </w:rPr>
        <w:tab/>
      </w:r>
      <w:r w:rsidRPr="00667873">
        <w:rPr>
          <w:rStyle w:val="CharSectno"/>
        </w:rPr>
        <w:tab/>
        <w:t xml:space="preserve">Investments by the Fund must be </w:t>
      </w:r>
      <w:r>
        <w:rPr>
          <w:rStyle w:val="CharSectno"/>
        </w:rPr>
        <w:t>in</w:t>
      </w:r>
      <w:r w:rsidRPr="00667873">
        <w:rPr>
          <w:rStyle w:val="CharSectno"/>
        </w:rPr>
        <w:t xml:space="preserve"> financial assets only.</w:t>
      </w:r>
    </w:p>
    <w:p w14:paraId="399E0F77" w14:textId="5889FFB9" w:rsidR="00667873" w:rsidRDefault="00667873" w:rsidP="00667873">
      <w:pPr>
        <w:pStyle w:val="ActHead5"/>
      </w:pPr>
      <w:bookmarkStart w:id="25" w:name="_Toc177578505"/>
      <w:r>
        <w:rPr>
          <w:rStyle w:val="CharSectno"/>
        </w:rPr>
        <w:t>8</w:t>
      </w:r>
      <w:r>
        <w:t xml:space="preserve">  Maximise return</w:t>
      </w:r>
      <w:bookmarkEnd w:id="25"/>
    </w:p>
    <w:p w14:paraId="3D8F8821" w14:textId="77777777" w:rsidR="00667873" w:rsidRDefault="00667873" w:rsidP="00667873">
      <w:pPr>
        <w:pStyle w:val="subsection"/>
      </w:pPr>
      <w:r>
        <w:tab/>
        <w:t>(1)</w:t>
      </w:r>
      <w:r>
        <w:tab/>
      </w:r>
      <w:r w:rsidRPr="00667873">
        <w:t>In performing its Future Fund investment functions, the Board must seek to maximise the return earned on the Fund over the long term, consistent with international best practice for institutional investment</w:t>
      </w:r>
      <w:r>
        <w:t>.</w:t>
      </w:r>
    </w:p>
    <w:p w14:paraId="4556CA4D" w14:textId="77777777" w:rsidR="00667873" w:rsidRPr="00667873" w:rsidRDefault="00667873" w:rsidP="00667873">
      <w:pPr>
        <w:pStyle w:val="subsection"/>
        <w:rPr>
          <w:rStyle w:val="CharSectno"/>
        </w:rPr>
      </w:pPr>
      <w:r w:rsidRPr="00667873">
        <w:rPr>
          <w:rStyle w:val="CharSectno"/>
        </w:rPr>
        <w:tab/>
        <w:t>(2)</w:t>
      </w:r>
      <w:r w:rsidRPr="00667873">
        <w:rPr>
          <w:rStyle w:val="CharSectno"/>
        </w:rPr>
        <w:tab/>
        <w:t xml:space="preserve">However, subsection (1) does </w:t>
      </w:r>
      <w:r w:rsidRPr="00667873">
        <w:rPr>
          <w:rStyle w:val="CharSectno"/>
          <w:i/>
          <w:iCs/>
        </w:rPr>
        <w:t>not</w:t>
      </w:r>
      <w:r w:rsidRPr="00667873">
        <w:rPr>
          <w:rStyle w:val="CharSectno"/>
        </w:rPr>
        <w:t xml:space="preserve"> apply to the extent that the Board would be required to act in a way that is inconsistent with any of the following:</w:t>
      </w:r>
    </w:p>
    <w:p w14:paraId="2D9BC3DD" w14:textId="77777777" w:rsidR="00667873" w:rsidRPr="00667873" w:rsidRDefault="00667873" w:rsidP="00667873">
      <w:pPr>
        <w:pStyle w:val="paragraph"/>
      </w:pPr>
      <w:r w:rsidRPr="00667873">
        <w:tab/>
        <w:t>(a)</w:t>
      </w:r>
      <w:r w:rsidRPr="00667873">
        <w:tab/>
        <w:t>the Act;</w:t>
      </w:r>
    </w:p>
    <w:p w14:paraId="1936AC08" w14:textId="5C00472D" w:rsidR="00667873" w:rsidRPr="00667873" w:rsidRDefault="00667873" w:rsidP="00667873">
      <w:pPr>
        <w:pStyle w:val="paragraph"/>
      </w:pPr>
      <w:r w:rsidRPr="00667873">
        <w:tab/>
        <w:t>(b)</w:t>
      </w:r>
      <w:r w:rsidRPr="00667873">
        <w:tab/>
        <w:t>any other provision of this instrument</w:t>
      </w:r>
      <w:r w:rsidR="00146C07">
        <w:t xml:space="preserve"> (other than section 9).</w:t>
      </w:r>
    </w:p>
    <w:p w14:paraId="763E818B" w14:textId="12823B5F" w:rsidR="00667873" w:rsidRDefault="00667873" w:rsidP="00667873">
      <w:pPr>
        <w:pStyle w:val="ActHead5"/>
      </w:pPr>
      <w:bookmarkStart w:id="26" w:name="_Toc177578506"/>
      <w:r>
        <w:rPr>
          <w:rStyle w:val="CharSectno"/>
        </w:rPr>
        <w:t>9</w:t>
      </w:r>
      <w:r>
        <w:t xml:space="preserve">  National priorities</w:t>
      </w:r>
      <w:bookmarkEnd w:id="26"/>
    </w:p>
    <w:p w14:paraId="387D254C" w14:textId="5B3084DB" w:rsidR="00667873" w:rsidRDefault="00B2235C" w:rsidP="00B2235C">
      <w:pPr>
        <w:pStyle w:val="subsection"/>
        <w:rPr>
          <w:rStyle w:val="CharSectno"/>
        </w:rPr>
      </w:pPr>
      <w:r>
        <w:rPr>
          <w:rStyle w:val="CharSectno"/>
        </w:rPr>
        <w:tab/>
        <w:t>(1)</w:t>
      </w:r>
      <w:r>
        <w:rPr>
          <w:rStyle w:val="CharSectno"/>
        </w:rPr>
        <w:tab/>
      </w:r>
      <w:r w:rsidR="00667873" w:rsidRPr="00667873">
        <w:rPr>
          <w:rStyle w:val="CharSectno"/>
        </w:rPr>
        <w:t>In performing its Future Fund investment functions, the Board is to have regard to each of the following national priorities:</w:t>
      </w:r>
    </w:p>
    <w:p w14:paraId="5FA81520" w14:textId="6A067212" w:rsidR="00FF54FC" w:rsidRDefault="00FF54FC" w:rsidP="00FF54FC">
      <w:pPr>
        <w:pStyle w:val="paragraph"/>
        <w:rPr>
          <w:rStyle w:val="CharSectno"/>
        </w:rPr>
      </w:pPr>
      <w:r>
        <w:rPr>
          <w:rStyle w:val="CharSectno"/>
        </w:rPr>
        <w:tab/>
      </w:r>
      <w:r w:rsidRPr="53E04B4E">
        <w:rPr>
          <w:rStyle w:val="CharSectno"/>
        </w:rPr>
        <w:t>(a)</w:t>
      </w:r>
      <w:r>
        <w:tab/>
      </w:r>
      <w:r w:rsidRPr="53E04B4E">
        <w:rPr>
          <w:rStyle w:val="CharSectno"/>
        </w:rPr>
        <w:t xml:space="preserve">supporting </w:t>
      </w:r>
      <w:r w:rsidR="009F01CF">
        <w:rPr>
          <w:rStyle w:val="CharSectno"/>
        </w:rPr>
        <w:t xml:space="preserve">an </w:t>
      </w:r>
      <w:r w:rsidRPr="53E04B4E">
        <w:rPr>
          <w:rStyle w:val="CharSectno"/>
        </w:rPr>
        <w:t xml:space="preserve">energy </w:t>
      </w:r>
      <w:r>
        <w:t>transition</w:t>
      </w:r>
      <w:r w:rsidRPr="53E04B4E">
        <w:rPr>
          <w:rStyle w:val="CharSectno"/>
        </w:rPr>
        <w:t xml:space="preserve"> as part of the net zero transformation of the Australian economy;</w:t>
      </w:r>
    </w:p>
    <w:p w14:paraId="652E67B7" w14:textId="010A886E" w:rsidR="00667873" w:rsidRPr="00667873" w:rsidRDefault="00667873" w:rsidP="00667873">
      <w:pPr>
        <w:pStyle w:val="paragraph"/>
      </w:pPr>
      <w:r w:rsidRPr="00667873">
        <w:tab/>
        <w:t>(b)</w:t>
      </w:r>
      <w:r w:rsidRPr="00667873">
        <w:tab/>
      </w:r>
      <w:r w:rsidR="00C554EF">
        <w:t>increasing</w:t>
      </w:r>
      <w:r w:rsidR="00C554EF" w:rsidRPr="00667873">
        <w:t xml:space="preserve"> </w:t>
      </w:r>
      <w:r w:rsidRPr="00667873">
        <w:t xml:space="preserve">the supply of residential </w:t>
      </w:r>
      <w:r w:rsidR="009860D8">
        <w:t>housing</w:t>
      </w:r>
      <w:r w:rsidR="004A325C" w:rsidRPr="00667873">
        <w:t xml:space="preserve"> </w:t>
      </w:r>
      <w:r w:rsidRPr="00667873">
        <w:t>in Australia;</w:t>
      </w:r>
    </w:p>
    <w:p w14:paraId="404DC5C6" w14:textId="77777777" w:rsidR="00667873" w:rsidRPr="00667873" w:rsidRDefault="00667873" w:rsidP="00667873">
      <w:pPr>
        <w:pStyle w:val="paragraph"/>
      </w:pPr>
      <w:r w:rsidRPr="00667873">
        <w:tab/>
        <w:t>(c)</w:t>
      </w:r>
      <w:r w:rsidRPr="00667873">
        <w:tab/>
        <w:t>delivering improved infrastructure located in Australia.</w:t>
      </w:r>
    </w:p>
    <w:p w14:paraId="2E033C69" w14:textId="225EE1EE" w:rsidR="00667873" w:rsidRPr="00667873" w:rsidRDefault="00667873" w:rsidP="00801659">
      <w:pPr>
        <w:pStyle w:val="subsection"/>
        <w:rPr>
          <w:rStyle w:val="CharSectno"/>
        </w:rPr>
      </w:pPr>
      <w:r w:rsidRPr="00667873">
        <w:rPr>
          <w:rStyle w:val="CharSectno"/>
        </w:rPr>
        <w:tab/>
        <w:t>(2)</w:t>
      </w:r>
      <w:r w:rsidRPr="00667873">
        <w:rPr>
          <w:rStyle w:val="CharSectno"/>
        </w:rPr>
        <w:tab/>
        <w:t xml:space="preserve">However, subsection (1) does </w:t>
      </w:r>
      <w:r w:rsidRPr="00667873">
        <w:rPr>
          <w:rStyle w:val="CharSectno"/>
          <w:i/>
          <w:iCs/>
        </w:rPr>
        <w:t>not</w:t>
      </w:r>
      <w:r w:rsidRPr="00667873">
        <w:rPr>
          <w:rStyle w:val="CharSectno"/>
        </w:rPr>
        <w:t xml:space="preserve"> apply to the extent that the Board would be required to act in a way that is inconsistent wi</w:t>
      </w:r>
      <w:r w:rsidR="00D87394">
        <w:rPr>
          <w:rStyle w:val="CharSectno"/>
        </w:rPr>
        <w:t>th</w:t>
      </w:r>
      <w:r w:rsidRPr="00667873">
        <w:rPr>
          <w:rStyle w:val="CharSectno"/>
        </w:rPr>
        <w:t xml:space="preserve"> any of the following:</w:t>
      </w:r>
    </w:p>
    <w:p w14:paraId="4D31498F" w14:textId="6EA13FF1" w:rsidR="00667873" w:rsidRPr="00D87394" w:rsidRDefault="00667873" w:rsidP="00D87394">
      <w:pPr>
        <w:pStyle w:val="paragraph"/>
        <w:rPr>
          <w:rStyle w:val="CharSectno"/>
        </w:rPr>
      </w:pPr>
      <w:r w:rsidRPr="00667873">
        <w:tab/>
        <w:t>(</w:t>
      </w:r>
      <w:r w:rsidRPr="00D87394">
        <w:rPr>
          <w:rStyle w:val="CharSectno"/>
        </w:rPr>
        <w:t>a)</w:t>
      </w:r>
      <w:r w:rsidRPr="00D87394">
        <w:rPr>
          <w:rStyle w:val="CharSectno"/>
        </w:rPr>
        <w:tab/>
        <w:t>the Act;</w:t>
      </w:r>
    </w:p>
    <w:p w14:paraId="76DFD361" w14:textId="4822FA10" w:rsidR="00667873" w:rsidRPr="00D87394" w:rsidRDefault="00667873" w:rsidP="00D87394">
      <w:pPr>
        <w:pStyle w:val="paragraph"/>
        <w:rPr>
          <w:rStyle w:val="CharSectno"/>
        </w:rPr>
      </w:pPr>
      <w:r w:rsidRPr="00D87394">
        <w:rPr>
          <w:rStyle w:val="CharSectno"/>
        </w:rPr>
        <w:tab/>
        <w:t>(b)</w:t>
      </w:r>
      <w:r w:rsidRPr="00D87394">
        <w:rPr>
          <w:rStyle w:val="CharSectno"/>
        </w:rPr>
        <w:tab/>
        <w:t>any other provision of this instrument</w:t>
      </w:r>
      <w:r w:rsidR="003729DF" w:rsidRPr="00D87394">
        <w:rPr>
          <w:rStyle w:val="CharSectno"/>
        </w:rPr>
        <w:t>.</w:t>
      </w:r>
    </w:p>
    <w:p w14:paraId="2735545C" w14:textId="2D9836BD" w:rsidR="00667873" w:rsidRDefault="00667873" w:rsidP="00667873">
      <w:pPr>
        <w:pStyle w:val="ActHead5"/>
      </w:pPr>
      <w:bookmarkStart w:id="27" w:name="_Toc177578507"/>
      <w:r w:rsidRPr="00667873">
        <w:rPr>
          <w:rStyle w:val="CharSectno"/>
        </w:rPr>
        <w:t>10</w:t>
      </w:r>
      <w:r>
        <w:t xml:space="preserve">  Benchmark return</w:t>
      </w:r>
      <w:bookmarkEnd w:id="27"/>
    </w:p>
    <w:p w14:paraId="29FC8430" w14:textId="5A9A389C" w:rsidR="00667873" w:rsidRPr="00667873" w:rsidRDefault="00667873" w:rsidP="00667873">
      <w:pPr>
        <w:pStyle w:val="subsection"/>
      </w:pPr>
      <w:r>
        <w:tab/>
      </w:r>
      <w:r w:rsidRPr="00667873">
        <w:t>(1)</w:t>
      </w:r>
      <w:r w:rsidRPr="00667873">
        <w:tab/>
        <w:t xml:space="preserve">In performing its Future Fund investment functions, the Board must seek to </w:t>
      </w:r>
      <w:r w:rsidR="00A82E07">
        <w:t>achieve</w:t>
      </w:r>
      <w:r w:rsidRPr="00667873">
        <w:t xml:space="preserve"> an average return of at least the CPI +4 to +5 per cent per annum over the long term as the benchmark rate of return for the Fund.</w:t>
      </w:r>
    </w:p>
    <w:p w14:paraId="5767E44D" w14:textId="74949D93" w:rsidR="00667873" w:rsidRPr="00667873" w:rsidRDefault="00667873" w:rsidP="00667873">
      <w:pPr>
        <w:pStyle w:val="subsection"/>
      </w:pPr>
      <w:r>
        <w:tab/>
      </w:r>
      <w:r w:rsidRPr="00667873">
        <w:t>(2)</w:t>
      </w:r>
      <w:r w:rsidRPr="00667873">
        <w:tab/>
        <w:t>In targeting the benchmark rate of return for the Fund, the Board must determine an acceptable, but not excessive, level of risk for the Fund measured in terms such as the probability of losses occurring in a particular year.</w:t>
      </w:r>
    </w:p>
    <w:p w14:paraId="260A12E8" w14:textId="502530CB" w:rsidR="00667873" w:rsidRDefault="00667873" w:rsidP="00667873">
      <w:pPr>
        <w:pStyle w:val="ActHead5"/>
      </w:pPr>
      <w:bookmarkStart w:id="28" w:name="_Toc177578508"/>
      <w:r w:rsidRPr="00667873">
        <w:rPr>
          <w:rStyle w:val="CharSectno"/>
        </w:rPr>
        <w:t>11</w:t>
      </w:r>
      <w:r>
        <w:t xml:space="preserve">  Limits on holdings in certain companies</w:t>
      </w:r>
      <w:bookmarkEnd w:id="28"/>
    </w:p>
    <w:p w14:paraId="03E77DFC" w14:textId="77777777" w:rsidR="00667873" w:rsidRPr="00667873" w:rsidRDefault="00667873" w:rsidP="00667873">
      <w:pPr>
        <w:pStyle w:val="subsection"/>
        <w:rPr>
          <w:rStyle w:val="CharSectno"/>
        </w:rPr>
      </w:pPr>
      <w:r w:rsidRPr="00667873">
        <w:rPr>
          <w:rStyle w:val="CharSectno"/>
        </w:rPr>
        <w:tab/>
      </w:r>
      <w:r w:rsidRPr="00667873">
        <w:rPr>
          <w:rStyle w:val="CharSectno"/>
        </w:rPr>
        <w:tab/>
        <w:t>The Board must establish a policy which provides a limit on the holdings that the Fund may have in any company to which section 21 or 84C of the Act applies.</w:t>
      </w:r>
    </w:p>
    <w:p w14:paraId="06A1B81E" w14:textId="0A034C2C" w:rsidR="00667873" w:rsidRDefault="00667873" w:rsidP="00667873">
      <w:pPr>
        <w:pStyle w:val="ActHead5"/>
      </w:pPr>
      <w:bookmarkStart w:id="29" w:name="_Toc177578509"/>
      <w:r w:rsidRPr="00667873">
        <w:rPr>
          <w:rStyle w:val="CharSectno"/>
        </w:rPr>
        <w:t>12</w:t>
      </w:r>
      <w:r>
        <w:t xml:space="preserve">  Board must consider impacts of investment strategy</w:t>
      </w:r>
      <w:bookmarkEnd w:id="29"/>
    </w:p>
    <w:p w14:paraId="36226BD3" w14:textId="77777777" w:rsidR="00667873" w:rsidRPr="00667873" w:rsidRDefault="00667873" w:rsidP="00667873">
      <w:pPr>
        <w:pStyle w:val="subsection"/>
        <w:rPr>
          <w:rStyle w:val="CharSectno"/>
        </w:rPr>
      </w:pPr>
      <w:r w:rsidRPr="00667873">
        <w:rPr>
          <w:rStyle w:val="CharSectno"/>
        </w:rPr>
        <w:tab/>
      </w:r>
      <w:r w:rsidRPr="00667873">
        <w:rPr>
          <w:rStyle w:val="CharSectno"/>
        </w:rPr>
        <w:tab/>
        <w:t>In performing its Future Fund investment functions, the Board must act in a way that:</w:t>
      </w:r>
    </w:p>
    <w:p w14:paraId="618F576A" w14:textId="4AD94B08" w:rsidR="00667873" w:rsidRPr="00667873" w:rsidRDefault="00667873" w:rsidP="00667873">
      <w:pPr>
        <w:pStyle w:val="paragraph"/>
      </w:pPr>
      <w:r>
        <w:lastRenderedPageBreak/>
        <w:tab/>
      </w:r>
      <w:r w:rsidRPr="00667873">
        <w:t>(a)</w:t>
      </w:r>
      <w:r w:rsidRPr="00667873">
        <w:tab/>
        <w:t>minimises the potential of causing any abnormal change to the volatility or efficient operation of Australia’s financial markets; and</w:t>
      </w:r>
    </w:p>
    <w:p w14:paraId="53196E93" w14:textId="516CAACF" w:rsidR="00667873" w:rsidRPr="00667873" w:rsidRDefault="00667873" w:rsidP="00667873">
      <w:pPr>
        <w:pStyle w:val="paragraph"/>
      </w:pPr>
      <w:r>
        <w:tab/>
      </w:r>
      <w:r w:rsidRPr="00667873">
        <w:t>(b)</w:t>
      </w:r>
      <w:r w:rsidRPr="00667873">
        <w:tab/>
        <w:t>is unlikely to have a negative impact on the Government’s reputation in Australian and international financial markets.</w:t>
      </w:r>
    </w:p>
    <w:p w14:paraId="3FC3F40B" w14:textId="25B849AF" w:rsidR="00667873" w:rsidRDefault="00667873" w:rsidP="00667873">
      <w:pPr>
        <w:pStyle w:val="ActHead5"/>
      </w:pPr>
      <w:bookmarkStart w:id="30" w:name="_Toc177578510"/>
      <w:r w:rsidRPr="00667873">
        <w:rPr>
          <w:rStyle w:val="CharSectno"/>
        </w:rPr>
        <w:t>13</w:t>
      </w:r>
      <w:r>
        <w:t xml:space="preserve">  Corporate governance</w:t>
      </w:r>
      <w:bookmarkEnd w:id="30"/>
    </w:p>
    <w:p w14:paraId="33D91B9F" w14:textId="1A9B6A3D" w:rsidR="00407EF2" w:rsidRPr="00F61515" w:rsidRDefault="00667873" w:rsidP="004F4E0A">
      <w:pPr>
        <w:pStyle w:val="subsection"/>
        <w:rPr>
          <w:b/>
          <w:bCs/>
        </w:rPr>
        <w:sectPr w:rsidR="00407EF2" w:rsidRPr="00F61515">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r w:rsidRPr="00667873">
        <w:tab/>
      </w:r>
      <w:r w:rsidRPr="00667873">
        <w:tab/>
        <w:t>In performing its Future Fund investment functions,</w:t>
      </w:r>
      <w:r>
        <w:t xml:space="preserve"> </w:t>
      </w:r>
      <w:r w:rsidRPr="00667873">
        <w:t>the Board must have regard to international best practice for institutional investment when determining its approach to corporate governance principles, including in relation to its voting policy for investments of the Fund.</w:t>
      </w:r>
    </w:p>
    <w:p w14:paraId="746989EB" w14:textId="403FEF1D" w:rsidR="00FA06CA" w:rsidRDefault="00667873" w:rsidP="00667873">
      <w:pPr>
        <w:pStyle w:val="ActHead1"/>
        <w:pageBreakBefore/>
        <w:rPr>
          <w:rStyle w:val="CharChapText"/>
        </w:rPr>
      </w:pPr>
      <w:bookmarkStart w:id="43" w:name="_Toc177578511"/>
      <w:r w:rsidRPr="00667873">
        <w:rPr>
          <w:rStyle w:val="CharChapNo"/>
        </w:rPr>
        <w:lastRenderedPageBreak/>
        <w:t>Schedule 1</w:t>
      </w:r>
      <w:r w:rsidRPr="00667873">
        <w:t>—</w:t>
      </w:r>
      <w:r w:rsidRPr="00667873">
        <w:rPr>
          <w:rStyle w:val="CharChapText"/>
        </w:rPr>
        <w:t>Repeals</w:t>
      </w:r>
      <w:bookmarkEnd w:id="43"/>
    </w:p>
    <w:p w14:paraId="083A7BE0" w14:textId="0A08B8EA" w:rsidR="00667873" w:rsidRDefault="00667873" w:rsidP="00667873">
      <w:pPr>
        <w:pStyle w:val="ActHead9"/>
      </w:pPr>
      <w:bookmarkStart w:id="44" w:name="_Toc177578512"/>
      <w:r w:rsidRPr="00667873">
        <w:t>Future Fund Investment Mandate Direction 2017</w:t>
      </w:r>
      <w:bookmarkEnd w:id="44"/>
    </w:p>
    <w:p w14:paraId="496A6DCC" w14:textId="663D14F9" w:rsidR="00667873" w:rsidRPr="00667873" w:rsidRDefault="00667873" w:rsidP="00667873">
      <w:pPr>
        <w:pStyle w:val="ItemHead"/>
      </w:pPr>
      <w:r w:rsidRPr="00667873">
        <w:t>1  The whole of the instrument</w:t>
      </w:r>
    </w:p>
    <w:p w14:paraId="1ED678A2" w14:textId="5232B9B6" w:rsidR="00667873" w:rsidRPr="00667873" w:rsidRDefault="00667873" w:rsidP="00667873">
      <w:pPr>
        <w:pStyle w:val="Item"/>
      </w:pPr>
      <w:r w:rsidRPr="00667873">
        <w:t>Repeal the instrument.</w:t>
      </w:r>
    </w:p>
    <w:sectPr w:rsidR="00667873" w:rsidRPr="00667873" w:rsidSect="00667873">
      <w:headerReference w:type="default" r:id="rId29"/>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BC9D" w14:textId="77777777" w:rsidR="006262BC" w:rsidRDefault="006262BC" w:rsidP="00FA06CA">
      <w:pPr>
        <w:spacing w:line="240" w:lineRule="auto"/>
      </w:pPr>
      <w:r>
        <w:separator/>
      </w:r>
    </w:p>
  </w:endnote>
  <w:endnote w:type="continuationSeparator" w:id="0">
    <w:p w14:paraId="48CA2FDC" w14:textId="77777777" w:rsidR="006262BC" w:rsidRDefault="006262BC" w:rsidP="00FA06CA">
      <w:pPr>
        <w:spacing w:line="240" w:lineRule="auto"/>
      </w:pPr>
      <w:r>
        <w:continuationSeparator/>
      </w:r>
    </w:p>
  </w:endnote>
  <w:endnote w:type="continuationNotice" w:id="1">
    <w:p w14:paraId="4401E19E" w14:textId="77777777" w:rsidR="006262BC" w:rsidRDefault="006262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4AB4" w14:textId="139B03A9" w:rsidR="00FA06CA" w:rsidRDefault="00FA06CA">
    <w:pPr>
      <w:pStyle w:val="Footer"/>
    </w:pPr>
    <w:bookmarkStart w:id="0" w:name="_Hlk26286429"/>
    <w:bookmarkStart w:id="1" w:name="_Hlk26286430"/>
    <w:bookmarkStart w:id="2" w:name="_Hlk26286433"/>
    <w:bookmarkStart w:id="3" w:name="_Hlk26286434"/>
  </w:p>
  <w:bookmarkEnd w:id="0"/>
  <w:bookmarkEnd w:id="1"/>
  <w:bookmarkEnd w:id="2"/>
  <w:bookmarkEnd w:id="3"/>
  <w:p w14:paraId="370A1255"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6A76" w14:textId="77777777" w:rsidR="00FA06CA" w:rsidRPr="00ED79B6" w:rsidRDefault="00FA06CA">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9D23" w14:textId="268D0A37" w:rsidR="00FA06CA" w:rsidRPr="00E33C1C" w:rsidRDefault="00FA06C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30510386" w14:textId="77777777" w:rsidTr="00667873">
      <w:tc>
        <w:tcPr>
          <w:tcW w:w="709" w:type="dxa"/>
          <w:tcBorders>
            <w:top w:val="nil"/>
            <w:left w:val="nil"/>
            <w:bottom w:val="nil"/>
            <w:right w:val="nil"/>
          </w:tcBorders>
        </w:tcPr>
        <w:p w14:paraId="7DB721A0"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591F620" w14:textId="22FBFA95"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5298">
            <w:rPr>
              <w:i/>
              <w:noProof/>
              <w:sz w:val="18"/>
            </w:rPr>
            <w:t>Future Fund Investment Mandate Direction 2024</w:t>
          </w:r>
          <w:r>
            <w:rPr>
              <w:i/>
              <w:sz w:val="18"/>
            </w:rPr>
            <w:fldChar w:fldCharType="end"/>
          </w:r>
        </w:p>
      </w:tc>
      <w:tc>
        <w:tcPr>
          <w:tcW w:w="1384" w:type="dxa"/>
          <w:tcBorders>
            <w:top w:val="nil"/>
            <w:left w:val="nil"/>
            <w:bottom w:val="nil"/>
            <w:right w:val="nil"/>
          </w:tcBorders>
        </w:tcPr>
        <w:p w14:paraId="7B9C2554" w14:textId="77777777" w:rsidR="00FA06CA" w:rsidRDefault="00FA06CA">
          <w:pPr>
            <w:spacing w:line="0" w:lineRule="atLeast"/>
            <w:jc w:val="right"/>
            <w:rPr>
              <w:sz w:val="18"/>
            </w:rPr>
          </w:pPr>
        </w:p>
      </w:tc>
    </w:tr>
  </w:tbl>
  <w:p w14:paraId="480700BB" w14:textId="77777777" w:rsidR="00FA06CA" w:rsidRPr="00ED79B6" w:rsidRDefault="00FA06CA">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6EF5" w14:textId="5BFE93EF" w:rsidR="00FA06CA" w:rsidRPr="00E33C1C" w:rsidRDefault="00FA06C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397484B2" w14:textId="77777777">
      <w:tc>
        <w:tcPr>
          <w:tcW w:w="1383" w:type="dxa"/>
          <w:tcBorders>
            <w:top w:val="nil"/>
            <w:left w:val="nil"/>
            <w:bottom w:val="nil"/>
            <w:right w:val="nil"/>
          </w:tcBorders>
        </w:tcPr>
        <w:p w14:paraId="38768379" w14:textId="77777777" w:rsidR="00FA06CA" w:rsidRDefault="00FA06CA">
          <w:pPr>
            <w:spacing w:line="0" w:lineRule="atLeast"/>
            <w:rPr>
              <w:sz w:val="18"/>
            </w:rPr>
          </w:pPr>
        </w:p>
      </w:tc>
      <w:tc>
        <w:tcPr>
          <w:tcW w:w="6380" w:type="dxa"/>
          <w:tcBorders>
            <w:top w:val="nil"/>
            <w:left w:val="nil"/>
            <w:bottom w:val="nil"/>
            <w:right w:val="nil"/>
          </w:tcBorders>
        </w:tcPr>
        <w:p w14:paraId="359E83F6" w14:textId="1576D2F1"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A22E7">
            <w:rPr>
              <w:i/>
              <w:noProof/>
              <w:sz w:val="18"/>
            </w:rPr>
            <w:t>Future Fund Investment Mandate Direction 2024</w:t>
          </w:r>
          <w:r>
            <w:rPr>
              <w:i/>
              <w:sz w:val="18"/>
            </w:rPr>
            <w:fldChar w:fldCharType="end"/>
          </w:r>
        </w:p>
      </w:tc>
      <w:tc>
        <w:tcPr>
          <w:tcW w:w="709" w:type="dxa"/>
          <w:tcBorders>
            <w:top w:val="nil"/>
            <w:left w:val="nil"/>
            <w:bottom w:val="nil"/>
            <w:right w:val="nil"/>
          </w:tcBorders>
        </w:tcPr>
        <w:p w14:paraId="1D394764"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0887EC64"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0641" w14:textId="76985F8D" w:rsidR="007E3CC6" w:rsidRPr="00E33C1C" w:rsidRDefault="007E3CC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67188B" w14:paraId="7C36B2CA" w14:textId="77777777" w:rsidTr="00667873">
      <w:tc>
        <w:tcPr>
          <w:tcW w:w="709" w:type="dxa"/>
          <w:tcBorders>
            <w:top w:val="nil"/>
            <w:left w:val="nil"/>
            <w:bottom w:val="nil"/>
            <w:right w:val="nil"/>
          </w:tcBorders>
        </w:tcPr>
        <w:p w14:paraId="3722BE09" w14:textId="77777777" w:rsidR="007E3CC6"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AE1319E" w14:textId="73E0B9A7" w:rsidR="007E3CC6"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A22E7">
            <w:rPr>
              <w:i/>
              <w:noProof/>
              <w:sz w:val="18"/>
            </w:rPr>
            <w:t>Future Fund Investment Mandate Direction 2024</w:t>
          </w:r>
          <w:r>
            <w:rPr>
              <w:i/>
              <w:sz w:val="18"/>
            </w:rPr>
            <w:fldChar w:fldCharType="end"/>
          </w:r>
        </w:p>
      </w:tc>
      <w:tc>
        <w:tcPr>
          <w:tcW w:w="1384" w:type="dxa"/>
          <w:tcBorders>
            <w:top w:val="nil"/>
            <w:left w:val="nil"/>
            <w:bottom w:val="nil"/>
            <w:right w:val="nil"/>
          </w:tcBorders>
        </w:tcPr>
        <w:p w14:paraId="3C3945C7" w14:textId="77777777" w:rsidR="007E3CC6" w:rsidRDefault="007E3CC6">
          <w:pPr>
            <w:spacing w:line="0" w:lineRule="atLeast"/>
            <w:jc w:val="right"/>
            <w:rPr>
              <w:sz w:val="18"/>
            </w:rPr>
          </w:pPr>
        </w:p>
      </w:tc>
    </w:tr>
  </w:tbl>
  <w:p w14:paraId="3AE44148" w14:textId="77777777" w:rsidR="007E3CC6" w:rsidRPr="00ED79B6" w:rsidRDefault="007E3CC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465" w14:textId="2D99FC00" w:rsidR="007E3CC6" w:rsidRPr="00E33C1C" w:rsidRDefault="007E3CC6">
    <w:pPr>
      <w:pBdr>
        <w:top w:val="single" w:sz="6" w:space="1" w:color="auto"/>
      </w:pBdr>
      <w:spacing w:before="120" w:line="0" w:lineRule="atLeast"/>
      <w:rPr>
        <w:sz w:val="16"/>
        <w:szCs w:val="16"/>
      </w:rPr>
    </w:pPr>
    <w:bookmarkStart w:id="35" w:name="_Hlk26286453"/>
    <w:bookmarkStart w:id="36" w:name="_Hlk26286454"/>
    <w:bookmarkStart w:id="37" w:name="_Hlk26286457"/>
    <w:bookmarkStart w:id="38" w:name="_Hlk26286458"/>
  </w:p>
  <w:tbl>
    <w:tblPr>
      <w:tblStyle w:val="TableGrid"/>
      <w:tblW w:w="0" w:type="auto"/>
      <w:tblLook w:val="04A0" w:firstRow="1" w:lastRow="0" w:firstColumn="1" w:lastColumn="0" w:noHBand="0" w:noVBand="1"/>
    </w:tblPr>
    <w:tblGrid>
      <w:gridCol w:w="1357"/>
      <w:gridCol w:w="6256"/>
      <w:gridCol w:w="700"/>
    </w:tblGrid>
    <w:tr w:rsidR="0067188B" w14:paraId="0C9EA4C0" w14:textId="77777777" w:rsidTr="00667873">
      <w:tc>
        <w:tcPr>
          <w:tcW w:w="1357" w:type="dxa"/>
          <w:tcBorders>
            <w:top w:val="nil"/>
            <w:left w:val="nil"/>
            <w:bottom w:val="nil"/>
            <w:right w:val="nil"/>
          </w:tcBorders>
        </w:tcPr>
        <w:p w14:paraId="48518B40" w14:textId="77777777" w:rsidR="007E3CC6" w:rsidRDefault="007E3CC6">
          <w:pPr>
            <w:spacing w:line="0" w:lineRule="atLeast"/>
            <w:rPr>
              <w:sz w:val="18"/>
            </w:rPr>
          </w:pPr>
        </w:p>
      </w:tc>
      <w:tc>
        <w:tcPr>
          <w:tcW w:w="6256" w:type="dxa"/>
          <w:tcBorders>
            <w:top w:val="nil"/>
            <w:left w:val="nil"/>
            <w:bottom w:val="nil"/>
            <w:right w:val="nil"/>
          </w:tcBorders>
        </w:tcPr>
        <w:p w14:paraId="7B57F7CE" w14:textId="48B1A984" w:rsidR="007E3CC6"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A22E7">
            <w:rPr>
              <w:i/>
              <w:noProof/>
              <w:sz w:val="18"/>
            </w:rPr>
            <w:t>Future Fund Investment Mandate Direction 2024</w:t>
          </w:r>
          <w:r>
            <w:rPr>
              <w:i/>
              <w:sz w:val="18"/>
            </w:rPr>
            <w:fldChar w:fldCharType="end"/>
          </w:r>
        </w:p>
      </w:tc>
      <w:tc>
        <w:tcPr>
          <w:tcW w:w="700" w:type="dxa"/>
          <w:tcBorders>
            <w:top w:val="nil"/>
            <w:left w:val="nil"/>
            <w:bottom w:val="nil"/>
            <w:right w:val="nil"/>
          </w:tcBorders>
        </w:tcPr>
        <w:p w14:paraId="78CA86B4" w14:textId="77777777" w:rsidR="007E3CC6"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5"/>
    <w:bookmarkEnd w:id="36"/>
    <w:bookmarkEnd w:id="37"/>
    <w:bookmarkEnd w:id="38"/>
  </w:tbl>
  <w:p w14:paraId="3B6FC3C1" w14:textId="77777777" w:rsidR="007E3CC6" w:rsidRPr="00ED79B6" w:rsidRDefault="007E3CC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E9F3" w14:textId="77777777" w:rsidR="007E3CC6" w:rsidRPr="00E33C1C" w:rsidRDefault="007E3CC6">
    <w:pPr>
      <w:pBdr>
        <w:top w:val="single" w:sz="6" w:space="1" w:color="auto"/>
      </w:pBdr>
      <w:spacing w:line="0" w:lineRule="atLeast"/>
      <w:rPr>
        <w:sz w:val="16"/>
        <w:szCs w:val="16"/>
      </w:rPr>
    </w:pPr>
    <w:bookmarkStart w:id="41" w:name="_Hlk26286455"/>
    <w:bookmarkStart w:id="42" w:name="_Hlk26286456"/>
  </w:p>
  <w:tbl>
    <w:tblPr>
      <w:tblStyle w:val="TableGrid"/>
      <w:tblW w:w="0" w:type="auto"/>
      <w:tblLook w:val="04A0" w:firstRow="1" w:lastRow="0" w:firstColumn="1" w:lastColumn="0" w:noHBand="0" w:noVBand="1"/>
    </w:tblPr>
    <w:tblGrid>
      <w:gridCol w:w="1359"/>
      <w:gridCol w:w="6254"/>
      <w:gridCol w:w="700"/>
    </w:tblGrid>
    <w:tr w:rsidR="0067188B" w14:paraId="245F9B45" w14:textId="77777777" w:rsidTr="00667873">
      <w:tc>
        <w:tcPr>
          <w:tcW w:w="1359" w:type="dxa"/>
          <w:tcBorders>
            <w:top w:val="nil"/>
            <w:left w:val="nil"/>
            <w:bottom w:val="nil"/>
            <w:right w:val="nil"/>
          </w:tcBorders>
        </w:tcPr>
        <w:p w14:paraId="1457FBA0" w14:textId="77777777" w:rsidR="007E3CC6" w:rsidRDefault="007E3CC6">
          <w:pPr>
            <w:spacing w:line="0" w:lineRule="atLeast"/>
            <w:rPr>
              <w:sz w:val="18"/>
            </w:rPr>
          </w:pPr>
        </w:p>
      </w:tc>
      <w:tc>
        <w:tcPr>
          <w:tcW w:w="6254" w:type="dxa"/>
          <w:tcBorders>
            <w:top w:val="nil"/>
            <w:left w:val="nil"/>
            <w:bottom w:val="nil"/>
            <w:right w:val="nil"/>
          </w:tcBorders>
        </w:tcPr>
        <w:p w14:paraId="0E5CF5A1" w14:textId="69DE4E18" w:rsidR="007E3CC6"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5298">
            <w:rPr>
              <w:i/>
              <w:sz w:val="18"/>
            </w:rPr>
            <w:t>[title] 2017</w:t>
          </w:r>
          <w:r w:rsidRPr="007A1328">
            <w:rPr>
              <w:i/>
              <w:sz w:val="18"/>
            </w:rPr>
            <w:fldChar w:fldCharType="end"/>
          </w:r>
        </w:p>
      </w:tc>
      <w:tc>
        <w:tcPr>
          <w:tcW w:w="700" w:type="dxa"/>
          <w:tcBorders>
            <w:top w:val="nil"/>
            <w:left w:val="nil"/>
            <w:bottom w:val="nil"/>
            <w:right w:val="nil"/>
          </w:tcBorders>
        </w:tcPr>
        <w:p w14:paraId="1F47E66D" w14:textId="77777777" w:rsidR="007E3CC6"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1"/>
    <w:bookmarkEnd w:id="42"/>
  </w:tbl>
  <w:p w14:paraId="5B6C9254" w14:textId="77777777" w:rsidR="007E3CC6" w:rsidRPr="00ED79B6" w:rsidRDefault="007E3CC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A906" w14:textId="77777777" w:rsidR="006262BC" w:rsidRDefault="006262BC" w:rsidP="00FA06CA">
      <w:pPr>
        <w:spacing w:line="240" w:lineRule="auto"/>
      </w:pPr>
      <w:r>
        <w:separator/>
      </w:r>
    </w:p>
  </w:footnote>
  <w:footnote w:type="continuationSeparator" w:id="0">
    <w:p w14:paraId="7BC7713F" w14:textId="77777777" w:rsidR="006262BC" w:rsidRDefault="006262BC" w:rsidP="00FA06CA">
      <w:pPr>
        <w:spacing w:line="240" w:lineRule="auto"/>
      </w:pPr>
      <w:r>
        <w:continuationSeparator/>
      </w:r>
    </w:p>
  </w:footnote>
  <w:footnote w:type="continuationNotice" w:id="1">
    <w:p w14:paraId="009B1138" w14:textId="77777777" w:rsidR="006262BC" w:rsidRDefault="006262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B83D" w14:textId="245C6B5B" w:rsidR="00FA06CA" w:rsidRPr="005F1388" w:rsidRDefault="00FA06CA">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CEBF" w14:textId="36F3B115" w:rsidR="00667873" w:rsidRPr="007A1328" w:rsidRDefault="0066787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A22E7">
      <w:rPr>
        <w:noProof/>
        <w:sz w:val="20"/>
      </w:rPr>
      <w:t>Repeals</w:t>
    </w:r>
    <w:r w:rsidR="008A22E7">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A22E7">
      <w:rPr>
        <w:b/>
        <w:noProof/>
        <w:sz w:val="20"/>
      </w:rPr>
      <w:t>Schedule 1</w:t>
    </w:r>
    <w:r>
      <w:rPr>
        <w:b/>
        <w:sz w:val="20"/>
      </w:rPr>
      <w:fldChar w:fldCharType="end"/>
    </w:r>
  </w:p>
  <w:p w14:paraId="52276302" w14:textId="40A1DEDB" w:rsidR="00667873" w:rsidRPr="007A1328" w:rsidRDefault="00667873">
    <w:pPr>
      <w:jc w:val="right"/>
      <w:rPr>
        <w:sz w:val="20"/>
      </w:rPr>
    </w:pPr>
  </w:p>
  <w:p w14:paraId="4C0E139A" w14:textId="3957B506" w:rsidR="00667873" w:rsidRPr="007A1328" w:rsidRDefault="0066787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257CD44" w14:textId="005FC7A3" w:rsidR="00667873" w:rsidRPr="007A1328" w:rsidRDefault="00667873">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8333" w14:textId="3A8ABF6C" w:rsidR="00FA06CA" w:rsidRPr="005F1388" w:rsidRDefault="00FA06CA">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905B" w14:textId="77777777" w:rsidR="00FA06CA" w:rsidRPr="005F1388" w:rsidRDefault="00FA06CA">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C610" w14:textId="5B30EF9A" w:rsidR="00FA06CA" w:rsidRPr="00ED79B6" w:rsidRDefault="00FA06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A7B8" w14:textId="7AEB70B8" w:rsidR="00FA06CA" w:rsidRPr="00ED79B6" w:rsidRDefault="00FA06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6D5E" w14:textId="77777777" w:rsidR="00FA06CA" w:rsidRPr="00ED79B6" w:rsidRDefault="00FA06CA">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FC28" w14:textId="65EDFAC5" w:rsidR="007E3CC6" w:rsidRDefault="0063607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B6E4D4C" w14:textId="267D4817" w:rsidR="007E3CC6"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A22E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A22E7">
      <w:rPr>
        <w:noProof/>
        <w:sz w:val="20"/>
      </w:rPr>
      <w:t>Directions</w:t>
    </w:r>
    <w:r>
      <w:rPr>
        <w:sz w:val="20"/>
      </w:rPr>
      <w:fldChar w:fldCharType="end"/>
    </w:r>
  </w:p>
  <w:p w14:paraId="21980A05" w14:textId="0821A0BA" w:rsidR="007E3CC6"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0C51823" w14:textId="77777777" w:rsidR="007E3CC6" w:rsidRPr="007A1328" w:rsidRDefault="007E3CC6">
    <w:pPr>
      <w:rPr>
        <w:b/>
        <w:sz w:val="24"/>
      </w:rPr>
    </w:pPr>
  </w:p>
  <w:p w14:paraId="043BEB02" w14:textId="15D99160" w:rsidR="007E3CC6"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0529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A22E7">
      <w:rPr>
        <w:noProof/>
        <w:sz w:val="24"/>
      </w:rPr>
      <w:t>13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1" w:name="_Hlk26286447"/>
  <w:bookmarkStart w:id="32" w:name="_Hlk26286448"/>
  <w:bookmarkStart w:id="33" w:name="_Hlk26286451"/>
  <w:bookmarkStart w:id="34" w:name="_Hlk26286452"/>
  <w:p w14:paraId="40CE25C5" w14:textId="45CBEBF8" w:rsidR="007E3CC6" w:rsidRPr="007A1328" w:rsidRDefault="0063607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F8BD5F3" w14:textId="04FC4E04" w:rsidR="007E3CC6" w:rsidRPr="007A1328" w:rsidRDefault="00636078">
    <w:pPr>
      <w:jc w:val="right"/>
      <w:rPr>
        <w:sz w:val="20"/>
      </w:rPr>
    </w:pPr>
    <w:r w:rsidRPr="007A1328">
      <w:rPr>
        <w:sz w:val="20"/>
      </w:rPr>
      <w:fldChar w:fldCharType="begin"/>
    </w:r>
    <w:r w:rsidRPr="007A1328">
      <w:rPr>
        <w:sz w:val="20"/>
      </w:rPr>
      <w:instrText xml:space="preserve"> STYLEREF CharPartText </w:instrText>
    </w:r>
    <w:r w:rsidR="008A22E7">
      <w:rPr>
        <w:sz w:val="20"/>
      </w:rPr>
      <w:fldChar w:fldCharType="separate"/>
    </w:r>
    <w:r w:rsidR="008A22E7">
      <w:rPr>
        <w:noProof/>
        <w:sz w:val="20"/>
      </w:rPr>
      <w:t>Directions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A22E7">
      <w:rPr>
        <w:b/>
        <w:sz w:val="20"/>
      </w:rPr>
      <w:fldChar w:fldCharType="separate"/>
    </w:r>
    <w:r w:rsidR="008A22E7">
      <w:rPr>
        <w:b/>
        <w:noProof/>
        <w:sz w:val="20"/>
      </w:rPr>
      <w:t>Part 2</w:t>
    </w:r>
    <w:r>
      <w:rPr>
        <w:b/>
        <w:sz w:val="20"/>
      </w:rPr>
      <w:fldChar w:fldCharType="end"/>
    </w:r>
  </w:p>
  <w:p w14:paraId="729BADE1" w14:textId="40FEDCA0" w:rsidR="007E3CC6"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96A9270" w14:textId="77777777" w:rsidR="007E3CC6" w:rsidRPr="007A1328" w:rsidRDefault="007E3CC6">
    <w:pPr>
      <w:jc w:val="right"/>
      <w:rPr>
        <w:b/>
        <w:sz w:val="24"/>
      </w:rPr>
    </w:pPr>
  </w:p>
  <w:p w14:paraId="6880BCB5" w14:textId="4511C564" w:rsidR="007E3CC6"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0529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A22E7">
      <w:rPr>
        <w:noProof/>
        <w:sz w:val="24"/>
      </w:rPr>
      <w:t>7</w:t>
    </w:r>
    <w:r w:rsidRPr="007A1328">
      <w:rPr>
        <w:sz w:val="24"/>
      </w:rPr>
      <w:fldChar w:fldCharType="end"/>
    </w:r>
    <w:bookmarkEnd w:id="31"/>
    <w:bookmarkEnd w:id="32"/>
    <w:bookmarkEnd w:id="33"/>
    <w:bookmarkEnd w:id="3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A5A6" w14:textId="77777777" w:rsidR="007E3CC6" w:rsidRPr="007A1328" w:rsidRDefault="007E3CC6">
    <w:bookmarkStart w:id="39" w:name="_Hlk26286449"/>
    <w:bookmarkStart w:id="40" w:name="_Hlk26286450"/>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200DE"/>
    <w:multiLevelType w:val="hybridMultilevel"/>
    <w:tmpl w:val="9CC22F6A"/>
    <w:lvl w:ilvl="0" w:tplc="23528B9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33A75471"/>
    <w:multiLevelType w:val="hybridMultilevel"/>
    <w:tmpl w:val="76423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D141D"/>
    <w:multiLevelType w:val="hybridMultilevel"/>
    <w:tmpl w:val="06CC02F4"/>
    <w:lvl w:ilvl="0" w:tplc="6390E76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1139418147">
    <w:abstractNumId w:val="9"/>
  </w:num>
  <w:num w:numId="2" w16cid:durableId="1690523373">
    <w:abstractNumId w:val="7"/>
  </w:num>
  <w:num w:numId="3" w16cid:durableId="2105105182">
    <w:abstractNumId w:val="6"/>
  </w:num>
  <w:num w:numId="4" w16cid:durableId="573662984">
    <w:abstractNumId w:val="5"/>
  </w:num>
  <w:num w:numId="5" w16cid:durableId="2039505873">
    <w:abstractNumId w:val="4"/>
  </w:num>
  <w:num w:numId="6" w16cid:durableId="468792244">
    <w:abstractNumId w:val="8"/>
  </w:num>
  <w:num w:numId="7" w16cid:durableId="1851412232">
    <w:abstractNumId w:val="3"/>
  </w:num>
  <w:num w:numId="8" w16cid:durableId="257449165">
    <w:abstractNumId w:val="2"/>
  </w:num>
  <w:num w:numId="9" w16cid:durableId="144588432">
    <w:abstractNumId w:val="1"/>
  </w:num>
  <w:num w:numId="10" w16cid:durableId="374502225">
    <w:abstractNumId w:val="0"/>
  </w:num>
  <w:num w:numId="11" w16cid:durableId="1640652400">
    <w:abstractNumId w:val="13"/>
  </w:num>
  <w:num w:numId="12" w16cid:durableId="1440485345">
    <w:abstractNumId w:val="10"/>
  </w:num>
  <w:num w:numId="13" w16cid:durableId="1130198895">
    <w:abstractNumId w:val="12"/>
  </w:num>
  <w:num w:numId="14" w16cid:durableId="815491290">
    <w:abstractNumId w:val="14"/>
  </w:num>
  <w:num w:numId="15" w16cid:durableId="1058671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73"/>
    <w:rsid w:val="00003598"/>
    <w:rsid w:val="000039E8"/>
    <w:rsid w:val="00010C9C"/>
    <w:rsid w:val="00017E46"/>
    <w:rsid w:val="00021F11"/>
    <w:rsid w:val="000266DD"/>
    <w:rsid w:val="00032C09"/>
    <w:rsid w:val="00033287"/>
    <w:rsid w:val="0003428B"/>
    <w:rsid w:val="00062643"/>
    <w:rsid w:val="00062BA6"/>
    <w:rsid w:val="00065B87"/>
    <w:rsid w:val="0006790D"/>
    <w:rsid w:val="00074C41"/>
    <w:rsid w:val="00081F82"/>
    <w:rsid w:val="00087E8F"/>
    <w:rsid w:val="00092429"/>
    <w:rsid w:val="000A394A"/>
    <w:rsid w:val="000A3F05"/>
    <w:rsid w:val="000B25E9"/>
    <w:rsid w:val="000B5167"/>
    <w:rsid w:val="000B5A67"/>
    <w:rsid w:val="000B6E8D"/>
    <w:rsid w:val="000B77CF"/>
    <w:rsid w:val="000D1F5E"/>
    <w:rsid w:val="000D451D"/>
    <w:rsid w:val="000D47CF"/>
    <w:rsid w:val="000F1F5C"/>
    <w:rsid w:val="000F3876"/>
    <w:rsid w:val="00111CDB"/>
    <w:rsid w:val="0011200F"/>
    <w:rsid w:val="00123986"/>
    <w:rsid w:val="00130F17"/>
    <w:rsid w:val="0013166C"/>
    <w:rsid w:val="001353D8"/>
    <w:rsid w:val="001363E2"/>
    <w:rsid w:val="0013696E"/>
    <w:rsid w:val="00146528"/>
    <w:rsid w:val="00146C07"/>
    <w:rsid w:val="001539E7"/>
    <w:rsid w:val="001579FB"/>
    <w:rsid w:val="00160917"/>
    <w:rsid w:val="00161BB6"/>
    <w:rsid w:val="001628C0"/>
    <w:rsid w:val="00171D04"/>
    <w:rsid w:val="00172894"/>
    <w:rsid w:val="0017416B"/>
    <w:rsid w:val="001754CF"/>
    <w:rsid w:val="00187B54"/>
    <w:rsid w:val="001904BE"/>
    <w:rsid w:val="001A4295"/>
    <w:rsid w:val="001B05A2"/>
    <w:rsid w:val="001B0CBC"/>
    <w:rsid w:val="001C2BAF"/>
    <w:rsid w:val="001D5718"/>
    <w:rsid w:val="001E0DED"/>
    <w:rsid w:val="001F21C5"/>
    <w:rsid w:val="001F2C94"/>
    <w:rsid w:val="001F5343"/>
    <w:rsid w:val="001F60C0"/>
    <w:rsid w:val="002054CB"/>
    <w:rsid w:val="00213570"/>
    <w:rsid w:val="0021544B"/>
    <w:rsid w:val="00215477"/>
    <w:rsid w:val="0022438B"/>
    <w:rsid w:val="002346F9"/>
    <w:rsid w:val="0023757E"/>
    <w:rsid w:val="00237F39"/>
    <w:rsid w:val="002407B9"/>
    <w:rsid w:val="00245E33"/>
    <w:rsid w:val="00247957"/>
    <w:rsid w:val="00251091"/>
    <w:rsid w:val="00260BE9"/>
    <w:rsid w:val="002677A2"/>
    <w:rsid w:val="00267DE9"/>
    <w:rsid w:val="00271F02"/>
    <w:rsid w:val="0028224C"/>
    <w:rsid w:val="00290B56"/>
    <w:rsid w:val="002A0E91"/>
    <w:rsid w:val="002B2D8F"/>
    <w:rsid w:val="002B77E4"/>
    <w:rsid w:val="002C2E99"/>
    <w:rsid w:val="002D29BD"/>
    <w:rsid w:val="002D41F2"/>
    <w:rsid w:val="002E7A4F"/>
    <w:rsid w:val="002F3294"/>
    <w:rsid w:val="00303DE8"/>
    <w:rsid w:val="003040F8"/>
    <w:rsid w:val="00331ADB"/>
    <w:rsid w:val="00336797"/>
    <w:rsid w:val="0034136D"/>
    <w:rsid w:val="00341939"/>
    <w:rsid w:val="0034505C"/>
    <w:rsid w:val="0037079D"/>
    <w:rsid w:val="00371DA9"/>
    <w:rsid w:val="003729DF"/>
    <w:rsid w:val="0038700F"/>
    <w:rsid w:val="00390B87"/>
    <w:rsid w:val="003A5FDD"/>
    <w:rsid w:val="003A6683"/>
    <w:rsid w:val="003A67B3"/>
    <w:rsid w:val="003B432D"/>
    <w:rsid w:val="003C730C"/>
    <w:rsid w:val="003D6441"/>
    <w:rsid w:val="003E42E4"/>
    <w:rsid w:val="003E68A8"/>
    <w:rsid w:val="003E779D"/>
    <w:rsid w:val="003F1224"/>
    <w:rsid w:val="003F358F"/>
    <w:rsid w:val="003F754C"/>
    <w:rsid w:val="004000A8"/>
    <w:rsid w:val="00407EF2"/>
    <w:rsid w:val="004122C1"/>
    <w:rsid w:val="00412F66"/>
    <w:rsid w:val="00413C15"/>
    <w:rsid w:val="0042533D"/>
    <w:rsid w:val="00447D80"/>
    <w:rsid w:val="00453480"/>
    <w:rsid w:val="00457D60"/>
    <w:rsid w:val="00460E50"/>
    <w:rsid w:val="00462CDC"/>
    <w:rsid w:val="004833FC"/>
    <w:rsid w:val="0048395B"/>
    <w:rsid w:val="00492680"/>
    <w:rsid w:val="00492E2F"/>
    <w:rsid w:val="00495C4C"/>
    <w:rsid w:val="004A325C"/>
    <w:rsid w:val="004B42A1"/>
    <w:rsid w:val="004B7143"/>
    <w:rsid w:val="004B7734"/>
    <w:rsid w:val="004B7CEB"/>
    <w:rsid w:val="004C07D8"/>
    <w:rsid w:val="004C19D4"/>
    <w:rsid w:val="004C5344"/>
    <w:rsid w:val="004C6C11"/>
    <w:rsid w:val="004D54E7"/>
    <w:rsid w:val="004E3993"/>
    <w:rsid w:val="004E69EA"/>
    <w:rsid w:val="004F4E0A"/>
    <w:rsid w:val="004F54C6"/>
    <w:rsid w:val="004F5704"/>
    <w:rsid w:val="004F6B33"/>
    <w:rsid w:val="004F7615"/>
    <w:rsid w:val="00503C8A"/>
    <w:rsid w:val="00505268"/>
    <w:rsid w:val="00505298"/>
    <w:rsid w:val="00506B10"/>
    <w:rsid w:val="00511B13"/>
    <w:rsid w:val="0051354B"/>
    <w:rsid w:val="005309D8"/>
    <w:rsid w:val="0053378A"/>
    <w:rsid w:val="00533CEF"/>
    <w:rsid w:val="005439AF"/>
    <w:rsid w:val="00554C21"/>
    <w:rsid w:val="00563E24"/>
    <w:rsid w:val="00594CEC"/>
    <w:rsid w:val="005A6E33"/>
    <w:rsid w:val="005B1532"/>
    <w:rsid w:val="005C2F25"/>
    <w:rsid w:val="005D1F83"/>
    <w:rsid w:val="005D4E6E"/>
    <w:rsid w:val="005F20CE"/>
    <w:rsid w:val="00612A38"/>
    <w:rsid w:val="006262BC"/>
    <w:rsid w:val="006344CE"/>
    <w:rsid w:val="00636078"/>
    <w:rsid w:val="006412B7"/>
    <w:rsid w:val="00642840"/>
    <w:rsid w:val="00644E71"/>
    <w:rsid w:val="006561FD"/>
    <w:rsid w:val="00661056"/>
    <w:rsid w:val="00661DBC"/>
    <w:rsid w:val="00667873"/>
    <w:rsid w:val="0067188B"/>
    <w:rsid w:val="00672F48"/>
    <w:rsid w:val="00674EAD"/>
    <w:rsid w:val="006853A0"/>
    <w:rsid w:val="006B4D40"/>
    <w:rsid w:val="006B6742"/>
    <w:rsid w:val="006C3C25"/>
    <w:rsid w:val="006C755B"/>
    <w:rsid w:val="006D2A3C"/>
    <w:rsid w:val="006E0969"/>
    <w:rsid w:val="006E665E"/>
    <w:rsid w:val="006F52F2"/>
    <w:rsid w:val="00700074"/>
    <w:rsid w:val="007112AD"/>
    <w:rsid w:val="00713D1F"/>
    <w:rsid w:val="00720DAC"/>
    <w:rsid w:val="00732A5E"/>
    <w:rsid w:val="00733990"/>
    <w:rsid w:val="00742755"/>
    <w:rsid w:val="007428FC"/>
    <w:rsid w:val="007538C3"/>
    <w:rsid w:val="0076363D"/>
    <w:rsid w:val="00774FA2"/>
    <w:rsid w:val="00777633"/>
    <w:rsid w:val="0078188E"/>
    <w:rsid w:val="007A07A9"/>
    <w:rsid w:val="007A21A3"/>
    <w:rsid w:val="007A7B94"/>
    <w:rsid w:val="007C3599"/>
    <w:rsid w:val="007E3CC6"/>
    <w:rsid w:val="007E724B"/>
    <w:rsid w:val="00801659"/>
    <w:rsid w:val="00802398"/>
    <w:rsid w:val="00805450"/>
    <w:rsid w:val="008105CC"/>
    <w:rsid w:val="00823A5A"/>
    <w:rsid w:val="00834CA2"/>
    <w:rsid w:val="008448BE"/>
    <w:rsid w:val="00845315"/>
    <w:rsid w:val="008510A7"/>
    <w:rsid w:val="008521AE"/>
    <w:rsid w:val="00876E2F"/>
    <w:rsid w:val="008A22E7"/>
    <w:rsid w:val="008A2B86"/>
    <w:rsid w:val="008A5AAB"/>
    <w:rsid w:val="008B1435"/>
    <w:rsid w:val="008B3417"/>
    <w:rsid w:val="008B3E19"/>
    <w:rsid w:val="008C4BD3"/>
    <w:rsid w:val="008C6F47"/>
    <w:rsid w:val="008D1337"/>
    <w:rsid w:val="008D3246"/>
    <w:rsid w:val="008D755F"/>
    <w:rsid w:val="008F2637"/>
    <w:rsid w:val="00900FB8"/>
    <w:rsid w:val="00903C2F"/>
    <w:rsid w:val="00913310"/>
    <w:rsid w:val="00915F2C"/>
    <w:rsid w:val="00923CC4"/>
    <w:rsid w:val="00951BE8"/>
    <w:rsid w:val="00951E18"/>
    <w:rsid w:val="009570E7"/>
    <w:rsid w:val="009860D8"/>
    <w:rsid w:val="009868F3"/>
    <w:rsid w:val="00986FD2"/>
    <w:rsid w:val="00990822"/>
    <w:rsid w:val="00990EAC"/>
    <w:rsid w:val="00992C71"/>
    <w:rsid w:val="00994A5F"/>
    <w:rsid w:val="009A5782"/>
    <w:rsid w:val="009B65FA"/>
    <w:rsid w:val="009C02C3"/>
    <w:rsid w:val="009C50BD"/>
    <w:rsid w:val="009C72A0"/>
    <w:rsid w:val="009D4AAC"/>
    <w:rsid w:val="009E5F1A"/>
    <w:rsid w:val="009F01CF"/>
    <w:rsid w:val="009F0E9E"/>
    <w:rsid w:val="00A0331F"/>
    <w:rsid w:val="00A11649"/>
    <w:rsid w:val="00A237FC"/>
    <w:rsid w:val="00A24522"/>
    <w:rsid w:val="00A26ACE"/>
    <w:rsid w:val="00A447F0"/>
    <w:rsid w:val="00A551C3"/>
    <w:rsid w:val="00A7264B"/>
    <w:rsid w:val="00A82E07"/>
    <w:rsid w:val="00A967F3"/>
    <w:rsid w:val="00AB3D7B"/>
    <w:rsid w:val="00AB52B2"/>
    <w:rsid w:val="00AC524B"/>
    <w:rsid w:val="00AD7325"/>
    <w:rsid w:val="00AE1F3B"/>
    <w:rsid w:val="00AE7C07"/>
    <w:rsid w:val="00AF354F"/>
    <w:rsid w:val="00AF4A56"/>
    <w:rsid w:val="00B11843"/>
    <w:rsid w:val="00B119A2"/>
    <w:rsid w:val="00B119FC"/>
    <w:rsid w:val="00B11DD6"/>
    <w:rsid w:val="00B2235C"/>
    <w:rsid w:val="00B242D2"/>
    <w:rsid w:val="00B2490C"/>
    <w:rsid w:val="00B3144F"/>
    <w:rsid w:val="00B3676B"/>
    <w:rsid w:val="00B61B66"/>
    <w:rsid w:val="00B82C7B"/>
    <w:rsid w:val="00B93426"/>
    <w:rsid w:val="00BA44DC"/>
    <w:rsid w:val="00BA4C87"/>
    <w:rsid w:val="00BA743F"/>
    <w:rsid w:val="00BB017D"/>
    <w:rsid w:val="00BD1F92"/>
    <w:rsid w:val="00BD62E4"/>
    <w:rsid w:val="00BE7AAD"/>
    <w:rsid w:val="00BF480A"/>
    <w:rsid w:val="00C01871"/>
    <w:rsid w:val="00C037DA"/>
    <w:rsid w:val="00C0572D"/>
    <w:rsid w:val="00C144E7"/>
    <w:rsid w:val="00C15010"/>
    <w:rsid w:val="00C15A22"/>
    <w:rsid w:val="00C16DAD"/>
    <w:rsid w:val="00C276EE"/>
    <w:rsid w:val="00C4145A"/>
    <w:rsid w:val="00C4273B"/>
    <w:rsid w:val="00C50E28"/>
    <w:rsid w:val="00C51B70"/>
    <w:rsid w:val="00C53081"/>
    <w:rsid w:val="00C554EF"/>
    <w:rsid w:val="00C669E0"/>
    <w:rsid w:val="00C768D5"/>
    <w:rsid w:val="00C775E3"/>
    <w:rsid w:val="00C776EE"/>
    <w:rsid w:val="00C820B2"/>
    <w:rsid w:val="00C9209D"/>
    <w:rsid w:val="00C93522"/>
    <w:rsid w:val="00C9500F"/>
    <w:rsid w:val="00CA1414"/>
    <w:rsid w:val="00CA2AC3"/>
    <w:rsid w:val="00CC0ABB"/>
    <w:rsid w:val="00CC1696"/>
    <w:rsid w:val="00CC47F0"/>
    <w:rsid w:val="00CD00F6"/>
    <w:rsid w:val="00CD1BF5"/>
    <w:rsid w:val="00CD1E01"/>
    <w:rsid w:val="00CF4FF5"/>
    <w:rsid w:val="00CF5F1F"/>
    <w:rsid w:val="00D1681E"/>
    <w:rsid w:val="00D179FA"/>
    <w:rsid w:val="00D3047A"/>
    <w:rsid w:val="00D30AE1"/>
    <w:rsid w:val="00D34ABF"/>
    <w:rsid w:val="00D47D3D"/>
    <w:rsid w:val="00D562B9"/>
    <w:rsid w:val="00D63C88"/>
    <w:rsid w:val="00D65F05"/>
    <w:rsid w:val="00D81AA7"/>
    <w:rsid w:val="00D8278E"/>
    <w:rsid w:val="00D833CA"/>
    <w:rsid w:val="00D86098"/>
    <w:rsid w:val="00D866F6"/>
    <w:rsid w:val="00D87394"/>
    <w:rsid w:val="00D91FAB"/>
    <w:rsid w:val="00DA3F87"/>
    <w:rsid w:val="00DA4AC7"/>
    <w:rsid w:val="00DA5E4B"/>
    <w:rsid w:val="00DB43BF"/>
    <w:rsid w:val="00DB6AA3"/>
    <w:rsid w:val="00DE228E"/>
    <w:rsid w:val="00DE3658"/>
    <w:rsid w:val="00DE4376"/>
    <w:rsid w:val="00DE6AFB"/>
    <w:rsid w:val="00DF698D"/>
    <w:rsid w:val="00E23DDE"/>
    <w:rsid w:val="00E37F48"/>
    <w:rsid w:val="00E56923"/>
    <w:rsid w:val="00E66D54"/>
    <w:rsid w:val="00E6722A"/>
    <w:rsid w:val="00E83F6B"/>
    <w:rsid w:val="00E93E1B"/>
    <w:rsid w:val="00E95977"/>
    <w:rsid w:val="00E95C27"/>
    <w:rsid w:val="00E96D9D"/>
    <w:rsid w:val="00E97996"/>
    <w:rsid w:val="00EA406C"/>
    <w:rsid w:val="00EA6345"/>
    <w:rsid w:val="00EB334A"/>
    <w:rsid w:val="00EC0B1E"/>
    <w:rsid w:val="00EC276A"/>
    <w:rsid w:val="00ED7CCD"/>
    <w:rsid w:val="00EE2517"/>
    <w:rsid w:val="00EF1412"/>
    <w:rsid w:val="00EF414C"/>
    <w:rsid w:val="00EF59C5"/>
    <w:rsid w:val="00F0606E"/>
    <w:rsid w:val="00F16F19"/>
    <w:rsid w:val="00F23AE1"/>
    <w:rsid w:val="00F3106D"/>
    <w:rsid w:val="00F4199A"/>
    <w:rsid w:val="00F44EE0"/>
    <w:rsid w:val="00F52AAF"/>
    <w:rsid w:val="00F53B0B"/>
    <w:rsid w:val="00F61515"/>
    <w:rsid w:val="00F645B9"/>
    <w:rsid w:val="00F6771D"/>
    <w:rsid w:val="00F7000B"/>
    <w:rsid w:val="00F71FC9"/>
    <w:rsid w:val="00F73F5D"/>
    <w:rsid w:val="00F82750"/>
    <w:rsid w:val="00F83D37"/>
    <w:rsid w:val="00F87F3C"/>
    <w:rsid w:val="00F973F3"/>
    <w:rsid w:val="00FA06CA"/>
    <w:rsid w:val="00FA5E7A"/>
    <w:rsid w:val="00FB5823"/>
    <w:rsid w:val="00FC3763"/>
    <w:rsid w:val="00FC37E6"/>
    <w:rsid w:val="00FC5BB5"/>
    <w:rsid w:val="00FD415E"/>
    <w:rsid w:val="00FF32E0"/>
    <w:rsid w:val="00FF54FC"/>
    <w:rsid w:val="00FF5A05"/>
    <w:rsid w:val="0B8ECCD0"/>
    <w:rsid w:val="402FA64B"/>
    <w:rsid w:val="4E9472D6"/>
    <w:rsid w:val="53E04B4E"/>
    <w:rsid w:val="767FF5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8EF8"/>
  <w15:chartTrackingRefBased/>
  <w15:docId w15:val="{0F48D024-CFD2-495F-9B2A-D75BE802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FA06CA"/>
    <w:rPr>
      <w:rFonts w:ascii="Times New Roman" w:eastAsia="Times New Roman" w:hAnsi="Times New Roman" w:cs="Times New Roman"/>
      <w:sz w:val="18"/>
      <w:szCs w:val="20"/>
      <w:lang w:eastAsia="en-AU"/>
    </w:rPr>
  </w:style>
  <w:style w:type="paragraph" w:styleId="Revision">
    <w:name w:val="Revision"/>
    <w:hidden/>
    <w:uiPriority w:val="99"/>
    <w:semiHidden/>
    <w:rsid w:val="007112AD"/>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C144E7"/>
    <w:rPr>
      <w:sz w:val="16"/>
      <w:szCs w:val="16"/>
    </w:rPr>
  </w:style>
  <w:style w:type="paragraph" w:styleId="CommentText">
    <w:name w:val="annotation text"/>
    <w:basedOn w:val="Normal"/>
    <w:link w:val="CommentTextChar"/>
    <w:uiPriority w:val="99"/>
    <w:unhideWhenUsed/>
    <w:rsid w:val="00C144E7"/>
    <w:pPr>
      <w:spacing w:line="240" w:lineRule="auto"/>
    </w:pPr>
    <w:rPr>
      <w:sz w:val="20"/>
    </w:rPr>
  </w:style>
  <w:style w:type="character" w:customStyle="1" w:styleId="CommentTextChar">
    <w:name w:val="Comment Text Char"/>
    <w:basedOn w:val="DefaultParagraphFont"/>
    <w:link w:val="CommentText"/>
    <w:uiPriority w:val="99"/>
    <w:rsid w:val="00C144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44E7"/>
    <w:rPr>
      <w:b/>
      <w:bCs/>
    </w:rPr>
  </w:style>
  <w:style w:type="character" w:customStyle="1" w:styleId="CommentSubjectChar">
    <w:name w:val="Comment Subject Char"/>
    <w:basedOn w:val="CommentTextChar"/>
    <w:link w:val="CommentSubject"/>
    <w:uiPriority w:val="99"/>
    <w:semiHidden/>
    <w:rsid w:val="00C144E7"/>
    <w:rPr>
      <w:rFonts w:ascii="Times New Roman" w:hAnsi="Times New Roman"/>
      <w:b/>
      <w:bCs/>
      <w:sz w:val="20"/>
      <w:szCs w:val="20"/>
    </w:rPr>
  </w:style>
  <w:style w:type="character" w:customStyle="1" w:styleId="cf01">
    <w:name w:val="cf01"/>
    <w:basedOn w:val="DefaultParagraphFont"/>
    <w:rsid w:val="000A394A"/>
    <w:rPr>
      <w:rFonts w:ascii="Segoe UI" w:hAnsi="Segoe UI" w:cs="Segoe UI" w:hint="default"/>
      <w:sz w:val="18"/>
      <w:szCs w:val="18"/>
    </w:rPr>
  </w:style>
  <w:style w:type="paragraph" w:customStyle="1" w:styleId="xmsonormal">
    <w:name w:val="x_msonormal"/>
    <w:basedOn w:val="Normal"/>
    <w:rsid w:val="00B11843"/>
    <w:pPr>
      <w:spacing w:line="240" w:lineRule="auto"/>
    </w:pPr>
    <w:rPr>
      <w:rFonts w:ascii="Calibri" w:hAnsi="Calibri" w:cs="Calibri"/>
      <w:szCs w:val="22"/>
      <w:lang w:eastAsia="en-AU"/>
    </w:rPr>
  </w:style>
  <w:style w:type="character" w:customStyle="1" w:styleId="ui-provider">
    <w:name w:val="ui-provider"/>
    <w:basedOn w:val="DefaultParagraphFont"/>
    <w:rsid w:val="00C4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10218">
      <w:bodyDiv w:val="1"/>
      <w:marLeft w:val="0"/>
      <w:marRight w:val="0"/>
      <w:marTop w:val="0"/>
      <w:marBottom w:val="0"/>
      <w:divBdr>
        <w:top w:val="none" w:sz="0" w:space="0" w:color="auto"/>
        <w:left w:val="none" w:sz="0" w:space="0" w:color="auto"/>
        <w:bottom w:val="none" w:sz="0" w:space="0" w:color="auto"/>
        <w:right w:val="none" w:sz="0" w:space="0" w:color="auto"/>
      </w:divBdr>
    </w:div>
    <w:div w:id="467480109">
      <w:bodyDiv w:val="1"/>
      <w:marLeft w:val="0"/>
      <w:marRight w:val="0"/>
      <w:marTop w:val="0"/>
      <w:marBottom w:val="0"/>
      <w:divBdr>
        <w:top w:val="none" w:sz="0" w:space="0" w:color="auto"/>
        <w:left w:val="none" w:sz="0" w:space="0" w:color="auto"/>
        <w:bottom w:val="none" w:sz="0" w:space="0" w:color="auto"/>
        <w:right w:val="none" w:sz="0" w:space="0" w:color="auto"/>
      </w:divBdr>
    </w:div>
    <w:div w:id="636838048">
      <w:bodyDiv w:val="1"/>
      <w:marLeft w:val="0"/>
      <w:marRight w:val="0"/>
      <w:marTop w:val="0"/>
      <w:marBottom w:val="0"/>
      <w:divBdr>
        <w:top w:val="none" w:sz="0" w:space="0" w:color="auto"/>
        <w:left w:val="none" w:sz="0" w:space="0" w:color="auto"/>
        <w:bottom w:val="none" w:sz="0" w:space="0" w:color="auto"/>
        <w:right w:val="none" w:sz="0" w:space="0" w:color="auto"/>
      </w:divBdr>
    </w:div>
    <w:div w:id="15789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DDEA869EB26478B81A8F368743AAA" ma:contentTypeVersion="22" ma:contentTypeDescription="Create a new document." ma:contentTypeScope="" ma:versionID="abb0e77ae1728ab3158e5a4e4b23f00b">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15201b79-42f3-4977-ba9e-7dd44f27b305" targetNamespace="http://schemas.microsoft.com/office/2006/metadata/properties" ma:root="true" ma:fieldsID="d90615a5be4a31acdbd6ed6ee0844451" ns1:_="" ns2:_="" ns3:_="" ns4:_="" ns5:_="">
    <xsd:import namespace="http://schemas.microsoft.com/sharepoint/v3"/>
    <xsd:import namespace="ff38c824-6e29-4496-8487-69f397e7ed29"/>
    <xsd:import namespace="fe39d773-a83d-4623-ae74-f25711a76616"/>
    <xsd:import namespace="a289cb20-8bb9-401f-8d7b-706fb1a2988d"/>
    <xsd:import namespace="15201b79-42f3-4977-ba9e-7dd44f27b305"/>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01b79-42f3-4977-ba9e-7dd44f27b305"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92</Value>
      <Value>68</Value>
      <Value>3</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Climate change</TermName>
          <TermId xmlns="http://schemas.microsoft.com/office/infopath/2007/PartnerControls">3c8d4b84-03f3-4bab-8667-fcd5bd571ed7</TermId>
        </TermInfo>
      </Terms>
    </gfba5f33532c49208d2320ce38cc3c2b>
    <_dlc_DocId xmlns="fe39d773-a83d-4623-ae74-f25711a76616">5D7SUYYWNZQE-314662020-118</_dlc_DocId>
    <_dlc_DocIdUrl xmlns="fe39d773-a83d-4623-ae74-f25711a76616">
      <Url>https://austreasury.sharepoint.com/sites/leg-meas-function/_layouts/15/DocIdRedir.aspx?ID=5D7SUYYWNZQE-314662020-118</Url>
      <Description>5D7SUYYWNZQE-314662020-118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DD5D-2C02-4529-93E0-A607451D2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15201b79-42f3-4977-ba9e-7dd44f27b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99791-30C2-4DB0-AD48-B49C821918A8}">
  <ds:schemaRefs>
    <ds:schemaRef ds:uri="http://schemas.microsoft.com/sharepoint/events"/>
  </ds:schemaRefs>
</ds:datastoreItem>
</file>

<file path=customXml/itemProps3.xml><?xml version="1.0" encoding="utf-8"?>
<ds:datastoreItem xmlns:ds="http://schemas.openxmlformats.org/officeDocument/2006/customXml" ds:itemID="{F758A5C2-4C75-43CB-9EAB-BB69FE590021}">
  <ds:schemaRefs>
    <ds:schemaRef ds:uri="http://purl.org/dc/dcmitype/"/>
    <ds:schemaRef ds:uri="fe39d773-a83d-4623-ae74-f25711a76616"/>
    <ds:schemaRef ds:uri="http://www.w3.org/XML/1998/namespace"/>
    <ds:schemaRef ds:uri="15201b79-42f3-4977-ba9e-7dd44f27b305"/>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ff38c824-6e29-4496-8487-69f397e7ed29"/>
    <ds:schemaRef ds:uri="http://schemas.microsoft.com/sharepoint/v3"/>
    <ds:schemaRef ds:uri="http://schemas.microsoft.com/office/infopath/2007/PartnerControls"/>
    <ds:schemaRef ds:uri="a289cb20-8bb9-401f-8d7b-706fb1a2988d"/>
    <ds:schemaRef ds:uri="http://purl.org/dc/terms/"/>
  </ds:schemaRefs>
</ds:datastoreItem>
</file>

<file path=customXml/itemProps4.xml><?xml version="1.0" encoding="utf-8"?>
<ds:datastoreItem xmlns:ds="http://schemas.openxmlformats.org/officeDocument/2006/customXml" ds:itemID="{95DE9DFD-C791-40D1-84A0-C818642591D2}">
  <ds:schemaRefs>
    <ds:schemaRef ds:uri="http://schemas.microsoft.com/sharepoint/v3/contenttype/forms"/>
  </ds:schemaRefs>
</ds:datastoreItem>
</file>

<file path=customXml/itemProps5.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32</TotalTime>
  <Pages>9</Pages>
  <Words>1163</Words>
  <Characters>6633</Characters>
  <Application>Microsoft Office Word</Application>
  <DocSecurity>0</DocSecurity>
  <Lines>55</Lines>
  <Paragraphs>15</Paragraphs>
  <ScaleCrop>false</ScaleCrop>
  <Company>Australian Government</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Leggett, Chris</cp:lastModifiedBy>
  <cp:revision>14</cp:revision>
  <cp:lastPrinted>2024-11-12T06:00:00Z</cp:lastPrinted>
  <dcterms:created xsi:type="dcterms:W3CDTF">2024-11-08T05:35:00Z</dcterms:created>
  <dcterms:modified xsi:type="dcterms:W3CDTF">2024-11-19T22:26:00Z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0x010100F21DDEA869EB26478B81A8F368743AAA</vt:lpwstr>
  </property>
  <property fmtid="{D5CDD505-2E9C-101B-9397-08002B2CF9AE}" pid="15" name="TSYRecordClass">
    <vt:lpwstr>1;#AE-20260-Destroy 7 years after action completed|623f5ec9-ec5d-4824-8e13-9c9bfc51fe7e</vt:lpwstr>
  </property>
  <property fmtid="{D5CDD505-2E9C-101B-9397-08002B2CF9AE}" pid="16" name="MSIP_Label_221efc91-5b9b-47f7-b46d-2bd3ec97b786_Enabled">
    <vt:lpwstr>true</vt:lpwstr>
  </property>
  <property fmtid="{D5CDD505-2E9C-101B-9397-08002B2CF9AE}" pid="17" name="MSIP_Label_221efc91-5b9b-47f7-b46d-2bd3ec97b786_SetDate">
    <vt:lpwstr>2024-09-18T09:02:12Z</vt:lpwstr>
  </property>
  <property fmtid="{D5CDD505-2E9C-101B-9397-08002B2CF9AE}" pid="18" name="MSIP_Label_221efc91-5b9b-47f7-b46d-2bd3ec97b786_Method">
    <vt:lpwstr>Privileged</vt:lpwstr>
  </property>
  <property fmtid="{D5CDD505-2E9C-101B-9397-08002B2CF9AE}" pid="19" name="MSIP_Label_221efc91-5b9b-47f7-b46d-2bd3ec97b786_Name">
    <vt:lpwstr>OS LP AM</vt:lpwstr>
  </property>
  <property fmtid="{D5CDD505-2E9C-101B-9397-08002B2CF9AE}" pid="20" name="MSIP_Label_221efc91-5b9b-47f7-b46d-2bd3ec97b786_SiteId">
    <vt:lpwstr>214f1646-2021-47cc-8397-e3d3a7ba7d9d</vt:lpwstr>
  </property>
  <property fmtid="{D5CDD505-2E9C-101B-9397-08002B2CF9AE}" pid="21" name="MSIP_Label_221efc91-5b9b-47f7-b46d-2bd3ec97b786_ActionId">
    <vt:lpwstr>e2c2c388-3e3f-4dcf-9815-28da8ed83071</vt:lpwstr>
  </property>
  <property fmtid="{D5CDD505-2E9C-101B-9397-08002B2CF9AE}" pid="22" name="MSIP_Label_221efc91-5b9b-47f7-b46d-2bd3ec97b786_ContentBits">
    <vt:lpwstr>0</vt:lpwstr>
  </property>
  <property fmtid="{D5CDD505-2E9C-101B-9397-08002B2CF9AE}" pid="23" name="TSYStatus">
    <vt:lpwstr/>
  </property>
  <property fmtid="{D5CDD505-2E9C-101B-9397-08002B2CF9AE}" pid="24" name="eTheme">
    <vt:lpwstr>1;#Law Design|318dd2d2-18da-4b8e-a458-14db2c1af95f</vt:lpwstr>
  </property>
  <property fmtid="{D5CDD505-2E9C-101B-9397-08002B2CF9AE}" pid="25" name="eDocumentType">
    <vt:lpwstr>68;#Legislation|bc5c492f-641e-4b74-8651-322acd553d0f</vt:lpwstr>
  </property>
  <property fmtid="{D5CDD505-2E9C-101B-9397-08002B2CF9AE}" pid="26" name="eTopic">
    <vt:lpwstr>92;#Climate change|3c8d4b84-03f3-4bab-8667-fcd5bd571ed7</vt:lpwstr>
  </property>
  <property fmtid="{D5CDD505-2E9C-101B-9397-08002B2CF9AE}" pid="27" name="LMDivision">
    <vt:lpwstr>3;#Treasury Enterprise Terms|69519368-d55f-4403-adc0-7b3d464d5501</vt:lpwstr>
  </property>
  <property fmtid="{D5CDD505-2E9C-101B-9397-08002B2CF9AE}" pid="28" name="eActivity">
    <vt:lpwstr>28;#Legislative measures|0d31ce10-0017-4a46-8d2d-ba60058cb6a2</vt:lpwstr>
  </property>
  <property fmtid="{D5CDD505-2E9C-101B-9397-08002B2CF9AE}" pid="29" name="k8424359e03846678cc4a99dd97e9705">
    <vt:lpwstr>Treasury Enterprise Terms|69519368-d55f-4403-adc0-7b3d464d5501</vt:lpwstr>
  </property>
  <property fmtid="{D5CDD505-2E9C-101B-9397-08002B2CF9AE}" pid="30" name="_dlc_DocIdItemGuid">
    <vt:lpwstr>2b818068-d5ea-432d-864b-c082bb79bc77</vt:lpwstr>
  </property>
</Properties>
</file>