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1128"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7D2EFE2C" w14:textId="046C32D8"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CADECC15DC70455A8556241EA2B9FC5A"/>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0C6491">
            <w:rPr>
              <w:rStyle w:val="DefaultChar"/>
            </w:rPr>
            <w:t>the Treasurer</w:t>
          </w:r>
        </w:sdtContent>
      </w:sdt>
      <w:r w:rsidR="00076178" w:rsidRPr="003C5719">
        <w:rPr>
          <w:sz w:val="24"/>
          <w:szCs w:val="24"/>
        </w:rPr>
        <w:t xml:space="preserve"> </w:t>
      </w:r>
      <w:r w:rsidR="008B3FC1">
        <w:rPr>
          <w:sz w:val="24"/>
          <w:szCs w:val="24"/>
        </w:rPr>
        <w:t>and Finance Minister</w:t>
      </w:r>
    </w:p>
    <w:p w14:paraId="0ED9EB9A" w14:textId="1A007313" w:rsidR="00F109D4" w:rsidRPr="003C5719" w:rsidRDefault="000C6491" w:rsidP="004A27A8">
      <w:pPr>
        <w:spacing w:before="240" w:after="240"/>
        <w:jc w:val="center"/>
        <w:rPr>
          <w:i/>
        </w:rPr>
      </w:pPr>
      <w:r>
        <w:rPr>
          <w:i/>
        </w:rPr>
        <w:t>Future Fund Act 2006</w:t>
      </w:r>
    </w:p>
    <w:p w14:paraId="5930321C" w14:textId="5FF71988" w:rsidR="00F109D4" w:rsidRPr="003C5719" w:rsidRDefault="003833D0" w:rsidP="004A27A8">
      <w:pPr>
        <w:tabs>
          <w:tab w:val="left" w:pos="1418"/>
        </w:tabs>
        <w:spacing w:before="0" w:after="240"/>
        <w:jc w:val="center"/>
        <w:rPr>
          <w:i/>
        </w:rPr>
      </w:pPr>
      <w:r>
        <w:rPr>
          <w:i/>
        </w:rPr>
        <w:t>Future Fund Investment Mandate Direction 20</w:t>
      </w:r>
      <w:r w:rsidR="00C12188">
        <w:rPr>
          <w:i/>
        </w:rPr>
        <w:t>24</w:t>
      </w:r>
    </w:p>
    <w:p w14:paraId="28FF3ABC" w14:textId="67C390E3" w:rsidR="00892D3B" w:rsidRDefault="00C55D29" w:rsidP="004A27A8">
      <w:pPr>
        <w:spacing w:before="240"/>
      </w:pPr>
      <w:r w:rsidRPr="003C5719">
        <w:t xml:space="preserve">Section </w:t>
      </w:r>
      <w:r w:rsidR="00F042CB">
        <w:t>18</w:t>
      </w:r>
      <w:r w:rsidR="005E4BAC" w:rsidRPr="003C5719">
        <w:t xml:space="preserve"> </w:t>
      </w:r>
      <w:r w:rsidR="00F109D4" w:rsidRPr="003C5719">
        <w:t xml:space="preserve">of the </w:t>
      </w:r>
      <w:r w:rsidR="00F042CB">
        <w:rPr>
          <w:i/>
          <w:iCs/>
        </w:rPr>
        <w:t>Future Fund Act 2006</w:t>
      </w:r>
      <w:r w:rsidR="00DF0950" w:rsidRPr="00503147">
        <w:t xml:space="preserve"> </w:t>
      </w:r>
      <w:r w:rsidR="00352842" w:rsidRPr="00503147">
        <w:t>(</w:t>
      </w:r>
      <w:r w:rsidR="00DF0950" w:rsidRPr="00503147">
        <w:t>t</w:t>
      </w:r>
      <w:r w:rsidR="00FB4D57" w:rsidRPr="00503147">
        <w:t>he Act</w:t>
      </w:r>
      <w:r w:rsidR="00352842" w:rsidRPr="00503147">
        <w:t>)</w:t>
      </w:r>
      <w:r w:rsidR="00F109D4" w:rsidRPr="00503147">
        <w:t xml:space="preserve"> </w:t>
      </w:r>
      <w:r w:rsidR="00F109D4" w:rsidRPr="003C5719">
        <w:t xml:space="preserve">provides that the </w:t>
      </w:r>
      <w:r w:rsidR="008B3FC1">
        <w:t xml:space="preserve">responsible </w:t>
      </w:r>
      <w:r w:rsidR="000D0446">
        <w:t>Minister</w:t>
      </w:r>
      <w:r w:rsidR="008B3FC1">
        <w:t>s</w:t>
      </w:r>
      <w:r w:rsidR="00F109D4" w:rsidRPr="003C5719">
        <w:t xml:space="preserve"> may</w:t>
      </w:r>
      <w:r w:rsidR="00FB18C7">
        <w:t>, by legislative instrument,</w:t>
      </w:r>
      <w:r w:rsidR="00F109D4" w:rsidRPr="003C5719">
        <w:t xml:space="preserve"> </w:t>
      </w:r>
      <w:r w:rsidR="00A9445D">
        <w:t xml:space="preserve">give the </w:t>
      </w:r>
      <w:r w:rsidR="00161D10">
        <w:t>Future Fund Board of Guardians</w:t>
      </w:r>
      <w:r w:rsidR="00A9445D">
        <w:t xml:space="preserve"> </w:t>
      </w:r>
      <w:r w:rsidR="00161D10">
        <w:t>(</w:t>
      </w:r>
      <w:r w:rsidR="00CA05D5">
        <w:t xml:space="preserve">the </w:t>
      </w:r>
      <w:r w:rsidR="00161D10">
        <w:t xml:space="preserve">Board) </w:t>
      </w:r>
      <w:r w:rsidR="00A9445D">
        <w:t>written directions about the performance of its investment functions</w:t>
      </w:r>
      <w:r w:rsidR="00444C26">
        <w:t>, known collectively as the Future Fund Investment Mandate</w:t>
      </w:r>
      <w:r w:rsidR="005B2CEE">
        <w:t xml:space="preserve"> (Investment Mandate)</w:t>
      </w:r>
      <w:r w:rsidR="00444C26">
        <w:t>.</w:t>
      </w:r>
      <w:r w:rsidR="005B2CEE">
        <w:t xml:space="preserve"> The Board is subject to the requirements of the Act and the Investment Mandate. Subsection 33(3) of the </w:t>
      </w:r>
      <w:r w:rsidR="005B2CEE">
        <w:rPr>
          <w:i/>
          <w:iCs/>
        </w:rPr>
        <w:t xml:space="preserve">Acts Interpretation Act 1901 </w:t>
      </w:r>
      <w:r w:rsidR="005B2CEE">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90F8439" w14:textId="635AAD98" w:rsidR="00A31151" w:rsidRDefault="00DD424C" w:rsidP="004A27A8">
      <w:pPr>
        <w:spacing w:before="240"/>
      </w:pPr>
      <w:r>
        <w:t xml:space="preserve">The Act establishes </w:t>
      </w:r>
      <w:r w:rsidR="008C5870">
        <w:t xml:space="preserve">an Australian Government investment fund </w:t>
      </w:r>
      <w:r w:rsidR="00753A35">
        <w:t>– the Future Fund</w:t>
      </w:r>
      <w:r w:rsidR="00A41AE6">
        <w:t xml:space="preserve"> (the Fund)</w:t>
      </w:r>
      <w:r w:rsidR="00753A35">
        <w:t xml:space="preserve"> – to</w:t>
      </w:r>
      <w:r w:rsidR="008C5870">
        <w:t xml:space="preserve"> strengthen the Commonwealth’s long-term financial position by</w:t>
      </w:r>
      <w:r w:rsidR="00D54754">
        <w:t xml:space="preserve"> provisioning for</w:t>
      </w:r>
      <w:r w:rsidR="00753A35">
        <w:t xml:space="preserve"> unfunded superannuation liabilities.</w:t>
      </w:r>
      <w:r w:rsidR="00A31151">
        <w:t xml:space="preserve"> </w:t>
      </w:r>
      <w:r w:rsidR="00753A35">
        <w:t>T</w:t>
      </w:r>
      <w:r w:rsidR="00A31151">
        <w:t>he Board is responsible for deciding how to invest the</w:t>
      </w:r>
      <w:r w:rsidR="00BA0A91">
        <w:t xml:space="preserve"> Fu</w:t>
      </w:r>
      <w:r w:rsidR="00A41AE6">
        <w:t>nd</w:t>
      </w:r>
      <w:r w:rsidR="00BA0A91">
        <w:t xml:space="preserve"> and must seek to maximise the return earned on the Fund </w:t>
      </w:r>
      <w:r w:rsidR="00D22D0B">
        <w:t xml:space="preserve">over the long term, consistent with international best practice for institutional investment. </w:t>
      </w:r>
    </w:p>
    <w:p w14:paraId="769ED6F0" w14:textId="1EDCB838" w:rsidR="00684B9D" w:rsidRDefault="004F03F4" w:rsidP="00090512">
      <w:pPr>
        <w:pStyle w:val="base-text-paragraph"/>
        <w:tabs>
          <w:tab w:val="clear" w:pos="1987"/>
          <w:tab w:val="num" w:pos="1984"/>
        </w:tabs>
        <w:ind w:left="0"/>
      </w:pPr>
      <w:r w:rsidRPr="003C5719">
        <w:t xml:space="preserve">The purpose of the </w:t>
      </w:r>
      <w:r w:rsidR="003F5ACE">
        <w:rPr>
          <w:i/>
        </w:rPr>
        <w:t xml:space="preserve">Future Fund Investment Mandate </w:t>
      </w:r>
      <w:r w:rsidR="00B02227">
        <w:rPr>
          <w:i/>
        </w:rPr>
        <w:t xml:space="preserve">Direction 2024 </w:t>
      </w:r>
      <w:r w:rsidR="00D77564">
        <w:rPr>
          <w:iCs/>
        </w:rPr>
        <w:t>(Instrument)</w:t>
      </w:r>
      <w:r w:rsidR="00B02227">
        <w:rPr>
          <w:i/>
        </w:rPr>
        <w:t xml:space="preserve"> </w:t>
      </w:r>
      <w:r w:rsidRPr="003C5719">
        <w:t xml:space="preserve">is to </w:t>
      </w:r>
      <w:r w:rsidR="00F96AFF">
        <w:t xml:space="preserve">reflect current drafting practices and </w:t>
      </w:r>
      <w:r w:rsidR="00F00725">
        <w:t xml:space="preserve">insert a new provision to </w:t>
      </w:r>
      <w:r w:rsidR="00A62ADF">
        <w:t xml:space="preserve">ensure that </w:t>
      </w:r>
      <w:r w:rsidR="00D54754">
        <w:t xml:space="preserve">the Board </w:t>
      </w:r>
      <w:r w:rsidR="0054096B">
        <w:t>has regard to</w:t>
      </w:r>
      <w:r w:rsidR="00D54754">
        <w:t xml:space="preserve"> national priorities </w:t>
      </w:r>
      <w:r w:rsidR="00A62ADF">
        <w:t>as part of the Fund’s overarching investment strategy</w:t>
      </w:r>
      <w:r w:rsidR="00DA0924">
        <w:t>.</w:t>
      </w:r>
      <w:r w:rsidR="00E154C5">
        <w:t xml:space="preserve"> </w:t>
      </w:r>
    </w:p>
    <w:p w14:paraId="10D55D13" w14:textId="4A0EF535" w:rsidR="006E3AB4" w:rsidRDefault="00335D61" w:rsidP="004A27A8">
      <w:pPr>
        <w:spacing w:before="240"/>
      </w:pPr>
      <w:r>
        <w:t xml:space="preserve">The Board was consulted </w:t>
      </w:r>
      <w:r w:rsidR="00E07BC7">
        <w:t>prior to settling</w:t>
      </w:r>
      <w:r w:rsidR="00452D95">
        <w:t xml:space="preserve"> the Instrument</w:t>
      </w:r>
      <w:r w:rsidR="001B698F">
        <w:t xml:space="preserve">, in accordance with section 19 </w:t>
      </w:r>
      <w:r w:rsidR="001432BE">
        <w:t xml:space="preserve">of the Act. </w:t>
      </w:r>
      <w:r w:rsidR="00C24E11">
        <w:t>The Board’s submission, if made, will be tabled</w:t>
      </w:r>
      <w:r w:rsidR="00DF75B3">
        <w:t xml:space="preserve"> in both Houses of Parliament</w:t>
      </w:r>
      <w:r w:rsidR="00C24E11">
        <w:t xml:space="preserve"> and published on the Federal Register of Legislation. </w:t>
      </w:r>
    </w:p>
    <w:p w14:paraId="7484658F" w14:textId="68EA1BCA" w:rsidR="002C226C" w:rsidRPr="003C5719" w:rsidRDefault="002C226C" w:rsidP="004A27A8">
      <w:pPr>
        <w:spacing w:before="240"/>
      </w:pPr>
      <w:r w:rsidRPr="003C5719">
        <w:t xml:space="preserve">The </w:t>
      </w:r>
      <w:r w:rsidR="00651CA2">
        <w:t>Instrument</w:t>
      </w:r>
      <w:r w:rsidR="009E12C4">
        <w:t xml:space="preserve"> 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6CAB9AAB" w14:textId="772C1E29" w:rsidR="00E836DC" w:rsidRDefault="00E836DC" w:rsidP="004A27A8">
      <w:pPr>
        <w:spacing w:before="240"/>
      </w:pPr>
      <w:r>
        <w:t xml:space="preserve">The Instrument is exempt from the sunsetting regime set out in Part 4 of Chapter 3 of the </w:t>
      </w:r>
      <w:r>
        <w:rPr>
          <w:i/>
          <w:iCs/>
        </w:rPr>
        <w:t xml:space="preserve">Legislation Act 2003 </w:t>
      </w:r>
      <w:r>
        <w:t xml:space="preserve">as a result of regulations made for the purposes of paragraph 54(2)(b) of </w:t>
      </w:r>
      <w:r w:rsidR="00003954">
        <w:t>that</w:t>
      </w:r>
      <w:r w:rsidR="0084694C">
        <w:t xml:space="preserve"> </w:t>
      </w:r>
      <w:r>
        <w:t xml:space="preserve">Act. Item </w:t>
      </w:r>
      <w:r w:rsidR="0084694C">
        <w:t xml:space="preserve">3 of the table under section 11 of the </w:t>
      </w:r>
      <w:r w:rsidR="0084694C">
        <w:rPr>
          <w:i/>
          <w:iCs/>
        </w:rPr>
        <w:t xml:space="preserve">Legislation (Exemptions and Other Matters) Regulations 2015 </w:t>
      </w:r>
      <w:r w:rsidR="0084694C">
        <w:t xml:space="preserve">provides for class exemptions from sunsetting if the instrument is a direction by the Minister to any person or body. The Instrument is a direction from the Treasurer and Finance Minister to the Board and therefore is exempt from sunsetting. </w:t>
      </w:r>
    </w:p>
    <w:p w14:paraId="34C250F3" w14:textId="73496D0E" w:rsidR="00660847" w:rsidRPr="00003954" w:rsidRDefault="00003954" w:rsidP="004A27A8">
      <w:pPr>
        <w:spacing w:before="240"/>
      </w:pPr>
      <w:r>
        <w:t xml:space="preserve">As a direction from the responsible Ministers to the Board, the Instrument is also exempt from disallowance under section 42 of the </w:t>
      </w:r>
      <w:r>
        <w:rPr>
          <w:i/>
          <w:iCs/>
        </w:rPr>
        <w:t xml:space="preserve">Legislation Act 2003 </w:t>
      </w:r>
      <w:r>
        <w:t xml:space="preserve">as a result of regulations made for the purposes of paragraph </w:t>
      </w:r>
      <w:r w:rsidR="002C206C">
        <w:t>44(2)(b)</w:t>
      </w:r>
      <w:r>
        <w:t xml:space="preserve"> of that Act</w:t>
      </w:r>
      <w:r w:rsidR="002C206C">
        <w:t xml:space="preserve">. </w:t>
      </w:r>
      <w:r w:rsidR="00B4694F">
        <w:t xml:space="preserve">Item 2 of </w:t>
      </w:r>
      <w:r w:rsidR="00576D46">
        <w:t xml:space="preserve">the table under </w:t>
      </w:r>
      <w:r w:rsidR="00B4694F">
        <w:t xml:space="preserve">section 9 of the </w:t>
      </w:r>
      <w:r w:rsidR="00B4694F">
        <w:rPr>
          <w:i/>
          <w:iCs/>
        </w:rPr>
        <w:t xml:space="preserve">Legislation (Exemptions and Other Matters) Regulations 2015 </w:t>
      </w:r>
      <w:r w:rsidR="00B4694F">
        <w:t xml:space="preserve">provides for class exemptions from disallowance if the instrument is a direction by the Minister to any person or body. </w:t>
      </w:r>
    </w:p>
    <w:p w14:paraId="16391F4E" w14:textId="5F911880" w:rsidR="0000628C" w:rsidRDefault="00F109D4" w:rsidP="004A27A8">
      <w:pPr>
        <w:spacing w:before="240"/>
      </w:pPr>
      <w:r w:rsidRPr="003C5719">
        <w:t xml:space="preserve">The </w:t>
      </w:r>
      <w:r w:rsidR="00B4694F">
        <w:t xml:space="preserve">Instrument commences the </w:t>
      </w:r>
      <w:r w:rsidR="00434A48">
        <w:t>later of the 15</w:t>
      </w:r>
      <w:r w:rsidR="00434A48" w:rsidRPr="00434A48">
        <w:rPr>
          <w:vertAlign w:val="superscript"/>
        </w:rPr>
        <w:t>th</w:t>
      </w:r>
      <w:r w:rsidR="00434A48">
        <w:t xml:space="preserve"> day after the Instrument is made or the day after registration</w:t>
      </w:r>
      <w:r w:rsidR="00B4694F">
        <w:t xml:space="preserve">. </w:t>
      </w:r>
      <w:r w:rsidR="0047265F" w:rsidRPr="003C5719">
        <w:t xml:space="preserve"> </w:t>
      </w:r>
    </w:p>
    <w:p w14:paraId="52568125" w14:textId="4641DF01" w:rsidR="0011527C" w:rsidRPr="003C5719" w:rsidRDefault="0011527C" w:rsidP="004A27A8">
      <w:pPr>
        <w:spacing w:before="240"/>
      </w:pPr>
      <w:r w:rsidRPr="003C5719">
        <w:lastRenderedPageBreak/>
        <w:t xml:space="preserve">Details of the </w:t>
      </w:r>
      <w:r w:rsidR="00183DE2">
        <w:t>Instrument</w:t>
      </w:r>
      <w:r w:rsidRPr="003C5719">
        <w:t xml:space="preserve"> are set out in </w:t>
      </w:r>
      <w:r w:rsidRPr="003C5719">
        <w:rPr>
          <w:u w:val="single"/>
        </w:rPr>
        <w:t xml:space="preserve">Attachment </w:t>
      </w:r>
      <w:r w:rsidR="009E12C4">
        <w:rPr>
          <w:u w:val="single"/>
        </w:rPr>
        <w:t>A</w:t>
      </w:r>
      <w:r w:rsidRPr="003C5719">
        <w:t xml:space="preserve">. </w:t>
      </w:r>
    </w:p>
    <w:p w14:paraId="30F3BE7A" w14:textId="0B612F5C" w:rsidR="00EB2AEF" w:rsidRPr="003C5719" w:rsidRDefault="0011527C" w:rsidP="004A27A8">
      <w:pPr>
        <w:spacing w:before="240"/>
      </w:pPr>
      <w:r w:rsidRPr="003C5719">
        <w:t xml:space="preserve">The Office of Impact Analysis </w:t>
      </w:r>
      <w:r w:rsidR="00237EF7" w:rsidRPr="003C5719">
        <w:t xml:space="preserve">(OIA) </w:t>
      </w:r>
      <w:r w:rsidRPr="003C5719">
        <w:t>has been consulted (OIA</w:t>
      </w:r>
      <w:r w:rsidR="0016745F">
        <w:t>24-08031</w:t>
      </w:r>
      <w:r w:rsidRPr="003C5719">
        <w:t xml:space="preserve">) and agreed that </w:t>
      </w:r>
      <w:r w:rsidR="0016745F">
        <w:t xml:space="preserve">an </w:t>
      </w:r>
      <w:r w:rsidRPr="003C5719">
        <w:t xml:space="preserve">Impact Analysis was </w:t>
      </w:r>
      <w:r w:rsidR="0016745F">
        <w:t xml:space="preserve">not required. </w:t>
      </w:r>
    </w:p>
    <w:p w14:paraId="11DF265D" w14:textId="043D26C7" w:rsidR="00EA4DD8" w:rsidRPr="003C5719" w:rsidRDefault="00EA4DD8" w:rsidP="004A27A8">
      <w:pPr>
        <w:pageBreakBefore/>
        <w:spacing w:before="240"/>
        <w:jc w:val="right"/>
        <w:rPr>
          <w:b/>
          <w:u w:val="single"/>
        </w:rPr>
      </w:pPr>
      <w:r w:rsidRPr="003C5719">
        <w:rPr>
          <w:b/>
          <w:u w:val="single"/>
        </w:rPr>
        <w:lastRenderedPageBreak/>
        <w:t xml:space="preserve">ATTACHMENT </w:t>
      </w:r>
      <w:r w:rsidR="003833D0">
        <w:rPr>
          <w:b/>
          <w:u w:val="single"/>
        </w:rPr>
        <w:t>A</w:t>
      </w:r>
    </w:p>
    <w:p w14:paraId="38CF81AC" w14:textId="7C19602E" w:rsidR="00EA4DD8" w:rsidRPr="003C5719" w:rsidRDefault="00EA4DD8" w:rsidP="004A27A8">
      <w:pPr>
        <w:spacing w:before="240"/>
        <w:rPr>
          <w:b/>
          <w:szCs w:val="24"/>
          <w:u w:val="single"/>
        </w:rPr>
      </w:pPr>
      <w:r w:rsidRPr="003C5719">
        <w:rPr>
          <w:b/>
          <w:bCs/>
          <w:u w:val="single"/>
        </w:rPr>
        <w:t xml:space="preserve">Details of the </w:t>
      </w:r>
      <w:r w:rsidR="008157E2">
        <w:rPr>
          <w:b/>
          <w:i/>
          <w:u w:val="single"/>
        </w:rPr>
        <w:t>F</w:t>
      </w:r>
      <w:r w:rsidR="00032E89">
        <w:rPr>
          <w:b/>
          <w:i/>
          <w:u w:val="single"/>
        </w:rPr>
        <w:t>uture Fund Investment Mandate Direction 2024</w:t>
      </w:r>
      <w:r w:rsidRPr="003C5719">
        <w:rPr>
          <w:b/>
          <w:bCs/>
          <w:u w:val="single"/>
        </w:rPr>
        <w:t xml:space="preserve"> </w:t>
      </w:r>
    </w:p>
    <w:p w14:paraId="0825907F" w14:textId="5A079610" w:rsidR="003D0702" w:rsidRPr="003D0702" w:rsidRDefault="003D0702" w:rsidP="004A27A8">
      <w:pPr>
        <w:spacing w:before="240"/>
        <w:rPr>
          <w:b/>
          <w:bCs/>
          <w:szCs w:val="24"/>
        </w:rPr>
      </w:pPr>
      <w:r>
        <w:rPr>
          <w:b/>
          <w:bCs/>
        </w:rPr>
        <w:t>Part 1 - Preliminary</w:t>
      </w:r>
    </w:p>
    <w:p w14:paraId="0BAE6CB1"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3D8C8789" w14:textId="4DED2015" w:rsidR="00EA4DD8" w:rsidRPr="003C5719" w:rsidRDefault="00EA4DD8" w:rsidP="004A27A8">
      <w:pPr>
        <w:spacing w:before="240"/>
      </w:pPr>
      <w:r w:rsidRPr="003C5719">
        <w:t>This section provides that the name of th</w:t>
      </w:r>
      <w:r w:rsidR="00F47E34">
        <w:t>is</w:t>
      </w:r>
      <w:r w:rsidRPr="003C5719">
        <w:t xml:space="preserve"> </w:t>
      </w:r>
      <w:r w:rsidR="00B75ED5">
        <w:t>instrument</w:t>
      </w:r>
      <w:r w:rsidRPr="003C5719">
        <w:t xml:space="preserve"> is the </w:t>
      </w:r>
      <w:r w:rsidR="00D53D83">
        <w:rPr>
          <w:i/>
        </w:rPr>
        <w:t>Future Fund Investment Mandate Direction 2024</w:t>
      </w:r>
      <w:r w:rsidRPr="003C5719">
        <w:t xml:space="preserve"> (</w:t>
      </w:r>
      <w:r w:rsidR="007103D1">
        <w:t>Instrument</w:t>
      </w:r>
      <w:r w:rsidRPr="003C5719">
        <w:t>).</w:t>
      </w:r>
    </w:p>
    <w:p w14:paraId="53386650" w14:textId="50D80934" w:rsidR="00EA4DD8" w:rsidRPr="003C5719" w:rsidRDefault="00EA4DD8" w:rsidP="004A27A8">
      <w:pPr>
        <w:spacing w:before="240"/>
        <w:rPr>
          <w:u w:val="single"/>
        </w:rPr>
      </w:pPr>
      <w:r w:rsidRPr="003C5719">
        <w:rPr>
          <w:u w:val="single"/>
        </w:rPr>
        <w:t>Section 2 – Commencement</w:t>
      </w:r>
    </w:p>
    <w:p w14:paraId="35B9F935" w14:textId="442198AF" w:rsidR="00EA4DD8" w:rsidRPr="006A33CC" w:rsidRDefault="00B4694F" w:rsidP="004A27A8">
      <w:pPr>
        <w:spacing w:before="240"/>
      </w:pPr>
      <w:r>
        <w:t>The Instrument commences the</w:t>
      </w:r>
      <w:r w:rsidR="00E51B60">
        <w:t xml:space="preserve"> later of</w:t>
      </w:r>
      <w:r w:rsidR="00683DBF">
        <w:t xml:space="preserve"> the 15</w:t>
      </w:r>
      <w:r w:rsidR="00683DBF" w:rsidRPr="00683DBF">
        <w:rPr>
          <w:vertAlign w:val="superscript"/>
        </w:rPr>
        <w:t>th</w:t>
      </w:r>
      <w:r w:rsidR="00683DBF">
        <w:t xml:space="preserve"> day after </w:t>
      </w:r>
      <w:r w:rsidR="00F47E34">
        <w:t>it</w:t>
      </w:r>
      <w:r w:rsidR="00683DBF">
        <w:t xml:space="preserve"> is made</w:t>
      </w:r>
      <w:r w:rsidR="00D86083">
        <w:t xml:space="preserve"> and the</w:t>
      </w:r>
      <w:r>
        <w:t xml:space="preserve"> day after registration. </w:t>
      </w:r>
      <w:r w:rsidR="006A33CC">
        <w:t xml:space="preserve">This is </w:t>
      </w:r>
      <w:r w:rsidR="00764316">
        <w:t xml:space="preserve">in accordance with </w:t>
      </w:r>
      <w:r w:rsidR="006A33CC">
        <w:t xml:space="preserve">subsection 18(8) of the </w:t>
      </w:r>
      <w:r w:rsidR="006A33CC">
        <w:rPr>
          <w:i/>
          <w:iCs/>
        </w:rPr>
        <w:t>Future Fund Act 2006</w:t>
      </w:r>
      <w:r w:rsidR="007A0F6D">
        <w:rPr>
          <w:i/>
          <w:iCs/>
        </w:rPr>
        <w:t xml:space="preserve"> </w:t>
      </w:r>
      <w:r w:rsidR="007A0F6D">
        <w:t>(the Act)</w:t>
      </w:r>
      <w:r w:rsidR="00764316">
        <w:rPr>
          <w:i/>
          <w:iCs/>
        </w:rPr>
        <w:t xml:space="preserve">, </w:t>
      </w:r>
      <w:r w:rsidR="00764316">
        <w:t>which</w:t>
      </w:r>
      <w:r w:rsidR="006A33CC">
        <w:t xml:space="preserve"> </w:t>
      </w:r>
      <w:r w:rsidR="00E1469D">
        <w:t xml:space="preserve">requires </w:t>
      </w:r>
      <w:r w:rsidR="0054602D">
        <w:t>a direction</w:t>
      </w:r>
      <w:r w:rsidR="007414D9">
        <w:t xml:space="preserve"> </w:t>
      </w:r>
      <w:r w:rsidR="00F4760E">
        <w:t xml:space="preserve">take effect </w:t>
      </w:r>
      <w:r w:rsidR="00DB6848">
        <w:t xml:space="preserve">no earlier than </w:t>
      </w:r>
      <w:r w:rsidR="00ED210B">
        <w:t>15 days after the day on which it is given.</w:t>
      </w:r>
    </w:p>
    <w:p w14:paraId="1BC85FB6" w14:textId="33816B6C" w:rsidR="00ED3D91" w:rsidRDefault="00ED3D91" w:rsidP="004A27A8">
      <w:pPr>
        <w:spacing w:before="240"/>
        <w:rPr>
          <w:u w:val="single"/>
        </w:rPr>
      </w:pPr>
      <w:r>
        <w:rPr>
          <w:u w:val="single"/>
        </w:rPr>
        <w:t xml:space="preserve">Section </w:t>
      </w:r>
      <w:r w:rsidR="00CD7D5F">
        <w:rPr>
          <w:u w:val="single"/>
        </w:rPr>
        <w:t>3 – Authority</w:t>
      </w:r>
    </w:p>
    <w:p w14:paraId="66B2F724" w14:textId="0AC2353E" w:rsidR="00CD7D5F" w:rsidRPr="00CD7D5F" w:rsidRDefault="00CD7D5F" w:rsidP="004A27A8">
      <w:pPr>
        <w:spacing w:before="240"/>
      </w:pPr>
      <w:r>
        <w:t xml:space="preserve">This </w:t>
      </w:r>
      <w:r w:rsidR="00572389">
        <w:t>I</w:t>
      </w:r>
      <w:r>
        <w:t xml:space="preserve">nstrument is made under </w:t>
      </w:r>
      <w:r w:rsidR="00955EAB">
        <w:t xml:space="preserve">section 18 of </w:t>
      </w:r>
      <w:r>
        <w:t xml:space="preserve">the </w:t>
      </w:r>
      <w:r>
        <w:rPr>
          <w:i/>
          <w:iCs/>
        </w:rPr>
        <w:t>Future Fund Act 2006</w:t>
      </w:r>
      <w:r>
        <w:t xml:space="preserve">. </w:t>
      </w:r>
    </w:p>
    <w:p w14:paraId="64F8AD2F" w14:textId="77777777" w:rsidR="003D0702" w:rsidRDefault="00B34715" w:rsidP="004A27A8">
      <w:pPr>
        <w:spacing w:before="240"/>
        <w:rPr>
          <w:u w:val="single"/>
        </w:rPr>
      </w:pPr>
      <w:r>
        <w:rPr>
          <w:u w:val="single"/>
        </w:rPr>
        <w:t>Section 4</w:t>
      </w:r>
      <w:r w:rsidR="007E595C">
        <w:rPr>
          <w:u w:val="single"/>
        </w:rPr>
        <w:t xml:space="preserve"> – </w:t>
      </w:r>
      <w:r w:rsidR="000A6675">
        <w:rPr>
          <w:u w:val="single"/>
        </w:rPr>
        <w:t>Schedul</w:t>
      </w:r>
      <w:r w:rsidR="003D0702">
        <w:rPr>
          <w:u w:val="single"/>
        </w:rPr>
        <w:t>es</w:t>
      </w:r>
    </w:p>
    <w:p w14:paraId="603BB55A" w14:textId="5F0EB7F6" w:rsidR="0038552B" w:rsidRDefault="004B5149" w:rsidP="004A27A8">
      <w:pPr>
        <w:spacing w:before="240"/>
      </w:pPr>
      <w:r>
        <w:t xml:space="preserve">Section 4 </w:t>
      </w:r>
      <w:r w:rsidR="0038552B" w:rsidRPr="00F047D4">
        <w:t xml:space="preserve">provides that each instrument that is specified in a Schedule to this Instrument will be amended or repealed as set out in the applicable items in the Schedules, and any other item in </w:t>
      </w:r>
      <w:r w:rsidR="00056E73">
        <w:t>a</w:t>
      </w:r>
      <w:r w:rsidR="0038552B" w:rsidRPr="00F047D4">
        <w:t xml:space="preserve"> Schedule to this Instrument has effect according to its term</w:t>
      </w:r>
      <w:r w:rsidR="00F47E34">
        <w:t>s</w:t>
      </w:r>
      <w:r w:rsidR="0038552B" w:rsidRPr="00F047D4">
        <w:t>.</w:t>
      </w:r>
    </w:p>
    <w:p w14:paraId="37F98BC6" w14:textId="2D43C71A" w:rsidR="003D0702" w:rsidRDefault="003D0702" w:rsidP="004A27A8">
      <w:pPr>
        <w:spacing w:before="240"/>
        <w:rPr>
          <w:u w:val="single"/>
        </w:rPr>
      </w:pPr>
      <w:r>
        <w:rPr>
          <w:u w:val="single"/>
        </w:rPr>
        <w:t>Section 5 – Objects</w:t>
      </w:r>
    </w:p>
    <w:p w14:paraId="6067AD83" w14:textId="10438310" w:rsidR="00FC7742" w:rsidRDefault="007D193C" w:rsidP="004A27A8">
      <w:pPr>
        <w:spacing w:before="240"/>
      </w:pPr>
      <w:r>
        <w:t xml:space="preserve">The Board is to carry out the investment functions </w:t>
      </w:r>
      <w:r w:rsidR="00A564A0">
        <w:t xml:space="preserve">in accordance with </w:t>
      </w:r>
      <w:r w:rsidR="00146CFC">
        <w:t>th</w:t>
      </w:r>
      <w:r w:rsidR="00056E73">
        <w:t xml:space="preserve">e </w:t>
      </w:r>
      <w:r w:rsidR="00146CFC">
        <w:t xml:space="preserve">Act and </w:t>
      </w:r>
      <w:r w:rsidR="00F47E34">
        <w:t xml:space="preserve">the </w:t>
      </w:r>
      <w:r w:rsidR="00A564A0">
        <w:t xml:space="preserve">Investment Mandate. </w:t>
      </w:r>
      <w:r w:rsidR="00781BEE" w:rsidRPr="00A564A0">
        <w:t>Section</w:t>
      </w:r>
      <w:r w:rsidR="00781BEE">
        <w:t xml:space="preserve"> </w:t>
      </w:r>
      <w:r w:rsidR="005B65DC">
        <w:t xml:space="preserve">5 </w:t>
      </w:r>
      <w:r w:rsidR="00E2001C">
        <w:t>sets out</w:t>
      </w:r>
      <w:r w:rsidR="00572389">
        <w:t xml:space="preserve"> the objectives of th</w:t>
      </w:r>
      <w:r w:rsidR="00F47E34">
        <w:t>is</w:t>
      </w:r>
      <w:r w:rsidR="00572389">
        <w:t xml:space="preserve"> Instrument </w:t>
      </w:r>
      <w:r w:rsidR="00BD5D30">
        <w:t>which are to:</w:t>
      </w:r>
    </w:p>
    <w:p w14:paraId="2B09092B" w14:textId="69323E4A" w:rsidR="00BD5D30" w:rsidRDefault="001B1AB9" w:rsidP="00BD5D30">
      <w:pPr>
        <w:pStyle w:val="Bullet"/>
      </w:pPr>
      <w:r>
        <w:t xml:space="preserve">give </w:t>
      </w:r>
      <w:r w:rsidR="00BD5D30">
        <w:t>guidance to the Board about the Fund’s investment strategy;</w:t>
      </w:r>
    </w:p>
    <w:p w14:paraId="5EADC158" w14:textId="478C8722" w:rsidR="00BD5D30" w:rsidRDefault="001B1AB9" w:rsidP="00BD5D30">
      <w:pPr>
        <w:pStyle w:val="Bullet"/>
      </w:pPr>
      <w:r>
        <w:t xml:space="preserve">set </w:t>
      </w:r>
      <w:r w:rsidR="00BD5D30">
        <w:t xml:space="preserve">out </w:t>
      </w:r>
      <w:r w:rsidR="00812BF4">
        <w:t xml:space="preserve">the </w:t>
      </w:r>
      <w:r w:rsidR="00BD5D30">
        <w:t xml:space="preserve">Government’s expectations about </w:t>
      </w:r>
      <w:r w:rsidR="00812BF4">
        <w:t xml:space="preserve">how </w:t>
      </w:r>
      <w:r w:rsidR="00BD5D30">
        <w:t>the Fund</w:t>
      </w:r>
      <w:r w:rsidR="00812BF4">
        <w:t xml:space="preserve"> will be managed</w:t>
      </w:r>
      <w:r w:rsidR="00BD5D30">
        <w:t xml:space="preserve"> and </w:t>
      </w:r>
      <w:r w:rsidR="00812BF4">
        <w:t>invested</w:t>
      </w:r>
      <w:r w:rsidR="00BD5D30">
        <w:t>;</w:t>
      </w:r>
      <w:r w:rsidR="002C4F94">
        <w:t xml:space="preserve"> and</w:t>
      </w:r>
    </w:p>
    <w:p w14:paraId="5418F72E" w14:textId="7528EC8E" w:rsidR="00BD5D30" w:rsidRDefault="001B1AB9" w:rsidP="00BD5D30">
      <w:pPr>
        <w:pStyle w:val="Bullet"/>
      </w:pPr>
      <w:r>
        <w:t xml:space="preserve">set </w:t>
      </w:r>
      <w:r w:rsidR="00706E95">
        <w:t xml:space="preserve">out </w:t>
      </w:r>
      <w:r w:rsidR="00812BF4">
        <w:t xml:space="preserve">the </w:t>
      </w:r>
      <w:r w:rsidR="00706E95">
        <w:t xml:space="preserve">Government’s expectations </w:t>
      </w:r>
      <w:r w:rsidR="000D652B">
        <w:t xml:space="preserve">around </w:t>
      </w:r>
      <w:r w:rsidR="00812BF4">
        <w:t xml:space="preserve">the Board’s </w:t>
      </w:r>
      <w:r w:rsidR="000D652B">
        <w:t>policies</w:t>
      </w:r>
      <w:r w:rsidR="002C4F94">
        <w:t xml:space="preserve"> on risk</w:t>
      </w:r>
      <w:r w:rsidR="00812BF4">
        <w:t xml:space="preserve"> and</w:t>
      </w:r>
      <w:r w:rsidR="002C4F94">
        <w:t xml:space="preserve"> return and </w:t>
      </w:r>
      <w:r w:rsidR="00812BF4">
        <w:t xml:space="preserve">the </w:t>
      </w:r>
      <w:r w:rsidR="002C4F94">
        <w:t xml:space="preserve">allocation of financial assets of the Fund. </w:t>
      </w:r>
    </w:p>
    <w:p w14:paraId="6B20ADFD" w14:textId="5CFEFE1B" w:rsidR="002C4F94" w:rsidRDefault="00FF1454" w:rsidP="002C4F94">
      <w:pPr>
        <w:pStyle w:val="Bullet"/>
        <w:numPr>
          <w:ilvl w:val="0"/>
          <w:numId w:val="0"/>
        </w:numPr>
        <w:ind w:left="567" w:hanging="567"/>
      </w:pPr>
      <w:r>
        <w:t xml:space="preserve">This is consistent with section 18 of the </w:t>
      </w:r>
      <w:r w:rsidR="00A86C9C">
        <w:t>Act</w:t>
      </w:r>
      <w:r>
        <w:t xml:space="preserve">. </w:t>
      </w:r>
    </w:p>
    <w:p w14:paraId="7FE13AC9" w14:textId="551C33CD" w:rsidR="003D0702" w:rsidRDefault="003D0702" w:rsidP="004A27A8">
      <w:pPr>
        <w:spacing w:before="240"/>
        <w:rPr>
          <w:u w:val="single"/>
        </w:rPr>
      </w:pPr>
      <w:r>
        <w:rPr>
          <w:u w:val="single"/>
        </w:rPr>
        <w:t>Section 6 – Definitions</w:t>
      </w:r>
    </w:p>
    <w:p w14:paraId="5026D7DB" w14:textId="59FF1733" w:rsidR="00B552F5" w:rsidRDefault="00F02E9C" w:rsidP="00A27CF0">
      <w:pPr>
        <w:spacing w:before="240"/>
      </w:pPr>
      <w:r>
        <w:t xml:space="preserve">Section 6 </w:t>
      </w:r>
      <w:r w:rsidR="00C71D2C">
        <w:t xml:space="preserve">sets out </w:t>
      </w:r>
      <w:r>
        <w:t xml:space="preserve">definitions to </w:t>
      </w:r>
      <w:r w:rsidR="00B552F5">
        <w:t xml:space="preserve">support the operation of the </w:t>
      </w:r>
      <w:r w:rsidR="00C71D2C">
        <w:t xml:space="preserve">Instrument. </w:t>
      </w:r>
      <w:r w:rsidR="00FC16F4">
        <w:t xml:space="preserve">Expressions used in this Instrument have the same meaning </w:t>
      </w:r>
      <w:r w:rsidR="008663FB">
        <w:t xml:space="preserve">as in the </w:t>
      </w:r>
      <w:r w:rsidR="00FB4D57" w:rsidRPr="007A0F6D">
        <w:t>Act</w:t>
      </w:r>
      <w:r w:rsidR="003A1108" w:rsidRPr="007A0F6D">
        <w:t>,</w:t>
      </w:r>
      <w:r w:rsidR="003A1108">
        <w:t xml:space="preserve"> </w:t>
      </w:r>
      <w:r w:rsidR="00B057F0">
        <w:t xml:space="preserve">as in force from time to time, as outlined in paragraph 13(1)(b) of the </w:t>
      </w:r>
      <w:r w:rsidR="00B057F0">
        <w:rPr>
          <w:i/>
          <w:iCs/>
        </w:rPr>
        <w:t>Legislation Act 2003</w:t>
      </w:r>
      <w:r w:rsidR="00B057F0">
        <w:t xml:space="preserve">. This ensures consistency between </w:t>
      </w:r>
      <w:r w:rsidR="00B5619D">
        <w:t>the Instrument and its enabling legislation.</w:t>
      </w:r>
      <w:r w:rsidR="00B552F5">
        <w:t xml:space="preserve"> The definitions </w:t>
      </w:r>
      <w:r w:rsidR="00812BF4">
        <w:t xml:space="preserve">set out in section 6 </w:t>
      </w:r>
      <w:r w:rsidR="00B552F5">
        <w:t>are:</w:t>
      </w:r>
    </w:p>
    <w:p w14:paraId="3AA1BC26" w14:textId="0CB86C60" w:rsidR="00DD55A7" w:rsidRDefault="00F67754" w:rsidP="004A27A8">
      <w:pPr>
        <w:pStyle w:val="Bullet"/>
      </w:pPr>
      <w:r w:rsidRPr="00B552F5">
        <w:rPr>
          <w:i/>
          <w:iCs/>
        </w:rPr>
        <w:t xml:space="preserve">CPI </w:t>
      </w:r>
      <w:r w:rsidR="00DD55A7">
        <w:rPr>
          <w:i/>
          <w:iCs/>
        </w:rPr>
        <w:t>–</w:t>
      </w:r>
      <w:r w:rsidR="00B552F5">
        <w:t xml:space="preserve"> </w:t>
      </w:r>
      <w:r>
        <w:t xml:space="preserve">CPI </w:t>
      </w:r>
      <w:r w:rsidR="00170E67">
        <w:t>means</w:t>
      </w:r>
      <w:r>
        <w:t xml:space="preserve"> the All Groups Consumer Price Index </w:t>
      </w:r>
      <w:r w:rsidR="00424F43">
        <w:t>published by the Australian Statistician</w:t>
      </w:r>
      <w:r w:rsidR="00256E73">
        <w:t>. The CPI can be found on the Australian Bureau of Statistics website (</w:t>
      </w:r>
      <w:hyperlink r:id="rId12" w:history="1">
        <w:r w:rsidR="00BB2A78" w:rsidRPr="00D94B4A">
          <w:rPr>
            <w:rStyle w:val="Hyperlink"/>
          </w:rPr>
          <w:t>https://www.abs.gov.au/statistics/economy/price-indexes-and-inflation</w:t>
        </w:r>
      </w:hyperlink>
      <w:r w:rsidR="00BB2A78">
        <w:t xml:space="preserve">). </w:t>
      </w:r>
    </w:p>
    <w:p w14:paraId="0A892646" w14:textId="3030EC2F" w:rsidR="00EC3177" w:rsidRDefault="000F35C2" w:rsidP="004A27A8">
      <w:pPr>
        <w:pStyle w:val="Bullet"/>
      </w:pPr>
      <w:r>
        <w:rPr>
          <w:i/>
          <w:iCs/>
        </w:rPr>
        <w:lastRenderedPageBreak/>
        <w:t>e</w:t>
      </w:r>
      <w:r w:rsidR="00BB2A78" w:rsidRPr="00DD55A7">
        <w:rPr>
          <w:i/>
          <w:iCs/>
        </w:rPr>
        <w:t>conomic resilience and security infrastructure</w:t>
      </w:r>
      <w:r w:rsidR="00DD55A7" w:rsidRPr="00DD55A7">
        <w:rPr>
          <w:i/>
          <w:iCs/>
        </w:rPr>
        <w:t xml:space="preserve"> </w:t>
      </w:r>
      <w:r w:rsidR="00DD55A7">
        <w:rPr>
          <w:i/>
          <w:iCs/>
        </w:rPr>
        <w:t>–</w:t>
      </w:r>
      <w:r w:rsidR="00DD55A7">
        <w:t xml:space="preserve"> </w:t>
      </w:r>
      <w:r w:rsidR="00846E36">
        <w:t>Economic resilience and security infrastructure focuses on s</w:t>
      </w:r>
      <w:r w:rsidR="00B955CD" w:rsidRPr="00E675E2">
        <w:t>ectors of the economy where having some level of domestic capability is necessary for, or an efficient way to improve, the resilience and security of the economy.</w:t>
      </w:r>
    </w:p>
    <w:p w14:paraId="1E4879DC" w14:textId="759159C5" w:rsidR="005731BF" w:rsidRPr="00635CF7" w:rsidRDefault="000D204E" w:rsidP="004A27A8">
      <w:pPr>
        <w:pStyle w:val="Bullet"/>
      </w:pPr>
      <w:r w:rsidRPr="00635CF7">
        <w:rPr>
          <w:i/>
          <w:iCs/>
        </w:rPr>
        <w:t>e</w:t>
      </w:r>
      <w:r w:rsidR="005731BF" w:rsidRPr="00635CF7">
        <w:rPr>
          <w:i/>
          <w:iCs/>
        </w:rPr>
        <w:t xml:space="preserve">nergy transition </w:t>
      </w:r>
      <w:r w:rsidR="00BE1DFA" w:rsidRPr="00635CF7">
        <w:rPr>
          <w:i/>
          <w:iCs/>
        </w:rPr>
        <w:t>–</w:t>
      </w:r>
      <w:r w:rsidR="00903AC0" w:rsidRPr="00635CF7">
        <w:rPr>
          <w:i/>
          <w:iCs/>
        </w:rPr>
        <w:t xml:space="preserve"> </w:t>
      </w:r>
      <w:r w:rsidR="00BE1DFA" w:rsidRPr="00635CF7">
        <w:t xml:space="preserve">covers increasing the overall use of renewable and low emission energy sources; increasing the capacity and efficiency of Australia’s energy infrastructure and decreasing Australia’s overall reliance on high emission energy sources, including by developing and improving technology to achieve that objective. </w:t>
      </w:r>
      <w:r w:rsidR="00993AD5" w:rsidRPr="00635CF7">
        <w:t xml:space="preserve">Broadly, the definition </w:t>
      </w:r>
      <w:r w:rsidR="000B382A" w:rsidRPr="00635CF7">
        <w:t xml:space="preserve">is intended to cover </w:t>
      </w:r>
      <w:r w:rsidR="00D14A4F" w:rsidRPr="00635CF7">
        <w:t>Australia</w:t>
      </w:r>
      <w:r w:rsidR="00E20AB3" w:rsidRPr="00635CF7">
        <w:t xml:space="preserve">’s shift towards an </w:t>
      </w:r>
      <w:r w:rsidR="00F70D76" w:rsidRPr="00635CF7">
        <w:t xml:space="preserve">energy mix </w:t>
      </w:r>
      <w:r w:rsidR="00C35848" w:rsidRPr="00635CF7">
        <w:t xml:space="preserve">that has a greater reliance on renewable energy sources. </w:t>
      </w:r>
      <w:r w:rsidR="00BE1DFA" w:rsidRPr="00635CF7">
        <w:t>The note to the definition clarifies that the energy transition to net zero carbon emissions by 2050</w:t>
      </w:r>
      <w:r w:rsidR="00EC2922" w:rsidRPr="00635CF7">
        <w:t xml:space="preserve"> may also involve the use of medium emission energy sources to decrease Australia’s overall carbon emissions </w:t>
      </w:r>
      <w:r w:rsidR="00C950AA" w:rsidRPr="00635CF7">
        <w:t>during the transition period</w:t>
      </w:r>
      <w:r w:rsidR="00EC2922" w:rsidRPr="00635CF7">
        <w:t xml:space="preserve">. </w:t>
      </w:r>
    </w:p>
    <w:p w14:paraId="2CE9CFF0" w14:textId="56BFFA5C" w:rsidR="005731BF" w:rsidRDefault="000F35C2" w:rsidP="004A27A8">
      <w:pPr>
        <w:pStyle w:val="Bullet"/>
      </w:pPr>
      <w:r>
        <w:rPr>
          <w:i/>
          <w:iCs/>
        </w:rPr>
        <w:t>i</w:t>
      </w:r>
      <w:r w:rsidR="0018237F" w:rsidRPr="00EC3177">
        <w:rPr>
          <w:i/>
          <w:iCs/>
        </w:rPr>
        <w:t>nfrastructure</w:t>
      </w:r>
      <w:r w:rsidR="00EC3177" w:rsidRPr="00EC3177">
        <w:rPr>
          <w:i/>
          <w:iCs/>
        </w:rPr>
        <w:t xml:space="preserve"> –</w:t>
      </w:r>
      <w:r w:rsidR="00EC3177">
        <w:t xml:space="preserve"> </w:t>
      </w:r>
      <w:r w:rsidR="001F4A85">
        <w:t>Infrastructure covers transport, energy, communication and water infrastructure</w:t>
      </w:r>
      <w:r w:rsidR="00846E36">
        <w:t xml:space="preserve"> and</w:t>
      </w:r>
      <w:r w:rsidR="00CF3FE7">
        <w:t xml:space="preserve"> </w:t>
      </w:r>
      <w:r w:rsidR="00846E36">
        <w:t>economic resilience and security</w:t>
      </w:r>
      <w:r w:rsidR="00CF3FE7">
        <w:t xml:space="preserve"> </w:t>
      </w:r>
      <w:r w:rsidR="0047634A">
        <w:t xml:space="preserve">infrastructure </w:t>
      </w:r>
      <w:r w:rsidR="00CF3FE7">
        <w:t>as</w:t>
      </w:r>
      <w:r w:rsidR="00846E36">
        <w:t xml:space="preserve"> </w:t>
      </w:r>
      <w:r w:rsidR="00E55E30">
        <w:t>described</w:t>
      </w:r>
      <w:r w:rsidR="00846E36">
        <w:t xml:space="preserve"> above</w:t>
      </w:r>
      <w:r w:rsidR="00C05C8F">
        <w:t>.</w:t>
      </w:r>
    </w:p>
    <w:p w14:paraId="2D96DA88" w14:textId="35398E1C" w:rsidR="007939FF" w:rsidRDefault="005731BF" w:rsidP="004A27A8">
      <w:pPr>
        <w:pStyle w:val="Bullet"/>
      </w:pPr>
      <w:r w:rsidRPr="00B552F5">
        <w:rPr>
          <w:i/>
          <w:iCs/>
        </w:rPr>
        <w:t xml:space="preserve">net zero transformation </w:t>
      </w:r>
      <w:r>
        <w:rPr>
          <w:i/>
          <w:iCs/>
        </w:rPr>
        <w:t>–</w:t>
      </w:r>
      <w:r w:rsidRPr="00B552F5">
        <w:rPr>
          <w:i/>
          <w:iCs/>
        </w:rPr>
        <w:t xml:space="preserve"> </w:t>
      </w:r>
      <w:r>
        <w:t xml:space="preserve">Australia’s net zero transformation means reducing Australia’s net greenhouse gas emissions to zero by 2050. </w:t>
      </w:r>
    </w:p>
    <w:p w14:paraId="36A9E1E7" w14:textId="03372081" w:rsidR="007939FF" w:rsidRPr="007939FF" w:rsidRDefault="00E51D4E" w:rsidP="004A27A8">
      <w:pPr>
        <w:pStyle w:val="Bullet"/>
      </w:pPr>
      <w:r>
        <w:rPr>
          <w:i/>
          <w:iCs/>
        </w:rPr>
        <w:t>r</w:t>
      </w:r>
      <w:r w:rsidR="000F35C2">
        <w:rPr>
          <w:i/>
          <w:iCs/>
        </w:rPr>
        <w:t>esidential h</w:t>
      </w:r>
      <w:r w:rsidR="00017F36" w:rsidRPr="007939FF">
        <w:rPr>
          <w:i/>
          <w:iCs/>
        </w:rPr>
        <w:t>ousing</w:t>
      </w:r>
      <w:r w:rsidR="007939FF" w:rsidRPr="007939FF">
        <w:rPr>
          <w:i/>
          <w:iCs/>
        </w:rPr>
        <w:t xml:space="preserve"> </w:t>
      </w:r>
      <w:r w:rsidR="007939FF">
        <w:rPr>
          <w:i/>
          <w:iCs/>
        </w:rPr>
        <w:t>–</w:t>
      </w:r>
      <w:r w:rsidR="007939FF">
        <w:t xml:space="preserve"> </w:t>
      </w:r>
      <w:r w:rsidR="00B1204E">
        <w:t>R</w:t>
      </w:r>
      <w:r w:rsidR="00ED1083">
        <w:t>esidential h</w:t>
      </w:r>
      <w:r w:rsidR="00017F36">
        <w:t>ousing</w:t>
      </w:r>
      <w:r w:rsidR="00E24101">
        <w:t xml:space="preserve"> </w:t>
      </w:r>
      <w:r w:rsidR="00A244AE">
        <w:t xml:space="preserve">has </w:t>
      </w:r>
      <w:r w:rsidR="00E24101">
        <w:t xml:space="preserve">the </w:t>
      </w:r>
      <w:r w:rsidR="00A244AE">
        <w:t xml:space="preserve">same </w:t>
      </w:r>
      <w:r w:rsidR="00E24101">
        <w:t xml:space="preserve">meaning </w:t>
      </w:r>
      <w:r w:rsidR="00A244AE">
        <w:t>as</w:t>
      </w:r>
      <w:r w:rsidR="00E24101">
        <w:t xml:space="preserve"> residential </w:t>
      </w:r>
      <w:r w:rsidR="00721560">
        <w:t xml:space="preserve">premises </w:t>
      </w:r>
      <w:r w:rsidR="00E24101">
        <w:t xml:space="preserve">as defined by </w:t>
      </w:r>
      <w:r w:rsidR="00354593">
        <w:t>section 195-1 of the</w:t>
      </w:r>
      <w:r w:rsidR="00354593">
        <w:rPr>
          <w:i/>
          <w:iCs/>
        </w:rPr>
        <w:t xml:space="preserve"> A</w:t>
      </w:r>
      <w:r w:rsidR="00C23F41">
        <w:rPr>
          <w:i/>
          <w:iCs/>
        </w:rPr>
        <w:t xml:space="preserve"> New Tax System (Goods and Services Tax) Act 1999. </w:t>
      </w:r>
      <w:r w:rsidR="00A61B70">
        <w:t>Residential housing</w:t>
      </w:r>
      <w:r w:rsidR="008F51B0">
        <w:t xml:space="preserve"> </w:t>
      </w:r>
      <w:r w:rsidR="00217867">
        <w:t>includes</w:t>
      </w:r>
      <w:r w:rsidR="0001284F">
        <w:t xml:space="preserve"> </w:t>
      </w:r>
      <w:r w:rsidR="00D711D4">
        <w:t xml:space="preserve">housing which </w:t>
      </w:r>
      <w:r w:rsidR="00E239A0">
        <w:t xml:space="preserve">forms </w:t>
      </w:r>
      <w:r w:rsidR="0001284F">
        <w:t>part of a building, such as apartments</w:t>
      </w:r>
      <w:r w:rsidR="00AA4338">
        <w:t xml:space="preserve"> and townhouses. The definition also includes</w:t>
      </w:r>
      <w:r w:rsidR="00621F57">
        <w:t xml:space="preserve"> </w:t>
      </w:r>
      <w:r w:rsidR="00851A05">
        <w:t>social and affordable housing</w:t>
      </w:r>
      <w:r w:rsidR="00D33382">
        <w:t>.</w:t>
      </w:r>
    </w:p>
    <w:p w14:paraId="504B1541" w14:textId="5A1B805D" w:rsidR="00EB370E" w:rsidRPr="001953E9" w:rsidRDefault="00E51D4E" w:rsidP="004A27A8">
      <w:pPr>
        <w:pStyle w:val="Bullet"/>
      </w:pPr>
      <w:r>
        <w:rPr>
          <w:i/>
          <w:iCs/>
        </w:rPr>
        <w:t>t</w:t>
      </w:r>
      <w:r w:rsidR="00EB370E" w:rsidRPr="007939FF">
        <w:rPr>
          <w:i/>
          <w:iCs/>
        </w:rPr>
        <w:t>he Act</w:t>
      </w:r>
      <w:r w:rsidR="001953E9">
        <w:t xml:space="preserve"> </w:t>
      </w:r>
      <w:r w:rsidR="007939FF">
        <w:t xml:space="preserve">– </w:t>
      </w:r>
      <w:r w:rsidR="001953E9">
        <w:t xml:space="preserve">refers to the </w:t>
      </w:r>
      <w:r w:rsidR="001953E9" w:rsidRPr="007939FF">
        <w:rPr>
          <w:i/>
          <w:iCs/>
        </w:rPr>
        <w:t>Future Fund Act 2006</w:t>
      </w:r>
      <w:r w:rsidR="001953E9">
        <w:t xml:space="preserve">. </w:t>
      </w:r>
    </w:p>
    <w:p w14:paraId="294D4AF7" w14:textId="120F4760" w:rsidR="00B742DB" w:rsidRDefault="003D0702" w:rsidP="004A27A8">
      <w:pPr>
        <w:spacing w:before="240"/>
        <w:rPr>
          <w:b/>
          <w:bCs/>
        </w:rPr>
      </w:pPr>
      <w:r>
        <w:rPr>
          <w:b/>
          <w:bCs/>
        </w:rPr>
        <w:t>Part 2</w:t>
      </w:r>
      <w:r w:rsidR="00B742DB">
        <w:rPr>
          <w:b/>
          <w:bCs/>
        </w:rPr>
        <w:t xml:space="preserve"> – Directions</w:t>
      </w:r>
    </w:p>
    <w:p w14:paraId="36457A47" w14:textId="5D27042A" w:rsidR="008F1BC3" w:rsidRDefault="008F1BC3" w:rsidP="004A27A8">
      <w:pPr>
        <w:spacing w:before="240"/>
        <w:rPr>
          <w:u w:val="single"/>
        </w:rPr>
      </w:pPr>
      <w:r>
        <w:rPr>
          <w:u w:val="single"/>
        </w:rPr>
        <w:t>Section 7 – Investments in financial assets only</w:t>
      </w:r>
    </w:p>
    <w:p w14:paraId="2D5535BA" w14:textId="4F5C1718" w:rsidR="00045EC5" w:rsidRPr="00045EC5" w:rsidRDefault="00045EC5" w:rsidP="00045EC5">
      <w:pPr>
        <w:spacing w:before="240"/>
      </w:pPr>
      <w:r w:rsidRPr="00045EC5">
        <w:t xml:space="preserve">Section 7 reiterates that the investments of the Fund consist of financial assets, as per Part 3 of the </w:t>
      </w:r>
      <w:r w:rsidR="00FB4D57" w:rsidRPr="00A86C9C">
        <w:t>Act</w:t>
      </w:r>
      <w:r w:rsidRPr="00045EC5">
        <w:t>. </w:t>
      </w:r>
    </w:p>
    <w:p w14:paraId="217D0905" w14:textId="119DA6E8" w:rsidR="007F5FAE" w:rsidRDefault="007F5FAE" w:rsidP="007F5FAE">
      <w:pPr>
        <w:spacing w:before="240"/>
        <w:rPr>
          <w:u w:val="single"/>
        </w:rPr>
      </w:pPr>
      <w:r>
        <w:rPr>
          <w:u w:val="single"/>
        </w:rPr>
        <w:t>Section 8 – Maximise return</w:t>
      </w:r>
    </w:p>
    <w:p w14:paraId="0342E895" w14:textId="5E3FAB7F" w:rsidR="0046685D" w:rsidRDefault="007F5FAE" w:rsidP="007F5FAE">
      <w:pPr>
        <w:pStyle w:val="Bullet"/>
        <w:numPr>
          <w:ilvl w:val="0"/>
          <w:numId w:val="0"/>
        </w:numPr>
      </w:pPr>
      <w:r>
        <w:t xml:space="preserve">Section 8 </w:t>
      </w:r>
      <w:r w:rsidR="000413AD">
        <w:t xml:space="preserve">requires the Board, in performing its investment functions, to maximise </w:t>
      </w:r>
      <w:r w:rsidR="00BB6455">
        <w:t xml:space="preserve">returns earned on the Fund over the long term, consistent with international best practice for institutional investment. </w:t>
      </w:r>
      <w:r w:rsidR="005072AB">
        <w:t>T</w:t>
      </w:r>
      <w:r w:rsidR="005D48A7" w:rsidRPr="00BF6331">
        <w:t xml:space="preserve">he requirement to maximise returns does not apply to the extent that the Board would be required to act in a way that is inconsistent with the </w:t>
      </w:r>
      <w:r w:rsidR="004712C8">
        <w:t>Act and Investment Mandate</w:t>
      </w:r>
      <w:r w:rsidR="00126652">
        <w:t>, including those provisions relating to risk and return. However</w:t>
      </w:r>
      <w:r w:rsidR="005072AB">
        <w:t>,</w:t>
      </w:r>
      <w:r w:rsidR="00126652">
        <w:t xml:space="preserve"> the requirement to maximise returns does apply to the extent that it is inconsistent with section 9 of the Investment Mandate</w:t>
      </w:r>
      <w:r w:rsidR="005072AB">
        <w:t xml:space="preserve"> (</w:t>
      </w:r>
      <w:r w:rsidR="00126652">
        <w:t>having regard to national priorities)</w:t>
      </w:r>
      <w:r w:rsidR="009E1769">
        <w:t>.</w:t>
      </w:r>
      <w:r w:rsidR="005D48A7" w:rsidRPr="00BF6331">
        <w:t xml:space="preserve"> </w:t>
      </w:r>
    </w:p>
    <w:p w14:paraId="0F0F190D" w14:textId="0D63EC41" w:rsidR="008F1BC3" w:rsidRDefault="008F1BC3" w:rsidP="004A27A8">
      <w:pPr>
        <w:spacing w:before="240"/>
        <w:rPr>
          <w:u w:val="single"/>
        </w:rPr>
      </w:pPr>
      <w:r>
        <w:rPr>
          <w:u w:val="single"/>
        </w:rPr>
        <w:t xml:space="preserve">Section </w:t>
      </w:r>
      <w:r w:rsidR="007F5FAE">
        <w:rPr>
          <w:u w:val="single"/>
        </w:rPr>
        <w:t>9</w:t>
      </w:r>
      <w:r>
        <w:rPr>
          <w:u w:val="single"/>
        </w:rPr>
        <w:t xml:space="preserve"> – Board must have regard to national priorities</w:t>
      </w:r>
    </w:p>
    <w:p w14:paraId="70050FB0" w14:textId="361816DE" w:rsidR="00E24101" w:rsidRDefault="00A457B1" w:rsidP="00E24101">
      <w:pPr>
        <w:tabs>
          <w:tab w:val="num" w:pos="1080"/>
          <w:tab w:val="num" w:pos="1440"/>
        </w:tabs>
      </w:pPr>
      <w:r>
        <w:t xml:space="preserve">Section </w:t>
      </w:r>
      <w:r w:rsidR="007F5FAE">
        <w:t>9</w:t>
      </w:r>
      <w:r>
        <w:t xml:space="preserve"> requires</w:t>
      </w:r>
      <w:r w:rsidR="00E24101">
        <w:t xml:space="preserve"> </w:t>
      </w:r>
      <w:r>
        <w:t>t</w:t>
      </w:r>
      <w:r w:rsidR="00E24101">
        <w:t xml:space="preserve">he Board </w:t>
      </w:r>
      <w:r>
        <w:t>to</w:t>
      </w:r>
      <w:r w:rsidR="00E24101">
        <w:t xml:space="preserve"> </w:t>
      </w:r>
      <w:r w:rsidR="00177185">
        <w:t>have regard to</w:t>
      </w:r>
      <w:r w:rsidR="00E24101">
        <w:t xml:space="preserve"> Australia’s national priorities in undertaking its investment functions as part of its overarching investment strategy. </w:t>
      </w:r>
      <w:r w:rsidR="004731AD">
        <w:t xml:space="preserve">Subsection 9(2) clarifies that this requirement does not apply to the extent that it would require the Board to </w:t>
      </w:r>
      <w:r w:rsidR="004731AD">
        <w:lastRenderedPageBreak/>
        <w:t xml:space="preserve">act inconsistently </w:t>
      </w:r>
      <w:r w:rsidR="00E24101">
        <w:t xml:space="preserve">with the </w:t>
      </w:r>
      <w:r w:rsidR="00FB4D57" w:rsidRPr="00D44654">
        <w:t>Act</w:t>
      </w:r>
      <w:r w:rsidR="00F23364">
        <w:t xml:space="preserve"> </w:t>
      </w:r>
      <w:r w:rsidR="00037DCE">
        <w:t xml:space="preserve">or </w:t>
      </w:r>
      <w:r w:rsidR="00E24101">
        <w:t>the Instrument</w:t>
      </w:r>
      <w:r w:rsidR="00330B82">
        <w:t>, including those provisions relating to risk and return</w:t>
      </w:r>
      <w:r w:rsidR="00E24101">
        <w:t xml:space="preserve">. </w:t>
      </w:r>
    </w:p>
    <w:p w14:paraId="7B59BC12" w14:textId="79525E73" w:rsidR="00126652" w:rsidRDefault="00126652" w:rsidP="00E24101">
      <w:pPr>
        <w:tabs>
          <w:tab w:val="num" w:pos="1080"/>
          <w:tab w:val="num" w:pos="1440"/>
        </w:tabs>
      </w:pPr>
      <w:r>
        <w:t xml:space="preserve">The requirement to maximise returns in section </w:t>
      </w:r>
      <w:r w:rsidR="005072AB">
        <w:t>8</w:t>
      </w:r>
      <w:r>
        <w:t xml:space="preserve"> takes precedence over the requirement to have regard to national priorities </w:t>
      </w:r>
      <w:r w:rsidR="00E8554A">
        <w:t>in</w:t>
      </w:r>
      <w:r>
        <w:t xml:space="preserve"> section 9.</w:t>
      </w:r>
    </w:p>
    <w:p w14:paraId="237CDD8C" w14:textId="77777777" w:rsidR="00E24101" w:rsidRDefault="00E24101" w:rsidP="00E24101">
      <w:pPr>
        <w:spacing w:before="240"/>
      </w:pPr>
      <w:r>
        <w:t>The n</w:t>
      </w:r>
      <w:r w:rsidRPr="00CF6352">
        <w:t xml:space="preserve">ational priorities </w:t>
      </w:r>
      <w:r>
        <w:t>are</w:t>
      </w:r>
      <w:r w:rsidRPr="00CF6352">
        <w:t>:</w:t>
      </w:r>
    </w:p>
    <w:p w14:paraId="084BFFBB" w14:textId="3C4B3AA1" w:rsidR="00E24101" w:rsidRDefault="008F50C2" w:rsidP="00E24101">
      <w:pPr>
        <w:pStyle w:val="Bullet"/>
      </w:pPr>
      <w:r>
        <w:t xml:space="preserve">supporting </w:t>
      </w:r>
      <w:r w:rsidR="00AA7494">
        <w:t xml:space="preserve">an </w:t>
      </w:r>
      <w:r>
        <w:t>energy transition as part of the net zero transformation of the Australian economy</w:t>
      </w:r>
      <w:r w:rsidR="00357566">
        <w:t>;</w:t>
      </w:r>
    </w:p>
    <w:p w14:paraId="669E616D" w14:textId="67D092BC" w:rsidR="00E24101" w:rsidRDefault="00E73E7B" w:rsidP="00E24101">
      <w:pPr>
        <w:pStyle w:val="Bullet"/>
      </w:pPr>
      <w:r>
        <w:t xml:space="preserve">increasing </w:t>
      </w:r>
      <w:r w:rsidR="00E24101">
        <w:t xml:space="preserve">the supply of </w:t>
      </w:r>
      <w:r w:rsidR="00C4104D">
        <w:t xml:space="preserve">residential </w:t>
      </w:r>
      <w:r w:rsidR="00E24101">
        <w:t>hous</w:t>
      </w:r>
      <w:r w:rsidR="00C23A45">
        <w:t>ing</w:t>
      </w:r>
      <w:r w:rsidR="00E24101">
        <w:t xml:space="preserve"> in Australia</w:t>
      </w:r>
      <w:r w:rsidR="00357566">
        <w:t>;</w:t>
      </w:r>
      <w:r w:rsidR="00E24101">
        <w:t xml:space="preserve"> and</w:t>
      </w:r>
    </w:p>
    <w:p w14:paraId="650C9126" w14:textId="53792CD4" w:rsidR="00E24101" w:rsidRDefault="00C4104D" w:rsidP="00E24101">
      <w:pPr>
        <w:pStyle w:val="Bullet"/>
      </w:pPr>
      <w:r>
        <w:rPr>
          <w:rStyle w:val="ui-provider"/>
        </w:rPr>
        <w:t>delivering improved infrastructure located in Australia</w:t>
      </w:r>
      <w:r w:rsidR="00E24101">
        <w:rPr>
          <w:rStyle w:val="ui-provider"/>
        </w:rPr>
        <w:t xml:space="preserve">. </w:t>
      </w:r>
    </w:p>
    <w:p w14:paraId="5B55E010" w14:textId="5A8065FD" w:rsidR="00254CDA" w:rsidRDefault="00254CDA" w:rsidP="00254CDA">
      <w:pPr>
        <w:pStyle w:val="Bullet"/>
        <w:numPr>
          <w:ilvl w:val="0"/>
          <w:numId w:val="0"/>
        </w:numPr>
      </w:pPr>
      <w:r>
        <w:t>These considerations might lead to the Board progressing an investment in a national priority area ahead of another area that presented a similar investment opportunity</w:t>
      </w:r>
      <w:r w:rsidR="001A664D">
        <w:t xml:space="preserve"> if it was consistent with the Board’s investment strategy, including on matters relating to risk and return for the portfolio</w:t>
      </w:r>
      <w:r>
        <w:t>.</w:t>
      </w:r>
      <w:r w:rsidR="00617FA1">
        <w:t xml:space="preserve"> </w:t>
      </w:r>
      <w:r w:rsidR="002C36C5">
        <w:t xml:space="preserve">By way of example, in having regard to the </w:t>
      </w:r>
      <w:r w:rsidR="0058203B">
        <w:t>national priorities</w:t>
      </w:r>
      <w:r w:rsidR="002C36C5">
        <w:t>, the Board</w:t>
      </w:r>
      <w:r w:rsidR="00B93B75">
        <w:t xml:space="preserve"> may </w:t>
      </w:r>
      <w:r w:rsidR="00523FC3">
        <w:t>consider</w:t>
      </w:r>
      <w:r w:rsidR="00577DE8">
        <w:t xml:space="preserve"> progressing</w:t>
      </w:r>
      <w:r w:rsidR="0058203B">
        <w:t xml:space="preserve"> </w:t>
      </w:r>
      <w:r w:rsidR="002C36C5">
        <w:t>investments in:</w:t>
      </w:r>
    </w:p>
    <w:p w14:paraId="570582FC" w14:textId="00593694" w:rsidR="00617FA1" w:rsidRPr="00E675E2" w:rsidRDefault="00617FA1" w:rsidP="0058203B">
      <w:pPr>
        <w:pStyle w:val="Bullet"/>
      </w:pPr>
      <w:r w:rsidRPr="00FA3A75">
        <w:t xml:space="preserve">renewable energy and </w:t>
      </w:r>
      <w:r w:rsidR="00336F5B" w:rsidRPr="00FA3A75">
        <w:t xml:space="preserve">transmission </w:t>
      </w:r>
      <w:r w:rsidR="00C929BE" w:rsidRPr="00FA3A75">
        <w:t>infrastructure</w:t>
      </w:r>
      <w:r w:rsidR="00B93B75" w:rsidRPr="00FA3A75">
        <w:t xml:space="preserve"> (</w:t>
      </w:r>
      <w:r w:rsidR="00137020" w:rsidRPr="00FA3A75">
        <w:t>as part</w:t>
      </w:r>
      <w:r w:rsidR="00137020">
        <w:t xml:space="preserve"> of</w:t>
      </w:r>
      <w:r w:rsidR="00137020" w:rsidRPr="00E675E2">
        <w:t xml:space="preserve"> </w:t>
      </w:r>
      <w:r w:rsidR="000142CB">
        <w:t xml:space="preserve">supporting </w:t>
      </w:r>
      <w:r w:rsidR="004741DE">
        <w:t xml:space="preserve">an </w:t>
      </w:r>
      <w:r w:rsidR="000142CB">
        <w:t>energy transition as part of the net zero transformation of the Australian economy</w:t>
      </w:r>
      <w:r w:rsidR="00E019C2">
        <w:t>)</w:t>
      </w:r>
      <w:r w:rsidR="00357566">
        <w:t>;</w:t>
      </w:r>
      <w:r w:rsidRPr="00E675E2">
        <w:t xml:space="preserve"> </w:t>
      </w:r>
    </w:p>
    <w:p w14:paraId="097ED01F" w14:textId="43EB8AF2" w:rsidR="00617FA1" w:rsidRPr="0058203B" w:rsidRDefault="002C36C5" w:rsidP="0058203B">
      <w:pPr>
        <w:pStyle w:val="Bullet"/>
      </w:pPr>
      <w:r>
        <w:t xml:space="preserve">property </w:t>
      </w:r>
      <w:r w:rsidR="00617FA1" w:rsidRPr="00E675E2">
        <w:t xml:space="preserve">which </w:t>
      </w:r>
      <w:r w:rsidR="00617FA1">
        <w:t>contribute</w:t>
      </w:r>
      <w:r>
        <w:t>s</w:t>
      </w:r>
      <w:r w:rsidR="00617FA1">
        <w:t xml:space="preserve"> towards </w:t>
      </w:r>
      <w:r w:rsidR="00617FA1" w:rsidRPr="00E675E2">
        <w:t>increas</w:t>
      </w:r>
      <w:r w:rsidR="00617FA1">
        <w:t>ing</w:t>
      </w:r>
      <w:r w:rsidR="00617FA1" w:rsidRPr="00E675E2">
        <w:t xml:space="preserve"> the supply </w:t>
      </w:r>
      <w:r w:rsidR="00357566">
        <w:t xml:space="preserve">of </w:t>
      </w:r>
      <w:r w:rsidR="004741DE">
        <w:t>affordable</w:t>
      </w:r>
      <w:r w:rsidR="004741DE" w:rsidRPr="00E675E2">
        <w:t xml:space="preserve"> </w:t>
      </w:r>
      <w:r w:rsidR="00617FA1" w:rsidRPr="00E675E2">
        <w:t>housing</w:t>
      </w:r>
      <w:r w:rsidR="00617FA1">
        <w:t xml:space="preserve"> across Australia</w:t>
      </w:r>
      <w:r>
        <w:t xml:space="preserve"> (</w:t>
      </w:r>
      <w:r w:rsidR="00E73E7B">
        <w:t>as part of</w:t>
      </w:r>
      <w:r w:rsidR="00E73E7B" w:rsidRPr="00E675E2">
        <w:t xml:space="preserve"> </w:t>
      </w:r>
      <w:r w:rsidR="00263F43">
        <w:t xml:space="preserve">increasing </w:t>
      </w:r>
      <w:r w:rsidRPr="00E675E2">
        <w:t>the supply</w:t>
      </w:r>
      <w:r w:rsidR="00C661E8">
        <w:t xml:space="preserve"> of residential</w:t>
      </w:r>
      <w:r w:rsidRPr="00E675E2">
        <w:t xml:space="preserve"> hous</w:t>
      </w:r>
      <w:r w:rsidR="00C661E8">
        <w:t>ing</w:t>
      </w:r>
      <w:r w:rsidRPr="00E675E2">
        <w:t xml:space="preserve"> in Australia</w:t>
      </w:r>
      <w:r>
        <w:t>)</w:t>
      </w:r>
      <w:r w:rsidR="00357566">
        <w:t>; and</w:t>
      </w:r>
      <w:r w:rsidR="00617FA1" w:rsidRPr="00E675E2">
        <w:t xml:space="preserve"> </w:t>
      </w:r>
    </w:p>
    <w:p w14:paraId="6102EF2E" w14:textId="53A7643C" w:rsidR="00617FA1" w:rsidRDefault="00617FA1" w:rsidP="0058203B">
      <w:pPr>
        <w:pStyle w:val="Bullet"/>
      </w:pPr>
      <w:r w:rsidRPr="00E675E2">
        <w:t>basic facilities and systems serving Australia</w:t>
      </w:r>
      <w:r>
        <w:t>, such as roads or airports</w:t>
      </w:r>
      <w:r w:rsidR="0080373B">
        <w:t>, or energy infrastructure</w:t>
      </w:r>
      <w:r w:rsidR="002C36C5">
        <w:t xml:space="preserve"> (</w:t>
      </w:r>
      <w:r w:rsidR="00E73E7B">
        <w:t xml:space="preserve">as part of </w:t>
      </w:r>
      <w:r w:rsidR="00C4104D">
        <w:t>delivering</w:t>
      </w:r>
      <w:r w:rsidR="00E73E7B">
        <w:t xml:space="preserve"> </w:t>
      </w:r>
      <w:r w:rsidR="00C4104D">
        <w:t>improved infrastructure located in Australia)</w:t>
      </w:r>
      <w:r w:rsidRPr="00E675E2">
        <w:t>.</w:t>
      </w:r>
      <w:r>
        <w:t xml:space="preserve">  </w:t>
      </w:r>
    </w:p>
    <w:p w14:paraId="0881A593" w14:textId="224D2139" w:rsidR="00254CDA" w:rsidRDefault="00254CDA" w:rsidP="00627D20">
      <w:pPr>
        <w:pStyle w:val="Bullet"/>
        <w:numPr>
          <w:ilvl w:val="0"/>
          <w:numId w:val="0"/>
        </w:numPr>
      </w:pPr>
      <w:r>
        <w:t xml:space="preserve">The direction to </w:t>
      </w:r>
      <w:r w:rsidR="009C3A7F">
        <w:t>have regard to</w:t>
      </w:r>
      <w:r>
        <w:t xml:space="preserve"> national priorities does not require the Board to make investments that </w:t>
      </w:r>
      <w:r w:rsidR="00C10F4C">
        <w:t>are inconsistent with the requirement</w:t>
      </w:r>
      <w:r w:rsidR="001C0D2B">
        <w:t>s of the Act</w:t>
      </w:r>
      <w:r w:rsidR="005C5854">
        <w:t xml:space="preserve"> and other provisions of the Instrument. Those requirements include the Board’s obligation</w:t>
      </w:r>
      <w:r w:rsidR="00C10F4C">
        <w:t xml:space="preserve"> to maximise returns </w:t>
      </w:r>
      <w:r w:rsidR="001C0D2B">
        <w:t xml:space="preserve">over the long term </w:t>
      </w:r>
      <w:r>
        <w:t xml:space="preserve">in a manner consistent with international best practice for institutional investment </w:t>
      </w:r>
      <w:r w:rsidR="00EF1CFB">
        <w:t>(</w:t>
      </w:r>
      <w:r>
        <w:t xml:space="preserve">consistent with section </w:t>
      </w:r>
      <w:r w:rsidR="00933556">
        <w:t xml:space="preserve">18 </w:t>
      </w:r>
      <w:r>
        <w:t xml:space="preserve">of the </w:t>
      </w:r>
      <w:r w:rsidR="00FB4D57" w:rsidRPr="007A0F6D">
        <w:t>Act</w:t>
      </w:r>
      <w:r w:rsidR="00EF1CFB">
        <w:t>), w</w:t>
      </w:r>
      <w:r w:rsidR="001C0D2B">
        <w:t xml:space="preserve">hile </w:t>
      </w:r>
      <w:r w:rsidR="00FB4D57">
        <w:t>targeting the long-term benchmark return and</w:t>
      </w:r>
      <w:r w:rsidR="001C0D2B">
        <w:t xml:space="preserve"> taking </w:t>
      </w:r>
      <w:r w:rsidR="00EF1CFB">
        <w:t>an acceptable but not excessive level of risk</w:t>
      </w:r>
      <w:r w:rsidR="001C0D2B">
        <w:t xml:space="preserve"> for the portfolio</w:t>
      </w:r>
      <w:r>
        <w:t xml:space="preserve">. </w:t>
      </w:r>
    </w:p>
    <w:p w14:paraId="43A24259" w14:textId="3F1960CE" w:rsidR="006D0C13" w:rsidRPr="006D0C13" w:rsidRDefault="006D0C13" w:rsidP="006D0C13">
      <w:pPr>
        <w:spacing w:before="240"/>
        <w:rPr>
          <w:color w:val="000000"/>
        </w:rPr>
      </w:pPr>
      <w:r>
        <w:rPr>
          <w:color w:val="000000"/>
        </w:rPr>
        <w:t xml:space="preserve">In having regard to international best practice for institutional investment when implementing its approach to corporate governance principles, and provided it is consistent with applicable laws and the Instrument, the Board is expected to have regard to the national priorities in performing its investment functions.  This includes through the ongoing management of investments, and when determining its approach to its stewardship and voting activity.  </w:t>
      </w:r>
    </w:p>
    <w:p w14:paraId="53B8DA11" w14:textId="77777777" w:rsidR="008F1BC3" w:rsidRDefault="008F1BC3" w:rsidP="004A27A8">
      <w:pPr>
        <w:spacing w:before="240"/>
        <w:rPr>
          <w:u w:val="single"/>
        </w:rPr>
      </w:pPr>
      <w:r>
        <w:rPr>
          <w:u w:val="single"/>
        </w:rPr>
        <w:t>Section 10 – Benchmark return</w:t>
      </w:r>
    </w:p>
    <w:p w14:paraId="56C53D1D" w14:textId="6CB15E63" w:rsidR="00D7595D" w:rsidRDefault="00D7595D" w:rsidP="00074895">
      <w:pPr>
        <w:pStyle w:val="NormalWeb"/>
        <w:spacing w:before="0" w:beforeAutospacing="0" w:after="0" w:afterAutospacing="0"/>
        <w:ind w:right="68"/>
        <w:jc w:val="both"/>
        <w:rPr>
          <w:rFonts w:ascii="Calibri" w:hAnsi="Calibri" w:cs="Calibri"/>
          <w:color w:val="000000"/>
        </w:rPr>
      </w:pPr>
      <w:r>
        <w:rPr>
          <w:color w:val="000000"/>
        </w:rPr>
        <w:t>For the purpose</w:t>
      </w:r>
      <w:r w:rsidR="00357566">
        <w:rPr>
          <w:color w:val="000000"/>
        </w:rPr>
        <w:t>s</w:t>
      </w:r>
      <w:r>
        <w:rPr>
          <w:color w:val="000000"/>
        </w:rPr>
        <w:t xml:space="preserve"> of this </w:t>
      </w:r>
      <w:r w:rsidR="00FD21E3">
        <w:rPr>
          <w:color w:val="000000"/>
        </w:rPr>
        <w:t>Instrument</w:t>
      </w:r>
      <w:r>
        <w:rPr>
          <w:color w:val="000000"/>
        </w:rPr>
        <w:t>, the Govern</w:t>
      </w:r>
      <w:r>
        <w:rPr>
          <w:color w:val="000000"/>
          <w:spacing w:val="-2"/>
        </w:rPr>
        <w:t>m</w:t>
      </w:r>
      <w:r>
        <w:rPr>
          <w:color w:val="000000"/>
        </w:rPr>
        <w:t>ent has directed the Board to adopt, as the long-term</w:t>
      </w:r>
      <w:r>
        <w:rPr>
          <w:color w:val="000000"/>
          <w:spacing w:val="-2"/>
        </w:rPr>
        <w:t> </w:t>
      </w:r>
      <w:r>
        <w:rPr>
          <w:color w:val="000000"/>
        </w:rPr>
        <w:t>bench</w:t>
      </w:r>
      <w:r>
        <w:rPr>
          <w:color w:val="000000"/>
          <w:spacing w:val="-2"/>
        </w:rPr>
        <w:t>m</w:t>
      </w:r>
      <w:r>
        <w:rPr>
          <w:color w:val="000000"/>
        </w:rPr>
        <w:t>ark for the p</w:t>
      </w:r>
      <w:r>
        <w:rPr>
          <w:color w:val="000000"/>
          <w:spacing w:val="1"/>
        </w:rPr>
        <w:t>e</w:t>
      </w:r>
      <w:r>
        <w:rPr>
          <w:color w:val="000000"/>
        </w:rPr>
        <w:t>rfor</w:t>
      </w:r>
      <w:r>
        <w:rPr>
          <w:color w:val="000000"/>
          <w:spacing w:val="-2"/>
        </w:rPr>
        <w:t>m</w:t>
      </w:r>
      <w:r>
        <w:rPr>
          <w:color w:val="000000"/>
        </w:rPr>
        <w:t>ance of the Fund, an average return over the long-term</w:t>
      </w:r>
      <w:r>
        <w:rPr>
          <w:color w:val="000000"/>
          <w:spacing w:val="-2"/>
        </w:rPr>
        <w:t> </w:t>
      </w:r>
      <w:r>
        <w:rPr>
          <w:color w:val="000000"/>
        </w:rPr>
        <w:t>of at least the CPI + 4 per cent to</w:t>
      </w:r>
      <w:r w:rsidR="00074895">
        <w:rPr>
          <w:color w:val="000000"/>
        </w:rPr>
        <w:t xml:space="preserve"> </w:t>
      </w:r>
      <w:r>
        <w:rPr>
          <w:color w:val="000000"/>
        </w:rPr>
        <w:t>+ 5 per cent per annum.</w:t>
      </w:r>
    </w:p>
    <w:p w14:paraId="67C66DCE" w14:textId="77777777" w:rsidR="00D7595D" w:rsidRDefault="00D7595D" w:rsidP="00D7595D">
      <w:pPr>
        <w:pStyle w:val="NormalWeb"/>
        <w:spacing w:before="0" w:beforeAutospacing="0" w:after="0" w:afterAutospacing="0" w:line="240" w:lineRule="atLeast"/>
        <w:rPr>
          <w:rFonts w:ascii="Calibri" w:hAnsi="Calibri" w:cs="Calibri"/>
          <w:color w:val="000000"/>
          <w:sz w:val="22"/>
          <w:szCs w:val="22"/>
        </w:rPr>
      </w:pPr>
      <w:r>
        <w:rPr>
          <w:rFonts w:ascii="Calibri" w:hAnsi="Calibri" w:cs="Calibri"/>
          <w:color w:val="000000"/>
        </w:rPr>
        <w:t> </w:t>
      </w:r>
    </w:p>
    <w:p w14:paraId="37D09760" w14:textId="5A082CA1" w:rsidR="00DB0ADC" w:rsidRDefault="00DB0ADC" w:rsidP="00D7595D">
      <w:pPr>
        <w:pStyle w:val="NormalWeb"/>
        <w:spacing w:before="0" w:beforeAutospacing="0" w:after="0" w:afterAutospacing="0"/>
        <w:ind w:right="55"/>
        <w:rPr>
          <w:color w:val="000000"/>
        </w:rPr>
      </w:pPr>
      <w:r>
        <w:rPr>
          <w:color w:val="000000"/>
        </w:rPr>
        <w:t xml:space="preserve">Implementing a </w:t>
      </w:r>
      <w:r w:rsidR="009659CA">
        <w:rPr>
          <w:color w:val="000000"/>
        </w:rPr>
        <w:t xml:space="preserve">benchmark rate of return </w:t>
      </w:r>
      <w:r>
        <w:rPr>
          <w:color w:val="000000"/>
        </w:rPr>
        <w:t>with a range provides the Board with scope to target lower return</w:t>
      </w:r>
      <w:r w:rsidR="009659CA">
        <w:rPr>
          <w:color w:val="000000"/>
        </w:rPr>
        <w:t>s</w:t>
      </w:r>
      <w:r>
        <w:rPr>
          <w:color w:val="000000"/>
        </w:rPr>
        <w:t xml:space="preserve"> when it believes the prospective reward for investment risk is </w:t>
      </w:r>
      <w:r>
        <w:rPr>
          <w:color w:val="000000"/>
        </w:rPr>
        <w:lastRenderedPageBreak/>
        <w:t>relatively low, and conversely, higher return</w:t>
      </w:r>
      <w:r w:rsidR="009659CA">
        <w:rPr>
          <w:color w:val="000000"/>
        </w:rPr>
        <w:t>s</w:t>
      </w:r>
      <w:r>
        <w:rPr>
          <w:color w:val="000000"/>
        </w:rPr>
        <w:t xml:space="preserve"> when it believes the prospective reward for investment risk is relatively high.</w:t>
      </w:r>
    </w:p>
    <w:p w14:paraId="7C4F4196" w14:textId="77777777" w:rsidR="00DB0ADC" w:rsidRDefault="00DB0ADC" w:rsidP="00D7595D">
      <w:pPr>
        <w:pStyle w:val="NormalWeb"/>
        <w:spacing w:before="0" w:beforeAutospacing="0" w:after="0" w:afterAutospacing="0"/>
        <w:ind w:right="55"/>
        <w:rPr>
          <w:color w:val="000000"/>
        </w:rPr>
      </w:pPr>
    </w:p>
    <w:p w14:paraId="426F63BC" w14:textId="56B34E53" w:rsidR="00D7595D" w:rsidRDefault="00D7595D" w:rsidP="00D7595D">
      <w:pPr>
        <w:pStyle w:val="NormalWeb"/>
        <w:spacing w:before="0" w:beforeAutospacing="0" w:after="0" w:afterAutospacing="0"/>
        <w:ind w:right="55"/>
        <w:rPr>
          <w:rFonts w:ascii="Calibri" w:hAnsi="Calibri" w:cs="Calibri"/>
          <w:color w:val="000000"/>
        </w:rPr>
      </w:pPr>
      <w:r>
        <w:rPr>
          <w:color w:val="000000"/>
        </w:rPr>
        <w:t>The Govern</w:t>
      </w:r>
      <w:r>
        <w:rPr>
          <w:color w:val="000000"/>
          <w:spacing w:val="-2"/>
        </w:rPr>
        <w:t>m</w:t>
      </w:r>
      <w:r>
        <w:rPr>
          <w:color w:val="000000"/>
        </w:rPr>
        <w:t>ent is conscious of the risks inherent in investing a large portfolio of financial assets and acknowledges that in</w:t>
      </w:r>
      <w:r>
        <w:rPr>
          <w:color w:val="000000"/>
          <w:spacing w:val="-1"/>
        </w:rPr>
        <w:t> p</w:t>
      </w:r>
      <w:r>
        <w:rPr>
          <w:color w:val="000000"/>
        </w:rPr>
        <w:t>racti</w:t>
      </w:r>
      <w:r>
        <w:rPr>
          <w:color w:val="000000"/>
          <w:spacing w:val="-1"/>
        </w:rPr>
        <w:t>c</w:t>
      </w:r>
      <w:r>
        <w:rPr>
          <w:color w:val="000000"/>
        </w:rPr>
        <w:t>e this will i</w:t>
      </w:r>
      <w:r>
        <w:rPr>
          <w:color w:val="000000"/>
          <w:spacing w:val="-1"/>
        </w:rPr>
        <w:t>n</w:t>
      </w:r>
      <w:r>
        <w:rPr>
          <w:color w:val="000000"/>
        </w:rPr>
        <w:t>volve so</w:t>
      </w:r>
      <w:r>
        <w:rPr>
          <w:color w:val="000000"/>
          <w:spacing w:val="-2"/>
        </w:rPr>
        <w:t>m</w:t>
      </w:r>
      <w:r>
        <w:rPr>
          <w:color w:val="000000"/>
        </w:rPr>
        <w:t>e short</w:t>
      </w:r>
      <w:r>
        <w:rPr>
          <w:color w:val="000000"/>
          <w:spacing w:val="-1"/>
        </w:rPr>
        <w:t>-</w:t>
      </w:r>
      <w:r>
        <w:rPr>
          <w:color w:val="000000"/>
        </w:rPr>
        <w:t>term volatility in the Fund’s returns, including the</w:t>
      </w:r>
      <w:r>
        <w:rPr>
          <w:color w:val="000000"/>
          <w:spacing w:val="1"/>
        </w:rPr>
        <w:t> </w:t>
      </w:r>
      <w:r>
        <w:rPr>
          <w:color w:val="000000"/>
        </w:rPr>
        <w:t>possibility of losses in so</w:t>
      </w:r>
      <w:r>
        <w:rPr>
          <w:color w:val="000000"/>
          <w:spacing w:val="-2"/>
        </w:rPr>
        <w:t>m</w:t>
      </w:r>
      <w:r>
        <w:rPr>
          <w:color w:val="000000"/>
        </w:rPr>
        <w:t>e years.  In targeting the long-term</w:t>
      </w:r>
      <w:r>
        <w:rPr>
          <w:color w:val="000000"/>
          <w:spacing w:val="-2"/>
        </w:rPr>
        <w:t> </w:t>
      </w:r>
      <w:r>
        <w:rPr>
          <w:color w:val="000000"/>
        </w:rPr>
        <w:t>bench</w:t>
      </w:r>
      <w:r>
        <w:rPr>
          <w:color w:val="000000"/>
          <w:spacing w:val="-2"/>
        </w:rPr>
        <w:t>m</w:t>
      </w:r>
      <w:r>
        <w:rPr>
          <w:color w:val="000000"/>
        </w:rPr>
        <w:t>ark, the Board</w:t>
      </w:r>
      <w:r>
        <w:rPr>
          <w:color w:val="000000"/>
          <w:spacing w:val="1"/>
        </w:rPr>
        <w:t> </w:t>
      </w:r>
      <w:r>
        <w:rPr>
          <w:color w:val="000000"/>
        </w:rPr>
        <w:t>is directed to deter</w:t>
      </w:r>
      <w:r>
        <w:rPr>
          <w:color w:val="000000"/>
          <w:spacing w:val="-2"/>
        </w:rPr>
        <w:t>m</w:t>
      </w:r>
      <w:r>
        <w:rPr>
          <w:color w:val="000000"/>
        </w:rPr>
        <w:t>ine an acceptable but not excessive level of risk for the Fund.</w:t>
      </w:r>
      <w:r>
        <w:rPr>
          <w:color w:val="000000"/>
          <w:spacing w:val="59"/>
        </w:rPr>
        <w:t> </w:t>
      </w:r>
      <w:r>
        <w:rPr>
          <w:color w:val="000000"/>
        </w:rPr>
        <w:t>This level of risk should be measured in ter</w:t>
      </w:r>
      <w:r>
        <w:rPr>
          <w:color w:val="000000"/>
          <w:spacing w:val="-2"/>
        </w:rPr>
        <w:t>m</w:t>
      </w:r>
      <w:r>
        <w:rPr>
          <w:color w:val="000000"/>
        </w:rPr>
        <w:t>s such as the probability of</w:t>
      </w:r>
      <w:r>
        <w:rPr>
          <w:color w:val="000000"/>
          <w:spacing w:val="-1"/>
        </w:rPr>
        <w:t> </w:t>
      </w:r>
      <w:r>
        <w:rPr>
          <w:color w:val="000000"/>
        </w:rPr>
        <w:t>losses in a particular year.</w:t>
      </w:r>
    </w:p>
    <w:p w14:paraId="4651EC5A" w14:textId="77777777" w:rsidR="00D7595D" w:rsidRDefault="00D7595D" w:rsidP="00D7595D">
      <w:pPr>
        <w:pStyle w:val="NormalWeb"/>
        <w:spacing w:before="0" w:beforeAutospacing="0" w:after="0" w:afterAutospacing="0" w:line="240" w:lineRule="atLeast"/>
        <w:rPr>
          <w:rFonts w:ascii="Calibri" w:hAnsi="Calibri" w:cs="Calibri"/>
          <w:color w:val="000000"/>
          <w:sz w:val="22"/>
          <w:szCs w:val="22"/>
        </w:rPr>
      </w:pPr>
      <w:r>
        <w:rPr>
          <w:rFonts w:ascii="Calibri" w:hAnsi="Calibri" w:cs="Calibri"/>
          <w:color w:val="000000"/>
        </w:rPr>
        <w:t> </w:t>
      </w:r>
    </w:p>
    <w:p w14:paraId="5764C25B" w14:textId="06A4F9A1" w:rsidR="00AC4086" w:rsidRPr="00D7595D" w:rsidRDefault="00D7595D" w:rsidP="00D7595D">
      <w:pPr>
        <w:pStyle w:val="NormalWeb"/>
        <w:spacing w:before="0" w:beforeAutospacing="0" w:after="0" w:afterAutospacing="0"/>
        <w:ind w:right="55"/>
        <w:rPr>
          <w:rFonts w:ascii="Calibri" w:hAnsi="Calibri" w:cs="Calibri"/>
          <w:color w:val="000000"/>
        </w:rPr>
      </w:pPr>
      <w:r>
        <w:rPr>
          <w:color w:val="000000"/>
        </w:rPr>
        <w:t>Section 55 of the Act requires the Board to keep the</w:t>
      </w:r>
      <w:r w:rsidR="009659CA">
        <w:rPr>
          <w:color w:val="000000"/>
        </w:rPr>
        <w:t xml:space="preserve"> responsible</w:t>
      </w:r>
      <w:r>
        <w:rPr>
          <w:color w:val="000000"/>
        </w:rPr>
        <w:t xml:space="preserve"> Ministers informed of the operations of the Board and give the nominated Minister such information in relation to those operations as is appropriate. This could include information the Board considers to be relevant on any significant changing circumstances of the Fund or broader</w:t>
      </w:r>
      <w:r w:rsidR="005A7FA1">
        <w:rPr>
          <w:color w:val="000000"/>
        </w:rPr>
        <w:t xml:space="preserve"> financial</w:t>
      </w:r>
      <w:r>
        <w:rPr>
          <w:color w:val="000000"/>
        </w:rPr>
        <w:t xml:space="preserve"> markets.</w:t>
      </w:r>
    </w:p>
    <w:p w14:paraId="728AA7C7" w14:textId="77777777" w:rsidR="008F1BC3" w:rsidRDefault="008F1BC3" w:rsidP="004A27A8">
      <w:pPr>
        <w:spacing w:before="240"/>
        <w:rPr>
          <w:u w:val="single"/>
        </w:rPr>
      </w:pPr>
      <w:r>
        <w:rPr>
          <w:u w:val="single"/>
        </w:rPr>
        <w:t>Section 11 – Limits on holdings in certain companies</w:t>
      </w:r>
    </w:p>
    <w:p w14:paraId="09E7B8C7" w14:textId="6EB9E0AA" w:rsidR="0038552B" w:rsidRDefault="0038552B" w:rsidP="0038552B">
      <w:pPr>
        <w:pStyle w:val="NormalWeb"/>
        <w:spacing w:before="0" w:beforeAutospacing="0" w:after="0" w:afterAutospacing="0"/>
        <w:ind w:right="55"/>
        <w:rPr>
          <w:rFonts w:ascii="Calibri" w:hAnsi="Calibri" w:cs="Calibri"/>
          <w:color w:val="000000"/>
        </w:rPr>
      </w:pPr>
      <w:r w:rsidRPr="00C5745F">
        <w:rPr>
          <w:color w:val="000000"/>
        </w:rPr>
        <w:t>The</w:t>
      </w:r>
      <w:r w:rsidR="00FB4D57" w:rsidRPr="00C5745F">
        <w:rPr>
          <w:color w:val="000000"/>
        </w:rPr>
        <w:t xml:space="preserve"> Act</w:t>
      </w:r>
      <w:r w:rsidRPr="001C160B">
        <w:rPr>
          <w:color w:val="000000"/>
        </w:rPr>
        <w:t xml:space="preserve"> sets</w:t>
      </w:r>
      <w:r>
        <w:rPr>
          <w:color w:val="000000"/>
        </w:rPr>
        <w:t xml:space="preserve"> out a number of legislative restrictions in relation to the investment of the Fund.  Sections 21 and </w:t>
      </w:r>
      <w:r w:rsidR="002D649C">
        <w:rPr>
          <w:color w:val="000000"/>
        </w:rPr>
        <w:t xml:space="preserve">84C </w:t>
      </w:r>
      <w:r>
        <w:rPr>
          <w:color w:val="000000"/>
        </w:rPr>
        <w:t>of the Act prohibit the Board from triggering the takeover provisions under the </w:t>
      </w:r>
      <w:r>
        <w:rPr>
          <w:i/>
          <w:iCs/>
          <w:color w:val="000000"/>
        </w:rPr>
        <w:t>Corporations Act 2001</w:t>
      </w:r>
      <w:r>
        <w:rPr>
          <w:color w:val="000000"/>
        </w:rPr>
        <w:t> and restrict the Board from holding a stake of more than 20 per cent in any foreign publicly listed company.</w:t>
      </w:r>
    </w:p>
    <w:p w14:paraId="19A8595A" w14:textId="77777777" w:rsidR="0038552B" w:rsidRDefault="0038552B" w:rsidP="0038552B">
      <w:pPr>
        <w:pStyle w:val="NormalWeb"/>
        <w:spacing w:before="29" w:beforeAutospacing="0" w:after="0" w:afterAutospacing="0"/>
        <w:ind w:right="230"/>
        <w:rPr>
          <w:rFonts w:ascii="Calibri" w:hAnsi="Calibri" w:cs="Calibri"/>
          <w:color w:val="000000"/>
        </w:rPr>
      </w:pPr>
      <w:r>
        <w:rPr>
          <w:color w:val="000000"/>
        </w:rPr>
        <w:t> </w:t>
      </w:r>
    </w:p>
    <w:p w14:paraId="6A7887DE" w14:textId="7A2CE10B" w:rsidR="0038552B" w:rsidRDefault="0038552B" w:rsidP="0038552B">
      <w:pPr>
        <w:pStyle w:val="NormalWeb"/>
        <w:spacing w:before="0" w:beforeAutospacing="0" w:after="0" w:afterAutospacing="0"/>
        <w:ind w:right="55"/>
        <w:rPr>
          <w:rFonts w:ascii="Calibri" w:hAnsi="Calibri" w:cs="Calibri"/>
          <w:color w:val="000000"/>
        </w:rPr>
      </w:pPr>
      <w:r>
        <w:rPr>
          <w:color w:val="000000"/>
        </w:rPr>
        <w:t xml:space="preserve">To provide the Government with comfort that these legal restrictions will be met, the </w:t>
      </w:r>
      <w:r w:rsidR="001A1174">
        <w:rPr>
          <w:color w:val="000000"/>
        </w:rPr>
        <w:t>Instrument</w:t>
      </w:r>
      <w:r>
        <w:rPr>
          <w:color w:val="000000"/>
        </w:rPr>
        <w:t xml:space="preserve"> directs that the Board must establish a practical working limit to prevent a breach.</w:t>
      </w:r>
    </w:p>
    <w:p w14:paraId="06491679" w14:textId="77777777" w:rsidR="008F1BC3" w:rsidRDefault="008F1BC3" w:rsidP="004A27A8">
      <w:pPr>
        <w:spacing w:before="240"/>
        <w:rPr>
          <w:u w:val="single"/>
        </w:rPr>
      </w:pPr>
      <w:r>
        <w:rPr>
          <w:u w:val="single"/>
        </w:rPr>
        <w:t>Section 12 – Board must consider impacts of investment strategy</w:t>
      </w:r>
    </w:p>
    <w:p w14:paraId="7D69499B" w14:textId="02095781" w:rsidR="001B0141" w:rsidRDefault="001B0141" w:rsidP="00943477">
      <w:pPr>
        <w:pStyle w:val="NormalWeb"/>
        <w:spacing w:before="0" w:beforeAutospacing="0" w:after="0" w:afterAutospacing="0"/>
        <w:ind w:right="55"/>
        <w:rPr>
          <w:rFonts w:ascii="Calibri" w:hAnsi="Calibri" w:cs="Calibri"/>
          <w:color w:val="000000"/>
        </w:rPr>
      </w:pPr>
      <w:r>
        <w:rPr>
          <w:color w:val="000000"/>
        </w:rPr>
        <w:t>The Government has a broad obligation to the Australian community to make decisions that are economically and fiscally responsible. In establishing the Fund</w:t>
      </w:r>
      <w:r w:rsidR="00EA4991">
        <w:rPr>
          <w:color w:val="000000"/>
        </w:rPr>
        <w:t>,</w:t>
      </w:r>
      <w:r>
        <w:rPr>
          <w:color w:val="000000"/>
        </w:rPr>
        <w:t xml:space="preserve"> it is the expectation of the Government that the investments of the Fund should not disrupt the normal operation of domestic financial markets. The Board, in setting the investment strategy and in instructing the investment of the Fund, must act in a manner that minimises the potential </w:t>
      </w:r>
      <w:r w:rsidR="000A1BEF">
        <w:rPr>
          <w:color w:val="000000"/>
        </w:rPr>
        <w:t>of causing</w:t>
      </w:r>
      <w:r>
        <w:rPr>
          <w:color w:val="000000"/>
        </w:rPr>
        <w:t> any abnormal change in the volatility or efficient operation of Australian financial markets.</w:t>
      </w:r>
    </w:p>
    <w:p w14:paraId="4B39C295" w14:textId="77777777" w:rsidR="001B0141" w:rsidRDefault="001B0141" w:rsidP="00943477">
      <w:pPr>
        <w:pStyle w:val="NormalWeb"/>
        <w:spacing w:before="29" w:beforeAutospacing="0" w:after="0" w:afterAutospacing="0"/>
        <w:ind w:right="230"/>
        <w:rPr>
          <w:rFonts w:ascii="Calibri" w:hAnsi="Calibri" w:cs="Calibri"/>
          <w:color w:val="000000"/>
        </w:rPr>
      </w:pPr>
      <w:r>
        <w:rPr>
          <w:color w:val="000000"/>
        </w:rPr>
        <w:t> </w:t>
      </w:r>
    </w:p>
    <w:p w14:paraId="01EAB0F7" w14:textId="3B6EA450" w:rsidR="001B0141" w:rsidRDefault="001B0141" w:rsidP="00943477">
      <w:pPr>
        <w:pStyle w:val="NormalWeb"/>
        <w:spacing w:before="0" w:beforeAutospacing="0" w:after="0" w:afterAutospacing="0"/>
        <w:ind w:right="55"/>
        <w:rPr>
          <w:rFonts w:ascii="Calibri" w:hAnsi="Calibri" w:cs="Calibri"/>
          <w:color w:val="000000"/>
        </w:rPr>
      </w:pPr>
      <w:r>
        <w:rPr>
          <w:color w:val="000000"/>
        </w:rPr>
        <w:t xml:space="preserve">The Board is also required to act in a manner that is unlikely to </w:t>
      </w:r>
      <w:r w:rsidR="000A1BEF">
        <w:rPr>
          <w:color w:val="000000"/>
        </w:rPr>
        <w:t>have a negative impact on</w:t>
      </w:r>
      <w:r>
        <w:rPr>
          <w:color w:val="000000"/>
        </w:rPr>
        <w:t xml:space="preserve"> the Government’s reputation in Australian and international financial markets.</w:t>
      </w:r>
    </w:p>
    <w:p w14:paraId="23939740" w14:textId="77777777" w:rsidR="001B0141" w:rsidRDefault="001B0141" w:rsidP="00943477">
      <w:pPr>
        <w:pStyle w:val="NormalWeb"/>
        <w:spacing w:before="29" w:beforeAutospacing="0" w:after="0" w:afterAutospacing="0"/>
        <w:ind w:right="230"/>
        <w:rPr>
          <w:rFonts w:ascii="Calibri" w:hAnsi="Calibri" w:cs="Calibri"/>
          <w:color w:val="000000"/>
        </w:rPr>
      </w:pPr>
      <w:r>
        <w:rPr>
          <w:color w:val="000000"/>
        </w:rPr>
        <w:t> </w:t>
      </w:r>
    </w:p>
    <w:p w14:paraId="701E2979" w14:textId="486E9798" w:rsidR="001B0141" w:rsidRDefault="001B0141" w:rsidP="00943477">
      <w:pPr>
        <w:pStyle w:val="NormalWeb"/>
        <w:spacing w:before="0" w:beforeAutospacing="0" w:after="0" w:afterAutospacing="0"/>
        <w:ind w:right="55"/>
        <w:rPr>
          <w:rFonts w:ascii="Calibri" w:hAnsi="Calibri" w:cs="Calibri"/>
          <w:color w:val="000000"/>
        </w:rPr>
      </w:pPr>
      <w:r>
        <w:rPr>
          <w:color w:val="000000"/>
        </w:rPr>
        <w:t xml:space="preserve">The Government participates in a number of international organisations which pursue high standards of conduct in financial markets. The Government recognises that the Board will invest in international capital markets as part of a sound investment strategy involving diversification.  In doing so, the Government expects that the Board will act in a manner that is unlikely to cause </w:t>
      </w:r>
      <w:r w:rsidR="00DC7AFC">
        <w:rPr>
          <w:color w:val="000000"/>
        </w:rPr>
        <w:t>reputational damage to Australia</w:t>
      </w:r>
      <w:r>
        <w:rPr>
          <w:color w:val="000000"/>
        </w:rPr>
        <w:t>.</w:t>
      </w:r>
    </w:p>
    <w:p w14:paraId="4201FCDA" w14:textId="77777777" w:rsidR="008F1BC3" w:rsidRDefault="008F1BC3" w:rsidP="004A27A8">
      <w:pPr>
        <w:spacing w:before="240"/>
        <w:rPr>
          <w:u w:val="single"/>
        </w:rPr>
      </w:pPr>
      <w:r>
        <w:rPr>
          <w:u w:val="single"/>
        </w:rPr>
        <w:t>Section 13 – Corporate governance</w:t>
      </w:r>
    </w:p>
    <w:p w14:paraId="0A71DDA3" w14:textId="794239F1" w:rsidR="008F1BC3" w:rsidRDefault="001F3B7D" w:rsidP="00186C01">
      <w:pPr>
        <w:spacing w:before="240"/>
        <w:rPr>
          <w:color w:val="000000"/>
        </w:rPr>
      </w:pPr>
      <w:r>
        <w:rPr>
          <w:color w:val="000000"/>
        </w:rPr>
        <w:t>In undertaking its investment functions, the Board must act consistent</w:t>
      </w:r>
      <w:r w:rsidR="00444EA6">
        <w:rPr>
          <w:color w:val="000000"/>
        </w:rPr>
        <w:t>ly</w:t>
      </w:r>
      <w:r>
        <w:rPr>
          <w:color w:val="000000"/>
        </w:rPr>
        <w:t xml:space="preserve"> with, and establish policies on matters relevant to, international best practice for institutional investment. In </w:t>
      </w:r>
      <w:r>
        <w:rPr>
          <w:color w:val="000000"/>
        </w:rPr>
        <w:lastRenderedPageBreak/>
        <w:t>particular, the Government expect</w:t>
      </w:r>
      <w:r w:rsidR="00444EA6">
        <w:rPr>
          <w:color w:val="000000"/>
        </w:rPr>
        <w:t>s</w:t>
      </w:r>
      <w:r>
        <w:rPr>
          <w:color w:val="000000"/>
        </w:rPr>
        <w:t xml:space="preserve"> the Board’s policies to</w:t>
      </w:r>
      <w:r w:rsidR="00186C01">
        <w:rPr>
          <w:color w:val="000000"/>
        </w:rPr>
        <w:t xml:space="preserve"> include its approach to corporate</w:t>
      </w:r>
      <w:r>
        <w:rPr>
          <w:color w:val="000000"/>
        </w:rPr>
        <w:t xml:space="preserve"> governance principles, including </w:t>
      </w:r>
      <w:r w:rsidR="00444EA6">
        <w:rPr>
          <w:color w:val="000000"/>
        </w:rPr>
        <w:t xml:space="preserve">the </w:t>
      </w:r>
      <w:r>
        <w:rPr>
          <w:color w:val="000000"/>
        </w:rPr>
        <w:t xml:space="preserve">voting </w:t>
      </w:r>
      <w:r w:rsidR="00D85FFD">
        <w:rPr>
          <w:color w:val="000000"/>
        </w:rPr>
        <w:t>policy for investments of the Fund</w:t>
      </w:r>
      <w:r>
        <w:rPr>
          <w:color w:val="000000"/>
        </w:rPr>
        <w:t>.</w:t>
      </w:r>
    </w:p>
    <w:p w14:paraId="0BD451EB" w14:textId="12AF1C0A" w:rsidR="008F1BC3" w:rsidRDefault="008F1BC3" w:rsidP="004A27A8">
      <w:pPr>
        <w:spacing w:before="240"/>
        <w:rPr>
          <w:b/>
          <w:bCs/>
        </w:rPr>
      </w:pPr>
      <w:r>
        <w:rPr>
          <w:b/>
          <w:bCs/>
        </w:rPr>
        <w:t>Schedule 1 – Repeals</w:t>
      </w:r>
    </w:p>
    <w:p w14:paraId="0928E367" w14:textId="0D2159B8" w:rsidR="00CF6352" w:rsidRPr="00D14171" w:rsidRDefault="0038552B" w:rsidP="004A27A8">
      <w:pPr>
        <w:spacing w:before="240"/>
      </w:pPr>
      <w:r>
        <w:t xml:space="preserve">Schedule 1 of the Instrument repeals the previous </w:t>
      </w:r>
      <w:r w:rsidR="00D85FFD">
        <w:t>Investment Mandate</w:t>
      </w:r>
      <w:r>
        <w:t xml:space="preserve">, the </w:t>
      </w:r>
      <w:r>
        <w:rPr>
          <w:i/>
          <w:iCs/>
        </w:rPr>
        <w:t>Future Fund Investment Mandate Direction 2017.</w:t>
      </w:r>
      <w:r>
        <w:t xml:space="preserve"> </w:t>
      </w:r>
      <w:r w:rsidR="009B5DD6">
        <w:t>The Instrument remakes the Investment Mandate to reflect current drafting practices</w:t>
      </w:r>
      <w:r w:rsidR="002555F5">
        <w:t xml:space="preserve"> </w:t>
      </w:r>
      <w:r w:rsidR="002555F5" w:rsidRPr="00186C01">
        <w:t>and to provide updated directions on national priorities.</w:t>
      </w:r>
    </w:p>
    <w:sectPr w:rsidR="00CF6352" w:rsidRPr="00D14171" w:rsidSect="004A27A8">
      <w:headerReference w:type="even" r:id="rId13"/>
      <w:headerReference w:type="default" r:id="rId14"/>
      <w:footerReference w:type="even" r:id="rId15"/>
      <w:footerReference w:type="default" r:id="rId16"/>
      <w:headerReference w:type="first" r:id="rId17"/>
      <w:footerReference w:type="first" r:id="rId1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6197" w14:textId="77777777" w:rsidR="00A36996" w:rsidRDefault="00A36996" w:rsidP="00954679">
      <w:pPr>
        <w:spacing w:before="0" w:after="0"/>
      </w:pPr>
      <w:r>
        <w:separator/>
      </w:r>
    </w:p>
  </w:endnote>
  <w:endnote w:type="continuationSeparator" w:id="0">
    <w:p w14:paraId="135D123A" w14:textId="77777777" w:rsidR="00A36996" w:rsidRDefault="00A36996" w:rsidP="00954679">
      <w:pPr>
        <w:spacing w:before="0" w:after="0"/>
      </w:pPr>
      <w:r>
        <w:continuationSeparator/>
      </w:r>
    </w:p>
  </w:endnote>
  <w:endnote w:type="continuationNotice" w:id="1">
    <w:p w14:paraId="77921D3A" w14:textId="77777777" w:rsidR="00A36996" w:rsidRDefault="00A369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AA58" w14:textId="0D452D03" w:rsidR="00831A2A" w:rsidRDefault="00831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C418" w14:textId="54F9C69C" w:rsidR="00954679" w:rsidRDefault="00000000" w:rsidP="00013390">
    <w:pPr>
      <w:pStyle w:val="Footer"/>
      <w:jc w:val="right"/>
    </w:pPr>
    <w:sdt>
      <w:sdtPr>
        <w:id w:val="1608619968"/>
        <w:docPartObj>
          <w:docPartGallery w:val="Page Numbers (Bottom of Page)"/>
          <w:docPartUnique/>
        </w:docPartObj>
      </w:sdtPr>
      <w:sdtContent>
        <w:sdt>
          <w:sdtPr>
            <w:id w:val="98381352"/>
            <w:docPartObj>
              <w:docPartGallery w:val="Page Numbers (Top of Page)"/>
              <w:docPartUnique/>
            </w:docPartObj>
          </w:sdt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8096" w14:textId="26F9B74D" w:rsidR="00831A2A" w:rsidRDefault="0083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3CA6" w14:textId="77777777" w:rsidR="00A36996" w:rsidRDefault="00A36996" w:rsidP="00954679">
      <w:pPr>
        <w:spacing w:before="0" w:after="0"/>
      </w:pPr>
      <w:r>
        <w:separator/>
      </w:r>
    </w:p>
  </w:footnote>
  <w:footnote w:type="continuationSeparator" w:id="0">
    <w:p w14:paraId="17164FB3" w14:textId="77777777" w:rsidR="00A36996" w:rsidRDefault="00A36996" w:rsidP="00954679">
      <w:pPr>
        <w:spacing w:before="0" w:after="0"/>
      </w:pPr>
      <w:r>
        <w:continuationSeparator/>
      </w:r>
    </w:p>
  </w:footnote>
  <w:footnote w:type="continuationNotice" w:id="1">
    <w:p w14:paraId="648F497C" w14:textId="77777777" w:rsidR="00A36996" w:rsidRDefault="00A369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4A22" w14:textId="66856828" w:rsidR="00831A2A" w:rsidRDefault="00831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791D" w14:textId="266AB3EE" w:rsidR="00831A2A" w:rsidRDefault="00831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3737" w14:textId="1653C2F3" w:rsidR="00831A2A" w:rsidRDefault="0083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4944"/>
    <w:multiLevelType w:val="hybridMultilevel"/>
    <w:tmpl w:val="0E3EB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85638A"/>
    <w:multiLevelType w:val="hybridMultilevel"/>
    <w:tmpl w:val="F1EA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3E725399"/>
    <w:multiLevelType w:val="hybridMultilevel"/>
    <w:tmpl w:val="D33A12A4"/>
    <w:lvl w:ilvl="0" w:tplc="AE9AD9FA">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6876E7"/>
    <w:multiLevelType w:val="hybridMultilevel"/>
    <w:tmpl w:val="37CAB394"/>
    <w:lvl w:ilvl="0" w:tplc="608AF1B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B020EF"/>
    <w:multiLevelType w:val="hybridMultilevel"/>
    <w:tmpl w:val="2D8C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A43C0B"/>
    <w:multiLevelType w:val="multilevel"/>
    <w:tmpl w:val="899EF23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4"/>
  </w:num>
  <w:num w:numId="2" w16cid:durableId="92435628">
    <w:abstractNumId w:val="8"/>
  </w:num>
  <w:num w:numId="3" w16cid:durableId="102648425">
    <w:abstractNumId w:val="3"/>
  </w:num>
  <w:num w:numId="4" w16cid:durableId="1451314351">
    <w:abstractNumId w:val="1"/>
  </w:num>
  <w:num w:numId="5" w16cid:durableId="1455824937">
    <w:abstractNumId w:val="8"/>
  </w:num>
  <w:num w:numId="6" w16cid:durableId="2012178582">
    <w:abstractNumId w:val="8"/>
  </w:num>
  <w:num w:numId="7" w16cid:durableId="1173374635">
    <w:abstractNumId w:val="8"/>
  </w:num>
  <w:num w:numId="8" w16cid:durableId="1074162301">
    <w:abstractNumId w:val="8"/>
  </w:num>
  <w:num w:numId="9" w16cid:durableId="1206795025">
    <w:abstractNumId w:val="8"/>
  </w:num>
  <w:num w:numId="10" w16cid:durableId="474571849">
    <w:abstractNumId w:val="8"/>
  </w:num>
  <w:num w:numId="11" w16cid:durableId="890385033">
    <w:abstractNumId w:val="8"/>
  </w:num>
  <w:num w:numId="12" w16cid:durableId="392780191">
    <w:abstractNumId w:val="8"/>
  </w:num>
  <w:num w:numId="13" w16cid:durableId="1793669345">
    <w:abstractNumId w:val="8"/>
  </w:num>
  <w:num w:numId="14" w16cid:durableId="2085832638">
    <w:abstractNumId w:val="8"/>
  </w:num>
  <w:num w:numId="15" w16cid:durableId="724838217">
    <w:abstractNumId w:val="8"/>
  </w:num>
  <w:num w:numId="16" w16cid:durableId="951398036">
    <w:abstractNumId w:val="8"/>
  </w:num>
  <w:num w:numId="17" w16cid:durableId="785277605">
    <w:abstractNumId w:val="6"/>
  </w:num>
  <w:num w:numId="18" w16cid:durableId="855003206">
    <w:abstractNumId w:val="5"/>
  </w:num>
  <w:num w:numId="19" w16cid:durableId="154346578">
    <w:abstractNumId w:val="0"/>
  </w:num>
  <w:num w:numId="20" w16cid:durableId="1857035091">
    <w:abstractNumId w:val="7"/>
  </w:num>
  <w:num w:numId="21" w16cid:durableId="635649014">
    <w:abstractNumId w:val="2"/>
  </w:num>
  <w:num w:numId="22" w16cid:durableId="265619038">
    <w:abstractNumId w:val="8"/>
  </w:num>
  <w:num w:numId="23" w16cid:durableId="1513184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2A"/>
    <w:rsid w:val="00001283"/>
    <w:rsid w:val="00001706"/>
    <w:rsid w:val="000020D3"/>
    <w:rsid w:val="00002271"/>
    <w:rsid w:val="000026BE"/>
    <w:rsid w:val="00003189"/>
    <w:rsid w:val="00003954"/>
    <w:rsid w:val="00003B4E"/>
    <w:rsid w:val="00005B51"/>
    <w:rsid w:val="00005F4D"/>
    <w:rsid w:val="0000628C"/>
    <w:rsid w:val="0001284F"/>
    <w:rsid w:val="00013390"/>
    <w:rsid w:val="0001351E"/>
    <w:rsid w:val="000142CB"/>
    <w:rsid w:val="00016D57"/>
    <w:rsid w:val="00016EA2"/>
    <w:rsid w:val="00017F36"/>
    <w:rsid w:val="000203BA"/>
    <w:rsid w:val="00020969"/>
    <w:rsid w:val="000222CF"/>
    <w:rsid w:val="0002396D"/>
    <w:rsid w:val="0002546A"/>
    <w:rsid w:val="00025837"/>
    <w:rsid w:val="00025BBC"/>
    <w:rsid w:val="00026C25"/>
    <w:rsid w:val="00031AE1"/>
    <w:rsid w:val="00032A27"/>
    <w:rsid w:val="00032E89"/>
    <w:rsid w:val="00033D64"/>
    <w:rsid w:val="00035798"/>
    <w:rsid w:val="000365CA"/>
    <w:rsid w:val="00036C9E"/>
    <w:rsid w:val="00037CC7"/>
    <w:rsid w:val="00037DCE"/>
    <w:rsid w:val="000403B6"/>
    <w:rsid w:val="00040F0A"/>
    <w:rsid w:val="000413AD"/>
    <w:rsid w:val="00041C87"/>
    <w:rsid w:val="00042619"/>
    <w:rsid w:val="00042E75"/>
    <w:rsid w:val="000438B8"/>
    <w:rsid w:val="00043F4B"/>
    <w:rsid w:val="000455BA"/>
    <w:rsid w:val="00045EC5"/>
    <w:rsid w:val="00046027"/>
    <w:rsid w:val="00046708"/>
    <w:rsid w:val="00047925"/>
    <w:rsid w:val="00051648"/>
    <w:rsid w:val="0005166F"/>
    <w:rsid w:val="000524A9"/>
    <w:rsid w:val="000525CD"/>
    <w:rsid w:val="00053082"/>
    <w:rsid w:val="0005316A"/>
    <w:rsid w:val="000547DB"/>
    <w:rsid w:val="00054C71"/>
    <w:rsid w:val="0005501A"/>
    <w:rsid w:val="000551E8"/>
    <w:rsid w:val="00056E73"/>
    <w:rsid w:val="000573D5"/>
    <w:rsid w:val="00061FB2"/>
    <w:rsid w:val="00063094"/>
    <w:rsid w:val="00063888"/>
    <w:rsid w:val="00063BF1"/>
    <w:rsid w:val="00063FBC"/>
    <w:rsid w:val="000731BC"/>
    <w:rsid w:val="0007387A"/>
    <w:rsid w:val="00074895"/>
    <w:rsid w:val="000750BD"/>
    <w:rsid w:val="00075A77"/>
    <w:rsid w:val="00076178"/>
    <w:rsid w:val="00076E15"/>
    <w:rsid w:val="00076FF9"/>
    <w:rsid w:val="00080673"/>
    <w:rsid w:val="00082A41"/>
    <w:rsid w:val="000854E0"/>
    <w:rsid w:val="0008741E"/>
    <w:rsid w:val="00090512"/>
    <w:rsid w:val="0009369C"/>
    <w:rsid w:val="00095211"/>
    <w:rsid w:val="00097AC7"/>
    <w:rsid w:val="000A05B5"/>
    <w:rsid w:val="000A1B24"/>
    <w:rsid w:val="000A1BEF"/>
    <w:rsid w:val="000A5016"/>
    <w:rsid w:val="000A6430"/>
    <w:rsid w:val="000A6675"/>
    <w:rsid w:val="000A69C5"/>
    <w:rsid w:val="000A7A6E"/>
    <w:rsid w:val="000B22D9"/>
    <w:rsid w:val="000B382A"/>
    <w:rsid w:val="000B39A1"/>
    <w:rsid w:val="000B42EC"/>
    <w:rsid w:val="000B6C1A"/>
    <w:rsid w:val="000C0C19"/>
    <w:rsid w:val="000C10DF"/>
    <w:rsid w:val="000C2E12"/>
    <w:rsid w:val="000C3ECC"/>
    <w:rsid w:val="000C4B61"/>
    <w:rsid w:val="000C4E78"/>
    <w:rsid w:val="000C5C40"/>
    <w:rsid w:val="000C6491"/>
    <w:rsid w:val="000C6935"/>
    <w:rsid w:val="000C78F4"/>
    <w:rsid w:val="000C7CA6"/>
    <w:rsid w:val="000D0446"/>
    <w:rsid w:val="000D11E5"/>
    <w:rsid w:val="000D1261"/>
    <w:rsid w:val="000D128D"/>
    <w:rsid w:val="000D204E"/>
    <w:rsid w:val="000D2234"/>
    <w:rsid w:val="000D2350"/>
    <w:rsid w:val="000D2B5A"/>
    <w:rsid w:val="000D4D55"/>
    <w:rsid w:val="000D5827"/>
    <w:rsid w:val="000D59B4"/>
    <w:rsid w:val="000D6245"/>
    <w:rsid w:val="000D652B"/>
    <w:rsid w:val="000E0BAE"/>
    <w:rsid w:val="000E11AA"/>
    <w:rsid w:val="000E1723"/>
    <w:rsid w:val="000E1D64"/>
    <w:rsid w:val="000E32E3"/>
    <w:rsid w:val="000E51DB"/>
    <w:rsid w:val="000E6A7F"/>
    <w:rsid w:val="000E7CAD"/>
    <w:rsid w:val="000F0403"/>
    <w:rsid w:val="000F0D56"/>
    <w:rsid w:val="000F1003"/>
    <w:rsid w:val="000F1822"/>
    <w:rsid w:val="000F1F12"/>
    <w:rsid w:val="000F2CBB"/>
    <w:rsid w:val="000F343A"/>
    <w:rsid w:val="000F3499"/>
    <w:rsid w:val="000F35C2"/>
    <w:rsid w:val="000F3A05"/>
    <w:rsid w:val="000F53D9"/>
    <w:rsid w:val="000F6BCB"/>
    <w:rsid w:val="001006D2"/>
    <w:rsid w:val="001012C2"/>
    <w:rsid w:val="00101C6E"/>
    <w:rsid w:val="00106E70"/>
    <w:rsid w:val="00113B45"/>
    <w:rsid w:val="00114003"/>
    <w:rsid w:val="0011527C"/>
    <w:rsid w:val="001173A7"/>
    <w:rsid w:val="00117C02"/>
    <w:rsid w:val="00120465"/>
    <w:rsid w:val="00125001"/>
    <w:rsid w:val="00126652"/>
    <w:rsid w:val="001276B4"/>
    <w:rsid w:val="001319C8"/>
    <w:rsid w:val="00131F35"/>
    <w:rsid w:val="001331B7"/>
    <w:rsid w:val="00133D7A"/>
    <w:rsid w:val="001354F1"/>
    <w:rsid w:val="00137020"/>
    <w:rsid w:val="001425E6"/>
    <w:rsid w:val="00142682"/>
    <w:rsid w:val="0014297F"/>
    <w:rsid w:val="00142BCF"/>
    <w:rsid w:val="00142FC3"/>
    <w:rsid w:val="001431B5"/>
    <w:rsid w:val="001432BE"/>
    <w:rsid w:val="00144960"/>
    <w:rsid w:val="00144B94"/>
    <w:rsid w:val="0014608E"/>
    <w:rsid w:val="00146CFC"/>
    <w:rsid w:val="00150EFF"/>
    <w:rsid w:val="00155301"/>
    <w:rsid w:val="001577E9"/>
    <w:rsid w:val="00161D10"/>
    <w:rsid w:val="00162034"/>
    <w:rsid w:val="00164C45"/>
    <w:rsid w:val="001663BC"/>
    <w:rsid w:val="0016745F"/>
    <w:rsid w:val="0017091B"/>
    <w:rsid w:val="00170E67"/>
    <w:rsid w:val="00172B5A"/>
    <w:rsid w:val="00172E20"/>
    <w:rsid w:val="001742F6"/>
    <w:rsid w:val="00177185"/>
    <w:rsid w:val="00177DF6"/>
    <w:rsid w:val="0018237F"/>
    <w:rsid w:val="00182521"/>
    <w:rsid w:val="00182B9A"/>
    <w:rsid w:val="001832B3"/>
    <w:rsid w:val="00183DE2"/>
    <w:rsid w:val="0018433B"/>
    <w:rsid w:val="00186C01"/>
    <w:rsid w:val="00186ED9"/>
    <w:rsid w:val="001873CF"/>
    <w:rsid w:val="001874F1"/>
    <w:rsid w:val="00187857"/>
    <w:rsid w:val="00190C12"/>
    <w:rsid w:val="00190DE5"/>
    <w:rsid w:val="001953E9"/>
    <w:rsid w:val="00195A29"/>
    <w:rsid w:val="001A01D0"/>
    <w:rsid w:val="001A1174"/>
    <w:rsid w:val="001A1C59"/>
    <w:rsid w:val="001A42D7"/>
    <w:rsid w:val="001A4AF0"/>
    <w:rsid w:val="001A5386"/>
    <w:rsid w:val="001A660F"/>
    <w:rsid w:val="001A664D"/>
    <w:rsid w:val="001A6AA7"/>
    <w:rsid w:val="001B0141"/>
    <w:rsid w:val="001B1AB9"/>
    <w:rsid w:val="001B2437"/>
    <w:rsid w:val="001B43F1"/>
    <w:rsid w:val="001B4919"/>
    <w:rsid w:val="001B4B45"/>
    <w:rsid w:val="001B6751"/>
    <w:rsid w:val="001B698F"/>
    <w:rsid w:val="001B7535"/>
    <w:rsid w:val="001B7DE9"/>
    <w:rsid w:val="001B7EC2"/>
    <w:rsid w:val="001C0122"/>
    <w:rsid w:val="001C0477"/>
    <w:rsid w:val="001C0648"/>
    <w:rsid w:val="001C0D2B"/>
    <w:rsid w:val="001C160B"/>
    <w:rsid w:val="001C1A68"/>
    <w:rsid w:val="001C37FF"/>
    <w:rsid w:val="001C4794"/>
    <w:rsid w:val="001C58D9"/>
    <w:rsid w:val="001D069D"/>
    <w:rsid w:val="001D0EC9"/>
    <w:rsid w:val="001D1E4C"/>
    <w:rsid w:val="001D2A4F"/>
    <w:rsid w:val="001D45A3"/>
    <w:rsid w:val="001D45AA"/>
    <w:rsid w:val="001D502D"/>
    <w:rsid w:val="001D7B79"/>
    <w:rsid w:val="001E0DD9"/>
    <w:rsid w:val="001E125E"/>
    <w:rsid w:val="001E39B2"/>
    <w:rsid w:val="001E42AA"/>
    <w:rsid w:val="001E67AF"/>
    <w:rsid w:val="001E6A00"/>
    <w:rsid w:val="001E6A74"/>
    <w:rsid w:val="001F0537"/>
    <w:rsid w:val="001F3B7D"/>
    <w:rsid w:val="001F41D0"/>
    <w:rsid w:val="001F462C"/>
    <w:rsid w:val="001F4A85"/>
    <w:rsid w:val="001F4C03"/>
    <w:rsid w:val="001F5677"/>
    <w:rsid w:val="0020146E"/>
    <w:rsid w:val="00203683"/>
    <w:rsid w:val="00203B6D"/>
    <w:rsid w:val="0020442C"/>
    <w:rsid w:val="0020506A"/>
    <w:rsid w:val="00205F52"/>
    <w:rsid w:val="002109D1"/>
    <w:rsid w:val="00212643"/>
    <w:rsid w:val="00212BF7"/>
    <w:rsid w:val="002138D1"/>
    <w:rsid w:val="002163A4"/>
    <w:rsid w:val="0021697A"/>
    <w:rsid w:val="00217867"/>
    <w:rsid w:val="00220F16"/>
    <w:rsid w:val="00221082"/>
    <w:rsid w:val="00224B98"/>
    <w:rsid w:val="00231837"/>
    <w:rsid w:val="002349A0"/>
    <w:rsid w:val="00235456"/>
    <w:rsid w:val="00237EF7"/>
    <w:rsid w:val="00240487"/>
    <w:rsid w:val="0024049A"/>
    <w:rsid w:val="0024097B"/>
    <w:rsid w:val="00240D31"/>
    <w:rsid w:val="002416F6"/>
    <w:rsid w:val="0024245F"/>
    <w:rsid w:val="002437B5"/>
    <w:rsid w:val="00243B7C"/>
    <w:rsid w:val="00243B7E"/>
    <w:rsid w:val="00243B8A"/>
    <w:rsid w:val="002441AD"/>
    <w:rsid w:val="00244561"/>
    <w:rsid w:val="002462B3"/>
    <w:rsid w:val="00246609"/>
    <w:rsid w:val="002471E4"/>
    <w:rsid w:val="00254A45"/>
    <w:rsid w:val="00254C5B"/>
    <w:rsid w:val="00254CDA"/>
    <w:rsid w:val="002555F5"/>
    <w:rsid w:val="00256E73"/>
    <w:rsid w:val="00263F43"/>
    <w:rsid w:val="002672F6"/>
    <w:rsid w:val="00267642"/>
    <w:rsid w:val="0027118E"/>
    <w:rsid w:val="0027155D"/>
    <w:rsid w:val="002725F4"/>
    <w:rsid w:val="00272C52"/>
    <w:rsid w:val="00275B23"/>
    <w:rsid w:val="002771E5"/>
    <w:rsid w:val="00277840"/>
    <w:rsid w:val="002807AA"/>
    <w:rsid w:val="0028257E"/>
    <w:rsid w:val="00283A86"/>
    <w:rsid w:val="00283DEF"/>
    <w:rsid w:val="00285EF5"/>
    <w:rsid w:val="002863F6"/>
    <w:rsid w:val="00287864"/>
    <w:rsid w:val="00287C5A"/>
    <w:rsid w:val="00292316"/>
    <w:rsid w:val="00292460"/>
    <w:rsid w:val="00292B48"/>
    <w:rsid w:val="002936D2"/>
    <w:rsid w:val="00293839"/>
    <w:rsid w:val="00293C3A"/>
    <w:rsid w:val="00293CD9"/>
    <w:rsid w:val="00294ECE"/>
    <w:rsid w:val="002A0504"/>
    <w:rsid w:val="002A1236"/>
    <w:rsid w:val="002A1AA5"/>
    <w:rsid w:val="002A2DC8"/>
    <w:rsid w:val="002A3782"/>
    <w:rsid w:val="002A3C80"/>
    <w:rsid w:val="002A3EF8"/>
    <w:rsid w:val="002A3F05"/>
    <w:rsid w:val="002A6DA4"/>
    <w:rsid w:val="002A715A"/>
    <w:rsid w:val="002A7B74"/>
    <w:rsid w:val="002A7E1F"/>
    <w:rsid w:val="002B028D"/>
    <w:rsid w:val="002B57CD"/>
    <w:rsid w:val="002B7F6B"/>
    <w:rsid w:val="002C0792"/>
    <w:rsid w:val="002C0A5A"/>
    <w:rsid w:val="002C206C"/>
    <w:rsid w:val="002C226C"/>
    <w:rsid w:val="002C2474"/>
    <w:rsid w:val="002C2B24"/>
    <w:rsid w:val="002C2F4A"/>
    <w:rsid w:val="002C36C5"/>
    <w:rsid w:val="002C3BA3"/>
    <w:rsid w:val="002C3EE2"/>
    <w:rsid w:val="002C3FB6"/>
    <w:rsid w:val="002C4385"/>
    <w:rsid w:val="002C4F94"/>
    <w:rsid w:val="002C574D"/>
    <w:rsid w:val="002C6949"/>
    <w:rsid w:val="002C7A8B"/>
    <w:rsid w:val="002C7F91"/>
    <w:rsid w:val="002D0094"/>
    <w:rsid w:val="002D03CB"/>
    <w:rsid w:val="002D1B61"/>
    <w:rsid w:val="002D4B55"/>
    <w:rsid w:val="002D546A"/>
    <w:rsid w:val="002D55B7"/>
    <w:rsid w:val="002D649C"/>
    <w:rsid w:val="002E0FDE"/>
    <w:rsid w:val="002E2AC6"/>
    <w:rsid w:val="002E3734"/>
    <w:rsid w:val="002E3D1C"/>
    <w:rsid w:val="002E440A"/>
    <w:rsid w:val="002E4D20"/>
    <w:rsid w:val="002E73BB"/>
    <w:rsid w:val="002F022D"/>
    <w:rsid w:val="002F279C"/>
    <w:rsid w:val="002F39A9"/>
    <w:rsid w:val="002F6BB1"/>
    <w:rsid w:val="002F7D4D"/>
    <w:rsid w:val="003006F9"/>
    <w:rsid w:val="003008CD"/>
    <w:rsid w:val="00301542"/>
    <w:rsid w:val="003037F8"/>
    <w:rsid w:val="003041FA"/>
    <w:rsid w:val="00304D99"/>
    <w:rsid w:val="00306283"/>
    <w:rsid w:val="00306E6C"/>
    <w:rsid w:val="00312A68"/>
    <w:rsid w:val="00314758"/>
    <w:rsid w:val="003149CD"/>
    <w:rsid w:val="00315183"/>
    <w:rsid w:val="0031692A"/>
    <w:rsid w:val="00316B21"/>
    <w:rsid w:val="00322169"/>
    <w:rsid w:val="00330B82"/>
    <w:rsid w:val="003310A8"/>
    <w:rsid w:val="0033343D"/>
    <w:rsid w:val="003342CD"/>
    <w:rsid w:val="0033477F"/>
    <w:rsid w:val="00335042"/>
    <w:rsid w:val="00335D61"/>
    <w:rsid w:val="00336F5B"/>
    <w:rsid w:val="00341642"/>
    <w:rsid w:val="00341C15"/>
    <w:rsid w:val="00343A4A"/>
    <w:rsid w:val="00345304"/>
    <w:rsid w:val="00346A27"/>
    <w:rsid w:val="00350301"/>
    <w:rsid w:val="00350CD2"/>
    <w:rsid w:val="00352842"/>
    <w:rsid w:val="00354593"/>
    <w:rsid w:val="0035560A"/>
    <w:rsid w:val="00355872"/>
    <w:rsid w:val="00357566"/>
    <w:rsid w:val="00357733"/>
    <w:rsid w:val="00360C0A"/>
    <w:rsid w:val="00362B70"/>
    <w:rsid w:val="00363783"/>
    <w:rsid w:val="00364DEE"/>
    <w:rsid w:val="00365F11"/>
    <w:rsid w:val="00370395"/>
    <w:rsid w:val="00370558"/>
    <w:rsid w:val="0037180D"/>
    <w:rsid w:val="00373345"/>
    <w:rsid w:val="00373853"/>
    <w:rsid w:val="003743B4"/>
    <w:rsid w:val="00375AAA"/>
    <w:rsid w:val="003760F1"/>
    <w:rsid w:val="00380C36"/>
    <w:rsid w:val="00381A29"/>
    <w:rsid w:val="003833D0"/>
    <w:rsid w:val="0038473B"/>
    <w:rsid w:val="00384E76"/>
    <w:rsid w:val="0038552B"/>
    <w:rsid w:val="0038583A"/>
    <w:rsid w:val="00387B3B"/>
    <w:rsid w:val="003905ED"/>
    <w:rsid w:val="00390628"/>
    <w:rsid w:val="00392BBA"/>
    <w:rsid w:val="00392C0C"/>
    <w:rsid w:val="00393EED"/>
    <w:rsid w:val="003952F2"/>
    <w:rsid w:val="003954FD"/>
    <w:rsid w:val="003965B7"/>
    <w:rsid w:val="003A00E8"/>
    <w:rsid w:val="003A1108"/>
    <w:rsid w:val="003A2F58"/>
    <w:rsid w:val="003A327B"/>
    <w:rsid w:val="003A4D63"/>
    <w:rsid w:val="003A517A"/>
    <w:rsid w:val="003A74F8"/>
    <w:rsid w:val="003A78F9"/>
    <w:rsid w:val="003B19DD"/>
    <w:rsid w:val="003B31F4"/>
    <w:rsid w:val="003B3669"/>
    <w:rsid w:val="003B3D55"/>
    <w:rsid w:val="003B4356"/>
    <w:rsid w:val="003B44DF"/>
    <w:rsid w:val="003B5ABB"/>
    <w:rsid w:val="003B5D27"/>
    <w:rsid w:val="003B7131"/>
    <w:rsid w:val="003C0BFE"/>
    <w:rsid w:val="003C0E9A"/>
    <w:rsid w:val="003C335E"/>
    <w:rsid w:val="003C445C"/>
    <w:rsid w:val="003C455C"/>
    <w:rsid w:val="003C5527"/>
    <w:rsid w:val="003C5693"/>
    <w:rsid w:val="003C5719"/>
    <w:rsid w:val="003C5882"/>
    <w:rsid w:val="003C6D99"/>
    <w:rsid w:val="003C7907"/>
    <w:rsid w:val="003C7B82"/>
    <w:rsid w:val="003D0702"/>
    <w:rsid w:val="003D0B99"/>
    <w:rsid w:val="003D2155"/>
    <w:rsid w:val="003D302C"/>
    <w:rsid w:val="003D392B"/>
    <w:rsid w:val="003D5B9F"/>
    <w:rsid w:val="003D60D7"/>
    <w:rsid w:val="003E0021"/>
    <w:rsid w:val="003E0411"/>
    <w:rsid w:val="003E1C8F"/>
    <w:rsid w:val="003E1CE3"/>
    <w:rsid w:val="003E24E6"/>
    <w:rsid w:val="003E55E4"/>
    <w:rsid w:val="003E5746"/>
    <w:rsid w:val="003E73AD"/>
    <w:rsid w:val="003E77BC"/>
    <w:rsid w:val="003E79AB"/>
    <w:rsid w:val="003F17A4"/>
    <w:rsid w:val="003F2753"/>
    <w:rsid w:val="003F3B86"/>
    <w:rsid w:val="003F3CD8"/>
    <w:rsid w:val="003F5ACE"/>
    <w:rsid w:val="003F725B"/>
    <w:rsid w:val="004000AE"/>
    <w:rsid w:val="004006BD"/>
    <w:rsid w:val="004029F3"/>
    <w:rsid w:val="0040351B"/>
    <w:rsid w:val="004049A9"/>
    <w:rsid w:val="004056DD"/>
    <w:rsid w:val="00405FC4"/>
    <w:rsid w:val="00412BB6"/>
    <w:rsid w:val="004130F6"/>
    <w:rsid w:val="0041599D"/>
    <w:rsid w:val="00417629"/>
    <w:rsid w:val="004223F1"/>
    <w:rsid w:val="00422EE6"/>
    <w:rsid w:val="00423C6D"/>
    <w:rsid w:val="00423EDF"/>
    <w:rsid w:val="00424156"/>
    <w:rsid w:val="00424F43"/>
    <w:rsid w:val="004314E3"/>
    <w:rsid w:val="00431611"/>
    <w:rsid w:val="004323DB"/>
    <w:rsid w:val="004342E0"/>
    <w:rsid w:val="00434A48"/>
    <w:rsid w:val="00436952"/>
    <w:rsid w:val="00444C26"/>
    <w:rsid w:val="00444EA6"/>
    <w:rsid w:val="004478E7"/>
    <w:rsid w:val="00447A71"/>
    <w:rsid w:val="004507D2"/>
    <w:rsid w:val="004514AB"/>
    <w:rsid w:val="00452AE3"/>
    <w:rsid w:val="00452D95"/>
    <w:rsid w:val="004538F6"/>
    <w:rsid w:val="004542EE"/>
    <w:rsid w:val="00454E18"/>
    <w:rsid w:val="00454E2D"/>
    <w:rsid w:val="004577E7"/>
    <w:rsid w:val="00460EED"/>
    <w:rsid w:val="00461364"/>
    <w:rsid w:val="00462095"/>
    <w:rsid w:val="00463CB8"/>
    <w:rsid w:val="00464356"/>
    <w:rsid w:val="00465573"/>
    <w:rsid w:val="0046627E"/>
    <w:rsid w:val="004665D4"/>
    <w:rsid w:val="00466731"/>
    <w:rsid w:val="0046685D"/>
    <w:rsid w:val="00466DD5"/>
    <w:rsid w:val="00467E83"/>
    <w:rsid w:val="0047052D"/>
    <w:rsid w:val="0047086D"/>
    <w:rsid w:val="004712C8"/>
    <w:rsid w:val="00471FDB"/>
    <w:rsid w:val="0047265F"/>
    <w:rsid w:val="00472891"/>
    <w:rsid w:val="0047293A"/>
    <w:rsid w:val="004731AD"/>
    <w:rsid w:val="00473B71"/>
    <w:rsid w:val="004741DE"/>
    <w:rsid w:val="004755FE"/>
    <w:rsid w:val="0047560B"/>
    <w:rsid w:val="00475BEB"/>
    <w:rsid w:val="0047634A"/>
    <w:rsid w:val="004778A6"/>
    <w:rsid w:val="00477E68"/>
    <w:rsid w:val="004823E7"/>
    <w:rsid w:val="00482707"/>
    <w:rsid w:val="00482B81"/>
    <w:rsid w:val="00482D4C"/>
    <w:rsid w:val="00483475"/>
    <w:rsid w:val="004836BB"/>
    <w:rsid w:val="004838E4"/>
    <w:rsid w:val="0048463A"/>
    <w:rsid w:val="004862F8"/>
    <w:rsid w:val="00487A57"/>
    <w:rsid w:val="00492BF6"/>
    <w:rsid w:val="004965E9"/>
    <w:rsid w:val="004A10CE"/>
    <w:rsid w:val="004A1638"/>
    <w:rsid w:val="004A27A8"/>
    <w:rsid w:val="004A3018"/>
    <w:rsid w:val="004A43C4"/>
    <w:rsid w:val="004A4499"/>
    <w:rsid w:val="004A45C7"/>
    <w:rsid w:val="004A77E3"/>
    <w:rsid w:val="004B0043"/>
    <w:rsid w:val="004B16FB"/>
    <w:rsid w:val="004B33F1"/>
    <w:rsid w:val="004B3C0F"/>
    <w:rsid w:val="004B402F"/>
    <w:rsid w:val="004B4A3C"/>
    <w:rsid w:val="004B5149"/>
    <w:rsid w:val="004B6210"/>
    <w:rsid w:val="004B7B32"/>
    <w:rsid w:val="004B7DD2"/>
    <w:rsid w:val="004C05E4"/>
    <w:rsid w:val="004C28DF"/>
    <w:rsid w:val="004C2EBC"/>
    <w:rsid w:val="004C3767"/>
    <w:rsid w:val="004C52BC"/>
    <w:rsid w:val="004C6806"/>
    <w:rsid w:val="004D0894"/>
    <w:rsid w:val="004D0CD8"/>
    <w:rsid w:val="004D4AE5"/>
    <w:rsid w:val="004D7E38"/>
    <w:rsid w:val="004E0CEE"/>
    <w:rsid w:val="004E1CA4"/>
    <w:rsid w:val="004E2EE7"/>
    <w:rsid w:val="004E3590"/>
    <w:rsid w:val="004E39E1"/>
    <w:rsid w:val="004E5017"/>
    <w:rsid w:val="004E5CBF"/>
    <w:rsid w:val="004F00BA"/>
    <w:rsid w:val="004F011F"/>
    <w:rsid w:val="004F03F4"/>
    <w:rsid w:val="004F0464"/>
    <w:rsid w:val="004F0E89"/>
    <w:rsid w:val="004F1C8D"/>
    <w:rsid w:val="004F2023"/>
    <w:rsid w:val="004F483B"/>
    <w:rsid w:val="004F4C00"/>
    <w:rsid w:val="004F5375"/>
    <w:rsid w:val="004F56D0"/>
    <w:rsid w:val="005011A0"/>
    <w:rsid w:val="0050235E"/>
    <w:rsid w:val="00503147"/>
    <w:rsid w:val="00503A99"/>
    <w:rsid w:val="00503E44"/>
    <w:rsid w:val="005072AB"/>
    <w:rsid w:val="0050777E"/>
    <w:rsid w:val="00510122"/>
    <w:rsid w:val="00511CEF"/>
    <w:rsid w:val="00513D8A"/>
    <w:rsid w:val="00513FE8"/>
    <w:rsid w:val="005141D1"/>
    <w:rsid w:val="0051429B"/>
    <w:rsid w:val="00515283"/>
    <w:rsid w:val="00515A55"/>
    <w:rsid w:val="00516DD4"/>
    <w:rsid w:val="0051754C"/>
    <w:rsid w:val="005179EA"/>
    <w:rsid w:val="005227CE"/>
    <w:rsid w:val="005231C5"/>
    <w:rsid w:val="005239EE"/>
    <w:rsid w:val="00523D16"/>
    <w:rsid w:val="00523FC3"/>
    <w:rsid w:val="00526C83"/>
    <w:rsid w:val="00533926"/>
    <w:rsid w:val="005340CC"/>
    <w:rsid w:val="00536057"/>
    <w:rsid w:val="005368E6"/>
    <w:rsid w:val="005373F6"/>
    <w:rsid w:val="00537FB7"/>
    <w:rsid w:val="0054096B"/>
    <w:rsid w:val="005411D1"/>
    <w:rsid w:val="00542873"/>
    <w:rsid w:val="00543B17"/>
    <w:rsid w:val="00545E0B"/>
    <w:rsid w:val="0054602D"/>
    <w:rsid w:val="00546513"/>
    <w:rsid w:val="005468AB"/>
    <w:rsid w:val="005478BD"/>
    <w:rsid w:val="00553828"/>
    <w:rsid w:val="005543FC"/>
    <w:rsid w:val="005550D5"/>
    <w:rsid w:val="00555D1E"/>
    <w:rsid w:val="005560F7"/>
    <w:rsid w:val="00556394"/>
    <w:rsid w:val="0055675D"/>
    <w:rsid w:val="005573C4"/>
    <w:rsid w:val="00560B59"/>
    <w:rsid w:val="00560F50"/>
    <w:rsid w:val="00563363"/>
    <w:rsid w:val="00565C0D"/>
    <w:rsid w:val="00565E8B"/>
    <w:rsid w:val="00566E8F"/>
    <w:rsid w:val="0056754E"/>
    <w:rsid w:val="005709DE"/>
    <w:rsid w:val="00572389"/>
    <w:rsid w:val="005726BA"/>
    <w:rsid w:val="005731BF"/>
    <w:rsid w:val="00573FFC"/>
    <w:rsid w:val="0057422E"/>
    <w:rsid w:val="00574C05"/>
    <w:rsid w:val="00576D46"/>
    <w:rsid w:val="00577DE8"/>
    <w:rsid w:val="00580A0A"/>
    <w:rsid w:val="0058203B"/>
    <w:rsid w:val="005833BE"/>
    <w:rsid w:val="005858FB"/>
    <w:rsid w:val="00585AE1"/>
    <w:rsid w:val="00590ED7"/>
    <w:rsid w:val="00590EEE"/>
    <w:rsid w:val="00592909"/>
    <w:rsid w:val="0059302A"/>
    <w:rsid w:val="0059512B"/>
    <w:rsid w:val="005955D5"/>
    <w:rsid w:val="005956F0"/>
    <w:rsid w:val="005964BD"/>
    <w:rsid w:val="005A0620"/>
    <w:rsid w:val="005A1C68"/>
    <w:rsid w:val="005A2572"/>
    <w:rsid w:val="005A297E"/>
    <w:rsid w:val="005A5E69"/>
    <w:rsid w:val="005A6ABE"/>
    <w:rsid w:val="005A7A26"/>
    <w:rsid w:val="005A7FA1"/>
    <w:rsid w:val="005B01DC"/>
    <w:rsid w:val="005B05DC"/>
    <w:rsid w:val="005B0EA7"/>
    <w:rsid w:val="005B2CEE"/>
    <w:rsid w:val="005B3AF1"/>
    <w:rsid w:val="005B565C"/>
    <w:rsid w:val="005B57AC"/>
    <w:rsid w:val="005B65DC"/>
    <w:rsid w:val="005B6A00"/>
    <w:rsid w:val="005C032C"/>
    <w:rsid w:val="005C0611"/>
    <w:rsid w:val="005C15D0"/>
    <w:rsid w:val="005C3CB3"/>
    <w:rsid w:val="005C4611"/>
    <w:rsid w:val="005C5818"/>
    <w:rsid w:val="005C5854"/>
    <w:rsid w:val="005C64E1"/>
    <w:rsid w:val="005C6F51"/>
    <w:rsid w:val="005C73D6"/>
    <w:rsid w:val="005C7BB6"/>
    <w:rsid w:val="005D18F1"/>
    <w:rsid w:val="005D1D38"/>
    <w:rsid w:val="005D2168"/>
    <w:rsid w:val="005D48A7"/>
    <w:rsid w:val="005D601A"/>
    <w:rsid w:val="005D6AB1"/>
    <w:rsid w:val="005D7D5A"/>
    <w:rsid w:val="005D7E35"/>
    <w:rsid w:val="005E156C"/>
    <w:rsid w:val="005E2B50"/>
    <w:rsid w:val="005E3921"/>
    <w:rsid w:val="005E4792"/>
    <w:rsid w:val="005E4BAC"/>
    <w:rsid w:val="005E580A"/>
    <w:rsid w:val="005E6379"/>
    <w:rsid w:val="005F09FC"/>
    <w:rsid w:val="005F0ABE"/>
    <w:rsid w:val="005F1BC2"/>
    <w:rsid w:val="005F30AB"/>
    <w:rsid w:val="0060130D"/>
    <w:rsid w:val="0060255E"/>
    <w:rsid w:val="00603689"/>
    <w:rsid w:val="00605993"/>
    <w:rsid w:val="00606671"/>
    <w:rsid w:val="006100E5"/>
    <w:rsid w:val="006110BA"/>
    <w:rsid w:val="00612329"/>
    <w:rsid w:val="0061255E"/>
    <w:rsid w:val="00612E3D"/>
    <w:rsid w:val="006137A6"/>
    <w:rsid w:val="00613B16"/>
    <w:rsid w:val="00613F12"/>
    <w:rsid w:val="00615574"/>
    <w:rsid w:val="006175F2"/>
    <w:rsid w:val="00617FA1"/>
    <w:rsid w:val="006211C5"/>
    <w:rsid w:val="00621D31"/>
    <w:rsid w:val="00621F57"/>
    <w:rsid w:val="0062249B"/>
    <w:rsid w:val="00623F9C"/>
    <w:rsid w:val="006243C6"/>
    <w:rsid w:val="00627D20"/>
    <w:rsid w:val="00630893"/>
    <w:rsid w:val="006323FF"/>
    <w:rsid w:val="00632761"/>
    <w:rsid w:val="006355CC"/>
    <w:rsid w:val="00635CF7"/>
    <w:rsid w:val="0064129F"/>
    <w:rsid w:val="00642303"/>
    <w:rsid w:val="0064309D"/>
    <w:rsid w:val="006445F0"/>
    <w:rsid w:val="00644CCA"/>
    <w:rsid w:val="00646927"/>
    <w:rsid w:val="00647BB7"/>
    <w:rsid w:val="0065160E"/>
    <w:rsid w:val="006516F1"/>
    <w:rsid w:val="00651CA2"/>
    <w:rsid w:val="00652CAA"/>
    <w:rsid w:val="00653E54"/>
    <w:rsid w:val="00656087"/>
    <w:rsid w:val="00656FCE"/>
    <w:rsid w:val="006571D6"/>
    <w:rsid w:val="00657EED"/>
    <w:rsid w:val="00660847"/>
    <w:rsid w:val="00660F56"/>
    <w:rsid w:val="00663AA0"/>
    <w:rsid w:val="006643CA"/>
    <w:rsid w:val="00667D40"/>
    <w:rsid w:val="0067007A"/>
    <w:rsid w:val="006700B6"/>
    <w:rsid w:val="006703A3"/>
    <w:rsid w:val="006711DF"/>
    <w:rsid w:val="00672A49"/>
    <w:rsid w:val="00675271"/>
    <w:rsid w:val="00676393"/>
    <w:rsid w:val="00676E63"/>
    <w:rsid w:val="00677E90"/>
    <w:rsid w:val="00680297"/>
    <w:rsid w:val="0068046D"/>
    <w:rsid w:val="00680871"/>
    <w:rsid w:val="006822FD"/>
    <w:rsid w:val="00682B5A"/>
    <w:rsid w:val="0068326B"/>
    <w:rsid w:val="00683956"/>
    <w:rsid w:val="00683DBF"/>
    <w:rsid w:val="00684A5C"/>
    <w:rsid w:val="00684B9D"/>
    <w:rsid w:val="006873CE"/>
    <w:rsid w:val="00687D0E"/>
    <w:rsid w:val="0069205F"/>
    <w:rsid w:val="00693BB9"/>
    <w:rsid w:val="00694A02"/>
    <w:rsid w:val="00697A6A"/>
    <w:rsid w:val="006A0477"/>
    <w:rsid w:val="006A0786"/>
    <w:rsid w:val="006A11D6"/>
    <w:rsid w:val="006A33CC"/>
    <w:rsid w:val="006B10A2"/>
    <w:rsid w:val="006B1EB1"/>
    <w:rsid w:val="006B4ACD"/>
    <w:rsid w:val="006B520A"/>
    <w:rsid w:val="006B523A"/>
    <w:rsid w:val="006C04B4"/>
    <w:rsid w:val="006C08A4"/>
    <w:rsid w:val="006C170A"/>
    <w:rsid w:val="006C1CDE"/>
    <w:rsid w:val="006C2F12"/>
    <w:rsid w:val="006D0BBC"/>
    <w:rsid w:val="006D0C13"/>
    <w:rsid w:val="006D10C9"/>
    <w:rsid w:val="006D10EC"/>
    <w:rsid w:val="006D478B"/>
    <w:rsid w:val="006D4DAA"/>
    <w:rsid w:val="006D60D0"/>
    <w:rsid w:val="006D672B"/>
    <w:rsid w:val="006D73BD"/>
    <w:rsid w:val="006E04DB"/>
    <w:rsid w:val="006E0852"/>
    <w:rsid w:val="006E0CBA"/>
    <w:rsid w:val="006E389B"/>
    <w:rsid w:val="006E3AB4"/>
    <w:rsid w:val="006E49B0"/>
    <w:rsid w:val="006E5A78"/>
    <w:rsid w:val="006E6321"/>
    <w:rsid w:val="006F06C1"/>
    <w:rsid w:val="006F18C2"/>
    <w:rsid w:val="006F518F"/>
    <w:rsid w:val="006F683C"/>
    <w:rsid w:val="006F6BFE"/>
    <w:rsid w:val="006F6C2A"/>
    <w:rsid w:val="006F74AB"/>
    <w:rsid w:val="0070169C"/>
    <w:rsid w:val="00701F57"/>
    <w:rsid w:val="007022A3"/>
    <w:rsid w:val="00704CCA"/>
    <w:rsid w:val="0070516D"/>
    <w:rsid w:val="00705171"/>
    <w:rsid w:val="007053B0"/>
    <w:rsid w:val="00705C07"/>
    <w:rsid w:val="00706E95"/>
    <w:rsid w:val="007103D1"/>
    <w:rsid w:val="00710E94"/>
    <w:rsid w:val="00712AB8"/>
    <w:rsid w:val="00714BE0"/>
    <w:rsid w:val="00714EC7"/>
    <w:rsid w:val="007160B5"/>
    <w:rsid w:val="00717274"/>
    <w:rsid w:val="00717361"/>
    <w:rsid w:val="00717E28"/>
    <w:rsid w:val="00721560"/>
    <w:rsid w:val="007254ED"/>
    <w:rsid w:val="00726E03"/>
    <w:rsid w:val="00727D8A"/>
    <w:rsid w:val="00730129"/>
    <w:rsid w:val="00730140"/>
    <w:rsid w:val="00730DA8"/>
    <w:rsid w:val="00731FEA"/>
    <w:rsid w:val="00732381"/>
    <w:rsid w:val="007323F4"/>
    <w:rsid w:val="0073309F"/>
    <w:rsid w:val="00735921"/>
    <w:rsid w:val="0073599B"/>
    <w:rsid w:val="00736F61"/>
    <w:rsid w:val="00737335"/>
    <w:rsid w:val="00740A39"/>
    <w:rsid w:val="007414D9"/>
    <w:rsid w:val="007415F0"/>
    <w:rsid w:val="007415FD"/>
    <w:rsid w:val="0074185E"/>
    <w:rsid w:val="00741BCD"/>
    <w:rsid w:val="0074207C"/>
    <w:rsid w:val="00742253"/>
    <w:rsid w:val="007429EA"/>
    <w:rsid w:val="007436F0"/>
    <w:rsid w:val="00743C45"/>
    <w:rsid w:val="0074422A"/>
    <w:rsid w:val="0074583E"/>
    <w:rsid w:val="0074728E"/>
    <w:rsid w:val="007474D8"/>
    <w:rsid w:val="007502A1"/>
    <w:rsid w:val="0075207F"/>
    <w:rsid w:val="00752627"/>
    <w:rsid w:val="007533AE"/>
    <w:rsid w:val="00753A35"/>
    <w:rsid w:val="00753B2F"/>
    <w:rsid w:val="00756828"/>
    <w:rsid w:val="00756871"/>
    <w:rsid w:val="00757B95"/>
    <w:rsid w:val="00761931"/>
    <w:rsid w:val="0076205A"/>
    <w:rsid w:val="00763733"/>
    <w:rsid w:val="0076429B"/>
    <w:rsid w:val="00764316"/>
    <w:rsid w:val="007662C7"/>
    <w:rsid w:val="007722D5"/>
    <w:rsid w:val="00772701"/>
    <w:rsid w:val="00772FAF"/>
    <w:rsid w:val="007752C4"/>
    <w:rsid w:val="00775E2F"/>
    <w:rsid w:val="00776306"/>
    <w:rsid w:val="007816E2"/>
    <w:rsid w:val="00781BEE"/>
    <w:rsid w:val="00781C0B"/>
    <w:rsid w:val="00781DCA"/>
    <w:rsid w:val="00792743"/>
    <w:rsid w:val="007939FF"/>
    <w:rsid w:val="0079563D"/>
    <w:rsid w:val="007A0F6D"/>
    <w:rsid w:val="007A1887"/>
    <w:rsid w:val="007A2047"/>
    <w:rsid w:val="007A3092"/>
    <w:rsid w:val="007A33F8"/>
    <w:rsid w:val="007A55A7"/>
    <w:rsid w:val="007A57BC"/>
    <w:rsid w:val="007A69C9"/>
    <w:rsid w:val="007B185C"/>
    <w:rsid w:val="007B193A"/>
    <w:rsid w:val="007B1F10"/>
    <w:rsid w:val="007B2143"/>
    <w:rsid w:val="007B2C3B"/>
    <w:rsid w:val="007B335E"/>
    <w:rsid w:val="007B3880"/>
    <w:rsid w:val="007B48C4"/>
    <w:rsid w:val="007B4A9D"/>
    <w:rsid w:val="007B4ABF"/>
    <w:rsid w:val="007B6678"/>
    <w:rsid w:val="007B783B"/>
    <w:rsid w:val="007C001C"/>
    <w:rsid w:val="007C137D"/>
    <w:rsid w:val="007C2DC5"/>
    <w:rsid w:val="007C3345"/>
    <w:rsid w:val="007C33E8"/>
    <w:rsid w:val="007C6D4F"/>
    <w:rsid w:val="007C7B25"/>
    <w:rsid w:val="007C7D64"/>
    <w:rsid w:val="007C7F81"/>
    <w:rsid w:val="007D032E"/>
    <w:rsid w:val="007D06A4"/>
    <w:rsid w:val="007D0EF4"/>
    <w:rsid w:val="007D193C"/>
    <w:rsid w:val="007D4788"/>
    <w:rsid w:val="007D49DD"/>
    <w:rsid w:val="007D5145"/>
    <w:rsid w:val="007D6771"/>
    <w:rsid w:val="007E018D"/>
    <w:rsid w:val="007E2628"/>
    <w:rsid w:val="007E27D2"/>
    <w:rsid w:val="007E32E8"/>
    <w:rsid w:val="007E3499"/>
    <w:rsid w:val="007E45BC"/>
    <w:rsid w:val="007E595C"/>
    <w:rsid w:val="007E654B"/>
    <w:rsid w:val="007E6A45"/>
    <w:rsid w:val="007F1B71"/>
    <w:rsid w:val="007F31AC"/>
    <w:rsid w:val="007F31F4"/>
    <w:rsid w:val="007F4411"/>
    <w:rsid w:val="007F5943"/>
    <w:rsid w:val="007F5FAE"/>
    <w:rsid w:val="00800847"/>
    <w:rsid w:val="00802CCB"/>
    <w:rsid w:val="00802ECE"/>
    <w:rsid w:val="0080320B"/>
    <w:rsid w:val="0080333A"/>
    <w:rsid w:val="0080373B"/>
    <w:rsid w:val="00804FE7"/>
    <w:rsid w:val="00807654"/>
    <w:rsid w:val="00807E7D"/>
    <w:rsid w:val="00810C65"/>
    <w:rsid w:val="008119CE"/>
    <w:rsid w:val="00812BF4"/>
    <w:rsid w:val="0081433D"/>
    <w:rsid w:val="008145BA"/>
    <w:rsid w:val="008157E2"/>
    <w:rsid w:val="008159BD"/>
    <w:rsid w:val="00820D22"/>
    <w:rsid w:val="00821A99"/>
    <w:rsid w:val="00821D56"/>
    <w:rsid w:val="0082353A"/>
    <w:rsid w:val="008249BE"/>
    <w:rsid w:val="00827105"/>
    <w:rsid w:val="008303B0"/>
    <w:rsid w:val="00831675"/>
    <w:rsid w:val="00831A2A"/>
    <w:rsid w:val="00831F45"/>
    <w:rsid w:val="008327A8"/>
    <w:rsid w:val="00833654"/>
    <w:rsid w:val="00836A01"/>
    <w:rsid w:val="00840186"/>
    <w:rsid w:val="008404AD"/>
    <w:rsid w:val="00840D73"/>
    <w:rsid w:val="0084353B"/>
    <w:rsid w:val="00844849"/>
    <w:rsid w:val="00845A80"/>
    <w:rsid w:val="00845D5E"/>
    <w:rsid w:val="0084694C"/>
    <w:rsid w:val="00846E36"/>
    <w:rsid w:val="00850108"/>
    <w:rsid w:val="00851A05"/>
    <w:rsid w:val="00851B64"/>
    <w:rsid w:val="008530E2"/>
    <w:rsid w:val="0085378A"/>
    <w:rsid w:val="008544A0"/>
    <w:rsid w:val="008552D6"/>
    <w:rsid w:val="00855DA3"/>
    <w:rsid w:val="00855EE9"/>
    <w:rsid w:val="00855F90"/>
    <w:rsid w:val="008566BC"/>
    <w:rsid w:val="00857EEC"/>
    <w:rsid w:val="00860BB5"/>
    <w:rsid w:val="00862443"/>
    <w:rsid w:val="00862B11"/>
    <w:rsid w:val="00862B9D"/>
    <w:rsid w:val="00863663"/>
    <w:rsid w:val="008663FB"/>
    <w:rsid w:val="00867D58"/>
    <w:rsid w:val="008733C4"/>
    <w:rsid w:val="00873DDA"/>
    <w:rsid w:val="00874BD5"/>
    <w:rsid w:val="00877071"/>
    <w:rsid w:val="008779AA"/>
    <w:rsid w:val="008779B4"/>
    <w:rsid w:val="00877A2F"/>
    <w:rsid w:val="00880111"/>
    <w:rsid w:val="00880348"/>
    <w:rsid w:val="00880BCB"/>
    <w:rsid w:val="0088138D"/>
    <w:rsid w:val="00881EA0"/>
    <w:rsid w:val="008821E4"/>
    <w:rsid w:val="008823CF"/>
    <w:rsid w:val="00882C23"/>
    <w:rsid w:val="0088302C"/>
    <w:rsid w:val="00883863"/>
    <w:rsid w:val="0088467C"/>
    <w:rsid w:val="008853B9"/>
    <w:rsid w:val="00885AA3"/>
    <w:rsid w:val="00886516"/>
    <w:rsid w:val="00890D84"/>
    <w:rsid w:val="00891F21"/>
    <w:rsid w:val="00892D3B"/>
    <w:rsid w:val="00894579"/>
    <w:rsid w:val="00894936"/>
    <w:rsid w:val="00895AE9"/>
    <w:rsid w:val="00896B8E"/>
    <w:rsid w:val="00897A7E"/>
    <w:rsid w:val="008A0EF6"/>
    <w:rsid w:val="008A2BDB"/>
    <w:rsid w:val="008A4A53"/>
    <w:rsid w:val="008A5B67"/>
    <w:rsid w:val="008A5CCD"/>
    <w:rsid w:val="008A62F7"/>
    <w:rsid w:val="008A6328"/>
    <w:rsid w:val="008A6A6D"/>
    <w:rsid w:val="008A706C"/>
    <w:rsid w:val="008B29E7"/>
    <w:rsid w:val="008B2C4E"/>
    <w:rsid w:val="008B33DF"/>
    <w:rsid w:val="008B3FC1"/>
    <w:rsid w:val="008B486F"/>
    <w:rsid w:val="008B5C0B"/>
    <w:rsid w:val="008B5D29"/>
    <w:rsid w:val="008B6AA8"/>
    <w:rsid w:val="008B6F26"/>
    <w:rsid w:val="008B7AE6"/>
    <w:rsid w:val="008C124B"/>
    <w:rsid w:val="008C2216"/>
    <w:rsid w:val="008C5870"/>
    <w:rsid w:val="008D07E2"/>
    <w:rsid w:val="008D0F51"/>
    <w:rsid w:val="008D16F7"/>
    <w:rsid w:val="008D186A"/>
    <w:rsid w:val="008D1E18"/>
    <w:rsid w:val="008D244F"/>
    <w:rsid w:val="008D292B"/>
    <w:rsid w:val="008D32D6"/>
    <w:rsid w:val="008D40FA"/>
    <w:rsid w:val="008D4835"/>
    <w:rsid w:val="008D635A"/>
    <w:rsid w:val="008E1427"/>
    <w:rsid w:val="008E1888"/>
    <w:rsid w:val="008E1ECF"/>
    <w:rsid w:val="008E3B06"/>
    <w:rsid w:val="008E452A"/>
    <w:rsid w:val="008E52C7"/>
    <w:rsid w:val="008E5A1D"/>
    <w:rsid w:val="008E6B45"/>
    <w:rsid w:val="008E7259"/>
    <w:rsid w:val="008F09CD"/>
    <w:rsid w:val="008F0C50"/>
    <w:rsid w:val="008F1BC3"/>
    <w:rsid w:val="008F2529"/>
    <w:rsid w:val="008F2A7C"/>
    <w:rsid w:val="008F4618"/>
    <w:rsid w:val="008F47C1"/>
    <w:rsid w:val="008F50C2"/>
    <w:rsid w:val="008F51B0"/>
    <w:rsid w:val="008F55C2"/>
    <w:rsid w:val="008F6939"/>
    <w:rsid w:val="008F778A"/>
    <w:rsid w:val="0090050A"/>
    <w:rsid w:val="009025CA"/>
    <w:rsid w:val="00902ED6"/>
    <w:rsid w:val="0090320B"/>
    <w:rsid w:val="00903AC0"/>
    <w:rsid w:val="00904F8E"/>
    <w:rsid w:val="00906037"/>
    <w:rsid w:val="009061D4"/>
    <w:rsid w:val="0090714A"/>
    <w:rsid w:val="00910597"/>
    <w:rsid w:val="009118C3"/>
    <w:rsid w:val="0091280A"/>
    <w:rsid w:val="0091299A"/>
    <w:rsid w:val="009132C7"/>
    <w:rsid w:val="0091363D"/>
    <w:rsid w:val="00913CCD"/>
    <w:rsid w:val="009143A0"/>
    <w:rsid w:val="00914C31"/>
    <w:rsid w:val="00914CE6"/>
    <w:rsid w:val="00915CBE"/>
    <w:rsid w:val="00915E79"/>
    <w:rsid w:val="00920B7F"/>
    <w:rsid w:val="009218C2"/>
    <w:rsid w:val="00921B5A"/>
    <w:rsid w:val="00922AB1"/>
    <w:rsid w:val="00922F86"/>
    <w:rsid w:val="009239D4"/>
    <w:rsid w:val="00925124"/>
    <w:rsid w:val="009252CD"/>
    <w:rsid w:val="00925435"/>
    <w:rsid w:val="00925635"/>
    <w:rsid w:val="00927C59"/>
    <w:rsid w:val="00927D86"/>
    <w:rsid w:val="00930CEF"/>
    <w:rsid w:val="0093160A"/>
    <w:rsid w:val="00931881"/>
    <w:rsid w:val="00933556"/>
    <w:rsid w:val="00933634"/>
    <w:rsid w:val="0093421F"/>
    <w:rsid w:val="0093463D"/>
    <w:rsid w:val="00934FEA"/>
    <w:rsid w:val="009365A5"/>
    <w:rsid w:val="00936902"/>
    <w:rsid w:val="009369A7"/>
    <w:rsid w:val="00942170"/>
    <w:rsid w:val="0094274B"/>
    <w:rsid w:val="009429E5"/>
    <w:rsid w:val="00943081"/>
    <w:rsid w:val="00943477"/>
    <w:rsid w:val="0094486D"/>
    <w:rsid w:val="009453C4"/>
    <w:rsid w:val="0094594D"/>
    <w:rsid w:val="00946AD5"/>
    <w:rsid w:val="00947244"/>
    <w:rsid w:val="009477CC"/>
    <w:rsid w:val="009504C6"/>
    <w:rsid w:val="00950E58"/>
    <w:rsid w:val="00951BE5"/>
    <w:rsid w:val="00952DF0"/>
    <w:rsid w:val="0095324A"/>
    <w:rsid w:val="00953929"/>
    <w:rsid w:val="00954679"/>
    <w:rsid w:val="009552FE"/>
    <w:rsid w:val="00955673"/>
    <w:rsid w:val="00955A75"/>
    <w:rsid w:val="00955EAB"/>
    <w:rsid w:val="009562E9"/>
    <w:rsid w:val="009568B9"/>
    <w:rsid w:val="00961718"/>
    <w:rsid w:val="009633AA"/>
    <w:rsid w:val="009655DA"/>
    <w:rsid w:val="009659CA"/>
    <w:rsid w:val="00965BBC"/>
    <w:rsid w:val="00965F17"/>
    <w:rsid w:val="009673D0"/>
    <w:rsid w:val="009674BD"/>
    <w:rsid w:val="00972823"/>
    <w:rsid w:val="00973859"/>
    <w:rsid w:val="00974996"/>
    <w:rsid w:val="00981B89"/>
    <w:rsid w:val="00982C96"/>
    <w:rsid w:val="0098392E"/>
    <w:rsid w:val="00983BCF"/>
    <w:rsid w:val="009845BC"/>
    <w:rsid w:val="00984920"/>
    <w:rsid w:val="00984D4B"/>
    <w:rsid w:val="0098695C"/>
    <w:rsid w:val="00986C6F"/>
    <w:rsid w:val="0098723E"/>
    <w:rsid w:val="0098737D"/>
    <w:rsid w:val="00990BE6"/>
    <w:rsid w:val="00990E75"/>
    <w:rsid w:val="00993AD5"/>
    <w:rsid w:val="00994647"/>
    <w:rsid w:val="00997482"/>
    <w:rsid w:val="009A0D71"/>
    <w:rsid w:val="009A2167"/>
    <w:rsid w:val="009A35C7"/>
    <w:rsid w:val="009A3668"/>
    <w:rsid w:val="009A49F0"/>
    <w:rsid w:val="009A5307"/>
    <w:rsid w:val="009A63A7"/>
    <w:rsid w:val="009A648D"/>
    <w:rsid w:val="009A6E89"/>
    <w:rsid w:val="009B0DED"/>
    <w:rsid w:val="009B25BB"/>
    <w:rsid w:val="009B5DD6"/>
    <w:rsid w:val="009B6425"/>
    <w:rsid w:val="009B7A38"/>
    <w:rsid w:val="009B7C24"/>
    <w:rsid w:val="009C0051"/>
    <w:rsid w:val="009C23FC"/>
    <w:rsid w:val="009C3A7F"/>
    <w:rsid w:val="009C46AE"/>
    <w:rsid w:val="009C6A1E"/>
    <w:rsid w:val="009C76E8"/>
    <w:rsid w:val="009D0E7A"/>
    <w:rsid w:val="009D2BAB"/>
    <w:rsid w:val="009D2F0C"/>
    <w:rsid w:val="009D3047"/>
    <w:rsid w:val="009D31C3"/>
    <w:rsid w:val="009D477C"/>
    <w:rsid w:val="009D6C62"/>
    <w:rsid w:val="009E0526"/>
    <w:rsid w:val="009E0916"/>
    <w:rsid w:val="009E0AB7"/>
    <w:rsid w:val="009E12C4"/>
    <w:rsid w:val="009E1769"/>
    <w:rsid w:val="009E27A5"/>
    <w:rsid w:val="009E2F86"/>
    <w:rsid w:val="009E3556"/>
    <w:rsid w:val="009E5C9A"/>
    <w:rsid w:val="009F0667"/>
    <w:rsid w:val="009F1329"/>
    <w:rsid w:val="009F1904"/>
    <w:rsid w:val="009F3BD5"/>
    <w:rsid w:val="009F4B83"/>
    <w:rsid w:val="009F76B9"/>
    <w:rsid w:val="009F7708"/>
    <w:rsid w:val="00A005B7"/>
    <w:rsid w:val="00A02112"/>
    <w:rsid w:val="00A02913"/>
    <w:rsid w:val="00A031A3"/>
    <w:rsid w:val="00A05BB2"/>
    <w:rsid w:val="00A07AF6"/>
    <w:rsid w:val="00A11CA3"/>
    <w:rsid w:val="00A12209"/>
    <w:rsid w:val="00A21BB5"/>
    <w:rsid w:val="00A2416D"/>
    <w:rsid w:val="00A244AE"/>
    <w:rsid w:val="00A245AA"/>
    <w:rsid w:val="00A257E7"/>
    <w:rsid w:val="00A25A9B"/>
    <w:rsid w:val="00A267A0"/>
    <w:rsid w:val="00A27165"/>
    <w:rsid w:val="00A27CF0"/>
    <w:rsid w:val="00A31151"/>
    <w:rsid w:val="00A31484"/>
    <w:rsid w:val="00A31681"/>
    <w:rsid w:val="00A3342F"/>
    <w:rsid w:val="00A33FC6"/>
    <w:rsid w:val="00A34CA4"/>
    <w:rsid w:val="00A36996"/>
    <w:rsid w:val="00A36C86"/>
    <w:rsid w:val="00A36DF3"/>
    <w:rsid w:val="00A41AE6"/>
    <w:rsid w:val="00A41DA3"/>
    <w:rsid w:val="00A42017"/>
    <w:rsid w:val="00A42AD4"/>
    <w:rsid w:val="00A42B3F"/>
    <w:rsid w:val="00A4441D"/>
    <w:rsid w:val="00A457B1"/>
    <w:rsid w:val="00A45AD6"/>
    <w:rsid w:val="00A532DD"/>
    <w:rsid w:val="00A5522E"/>
    <w:rsid w:val="00A558AA"/>
    <w:rsid w:val="00A564A0"/>
    <w:rsid w:val="00A61B70"/>
    <w:rsid w:val="00A62ADF"/>
    <w:rsid w:val="00A649B6"/>
    <w:rsid w:val="00A66F64"/>
    <w:rsid w:val="00A67493"/>
    <w:rsid w:val="00A70E52"/>
    <w:rsid w:val="00A71C0C"/>
    <w:rsid w:val="00A74B90"/>
    <w:rsid w:val="00A758F2"/>
    <w:rsid w:val="00A760F0"/>
    <w:rsid w:val="00A80BCF"/>
    <w:rsid w:val="00A81A48"/>
    <w:rsid w:val="00A825D1"/>
    <w:rsid w:val="00A82655"/>
    <w:rsid w:val="00A8369C"/>
    <w:rsid w:val="00A83A6F"/>
    <w:rsid w:val="00A84371"/>
    <w:rsid w:val="00A86579"/>
    <w:rsid w:val="00A86C9C"/>
    <w:rsid w:val="00A879C3"/>
    <w:rsid w:val="00A90212"/>
    <w:rsid w:val="00A90CC4"/>
    <w:rsid w:val="00A9197C"/>
    <w:rsid w:val="00A93ED4"/>
    <w:rsid w:val="00A9401D"/>
    <w:rsid w:val="00A9445D"/>
    <w:rsid w:val="00A9580A"/>
    <w:rsid w:val="00AA0802"/>
    <w:rsid w:val="00AA12E4"/>
    <w:rsid w:val="00AA14EC"/>
    <w:rsid w:val="00AA1689"/>
    <w:rsid w:val="00AA4338"/>
    <w:rsid w:val="00AA496F"/>
    <w:rsid w:val="00AA5610"/>
    <w:rsid w:val="00AA5770"/>
    <w:rsid w:val="00AA70DB"/>
    <w:rsid w:val="00AA7494"/>
    <w:rsid w:val="00AB1307"/>
    <w:rsid w:val="00AB2E70"/>
    <w:rsid w:val="00AB33C1"/>
    <w:rsid w:val="00AB3E03"/>
    <w:rsid w:val="00AC1078"/>
    <w:rsid w:val="00AC1D15"/>
    <w:rsid w:val="00AC1E2F"/>
    <w:rsid w:val="00AC319F"/>
    <w:rsid w:val="00AC4086"/>
    <w:rsid w:val="00AC40F6"/>
    <w:rsid w:val="00AC719B"/>
    <w:rsid w:val="00AD03F9"/>
    <w:rsid w:val="00AD44C6"/>
    <w:rsid w:val="00AD4C43"/>
    <w:rsid w:val="00AD629D"/>
    <w:rsid w:val="00AD7F01"/>
    <w:rsid w:val="00AE11E9"/>
    <w:rsid w:val="00AE2CEC"/>
    <w:rsid w:val="00AE460D"/>
    <w:rsid w:val="00AE4F04"/>
    <w:rsid w:val="00AE512F"/>
    <w:rsid w:val="00AE54A6"/>
    <w:rsid w:val="00AE6CF3"/>
    <w:rsid w:val="00AE7F82"/>
    <w:rsid w:val="00AF399E"/>
    <w:rsid w:val="00AF546F"/>
    <w:rsid w:val="00AF57FB"/>
    <w:rsid w:val="00AF7AEF"/>
    <w:rsid w:val="00B00E85"/>
    <w:rsid w:val="00B0137C"/>
    <w:rsid w:val="00B02227"/>
    <w:rsid w:val="00B04533"/>
    <w:rsid w:val="00B057F0"/>
    <w:rsid w:val="00B07B0C"/>
    <w:rsid w:val="00B10399"/>
    <w:rsid w:val="00B11F65"/>
    <w:rsid w:val="00B1204E"/>
    <w:rsid w:val="00B120F9"/>
    <w:rsid w:val="00B12529"/>
    <w:rsid w:val="00B156DC"/>
    <w:rsid w:val="00B15F35"/>
    <w:rsid w:val="00B1615F"/>
    <w:rsid w:val="00B16C18"/>
    <w:rsid w:val="00B16EC2"/>
    <w:rsid w:val="00B23CDB"/>
    <w:rsid w:val="00B252AF"/>
    <w:rsid w:val="00B25563"/>
    <w:rsid w:val="00B26D48"/>
    <w:rsid w:val="00B2789F"/>
    <w:rsid w:val="00B30173"/>
    <w:rsid w:val="00B34715"/>
    <w:rsid w:val="00B3529D"/>
    <w:rsid w:val="00B36743"/>
    <w:rsid w:val="00B36E01"/>
    <w:rsid w:val="00B40132"/>
    <w:rsid w:val="00B40949"/>
    <w:rsid w:val="00B40D80"/>
    <w:rsid w:val="00B41F7B"/>
    <w:rsid w:val="00B42E63"/>
    <w:rsid w:val="00B42EE1"/>
    <w:rsid w:val="00B44035"/>
    <w:rsid w:val="00B448C4"/>
    <w:rsid w:val="00B4694F"/>
    <w:rsid w:val="00B46C0F"/>
    <w:rsid w:val="00B47A59"/>
    <w:rsid w:val="00B53405"/>
    <w:rsid w:val="00B5349B"/>
    <w:rsid w:val="00B552F5"/>
    <w:rsid w:val="00B55C6E"/>
    <w:rsid w:val="00B5619D"/>
    <w:rsid w:val="00B5649C"/>
    <w:rsid w:val="00B56A49"/>
    <w:rsid w:val="00B56A4E"/>
    <w:rsid w:val="00B56B69"/>
    <w:rsid w:val="00B56CFC"/>
    <w:rsid w:val="00B57F23"/>
    <w:rsid w:val="00B6013C"/>
    <w:rsid w:val="00B6556B"/>
    <w:rsid w:val="00B66E87"/>
    <w:rsid w:val="00B67CF0"/>
    <w:rsid w:val="00B70887"/>
    <w:rsid w:val="00B7138A"/>
    <w:rsid w:val="00B71B44"/>
    <w:rsid w:val="00B72223"/>
    <w:rsid w:val="00B72357"/>
    <w:rsid w:val="00B7398A"/>
    <w:rsid w:val="00B73CB0"/>
    <w:rsid w:val="00B742DB"/>
    <w:rsid w:val="00B75ED5"/>
    <w:rsid w:val="00B761CB"/>
    <w:rsid w:val="00B76F4C"/>
    <w:rsid w:val="00B81E76"/>
    <w:rsid w:val="00B8293D"/>
    <w:rsid w:val="00B83FD2"/>
    <w:rsid w:val="00B853D3"/>
    <w:rsid w:val="00B87A49"/>
    <w:rsid w:val="00B91864"/>
    <w:rsid w:val="00B91ECE"/>
    <w:rsid w:val="00B92099"/>
    <w:rsid w:val="00B92478"/>
    <w:rsid w:val="00B93B75"/>
    <w:rsid w:val="00B93C62"/>
    <w:rsid w:val="00B943FB"/>
    <w:rsid w:val="00B955CD"/>
    <w:rsid w:val="00B955EA"/>
    <w:rsid w:val="00B97463"/>
    <w:rsid w:val="00BA0A91"/>
    <w:rsid w:val="00BA13A1"/>
    <w:rsid w:val="00BA15E3"/>
    <w:rsid w:val="00BA2195"/>
    <w:rsid w:val="00BA25B4"/>
    <w:rsid w:val="00BA45D0"/>
    <w:rsid w:val="00BA5CEA"/>
    <w:rsid w:val="00BA6188"/>
    <w:rsid w:val="00BB2766"/>
    <w:rsid w:val="00BB2A78"/>
    <w:rsid w:val="00BB5BB7"/>
    <w:rsid w:val="00BB608E"/>
    <w:rsid w:val="00BB6455"/>
    <w:rsid w:val="00BB7567"/>
    <w:rsid w:val="00BC361A"/>
    <w:rsid w:val="00BC4DE8"/>
    <w:rsid w:val="00BC68C2"/>
    <w:rsid w:val="00BD2045"/>
    <w:rsid w:val="00BD221A"/>
    <w:rsid w:val="00BD3450"/>
    <w:rsid w:val="00BD3D7D"/>
    <w:rsid w:val="00BD49F7"/>
    <w:rsid w:val="00BD5D30"/>
    <w:rsid w:val="00BD5FEC"/>
    <w:rsid w:val="00BD61A2"/>
    <w:rsid w:val="00BD72A7"/>
    <w:rsid w:val="00BE1DFA"/>
    <w:rsid w:val="00BE2057"/>
    <w:rsid w:val="00BE484D"/>
    <w:rsid w:val="00BE4E39"/>
    <w:rsid w:val="00BE4FFC"/>
    <w:rsid w:val="00BE54FB"/>
    <w:rsid w:val="00BE5E96"/>
    <w:rsid w:val="00BF1AD7"/>
    <w:rsid w:val="00BF2596"/>
    <w:rsid w:val="00BF6331"/>
    <w:rsid w:val="00BF6D33"/>
    <w:rsid w:val="00C00B11"/>
    <w:rsid w:val="00C04C80"/>
    <w:rsid w:val="00C05C8F"/>
    <w:rsid w:val="00C06438"/>
    <w:rsid w:val="00C069EC"/>
    <w:rsid w:val="00C10B59"/>
    <w:rsid w:val="00C10F4C"/>
    <w:rsid w:val="00C12188"/>
    <w:rsid w:val="00C1319E"/>
    <w:rsid w:val="00C1418B"/>
    <w:rsid w:val="00C14973"/>
    <w:rsid w:val="00C151F7"/>
    <w:rsid w:val="00C170D6"/>
    <w:rsid w:val="00C2050E"/>
    <w:rsid w:val="00C21BCC"/>
    <w:rsid w:val="00C22AB7"/>
    <w:rsid w:val="00C22F0C"/>
    <w:rsid w:val="00C23A45"/>
    <w:rsid w:val="00C23F41"/>
    <w:rsid w:val="00C243E5"/>
    <w:rsid w:val="00C24E11"/>
    <w:rsid w:val="00C24EDE"/>
    <w:rsid w:val="00C25968"/>
    <w:rsid w:val="00C25CAC"/>
    <w:rsid w:val="00C31C54"/>
    <w:rsid w:val="00C3282C"/>
    <w:rsid w:val="00C332CB"/>
    <w:rsid w:val="00C33C1D"/>
    <w:rsid w:val="00C35848"/>
    <w:rsid w:val="00C37E05"/>
    <w:rsid w:val="00C37F3F"/>
    <w:rsid w:val="00C4066C"/>
    <w:rsid w:val="00C40C2F"/>
    <w:rsid w:val="00C4104D"/>
    <w:rsid w:val="00C420FA"/>
    <w:rsid w:val="00C42458"/>
    <w:rsid w:val="00C4270A"/>
    <w:rsid w:val="00C43A6C"/>
    <w:rsid w:val="00C43AA0"/>
    <w:rsid w:val="00C43D1D"/>
    <w:rsid w:val="00C45876"/>
    <w:rsid w:val="00C468F2"/>
    <w:rsid w:val="00C47789"/>
    <w:rsid w:val="00C501D9"/>
    <w:rsid w:val="00C5055C"/>
    <w:rsid w:val="00C52172"/>
    <w:rsid w:val="00C52CD4"/>
    <w:rsid w:val="00C54C68"/>
    <w:rsid w:val="00C55D29"/>
    <w:rsid w:val="00C56F2E"/>
    <w:rsid w:val="00C5745F"/>
    <w:rsid w:val="00C57ECD"/>
    <w:rsid w:val="00C60EB5"/>
    <w:rsid w:val="00C61597"/>
    <w:rsid w:val="00C62B3A"/>
    <w:rsid w:val="00C62EDD"/>
    <w:rsid w:val="00C63E27"/>
    <w:rsid w:val="00C6529F"/>
    <w:rsid w:val="00C661E8"/>
    <w:rsid w:val="00C6720E"/>
    <w:rsid w:val="00C67778"/>
    <w:rsid w:val="00C67EF1"/>
    <w:rsid w:val="00C71D2C"/>
    <w:rsid w:val="00C72721"/>
    <w:rsid w:val="00C73546"/>
    <w:rsid w:val="00C7463B"/>
    <w:rsid w:val="00C7478C"/>
    <w:rsid w:val="00C774EC"/>
    <w:rsid w:val="00C77AF3"/>
    <w:rsid w:val="00C82DC9"/>
    <w:rsid w:val="00C83DB6"/>
    <w:rsid w:val="00C84FA0"/>
    <w:rsid w:val="00C86869"/>
    <w:rsid w:val="00C86B3A"/>
    <w:rsid w:val="00C86F6D"/>
    <w:rsid w:val="00C87732"/>
    <w:rsid w:val="00C906BB"/>
    <w:rsid w:val="00C9083C"/>
    <w:rsid w:val="00C91CCE"/>
    <w:rsid w:val="00C929BE"/>
    <w:rsid w:val="00C92FA7"/>
    <w:rsid w:val="00C933D4"/>
    <w:rsid w:val="00C948D8"/>
    <w:rsid w:val="00C950AA"/>
    <w:rsid w:val="00C9565C"/>
    <w:rsid w:val="00C97E01"/>
    <w:rsid w:val="00CA05D5"/>
    <w:rsid w:val="00CA0BE9"/>
    <w:rsid w:val="00CA138D"/>
    <w:rsid w:val="00CA25DD"/>
    <w:rsid w:val="00CA57D9"/>
    <w:rsid w:val="00CA5D67"/>
    <w:rsid w:val="00CA61B4"/>
    <w:rsid w:val="00CA634C"/>
    <w:rsid w:val="00CB0E0D"/>
    <w:rsid w:val="00CB1017"/>
    <w:rsid w:val="00CB397D"/>
    <w:rsid w:val="00CB5C2C"/>
    <w:rsid w:val="00CB5CD0"/>
    <w:rsid w:val="00CB684F"/>
    <w:rsid w:val="00CB6CCB"/>
    <w:rsid w:val="00CB70BF"/>
    <w:rsid w:val="00CB7848"/>
    <w:rsid w:val="00CC0B3E"/>
    <w:rsid w:val="00CC0B52"/>
    <w:rsid w:val="00CC220F"/>
    <w:rsid w:val="00CC271E"/>
    <w:rsid w:val="00CC2AFE"/>
    <w:rsid w:val="00CC4C01"/>
    <w:rsid w:val="00CC51AF"/>
    <w:rsid w:val="00CC5675"/>
    <w:rsid w:val="00CC604D"/>
    <w:rsid w:val="00CC7174"/>
    <w:rsid w:val="00CC7641"/>
    <w:rsid w:val="00CD1475"/>
    <w:rsid w:val="00CD46CE"/>
    <w:rsid w:val="00CD5110"/>
    <w:rsid w:val="00CD5E4F"/>
    <w:rsid w:val="00CD634B"/>
    <w:rsid w:val="00CD69D1"/>
    <w:rsid w:val="00CD7D5F"/>
    <w:rsid w:val="00CE0B46"/>
    <w:rsid w:val="00CE1D74"/>
    <w:rsid w:val="00CE33C5"/>
    <w:rsid w:val="00CE496F"/>
    <w:rsid w:val="00CE4AB5"/>
    <w:rsid w:val="00CE4ABE"/>
    <w:rsid w:val="00CE4EFB"/>
    <w:rsid w:val="00CE7D19"/>
    <w:rsid w:val="00CF043F"/>
    <w:rsid w:val="00CF0681"/>
    <w:rsid w:val="00CF09F8"/>
    <w:rsid w:val="00CF2515"/>
    <w:rsid w:val="00CF36A4"/>
    <w:rsid w:val="00CF3E79"/>
    <w:rsid w:val="00CF3FAB"/>
    <w:rsid w:val="00CF3FE7"/>
    <w:rsid w:val="00CF46BD"/>
    <w:rsid w:val="00CF6352"/>
    <w:rsid w:val="00CF72A0"/>
    <w:rsid w:val="00D013DF"/>
    <w:rsid w:val="00D043EE"/>
    <w:rsid w:val="00D05F1D"/>
    <w:rsid w:val="00D07487"/>
    <w:rsid w:val="00D074A2"/>
    <w:rsid w:val="00D100D0"/>
    <w:rsid w:val="00D1139E"/>
    <w:rsid w:val="00D13794"/>
    <w:rsid w:val="00D13974"/>
    <w:rsid w:val="00D14171"/>
    <w:rsid w:val="00D14A4F"/>
    <w:rsid w:val="00D15ED6"/>
    <w:rsid w:val="00D20F96"/>
    <w:rsid w:val="00D218E7"/>
    <w:rsid w:val="00D22D0B"/>
    <w:rsid w:val="00D24052"/>
    <w:rsid w:val="00D24386"/>
    <w:rsid w:val="00D2451C"/>
    <w:rsid w:val="00D31575"/>
    <w:rsid w:val="00D31A89"/>
    <w:rsid w:val="00D32D2B"/>
    <w:rsid w:val="00D33382"/>
    <w:rsid w:val="00D34626"/>
    <w:rsid w:val="00D34884"/>
    <w:rsid w:val="00D34FB4"/>
    <w:rsid w:val="00D355A9"/>
    <w:rsid w:val="00D359BA"/>
    <w:rsid w:val="00D35C3D"/>
    <w:rsid w:val="00D3688C"/>
    <w:rsid w:val="00D4257A"/>
    <w:rsid w:val="00D44654"/>
    <w:rsid w:val="00D456A9"/>
    <w:rsid w:val="00D470A7"/>
    <w:rsid w:val="00D474E1"/>
    <w:rsid w:val="00D52798"/>
    <w:rsid w:val="00D52C21"/>
    <w:rsid w:val="00D535DB"/>
    <w:rsid w:val="00D53D83"/>
    <w:rsid w:val="00D5468A"/>
    <w:rsid w:val="00D54754"/>
    <w:rsid w:val="00D54F16"/>
    <w:rsid w:val="00D56F07"/>
    <w:rsid w:val="00D60B8C"/>
    <w:rsid w:val="00D61745"/>
    <w:rsid w:val="00D62665"/>
    <w:rsid w:val="00D63090"/>
    <w:rsid w:val="00D63A51"/>
    <w:rsid w:val="00D63D0E"/>
    <w:rsid w:val="00D645AC"/>
    <w:rsid w:val="00D646DC"/>
    <w:rsid w:val="00D665CE"/>
    <w:rsid w:val="00D66726"/>
    <w:rsid w:val="00D66C71"/>
    <w:rsid w:val="00D66D7C"/>
    <w:rsid w:val="00D67A92"/>
    <w:rsid w:val="00D70205"/>
    <w:rsid w:val="00D711D4"/>
    <w:rsid w:val="00D71238"/>
    <w:rsid w:val="00D735EF"/>
    <w:rsid w:val="00D7595D"/>
    <w:rsid w:val="00D7609F"/>
    <w:rsid w:val="00D77564"/>
    <w:rsid w:val="00D81AA7"/>
    <w:rsid w:val="00D82E47"/>
    <w:rsid w:val="00D830CB"/>
    <w:rsid w:val="00D84A01"/>
    <w:rsid w:val="00D84D37"/>
    <w:rsid w:val="00D858C1"/>
    <w:rsid w:val="00D85FFD"/>
    <w:rsid w:val="00D86083"/>
    <w:rsid w:val="00D86DC4"/>
    <w:rsid w:val="00D87E79"/>
    <w:rsid w:val="00D91AE2"/>
    <w:rsid w:val="00D92054"/>
    <w:rsid w:val="00D962C2"/>
    <w:rsid w:val="00D97020"/>
    <w:rsid w:val="00D977EA"/>
    <w:rsid w:val="00DA0924"/>
    <w:rsid w:val="00DA1558"/>
    <w:rsid w:val="00DA2AF2"/>
    <w:rsid w:val="00DA2C86"/>
    <w:rsid w:val="00DA2F87"/>
    <w:rsid w:val="00DA4596"/>
    <w:rsid w:val="00DA4A76"/>
    <w:rsid w:val="00DB015D"/>
    <w:rsid w:val="00DB0ADC"/>
    <w:rsid w:val="00DB148C"/>
    <w:rsid w:val="00DB1A31"/>
    <w:rsid w:val="00DB202E"/>
    <w:rsid w:val="00DB2133"/>
    <w:rsid w:val="00DB2C34"/>
    <w:rsid w:val="00DB4655"/>
    <w:rsid w:val="00DB4F78"/>
    <w:rsid w:val="00DB5F23"/>
    <w:rsid w:val="00DB6848"/>
    <w:rsid w:val="00DB7F4E"/>
    <w:rsid w:val="00DC027B"/>
    <w:rsid w:val="00DC0CDE"/>
    <w:rsid w:val="00DC1A85"/>
    <w:rsid w:val="00DC498E"/>
    <w:rsid w:val="00DC4D72"/>
    <w:rsid w:val="00DC6525"/>
    <w:rsid w:val="00DC7018"/>
    <w:rsid w:val="00DC7356"/>
    <w:rsid w:val="00DC7AFC"/>
    <w:rsid w:val="00DD055D"/>
    <w:rsid w:val="00DD12B0"/>
    <w:rsid w:val="00DD16AB"/>
    <w:rsid w:val="00DD424C"/>
    <w:rsid w:val="00DD4BF4"/>
    <w:rsid w:val="00DD550D"/>
    <w:rsid w:val="00DD55A7"/>
    <w:rsid w:val="00DD5610"/>
    <w:rsid w:val="00DD57EE"/>
    <w:rsid w:val="00DE1C86"/>
    <w:rsid w:val="00DE1CCA"/>
    <w:rsid w:val="00DE3D52"/>
    <w:rsid w:val="00DE6331"/>
    <w:rsid w:val="00DE65A4"/>
    <w:rsid w:val="00DF0950"/>
    <w:rsid w:val="00DF0CB3"/>
    <w:rsid w:val="00DF2560"/>
    <w:rsid w:val="00DF2C4C"/>
    <w:rsid w:val="00DF494C"/>
    <w:rsid w:val="00DF6D0B"/>
    <w:rsid w:val="00DF6E50"/>
    <w:rsid w:val="00DF6E7E"/>
    <w:rsid w:val="00DF75B3"/>
    <w:rsid w:val="00DF7E0D"/>
    <w:rsid w:val="00E003F8"/>
    <w:rsid w:val="00E019C2"/>
    <w:rsid w:val="00E02A26"/>
    <w:rsid w:val="00E038FA"/>
    <w:rsid w:val="00E059B4"/>
    <w:rsid w:val="00E0624D"/>
    <w:rsid w:val="00E07BC7"/>
    <w:rsid w:val="00E10D44"/>
    <w:rsid w:val="00E12719"/>
    <w:rsid w:val="00E14346"/>
    <w:rsid w:val="00E1469D"/>
    <w:rsid w:val="00E154C5"/>
    <w:rsid w:val="00E163B8"/>
    <w:rsid w:val="00E179D4"/>
    <w:rsid w:val="00E2001C"/>
    <w:rsid w:val="00E20023"/>
    <w:rsid w:val="00E20AB3"/>
    <w:rsid w:val="00E239A0"/>
    <w:rsid w:val="00E24101"/>
    <w:rsid w:val="00E2518B"/>
    <w:rsid w:val="00E2768B"/>
    <w:rsid w:val="00E30DF4"/>
    <w:rsid w:val="00E321E7"/>
    <w:rsid w:val="00E32AF1"/>
    <w:rsid w:val="00E330CB"/>
    <w:rsid w:val="00E3471A"/>
    <w:rsid w:val="00E34EF6"/>
    <w:rsid w:val="00E353A3"/>
    <w:rsid w:val="00E35C9D"/>
    <w:rsid w:val="00E37FF7"/>
    <w:rsid w:val="00E401F3"/>
    <w:rsid w:val="00E40771"/>
    <w:rsid w:val="00E41053"/>
    <w:rsid w:val="00E41245"/>
    <w:rsid w:val="00E4257D"/>
    <w:rsid w:val="00E43D94"/>
    <w:rsid w:val="00E43F31"/>
    <w:rsid w:val="00E4438C"/>
    <w:rsid w:val="00E457F3"/>
    <w:rsid w:val="00E4588F"/>
    <w:rsid w:val="00E47AA1"/>
    <w:rsid w:val="00E50663"/>
    <w:rsid w:val="00E51B2C"/>
    <w:rsid w:val="00E51B60"/>
    <w:rsid w:val="00E51D4E"/>
    <w:rsid w:val="00E5286E"/>
    <w:rsid w:val="00E55E30"/>
    <w:rsid w:val="00E55F9B"/>
    <w:rsid w:val="00E576F5"/>
    <w:rsid w:val="00E578D4"/>
    <w:rsid w:val="00E57A6A"/>
    <w:rsid w:val="00E6117D"/>
    <w:rsid w:val="00E613ED"/>
    <w:rsid w:val="00E64B89"/>
    <w:rsid w:val="00E675E2"/>
    <w:rsid w:val="00E70104"/>
    <w:rsid w:val="00E72401"/>
    <w:rsid w:val="00E73CC1"/>
    <w:rsid w:val="00E73E7B"/>
    <w:rsid w:val="00E74CE9"/>
    <w:rsid w:val="00E75523"/>
    <w:rsid w:val="00E763D0"/>
    <w:rsid w:val="00E8006A"/>
    <w:rsid w:val="00E836DC"/>
    <w:rsid w:val="00E8554A"/>
    <w:rsid w:val="00E86357"/>
    <w:rsid w:val="00E86584"/>
    <w:rsid w:val="00E87284"/>
    <w:rsid w:val="00E879EE"/>
    <w:rsid w:val="00E91BBE"/>
    <w:rsid w:val="00E93DF2"/>
    <w:rsid w:val="00E96469"/>
    <w:rsid w:val="00E97664"/>
    <w:rsid w:val="00EA4991"/>
    <w:rsid w:val="00EA4DD8"/>
    <w:rsid w:val="00EA4E0B"/>
    <w:rsid w:val="00EA7421"/>
    <w:rsid w:val="00EA7959"/>
    <w:rsid w:val="00EB197A"/>
    <w:rsid w:val="00EB2AEF"/>
    <w:rsid w:val="00EB2BED"/>
    <w:rsid w:val="00EB370E"/>
    <w:rsid w:val="00EB4C96"/>
    <w:rsid w:val="00EB54BF"/>
    <w:rsid w:val="00EB75EB"/>
    <w:rsid w:val="00EB7E71"/>
    <w:rsid w:val="00EC23A4"/>
    <w:rsid w:val="00EC265E"/>
    <w:rsid w:val="00EC2922"/>
    <w:rsid w:val="00EC3177"/>
    <w:rsid w:val="00EC577B"/>
    <w:rsid w:val="00EC7B22"/>
    <w:rsid w:val="00ED1083"/>
    <w:rsid w:val="00ED1223"/>
    <w:rsid w:val="00ED123E"/>
    <w:rsid w:val="00ED1F15"/>
    <w:rsid w:val="00ED210B"/>
    <w:rsid w:val="00ED216B"/>
    <w:rsid w:val="00ED2430"/>
    <w:rsid w:val="00ED3D91"/>
    <w:rsid w:val="00EE1580"/>
    <w:rsid w:val="00EE5747"/>
    <w:rsid w:val="00EE5F45"/>
    <w:rsid w:val="00EE78A5"/>
    <w:rsid w:val="00EE7B01"/>
    <w:rsid w:val="00EF0782"/>
    <w:rsid w:val="00EF08B0"/>
    <w:rsid w:val="00EF1152"/>
    <w:rsid w:val="00EF1CFB"/>
    <w:rsid w:val="00EF2788"/>
    <w:rsid w:val="00EF3103"/>
    <w:rsid w:val="00EF42A6"/>
    <w:rsid w:val="00EF466E"/>
    <w:rsid w:val="00EF6512"/>
    <w:rsid w:val="00EF6E9B"/>
    <w:rsid w:val="00EF736B"/>
    <w:rsid w:val="00EF7714"/>
    <w:rsid w:val="00F00725"/>
    <w:rsid w:val="00F023DB"/>
    <w:rsid w:val="00F02E9C"/>
    <w:rsid w:val="00F030C0"/>
    <w:rsid w:val="00F042CB"/>
    <w:rsid w:val="00F04641"/>
    <w:rsid w:val="00F047D4"/>
    <w:rsid w:val="00F06F5E"/>
    <w:rsid w:val="00F109D4"/>
    <w:rsid w:val="00F10A6F"/>
    <w:rsid w:val="00F1155B"/>
    <w:rsid w:val="00F13A97"/>
    <w:rsid w:val="00F13BF4"/>
    <w:rsid w:val="00F140B8"/>
    <w:rsid w:val="00F15EE9"/>
    <w:rsid w:val="00F20AF1"/>
    <w:rsid w:val="00F228B5"/>
    <w:rsid w:val="00F229D9"/>
    <w:rsid w:val="00F23364"/>
    <w:rsid w:val="00F24439"/>
    <w:rsid w:val="00F24736"/>
    <w:rsid w:val="00F24B11"/>
    <w:rsid w:val="00F25932"/>
    <w:rsid w:val="00F27344"/>
    <w:rsid w:val="00F27580"/>
    <w:rsid w:val="00F27A1A"/>
    <w:rsid w:val="00F320F5"/>
    <w:rsid w:val="00F32C4F"/>
    <w:rsid w:val="00F343AA"/>
    <w:rsid w:val="00F354D2"/>
    <w:rsid w:val="00F35E46"/>
    <w:rsid w:val="00F36BD2"/>
    <w:rsid w:val="00F4241B"/>
    <w:rsid w:val="00F43ADE"/>
    <w:rsid w:val="00F4604E"/>
    <w:rsid w:val="00F46704"/>
    <w:rsid w:val="00F46C17"/>
    <w:rsid w:val="00F47585"/>
    <w:rsid w:val="00F4760E"/>
    <w:rsid w:val="00F47E34"/>
    <w:rsid w:val="00F516B2"/>
    <w:rsid w:val="00F51753"/>
    <w:rsid w:val="00F52E49"/>
    <w:rsid w:val="00F53001"/>
    <w:rsid w:val="00F54086"/>
    <w:rsid w:val="00F546A6"/>
    <w:rsid w:val="00F550A4"/>
    <w:rsid w:val="00F565EC"/>
    <w:rsid w:val="00F6249C"/>
    <w:rsid w:val="00F65640"/>
    <w:rsid w:val="00F66D54"/>
    <w:rsid w:val="00F67754"/>
    <w:rsid w:val="00F678B8"/>
    <w:rsid w:val="00F7078E"/>
    <w:rsid w:val="00F707FE"/>
    <w:rsid w:val="00F70D76"/>
    <w:rsid w:val="00F70DB3"/>
    <w:rsid w:val="00F74456"/>
    <w:rsid w:val="00F75BDB"/>
    <w:rsid w:val="00F768D9"/>
    <w:rsid w:val="00F76FEB"/>
    <w:rsid w:val="00F81232"/>
    <w:rsid w:val="00F81ADB"/>
    <w:rsid w:val="00F8291C"/>
    <w:rsid w:val="00F855DA"/>
    <w:rsid w:val="00F85E6F"/>
    <w:rsid w:val="00F901E9"/>
    <w:rsid w:val="00F936A8"/>
    <w:rsid w:val="00F95449"/>
    <w:rsid w:val="00F9545F"/>
    <w:rsid w:val="00F965CC"/>
    <w:rsid w:val="00F96AFF"/>
    <w:rsid w:val="00FA1157"/>
    <w:rsid w:val="00FA1942"/>
    <w:rsid w:val="00FA36C1"/>
    <w:rsid w:val="00FA380A"/>
    <w:rsid w:val="00FA3A75"/>
    <w:rsid w:val="00FA4809"/>
    <w:rsid w:val="00FA4912"/>
    <w:rsid w:val="00FA76E2"/>
    <w:rsid w:val="00FB032F"/>
    <w:rsid w:val="00FB1395"/>
    <w:rsid w:val="00FB18C7"/>
    <w:rsid w:val="00FB3AEF"/>
    <w:rsid w:val="00FB4D57"/>
    <w:rsid w:val="00FB50F1"/>
    <w:rsid w:val="00FB7683"/>
    <w:rsid w:val="00FB775F"/>
    <w:rsid w:val="00FC16F4"/>
    <w:rsid w:val="00FC2CB5"/>
    <w:rsid w:val="00FC38D9"/>
    <w:rsid w:val="00FC3A8F"/>
    <w:rsid w:val="00FC47A1"/>
    <w:rsid w:val="00FC49E8"/>
    <w:rsid w:val="00FC595E"/>
    <w:rsid w:val="00FC7742"/>
    <w:rsid w:val="00FD05F1"/>
    <w:rsid w:val="00FD0E64"/>
    <w:rsid w:val="00FD1585"/>
    <w:rsid w:val="00FD19F7"/>
    <w:rsid w:val="00FD21E3"/>
    <w:rsid w:val="00FD2B0B"/>
    <w:rsid w:val="00FD4808"/>
    <w:rsid w:val="00FD6EFA"/>
    <w:rsid w:val="00FD7402"/>
    <w:rsid w:val="00FD7EE2"/>
    <w:rsid w:val="00FE04E4"/>
    <w:rsid w:val="00FE0F18"/>
    <w:rsid w:val="00FE140B"/>
    <w:rsid w:val="00FE2DD7"/>
    <w:rsid w:val="00FE637D"/>
    <w:rsid w:val="00FE73F9"/>
    <w:rsid w:val="00FF0E94"/>
    <w:rsid w:val="00FF1057"/>
    <w:rsid w:val="00FF1454"/>
    <w:rsid w:val="00FF1DF4"/>
    <w:rsid w:val="00FF1F5F"/>
    <w:rsid w:val="00FF3971"/>
    <w:rsid w:val="00FF3E25"/>
    <w:rsid w:val="00FF3EFE"/>
    <w:rsid w:val="00FF5976"/>
    <w:rsid w:val="00FF5FD8"/>
    <w:rsid w:val="00FF60F3"/>
    <w:rsid w:val="00FF77A6"/>
    <w:rsid w:val="00FF7AE6"/>
    <w:rsid w:val="173E4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FE742"/>
  <w15:docId w15:val="{08AF7FA8-E95F-4696-BFA9-E1E04724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090512"/>
    <w:rPr>
      <w:sz w:val="24"/>
    </w:rPr>
  </w:style>
  <w:style w:type="character" w:customStyle="1" w:styleId="normaltextrun">
    <w:name w:val="normaltextrun"/>
    <w:basedOn w:val="DefaultParagraphFont"/>
    <w:rsid w:val="00B04533"/>
  </w:style>
  <w:style w:type="character" w:customStyle="1" w:styleId="eop">
    <w:name w:val="eop"/>
    <w:basedOn w:val="DefaultParagraphFont"/>
    <w:rsid w:val="00B04533"/>
  </w:style>
  <w:style w:type="character" w:styleId="Mention">
    <w:name w:val="Mention"/>
    <w:basedOn w:val="DefaultParagraphFont"/>
    <w:uiPriority w:val="99"/>
    <w:unhideWhenUsed/>
    <w:rsid w:val="00BF1A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3279">
      <w:bodyDiv w:val="1"/>
      <w:marLeft w:val="0"/>
      <w:marRight w:val="0"/>
      <w:marTop w:val="0"/>
      <w:marBottom w:val="0"/>
      <w:divBdr>
        <w:top w:val="none" w:sz="0" w:space="0" w:color="auto"/>
        <w:left w:val="none" w:sz="0" w:space="0" w:color="auto"/>
        <w:bottom w:val="none" w:sz="0" w:space="0" w:color="auto"/>
        <w:right w:val="none" w:sz="0" w:space="0" w:color="auto"/>
      </w:divBdr>
    </w:div>
    <w:div w:id="472140004">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73126806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751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bs.gov.au/statistics/economy/price-indexes-and-infl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ECC15DC70455A8556241EA2B9FC5A"/>
        <w:category>
          <w:name w:val="General"/>
          <w:gallery w:val="placeholder"/>
        </w:category>
        <w:types>
          <w:type w:val="bbPlcHdr"/>
        </w:types>
        <w:behaviors>
          <w:behavior w:val="content"/>
        </w:behaviors>
        <w:guid w:val="{2EA6C630-A58E-4432-8E07-5DB325614613}"/>
      </w:docPartPr>
      <w:docPartBody>
        <w:p w:rsidR="009A35C7" w:rsidRDefault="009A35C7">
          <w:pPr>
            <w:pStyle w:val="CADECC15DC70455A8556241EA2B9FC5A"/>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C7"/>
    <w:rsid w:val="000B152F"/>
    <w:rsid w:val="00106055"/>
    <w:rsid w:val="002620B2"/>
    <w:rsid w:val="00271214"/>
    <w:rsid w:val="00301C82"/>
    <w:rsid w:val="00313047"/>
    <w:rsid w:val="00362206"/>
    <w:rsid w:val="003A4497"/>
    <w:rsid w:val="00413676"/>
    <w:rsid w:val="00456758"/>
    <w:rsid w:val="006C30F7"/>
    <w:rsid w:val="00770BFE"/>
    <w:rsid w:val="007B63D8"/>
    <w:rsid w:val="009A35C7"/>
    <w:rsid w:val="009E5314"/>
    <w:rsid w:val="00CF49F8"/>
    <w:rsid w:val="00DE2400"/>
    <w:rsid w:val="00EC471D"/>
    <w:rsid w:val="00FB5A08"/>
    <w:rsid w:val="00FB5EB9"/>
    <w:rsid w:val="00FD47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DECC15DC70455A8556241EA2B9FC5A">
    <w:name w:val="CADECC15DC70455A8556241EA2B9F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xsi:nil="true"/>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92</Value>
      <Value>153</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Climate change</TermName>
          <TermId xmlns="http://schemas.microsoft.com/office/infopath/2007/PartnerControls">3c8d4b84-03f3-4bab-8667-fcd5bd571ed7</TermId>
        </TermInfo>
      </Terms>
    </gfba5f33532c49208d2320ce38cc3c2b>
    <_dlc_DocId xmlns="fe39d773-a83d-4623-ae74-f25711a76616">5D7SUYYWNZQE-314662020-120</_dlc_DocId>
    <_dlc_DocIdUrl xmlns="fe39d773-a83d-4623-ae74-f25711a76616">
      <Url>https://austreasury.sharepoint.com/sites/leg-meas-function/_layouts/15/DocIdRedir.aspx?ID=5D7SUYYWNZQE-314662020-120</Url>
      <Description>5D7SUYYWNZQE-314662020-120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DDEA869EB26478B81A8F368743AAA" ma:contentTypeVersion="22" ma:contentTypeDescription="Create a new document." ma:contentTypeScope="" ma:versionID="abb0e77ae1728ab3158e5a4e4b23f00b">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15201b79-42f3-4977-ba9e-7dd44f27b305" targetNamespace="http://schemas.microsoft.com/office/2006/metadata/properties" ma:root="true" ma:fieldsID="d90615a5be4a31acdbd6ed6ee0844451" ns1:_="" ns2:_="" ns3:_="" ns4:_="" ns5:_="">
    <xsd:import namespace="http://schemas.microsoft.com/sharepoint/v3"/>
    <xsd:import namespace="ff38c824-6e29-4496-8487-69f397e7ed29"/>
    <xsd:import namespace="fe39d773-a83d-4623-ae74-f25711a76616"/>
    <xsd:import namespace="a289cb20-8bb9-401f-8d7b-706fb1a2988d"/>
    <xsd:import namespace="15201b79-42f3-4977-ba9e-7dd44f27b305"/>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01b79-42f3-4977-ba9e-7dd44f27b305"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4054F-A372-4440-BF17-7A6495F71FF6}">
  <ds:schemaRefs>
    <ds:schemaRef ds:uri="http://schemas.microsoft.com/sharepoint/event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http://schemas.microsoft.com/sharepoint/v3"/>
    <ds:schemaRef ds:uri="a289cb20-8bb9-401f-8d7b-706fb1a2988d"/>
    <ds:schemaRef ds:uri="ff38c824-6e29-4496-8487-69f397e7ed29"/>
  </ds:schemaRefs>
</ds:datastoreItem>
</file>

<file path=customXml/itemProps3.xml><?xml version="1.0" encoding="utf-8"?>
<ds:datastoreItem xmlns:ds="http://schemas.openxmlformats.org/officeDocument/2006/customXml" ds:itemID="{4C91C76B-6DEE-435C-A4CE-9818405D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15201b79-42f3-4977-ba9e-7dd44f27b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7</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240802_Explanatory_Statement [241021]</vt:lpstr>
    </vt:vector>
  </TitlesOfParts>
  <Company>Treasury</Company>
  <LinksUpToDate>false</LinksUpToDate>
  <CharactersWithSpaces>14500</CharactersWithSpaces>
  <SharedDoc>false</SharedDoc>
  <HLinks>
    <vt:vector size="6" baseType="variant">
      <vt:variant>
        <vt:i4>1638400</vt:i4>
      </vt:variant>
      <vt:variant>
        <vt:i4>0</vt:i4>
      </vt:variant>
      <vt:variant>
        <vt:i4>0</vt:i4>
      </vt:variant>
      <vt:variant>
        <vt:i4>5</vt:i4>
      </vt:variant>
      <vt:variant>
        <vt:lpwstr>https://www.abs.gov.au/statistics/economy/price-indexes-and-inflation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240802_Explanatory_Statement [241021]</dc:title>
  <dc:subject/>
  <dc:creator>Addepalli, Mana</dc:creator>
  <cp:keywords/>
  <cp:lastModifiedBy>Jaramillo, Justin</cp:lastModifiedBy>
  <cp:revision>2</cp:revision>
  <cp:lastPrinted>2024-10-20T23:06:00Z</cp:lastPrinted>
  <dcterms:created xsi:type="dcterms:W3CDTF">2024-11-20T01:40:00Z</dcterms:created>
  <dcterms:modified xsi:type="dcterms:W3CDTF">2024-11-20T01:40:00Z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0x010100F21DDEA869EB26478B81A8F368743AAA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TSYStatus">
    <vt:lpwstr/>
  </property>
  <property fmtid="{D5CDD505-2E9C-101B-9397-08002B2CF9AE}" pid="7" name="MediaServiceImageTags">
    <vt:lpwstr/>
  </property>
  <property fmtid="{D5CDD505-2E9C-101B-9397-08002B2CF9AE}" pid="8" name="TSYOffice">
    <vt:lpwstr/>
  </property>
  <property fmtid="{D5CDD505-2E9C-101B-9397-08002B2CF9AE}" pid="9" name="_dlc_DocIdItemGuid">
    <vt:lpwstr>5feeb84f-6a0b-494a-9037-2fea5b2d05ab</vt:lpwstr>
  </property>
  <property fmtid="{D5CDD505-2E9C-101B-9397-08002B2CF9AE}" pid="10" name="eTheme">
    <vt:lpwstr>1;#Law Design|318dd2d2-18da-4b8e-a458-14db2c1af95f</vt:lpwstr>
  </property>
  <property fmtid="{D5CDD505-2E9C-101B-9397-08002B2CF9AE}" pid="11" name="eDocumentType">
    <vt:lpwstr>153;#Explanatory Materials|ac61e78e-992e-40fd-ae93-2c9522960b05</vt:lpwstr>
  </property>
  <property fmtid="{D5CDD505-2E9C-101B-9397-08002B2CF9AE}" pid="12" name="eTopic">
    <vt:lpwstr>92;#Climate change|3c8d4b84-03f3-4bab-8667-fcd5bd571ed7</vt:lpwstr>
  </property>
  <property fmtid="{D5CDD505-2E9C-101B-9397-08002B2CF9AE}" pid="13" name="LMDivision">
    <vt:lpwstr/>
  </property>
  <property fmtid="{D5CDD505-2E9C-101B-9397-08002B2CF9AE}" pid="14" name="eActivity">
    <vt:lpwstr>28;#Legislative measures|0d31ce10-0017-4a46-8d2d-ba60058cb6a2</vt:lpwstr>
  </property>
  <property fmtid="{D5CDD505-2E9C-101B-9397-08002B2CF9AE}" pid="15" name="k8424359e03846678cc4a99dd97e9705">
    <vt:lpwstr/>
  </property>
  <property fmtid="{D5CDD505-2E9C-101B-9397-08002B2CF9AE}" pid="16" name="MSIP_Label_4f932d64-9ab1-4d9b-81d2-a3a8b82dd47d_Enabled">
    <vt:lpwstr>true</vt:lpwstr>
  </property>
  <property fmtid="{D5CDD505-2E9C-101B-9397-08002B2CF9AE}" pid="17" name="MSIP_Label_4f932d64-9ab1-4d9b-81d2-a3a8b82dd47d_SetDate">
    <vt:lpwstr>2024-11-20T01:35:22Z</vt:lpwstr>
  </property>
  <property fmtid="{D5CDD505-2E9C-101B-9397-08002B2CF9AE}" pid="18" name="MSIP_Label_4f932d64-9ab1-4d9b-81d2-a3a8b82dd47d_Method">
    <vt:lpwstr>Privileged</vt:lpwstr>
  </property>
  <property fmtid="{D5CDD505-2E9C-101B-9397-08002B2CF9AE}" pid="19" name="MSIP_Label_4f932d64-9ab1-4d9b-81d2-a3a8b82dd47d_Name">
    <vt:lpwstr>OFFICIAL No Visual Marking</vt:lpwstr>
  </property>
  <property fmtid="{D5CDD505-2E9C-101B-9397-08002B2CF9AE}" pid="20" name="MSIP_Label_4f932d64-9ab1-4d9b-81d2-a3a8b82dd47d_SiteId">
    <vt:lpwstr>214f1646-2021-47cc-8397-e3d3a7ba7d9d</vt:lpwstr>
  </property>
  <property fmtid="{D5CDD505-2E9C-101B-9397-08002B2CF9AE}" pid="21" name="MSIP_Label_4f932d64-9ab1-4d9b-81d2-a3a8b82dd47d_ActionId">
    <vt:lpwstr>09f3c287-542c-4642-a83c-5577ae4047e3</vt:lpwstr>
  </property>
  <property fmtid="{D5CDD505-2E9C-101B-9397-08002B2CF9AE}" pid="22" name="MSIP_Label_4f932d64-9ab1-4d9b-81d2-a3a8b82dd47d_ContentBits">
    <vt:lpwstr>0</vt:lpwstr>
  </property>
</Properties>
</file>