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92B0B" w14:textId="77777777" w:rsidR="00FC54D1" w:rsidRPr="00AA1335" w:rsidRDefault="00FC54D1" w:rsidP="00AA1335">
      <w:pPr>
        <w:autoSpaceDE w:val="0"/>
        <w:autoSpaceDN w:val="0"/>
        <w:adjustRightInd w:val="0"/>
        <w:spacing w:before="240" w:after="240" w:line="276" w:lineRule="auto"/>
        <w:jc w:val="center"/>
        <w:rPr>
          <w:b/>
          <w:sz w:val="22"/>
          <w:szCs w:val="22"/>
          <w:u w:val="single"/>
          <w:lang w:val="en-US"/>
        </w:rPr>
      </w:pPr>
      <w:r w:rsidRPr="00AA1335">
        <w:rPr>
          <w:b/>
          <w:sz w:val="22"/>
          <w:szCs w:val="22"/>
          <w:u w:val="single"/>
          <w:lang w:val="en-US"/>
        </w:rPr>
        <w:t>EXPLANATORY STATEMENT</w:t>
      </w:r>
    </w:p>
    <w:p w14:paraId="42151C5D" w14:textId="77777777" w:rsidR="00FC54D1" w:rsidRPr="00616A1C" w:rsidRDefault="00FC54D1" w:rsidP="00AA1335">
      <w:pPr>
        <w:autoSpaceDE w:val="0"/>
        <w:autoSpaceDN w:val="0"/>
        <w:adjustRightInd w:val="0"/>
        <w:spacing w:before="240" w:after="240" w:line="276" w:lineRule="auto"/>
        <w:jc w:val="center"/>
        <w:rPr>
          <w:b/>
          <w:bCs/>
          <w:sz w:val="22"/>
          <w:szCs w:val="22"/>
          <w:lang w:val="en-US"/>
        </w:rPr>
      </w:pPr>
      <w:r w:rsidRPr="00616A1C">
        <w:rPr>
          <w:b/>
          <w:bCs/>
          <w:sz w:val="22"/>
          <w:szCs w:val="22"/>
          <w:lang w:val="en-US"/>
        </w:rPr>
        <w:t>Issued by the authority of the Protected Zone Joint Authority</w:t>
      </w:r>
    </w:p>
    <w:p w14:paraId="3EEDEDAF" w14:textId="77777777" w:rsidR="00FC54D1" w:rsidRPr="00BB4F41" w:rsidRDefault="00FC54D1" w:rsidP="00AA1335">
      <w:pPr>
        <w:spacing w:before="240" w:after="240" w:line="276" w:lineRule="auto"/>
        <w:jc w:val="center"/>
        <w:rPr>
          <w:b/>
          <w:bCs/>
          <w:i/>
          <w:sz w:val="22"/>
          <w:szCs w:val="22"/>
          <w:lang w:val="en-US"/>
        </w:rPr>
      </w:pPr>
      <w:r w:rsidRPr="00BB4F41">
        <w:rPr>
          <w:b/>
          <w:bCs/>
          <w:i/>
          <w:sz w:val="22"/>
          <w:szCs w:val="22"/>
          <w:lang w:val="en-US"/>
        </w:rPr>
        <w:t>Torres Strait Fisheries Act 1984</w:t>
      </w:r>
    </w:p>
    <w:p w14:paraId="48C41A81" w14:textId="6C8F96BF" w:rsidR="00FC54D1" w:rsidRPr="009C5443" w:rsidRDefault="00FC54D1" w:rsidP="00AA1335">
      <w:pPr>
        <w:spacing w:before="240" w:after="480" w:line="276" w:lineRule="auto"/>
        <w:jc w:val="center"/>
        <w:rPr>
          <w:b/>
          <w:i/>
          <w:iCs/>
          <w:sz w:val="22"/>
          <w:szCs w:val="22"/>
          <w:lang w:val="en-US"/>
        </w:rPr>
      </w:pPr>
      <w:bookmarkStart w:id="0" w:name="OLE_LINK5"/>
      <w:r w:rsidRPr="009C5443">
        <w:rPr>
          <w:b/>
          <w:i/>
          <w:iCs/>
          <w:sz w:val="22"/>
          <w:szCs w:val="22"/>
          <w:lang w:val="en-US"/>
        </w:rPr>
        <w:t xml:space="preserve">Torres Strait Fisheries </w:t>
      </w:r>
      <w:r w:rsidR="005950E6" w:rsidRPr="009C5443">
        <w:rPr>
          <w:b/>
          <w:i/>
          <w:iCs/>
          <w:sz w:val="22"/>
          <w:szCs w:val="22"/>
          <w:lang w:val="en-US"/>
        </w:rPr>
        <w:t>(</w:t>
      </w:r>
      <w:r w:rsidR="006213DA" w:rsidRPr="009C5443">
        <w:rPr>
          <w:b/>
          <w:i/>
          <w:iCs/>
          <w:sz w:val="22"/>
          <w:szCs w:val="22"/>
          <w:lang w:val="en-US"/>
        </w:rPr>
        <w:t>Furnishing of Logbooks</w:t>
      </w:r>
      <w:r w:rsidRPr="009C5443">
        <w:rPr>
          <w:b/>
          <w:i/>
          <w:iCs/>
          <w:sz w:val="22"/>
          <w:szCs w:val="22"/>
          <w:lang w:val="en-US"/>
        </w:rPr>
        <w:t xml:space="preserve">) Instrument </w:t>
      </w:r>
      <w:r w:rsidR="00642364" w:rsidRPr="009C5443">
        <w:rPr>
          <w:b/>
          <w:i/>
          <w:iCs/>
          <w:sz w:val="22"/>
          <w:szCs w:val="22"/>
          <w:lang w:val="en-US"/>
        </w:rPr>
        <w:t>202</w:t>
      </w:r>
      <w:r w:rsidR="00A54873" w:rsidRPr="009C5443">
        <w:rPr>
          <w:b/>
          <w:i/>
          <w:iCs/>
          <w:sz w:val="22"/>
          <w:szCs w:val="22"/>
          <w:lang w:val="en-US"/>
        </w:rPr>
        <w:t>4</w:t>
      </w:r>
    </w:p>
    <w:bookmarkEnd w:id="0"/>
    <w:p w14:paraId="57CAA521" w14:textId="3EEC668B" w:rsidR="004F712D" w:rsidRPr="00AA1335" w:rsidRDefault="004F712D" w:rsidP="00E659CD">
      <w:pPr>
        <w:pStyle w:val="subsection"/>
        <w:spacing w:line="276" w:lineRule="auto"/>
        <w:jc w:val="both"/>
        <w:rPr>
          <w:sz w:val="22"/>
          <w:szCs w:val="22"/>
          <w:lang w:val="en-US"/>
        </w:rPr>
      </w:pPr>
      <w:r w:rsidRPr="00AA1335">
        <w:rPr>
          <w:sz w:val="22"/>
          <w:szCs w:val="22"/>
          <w:lang w:val="en-US"/>
        </w:rPr>
        <w:t xml:space="preserve">The </w:t>
      </w:r>
      <w:r w:rsidRPr="00AA1335">
        <w:rPr>
          <w:i/>
          <w:sz w:val="22"/>
          <w:szCs w:val="22"/>
          <w:lang w:val="en-US"/>
        </w:rPr>
        <w:t>Torres Strait Fisheries (</w:t>
      </w:r>
      <w:r w:rsidR="006213DA" w:rsidRPr="00AA1335">
        <w:rPr>
          <w:i/>
          <w:sz w:val="22"/>
          <w:szCs w:val="22"/>
          <w:lang w:val="en-US"/>
        </w:rPr>
        <w:t>Furnishing of Logbooks</w:t>
      </w:r>
      <w:r w:rsidRPr="00AA1335">
        <w:rPr>
          <w:i/>
          <w:sz w:val="22"/>
          <w:szCs w:val="22"/>
          <w:lang w:val="en-US"/>
        </w:rPr>
        <w:t xml:space="preserve">) Instrument </w:t>
      </w:r>
      <w:r w:rsidR="00642364" w:rsidRPr="00AA1335">
        <w:rPr>
          <w:i/>
          <w:sz w:val="22"/>
          <w:szCs w:val="22"/>
          <w:lang w:val="en-US"/>
        </w:rPr>
        <w:t>202</w:t>
      </w:r>
      <w:r w:rsidR="00F04531">
        <w:rPr>
          <w:i/>
          <w:sz w:val="22"/>
          <w:szCs w:val="22"/>
          <w:lang w:val="en-US"/>
        </w:rPr>
        <w:t>4</w:t>
      </w:r>
      <w:r w:rsidR="00642364" w:rsidRPr="00AA1335">
        <w:rPr>
          <w:sz w:val="22"/>
          <w:szCs w:val="22"/>
          <w:lang w:val="en-US"/>
        </w:rPr>
        <w:t xml:space="preserve"> </w:t>
      </w:r>
      <w:r w:rsidRPr="00AA1335">
        <w:rPr>
          <w:sz w:val="22"/>
          <w:szCs w:val="22"/>
          <w:lang w:val="en-US"/>
        </w:rPr>
        <w:t>(</w:t>
      </w:r>
      <w:r w:rsidRPr="00362599">
        <w:rPr>
          <w:b/>
          <w:bCs/>
          <w:sz w:val="22"/>
          <w:szCs w:val="22"/>
          <w:lang w:val="en-US"/>
        </w:rPr>
        <w:t>the Instrument</w:t>
      </w:r>
      <w:r w:rsidRPr="00AA1335">
        <w:rPr>
          <w:sz w:val="22"/>
          <w:szCs w:val="22"/>
          <w:lang w:val="en-US"/>
        </w:rPr>
        <w:t xml:space="preserve">) </w:t>
      </w:r>
      <w:r w:rsidR="00274882">
        <w:rPr>
          <w:sz w:val="22"/>
          <w:szCs w:val="22"/>
          <w:lang w:val="en-US"/>
        </w:rPr>
        <w:t xml:space="preserve">repeals </w:t>
      </w:r>
      <w:r w:rsidR="00FE4B5B">
        <w:rPr>
          <w:sz w:val="22"/>
          <w:szCs w:val="22"/>
          <w:lang w:val="en-US"/>
        </w:rPr>
        <w:t xml:space="preserve">the </w:t>
      </w:r>
      <w:r w:rsidR="00066530" w:rsidRPr="00066530">
        <w:rPr>
          <w:i/>
          <w:sz w:val="22"/>
          <w:szCs w:val="22"/>
          <w:lang w:val="en-US"/>
        </w:rPr>
        <w:t xml:space="preserve">Torres Strait Fisheries (Furnishing of Logbooks) Instrument 2023 </w:t>
      </w:r>
      <w:r w:rsidR="00FE4B5B">
        <w:rPr>
          <w:sz w:val="22"/>
          <w:szCs w:val="22"/>
          <w:lang w:val="en-US"/>
        </w:rPr>
        <w:t>(</w:t>
      </w:r>
      <w:r w:rsidR="00FE4B5B" w:rsidRPr="00362599">
        <w:rPr>
          <w:b/>
          <w:bCs/>
          <w:sz w:val="22"/>
          <w:szCs w:val="22"/>
          <w:lang w:val="en-US"/>
        </w:rPr>
        <w:t>the Previous Instrument</w:t>
      </w:r>
      <w:r w:rsidR="00FE4B5B">
        <w:rPr>
          <w:sz w:val="22"/>
          <w:szCs w:val="22"/>
          <w:lang w:val="en-US"/>
        </w:rPr>
        <w:t xml:space="preserve">). </w:t>
      </w:r>
    </w:p>
    <w:p w14:paraId="060B2E07" w14:textId="0D252F3D" w:rsidR="004F712D" w:rsidRPr="00AA1335" w:rsidRDefault="004F712D" w:rsidP="00E659CD">
      <w:pPr>
        <w:pStyle w:val="afmanormal0"/>
        <w:shd w:val="clear" w:color="auto" w:fill="FFFFFF"/>
        <w:spacing w:before="0" w:beforeAutospacing="0" w:after="0" w:afterAutospacing="0" w:line="276" w:lineRule="auto"/>
        <w:jc w:val="both"/>
        <w:rPr>
          <w:sz w:val="22"/>
          <w:szCs w:val="22"/>
          <w:lang w:val="en-US"/>
        </w:rPr>
      </w:pPr>
      <w:r w:rsidRPr="00AA1335">
        <w:rPr>
          <w:sz w:val="22"/>
          <w:szCs w:val="22"/>
          <w:lang w:val="en-US"/>
        </w:rPr>
        <w:t xml:space="preserve">Subsection 14(1) of the </w:t>
      </w:r>
      <w:r w:rsidR="00A50B68">
        <w:rPr>
          <w:i/>
          <w:sz w:val="22"/>
          <w:szCs w:val="22"/>
          <w:lang w:val="en-US"/>
        </w:rPr>
        <w:t xml:space="preserve">Torres Strait Fisheries Act 1984 </w:t>
      </w:r>
      <w:r w:rsidR="00A50B68">
        <w:rPr>
          <w:sz w:val="22"/>
          <w:szCs w:val="22"/>
          <w:lang w:val="en-US"/>
        </w:rPr>
        <w:t>(</w:t>
      </w:r>
      <w:r w:rsidR="00A50B68" w:rsidRPr="00A41AD0">
        <w:rPr>
          <w:b/>
          <w:bCs/>
          <w:sz w:val="22"/>
          <w:szCs w:val="22"/>
          <w:lang w:val="en-US"/>
        </w:rPr>
        <w:t xml:space="preserve">the </w:t>
      </w:r>
      <w:r w:rsidRPr="00A41AD0">
        <w:rPr>
          <w:b/>
          <w:bCs/>
          <w:sz w:val="22"/>
          <w:szCs w:val="22"/>
          <w:lang w:val="en-US"/>
        </w:rPr>
        <w:t>Act</w:t>
      </w:r>
      <w:r w:rsidR="00A50B68">
        <w:rPr>
          <w:sz w:val="22"/>
          <w:szCs w:val="22"/>
          <w:lang w:val="en-US"/>
        </w:rPr>
        <w:t>)</w:t>
      </w:r>
      <w:r w:rsidR="00930CD0" w:rsidRPr="00AA1335">
        <w:rPr>
          <w:sz w:val="22"/>
          <w:szCs w:val="22"/>
          <w:lang w:val="en-US"/>
        </w:rPr>
        <w:t xml:space="preserve"> provides that the Minister may, by legislative instrument, require the master of a boat licensed under section 19 of the Act</w:t>
      </w:r>
      <w:r w:rsidR="00FE4B5B">
        <w:rPr>
          <w:sz w:val="22"/>
          <w:szCs w:val="22"/>
          <w:lang w:val="en-US"/>
        </w:rPr>
        <w:t xml:space="preserve">, </w:t>
      </w:r>
      <w:r w:rsidR="00FE4B5B" w:rsidRPr="00AA1335">
        <w:rPr>
          <w:sz w:val="22"/>
          <w:szCs w:val="22"/>
          <w:lang w:val="en-US"/>
        </w:rPr>
        <w:t>or a boat in respect of which an endorsement under section 20 of the Act is in force</w:t>
      </w:r>
      <w:r w:rsidR="00FE4B5B">
        <w:rPr>
          <w:sz w:val="22"/>
          <w:szCs w:val="22"/>
          <w:lang w:val="en-US"/>
        </w:rPr>
        <w:t>,</w:t>
      </w:r>
      <w:r w:rsidR="00930CD0" w:rsidRPr="00AA1335">
        <w:rPr>
          <w:sz w:val="22"/>
          <w:szCs w:val="22"/>
          <w:lang w:val="en-US"/>
        </w:rPr>
        <w:t xml:space="preserve"> to provide information relating to the taking of fish with the use of a boat in the course of commercial fishing (other than community fishing). </w:t>
      </w:r>
      <w:r w:rsidR="007674A6">
        <w:rPr>
          <w:sz w:val="22"/>
          <w:szCs w:val="22"/>
          <w:lang w:val="en-US"/>
        </w:rPr>
        <w:t>Paragraph</w:t>
      </w:r>
      <w:r w:rsidRPr="00AA1335">
        <w:rPr>
          <w:sz w:val="22"/>
          <w:szCs w:val="22"/>
          <w:lang w:val="en-US"/>
        </w:rPr>
        <w:t xml:space="preserve"> 35(1)</w:t>
      </w:r>
      <w:r w:rsidR="007674A6">
        <w:rPr>
          <w:sz w:val="22"/>
          <w:szCs w:val="22"/>
          <w:lang w:val="en-US"/>
        </w:rPr>
        <w:t>(a</w:t>
      </w:r>
      <w:r w:rsidRPr="00AA1335">
        <w:rPr>
          <w:sz w:val="22"/>
          <w:szCs w:val="22"/>
          <w:lang w:val="en-US"/>
        </w:rPr>
        <w:t xml:space="preserve">) of the Act </w:t>
      </w:r>
      <w:r w:rsidR="00E547B4">
        <w:rPr>
          <w:sz w:val="22"/>
          <w:szCs w:val="22"/>
          <w:lang w:val="en-US"/>
        </w:rPr>
        <w:t xml:space="preserve">relevantly </w:t>
      </w:r>
      <w:r w:rsidRPr="00AA1335">
        <w:rPr>
          <w:sz w:val="22"/>
          <w:szCs w:val="22"/>
          <w:lang w:val="en-US"/>
        </w:rPr>
        <w:t>provides</w:t>
      </w:r>
      <w:r w:rsidR="00E547B4">
        <w:rPr>
          <w:sz w:val="22"/>
          <w:szCs w:val="22"/>
          <w:lang w:val="en-US"/>
        </w:rPr>
        <w:t xml:space="preserve"> that</w:t>
      </w:r>
      <w:r w:rsidR="00F36C7E">
        <w:rPr>
          <w:sz w:val="22"/>
          <w:szCs w:val="22"/>
          <w:lang w:val="en-US"/>
        </w:rPr>
        <w:t>,</w:t>
      </w:r>
      <w:r w:rsidR="00E547B4">
        <w:rPr>
          <w:sz w:val="22"/>
          <w:szCs w:val="22"/>
          <w:lang w:val="en-US"/>
        </w:rPr>
        <w:t xml:space="preserve"> </w:t>
      </w:r>
      <w:r w:rsidR="00A21BF9">
        <w:rPr>
          <w:sz w:val="22"/>
          <w:szCs w:val="22"/>
          <w:lang w:val="en-US"/>
        </w:rPr>
        <w:t xml:space="preserve">in respect of a Protected Zone Joint Authority </w:t>
      </w:r>
      <w:r w:rsidR="00066282">
        <w:rPr>
          <w:sz w:val="22"/>
          <w:szCs w:val="22"/>
          <w:lang w:val="en-US"/>
        </w:rPr>
        <w:t>fishery</w:t>
      </w:r>
      <w:r w:rsidR="00144C09">
        <w:rPr>
          <w:sz w:val="22"/>
          <w:szCs w:val="22"/>
          <w:lang w:val="en-US"/>
        </w:rPr>
        <w:t>,</w:t>
      </w:r>
      <w:r w:rsidR="00066282">
        <w:rPr>
          <w:sz w:val="22"/>
          <w:szCs w:val="22"/>
          <w:lang w:val="en-US"/>
        </w:rPr>
        <w:t xml:space="preserve"> </w:t>
      </w:r>
      <w:r w:rsidR="00FC0EAA">
        <w:rPr>
          <w:sz w:val="22"/>
          <w:szCs w:val="22"/>
          <w:lang w:val="en-US"/>
        </w:rPr>
        <w:t xml:space="preserve">the powers of the Minister </w:t>
      </w:r>
      <w:r w:rsidR="00BB302F">
        <w:rPr>
          <w:sz w:val="22"/>
          <w:szCs w:val="22"/>
          <w:lang w:val="en-US"/>
        </w:rPr>
        <w:t xml:space="preserve">under section 14 </w:t>
      </w:r>
      <w:r w:rsidR="0073099F">
        <w:rPr>
          <w:sz w:val="22"/>
          <w:szCs w:val="22"/>
          <w:lang w:val="en-US"/>
        </w:rPr>
        <w:t>of the Act</w:t>
      </w:r>
      <w:r w:rsidRPr="00AA1335">
        <w:rPr>
          <w:sz w:val="22"/>
          <w:szCs w:val="22"/>
          <w:lang w:val="en-US"/>
        </w:rPr>
        <w:t xml:space="preserve"> </w:t>
      </w:r>
      <w:r w:rsidR="00116543">
        <w:rPr>
          <w:sz w:val="22"/>
          <w:szCs w:val="22"/>
          <w:lang w:val="en-US"/>
        </w:rPr>
        <w:t>are exercisable under th</w:t>
      </w:r>
      <w:r w:rsidR="007C3CD8">
        <w:rPr>
          <w:sz w:val="22"/>
          <w:szCs w:val="22"/>
          <w:lang w:val="en-US"/>
        </w:rPr>
        <w:t>at provision by</w:t>
      </w:r>
      <w:r w:rsidR="009277F9">
        <w:rPr>
          <w:sz w:val="22"/>
          <w:szCs w:val="22"/>
          <w:lang w:val="en-US"/>
        </w:rPr>
        <w:t xml:space="preserve"> </w:t>
      </w:r>
      <w:r w:rsidRPr="00AA1335">
        <w:rPr>
          <w:sz w:val="22"/>
          <w:szCs w:val="22"/>
          <w:lang w:val="en-US"/>
        </w:rPr>
        <w:t>the Protected Zone Joint Authority (</w:t>
      </w:r>
      <w:r w:rsidRPr="00692711">
        <w:rPr>
          <w:b/>
          <w:bCs/>
          <w:sz w:val="22"/>
          <w:szCs w:val="22"/>
          <w:lang w:val="en-US"/>
        </w:rPr>
        <w:t>PZJA</w:t>
      </w:r>
      <w:r w:rsidRPr="00AA1335">
        <w:rPr>
          <w:sz w:val="22"/>
          <w:szCs w:val="22"/>
          <w:lang w:val="en-US"/>
        </w:rPr>
        <w:t>)</w:t>
      </w:r>
      <w:r w:rsidR="00960119">
        <w:rPr>
          <w:sz w:val="22"/>
          <w:szCs w:val="22"/>
          <w:lang w:val="en-US"/>
        </w:rPr>
        <w:t>.</w:t>
      </w:r>
      <w:r w:rsidRPr="00AA1335">
        <w:rPr>
          <w:sz w:val="22"/>
          <w:szCs w:val="22"/>
          <w:lang w:val="en-US"/>
        </w:rPr>
        <w:t xml:space="preserve"> </w:t>
      </w:r>
    </w:p>
    <w:p w14:paraId="1C3C0744" w14:textId="27E61618" w:rsidR="004F712D" w:rsidRPr="00AA1335" w:rsidRDefault="004F712D" w:rsidP="00E659CD">
      <w:pPr>
        <w:spacing w:before="240" w:after="240" w:line="276" w:lineRule="auto"/>
        <w:jc w:val="both"/>
        <w:rPr>
          <w:sz w:val="22"/>
          <w:szCs w:val="22"/>
          <w:lang w:val="en-US"/>
        </w:rPr>
      </w:pPr>
      <w:r w:rsidRPr="00AA1335">
        <w:rPr>
          <w:sz w:val="22"/>
          <w:szCs w:val="22"/>
          <w:lang w:val="en-US"/>
        </w:rPr>
        <w:t>Subsection 28(1) of the Act provides that a ‘Protected Zone Joint Authority fishery’ is a fishery in respect of which an arrangement under Part V of the Act is in place</w:t>
      </w:r>
      <w:r w:rsidR="009E1908">
        <w:rPr>
          <w:sz w:val="22"/>
          <w:szCs w:val="22"/>
          <w:lang w:val="en-US"/>
        </w:rPr>
        <w:t xml:space="preserve"> </w:t>
      </w:r>
      <w:r w:rsidR="006778E6">
        <w:rPr>
          <w:sz w:val="22"/>
          <w:szCs w:val="22"/>
          <w:lang w:val="en-US"/>
        </w:rPr>
        <w:t xml:space="preserve">which provides for </w:t>
      </w:r>
      <w:r w:rsidR="009E1908">
        <w:rPr>
          <w:sz w:val="22"/>
          <w:szCs w:val="22"/>
          <w:lang w:val="en-US"/>
        </w:rPr>
        <w:t xml:space="preserve">the fishing to be </w:t>
      </w:r>
      <w:r w:rsidR="004326AD">
        <w:rPr>
          <w:sz w:val="22"/>
          <w:szCs w:val="22"/>
          <w:lang w:val="en-US"/>
        </w:rPr>
        <w:t xml:space="preserve">under the management of the </w:t>
      </w:r>
      <w:r w:rsidR="00E73314">
        <w:rPr>
          <w:sz w:val="22"/>
          <w:szCs w:val="22"/>
          <w:lang w:val="en-US"/>
        </w:rPr>
        <w:t>PZJA</w:t>
      </w:r>
      <w:r w:rsidRPr="00AA1335">
        <w:rPr>
          <w:sz w:val="22"/>
          <w:szCs w:val="22"/>
          <w:lang w:val="en-US"/>
        </w:rPr>
        <w:t xml:space="preserve">.  The </w:t>
      </w:r>
      <w:r w:rsidRPr="00AA1335">
        <w:rPr>
          <w:i/>
          <w:sz w:val="22"/>
          <w:szCs w:val="22"/>
          <w:lang w:val="en-US"/>
        </w:rPr>
        <w:t xml:space="preserve">Arrangement between the Commonwealth and the State of Queensland under section 31 of the Torres Strait Fisheries Act </w:t>
      </w:r>
      <w:r w:rsidRPr="00AA1335">
        <w:rPr>
          <w:sz w:val="22"/>
          <w:szCs w:val="22"/>
          <w:lang w:val="en-US"/>
        </w:rPr>
        <w:t>1984 (</w:t>
      </w:r>
      <w:r w:rsidRPr="006E4BD8">
        <w:rPr>
          <w:b/>
          <w:bCs/>
          <w:sz w:val="22"/>
          <w:szCs w:val="22"/>
          <w:lang w:val="en-US"/>
        </w:rPr>
        <w:t xml:space="preserve">the </w:t>
      </w:r>
      <w:r w:rsidR="00B17CA4" w:rsidRPr="006E4BD8">
        <w:rPr>
          <w:b/>
          <w:bCs/>
          <w:sz w:val="22"/>
          <w:szCs w:val="22"/>
          <w:lang w:val="en-US"/>
        </w:rPr>
        <w:t xml:space="preserve">PZJA </w:t>
      </w:r>
      <w:r w:rsidRPr="006E4BD8">
        <w:rPr>
          <w:b/>
          <w:bCs/>
          <w:sz w:val="22"/>
          <w:szCs w:val="22"/>
          <w:lang w:val="en-US"/>
        </w:rPr>
        <w:t>Arrangement</w:t>
      </w:r>
      <w:r w:rsidR="00B17CA4">
        <w:rPr>
          <w:rStyle w:val="FootnoteReference"/>
          <w:sz w:val="22"/>
          <w:szCs w:val="22"/>
          <w:lang w:val="en-US"/>
        </w:rPr>
        <w:footnoteReference w:id="2"/>
      </w:r>
      <w:r w:rsidRPr="00AA1335">
        <w:rPr>
          <w:sz w:val="22"/>
          <w:szCs w:val="22"/>
          <w:lang w:val="en-US"/>
        </w:rPr>
        <w:t xml:space="preserve">), made under Part V of the Act, provides that the PZJA is to have management of commercial </w:t>
      </w:r>
      <w:r w:rsidR="003F75F6" w:rsidRPr="00AA1335">
        <w:rPr>
          <w:sz w:val="22"/>
          <w:szCs w:val="22"/>
          <w:lang w:val="en-US"/>
        </w:rPr>
        <w:t>fish</w:t>
      </w:r>
      <w:r w:rsidR="003F75F6">
        <w:rPr>
          <w:sz w:val="22"/>
          <w:szCs w:val="22"/>
          <w:lang w:val="en-US"/>
        </w:rPr>
        <w:t>ing</w:t>
      </w:r>
      <w:r w:rsidR="003F75F6" w:rsidRPr="00AA1335">
        <w:rPr>
          <w:sz w:val="22"/>
          <w:szCs w:val="22"/>
          <w:lang w:val="en-US"/>
        </w:rPr>
        <w:t xml:space="preserve"> </w:t>
      </w:r>
      <w:r w:rsidRPr="00AA1335">
        <w:rPr>
          <w:sz w:val="22"/>
          <w:szCs w:val="22"/>
          <w:lang w:val="en-US"/>
        </w:rPr>
        <w:t xml:space="preserve">in the areas described in subsection 4(2) of the </w:t>
      </w:r>
      <w:r w:rsidR="00B17CA4">
        <w:rPr>
          <w:sz w:val="22"/>
          <w:szCs w:val="22"/>
          <w:lang w:val="en-US"/>
        </w:rPr>
        <w:t xml:space="preserve">PZJA </w:t>
      </w:r>
      <w:r w:rsidRPr="00AA1335">
        <w:rPr>
          <w:sz w:val="22"/>
          <w:szCs w:val="22"/>
          <w:lang w:val="en-US"/>
        </w:rPr>
        <w:t xml:space="preserve">Arrangement. </w:t>
      </w:r>
      <w:r w:rsidR="00AA1335" w:rsidRPr="008A6AE6">
        <w:rPr>
          <w:sz w:val="22"/>
          <w:szCs w:val="22"/>
        </w:rPr>
        <w:t>It follows that the PZJA can exercise the power of the Minister under subsection 1</w:t>
      </w:r>
      <w:r w:rsidR="00AA1335">
        <w:rPr>
          <w:sz w:val="22"/>
          <w:szCs w:val="22"/>
        </w:rPr>
        <w:t>4</w:t>
      </w:r>
      <w:r w:rsidR="00AA1335" w:rsidRPr="008A6AE6">
        <w:rPr>
          <w:sz w:val="22"/>
          <w:szCs w:val="22"/>
        </w:rPr>
        <w:t>(1) of the Act</w:t>
      </w:r>
      <w:r w:rsidR="00E05489">
        <w:rPr>
          <w:sz w:val="22"/>
          <w:szCs w:val="22"/>
        </w:rPr>
        <w:t>,</w:t>
      </w:r>
      <w:r w:rsidR="00AA1335" w:rsidRPr="008A6AE6">
        <w:rPr>
          <w:sz w:val="22"/>
          <w:szCs w:val="22"/>
        </w:rPr>
        <w:t xml:space="preserve"> </w:t>
      </w:r>
      <w:r w:rsidR="00E04743">
        <w:rPr>
          <w:sz w:val="22"/>
          <w:szCs w:val="22"/>
        </w:rPr>
        <w:t xml:space="preserve">requiring a master of a boat to furnish </w:t>
      </w:r>
      <w:r w:rsidR="00FD5A3B">
        <w:rPr>
          <w:sz w:val="22"/>
          <w:szCs w:val="22"/>
        </w:rPr>
        <w:t xml:space="preserve">information </w:t>
      </w:r>
      <w:r w:rsidR="002C04C7">
        <w:rPr>
          <w:sz w:val="22"/>
          <w:szCs w:val="22"/>
        </w:rPr>
        <w:t>re</w:t>
      </w:r>
      <w:r w:rsidR="00057FB0">
        <w:rPr>
          <w:sz w:val="22"/>
          <w:szCs w:val="22"/>
        </w:rPr>
        <w:t>lating</w:t>
      </w:r>
      <w:r w:rsidR="002C04C7">
        <w:rPr>
          <w:sz w:val="22"/>
          <w:szCs w:val="22"/>
        </w:rPr>
        <w:t xml:space="preserve"> to the taking of fish in the course </w:t>
      </w:r>
      <w:r w:rsidR="007F553E">
        <w:rPr>
          <w:sz w:val="22"/>
          <w:szCs w:val="22"/>
        </w:rPr>
        <w:t xml:space="preserve">of </w:t>
      </w:r>
      <w:r w:rsidR="007F553E" w:rsidRPr="008A6AE6">
        <w:rPr>
          <w:sz w:val="22"/>
          <w:szCs w:val="22"/>
        </w:rPr>
        <w:t>commercial</w:t>
      </w:r>
      <w:r w:rsidR="00AA1335" w:rsidRPr="008A6AE6">
        <w:rPr>
          <w:sz w:val="22"/>
          <w:szCs w:val="22"/>
        </w:rPr>
        <w:t xml:space="preserve"> fishing </w:t>
      </w:r>
      <w:r w:rsidR="00AA1335">
        <w:rPr>
          <w:sz w:val="22"/>
          <w:szCs w:val="22"/>
        </w:rPr>
        <w:t>in th</w:t>
      </w:r>
      <w:r w:rsidR="0024069D">
        <w:rPr>
          <w:sz w:val="22"/>
          <w:szCs w:val="22"/>
        </w:rPr>
        <w:t xml:space="preserve">e fisheries listed in </w:t>
      </w:r>
      <w:r w:rsidR="003176F5">
        <w:rPr>
          <w:sz w:val="22"/>
          <w:szCs w:val="22"/>
        </w:rPr>
        <w:t>subsection</w:t>
      </w:r>
      <w:r w:rsidR="00A6199E">
        <w:rPr>
          <w:sz w:val="22"/>
          <w:szCs w:val="22"/>
        </w:rPr>
        <w:t xml:space="preserve"> 9(2) of the Instrument. </w:t>
      </w:r>
      <w:r w:rsidR="00E152BE">
        <w:rPr>
          <w:sz w:val="22"/>
          <w:szCs w:val="22"/>
        </w:rPr>
        <w:t xml:space="preserve"> </w:t>
      </w:r>
      <w:r w:rsidR="00AA1335" w:rsidRPr="008A6AE6">
        <w:rPr>
          <w:sz w:val="22"/>
          <w:szCs w:val="22"/>
        </w:rPr>
        <w:t xml:space="preserve"> </w:t>
      </w:r>
    </w:p>
    <w:p w14:paraId="6CAFCC13" w14:textId="6BE2962F" w:rsidR="004F712D" w:rsidRDefault="004F712D" w:rsidP="00E659CD">
      <w:pPr>
        <w:spacing w:before="240" w:after="240" w:line="276" w:lineRule="auto"/>
        <w:jc w:val="both"/>
        <w:rPr>
          <w:sz w:val="22"/>
          <w:szCs w:val="22"/>
        </w:rPr>
      </w:pPr>
      <w:r w:rsidRPr="00AA1335">
        <w:rPr>
          <w:sz w:val="22"/>
          <w:szCs w:val="22"/>
          <w:lang w:val="en-US"/>
        </w:rPr>
        <w:t>The PZJA is established</w:t>
      </w:r>
      <w:r w:rsidRPr="00AA1335">
        <w:rPr>
          <w:sz w:val="22"/>
          <w:szCs w:val="22"/>
        </w:rPr>
        <w:t xml:space="preserve"> under section 30 of the Act and consists of the Minister administering the Act, the Queensland Minister administering the laws of Queensland relating to marine fishing in the Protected Zone and the Chairperson of the Torres Strait Regional Authority (</w:t>
      </w:r>
      <w:r w:rsidRPr="00244A2E">
        <w:rPr>
          <w:b/>
          <w:bCs/>
          <w:sz w:val="22"/>
          <w:szCs w:val="22"/>
        </w:rPr>
        <w:t>TSRA</w:t>
      </w:r>
      <w:r w:rsidRPr="00AA1335">
        <w:rPr>
          <w:sz w:val="22"/>
          <w:szCs w:val="22"/>
        </w:rPr>
        <w:t xml:space="preserve">), which is the Commonwealth agency established under the </w:t>
      </w:r>
      <w:r w:rsidRPr="00AA1335">
        <w:rPr>
          <w:i/>
          <w:sz w:val="22"/>
          <w:szCs w:val="22"/>
        </w:rPr>
        <w:t xml:space="preserve">Aboriginal and Torres Strait Islander Act 2005 </w:t>
      </w:r>
      <w:r w:rsidRPr="00AA1335">
        <w:rPr>
          <w:sz w:val="22"/>
          <w:szCs w:val="22"/>
        </w:rPr>
        <w:t xml:space="preserve">that represents the interests of Torres Strait Islanders. </w:t>
      </w:r>
    </w:p>
    <w:p w14:paraId="4D7B9EA2" w14:textId="77777777" w:rsidR="003E4A14" w:rsidRDefault="003E4A14" w:rsidP="00E659CD">
      <w:pPr>
        <w:spacing w:before="240" w:after="240" w:line="276" w:lineRule="auto"/>
        <w:jc w:val="both"/>
        <w:rPr>
          <w:sz w:val="22"/>
          <w:szCs w:val="22"/>
        </w:rPr>
      </w:pPr>
      <w:r w:rsidRPr="000D6CDD">
        <w:rPr>
          <w:sz w:val="22"/>
          <w:szCs w:val="22"/>
          <w:lang w:val="en-US"/>
        </w:rPr>
        <w:t>The</w:t>
      </w:r>
      <w:r>
        <w:rPr>
          <w:sz w:val="22"/>
          <w:szCs w:val="22"/>
          <w:lang w:val="en-US"/>
        </w:rPr>
        <w:t xml:space="preserve"> </w:t>
      </w:r>
      <w:r w:rsidRPr="000D6CDD">
        <w:rPr>
          <w:sz w:val="22"/>
          <w:szCs w:val="22"/>
          <w:lang w:val="en-US"/>
        </w:rPr>
        <w:t xml:space="preserve">Instrument is a legislative instrument for the purpose of the </w:t>
      </w:r>
      <w:r w:rsidRPr="000D6CDD">
        <w:rPr>
          <w:i/>
          <w:sz w:val="22"/>
          <w:szCs w:val="22"/>
          <w:lang w:val="en-US"/>
        </w:rPr>
        <w:t>Legislation Act 2003</w:t>
      </w:r>
      <w:r w:rsidRPr="000D6CDD">
        <w:rPr>
          <w:sz w:val="22"/>
          <w:szCs w:val="22"/>
        </w:rPr>
        <w:t xml:space="preserve"> </w:t>
      </w:r>
      <w:r>
        <w:rPr>
          <w:sz w:val="22"/>
          <w:szCs w:val="22"/>
        </w:rPr>
        <w:t>(</w:t>
      </w:r>
      <w:r w:rsidRPr="005C0F63">
        <w:rPr>
          <w:b/>
          <w:bCs/>
          <w:sz w:val="22"/>
          <w:szCs w:val="22"/>
        </w:rPr>
        <w:t>the Legislation Act</w:t>
      </w:r>
      <w:r>
        <w:rPr>
          <w:sz w:val="22"/>
          <w:szCs w:val="22"/>
        </w:rPr>
        <w:t xml:space="preserve">) </w:t>
      </w:r>
      <w:r w:rsidRPr="000D6CDD">
        <w:rPr>
          <w:sz w:val="22"/>
          <w:szCs w:val="22"/>
        </w:rPr>
        <w:t>and</w:t>
      </w:r>
      <w:r>
        <w:rPr>
          <w:sz w:val="22"/>
          <w:szCs w:val="22"/>
        </w:rPr>
        <w:t xml:space="preserve"> is:</w:t>
      </w:r>
    </w:p>
    <w:p w14:paraId="1A819335" w14:textId="0CC6A201" w:rsidR="003E4A14" w:rsidRDefault="003E4A14" w:rsidP="00E659CD">
      <w:pPr>
        <w:pStyle w:val="ListParagraph"/>
        <w:numPr>
          <w:ilvl w:val="0"/>
          <w:numId w:val="4"/>
        </w:numPr>
        <w:spacing w:before="240" w:after="240" w:line="276" w:lineRule="auto"/>
        <w:jc w:val="both"/>
        <w:rPr>
          <w:sz w:val="22"/>
          <w:szCs w:val="22"/>
        </w:rPr>
      </w:pPr>
      <w:r>
        <w:rPr>
          <w:sz w:val="22"/>
          <w:szCs w:val="22"/>
        </w:rPr>
        <w:t xml:space="preserve">not subject to disallowance by way of parliamentary scrutiny, by application of subsection 44(1) of the </w:t>
      </w:r>
      <w:r w:rsidRPr="008F573D">
        <w:rPr>
          <w:sz w:val="22"/>
          <w:szCs w:val="22"/>
        </w:rPr>
        <w:t>Legislation Act</w:t>
      </w:r>
      <w:r>
        <w:rPr>
          <w:sz w:val="22"/>
          <w:szCs w:val="22"/>
        </w:rPr>
        <w:t>, as the PZJA</w:t>
      </w:r>
      <w:r w:rsidR="007C7B48">
        <w:rPr>
          <w:sz w:val="22"/>
          <w:szCs w:val="22"/>
        </w:rPr>
        <w:t>,</w:t>
      </w:r>
      <w:r w:rsidR="00510690">
        <w:rPr>
          <w:sz w:val="22"/>
          <w:szCs w:val="22"/>
        </w:rPr>
        <w:t xml:space="preserve"> the decision maker of</w:t>
      </w:r>
      <w:r>
        <w:rPr>
          <w:sz w:val="22"/>
          <w:szCs w:val="22"/>
        </w:rPr>
        <w:t xml:space="preserve"> this Instrument</w:t>
      </w:r>
      <w:r w:rsidR="007C7B48">
        <w:rPr>
          <w:sz w:val="22"/>
          <w:szCs w:val="22"/>
        </w:rPr>
        <w:t>,</w:t>
      </w:r>
      <w:r>
        <w:rPr>
          <w:sz w:val="22"/>
          <w:szCs w:val="22"/>
        </w:rPr>
        <w:t xml:space="preserve"> is an intergovernmental body involving the Commonwealth and the State of Queensland; and </w:t>
      </w:r>
    </w:p>
    <w:p w14:paraId="77F9105F" w14:textId="3B41BDE1" w:rsidR="003E4A14" w:rsidRDefault="002B3911" w:rsidP="00E659CD">
      <w:pPr>
        <w:pStyle w:val="ListParagraph"/>
        <w:numPr>
          <w:ilvl w:val="0"/>
          <w:numId w:val="4"/>
        </w:numPr>
        <w:spacing w:before="240" w:after="240" w:line="276" w:lineRule="auto"/>
        <w:jc w:val="both"/>
        <w:rPr>
          <w:sz w:val="22"/>
          <w:szCs w:val="22"/>
        </w:rPr>
      </w:pPr>
      <w:r>
        <w:rPr>
          <w:sz w:val="22"/>
          <w:szCs w:val="22"/>
        </w:rPr>
        <w:lastRenderedPageBreak/>
        <w:t>n</w:t>
      </w:r>
      <w:r w:rsidR="003E4A14">
        <w:rPr>
          <w:sz w:val="22"/>
          <w:szCs w:val="22"/>
        </w:rPr>
        <w:t xml:space="preserve">ot subject to sunsetting by application of subsection 54(1) and paragraph 54(2)(b) of the </w:t>
      </w:r>
      <w:r w:rsidR="003E4A14" w:rsidRPr="008F573D">
        <w:rPr>
          <w:sz w:val="22"/>
          <w:szCs w:val="22"/>
        </w:rPr>
        <w:t>Legislation Act</w:t>
      </w:r>
      <w:r w:rsidR="003E4A14">
        <w:rPr>
          <w:sz w:val="22"/>
          <w:szCs w:val="22"/>
        </w:rPr>
        <w:t xml:space="preserve">, read together with item 63AB of the table in section 12 of the </w:t>
      </w:r>
      <w:r w:rsidR="003E4A14">
        <w:rPr>
          <w:i/>
          <w:sz w:val="22"/>
          <w:szCs w:val="22"/>
        </w:rPr>
        <w:t>Legislation (Exemptions and Other Matters) Regulation 2015.</w:t>
      </w:r>
    </w:p>
    <w:p w14:paraId="214F6357" w14:textId="7535F8F1" w:rsidR="00FE4B5B" w:rsidRDefault="00FE4B5B" w:rsidP="00E659CD">
      <w:pPr>
        <w:spacing w:before="240" w:after="240" w:line="276" w:lineRule="auto"/>
        <w:jc w:val="both"/>
        <w:rPr>
          <w:b/>
          <w:sz w:val="22"/>
          <w:szCs w:val="22"/>
          <w:lang w:val="en-US"/>
        </w:rPr>
      </w:pPr>
      <w:r>
        <w:rPr>
          <w:b/>
          <w:sz w:val="22"/>
          <w:szCs w:val="22"/>
          <w:lang w:val="en-US"/>
        </w:rPr>
        <w:t>Details of the Instrument</w:t>
      </w:r>
    </w:p>
    <w:p w14:paraId="26D03A74" w14:textId="641E3F72" w:rsidR="00FE4B5B" w:rsidRPr="00AA1335" w:rsidRDefault="00FE4B5B" w:rsidP="00E659CD">
      <w:pPr>
        <w:pStyle w:val="subsection"/>
        <w:spacing w:line="276" w:lineRule="auto"/>
        <w:jc w:val="both"/>
        <w:rPr>
          <w:sz w:val="22"/>
          <w:szCs w:val="22"/>
          <w:lang w:val="en-US"/>
        </w:rPr>
      </w:pPr>
      <w:r>
        <w:rPr>
          <w:sz w:val="22"/>
          <w:szCs w:val="22"/>
          <w:lang w:val="en-US"/>
        </w:rPr>
        <w:t xml:space="preserve">The Instrument </w:t>
      </w:r>
      <w:r w:rsidRPr="00AA1335">
        <w:rPr>
          <w:sz w:val="22"/>
          <w:szCs w:val="22"/>
          <w:lang w:val="en-US"/>
        </w:rPr>
        <w:t>provides that the master of a boat licensed under section 19 of the Act or a boat in respect of which an endorsement under section 20 of the Act is in force, who uses that boat in the course of commercial fishing (other than for community fishing) to take the fish, in any area of Australian jurisdiction under the Act is required to furnish information a</w:t>
      </w:r>
      <w:r>
        <w:rPr>
          <w:sz w:val="22"/>
          <w:szCs w:val="22"/>
          <w:lang w:val="en-US"/>
        </w:rPr>
        <w:t xml:space="preserve">s is required by </w:t>
      </w:r>
      <w:r w:rsidR="00A50B68">
        <w:rPr>
          <w:sz w:val="22"/>
          <w:szCs w:val="22"/>
          <w:lang w:val="en-US"/>
        </w:rPr>
        <w:t xml:space="preserve">the logbooks listed in section </w:t>
      </w:r>
      <w:r w:rsidR="008C69AE">
        <w:rPr>
          <w:sz w:val="22"/>
          <w:szCs w:val="22"/>
          <w:lang w:val="en-US"/>
        </w:rPr>
        <w:t>9</w:t>
      </w:r>
      <w:r>
        <w:rPr>
          <w:sz w:val="22"/>
          <w:szCs w:val="22"/>
          <w:lang w:val="en-US"/>
        </w:rPr>
        <w:t xml:space="preserve"> </w:t>
      </w:r>
      <w:r w:rsidRPr="00AA1335">
        <w:rPr>
          <w:sz w:val="22"/>
          <w:szCs w:val="22"/>
          <w:lang w:val="en-US"/>
        </w:rPr>
        <w:t>of the Instrument.</w:t>
      </w:r>
      <w:r w:rsidRPr="00AA1335">
        <w:rPr>
          <w:color w:val="000000"/>
          <w:sz w:val="22"/>
          <w:szCs w:val="22"/>
          <w:shd w:val="clear" w:color="auto" w:fill="FFFFFF"/>
        </w:rPr>
        <w:t xml:space="preserve"> </w:t>
      </w:r>
    </w:p>
    <w:p w14:paraId="1F1BE9F0" w14:textId="45F0962D" w:rsidR="004F712D" w:rsidRDefault="00AA1335" w:rsidP="00E659CD">
      <w:pPr>
        <w:spacing w:before="240" w:after="240" w:line="276" w:lineRule="auto"/>
        <w:jc w:val="both"/>
        <w:rPr>
          <w:sz w:val="22"/>
          <w:szCs w:val="22"/>
        </w:rPr>
      </w:pPr>
      <w:r w:rsidRPr="5F0CBA75">
        <w:rPr>
          <w:sz w:val="22"/>
          <w:szCs w:val="22"/>
        </w:rPr>
        <w:t>The I</w:t>
      </w:r>
      <w:r w:rsidR="00930CD0" w:rsidRPr="5F0CBA75">
        <w:rPr>
          <w:sz w:val="22"/>
          <w:szCs w:val="22"/>
        </w:rPr>
        <w:t xml:space="preserve">nstrument </w:t>
      </w:r>
      <w:r w:rsidR="00667B78" w:rsidRPr="5F0CBA75">
        <w:rPr>
          <w:sz w:val="22"/>
          <w:szCs w:val="22"/>
        </w:rPr>
        <w:t>repeals</w:t>
      </w:r>
      <w:r w:rsidRPr="5F0CBA75">
        <w:rPr>
          <w:sz w:val="22"/>
          <w:szCs w:val="22"/>
        </w:rPr>
        <w:t xml:space="preserve"> the</w:t>
      </w:r>
      <w:r w:rsidR="004F712D" w:rsidRPr="5F0CBA75">
        <w:rPr>
          <w:sz w:val="22"/>
          <w:szCs w:val="22"/>
        </w:rPr>
        <w:t xml:space="preserve"> </w:t>
      </w:r>
      <w:r w:rsidRPr="5F0CBA75">
        <w:rPr>
          <w:sz w:val="22"/>
          <w:szCs w:val="22"/>
        </w:rPr>
        <w:t>P</w:t>
      </w:r>
      <w:r w:rsidR="00930CD0" w:rsidRPr="5F0CBA75">
        <w:rPr>
          <w:sz w:val="22"/>
          <w:szCs w:val="22"/>
        </w:rPr>
        <w:t xml:space="preserve">revious </w:t>
      </w:r>
      <w:r w:rsidRPr="5F0CBA75">
        <w:rPr>
          <w:sz w:val="22"/>
          <w:szCs w:val="22"/>
        </w:rPr>
        <w:t xml:space="preserve">Instrument </w:t>
      </w:r>
      <w:r w:rsidR="003B7EA5" w:rsidRPr="5F0CBA75">
        <w:rPr>
          <w:sz w:val="22"/>
          <w:szCs w:val="22"/>
        </w:rPr>
        <w:t xml:space="preserve">registered </w:t>
      </w:r>
      <w:r w:rsidR="00AF2F57" w:rsidRPr="5F0CBA75">
        <w:rPr>
          <w:sz w:val="22"/>
          <w:szCs w:val="22"/>
        </w:rPr>
        <w:t>on 21</w:t>
      </w:r>
      <w:r w:rsidR="00DF0C48" w:rsidRPr="5F0CBA75">
        <w:rPr>
          <w:sz w:val="22"/>
          <w:szCs w:val="22"/>
        </w:rPr>
        <w:t xml:space="preserve"> July 2023</w:t>
      </w:r>
      <w:r w:rsidR="00CA0490" w:rsidRPr="5F0CBA75">
        <w:rPr>
          <w:sz w:val="22"/>
          <w:szCs w:val="22"/>
        </w:rPr>
        <w:t xml:space="preserve">. </w:t>
      </w:r>
      <w:r w:rsidR="00DF0C48" w:rsidRPr="5F0CBA75">
        <w:rPr>
          <w:sz w:val="22"/>
          <w:szCs w:val="22"/>
        </w:rPr>
        <w:t xml:space="preserve"> </w:t>
      </w:r>
    </w:p>
    <w:p w14:paraId="7C8F0C62" w14:textId="4F632EFB" w:rsidR="003F05AB" w:rsidRDefault="003F05AB" w:rsidP="00E659CD">
      <w:pPr>
        <w:spacing w:before="240" w:after="240" w:line="276" w:lineRule="auto"/>
        <w:jc w:val="both"/>
        <w:rPr>
          <w:sz w:val="22"/>
          <w:szCs w:val="22"/>
          <w:lang w:val="en-US"/>
        </w:rPr>
      </w:pPr>
      <w:r>
        <w:rPr>
          <w:sz w:val="22"/>
          <w:szCs w:val="22"/>
          <w:lang w:val="en-US"/>
        </w:rPr>
        <w:t xml:space="preserve">The </w:t>
      </w:r>
      <w:r w:rsidR="00DA7AEE">
        <w:rPr>
          <w:sz w:val="22"/>
          <w:szCs w:val="22"/>
          <w:lang w:val="en-US"/>
        </w:rPr>
        <w:t>I</w:t>
      </w:r>
      <w:r>
        <w:rPr>
          <w:sz w:val="22"/>
          <w:szCs w:val="22"/>
          <w:lang w:val="en-US"/>
        </w:rPr>
        <w:t>nstrument</w:t>
      </w:r>
      <w:r w:rsidR="002E1A7E">
        <w:rPr>
          <w:sz w:val="22"/>
          <w:szCs w:val="22"/>
          <w:lang w:val="en-US"/>
        </w:rPr>
        <w:t xml:space="preserve"> </w:t>
      </w:r>
      <w:r>
        <w:rPr>
          <w:sz w:val="22"/>
          <w:szCs w:val="22"/>
          <w:lang w:val="en-US"/>
        </w:rPr>
        <w:t xml:space="preserve">introduces </w:t>
      </w:r>
      <w:r w:rsidR="00E64898">
        <w:rPr>
          <w:sz w:val="22"/>
          <w:szCs w:val="22"/>
          <w:lang w:val="en-US"/>
        </w:rPr>
        <w:t xml:space="preserve">a new </w:t>
      </w:r>
      <w:r w:rsidR="00464960">
        <w:rPr>
          <w:sz w:val="22"/>
          <w:szCs w:val="22"/>
          <w:lang w:val="en-US"/>
        </w:rPr>
        <w:t xml:space="preserve">Finfish Fishery </w:t>
      </w:r>
      <w:r w:rsidR="00E64898">
        <w:rPr>
          <w:sz w:val="22"/>
          <w:szCs w:val="22"/>
          <w:lang w:val="en-US"/>
        </w:rPr>
        <w:t xml:space="preserve">logbook </w:t>
      </w:r>
      <w:r w:rsidR="00B01AC6">
        <w:rPr>
          <w:sz w:val="22"/>
          <w:szCs w:val="22"/>
          <w:lang w:val="en-US"/>
        </w:rPr>
        <w:t>(TSF0</w:t>
      </w:r>
      <w:r w:rsidR="007C0EE9">
        <w:rPr>
          <w:sz w:val="22"/>
          <w:szCs w:val="22"/>
          <w:lang w:val="en-US"/>
        </w:rPr>
        <w:t>2</w:t>
      </w:r>
      <w:r w:rsidR="00B01AC6">
        <w:rPr>
          <w:sz w:val="22"/>
          <w:szCs w:val="22"/>
          <w:lang w:val="en-US"/>
        </w:rPr>
        <w:t xml:space="preserve">) </w:t>
      </w:r>
      <w:r w:rsidR="00464960">
        <w:rPr>
          <w:sz w:val="22"/>
          <w:szCs w:val="22"/>
          <w:lang w:val="en-US"/>
        </w:rPr>
        <w:t xml:space="preserve">which </w:t>
      </w:r>
      <w:r w:rsidR="00B97F6E">
        <w:rPr>
          <w:sz w:val="22"/>
          <w:szCs w:val="22"/>
          <w:lang w:val="en-US"/>
        </w:rPr>
        <w:t>includes</w:t>
      </w:r>
      <w:r w:rsidR="00464960">
        <w:rPr>
          <w:sz w:val="22"/>
          <w:szCs w:val="22"/>
          <w:lang w:val="en-US"/>
        </w:rPr>
        <w:t xml:space="preserve"> </w:t>
      </w:r>
      <w:r w:rsidR="006471A9">
        <w:rPr>
          <w:sz w:val="22"/>
          <w:szCs w:val="22"/>
          <w:lang w:val="en-US"/>
        </w:rPr>
        <w:t xml:space="preserve">several changes to data reporting </w:t>
      </w:r>
      <w:r w:rsidR="00CD133D">
        <w:rPr>
          <w:sz w:val="22"/>
          <w:szCs w:val="22"/>
          <w:lang w:val="en-US"/>
        </w:rPr>
        <w:t>fields in the logbook</w:t>
      </w:r>
      <w:r w:rsidR="006471A9">
        <w:rPr>
          <w:sz w:val="22"/>
          <w:szCs w:val="22"/>
          <w:lang w:val="en-US"/>
        </w:rPr>
        <w:t xml:space="preserve">, </w:t>
      </w:r>
      <w:r w:rsidR="00050D74">
        <w:rPr>
          <w:sz w:val="22"/>
          <w:szCs w:val="22"/>
          <w:lang w:val="en-US"/>
        </w:rPr>
        <w:t xml:space="preserve">aligning </w:t>
      </w:r>
      <w:r w:rsidR="006471A9">
        <w:rPr>
          <w:sz w:val="22"/>
          <w:szCs w:val="22"/>
          <w:lang w:val="en-US"/>
        </w:rPr>
        <w:t xml:space="preserve">with management needs for the </w:t>
      </w:r>
      <w:r w:rsidR="00D933F8">
        <w:rPr>
          <w:sz w:val="22"/>
          <w:szCs w:val="22"/>
          <w:lang w:val="en-US"/>
        </w:rPr>
        <w:t xml:space="preserve">Finfish </w:t>
      </w:r>
      <w:r w:rsidR="006471A9">
        <w:rPr>
          <w:sz w:val="22"/>
          <w:szCs w:val="22"/>
          <w:lang w:val="en-US"/>
        </w:rPr>
        <w:t xml:space="preserve">fishery. </w:t>
      </w:r>
    </w:p>
    <w:p w14:paraId="6744A1B2" w14:textId="3D5367A1" w:rsidR="002347B5" w:rsidRPr="002347B5" w:rsidRDefault="002347B5" w:rsidP="002347B5">
      <w:pPr>
        <w:overflowPunct w:val="0"/>
        <w:autoSpaceDE w:val="0"/>
        <w:autoSpaceDN w:val="0"/>
        <w:adjustRightInd w:val="0"/>
        <w:spacing w:before="240" w:after="240"/>
        <w:jc w:val="both"/>
        <w:textAlignment w:val="baseline"/>
        <w:rPr>
          <w:sz w:val="22"/>
          <w:szCs w:val="22"/>
          <w:lang w:val="en-US"/>
        </w:rPr>
      </w:pPr>
      <w:r w:rsidRPr="002347B5">
        <w:rPr>
          <w:sz w:val="22"/>
          <w:szCs w:val="22"/>
          <w:lang w:val="en-US"/>
        </w:rPr>
        <w:t xml:space="preserve">The instrument also </w:t>
      </w:r>
      <w:r>
        <w:rPr>
          <w:sz w:val="22"/>
          <w:szCs w:val="22"/>
          <w:lang w:val="en-US"/>
        </w:rPr>
        <w:t>brings m</w:t>
      </w:r>
      <w:r w:rsidRPr="002347B5">
        <w:rPr>
          <w:sz w:val="22"/>
          <w:szCs w:val="22"/>
          <w:lang w:val="en-US"/>
        </w:rPr>
        <w:t xml:space="preserve">inor changes to the fields that may be required to be completed within electronic logbooks (e-logs) for the Torres Strait Prawn Fishery, to remove unnecessary fields for the fishery, and </w:t>
      </w:r>
      <w:r w:rsidR="002E68F3">
        <w:rPr>
          <w:sz w:val="22"/>
          <w:szCs w:val="22"/>
          <w:lang w:val="en-US"/>
        </w:rPr>
        <w:t xml:space="preserve">to </w:t>
      </w:r>
      <w:r w:rsidRPr="002347B5">
        <w:rPr>
          <w:sz w:val="22"/>
          <w:szCs w:val="22"/>
          <w:lang w:val="en-US"/>
        </w:rPr>
        <w:t xml:space="preserve">clarify others that were ambiguous. </w:t>
      </w:r>
    </w:p>
    <w:p w14:paraId="5350F185" w14:textId="77777777" w:rsidR="00FE4B5B" w:rsidRPr="008A6AE6" w:rsidRDefault="00FE4B5B" w:rsidP="00E659CD">
      <w:pPr>
        <w:pStyle w:val="AFMANormal"/>
        <w:widowControl w:val="0"/>
        <w:spacing w:after="240" w:line="276" w:lineRule="auto"/>
        <w:rPr>
          <w:sz w:val="22"/>
          <w:szCs w:val="22"/>
        </w:rPr>
      </w:pPr>
      <w:r>
        <w:rPr>
          <w:sz w:val="22"/>
          <w:szCs w:val="22"/>
        </w:rPr>
        <w:t xml:space="preserve">Detail on the provisions of the Instrument is included at </w:t>
      </w:r>
      <w:r>
        <w:rPr>
          <w:b/>
          <w:sz w:val="22"/>
          <w:szCs w:val="22"/>
        </w:rPr>
        <w:t>Attachment A</w:t>
      </w:r>
      <w:r>
        <w:rPr>
          <w:sz w:val="22"/>
          <w:szCs w:val="22"/>
        </w:rPr>
        <w:t xml:space="preserve">.  </w:t>
      </w:r>
    </w:p>
    <w:p w14:paraId="2EEA11C5" w14:textId="79F1F4DA" w:rsidR="007B35CE" w:rsidRPr="00AA1335" w:rsidRDefault="009A1D23" w:rsidP="00E659CD">
      <w:pPr>
        <w:pStyle w:val="AFMANormal"/>
        <w:widowControl w:val="0"/>
        <w:spacing w:after="240" w:line="276" w:lineRule="auto"/>
        <w:rPr>
          <w:sz w:val="22"/>
          <w:szCs w:val="22"/>
        </w:rPr>
      </w:pPr>
      <w:r>
        <w:rPr>
          <w:b/>
          <w:sz w:val="22"/>
          <w:szCs w:val="22"/>
        </w:rPr>
        <w:t xml:space="preserve">Publication and </w:t>
      </w:r>
      <w:r w:rsidR="00FC54D1" w:rsidRPr="00AA1335">
        <w:rPr>
          <w:b/>
          <w:sz w:val="22"/>
          <w:szCs w:val="22"/>
        </w:rPr>
        <w:t>Commencement</w:t>
      </w:r>
    </w:p>
    <w:p w14:paraId="5C203CB1" w14:textId="4AB00828" w:rsidR="00C82179" w:rsidRPr="00AA1335" w:rsidRDefault="00F14D02" w:rsidP="00E659CD">
      <w:pPr>
        <w:pStyle w:val="AFMANormal"/>
        <w:widowControl w:val="0"/>
        <w:spacing w:after="240" w:line="276" w:lineRule="auto"/>
        <w:rPr>
          <w:sz w:val="22"/>
          <w:szCs w:val="22"/>
        </w:rPr>
      </w:pPr>
      <w:r w:rsidRPr="00AA1335">
        <w:rPr>
          <w:sz w:val="22"/>
          <w:szCs w:val="22"/>
        </w:rPr>
        <w:t>Subsection 14(11</w:t>
      </w:r>
      <w:r w:rsidR="00C82179" w:rsidRPr="00AA1335">
        <w:rPr>
          <w:sz w:val="22"/>
          <w:szCs w:val="22"/>
        </w:rPr>
        <w:t xml:space="preserve">) </w:t>
      </w:r>
      <w:r w:rsidR="002B0590">
        <w:rPr>
          <w:sz w:val="22"/>
          <w:szCs w:val="22"/>
        </w:rPr>
        <w:t xml:space="preserve">of the Act </w:t>
      </w:r>
      <w:r w:rsidR="00C82179" w:rsidRPr="00AA1335">
        <w:rPr>
          <w:sz w:val="22"/>
          <w:szCs w:val="22"/>
        </w:rPr>
        <w:t>provides that the PZJA must publish or broadcast the contents of an instrument made under section 1</w:t>
      </w:r>
      <w:r w:rsidR="00AA1335">
        <w:rPr>
          <w:sz w:val="22"/>
          <w:szCs w:val="22"/>
        </w:rPr>
        <w:t>4</w:t>
      </w:r>
      <w:r w:rsidR="00C82179" w:rsidRPr="00AA1335">
        <w:rPr>
          <w:sz w:val="22"/>
          <w:szCs w:val="22"/>
        </w:rPr>
        <w:t xml:space="preserve"> in such manner as is prescribed</w:t>
      </w:r>
      <w:r w:rsidR="00C82179" w:rsidRPr="00AA1335" w:rsidDel="00687D67">
        <w:rPr>
          <w:sz w:val="22"/>
          <w:szCs w:val="22"/>
        </w:rPr>
        <w:t xml:space="preserve">. </w:t>
      </w:r>
      <w:r w:rsidR="003F75F6">
        <w:rPr>
          <w:sz w:val="22"/>
          <w:szCs w:val="22"/>
        </w:rPr>
        <w:t>S</w:t>
      </w:r>
      <w:r w:rsidR="00C82179" w:rsidRPr="00AA1335">
        <w:rPr>
          <w:sz w:val="22"/>
          <w:szCs w:val="22"/>
        </w:rPr>
        <w:t xml:space="preserve">ection 3 of the </w:t>
      </w:r>
      <w:r w:rsidR="002F0AF0" w:rsidRPr="002F0AF0">
        <w:rPr>
          <w:i/>
          <w:iCs/>
          <w:sz w:val="22"/>
          <w:szCs w:val="22"/>
        </w:rPr>
        <w:t>Torres Strait Fisheries Regulations 1985</w:t>
      </w:r>
      <w:r w:rsidR="002F0AF0">
        <w:rPr>
          <w:sz w:val="22"/>
          <w:szCs w:val="22"/>
        </w:rPr>
        <w:t xml:space="preserve"> </w:t>
      </w:r>
      <w:r w:rsidR="00C82179" w:rsidRPr="00AA1335">
        <w:rPr>
          <w:sz w:val="22"/>
          <w:szCs w:val="22"/>
        </w:rPr>
        <w:t>states that, for the purpose of subs</w:t>
      </w:r>
      <w:r w:rsidRPr="00AA1335">
        <w:rPr>
          <w:sz w:val="22"/>
          <w:szCs w:val="22"/>
        </w:rPr>
        <w:t>ection 14(11</w:t>
      </w:r>
      <w:r w:rsidR="00C82179" w:rsidRPr="00AA1335">
        <w:rPr>
          <w:sz w:val="22"/>
          <w:szCs w:val="22"/>
        </w:rPr>
        <w:t xml:space="preserve">) of the Act, the manner of publication is by publication in such a newspaper as in the opinion of the PZJA is appropriate having regard to the nature of the contents of the notice.  </w:t>
      </w:r>
    </w:p>
    <w:p w14:paraId="0A575373" w14:textId="44AB8929" w:rsidR="00FE4B5B" w:rsidRPr="008A6AE6" w:rsidRDefault="00FE4B5B" w:rsidP="00E659CD">
      <w:pPr>
        <w:pStyle w:val="AFMANormal"/>
        <w:widowControl w:val="0"/>
        <w:spacing w:after="240" w:line="276" w:lineRule="auto"/>
        <w:rPr>
          <w:sz w:val="22"/>
          <w:szCs w:val="22"/>
        </w:rPr>
      </w:pPr>
      <w:r>
        <w:rPr>
          <w:sz w:val="22"/>
          <w:szCs w:val="22"/>
        </w:rPr>
        <w:t>T</w:t>
      </w:r>
      <w:r w:rsidRPr="000D6CDD">
        <w:rPr>
          <w:sz w:val="22"/>
          <w:szCs w:val="22"/>
        </w:rPr>
        <w:t xml:space="preserve">he PZJA has considered the nature and the contents of the Instrument and have determined that it would be appropriate for the Instrument to be published in the </w:t>
      </w:r>
      <w:r w:rsidR="00687D67">
        <w:rPr>
          <w:i/>
          <w:sz w:val="22"/>
          <w:szCs w:val="22"/>
        </w:rPr>
        <w:t>Torres News</w:t>
      </w:r>
      <w:r w:rsidRPr="000D6CDD">
        <w:rPr>
          <w:sz w:val="22"/>
          <w:szCs w:val="22"/>
        </w:rPr>
        <w:t xml:space="preserve">, which </w:t>
      </w:r>
      <w:r w:rsidR="00933569">
        <w:rPr>
          <w:sz w:val="22"/>
          <w:szCs w:val="22"/>
        </w:rPr>
        <w:t xml:space="preserve">is the local newspaper in circulation across the islands of the Torres Strait. </w:t>
      </w:r>
      <w:r w:rsidRPr="000D6CDD">
        <w:rPr>
          <w:sz w:val="22"/>
          <w:szCs w:val="22"/>
        </w:rPr>
        <w:t xml:space="preserve">  </w:t>
      </w:r>
    </w:p>
    <w:p w14:paraId="38329E30" w14:textId="320F2FD5" w:rsidR="00B17CA4" w:rsidRDefault="00AA67AC" w:rsidP="00E659CD">
      <w:pPr>
        <w:pStyle w:val="AFMANormal"/>
        <w:widowControl w:val="0"/>
        <w:spacing w:after="240" w:line="276" w:lineRule="auto"/>
        <w:rPr>
          <w:sz w:val="22"/>
          <w:szCs w:val="22"/>
        </w:rPr>
      </w:pPr>
      <w:r w:rsidRPr="00AA1335">
        <w:rPr>
          <w:sz w:val="22"/>
          <w:szCs w:val="22"/>
        </w:rPr>
        <w:t>Subsection 14(9) of the Act provides that an instrument made under subsection 14(1), (1A), (2), (2A) or (3) of the Act comes into force on the day specified for the purposes of the instrument, being a day not earlier than one month after the making of the instrument.</w:t>
      </w:r>
      <w:r w:rsidR="00E776D8">
        <w:rPr>
          <w:sz w:val="22"/>
          <w:szCs w:val="22"/>
        </w:rPr>
        <w:t xml:space="preserve"> </w:t>
      </w:r>
    </w:p>
    <w:p w14:paraId="5BA6C36C" w14:textId="2F4E0D01" w:rsidR="00FC54D1" w:rsidRPr="00B17CA4" w:rsidRDefault="00FC54D1" w:rsidP="00E659CD">
      <w:pPr>
        <w:pStyle w:val="AFMANormal"/>
        <w:widowControl w:val="0"/>
        <w:spacing w:after="240" w:line="276" w:lineRule="auto"/>
        <w:rPr>
          <w:sz w:val="22"/>
          <w:szCs w:val="22"/>
        </w:rPr>
      </w:pPr>
      <w:r w:rsidRPr="00AA1335">
        <w:rPr>
          <w:b/>
          <w:bCs/>
          <w:color w:val="000000"/>
          <w:sz w:val="22"/>
          <w:szCs w:val="22"/>
          <w:lang w:val="en-US"/>
        </w:rPr>
        <w:t>Consultation</w:t>
      </w:r>
    </w:p>
    <w:p w14:paraId="77E50396" w14:textId="2BA76C53" w:rsidR="00B8761D" w:rsidRDefault="009C7780" w:rsidP="00E659CD">
      <w:pPr>
        <w:spacing w:before="240" w:after="240" w:line="276" w:lineRule="auto"/>
        <w:jc w:val="both"/>
        <w:rPr>
          <w:snapToGrid w:val="0"/>
          <w:sz w:val="22"/>
          <w:szCs w:val="22"/>
        </w:rPr>
      </w:pPr>
      <w:r w:rsidRPr="000D6CDD">
        <w:rPr>
          <w:snapToGrid w:val="0"/>
          <w:sz w:val="22"/>
          <w:szCs w:val="22"/>
        </w:rPr>
        <w:t>The PZJA</w:t>
      </w:r>
      <w:r w:rsidR="00AC7ED3">
        <w:rPr>
          <w:snapToGrid w:val="0"/>
          <w:sz w:val="22"/>
          <w:szCs w:val="22"/>
        </w:rPr>
        <w:t>,</w:t>
      </w:r>
      <w:r w:rsidR="009F445E">
        <w:rPr>
          <w:snapToGrid w:val="0"/>
          <w:sz w:val="22"/>
          <w:szCs w:val="22"/>
        </w:rPr>
        <w:t xml:space="preserve"> </w:t>
      </w:r>
      <w:r w:rsidRPr="000D6CDD">
        <w:rPr>
          <w:snapToGrid w:val="0"/>
          <w:sz w:val="22"/>
          <w:szCs w:val="22"/>
        </w:rPr>
        <w:t xml:space="preserve">and </w:t>
      </w:r>
      <w:r w:rsidR="003E4A14">
        <w:rPr>
          <w:snapToGrid w:val="0"/>
          <w:sz w:val="22"/>
          <w:szCs w:val="22"/>
        </w:rPr>
        <w:t xml:space="preserve">staff members of </w:t>
      </w:r>
      <w:r w:rsidRPr="000D6CDD">
        <w:rPr>
          <w:snapToGrid w:val="0"/>
          <w:sz w:val="22"/>
          <w:szCs w:val="22"/>
        </w:rPr>
        <w:t>AFMA</w:t>
      </w:r>
      <w:r w:rsidR="009E0C6F">
        <w:rPr>
          <w:snapToGrid w:val="0"/>
          <w:sz w:val="22"/>
          <w:szCs w:val="22"/>
        </w:rPr>
        <w:t xml:space="preserve"> </w:t>
      </w:r>
      <w:r w:rsidR="00B3328E">
        <w:rPr>
          <w:snapToGrid w:val="0"/>
          <w:sz w:val="22"/>
          <w:szCs w:val="22"/>
        </w:rPr>
        <w:t>(</w:t>
      </w:r>
      <w:r>
        <w:rPr>
          <w:snapToGrid w:val="0"/>
          <w:sz w:val="22"/>
          <w:szCs w:val="22"/>
        </w:rPr>
        <w:t>who ha</w:t>
      </w:r>
      <w:r w:rsidR="003E4A14">
        <w:rPr>
          <w:snapToGrid w:val="0"/>
          <w:sz w:val="22"/>
          <w:szCs w:val="22"/>
        </w:rPr>
        <w:t>ve</w:t>
      </w:r>
      <w:r>
        <w:rPr>
          <w:snapToGrid w:val="0"/>
          <w:sz w:val="22"/>
          <w:szCs w:val="22"/>
        </w:rPr>
        <w:t xml:space="preserve"> been</w:t>
      </w:r>
      <w:r w:rsidRPr="000D6CDD">
        <w:rPr>
          <w:snapToGrid w:val="0"/>
          <w:sz w:val="22"/>
          <w:szCs w:val="22"/>
        </w:rPr>
        <w:t xml:space="preserve"> delegated responsibility for the day-to-day management of Torres Strait fisheries</w:t>
      </w:r>
      <w:r>
        <w:rPr>
          <w:snapToGrid w:val="0"/>
          <w:sz w:val="22"/>
          <w:szCs w:val="22"/>
        </w:rPr>
        <w:t xml:space="preserve"> by the PZJA</w:t>
      </w:r>
      <w:r w:rsidR="00B3328E">
        <w:rPr>
          <w:snapToGrid w:val="0"/>
          <w:sz w:val="22"/>
          <w:szCs w:val="22"/>
        </w:rPr>
        <w:t>)</w:t>
      </w:r>
      <w:r w:rsidRPr="000D6CDD">
        <w:rPr>
          <w:snapToGrid w:val="0"/>
          <w:sz w:val="22"/>
          <w:szCs w:val="22"/>
        </w:rPr>
        <w:t xml:space="preserve">, are advised through a number of </w:t>
      </w:r>
      <w:r w:rsidR="005F4185">
        <w:rPr>
          <w:snapToGrid w:val="0"/>
          <w:sz w:val="22"/>
          <w:szCs w:val="22"/>
        </w:rPr>
        <w:t>PZJA A</w:t>
      </w:r>
      <w:r w:rsidRPr="000D6CDD">
        <w:rPr>
          <w:snapToGrid w:val="0"/>
          <w:sz w:val="22"/>
          <w:szCs w:val="22"/>
        </w:rPr>
        <w:t xml:space="preserve">dvisory </w:t>
      </w:r>
      <w:r w:rsidR="005F4185">
        <w:rPr>
          <w:snapToGrid w:val="0"/>
          <w:sz w:val="22"/>
          <w:szCs w:val="22"/>
        </w:rPr>
        <w:t>Committees</w:t>
      </w:r>
      <w:r w:rsidR="005F4185" w:rsidRPr="000D6CDD">
        <w:rPr>
          <w:snapToGrid w:val="0"/>
          <w:sz w:val="22"/>
          <w:szCs w:val="22"/>
        </w:rPr>
        <w:t xml:space="preserve"> </w:t>
      </w:r>
      <w:r>
        <w:rPr>
          <w:snapToGrid w:val="0"/>
          <w:sz w:val="22"/>
          <w:szCs w:val="22"/>
        </w:rPr>
        <w:t xml:space="preserve">established under subsection 40(7) of the Act, </w:t>
      </w:r>
      <w:r w:rsidRPr="000D6CDD">
        <w:rPr>
          <w:snapToGrid w:val="0"/>
          <w:sz w:val="22"/>
          <w:szCs w:val="22"/>
        </w:rPr>
        <w:t xml:space="preserve">that incorporate representation from traditional inhabitants of the Torres Strait.  </w:t>
      </w:r>
      <w:r w:rsidRPr="00C0254F">
        <w:rPr>
          <w:snapToGrid w:val="0"/>
          <w:sz w:val="22"/>
          <w:szCs w:val="22"/>
        </w:rPr>
        <w:t xml:space="preserve">The PZJA </w:t>
      </w:r>
      <w:r w:rsidR="00D420A7" w:rsidRPr="00C0254F">
        <w:rPr>
          <w:snapToGrid w:val="0"/>
          <w:sz w:val="22"/>
          <w:szCs w:val="22"/>
        </w:rPr>
        <w:t>A</w:t>
      </w:r>
      <w:r w:rsidR="003D5052" w:rsidRPr="00C0254F">
        <w:rPr>
          <w:snapToGrid w:val="0"/>
          <w:sz w:val="22"/>
          <w:szCs w:val="22"/>
        </w:rPr>
        <w:t xml:space="preserve">dvisory </w:t>
      </w:r>
      <w:r w:rsidR="00D420A7" w:rsidRPr="00C0254F">
        <w:rPr>
          <w:snapToGrid w:val="0"/>
          <w:sz w:val="22"/>
          <w:szCs w:val="22"/>
        </w:rPr>
        <w:t>C</w:t>
      </w:r>
      <w:r w:rsidR="003D5052" w:rsidRPr="00C0254F">
        <w:rPr>
          <w:snapToGrid w:val="0"/>
          <w:sz w:val="22"/>
          <w:szCs w:val="22"/>
        </w:rPr>
        <w:t xml:space="preserve">ommittees </w:t>
      </w:r>
      <w:r w:rsidRPr="000D6CDD">
        <w:rPr>
          <w:snapToGrid w:val="0"/>
          <w:sz w:val="22"/>
          <w:szCs w:val="22"/>
        </w:rPr>
        <w:t>generally consist of an independent Chair and representatives from the government (</w:t>
      </w:r>
      <w:r>
        <w:rPr>
          <w:snapToGrid w:val="0"/>
          <w:sz w:val="22"/>
          <w:szCs w:val="22"/>
        </w:rPr>
        <w:t xml:space="preserve">AFMA, the Queensland Department of Agriculture and Fisheries </w:t>
      </w:r>
      <w:r w:rsidRPr="000D6CDD">
        <w:rPr>
          <w:snapToGrid w:val="0"/>
          <w:sz w:val="22"/>
          <w:szCs w:val="22"/>
        </w:rPr>
        <w:t xml:space="preserve">and TSRA), </w:t>
      </w:r>
      <w:r w:rsidRPr="00CB511B">
        <w:rPr>
          <w:snapToGrid w:val="0"/>
          <w:sz w:val="22"/>
          <w:szCs w:val="22"/>
        </w:rPr>
        <w:t>scientific experts, economists,</w:t>
      </w:r>
      <w:r w:rsidRPr="000D6CDD">
        <w:rPr>
          <w:snapToGrid w:val="0"/>
          <w:sz w:val="22"/>
          <w:szCs w:val="22"/>
        </w:rPr>
        <w:t xml:space="preserve"> traditional inhabitant fishing industry and, </w:t>
      </w:r>
      <w:r w:rsidR="00AE048A">
        <w:rPr>
          <w:snapToGrid w:val="0"/>
          <w:sz w:val="22"/>
          <w:szCs w:val="22"/>
        </w:rPr>
        <w:t xml:space="preserve">where applicable </w:t>
      </w:r>
      <w:r w:rsidRPr="000D6CDD">
        <w:rPr>
          <w:snapToGrid w:val="0"/>
          <w:sz w:val="22"/>
          <w:szCs w:val="22"/>
        </w:rPr>
        <w:t>non</w:t>
      </w:r>
      <w:r w:rsidR="00804D51">
        <w:rPr>
          <w:snapToGrid w:val="0"/>
          <w:sz w:val="22"/>
          <w:szCs w:val="22"/>
        </w:rPr>
        <w:t>-</w:t>
      </w:r>
      <w:r w:rsidRPr="000D6CDD">
        <w:rPr>
          <w:snapToGrid w:val="0"/>
          <w:sz w:val="22"/>
          <w:szCs w:val="22"/>
        </w:rPr>
        <w:t xml:space="preserve">traditional inhabitant fishing industry. </w:t>
      </w:r>
      <w:r w:rsidR="00D420A7">
        <w:rPr>
          <w:snapToGrid w:val="0"/>
          <w:sz w:val="22"/>
          <w:szCs w:val="22"/>
        </w:rPr>
        <w:t xml:space="preserve">The </w:t>
      </w:r>
      <w:r w:rsidR="00D420A7" w:rsidRPr="00D515A3">
        <w:rPr>
          <w:snapToGrid w:val="0"/>
          <w:sz w:val="22"/>
          <w:szCs w:val="22"/>
        </w:rPr>
        <w:t>Torres Strait Finfish Working Group</w:t>
      </w:r>
      <w:r w:rsidR="00D420A7">
        <w:rPr>
          <w:snapToGrid w:val="0"/>
          <w:sz w:val="22"/>
          <w:szCs w:val="22"/>
        </w:rPr>
        <w:t xml:space="preserve"> (</w:t>
      </w:r>
      <w:r w:rsidR="00D420A7" w:rsidRPr="00D420A7">
        <w:rPr>
          <w:b/>
          <w:bCs/>
          <w:snapToGrid w:val="0"/>
          <w:sz w:val="22"/>
          <w:szCs w:val="22"/>
        </w:rPr>
        <w:t>working group</w:t>
      </w:r>
      <w:r w:rsidR="00D420A7" w:rsidRPr="00F543DB">
        <w:rPr>
          <w:snapToGrid w:val="0"/>
          <w:sz w:val="22"/>
          <w:szCs w:val="22"/>
        </w:rPr>
        <w:t>)</w:t>
      </w:r>
      <w:r w:rsidR="00D420A7">
        <w:rPr>
          <w:snapToGrid w:val="0"/>
          <w:sz w:val="22"/>
          <w:szCs w:val="22"/>
        </w:rPr>
        <w:t xml:space="preserve"> and </w:t>
      </w:r>
      <w:r w:rsidR="00D420A7" w:rsidRPr="00E76A40">
        <w:rPr>
          <w:snapToGrid w:val="0"/>
          <w:sz w:val="22"/>
          <w:szCs w:val="22"/>
        </w:rPr>
        <w:t>the Resource Assessment Group (</w:t>
      </w:r>
      <w:r w:rsidR="00D420A7" w:rsidRPr="00E76A40">
        <w:rPr>
          <w:b/>
          <w:bCs/>
          <w:snapToGrid w:val="0"/>
          <w:sz w:val="22"/>
          <w:szCs w:val="22"/>
        </w:rPr>
        <w:t>RAG</w:t>
      </w:r>
      <w:r w:rsidR="00D420A7" w:rsidRPr="00E76A40">
        <w:rPr>
          <w:snapToGrid w:val="0"/>
          <w:sz w:val="22"/>
          <w:szCs w:val="22"/>
        </w:rPr>
        <w:t>)</w:t>
      </w:r>
      <w:r w:rsidR="002277E9">
        <w:rPr>
          <w:snapToGrid w:val="0"/>
          <w:sz w:val="22"/>
          <w:szCs w:val="22"/>
        </w:rPr>
        <w:t xml:space="preserve"> </w:t>
      </w:r>
      <w:r w:rsidR="00D420A7">
        <w:rPr>
          <w:snapToGrid w:val="0"/>
          <w:sz w:val="22"/>
          <w:szCs w:val="22"/>
        </w:rPr>
        <w:t xml:space="preserve">are </w:t>
      </w:r>
      <w:r w:rsidR="002277E9">
        <w:rPr>
          <w:snapToGrid w:val="0"/>
          <w:sz w:val="22"/>
          <w:szCs w:val="22"/>
        </w:rPr>
        <w:t xml:space="preserve">both </w:t>
      </w:r>
      <w:r w:rsidR="00D420A7" w:rsidRPr="00D420A7">
        <w:rPr>
          <w:snapToGrid w:val="0"/>
          <w:sz w:val="22"/>
          <w:szCs w:val="22"/>
        </w:rPr>
        <w:t xml:space="preserve">PZJA </w:t>
      </w:r>
      <w:r w:rsidR="00D420A7">
        <w:rPr>
          <w:snapToGrid w:val="0"/>
          <w:sz w:val="22"/>
          <w:szCs w:val="22"/>
        </w:rPr>
        <w:t>A</w:t>
      </w:r>
      <w:r w:rsidR="00D420A7" w:rsidRPr="00D420A7">
        <w:rPr>
          <w:snapToGrid w:val="0"/>
          <w:sz w:val="22"/>
          <w:szCs w:val="22"/>
        </w:rPr>
        <w:t xml:space="preserve">dvisory </w:t>
      </w:r>
      <w:r w:rsidR="00D420A7">
        <w:rPr>
          <w:snapToGrid w:val="0"/>
          <w:sz w:val="22"/>
          <w:szCs w:val="22"/>
        </w:rPr>
        <w:t>C</w:t>
      </w:r>
      <w:r w:rsidR="00D420A7" w:rsidRPr="00D420A7">
        <w:rPr>
          <w:snapToGrid w:val="0"/>
          <w:sz w:val="22"/>
          <w:szCs w:val="22"/>
        </w:rPr>
        <w:t>ommittees.</w:t>
      </w:r>
      <w:r w:rsidR="00D420A7">
        <w:rPr>
          <w:snapToGrid w:val="0"/>
          <w:sz w:val="22"/>
          <w:szCs w:val="22"/>
        </w:rPr>
        <w:t xml:space="preserve"> </w:t>
      </w:r>
      <w:r w:rsidR="002277E9">
        <w:rPr>
          <w:snapToGrid w:val="0"/>
          <w:sz w:val="22"/>
          <w:szCs w:val="22"/>
        </w:rPr>
        <w:t xml:space="preserve"> </w:t>
      </w:r>
    </w:p>
    <w:p w14:paraId="221CAAB8" w14:textId="02CAE5D5" w:rsidR="00C55CBF" w:rsidRDefault="00F70CB1" w:rsidP="00E659CD">
      <w:pPr>
        <w:spacing w:before="240" w:after="240" w:line="276" w:lineRule="auto"/>
        <w:jc w:val="both"/>
        <w:rPr>
          <w:snapToGrid w:val="0"/>
          <w:sz w:val="22"/>
          <w:szCs w:val="22"/>
        </w:rPr>
      </w:pPr>
      <w:r>
        <w:rPr>
          <w:snapToGrid w:val="0"/>
          <w:sz w:val="22"/>
          <w:szCs w:val="22"/>
        </w:rPr>
        <w:lastRenderedPageBreak/>
        <w:t xml:space="preserve">The </w:t>
      </w:r>
      <w:r w:rsidR="00851785">
        <w:rPr>
          <w:snapToGrid w:val="0"/>
          <w:sz w:val="22"/>
          <w:szCs w:val="22"/>
        </w:rPr>
        <w:t>RAG</w:t>
      </w:r>
      <w:r w:rsidR="00BC17E8">
        <w:rPr>
          <w:snapToGrid w:val="0"/>
          <w:sz w:val="22"/>
          <w:szCs w:val="22"/>
        </w:rPr>
        <w:t xml:space="preserve"> </w:t>
      </w:r>
      <w:r w:rsidR="008B5088">
        <w:rPr>
          <w:snapToGrid w:val="0"/>
          <w:sz w:val="22"/>
          <w:szCs w:val="22"/>
        </w:rPr>
        <w:t xml:space="preserve">recommended these changes </w:t>
      </w:r>
      <w:r w:rsidR="00F91721">
        <w:rPr>
          <w:snapToGrid w:val="0"/>
          <w:sz w:val="22"/>
          <w:szCs w:val="22"/>
        </w:rPr>
        <w:t xml:space="preserve">in </w:t>
      </w:r>
      <w:r w:rsidR="00A53CF6">
        <w:rPr>
          <w:snapToGrid w:val="0"/>
          <w:sz w:val="22"/>
          <w:szCs w:val="22"/>
        </w:rPr>
        <w:t>data reporting field</w:t>
      </w:r>
      <w:r w:rsidR="00B24D87">
        <w:rPr>
          <w:snapToGrid w:val="0"/>
          <w:sz w:val="22"/>
          <w:szCs w:val="22"/>
        </w:rPr>
        <w:t>s</w:t>
      </w:r>
      <w:r w:rsidR="008B5088">
        <w:rPr>
          <w:snapToGrid w:val="0"/>
          <w:sz w:val="22"/>
          <w:szCs w:val="22"/>
        </w:rPr>
        <w:t xml:space="preserve"> </w:t>
      </w:r>
      <w:r w:rsidR="00F91721">
        <w:rPr>
          <w:snapToGrid w:val="0"/>
          <w:sz w:val="22"/>
          <w:szCs w:val="22"/>
        </w:rPr>
        <w:t xml:space="preserve">in 2023 </w:t>
      </w:r>
      <w:r w:rsidR="00E34EC2">
        <w:rPr>
          <w:snapToGrid w:val="0"/>
          <w:sz w:val="22"/>
          <w:szCs w:val="22"/>
        </w:rPr>
        <w:t>and t</w:t>
      </w:r>
      <w:r w:rsidR="006F4629" w:rsidRPr="0000655F">
        <w:rPr>
          <w:snapToGrid w:val="0"/>
          <w:sz w:val="22"/>
          <w:szCs w:val="22"/>
        </w:rPr>
        <w:t xml:space="preserve">he Working Group was consulted at </w:t>
      </w:r>
      <w:r w:rsidR="001141A2" w:rsidRPr="0000655F">
        <w:rPr>
          <w:snapToGrid w:val="0"/>
          <w:sz w:val="22"/>
          <w:szCs w:val="22"/>
        </w:rPr>
        <w:t>its</w:t>
      </w:r>
      <w:r w:rsidR="006F4629" w:rsidRPr="0000655F">
        <w:rPr>
          <w:snapToGrid w:val="0"/>
          <w:sz w:val="22"/>
          <w:szCs w:val="22"/>
        </w:rPr>
        <w:t xml:space="preserve"> meeting 5-6 December 2023 </w:t>
      </w:r>
      <w:r w:rsidR="00E34EC2">
        <w:rPr>
          <w:snapToGrid w:val="0"/>
          <w:sz w:val="22"/>
          <w:szCs w:val="22"/>
        </w:rPr>
        <w:t>and</w:t>
      </w:r>
      <w:r w:rsidR="006F4629" w:rsidRPr="0000655F">
        <w:rPr>
          <w:snapToGrid w:val="0"/>
          <w:sz w:val="22"/>
          <w:szCs w:val="22"/>
        </w:rPr>
        <w:t xml:space="preserve"> supported the changes</w:t>
      </w:r>
      <w:r w:rsidR="006F4629" w:rsidRPr="002347B5">
        <w:rPr>
          <w:snapToGrid w:val="0"/>
          <w:sz w:val="22"/>
          <w:szCs w:val="22"/>
        </w:rPr>
        <w:t>.</w:t>
      </w:r>
      <w:r w:rsidR="002347B5" w:rsidRPr="002347B5">
        <w:rPr>
          <w:snapToGrid w:val="0"/>
          <w:sz w:val="22"/>
          <w:szCs w:val="22"/>
        </w:rPr>
        <w:t xml:space="preserve"> </w:t>
      </w:r>
    </w:p>
    <w:p w14:paraId="4A017F69" w14:textId="3CDFC0F2" w:rsidR="00C55CBF" w:rsidRDefault="002347B5" w:rsidP="00E659CD">
      <w:pPr>
        <w:spacing w:before="240" w:after="240" w:line="276" w:lineRule="auto"/>
        <w:jc w:val="both"/>
        <w:rPr>
          <w:snapToGrid w:val="0"/>
          <w:sz w:val="22"/>
          <w:szCs w:val="22"/>
        </w:rPr>
      </w:pPr>
      <w:r w:rsidRPr="002347B5">
        <w:rPr>
          <w:snapToGrid w:val="0"/>
          <w:sz w:val="22"/>
          <w:szCs w:val="22"/>
        </w:rPr>
        <w:t>The Torres Strait Prawn Management Advisory Committee were</w:t>
      </w:r>
      <w:r>
        <w:rPr>
          <w:snapToGrid w:val="0"/>
          <w:sz w:val="22"/>
          <w:szCs w:val="22"/>
        </w:rPr>
        <w:t xml:space="preserve"> </w:t>
      </w:r>
      <w:r w:rsidRPr="002347B5">
        <w:rPr>
          <w:snapToGrid w:val="0"/>
          <w:sz w:val="22"/>
          <w:szCs w:val="22"/>
        </w:rPr>
        <w:t xml:space="preserve">consulted on the introduction of the electronic logbooks in 2022, when the electronic logbooks were originally introduced. </w:t>
      </w:r>
      <w:r w:rsidR="00C55CBF" w:rsidRPr="00C55CBF">
        <w:rPr>
          <w:snapToGrid w:val="0"/>
          <w:sz w:val="22"/>
          <w:szCs w:val="22"/>
        </w:rPr>
        <w:t xml:space="preserve">This Instrument </w:t>
      </w:r>
      <w:r w:rsidR="005A6050">
        <w:rPr>
          <w:snapToGrid w:val="0"/>
          <w:sz w:val="22"/>
          <w:szCs w:val="22"/>
        </w:rPr>
        <w:t>implements</w:t>
      </w:r>
      <w:r w:rsidR="00C55CBF" w:rsidRPr="00C55CBF">
        <w:rPr>
          <w:snapToGrid w:val="0"/>
          <w:sz w:val="22"/>
          <w:szCs w:val="22"/>
        </w:rPr>
        <w:t xml:space="preserve"> minor changes to the fishing data reporting fields which the licence holder may need to complete as a part of the e-log submission.  </w:t>
      </w:r>
    </w:p>
    <w:p w14:paraId="0D0B4561" w14:textId="4DF1FED9" w:rsidR="00D51AEE" w:rsidRDefault="006E3584" w:rsidP="00E659CD">
      <w:pPr>
        <w:spacing w:before="240" w:after="240" w:line="276" w:lineRule="auto"/>
        <w:jc w:val="both"/>
        <w:rPr>
          <w:snapToGrid w:val="0"/>
          <w:sz w:val="22"/>
          <w:szCs w:val="22"/>
        </w:rPr>
      </w:pPr>
      <w:r>
        <w:rPr>
          <w:snapToGrid w:val="0"/>
          <w:sz w:val="22"/>
          <w:szCs w:val="22"/>
        </w:rPr>
        <w:t xml:space="preserve">The other </w:t>
      </w:r>
      <w:r w:rsidR="009C7780">
        <w:rPr>
          <w:snapToGrid w:val="0"/>
          <w:sz w:val="22"/>
          <w:szCs w:val="22"/>
        </w:rPr>
        <w:t xml:space="preserve">relevant </w:t>
      </w:r>
      <w:r w:rsidR="00F70CB1">
        <w:rPr>
          <w:snapToGrid w:val="0"/>
          <w:sz w:val="22"/>
          <w:szCs w:val="22"/>
        </w:rPr>
        <w:t>A</w:t>
      </w:r>
      <w:r w:rsidR="009C7780">
        <w:rPr>
          <w:snapToGrid w:val="0"/>
          <w:sz w:val="22"/>
          <w:szCs w:val="22"/>
        </w:rPr>
        <w:t xml:space="preserve">dvisory </w:t>
      </w:r>
      <w:r w:rsidR="007F553E">
        <w:rPr>
          <w:snapToGrid w:val="0"/>
          <w:sz w:val="22"/>
          <w:szCs w:val="22"/>
        </w:rPr>
        <w:t>Committees including</w:t>
      </w:r>
      <w:r w:rsidR="009C7780">
        <w:rPr>
          <w:snapToGrid w:val="0"/>
          <w:sz w:val="22"/>
          <w:szCs w:val="22"/>
        </w:rPr>
        <w:t xml:space="preserve"> the Hand Collectables Working Group</w:t>
      </w:r>
      <w:r w:rsidR="002347B5">
        <w:rPr>
          <w:snapToGrid w:val="0"/>
          <w:sz w:val="22"/>
          <w:szCs w:val="22"/>
        </w:rPr>
        <w:t xml:space="preserve"> and</w:t>
      </w:r>
      <w:r w:rsidR="009C7780">
        <w:rPr>
          <w:snapToGrid w:val="0"/>
          <w:sz w:val="22"/>
          <w:szCs w:val="22"/>
        </w:rPr>
        <w:t xml:space="preserve"> the Tropical Rock Lobster Working Group</w:t>
      </w:r>
      <w:r w:rsidR="006F4629">
        <w:rPr>
          <w:snapToGrid w:val="0"/>
          <w:sz w:val="22"/>
          <w:szCs w:val="22"/>
        </w:rPr>
        <w:t xml:space="preserve"> </w:t>
      </w:r>
      <w:r w:rsidR="00FE4B5B">
        <w:rPr>
          <w:snapToGrid w:val="0"/>
          <w:sz w:val="22"/>
          <w:szCs w:val="22"/>
        </w:rPr>
        <w:t xml:space="preserve">were </w:t>
      </w:r>
      <w:r w:rsidR="006F4629">
        <w:rPr>
          <w:snapToGrid w:val="0"/>
          <w:sz w:val="22"/>
          <w:szCs w:val="22"/>
        </w:rPr>
        <w:t xml:space="preserve">not consulted on the changes to the </w:t>
      </w:r>
      <w:r w:rsidR="009C7780">
        <w:rPr>
          <w:snapToGrid w:val="0"/>
          <w:sz w:val="22"/>
          <w:szCs w:val="22"/>
        </w:rPr>
        <w:t>Instrument</w:t>
      </w:r>
      <w:r w:rsidR="000D363A">
        <w:rPr>
          <w:snapToGrid w:val="0"/>
          <w:sz w:val="22"/>
          <w:szCs w:val="22"/>
        </w:rPr>
        <w:t>, noting no changes were made which effect these fisheries</w:t>
      </w:r>
      <w:r w:rsidR="009C7780">
        <w:rPr>
          <w:snapToGrid w:val="0"/>
          <w:sz w:val="22"/>
          <w:szCs w:val="22"/>
        </w:rPr>
        <w:t xml:space="preserve">.  Having regard to </w:t>
      </w:r>
      <w:r w:rsidR="005A6050">
        <w:rPr>
          <w:snapToGrid w:val="0"/>
          <w:sz w:val="22"/>
          <w:szCs w:val="22"/>
        </w:rPr>
        <w:t xml:space="preserve">the </w:t>
      </w:r>
      <w:r w:rsidR="002347B5">
        <w:rPr>
          <w:snapToGrid w:val="0"/>
          <w:sz w:val="22"/>
          <w:szCs w:val="22"/>
        </w:rPr>
        <w:t xml:space="preserve">Finfish </w:t>
      </w:r>
      <w:r w:rsidR="009C7780">
        <w:rPr>
          <w:snapToGrid w:val="0"/>
          <w:sz w:val="22"/>
          <w:szCs w:val="22"/>
        </w:rPr>
        <w:t>Working Group and</w:t>
      </w:r>
      <w:r w:rsidR="00F905E6">
        <w:rPr>
          <w:snapToGrid w:val="0"/>
          <w:sz w:val="22"/>
          <w:szCs w:val="22"/>
        </w:rPr>
        <w:t xml:space="preserve"> RAG’s</w:t>
      </w:r>
      <w:r w:rsidR="006F4629">
        <w:rPr>
          <w:snapToGrid w:val="0"/>
          <w:sz w:val="22"/>
          <w:szCs w:val="22"/>
        </w:rPr>
        <w:t xml:space="preserve"> advice, </w:t>
      </w:r>
      <w:r w:rsidR="009C7780">
        <w:rPr>
          <w:snapToGrid w:val="0"/>
          <w:sz w:val="22"/>
          <w:szCs w:val="22"/>
        </w:rPr>
        <w:t xml:space="preserve">the PZJA agreed to remake the Instrument at their </w:t>
      </w:r>
      <w:r w:rsidR="009C7780" w:rsidRPr="0038579D">
        <w:rPr>
          <w:snapToGrid w:val="0"/>
          <w:sz w:val="22"/>
          <w:szCs w:val="22"/>
        </w:rPr>
        <w:t>meeting on</w:t>
      </w:r>
      <w:r w:rsidR="00CB511B" w:rsidRPr="0038579D">
        <w:rPr>
          <w:snapToGrid w:val="0"/>
          <w:sz w:val="22"/>
          <w:szCs w:val="22"/>
        </w:rPr>
        <w:t xml:space="preserve"> </w:t>
      </w:r>
      <w:r w:rsidR="0038579D" w:rsidRPr="0038579D">
        <w:rPr>
          <w:b/>
          <w:bCs/>
          <w:snapToGrid w:val="0"/>
          <w:sz w:val="22"/>
          <w:szCs w:val="22"/>
        </w:rPr>
        <w:t>08</w:t>
      </w:r>
      <w:r w:rsidR="007F553E" w:rsidRPr="0038579D">
        <w:rPr>
          <w:b/>
          <w:bCs/>
          <w:snapToGrid w:val="0"/>
          <w:sz w:val="22"/>
          <w:szCs w:val="22"/>
        </w:rPr>
        <w:t xml:space="preserve"> </w:t>
      </w:r>
      <w:r w:rsidR="0038579D" w:rsidRPr="0038579D">
        <w:rPr>
          <w:b/>
          <w:bCs/>
          <w:snapToGrid w:val="0"/>
          <w:sz w:val="22"/>
          <w:szCs w:val="22"/>
        </w:rPr>
        <w:t>October</w:t>
      </w:r>
      <w:r w:rsidR="006A0A42" w:rsidRPr="0038579D">
        <w:rPr>
          <w:b/>
          <w:bCs/>
          <w:snapToGrid w:val="0"/>
          <w:sz w:val="22"/>
          <w:szCs w:val="22"/>
        </w:rPr>
        <w:t xml:space="preserve"> </w:t>
      </w:r>
      <w:r w:rsidR="00357ADB" w:rsidRPr="0038579D">
        <w:rPr>
          <w:b/>
          <w:bCs/>
          <w:snapToGrid w:val="0"/>
          <w:sz w:val="22"/>
          <w:szCs w:val="22"/>
        </w:rPr>
        <w:t>202</w:t>
      </w:r>
      <w:r w:rsidR="006A0A42" w:rsidRPr="0038579D">
        <w:rPr>
          <w:b/>
          <w:bCs/>
          <w:snapToGrid w:val="0"/>
          <w:sz w:val="22"/>
          <w:szCs w:val="22"/>
        </w:rPr>
        <w:t>4</w:t>
      </w:r>
      <w:r w:rsidR="00357ADB" w:rsidRPr="0038579D">
        <w:rPr>
          <w:b/>
          <w:bCs/>
          <w:snapToGrid w:val="0"/>
          <w:sz w:val="22"/>
          <w:szCs w:val="22"/>
        </w:rPr>
        <w:t>.</w:t>
      </w:r>
      <w:r w:rsidR="009C7780">
        <w:rPr>
          <w:snapToGrid w:val="0"/>
          <w:sz w:val="22"/>
          <w:szCs w:val="22"/>
        </w:rPr>
        <w:t xml:space="preserve"> </w:t>
      </w:r>
    </w:p>
    <w:p w14:paraId="55C23581" w14:textId="77777777" w:rsidR="00CB511B" w:rsidRDefault="009C7780" w:rsidP="00E659CD">
      <w:pPr>
        <w:spacing w:before="240" w:after="240" w:line="276" w:lineRule="auto"/>
        <w:jc w:val="both"/>
        <w:rPr>
          <w:b/>
          <w:sz w:val="22"/>
          <w:szCs w:val="22"/>
        </w:rPr>
      </w:pPr>
      <w:r>
        <w:rPr>
          <w:b/>
          <w:sz w:val="22"/>
          <w:szCs w:val="22"/>
        </w:rPr>
        <w:t>Native Title</w:t>
      </w:r>
    </w:p>
    <w:p w14:paraId="2F451638" w14:textId="11DFE633" w:rsidR="00FD1839" w:rsidRDefault="00FD1839" w:rsidP="00E659CD">
      <w:pPr>
        <w:spacing w:before="240" w:after="240" w:line="276" w:lineRule="auto"/>
        <w:jc w:val="both"/>
        <w:rPr>
          <w:snapToGrid w:val="0"/>
          <w:kern w:val="20"/>
          <w:sz w:val="22"/>
          <w:szCs w:val="22"/>
        </w:rPr>
      </w:pPr>
      <w:r w:rsidRPr="00FD1839">
        <w:rPr>
          <w:snapToGrid w:val="0"/>
          <w:kern w:val="20"/>
          <w:sz w:val="22"/>
          <w:szCs w:val="22"/>
        </w:rPr>
        <w:t xml:space="preserve">Native title notification under section 24HA of the </w:t>
      </w:r>
      <w:r w:rsidRPr="00431F69">
        <w:rPr>
          <w:i/>
          <w:iCs/>
          <w:snapToGrid w:val="0"/>
          <w:kern w:val="20"/>
          <w:sz w:val="22"/>
          <w:szCs w:val="22"/>
        </w:rPr>
        <w:t>Native Title Act 1993</w:t>
      </w:r>
      <w:r w:rsidRPr="00FD1839">
        <w:rPr>
          <w:snapToGrid w:val="0"/>
          <w:kern w:val="20"/>
          <w:sz w:val="22"/>
          <w:szCs w:val="22"/>
        </w:rPr>
        <w:t xml:space="preserve"> (</w:t>
      </w:r>
      <w:r w:rsidRPr="00CE4166">
        <w:rPr>
          <w:b/>
          <w:bCs/>
          <w:snapToGrid w:val="0"/>
          <w:kern w:val="20"/>
          <w:sz w:val="22"/>
          <w:szCs w:val="22"/>
        </w:rPr>
        <w:t>the Native Title Act</w:t>
      </w:r>
      <w:r w:rsidRPr="00FD1839">
        <w:rPr>
          <w:snapToGrid w:val="0"/>
          <w:kern w:val="20"/>
          <w:sz w:val="22"/>
          <w:szCs w:val="22"/>
        </w:rPr>
        <w:t xml:space="preserve">) is not required for the determination of this instrument. This is because section 24HA of the Native Title Act provides that native title notification is only required in respect of the ‘grant of a lease, licence, permit or authority under legislation’. </w:t>
      </w:r>
      <w:r w:rsidR="00942E3E">
        <w:rPr>
          <w:snapToGrid w:val="0"/>
          <w:kern w:val="20"/>
          <w:sz w:val="22"/>
          <w:szCs w:val="22"/>
        </w:rPr>
        <w:t>N</w:t>
      </w:r>
      <w:r w:rsidRPr="00FD1839">
        <w:rPr>
          <w:snapToGrid w:val="0"/>
          <w:kern w:val="20"/>
          <w:sz w:val="22"/>
          <w:szCs w:val="22"/>
        </w:rPr>
        <w:t>ative title notification is not required for the determination of a Fisheries Logbook Instrumen</w:t>
      </w:r>
      <w:r>
        <w:rPr>
          <w:snapToGrid w:val="0"/>
          <w:kern w:val="20"/>
          <w:sz w:val="22"/>
          <w:szCs w:val="22"/>
        </w:rPr>
        <w:t>t</w:t>
      </w:r>
      <w:r w:rsidR="00942E3E">
        <w:rPr>
          <w:snapToGrid w:val="0"/>
          <w:kern w:val="20"/>
          <w:sz w:val="22"/>
          <w:szCs w:val="22"/>
        </w:rPr>
        <w:t xml:space="preserve"> noting that such determination is not </w:t>
      </w:r>
      <w:r w:rsidR="00942E3E" w:rsidRPr="00942E3E">
        <w:rPr>
          <w:snapToGrid w:val="0"/>
          <w:kern w:val="20"/>
          <w:sz w:val="22"/>
          <w:szCs w:val="22"/>
        </w:rPr>
        <w:t>grant of a lease, licence, permit or authority under legislation</w:t>
      </w:r>
      <w:r w:rsidR="00942E3E">
        <w:rPr>
          <w:snapToGrid w:val="0"/>
          <w:kern w:val="20"/>
          <w:sz w:val="22"/>
          <w:szCs w:val="22"/>
        </w:rPr>
        <w:t xml:space="preserve">. </w:t>
      </w:r>
    </w:p>
    <w:p w14:paraId="5CBFB2F0" w14:textId="5ECE66A8" w:rsidR="009C7780" w:rsidRPr="000D6CDD" w:rsidRDefault="009C7780" w:rsidP="00E659CD">
      <w:pPr>
        <w:spacing w:before="240" w:after="240" w:line="276" w:lineRule="auto"/>
        <w:jc w:val="both"/>
        <w:rPr>
          <w:b/>
          <w:i/>
          <w:sz w:val="22"/>
          <w:szCs w:val="22"/>
          <w:lang w:val="en-US"/>
        </w:rPr>
      </w:pPr>
      <w:r w:rsidRPr="000D6CDD">
        <w:rPr>
          <w:b/>
          <w:sz w:val="22"/>
          <w:szCs w:val="22"/>
          <w:lang w:val="en-US"/>
        </w:rPr>
        <w:t xml:space="preserve">Statement of compatibility </w:t>
      </w:r>
      <w:r>
        <w:rPr>
          <w:b/>
          <w:sz w:val="22"/>
          <w:szCs w:val="22"/>
          <w:lang w:val="en-US"/>
        </w:rPr>
        <w:t>with human rights</w:t>
      </w:r>
    </w:p>
    <w:p w14:paraId="4140975A" w14:textId="77777777" w:rsidR="009C7780" w:rsidRPr="008F76A2" w:rsidRDefault="009C7780" w:rsidP="00E659CD">
      <w:pPr>
        <w:spacing w:before="240" w:after="240" w:line="276" w:lineRule="auto"/>
        <w:jc w:val="both"/>
        <w:rPr>
          <w:sz w:val="22"/>
          <w:szCs w:val="22"/>
          <w:lang w:eastAsia="en-AU"/>
        </w:rPr>
      </w:pPr>
      <w:r>
        <w:rPr>
          <w:sz w:val="22"/>
          <w:szCs w:val="22"/>
          <w:lang w:eastAsia="en-AU"/>
        </w:rPr>
        <w:t xml:space="preserve">As the Instrument is exempt from disallowance through the process of parliamentary scrutiny, by application of subsection 44(1) of the Legislation Act, a statement of compatibility with human rights does not have to be prepared for the purposes of Part 3 of the </w:t>
      </w:r>
      <w:r>
        <w:rPr>
          <w:i/>
          <w:sz w:val="22"/>
          <w:szCs w:val="22"/>
          <w:lang w:eastAsia="en-AU"/>
        </w:rPr>
        <w:t>Human Rights (Parliamentary Scrutiny) Act 2011</w:t>
      </w:r>
      <w:r>
        <w:rPr>
          <w:sz w:val="22"/>
          <w:szCs w:val="22"/>
          <w:lang w:eastAsia="en-AU"/>
        </w:rPr>
        <w:t xml:space="preserve">.  </w:t>
      </w:r>
    </w:p>
    <w:p w14:paraId="31F6737B" w14:textId="77777777" w:rsidR="00C674E9" w:rsidRDefault="008613B5" w:rsidP="00E659CD">
      <w:pPr>
        <w:spacing w:before="240" w:after="240" w:line="276" w:lineRule="auto"/>
        <w:jc w:val="both"/>
        <w:rPr>
          <w:b/>
          <w:sz w:val="22"/>
          <w:szCs w:val="22"/>
          <w:lang w:val="en-US"/>
        </w:rPr>
      </w:pPr>
      <w:r w:rsidRPr="008613B5">
        <w:rPr>
          <w:b/>
          <w:sz w:val="22"/>
          <w:szCs w:val="22"/>
          <w:lang w:val="en-US"/>
        </w:rPr>
        <w:t xml:space="preserve">Impact Analysis </w:t>
      </w:r>
      <w:r>
        <w:rPr>
          <w:b/>
          <w:sz w:val="22"/>
          <w:szCs w:val="22"/>
          <w:lang w:val="en-US"/>
        </w:rPr>
        <w:t xml:space="preserve"> </w:t>
      </w:r>
    </w:p>
    <w:p w14:paraId="40B5FDD7" w14:textId="241FA127" w:rsidR="00272770" w:rsidRPr="00AA1335" w:rsidRDefault="00FC54D1" w:rsidP="00E659CD">
      <w:pPr>
        <w:spacing w:before="240" w:after="240" w:line="276" w:lineRule="auto"/>
        <w:jc w:val="both"/>
        <w:rPr>
          <w:sz w:val="22"/>
          <w:szCs w:val="22"/>
          <w:lang w:eastAsia="en-AU"/>
        </w:rPr>
      </w:pPr>
      <w:r w:rsidRPr="00AA1335">
        <w:rPr>
          <w:sz w:val="22"/>
          <w:szCs w:val="22"/>
        </w:rPr>
        <w:t xml:space="preserve">The Office of </w:t>
      </w:r>
      <w:r w:rsidR="00B47465">
        <w:rPr>
          <w:sz w:val="22"/>
          <w:szCs w:val="22"/>
        </w:rPr>
        <w:t xml:space="preserve">Impact Analysis </w:t>
      </w:r>
      <w:r w:rsidRPr="00AA1335">
        <w:rPr>
          <w:sz w:val="22"/>
          <w:szCs w:val="22"/>
        </w:rPr>
        <w:t xml:space="preserve">advised that </w:t>
      </w:r>
      <w:r w:rsidR="00C674E9" w:rsidRPr="00AA1335">
        <w:rPr>
          <w:sz w:val="22"/>
          <w:szCs w:val="22"/>
        </w:rPr>
        <w:t>a</w:t>
      </w:r>
      <w:r w:rsidR="00C674E9">
        <w:rPr>
          <w:sz w:val="22"/>
          <w:szCs w:val="22"/>
        </w:rPr>
        <w:t>n</w:t>
      </w:r>
      <w:r w:rsidR="00C674E9" w:rsidRPr="00AA1335">
        <w:rPr>
          <w:sz w:val="22"/>
          <w:szCs w:val="22"/>
        </w:rPr>
        <w:t xml:space="preserve"> Impact</w:t>
      </w:r>
      <w:r w:rsidRPr="00AA1335">
        <w:rPr>
          <w:sz w:val="22"/>
          <w:szCs w:val="22"/>
        </w:rPr>
        <w:t xml:space="preserve"> </w:t>
      </w:r>
      <w:r w:rsidR="004E32FE">
        <w:rPr>
          <w:sz w:val="22"/>
          <w:szCs w:val="22"/>
        </w:rPr>
        <w:t xml:space="preserve">analysis </w:t>
      </w:r>
      <w:r w:rsidRPr="00AA1335">
        <w:rPr>
          <w:sz w:val="22"/>
          <w:szCs w:val="22"/>
        </w:rPr>
        <w:t>was not required f</w:t>
      </w:r>
      <w:r w:rsidR="007B35CE" w:rsidRPr="00AA1335">
        <w:rPr>
          <w:sz w:val="22"/>
          <w:szCs w:val="22"/>
        </w:rPr>
        <w:t xml:space="preserve">or the </w:t>
      </w:r>
      <w:r w:rsidR="007B35CE" w:rsidRPr="00FE4B5B">
        <w:rPr>
          <w:sz w:val="22"/>
          <w:szCs w:val="22"/>
        </w:rPr>
        <w:t xml:space="preserve">Instrument </w:t>
      </w:r>
      <w:r w:rsidR="007B35CE" w:rsidRPr="0035625B">
        <w:rPr>
          <w:sz w:val="22"/>
          <w:szCs w:val="22"/>
        </w:rPr>
        <w:t>(</w:t>
      </w:r>
      <w:r w:rsidR="00841A4A" w:rsidRPr="0035625B">
        <w:rPr>
          <w:sz w:val="22"/>
          <w:szCs w:val="22"/>
        </w:rPr>
        <w:t>OIA2</w:t>
      </w:r>
      <w:r w:rsidR="004E32FE" w:rsidRPr="0035625B">
        <w:rPr>
          <w:sz w:val="22"/>
          <w:szCs w:val="22"/>
        </w:rPr>
        <w:t>4</w:t>
      </w:r>
      <w:r w:rsidR="00841A4A" w:rsidRPr="0035625B">
        <w:rPr>
          <w:sz w:val="22"/>
          <w:szCs w:val="22"/>
        </w:rPr>
        <w:t>-0</w:t>
      </w:r>
      <w:r w:rsidR="004E32FE" w:rsidRPr="0035625B">
        <w:rPr>
          <w:sz w:val="22"/>
          <w:szCs w:val="22"/>
        </w:rPr>
        <w:t>7</w:t>
      </w:r>
      <w:r w:rsidR="004D3B0C" w:rsidRPr="0035625B">
        <w:rPr>
          <w:sz w:val="22"/>
          <w:szCs w:val="22"/>
        </w:rPr>
        <w:t>341</w:t>
      </w:r>
      <w:r w:rsidRPr="0035625B">
        <w:rPr>
          <w:sz w:val="22"/>
          <w:szCs w:val="22"/>
        </w:rPr>
        <w:t>).</w:t>
      </w:r>
      <w:r w:rsidR="000E03EA" w:rsidRPr="00AA1335">
        <w:rPr>
          <w:sz w:val="22"/>
          <w:szCs w:val="22"/>
        </w:rPr>
        <w:t xml:space="preserve">  </w:t>
      </w:r>
    </w:p>
    <w:p w14:paraId="11CFFA5B" w14:textId="77777777" w:rsidR="0057662C" w:rsidRPr="00AA1335" w:rsidRDefault="0057662C" w:rsidP="00E659CD">
      <w:pPr>
        <w:spacing w:after="160" w:line="259" w:lineRule="auto"/>
        <w:jc w:val="both"/>
        <w:rPr>
          <w:snapToGrid w:val="0"/>
          <w:kern w:val="20"/>
          <w:sz w:val="22"/>
          <w:szCs w:val="22"/>
        </w:rPr>
      </w:pPr>
      <w:r w:rsidRPr="00AA1335">
        <w:rPr>
          <w:snapToGrid w:val="0"/>
          <w:kern w:val="20"/>
          <w:sz w:val="22"/>
          <w:szCs w:val="22"/>
        </w:rPr>
        <w:br w:type="page"/>
      </w:r>
    </w:p>
    <w:p w14:paraId="42451581" w14:textId="6F254107" w:rsidR="00FE4B5B" w:rsidRPr="00FE4B5B" w:rsidRDefault="00D51AEE" w:rsidP="00E659CD">
      <w:pPr>
        <w:spacing w:before="240" w:after="240" w:line="276" w:lineRule="auto"/>
        <w:jc w:val="both"/>
        <w:rPr>
          <w:b/>
          <w:snapToGrid w:val="0"/>
          <w:kern w:val="20"/>
          <w:sz w:val="22"/>
          <w:szCs w:val="22"/>
          <w:u w:val="single"/>
        </w:rPr>
      </w:pPr>
      <w:r>
        <w:rPr>
          <w:b/>
          <w:snapToGrid w:val="0"/>
          <w:kern w:val="20"/>
          <w:sz w:val="22"/>
          <w:szCs w:val="22"/>
          <w:u w:val="single"/>
        </w:rPr>
        <w:lastRenderedPageBreak/>
        <w:t>Attachment A</w:t>
      </w:r>
    </w:p>
    <w:p w14:paraId="20D7ECC9" w14:textId="61111490" w:rsidR="00272770" w:rsidRDefault="00FC54D1" w:rsidP="00E659CD">
      <w:pPr>
        <w:spacing w:before="240" w:after="240" w:line="276" w:lineRule="auto"/>
        <w:jc w:val="both"/>
        <w:rPr>
          <w:snapToGrid w:val="0"/>
          <w:kern w:val="20"/>
          <w:sz w:val="22"/>
          <w:szCs w:val="22"/>
        </w:rPr>
      </w:pPr>
      <w:r w:rsidRPr="00AA1335">
        <w:rPr>
          <w:b/>
          <w:snapToGrid w:val="0"/>
          <w:kern w:val="20"/>
          <w:sz w:val="22"/>
          <w:szCs w:val="22"/>
        </w:rPr>
        <w:t xml:space="preserve">Details of the </w:t>
      </w:r>
      <w:r w:rsidR="0057662C" w:rsidRPr="00AA1335">
        <w:rPr>
          <w:b/>
          <w:i/>
          <w:snapToGrid w:val="0"/>
          <w:kern w:val="20"/>
          <w:sz w:val="22"/>
          <w:szCs w:val="22"/>
        </w:rPr>
        <w:t xml:space="preserve">Torres Strait Fisheries (Furnishing of Logbooks) </w:t>
      </w:r>
      <w:r w:rsidRPr="00AA1335">
        <w:rPr>
          <w:b/>
          <w:i/>
          <w:snapToGrid w:val="0"/>
          <w:kern w:val="20"/>
          <w:sz w:val="22"/>
          <w:szCs w:val="22"/>
        </w:rPr>
        <w:t xml:space="preserve">Instrument </w:t>
      </w:r>
      <w:r w:rsidR="0057662C" w:rsidRPr="00AA1335">
        <w:rPr>
          <w:b/>
          <w:i/>
          <w:snapToGrid w:val="0"/>
          <w:kern w:val="20"/>
          <w:sz w:val="22"/>
          <w:szCs w:val="22"/>
        </w:rPr>
        <w:t>202</w:t>
      </w:r>
      <w:r w:rsidR="003131D9">
        <w:rPr>
          <w:b/>
          <w:i/>
          <w:snapToGrid w:val="0"/>
          <w:kern w:val="20"/>
          <w:sz w:val="22"/>
          <w:szCs w:val="22"/>
        </w:rPr>
        <w:t>4</w:t>
      </w:r>
      <w:r w:rsidR="0057662C" w:rsidRPr="00AA1335">
        <w:rPr>
          <w:snapToGrid w:val="0"/>
          <w:kern w:val="20"/>
          <w:sz w:val="22"/>
          <w:szCs w:val="22"/>
        </w:rPr>
        <w:t xml:space="preserve"> </w:t>
      </w:r>
    </w:p>
    <w:p w14:paraId="362AC637" w14:textId="674EC10F" w:rsidR="009C7780" w:rsidRPr="005F3992" w:rsidRDefault="009C7780" w:rsidP="00E659CD">
      <w:pPr>
        <w:spacing w:before="240" w:after="240" w:line="276" w:lineRule="auto"/>
        <w:ind w:left="1440" w:hanging="1440"/>
        <w:jc w:val="both"/>
        <w:rPr>
          <w:snapToGrid w:val="0"/>
          <w:kern w:val="20"/>
          <w:sz w:val="22"/>
          <w:szCs w:val="22"/>
        </w:rPr>
      </w:pPr>
      <w:r>
        <w:rPr>
          <w:b/>
          <w:i/>
          <w:snapToGrid w:val="0"/>
          <w:kern w:val="20"/>
          <w:sz w:val="22"/>
          <w:szCs w:val="22"/>
        </w:rPr>
        <w:t>Section 1</w:t>
      </w:r>
      <w:r>
        <w:rPr>
          <w:snapToGrid w:val="0"/>
          <w:kern w:val="20"/>
          <w:sz w:val="22"/>
          <w:szCs w:val="22"/>
        </w:rPr>
        <w:tab/>
        <w:t xml:space="preserve">Provides that the name of the Instrument is the </w:t>
      </w:r>
      <w:r>
        <w:rPr>
          <w:i/>
          <w:snapToGrid w:val="0"/>
          <w:kern w:val="20"/>
          <w:sz w:val="22"/>
          <w:szCs w:val="22"/>
        </w:rPr>
        <w:t>Torres Strait Fisheries (Furnishing of Logbooks) Instrument 202</w:t>
      </w:r>
      <w:r w:rsidR="00E654D5">
        <w:rPr>
          <w:i/>
          <w:snapToGrid w:val="0"/>
          <w:kern w:val="20"/>
          <w:sz w:val="22"/>
          <w:szCs w:val="22"/>
        </w:rPr>
        <w:t>4</w:t>
      </w:r>
      <w:r>
        <w:rPr>
          <w:snapToGrid w:val="0"/>
          <w:kern w:val="20"/>
          <w:sz w:val="22"/>
          <w:szCs w:val="22"/>
        </w:rPr>
        <w:t xml:space="preserve">.  </w:t>
      </w:r>
    </w:p>
    <w:p w14:paraId="5214B277" w14:textId="446EBE4B" w:rsidR="009C7780" w:rsidRPr="00AA1335" w:rsidRDefault="009C7780" w:rsidP="00E659CD">
      <w:pPr>
        <w:spacing w:before="240" w:after="240" w:line="276" w:lineRule="auto"/>
        <w:ind w:left="1433" w:hanging="1455"/>
        <w:jc w:val="both"/>
        <w:rPr>
          <w:snapToGrid w:val="0"/>
          <w:kern w:val="20"/>
          <w:sz w:val="22"/>
          <w:szCs w:val="22"/>
        </w:rPr>
      </w:pPr>
      <w:r>
        <w:rPr>
          <w:b/>
          <w:i/>
          <w:snapToGrid w:val="0"/>
          <w:kern w:val="20"/>
          <w:sz w:val="22"/>
          <w:szCs w:val="22"/>
        </w:rPr>
        <w:t>Section 2</w:t>
      </w:r>
      <w:r>
        <w:rPr>
          <w:snapToGrid w:val="0"/>
          <w:kern w:val="20"/>
          <w:sz w:val="22"/>
          <w:szCs w:val="22"/>
        </w:rPr>
        <w:tab/>
      </w:r>
      <w:r w:rsidRPr="00AA1335">
        <w:rPr>
          <w:snapToGrid w:val="0"/>
          <w:kern w:val="20"/>
          <w:sz w:val="22"/>
          <w:szCs w:val="22"/>
        </w:rPr>
        <w:t xml:space="preserve">Provides </w:t>
      </w:r>
      <w:r w:rsidR="00E609C1" w:rsidRPr="00AA1335">
        <w:rPr>
          <w:snapToGrid w:val="0"/>
          <w:kern w:val="20"/>
          <w:sz w:val="22"/>
          <w:szCs w:val="22"/>
        </w:rPr>
        <w:t>that the</w:t>
      </w:r>
      <w:r w:rsidRPr="00AA1335">
        <w:rPr>
          <w:snapToGrid w:val="0"/>
          <w:kern w:val="20"/>
          <w:sz w:val="22"/>
          <w:szCs w:val="22"/>
        </w:rPr>
        <w:t xml:space="preserve"> Instrument commences </w:t>
      </w:r>
      <w:r w:rsidR="00C81CF4">
        <w:rPr>
          <w:snapToGrid w:val="0"/>
          <w:kern w:val="20"/>
          <w:sz w:val="22"/>
          <w:szCs w:val="22"/>
        </w:rPr>
        <w:t xml:space="preserve">one month </w:t>
      </w:r>
      <w:r w:rsidR="00B17CA4">
        <w:rPr>
          <w:snapToGrid w:val="0"/>
          <w:kern w:val="20"/>
          <w:sz w:val="22"/>
          <w:szCs w:val="22"/>
        </w:rPr>
        <w:t xml:space="preserve">after </w:t>
      </w:r>
      <w:r w:rsidR="00BF7649">
        <w:rPr>
          <w:sz w:val="22"/>
          <w:szCs w:val="22"/>
        </w:rPr>
        <w:t>it</w:t>
      </w:r>
      <w:r w:rsidR="00345BA3">
        <w:rPr>
          <w:sz w:val="22"/>
          <w:szCs w:val="22"/>
        </w:rPr>
        <w:t xml:space="preserve"> is registered</w:t>
      </w:r>
      <w:r w:rsidRPr="00AA1335">
        <w:rPr>
          <w:sz w:val="22"/>
          <w:szCs w:val="22"/>
        </w:rPr>
        <w:t xml:space="preserve">. </w:t>
      </w:r>
    </w:p>
    <w:p w14:paraId="69B552F1" w14:textId="6B33B2F9" w:rsidR="009C7780" w:rsidRDefault="009C7780" w:rsidP="00E659CD">
      <w:pPr>
        <w:spacing w:before="240" w:after="240" w:line="276" w:lineRule="auto"/>
        <w:ind w:left="1440" w:hanging="1440"/>
        <w:jc w:val="both"/>
        <w:rPr>
          <w:snapToGrid w:val="0"/>
          <w:kern w:val="20"/>
          <w:sz w:val="22"/>
          <w:szCs w:val="22"/>
        </w:rPr>
      </w:pPr>
      <w:r>
        <w:rPr>
          <w:b/>
          <w:i/>
          <w:snapToGrid w:val="0"/>
          <w:kern w:val="20"/>
          <w:sz w:val="22"/>
          <w:szCs w:val="22"/>
        </w:rPr>
        <w:t>Section 3</w:t>
      </w:r>
      <w:r>
        <w:rPr>
          <w:snapToGrid w:val="0"/>
          <w:kern w:val="20"/>
          <w:sz w:val="22"/>
          <w:szCs w:val="22"/>
        </w:rPr>
        <w:tab/>
        <w:t xml:space="preserve">Provides that the Instrument is made under </w:t>
      </w:r>
      <w:r w:rsidR="00E609C1">
        <w:rPr>
          <w:snapToGrid w:val="0"/>
          <w:kern w:val="20"/>
          <w:sz w:val="22"/>
          <w:szCs w:val="22"/>
        </w:rPr>
        <w:t>sub</w:t>
      </w:r>
      <w:r>
        <w:rPr>
          <w:snapToGrid w:val="0"/>
          <w:kern w:val="20"/>
          <w:sz w:val="22"/>
          <w:szCs w:val="22"/>
        </w:rPr>
        <w:t>section 14</w:t>
      </w:r>
      <w:r w:rsidR="00E609C1">
        <w:rPr>
          <w:snapToGrid w:val="0"/>
          <w:kern w:val="20"/>
          <w:sz w:val="22"/>
          <w:szCs w:val="22"/>
        </w:rPr>
        <w:t>(1)</w:t>
      </w:r>
      <w:r>
        <w:rPr>
          <w:snapToGrid w:val="0"/>
          <w:kern w:val="20"/>
          <w:sz w:val="22"/>
          <w:szCs w:val="22"/>
        </w:rPr>
        <w:t xml:space="preserve"> of the Act.  </w:t>
      </w:r>
    </w:p>
    <w:p w14:paraId="0CD77392" w14:textId="2BB58023" w:rsidR="0096733E" w:rsidRPr="00AA1335" w:rsidRDefault="0096733E" w:rsidP="00E659CD">
      <w:pPr>
        <w:spacing w:before="240" w:after="240" w:line="276" w:lineRule="auto"/>
        <w:ind w:left="1440" w:hanging="1440"/>
        <w:jc w:val="both"/>
        <w:rPr>
          <w:color w:val="000000"/>
          <w:sz w:val="22"/>
          <w:szCs w:val="22"/>
          <w:shd w:val="clear" w:color="auto" w:fill="FFFFFF"/>
        </w:rPr>
      </w:pPr>
      <w:r>
        <w:rPr>
          <w:b/>
          <w:i/>
          <w:snapToGrid w:val="0"/>
          <w:kern w:val="20"/>
          <w:sz w:val="22"/>
          <w:szCs w:val="22"/>
        </w:rPr>
        <w:t>Section 4</w:t>
      </w:r>
      <w:r>
        <w:rPr>
          <w:snapToGrid w:val="0"/>
          <w:kern w:val="20"/>
          <w:sz w:val="22"/>
          <w:szCs w:val="22"/>
        </w:rPr>
        <w:tab/>
        <w:t xml:space="preserve">Provides that the Instrument ceases to have effect </w:t>
      </w:r>
      <w:r w:rsidR="001960C7" w:rsidRPr="0002521A">
        <w:rPr>
          <w:b/>
          <w:bCs/>
          <w:snapToGrid w:val="0"/>
          <w:kern w:val="20"/>
          <w:sz w:val="22"/>
          <w:szCs w:val="22"/>
        </w:rPr>
        <w:t>31 August</w:t>
      </w:r>
      <w:r w:rsidR="00804D51" w:rsidRPr="0002521A">
        <w:rPr>
          <w:b/>
          <w:bCs/>
          <w:snapToGrid w:val="0"/>
          <w:kern w:val="20"/>
          <w:sz w:val="22"/>
          <w:szCs w:val="22"/>
        </w:rPr>
        <w:t xml:space="preserve"> 202</w:t>
      </w:r>
      <w:r w:rsidR="00FA47A5" w:rsidRPr="0002521A">
        <w:rPr>
          <w:b/>
          <w:bCs/>
          <w:snapToGrid w:val="0"/>
          <w:kern w:val="20"/>
          <w:sz w:val="22"/>
          <w:szCs w:val="22"/>
        </w:rPr>
        <w:t>7</w:t>
      </w:r>
      <w:r w:rsidRPr="0002521A">
        <w:rPr>
          <w:snapToGrid w:val="0"/>
          <w:kern w:val="20"/>
          <w:sz w:val="22"/>
          <w:szCs w:val="22"/>
        </w:rPr>
        <w:t xml:space="preserve"> </w:t>
      </w:r>
      <w:r>
        <w:rPr>
          <w:snapToGrid w:val="0"/>
          <w:kern w:val="20"/>
          <w:sz w:val="22"/>
          <w:szCs w:val="22"/>
        </w:rPr>
        <w:t xml:space="preserve">unless earlier revoked. </w:t>
      </w:r>
    </w:p>
    <w:p w14:paraId="6C3BCDFA" w14:textId="319F47F8" w:rsidR="009C7780" w:rsidRDefault="0096733E" w:rsidP="00E659CD">
      <w:pPr>
        <w:spacing w:before="240" w:after="240" w:line="276" w:lineRule="auto"/>
        <w:ind w:left="1440" w:hanging="1440"/>
        <w:jc w:val="both"/>
        <w:rPr>
          <w:snapToGrid w:val="0"/>
          <w:kern w:val="20"/>
          <w:sz w:val="22"/>
          <w:szCs w:val="22"/>
        </w:rPr>
      </w:pPr>
      <w:r>
        <w:rPr>
          <w:snapToGrid w:val="0"/>
          <w:kern w:val="20"/>
          <w:sz w:val="22"/>
          <w:szCs w:val="22"/>
        </w:rPr>
        <w:t xml:space="preserve"> </w:t>
      </w:r>
      <w:r w:rsidR="009C7780">
        <w:rPr>
          <w:b/>
          <w:i/>
          <w:snapToGrid w:val="0"/>
          <w:kern w:val="20"/>
          <w:sz w:val="22"/>
          <w:szCs w:val="22"/>
        </w:rPr>
        <w:t xml:space="preserve">Section </w:t>
      </w:r>
      <w:r>
        <w:rPr>
          <w:b/>
          <w:i/>
          <w:snapToGrid w:val="0"/>
          <w:kern w:val="20"/>
          <w:sz w:val="22"/>
          <w:szCs w:val="22"/>
        </w:rPr>
        <w:t>5</w:t>
      </w:r>
      <w:r w:rsidR="009C7780">
        <w:rPr>
          <w:b/>
          <w:i/>
          <w:snapToGrid w:val="0"/>
          <w:kern w:val="20"/>
          <w:sz w:val="22"/>
          <w:szCs w:val="22"/>
        </w:rPr>
        <w:tab/>
      </w:r>
      <w:r w:rsidR="009C7780">
        <w:rPr>
          <w:snapToGrid w:val="0"/>
          <w:kern w:val="20"/>
          <w:sz w:val="22"/>
          <w:szCs w:val="22"/>
        </w:rPr>
        <w:t xml:space="preserve">Provides the relevant definitions for the purpose of the Instrument. </w:t>
      </w:r>
    </w:p>
    <w:p w14:paraId="3C36389E" w14:textId="4376DD8E" w:rsidR="00C75BE9" w:rsidRPr="008B2259" w:rsidRDefault="00C75BE9" w:rsidP="00E659CD">
      <w:pPr>
        <w:spacing w:before="240" w:after="240" w:line="276" w:lineRule="auto"/>
        <w:ind w:left="1440" w:hanging="1440"/>
        <w:jc w:val="both"/>
        <w:rPr>
          <w:color w:val="000000" w:themeColor="text1"/>
          <w:sz w:val="22"/>
          <w:szCs w:val="22"/>
        </w:rPr>
      </w:pPr>
      <w:r w:rsidRPr="1CFE1CDA">
        <w:rPr>
          <w:b/>
          <w:bCs/>
          <w:i/>
          <w:iCs/>
          <w:sz w:val="22"/>
          <w:szCs w:val="22"/>
        </w:rPr>
        <w:t>Section 6</w:t>
      </w:r>
      <w:r>
        <w:tab/>
      </w:r>
      <w:r w:rsidR="0012662D" w:rsidRPr="0012662D">
        <w:rPr>
          <w:color w:val="000000" w:themeColor="text1"/>
          <w:sz w:val="22"/>
          <w:szCs w:val="22"/>
        </w:rPr>
        <w:t>Each instrument that is specified in a Schedule to this instrument is amended or repealed as set out in the applicable items in the Schedule concerned, and any other item in a Schedule to this instrument has effect according to its terms</w:t>
      </w:r>
      <w:r w:rsidR="006E7AAF">
        <w:rPr>
          <w:color w:val="000000" w:themeColor="text1"/>
          <w:sz w:val="22"/>
          <w:szCs w:val="22"/>
        </w:rPr>
        <w:t xml:space="preserve">. </w:t>
      </w:r>
    </w:p>
    <w:p w14:paraId="50799A57" w14:textId="44E9FB40" w:rsidR="00C75BE9" w:rsidRPr="00DB4357" w:rsidRDefault="00C75BE9" w:rsidP="00E659CD">
      <w:pPr>
        <w:spacing w:before="240" w:after="240" w:line="276" w:lineRule="auto"/>
        <w:ind w:left="1440" w:hanging="1440"/>
        <w:jc w:val="both"/>
        <w:rPr>
          <w:color w:val="000000" w:themeColor="text1"/>
          <w:sz w:val="22"/>
          <w:szCs w:val="22"/>
        </w:rPr>
      </w:pPr>
      <w:r w:rsidRPr="58718CAA">
        <w:rPr>
          <w:b/>
          <w:bCs/>
          <w:i/>
          <w:iCs/>
          <w:sz w:val="22"/>
          <w:szCs w:val="22"/>
        </w:rPr>
        <w:t>Section 7</w:t>
      </w:r>
      <w:r>
        <w:tab/>
      </w:r>
      <w:r w:rsidR="00E250CD">
        <w:rPr>
          <w:color w:val="000000" w:themeColor="text1"/>
          <w:sz w:val="22"/>
          <w:szCs w:val="22"/>
        </w:rPr>
        <w:t>P</w:t>
      </w:r>
      <w:r w:rsidR="5F50348B" w:rsidRPr="58718CAA">
        <w:rPr>
          <w:color w:val="000000" w:themeColor="text1"/>
          <w:sz w:val="22"/>
          <w:szCs w:val="22"/>
        </w:rPr>
        <w:t xml:space="preserve">rovides that the </w:t>
      </w:r>
      <w:r w:rsidR="007A4966">
        <w:rPr>
          <w:color w:val="000000" w:themeColor="text1"/>
          <w:sz w:val="22"/>
          <w:szCs w:val="22"/>
        </w:rPr>
        <w:t xml:space="preserve">Instrument </w:t>
      </w:r>
      <w:r w:rsidR="5F50348B" w:rsidRPr="58718CAA">
        <w:rPr>
          <w:color w:val="000000" w:themeColor="text1"/>
          <w:sz w:val="22"/>
          <w:szCs w:val="22"/>
        </w:rPr>
        <w:t xml:space="preserve">may require logbooks to be kept in electronic form (referred to as e-logs) that must have a particular form and content (referred to as electronic schema) (subsection </w:t>
      </w:r>
      <w:r w:rsidR="00D47D7A">
        <w:rPr>
          <w:color w:val="000000" w:themeColor="text1"/>
          <w:sz w:val="22"/>
          <w:szCs w:val="22"/>
        </w:rPr>
        <w:t>7</w:t>
      </w:r>
      <w:r w:rsidR="5F50348B" w:rsidRPr="58718CAA">
        <w:rPr>
          <w:color w:val="000000" w:themeColor="text1"/>
          <w:sz w:val="22"/>
          <w:szCs w:val="22"/>
        </w:rPr>
        <w:t>(1)).  The electronic schema</w:t>
      </w:r>
      <w:r w:rsidR="00031BD6">
        <w:rPr>
          <w:color w:val="000000" w:themeColor="text1"/>
          <w:sz w:val="22"/>
          <w:szCs w:val="22"/>
        </w:rPr>
        <w:t xml:space="preserve"> </w:t>
      </w:r>
      <w:r w:rsidR="00031BD6" w:rsidRPr="00031BD6">
        <w:rPr>
          <w:color w:val="000000" w:themeColor="text1"/>
          <w:sz w:val="22"/>
          <w:szCs w:val="22"/>
        </w:rPr>
        <w:t>for the purposes of this instrument</w:t>
      </w:r>
      <w:r w:rsidR="5F50348B" w:rsidRPr="58718CAA">
        <w:rPr>
          <w:color w:val="000000" w:themeColor="text1"/>
          <w:sz w:val="22"/>
          <w:szCs w:val="22"/>
        </w:rPr>
        <w:t xml:space="preserve"> </w:t>
      </w:r>
      <w:r w:rsidR="006D77FA">
        <w:rPr>
          <w:color w:val="000000" w:themeColor="text1"/>
          <w:sz w:val="22"/>
          <w:szCs w:val="22"/>
        </w:rPr>
        <w:t>is</w:t>
      </w:r>
      <w:r w:rsidR="00A3094D">
        <w:rPr>
          <w:color w:val="000000" w:themeColor="text1"/>
          <w:sz w:val="22"/>
          <w:szCs w:val="22"/>
        </w:rPr>
        <w:t xml:space="preserve"> </w:t>
      </w:r>
      <w:r w:rsidR="5F50348B" w:rsidRPr="58718CAA">
        <w:rPr>
          <w:color w:val="000000" w:themeColor="text1"/>
          <w:sz w:val="22"/>
          <w:szCs w:val="22"/>
        </w:rPr>
        <w:t xml:space="preserve">ADC </w:t>
      </w:r>
      <w:r w:rsidR="00CB511B">
        <w:rPr>
          <w:color w:val="000000" w:themeColor="text1"/>
          <w:sz w:val="22"/>
          <w:szCs w:val="22"/>
        </w:rPr>
        <w:t>E</w:t>
      </w:r>
      <w:r w:rsidR="5F50348B" w:rsidRPr="58718CAA">
        <w:rPr>
          <w:color w:val="000000" w:themeColor="text1"/>
          <w:sz w:val="22"/>
          <w:szCs w:val="22"/>
        </w:rPr>
        <w:t xml:space="preserve">PRAWN (subsection </w:t>
      </w:r>
      <w:r w:rsidR="00D47D7A">
        <w:rPr>
          <w:color w:val="000000" w:themeColor="text1"/>
          <w:sz w:val="22"/>
          <w:szCs w:val="22"/>
        </w:rPr>
        <w:t>7</w:t>
      </w:r>
      <w:r w:rsidR="5F50348B" w:rsidRPr="58718CAA">
        <w:rPr>
          <w:color w:val="000000" w:themeColor="text1"/>
          <w:sz w:val="22"/>
          <w:szCs w:val="22"/>
        </w:rPr>
        <w:t xml:space="preserve">(2)). </w:t>
      </w:r>
      <w:r w:rsidR="00431F69" w:rsidRPr="00431F69">
        <w:rPr>
          <w:color w:val="000000" w:themeColor="text1"/>
          <w:sz w:val="22"/>
          <w:szCs w:val="22"/>
        </w:rPr>
        <w:t>The content required to be kept and maintained for ADC EPRAWN</w:t>
      </w:r>
      <w:r w:rsidR="5F50348B" w:rsidRPr="58718CAA">
        <w:rPr>
          <w:color w:val="000000" w:themeColor="text1"/>
          <w:sz w:val="22"/>
          <w:szCs w:val="22"/>
        </w:rPr>
        <w:t xml:space="preserve"> are prescribed in </w:t>
      </w:r>
      <w:r w:rsidR="009E34BD">
        <w:rPr>
          <w:color w:val="000000" w:themeColor="text1"/>
          <w:sz w:val="22"/>
          <w:szCs w:val="22"/>
        </w:rPr>
        <w:t>Appendix -1</w:t>
      </w:r>
      <w:r w:rsidR="5F50348B" w:rsidRPr="58718CAA">
        <w:rPr>
          <w:color w:val="000000" w:themeColor="text1"/>
          <w:sz w:val="22"/>
          <w:szCs w:val="22"/>
        </w:rPr>
        <w:t xml:space="preserve"> (subsection </w:t>
      </w:r>
      <w:r w:rsidR="00D47D7A">
        <w:rPr>
          <w:color w:val="000000" w:themeColor="text1"/>
          <w:sz w:val="22"/>
          <w:szCs w:val="22"/>
        </w:rPr>
        <w:t>7</w:t>
      </w:r>
      <w:r w:rsidR="5F50348B" w:rsidRPr="58718CAA">
        <w:rPr>
          <w:color w:val="000000" w:themeColor="text1"/>
          <w:sz w:val="22"/>
          <w:szCs w:val="22"/>
        </w:rPr>
        <w:t xml:space="preserve">(3)).  </w:t>
      </w:r>
    </w:p>
    <w:p w14:paraId="4F685F12" w14:textId="7E08DF8E" w:rsidR="00C75BE9" w:rsidRDefault="5F50348B" w:rsidP="00E659CD">
      <w:pPr>
        <w:spacing w:before="240" w:after="240" w:line="276" w:lineRule="auto"/>
        <w:ind w:left="1440"/>
        <w:jc w:val="both"/>
        <w:rPr>
          <w:sz w:val="22"/>
          <w:szCs w:val="22"/>
        </w:rPr>
      </w:pPr>
      <w:r w:rsidRPr="58718CAA">
        <w:rPr>
          <w:sz w:val="22"/>
          <w:szCs w:val="22"/>
        </w:rPr>
        <w:t xml:space="preserve">Subsection </w:t>
      </w:r>
      <w:r w:rsidR="00AD2A55">
        <w:rPr>
          <w:sz w:val="22"/>
          <w:szCs w:val="22"/>
        </w:rPr>
        <w:t>7</w:t>
      </w:r>
      <w:r w:rsidRPr="58718CAA">
        <w:rPr>
          <w:sz w:val="22"/>
          <w:szCs w:val="22"/>
        </w:rPr>
        <w:t xml:space="preserve">(4) provides for standard units of measurement in which the content for electronic schema must be provided.  </w:t>
      </w:r>
    </w:p>
    <w:p w14:paraId="04A4ED1A" w14:textId="604BFB12" w:rsidR="00D12E76" w:rsidRPr="00DB4357" w:rsidRDefault="00D12E76" w:rsidP="00E659CD">
      <w:pPr>
        <w:spacing w:before="240" w:after="240" w:line="276" w:lineRule="auto"/>
        <w:ind w:left="1440"/>
        <w:jc w:val="both"/>
        <w:rPr>
          <w:bCs/>
          <w:iCs/>
          <w:snapToGrid w:val="0"/>
          <w:kern w:val="20"/>
          <w:sz w:val="22"/>
          <w:szCs w:val="22"/>
        </w:rPr>
      </w:pPr>
      <w:r>
        <w:rPr>
          <w:sz w:val="22"/>
          <w:szCs w:val="22"/>
        </w:rPr>
        <w:t xml:space="preserve">Subsection </w:t>
      </w:r>
      <w:r w:rsidR="00AD2A55">
        <w:rPr>
          <w:sz w:val="22"/>
          <w:szCs w:val="22"/>
        </w:rPr>
        <w:t>7</w:t>
      </w:r>
      <w:r>
        <w:rPr>
          <w:sz w:val="22"/>
          <w:szCs w:val="22"/>
        </w:rPr>
        <w:t>(5)</w:t>
      </w:r>
      <w:r w:rsidR="00B57340">
        <w:rPr>
          <w:sz w:val="22"/>
          <w:szCs w:val="22"/>
        </w:rPr>
        <w:t xml:space="preserve"> </w:t>
      </w:r>
      <w:r w:rsidR="001E275B">
        <w:rPr>
          <w:sz w:val="22"/>
          <w:szCs w:val="22"/>
        </w:rPr>
        <w:t>requires that</w:t>
      </w:r>
      <w:r w:rsidR="00682BE9" w:rsidRPr="00682BE9">
        <w:rPr>
          <w:sz w:val="22"/>
          <w:szCs w:val="22"/>
        </w:rPr>
        <w:t xml:space="preserve"> an e-log must be furnished to AFMA with the </w:t>
      </w:r>
      <w:r w:rsidR="00F05EF2" w:rsidRPr="00F05EF2">
        <w:rPr>
          <w:sz w:val="22"/>
          <w:szCs w:val="22"/>
        </w:rPr>
        <w:t xml:space="preserve">use of an e-log program that conforms with the detailed </w:t>
      </w:r>
      <w:r w:rsidR="00682BE9" w:rsidRPr="00682BE9">
        <w:rPr>
          <w:sz w:val="22"/>
          <w:szCs w:val="22"/>
        </w:rPr>
        <w:t xml:space="preserve">specifications </w:t>
      </w:r>
      <w:r w:rsidR="00F05EF2" w:rsidRPr="00F05EF2">
        <w:rPr>
          <w:sz w:val="22"/>
          <w:szCs w:val="22"/>
        </w:rPr>
        <w:t>available through the AFMA e</w:t>
      </w:r>
      <w:r w:rsidR="00FC0265">
        <w:rPr>
          <w:sz w:val="22"/>
          <w:szCs w:val="22"/>
        </w:rPr>
        <w:t>-</w:t>
      </w:r>
      <w:r w:rsidR="00F05EF2" w:rsidRPr="00F05EF2">
        <w:rPr>
          <w:sz w:val="22"/>
          <w:szCs w:val="22"/>
        </w:rPr>
        <w:t>log developer portal available</w:t>
      </w:r>
      <w:r w:rsidR="00682BE9" w:rsidRPr="00682BE9">
        <w:rPr>
          <w:sz w:val="22"/>
          <w:szCs w:val="22"/>
        </w:rPr>
        <w:t xml:space="preserve"> on the AFMA website</w:t>
      </w:r>
      <w:r w:rsidR="00F05EF2" w:rsidRPr="00F05EF2">
        <w:rPr>
          <w:sz w:val="22"/>
          <w:szCs w:val="22"/>
        </w:rPr>
        <w:t xml:space="preserve"> page titled</w:t>
      </w:r>
      <w:r w:rsidR="00F05EF2">
        <w:rPr>
          <w:sz w:val="22"/>
          <w:szCs w:val="22"/>
        </w:rPr>
        <w:t xml:space="preserve">: </w:t>
      </w:r>
      <w:r w:rsidR="00F05EF2" w:rsidRPr="00F05EF2">
        <w:rPr>
          <w:sz w:val="22"/>
          <w:szCs w:val="22"/>
        </w:rPr>
        <w:t>E-logs Information</w:t>
      </w:r>
      <w:r w:rsidR="00F05EF2">
        <w:rPr>
          <w:sz w:val="22"/>
          <w:szCs w:val="22"/>
        </w:rPr>
        <w:t>.</w:t>
      </w:r>
    </w:p>
    <w:p w14:paraId="4D59D546" w14:textId="6DE09DC2" w:rsidR="009C7780" w:rsidRDefault="009C7780" w:rsidP="00E659CD">
      <w:pPr>
        <w:spacing w:before="240" w:after="240" w:line="276" w:lineRule="auto"/>
        <w:ind w:left="1440" w:hanging="1440"/>
        <w:jc w:val="both"/>
        <w:rPr>
          <w:snapToGrid w:val="0"/>
          <w:kern w:val="20"/>
          <w:sz w:val="22"/>
          <w:szCs w:val="22"/>
        </w:rPr>
      </w:pPr>
      <w:r>
        <w:rPr>
          <w:b/>
          <w:i/>
          <w:snapToGrid w:val="0"/>
          <w:kern w:val="20"/>
          <w:sz w:val="22"/>
          <w:szCs w:val="22"/>
        </w:rPr>
        <w:t xml:space="preserve">Section </w:t>
      </w:r>
      <w:r w:rsidR="002E79CD">
        <w:rPr>
          <w:b/>
          <w:i/>
          <w:snapToGrid w:val="0"/>
          <w:kern w:val="20"/>
          <w:sz w:val="22"/>
          <w:szCs w:val="22"/>
        </w:rPr>
        <w:t>8</w:t>
      </w:r>
      <w:r>
        <w:rPr>
          <w:b/>
          <w:i/>
          <w:snapToGrid w:val="0"/>
          <w:kern w:val="20"/>
          <w:sz w:val="22"/>
          <w:szCs w:val="22"/>
        </w:rPr>
        <w:tab/>
      </w:r>
      <w:r>
        <w:rPr>
          <w:snapToGrid w:val="0"/>
          <w:kern w:val="20"/>
          <w:sz w:val="22"/>
          <w:szCs w:val="22"/>
        </w:rPr>
        <w:t>Provides that</w:t>
      </w:r>
      <w:r w:rsidR="00D860CB">
        <w:rPr>
          <w:snapToGrid w:val="0"/>
          <w:kern w:val="20"/>
          <w:sz w:val="22"/>
          <w:szCs w:val="22"/>
        </w:rPr>
        <w:t xml:space="preserve"> the Instrument does not apply to a person who is a traditional inhabitant engaged in community </w:t>
      </w:r>
      <w:r w:rsidR="00244B0D">
        <w:rPr>
          <w:snapToGrid w:val="0"/>
          <w:kern w:val="20"/>
          <w:sz w:val="22"/>
          <w:szCs w:val="22"/>
        </w:rPr>
        <w:t>fishing.</w:t>
      </w:r>
    </w:p>
    <w:p w14:paraId="633A87FA" w14:textId="2FF4BE0C" w:rsidR="001526F4" w:rsidRDefault="009C7780" w:rsidP="00E659CD">
      <w:pPr>
        <w:spacing w:before="240" w:after="240" w:line="276" w:lineRule="auto"/>
        <w:ind w:left="1440" w:hanging="1440"/>
        <w:jc w:val="both"/>
        <w:rPr>
          <w:snapToGrid w:val="0"/>
          <w:kern w:val="20"/>
          <w:sz w:val="22"/>
          <w:szCs w:val="22"/>
        </w:rPr>
      </w:pPr>
      <w:r>
        <w:rPr>
          <w:b/>
          <w:i/>
          <w:snapToGrid w:val="0"/>
          <w:kern w:val="20"/>
          <w:sz w:val="22"/>
          <w:szCs w:val="22"/>
        </w:rPr>
        <w:t xml:space="preserve">Section </w:t>
      </w:r>
      <w:r w:rsidR="002E79CD">
        <w:rPr>
          <w:b/>
          <w:i/>
          <w:snapToGrid w:val="0"/>
          <w:kern w:val="20"/>
          <w:sz w:val="22"/>
          <w:szCs w:val="22"/>
        </w:rPr>
        <w:t>9</w:t>
      </w:r>
      <w:r w:rsidR="001526F4">
        <w:rPr>
          <w:b/>
          <w:i/>
          <w:snapToGrid w:val="0"/>
          <w:kern w:val="20"/>
          <w:sz w:val="22"/>
          <w:szCs w:val="22"/>
        </w:rPr>
        <w:tab/>
      </w:r>
      <w:r w:rsidR="00A50B68">
        <w:rPr>
          <w:snapToGrid w:val="0"/>
          <w:kern w:val="20"/>
          <w:sz w:val="22"/>
          <w:szCs w:val="22"/>
        </w:rPr>
        <w:t xml:space="preserve">Paragraphs </w:t>
      </w:r>
      <w:r w:rsidR="00F37B65">
        <w:rPr>
          <w:snapToGrid w:val="0"/>
          <w:kern w:val="20"/>
          <w:sz w:val="22"/>
          <w:szCs w:val="22"/>
        </w:rPr>
        <w:t>9</w:t>
      </w:r>
      <w:r w:rsidR="00A04136">
        <w:rPr>
          <w:snapToGrid w:val="0"/>
          <w:kern w:val="20"/>
          <w:sz w:val="22"/>
          <w:szCs w:val="22"/>
        </w:rPr>
        <w:t>(1)</w:t>
      </w:r>
      <w:r w:rsidR="00A50B68">
        <w:rPr>
          <w:snapToGrid w:val="0"/>
          <w:kern w:val="20"/>
          <w:sz w:val="22"/>
          <w:szCs w:val="22"/>
        </w:rPr>
        <w:t>(a)</w:t>
      </w:r>
      <w:r w:rsidR="00A04136">
        <w:rPr>
          <w:snapToGrid w:val="0"/>
          <w:kern w:val="20"/>
          <w:sz w:val="22"/>
          <w:szCs w:val="22"/>
        </w:rPr>
        <w:t xml:space="preserve"> </w:t>
      </w:r>
      <w:r w:rsidR="00A50B68">
        <w:rPr>
          <w:snapToGrid w:val="0"/>
          <w:kern w:val="20"/>
          <w:sz w:val="22"/>
          <w:szCs w:val="22"/>
        </w:rPr>
        <w:t xml:space="preserve">and </w:t>
      </w:r>
      <w:r w:rsidR="00F37B65">
        <w:rPr>
          <w:snapToGrid w:val="0"/>
          <w:kern w:val="20"/>
          <w:sz w:val="22"/>
          <w:szCs w:val="22"/>
        </w:rPr>
        <w:t>9</w:t>
      </w:r>
      <w:r w:rsidR="00A50B68">
        <w:rPr>
          <w:snapToGrid w:val="0"/>
          <w:kern w:val="20"/>
          <w:sz w:val="22"/>
          <w:szCs w:val="22"/>
        </w:rPr>
        <w:t xml:space="preserve">(1)(b) </w:t>
      </w:r>
      <w:r w:rsidR="00A04136">
        <w:rPr>
          <w:snapToGrid w:val="0"/>
          <w:kern w:val="20"/>
          <w:sz w:val="22"/>
          <w:szCs w:val="22"/>
        </w:rPr>
        <w:t>p</w:t>
      </w:r>
      <w:r w:rsidR="00A50B68">
        <w:rPr>
          <w:snapToGrid w:val="0"/>
          <w:kern w:val="20"/>
          <w:sz w:val="22"/>
          <w:szCs w:val="22"/>
        </w:rPr>
        <w:t>rovide</w:t>
      </w:r>
      <w:r w:rsidR="001526F4" w:rsidRPr="00AA1335">
        <w:rPr>
          <w:snapToGrid w:val="0"/>
          <w:kern w:val="20"/>
          <w:sz w:val="22"/>
          <w:szCs w:val="22"/>
        </w:rPr>
        <w:t xml:space="preserve"> </w:t>
      </w:r>
      <w:r w:rsidR="00530D2F" w:rsidRPr="00530D2F">
        <w:rPr>
          <w:snapToGrid w:val="0"/>
          <w:kern w:val="20"/>
          <w:sz w:val="22"/>
          <w:szCs w:val="22"/>
        </w:rPr>
        <w:t>that the master of any boat licensed under section 19 or, the master of any boat licensed in Papua New Guinea but endorsed to commercially fish in the area of the Australian jurisdiction under section 20 of the Act, who uses the boat for the taking of fish, is required to</w:t>
      </w:r>
      <w:r w:rsidR="00530D2F">
        <w:rPr>
          <w:snapToGrid w:val="0"/>
          <w:kern w:val="20"/>
          <w:sz w:val="22"/>
          <w:szCs w:val="22"/>
        </w:rPr>
        <w:t xml:space="preserve"> furnish information.</w:t>
      </w:r>
      <w:r w:rsidR="00530D2F" w:rsidRPr="00530D2F">
        <w:rPr>
          <w:snapToGrid w:val="0"/>
          <w:kern w:val="20"/>
          <w:sz w:val="22"/>
          <w:szCs w:val="22"/>
        </w:rPr>
        <w:t xml:space="preserve"> </w:t>
      </w:r>
    </w:p>
    <w:p w14:paraId="0FB14586" w14:textId="1694CEC4" w:rsidR="00530D2F" w:rsidRPr="00AA1335" w:rsidRDefault="00530D2F" w:rsidP="00E659CD">
      <w:pPr>
        <w:spacing w:before="240" w:after="240" w:line="276" w:lineRule="auto"/>
        <w:ind w:left="1440" w:hanging="1440"/>
        <w:jc w:val="both"/>
        <w:rPr>
          <w:snapToGrid w:val="0"/>
          <w:kern w:val="20"/>
          <w:sz w:val="22"/>
          <w:szCs w:val="22"/>
        </w:rPr>
      </w:pPr>
      <w:r>
        <w:rPr>
          <w:b/>
          <w:i/>
          <w:snapToGrid w:val="0"/>
          <w:kern w:val="20"/>
          <w:sz w:val="22"/>
          <w:szCs w:val="22"/>
        </w:rPr>
        <w:tab/>
      </w:r>
      <w:r w:rsidR="00A50B68">
        <w:rPr>
          <w:snapToGrid w:val="0"/>
          <w:kern w:val="20"/>
          <w:sz w:val="22"/>
          <w:szCs w:val="22"/>
        </w:rPr>
        <w:t xml:space="preserve">Subsection </w:t>
      </w:r>
      <w:r w:rsidR="00CD72C2">
        <w:rPr>
          <w:snapToGrid w:val="0"/>
          <w:kern w:val="20"/>
          <w:sz w:val="22"/>
          <w:szCs w:val="22"/>
        </w:rPr>
        <w:t>9</w:t>
      </w:r>
      <w:r w:rsidR="00A04136">
        <w:rPr>
          <w:snapToGrid w:val="0"/>
          <w:kern w:val="20"/>
          <w:sz w:val="22"/>
          <w:szCs w:val="22"/>
        </w:rPr>
        <w:t>(2) p</w:t>
      </w:r>
      <w:r w:rsidRPr="00AA1335">
        <w:rPr>
          <w:snapToGrid w:val="0"/>
          <w:kern w:val="20"/>
          <w:sz w:val="22"/>
          <w:szCs w:val="22"/>
        </w:rPr>
        <w:t>rovides for the types of information to be furnished by the master of a licensed boat</w:t>
      </w:r>
      <w:r>
        <w:rPr>
          <w:snapToGrid w:val="0"/>
          <w:kern w:val="20"/>
          <w:sz w:val="22"/>
          <w:szCs w:val="22"/>
        </w:rPr>
        <w:t xml:space="preserve"> in the form of a specific </w:t>
      </w:r>
      <w:r w:rsidR="00AB50E1">
        <w:rPr>
          <w:snapToGrid w:val="0"/>
          <w:kern w:val="20"/>
          <w:sz w:val="22"/>
          <w:szCs w:val="22"/>
        </w:rPr>
        <w:t>logbook.</w:t>
      </w:r>
      <w:r w:rsidR="00A04136">
        <w:rPr>
          <w:snapToGrid w:val="0"/>
          <w:kern w:val="20"/>
          <w:sz w:val="22"/>
          <w:szCs w:val="22"/>
        </w:rPr>
        <w:t xml:space="preserve"> </w:t>
      </w:r>
    </w:p>
    <w:p w14:paraId="17BA2EDB" w14:textId="586607EE" w:rsidR="00530D2F" w:rsidRPr="00AA1335" w:rsidRDefault="00530D2F" w:rsidP="00E659CD">
      <w:pPr>
        <w:spacing w:before="240" w:after="240" w:line="276" w:lineRule="auto"/>
        <w:ind w:left="1440" w:hanging="1440"/>
        <w:jc w:val="both"/>
        <w:rPr>
          <w:snapToGrid w:val="0"/>
          <w:kern w:val="20"/>
          <w:sz w:val="22"/>
          <w:szCs w:val="22"/>
        </w:rPr>
      </w:pPr>
      <w:r>
        <w:rPr>
          <w:b/>
          <w:i/>
          <w:snapToGrid w:val="0"/>
          <w:kern w:val="20"/>
          <w:sz w:val="22"/>
          <w:szCs w:val="22"/>
        </w:rPr>
        <w:tab/>
      </w:r>
      <w:r w:rsidR="00A50B68">
        <w:rPr>
          <w:snapToGrid w:val="0"/>
          <w:kern w:val="20"/>
          <w:sz w:val="22"/>
          <w:szCs w:val="22"/>
        </w:rPr>
        <w:t xml:space="preserve">Subsection </w:t>
      </w:r>
      <w:r w:rsidR="007E695F">
        <w:rPr>
          <w:snapToGrid w:val="0"/>
          <w:kern w:val="20"/>
          <w:sz w:val="22"/>
          <w:szCs w:val="22"/>
        </w:rPr>
        <w:t>9</w:t>
      </w:r>
      <w:r w:rsidR="00A50B68">
        <w:rPr>
          <w:snapToGrid w:val="0"/>
          <w:kern w:val="20"/>
          <w:sz w:val="22"/>
          <w:szCs w:val="22"/>
        </w:rPr>
        <w:t>(</w:t>
      </w:r>
      <w:r w:rsidR="00A04136">
        <w:rPr>
          <w:snapToGrid w:val="0"/>
          <w:kern w:val="20"/>
          <w:sz w:val="22"/>
          <w:szCs w:val="22"/>
        </w:rPr>
        <w:t>3) p</w:t>
      </w:r>
      <w:r w:rsidRPr="00AA1335">
        <w:rPr>
          <w:snapToGrid w:val="0"/>
          <w:kern w:val="20"/>
          <w:sz w:val="22"/>
          <w:szCs w:val="22"/>
        </w:rPr>
        <w:t xml:space="preserve">rovides </w:t>
      </w:r>
      <w:r w:rsidR="00AD0DC1">
        <w:rPr>
          <w:snapToGrid w:val="0"/>
          <w:kern w:val="20"/>
          <w:sz w:val="22"/>
          <w:szCs w:val="22"/>
        </w:rPr>
        <w:t xml:space="preserve">that </w:t>
      </w:r>
      <w:r>
        <w:rPr>
          <w:snapToGrid w:val="0"/>
          <w:kern w:val="20"/>
          <w:sz w:val="22"/>
          <w:szCs w:val="22"/>
        </w:rPr>
        <w:t xml:space="preserve">the master must </w:t>
      </w:r>
      <w:r w:rsidR="00AD0DC1">
        <w:rPr>
          <w:snapToGrid w:val="0"/>
          <w:kern w:val="20"/>
          <w:sz w:val="22"/>
          <w:szCs w:val="22"/>
        </w:rPr>
        <w:t xml:space="preserve">provide all information relating to the taking, disposal or sale of fish by the </w:t>
      </w:r>
      <w:r w:rsidR="00952E55">
        <w:rPr>
          <w:snapToGrid w:val="0"/>
          <w:kern w:val="20"/>
          <w:sz w:val="22"/>
          <w:szCs w:val="22"/>
        </w:rPr>
        <w:t>l</w:t>
      </w:r>
      <w:r w:rsidR="00AD0DC1">
        <w:rPr>
          <w:snapToGrid w:val="0"/>
          <w:kern w:val="20"/>
          <w:sz w:val="22"/>
          <w:szCs w:val="22"/>
        </w:rPr>
        <w:t xml:space="preserve">ogbook, </w:t>
      </w:r>
      <w:r>
        <w:rPr>
          <w:snapToGrid w:val="0"/>
          <w:kern w:val="20"/>
          <w:sz w:val="22"/>
          <w:szCs w:val="22"/>
        </w:rPr>
        <w:t>secure</w:t>
      </w:r>
      <w:r w:rsidR="00AD0DC1">
        <w:rPr>
          <w:snapToGrid w:val="0"/>
          <w:kern w:val="20"/>
          <w:sz w:val="22"/>
          <w:szCs w:val="22"/>
        </w:rPr>
        <w:t xml:space="preserve"> the </w:t>
      </w:r>
      <w:r w:rsidR="00952E55">
        <w:rPr>
          <w:snapToGrid w:val="0"/>
          <w:kern w:val="20"/>
          <w:sz w:val="22"/>
          <w:szCs w:val="22"/>
        </w:rPr>
        <w:t>l</w:t>
      </w:r>
      <w:r w:rsidR="00AD0DC1">
        <w:rPr>
          <w:snapToGrid w:val="0"/>
          <w:kern w:val="20"/>
          <w:sz w:val="22"/>
          <w:szCs w:val="22"/>
        </w:rPr>
        <w:t xml:space="preserve">ogbook and </w:t>
      </w:r>
      <w:r>
        <w:rPr>
          <w:snapToGrid w:val="0"/>
          <w:kern w:val="20"/>
          <w:sz w:val="22"/>
          <w:szCs w:val="22"/>
        </w:rPr>
        <w:t xml:space="preserve">store </w:t>
      </w:r>
      <w:r w:rsidR="00AD0DC1">
        <w:rPr>
          <w:snapToGrid w:val="0"/>
          <w:kern w:val="20"/>
          <w:sz w:val="22"/>
          <w:szCs w:val="22"/>
        </w:rPr>
        <w:t xml:space="preserve">the </w:t>
      </w:r>
      <w:r w:rsidR="00952E55">
        <w:rPr>
          <w:snapToGrid w:val="0"/>
          <w:kern w:val="20"/>
          <w:sz w:val="22"/>
          <w:szCs w:val="22"/>
        </w:rPr>
        <w:t>l</w:t>
      </w:r>
      <w:r w:rsidR="00AD0DC1">
        <w:rPr>
          <w:snapToGrid w:val="0"/>
          <w:kern w:val="20"/>
          <w:sz w:val="22"/>
          <w:szCs w:val="22"/>
        </w:rPr>
        <w:t>ogbook</w:t>
      </w:r>
      <w:r w:rsidR="006A22F8" w:rsidRPr="006A22F8">
        <w:rPr>
          <w:snapToGrid w:val="0"/>
          <w:kern w:val="20"/>
          <w:sz w:val="22"/>
          <w:szCs w:val="22"/>
        </w:rPr>
        <w:t xml:space="preserve"> </w:t>
      </w:r>
      <w:r w:rsidR="006A22F8" w:rsidRPr="006A22F8">
        <w:rPr>
          <w:sz w:val="22"/>
          <w:szCs w:val="22"/>
        </w:rPr>
        <w:t>in accordance with the instructions provided in the relevant logbook</w:t>
      </w:r>
      <w:r w:rsidR="00AD0DC1" w:rsidRPr="006A22F8">
        <w:rPr>
          <w:sz w:val="22"/>
          <w:szCs w:val="22"/>
        </w:rPr>
        <w:t>.</w:t>
      </w:r>
    </w:p>
    <w:p w14:paraId="4DF8E299" w14:textId="3D9F258D" w:rsidR="00AD0DC1" w:rsidRDefault="00AD0DC1" w:rsidP="00E659CD">
      <w:pPr>
        <w:spacing w:before="240" w:after="240" w:line="276" w:lineRule="auto"/>
        <w:ind w:left="1440" w:hanging="1440"/>
        <w:jc w:val="both"/>
        <w:rPr>
          <w:snapToGrid w:val="0"/>
          <w:kern w:val="20"/>
          <w:sz w:val="22"/>
          <w:szCs w:val="22"/>
        </w:rPr>
      </w:pPr>
      <w:r>
        <w:rPr>
          <w:b/>
          <w:i/>
          <w:snapToGrid w:val="0"/>
          <w:kern w:val="20"/>
          <w:sz w:val="22"/>
          <w:szCs w:val="22"/>
        </w:rPr>
        <w:tab/>
      </w:r>
      <w:r w:rsidR="009B6F34">
        <w:rPr>
          <w:snapToGrid w:val="0"/>
          <w:kern w:val="20"/>
          <w:sz w:val="22"/>
          <w:szCs w:val="22"/>
        </w:rPr>
        <w:t xml:space="preserve">Subsection </w:t>
      </w:r>
      <w:r w:rsidR="000D79BA">
        <w:rPr>
          <w:snapToGrid w:val="0"/>
          <w:kern w:val="20"/>
          <w:sz w:val="22"/>
          <w:szCs w:val="22"/>
        </w:rPr>
        <w:t>9</w:t>
      </w:r>
      <w:r w:rsidR="00A04136">
        <w:rPr>
          <w:snapToGrid w:val="0"/>
          <w:kern w:val="20"/>
          <w:sz w:val="22"/>
          <w:szCs w:val="22"/>
        </w:rPr>
        <w:t>(4) p</w:t>
      </w:r>
      <w:r w:rsidRPr="00AA1335">
        <w:rPr>
          <w:snapToGrid w:val="0"/>
          <w:kern w:val="20"/>
          <w:sz w:val="22"/>
          <w:szCs w:val="22"/>
        </w:rPr>
        <w:t xml:space="preserve">rovides </w:t>
      </w:r>
      <w:r>
        <w:rPr>
          <w:snapToGrid w:val="0"/>
          <w:kern w:val="20"/>
          <w:sz w:val="22"/>
          <w:szCs w:val="22"/>
        </w:rPr>
        <w:t xml:space="preserve">that the master </w:t>
      </w:r>
      <w:r w:rsidR="00F2304C" w:rsidRPr="00F2304C">
        <w:rPr>
          <w:snapToGrid w:val="0"/>
          <w:kern w:val="20"/>
          <w:sz w:val="22"/>
          <w:szCs w:val="22"/>
        </w:rPr>
        <w:t>is required to provide information in the</w:t>
      </w:r>
      <w:r w:rsidR="00F2304C" w:rsidRPr="00F2304C" w:rsidDel="00F2304C">
        <w:rPr>
          <w:snapToGrid w:val="0"/>
          <w:kern w:val="20"/>
          <w:sz w:val="22"/>
          <w:szCs w:val="22"/>
        </w:rPr>
        <w:t xml:space="preserve"> </w:t>
      </w:r>
      <w:r w:rsidR="00F57E76">
        <w:rPr>
          <w:snapToGrid w:val="0"/>
          <w:kern w:val="20"/>
          <w:sz w:val="22"/>
          <w:szCs w:val="22"/>
        </w:rPr>
        <w:t>l</w:t>
      </w:r>
      <w:r>
        <w:rPr>
          <w:snapToGrid w:val="0"/>
          <w:kern w:val="20"/>
          <w:sz w:val="22"/>
          <w:szCs w:val="22"/>
        </w:rPr>
        <w:t xml:space="preserve">ogbook for each calendar day </w:t>
      </w:r>
      <w:r w:rsidR="00A04136">
        <w:rPr>
          <w:snapToGrid w:val="0"/>
          <w:kern w:val="20"/>
          <w:sz w:val="22"/>
          <w:szCs w:val="22"/>
        </w:rPr>
        <w:t>u</w:t>
      </w:r>
      <w:r>
        <w:rPr>
          <w:snapToGrid w:val="0"/>
          <w:kern w:val="20"/>
          <w:sz w:val="22"/>
          <w:szCs w:val="22"/>
        </w:rPr>
        <w:t xml:space="preserve">pon which commercial fishing activities occur. </w:t>
      </w:r>
    </w:p>
    <w:p w14:paraId="25D23AF4" w14:textId="765233BA" w:rsidR="00F107B2" w:rsidRDefault="00332E89" w:rsidP="00E659CD">
      <w:pPr>
        <w:spacing w:before="240" w:after="240" w:line="276" w:lineRule="auto"/>
        <w:ind w:left="1440" w:hanging="1440"/>
        <w:jc w:val="both"/>
        <w:rPr>
          <w:snapToGrid w:val="0"/>
          <w:kern w:val="20"/>
          <w:sz w:val="22"/>
          <w:szCs w:val="22"/>
        </w:rPr>
      </w:pPr>
      <w:r>
        <w:rPr>
          <w:snapToGrid w:val="0"/>
          <w:kern w:val="20"/>
          <w:sz w:val="22"/>
          <w:szCs w:val="22"/>
        </w:rPr>
        <w:lastRenderedPageBreak/>
        <w:tab/>
      </w:r>
      <w:r w:rsidR="009B6F34">
        <w:rPr>
          <w:snapToGrid w:val="0"/>
          <w:kern w:val="20"/>
          <w:sz w:val="22"/>
          <w:szCs w:val="22"/>
        </w:rPr>
        <w:t xml:space="preserve">Subsection </w:t>
      </w:r>
      <w:r w:rsidR="00197D15">
        <w:rPr>
          <w:snapToGrid w:val="0"/>
          <w:kern w:val="20"/>
          <w:sz w:val="22"/>
          <w:szCs w:val="22"/>
        </w:rPr>
        <w:t>9</w:t>
      </w:r>
      <w:r w:rsidR="00D768F5">
        <w:rPr>
          <w:snapToGrid w:val="0"/>
          <w:kern w:val="20"/>
          <w:sz w:val="22"/>
          <w:szCs w:val="22"/>
        </w:rPr>
        <w:t>(5) p</w:t>
      </w:r>
      <w:r w:rsidR="00AD0DC1" w:rsidRPr="00AA1335">
        <w:rPr>
          <w:snapToGrid w:val="0"/>
          <w:kern w:val="20"/>
          <w:sz w:val="22"/>
          <w:szCs w:val="22"/>
        </w:rPr>
        <w:t xml:space="preserve">rovides </w:t>
      </w:r>
      <w:r w:rsidR="00AD0DC1">
        <w:rPr>
          <w:snapToGrid w:val="0"/>
          <w:kern w:val="20"/>
          <w:sz w:val="22"/>
          <w:szCs w:val="22"/>
        </w:rPr>
        <w:t xml:space="preserve">that the </w:t>
      </w:r>
      <w:r w:rsidR="00D61A03" w:rsidRPr="00D61A03">
        <w:rPr>
          <w:snapToGrid w:val="0"/>
          <w:kern w:val="20"/>
          <w:sz w:val="22"/>
          <w:szCs w:val="22"/>
        </w:rPr>
        <w:t>master is required to furnish information kept and maintained in accordance with section 9(2) to AFMA in the manner prescribed by section 10 of this instrument</w:t>
      </w:r>
      <w:r w:rsidR="00436B73">
        <w:rPr>
          <w:snapToGrid w:val="0"/>
          <w:kern w:val="20"/>
          <w:sz w:val="22"/>
          <w:szCs w:val="22"/>
        </w:rPr>
        <w:t>.</w:t>
      </w:r>
    </w:p>
    <w:p w14:paraId="4A5F9D5D" w14:textId="52A2376F" w:rsidR="00F107B2" w:rsidRPr="00AA1335" w:rsidRDefault="00F107B2" w:rsidP="00E659CD">
      <w:pPr>
        <w:spacing w:before="240" w:after="240" w:line="276" w:lineRule="auto"/>
        <w:ind w:left="1440" w:hanging="1440"/>
        <w:jc w:val="both"/>
        <w:rPr>
          <w:snapToGrid w:val="0"/>
          <w:kern w:val="20"/>
          <w:sz w:val="22"/>
          <w:szCs w:val="22"/>
        </w:rPr>
      </w:pPr>
      <w:r>
        <w:rPr>
          <w:snapToGrid w:val="0"/>
          <w:kern w:val="20"/>
          <w:sz w:val="22"/>
          <w:szCs w:val="22"/>
        </w:rPr>
        <w:t xml:space="preserve">                          </w:t>
      </w:r>
      <w:r w:rsidRPr="00F107B2">
        <w:rPr>
          <w:snapToGrid w:val="0"/>
          <w:kern w:val="20"/>
          <w:sz w:val="22"/>
          <w:szCs w:val="22"/>
        </w:rPr>
        <w:t xml:space="preserve">It is noted at this section that failure to provide information required by this Instrument is a strict liability offence. </w:t>
      </w:r>
    </w:p>
    <w:p w14:paraId="3ADF90E6" w14:textId="7E7841C3" w:rsidR="007305E3" w:rsidRDefault="00AD0DC1" w:rsidP="00E659CD">
      <w:pPr>
        <w:spacing w:before="240" w:after="240" w:line="276" w:lineRule="auto"/>
        <w:ind w:left="1440" w:hanging="1440"/>
        <w:jc w:val="both"/>
        <w:rPr>
          <w:snapToGrid w:val="0"/>
          <w:kern w:val="20"/>
          <w:sz w:val="22"/>
          <w:szCs w:val="22"/>
        </w:rPr>
      </w:pPr>
      <w:r>
        <w:rPr>
          <w:b/>
          <w:i/>
          <w:snapToGrid w:val="0"/>
          <w:kern w:val="20"/>
          <w:sz w:val="22"/>
          <w:szCs w:val="22"/>
        </w:rPr>
        <w:t xml:space="preserve">Section </w:t>
      </w:r>
      <w:r w:rsidR="002E79CD">
        <w:rPr>
          <w:b/>
          <w:i/>
          <w:snapToGrid w:val="0"/>
          <w:kern w:val="20"/>
          <w:sz w:val="22"/>
          <w:szCs w:val="22"/>
        </w:rPr>
        <w:t>10</w:t>
      </w:r>
      <w:r>
        <w:rPr>
          <w:b/>
          <w:i/>
          <w:snapToGrid w:val="0"/>
          <w:kern w:val="20"/>
          <w:sz w:val="22"/>
          <w:szCs w:val="22"/>
        </w:rPr>
        <w:tab/>
      </w:r>
      <w:r w:rsidRPr="00AA1335">
        <w:rPr>
          <w:snapToGrid w:val="0"/>
          <w:kern w:val="20"/>
          <w:sz w:val="22"/>
          <w:szCs w:val="22"/>
        </w:rPr>
        <w:t xml:space="preserve">Provides </w:t>
      </w:r>
      <w:r>
        <w:rPr>
          <w:snapToGrid w:val="0"/>
          <w:kern w:val="20"/>
          <w:sz w:val="22"/>
          <w:szCs w:val="22"/>
        </w:rPr>
        <w:t xml:space="preserve">the manner and frequency in which the master must furnish information to AFMA. </w:t>
      </w:r>
      <w:r w:rsidR="00D768F5">
        <w:rPr>
          <w:snapToGrid w:val="0"/>
          <w:kern w:val="20"/>
          <w:sz w:val="22"/>
          <w:szCs w:val="22"/>
        </w:rPr>
        <w:t xml:space="preserve">The manner and frequency in which the master must furnish information to AFMA </w:t>
      </w:r>
      <w:r w:rsidR="007305E3">
        <w:rPr>
          <w:snapToGrid w:val="0"/>
          <w:kern w:val="20"/>
          <w:sz w:val="22"/>
          <w:szCs w:val="22"/>
        </w:rPr>
        <w:t>is</w:t>
      </w:r>
      <w:r w:rsidR="00D768F5">
        <w:rPr>
          <w:snapToGrid w:val="0"/>
          <w:kern w:val="20"/>
          <w:sz w:val="22"/>
          <w:szCs w:val="22"/>
        </w:rPr>
        <w:t xml:space="preserve"> described in the instructions </w:t>
      </w:r>
      <w:r w:rsidR="007305E3">
        <w:rPr>
          <w:snapToGrid w:val="0"/>
          <w:kern w:val="20"/>
          <w:sz w:val="22"/>
          <w:szCs w:val="22"/>
        </w:rPr>
        <w:t xml:space="preserve">of each relevant </w:t>
      </w:r>
      <w:r w:rsidR="00F57E76">
        <w:rPr>
          <w:snapToGrid w:val="0"/>
          <w:kern w:val="20"/>
          <w:sz w:val="22"/>
          <w:szCs w:val="22"/>
        </w:rPr>
        <w:t>l</w:t>
      </w:r>
      <w:r w:rsidR="007305E3">
        <w:rPr>
          <w:snapToGrid w:val="0"/>
          <w:kern w:val="20"/>
          <w:sz w:val="22"/>
          <w:szCs w:val="22"/>
        </w:rPr>
        <w:t>ogbook</w:t>
      </w:r>
      <w:r w:rsidR="006A22F8">
        <w:rPr>
          <w:snapToGrid w:val="0"/>
          <w:kern w:val="20"/>
          <w:sz w:val="22"/>
          <w:szCs w:val="22"/>
        </w:rPr>
        <w:t xml:space="preserve">. </w:t>
      </w:r>
      <w:r w:rsidR="007305E3">
        <w:rPr>
          <w:snapToGrid w:val="0"/>
          <w:kern w:val="20"/>
          <w:sz w:val="22"/>
          <w:szCs w:val="22"/>
        </w:rPr>
        <w:t xml:space="preserve"> </w:t>
      </w:r>
    </w:p>
    <w:p w14:paraId="3C1F9167" w14:textId="40D174A2" w:rsidR="007305E3" w:rsidRDefault="007305E3" w:rsidP="00E659CD">
      <w:pPr>
        <w:spacing w:before="240" w:after="240" w:line="276" w:lineRule="auto"/>
        <w:ind w:left="1440" w:hanging="1440"/>
        <w:jc w:val="both"/>
        <w:rPr>
          <w:snapToGrid w:val="0"/>
          <w:kern w:val="20"/>
          <w:sz w:val="22"/>
          <w:szCs w:val="22"/>
        </w:rPr>
      </w:pPr>
      <w:r>
        <w:rPr>
          <w:b/>
          <w:i/>
          <w:snapToGrid w:val="0"/>
          <w:kern w:val="20"/>
          <w:sz w:val="22"/>
          <w:szCs w:val="22"/>
        </w:rPr>
        <w:tab/>
      </w:r>
      <w:r w:rsidR="008731F7">
        <w:rPr>
          <w:snapToGrid w:val="0"/>
          <w:kern w:val="20"/>
          <w:sz w:val="22"/>
          <w:szCs w:val="22"/>
        </w:rPr>
        <w:t>Subsection 10(2) provides that t</w:t>
      </w:r>
      <w:r w:rsidR="008731F7" w:rsidRPr="008731F7">
        <w:rPr>
          <w:snapToGrid w:val="0"/>
          <w:kern w:val="20"/>
          <w:sz w:val="22"/>
          <w:szCs w:val="22"/>
        </w:rPr>
        <w:t xml:space="preserve">he holder must furnish any e-log kept and maintained under section </w:t>
      </w:r>
      <w:r w:rsidR="004538F2">
        <w:rPr>
          <w:snapToGrid w:val="0"/>
          <w:kern w:val="20"/>
          <w:sz w:val="22"/>
          <w:szCs w:val="22"/>
        </w:rPr>
        <w:t>7</w:t>
      </w:r>
      <w:r w:rsidR="008731F7" w:rsidRPr="008731F7">
        <w:rPr>
          <w:snapToGrid w:val="0"/>
          <w:kern w:val="20"/>
          <w:sz w:val="22"/>
          <w:szCs w:val="22"/>
        </w:rPr>
        <w:t xml:space="preserve"> to AFMA before the boat docks at the end of each trip, or when rendezvousing with a mothership, whichever is sooner</w:t>
      </w:r>
      <w:r w:rsidR="008731F7">
        <w:rPr>
          <w:snapToGrid w:val="0"/>
          <w:kern w:val="20"/>
          <w:sz w:val="22"/>
          <w:szCs w:val="22"/>
        </w:rPr>
        <w:t xml:space="preserve">. </w:t>
      </w:r>
    </w:p>
    <w:p w14:paraId="647F382B" w14:textId="4769A1BA" w:rsidR="00BB2770" w:rsidRDefault="00BB2770" w:rsidP="00FA66F8">
      <w:pPr>
        <w:spacing w:before="240" w:after="240" w:line="276" w:lineRule="auto"/>
        <w:ind w:left="1440" w:hanging="1440"/>
        <w:jc w:val="both"/>
        <w:rPr>
          <w:sz w:val="22"/>
          <w:szCs w:val="22"/>
        </w:rPr>
      </w:pPr>
      <w:r w:rsidRPr="009470CC">
        <w:rPr>
          <w:b/>
          <w:bCs/>
          <w:i/>
          <w:iCs/>
          <w:snapToGrid w:val="0"/>
          <w:kern w:val="20"/>
          <w:sz w:val="22"/>
          <w:szCs w:val="22"/>
        </w:rPr>
        <w:t>Schedule 1</w:t>
      </w:r>
      <w:r w:rsidRPr="00BB2770">
        <w:rPr>
          <w:b/>
          <w:bCs/>
          <w:snapToGrid w:val="0"/>
          <w:kern w:val="20"/>
          <w:sz w:val="22"/>
          <w:szCs w:val="22"/>
        </w:rPr>
        <w:t xml:space="preserve">   </w:t>
      </w:r>
      <w:r>
        <w:rPr>
          <w:b/>
          <w:bCs/>
          <w:snapToGrid w:val="0"/>
          <w:kern w:val="20"/>
          <w:sz w:val="22"/>
          <w:szCs w:val="22"/>
        </w:rPr>
        <w:t xml:space="preserve">   </w:t>
      </w:r>
      <w:r w:rsidR="00973C88">
        <w:rPr>
          <w:b/>
          <w:bCs/>
          <w:snapToGrid w:val="0"/>
          <w:kern w:val="20"/>
          <w:sz w:val="22"/>
          <w:szCs w:val="22"/>
        </w:rPr>
        <w:t xml:space="preserve"> </w:t>
      </w:r>
      <w:r w:rsidR="00973C88" w:rsidRPr="00973C88">
        <w:rPr>
          <w:snapToGrid w:val="0"/>
          <w:kern w:val="20"/>
          <w:sz w:val="22"/>
          <w:szCs w:val="22"/>
        </w:rPr>
        <w:t xml:space="preserve">Repeals </w:t>
      </w:r>
      <w:r w:rsidR="00973C88">
        <w:rPr>
          <w:snapToGrid w:val="0"/>
          <w:kern w:val="20"/>
          <w:sz w:val="22"/>
          <w:szCs w:val="22"/>
        </w:rPr>
        <w:t xml:space="preserve">the </w:t>
      </w:r>
      <w:r w:rsidR="00973C88" w:rsidRPr="00973C88">
        <w:rPr>
          <w:i/>
          <w:iCs/>
          <w:snapToGrid w:val="0"/>
          <w:kern w:val="20"/>
          <w:sz w:val="22"/>
          <w:szCs w:val="22"/>
        </w:rPr>
        <w:t>Torres Strait Fisheries (Furnishing of Logbooks) Instrument 2023.</w:t>
      </w:r>
    </w:p>
    <w:p w14:paraId="4134B221" w14:textId="5B31C7DE" w:rsidR="007305E3" w:rsidRPr="00BB2770" w:rsidRDefault="00C645EA" w:rsidP="00E659CD">
      <w:pPr>
        <w:spacing w:before="240" w:after="240" w:line="276" w:lineRule="auto"/>
        <w:ind w:left="1440" w:hanging="1440"/>
        <w:jc w:val="both"/>
        <w:rPr>
          <w:b/>
          <w:sz w:val="22"/>
          <w:szCs w:val="22"/>
        </w:rPr>
      </w:pPr>
      <w:r w:rsidRPr="009470CC">
        <w:rPr>
          <w:b/>
          <w:bCs/>
          <w:i/>
          <w:iCs/>
          <w:sz w:val="22"/>
          <w:szCs w:val="22"/>
        </w:rPr>
        <w:t>Appendix-1</w:t>
      </w:r>
      <w:r w:rsidR="00BB2770" w:rsidRPr="00BB2770">
        <w:rPr>
          <w:b/>
          <w:bCs/>
          <w:sz w:val="22"/>
          <w:szCs w:val="22"/>
        </w:rPr>
        <w:t xml:space="preserve">   </w:t>
      </w:r>
      <w:r w:rsidR="00FA66F8">
        <w:rPr>
          <w:b/>
          <w:bCs/>
          <w:sz w:val="22"/>
          <w:szCs w:val="22"/>
        </w:rPr>
        <w:t xml:space="preserve">  </w:t>
      </w:r>
      <w:r w:rsidR="00FA66F8" w:rsidRPr="00FA66F8">
        <w:rPr>
          <w:sz w:val="22"/>
          <w:szCs w:val="22"/>
        </w:rPr>
        <w:t xml:space="preserve">Provides the </w:t>
      </w:r>
      <w:r w:rsidR="00FA66F8">
        <w:rPr>
          <w:sz w:val="22"/>
          <w:szCs w:val="22"/>
        </w:rPr>
        <w:t>content of e-logs required to be kept and maintained for the</w:t>
      </w:r>
      <w:r w:rsidR="00FA66F8" w:rsidRPr="00FA66F8">
        <w:rPr>
          <w:sz w:val="22"/>
          <w:szCs w:val="22"/>
        </w:rPr>
        <w:t xml:space="preserve"> electronic schema ADC EPRAWN</w:t>
      </w:r>
      <w:r w:rsidR="00FA66F8">
        <w:rPr>
          <w:sz w:val="22"/>
          <w:szCs w:val="22"/>
        </w:rPr>
        <w:t xml:space="preserve">. </w:t>
      </w:r>
    </w:p>
    <w:sectPr w:rsidR="007305E3" w:rsidRPr="00BB2770" w:rsidSect="0088538B">
      <w:footerReference w:type="even" r:id="rId12"/>
      <w:footerReference w:type="default" r:id="rId13"/>
      <w:pgSz w:w="11907" w:h="16840" w:code="9"/>
      <w:pgMar w:top="1440" w:right="1440" w:bottom="1276"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37A2C" w14:textId="77777777" w:rsidR="002E5B2C" w:rsidRDefault="002E5B2C" w:rsidP="00FC54D1">
      <w:r>
        <w:separator/>
      </w:r>
    </w:p>
  </w:endnote>
  <w:endnote w:type="continuationSeparator" w:id="0">
    <w:p w14:paraId="49A79451" w14:textId="77777777" w:rsidR="002E5B2C" w:rsidRDefault="002E5B2C" w:rsidP="00FC54D1">
      <w:r>
        <w:continuationSeparator/>
      </w:r>
    </w:p>
  </w:endnote>
  <w:endnote w:type="continuationNotice" w:id="1">
    <w:p w14:paraId="232B2CE2" w14:textId="77777777" w:rsidR="002E5B2C" w:rsidRDefault="002E5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E0070" w14:textId="77777777" w:rsidR="00B551E9" w:rsidRDefault="00FC5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3E37904" w14:textId="77777777" w:rsidR="00B551E9" w:rsidRDefault="00B55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4AC72" w14:textId="33879ED4" w:rsidR="00B551E9" w:rsidRDefault="00FC5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44B8">
      <w:rPr>
        <w:rStyle w:val="PageNumber"/>
        <w:noProof/>
      </w:rPr>
      <w:t>5</w:t>
    </w:r>
    <w:r>
      <w:rPr>
        <w:rStyle w:val="PageNumber"/>
      </w:rPr>
      <w:fldChar w:fldCharType="end"/>
    </w:r>
  </w:p>
  <w:p w14:paraId="46B84FE7" w14:textId="77777777" w:rsidR="00B551E9" w:rsidRDefault="00B551E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699C6" w14:textId="77777777" w:rsidR="002E5B2C" w:rsidRDefault="002E5B2C" w:rsidP="00FC54D1">
      <w:r>
        <w:separator/>
      </w:r>
    </w:p>
  </w:footnote>
  <w:footnote w:type="continuationSeparator" w:id="0">
    <w:p w14:paraId="73C6D4D3" w14:textId="77777777" w:rsidR="002E5B2C" w:rsidRDefault="002E5B2C" w:rsidP="00FC54D1">
      <w:r>
        <w:continuationSeparator/>
      </w:r>
    </w:p>
  </w:footnote>
  <w:footnote w:type="continuationNotice" w:id="1">
    <w:p w14:paraId="73474D9E" w14:textId="77777777" w:rsidR="002E5B2C" w:rsidRDefault="002E5B2C"/>
  </w:footnote>
  <w:footnote w:id="2">
    <w:p w14:paraId="396DA99C" w14:textId="2106A518" w:rsidR="00B17CA4" w:rsidRPr="007B0945" w:rsidRDefault="00B17CA4" w:rsidP="007B0945">
      <w:pPr>
        <w:pStyle w:val="Definition"/>
        <w:ind w:left="0"/>
        <w:rPr>
          <w:color w:val="000000"/>
          <w:sz w:val="16"/>
          <w:szCs w:val="16"/>
          <w:shd w:val="clear" w:color="auto" w:fill="FFFFFF"/>
        </w:rPr>
      </w:pPr>
      <w:r w:rsidRPr="001C3E97">
        <w:rPr>
          <w:rStyle w:val="FootnoteReference"/>
          <w:sz w:val="16"/>
          <w:szCs w:val="16"/>
        </w:rPr>
        <w:footnoteRef/>
      </w:r>
      <w:r w:rsidRPr="001C3E97">
        <w:rPr>
          <w:sz w:val="16"/>
          <w:szCs w:val="16"/>
        </w:rPr>
        <w:t xml:space="preserve"> </w:t>
      </w:r>
      <w:r w:rsidRPr="001C3E97">
        <w:rPr>
          <w:bCs/>
          <w:iCs/>
          <w:color w:val="000000"/>
          <w:sz w:val="16"/>
          <w:szCs w:val="16"/>
          <w:shd w:val="clear" w:color="auto" w:fill="FFFFFF"/>
        </w:rPr>
        <w:t>PZJA Arrangement</w:t>
      </w:r>
      <w:r w:rsidRPr="001C3E97">
        <w:rPr>
          <w:color w:val="000000"/>
          <w:sz w:val="16"/>
          <w:szCs w:val="16"/>
          <w:shd w:val="clear" w:color="auto" w:fill="FFFFFF"/>
        </w:rPr>
        <w:t> means the document titled “</w:t>
      </w:r>
      <w:r w:rsidRPr="001C3E97">
        <w:rPr>
          <w:i/>
          <w:iCs/>
          <w:color w:val="000000"/>
          <w:sz w:val="16"/>
          <w:szCs w:val="16"/>
          <w:shd w:val="clear" w:color="auto" w:fill="FFFFFF"/>
        </w:rPr>
        <w:t xml:space="preserve">Arrangement between the Commonwealth and the State of Queensland under section 31 of the Torres Strait Fisheries Act 1984” </w:t>
      </w:r>
      <w:r w:rsidRPr="001C3E97">
        <w:rPr>
          <w:iCs/>
          <w:color w:val="000000"/>
          <w:sz w:val="16"/>
          <w:szCs w:val="16"/>
          <w:shd w:val="clear" w:color="auto" w:fill="FFFFFF"/>
        </w:rPr>
        <w:t>dated 17 March 1999</w:t>
      </w:r>
      <w:r w:rsidRPr="001C3E97">
        <w:rPr>
          <w:i/>
          <w:iCs/>
          <w:color w:val="000000"/>
          <w:sz w:val="16"/>
          <w:szCs w:val="16"/>
          <w:shd w:val="clear" w:color="auto" w:fill="FFFFFF"/>
        </w:rPr>
        <w:t xml:space="preserve"> </w:t>
      </w:r>
      <w:r w:rsidRPr="001C3E97">
        <w:rPr>
          <w:color w:val="000000"/>
          <w:sz w:val="16"/>
          <w:szCs w:val="16"/>
          <w:shd w:val="clear" w:color="auto" w:fill="FFFFFF"/>
        </w:rPr>
        <w:t>and</w:t>
      </w:r>
      <w:r w:rsidRPr="001C3E97">
        <w:rPr>
          <w:i/>
          <w:iCs/>
          <w:color w:val="000000"/>
          <w:sz w:val="16"/>
          <w:szCs w:val="16"/>
          <w:shd w:val="clear" w:color="auto" w:fill="FFFFFF"/>
        </w:rPr>
        <w:t xml:space="preserve"> </w:t>
      </w:r>
      <w:r w:rsidRPr="001C3E97">
        <w:rPr>
          <w:color w:val="000000"/>
          <w:sz w:val="16"/>
          <w:szCs w:val="16"/>
          <w:shd w:val="clear" w:color="auto" w:fill="FFFFFF"/>
        </w:rPr>
        <w:t xml:space="preserve">published on the Federal Register of Legislation, as that document exists at the commencement of this Instrument. </w:t>
      </w:r>
      <w:r w:rsidRPr="001C3E97">
        <w:rPr>
          <w:color w:val="000000"/>
          <w:sz w:val="16"/>
          <w:szCs w:val="16"/>
        </w:rPr>
        <w:t>The PZJA Arrangement could in 202</w:t>
      </w:r>
      <w:r w:rsidR="00517402">
        <w:rPr>
          <w:color w:val="000000"/>
          <w:sz w:val="16"/>
          <w:szCs w:val="16"/>
        </w:rPr>
        <w:t>4</w:t>
      </w:r>
      <w:r w:rsidRPr="001C3E97">
        <w:rPr>
          <w:color w:val="000000"/>
          <w:sz w:val="16"/>
          <w:szCs w:val="16"/>
        </w:rPr>
        <w:t xml:space="preserve"> be viewed </w:t>
      </w:r>
      <w:r w:rsidR="00D976B1">
        <w:rPr>
          <w:color w:val="000000"/>
          <w:sz w:val="16"/>
          <w:szCs w:val="16"/>
        </w:rPr>
        <w:t xml:space="preserve">free of charge </w:t>
      </w:r>
      <w:r w:rsidRPr="001C3E97">
        <w:rPr>
          <w:color w:val="000000"/>
          <w:sz w:val="16"/>
          <w:szCs w:val="16"/>
        </w:rPr>
        <w:t>on the website of the Federal Register of Legislation (</w:t>
      </w:r>
      <w:r w:rsidRPr="00A47DCA">
        <w:rPr>
          <w:sz w:val="16"/>
          <w:szCs w:val="16"/>
        </w:rPr>
        <w:t>https://www.legislation.gov.au/Details/F2008B00750</w:t>
      </w:r>
      <w:r w:rsidRPr="001C3E97">
        <w:rPr>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50209"/>
    <w:multiLevelType w:val="hybridMultilevel"/>
    <w:tmpl w:val="830AB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F6546F"/>
    <w:multiLevelType w:val="hybridMultilevel"/>
    <w:tmpl w:val="CD48E880"/>
    <w:lvl w:ilvl="0" w:tplc="0B3C826C">
      <w:start w:val="1"/>
      <w:numFmt w:val="lowerLetter"/>
      <w:lvlText w:val="8.%1"/>
      <w:lvlJc w:val="left"/>
      <w:pPr>
        <w:ind w:left="1068" w:hanging="360"/>
      </w:pPr>
      <w:rPr>
        <w:rFonts w:hint="default"/>
        <w:b w:val="0"/>
        <w:i w:val="0"/>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2" w15:restartNumberingAfterBreak="0">
    <w:nsid w:val="3D482B63"/>
    <w:multiLevelType w:val="hybridMultilevel"/>
    <w:tmpl w:val="48D8F2FA"/>
    <w:lvl w:ilvl="0" w:tplc="E6F26678">
      <w:start w:val="1"/>
      <w:numFmt w:val="decimal"/>
      <w:lvlText w:val="%1."/>
      <w:lvlJc w:val="left"/>
      <w:pPr>
        <w:ind w:left="720" w:hanging="360"/>
      </w:pPr>
      <w:rPr>
        <w:rFonts w:asciiTheme="minorHAnsi" w:hAnsiTheme="minorHAnsi" w:hint="default"/>
        <w:b w:val="0"/>
        <w:i w:val="0"/>
        <w:sz w:val="22"/>
        <w:szCs w:val="22"/>
      </w:rPr>
    </w:lvl>
    <w:lvl w:ilvl="1" w:tplc="6B38AE68">
      <w:start w:val="1"/>
      <w:numFmt w:val="lowerLetter"/>
      <w:lvlText w:val="%2."/>
      <w:lvlJc w:val="left"/>
      <w:pPr>
        <w:ind w:left="1440" w:hanging="360"/>
      </w:pPr>
      <w:rPr>
        <w:b w:val="0"/>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16F365A"/>
    <w:multiLevelType w:val="hybridMultilevel"/>
    <w:tmpl w:val="C7DE3AD6"/>
    <w:lvl w:ilvl="0" w:tplc="E79E2A8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 w15:restartNumberingAfterBreak="0">
    <w:nsid w:val="688053EA"/>
    <w:multiLevelType w:val="hybridMultilevel"/>
    <w:tmpl w:val="E7C2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683E46"/>
    <w:multiLevelType w:val="hybridMultilevel"/>
    <w:tmpl w:val="74DE0C66"/>
    <w:lvl w:ilvl="0" w:tplc="0BCCD066">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16cid:durableId="427313841">
    <w:abstractNumId w:val="0"/>
  </w:num>
  <w:num w:numId="2" w16cid:durableId="2024163603">
    <w:abstractNumId w:val="5"/>
  </w:num>
  <w:num w:numId="3" w16cid:durableId="1488866222">
    <w:abstractNumId w:val="3"/>
  </w:num>
  <w:num w:numId="4" w16cid:durableId="577636868">
    <w:abstractNumId w:val="4"/>
  </w:num>
  <w:num w:numId="5" w16cid:durableId="250625394">
    <w:abstractNumId w:val="2"/>
  </w:num>
  <w:num w:numId="6" w16cid:durableId="172267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D1"/>
    <w:rsid w:val="00000C81"/>
    <w:rsid w:val="0000244B"/>
    <w:rsid w:val="0000655F"/>
    <w:rsid w:val="000075FB"/>
    <w:rsid w:val="0001072C"/>
    <w:rsid w:val="00011C4C"/>
    <w:rsid w:val="00011C56"/>
    <w:rsid w:val="00011CC4"/>
    <w:rsid w:val="000120CA"/>
    <w:rsid w:val="000122A4"/>
    <w:rsid w:val="00012A85"/>
    <w:rsid w:val="00012C95"/>
    <w:rsid w:val="00012EB5"/>
    <w:rsid w:val="00014CB6"/>
    <w:rsid w:val="000166EF"/>
    <w:rsid w:val="00017CAD"/>
    <w:rsid w:val="000217FB"/>
    <w:rsid w:val="0002521A"/>
    <w:rsid w:val="000273E2"/>
    <w:rsid w:val="00030AB9"/>
    <w:rsid w:val="0003163D"/>
    <w:rsid w:val="00031BD6"/>
    <w:rsid w:val="000327CE"/>
    <w:rsid w:val="00035BA0"/>
    <w:rsid w:val="00037DFD"/>
    <w:rsid w:val="000402AD"/>
    <w:rsid w:val="000413C9"/>
    <w:rsid w:val="0004208F"/>
    <w:rsid w:val="00042710"/>
    <w:rsid w:val="00043A41"/>
    <w:rsid w:val="00043BD9"/>
    <w:rsid w:val="0004529F"/>
    <w:rsid w:val="000452EA"/>
    <w:rsid w:val="00045CCC"/>
    <w:rsid w:val="00047AA0"/>
    <w:rsid w:val="00050D74"/>
    <w:rsid w:val="00050EFB"/>
    <w:rsid w:val="00055EA5"/>
    <w:rsid w:val="0005742A"/>
    <w:rsid w:val="00057961"/>
    <w:rsid w:val="00057FB0"/>
    <w:rsid w:val="00065EA2"/>
    <w:rsid w:val="00066282"/>
    <w:rsid w:val="000662CE"/>
    <w:rsid w:val="00066530"/>
    <w:rsid w:val="00066B24"/>
    <w:rsid w:val="00067A22"/>
    <w:rsid w:val="000719B4"/>
    <w:rsid w:val="00071ACB"/>
    <w:rsid w:val="00076FEE"/>
    <w:rsid w:val="00080C80"/>
    <w:rsid w:val="00085C42"/>
    <w:rsid w:val="00087DB2"/>
    <w:rsid w:val="0009140F"/>
    <w:rsid w:val="000928E2"/>
    <w:rsid w:val="00093F33"/>
    <w:rsid w:val="000941E2"/>
    <w:rsid w:val="0009579C"/>
    <w:rsid w:val="000957D6"/>
    <w:rsid w:val="00095DB0"/>
    <w:rsid w:val="000A08E3"/>
    <w:rsid w:val="000A3481"/>
    <w:rsid w:val="000B0097"/>
    <w:rsid w:val="000B129B"/>
    <w:rsid w:val="000B344B"/>
    <w:rsid w:val="000B3611"/>
    <w:rsid w:val="000B4C35"/>
    <w:rsid w:val="000B648C"/>
    <w:rsid w:val="000C350E"/>
    <w:rsid w:val="000C3B9A"/>
    <w:rsid w:val="000C4EC0"/>
    <w:rsid w:val="000C5782"/>
    <w:rsid w:val="000D2E70"/>
    <w:rsid w:val="000D342A"/>
    <w:rsid w:val="000D363A"/>
    <w:rsid w:val="000D3908"/>
    <w:rsid w:val="000D79BA"/>
    <w:rsid w:val="000E039E"/>
    <w:rsid w:val="000E03EA"/>
    <w:rsid w:val="000E0593"/>
    <w:rsid w:val="000E23A2"/>
    <w:rsid w:val="000E34AE"/>
    <w:rsid w:val="000E6CB0"/>
    <w:rsid w:val="000E7421"/>
    <w:rsid w:val="000F1BC7"/>
    <w:rsid w:val="000F2179"/>
    <w:rsid w:val="000F2831"/>
    <w:rsid w:val="000F5A88"/>
    <w:rsid w:val="000F5BE1"/>
    <w:rsid w:val="000F6B1B"/>
    <w:rsid w:val="0010343B"/>
    <w:rsid w:val="00104FAD"/>
    <w:rsid w:val="00106D9F"/>
    <w:rsid w:val="00106FAF"/>
    <w:rsid w:val="00113994"/>
    <w:rsid w:val="001140C8"/>
    <w:rsid w:val="001141A2"/>
    <w:rsid w:val="00116543"/>
    <w:rsid w:val="00120ACB"/>
    <w:rsid w:val="00121D4B"/>
    <w:rsid w:val="001235B6"/>
    <w:rsid w:val="00126071"/>
    <w:rsid w:val="0012662D"/>
    <w:rsid w:val="00127DBC"/>
    <w:rsid w:val="00131AEA"/>
    <w:rsid w:val="00131C1A"/>
    <w:rsid w:val="0013295F"/>
    <w:rsid w:val="0013350A"/>
    <w:rsid w:val="001350D6"/>
    <w:rsid w:val="0014130F"/>
    <w:rsid w:val="00142C16"/>
    <w:rsid w:val="001449CC"/>
    <w:rsid w:val="00144C09"/>
    <w:rsid w:val="00146AA5"/>
    <w:rsid w:val="001518A0"/>
    <w:rsid w:val="00152159"/>
    <w:rsid w:val="001526F4"/>
    <w:rsid w:val="00152CD4"/>
    <w:rsid w:val="0016110D"/>
    <w:rsid w:val="00164472"/>
    <w:rsid w:val="00167EE0"/>
    <w:rsid w:val="0017089D"/>
    <w:rsid w:val="00173081"/>
    <w:rsid w:val="001734BB"/>
    <w:rsid w:val="00173760"/>
    <w:rsid w:val="00174CCD"/>
    <w:rsid w:val="001759AE"/>
    <w:rsid w:val="00175B1B"/>
    <w:rsid w:val="00181119"/>
    <w:rsid w:val="00181ACB"/>
    <w:rsid w:val="00181BCD"/>
    <w:rsid w:val="00182F92"/>
    <w:rsid w:val="00184001"/>
    <w:rsid w:val="00187336"/>
    <w:rsid w:val="001935A1"/>
    <w:rsid w:val="00194AE9"/>
    <w:rsid w:val="001951FB"/>
    <w:rsid w:val="001953A2"/>
    <w:rsid w:val="00195444"/>
    <w:rsid w:val="00195652"/>
    <w:rsid w:val="001960C7"/>
    <w:rsid w:val="00196619"/>
    <w:rsid w:val="00197118"/>
    <w:rsid w:val="001972C6"/>
    <w:rsid w:val="00197D15"/>
    <w:rsid w:val="001A330A"/>
    <w:rsid w:val="001A5B82"/>
    <w:rsid w:val="001A6565"/>
    <w:rsid w:val="001A684F"/>
    <w:rsid w:val="001B0390"/>
    <w:rsid w:val="001B10EE"/>
    <w:rsid w:val="001B3841"/>
    <w:rsid w:val="001B5C29"/>
    <w:rsid w:val="001B6933"/>
    <w:rsid w:val="001C3588"/>
    <w:rsid w:val="001C3E97"/>
    <w:rsid w:val="001C74DD"/>
    <w:rsid w:val="001D2F76"/>
    <w:rsid w:val="001D4674"/>
    <w:rsid w:val="001E275B"/>
    <w:rsid w:val="001E29D0"/>
    <w:rsid w:val="001E2EF1"/>
    <w:rsid w:val="001E3867"/>
    <w:rsid w:val="001E4D69"/>
    <w:rsid w:val="001E54F6"/>
    <w:rsid w:val="001E67F1"/>
    <w:rsid w:val="001E6BF8"/>
    <w:rsid w:val="001E6D43"/>
    <w:rsid w:val="001F2304"/>
    <w:rsid w:val="001F3246"/>
    <w:rsid w:val="001F3258"/>
    <w:rsid w:val="001F402F"/>
    <w:rsid w:val="001F4D28"/>
    <w:rsid w:val="001F5344"/>
    <w:rsid w:val="001F59FE"/>
    <w:rsid w:val="00200CAF"/>
    <w:rsid w:val="0020104C"/>
    <w:rsid w:val="00214C4A"/>
    <w:rsid w:val="00221773"/>
    <w:rsid w:val="002219C1"/>
    <w:rsid w:val="00221DA1"/>
    <w:rsid w:val="0022248E"/>
    <w:rsid w:val="00222B0E"/>
    <w:rsid w:val="00223832"/>
    <w:rsid w:val="00223CE9"/>
    <w:rsid w:val="002277E9"/>
    <w:rsid w:val="002347B5"/>
    <w:rsid w:val="0023733A"/>
    <w:rsid w:val="0024069D"/>
    <w:rsid w:val="002422AC"/>
    <w:rsid w:val="00242DA5"/>
    <w:rsid w:val="00244A2E"/>
    <w:rsid w:val="00244B0D"/>
    <w:rsid w:val="00245E94"/>
    <w:rsid w:val="0024695C"/>
    <w:rsid w:val="002507F3"/>
    <w:rsid w:val="00250FF2"/>
    <w:rsid w:val="00251061"/>
    <w:rsid w:val="00251EFC"/>
    <w:rsid w:val="00252D51"/>
    <w:rsid w:val="00255AFD"/>
    <w:rsid w:val="002571BC"/>
    <w:rsid w:val="002573BF"/>
    <w:rsid w:val="00260FF5"/>
    <w:rsid w:val="00261184"/>
    <w:rsid w:val="00263F25"/>
    <w:rsid w:val="0026685D"/>
    <w:rsid w:val="00272770"/>
    <w:rsid w:val="002746C3"/>
    <w:rsid w:val="00274882"/>
    <w:rsid w:val="00276304"/>
    <w:rsid w:val="00277B62"/>
    <w:rsid w:val="00277D7C"/>
    <w:rsid w:val="00277FC5"/>
    <w:rsid w:val="00282767"/>
    <w:rsid w:val="00285211"/>
    <w:rsid w:val="002860E6"/>
    <w:rsid w:val="002875AB"/>
    <w:rsid w:val="00291A00"/>
    <w:rsid w:val="00292CAF"/>
    <w:rsid w:val="002936B3"/>
    <w:rsid w:val="00294905"/>
    <w:rsid w:val="002959BE"/>
    <w:rsid w:val="00296F29"/>
    <w:rsid w:val="002975F5"/>
    <w:rsid w:val="002A45A2"/>
    <w:rsid w:val="002A61EF"/>
    <w:rsid w:val="002A78D0"/>
    <w:rsid w:val="002B0590"/>
    <w:rsid w:val="002B17CE"/>
    <w:rsid w:val="002B3911"/>
    <w:rsid w:val="002B56E2"/>
    <w:rsid w:val="002C04C7"/>
    <w:rsid w:val="002C3EBA"/>
    <w:rsid w:val="002C7EF3"/>
    <w:rsid w:val="002D0948"/>
    <w:rsid w:val="002D09BF"/>
    <w:rsid w:val="002D0E3E"/>
    <w:rsid w:val="002D18C4"/>
    <w:rsid w:val="002D2568"/>
    <w:rsid w:val="002D2D47"/>
    <w:rsid w:val="002D5DAC"/>
    <w:rsid w:val="002E0097"/>
    <w:rsid w:val="002E0B27"/>
    <w:rsid w:val="002E1A7E"/>
    <w:rsid w:val="002E3979"/>
    <w:rsid w:val="002E5B2C"/>
    <w:rsid w:val="002E68F3"/>
    <w:rsid w:val="002E79CD"/>
    <w:rsid w:val="002F0AF0"/>
    <w:rsid w:val="002F24D3"/>
    <w:rsid w:val="002F5264"/>
    <w:rsid w:val="002F67E3"/>
    <w:rsid w:val="002F6B59"/>
    <w:rsid w:val="0030239A"/>
    <w:rsid w:val="00302539"/>
    <w:rsid w:val="00304870"/>
    <w:rsid w:val="0030490B"/>
    <w:rsid w:val="0030561A"/>
    <w:rsid w:val="0030579A"/>
    <w:rsid w:val="0030734D"/>
    <w:rsid w:val="003125C0"/>
    <w:rsid w:val="003131D9"/>
    <w:rsid w:val="0031538F"/>
    <w:rsid w:val="003176F5"/>
    <w:rsid w:val="003212C7"/>
    <w:rsid w:val="00322CAB"/>
    <w:rsid w:val="003263F1"/>
    <w:rsid w:val="00327450"/>
    <w:rsid w:val="00327906"/>
    <w:rsid w:val="00332174"/>
    <w:rsid w:val="00332A76"/>
    <w:rsid w:val="00332E89"/>
    <w:rsid w:val="00333602"/>
    <w:rsid w:val="0033778A"/>
    <w:rsid w:val="00341092"/>
    <w:rsid w:val="003431CE"/>
    <w:rsid w:val="0034433B"/>
    <w:rsid w:val="00345BA3"/>
    <w:rsid w:val="00347D19"/>
    <w:rsid w:val="0035084D"/>
    <w:rsid w:val="0035360D"/>
    <w:rsid w:val="0035625B"/>
    <w:rsid w:val="00357ADB"/>
    <w:rsid w:val="00361C91"/>
    <w:rsid w:val="00362599"/>
    <w:rsid w:val="00367B50"/>
    <w:rsid w:val="003700D5"/>
    <w:rsid w:val="0037051F"/>
    <w:rsid w:val="00370E32"/>
    <w:rsid w:val="00371E5A"/>
    <w:rsid w:val="00374C9D"/>
    <w:rsid w:val="0037755B"/>
    <w:rsid w:val="003820A4"/>
    <w:rsid w:val="0038579D"/>
    <w:rsid w:val="00386D10"/>
    <w:rsid w:val="003923F2"/>
    <w:rsid w:val="00392409"/>
    <w:rsid w:val="00393506"/>
    <w:rsid w:val="0039524D"/>
    <w:rsid w:val="00395BC4"/>
    <w:rsid w:val="003967FC"/>
    <w:rsid w:val="0039762F"/>
    <w:rsid w:val="003A0120"/>
    <w:rsid w:val="003A3F6B"/>
    <w:rsid w:val="003A4A08"/>
    <w:rsid w:val="003A54A1"/>
    <w:rsid w:val="003B2348"/>
    <w:rsid w:val="003B44B8"/>
    <w:rsid w:val="003B4E2D"/>
    <w:rsid w:val="003B62D5"/>
    <w:rsid w:val="003B7EA5"/>
    <w:rsid w:val="003C1CEC"/>
    <w:rsid w:val="003C3651"/>
    <w:rsid w:val="003C7B98"/>
    <w:rsid w:val="003D26C3"/>
    <w:rsid w:val="003D45A3"/>
    <w:rsid w:val="003D5052"/>
    <w:rsid w:val="003D5290"/>
    <w:rsid w:val="003E1975"/>
    <w:rsid w:val="003E290D"/>
    <w:rsid w:val="003E4A14"/>
    <w:rsid w:val="003E5BAF"/>
    <w:rsid w:val="003E6672"/>
    <w:rsid w:val="003F05AB"/>
    <w:rsid w:val="003F1B77"/>
    <w:rsid w:val="003F2498"/>
    <w:rsid w:val="003F4AC2"/>
    <w:rsid w:val="003F5A4B"/>
    <w:rsid w:val="003F62E5"/>
    <w:rsid w:val="003F6E1E"/>
    <w:rsid w:val="003F75F6"/>
    <w:rsid w:val="00404F99"/>
    <w:rsid w:val="0041004C"/>
    <w:rsid w:val="004102FE"/>
    <w:rsid w:val="004124A7"/>
    <w:rsid w:val="00412CD7"/>
    <w:rsid w:val="004136E1"/>
    <w:rsid w:val="00414D13"/>
    <w:rsid w:val="004171A7"/>
    <w:rsid w:val="00424E6B"/>
    <w:rsid w:val="00426FB8"/>
    <w:rsid w:val="00427959"/>
    <w:rsid w:val="00431F69"/>
    <w:rsid w:val="004326AD"/>
    <w:rsid w:val="0043344F"/>
    <w:rsid w:val="00435A08"/>
    <w:rsid w:val="00436B73"/>
    <w:rsid w:val="004411A2"/>
    <w:rsid w:val="00441867"/>
    <w:rsid w:val="00443F8A"/>
    <w:rsid w:val="004477FC"/>
    <w:rsid w:val="00447D81"/>
    <w:rsid w:val="00450AAD"/>
    <w:rsid w:val="0045230A"/>
    <w:rsid w:val="004538F2"/>
    <w:rsid w:val="0045396D"/>
    <w:rsid w:val="00454047"/>
    <w:rsid w:val="0045616D"/>
    <w:rsid w:val="00456612"/>
    <w:rsid w:val="00456A8E"/>
    <w:rsid w:val="00461543"/>
    <w:rsid w:val="004619E6"/>
    <w:rsid w:val="004621C1"/>
    <w:rsid w:val="00464960"/>
    <w:rsid w:val="004670A2"/>
    <w:rsid w:val="00470785"/>
    <w:rsid w:val="004713DC"/>
    <w:rsid w:val="004713E1"/>
    <w:rsid w:val="0047359D"/>
    <w:rsid w:val="00474FE8"/>
    <w:rsid w:val="00477994"/>
    <w:rsid w:val="00481B77"/>
    <w:rsid w:val="004827E4"/>
    <w:rsid w:val="00486442"/>
    <w:rsid w:val="004864FF"/>
    <w:rsid w:val="00487965"/>
    <w:rsid w:val="00487CBF"/>
    <w:rsid w:val="0049003D"/>
    <w:rsid w:val="004945E7"/>
    <w:rsid w:val="00496A2E"/>
    <w:rsid w:val="0049720D"/>
    <w:rsid w:val="004A1B7E"/>
    <w:rsid w:val="004A1E49"/>
    <w:rsid w:val="004A3247"/>
    <w:rsid w:val="004A55FE"/>
    <w:rsid w:val="004A56F4"/>
    <w:rsid w:val="004A704B"/>
    <w:rsid w:val="004A742D"/>
    <w:rsid w:val="004B1141"/>
    <w:rsid w:val="004B2D74"/>
    <w:rsid w:val="004B3CBF"/>
    <w:rsid w:val="004B3DF9"/>
    <w:rsid w:val="004B466D"/>
    <w:rsid w:val="004B55E6"/>
    <w:rsid w:val="004B56C5"/>
    <w:rsid w:val="004C0400"/>
    <w:rsid w:val="004C0676"/>
    <w:rsid w:val="004C4945"/>
    <w:rsid w:val="004C6D8D"/>
    <w:rsid w:val="004C6F1B"/>
    <w:rsid w:val="004D0BD6"/>
    <w:rsid w:val="004D231C"/>
    <w:rsid w:val="004D2A60"/>
    <w:rsid w:val="004D30C5"/>
    <w:rsid w:val="004D3A12"/>
    <w:rsid w:val="004D3B0C"/>
    <w:rsid w:val="004E15CB"/>
    <w:rsid w:val="004E267D"/>
    <w:rsid w:val="004E32FE"/>
    <w:rsid w:val="004E3E30"/>
    <w:rsid w:val="004E4F40"/>
    <w:rsid w:val="004E77CA"/>
    <w:rsid w:val="004F02AA"/>
    <w:rsid w:val="004F18C1"/>
    <w:rsid w:val="004F58F4"/>
    <w:rsid w:val="004F6266"/>
    <w:rsid w:val="004F712D"/>
    <w:rsid w:val="004F7B8C"/>
    <w:rsid w:val="0050348E"/>
    <w:rsid w:val="005037EB"/>
    <w:rsid w:val="005045DA"/>
    <w:rsid w:val="00506A25"/>
    <w:rsid w:val="00510597"/>
    <w:rsid w:val="00510690"/>
    <w:rsid w:val="005129C4"/>
    <w:rsid w:val="00515385"/>
    <w:rsid w:val="00516ACD"/>
    <w:rsid w:val="00517402"/>
    <w:rsid w:val="00521E4C"/>
    <w:rsid w:val="0052648A"/>
    <w:rsid w:val="00530D2F"/>
    <w:rsid w:val="005313E4"/>
    <w:rsid w:val="0053165B"/>
    <w:rsid w:val="00534062"/>
    <w:rsid w:val="00534676"/>
    <w:rsid w:val="0053546F"/>
    <w:rsid w:val="00536C07"/>
    <w:rsid w:val="00536D13"/>
    <w:rsid w:val="00537668"/>
    <w:rsid w:val="00540D62"/>
    <w:rsid w:val="00540E34"/>
    <w:rsid w:val="00542003"/>
    <w:rsid w:val="00542E80"/>
    <w:rsid w:val="005442A8"/>
    <w:rsid w:val="00550505"/>
    <w:rsid w:val="005535C4"/>
    <w:rsid w:val="00555810"/>
    <w:rsid w:val="00555FFD"/>
    <w:rsid w:val="005608B6"/>
    <w:rsid w:val="0056174D"/>
    <w:rsid w:val="00561ADF"/>
    <w:rsid w:val="00561AFF"/>
    <w:rsid w:val="00562176"/>
    <w:rsid w:val="005621C0"/>
    <w:rsid w:val="00564091"/>
    <w:rsid w:val="005670E6"/>
    <w:rsid w:val="0056796B"/>
    <w:rsid w:val="00571B86"/>
    <w:rsid w:val="00571CF0"/>
    <w:rsid w:val="00571DCB"/>
    <w:rsid w:val="00574E0C"/>
    <w:rsid w:val="005752D6"/>
    <w:rsid w:val="005765E2"/>
    <w:rsid w:val="0057662C"/>
    <w:rsid w:val="00576717"/>
    <w:rsid w:val="00577B0C"/>
    <w:rsid w:val="0058412E"/>
    <w:rsid w:val="005856BD"/>
    <w:rsid w:val="00585F94"/>
    <w:rsid w:val="00587F1F"/>
    <w:rsid w:val="005950E6"/>
    <w:rsid w:val="00596065"/>
    <w:rsid w:val="00596573"/>
    <w:rsid w:val="0059685B"/>
    <w:rsid w:val="00597C32"/>
    <w:rsid w:val="005A10EA"/>
    <w:rsid w:val="005A2CAC"/>
    <w:rsid w:val="005A321F"/>
    <w:rsid w:val="005A6050"/>
    <w:rsid w:val="005A6152"/>
    <w:rsid w:val="005A6410"/>
    <w:rsid w:val="005A747C"/>
    <w:rsid w:val="005B0D12"/>
    <w:rsid w:val="005B25A1"/>
    <w:rsid w:val="005B6836"/>
    <w:rsid w:val="005B6D48"/>
    <w:rsid w:val="005B7210"/>
    <w:rsid w:val="005B7292"/>
    <w:rsid w:val="005C0F63"/>
    <w:rsid w:val="005C48C5"/>
    <w:rsid w:val="005C7EA0"/>
    <w:rsid w:val="005D117A"/>
    <w:rsid w:val="005D1298"/>
    <w:rsid w:val="005D3D10"/>
    <w:rsid w:val="005D46E0"/>
    <w:rsid w:val="005E21E3"/>
    <w:rsid w:val="005E4F65"/>
    <w:rsid w:val="005F4185"/>
    <w:rsid w:val="005F5C01"/>
    <w:rsid w:val="005F67E3"/>
    <w:rsid w:val="005F6942"/>
    <w:rsid w:val="005F7B2C"/>
    <w:rsid w:val="00601B99"/>
    <w:rsid w:val="00603C1F"/>
    <w:rsid w:val="0061086A"/>
    <w:rsid w:val="00613E2A"/>
    <w:rsid w:val="00616467"/>
    <w:rsid w:val="00616A1C"/>
    <w:rsid w:val="006213DA"/>
    <w:rsid w:val="00621B96"/>
    <w:rsid w:val="00624D8C"/>
    <w:rsid w:val="006271A0"/>
    <w:rsid w:val="006327E6"/>
    <w:rsid w:val="006351EC"/>
    <w:rsid w:val="006362FA"/>
    <w:rsid w:val="0063639A"/>
    <w:rsid w:val="00636A87"/>
    <w:rsid w:val="00636ADB"/>
    <w:rsid w:val="00641F48"/>
    <w:rsid w:val="00642364"/>
    <w:rsid w:val="006432A4"/>
    <w:rsid w:val="00645C24"/>
    <w:rsid w:val="006471A9"/>
    <w:rsid w:val="00652AC2"/>
    <w:rsid w:val="0065364E"/>
    <w:rsid w:val="0065596E"/>
    <w:rsid w:val="00655D8A"/>
    <w:rsid w:val="00656D28"/>
    <w:rsid w:val="0066021F"/>
    <w:rsid w:val="006610B8"/>
    <w:rsid w:val="006645A1"/>
    <w:rsid w:val="00664D5F"/>
    <w:rsid w:val="0066649B"/>
    <w:rsid w:val="00666A41"/>
    <w:rsid w:val="00667279"/>
    <w:rsid w:val="00667B78"/>
    <w:rsid w:val="006778E6"/>
    <w:rsid w:val="00682BE9"/>
    <w:rsid w:val="00682DE1"/>
    <w:rsid w:val="0068686A"/>
    <w:rsid w:val="00686EAA"/>
    <w:rsid w:val="00687039"/>
    <w:rsid w:val="00687D67"/>
    <w:rsid w:val="00690218"/>
    <w:rsid w:val="00691F2C"/>
    <w:rsid w:val="00692711"/>
    <w:rsid w:val="006951AC"/>
    <w:rsid w:val="0069601D"/>
    <w:rsid w:val="006A00A8"/>
    <w:rsid w:val="006A0A42"/>
    <w:rsid w:val="006A22F8"/>
    <w:rsid w:val="006A269F"/>
    <w:rsid w:val="006A73DA"/>
    <w:rsid w:val="006B3D95"/>
    <w:rsid w:val="006B57C7"/>
    <w:rsid w:val="006B6A58"/>
    <w:rsid w:val="006C138F"/>
    <w:rsid w:val="006C17F5"/>
    <w:rsid w:val="006C23A3"/>
    <w:rsid w:val="006C24FC"/>
    <w:rsid w:val="006C6319"/>
    <w:rsid w:val="006C65E8"/>
    <w:rsid w:val="006C7514"/>
    <w:rsid w:val="006D0160"/>
    <w:rsid w:val="006D16B3"/>
    <w:rsid w:val="006D77FA"/>
    <w:rsid w:val="006D7821"/>
    <w:rsid w:val="006E074A"/>
    <w:rsid w:val="006E1FCB"/>
    <w:rsid w:val="006E3584"/>
    <w:rsid w:val="006E4652"/>
    <w:rsid w:val="006E4B72"/>
    <w:rsid w:val="006E4BD8"/>
    <w:rsid w:val="006E68F5"/>
    <w:rsid w:val="006E7AAF"/>
    <w:rsid w:val="006E7E9C"/>
    <w:rsid w:val="006F00A7"/>
    <w:rsid w:val="006F035E"/>
    <w:rsid w:val="006F3431"/>
    <w:rsid w:val="006F3727"/>
    <w:rsid w:val="006F4629"/>
    <w:rsid w:val="00701190"/>
    <w:rsid w:val="0070192D"/>
    <w:rsid w:val="0070784D"/>
    <w:rsid w:val="00716777"/>
    <w:rsid w:val="00717662"/>
    <w:rsid w:val="00722FF1"/>
    <w:rsid w:val="00724390"/>
    <w:rsid w:val="00724712"/>
    <w:rsid w:val="00725FB7"/>
    <w:rsid w:val="00727E07"/>
    <w:rsid w:val="007305E3"/>
    <w:rsid w:val="0073099F"/>
    <w:rsid w:val="007314E3"/>
    <w:rsid w:val="00732393"/>
    <w:rsid w:val="00732B7F"/>
    <w:rsid w:val="007340BE"/>
    <w:rsid w:val="0073410E"/>
    <w:rsid w:val="00735A87"/>
    <w:rsid w:val="00735F59"/>
    <w:rsid w:val="00736289"/>
    <w:rsid w:val="00737556"/>
    <w:rsid w:val="00737EDE"/>
    <w:rsid w:val="00744568"/>
    <w:rsid w:val="00745AF1"/>
    <w:rsid w:val="007526C0"/>
    <w:rsid w:val="00752D30"/>
    <w:rsid w:val="00753087"/>
    <w:rsid w:val="0075748D"/>
    <w:rsid w:val="00760612"/>
    <w:rsid w:val="00760E6C"/>
    <w:rsid w:val="00762DF3"/>
    <w:rsid w:val="007639BF"/>
    <w:rsid w:val="0076527D"/>
    <w:rsid w:val="0076540E"/>
    <w:rsid w:val="007674A6"/>
    <w:rsid w:val="007676C9"/>
    <w:rsid w:val="00770DE2"/>
    <w:rsid w:val="007717D6"/>
    <w:rsid w:val="007803ED"/>
    <w:rsid w:val="0078061B"/>
    <w:rsid w:val="007816D1"/>
    <w:rsid w:val="00782352"/>
    <w:rsid w:val="00782B5D"/>
    <w:rsid w:val="00783BC3"/>
    <w:rsid w:val="00784700"/>
    <w:rsid w:val="00784C03"/>
    <w:rsid w:val="007869C0"/>
    <w:rsid w:val="00787E55"/>
    <w:rsid w:val="0079302E"/>
    <w:rsid w:val="007936AB"/>
    <w:rsid w:val="0079452E"/>
    <w:rsid w:val="00795BB6"/>
    <w:rsid w:val="007967AB"/>
    <w:rsid w:val="00796E99"/>
    <w:rsid w:val="00796F38"/>
    <w:rsid w:val="007974DA"/>
    <w:rsid w:val="007A08D3"/>
    <w:rsid w:val="007A1801"/>
    <w:rsid w:val="007A1858"/>
    <w:rsid w:val="007A4966"/>
    <w:rsid w:val="007B0945"/>
    <w:rsid w:val="007B1822"/>
    <w:rsid w:val="007B2EB3"/>
    <w:rsid w:val="007B35C7"/>
    <w:rsid w:val="007B35CE"/>
    <w:rsid w:val="007B48E2"/>
    <w:rsid w:val="007B4ECD"/>
    <w:rsid w:val="007B5740"/>
    <w:rsid w:val="007B5DCC"/>
    <w:rsid w:val="007B7729"/>
    <w:rsid w:val="007B7760"/>
    <w:rsid w:val="007C0EE9"/>
    <w:rsid w:val="007C3CD8"/>
    <w:rsid w:val="007C72FC"/>
    <w:rsid w:val="007C7B48"/>
    <w:rsid w:val="007D31F7"/>
    <w:rsid w:val="007D5611"/>
    <w:rsid w:val="007E1267"/>
    <w:rsid w:val="007E4454"/>
    <w:rsid w:val="007E4560"/>
    <w:rsid w:val="007E695F"/>
    <w:rsid w:val="007F228C"/>
    <w:rsid w:val="007F23AB"/>
    <w:rsid w:val="007F506A"/>
    <w:rsid w:val="007F553E"/>
    <w:rsid w:val="008038B2"/>
    <w:rsid w:val="00804D51"/>
    <w:rsid w:val="008056B0"/>
    <w:rsid w:val="00805950"/>
    <w:rsid w:val="0080735B"/>
    <w:rsid w:val="008174EA"/>
    <w:rsid w:val="00825020"/>
    <w:rsid w:val="008304CE"/>
    <w:rsid w:val="0083216B"/>
    <w:rsid w:val="0083525F"/>
    <w:rsid w:val="00835454"/>
    <w:rsid w:val="00835F14"/>
    <w:rsid w:val="008361B8"/>
    <w:rsid w:val="00841A4A"/>
    <w:rsid w:val="008469AF"/>
    <w:rsid w:val="00851785"/>
    <w:rsid w:val="0085345E"/>
    <w:rsid w:val="00853984"/>
    <w:rsid w:val="008559FE"/>
    <w:rsid w:val="00855F78"/>
    <w:rsid w:val="00857549"/>
    <w:rsid w:val="008613B5"/>
    <w:rsid w:val="0086210C"/>
    <w:rsid w:val="00863616"/>
    <w:rsid w:val="00863B92"/>
    <w:rsid w:val="00865FBF"/>
    <w:rsid w:val="00867FF5"/>
    <w:rsid w:val="0087280D"/>
    <w:rsid w:val="008731F7"/>
    <w:rsid w:val="00876BEA"/>
    <w:rsid w:val="00877995"/>
    <w:rsid w:val="00882F63"/>
    <w:rsid w:val="00883F08"/>
    <w:rsid w:val="0088538B"/>
    <w:rsid w:val="00886015"/>
    <w:rsid w:val="00893117"/>
    <w:rsid w:val="00896371"/>
    <w:rsid w:val="0089731E"/>
    <w:rsid w:val="008A22C5"/>
    <w:rsid w:val="008A326B"/>
    <w:rsid w:val="008A5BC8"/>
    <w:rsid w:val="008A6470"/>
    <w:rsid w:val="008A6CF8"/>
    <w:rsid w:val="008B2259"/>
    <w:rsid w:val="008B5088"/>
    <w:rsid w:val="008B7100"/>
    <w:rsid w:val="008C69AE"/>
    <w:rsid w:val="008D2AC0"/>
    <w:rsid w:val="008D3D7F"/>
    <w:rsid w:val="008D69E8"/>
    <w:rsid w:val="008D6B20"/>
    <w:rsid w:val="008E0F59"/>
    <w:rsid w:val="008E1F51"/>
    <w:rsid w:val="008E4022"/>
    <w:rsid w:val="008E4B13"/>
    <w:rsid w:val="008E728B"/>
    <w:rsid w:val="008E757F"/>
    <w:rsid w:val="008F0C34"/>
    <w:rsid w:val="008F0F89"/>
    <w:rsid w:val="008F2A89"/>
    <w:rsid w:val="008F373D"/>
    <w:rsid w:val="008F37CB"/>
    <w:rsid w:val="008F3CAE"/>
    <w:rsid w:val="008F3FF3"/>
    <w:rsid w:val="008F79F8"/>
    <w:rsid w:val="00900E7D"/>
    <w:rsid w:val="00901C66"/>
    <w:rsid w:val="00901D5C"/>
    <w:rsid w:val="00904B9F"/>
    <w:rsid w:val="00906D11"/>
    <w:rsid w:val="00915EC1"/>
    <w:rsid w:val="00916999"/>
    <w:rsid w:val="009171F9"/>
    <w:rsid w:val="009208B1"/>
    <w:rsid w:val="00921965"/>
    <w:rsid w:val="009249F7"/>
    <w:rsid w:val="009277F9"/>
    <w:rsid w:val="00927FAD"/>
    <w:rsid w:val="00930C22"/>
    <w:rsid w:val="00930CD0"/>
    <w:rsid w:val="00933569"/>
    <w:rsid w:val="00933917"/>
    <w:rsid w:val="009364DB"/>
    <w:rsid w:val="00936617"/>
    <w:rsid w:val="00937873"/>
    <w:rsid w:val="009422F4"/>
    <w:rsid w:val="00942E3E"/>
    <w:rsid w:val="00943375"/>
    <w:rsid w:val="00944CE4"/>
    <w:rsid w:val="0094519F"/>
    <w:rsid w:val="0094662B"/>
    <w:rsid w:val="009470CC"/>
    <w:rsid w:val="00947A26"/>
    <w:rsid w:val="00952E55"/>
    <w:rsid w:val="00955EF6"/>
    <w:rsid w:val="00960119"/>
    <w:rsid w:val="00960352"/>
    <w:rsid w:val="0096046A"/>
    <w:rsid w:val="00962A3C"/>
    <w:rsid w:val="00962E95"/>
    <w:rsid w:val="009668FF"/>
    <w:rsid w:val="00966F70"/>
    <w:rsid w:val="0096733E"/>
    <w:rsid w:val="00970B73"/>
    <w:rsid w:val="00972E9C"/>
    <w:rsid w:val="00973C88"/>
    <w:rsid w:val="0097418C"/>
    <w:rsid w:val="00974C9C"/>
    <w:rsid w:val="00976688"/>
    <w:rsid w:val="0098218F"/>
    <w:rsid w:val="00982739"/>
    <w:rsid w:val="00983DD2"/>
    <w:rsid w:val="00986982"/>
    <w:rsid w:val="0099375F"/>
    <w:rsid w:val="00994459"/>
    <w:rsid w:val="009946F6"/>
    <w:rsid w:val="009953EA"/>
    <w:rsid w:val="00996BBD"/>
    <w:rsid w:val="00997638"/>
    <w:rsid w:val="009A1D23"/>
    <w:rsid w:val="009A20C0"/>
    <w:rsid w:val="009A2804"/>
    <w:rsid w:val="009A2B6F"/>
    <w:rsid w:val="009A368F"/>
    <w:rsid w:val="009A65EA"/>
    <w:rsid w:val="009A6D82"/>
    <w:rsid w:val="009B08EE"/>
    <w:rsid w:val="009B0AC5"/>
    <w:rsid w:val="009B37C1"/>
    <w:rsid w:val="009B4D6A"/>
    <w:rsid w:val="009B4DD6"/>
    <w:rsid w:val="009B6F34"/>
    <w:rsid w:val="009B76CC"/>
    <w:rsid w:val="009C1561"/>
    <w:rsid w:val="009C2896"/>
    <w:rsid w:val="009C5443"/>
    <w:rsid w:val="009C5990"/>
    <w:rsid w:val="009C59CC"/>
    <w:rsid w:val="009C6516"/>
    <w:rsid w:val="009C7780"/>
    <w:rsid w:val="009C78C2"/>
    <w:rsid w:val="009D41D2"/>
    <w:rsid w:val="009D4629"/>
    <w:rsid w:val="009D58F6"/>
    <w:rsid w:val="009E0C6F"/>
    <w:rsid w:val="009E0EF1"/>
    <w:rsid w:val="009E14C9"/>
    <w:rsid w:val="009E1908"/>
    <w:rsid w:val="009E34BD"/>
    <w:rsid w:val="009E7FBF"/>
    <w:rsid w:val="009F14AB"/>
    <w:rsid w:val="009F2BA5"/>
    <w:rsid w:val="009F445E"/>
    <w:rsid w:val="009F4F11"/>
    <w:rsid w:val="009F6583"/>
    <w:rsid w:val="009F7700"/>
    <w:rsid w:val="009F7E09"/>
    <w:rsid w:val="00A04136"/>
    <w:rsid w:val="00A07852"/>
    <w:rsid w:val="00A07C18"/>
    <w:rsid w:val="00A1046D"/>
    <w:rsid w:val="00A13B55"/>
    <w:rsid w:val="00A13BD1"/>
    <w:rsid w:val="00A14999"/>
    <w:rsid w:val="00A21BF9"/>
    <w:rsid w:val="00A22731"/>
    <w:rsid w:val="00A22F6C"/>
    <w:rsid w:val="00A22FD6"/>
    <w:rsid w:val="00A26EEA"/>
    <w:rsid w:val="00A271DC"/>
    <w:rsid w:val="00A307BF"/>
    <w:rsid w:val="00A308BE"/>
    <w:rsid w:val="00A3094D"/>
    <w:rsid w:val="00A31F06"/>
    <w:rsid w:val="00A336FC"/>
    <w:rsid w:val="00A366C1"/>
    <w:rsid w:val="00A36AA8"/>
    <w:rsid w:val="00A373AE"/>
    <w:rsid w:val="00A41AD0"/>
    <w:rsid w:val="00A463ED"/>
    <w:rsid w:val="00A46FC8"/>
    <w:rsid w:val="00A47DCA"/>
    <w:rsid w:val="00A47ED6"/>
    <w:rsid w:val="00A50B68"/>
    <w:rsid w:val="00A5147F"/>
    <w:rsid w:val="00A52712"/>
    <w:rsid w:val="00A53CF6"/>
    <w:rsid w:val="00A54873"/>
    <w:rsid w:val="00A57C83"/>
    <w:rsid w:val="00A6199E"/>
    <w:rsid w:val="00A649D0"/>
    <w:rsid w:val="00A653C0"/>
    <w:rsid w:val="00A67D49"/>
    <w:rsid w:val="00A73710"/>
    <w:rsid w:val="00A73E99"/>
    <w:rsid w:val="00A746E6"/>
    <w:rsid w:val="00A752FC"/>
    <w:rsid w:val="00A87BB4"/>
    <w:rsid w:val="00A9013D"/>
    <w:rsid w:val="00A95903"/>
    <w:rsid w:val="00A964F1"/>
    <w:rsid w:val="00AA0337"/>
    <w:rsid w:val="00AA1335"/>
    <w:rsid w:val="00AA30EE"/>
    <w:rsid w:val="00AA3469"/>
    <w:rsid w:val="00AA37ED"/>
    <w:rsid w:val="00AA3C54"/>
    <w:rsid w:val="00AA67AC"/>
    <w:rsid w:val="00AA76AD"/>
    <w:rsid w:val="00AB0D40"/>
    <w:rsid w:val="00AB0F66"/>
    <w:rsid w:val="00AB50E1"/>
    <w:rsid w:val="00AB5126"/>
    <w:rsid w:val="00AB5183"/>
    <w:rsid w:val="00AB7D97"/>
    <w:rsid w:val="00AC0136"/>
    <w:rsid w:val="00AC351B"/>
    <w:rsid w:val="00AC66E6"/>
    <w:rsid w:val="00AC78A8"/>
    <w:rsid w:val="00AC7ED3"/>
    <w:rsid w:val="00AD0DC1"/>
    <w:rsid w:val="00AD2A55"/>
    <w:rsid w:val="00AD57EC"/>
    <w:rsid w:val="00AE048A"/>
    <w:rsid w:val="00AE0D48"/>
    <w:rsid w:val="00AE0EB5"/>
    <w:rsid w:val="00AE17BA"/>
    <w:rsid w:val="00AE2FB9"/>
    <w:rsid w:val="00AE470C"/>
    <w:rsid w:val="00AE5E5E"/>
    <w:rsid w:val="00AE61F6"/>
    <w:rsid w:val="00AF1E5F"/>
    <w:rsid w:val="00AF2615"/>
    <w:rsid w:val="00AF2887"/>
    <w:rsid w:val="00AF2F57"/>
    <w:rsid w:val="00AF3B44"/>
    <w:rsid w:val="00AF48CF"/>
    <w:rsid w:val="00AF6FFC"/>
    <w:rsid w:val="00B0082F"/>
    <w:rsid w:val="00B00B19"/>
    <w:rsid w:val="00B01AC6"/>
    <w:rsid w:val="00B064BB"/>
    <w:rsid w:val="00B076A6"/>
    <w:rsid w:val="00B11866"/>
    <w:rsid w:val="00B11904"/>
    <w:rsid w:val="00B12D52"/>
    <w:rsid w:val="00B16794"/>
    <w:rsid w:val="00B17310"/>
    <w:rsid w:val="00B1748D"/>
    <w:rsid w:val="00B17CA4"/>
    <w:rsid w:val="00B20683"/>
    <w:rsid w:val="00B20CFA"/>
    <w:rsid w:val="00B223F3"/>
    <w:rsid w:val="00B24D87"/>
    <w:rsid w:val="00B25DB0"/>
    <w:rsid w:val="00B27305"/>
    <w:rsid w:val="00B27D03"/>
    <w:rsid w:val="00B3224E"/>
    <w:rsid w:val="00B327DB"/>
    <w:rsid w:val="00B3328E"/>
    <w:rsid w:val="00B33827"/>
    <w:rsid w:val="00B3520C"/>
    <w:rsid w:val="00B35382"/>
    <w:rsid w:val="00B369B2"/>
    <w:rsid w:val="00B36C85"/>
    <w:rsid w:val="00B410D4"/>
    <w:rsid w:val="00B416D0"/>
    <w:rsid w:val="00B4190A"/>
    <w:rsid w:val="00B43205"/>
    <w:rsid w:val="00B47465"/>
    <w:rsid w:val="00B52F94"/>
    <w:rsid w:val="00B5487F"/>
    <w:rsid w:val="00B551E9"/>
    <w:rsid w:val="00B55781"/>
    <w:rsid w:val="00B56332"/>
    <w:rsid w:val="00B56632"/>
    <w:rsid w:val="00B569E7"/>
    <w:rsid w:val="00B57340"/>
    <w:rsid w:val="00B640C7"/>
    <w:rsid w:val="00B6672A"/>
    <w:rsid w:val="00B720C4"/>
    <w:rsid w:val="00B721C7"/>
    <w:rsid w:val="00B72D86"/>
    <w:rsid w:val="00B80354"/>
    <w:rsid w:val="00B808FA"/>
    <w:rsid w:val="00B817F2"/>
    <w:rsid w:val="00B83FCC"/>
    <w:rsid w:val="00B8761D"/>
    <w:rsid w:val="00B92223"/>
    <w:rsid w:val="00B95E9F"/>
    <w:rsid w:val="00B97F6E"/>
    <w:rsid w:val="00BA2202"/>
    <w:rsid w:val="00BA5AE5"/>
    <w:rsid w:val="00BA5CEC"/>
    <w:rsid w:val="00BA79AC"/>
    <w:rsid w:val="00BB10E1"/>
    <w:rsid w:val="00BB17C8"/>
    <w:rsid w:val="00BB1974"/>
    <w:rsid w:val="00BB2770"/>
    <w:rsid w:val="00BB302F"/>
    <w:rsid w:val="00BB328D"/>
    <w:rsid w:val="00BB4F41"/>
    <w:rsid w:val="00BB7D44"/>
    <w:rsid w:val="00BC17E8"/>
    <w:rsid w:val="00BC1DB3"/>
    <w:rsid w:val="00BC2DB1"/>
    <w:rsid w:val="00BC59DD"/>
    <w:rsid w:val="00BD2283"/>
    <w:rsid w:val="00BD493E"/>
    <w:rsid w:val="00BD52DD"/>
    <w:rsid w:val="00BD5568"/>
    <w:rsid w:val="00BD5985"/>
    <w:rsid w:val="00BD6F5C"/>
    <w:rsid w:val="00BE1876"/>
    <w:rsid w:val="00BE3A23"/>
    <w:rsid w:val="00BE3A94"/>
    <w:rsid w:val="00BE4089"/>
    <w:rsid w:val="00BE4EC2"/>
    <w:rsid w:val="00BF0F81"/>
    <w:rsid w:val="00BF5EC8"/>
    <w:rsid w:val="00BF6A9A"/>
    <w:rsid w:val="00BF6BC9"/>
    <w:rsid w:val="00BF7649"/>
    <w:rsid w:val="00BF7B33"/>
    <w:rsid w:val="00BF7DC9"/>
    <w:rsid w:val="00C0014F"/>
    <w:rsid w:val="00C008B6"/>
    <w:rsid w:val="00C0254F"/>
    <w:rsid w:val="00C03060"/>
    <w:rsid w:val="00C057BF"/>
    <w:rsid w:val="00C0609A"/>
    <w:rsid w:val="00C0693E"/>
    <w:rsid w:val="00C07B34"/>
    <w:rsid w:val="00C10A42"/>
    <w:rsid w:val="00C10AA6"/>
    <w:rsid w:val="00C10C51"/>
    <w:rsid w:val="00C1142D"/>
    <w:rsid w:val="00C12A53"/>
    <w:rsid w:val="00C13065"/>
    <w:rsid w:val="00C144A5"/>
    <w:rsid w:val="00C15AB5"/>
    <w:rsid w:val="00C170D5"/>
    <w:rsid w:val="00C2052A"/>
    <w:rsid w:val="00C207D5"/>
    <w:rsid w:val="00C208FD"/>
    <w:rsid w:val="00C20936"/>
    <w:rsid w:val="00C211B5"/>
    <w:rsid w:val="00C25BFD"/>
    <w:rsid w:val="00C26BC7"/>
    <w:rsid w:val="00C27972"/>
    <w:rsid w:val="00C27B12"/>
    <w:rsid w:val="00C30AF9"/>
    <w:rsid w:val="00C34EEE"/>
    <w:rsid w:val="00C35633"/>
    <w:rsid w:val="00C413AF"/>
    <w:rsid w:val="00C4214E"/>
    <w:rsid w:val="00C46BCC"/>
    <w:rsid w:val="00C5197C"/>
    <w:rsid w:val="00C54BF9"/>
    <w:rsid w:val="00C55CBF"/>
    <w:rsid w:val="00C55E67"/>
    <w:rsid w:val="00C56580"/>
    <w:rsid w:val="00C6404F"/>
    <w:rsid w:val="00C645EA"/>
    <w:rsid w:val="00C65819"/>
    <w:rsid w:val="00C674E9"/>
    <w:rsid w:val="00C75BE9"/>
    <w:rsid w:val="00C75C70"/>
    <w:rsid w:val="00C76A7A"/>
    <w:rsid w:val="00C775AF"/>
    <w:rsid w:val="00C8018A"/>
    <w:rsid w:val="00C81295"/>
    <w:rsid w:val="00C81CF4"/>
    <w:rsid w:val="00C81F33"/>
    <w:rsid w:val="00C82179"/>
    <w:rsid w:val="00C83445"/>
    <w:rsid w:val="00C8558E"/>
    <w:rsid w:val="00C91213"/>
    <w:rsid w:val="00C92492"/>
    <w:rsid w:val="00C92AC0"/>
    <w:rsid w:val="00C94B64"/>
    <w:rsid w:val="00C94D99"/>
    <w:rsid w:val="00C959A7"/>
    <w:rsid w:val="00CA0490"/>
    <w:rsid w:val="00CA0DD0"/>
    <w:rsid w:val="00CA1818"/>
    <w:rsid w:val="00CA2EF6"/>
    <w:rsid w:val="00CA3109"/>
    <w:rsid w:val="00CA3FCB"/>
    <w:rsid w:val="00CA41C9"/>
    <w:rsid w:val="00CA7B5C"/>
    <w:rsid w:val="00CB0D32"/>
    <w:rsid w:val="00CB113F"/>
    <w:rsid w:val="00CB195A"/>
    <w:rsid w:val="00CB2480"/>
    <w:rsid w:val="00CB39C3"/>
    <w:rsid w:val="00CB511B"/>
    <w:rsid w:val="00CB55D4"/>
    <w:rsid w:val="00CC0A2D"/>
    <w:rsid w:val="00CC496A"/>
    <w:rsid w:val="00CC5115"/>
    <w:rsid w:val="00CC5C90"/>
    <w:rsid w:val="00CC63DD"/>
    <w:rsid w:val="00CD0DF0"/>
    <w:rsid w:val="00CD133D"/>
    <w:rsid w:val="00CD2573"/>
    <w:rsid w:val="00CD2D7B"/>
    <w:rsid w:val="00CD4A2E"/>
    <w:rsid w:val="00CD52F7"/>
    <w:rsid w:val="00CD72C2"/>
    <w:rsid w:val="00CD78A4"/>
    <w:rsid w:val="00CE0B47"/>
    <w:rsid w:val="00CE1679"/>
    <w:rsid w:val="00CE3251"/>
    <w:rsid w:val="00CE4166"/>
    <w:rsid w:val="00CE6F7E"/>
    <w:rsid w:val="00CE76A0"/>
    <w:rsid w:val="00CF098B"/>
    <w:rsid w:val="00CF19E5"/>
    <w:rsid w:val="00CF1A70"/>
    <w:rsid w:val="00D05208"/>
    <w:rsid w:val="00D07997"/>
    <w:rsid w:val="00D11F4C"/>
    <w:rsid w:val="00D12E76"/>
    <w:rsid w:val="00D1461D"/>
    <w:rsid w:val="00D162F5"/>
    <w:rsid w:val="00D1673F"/>
    <w:rsid w:val="00D17071"/>
    <w:rsid w:val="00D21918"/>
    <w:rsid w:val="00D225DC"/>
    <w:rsid w:val="00D23B72"/>
    <w:rsid w:val="00D26166"/>
    <w:rsid w:val="00D312CB"/>
    <w:rsid w:val="00D317C1"/>
    <w:rsid w:val="00D32C02"/>
    <w:rsid w:val="00D33F0A"/>
    <w:rsid w:val="00D34C56"/>
    <w:rsid w:val="00D418AC"/>
    <w:rsid w:val="00D4191F"/>
    <w:rsid w:val="00D420A7"/>
    <w:rsid w:val="00D43892"/>
    <w:rsid w:val="00D47D7A"/>
    <w:rsid w:val="00D47F46"/>
    <w:rsid w:val="00D515A3"/>
    <w:rsid w:val="00D51AEE"/>
    <w:rsid w:val="00D5372A"/>
    <w:rsid w:val="00D551DE"/>
    <w:rsid w:val="00D55525"/>
    <w:rsid w:val="00D56BBB"/>
    <w:rsid w:val="00D571B6"/>
    <w:rsid w:val="00D57D23"/>
    <w:rsid w:val="00D600E8"/>
    <w:rsid w:val="00D60B58"/>
    <w:rsid w:val="00D611B9"/>
    <w:rsid w:val="00D61A03"/>
    <w:rsid w:val="00D61B58"/>
    <w:rsid w:val="00D62428"/>
    <w:rsid w:val="00D637D9"/>
    <w:rsid w:val="00D64615"/>
    <w:rsid w:val="00D70F51"/>
    <w:rsid w:val="00D71927"/>
    <w:rsid w:val="00D724BE"/>
    <w:rsid w:val="00D75860"/>
    <w:rsid w:val="00D768F5"/>
    <w:rsid w:val="00D77C94"/>
    <w:rsid w:val="00D81972"/>
    <w:rsid w:val="00D81F5E"/>
    <w:rsid w:val="00D83BB6"/>
    <w:rsid w:val="00D859B4"/>
    <w:rsid w:val="00D860CB"/>
    <w:rsid w:val="00D866F2"/>
    <w:rsid w:val="00D91802"/>
    <w:rsid w:val="00D91E86"/>
    <w:rsid w:val="00D933F8"/>
    <w:rsid w:val="00D93D34"/>
    <w:rsid w:val="00D966E2"/>
    <w:rsid w:val="00D976B1"/>
    <w:rsid w:val="00DA51D7"/>
    <w:rsid w:val="00DA6D4C"/>
    <w:rsid w:val="00DA7AEE"/>
    <w:rsid w:val="00DB16E0"/>
    <w:rsid w:val="00DB23FA"/>
    <w:rsid w:val="00DB4357"/>
    <w:rsid w:val="00DB5431"/>
    <w:rsid w:val="00DB64BD"/>
    <w:rsid w:val="00DC00B3"/>
    <w:rsid w:val="00DC14E4"/>
    <w:rsid w:val="00DC1C7A"/>
    <w:rsid w:val="00DC2E85"/>
    <w:rsid w:val="00DD17F1"/>
    <w:rsid w:val="00DD2141"/>
    <w:rsid w:val="00DD429C"/>
    <w:rsid w:val="00DE03DB"/>
    <w:rsid w:val="00DE0F33"/>
    <w:rsid w:val="00DE2D5F"/>
    <w:rsid w:val="00DE5798"/>
    <w:rsid w:val="00DE6013"/>
    <w:rsid w:val="00DE744D"/>
    <w:rsid w:val="00DF0C48"/>
    <w:rsid w:val="00DF16D8"/>
    <w:rsid w:val="00DF62EC"/>
    <w:rsid w:val="00E04743"/>
    <w:rsid w:val="00E0498D"/>
    <w:rsid w:val="00E04C51"/>
    <w:rsid w:val="00E05489"/>
    <w:rsid w:val="00E068BF"/>
    <w:rsid w:val="00E1073A"/>
    <w:rsid w:val="00E10BF1"/>
    <w:rsid w:val="00E12D86"/>
    <w:rsid w:val="00E13979"/>
    <w:rsid w:val="00E152BE"/>
    <w:rsid w:val="00E1573E"/>
    <w:rsid w:val="00E15A72"/>
    <w:rsid w:val="00E20189"/>
    <w:rsid w:val="00E21B37"/>
    <w:rsid w:val="00E242A7"/>
    <w:rsid w:val="00E250CD"/>
    <w:rsid w:val="00E25428"/>
    <w:rsid w:val="00E26D61"/>
    <w:rsid w:val="00E33DFC"/>
    <w:rsid w:val="00E34EC2"/>
    <w:rsid w:val="00E3556C"/>
    <w:rsid w:val="00E434C6"/>
    <w:rsid w:val="00E4401D"/>
    <w:rsid w:val="00E452C2"/>
    <w:rsid w:val="00E46634"/>
    <w:rsid w:val="00E476FF"/>
    <w:rsid w:val="00E53603"/>
    <w:rsid w:val="00E53EC6"/>
    <w:rsid w:val="00E547B4"/>
    <w:rsid w:val="00E54E05"/>
    <w:rsid w:val="00E609C1"/>
    <w:rsid w:val="00E61FB7"/>
    <w:rsid w:val="00E64898"/>
    <w:rsid w:val="00E654D5"/>
    <w:rsid w:val="00E659CD"/>
    <w:rsid w:val="00E66489"/>
    <w:rsid w:val="00E66E79"/>
    <w:rsid w:val="00E7017F"/>
    <w:rsid w:val="00E7105F"/>
    <w:rsid w:val="00E73314"/>
    <w:rsid w:val="00E76A40"/>
    <w:rsid w:val="00E772C4"/>
    <w:rsid w:val="00E776D8"/>
    <w:rsid w:val="00E800A7"/>
    <w:rsid w:val="00E808FF"/>
    <w:rsid w:val="00E820B4"/>
    <w:rsid w:val="00E8544D"/>
    <w:rsid w:val="00E91423"/>
    <w:rsid w:val="00E92574"/>
    <w:rsid w:val="00E93B65"/>
    <w:rsid w:val="00E94C4F"/>
    <w:rsid w:val="00E94F9F"/>
    <w:rsid w:val="00EA0551"/>
    <w:rsid w:val="00EA1F5A"/>
    <w:rsid w:val="00EA4F0B"/>
    <w:rsid w:val="00EA5907"/>
    <w:rsid w:val="00EA63A1"/>
    <w:rsid w:val="00EB0DF6"/>
    <w:rsid w:val="00EB2945"/>
    <w:rsid w:val="00EB36A6"/>
    <w:rsid w:val="00EB683D"/>
    <w:rsid w:val="00EC24BC"/>
    <w:rsid w:val="00EC260D"/>
    <w:rsid w:val="00EC3439"/>
    <w:rsid w:val="00EC55C5"/>
    <w:rsid w:val="00EC618D"/>
    <w:rsid w:val="00EC77EB"/>
    <w:rsid w:val="00EC7C7D"/>
    <w:rsid w:val="00ED063B"/>
    <w:rsid w:val="00ED065F"/>
    <w:rsid w:val="00ED39A3"/>
    <w:rsid w:val="00ED3A4E"/>
    <w:rsid w:val="00ED5C82"/>
    <w:rsid w:val="00ED7D37"/>
    <w:rsid w:val="00EE059B"/>
    <w:rsid w:val="00EE1CD3"/>
    <w:rsid w:val="00EE3AC2"/>
    <w:rsid w:val="00EE4022"/>
    <w:rsid w:val="00EE60EC"/>
    <w:rsid w:val="00EE60FC"/>
    <w:rsid w:val="00EF2483"/>
    <w:rsid w:val="00EF317D"/>
    <w:rsid w:val="00EF31C5"/>
    <w:rsid w:val="00EF3ED0"/>
    <w:rsid w:val="00EF726D"/>
    <w:rsid w:val="00EF7425"/>
    <w:rsid w:val="00F00363"/>
    <w:rsid w:val="00F03DE4"/>
    <w:rsid w:val="00F04531"/>
    <w:rsid w:val="00F05EF2"/>
    <w:rsid w:val="00F07A80"/>
    <w:rsid w:val="00F10271"/>
    <w:rsid w:val="00F107B2"/>
    <w:rsid w:val="00F1098E"/>
    <w:rsid w:val="00F117E8"/>
    <w:rsid w:val="00F12274"/>
    <w:rsid w:val="00F13C73"/>
    <w:rsid w:val="00F14D02"/>
    <w:rsid w:val="00F21778"/>
    <w:rsid w:val="00F2304C"/>
    <w:rsid w:val="00F24CB9"/>
    <w:rsid w:val="00F26E60"/>
    <w:rsid w:val="00F27F99"/>
    <w:rsid w:val="00F32F68"/>
    <w:rsid w:val="00F354E2"/>
    <w:rsid w:val="00F36424"/>
    <w:rsid w:val="00F3660A"/>
    <w:rsid w:val="00F36C7E"/>
    <w:rsid w:val="00F37B65"/>
    <w:rsid w:val="00F4041B"/>
    <w:rsid w:val="00F407DF"/>
    <w:rsid w:val="00F40D2C"/>
    <w:rsid w:val="00F4122A"/>
    <w:rsid w:val="00F4158C"/>
    <w:rsid w:val="00F41ECF"/>
    <w:rsid w:val="00F431E6"/>
    <w:rsid w:val="00F4571C"/>
    <w:rsid w:val="00F45D90"/>
    <w:rsid w:val="00F467CC"/>
    <w:rsid w:val="00F475F5"/>
    <w:rsid w:val="00F53C11"/>
    <w:rsid w:val="00F54325"/>
    <w:rsid w:val="00F543DB"/>
    <w:rsid w:val="00F57E76"/>
    <w:rsid w:val="00F57F86"/>
    <w:rsid w:val="00F6268C"/>
    <w:rsid w:val="00F64E11"/>
    <w:rsid w:val="00F64F02"/>
    <w:rsid w:val="00F65A63"/>
    <w:rsid w:val="00F6619F"/>
    <w:rsid w:val="00F70CB1"/>
    <w:rsid w:val="00F7167C"/>
    <w:rsid w:val="00F76C35"/>
    <w:rsid w:val="00F777C8"/>
    <w:rsid w:val="00F83537"/>
    <w:rsid w:val="00F86867"/>
    <w:rsid w:val="00F87C66"/>
    <w:rsid w:val="00F905E6"/>
    <w:rsid w:val="00F90ED9"/>
    <w:rsid w:val="00F91721"/>
    <w:rsid w:val="00FA01C3"/>
    <w:rsid w:val="00FA2D3C"/>
    <w:rsid w:val="00FA317E"/>
    <w:rsid w:val="00FA47A5"/>
    <w:rsid w:val="00FA5E3C"/>
    <w:rsid w:val="00FA66F8"/>
    <w:rsid w:val="00FA7BB8"/>
    <w:rsid w:val="00FB40E0"/>
    <w:rsid w:val="00FC0265"/>
    <w:rsid w:val="00FC069C"/>
    <w:rsid w:val="00FC0EAA"/>
    <w:rsid w:val="00FC2749"/>
    <w:rsid w:val="00FC318D"/>
    <w:rsid w:val="00FC3E58"/>
    <w:rsid w:val="00FC4EBB"/>
    <w:rsid w:val="00FC54D1"/>
    <w:rsid w:val="00FD0595"/>
    <w:rsid w:val="00FD1839"/>
    <w:rsid w:val="00FD2813"/>
    <w:rsid w:val="00FD5309"/>
    <w:rsid w:val="00FD5A3B"/>
    <w:rsid w:val="00FE0EB4"/>
    <w:rsid w:val="00FE2642"/>
    <w:rsid w:val="00FE4741"/>
    <w:rsid w:val="00FE4956"/>
    <w:rsid w:val="00FE4B5B"/>
    <w:rsid w:val="00FE5107"/>
    <w:rsid w:val="00FE575C"/>
    <w:rsid w:val="00FF0B2C"/>
    <w:rsid w:val="00FF2F66"/>
    <w:rsid w:val="00FF58E3"/>
    <w:rsid w:val="00FF7635"/>
    <w:rsid w:val="0A9890A7"/>
    <w:rsid w:val="1CFE1CDA"/>
    <w:rsid w:val="2E5344C3"/>
    <w:rsid w:val="58718CAA"/>
    <w:rsid w:val="5F0CBA75"/>
    <w:rsid w:val="5F5034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51829D"/>
  <w15:chartTrackingRefBased/>
  <w15:docId w15:val="{95A8A9EC-B4EB-4316-A633-8B43A314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54D1"/>
    <w:pPr>
      <w:tabs>
        <w:tab w:val="center" w:pos="4153"/>
        <w:tab w:val="right" w:pos="8306"/>
      </w:tabs>
    </w:pPr>
  </w:style>
  <w:style w:type="character" w:customStyle="1" w:styleId="FooterChar">
    <w:name w:val="Footer Char"/>
    <w:basedOn w:val="DefaultParagraphFont"/>
    <w:link w:val="Footer"/>
    <w:rsid w:val="00FC54D1"/>
    <w:rPr>
      <w:rFonts w:ascii="Times New Roman" w:eastAsia="Times New Roman" w:hAnsi="Times New Roman" w:cs="Times New Roman"/>
      <w:sz w:val="20"/>
      <w:szCs w:val="20"/>
    </w:rPr>
  </w:style>
  <w:style w:type="character" w:styleId="PageNumber">
    <w:name w:val="page number"/>
    <w:basedOn w:val="DefaultParagraphFont"/>
    <w:rsid w:val="00FC54D1"/>
  </w:style>
  <w:style w:type="paragraph" w:customStyle="1" w:styleId="AFMANormal">
    <w:name w:val="AFMA Normal"/>
    <w:rsid w:val="00FC54D1"/>
    <w:pPr>
      <w:spacing w:before="240" w:after="0" w:line="240" w:lineRule="auto"/>
      <w:jc w:val="both"/>
    </w:pPr>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uiPriority w:val="99"/>
    <w:semiHidden/>
    <w:unhideWhenUsed/>
    <w:rsid w:val="0023733A"/>
    <w:rPr>
      <w:sz w:val="16"/>
      <w:szCs w:val="16"/>
    </w:rPr>
  </w:style>
  <w:style w:type="paragraph" w:styleId="CommentText">
    <w:name w:val="annotation text"/>
    <w:basedOn w:val="Normal"/>
    <w:link w:val="CommentTextChar"/>
    <w:uiPriority w:val="99"/>
    <w:semiHidden/>
    <w:unhideWhenUsed/>
    <w:rsid w:val="0023733A"/>
  </w:style>
  <w:style w:type="character" w:customStyle="1" w:styleId="CommentTextChar">
    <w:name w:val="Comment Text Char"/>
    <w:basedOn w:val="DefaultParagraphFont"/>
    <w:link w:val="CommentText"/>
    <w:uiPriority w:val="99"/>
    <w:semiHidden/>
    <w:rsid w:val="002373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33A"/>
    <w:rPr>
      <w:b/>
      <w:bCs/>
    </w:rPr>
  </w:style>
  <w:style w:type="character" w:customStyle="1" w:styleId="CommentSubjectChar">
    <w:name w:val="Comment Subject Char"/>
    <w:basedOn w:val="CommentTextChar"/>
    <w:link w:val="CommentSubject"/>
    <w:uiPriority w:val="99"/>
    <w:semiHidden/>
    <w:rsid w:val="002373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3A"/>
    <w:rPr>
      <w:rFonts w:ascii="Segoe UI" w:eastAsia="Times New Roman" w:hAnsi="Segoe UI" w:cs="Segoe UI"/>
      <w:sz w:val="18"/>
      <w:szCs w:val="18"/>
    </w:rPr>
  </w:style>
  <w:style w:type="paragraph" w:customStyle="1" w:styleId="subsection">
    <w:name w:val="subsection"/>
    <w:aliases w:val="ss"/>
    <w:basedOn w:val="Normal"/>
    <w:link w:val="subsectionChar"/>
    <w:rsid w:val="00045CCC"/>
    <w:pPr>
      <w:spacing w:before="100" w:beforeAutospacing="1" w:after="100" w:afterAutospacing="1"/>
    </w:pPr>
    <w:rPr>
      <w:sz w:val="24"/>
      <w:szCs w:val="24"/>
      <w:lang w:eastAsia="en-AU"/>
    </w:rPr>
  </w:style>
  <w:style w:type="paragraph" w:customStyle="1" w:styleId="paragraph">
    <w:name w:val="paragraph"/>
    <w:basedOn w:val="Normal"/>
    <w:rsid w:val="00045CCC"/>
    <w:pPr>
      <w:spacing w:before="100" w:beforeAutospacing="1" w:after="100" w:afterAutospacing="1"/>
    </w:pPr>
    <w:rPr>
      <w:sz w:val="24"/>
      <w:szCs w:val="24"/>
      <w:lang w:eastAsia="en-AU"/>
    </w:rPr>
  </w:style>
  <w:style w:type="paragraph" w:customStyle="1" w:styleId="subsection2">
    <w:name w:val="subsection2"/>
    <w:basedOn w:val="Normal"/>
    <w:rsid w:val="00045CCC"/>
    <w:pPr>
      <w:spacing w:before="100" w:beforeAutospacing="1" w:after="100" w:afterAutospacing="1"/>
    </w:pPr>
    <w:rPr>
      <w:sz w:val="24"/>
      <w:szCs w:val="24"/>
      <w:lang w:eastAsia="en-AU"/>
    </w:rPr>
  </w:style>
  <w:style w:type="character" w:customStyle="1" w:styleId="subsectionChar">
    <w:name w:val="subsection Char"/>
    <w:aliases w:val="ss Char"/>
    <w:basedOn w:val="DefaultParagraphFont"/>
    <w:link w:val="subsection"/>
    <w:locked/>
    <w:rsid w:val="0037051F"/>
    <w:rPr>
      <w:rFonts w:ascii="Times New Roman" w:eastAsia="Times New Roman" w:hAnsi="Times New Roman" w:cs="Times New Roman"/>
      <w:sz w:val="24"/>
      <w:szCs w:val="24"/>
      <w:lang w:eastAsia="en-AU"/>
    </w:rPr>
  </w:style>
  <w:style w:type="paragraph" w:customStyle="1" w:styleId="afmanormal0">
    <w:name w:val="afmanormal"/>
    <w:basedOn w:val="Normal"/>
    <w:rsid w:val="00930CD0"/>
    <w:pPr>
      <w:spacing w:before="100" w:beforeAutospacing="1" w:after="100" w:afterAutospacing="1"/>
    </w:pPr>
    <w:rPr>
      <w:sz w:val="24"/>
      <w:szCs w:val="24"/>
      <w:lang w:eastAsia="en-AU"/>
    </w:rPr>
  </w:style>
  <w:style w:type="paragraph" w:customStyle="1" w:styleId="r2">
    <w:name w:val="r2"/>
    <w:basedOn w:val="Normal"/>
    <w:rsid w:val="00930CD0"/>
    <w:pPr>
      <w:spacing w:before="100" w:beforeAutospacing="1" w:after="100" w:afterAutospacing="1"/>
    </w:pPr>
    <w:rPr>
      <w:sz w:val="24"/>
      <w:szCs w:val="24"/>
      <w:lang w:eastAsia="en-AU"/>
    </w:rPr>
  </w:style>
  <w:style w:type="paragraph" w:styleId="FootnoteText">
    <w:name w:val="footnote text"/>
    <w:basedOn w:val="Normal"/>
    <w:link w:val="FootnoteTextChar"/>
    <w:uiPriority w:val="99"/>
    <w:semiHidden/>
    <w:unhideWhenUsed/>
    <w:rsid w:val="00E92574"/>
  </w:style>
  <w:style w:type="character" w:customStyle="1" w:styleId="FootnoteTextChar">
    <w:name w:val="Footnote Text Char"/>
    <w:basedOn w:val="DefaultParagraphFont"/>
    <w:link w:val="FootnoteText"/>
    <w:uiPriority w:val="99"/>
    <w:semiHidden/>
    <w:rsid w:val="00E925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2574"/>
    <w:rPr>
      <w:vertAlign w:val="superscript"/>
    </w:rPr>
  </w:style>
  <w:style w:type="paragraph" w:customStyle="1" w:styleId="notetext">
    <w:name w:val="note(text)"/>
    <w:aliases w:val="n"/>
    <w:basedOn w:val="Normal"/>
    <w:link w:val="notetextChar"/>
    <w:rsid w:val="00D768F5"/>
    <w:pPr>
      <w:spacing w:before="122" w:line="198" w:lineRule="exact"/>
      <w:ind w:left="1985" w:hanging="851"/>
    </w:pPr>
    <w:rPr>
      <w:sz w:val="18"/>
      <w:lang w:eastAsia="en-AU"/>
    </w:rPr>
  </w:style>
  <w:style w:type="character" w:customStyle="1" w:styleId="notetextChar">
    <w:name w:val="note(text) Char"/>
    <w:aliases w:val="n Char"/>
    <w:basedOn w:val="DefaultParagraphFont"/>
    <w:link w:val="notetext"/>
    <w:rsid w:val="00D768F5"/>
    <w:rPr>
      <w:rFonts w:ascii="Times New Roman" w:eastAsia="Times New Roman" w:hAnsi="Times New Roman" w:cs="Times New Roman"/>
      <w:sz w:val="18"/>
      <w:szCs w:val="20"/>
      <w:lang w:eastAsia="en-AU"/>
    </w:rPr>
  </w:style>
  <w:style w:type="paragraph" w:styleId="ListParagraph">
    <w:name w:val="List Paragraph"/>
    <w:aliases w:val="List Paragraph1,Recommendation,List Paragraph11,DDM Gen Text,Bullet Level 1,List Paragraph111,L,F5 List Paragraph,Dot pt,CV text,Table text,Medium Grid 1 - Accent 21,Numbered Paragraph,List Paragraph2,Bulleted Para,NFP GP Bulleted List"/>
    <w:basedOn w:val="Normal"/>
    <w:link w:val="ListParagraphChar"/>
    <w:uiPriority w:val="34"/>
    <w:qFormat/>
    <w:rsid w:val="003E4A14"/>
    <w:pPr>
      <w:ind w:left="720"/>
      <w:contextualSpacing/>
    </w:pPr>
  </w:style>
  <w:style w:type="character" w:styleId="Hyperlink">
    <w:name w:val="Hyperlink"/>
    <w:basedOn w:val="DefaultParagraphFont"/>
    <w:uiPriority w:val="99"/>
    <w:unhideWhenUsed/>
    <w:rsid w:val="00B17CA4"/>
    <w:rPr>
      <w:color w:val="0563C1" w:themeColor="hyperlink"/>
      <w:u w:val="single"/>
    </w:rPr>
  </w:style>
  <w:style w:type="paragraph" w:customStyle="1" w:styleId="notetext0">
    <w:name w:val="notetext"/>
    <w:basedOn w:val="Normal"/>
    <w:rsid w:val="00B17CA4"/>
    <w:pPr>
      <w:spacing w:before="100" w:beforeAutospacing="1" w:after="100" w:afterAutospacing="1"/>
    </w:pPr>
    <w:rPr>
      <w:rFonts w:eastAsiaTheme="minorHAnsi"/>
      <w:sz w:val="24"/>
      <w:szCs w:val="24"/>
      <w:lang w:eastAsia="en-AU"/>
    </w:rPr>
  </w:style>
  <w:style w:type="paragraph" w:customStyle="1" w:styleId="Definition">
    <w:name w:val="Definition"/>
    <w:aliases w:val="dd"/>
    <w:basedOn w:val="Normal"/>
    <w:rsid w:val="00B17CA4"/>
    <w:pPr>
      <w:spacing w:before="180"/>
      <w:ind w:left="1134"/>
    </w:pPr>
    <w:rPr>
      <w:rFonts w:eastAsiaTheme="minorHAnsi"/>
      <w:sz w:val="22"/>
      <w:szCs w:val="22"/>
      <w:lang w:eastAsia="en-AU"/>
    </w:rPr>
  </w:style>
  <w:style w:type="paragraph" w:styleId="Header">
    <w:name w:val="header"/>
    <w:basedOn w:val="Normal"/>
    <w:link w:val="HeaderChar"/>
    <w:uiPriority w:val="99"/>
    <w:semiHidden/>
    <w:unhideWhenUsed/>
    <w:rsid w:val="00223CE9"/>
    <w:pPr>
      <w:tabs>
        <w:tab w:val="center" w:pos="4513"/>
        <w:tab w:val="right" w:pos="9026"/>
      </w:tabs>
    </w:pPr>
  </w:style>
  <w:style w:type="character" w:customStyle="1" w:styleId="HeaderChar">
    <w:name w:val="Header Char"/>
    <w:basedOn w:val="DefaultParagraphFont"/>
    <w:link w:val="Header"/>
    <w:uiPriority w:val="99"/>
    <w:semiHidden/>
    <w:rsid w:val="00223CE9"/>
    <w:rPr>
      <w:rFonts w:ascii="Times New Roman" w:eastAsia="Times New Roman" w:hAnsi="Times New Roman" w:cs="Times New Roman"/>
      <w:sz w:val="20"/>
      <w:szCs w:val="20"/>
    </w:rPr>
  </w:style>
  <w:style w:type="character" w:customStyle="1" w:styleId="ui-provider">
    <w:name w:val="ui-provider"/>
    <w:basedOn w:val="DefaultParagraphFont"/>
    <w:rsid w:val="006F4629"/>
  </w:style>
  <w:style w:type="paragraph" w:styleId="Revision">
    <w:name w:val="Revision"/>
    <w:hidden/>
    <w:uiPriority w:val="99"/>
    <w:semiHidden/>
    <w:rsid w:val="00A336FC"/>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506A25"/>
    <w:rPr>
      <w:color w:val="605E5C"/>
      <w:shd w:val="clear" w:color="auto" w:fill="E1DFDD"/>
    </w:rPr>
  </w:style>
  <w:style w:type="character" w:styleId="Mention">
    <w:name w:val="Mention"/>
    <w:basedOn w:val="DefaultParagraphFont"/>
    <w:uiPriority w:val="99"/>
    <w:unhideWhenUsed/>
    <w:rsid w:val="00506A25"/>
    <w:rPr>
      <w:color w:val="2B579A"/>
      <w:shd w:val="clear" w:color="auto" w:fill="E1DFDD"/>
    </w:rPr>
  </w:style>
  <w:style w:type="character" w:styleId="FollowedHyperlink">
    <w:name w:val="FollowedHyperlink"/>
    <w:basedOn w:val="DefaultParagraphFont"/>
    <w:uiPriority w:val="99"/>
    <w:semiHidden/>
    <w:unhideWhenUsed/>
    <w:rsid w:val="00690218"/>
    <w:rPr>
      <w:color w:val="954F72" w:themeColor="followedHyperlink"/>
      <w:u w:val="single"/>
    </w:rPr>
  </w:style>
  <w:style w:type="character" w:customStyle="1" w:styleId="ListParagraphChar">
    <w:name w:val="List Paragraph Char"/>
    <w:aliases w:val="List Paragraph1 Char,Recommendation Char,List Paragraph11 Char,DDM Gen Text Char,Bullet Level 1 Char,List Paragraph111 Char,L Char,F5 List Paragraph Char,Dot pt Char,CV text Char,Table text Char,Medium Grid 1 - Accent 21 Char"/>
    <w:link w:val="ListParagraph"/>
    <w:uiPriority w:val="34"/>
    <w:qFormat/>
    <w:rsid w:val="002347B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5060">
      <w:bodyDiv w:val="1"/>
      <w:marLeft w:val="0"/>
      <w:marRight w:val="0"/>
      <w:marTop w:val="0"/>
      <w:marBottom w:val="0"/>
      <w:divBdr>
        <w:top w:val="none" w:sz="0" w:space="0" w:color="auto"/>
        <w:left w:val="none" w:sz="0" w:space="0" w:color="auto"/>
        <w:bottom w:val="none" w:sz="0" w:space="0" w:color="auto"/>
        <w:right w:val="none" w:sz="0" w:space="0" w:color="auto"/>
      </w:divBdr>
    </w:div>
    <w:div w:id="325518260">
      <w:bodyDiv w:val="1"/>
      <w:marLeft w:val="0"/>
      <w:marRight w:val="0"/>
      <w:marTop w:val="0"/>
      <w:marBottom w:val="0"/>
      <w:divBdr>
        <w:top w:val="none" w:sz="0" w:space="0" w:color="auto"/>
        <w:left w:val="none" w:sz="0" w:space="0" w:color="auto"/>
        <w:bottom w:val="none" w:sz="0" w:space="0" w:color="auto"/>
        <w:right w:val="none" w:sz="0" w:space="0" w:color="auto"/>
      </w:divBdr>
    </w:div>
    <w:div w:id="469203259">
      <w:bodyDiv w:val="1"/>
      <w:marLeft w:val="0"/>
      <w:marRight w:val="0"/>
      <w:marTop w:val="0"/>
      <w:marBottom w:val="0"/>
      <w:divBdr>
        <w:top w:val="none" w:sz="0" w:space="0" w:color="auto"/>
        <w:left w:val="none" w:sz="0" w:space="0" w:color="auto"/>
        <w:bottom w:val="none" w:sz="0" w:space="0" w:color="auto"/>
        <w:right w:val="none" w:sz="0" w:space="0" w:color="auto"/>
      </w:divBdr>
    </w:div>
    <w:div w:id="630595839">
      <w:bodyDiv w:val="1"/>
      <w:marLeft w:val="0"/>
      <w:marRight w:val="0"/>
      <w:marTop w:val="0"/>
      <w:marBottom w:val="0"/>
      <w:divBdr>
        <w:top w:val="none" w:sz="0" w:space="0" w:color="auto"/>
        <w:left w:val="none" w:sz="0" w:space="0" w:color="auto"/>
        <w:bottom w:val="none" w:sz="0" w:space="0" w:color="auto"/>
        <w:right w:val="none" w:sz="0" w:space="0" w:color="auto"/>
      </w:divBdr>
    </w:div>
    <w:div w:id="725303899">
      <w:bodyDiv w:val="1"/>
      <w:marLeft w:val="0"/>
      <w:marRight w:val="0"/>
      <w:marTop w:val="0"/>
      <w:marBottom w:val="0"/>
      <w:divBdr>
        <w:top w:val="none" w:sz="0" w:space="0" w:color="auto"/>
        <w:left w:val="none" w:sz="0" w:space="0" w:color="auto"/>
        <w:bottom w:val="none" w:sz="0" w:space="0" w:color="auto"/>
        <w:right w:val="none" w:sz="0" w:space="0" w:color="auto"/>
      </w:divBdr>
    </w:div>
    <w:div w:id="833646496">
      <w:bodyDiv w:val="1"/>
      <w:marLeft w:val="0"/>
      <w:marRight w:val="0"/>
      <w:marTop w:val="0"/>
      <w:marBottom w:val="0"/>
      <w:divBdr>
        <w:top w:val="none" w:sz="0" w:space="0" w:color="auto"/>
        <w:left w:val="none" w:sz="0" w:space="0" w:color="auto"/>
        <w:bottom w:val="none" w:sz="0" w:space="0" w:color="auto"/>
        <w:right w:val="none" w:sz="0" w:space="0" w:color="auto"/>
      </w:divBdr>
    </w:div>
    <w:div w:id="197309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1b9356-9774-4515-b85f-82788657dd43">
      <Terms xmlns="http://schemas.microsoft.com/office/infopath/2007/PartnerControls"/>
    </lcf76f155ced4ddcb4097134ff3c332f>
    <TaxCatchAll xmlns="9dc7b98a-aa4a-4582-9fad-77df62eff277" xsi:nil="true"/>
    <_dlc_DocIdUrl xmlns="9dc7b98a-aa4a-4582-9fad-77df62eff277">
      <Url>https://afmagovau.sharepoint.com/sites/LPS-PROD/_layouts/15/DocIdRedir.aspx?ID=AFMALPS-1462065136-5989</Url>
      <Description>AFMALPS-1462065136-5989</Description>
    </_dlc_DocIdUrl>
    <_dlc_DocIdPersistId xmlns="9dc7b98a-aa4a-4582-9fad-77df62eff277" xsi:nil="true"/>
    <_dlc_DocId xmlns="9dc7b98a-aa4a-4582-9fad-77df62eff277">AFMALPS-1462065136-5989</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95D2F8-8443-4B2B-9BD9-0DFEC9447C85}">
  <ds:schemaRefs>
    <ds:schemaRef ds:uri="http://schemas.microsoft.com/office/2006/metadata/properties"/>
    <ds:schemaRef ds:uri="http://schemas.microsoft.com/office/infopath/2007/PartnerControls"/>
    <ds:schemaRef ds:uri="ad89e3a7-bc44-4ae9-b26a-b14eb6ab234a"/>
    <ds:schemaRef ds:uri="a862938e-ae39-425b-9d70-cda3eaaca30c"/>
    <ds:schemaRef ds:uri="d01b9356-9774-4515-b85f-82788657dd43"/>
    <ds:schemaRef ds:uri="9dc7b98a-aa4a-4582-9fad-77df62eff277"/>
  </ds:schemaRefs>
</ds:datastoreItem>
</file>

<file path=customXml/itemProps2.xml><?xml version="1.0" encoding="utf-8"?>
<ds:datastoreItem xmlns:ds="http://schemas.openxmlformats.org/officeDocument/2006/customXml" ds:itemID="{FDFFCBC9-C32C-4506-8BDB-D448C9818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b9356-9774-4515-b85f-82788657dd43"/>
    <ds:schemaRef ds:uri="9dc7b98a-aa4a-4582-9fad-77df62e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EE9F6-A9AA-4F9D-BDE0-7155C7A602FE}">
  <ds:schemaRefs>
    <ds:schemaRef ds:uri="http://schemas.openxmlformats.org/officeDocument/2006/bibliography"/>
  </ds:schemaRefs>
</ds:datastoreItem>
</file>

<file path=customXml/itemProps4.xml><?xml version="1.0" encoding="utf-8"?>
<ds:datastoreItem xmlns:ds="http://schemas.openxmlformats.org/officeDocument/2006/customXml" ds:itemID="{E02B7D7B-44B5-48E9-8BAC-03FD22185CEC}">
  <ds:schemaRefs>
    <ds:schemaRef ds:uri="http://schemas.microsoft.com/sharepoint/v3/contenttype/forms"/>
  </ds:schemaRefs>
</ds:datastoreItem>
</file>

<file path=customXml/itemProps5.xml><?xml version="1.0" encoding="utf-8"?>
<ds:datastoreItem xmlns:ds="http://schemas.openxmlformats.org/officeDocument/2006/customXml" ds:itemID="{D5EC2279-C234-4B9C-83A8-81FA78B589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Links>
    <vt:vector size="6" baseType="variant">
      <vt:variant>
        <vt:i4>7995427</vt:i4>
      </vt:variant>
      <vt:variant>
        <vt:i4>0</vt:i4>
      </vt:variant>
      <vt:variant>
        <vt:i4>0</vt:i4>
      </vt:variant>
      <vt:variant>
        <vt:i4>5</vt:i4>
      </vt:variant>
      <vt:variant>
        <vt:lpwstr>https://www.legislation.gov.au/Details/F2008B00750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MCKILLOP, Kylie</dc:creator>
  <cp:keywords/>
  <dc:description/>
  <cp:lastModifiedBy>AFMA </cp:lastModifiedBy>
  <cp:revision>7</cp:revision>
  <cp:lastPrinted>2024-07-12T04:39:00Z</cp:lastPrinted>
  <dcterms:created xsi:type="dcterms:W3CDTF">2024-10-08T01:47:00Z</dcterms:created>
  <dcterms:modified xsi:type="dcterms:W3CDTF">2024-11-13T04:30:00Z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b22640d0-79c1-44df-bb78-63511a78388c</vt:lpwstr>
  </property>
  <property fmtid="{D5CDD505-2E9C-101B-9397-08002B2CF9AE}" pid="3" name="MediaServiceImageTags">
    <vt:lpwstr/>
  </property>
  <property fmtid="{D5CDD505-2E9C-101B-9397-08002B2CF9AE}" pid="4" name="ContentTypeId">
    <vt:lpwstr>0x01010012922EE4DB6956409625CCB71A6EB15A</vt:lpwstr>
  </property>
  <property fmtid="{D5CDD505-2E9C-101B-9397-08002B2CF9AE}" pid="5" name="SEC">
    <vt:lpwstr>OFFICIAL</vt:lpwstr>
  </property>
  <property fmtid="{D5CDD505-2E9C-101B-9397-08002B2CF9AE}" pid="6" name="ApplyMark">
    <vt:lpwstr>false</vt:lpwstr>
  </property>
  <property fmtid="{D5CDD505-2E9C-101B-9397-08002B2CF9AE}" pid="7" name="_dlc_DocIdItemGuid">
    <vt:lpwstr>7fe1cee0-7b2a-4876-bd21-8246c9226965</vt:lpwstr>
  </property>
</Properties>
</file>