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4F995" w14:textId="77777777" w:rsidR="00AF2D23" w:rsidRPr="009F3FD7" w:rsidRDefault="00AF2D23" w:rsidP="00AF2D23">
      <w:pPr>
        <w:jc w:val="center"/>
        <w:rPr>
          <w:rFonts w:ascii="Times New Roman" w:hAnsi="Times New Roman" w:cs="Times New Roman"/>
          <w:b/>
          <w:bCs/>
          <w:sz w:val="24"/>
          <w:szCs w:val="24"/>
        </w:rPr>
      </w:pPr>
      <w:r w:rsidRPr="009F3FD7">
        <w:rPr>
          <w:rFonts w:ascii="Times New Roman" w:hAnsi="Times New Roman" w:cs="Times New Roman"/>
          <w:b/>
          <w:bCs/>
          <w:sz w:val="24"/>
          <w:szCs w:val="24"/>
        </w:rPr>
        <w:t>Explanatory Statement</w:t>
      </w:r>
    </w:p>
    <w:p w14:paraId="5247921C" w14:textId="77777777" w:rsidR="00AF2D23" w:rsidRPr="009F3FD7" w:rsidRDefault="00AF2D23" w:rsidP="00AF2D23">
      <w:pPr>
        <w:jc w:val="center"/>
        <w:rPr>
          <w:rFonts w:ascii="Times New Roman" w:hAnsi="Times New Roman" w:cs="Times New Roman"/>
          <w:b/>
          <w:bCs/>
          <w:i/>
          <w:iCs/>
          <w:sz w:val="24"/>
          <w:szCs w:val="24"/>
        </w:rPr>
      </w:pPr>
      <w:r w:rsidRPr="009F3FD7">
        <w:rPr>
          <w:rFonts w:ascii="Times New Roman" w:hAnsi="Times New Roman" w:cs="Times New Roman"/>
          <w:b/>
          <w:bCs/>
          <w:i/>
          <w:iCs/>
          <w:sz w:val="24"/>
          <w:szCs w:val="24"/>
        </w:rPr>
        <w:t>Autonomous Sanctions Regulations 2011</w:t>
      </w:r>
    </w:p>
    <w:p w14:paraId="1EBD12DE" w14:textId="77777777" w:rsidR="00AF2D23" w:rsidRPr="009F3FD7" w:rsidRDefault="00AF2D23" w:rsidP="00AF2D23">
      <w:pPr>
        <w:jc w:val="center"/>
        <w:rPr>
          <w:rFonts w:ascii="Times New Roman" w:hAnsi="Times New Roman" w:cs="Times New Roman"/>
          <w:b/>
          <w:bCs/>
          <w:i/>
          <w:iCs/>
          <w:sz w:val="24"/>
          <w:szCs w:val="24"/>
        </w:rPr>
      </w:pPr>
      <w:r w:rsidRPr="009F3FD7">
        <w:rPr>
          <w:rFonts w:ascii="Times New Roman" w:hAnsi="Times New Roman" w:cs="Times New Roman"/>
          <w:b/>
          <w:bCs/>
          <w:i/>
          <w:iCs/>
          <w:sz w:val="24"/>
          <w:szCs w:val="24"/>
        </w:rPr>
        <w:t>Autonomous Sanctions Amendment (Periodic Legislative Review) Regulations 2024</w:t>
      </w:r>
    </w:p>
    <w:p w14:paraId="56898831" w14:textId="77777777" w:rsidR="00AF2D23" w:rsidRPr="009F3FD7" w:rsidRDefault="00AF2D23" w:rsidP="00AF2D23">
      <w:pPr>
        <w:rPr>
          <w:rFonts w:ascii="Times New Roman" w:hAnsi="Times New Roman" w:cs="Times New Roman"/>
        </w:rPr>
      </w:pPr>
      <w:bookmarkStart w:id="0" w:name="_Hlk171414850"/>
      <w:r w:rsidRPr="009F3FD7">
        <w:rPr>
          <w:rFonts w:ascii="Times New Roman" w:hAnsi="Times New Roman" w:cs="Times New Roman"/>
        </w:rPr>
        <w:t xml:space="preserve">The </w:t>
      </w:r>
      <w:r w:rsidRPr="009F3FD7">
        <w:rPr>
          <w:rFonts w:ascii="Times New Roman" w:hAnsi="Times New Roman" w:cs="Times New Roman"/>
          <w:i/>
          <w:iCs/>
        </w:rPr>
        <w:t xml:space="preserve">Autonomous Sanctions Act 2011 </w:t>
      </w:r>
      <w:r w:rsidRPr="009F3FD7">
        <w:rPr>
          <w:rFonts w:ascii="Times New Roman" w:hAnsi="Times New Roman" w:cs="Times New Roman"/>
        </w:rPr>
        <w:t xml:space="preserve">(the </w:t>
      </w:r>
      <w:r w:rsidRPr="00793811">
        <w:rPr>
          <w:rFonts w:ascii="Times New Roman" w:hAnsi="Times New Roman" w:cs="Times New Roman"/>
        </w:rPr>
        <w:t>Act</w:t>
      </w:r>
      <w:r w:rsidRPr="009F3FD7">
        <w:rPr>
          <w:rFonts w:ascii="Times New Roman" w:hAnsi="Times New Roman" w:cs="Times New Roman"/>
        </w:rPr>
        <w:t xml:space="preserve">) was established to provide for and enforce autonomous sanctions to address situations of international concern. </w:t>
      </w:r>
    </w:p>
    <w:p w14:paraId="753AACD2"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The </w:t>
      </w:r>
      <w:r w:rsidRPr="009F3FD7">
        <w:rPr>
          <w:rFonts w:ascii="Times New Roman" w:hAnsi="Times New Roman" w:cs="Times New Roman"/>
          <w:i/>
          <w:iCs/>
        </w:rPr>
        <w:t>Autonomous Sanctions Amendment (Periodic Legislative Review) Regulations 2024</w:t>
      </w:r>
      <w:r w:rsidRPr="009F3FD7">
        <w:rPr>
          <w:rFonts w:ascii="Times New Roman" w:hAnsi="Times New Roman" w:cs="Times New Roman"/>
        </w:rPr>
        <w:t xml:space="preserve"> (the </w:t>
      </w:r>
      <w:r w:rsidRPr="00793811">
        <w:rPr>
          <w:rFonts w:ascii="Times New Roman" w:hAnsi="Times New Roman" w:cs="Times New Roman"/>
        </w:rPr>
        <w:t>Amendment Regulations</w:t>
      </w:r>
      <w:r w:rsidRPr="009F3FD7">
        <w:rPr>
          <w:rFonts w:ascii="Times New Roman" w:hAnsi="Times New Roman" w:cs="Times New Roman"/>
        </w:rPr>
        <w:t>)</w:t>
      </w:r>
      <w:r w:rsidRPr="009F3FD7">
        <w:rPr>
          <w:rFonts w:ascii="Times New Roman" w:hAnsi="Times New Roman" w:cs="Times New Roman"/>
          <w:i/>
          <w:iCs/>
        </w:rPr>
        <w:t xml:space="preserve"> </w:t>
      </w:r>
      <w:r w:rsidRPr="009F3FD7">
        <w:rPr>
          <w:rFonts w:ascii="Times New Roman" w:hAnsi="Times New Roman" w:cs="Times New Roman"/>
        </w:rPr>
        <w:t xml:space="preserve">insert a five-yearly review requirement into the </w:t>
      </w:r>
      <w:r w:rsidRPr="009F3FD7">
        <w:rPr>
          <w:rFonts w:ascii="Times New Roman" w:hAnsi="Times New Roman" w:cs="Times New Roman"/>
          <w:i/>
          <w:iCs/>
        </w:rPr>
        <w:t xml:space="preserve">Autonomous Sanctions Regulations 2011 </w:t>
      </w:r>
      <w:r w:rsidRPr="009F3FD7">
        <w:rPr>
          <w:rFonts w:ascii="Times New Roman" w:hAnsi="Times New Roman" w:cs="Times New Roman"/>
        </w:rPr>
        <w:t xml:space="preserve">(the </w:t>
      </w:r>
      <w:r w:rsidRPr="00793811">
        <w:rPr>
          <w:rFonts w:ascii="Times New Roman" w:hAnsi="Times New Roman" w:cs="Times New Roman"/>
        </w:rPr>
        <w:t>Regulations)</w:t>
      </w:r>
      <w:r w:rsidRPr="009F3FD7">
        <w:rPr>
          <w:rFonts w:ascii="Times New Roman" w:hAnsi="Times New Roman" w:cs="Times New Roman"/>
        </w:rPr>
        <w:t xml:space="preserve"> and repeal the automatic expiry of </w:t>
      </w:r>
      <w:r>
        <w:rPr>
          <w:rFonts w:ascii="Times New Roman" w:hAnsi="Times New Roman" w:cs="Times New Roman"/>
        </w:rPr>
        <w:t xml:space="preserve">the following </w:t>
      </w:r>
      <w:r w:rsidRPr="009F3FD7">
        <w:rPr>
          <w:rFonts w:ascii="Times New Roman" w:hAnsi="Times New Roman" w:cs="Times New Roman"/>
        </w:rPr>
        <w:t>autonomous sanctions designations and declarations</w:t>
      </w:r>
      <w:r>
        <w:rPr>
          <w:rFonts w:ascii="Times New Roman" w:hAnsi="Times New Roman" w:cs="Times New Roman"/>
        </w:rPr>
        <w:t xml:space="preserve">: </w:t>
      </w:r>
      <w:r w:rsidRPr="00C924E8">
        <w:rPr>
          <w:rFonts w:ascii="Times New Roman" w:hAnsi="Times New Roman" w:cs="Times New Roman"/>
        </w:rPr>
        <w:t>designations of persons and entities; designations of controlled assets; designations of sanctioned vessels; and declarations of persons as subject to a travel ban</w:t>
      </w:r>
      <w:r w:rsidRPr="009F3FD7">
        <w:rPr>
          <w:rFonts w:ascii="Times New Roman" w:hAnsi="Times New Roman" w:cs="Times New Roman"/>
        </w:rPr>
        <w:t xml:space="preserve"> (</w:t>
      </w:r>
      <w:r>
        <w:rPr>
          <w:rFonts w:ascii="Times New Roman" w:hAnsi="Times New Roman" w:cs="Times New Roman"/>
        </w:rPr>
        <w:t xml:space="preserve">collectively, </w:t>
      </w:r>
      <w:r w:rsidRPr="00793811">
        <w:rPr>
          <w:rFonts w:ascii="Times New Roman" w:hAnsi="Times New Roman" w:cs="Times New Roman"/>
        </w:rPr>
        <w:t>listings</w:t>
      </w:r>
      <w:r w:rsidRPr="009F3FD7">
        <w:rPr>
          <w:rFonts w:ascii="Times New Roman" w:hAnsi="Times New Roman" w:cs="Times New Roman"/>
        </w:rPr>
        <w:t>).</w:t>
      </w:r>
    </w:p>
    <w:p w14:paraId="6704D924"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Section 28 of the Act </w:t>
      </w:r>
      <w:r>
        <w:rPr>
          <w:rFonts w:ascii="Times New Roman" w:hAnsi="Times New Roman" w:cs="Times New Roman"/>
        </w:rPr>
        <w:t>provides that</w:t>
      </w:r>
      <w:r w:rsidRPr="009F3FD7">
        <w:rPr>
          <w:rFonts w:ascii="Times New Roman" w:hAnsi="Times New Roman" w:cs="Times New Roman"/>
        </w:rPr>
        <w:t xml:space="preserve"> the Governor-General </w:t>
      </w:r>
      <w:r>
        <w:rPr>
          <w:rFonts w:ascii="Times New Roman" w:hAnsi="Times New Roman" w:cs="Times New Roman"/>
        </w:rPr>
        <w:t>may</w:t>
      </w:r>
      <w:r w:rsidRPr="009F3FD7">
        <w:rPr>
          <w:rFonts w:ascii="Times New Roman" w:hAnsi="Times New Roman" w:cs="Times New Roman"/>
        </w:rPr>
        <w:t xml:space="preserve"> make regulations, not inconsistent with the Act, prescribing matters required or permitted by the Act to be prescribed, or necessary or convenient to be prescribed for carrying out or giving effect to the Act. </w:t>
      </w:r>
    </w:p>
    <w:p w14:paraId="400B26CD"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Section 10 of the Act provides that </w:t>
      </w:r>
      <w:r>
        <w:rPr>
          <w:rFonts w:ascii="Times New Roman" w:hAnsi="Times New Roman" w:cs="Times New Roman"/>
        </w:rPr>
        <w:t xml:space="preserve">the </w:t>
      </w:r>
      <w:r w:rsidRPr="009F3FD7">
        <w:rPr>
          <w:rFonts w:ascii="Times New Roman" w:hAnsi="Times New Roman" w:cs="Times New Roman"/>
        </w:rPr>
        <w:t>regulations</w:t>
      </w:r>
      <w:r>
        <w:rPr>
          <w:rFonts w:ascii="Times New Roman" w:hAnsi="Times New Roman" w:cs="Times New Roman"/>
        </w:rPr>
        <w:t xml:space="preserve"> may make provision in relation to specified</w:t>
      </w:r>
      <w:r w:rsidRPr="009F3FD7">
        <w:rPr>
          <w:rFonts w:ascii="Times New Roman" w:hAnsi="Times New Roman" w:cs="Times New Roman"/>
        </w:rPr>
        <w:t xml:space="preserve"> sanctions</w:t>
      </w:r>
      <w:r>
        <w:rPr>
          <w:rFonts w:ascii="Times New Roman" w:hAnsi="Times New Roman" w:cs="Times New Roman"/>
        </w:rPr>
        <w:t xml:space="preserve"> matters</w:t>
      </w:r>
      <w:r w:rsidRPr="009F3FD7">
        <w:rPr>
          <w:rFonts w:ascii="Times New Roman" w:hAnsi="Times New Roman" w:cs="Times New Roman"/>
        </w:rPr>
        <w:t>. Paragraph 10(1</w:t>
      </w:r>
      <w:r>
        <w:rPr>
          <w:rFonts w:ascii="Times New Roman" w:hAnsi="Times New Roman" w:cs="Times New Roman"/>
        </w:rPr>
        <w:t>)</w:t>
      </w:r>
      <w:r w:rsidRPr="009F3FD7">
        <w:rPr>
          <w:rFonts w:ascii="Times New Roman" w:hAnsi="Times New Roman" w:cs="Times New Roman"/>
        </w:rPr>
        <w:t xml:space="preserve">(a) provides that </w:t>
      </w:r>
      <w:r>
        <w:rPr>
          <w:rFonts w:ascii="Times New Roman" w:hAnsi="Times New Roman" w:cs="Times New Roman"/>
        </w:rPr>
        <w:t xml:space="preserve">the </w:t>
      </w:r>
      <w:r w:rsidRPr="009F3FD7">
        <w:rPr>
          <w:rFonts w:ascii="Times New Roman" w:hAnsi="Times New Roman" w:cs="Times New Roman"/>
        </w:rPr>
        <w:t xml:space="preserve">regulations may make provision relating to the proscription of persons or entities </w:t>
      </w:r>
      <w:r>
        <w:rPr>
          <w:rFonts w:ascii="Times New Roman" w:hAnsi="Times New Roman" w:cs="Times New Roman"/>
        </w:rPr>
        <w:t>(</w:t>
      </w:r>
      <w:r w:rsidRPr="009F3FD7">
        <w:rPr>
          <w:rFonts w:ascii="Times New Roman" w:hAnsi="Times New Roman" w:cs="Times New Roman"/>
        </w:rPr>
        <w:t>for specifi</w:t>
      </w:r>
      <w:r>
        <w:rPr>
          <w:rFonts w:ascii="Times New Roman" w:hAnsi="Times New Roman" w:cs="Times New Roman"/>
        </w:rPr>
        <w:t>ed</w:t>
      </w:r>
      <w:r w:rsidRPr="009F3FD7">
        <w:rPr>
          <w:rFonts w:ascii="Times New Roman" w:hAnsi="Times New Roman" w:cs="Times New Roman"/>
        </w:rPr>
        <w:t xml:space="preserve"> purposes or more generally</w:t>
      </w:r>
      <w:r>
        <w:rPr>
          <w:rFonts w:ascii="Times New Roman" w:hAnsi="Times New Roman" w:cs="Times New Roman"/>
        </w:rPr>
        <w:t>)</w:t>
      </w:r>
      <w:r w:rsidRPr="009F3FD7">
        <w:rPr>
          <w:rFonts w:ascii="Times New Roman" w:hAnsi="Times New Roman" w:cs="Times New Roman"/>
        </w:rPr>
        <w:t>.</w:t>
      </w:r>
    </w:p>
    <w:p w14:paraId="06DC4F75"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The purpose of the five-yearly review of the operation of Australia’s autonomous sanctions legislative framework is to ensure the framework is effective, including by assessing whether the Act and Regulations are appropriate for achieving the objects of the Act. The requirement to report to Parliament enhances transparency and responds to calls for government to report regularly on autonomous sanctions measures. </w:t>
      </w:r>
    </w:p>
    <w:p w14:paraId="4CE0EBD5"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The purpose of repealing the three-yearly automatic expiry of autonomous sanctions listings is to align Australia’s listings practice with like-minded jurisdictions (including the United States of America, the United Kingdom and Canada) whose listings do not expire</w:t>
      </w:r>
      <w:r>
        <w:rPr>
          <w:rFonts w:ascii="Times New Roman" w:hAnsi="Times New Roman" w:cs="Times New Roman"/>
        </w:rPr>
        <w:t>. It is also</w:t>
      </w:r>
      <w:r w:rsidRPr="009F3FD7">
        <w:rPr>
          <w:rFonts w:ascii="Times New Roman" w:hAnsi="Times New Roman" w:cs="Times New Roman"/>
        </w:rPr>
        <w:t xml:space="preserve"> to redirect departmental resources to other sanctions priorities, </w:t>
      </w:r>
      <w:proofErr w:type="gramStart"/>
      <w:r w:rsidRPr="009F3FD7">
        <w:rPr>
          <w:rFonts w:ascii="Times New Roman" w:hAnsi="Times New Roman" w:cs="Times New Roman"/>
        </w:rPr>
        <w:t>including</w:t>
      </w:r>
      <w:r>
        <w:rPr>
          <w:rFonts w:ascii="Times New Roman" w:hAnsi="Times New Roman" w:cs="Times New Roman"/>
        </w:rPr>
        <w:t>:</w:t>
      </w:r>
      <w:proofErr w:type="gramEnd"/>
      <w:r w:rsidRPr="009F3FD7">
        <w:rPr>
          <w:rFonts w:ascii="Times New Roman" w:hAnsi="Times New Roman" w:cs="Times New Roman"/>
        </w:rPr>
        <w:t xml:space="preserve"> making new listings</w:t>
      </w:r>
      <w:r>
        <w:rPr>
          <w:rFonts w:ascii="Times New Roman" w:hAnsi="Times New Roman" w:cs="Times New Roman"/>
        </w:rPr>
        <w:t xml:space="preserve"> in coordination with international partners;</w:t>
      </w:r>
      <w:r w:rsidRPr="009F3FD7">
        <w:rPr>
          <w:rFonts w:ascii="Times New Roman" w:hAnsi="Times New Roman" w:cs="Times New Roman"/>
        </w:rPr>
        <w:t xml:space="preserve"> monitoring and enforcing existing </w:t>
      </w:r>
      <w:r>
        <w:rPr>
          <w:rFonts w:ascii="Times New Roman" w:hAnsi="Times New Roman" w:cs="Times New Roman"/>
        </w:rPr>
        <w:t xml:space="preserve">listings; strengthening internal review processes; and engaging regularly with the public and civil society organisations. </w:t>
      </w:r>
      <w:r w:rsidRPr="009F3FD7">
        <w:rPr>
          <w:rFonts w:ascii="Times New Roman" w:hAnsi="Times New Roman" w:cs="Times New Roman"/>
        </w:rPr>
        <w:t xml:space="preserve">The effect of this measure is that listings will remain in operation until the Minister revokes them, whether on application, or on the Minister’s own initiative. </w:t>
      </w:r>
    </w:p>
    <w:bookmarkEnd w:id="0"/>
    <w:p w14:paraId="6BC42A49" w14:textId="77777777" w:rsidR="00AF2D23" w:rsidRPr="009F3FD7" w:rsidRDefault="00AF2D23" w:rsidP="00AF2D23">
      <w:pPr>
        <w:rPr>
          <w:rFonts w:ascii="Times New Roman" w:hAnsi="Times New Roman" w:cs="Times New Roman"/>
          <w:b/>
          <w:bCs/>
        </w:rPr>
      </w:pPr>
      <w:r w:rsidRPr="009F3FD7">
        <w:rPr>
          <w:rFonts w:ascii="Times New Roman" w:hAnsi="Times New Roman" w:cs="Times New Roman"/>
        </w:rPr>
        <w:t xml:space="preserve">Details of the </w:t>
      </w:r>
      <w:r>
        <w:rPr>
          <w:rFonts w:ascii="Times New Roman" w:hAnsi="Times New Roman" w:cs="Times New Roman"/>
        </w:rPr>
        <w:t xml:space="preserve">Amendment Regulations </w:t>
      </w:r>
      <w:r w:rsidRPr="009F3FD7">
        <w:rPr>
          <w:rFonts w:ascii="Times New Roman" w:hAnsi="Times New Roman" w:cs="Times New Roman"/>
        </w:rPr>
        <w:t xml:space="preserve">are set out at </w:t>
      </w:r>
      <w:r w:rsidRPr="00793811">
        <w:rPr>
          <w:rFonts w:ascii="Times New Roman" w:hAnsi="Times New Roman" w:cs="Times New Roman"/>
        </w:rPr>
        <w:t>Attachment A</w:t>
      </w:r>
      <w:r w:rsidRPr="009F3FD7">
        <w:rPr>
          <w:rFonts w:ascii="Times New Roman" w:hAnsi="Times New Roman" w:cs="Times New Roman"/>
          <w:b/>
          <w:bCs/>
        </w:rPr>
        <w:t>.</w:t>
      </w:r>
    </w:p>
    <w:p w14:paraId="5F971F8A"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The Office of Impact Analysis </w:t>
      </w:r>
      <w:r>
        <w:rPr>
          <w:rFonts w:ascii="Times New Roman" w:hAnsi="Times New Roman" w:cs="Times New Roman"/>
        </w:rPr>
        <w:t>(</w:t>
      </w:r>
      <w:r w:rsidRPr="00793811">
        <w:rPr>
          <w:rFonts w:ascii="Times New Roman" w:hAnsi="Times New Roman" w:cs="Times New Roman"/>
        </w:rPr>
        <w:t>OIA)</w:t>
      </w:r>
      <w:r>
        <w:rPr>
          <w:rFonts w:ascii="Times New Roman" w:hAnsi="Times New Roman" w:cs="Times New Roman"/>
        </w:rPr>
        <w:t xml:space="preserve"> </w:t>
      </w:r>
      <w:r w:rsidRPr="00A47B5D">
        <w:rPr>
          <w:rFonts w:ascii="Times New Roman" w:hAnsi="Times New Roman" w:cs="Times New Roman"/>
        </w:rPr>
        <w:t>has</w:t>
      </w:r>
      <w:r w:rsidRPr="009F3FD7">
        <w:rPr>
          <w:rFonts w:ascii="Times New Roman" w:hAnsi="Times New Roman" w:cs="Times New Roman"/>
        </w:rPr>
        <w:t xml:space="preserve"> confirmed that an </w:t>
      </w:r>
      <w:r>
        <w:rPr>
          <w:rFonts w:ascii="Times New Roman" w:hAnsi="Times New Roman" w:cs="Times New Roman"/>
        </w:rPr>
        <w:t>I</w:t>
      </w:r>
      <w:r w:rsidRPr="009F3FD7">
        <w:rPr>
          <w:rFonts w:ascii="Times New Roman" w:hAnsi="Times New Roman" w:cs="Times New Roman"/>
        </w:rPr>
        <w:t xml:space="preserve">mpact </w:t>
      </w:r>
      <w:r>
        <w:rPr>
          <w:rFonts w:ascii="Times New Roman" w:hAnsi="Times New Roman" w:cs="Times New Roman"/>
        </w:rPr>
        <w:t>A</w:t>
      </w:r>
      <w:r w:rsidRPr="009F3FD7">
        <w:rPr>
          <w:rFonts w:ascii="Times New Roman" w:hAnsi="Times New Roman" w:cs="Times New Roman"/>
        </w:rPr>
        <w:t>nalysis is not required (reference: OBPR22-03488).</w:t>
      </w:r>
      <w:r>
        <w:rPr>
          <w:rFonts w:ascii="Times New Roman" w:hAnsi="Times New Roman" w:cs="Times New Roman"/>
        </w:rPr>
        <w:t xml:space="preserve"> OIA’s assessment is that this instrument is unlikely to have a more than minor impact, and an Impact Analysis is not required. </w:t>
      </w:r>
    </w:p>
    <w:p w14:paraId="43A1D610"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The proposed instrument is compatible with the human rights and freedoms recognised or declared in the international instruments listed in section 3 of the </w:t>
      </w:r>
      <w:r w:rsidRPr="009F3FD7">
        <w:rPr>
          <w:rFonts w:ascii="Times New Roman" w:hAnsi="Times New Roman" w:cs="Times New Roman"/>
          <w:i/>
          <w:iCs/>
        </w:rPr>
        <w:t>Human Rights (Parliamentary Scrutiny Act 2011</w:t>
      </w:r>
      <w:r w:rsidRPr="009F3FD7">
        <w:rPr>
          <w:rFonts w:ascii="Times New Roman" w:hAnsi="Times New Roman" w:cs="Times New Roman"/>
        </w:rPr>
        <w:t xml:space="preserve">. A statement of compatibility with human rights is at </w:t>
      </w:r>
      <w:r w:rsidRPr="00793811">
        <w:rPr>
          <w:rFonts w:ascii="Times New Roman" w:hAnsi="Times New Roman" w:cs="Times New Roman"/>
        </w:rPr>
        <w:t>Attachment B.</w:t>
      </w:r>
      <w:r w:rsidRPr="009F3FD7">
        <w:rPr>
          <w:rFonts w:ascii="Times New Roman" w:hAnsi="Times New Roman" w:cs="Times New Roman"/>
        </w:rPr>
        <w:br w:type="page"/>
      </w:r>
    </w:p>
    <w:p w14:paraId="329DF0FD" w14:textId="77777777" w:rsidR="00AF2D23" w:rsidRPr="009F3FD7" w:rsidRDefault="00AF2D23" w:rsidP="00AF2D23">
      <w:pPr>
        <w:jc w:val="right"/>
        <w:rPr>
          <w:rFonts w:ascii="Times New Roman" w:hAnsi="Times New Roman" w:cs="Times New Roman"/>
          <w:b/>
          <w:bCs/>
        </w:rPr>
      </w:pPr>
      <w:r w:rsidRPr="009F3FD7">
        <w:rPr>
          <w:rFonts w:ascii="Times New Roman" w:hAnsi="Times New Roman" w:cs="Times New Roman"/>
          <w:b/>
          <w:bCs/>
        </w:rPr>
        <w:lastRenderedPageBreak/>
        <w:t>Attachment A</w:t>
      </w:r>
    </w:p>
    <w:p w14:paraId="7032F731" w14:textId="77777777" w:rsidR="00AF2D23" w:rsidRPr="009F3FD7" w:rsidRDefault="00AF2D23" w:rsidP="00AF2D23">
      <w:pPr>
        <w:jc w:val="center"/>
        <w:rPr>
          <w:rFonts w:ascii="Times New Roman" w:hAnsi="Times New Roman" w:cs="Times New Roman"/>
        </w:rPr>
      </w:pPr>
      <w:r w:rsidRPr="009F3FD7">
        <w:rPr>
          <w:rFonts w:ascii="Times New Roman" w:hAnsi="Times New Roman" w:cs="Times New Roman"/>
        </w:rPr>
        <w:t>Autonomous Sanctions Amendment (Period</w:t>
      </w:r>
      <w:r>
        <w:rPr>
          <w:rFonts w:ascii="Times New Roman" w:hAnsi="Times New Roman" w:cs="Times New Roman"/>
        </w:rPr>
        <w:t>ic Legislative</w:t>
      </w:r>
      <w:r w:rsidRPr="009F3FD7">
        <w:rPr>
          <w:rFonts w:ascii="Times New Roman" w:hAnsi="Times New Roman" w:cs="Times New Roman"/>
        </w:rPr>
        <w:t xml:space="preserve"> Review) Regulations 2024</w:t>
      </w:r>
    </w:p>
    <w:p w14:paraId="6E421878" w14:textId="77777777" w:rsidR="00AF2D23" w:rsidRPr="009F3FD7" w:rsidRDefault="00AF2D23" w:rsidP="00AF2D23">
      <w:pPr>
        <w:pStyle w:val="ListParagraph"/>
        <w:ind w:left="284"/>
        <w:rPr>
          <w:rFonts w:ascii="Times New Roman" w:hAnsi="Times New Roman" w:cs="Times New Roman"/>
          <w:b/>
          <w:bCs/>
          <w:i/>
          <w:iCs/>
        </w:rPr>
      </w:pPr>
      <w:r>
        <w:rPr>
          <w:rFonts w:ascii="Times New Roman" w:hAnsi="Times New Roman" w:cs="Times New Roman"/>
          <w:b/>
          <w:bCs/>
          <w:i/>
          <w:iCs/>
        </w:rPr>
        <w:t>Section</w:t>
      </w:r>
      <w:r w:rsidRPr="009F3FD7">
        <w:rPr>
          <w:rFonts w:ascii="Times New Roman" w:hAnsi="Times New Roman" w:cs="Times New Roman"/>
          <w:b/>
          <w:bCs/>
          <w:i/>
          <w:iCs/>
        </w:rPr>
        <w:t xml:space="preserve"> 1 – Name </w:t>
      </w:r>
    </w:p>
    <w:p w14:paraId="78B1B597"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This </w:t>
      </w:r>
      <w:r>
        <w:rPr>
          <w:rFonts w:ascii="Times New Roman" w:hAnsi="Times New Roman" w:cs="Times New Roman"/>
        </w:rPr>
        <w:t>section</w:t>
      </w:r>
      <w:r w:rsidRPr="009F3FD7">
        <w:rPr>
          <w:rFonts w:ascii="Times New Roman" w:hAnsi="Times New Roman" w:cs="Times New Roman"/>
        </w:rPr>
        <w:t xml:space="preserve"> provides that the title of the instrument is the </w:t>
      </w:r>
      <w:r w:rsidRPr="00F46D6E">
        <w:rPr>
          <w:rFonts w:ascii="Times New Roman" w:hAnsi="Times New Roman" w:cs="Times New Roman"/>
          <w:i/>
          <w:iCs/>
        </w:rPr>
        <w:t>Autonomous Sanctions Amendment (Periodic Legislative Review) Regulations 2024.</w:t>
      </w:r>
    </w:p>
    <w:p w14:paraId="549067C0" w14:textId="77777777" w:rsidR="00AF2D23" w:rsidRPr="009F3FD7" w:rsidRDefault="00AF2D23" w:rsidP="00AF2D23">
      <w:pPr>
        <w:pStyle w:val="ListParagraph"/>
        <w:ind w:left="284"/>
        <w:rPr>
          <w:rFonts w:ascii="Times New Roman" w:hAnsi="Times New Roman" w:cs="Times New Roman"/>
          <w:b/>
          <w:bCs/>
          <w:i/>
          <w:iCs/>
        </w:rPr>
      </w:pPr>
      <w:r>
        <w:rPr>
          <w:rFonts w:ascii="Times New Roman" w:hAnsi="Times New Roman" w:cs="Times New Roman"/>
          <w:b/>
          <w:bCs/>
          <w:i/>
          <w:iCs/>
        </w:rPr>
        <w:t>Section</w:t>
      </w:r>
      <w:r w:rsidRPr="009F3FD7">
        <w:rPr>
          <w:rFonts w:ascii="Times New Roman" w:hAnsi="Times New Roman" w:cs="Times New Roman"/>
          <w:b/>
          <w:bCs/>
          <w:i/>
          <w:iCs/>
        </w:rPr>
        <w:t xml:space="preserve"> 2 – Commencement </w:t>
      </w:r>
    </w:p>
    <w:p w14:paraId="42E9215E"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This </w:t>
      </w:r>
      <w:r>
        <w:rPr>
          <w:rFonts w:ascii="Times New Roman" w:hAnsi="Times New Roman" w:cs="Times New Roman"/>
        </w:rPr>
        <w:t>section</w:t>
      </w:r>
      <w:r w:rsidRPr="009F3FD7">
        <w:rPr>
          <w:rFonts w:ascii="Times New Roman" w:hAnsi="Times New Roman" w:cs="Times New Roman"/>
        </w:rPr>
        <w:t xml:space="preserve"> provides that the instrument commences the day after it is registered.</w:t>
      </w:r>
    </w:p>
    <w:p w14:paraId="04B1ED37" w14:textId="77777777" w:rsidR="00AF2D23" w:rsidRPr="009F3FD7" w:rsidRDefault="00AF2D23" w:rsidP="00AF2D23">
      <w:pPr>
        <w:pStyle w:val="ListParagraph"/>
        <w:ind w:left="284"/>
        <w:rPr>
          <w:rFonts w:ascii="Times New Roman" w:hAnsi="Times New Roman" w:cs="Times New Roman"/>
          <w:b/>
          <w:bCs/>
          <w:i/>
          <w:iCs/>
        </w:rPr>
      </w:pPr>
      <w:r>
        <w:rPr>
          <w:rFonts w:ascii="Times New Roman" w:hAnsi="Times New Roman" w:cs="Times New Roman"/>
          <w:b/>
          <w:bCs/>
          <w:i/>
          <w:iCs/>
        </w:rPr>
        <w:t>Section</w:t>
      </w:r>
      <w:r w:rsidRPr="009F3FD7">
        <w:rPr>
          <w:rFonts w:ascii="Times New Roman" w:hAnsi="Times New Roman" w:cs="Times New Roman"/>
          <w:b/>
          <w:bCs/>
          <w:i/>
          <w:iCs/>
        </w:rPr>
        <w:t xml:space="preserve"> 3 – Authority </w:t>
      </w:r>
    </w:p>
    <w:p w14:paraId="38E61732"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This </w:t>
      </w:r>
      <w:r>
        <w:rPr>
          <w:rFonts w:ascii="Times New Roman" w:hAnsi="Times New Roman" w:cs="Times New Roman"/>
        </w:rPr>
        <w:t>section</w:t>
      </w:r>
      <w:r w:rsidRPr="009F3FD7">
        <w:rPr>
          <w:rFonts w:ascii="Times New Roman" w:hAnsi="Times New Roman" w:cs="Times New Roman"/>
        </w:rPr>
        <w:t xml:space="preserve"> provides that the instrument is made under the </w:t>
      </w:r>
      <w:r>
        <w:rPr>
          <w:rFonts w:ascii="Times New Roman" w:hAnsi="Times New Roman" w:cs="Times New Roman"/>
          <w:i/>
          <w:iCs/>
        </w:rPr>
        <w:t>Autonomous Sanctions Act 2011</w:t>
      </w:r>
      <w:r w:rsidRPr="009F3FD7">
        <w:rPr>
          <w:rFonts w:ascii="Times New Roman" w:hAnsi="Times New Roman" w:cs="Times New Roman"/>
        </w:rPr>
        <w:t>.</w:t>
      </w:r>
    </w:p>
    <w:p w14:paraId="6E14A630" w14:textId="77777777" w:rsidR="00AF2D23" w:rsidRPr="009F3FD7" w:rsidRDefault="00AF2D23" w:rsidP="00AF2D23">
      <w:pPr>
        <w:pStyle w:val="ListParagraph"/>
        <w:ind w:left="284"/>
        <w:rPr>
          <w:rFonts w:ascii="Times New Roman" w:hAnsi="Times New Roman" w:cs="Times New Roman"/>
          <w:b/>
          <w:bCs/>
          <w:i/>
          <w:iCs/>
        </w:rPr>
      </w:pPr>
      <w:r>
        <w:rPr>
          <w:rFonts w:ascii="Times New Roman" w:hAnsi="Times New Roman" w:cs="Times New Roman"/>
          <w:b/>
          <w:bCs/>
          <w:i/>
          <w:iCs/>
        </w:rPr>
        <w:t>Section</w:t>
      </w:r>
      <w:r w:rsidRPr="009F3FD7">
        <w:rPr>
          <w:rFonts w:ascii="Times New Roman" w:hAnsi="Times New Roman" w:cs="Times New Roman"/>
          <w:b/>
          <w:bCs/>
          <w:i/>
          <w:iCs/>
        </w:rPr>
        <w:t xml:space="preserve"> 4 – Schedules </w:t>
      </w:r>
    </w:p>
    <w:p w14:paraId="29387527"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This </w:t>
      </w:r>
      <w:r>
        <w:rPr>
          <w:rFonts w:ascii="Times New Roman" w:hAnsi="Times New Roman" w:cs="Times New Roman"/>
        </w:rPr>
        <w:t>section</w:t>
      </w:r>
      <w:r w:rsidRPr="009F3FD7">
        <w:rPr>
          <w:rFonts w:ascii="Times New Roman" w:hAnsi="Times New Roman" w:cs="Times New Roman"/>
        </w:rPr>
        <w:t xml:space="preserve"> provides that each instrument specified in a Schedule to this instrument is amended or repealed as indicated in the applicable items in the relevant Schedule, and that any other item in a Schedule to this instrument has effect according to its terms. </w:t>
      </w:r>
    </w:p>
    <w:p w14:paraId="75F31A6D" w14:textId="77777777" w:rsidR="00AF2D23" w:rsidRPr="009F3FD7" w:rsidRDefault="00AF2D23" w:rsidP="00AF2D23">
      <w:pPr>
        <w:pStyle w:val="ListParagraph"/>
        <w:ind w:left="284"/>
        <w:rPr>
          <w:rFonts w:ascii="Times New Roman" w:hAnsi="Times New Roman" w:cs="Times New Roman"/>
          <w:b/>
          <w:bCs/>
          <w:i/>
          <w:iCs/>
        </w:rPr>
      </w:pPr>
      <w:r w:rsidRPr="009F3FD7">
        <w:rPr>
          <w:rFonts w:ascii="Times New Roman" w:hAnsi="Times New Roman" w:cs="Times New Roman"/>
          <w:b/>
          <w:bCs/>
          <w:i/>
          <w:iCs/>
        </w:rPr>
        <w:t>Item 1 – Schedule 1</w:t>
      </w:r>
    </w:p>
    <w:p w14:paraId="0A49CFD2"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Item 1 of Schedule 1 amends </w:t>
      </w:r>
      <w:proofErr w:type="spellStart"/>
      <w:r w:rsidRPr="009F3FD7">
        <w:rPr>
          <w:rFonts w:ascii="Times New Roman" w:hAnsi="Times New Roman" w:cs="Times New Roman"/>
        </w:rPr>
        <w:t>subregulations</w:t>
      </w:r>
      <w:proofErr w:type="spellEnd"/>
      <w:r w:rsidRPr="009F3FD7">
        <w:rPr>
          <w:rFonts w:ascii="Times New Roman" w:hAnsi="Times New Roman" w:cs="Times New Roman"/>
        </w:rPr>
        <w:t xml:space="preserve"> 6</w:t>
      </w:r>
      <w:proofErr w:type="gramStart"/>
      <w:r w:rsidRPr="009F3FD7">
        <w:rPr>
          <w:rFonts w:ascii="Times New Roman" w:hAnsi="Times New Roman" w:cs="Times New Roman"/>
        </w:rPr>
        <w:t>A(</w:t>
      </w:r>
      <w:proofErr w:type="gramEnd"/>
      <w:r w:rsidRPr="009F3FD7">
        <w:rPr>
          <w:rFonts w:ascii="Times New Roman" w:hAnsi="Times New Roman" w:cs="Times New Roman"/>
        </w:rPr>
        <w:t>3) and (6) to omit references to regulation 9</w:t>
      </w:r>
      <w:r>
        <w:rPr>
          <w:rFonts w:ascii="Times New Roman" w:hAnsi="Times New Roman" w:cs="Times New Roman"/>
        </w:rPr>
        <w:t>, as that regulation is being repealed</w:t>
      </w:r>
      <w:r w:rsidRPr="009F3FD7">
        <w:rPr>
          <w:rFonts w:ascii="Times New Roman" w:hAnsi="Times New Roman" w:cs="Times New Roman"/>
        </w:rPr>
        <w:t>.</w:t>
      </w:r>
      <w:r>
        <w:rPr>
          <w:rFonts w:ascii="Times New Roman" w:hAnsi="Times New Roman" w:cs="Times New Roman"/>
        </w:rPr>
        <w:t xml:space="preserve"> Additional information on regulation 9 can be found below under item 2. </w:t>
      </w:r>
    </w:p>
    <w:p w14:paraId="4CB66775" w14:textId="77777777" w:rsidR="00AF2D23" w:rsidRPr="009F3FD7" w:rsidRDefault="00AF2D23" w:rsidP="00AF2D23">
      <w:pPr>
        <w:pStyle w:val="ListParagraph"/>
        <w:ind w:left="284"/>
        <w:rPr>
          <w:rFonts w:ascii="Times New Roman" w:hAnsi="Times New Roman" w:cs="Times New Roman"/>
          <w:b/>
          <w:bCs/>
          <w:i/>
          <w:iCs/>
        </w:rPr>
      </w:pPr>
      <w:r w:rsidRPr="009F3FD7">
        <w:rPr>
          <w:rFonts w:ascii="Times New Roman" w:hAnsi="Times New Roman" w:cs="Times New Roman"/>
          <w:b/>
          <w:bCs/>
          <w:i/>
          <w:iCs/>
        </w:rPr>
        <w:t>Item 2 – Schedule 1</w:t>
      </w:r>
    </w:p>
    <w:p w14:paraId="0CABC7E0"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Item 2 of Schedule 1 repeals regulation 9 of the Regulations.</w:t>
      </w:r>
    </w:p>
    <w:p w14:paraId="351FA415"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This will have the effect that instruments made under regulations 6, 6A, 7 and 8 of the</w:t>
      </w:r>
      <w:r>
        <w:rPr>
          <w:rFonts w:ascii="Times New Roman" w:hAnsi="Times New Roman" w:cs="Times New Roman"/>
        </w:rPr>
        <w:t xml:space="preserve"> Regulations</w:t>
      </w:r>
      <w:r w:rsidRPr="009F3FD7">
        <w:rPr>
          <w:rFonts w:ascii="Times New Roman" w:hAnsi="Times New Roman" w:cs="Times New Roman"/>
          <w:i/>
          <w:iCs/>
        </w:rPr>
        <w:t xml:space="preserve"> </w:t>
      </w:r>
      <w:r w:rsidRPr="009F3FD7">
        <w:rPr>
          <w:rFonts w:ascii="Times New Roman" w:hAnsi="Times New Roman" w:cs="Times New Roman"/>
        </w:rPr>
        <w:t>will no longer cease to have effect on the third anniversary of the day on which they take effect (or are continued), and the Minister will no longer be empowered to declare that those instruments continue to have effect.</w:t>
      </w:r>
    </w:p>
    <w:p w14:paraId="19E68CF4"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This amendment is needed to align Australia’s listings practice with like-minded jurisdictions (including the United States of America, the United Kingdom and Canada) whose listings do not expire. It will also provide for departmental resources to be redirected to other sanctions priorities, including making new listings and monitoring and enforcing existing ones. Together, these outcomes will strengthen the effectiveness of Australia’s autonomous sanctions. </w:t>
      </w:r>
    </w:p>
    <w:p w14:paraId="3CBA1F84" w14:textId="77777777" w:rsidR="00AF2D23" w:rsidRPr="009F3FD7" w:rsidRDefault="00AF2D23" w:rsidP="00AF2D23">
      <w:pPr>
        <w:rPr>
          <w:rFonts w:ascii="Times New Roman" w:hAnsi="Times New Roman" w:cs="Times New Roman"/>
        </w:rPr>
      </w:pPr>
      <w:r w:rsidRPr="007F0451">
        <w:rPr>
          <w:rFonts w:ascii="Times New Roman" w:hAnsi="Times New Roman" w:cs="Times New Roman"/>
        </w:rPr>
        <w:t xml:space="preserve">The Minister is empowered to revoke </w:t>
      </w:r>
      <w:r>
        <w:rPr>
          <w:rFonts w:ascii="Times New Roman" w:hAnsi="Times New Roman" w:cs="Times New Roman"/>
        </w:rPr>
        <w:t>designations of persons or entities, or declarations of persons as subject to travel bans,</w:t>
      </w:r>
      <w:r w:rsidRPr="007F0451">
        <w:rPr>
          <w:rFonts w:ascii="Times New Roman" w:hAnsi="Times New Roman" w:cs="Times New Roman"/>
        </w:rPr>
        <w:t xml:space="preserve"> on the</w:t>
      </w:r>
      <w:r>
        <w:rPr>
          <w:rFonts w:ascii="Times New Roman" w:hAnsi="Times New Roman" w:cs="Times New Roman"/>
        </w:rPr>
        <w:t xml:space="preserve"> Minister’s</w:t>
      </w:r>
      <w:r w:rsidRPr="007F0451">
        <w:rPr>
          <w:rFonts w:ascii="Times New Roman" w:hAnsi="Times New Roman" w:cs="Times New Roman"/>
        </w:rPr>
        <w:t xml:space="preserve"> own initiative or on application by </w:t>
      </w:r>
      <w:r>
        <w:rPr>
          <w:rFonts w:ascii="Times New Roman" w:hAnsi="Times New Roman" w:cs="Times New Roman"/>
        </w:rPr>
        <w:t>the</w:t>
      </w:r>
      <w:r w:rsidRPr="007F0451">
        <w:rPr>
          <w:rFonts w:ascii="Times New Roman" w:hAnsi="Times New Roman" w:cs="Times New Roman"/>
        </w:rPr>
        <w:t xml:space="preserve"> designated </w:t>
      </w:r>
      <w:r>
        <w:rPr>
          <w:rFonts w:ascii="Times New Roman" w:hAnsi="Times New Roman" w:cs="Times New Roman"/>
        </w:rPr>
        <w:t xml:space="preserve">(or declared) </w:t>
      </w:r>
      <w:r w:rsidRPr="007F0451">
        <w:rPr>
          <w:rFonts w:ascii="Times New Roman" w:hAnsi="Times New Roman" w:cs="Times New Roman"/>
        </w:rPr>
        <w:t>person or entity. To support this process, the department intends to conduct periodic internal reviews to confirm that listings</w:t>
      </w:r>
      <w:r>
        <w:rPr>
          <w:rFonts w:ascii="Times New Roman" w:hAnsi="Times New Roman" w:cs="Times New Roman"/>
        </w:rPr>
        <w:t xml:space="preserve"> of persons and entities</w:t>
      </w:r>
      <w:r w:rsidRPr="007F0451">
        <w:rPr>
          <w:rFonts w:ascii="Times New Roman" w:hAnsi="Times New Roman" w:cs="Times New Roman"/>
        </w:rPr>
        <w:t xml:space="preserve"> remain appropriate. This review process may result in a recommendation to the Minister to revoke the listing. </w:t>
      </w:r>
    </w:p>
    <w:p w14:paraId="4B57F19B"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These measures will </w:t>
      </w:r>
      <w:r>
        <w:rPr>
          <w:rFonts w:ascii="Times New Roman" w:hAnsi="Times New Roman" w:cs="Times New Roman"/>
        </w:rPr>
        <w:t>guard against</w:t>
      </w:r>
      <w:r w:rsidRPr="009F3FD7">
        <w:rPr>
          <w:rFonts w:ascii="Times New Roman" w:hAnsi="Times New Roman" w:cs="Times New Roman"/>
        </w:rPr>
        <w:t xml:space="preserve"> listings</w:t>
      </w:r>
      <w:r>
        <w:rPr>
          <w:rFonts w:ascii="Times New Roman" w:hAnsi="Times New Roman" w:cs="Times New Roman"/>
        </w:rPr>
        <w:t xml:space="preserve"> of persons and entities</w:t>
      </w:r>
      <w:r w:rsidRPr="009F3FD7">
        <w:rPr>
          <w:rFonts w:ascii="Times New Roman" w:hAnsi="Times New Roman" w:cs="Times New Roman"/>
        </w:rPr>
        <w:t xml:space="preserve"> operat</w:t>
      </w:r>
      <w:r>
        <w:rPr>
          <w:rFonts w:ascii="Times New Roman" w:hAnsi="Times New Roman" w:cs="Times New Roman"/>
        </w:rPr>
        <w:t>ing</w:t>
      </w:r>
      <w:r w:rsidRPr="009F3FD7">
        <w:rPr>
          <w:rFonts w:ascii="Times New Roman" w:hAnsi="Times New Roman" w:cs="Times New Roman"/>
        </w:rPr>
        <w:t xml:space="preserve"> </w:t>
      </w:r>
      <w:proofErr w:type="gramStart"/>
      <w:r w:rsidRPr="009F3FD7">
        <w:rPr>
          <w:rFonts w:ascii="Times New Roman" w:hAnsi="Times New Roman" w:cs="Times New Roman"/>
        </w:rPr>
        <w:t>indefinitely,  and</w:t>
      </w:r>
      <w:proofErr w:type="gramEnd"/>
      <w:r w:rsidRPr="009F3FD7">
        <w:rPr>
          <w:rFonts w:ascii="Times New Roman" w:hAnsi="Times New Roman" w:cs="Times New Roman"/>
        </w:rPr>
        <w:t xml:space="preserve"> ensure that autonomous sanctions listings remain targeted. </w:t>
      </w:r>
    </w:p>
    <w:p w14:paraId="07DC9B4F" w14:textId="77777777" w:rsidR="00AF2D23" w:rsidRPr="009F3FD7" w:rsidRDefault="00AF2D23" w:rsidP="00AF2D23">
      <w:pPr>
        <w:rPr>
          <w:rFonts w:ascii="Times New Roman" w:hAnsi="Times New Roman" w:cs="Times New Roman"/>
        </w:rPr>
      </w:pPr>
      <w:bookmarkStart w:id="1" w:name="_Hlk175839250"/>
      <w:r w:rsidRPr="009F3FD7">
        <w:rPr>
          <w:rFonts w:ascii="Times New Roman" w:hAnsi="Times New Roman" w:cs="Times New Roman"/>
        </w:rPr>
        <w:t>S</w:t>
      </w:r>
      <w:r>
        <w:rPr>
          <w:rFonts w:ascii="Times New Roman" w:hAnsi="Times New Roman" w:cs="Times New Roman"/>
        </w:rPr>
        <w:t>ubs</w:t>
      </w:r>
      <w:r w:rsidRPr="009F3FD7">
        <w:rPr>
          <w:rFonts w:ascii="Times New Roman" w:hAnsi="Times New Roman" w:cs="Times New Roman"/>
        </w:rPr>
        <w:t>ection 10</w:t>
      </w:r>
      <w:r>
        <w:rPr>
          <w:rFonts w:ascii="Times New Roman" w:hAnsi="Times New Roman" w:cs="Times New Roman"/>
        </w:rPr>
        <w:t>(1)</w:t>
      </w:r>
      <w:r w:rsidRPr="009F3FD7">
        <w:rPr>
          <w:rFonts w:ascii="Times New Roman" w:hAnsi="Times New Roman" w:cs="Times New Roman"/>
        </w:rPr>
        <w:t xml:space="preserve"> of the Act, interpreted in accordance with subsection 33(3) of the </w:t>
      </w:r>
      <w:r w:rsidRPr="00F46D6E">
        <w:rPr>
          <w:rFonts w:ascii="Times New Roman" w:hAnsi="Times New Roman" w:cs="Times New Roman"/>
          <w:i/>
          <w:iCs/>
        </w:rPr>
        <w:t>Acts Interpretation Act 1901</w:t>
      </w:r>
      <w:r w:rsidRPr="009F3FD7">
        <w:rPr>
          <w:rFonts w:ascii="Times New Roman" w:hAnsi="Times New Roman" w:cs="Times New Roman"/>
        </w:rPr>
        <w:t>, provides authority for this amendment.</w:t>
      </w:r>
    </w:p>
    <w:bookmarkEnd w:id="1"/>
    <w:p w14:paraId="353ECA91" w14:textId="77777777" w:rsidR="00AF2D23" w:rsidRDefault="00AF2D23" w:rsidP="00AF2D23">
      <w:pPr>
        <w:pStyle w:val="ListParagraph"/>
        <w:ind w:left="284"/>
        <w:rPr>
          <w:rFonts w:ascii="Times New Roman" w:hAnsi="Times New Roman" w:cs="Times New Roman"/>
          <w:b/>
          <w:bCs/>
          <w:i/>
          <w:iCs/>
        </w:rPr>
      </w:pPr>
    </w:p>
    <w:p w14:paraId="44EDDE3D" w14:textId="77777777" w:rsidR="00AF2D23" w:rsidRDefault="00AF2D23" w:rsidP="00AF2D23">
      <w:pPr>
        <w:pStyle w:val="ListParagraph"/>
        <w:ind w:left="284"/>
        <w:rPr>
          <w:rFonts w:ascii="Times New Roman" w:hAnsi="Times New Roman" w:cs="Times New Roman"/>
          <w:b/>
          <w:bCs/>
          <w:i/>
          <w:iCs/>
        </w:rPr>
      </w:pPr>
    </w:p>
    <w:p w14:paraId="7473A186" w14:textId="77777777" w:rsidR="00AF2D23" w:rsidRDefault="00AF2D23" w:rsidP="00AF2D23">
      <w:pPr>
        <w:pStyle w:val="ListParagraph"/>
        <w:ind w:left="284"/>
        <w:rPr>
          <w:rFonts w:ascii="Times New Roman" w:hAnsi="Times New Roman" w:cs="Times New Roman"/>
          <w:b/>
          <w:bCs/>
          <w:i/>
          <w:iCs/>
        </w:rPr>
      </w:pPr>
    </w:p>
    <w:p w14:paraId="130889F1" w14:textId="77777777" w:rsidR="00AF2D23" w:rsidRDefault="00AF2D23" w:rsidP="00AF2D23">
      <w:pPr>
        <w:pStyle w:val="ListParagraph"/>
        <w:ind w:left="284"/>
        <w:rPr>
          <w:rFonts w:ascii="Times New Roman" w:hAnsi="Times New Roman" w:cs="Times New Roman"/>
          <w:b/>
          <w:bCs/>
          <w:i/>
          <w:iCs/>
        </w:rPr>
      </w:pPr>
    </w:p>
    <w:p w14:paraId="49A0AA8E" w14:textId="77777777" w:rsidR="00AF2D23" w:rsidRPr="009F3FD7" w:rsidRDefault="00AF2D23" w:rsidP="00AF2D23">
      <w:pPr>
        <w:pStyle w:val="ListParagraph"/>
        <w:ind w:left="284"/>
        <w:rPr>
          <w:rFonts w:ascii="Times New Roman" w:hAnsi="Times New Roman" w:cs="Times New Roman"/>
          <w:b/>
          <w:bCs/>
          <w:i/>
          <w:iCs/>
        </w:rPr>
      </w:pPr>
      <w:r w:rsidRPr="009F3FD7">
        <w:rPr>
          <w:rFonts w:ascii="Times New Roman" w:hAnsi="Times New Roman" w:cs="Times New Roman"/>
          <w:b/>
          <w:bCs/>
          <w:i/>
          <w:iCs/>
        </w:rPr>
        <w:lastRenderedPageBreak/>
        <w:t xml:space="preserve">Item 3 – Schedule 1 </w:t>
      </w:r>
    </w:p>
    <w:p w14:paraId="33BBF8C8"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Item 3 of Schedule 1 will insert a requirement for the Minister to cause a review of the operation of the autonomous sanctions legislative framework to take place every five years from the date of commencement of </w:t>
      </w:r>
      <w:r>
        <w:rPr>
          <w:rFonts w:ascii="Times New Roman" w:hAnsi="Times New Roman" w:cs="Times New Roman"/>
        </w:rPr>
        <w:t>this instrument</w:t>
      </w:r>
      <w:r w:rsidRPr="009F3FD7">
        <w:rPr>
          <w:rFonts w:ascii="Times New Roman" w:hAnsi="Times New Roman" w:cs="Times New Roman"/>
        </w:rPr>
        <w:t xml:space="preserve">. </w:t>
      </w:r>
    </w:p>
    <w:p w14:paraId="4D43D969"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Without limiting the scope, each review must consider:</w:t>
      </w:r>
    </w:p>
    <w:p w14:paraId="3EF8794C" w14:textId="77777777" w:rsidR="00AF2D23" w:rsidRPr="009F3FD7" w:rsidRDefault="00AF2D23" w:rsidP="00AF2D23">
      <w:pPr>
        <w:pStyle w:val="ListParagraph"/>
        <w:numPr>
          <w:ilvl w:val="0"/>
          <w:numId w:val="1"/>
        </w:numPr>
        <w:rPr>
          <w:rFonts w:ascii="Times New Roman" w:hAnsi="Times New Roman" w:cs="Times New Roman"/>
          <w:b/>
          <w:bCs/>
          <w:i/>
          <w:iCs/>
        </w:rPr>
      </w:pPr>
      <w:r w:rsidRPr="009F3FD7">
        <w:rPr>
          <w:rFonts w:ascii="Times New Roman" w:hAnsi="Times New Roman" w:cs="Times New Roman"/>
        </w:rPr>
        <w:t>the effectiveness of the autonomous sanctions legislative framework for achieving Australia’s foreign policy objectives; and</w:t>
      </w:r>
    </w:p>
    <w:p w14:paraId="5D521E84" w14:textId="77777777" w:rsidR="00AF2D23" w:rsidRPr="009F3FD7" w:rsidRDefault="00AF2D23" w:rsidP="00AF2D23">
      <w:pPr>
        <w:pStyle w:val="ListParagraph"/>
        <w:numPr>
          <w:ilvl w:val="0"/>
          <w:numId w:val="1"/>
        </w:numPr>
        <w:rPr>
          <w:rFonts w:ascii="Times New Roman" w:hAnsi="Times New Roman" w:cs="Times New Roman"/>
          <w:b/>
          <w:bCs/>
          <w:i/>
          <w:iCs/>
        </w:rPr>
      </w:pPr>
      <w:r w:rsidRPr="009F3FD7">
        <w:rPr>
          <w:rFonts w:ascii="Times New Roman" w:hAnsi="Times New Roman" w:cs="Times New Roman"/>
        </w:rPr>
        <w:t xml:space="preserve">whether the Act and </w:t>
      </w:r>
      <w:r>
        <w:rPr>
          <w:rFonts w:ascii="Times New Roman" w:hAnsi="Times New Roman" w:cs="Times New Roman"/>
        </w:rPr>
        <w:t>R</w:t>
      </w:r>
      <w:r w:rsidRPr="009F3FD7">
        <w:rPr>
          <w:rFonts w:ascii="Times New Roman" w:hAnsi="Times New Roman" w:cs="Times New Roman"/>
        </w:rPr>
        <w:t>egulations are appropriate for achieving the objects of the Act.</w:t>
      </w:r>
    </w:p>
    <w:p w14:paraId="326999DA"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The persons who complete the review must give a report on the review to the Minister within 12 months of the commencement of the review. The Minister must table the report in each House of Parliament within 15 sitting days of that House after the Minister receives the report. This will enhance Parliamentary oversight o</w:t>
      </w:r>
      <w:r>
        <w:rPr>
          <w:rFonts w:ascii="Times New Roman" w:hAnsi="Times New Roman" w:cs="Times New Roman"/>
        </w:rPr>
        <w:t>f</w:t>
      </w:r>
      <w:r w:rsidRPr="009F3FD7">
        <w:rPr>
          <w:rFonts w:ascii="Times New Roman" w:hAnsi="Times New Roman" w:cs="Times New Roman"/>
        </w:rPr>
        <w:t xml:space="preserve"> the autonomous sanctions legislative framework and support the</w:t>
      </w:r>
      <w:r>
        <w:rPr>
          <w:rFonts w:ascii="Times New Roman" w:hAnsi="Times New Roman" w:cs="Times New Roman"/>
        </w:rPr>
        <w:t xml:space="preserve"> framework’s</w:t>
      </w:r>
      <w:r w:rsidRPr="009F3FD7">
        <w:rPr>
          <w:rFonts w:ascii="Times New Roman" w:hAnsi="Times New Roman" w:cs="Times New Roman"/>
        </w:rPr>
        <w:t xml:space="preserve"> continuous improvement. </w:t>
      </w:r>
    </w:p>
    <w:p w14:paraId="18400941" w14:textId="77777777" w:rsidR="00AF2D23" w:rsidRPr="009F3FD7" w:rsidRDefault="00AF2D23" w:rsidP="00AF2D23">
      <w:pPr>
        <w:rPr>
          <w:rFonts w:ascii="Times New Roman" w:hAnsi="Times New Roman" w:cs="Times New Roman"/>
        </w:rPr>
      </w:pPr>
      <w:bookmarkStart w:id="2" w:name="_Hlk175839266"/>
      <w:r w:rsidRPr="009F3FD7">
        <w:rPr>
          <w:rFonts w:ascii="Times New Roman" w:hAnsi="Times New Roman" w:cs="Times New Roman"/>
        </w:rPr>
        <w:t>S</w:t>
      </w:r>
      <w:r>
        <w:rPr>
          <w:rFonts w:ascii="Times New Roman" w:hAnsi="Times New Roman" w:cs="Times New Roman"/>
        </w:rPr>
        <w:t>ubs</w:t>
      </w:r>
      <w:r w:rsidRPr="009F3FD7">
        <w:rPr>
          <w:rFonts w:ascii="Times New Roman" w:hAnsi="Times New Roman" w:cs="Times New Roman"/>
        </w:rPr>
        <w:t>ection 28(b) of the Act provides authority for this amendment.</w:t>
      </w:r>
    </w:p>
    <w:bookmarkEnd w:id="2"/>
    <w:p w14:paraId="6BAFB9E8" w14:textId="77777777" w:rsidR="00AF2D23" w:rsidRPr="009F3FD7" w:rsidRDefault="00AF2D23" w:rsidP="00AF2D23">
      <w:pPr>
        <w:pStyle w:val="ListParagraph"/>
        <w:ind w:left="284"/>
        <w:rPr>
          <w:rFonts w:ascii="Times New Roman" w:hAnsi="Times New Roman" w:cs="Times New Roman"/>
          <w:b/>
          <w:bCs/>
          <w:i/>
          <w:iCs/>
        </w:rPr>
      </w:pPr>
      <w:r w:rsidRPr="009F3FD7">
        <w:rPr>
          <w:rFonts w:ascii="Times New Roman" w:hAnsi="Times New Roman" w:cs="Times New Roman"/>
          <w:b/>
          <w:bCs/>
          <w:i/>
          <w:iCs/>
        </w:rPr>
        <w:t>Item 4 – Schedule 1</w:t>
      </w:r>
    </w:p>
    <w:p w14:paraId="4F7BFB6E"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Item 4 of Schedule 1 inserts a provision that confirms that the repeal of regulation 9 applies in relation to a designation or declaration made under the regulations whether it was made before, on or after the commencement of this instrument. </w:t>
      </w:r>
    </w:p>
    <w:p w14:paraId="6269986E"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The provision also confirms, for the avoidance of doubt, that the repeal of regulation 9 does not affect the operation of declarations made under </w:t>
      </w:r>
      <w:proofErr w:type="spellStart"/>
      <w:r w:rsidRPr="009F3FD7">
        <w:rPr>
          <w:rFonts w:ascii="Times New Roman" w:hAnsi="Times New Roman" w:cs="Times New Roman"/>
        </w:rPr>
        <w:t>subregulation</w:t>
      </w:r>
      <w:proofErr w:type="spellEnd"/>
      <w:r w:rsidRPr="009F3FD7">
        <w:rPr>
          <w:rFonts w:ascii="Times New Roman" w:hAnsi="Times New Roman" w:cs="Times New Roman"/>
        </w:rPr>
        <w:t xml:space="preserve"> 9(3). This means that declarations and designations made under the regulations, which were continued in effect by the Minister exercising the power in </w:t>
      </w:r>
      <w:proofErr w:type="spellStart"/>
      <w:r w:rsidRPr="009F3FD7">
        <w:rPr>
          <w:rFonts w:ascii="Times New Roman" w:hAnsi="Times New Roman" w:cs="Times New Roman"/>
        </w:rPr>
        <w:t>subregulation</w:t>
      </w:r>
      <w:proofErr w:type="spellEnd"/>
      <w:r w:rsidRPr="009F3FD7">
        <w:rPr>
          <w:rFonts w:ascii="Times New Roman" w:hAnsi="Times New Roman" w:cs="Times New Roman"/>
        </w:rPr>
        <w:t xml:space="preserve"> 9(3), will continue to have effect. </w:t>
      </w:r>
    </w:p>
    <w:p w14:paraId="08099C44" w14:textId="77777777" w:rsidR="00AF2D23" w:rsidRPr="00A47B5D" w:rsidRDefault="00AF2D23" w:rsidP="00AF2D23">
      <w:pPr>
        <w:rPr>
          <w:rFonts w:ascii="Times New Roman" w:hAnsi="Times New Roman" w:cs="Times New Roman"/>
          <w:b/>
          <w:bCs/>
        </w:rPr>
      </w:pPr>
      <w:r>
        <w:rPr>
          <w:rFonts w:ascii="Times New Roman" w:hAnsi="Times New Roman" w:cs="Times New Roman"/>
          <w:b/>
          <w:bCs/>
        </w:rPr>
        <w:t>Consultation</w:t>
      </w:r>
    </w:p>
    <w:p w14:paraId="73BC8A2F"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The Department of Foreign Affairs and Trade conducted public consultation by releasing an issues paper in January 2023 on the review of Australia’s sanctions legislation. The issues paper identified seven potential areas for reform</w:t>
      </w:r>
      <w:r>
        <w:rPr>
          <w:rFonts w:ascii="Times New Roman" w:hAnsi="Times New Roman" w:cs="Times New Roman"/>
        </w:rPr>
        <w:t>. This i</w:t>
      </w:r>
      <w:r w:rsidRPr="009F3FD7">
        <w:rPr>
          <w:rFonts w:ascii="Times New Roman" w:hAnsi="Times New Roman" w:cs="Times New Roman"/>
        </w:rPr>
        <w:t>nclud</w:t>
      </w:r>
      <w:r>
        <w:rPr>
          <w:rFonts w:ascii="Times New Roman" w:hAnsi="Times New Roman" w:cs="Times New Roman"/>
        </w:rPr>
        <w:t>ed considering</w:t>
      </w:r>
      <w:r w:rsidRPr="009F3FD7">
        <w:rPr>
          <w:rFonts w:ascii="Times New Roman" w:hAnsi="Times New Roman" w:cs="Times New Roman"/>
        </w:rPr>
        <w:t xml:space="preserve"> whether the current process for reviewing designations and declarations, under regulation 9 of the </w:t>
      </w:r>
      <w:r w:rsidRPr="009F3FD7">
        <w:rPr>
          <w:rFonts w:ascii="Times New Roman" w:hAnsi="Times New Roman" w:cs="Times New Roman"/>
          <w:i/>
          <w:iCs/>
        </w:rPr>
        <w:t>Autonomous Sanctions Regulations 2011</w:t>
      </w:r>
      <w:r w:rsidRPr="009F3FD7">
        <w:rPr>
          <w:rFonts w:ascii="Times New Roman" w:hAnsi="Times New Roman" w:cs="Times New Roman"/>
        </w:rPr>
        <w:t>, should be replaced with a more streamlined mechanism (issue 6).</w:t>
      </w:r>
      <w:r w:rsidRPr="009F3FD7">
        <w:rPr>
          <w:rFonts w:ascii="Times New Roman" w:hAnsi="Times New Roman" w:cs="Times New Roman"/>
          <w:i/>
          <w:iCs/>
        </w:rPr>
        <w:t xml:space="preserve"> </w:t>
      </w:r>
      <w:r w:rsidRPr="009F3FD7">
        <w:rPr>
          <w:rFonts w:ascii="Times New Roman" w:hAnsi="Times New Roman" w:cs="Times New Roman"/>
        </w:rPr>
        <w:t>The issues paper explained that the current process is resource intensive and constitutes a considerable administration burden. The paper proposed that one option would be for the Minister to invite submissions on designations and declarations every five years.</w:t>
      </w:r>
    </w:p>
    <w:p w14:paraId="230E10BB" w14:textId="77777777" w:rsidR="00AF2D23" w:rsidRDefault="00AF2D23" w:rsidP="00AF2D23">
      <w:pPr>
        <w:rPr>
          <w:rFonts w:ascii="Times New Roman" w:hAnsi="Times New Roman" w:cs="Times New Roman"/>
        </w:rPr>
      </w:pPr>
      <w:r>
        <w:rPr>
          <w:rFonts w:ascii="Times New Roman" w:hAnsi="Times New Roman" w:cs="Times New Roman"/>
          <w:b/>
          <w:bCs/>
        </w:rPr>
        <w:t xml:space="preserve">Regulatory Impact analysis </w:t>
      </w:r>
    </w:p>
    <w:p w14:paraId="6DA49FE3" w14:textId="77777777" w:rsidR="00AF2D23" w:rsidRPr="00A47B5D" w:rsidRDefault="00AF2D23" w:rsidP="00AF2D23">
      <w:pPr>
        <w:rPr>
          <w:i/>
          <w:iCs/>
        </w:rPr>
      </w:pPr>
      <w:r w:rsidRPr="00A47B5D">
        <w:rPr>
          <w:rFonts w:ascii="Times New Roman" w:hAnsi="Times New Roman" w:cs="Times New Roman"/>
        </w:rPr>
        <w:t xml:space="preserve">The Office of Impact Analysis has confirmed that an </w:t>
      </w:r>
      <w:r>
        <w:rPr>
          <w:rFonts w:ascii="Times New Roman" w:hAnsi="Times New Roman" w:cs="Times New Roman"/>
        </w:rPr>
        <w:t>I</w:t>
      </w:r>
      <w:r w:rsidRPr="00A47B5D">
        <w:rPr>
          <w:rFonts w:ascii="Times New Roman" w:hAnsi="Times New Roman" w:cs="Times New Roman"/>
        </w:rPr>
        <w:t xml:space="preserve">mpact </w:t>
      </w:r>
      <w:r>
        <w:rPr>
          <w:rFonts w:ascii="Times New Roman" w:hAnsi="Times New Roman" w:cs="Times New Roman"/>
        </w:rPr>
        <w:t>A</w:t>
      </w:r>
      <w:r w:rsidRPr="00A47B5D">
        <w:rPr>
          <w:rFonts w:ascii="Times New Roman" w:hAnsi="Times New Roman" w:cs="Times New Roman"/>
        </w:rPr>
        <w:t>nalysis is not required (OBPR22-03488).</w:t>
      </w:r>
      <w:r w:rsidRPr="009F3FD7">
        <w:rPr>
          <w:rFonts w:ascii="Times New Roman" w:hAnsi="Times New Roman" w:cs="Times New Roman"/>
          <w:b/>
          <w:bCs/>
        </w:rPr>
        <w:br w:type="page"/>
      </w:r>
    </w:p>
    <w:p w14:paraId="5F96AC04" w14:textId="77777777" w:rsidR="00AF2D23" w:rsidRPr="009F3FD7" w:rsidRDefault="00AF2D23" w:rsidP="00AF2D23">
      <w:pPr>
        <w:jc w:val="right"/>
        <w:rPr>
          <w:rFonts w:ascii="Times New Roman" w:hAnsi="Times New Roman" w:cs="Times New Roman"/>
          <w:b/>
          <w:bCs/>
          <w:sz w:val="24"/>
          <w:szCs w:val="24"/>
        </w:rPr>
      </w:pPr>
      <w:r w:rsidRPr="009F3FD7">
        <w:rPr>
          <w:rFonts w:ascii="Times New Roman" w:hAnsi="Times New Roman" w:cs="Times New Roman"/>
          <w:b/>
          <w:bCs/>
          <w:sz w:val="24"/>
          <w:szCs w:val="24"/>
        </w:rPr>
        <w:lastRenderedPageBreak/>
        <w:t>Attachment B</w:t>
      </w:r>
    </w:p>
    <w:p w14:paraId="32520CAA" w14:textId="77777777" w:rsidR="00AF2D23" w:rsidRPr="009F3FD7" w:rsidRDefault="00AF2D23" w:rsidP="00AF2D23">
      <w:pPr>
        <w:jc w:val="center"/>
        <w:rPr>
          <w:rFonts w:ascii="Times New Roman" w:hAnsi="Times New Roman" w:cs="Times New Roman"/>
          <w:b/>
          <w:bCs/>
          <w:sz w:val="24"/>
          <w:szCs w:val="24"/>
        </w:rPr>
      </w:pPr>
      <w:r w:rsidRPr="009F3FD7">
        <w:rPr>
          <w:rFonts w:ascii="Times New Roman" w:hAnsi="Times New Roman" w:cs="Times New Roman"/>
          <w:b/>
          <w:bCs/>
          <w:sz w:val="24"/>
          <w:szCs w:val="24"/>
        </w:rPr>
        <w:t>Statement Of Compatibility with Human Rights</w:t>
      </w:r>
    </w:p>
    <w:p w14:paraId="10BCAF3A" w14:textId="77777777" w:rsidR="00AF2D23" w:rsidRPr="009F3FD7" w:rsidRDefault="00AF2D23" w:rsidP="00AF2D23">
      <w:pPr>
        <w:jc w:val="center"/>
        <w:rPr>
          <w:rFonts w:ascii="Times New Roman" w:hAnsi="Times New Roman" w:cs="Times New Roman"/>
          <w:i/>
          <w:iCs/>
        </w:rPr>
      </w:pPr>
      <w:r w:rsidRPr="009F3FD7">
        <w:rPr>
          <w:rFonts w:ascii="Times New Roman" w:hAnsi="Times New Roman" w:cs="Times New Roman"/>
          <w:i/>
          <w:iCs/>
        </w:rPr>
        <w:t>Prepared in accordance with Part 3 of the Human Rights (Parliamentary Scrutiny) Act 2011</w:t>
      </w:r>
    </w:p>
    <w:p w14:paraId="319AF2E7" w14:textId="77777777" w:rsidR="00AF2D23" w:rsidRPr="009F3FD7" w:rsidRDefault="00AF2D23" w:rsidP="00AF2D23">
      <w:pPr>
        <w:jc w:val="center"/>
        <w:rPr>
          <w:rFonts w:ascii="Times New Roman" w:hAnsi="Times New Roman" w:cs="Times New Roman"/>
          <w:b/>
          <w:bCs/>
        </w:rPr>
      </w:pPr>
      <w:r w:rsidRPr="009F3FD7">
        <w:rPr>
          <w:rFonts w:ascii="Times New Roman" w:hAnsi="Times New Roman" w:cs="Times New Roman"/>
          <w:b/>
          <w:bCs/>
        </w:rPr>
        <w:t>Autonomous Sanctions Amendment (Periodic Legislative Review) Regulations 2024</w:t>
      </w:r>
    </w:p>
    <w:p w14:paraId="20654F8D"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This </w:t>
      </w:r>
      <w:r>
        <w:rPr>
          <w:rFonts w:ascii="Times New Roman" w:hAnsi="Times New Roman" w:cs="Times New Roman"/>
        </w:rPr>
        <w:t>D</w:t>
      </w:r>
      <w:r w:rsidRPr="009F3FD7">
        <w:rPr>
          <w:rFonts w:ascii="Times New Roman" w:hAnsi="Times New Roman" w:cs="Times New Roman"/>
        </w:rPr>
        <w:t>isallowable</w:t>
      </w:r>
      <w:r>
        <w:rPr>
          <w:rFonts w:ascii="Times New Roman" w:hAnsi="Times New Roman" w:cs="Times New Roman"/>
        </w:rPr>
        <w:t xml:space="preserve"> Legislative</w:t>
      </w:r>
      <w:r w:rsidRPr="009F3FD7">
        <w:rPr>
          <w:rFonts w:ascii="Times New Roman" w:hAnsi="Times New Roman" w:cs="Times New Roman"/>
        </w:rPr>
        <w:t xml:space="preserve"> </w:t>
      </w:r>
      <w:r>
        <w:rPr>
          <w:rFonts w:ascii="Times New Roman" w:hAnsi="Times New Roman" w:cs="Times New Roman"/>
        </w:rPr>
        <w:t>I</w:t>
      </w:r>
      <w:r w:rsidRPr="009F3FD7">
        <w:rPr>
          <w:rFonts w:ascii="Times New Roman" w:hAnsi="Times New Roman" w:cs="Times New Roman"/>
        </w:rPr>
        <w:t xml:space="preserve">nstrument is compatible with the human rights and freedoms recognised or declared in the international instruments listed in section 3 of the </w:t>
      </w:r>
      <w:r w:rsidRPr="009F3FD7">
        <w:rPr>
          <w:rFonts w:ascii="Times New Roman" w:hAnsi="Times New Roman" w:cs="Times New Roman"/>
          <w:i/>
          <w:iCs/>
        </w:rPr>
        <w:t>Human Rights (Parliamentary Scrutiny) Act 2011</w:t>
      </w:r>
      <w:r w:rsidRPr="009F3FD7">
        <w:rPr>
          <w:rFonts w:ascii="Times New Roman" w:hAnsi="Times New Roman" w:cs="Times New Roman"/>
        </w:rPr>
        <w:t>.</w:t>
      </w:r>
    </w:p>
    <w:p w14:paraId="69A9A093" w14:textId="77777777" w:rsidR="00AF2D23" w:rsidRPr="009F3FD7" w:rsidRDefault="00AF2D23" w:rsidP="00AF2D23">
      <w:pPr>
        <w:rPr>
          <w:rFonts w:ascii="Times New Roman" w:hAnsi="Times New Roman" w:cs="Times New Roman"/>
          <w:b/>
          <w:bCs/>
        </w:rPr>
      </w:pPr>
      <w:r w:rsidRPr="009F3FD7">
        <w:rPr>
          <w:rFonts w:ascii="Times New Roman" w:hAnsi="Times New Roman" w:cs="Times New Roman"/>
          <w:b/>
          <w:bCs/>
        </w:rPr>
        <w:t>Overview of the Disallowable Legislative Instrument</w:t>
      </w:r>
    </w:p>
    <w:p w14:paraId="2B8204C4"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The </w:t>
      </w:r>
      <w:r w:rsidRPr="009F3FD7">
        <w:rPr>
          <w:rFonts w:ascii="Times New Roman" w:hAnsi="Times New Roman" w:cs="Times New Roman"/>
          <w:i/>
          <w:iCs/>
        </w:rPr>
        <w:t>Autonomous Sanctions Amendment (Periodic Legislative Review) Regulations 2024</w:t>
      </w:r>
      <w:r w:rsidRPr="009F3FD7">
        <w:rPr>
          <w:rFonts w:ascii="Times New Roman" w:hAnsi="Times New Roman" w:cs="Times New Roman"/>
        </w:rPr>
        <w:t xml:space="preserve"> (the </w:t>
      </w:r>
      <w:r w:rsidRPr="00793811">
        <w:rPr>
          <w:rFonts w:ascii="Times New Roman" w:hAnsi="Times New Roman" w:cs="Times New Roman"/>
        </w:rPr>
        <w:t>Amendment Regulations)</w:t>
      </w:r>
      <w:r w:rsidRPr="009F3FD7">
        <w:rPr>
          <w:rFonts w:ascii="Times New Roman" w:hAnsi="Times New Roman" w:cs="Times New Roman"/>
          <w:i/>
          <w:iCs/>
        </w:rPr>
        <w:t xml:space="preserve"> </w:t>
      </w:r>
      <w:r w:rsidRPr="009F3FD7">
        <w:rPr>
          <w:rFonts w:ascii="Times New Roman" w:hAnsi="Times New Roman" w:cs="Times New Roman"/>
        </w:rPr>
        <w:t xml:space="preserve">inserts a five-yearly review requirement into the </w:t>
      </w:r>
      <w:r w:rsidRPr="009F3FD7">
        <w:rPr>
          <w:rFonts w:ascii="Times New Roman" w:hAnsi="Times New Roman" w:cs="Times New Roman"/>
          <w:i/>
          <w:iCs/>
        </w:rPr>
        <w:t>Autonomous Sanctions Regulations 2011</w:t>
      </w:r>
      <w:r>
        <w:rPr>
          <w:rFonts w:ascii="Times New Roman" w:hAnsi="Times New Roman" w:cs="Times New Roman"/>
        </w:rPr>
        <w:t xml:space="preserve"> (the </w:t>
      </w:r>
      <w:r w:rsidRPr="00793811">
        <w:rPr>
          <w:rFonts w:ascii="Times New Roman" w:hAnsi="Times New Roman" w:cs="Times New Roman"/>
        </w:rPr>
        <w:t>Regulations)</w:t>
      </w:r>
      <w:r w:rsidRPr="009F3FD7">
        <w:rPr>
          <w:rFonts w:ascii="Times New Roman" w:hAnsi="Times New Roman" w:cs="Times New Roman"/>
          <w:i/>
          <w:iCs/>
        </w:rPr>
        <w:t xml:space="preserve"> </w:t>
      </w:r>
      <w:r w:rsidRPr="009F3FD7">
        <w:rPr>
          <w:rFonts w:ascii="Times New Roman" w:hAnsi="Times New Roman" w:cs="Times New Roman"/>
        </w:rPr>
        <w:t xml:space="preserve">and repeals the automatic expiry of </w:t>
      </w:r>
      <w:r>
        <w:rPr>
          <w:rFonts w:ascii="Times New Roman" w:hAnsi="Times New Roman" w:cs="Times New Roman"/>
        </w:rPr>
        <w:t xml:space="preserve">the following </w:t>
      </w:r>
      <w:r w:rsidRPr="009F3FD7">
        <w:rPr>
          <w:rFonts w:ascii="Times New Roman" w:hAnsi="Times New Roman" w:cs="Times New Roman"/>
        </w:rPr>
        <w:t xml:space="preserve">autonomous sanctions </w:t>
      </w:r>
      <w:r>
        <w:rPr>
          <w:rFonts w:ascii="Times New Roman" w:hAnsi="Times New Roman" w:cs="Times New Roman"/>
        </w:rPr>
        <w:t xml:space="preserve">instruments: </w:t>
      </w:r>
      <w:r w:rsidRPr="009F3FD7">
        <w:rPr>
          <w:rFonts w:ascii="Times New Roman" w:hAnsi="Times New Roman" w:cs="Times New Roman"/>
        </w:rPr>
        <w:t>designations</w:t>
      </w:r>
      <w:r>
        <w:rPr>
          <w:rFonts w:ascii="Times New Roman" w:hAnsi="Times New Roman" w:cs="Times New Roman"/>
        </w:rPr>
        <w:t xml:space="preserve"> of persons and entities; designations of controlled assets; designations of sanctioned vessels;</w:t>
      </w:r>
      <w:r w:rsidRPr="009F3FD7">
        <w:rPr>
          <w:rFonts w:ascii="Times New Roman" w:hAnsi="Times New Roman" w:cs="Times New Roman"/>
        </w:rPr>
        <w:t xml:space="preserve"> and declarations</w:t>
      </w:r>
      <w:r>
        <w:rPr>
          <w:rFonts w:ascii="Times New Roman" w:hAnsi="Times New Roman" w:cs="Times New Roman"/>
        </w:rPr>
        <w:t xml:space="preserve"> of persons as subject to a travel ban</w:t>
      </w:r>
      <w:r w:rsidRPr="009F3FD7">
        <w:rPr>
          <w:rFonts w:ascii="Times New Roman" w:hAnsi="Times New Roman" w:cs="Times New Roman"/>
        </w:rPr>
        <w:t xml:space="preserve"> (</w:t>
      </w:r>
      <w:r>
        <w:rPr>
          <w:rFonts w:ascii="Times New Roman" w:hAnsi="Times New Roman" w:cs="Times New Roman"/>
        </w:rPr>
        <w:t xml:space="preserve">collectively, </w:t>
      </w:r>
      <w:r w:rsidRPr="00793811">
        <w:rPr>
          <w:rFonts w:ascii="Times New Roman" w:hAnsi="Times New Roman" w:cs="Times New Roman"/>
        </w:rPr>
        <w:t>listings).</w:t>
      </w:r>
    </w:p>
    <w:p w14:paraId="35FD931E"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The purpose of the five-yearly review of Australia’s autonomous sanctions legislative framework is to ensure the framework is effective, including by assessing whether the </w:t>
      </w:r>
      <w:r>
        <w:rPr>
          <w:rFonts w:ascii="Times New Roman" w:hAnsi="Times New Roman" w:cs="Times New Roman"/>
          <w:i/>
          <w:iCs/>
        </w:rPr>
        <w:t xml:space="preserve">Autonomous Sanctions Act 2011 </w:t>
      </w:r>
      <w:r>
        <w:rPr>
          <w:rFonts w:ascii="Times New Roman" w:hAnsi="Times New Roman" w:cs="Times New Roman"/>
        </w:rPr>
        <w:t xml:space="preserve">(the </w:t>
      </w:r>
      <w:r w:rsidRPr="00793811">
        <w:rPr>
          <w:rFonts w:ascii="Times New Roman" w:hAnsi="Times New Roman" w:cs="Times New Roman"/>
        </w:rPr>
        <w:t>Act)</w:t>
      </w:r>
      <w:r w:rsidRPr="009F3FD7">
        <w:rPr>
          <w:rFonts w:ascii="Times New Roman" w:hAnsi="Times New Roman" w:cs="Times New Roman"/>
        </w:rPr>
        <w:t xml:space="preserve"> and Regulations are appropriate for achieving the objects of the Act. The requirement to report to Parliament enhances transparency and responds to calls for government to report regularly on autonomous sanctions measures. </w:t>
      </w:r>
    </w:p>
    <w:p w14:paraId="5C01BD6A"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The purpose of repealing the three-yearly automatic expiry of autonomous sanctions listings is to align Australia’s listings practice with like-minded jurisdictions (</w:t>
      </w:r>
      <w:r>
        <w:rPr>
          <w:rFonts w:ascii="Times New Roman" w:hAnsi="Times New Roman" w:cs="Times New Roman"/>
        </w:rPr>
        <w:t xml:space="preserve">including </w:t>
      </w:r>
      <w:r w:rsidRPr="009F3FD7">
        <w:rPr>
          <w:rFonts w:ascii="Times New Roman" w:hAnsi="Times New Roman" w:cs="Times New Roman"/>
        </w:rPr>
        <w:t>the United States of America, the United Kingdom and Canada) whose listings do not expire</w:t>
      </w:r>
      <w:r>
        <w:rPr>
          <w:rFonts w:ascii="Times New Roman" w:hAnsi="Times New Roman" w:cs="Times New Roman"/>
        </w:rPr>
        <w:t>.</w:t>
      </w:r>
      <w:r w:rsidRPr="009F3FD7">
        <w:rPr>
          <w:rFonts w:ascii="Times New Roman" w:hAnsi="Times New Roman" w:cs="Times New Roman"/>
        </w:rPr>
        <w:t xml:space="preserve"> </w:t>
      </w:r>
      <w:r>
        <w:rPr>
          <w:rFonts w:ascii="Times New Roman" w:hAnsi="Times New Roman" w:cs="Times New Roman"/>
        </w:rPr>
        <w:t>It is also</w:t>
      </w:r>
      <w:r w:rsidRPr="009F3FD7">
        <w:rPr>
          <w:rFonts w:ascii="Times New Roman" w:hAnsi="Times New Roman" w:cs="Times New Roman"/>
        </w:rPr>
        <w:t xml:space="preserve"> to redirect departmental resources to other sanctions priorities, </w:t>
      </w:r>
      <w:proofErr w:type="gramStart"/>
      <w:r w:rsidRPr="009F3FD7">
        <w:rPr>
          <w:rFonts w:ascii="Times New Roman" w:hAnsi="Times New Roman" w:cs="Times New Roman"/>
        </w:rPr>
        <w:t>including</w:t>
      </w:r>
      <w:r>
        <w:rPr>
          <w:rFonts w:ascii="Times New Roman" w:hAnsi="Times New Roman" w:cs="Times New Roman"/>
        </w:rPr>
        <w:t>:</w:t>
      </w:r>
      <w:proofErr w:type="gramEnd"/>
      <w:r w:rsidRPr="009F3FD7">
        <w:rPr>
          <w:rFonts w:ascii="Times New Roman" w:hAnsi="Times New Roman" w:cs="Times New Roman"/>
        </w:rPr>
        <w:t xml:space="preserve"> making new listings</w:t>
      </w:r>
      <w:r>
        <w:rPr>
          <w:rFonts w:ascii="Times New Roman" w:hAnsi="Times New Roman" w:cs="Times New Roman"/>
        </w:rPr>
        <w:t xml:space="preserve"> in coordination with international partners;</w:t>
      </w:r>
      <w:r w:rsidRPr="009F3FD7">
        <w:rPr>
          <w:rFonts w:ascii="Times New Roman" w:hAnsi="Times New Roman" w:cs="Times New Roman"/>
        </w:rPr>
        <w:t xml:space="preserve"> monitoring and enforcing existing </w:t>
      </w:r>
      <w:r>
        <w:rPr>
          <w:rFonts w:ascii="Times New Roman" w:hAnsi="Times New Roman" w:cs="Times New Roman"/>
        </w:rPr>
        <w:t>listings; strengthening internal review processes; and engaging regularly with the public and civil society organisations.</w:t>
      </w:r>
    </w:p>
    <w:p w14:paraId="49CC6B57" w14:textId="77777777" w:rsidR="00AF2D23" w:rsidRPr="009F3FD7" w:rsidRDefault="00AF2D23" w:rsidP="00AF2D23">
      <w:pPr>
        <w:rPr>
          <w:rFonts w:ascii="Times New Roman" w:hAnsi="Times New Roman" w:cs="Times New Roman"/>
          <w:b/>
          <w:bCs/>
        </w:rPr>
      </w:pPr>
      <w:r w:rsidRPr="009F3FD7">
        <w:rPr>
          <w:rFonts w:ascii="Times New Roman" w:hAnsi="Times New Roman" w:cs="Times New Roman"/>
          <w:b/>
          <w:bCs/>
        </w:rPr>
        <w:t>Human rights that are promoted</w:t>
      </w:r>
    </w:p>
    <w:p w14:paraId="423ECEA8"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This Disallowable Legislative Instrument promotes human rights by strengthening sanctions imposed upon persons or entities </w:t>
      </w:r>
      <w:r>
        <w:rPr>
          <w:rFonts w:ascii="Times New Roman" w:hAnsi="Times New Roman" w:cs="Times New Roman"/>
        </w:rPr>
        <w:t>that</w:t>
      </w:r>
      <w:r w:rsidRPr="009F3FD7">
        <w:rPr>
          <w:rFonts w:ascii="Times New Roman" w:hAnsi="Times New Roman" w:cs="Times New Roman"/>
        </w:rPr>
        <w:t xml:space="preserve"> have engaged in, are responsible for or are complicit in activities that violate or undermine respect for human rights. The human rights that are promoted include: </w:t>
      </w:r>
    </w:p>
    <w:p w14:paraId="7E8AEC01" w14:textId="77777777" w:rsidR="00AF2D23" w:rsidRPr="009F3FD7" w:rsidRDefault="00AF2D23" w:rsidP="00AF2D23">
      <w:pPr>
        <w:pStyle w:val="ListParagraph"/>
        <w:numPr>
          <w:ilvl w:val="0"/>
          <w:numId w:val="2"/>
        </w:numPr>
        <w:rPr>
          <w:rFonts w:ascii="Times New Roman" w:hAnsi="Times New Roman" w:cs="Times New Roman"/>
        </w:rPr>
      </w:pPr>
      <w:r w:rsidRPr="009F3FD7">
        <w:rPr>
          <w:rFonts w:ascii="Times New Roman" w:hAnsi="Times New Roman" w:cs="Times New Roman"/>
        </w:rPr>
        <w:t xml:space="preserve">The right to life in article 6 of the </w:t>
      </w:r>
      <w:r w:rsidRPr="009F3FD7">
        <w:rPr>
          <w:rFonts w:ascii="Times New Roman" w:hAnsi="Times New Roman" w:cs="Times New Roman"/>
          <w:i/>
          <w:iCs/>
        </w:rPr>
        <w:t xml:space="preserve">International Covenant on Civil and Political Rights </w:t>
      </w:r>
      <w:r w:rsidRPr="009F3FD7">
        <w:rPr>
          <w:rFonts w:ascii="Times New Roman" w:hAnsi="Times New Roman" w:cs="Times New Roman"/>
        </w:rPr>
        <w:t>(</w:t>
      </w:r>
      <w:r w:rsidRPr="00793811">
        <w:rPr>
          <w:rFonts w:ascii="Times New Roman" w:hAnsi="Times New Roman" w:cs="Times New Roman"/>
        </w:rPr>
        <w:t xml:space="preserve">ICCPR), article 6 of the </w:t>
      </w:r>
      <w:r w:rsidRPr="00793811">
        <w:rPr>
          <w:rFonts w:ascii="Times New Roman" w:hAnsi="Times New Roman" w:cs="Times New Roman"/>
          <w:i/>
          <w:iCs/>
        </w:rPr>
        <w:t xml:space="preserve">Convention on the Rights of the Child </w:t>
      </w:r>
      <w:r w:rsidRPr="00793811">
        <w:rPr>
          <w:rFonts w:ascii="Times New Roman" w:hAnsi="Times New Roman" w:cs="Times New Roman"/>
        </w:rPr>
        <w:t>(CRC) and article 10 of the Convention on the Rights of Persons with Disabilities (CRPD</w:t>
      </w:r>
      <w:proofErr w:type="gramStart"/>
      <w:r w:rsidRPr="00793811">
        <w:rPr>
          <w:rFonts w:ascii="Times New Roman" w:hAnsi="Times New Roman" w:cs="Times New Roman"/>
        </w:rPr>
        <w:t>);</w:t>
      </w:r>
      <w:proofErr w:type="gramEnd"/>
    </w:p>
    <w:p w14:paraId="328CCE90" w14:textId="77777777" w:rsidR="00AF2D23" w:rsidRPr="009F3FD7" w:rsidRDefault="00AF2D23" w:rsidP="00AF2D23">
      <w:pPr>
        <w:pStyle w:val="ListParagraph"/>
        <w:numPr>
          <w:ilvl w:val="0"/>
          <w:numId w:val="2"/>
        </w:numPr>
        <w:rPr>
          <w:rFonts w:ascii="Times New Roman" w:hAnsi="Times New Roman" w:cs="Times New Roman"/>
        </w:rPr>
      </w:pPr>
      <w:r w:rsidRPr="009F3FD7">
        <w:rPr>
          <w:rFonts w:ascii="Times New Roman" w:hAnsi="Times New Roman" w:cs="Times New Roman"/>
        </w:rPr>
        <w:t xml:space="preserve">The protection against torture and cruel, </w:t>
      </w:r>
      <w:proofErr w:type="gramStart"/>
      <w:r w:rsidRPr="009F3FD7">
        <w:rPr>
          <w:rFonts w:ascii="Times New Roman" w:hAnsi="Times New Roman" w:cs="Times New Roman"/>
        </w:rPr>
        <w:t>inhuman</w:t>
      </w:r>
      <w:proofErr w:type="gramEnd"/>
      <w:r w:rsidRPr="009F3FD7">
        <w:rPr>
          <w:rFonts w:ascii="Times New Roman" w:hAnsi="Times New Roman" w:cs="Times New Roman"/>
        </w:rPr>
        <w:t xml:space="preserve"> or degrading treatment or punishment in article 7 of the ICCPR and article 15 of the CRPD; and</w:t>
      </w:r>
    </w:p>
    <w:p w14:paraId="5EDD28E0" w14:textId="77777777" w:rsidR="00AF2D23" w:rsidRPr="009F3FD7" w:rsidRDefault="00AF2D23" w:rsidP="00AF2D23">
      <w:pPr>
        <w:pStyle w:val="ListParagraph"/>
        <w:numPr>
          <w:ilvl w:val="0"/>
          <w:numId w:val="2"/>
        </w:numPr>
        <w:rPr>
          <w:rFonts w:ascii="Times New Roman" w:hAnsi="Times New Roman" w:cs="Times New Roman"/>
        </w:rPr>
      </w:pPr>
      <w:r w:rsidRPr="009F3FD7">
        <w:rPr>
          <w:rFonts w:ascii="Times New Roman" w:hAnsi="Times New Roman" w:cs="Times New Roman"/>
        </w:rPr>
        <w:t>The right to liberty and security of person in article 9 of the ICCPR and article 14 of the CRPD.</w:t>
      </w:r>
    </w:p>
    <w:p w14:paraId="65760CEA" w14:textId="77777777" w:rsidR="00AF2D23" w:rsidRPr="009F3FD7" w:rsidRDefault="00AF2D23" w:rsidP="00AF2D23">
      <w:pPr>
        <w:rPr>
          <w:rFonts w:ascii="Times New Roman" w:hAnsi="Times New Roman" w:cs="Times New Roman"/>
        </w:rPr>
      </w:pPr>
      <w:r>
        <w:rPr>
          <w:rFonts w:ascii="Times New Roman" w:hAnsi="Times New Roman" w:cs="Times New Roman"/>
        </w:rPr>
        <w:t>T</w:t>
      </w:r>
      <w:r w:rsidRPr="009F3FD7">
        <w:rPr>
          <w:rFonts w:ascii="Times New Roman" w:hAnsi="Times New Roman" w:cs="Times New Roman"/>
        </w:rPr>
        <w:t>he repeal of regulation 9 will enable the Department of Foreign Affairs and Trade (</w:t>
      </w:r>
      <w:r w:rsidRPr="00793811">
        <w:rPr>
          <w:rFonts w:ascii="Times New Roman" w:hAnsi="Times New Roman" w:cs="Times New Roman"/>
        </w:rPr>
        <w:t>Department) to</w:t>
      </w:r>
      <w:r w:rsidRPr="009F3FD7">
        <w:rPr>
          <w:rFonts w:ascii="Times New Roman" w:hAnsi="Times New Roman" w:cs="Times New Roman"/>
        </w:rPr>
        <w:t xml:space="preserve"> redirect resources to monitoring and enforcing listings</w:t>
      </w:r>
      <w:r>
        <w:rPr>
          <w:rFonts w:ascii="Times New Roman" w:hAnsi="Times New Roman" w:cs="Times New Roman"/>
        </w:rPr>
        <w:t>, and to making new listings (in coordination with international partners) that promote human rights</w:t>
      </w:r>
      <w:r w:rsidRPr="009F3FD7">
        <w:rPr>
          <w:rFonts w:ascii="Times New Roman" w:hAnsi="Times New Roman" w:cs="Times New Roman"/>
        </w:rPr>
        <w:t xml:space="preserve">. Together, these outcomes will strengthen the ability of autonomous sanctions to apply pressure to regimes and individuals with a view to ending the repression of human rights, and to deter behaviour that undermines human rights. </w:t>
      </w:r>
    </w:p>
    <w:p w14:paraId="7CDA4A4A"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The Disallowable </w:t>
      </w:r>
      <w:r>
        <w:rPr>
          <w:rFonts w:ascii="Times New Roman" w:hAnsi="Times New Roman" w:cs="Times New Roman"/>
        </w:rPr>
        <w:t xml:space="preserve">Legislative </w:t>
      </w:r>
      <w:r w:rsidRPr="009F3FD7">
        <w:rPr>
          <w:rFonts w:ascii="Times New Roman" w:hAnsi="Times New Roman" w:cs="Times New Roman"/>
        </w:rPr>
        <w:t xml:space="preserve">Instrument also promotes the human right, in article 25 of the ICCPR, of citizens to participate in the conduct of public affairs, directly or through freely chosen </w:t>
      </w:r>
      <w:r w:rsidRPr="009F3FD7">
        <w:rPr>
          <w:rFonts w:ascii="Times New Roman" w:hAnsi="Times New Roman" w:cs="Times New Roman"/>
        </w:rPr>
        <w:lastRenderedPageBreak/>
        <w:t xml:space="preserve">representatives. In particular, the requirement for the Minister to table a report on the review in each House of Parliament enhances the ability of Australian citizens and their elected representatives to understand, question and suggest improvements to the operation of autonomous sanctions in Australia. </w:t>
      </w:r>
    </w:p>
    <w:p w14:paraId="5D60FE8E" w14:textId="77777777" w:rsidR="00AF2D23" w:rsidRPr="009F3FD7" w:rsidRDefault="00AF2D23" w:rsidP="00AF2D23">
      <w:pPr>
        <w:rPr>
          <w:rFonts w:ascii="Times New Roman" w:hAnsi="Times New Roman" w:cs="Times New Roman"/>
          <w:b/>
          <w:bCs/>
        </w:rPr>
      </w:pPr>
      <w:r w:rsidRPr="009F3FD7">
        <w:rPr>
          <w:rFonts w:ascii="Times New Roman" w:hAnsi="Times New Roman" w:cs="Times New Roman"/>
          <w:b/>
          <w:bCs/>
        </w:rPr>
        <w:t>Human rights that may be limited</w:t>
      </w:r>
    </w:p>
    <w:p w14:paraId="6D126939"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b/>
          <w:bCs/>
          <w:i/>
          <w:iCs/>
        </w:rPr>
        <w:t>Right to fair hearing</w:t>
      </w:r>
    </w:p>
    <w:p w14:paraId="765B8F2A"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This Disallowable Legislative Instrument may engage the right to a fair hearing in article 14 of the ICCPR. </w:t>
      </w:r>
    </w:p>
    <w:p w14:paraId="319027FC"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Article 14 of the ICCPR relevantly provides that, in the determination of a person’s rights and obligations in a suit at law, everyone is entitled to a fair and public hearing by a competent, </w:t>
      </w:r>
      <w:proofErr w:type="gramStart"/>
      <w:r w:rsidRPr="009F3FD7">
        <w:rPr>
          <w:rFonts w:ascii="Times New Roman" w:hAnsi="Times New Roman" w:cs="Times New Roman"/>
        </w:rPr>
        <w:t>independent</w:t>
      </w:r>
      <w:proofErr w:type="gramEnd"/>
      <w:r w:rsidRPr="009F3FD7">
        <w:rPr>
          <w:rFonts w:ascii="Times New Roman" w:hAnsi="Times New Roman" w:cs="Times New Roman"/>
        </w:rPr>
        <w:t xml:space="preserve"> and impartial tribunal established by law. </w:t>
      </w:r>
    </w:p>
    <w:p w14:paraId="025AAD6A"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The Disallowable Legislative Instrument does not interfere with the jurisdiction of the High Court of Australia or Federal Court of Australia to conduct judicial review of a decision of the Minister to designate and/or declare a person under regulations 6 or 6A of the</w:t>
      </w:r>
      <w:r>
        <w:rPr>
          <w:rFonts w:ascii="Times New Roman" w:hAnsi="Times New Roman" w:cs="Times New Roman"/>
        </w:rPr>
        <w:t xml:space="preserve"> Regulations</w:t>
      </w:r>
      <w:r w:rsidRPr="009F3FD7">
        <w:rPr>
          <w:rFonts w:ascii="Times New Roman" w:hAnsi="Times New Roman" w:cs="Times New Roman"/>
        </w:rPr>
        <w:t xml:space="preserve">. A listed person may bring a judicial review of the designation and/or declaration decision and is entitled to a fair and public hearing in an independent court established by law. </w:t>
      </w:r>
    </w:p>
    <w:p w14:paraId="6BBB7E31"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To the extent the right to a fair hearing in article 14 of the ICCPR protects a fair hearing before a statutory decision maker that is not a court or tribunal, this Disallowable Legislative Instrument may limit that right. In particular, the repeal of regulation 9 means that there is no longer any express legal requirement for the Minister to review designations and declarations every three </w:t>
      </w:r>
      <w:proofErr w:type="gramStart"/>
      <w:r w:rsidRPr="009F3FD7">
        <w:rPr>
          <w:rFonts w:ascii="Times New Roman" w:hAnsi="Times New Roman" w:cs="Times New Roman"/>
        </w:rPr>
        <w:t>years, and</w:t>
      </w:r>
      <w:proofErr w:type="gramEnd"/>
      <w:r w:rsidRPr="009F3FD7">
        <w:rPr>
          <w:rFonts w:ascii="Times New Roman" w:hAnsi="Times New Roman" w:cs="Times New Roman"/>
        </w:rPr>
        <w:t xml:space="preserve"> decide whether to continue them.</w:t>
      </w:r>
    </w:p>
    <w:p w14:paraId="12E510F9"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b/>
          <w:bCs/>
          <w:i/>
          <w:iCs/>
        </w:rPr>
        <w:t xml:space="preserve">Any limitation is </w:t>
      </w:r>
      <w:proofErr w:type="gramStart"/>
      <w:r w:rsidRPr="009F3FD7">
        <w:rPr>
          <w:rFonts w:ascii="Times New Roman" w:hAnsi="Times New Roman" w:cs="Times New Roman"/>
          <w:b/>
          <w:bCs/>
          <w:i/>
          <w:iCs/>
        </w:rPr>
        <w:t>justified</w:t>
      </w:r>
      <w:proofErr w:type="gramEnd"/>
    </w:p>
    <w:p w14:paraId="78C8CB8A"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Nevertheless, any such limitation is justified for the following reasons.</w:t>
      </w:r>
    </w:p>
    <w:p w14:paraId="4A3557FB" w14:textId="77777777" w:rsidR="00AF2D23" w:rsidRPr="009F3FD7" w:rsidRDefault="00AF2D23" w:rsidP="00AF2D23">
      <w:pPr>
        <w:rPr>
          <w:rFonts w:ascii="Times New Roman" w:hAnsi="Times New Roman" w:cs="Times New Roman"/>
        </w:rPr>
      </w:pPr>
      <w:r w:rsidRPr="00793811">
        <w:rPr>
          <w:rFonts w:ascii="Times New Roman" w:hAnsi="Times New Roman" w:cs="Times New Roman"/>
        </w:rPr>
        <w:t>First, the repeal of regulation 9 furthers the legitimate objectives of aligning</w:t>
      </w:r>
      <w:r w:rsidRPr="009F3FD7">
        <w:rPr>
          <w:rFonts w:ascii="Times New Roman" w:hAnsi="Times New Roman" w:cs="Times New Roman"/>
        </w:rPr>
        <w:t xml:space="preserve"> Australia’s approach to listings with the approach of key international partners</w:t>
      </w:r>
      <w:r>
        <w:rPr>
          <w:rFonts w:ascii="Times New Roman" w:hAnsi="Times New Roman" w:cs="Times New Roman"/>
        </w:rPr>
        <w:t xml:space="preserve"> and</w:t>
      </w:r>
      <w:r w:rsidRPr="009F3FD7">
        <w:rPr>
          <w:rFonts w:ascii="Times New Roman" w:hAnsi="Times New Roman" w:cs="Times New Roman"/>
        </w:rPr>
        <w:t xml:space="preserve"> allowing the department to redirect resources to other sanctions priorities</w:t>
      </w:r>
      <w:r>
        <w:rPr>
          <w:rFonts w:ascii="Times New Roman" w:hAnsi="Times New Roman" w:cs="Times New Roman"/>
        </w:rPr>
        <w:t>,</w:t>
      </w:r>
      <w:r w:rsidRPr="009F3FD7">
        <w:rPr>
          <w:rFonts w:ascii="Times New Roman" w:hAnsi="Times New Roman" w:cs="Times New Roman"/>
        </w:rPr>
        <w:t xml:space="preserve"> including</w:t>
      </w:r>
      <w:r>
        <w:rPr>
          <w:rFonts w:ascii="Times New Roman" w:hAnsi="Times New Roman" w:cs="Times New Roman"/>
        </w:rPr>
        <w:t>:</w:t>
      </w:r>
      <w:r w:rsidRPr="009F3FD7">
        <w:rPr>
          <w:rFonts w:ascii="Times New Roman" w:hAnsi="Times New Roman" w:cs="Times New Roman"/>
        </w:rPr>
        <w:t xml:space="preserve"> </w:t>
      </w:r>
      <w:r>
        <w:rPr>
          <w:rFonts w:ascii="Times New Roman" w:hAnsi="Times New Roman" w:cs="Times New Roman"/>
        </w:rPr>
        <w:t xml:space="preserve">making new sanctions listings in coordination with international partners; </w:t>
      </w:r>
      <w:r w:rsidRPr="009F3FD7">
        <w:rPr>
          <w:rFonts w:ascii="Times New Roman" w:hAnsi="Times New Roman" w:cs="Times New Roman"/>
        </w:rPr>
        <w:t>monitoring and enforcing existing sanctions</w:t>
      </w:r>
      <w:r>
        <w:rPr>
          <w:rFonts w:ascii="Times New Roman" w:hAnsi="Times New Roman" w:cs="Times New Roman"/>
        </w:rPr>
        <w:t>; and strengthening internal review processes</w:t>
      </w:r>
      <w:r w:rsidRPr="009F3FD7">
        <w:rPr>
          <w:rFonts w:ascii="Times New Roman" w:hAnsi="Times New Roman" w:cs="Times New Roman"/>
        </w:rPr>
        <w:t>. These objectives are pressing and substantial because they will strengthen the effectiveness of Australia’s autonomous sanctions.</w:t>
      </w:r>
    </w:p>
    <w:p w14:paraId="7B7D12EB" w14:textId="0E196C7A"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For example, ensuring that Australia’s listing practice aligns with that of key international partners enhances the ability of autonomous sanctions coordinated among partners to influence foreign government entities, members of foreign government entities, or other persons or entities outside Australia. The Parliamentary Joint Standing Committee on Human Rights has repeatedly acknowledged ‘the importance of Australia acting in concert with the international community to prevent egregious human rights abuses arising from situations of international concern’ (see, e.g. </w:t>
      </w:r>
      <w:r w:rsidRPr="00F11B86">
        <w:rPr>
          <w:rFonts w:ascii="Times New Roman" w:hAnsi="Times New Roman" w:cs="Times New Roman"/>
        </w:rPr>
        <w:t>Scrutiny Report 1 of 2024</w:t>
      </w:r>
      <w:r w:rsidRPr="009F3FD7">
        <w:rPr>
          <w:rFonts w:ascii="Times New Roman" w:hAnsi="Times New Roman" w:cs="Times New Roman"/>
        </w:rPr>
        <w:t>, paragraph 2.116).</w:t>
      </w:r>
      <w:r>
        <w:rPr>
          <w:rFonts w:ascii="Times New Roman" w:hAnsi="Times New Roman" w:cs="Times New Roman"/>
        </w:rPr>
        <w:t xml:space="preserve"> Further, the Senate Standing Committee on Foreign Affairs and Trade recommended that Australia keep pace with international partners on sanctions listings related to Russia (see </w:t>
      </w:r>
      <w:r w:rsidRPr="00F11B86">
        <w:rPr>
          <w:rFonts w:ascii="Times New Roman" w:hAnsi="Times New Roman" w:cs="Times New Roman"/>
        </w:rPr>
        <w:t>Australian support for Ukraine</w:t>
      </w:r>
      <w:r>
        <w:rPr>
          <w:rFonts w:ascii="Times New Roman" w:hAnsi="Times New Roman" w:cs="Times New Roman"/>
        </w:rPr>
        <w:t xml:space="preserve">, recommendation 11, paragraph 3.98). </w:t>
      </w:r>
    </w:p>
    <w:p w14:paraId="084BC04E" w14:textId="77777777" w:rsidR="00AF2D23" w:rsidRPr="009F3FD7" w:rsidRDefault="00AF2D23" w:rsidP="00AF2D23">
      <w:pPr>
        <w:rPr>
          <w:rFonts w:ascii="Times New Roman" w:hAnsi="Times New Roman" w:cs="Times New Roman"/>
        </w:rPr>
      </w:pPr>
      <w:r w:rsidRPr="00793811">
        <w:rPr>
          <w:rFonts w:ascii="Times New Roman" w:hAnsi="Times New Roman" w:cs="Times New Roman"/>
        </w:rPr>
        <w:t>Second,</w:t>
      </w:r>
      <w:r w:rsidRPr="00793811">
        <w:rPr>
          <w:rFonts w:ascii="Times New Roman" w:hAnsi="Times New Roman" w:cs="Times New Roman"/>
          <w:i/>
          <w:iCs/>
        </w:rPr>
        <w:t xml:space="preserve"> </w:t>
      </w:r>
      <w:r w:rsidRPr="00793811">
        <w:rPr>
          <w:rFonts w:ascii="Times New Roman" w:hAnsi="Times New Roman" w:cs="Times New Roman"/>
        </w:rPr>
        <w:t>there is a rational connection between</w:t>
      </w:r>
      <w:r w:rsidRPr="009F3FD7">
        <w:rPr>
          <w:rFonts w:ascii="Times New Roman" w:hAnsi="Times New Roman" w:cs="Times New Roman"/>
        </w:rPr>
        <w:t xml:space="preserve"> the repeal of regulation 9 and these legitimate objectives. </w:t>
      </w:r>
    </w:p>
    <w:p w14:paraId="5D1D186C"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The current process for reviewing listings is resource intensive and reduces the department’s capacity to progress other sanctions priorities (including monitoring and enforcing sanctions). Yet, historically, approximately 87 percent of listings have been continued following their review</w:t>
      </w:r>
      <w:r>
        <w:rPr>
          <w:rFonts w:ascii="Times New Roman" w:hAnsi="Times New Roman" w:cs="Times New Roman"/>
        </w:rPr>
        <w:t xml:space="preserve">. The very high </w:t>
      </w:r>
      <w:r>
        <w:rPr>
          <w:rFonts w:ascii="Times New Roman" w:hAnsi="Times New Roman" w:cs="Times New Roman"/>
        </w:rPr>
        <w:lastRenderedPageBreak/>
        <w:t>proportion of continued listings indicates the current process is not supporting achievement of the Act’s objects</w:t>
      </w:r>
      <w:r w:rsidRPr="009F3FD7">
        <w:rPr>
          <w:rFonts w:ascii="Times New Roman" w:hAnsi="Times New Roman" w:cs="Times New Roman"/>
        </w:rPr>
        <w:t xml:space="preserve">. </w:t>
      </w:r>
    </w:p>
    <w:p w14:paraId="403EC7E4"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Repealing the automatic expiry of listings will reduce the administrative burden associated with the listing review </w:t>
      </w:r>
      <w:proofErr w:type="gramStart"/>
      <w:r w:rsidRPr="009F3FD7">
        <w:rPr>
          <w:rFonts w:ascii="Times New Roman" w:hAnsi="Times New Roman" w:cs="Times New Roman"/>
        </w:rPr>
        <w:t>process, and</w:t>
      </w:r>
      <w:proofErr w:type="gramEnd"/>
      <w:r w:rsidRPr="009F3FD7">
        <w:rPr>
          <w:rFonts w:ascii="Times New Roman" w:hAnsi="Times New Roman" w:cs="Times New Roman"/>
        </w:rPr>
        <w:t xml:space="preserve"> permit these resources to be redirected to monitoring and enforcing sanctions. </w:t>
      </w:r>
    </w:p>
    <w:p w14:paraId="43875BCE" w14:textId="77777777" w:rsidR="00AF2D23" w:rsidRPr="00793811" w:rsidRDefault="00AF2D23" w:rsidP="00AF2D23">
      <w:pPr>
        <w:rPr>
          <w:rFonts w:ascii="Times New Roman" w:hAnsi="Times New Roman" w:cs="Times New Roman"/>
          <w:i/>
          <w:iCs/>
        </w:rPr>
      </w:pPr>
      <w:r w:rsidRPr="00793811">
        <w:rPr>
          <w:rFonts w:ascii="Times New Roman" w:hAnsi="Times New Roman" w:cs="Times New Roman"/>
        </w:rPr>
        <w:t>Third, any</w:t>
      </w:r>
      <w:r w:rsidRPr="009F3FD7">
        <w:rPr>
          <w:rFonts w:ascii="Times New Roman" w:hAnsi="Times New Roman" w:cs="Times New Roman"/>
        </w:rPr>
        <w:t xml:space="preserve"> limitation is </w:t>
      </w:r>
      <w:r w:rsidRPr="00793811">
        <w:rPr>
          <w:rFonts w:ascii="Times New Roman" w:hAnsi="Times New Roman" w:cs="Times New Roman"/>
        </w:rPr>
        <w:t xml:space="preserve">reasonable, </w:t>
      </w:r>
      <w:proofErr w:type="gramStart"/>
      <w:r w:rsidRPr="00793811">
        <w:rPr>
          <w:rFonts w:ascii="Times New Roman" w:hAnsi="Times New Roman" w:cs="Times New Roman"/>
        </w:rPr>
        <w:t>necessary</w:t>
      </w:r>
      <w:proofErr w:type="gramEnd"/>
      <w:r w:rsidRPr="00793811">
        <w:rPr>
          <w:rFonts w:ascii="Times New Roman" w:hAnsi="Times New Roman" w:cs="Times New Roman"/>
        </w:rPr>
        <w:t xml:space="preserve"> and proportionate. </w:t>
      </w:r>
    </w:p>
    <w:p w14:paraId="3AD9CFD8"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Any interference with the right to a fair hearing is minimally restrictive. The measures in this Disallowable Legislative Instrument would only affect the right in the civil (not criminal) context, and any restriction on the right is limited to removing the </w:t>
      </w:r>
      <w:r w:rsidRPr="009F3FD7">
        <w:rPr>
          <w:rFonts w:ascii="Times New Roman" w:hAnsi="Times New Roman" w:cs="Times New Roman"/>
          <w:i/>
          <w:iCs/>
        </w:rPr>
        <w:t>automatic</w:t>
      </w:r>
      <w:r w:rsidRPr="009F3FD7">
        <w:rPr>
          <w:rFonts w:ascii="Times New Roman" w:hAnsi="Times New Roman" w:cs="Times New Roman"/>
        </w:rPr>
        <w:t xml:space="preserve"> entitlement to the review of listings by the Minister every three years. </w:t>
      </w:r>
    </w:p>
    <w:p w14:paraId="51075B6C"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Moreover, other safeguards ensure a listed person can still obtain a fair hearing in relation to their listing. Specifically:</w:t>
      </w:r>
    </w:p>
    <w:p w14:paraId="224B22CA" w14:textId="77777777" w:rsidR="00AF2D23" w:rsidRPr="009F3FD7" w:rsidRDefault="00AF2D23" w:rsidP="00AF2D23">
      <w:pPr>
        <w:pStyle w:val="ListParagraph"/>
        <w:numPr>
          <w:ilvl w:val="0"/>
          <w:numId w:val="3"/>
        </w:numPr>
        <w:rPr>
          <w:rFonts w:ascii="Times New Roman" w:hAnsi="Times New Roman" w:cs="Times New Roman"/>
          <w:b/>
          <w:bCs/>
          <w:i/>
          <w:iCs/>
        </w:rPr>
      </w:pPr>
      <w:r w:rsidRPr="009F3FD7">
        <w:rPr>
          <w:rFonts w:ascii="Times New Roman" w:hAnsi="Times New Roman" w:cs="Times New Roman"/>
        </w:rPr>
        <w:t xml:space="preserve">Listed persons may apply to the Minister at any time to revoke a designation and/or </w:t>
      </w:r>
      <w:proofErr w:type="gramStart"/>
      <w:r w:rsidRPr="009F3FD7">
        <w:rPr>
          <w:rFonts w:ascii="Times New Roman" w:hAnsi="Times New Roman" w:cs="Times New Roman"/>
        </w:rPr>
        <w:t>declaration;</w:t>
      </w:r>
      <w:proofErr w:type="gramEnd"/>
      <w:r w:rsidRPr="009F3FD7">
        <w:rPr>
          <w:rFonts w:ascii="Times New Roman" w:hAnsi="Times New Roman" w:cs="Times New Roman"/>
        </w:rPr>
        <w:t xml:space="preserve"> </w:t>
      </w:r>
    </w:p>
    <w:p w14:paraId="37827015" w14:textId="77777777" w:rsidR="00AF2D23" w:rsidRPr="009F3FD7" w:rsidRDefault="00AF2D23" w:rsidP="00AF2D23">
      <w:pPr>
        <w:pStyle w:val="ListParagraph"/>
        <w:numPr>
          <w:ilvl w:val="0"/>
          <w:numId w:val="3"/>
        </w:numPr>
        <w:rPr>
          <w:rFonts w:ascii="Times New Roman" w:hAnsi="Times New Roman" w:cs="Times New Roman"/>
          <w:b/>
          <w:bCs/>
          <w:i/>
          <w:iCs/>
        </w:rPr>
      </w:pPr>
      <w:r w:rsidRPr="009F3FD7">
        <w:rPr>
          <w:rFonts w:ascii="Times New Roman" w:hAnsi="Times New Roman" w:cs="Times New Roman"/>
        </w:rPr>
        <w:t>The Minister has the power under regulation 10 to revoke a listing upon application</w:t>
      </w:r>
      <w:r>
        <w:rPr>
          <w:rFonts w:ascii="Times New Roman" w:hAnsi="Times New Roman" w:cs="Times New Roman"/>
        </w:rPr>
        <w:t xml:space="preserve"> by a designated person,</w:t>
      </w:r>
      <w:r w:rsidRPr="009F3FD7">
        <w:rPr>
          <w:rFonts w:ascii="Times New Roman" w:hAnsi="Times New Roman" w:cs="Times New Roman"/>
        </w:rPr>
        <w:t xml:space="preserve"> or on the Minister’s own </w:t>
      </w:r>
      <w:proofErr w:type="gramStart"/>
      <w:r w:rsidRPr="009F3FD7">
        <w:rPr>
          <w:rFonts w:ascii="Times New Roman" w:hAnsi="Times New Roman" w:cs="Times New Roman"/>
        </w:rPr>
        <w:t>initiative;</w:t>
      </w:r>
      <w:proofErr w:type="gramEnd"/>
    </w:p>
    <w:p w14:paraId="2212A129" w14:textId="77777777" w:rsidR="00AF2D23" w:rsidRPr="009F3FD7" w:rsidRDefault="00AF2D23" w:rsidP="00AF2D23">
      <w:pPr>
        <w:pStyle w:val="ListParagraph"/>
        <w:numPr>
          <w:ilvl w:val="0"/>
          <w:numId w:val="3"/>
        </w:numPr>
        <w:rPr>
          <w:rFonts w:ascii="Times New Roman" w:hAnsi="Times New Roman" w:cs="Times New Roman"/>
          <w:b/>
          <w:bCs/>
          <w:i/>
          <w:iCs/>
        </w:rPr>
      </w:pPr>
      <w:r w:rsidRPr="009F3FD7">
        <w:rPr>
          <w:rFonts w:ascii="Times New Roman" w:hAnsi="Times New Roman" w:cs="Times New Roman"/>
        </w:rPr>
        <w:t>Listed persons may seek judicial review of a listing decision in an Australian court; and</w:t>
      </w:r>
    </w:p>
    <w:p w14:paraId="3FBD58F8" w14:textId="77777777" w:rsidR="00AF2D23" w:rsidRPr="007F0451" w:rsidRDefault="00AF2D23" w:rsidP="00AF2D23">
      <w:pPr>
        <w:pStyle w:val="ListParagraph"/>
        <w:numPr>
          <w:ilvl w:val="0"/>
          <w:numId w:val="3"/>
        </w:numPr>
        <w:rPr>
          <w:rFonts w:ascii="Times New Roman" w:hAnsi="Times New Roman" w:cs="Times New Roman"/>
          <w:b/>
          <w:bCs/>
          <w:i/>
          <w:iCs/>
        </w:rPr>
      </w:pPr>
      <w:r w:rsidRPr="007F0451">
        <w:rPr>
          <w:rFonts w:ascii="Times New Roman" w:hAnsi="Times New Roman" w:cs="Times New Roman"/>
        </w:rPr>
        <w:t>The department intends to conduct periodic internal reviews to confirm that listings</w:t>
      </w:r>
      <w:r>
        <w:rPr>
          <w:rFonts w:ascii="Times New Roman" w:hAnsi="Times New Roman" w:cs="Times New Roman"/>
        </w:rPr>
        <w:t xml:space="preserve"> of persons and entities</w:t>
      </w:r>
      <w:r w:rsidRPr="007F0451">
        <w:rPr>
          <w:rFonts w:ascii="Times New Roman" w:hAnsi="Times New Roman" w:cs="Times New Roman"/>
        </w:rPr>
        <w:t xml:space="preserve"> remain appropriate. This review process may result in a recommendation to the Minister to revoke the listing. </w:t>
      </w:r>
    </w:p>
    <w:p w14:paraId="5E0AE8F9" w14:textId="77777777" w:rsidR="00AF2D23" w:rsidRDefault="00AF2D23" w:rsidP="00AF2D23">
      <w:pPr>
        <w:rPr>
          <w:rFonts w:ascii="Times New Roman" w:hAnsi="Times New Roman" w:cs="Times New Roman"/>
        </w:rPr>
      </w:pPr>
      <w:r>
        <w:rPr>
          <w:rFonts w:ascii="Times New Roman" w:hAnsi="Times New Roman" w:cs="Times New Roman"/>
        </w:rPr>
        <w:t xml:space="preserve">The new, five-yearly legislated review process will ensure the legislative framework under which listings are made remains fit for purpose. The requirement to table a report in Parliament after each review will also improve oversight and transparency of the autonomous </w:t>
      </w:r>
      <w:proofErr w:type="gramStart"/>
      <w:r>
        <w:rPr>
          <w:rFonts w:ascii="Times New Roman" w:hAnsi="Times New Roman" w:cs="Times New Roman"/>
        </w:rPr>
        <w:t>sanctions</w:t>
      </w:r>
      <w:proofErr w:type="gramEnd"/>
      <w:r>
        <w:rPr>
          <w:rFonts w:ascii="Times New Roman" w:hAnsi="Times New Roman" w:cs="Times New Roman"/>
        </w:rPr>
        <w:t xml:space="preserve"> framework.</w:t>
      </w:r>
    </w:p>
    <w:p w14:paraId="63989237" w14:textId="77777777" w:rsidR="00AF2D23" w:rsidRPr="009F3FD7" w:rsidRDefault="00AF2D23" w:rsidP="00AF2D23">
      <w:pPr>
        <w:rPr>
          <w:rFonts w:ascii="Times New Roman" w:hAnsi="Times New Roman" w:cs="Times New Roman"/>
          <w:b/>
          <w:bCs/>
          <w:i/>
          <w:iCs/>
        </w:rPr>
      </w:pPr>
      <w:r w:rsidRPr="009F3FD7">
        <w:rPr>
          <w:rFonts w:ascii="Times New Roman" w:hAnsi="Times New Roman" w:cs="Times New Roman"/>
        </w:rPr>
        <w:t xml:space="preserve">There are no alternative measures that would be less restrictive on the right to a fair hearing and that would achieve the three pressing and substantial objectives identified above. For example, amending the automatic expiry of listings from three to five years would not align Australia’s listing practice with the United States of America, United </w:t>
      </w:r>
      <w:proofErr w:type="gramStart"/>
      <w:r w:rsidRPr="009F3FD7">
        <w:rPr>
          <w:rFonts w:ascii="Times New Roman" w:hAnsi="Times New Roman" w:cs="Times New Roman"/>
        </w:rPr>
        <w:t>Kingdom</w:t>
      </w:r>
      <w:proofErr w:type="gramEnd"/>
      <w:r w:rsidRPr="009F3FD7">
        <w:rPr>
          <w:rFonts w:ascii="Times New Roman" w:hAnsi="Times New Roman" w:cs="Times New Roman"/>
        </w:rPr>
        <w:t xml:space="preserve"> and Canada. Similarly, implementing a new review </w:t>
      </w:r>
      <w:r w:rsidRPr="009F3FD7">
        <w:rPr>
          <w:rFonts w:ascii="Times New Roman" w:hAnsi="Times New Roman" w:cs="Times New Roman"/>
          <w:i/>
          <w:iCs/>
        </w:rPr>
        <w:t xml:space="preserve">process </w:t>
      </w:r>
      <w:r w:rsidRPr="009F3FD7">
        <w:rPr>
          <w:rFonts w:ascii="Times New Roman" w:hAnsi="Times New Roman" w:cs="Times New Roman"/>
        </w:rPr>
        <w:t>in lieu of the automatic expiry of listings would not reduce the significant administrative burden or permit resources to be redirected to other sanctions priorities.</w:t>
      </w:r>
    </w:p>
    <w:p w14:paraId="6F2E2830" w14:textId="77777777" w:rsidR="00AF2D23" w:rsidRPr="009F3FD7" w:rsidRDefault="00AF2D23" w:rsidP="00AF2D23">
      <w:pPr>
        <w:rPr>
          <w:rFonts w:ascii="Times New Roman" w:hAnsi="Times New Roman" w:cs="Times New Roman"/>
          <w:b/>
          <w:bCs/>
        </w:rPr>
      </w:pPr>
      <w:r w:rsidRPr="009F3FD7">
        <w:rPr>
          <w:rFonts w:ascii="Times New Roman" w:hAnsi="Times New Roman" w:cs="Times New Roman"/>
          <w:b/>
          <w:bCs/>
        </w:rPr>
        <w:t>Conclusion</w:t>
      </w:r>
    </w:p>
    <w:p w14:paraId="58C89BF8" w14:textId="77777777" w:rsidR="00AF2D23" w:rsidRPr="009F3FD7" w:rsidRDefault="00AF2D23" w:rsidP="00AF2D23">
      <w:pPr>
        <w:rPr>
          <w:rFonts w:ascii="Times New Roman" w:hAnsi="Times New Roman" w:cs="Times New Roman"/>
        </w:rPr>
      </w:pPr>
      <w:r w:rsidRPr="009F3FD7">
        <w:rPr>
          <w:rFonts w:ascii="Times New Roman" w:hAnsi="Times New Roman" w:cs="Times New Roman"/>
        </w:rPr>
        <w:t xml:space="preserve">The Disallowable Legislative Instrument is compatible with human rights because, to the extent it may limit human rights, those limitations are reasonable, </w:t>
      </w:r>
      <w:proofErr w:type="gramStart"/>
      <w:r w:rsidRPr="009F3FD7">
        <w:rPr>
          <w:rFonts w:ascii="Times New Roman" w:hAnsi="Times New Roman" w:cs="Times New Roman"/>
        </w:rPr>
        <w:t>necessary</w:t>
      </w:r>
      <w:proofErr w:type="gramEnd"/>
      <w:r w:rsidRPr="009F3FD7">
        <w:rPr>
          <w:rFonts w:ascii="Times New Roman" w:hAnsi="Times New Roman" w:cs="Times New Roman"/>
        </w:rPr>
        <w:t xml:space="preserve"> and proportionate.</w:t>
      </w:r>
    </w:p>
    <w:p w14:paraId="23144D8A" w14:textId="77777777" w:rsidR="00AF2D23" w:rsidRPr="009F3FD7" w:rsidRDefault="00AF2D23" w:rsidP="00AF2D23">
      <w:pPr>
        <w:rPr>
          <w:rFonts w:ascii="Times New Roman" w:hAnsi="Times New Roman" w:cs="Times New Roman"/>
          <w:b/>
          <w:bCs/>
        </w:rPr>
      </w:pPr>
    </w:p>
    <w:p w14:paraId="527E4788" w14:textId="77777777" w:rsidR="00DE4F72" w:rsidRDefault="00DE4F72"/>
    <w:sectPr w:rsidR="00DE4F72" w:rsidSect="00AF2D2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A1C4" w14:textId="77777777" w:rsidR="00F11B86" w:rsidRDefault="00F11B86">
      <w:pPr>
        <w:spacing w:after="0" w:line="240" w:lineRule="auto"/>
      </w:pPr>
      <w:r>
        <w:separator/>
      </w:r>
    </w:p>
  </w:endnote>
  <w:endnote w:type="continuationSeparator" w:id="0">
    <w:p w14:paraId="62EA98E4" w14:textId="77777777" w:rsidR="00F11B86" w:rsidRDefault="00F11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4678" w14:textId="77777777" w:rsidR="00AF2D23" w:rsidRDefault="00AF2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D32A" w14:textId="77777777" w:rsidR="00AF2D23" w:rsidRDefault="00AF2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10F9" w14:textId="77777777" w:rsidR="00AF2D23" w:rsidRDefault="00AF2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1703" w14:textId="77777777" w:rsidR="00F11B86" w:rsidRDefault="00F11B86">
      <w:pPr>
        <w:spacing w:after="0" w:line="240" w:lineRule="auto"/>
      </w:pPr>
      <w:r>
        <w:separator/>
      </w:r>
    </w:p>
  </w:footnote>
  <w:footnote w:type="continuationSeparator" w:id="0">
    <w:p w14:paraId="398DA501" w14:textId="77777777" w:rsidR="00F11B86" w:rsidRDefault="00F11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75CE" w14:textId="77777777" w:rsidR="00AF2D23" w:rsidRDefault="00AF2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03AC" w14:textId="77777777" w:rsidR="00AF2D23" w:rsidRDefault="00AF2D23">
    <w:pPr>
      <w:pStyle w:val="Header"/>
    </w:pPr>
  </w:p>
  <w:p w14:paraId="516D9A40" w14:textId="77777777" w:rsidR="00AF2D23" w:rsidRDefault="00AF2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73A0" w14:textId="77777777" w:rsidR="00AF2D23" w:rsidRDefault="00AF2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02F1"/>
    <w:multiLevelType w:val="hybridMultilevel"/>
    <w:tmpl w:val="27404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976862"/>
    <w:multiLevelType w:val="hybridMultilevel"/>
    <w:tmpl w:val="D074A9CA"/>
    <w:lvl w:ilvl="0" w:tplc="0C09001B">
      <w:start w:val="1"/>
      <w:numFmt w:val="lowerRoman"/>
      <w:lvlText w:val="%1."/>
      <w:lvlJc w:val="right"/>
      <w:pPr>
        <w:ind w:left="720" w:hanging="360"/>
      </w:pPr>
      <w:rPr>
        <w:b w:val="0"/>
        <w:bCs w:val="0"/>
        <w:i w:val="0"/>
        <w:iCs w:val="0"/>
      </w:rPr>
    </w:lvl>
    <w:lvl w:ilvl="1" w:tplc="FFFFFFFF">
      <w:start w:val="1"/>
      <w:numFmt w:val="lowerLetter"/>
      <w:lvlText w:val="%2)"/>
      <w:lvlJc w:val="left"/>
      <w:pPr>
        <w:ind w:left="1440" w:hanging="360"/>
      </w:pPr>
      <w:rPr>
        <w:b w:val="0"/>
        <w:bCs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BF508CF"/>
    <w:multiLevelType w:val="hybridMultilevel"/>
    <w:tmpl w:val="6220C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7011340">
    <w:abstractNumId w:val="1"/>
  </w:num>
  <w:num w:numId="2" w16cid:durableId="273560351">
    <w:abstractNumId w:val="2"/>
  </w:num>
  <w:num w:numId="3" w16cid:durableId="74160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23"/>
    <w:rsid w:val="000B3DEB"/>
    <w:rsid w:val="00171A65"/>
    <w:rsid w:val="00275FF0"/>
    <w:rsid w:val="00AF2D23"/>
    <w:rsid w:val="00DE4F72"/>
    <w:rsid w:val="00F11B86"/>
    <w:rsid w:val="00F964D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1709D"/>
  <w15:chartTrackingRefBased/>
  <w15:docId w15:val="{2B563172-F7BA-4EE9-9E4C-3702441F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D23"/>
    <w:rPr>
      <w:rFonts w:eastAsiaTheme="minorHAns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D23"/>
    <w:rPr>
      <w:rFonts w:eastAsiaTheme="minorHAnsi"/>
      <w:kern w:val="0"/>
      <w:lang w:eastAsia="en-US"/>
      <w14:ligatures w14:val="none"/>
    </w:rPr>
  </w:style>
  <w:style w:type="paragraph" w:styleId="Footer">
    <w:name w:val="footer"/>
    <w:basedOn w:val="Normal"/>
    <w:link w:val="FooterChar"/>
    <w:uiPriority w:val="99"/>
    <w:unhideWhenUsed/>
    <w:rsid w:val="00AF2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D23"/>
    <w:rPr>
      <w:rFonts w:eastAsiaTheme="minorHAnsi"/>
      <w:kern w:val="0"/>
      <w:lang w:eastAsia="en-US"/>
      <w14:ligatures w14:val="none"/>
    </w:rPr>
  </w:style>
  <w:style w:type="paragraph" w:styleId="ListParagraph">
    <w:name w:val="List Paragraph"/>
    <w:basedOn w:val="Normal"/>
    <w:uiPriority w:val="34"/>
    <w:qFormat/>
    <w:rsid w:val="00AF2D23"/>
    <w:pPr>
      <w:ind w:left="720"/>
      <w:contextualSpacing/>
    </w:pPr>
  </w:style>
  <w:style w:type="character" w:styleId="Hyperlink">
    <w:name w:val="Hyperlink"/>
    <w:basedOn w:val="DefaultParagraphFont"/>
    <w:uiPriority w:val="99"/>
    <w:unhideWhenUsed/>
    <w:rsid w:val="00AF2D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81C03B5EAD745B9C040F444C02BD7" ma:contentTypeVersion="6" ma:contentTypeDescription="Create a new document." ma:contentTypeScope="" ma:versionID="28307b62ee1f1f54c4858a47dfa334fc">
  <xsd:schema xmlns:xsd="http://www.w3.org/2001/XMLSchema" xmlns:xs="http://www.w3.org/2001/XMLSchema" xmlns:p="http://schemas.microsoft.com/office/2006/metadata/properties" xmlns:ns2="4d543286-bfab-4bfa-8305-13bf6aa76fd7" xmlns:ns3="3cfbdf4c-a5d5-46d5-95b7-e4b02b7d7bb3" targetNamespace="http://schemas.microsoft.com/office/2006/metadata/properties" ma:root="true" ma:fieldsID="b2064e4aff36f1fc22cfd74c7974b270" ns2:_="" ns3:_="">
    <xsd:import namespace="4d543286-bfab-4bfa-8305-13bf6aa76fd7"/>
    <xsd:import namespace="3cfbdf4c-a5d5-46d5-95b7-e4b02b7d7b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43286-bfab-4bfa-8305-13bf6aa76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bdf4c-a5d5-46d5-95b7-e4b02b7d7b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B06B4-12FC-4177-8785-F5C90C219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43286-bfab-4bfa-8305-13bf6aa76fd7"/>
    <ds:schemaRef ds:uri="3cfbdf4c-a5d5-46d5-95b7-e4b02b7d7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80870-567E-4A9F-AEB5-8DCFD2CD52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988C4F-D459-4F0D-AFC2-D92FBED04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2608</Words>
  <Characters>15110</Characters>
  <Application>Microsoft Office Word</Application>
  <DocSecurity>0</DocSecurity>
  <Lines>230</Lines>
  <Paragraphs>85</Paragraphs>
  <ScaleCrop>false</ScaleCrop>
  <Company>Department of Foreign Affairs and Trade</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Joseph</dc:creator>
  <cp:keywords>[SEC=OFFICIAL]</cp:keywords>
  <dc:description/>
  <cp:lastModifiedBy>Fam, Joseph</cp:lastModifiedBy>
  <cp:revision>2</cp:revision>
  <dcterms:created xsi:type="dcterms:W3CDTF">2024-11-07T04:06:00Z</dcterms:created>
  <dcterms:modified xsi:type="dcterms:W3CDTF">2024-11-07T05:58:00Z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v=2022.1;a=SHA256;h=8AB9060F1F760522DBA01C32820EE1CB39E7343FA3C44E4D1941E9E027D41836</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2024-11-07T04:06:25Z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F0BFF2105AAC6DD2FAFCE75A892D8555122E2AB7</vt:lpwstr>
  </property>
  <property fmtid="{D5CDD505-2E9C-101B-9397-08002B2CF9AE}" pid="14" name="PM_DisplayValueSecClassificationWithQualifier">
    <vt:lpwstr>OFFICIAL</vt:lpwstr>
  </property>
  <property fmtid="{D5CDD505-2E9C-101B-9397-08002B2CF9AE}" pid="15" name="PM_Originating_FileId">
    <vt:lpwstr>F199AAB2C4C143FD8A0F7DD117A9F1B9</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74E7A39E21464B2139661FC71D6983B882ECFEBF94F3FFA83A39FBEDAC6BA718</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D3FA9AADF6EB94E200A3E7EA94EC7861</vt:lpwstr>
  </property>
  <property fmtid="{D5CDD505-2E9C-101B-9397-08002B2CF9AE}" pid="25" name="PM_Hash_Salt">
    <vt:lpwstr>9AFF7AAEB37F3A8B1EFFBBC9AEBCA0F7</vt:lpwstr>
  </property>
  <property fmtid="{D5CDD505-2E9C-101B-9397-08002B2CF9AE}" pid="26" name="PM_Hash_SHA1">
    <vt:lpwstr>3C5C37F7D2443E4B1A8AC588A3C01943C452D332</vt:lpwstr>
  </property>
  <property fmtid="{D5CDD505-2E9C-101B-9397-08002B2CF9AE}" pid="27" name="ContentTypeId">
    <vt:lpwstr>0x01010004781C03B5EAD745B9C040F444C02BD7</vt:lpwstr>
  </property>
  <property fmtid="{D5CDD505-2E9C-101B-9397-08002B2CF9AE}" pid="28" name="PM_SecurityClassification_Prev">
    <vt:lpwstr>OFFICIAL</vt:lpwstr>
  </property>
  <property fmtid="{D5CDD505-2E9C-101B-9397-08002B2CF9AE}" pid="29" name="PM_Qualifier_Prev">
    <vt:lpwstr/>
  </property>
</Properties>
</file>