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372B" w14:textId="175A3B03"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 xml:space="preserve">EXPLANATORY </w:t>
      </w:r>
      <w:r w:rsidR="000774E1">
        <w:rPr>
          <w:rFonts w:ascii="Times New Roman" w:hAnsi="Times New Roman"/>
          <w:sz w:val="24"/>
          <w:szCs w:val="24"/>
        </w:rPr>
        <w:t>STATEMENT</w:t>
      </w:r>
    </w:p>
    <w:p w14:paraId="510F5751" w14:textId="4A009A7D" w:rsidR="007662C7" w:rsidRPr="003C5719" w:rsidRDefault="000D2C71" w:rsidP="004A27A8">
      <w:pPr>
        <w:pStyle w:val="Heading2"/>
        <w:jc w:val="center"/>
        <w:rPr>
          <w:sz w:val="24"/>
          <w:szCs w:val="24"/>
        </w:rPr>
      </w:pPr>
      <w:r w:rsidRPr="007B335E">
        <w:rPr>
          <w:sz w:val="24"/>
          <w:szCs w:val="24"/>
        </w:rPr>
        <w:t xml:space="preserve">Issued by authority of </w:t>
      </w:r>
      <w:sdt>
        <w:sdtPr>
          <w:rPr>
            <w:rStyle w:val="DefaultChar"/>
          </w:rPr>
          <w:id w:val="-1025254589"/>
          <w:placeholder>
            <w:docPart w:val="0032707AB5074A9DBF73BD676279A8E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Assistant Treasurer and Minister for Financial Services</w:t>
          </w:r>
        </w:sdtContent>
      </w:sdt>
    </w:p>
    <w:p w14:paraId="2FC18527" w14:textId="77777777" w:rsidR="000D2C71" w:rsidRDefault="000D2C71" w:rsidP="000D2C71">
      <w:pPr>
        <w:spacing w:before="240" w:after="240"/>
        <w:jc w:val="center"/>
        <w:rPr>
          <w:i/>
        </w:rPr>
      </w:pPr>
      <w:r>
        <w:rPr>
          <w:i/>
          <w:iCs/>
          <w:color w:val="000000"/>
          <w:shd w:val="clear" w:color="auto" w:fill="FFFFFF"/>
        </w:rPr>
        <w:t>Competition and Consumer Act 2010</w:t>
      </w:r>
    </w:p>
    <w:p w14:paraId="0DC50EED" w14:textId="5C30BED1" w:rsidR="00F109D4" w:rsidRPr="003C5719" w:rsidRDefault="000D2C71" w:rsidP="000D2C71">
      <w:pPr>
        <w:tabs>
          <w:tab w:val="left" w:pos="1418"/>
        </w:tabs>
        <w:spacing w:before="0" w:after="240"/>
        <w:jc w:val="center"/>
        <w:rPr>
          <w:i/>
        </w:rPr>
      </w:pPr>
      <w:r>
        <w:rPr>
          <w:i/>
          <w:iCs/>
          <w:color w:val="000000"/>
          <w:shd w:val="clear" w:color="auto" w:fill="FFFFFF"/>
        </w:rPr>
        <w:t>Competition and Consumer (Consumer Data Right) Amendment (</w:t>
      </w:r>
      <w:r w:rsidR="004255BA">
        <w:rPr>
          <w:i/>
          <w:iCs/>
          <w:color w:val="000000"/>
          <w:shd w:val="clear" w:color="auto" w:fill="FFFFFF"/>
        </w:rPr>
        <w:t xml:space="preserve">2024 Measures </w:t>
      </w:r>
      <w:r>
        <w:rPr>
          <w:i/>
          <w:iCs/>
          <w:color w:val="000000"/>
          <w:shd w:val="clear" w:color="auto" w:fill="FFFFFF"/>
        </w:rPr>
        <w:t xml:space="preserve">No. 1) </w:t>
      </w:r>
      <w:r w:rsidR="004255BA">
        <w:rPr>
          <w:i/>
          <w:iCs/>
          <w:color w:val="000000"/>
          <w:shd w:val="clear" w:color="auto" w:fill="FFFFFF"/>
        </w:rPr>
        <w:t xml:space="preserve">Rules </w:t>
      </w:r>
      <w:r>
        <w:rPr>
          <w:i/>
          <w:iCs/>
          <w:color w:val="000000"/>
          <w:shd w:val="clear" w:color="auto" w:fill="FFFFFF"/>
        </w:rPr>
        <w:t>2024</w:t>
      </w:r>
    </w:p>
    <w:p w14:paraId="6FD500BE" w14:textId="61307EC1" w:rsidR="000D2C71" w:rsidRDefault="000D2C71" w:rsidP="000D2C71">
      <w:pPr>
        <w:spacing w:before="240"/>
      </w:pPr>
      <w:r>
        <w:t xml:space="preserve">Section 56BA of the </w:t>
      </w:r>
      <w:r w:rsidRPr="251E43ED">
        <w:rPr>
          <w:i/>
          <w:iCs/>
        </w:rPr>
        <w:t>Competition and Consumer Act 2010</w:t>
      </w:r>
      <w:r>
        <w:t xml:space="preserve"> (</w:t>
      </w:r>
      <w:r w:rsidR="008354D4">
        <w:t xml:space="preserve">the </w:t>
      </w:r>
      <w:r>
        <w:t xml:space="preserve">Act) provides that the Minister may, by legislative instrument, make consumer data rules for designated sectors in accordance with Part IVD of the Act. </w:t>
      </w:r>
    </w:p>
    <w:p w14:paraId="4A64030B" w14:textId="7F34066E" w:rsidR="000D2C71" w:rsidRPr="00E153D2" w:rsidRDefault="000D2C71" w:rsidP="000D2C71">
      <w:pPr>
        <w:rPr>
          <w:szCs w:val="24"/>
        </w:rPr>
      </w:pPr>
      <w:r w:rsidRPr="00534A17">
        <w:rPr>
          <w:color w:val="000000"/>
          <w:szCs w:val="24"/>
          <w:shd w:val="clear" w:color="auto" w:fill="FFFFFF"/>
        </w:rPr>
        <w:t xml:space="preserve">A ‘designated sector’ is a sector of the Australian economy designated, by legislative instrument made under section 56AC of the Act, as subject to the </w:t>
      </w:r>
      <w:r>
        <w:rPr>
          <w:color w:val="000000"/>
          <w:szCs w:val="24"/>
          <w:shd w:val="clear" w:color="auto" w:fill="FFFFFF"/>
        </w:rPr>
        <w:t>c</w:t>
      </w:r>
      <w:r w:rsidRPr="00534A17">
        <w:rPr>
          <w:color w:val="000000"/>
          <w:szCs w:val="24"/>
          <w:shd w:val="clear" w:color="auto" w:fill="FFFFFF"/>
        </w:rPr>
        <w:t xml:space="preserve">onsumer </w:t>
      </w:r>
      <w:r>
        <w:rPr>
          <w:color w:val="000000"/>
          <w:szCs w:val="24"/>
          <w:shd w:val="clear" w:color="auto" w:fill="FFFFFF"/>
        </w:rPr>
        <w:t>d</w:t>
      </w:r>
      <w:r w:rsidRPr="00534A17">
        <w:rPr>
          <w:color w:val="000000"/>
          <w:szCs w:val="24"/>
          <w:shd w:val="clear" w:color="auto" w:fill="FFFFFF"/>
        </w:rPr>
        <w:t xml:space="preserve">ata </w:t>
      </w:r>
      <w:r>
        <w:rPr>
          <w:color w:val="000000"/>
          <w:szCs w:val="24"/>
          <w:shd w:val="clear" w:color="auto" w:fill="FFFFFF"/>
        </w:rPr>
        <w:t>r</w:t>
      </w:r>
      <w:r w:rsidRPr="00534A17">
        <w:rPr>
          <w:color w:val="000000"/>
          <w:szCs w:val="24"/>
          <w:shd w:val="clear" w:color="auto" w:fill="FFFFFF"/>
        </w:rPr>
        <w:t xml:space="preserve">ight (CDR). </w:t>
      </w:r>
      <w:r>
        <w:rPr>
          <w:color w:val="000000"/>
          <w:szCs w:val="24"/>
          <w:shd w:val="clear" w:color="auto" w:fill="FFFFFF"/>
        </w:rPr>
        <w:t>The d</w:t>
      </w:r>
      <w:r w:rsidRPr="00534A17">
        <w:rPr>
          <w:color w:val="000000"/>
          <w:szCs w:val="24"/>
          <w:shd w:val="clear" w:color="auto" w:fill="FFFFFF"/>
        </w:rPr>
        <w:t>esignation instrument for a sector also specifies the data</w:t>
      </w:r>
      <w:r>
        <w:rPr>
          <w:color w:val="000000"/>
          <w:szCs w:val="24"/>
          <w:shd w:val="clear" w:color="auto" w:fill="FFFFFF"/>
        </w:rPr>
        <w:t xml:space="preserve"> </w:t>
      </w:r>
      <w:r w:rsidRPr="00534A17">
        <w:rPr>
          <w:color w:val="000000"/>
          <w:szCs w:val="24"/>
          <w:shd w:val="clear" w:color="auto" w:fill="FFFFFF"/>
        </w:rPr>
        <w:t xml:space="preserve">(CDR data) that </w:t>
      </w:r>
      <w:r>
        <w:rPr>
          <w:color w:val="000000"/>
          <w:szCs w:val="24"/>
          <w:shd w:val="clear" w:color="auto" w:fill="FFFFFF"/>
        </w:rPr>
        <w:t xml:space="preserve">is </w:t>
      </w:r>
      <w:r w:rsidRPr="00534A17">
        <w:rPr>
          <w:color w:val="000000"/>
          <w:szCs w:val="24"/>
          <w:shd w:val="clear" w:color="auto" w:fill="FFFFFF"/>
        </w:rPr>
        <w:t xml:space="preserve">subject to the CDR and </w:t>
      </w:r>
      <w:r>
        <w:rPr>
          <w:color w:val="000000"/>
          <w:szCs w:val="24"/>
          <w:shd w:val="clear" w:color="auto" w:fill="FFFFFF"/>
        </w:rPr>
        <w:t xml:space="preserve">the </w:t>
      </w:r>
      <w:r w:rsidRPr="00534A17">
        <w:rPr>
          <w:color w:val="000000"/>
          <w:szCs w:val="24"/>
          <w:shd w:val="clear" w:color="auto" w:fill="FFFFFF"/>
        </w:rPr>
        <w:t>classes of persons who hold the CDR data. Th</w:t>
      </w:r>
      <w:r>
        <w:rPr>
          <w:color w:val="000000"/>
          <w:szCs w:val="24"/>
          <w:shd w:val="clear" w:color="auto" w:fill="FFFFFF"/>
        </w:rPr>
        <w:t>o</w:t>
      </w:r>
      <w:r w:rsidRPr="00534A17">
        <w:rPr>
          <w:color w:val="000000"/>
          <w:szCs w:val="24"/>
          <w:shd w:val="clear" w:color="auto" w:fill="FFFFFF"/>
        </w:rPr>
        <w:t xml:space="preserve">se persons, and </w:t>
      </w:r>
      <w:r>
        <w:rPr>
          <w:color w:val="000000"/>
          <w:szCs w:val="24"/>
          <w:shd w:val="clear" w:color="auto" w:fill="FFFFFF"/>
        </w:rPr>
        <w:t xml:space="preserve">certain </w:t>
      </w:r>
      <w:r w:rsidRPr="00534A17">
        <w:rPr>
          <w:color w:val="000000"/>
          <w:szCs w:val="24"/>
          <w:shd w:val="clear" w:color="auto" w:fill="FFFFFF"/>
        </w:rPr>
        <w:t>other cl</w:t>
      </w:r>
      <w:r>
        <w:rPr>
          <w:color w:val="000000"/>
          <w:szCs w:val="24"/>
          <w:shd w:val="clear" w:color="auto" w:fill="FFFFFF"/>
        </w:rPr>
        <w:t>as</w:t>
      </w:r>
      <w:r w:rsidRPr="00534A17">
        <w:rPr>
          <w:color w:val="000000"/>
          <w:szCs w:val="24"/>
          <w:shd w:val="clear" w:color="auto" w:fill="FFFFFF"/>
        </w:rPr>
        <w:t>ses of persons covered by section 56AJ of the Act, are ‘data holders’ of CDR data</w:t>
      </w:r>
      <w:r>
        <w:rPr>
          <w:color w:val="000000"/>
          <w:szCs w:val="24"/>
          <w:shd w:val="clear" w:color="auto" w:fill="FFFFFF"/>
        </w:rPr>
        <w:t xml:space="preserve"> in that sector</w:t>
      </w:r>
      <w:r w:rsidRPr="00534A17">
        <w:rPr>
          <w:color w:val="000000"/>
          <w:szCs w:val="24"/>
          <w:shd w:val="clear" w:color="auto" w:fill="FFFFFF"/>
        </w:rPr>
        <w:t xml:space="preserve">.  </w:t>
      </w:r>
    </w:p>
    <w:p w14:paraId="2C00B1B0" w14:textId="22E3636B" w:rsidR="000D2C71" w:rsidRDefault="000D2C71" w:rsidP="000D2C71">
      <w:pPr>
        <w:shd w:val="clear" w:color="auto" w:fill="FFFFFF"/>
        <w:rPr>
          <w:color w:val="000000"/>
          <w:szCs w:val="24"/>
        </w:rPr>
      </w:pPr>
      <w:r>
        <w:rPr>
          <w:szCs w:val="24"/>
        </w:rPr>
        <w:t>The CDR framework</w:t>
      </w:r>
      <w:r w:rsidRPr="00E153D2">
        <w:rPr>
          <w:szCs w:val="24"/>
        </w:rPr>
        <w:t xml:space="preserve"> </w:t>
      </w:r>
      <w:r>
        <w:rPr>
          <w:szCs w:val="24"/>
        </w:rPr>
        <w:t xml:space="preserve">is set out in </w:t>
      </w:r>
      <w:r w:rsidRPr="00E153D2">
        <w:rPr>
          <w:szCs w:val="24"/>
        </w:rPr>
        <w:t>Part IVD of the Act</w:t>
      </w:r>
      <w:r>
        <w:rPr>
          <w:szCs w:val="24"/>
        </w:rPr>
        <w:t xml:space="preserve"> and the </w:t>
      </w:r>
      <w:r w:rsidRPr="00BC099A">
        <w:rPr>
          <w:i/>
          <w:iCs/>
        </w:rPr>
        <w:t>Competition and Consumer (Consumer Data Right) Rules 2020</w:t>
      </w:r>
      <w:r>
        <w:rPr>
          <w:szCs w:val="24"/>
        </w:rPr>
        <w:t xml:space="preserve"> (</w:t>
      </w:r>
      <w:r w:rsidR="00380E13">
        <w:rPr>
          <w:szCs w:val="24"/>
        </w:rPr>
        <w:t xml:space="preserve">the </w:t>
      </w:r>
      <w:r>
        <w:rPr>
          <w:szCs w:val="24"/>
        </w:rPr>
        <w:t xml:space="preserve">CDR Rules). </w:t>
      </w:r>
      <w:r w:rsidRPr="00E153D2">
        <w:rPr>
          <w:color w:val="000000"/>
          <w:szCs w:val="24"/>
        </w:rPr>
        <w:t>Under the CDR, individuals</w:t>
      </w:r>
      <w:r w:rsidR="00A62476">
        <w:rPr>
          <w:color w:val="000000"/>
          <w:szCs w:val="24"/>
        </w:rPr>
        <w:t xml:space="preserve"> and businesses</w:t>
      </w:r>
      <w:r>
        <w:rPr>
          <w:color w:val="000000"/>
          <w:szCs w:val="24"/>
        </w:rPr>
        <w:t xml:space="preserve"> (CDR consumers) may, through trusted third parties, request access to certain data sets relating to them. Data holders are required or authorised to provide access to the data, subject to controls ensuring the data’s quality, security</w:t>
      </w:r>
      <w:r w:rsidR="00E00E32">
        <w:rPr>
          <w:color w:val="000000"/>
          <w:szCs w:val="24"/>
        </w:rPr>
        <w:t>, privacy</w:t>
      </w:r>
      <w:r>
        <w:rPr>
          <w:color w:val="000000"/>
          <w:szCs w:val="24"/>
        </w:rPr>
        <w:t xml:space="preserve"> and confidentiality. Data holders are also required or authorised to disclose publicly available information on specified product offerings to CDR consumers or other persons.</w:t>
      </w:r>
    </w:p>
    <w:p w14:paraId="2B23B2DF" w14:textId="31AD70E6" w:rsidR="000D2C71" w:rsidRDefault="000D2C71" w:rsidP="00445D37">
      <w:pPr>
        <w:spacing w:before="0"/>
      </w:pPr>
      <w:r>
        <w:t>Rules applying generally across all designated sectors are set out in Parts 1 to 9 of, and Schedules 1 and 2 to, the CDR Rules. Sector-specific rules are set out in Schedule 3 (relating to the banking sector) and Schedule 4 (relating to the energy sector).</w:t>
      </w:r>
    </w:p>
    <w:p w14:paraId="1FEBFF79" w14:textId="77777777" w:rsidR="00017D97" w:rsidRPr="00BC099A" w:rsidRDefault="00017D97" w:rsidP="00017D97">
      <w:r>
        <w:t xml:space="preserve">In addition to the CDR Rules, data standards are developed and maintained by the Data Standards Body and made by the Data Standards Chair in accordance with the CDR Rules. The data standards underpin the technical delivery and consumer experience of the CDR. This includes imposing requirements for data security, language, and format. </w:t>
      </w:r>
    </w:p>
    <w:p w14:paraId="50B65AC8" w14:textId="450511B6" w:rsidR="006E3AB4" w:rsidRDefault="004F03F4" w:rsidP="004E6C07">
      <w:pPr>
        <w:spacing w:before="0"/>
        <w:rPr>
          <w:color w:val="000000"/>
          <w:shd w:val="clear" w:color="auto" w:fill="FFFFFF"/>
        </w:rPr>
      </w:pPr>
      <w:r w:rsidRPr="003C5719">
        <w:t>The</w:t>
      </w:r>
      <w:r w:rsidR="00017D97">
        <w:t xml:space="preserve"> </w:t>
      </w:r>
      <w:r w:rsidR="005E0971">
        <w:rPr>
          <w:i/>
          <w:iCs/>
          <w:color w:val="000000"/>
          <w:shd w:val="clear" w:color="auto" w:fill="FFFFFF"/>
        </w:rPr>
        <w:t>Competition and Consumer (Consumer Data Right) Amendment (2024 Measures No.</w:t>
      </w:r>
      <w:r w:rsidR="00431214">
        <w:rPr>
          <w:i/>
          <w:iCs/>
          <w:color w:val="000000"/>
          <w:shd w:val="clear" w:color="auto" w:fill="FFFFFF"/>
        </w:rPr>
        <w:t> </w:t>
      </w:r>
      <w:r w:rsidR="005E0971">
        <w:rPr>
          <w:i/>
          <w:iCs/>
          <w:color w:val="000000"/>
          <w:shd w:val="clear" w:color="auto" w:fill="FFFFFF"/>
        </w:rPr>
        <w:t>1) Rules 2024</w:t>
      </w:r>
      <w:r w:rsidR="00017D97">
        <w:rPr>
          <w:color w:val="000000"/>
          <w:shd w:val="clear" w:color="auto" w:fill="FFFFFF"/>
        </w:rPr>
        <w:t xml:space="preserve"> (the Amending Rules) </w:t>
      </w:r>
      <w:r w:rsidR="00782C12">
        <w:rPr>
          <w:color w:val="000000"/>
          <w:shd w:val="clear" w:color="auto" w:fill="FFFFFF"/>
        </w:rPr>
        <w:t>amend</w:t>
      </w:r>
      <w:r w:rsidR="002B0054">
        <w:rPr>
          <w:color w:val="000000"/>
          <w:shd w:val="clear" w:color="auto" w:fill="FFFFFF"/>
        </w:rPr>
        <w:t xml:space="preserve"> the CDR consent process</w:t>
      </w:r>
      <w:r w:rsidR="008B4C05">
        <w:rPr>
          <w:color w:val="000000"/>
          <w:shd w:val="clear" w:color="auto" w:fill="FFFFFF"/>
        </w:rPr>
        <w:t xml:space="preserve"> and introduce </w:t>
      </w:r>
      <w:r w:rsidR="002B0054">
        <w:rPr>
          <w:color w:val="000000"/>
          <w:shd w:val="clear" w:color="auto" w:fill="FFFFFF"/>
        </w:rPr>
        <w:t>several</w:t>
      </w:r>
      <w:r w:rsidR="008B4C05">
        <w:rPr>
          <w:color w:val="000000"/>
          <w:shd w:val="clear" w:color="auto" w:fill="FFFFFF"/>
        </w:rPr>
        <w:t xml:space="preserve"> other operational enhancements to the CDR Rules.</w:t>
      </w:r>
    </w:p>
    <w:p w14:paraId="222D766D" w14:textId="6E363F84" w:rsidR="00860E60" w:rsidRPr="00445D37" w:rsidRDefault="00860E60" w:rsidP="00860E60">
      <w:pPr>
        <w:spacing w:before="240"/>
        <w:rPr>
          <w:i/>
          <w:iCs/>
        </w:rPr>
      </w:pPr>
      <w:r>
        <w:rPr>
          <w:i/>
          <w:iCs/>
          <w:color w:val="000000"/>
          <w:shd w:val="clear" w:color="auto" w:fill="FFFFFF"/>
        </w:rPr>
        <w:t xml:space="preserve">Consent </w:t>
      </w:r>
      <w:proofErr w:type="gramStart"/>
      <w:r>
        <w:rPr>
          <w:i/>
          <w:iCs/>
          <w:color w:val="000000"/>
          <w:shd w:val="clear" w:color="auto" w:fill="FFFFFF"/>
        </w:rPr>
        <w:t>amendments</w:t>
      </w:r>
      <w:proofErr w:type="gramEnd"/>
    </w:p>
    <w:p w14:paraId="3ABF8E62" w14:textId="165116B5" w:rsidR="002B5415" w:rsidRPr="0039005A" w:rsidRDefault="002B5415" w:rsidP="00445D37">
      <w:pPr>
        <w:pStyle w:val="Bullet"/>
        <w:numPr>
          <w:ilvl w:val="0"/>
          <w:numId w:val="0"/>
        </w:numPr>
        <w:spacing w:before="0"/>
      </w:pPr>
      <w:r>
        <w:t>Consent is the primary basis on which a data recipient may collect, use and disclose CDR data for which there are one or more consumers. The amendments to the consent process seek to improve the consumer experience by:</w:t>
      </w:r>
    </w:p>
    <w:p w14:paraId="574ED399" w14:textId="3DEF089F" w:rsidR="00E5129B" w:rsidRDefault="00E5129B">
      <w:pPr>
        <w:pStyle w:val="Bullet"/>
        <w:spacing w:before="0"/>
      </w:pPr>
      <w:r>
        <w:t>extending the data minimisation principle to disclosure, ensuring privacy protection coverage for consumers;</w:t>
      </w:r>
    </w:p>
    <w:p w14:paraId="61C612DA" w14:textId="7AB39B04" w:rsidR="002B5415" w:rsidRPr="0039005A" w:rsidRDefault="002B5415" w:rsidP="00445D37">
      <w:pPr>
        <w:pStyle w:val="Bullet"/>
        <w:spacing w:before="0"/>
      </w:pPr>
      <w:r>
        <w:t>enabling consumers to provide multiple CDR consents with a single action;</w:t>
      </w:r>
    </w:p>
    <w:p w14:paraId="06CE1974" w14:textId="6E853DD1" w:rsidR="002B5415" w:rsidRDefault="002B5415" w:rsidP="00445D37">
      <w:pPr>
        <w:pStyle w:val="Bullet"/>
        <w:spacing w:before="0"/>
      </w:pPr>
      <w:r>
        <w:t xml:space="preserve">allowing data recipients to </w:t>
      </w:r>
      <w:r w:rsidR="00E00E32">
        <w:t>pre-select</w:t>
      </w:r>
      <w:r>
        <w:t xml:space="preserve"> the particular consent elements that would be reasonably needed to provide </w:t>
      </w:r>
      <w:r w:rsidR="005E0971">
        <w:t xml:space="preserve">a consumer’s </w:t>
      </w:r>
      <w:r>
        <w:t>requested good or service;</w:t>
      </w:r>
    </w:p>
    <w:p w14:paraId="2BB32BF7" w14:textId="2FFCAEDA" w:rsidR="002B5415" w:rsidRDefault="002B5415" w:rsidP="00445D37">
      <w:pPr>
        <w:pStyle w:val="Bullet"/>
        <w:spacing w:before="0"/>
      </w:pPr>
      <w:r>
        <w:lastRenderedPageBreak/>
        <w:t xml:space="preserve">simplifying the information </w:t>
      </w:r>
      <w:r w:rsidR="00EF299E">
        <w:t xml:space="preserve">that </w:t>
      </w:r>
      <w:r>
        <w:t xml:space="preserve">data recipients are required to provide to the consumer at the time of </w:t>
      </w:r>
      <w:r w:rsidR="00983DE7">
        <w:t xml:space="preserve">seeking the consumer’s </w:t>
      </w:r>
      <w:r>
        <w:t>consent;</w:t>
      </w:r>
    </w:p>
    <w:p w14:paraId="13AA7EBF" w14:textId="78ADE801" w:rsidR="002B5415" w:rsidRPr="0039005A" w:rsidRDefault="002B5415" w:rsidP="00445D37">
      <w:pPr>
        <w:pStyle w:val="Bullet"/>
        <w:spacing w:before="0"/>
      </w:pPr>
      <w:r>
        <w:t xml:space="preserve">allowing data recipients to consolidate the delivery of 90-day notifications to minimise </w:t>
      </w:r>
      <w:r w:rsidR="00C157DF">
        <w:t xml:space="preserve">the </w:t>
      </w:r>
      <w:r>
        <w:t>notification fatigue that consumers</w:t>
      </w:r>
      <w:r w:rsidR="00983DE7">
        <w:t xml:space="preserve"> may</w:t>
      </w:r>
      <w:r>
        <w:t xml:space="preserve"> currently experience;</w:t>
      </w:r>
      <w:r w:rsidR="00FA2DB1">
        <w:t xml:space="preserve"> and</w:t>
      </w:r>
    </w:p>
    <w:p w14:paraId="6D902455" w14:textId="5E4ADCD7" w:rsidR="002B5415" w:rsidRDefault="002B5415" w:rsidP="005E0971">
      <w:pPr>
        <w:pStyle w:val="Bullet"/>
        <w:spacing w:before="0"/>
      </w:pPr>
      <w:r>
        <w:t xml:space="preserve">requiring data recipients to provide consumers </w:t>
      </w:r>
      <w:r w:rsidR="008E4684">
        <w:t xml:space="preserve">with </w:t>
      </w:r>
      <w:r>
        <w:t xml:space="preserve">information about all supporting parties who may access </w:t>
      </w:r>
      <w:r w:rsidR="00983DE7">
        <w:t>a</w:t>
      </w:r>
      <w:r>
        <w:t xml:space="preserve"> consumer’s data at the time </w:t>
      </w:r>
      <w:r w:rsidR="00983DE7">
        <w:t>a</w:t>
      </w:r>
      <w:r>
        <w:t xml:space="preserve"> consumer</w:t>
      </w:r>
      <w:r w:rsidR="00983DE7">
        <w:t>’s</w:t>
      </w:r>
      <w:r>
        <w:t xml:space="preserve"> consent</w:t>
      </w:r>
      <w:r w:rsidR="00983DE7">
        <w:t xml:space="preserve"> is sought</w:t>
      </w:r>
      <w:r>
        <w:t>.</w:t>
      </w:r>
    </w:p>
    <w:p w14:paraId="1B21CDFA" w14:textId="6A457EFC" w:rsidR="00860E60" w:rsidRPr="00445D37" w:rsidRDefault="00860E60" w:rsidP="00445D37">
      <w:pPr>
        <w:pStyle w:val="Bullet"/>
        <w:numPr>
          <w:ilvl w:val="0"/>
          <w:numId w:val="0"/>
        </w:numPr>
        <w:rPr>
          <w:i/>
          <w:iCs/>
        </w:rPr>
      </w:pPr>
      <w:r>
        <w:rPr>
          <w:i/>
          <w:iCs/>
        </w:rPr>
        <w:t>Operational enhancements</w:t>
      </w:r>
    </w:p>
    <w:p w14:paraId="121B25AC" w14:textId="1EFADF8D" w:rsidR="002B5415" w:rsidRDefault="002B5415" w:rsidP="00445D37">
      <w:pPr>
        <w:pStyle w:val="Bullet"/>
        <w:numPr>
          <w:ilvl w:val="0"/>
          <w:numId w:val="0"/>
        </w:numPr>
        <w:spacing w:before="0"/>
      </w:pPr>
      <w:r>
        <w:t xml:space="preserve">The operational enhancements </w:t>
      </w:r>
      <w:r w:rsidR="009E742F">
        <w:t>focus on</w:t>
      </w:r>
      <w:r>
        <w:t xml:space="preserve"> support</w:t>
      </w:r>
      <w:r w:rsidR="009E742F">
        <w:t>ing</w:t>
      </w:r>
      <w:r>
        <w:t xml:space="preserve"> use case development. </w:t>
      </w:r>
    </w:p>
    <w:p w14:paraId="3680F454" w14:textId="195332C8" w:rsidR="002B5415" w:rsidRDefault="002B5415" w:rsidP="00445D37">
      <w:pPr>
        <w:pStyle w:val="Bullet"/>
        <w:numPr>
          <w:ilvl w:val="0"/>
          <w:numId w:val="0"/>
        </w:numPr>
        <w:spacing w:before="0"/>
      </w:pPr>
      <w:r>
        <w:t xml:space="preserve">The Amending Rules make changes </w:t>
      </w:r>
      <w:r w:rsidRPr="00406956">
        <w:t>to the rules of general application</w:t>
      </w:r>
      <w:r>
        <w:t xml:space="preserve">, as well as </w:t>
      </w:r>
      <w:r w:rsidRPr="00130C01">
        <w:t xml:space="preserve">the banking </w:t>
      </w:r>
      <w:r w:rsidR="00E00E32">
        <w:t xml:space="preserve">and energy </w:t>
      </w:r>
      <w:r w:rsidRPr="00130C01">
        <w:t>sector</w:t>
      </w:r>
      <w:r>
        <w:t xml:space="preserve"> rules. Such changes include the following:</w:t>
      </w:r>
    </w:p>
    <w:p w14:paraId="42705A5B" w14:textId="6264D64B" w:rsidR="002B5415" w:rsidRPr="002B0054" w:rsidRDefault="00912A65" w:rsidP="00445D37">
      <w:pPr>
        <w:pStyle w:val="Bullet"/>
        <w:spacing w:before="0"/>
      </w:pPr>
      <w:r>
        <w:t xml:space="preserve">allowing </w:t>
      </w:r>
      <w:r w:rsidR="002B5415">
        <w:t>accredited authorised deposit</w:t>
      </w:r>
      <w:r w:rsidR="000026DE">
        <w:t>-</w:t>
      </w:r>
      <w:r w:rsidR="002B5415">
        <w:t xml:space="preserve">taking institutions (ADIs) to hold </w:t>
      </w:r>
      <w:r w:rsidR="004F0D7B">
        <w:t xml:space="preserve">CDR </w:t>
      </w:r>
      <w:r w:rsidR="002B5415">
        <w:t>data as a data holder where a consumer has applied to acquire a product from an ADI</w:t>
      </w:r>
      <w:r>
        <w:t xml:space="preserve">; </w:t>
      </w:r>
    </w:p>
    <w:p w14:paraId="6B472BC0" w14:textId="517DE605" w:rsidR="002B5415" w:rsidRPr="002B0054" w:rsidRDefault="00912A65" w:rsidP="00445D37">
      <w:pPr>
        <w:pStyle w:val="Bullet"/>
        <w:spacing w:before="0"/>
      </w:pPr>
      <w:r>
        <w:t xml:space="preserve">clarifying </w:t>
      </w:r>
      <w:r w:rsidR="002B5415">
        <w:t xml:space="preserve">that a CDR representative principal must ensure their CDR representative(s) comply with consumer </w:t>
      </w:r>
      <w:r w:rsidR="00B2751D">
        <w:t xml:space="preserve">experience </w:t>
      </w:r>
      <w:r w:rsidR="002B5415">
        <w:t>data standards as if they were an accredited data recipient (ADR</w:t>
      </w:r>
      <w:r>
        <w:t xml:space="preserve">); </w:t>
      </w:r>
    </w:p>
    <w:p w14:paraId="3D5BEB88" w14:textId="7B85946F" w:rsidR="00331B40" w:rsidRDefault="00912A65" w:rsidP="00445D37">
      <w:pPr>
        <w:pStyle w:val="Bullet"/>
        <w:spacing w:before="0"/>
      </w:pPr>
      <w:r>
        <w:t xml:space="preserve">removing </w:t>
      </w:r>
      <w:r w:rsidR="002B5415">
        <w:t>the obligation for data holders to provide account holders with an online service that allows them to stop CDR data being disclosed to a</w:t>
      </w:r>
      <w:r w:rsidR="004F0D7B">
        <w:t xml:space="preserve"> particular</w:t>
      </w:r>
      <w:r w:rsidR="002B5415">
        <w:t xml:space="preserve"> ADR in response to data sharing requests made by secondary users</w:t>
      </w:r>
      <w:r>
        <w:t>; and</w:t>
      </w:r>
    </w:p>
    <w:p w14:paraId="64577A7B" w14:textId="4E9C62DB" w:rsidR="004F0D7B" w:rsidRDefault="00912A65" w:rsidP="00445D37">
      <w:pPr>
        <w:pStyle w:val="Bullet"/>
        <w:spacing w:before="0"/>
      </w:pPr>
      <w:r>
        <w:t xml:space="preserve">providing </w:t>
      </w:r>
      <w:r w:rsidR="004F0D7B">
        <w:t>a trial products exemption in the energy sector, similar to the existing exemption in the banking sector.</w:t>
      </w:r>
    </w:p>
    <w:p w14:paraId="3AD79264" w14:textId="3B63ED00" w:rsidR="00860E60" w:rsidRPr="00445D37" w:rsidRDefault="00860E60" w:rsidP="00445D37">
      <w:pPr>
        <w:spacing w:before="240"/>
        <w:rPr>
          <w:i/>
          <w:iCs/>
        </w:rPr>
      </w:pPr>
      <w:r>
        <w:rPr>
          <w:i/>
          <w:iCs/>
        </w:rPr>
        <w:t>Further information</w:t>
      </w:r>
    </w:p>
    <w:p w14:paraId="43CE0486" w14:textId="4133475A" w:rsidR="0043534A" w:rsidRDefault="0043534A" w:rsidP="0043534A">
      <w:pPr>
        <w:spacing w:after="0"/>
      </w:pPr>
      <w:r w:rsidRPr="00BC099A">
        <w:t xml:space="preserve">Before making consumer data rules, </w:t>
      </w:r>
      <w:r>
        <w:t xml:space="preserve">the Minister must comply with the requirements in </w:t>
      </w:r>
      <w:r w:rsidRPr="00BC099A">
        <w:t>section 56BP of the Act</w:t>
      </w:r>
      <w:r>
        <w:t>. First,</w:t>
      </w:r>
      <w:r w:rsidRPr="00BC099A">
        <w:t xml:space="preserve"> </w:t>
      </w:r>
      <w:r>
        <w:t xml:space="preserve">section 56BP requires the </w:t>
      </w:r>
      <w:r w:rsidRPr="00BC099A">
        <w:t xml:space="preserve">Minister </w:t>
      </w:r>
      <w:r>
        <w:t xml:space="preserve">to </w:t>
      </w:r>
      <w:r w:rsidRPr="00BC099A">
        <w:t xml:space="preserve">have regard to certain matters </w:t>
      </w:r>
      <w:r>
        <w:t xml:space="preserve">set out </w:t>
      </w:r>
      <w:r w:rsidRPr="00BC099A">
        <w:t xml:space="preserve">in section 56AD. These include the </w:t>
      </w:r>
      <w:r>
        <w:t xml:space="preserve">likely </w:t>
      </w:r>
      <w:r w:rsidRPr="00BC099A">
        <w:t xml:space="preserve">effect of </w:t>
      </w:r>
      <w:r>
        <w:t xml:space="preserve">making </w:t>
      </w:r>
      <w:r w:rsidRPr="00BC099A">
        <w:t>the rules on the interests of consumers, the efficiency of relevant markets</w:t>
      </w:r>
      <w:r>
        <w:t xml:space="preserve"> and</w:t>
      </w:r>
      <w:r w:rsidRPr="00BC099A">
        <w:t xml:space="preserve"> the privacy and confidentiality of consumers’ information, and the </w:t>
      </w:r>
      <w:r>
        <w:t xml:space="preserve">likely </w:t>
      </w:r>
      <w:r w:rsidRPr="00BC099A">
        <w:t xml:space="preserve">regulatory impact of </w:t>
      </w:r>
      <w:r>
        <w:t xml:space="preserve">allowing the </w:t>
      </w:r>
      <w:r w:rsidRPr="00BC099A">
        <w:t>rules</w:t>
      </w:r>
      <w:r>
        <w:t xml:space="preserve"> to impose requirements</w:t>
      </w:r>
      <w:r w:rsidRPr="00BC099A">
        <w:t xml:space="preserve">. The Minister </w:t>
      </w:r>
      <w:r w:rsidR="009C3651">
        <w:t xml:space="preserve">will </w:t>
      </w:r>
      <w:r w:rsidRPr="00BC099A">
        <w:t xml:space="preserve">consider each of the </w:t>
      </w:r>
      <w:r>
        <w:t xml:space="preserve">relevant matters </w:t>
      </w:r>
      <w:r w:rsidRPr="00BC099A">
        <w:t xml:space="preserve">when making the Amending Rules. </w:t>
      </w:r>
    </w:p>
    <w:p w14:paraId="51905182" w14:textId="0B21065D" w:rsidR="0043534A" w:rsidRDefault="0043534A" w:rsidP="0043534A">
      <w:pPr>
        <w:spacing w:after="0"/>
      </w:pPr>
      <w:r>
        <w:t xml:space="preserve">Second, </w:t>
      </w:r>
      <w:r w:rsidRPr="00994D88">
        <w:t xml:space="preserve">the Minister </w:t>
      </w:r>
      <w:r>
        <w:t xml:space="preserve">must, before making consumer data rules, </w:t>
      </w:r>
      <w:r w:rsidRPr="00994D88">
        <w:t xml:space="preserve">be satisfied that the Secretary of the Department has arranged for consultation </w:t>
      </w:r>
      <w:r>
        <w:t xml:space="preserve">and the making of a report in accordance with section 56BQ of </w:t>
      </w:r>
      <w:r w:rsidRPr="00994D88">
        <w:t>the Act.</w:t>
      </w:r>
      <w:r w:rsidR="00D738ED">
        <w:t xml:space="preserve"> This requirement has been met in relation to the Amending Rules.</w:t>
      </w:r>
    </w:p>
    <w:p w14:paraId="2893D759" w14:textId="4699DFE7" w:rsidR="0043534A" w:rsidRDefault="0043534A" w:rsidP="0043534A">
      <w:pPr>
        <w:spacing w:after="0"/>
      </w:pPr>
      <w:r>
        <w:t xml:space="preserve">Third, the Minister must wait at least 60 days after the day public consultation begins before making consumer data rules. </w:t>
      </w:r>
      <w:r w:rsidR="00EB5907">
        <w:t xml:space="preserve">With public consultation having commenced on </w:t>
      </w:r>
      <w:r w:rsidR="00BB6F32">
        <w:t>9 August 2024</w:t>
      </w:r>
      <w:r w:rsidR="004F398E">
        <w:t xml:space="preserve"> with publication of draft exposure rules on the Treasury website, this requirement has been met.</w:t>
      </w:r>
      <w:r w:rsidR="00BB6F32">
        <w:t xml:space="preserve"> </w:t>
      </w:r>
    </w:p>
    <w:p w14:paraId="03EC773A" w14:textId="735AE0AD" w:rsidR="00B8209E" w:rsidRDefault="00F26E08" w:rsidP="0043534A">
      <w:pPr>
        <w:spacing w:after="0"/>
      </w:pPr>
      <w:r>
        <w:t>The exposure draft of the Amending Rules was released for consultation from 9 August 2024 to 9 September 2024</w:t>
      </w:r>
      <w:r w:rsidR="00800C0F">
        <w:t xml:space="preserve">. Submissions were received from </w:t>
      </w:r>
      <w:r w:rsidR="31C51AAD">
        <w:t>41</w:t>
      </w:r>
      <w:r w:rsidR="00800C0F">
        <w:t xml:space="preserve"> respondents</w:t>
      </w:r>
      <w:r w:rsidR="000A5421">
        <w:t xml:space="preserve">, including </w:t>
      </w:r>
      <w:r w:rsidR="0087595E">
        <w:t>CDR participants, CDR agencies, the banking and energy sectors, and their respective regulators</w:t>
      </w:r>
      <w:r w:rsidR="00800C0F">
        <w:t>.</w:t>
      </w:r>
    </w:p>
    <w:p w14:paraId="6D1BD417" w14:textId="069D0C2E" w:rsidR="00900AEB" w:rsidRDefault="00B02D80" w:rsidP="00B669DC">
      <w:pPr>
        <w:pStyle w:val="Bullet"/>
        <w:numPr>
          <w:ilvl w:val="0"/>
          <w:numId w:val="0"/>
        </w:numPr>
        <w:spacing w:before="0"/>
      </w:pPr>
      <w:r w:rsidRPr="00B02D80">
        <w:t xml:space="preserve">While there was general support for most aspects of the rules, </w:t>
      </w:r>
      <w:r w:rsidR="0074518E">
        <w:t xml:space="preserve">the following </w:t>
      </w:r>
      <w:r w:rsidR="00650AC5">
        <w:t xml:space="preserve">key changes were made in response to </w:t>
      </w:r>
      <w:r w:rsidR="00900AEB">
        <w:t>consultation feedback:</w:t>
      </w:r>
    </w:p>
    <w:p w14:paraId="01AB8A73" w14:textId="118FD1C2" w:rsidR="00B669DC" w:rsidRDefault="00647362" w:rsidP="00B669DC">
      <w:pPr>
        <w:pStyle w:val="Bullet"/>
        <w:spacing w:before="0"/>
      </w:pPr>
      <w:r>
        <w:lastRenderedPageBreak/>
        <w:t>not proceeding with</w:t>
      </w:r>
      <w:r w:rsidR="00B669DC">
        <w:t xml:space="preserve"> amendments that would </w:t>
      </w:r>
      <w:r w:rsidR="00D22710">
        <w:t xml:space="preserve">have </w:t>
      </w:r>
      <w:r w:rsidR="00B669DC">
        <w:t>require</w:t>
      </w:r>
      <w:r w:rsidR="00D22710">
        <w:t>d</w:t>
      </w:r>
      <w:r w:rsidR="00B669DC">
        <w:t xml:space="preserve"> data to be deleted by default;</w:t>
      </w:r>
    </w:p>
    <w:p w14:paraId="2CEB0305" w14:textId="53FD4F53" w:rsidR="00B669DC" w:rsidRDefault="00B669DC" w:rsidP="00B669DC">
      <w:pPr>
        <w:pStyle w:val="Bullet"/>
        <w:spacing w:before="0"/>
      </w:pPr>
      <w:r>
        <w:t>broaden</w:t>
      </w:r>
      <w:r w:rsidR="00D22710">
        <w:t>ing</w:t>
      </w:r>
      <w:r>
        <w:t xml:space="preserve"> the measure to enable electricity plans to be trialled outside of the CDR for a period of up to 24 months </w:t>
      </w:r>
      <w:r w:rsidR="00227BD6">
        <w:t xml:space="preserve">(up from </w:t>
      </w:r>
      <w:r w:rsidR="007F440C">
        <w:t xml:space="preserve">the proposed 12 months) </w:t>
      </w:r>
      <w:r>
        <w:t>and supplied to no more than 2,000 customers</w:t>
      </w:r>
      <w:r w:rsidR="007F440C">
        <w:t xml:space="preserve"> (up from the proposed 1,000 customers)</w:t>
      </w:r>
      <w:r>
        <w:t xml:space="preserve">; </w:t>
      </w:r>
    </w:p>
    <w:p w14:paraId="410CD240" w14:textId="77777777" w:rsidR="009874CD" w:rsidRDefault="00647362" w:rsidP="00B669DC">
      <w:pPr>
        <w:pStyle w:val="Bullet"/>
        <w:spacing w:before="0"/>
      </w:pPr>
      <w:r>
        <w:t xml:space="preserve">not proceeding with amendments </w:t>
      </w:r>
      <w:r w:rsidR="00A23CD6">
        <w:t xml:space="preserve">that would have required </w:t>
      </w:r>
      <w:r w:rsidR="00B669DC">
        <w:t>data holders to provide an online service for appointing an account administrator as a nominated representative</w:t>
      </w:r>
      <w:r w:rsidR="009874CD">
        <w:t xml:space="preserve">; and  </w:t>
      </w:r>
    </w:p>
    <w:p w14:paraId="74441A69" w14:textId="5AC5CB23" w:rsidR="008E0CC4" w:rsidRPr="00BC099A" w:rsidRDefault="009874CD" w:rsidP="00B669DC">
      <w:pPr>
        <w:pStyle w:val="Bullet"/>
        <w:spacing w:before="0"/>
      </w:pPr>
      <w:r w:rsidRPr="009874CD">
        <w:t>simplify</w:t>
      </w:r>
      <w:r w:rsidR="00C90686">
        <w:t>ing</w:t>
      </w:r>
      <w:r w:rsidRPr="009874CD">
        <w:t xml:space="preserve"> the notification requirements for accredited authorised deposit-taking institutions (‘accredited banks’) seeking to hold CDR data as a data holder.</w:t>
      </w:r>
      <w:r w:rsidR="00800C0F">
        <w:t xml:space="preserve"> </w:t>
      </w:r>
    </w:p>
    <w:p w14:paraId="76CC95E7" w14:textId="05542917" w:rsidR="00A719BB" w:rsidRDefault="004A1E41" w:rsidP="0043534A">
      <w:pPr>
        <w:shd w:val="clear" w:color="auto" w:fill="FFFFFF"/>
        <w:spacing w:after="0"/>
        <w:rPr>
          <w:color w:val="000000"/>
          <w:szCs w:val="24"/>
        </w:rPr>
      </w:pPr>
      <w:r>
        <w:rPr>
          <w:color w:val="000000"/>
          <w:szCs w:val="24"/>
        </w:rPr>
        <w:t xml:space="preserve">The Amending Rules are disallowable and their principal instrument </w:t>
      </w:r>
      <w:r w:rsidR="005728CD">
        <w:rPr>
          <w:color w:val="000000"/>
          <w:szCs w:val="24"/>
        </w:rPr>
        <w:t xml:space="preserve">– the CDR Rules </w:t>
      </w:r>
      <w:r w:rsidR="00724000">
        <w:rPr>
          <w:color w:val="000000"/>
          <w:szCs w:val="24"/>
        </w:rPr>
        <w:t>– is subject to sunsetting in the ordinary way.</w:t>
      </w:r>
    </w:p>
    <w:p w14:paraId="15BC0E8B" w14:textId="417ABC94" w:rsidR="00924A28" w:rsidRDefault="00C03083" w:rsidP="0043534A">
      <w:pPr>
        <w:shd w:val="clear" w:color="auto" w:fill="FFFFFF"/>
        <w:spacing w:after="0"/>
        <w:rPr>
          <w:color w:val="000000"/>
          <w:szCs w:val="24"/>
        </w:rPr>
      </w:pPr>
      <w:r w:rsidRPr="00C03083">
        <w:rPr>
          <w:color w:val="000000"/>
          <w:szCs w:val="24"/>
        </w:rPr>
        <w:t>Section 56G</w:t>
      </w:r>
      <w:r w:rsidR="000974BE">
        <w:rPr>
          <w:color w:val="000000"/>
          <w:szCs w:val="24"/>
        </w:rPr>
        <w:t>B</w:t>
      </w:r>
      <w:r w:rsidRPr="00C03083">
        <w:rPr>
          <w:color w:val="000000"/>
          <w:szCs w:val="24"/>
        </w:rPr>
        <w:t xml:space="preserve"> of the Act provides that the </w:t>
      </w:r>
      <w:r w:rsidR="00FA202B">
        <w:rPr>
          <w:color w:val="000000"/>
          <w:szCs w:val="24"/>
        </w:rPr>
        <w:t>CDR R</w:t>
      </w:r>
      <w:r w:rsidRPr="00C03083">
        <w:rPr>
          <w:color w:val="000000"/>
          <w:szCs w:val="24"/>
        </w:rPr>
        <w:t xml:space="preserve">ules may </w:t>
      </w:r>
      <w:r w:rsidR="001A6315">
        <w:rPr>
          <w:color w:val="000000"/>
          <w:szCs w:val="24"/>
        </w:rPr>
        <w:t>apply</w:t>
      </w:r>
      <w:r w:rsidRPr="00C03083">
        <w:rPr>
          <w:color w:val="000000"/>
          <w:szCs w:val="24"/>
        </w:rPr>
        <w:t>, adopt or incorporat</w:t>
      </w:r>
      <w:r w:rsidR="002C4BCA">
        <w:rPr>
          <w:color w:val="000000"/>
          <w:szCs w:val="24"/>
        </w:rPr>
        <w:t>e by reference</w:t>
      </w:r>
      <w:r w:rsidRPr="00C03083">
        <w:rPr>
          <w:color w:val="000000"/>
          <w:szCs w:val="24"/>
        </w:rPr>
        <w:t xml:space="preserve"> any matter contained in any other instrument or writing as in force or existing at a particular time</w:t>
      </w:r>
      <w:r w:rsidR="008E586F">
        <w:rPr>
          <w:color w:val="000000"/>
          <w:szCs w:val="24"/>
        </w:rPr>
        <w:t>,</w:t>
      </w:r>
      <w:r w:rsidRPr="00C03083">
        <w:rPr>
          <w:color w:val="000000"/>
          <w:szCs w:val="24"/>
        </w:rPr>
        <w:t xml:space="preserve"> or from time to time.</w:t>
      </w:r>
      <w:r w:rsidR="008E586F">
        <w:rPr>
          <w:color w:val="000000"/>
          <w:szCs w:val="24"/>
        </w:rPr>
        <w:t xml:space="preserve"> </w:t>
      </w:r>
      <w:r w:rsidR="0034004B">
        <w:rPr>
          <w:color w:val="000000"/>
          <w:szCs w:val="24"/>
        </w:rPr>
        <w:t>The Amending Rules incorporate c</w:t>
      </w:r>
      <w:r w:rsidR="008E586F">
        <w:rPr>
          <w:color w:val="000000"/>
          <w:szCs w:val="24"/>
        </w:rPr>
        <w:t>onsumer data standards</w:t>
      </w:r>
      <w:r w:rsidR="00BD0C54">
        <w:rPr>
          <w:color w:val="000000"/>
          <w:szCs w:val="24"/>
        </w:rPr>
        <w:t xml:space="preserve"> made by the Data Standards Chair </w:t>
      </w:r>
      <w:r w:rsidR="00AA1F39">
        <w:rPr>
          <w:color w:val="000000"/>
          <w:szCs w:val="24"/>
        </w:rPr>
        <w:t xml:space="preserve">under section 56FA of the Act </w:t>
      </w:r>
      <w:r w:rsidR="0082182E">
        <w:rPr>
          <w:color w:val="000000"/>
          <w:szCs w:val="24"/>
        </w:rPr>
        <w:t>as existing from time to time.</w:t>
      </w:r>
      <w:r w:rsidR="008E586F">
        <w:rPr>
          <w:color w:val="000000"/>
          <w:szCs w:val="24"/>
        </w:rPr>
        <w:t xml:space="preserve"> </w:t>
      </w:r>
      <w:r w:rsidR="00FD6D1D">
        <w:rPr>
          <w:color w:val="000000"/>
          <w:szCs w:val="24"/>
        </w:rPr>
        <w:t xml:space="preserve">Members of the public can freely access and use the standards from </w:t>
      </w:r>
      <w:r w:rsidR="001B7820" w:rsidRPr="001B7820">
        <w:rPr>
          <w:color w:val="000000"/>
          <w:szCs w:val="24"/>
        </w:rPr>
        <w:t>https://consumerdatastandards.gov.au/</w:t>
      </w:r>
      <w:r w:rsidR="001B7820">
        <w:rPr>
          <w:color w:val="000000"/>
          <w:szCs w:val="24"/>
        </w:rPr>
        <w:t>.</w:t>
      </w:r>
      <w:r w:rsidR="003862F8">
        <w:rPr>
          <w:color w:val="000000"/>
          <w:szCs w:val="24"/>
        </w:rPr>
        <w:t xml:space="preserve"> </w:t>
      </w:r>
    </w:p>
    <w:p w14:paraId="79594784" w14:textId="6C473BE7" w:rsidR="0043534A" w:rsidRPr="0095696E" w:rsidRDefault="0043534A" w:rsidP="0043534A">
      <w:pPr>
        <w:shd w:val="clear" w:color="auto" w:fill="FFFFFF"/>
        <w:spacing w:after="0"/>
        <w:rPr>
          <w:color w:val="000000"/>
          <w:szCs w:val="24"/>
        </w:rPr>
      </w:pPr>
      <w:r w:rsidRPr="0095696E">
        <w:rPr>
          <w:color w:val="000000"/>
          <w:szCs w:val="24"/>
        </w:rPr>
        <w:t>The Amending Rules are a legislative instrument for the purposes of the </w:t>
      </w:r>
      <w:r w:rsidRPr="0095696E">
        <w:rPr>
          <w:i/>
          <w:iCs/>
          <w:color w:val="000000"/>
          <w:szCs w:val="24"/>
        </w:rPr>
        <w:t>Legislation Act 2003</w:t>
      </w:r>
      <w:r w:rsidRPr="0095696E">
        <w:rPr>
          <w:color w:val="000000"/>
          <w:szCs w:val="24"/>
        </w:rPr>
        <w:t>.</w:t>
      </w:r>
    </w:p>
    <w:p w14:paraId="7119825E" w14:textId="4A469C0A" w:rsidR="0043534A" w:rsidRDefault="0043534A" w:rsidP="00445D37">
      <w:pPr>
        <w:shd w:val="clear" w:color="auto" w:fill="FFFFFF"/>
        <w:rPr>
          <w:color w:val="000000"/>
          <w:szCs w:val="24"/>
        </w:rPr>
      </w:pPr>
      <w:r w:rsidRPr="0095696E">
        <w:rPr>
          <w:color w:val="000000"/>
          <w:szCs w:val="24"/>
        </w:rPr>
        <w:t>The Amending Rules commence</w:t>
      </w:r>
      <w:r w:rsidR="00894070">
        <w:rPr>
          <w:color w:val="000000"/>
          <w:szCs w:val="24"/>
        </w:rPr>
        <w:t>d</w:t>
      </w:r>
      <w:r w:rsidRPr="0095696E">
        <w:rPr>
          <w:color w:val="000000"/>
          <w:szCs w:val="24"/>
        </w:rPr>
        <w:t xml:space="preserve"> on the day after </w:t>
      </w:r>
      <w:r w:rsidR="00894070">
        <w:rPr>
          <w:color w:val="000000"/>
          <w:szCs w:val="24"/>
        </w:rPr>
        <w:t>registration</w:t>
      </w:r>
      <w:r w:rsidRPr="0095696E">
        <w:rPr>
          <w:color w:val="000000"/>
          <w:szCs w:val="24"/>
        </w:rPr>
        <w:t xml:space="preserve"> on the Federal Register of Legislation.</w:t>
      </w:r>
    </w:p>
    <w:p w14:paraId="3E6DB0D1" w14:textId="7B5863A7" w:rsidR="00894070" w:rsidRPr="00894070" w:rsidRDefault="00894070" w:rsidP="00894070">
      <w:pPr>
        <w:shd w:val="clear" w:color="auto" w:fill="FFFFFF"/>
        <w:rPr>
          <w:color w:val="000000"/>
          <w:szCs w:val="24"/>
        </w:rPr>
      </w:pPr>
      <w:r w:rsidRPr="00894070">
        <w:rPr>
          <w:color w:val="000000"/>
          <w:szCs w:val="24"/>
        </w:rPr>
        <w:t xml:space="preserve">Details of the </w:t>
      </w:r>
      <w:r w:rsidR="008E0CC4">
        <w:rPr>
          <w:color w:val="000000"/>
          <w:szCs w:val="24"/>
        </w:rPr>
        <w:t>Amending Rules</w:t>
      </w:r>
      <w:r w:rsidRPr="00894070">
        <w:rPr>
          <w:color w:val="000000"/>
          <w:szCs w:val="24"/>
        </w:rPr>
        <w:t xml:space="preserve"> are set out in </w:t>
      </w:r>
      <w:r w:rsidRPr="0004069E">
        <w:rPr>
          <w:color w:val="000000"/>
          <w:szCs w:val="24"/>
          <w:u w:val="single"/>
        </w:rPr>
        <w:t xml:space="preserve">Attachment </w:t>
      </w:r>
      <w:r w:rsidR="00CE0471" w:rsidRPr="0004069E">
        <w:rPr>
          <w:color w:val="000000"/>
          <w:szCs w:val="24"/>
          <w:u w:val="single"/>
        </w:rPr>
        <w:t>A</w:t>
      </w:r>
      <w:r w:rsidRPr="00894070">
        <w:rPr>
          <w:color w:val="000000"/>
          <w:szCs w:val="24"/>
        </w:rPr>
        <w:t xml:space="preserve">. </w:t>
      </w:r>
    </w:p>
    <w:p w14:paraId="644DE67D" w14:textId="15397059" w:rsidR="008C5E4B" w:rsidRDefault="00894070" w:rsidP="00894070">
      <w:pPr>
        <w:shd w:val="clear" w:color="auto" w:fill="FFFFFF"/>
        <w:rPr>
          <w:color w:val="000000"/>
          <w:szCs w:val="24"/>
        </w:rPr>
      </w:pPr>
      <w:r w:rsidRPr="00894070">
        <w:rPr>
          <w:color w:val="000000"/>
          <w:szCs w:val="24"/>
        </w:rPr>
        <w:t xml:space="preserve">A </w:t>
      </w:r>
      <w:r w:rsidR="008E0CC4">
        <w:rPr>
          <w:color w:val="000000"/>
          <w:szCs w:val="24"/>
        </w:rPr>
        <w:t>S</w:t>
      </w:r>
      <w:r w:rsidRPr="00894070">
        <w:rPr>
          <w:color w:val="000000"/>
          <w:szCs w:val="24"/>
        </w:rPr>
        <w:t xml:space="preserve">tatement of Compatibility with Human Rights is at </w:t>
      </w:r>
      <w:r w:rsidRPr="0004069E">
        <w:rPr>
          <w:color w:val="000000"/>
          <w:szCs w:val="24"/>
          <w:u w:val="single"/>
        </w:rPr>
        <w:t xml:space="preserve">Attachment </w:t>
      </w:r>
      <w:r w:rsidR="00040DFE" w:rsidRPr="0004069E">
        <w:rPr>
          <w:color w:val="000000"/>
          <w:szCs w:val="24"/>
          <w:u w:val="single"/>
        </w:rPr>
        <w:t>B</w:t>
      </w:r>
      <w:r w:rsidRPr="00894070">
        <w:rPr>
          <w:color w:val="000000"/>
          <w:szCs w:val="24"/>
        </w:rPr>
        <w:t>.</w:t>
      </w:r>
    </w:p>
    <w:p w14:paraId="18819434" w14:textId="53364DA7" w:rsidR="008C5E4B" w:rsidRPr="00F024EA" w:rsidRDefault="008C5E4B" w:rsidP="00445D37">
      <w:pPr>
        <w:shd w:val="clear" w:color="auto" w:fill="FFFFFF"/>
        <w:rPr>
          <w:color w:val="000000"/>
          <w:szCs w:val="24"/>
        </w:rPr>
      </w:pPr>
      <w:r w:rsidRPr="008C5E4B">
        <w:rPr>
          <w:color w:val="000000"/>
          <w:szCs w:val="24"/>
        </w:rPr>
        <w:t xml:space="preserve">The Office of Impact Analysis </w:t>
      </w:r>
      <w:r w:rsidR="008B3A9A">
        <w:rPr>
          <w:color w:val="000000"/>
          <w:szCs w:val="24"/>
        </w:rPr>
        <w:t xml:space="preserve">(OIA) </w:t>
      </w:r>
      <w:r w:rsidRPr="008C5E4B">
        <w:rPr>
          <w:color w:val="000000"/>
          <w:szCs w:val="24"/>
        </w:rPr>
        <w:t xml:space="preserve">has been consulted (OIA ref: </w:t>
      </w:r>
      <w:r w:rsidR="00BF47B8">
        <w:t>OIA23</w:t>
      </w:r>
      <w:r w:rsidR="00BF47B8">
        <w:noBreakHyphen/>
        <w:t xml:space="preserve">005564, </w:t>
      </w:r>
      <w:r w:rsidR="00BF47B8" w:rsidRPr="00DC2474">
        <w:t>OIA2</w:t>
      </w:r>
      <w:r w:rsidR="00BF47B8">
        <w:t>4</w:t>
      </w:r>
      <w:r w:rsidR="00BF47B8">
        <w:noBreakHyphen/>
      </w:r>
      <w:r w:rsidR="00BF47B8" w:rsidRPr="00DC2474">
        <w:t>06965</w:t>
      </w:r>
      <w:r w:rsidR="00BF47B8">
        <w:t xml:space="preserve"> and OIA24-08244</w:t>
      </w:r>
      <w:r w:rsidRPr="008C5E4B">
        <w:rPr>
          <w:color w:val="000000"/>
          <w:szCs w:val="24"/>
        </w:rPr>
        <w:t xml:space="preserve">) and agreed that </w:t>
      </w:r>
      <w:r w:rsidR="0089082B">
        <w:rPr>
          <w:color w:val="000000"/>
          <w:szCs w:val="24"/>
        </w:rPr>
        <w:t>an impact analysis is not required</w:t>
      </w:r>
      <w:r w:rsidRPr="008C5E4B">
        <w:rPr>
          <w:color w:val="000000"/>
          <w:szCs w:val="24"/>
        </w:rPr>
        <w:t xml:space="preserve">. </w:t>
      </w:r>
      <w:r w:rsidR="00264A60">
        <w:rPr>
          <w:color w:val="000000"/>
          <w:szCs w:val="24"/>
        </w:rPr>
        <w:t>Treasury expects the amendments to have a minor regulatory impact</w:t>
      </w:r>
      <w:r w:rsidRPr="008C5E4B">
        <w:rPr>
          <w:color w:val="000000"/>
          <w:szCs w:val="24"/>
        </w:rPr>
        <w:t>.</w:t>
      </w:r>
    </w:p>
    <w:p w14:paraId="7AAB543E" w14:textId="77777777" w:rsidR="0043534A" w:rsidRPr="00BC099A" w:rsidRDefault="0043534A" w:rsidP="0043534A">
      <w:pPr>
        <w:spacing w:after="0"/>
        <w:rPr>
          <w:i/>
        </w:rPr>
      </w:pPr>
      <w:r w:rsidRPr="00BC099A">
        <w:t>In citations of provisions in this explanatory material, unless otherwise specified</w:t>
      </w:r>
      <w:r>
        <w:t>,</w:t>
      </w:r>
      <w:r w:rsidRPr="00BC099A">
        <w:t xml:space="preserve"> references to rules are to the CDR Rules.</w:t>
      </w:r>
    </w:p>
    <w:p w14:paraId="06E2856E" w14:textId="77777777" w:rsidR="00EB2AEF" w:rsidRPr="003C5719" w:rsidRDefault="00EB2AEF" w:rsidP="004A27A8">
      <w:pPr>
        <w:spacing w:before="240"/>
      </w:pPr>
    </w:p>
    <w:p w14:paraId="3B258FB9" w14:textId="1AEEF140" w:rsidR="00EA4DD8" w:rsidRPr="003C5719" w:rsidRDefault="00EA4DD8" w:rsidP="004A27A8">
      <w:pPr>
        <w:pageBreakBefore/>
        <w:spacing w:before="240"/>
        <w:jc w:val="right"/>
        <w:rPr>
          <w:b/>
          <w:u w:val="single"/>
        </w:rPr>
      </w:pPr>
      <w:r w:rsidRPr="003C5719">
        <w:rPr>
          <w:b/>
          <w:u w:val="single"/>
        </w:rPr>
        <w:lastRenderedPageBreak/>
        <w:t xml:space="preserve">ATTACHMENT </w:t>
      </w:r>
      <w:r w:rsidR="0043534A">
        <w:rPr>
          <w:b/>
          <w:u w:val="single"/>
        </w:rPr>
        <w:t>A</w:t>
      </w:r>
    </w:p>
    <w:p w14:paraId="2B077FFA" w14:textId="2D40D3C5" w:rsidR="00EA4DD8" w:rsidRPr="003C5719" w:rsidRDefault="00EA4DD8" w:rsidP="004A27A8">
      <w:pPr>
        <w:spacing w:before="240"/>
        <w:rPr>
          <w:b/>
          <w:bCs/>
          <w:szCs w:val="24"/>
          <w:u w:val="single"/>
        </w:rPr>
      </w:pPr>
      <w:r w:rsidRPr="003C5719">
        <w:rPr>
          <w:b/>
          <w:bCs/>
          <w:u w:val="single"/>
        </w:rPr>
        <w:t xml:space="preserve">Details of the </w:t>
      </w:r>
      <w:r w:rsidR="00F65236">
        <w:rPr>
          <w:b/>
          <w:i/>
          <w:u w:val="single"/>
        </w:rPr>
        <w:t>Competition and Consumer (Consumer Data Right)</w:t>
      </w:r>
      <w:r w:rsidR="00F65236" w:rsidRPr="00753CC2">
        <w:rPr>
          <w:b/>
          <w:bCs/>
          <w:i/>
          <w:u w:val="single"/>
        </w:rPr>
        <w:t xml:space="preserve"> </w:t>
      </w:r>
      <w:r w:rsidR="00753CC2" w:rsidRPr="00D33FD3">
        <w:rPr>
          <w:b/>
          <w:bCs/>
          <w:i/>
          <w:iCs/>
          <w:color w:val="000000"/>
          <w:u w:val="single"/>
          <w:shd w:val="clear" w:color="auto" w:fill="FFFFFF"/>
        </w:rPr>
        <w:t xml:space="preserve">Amendment (2024 Measures No. </w:t>
      </w:r>
      <w:r w:rsidR="00F65236" w:rsidRPr="00D33FD3" w:rsidDel="00753CC2">
        <w:rPr>
          <w:b/>
          <w:i/>
          <w:color w:val="000000"/>
          <w:u w:val="single"/>
          <w:shd w:val="clear" w:color="auto" w:fill="FFFFFF"/>
        </w:rPr>
        <w:t>1) Rules 2024</w:t>
      </w:r>
      <w:r w:rsidR="00F65236" w:rsidRPr="00D33FD3">
        <w:rPr>
          <w:b/>
          <w:bCs/>
          <w:u w:val="single"/>
        </w:rPr>
        <w:t xml:space="preserve"> </w:t>
      </w:r>
    </w:p>
    <w:p w14:paraId="59C57681"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7602728" w14:textId="22512242" w:rsidR="00EA4DD8" w:rsidRPr="003C5719" w:rsidRDefault="00EA4DD8" w:rsidP="004A27A8">
      <w:pPr>
        <w:spacing w:before="240"/>
      </w:pPr>
      <w:r w:rsidRPr="003C5719">
        <w:t xml:space="preserve">This section provides that the name of the </w:t>
      </w:r>
      <w:r w:rsidR="0043534A">
        <w:t xml:space="preserve">instrument is the </w:t>
      </w:r>
      <w:r w:rsidR="00F65236">
        <w:rPr>
          <w:i/>
          <w:iCs/>
        </w:rPr>
        <w:t>Competition and Consumer (Consumer Data Right) Amendment (2024 Measures No. 1) Rules 2024</w:t>
      </w:r>
      <w:r w:rsidR="0043534A">
        <w:t xml:space="preserve"> (the Amending Rules).</w:t>
      </w:r>
    </w:p>
    <w:p w14:paraId="0ECAD96A" w14:textId="77777777" w:rsidR="00EA4DD8" w:rsidRPr="003C5719" w:rsidRDefault="00EA4DD8" w:rsidP="004A27A8">
      <w:pPr>
        <w:spacing w:before="240"/>
        <w:rPr>
          <w:u w:val="single"/>
        </w:rPr>
      </w:pPr>
      <w:r w:rsidRPr="003C5719">
        <w:rPr>
          <w:u w:val="single"/>
        </w:rPr>
        <w:t>Section 2 – Commencement</w:t>
      </w:r>
    </w:p>
    <w:p w14:paraId="17036D9C" w14:textId="35092674" w:rsidR="00EA4DD8" w:rsidRPr="003C5719" w:rsidRDefault="0043534A" w:rsidP="004A27A8">
      <w:pPr>
        <w:spacing w:before="240"/>
      </w:pPr>
      <w:r>
        <w:t xml:space="preserve">This section provides that the Amending Rules commence </w:t>
      </w:r>
      <w:r w:rsidR="00EA4DD8" w:rsidRPr="006F683C">
        <w:t>the day after the</w:t>
      </w:r>
      <w:r>
        <w:t>y are</w:t>
      </w:r>
      <w:r w:rsidR="00EA4DD8" w:rsidRPr="006F683C">
        <w:t xml:space="preserve"> registered </w:t>
      </w:r>
      <w:r w:rsidR="00EA4DD8" w:rsidRPr="003C5719">
        <w:t>on the Federal Register of Legislation.</w:t>
      </w:r>
    </w:p>
    <w:p w14:paraId="7990B2B0" w14:textId="77777777" w:rsidR="00EA4DD8" w:rsidRPr="003C5719" w:rsidRDefault="00EA4DD8" w:rsidP="004A27A8">
      <w:pPr>
        <w:spacing w:before="240"/>
        <w:rPr>
          <w:u w:val="single"/>
        </w:rPr>
      </w:pPr>
      <w:r w:rsidRPr="003C5719">
        <w:rPr>
          <w:u w:val="single"/>
        </w:rPr>
        <w:t>Section 3 – Authority</w:t>
      </w:r>
    </w:p>
    <w:p w14:paraId="3F2412E8" w14:textId="5F339C0E" w:rsidR="00EA4DD8" w:rsidRPr="003C5719" w:rsidRDefault="0006020F" w:rsidP="004A27A8">
      <w:pPr>
        <w:spacing w:before="240"/>
      </w:pPr>
      <w:r>
        <w:t xml:space="preserve">This section provides that the Amending Rules </w:t>
      </w:r>
      <w:r w:rsidR="00EA4DD8" w:rsidRPr="003C5719">
        <w:t xml:space="preserve">are made under </w:t>
      </w:r>
      <w:r>
        <w:rPr>
          <w:color w:val="000000"/>
          <w:szCs w:val="24"/>
        </w:rPr>
        <w:t xml:space="preserve">section 56BA of </w:t>
      </w:r>
      <w:r w:rsidRPr="001006D1">
        <w:rPr>
          <w:color w:val="000000"/>
          <w:szCs w:val="24"/>
        </w:rPr>
        <w:t>the </w:t>
      </w:r>
      <w:r w:rsidRPr="001006D1">
        <w:rPr>
          <w:i/>
          <w:iCs/>
          <w:color w:val="000000"/>
          <w:szCs w:val="24"/>
        </w:rPr>
        <w:t>Competition and Consumer Act 2010 </w:t>
      </w:r>
      <w:r w:rsidRPr="001006D1">
        <w:rPr>
          <w:color w:val="000000"/>
          <w:szCs w:val="24"/>
        </w:rPr>
        <w:t>(the Act).</w:t>
      </w:r>
    </w:p>
    <w:p w14:paraId="65F6299E" w14:textId="0EC2ED04" w:rsidR="00EA4DD8" w:rsidRPr="003C5719" w:rsidRDefault="00EA4DD8" w:rsidP="004A27A8">
      <w:pPr>
        <w:spacing w:before="240"/>
        <w:rPr>
          <w:u w:val="single"/>
        </w:rPr>
      </w:pPr>
      <w:r w:rsidRPr="003C5719">
        <w:rPr>
          <w:u w:val="single"/>
        </w:rPr>
        <w:t>Section 4 – Schedule</w:t>
      </w:r>
      <w:r w:rsidR="0006020F" w:rsidRPr="0006020F">
        <w:rPr>
          <w:u w:val="single"/>
        </w:rPr>
        <w:t>s</w:t>
      </w:r>
    </w:p>
    <w:p w14:paraId="2FA77C59" w14:textId="3BA08308" w:rsidR="00EA4DD8" w:rsidRDefault="00EA4DD8" w:rsidP="00466DD5">
      <w:pPr>
        <w:spacing w:before="240" w:after="200"/>
      </w:pPr>
      <w:r w:rsidRPr="003C5719">
        <w:t xml:space="preserve">This section provides that each instrument that is specified in </w:t>
      </w:r>
      <w:r w:rsidR="00753CC2">
        <w:t>a</w:t>
      </w:r>
      <w:r w:rsidR="00753CC2" w:rsidRPr="003C5719">
        <w:t xml:space="preserve"> </w:t>
      </w:r>
      <w:r w:rsidRPr="003C5719">
        <w:t xml:space="preserve">Schedule to this instrument </w:t>
      </w:r>
      <w:r w:rsidR="00753CC2">
        <w:t xml:space="preserve">is </w:t>
      </w:r>
      <w:r w:rsidRPr="003C5719">
        <w:t>amended or repealed as set out in the applicable items in the Schedule</w:t>
      </w:r>
      <w:r w:rsidR="00753CC2">
        <w:t xml:space="preserve"> concerned</w:t>
      </w:r>
      <w:r w:rsidRPr="003C5719">
        <w:t xml:space="preserve">, and any other item in </w:t>
      </w:r>
      <w:r w:rsidR="00753CC2">
        <w:t>a</w:t>
      </w:r>
      <w:r w:rsidR="00753CC2" w:rsidRPr="003C5719">
        <w:t xml:space="preserve"> </w:t>
      </w:r>
      <w:r w:rsidRPr="003C5719">
        <w:t>Schedule to this instrument has effect according to its terms.</w:t>
      </w:r>
    </w:p>
    <w:p w14:paraId="729C11D0" w14:textId="04DFFB1C" w:rsidR="000D6086" w:rsidRPr="00CB32E6" w:rsidRDefault="000D6086" w:rsidP="00466DD5">
      <w:pPr>
        <w:spacing w:before="240" w:after="200"/>
        <w:rPr>
          <w:u w:val="single"/>
        </w:rPr>
      </w:pPr>
      <w:r w:rsidRPr="00CB32E6">
        <w:rPr>
          <w:u w:val="single"/>
        </w:rPr>
        <w:t>Schedule 1 – Amendments</w:t>
      </w:r>
    </w:p>
    <w:p w14:paraId="39EBB714" w14:textId="02F23C29" w:rsidR="008B6BCF" w:rsidRDefault="002B3BE2" w:rsidP="00466DD5">
      <w:pPr>
        <w:spacing w:before="240" w:after="200"/>
        <w:rPr>
          <w:b/>
          <w:bCs/>
        </w:rPr>
      </w:pPr>
      <w:r>
        <w:rPr>
          <w:b/>
          <w:bCs/>
        </w:rPr>
        <w:t>Amendment</w:t>
      </w:r>
      <w:r w:rsidR="004C46AC">
        <w:rPr>
          <w:b/>
          <w:bCs/>
        </w:rPr>
        <w:t xml:space="preserve">s relating to </w:t>
      </w:r>
      <w:proofErr w:type="gramStart"/>
      <w:r w:rsidR="004C46AC">
        <w:rPr>
          <w:b/>
          <w:bCs/>
        </w:rPr>
        <w:t>consent</w:t>
      </w:r>
      <w:proofErr w:type="gramEnd"/>
    </w:p>
    <w:p w14:paraId="0747D35D" w14:textId="20FC89DE" w:rsidR="0006020F" w:rsidRDefault="00AA145D" w:rsidP="00466DD5">
      <w:pPr>
        <w:spacing w:before="240" w:after="200"/>
        <w:rPr>
          <w:i/>
          <w:iCs/>
        </w:rPr>
      </w:pPr>
      <w:r>
        <w:rPr>
          <w:i/>
          <w:iCs/>
        </w:rPr>
        <w:t xml:space="preserve">Consent </w:t>
      </w:r>
      <w:proofErr w:type="gramStart"/>
      <w:r>
        <w:rPr>
          <w:i/>
          <w:iCs/>
        </w:rPr>
        <w:t>bundling</w:t>
      </w:r>
      <w:proofErr w:type="gramEnd"/>
    </w:p>
    <w:p w14:paraId="42EED296" w14:textId="35B42F67" w:rsidR="00FF0655" w:rsidRDefault="00C060D4" w:rsidP="00AB45EC">
      <w:pPr>
        <w:pStyle w:val="OutlineNumbered1"/>
      </w:pPr>
      <w:r>
        <w:t xml:space="preserve">The Amending Rules </w:t>
      </w:r>
      <w:r w:rsidR="001A513D">
        <w:t>provide</w:t>
      </w:r>
      <w:r w:rsidR="00FF0655">
        <w:t xml:space="preserve"> that</w:t>
      </w:r>
      <w:r w:rsidR="001A513D">
        <w:t xml:space="preserve"> accredited persons and CDR representatives</w:t>
      </w:r>
      <w:r w:rsidR="00FF0655">
        <w:t xml:space="preserve">: </w:t>
      </w:r>
    </w:p>
    <w:p w14:paraId="055E5A16" w14:textId="4D1F05AE" w:rsidR="00FF0655" w:rsidRDefault="00F64A7C" w:rsidP="00FF0655">
      <w:pPr>
        <w:pStyle w:val="Bullet"/>
        <w:ind w:firstLine="0"/>
      </w:pPr>
      <w:r>
        <w:t xml:space="preserve">may include </w:t>
      </w:r>
      <w:r w:rsidR="001A513D">
        <w:t xml:space="preserve">together </w:t>
      </w:r>
      <w:r>
        <w:t xml:space="preserve">(‘bundle’) </w:t>
      </w:r>
      <w:r w:rsidR="00FF0655">
        <w:t>collection, use and disclosure consents under the CDR Rules in a single request, and in such a way that the consumer can agree to all consents with a single action; but</w:t>
      </w:r>
    </w:p>
    <w:p w14:paraId="7D3B1BDB" w14:textId="2A7C2757" w:rsidR="00C5554F" w:rsidRDefault="00F64A7C" w:rsidP="00FF0655">
      <w:pPr>
        <w:pStyle w:val="Bullet"/>
        <w:ind w:firstLine="0"/>
      </w:pPr>
      <w:r>
        <w:t xml:space="preserve">must </w:t>
      </w:r>
      <w:r w:rsidRPr="00F64A7C">
        <w:rPr>
          <w:i/>
          <w:iCs/>
        </w:rPr>
        <w:t>not</w:t>
      </w:r>
      <w:r w:rsidR="00EB3CEC">
        <w:t xml:space="preserve"> </w:t>
      </w:r>
      <w:r w:rsidR="00C5554F">
        <w:t xml:space="preserve">bundle </w:t>
      </w:r>
      <w:r w:rsidR="00EB3CEC">
        <w:t xml:space="preserve">direct marketing or de-identification consents, or any type of consent </w:t>
      </w:r>
      <w:r w:rsidR="00C060D4">
        <w:t>t</w:t>
      </w:r>
      <w:r w:rsidR="00EB3CEC">
        <w:t xml:space="preserve">hat is not within the CDR </w:t>
      </w:r>
      <w:r w:rsidR="0068571A">
        <w:t>R</w:t>
      </w:r>
      <w:r w:rsidR="00EB3CEC">
        <w:t>ules,</w:t>
      </w:r>
      <w:r w:rsidR="00567501">
        <w:t xml:space="preserve"> w</w:t>
      </w:r>
      <w:r w:rsidR="00C060D4">
        <w:t>ith a request for</w:t>
      </w:r>
      <w:r w:rsidR="00567501">
        <w:t xml:space="preserve"> a </w:t>
      </w:r>
      <w:r w:rsidR="00955D78">
        <w:t xml:space="preserve">CDR </w:t>
      </w:r>
      <w:r w:rsidR="00567501">
        <w:t xml:space="preserve">consumer’s collection, use or disclosure </w:t>
      </w:r>
      <w:r>
        <w:t>consent under the CDR Rules.</w:t>
      </w:r>
      <w:r w:rsidR="00B21252">
        <w:t xml:space="preserve"> </w:t>
      </w:r>
      <w:r w:rsidR="00176830">
        <w:t xml:space="preserve">                                         </w:t>
      </w:r>
      <w:r w:rsidR="00D00C6A" w:rsidRPr="00CB32E6">
        <w:rPr>
          <w:b/>
          <w:bCs/>
          <w:i/>
          <w:iCs/>
          <w:sz w:val="20"/>
        </w:rPr>
        <w:t>[</w:t>
      </w:r>
      <w:r w:rsidR="00054190" w:rsidRPr="00CB32E6">
        <w:rPr>
          <w:b/>
          <w:bCs/>
          <w:i/>
          <w:iCs/>
          <w:sz w:val="20"/>
        </w:rPr>
        <w:t>Schedule 1, item</w:t>
      </w:r>
      <w:r w:rsidR="006E7B40" w:rsidRPr="00CB32E6">
        <w:rPr>
          <w:b/>
          <w:bCs/>
          <w:i/>
          <w:iCs/>
          <w:sz w:val="20"/>
        </w:rPr>
        <w:t>s</w:t>
      </w:r>
      <w:r w:rsidR="00054190" w:rsidRPr="00CB32E6">
        <w:rPr>
          <w:b/>
          <w:bCs/>
          <w:i/>
          <w:iCs/>
          <w:sz w:val="20"/>
        </w:rPr>
        <w:t xml:space="preserve"> </w:t>
      </w:r>
      <w:r w:rsidR="00227218">
        <w:rPr>
          <w:b/>
          <w:bCs/>
          <w:i/>
          <w:iCs/>
          <w:sz w:val="20"/>
        </w:rPr>
        <w:t>53</w:t>
      </w:r>
      <w:r w:rsidR="006E7B40" w:rsidRPr="00CB32E6">
        <w:rPr>
          <w:b/>
          <w:bCs/>
          <w:i/>
          <w:iCs/>
          <w:sz w:val="20"/>
        </w:rPr>
        <w:t xml:space="preserve"> and </w:t>
      </w:r>
      <w:r w:rsidR="00227218">
        <w:rPr>
          <w:b/>
          <w:bCs/>
          <w:i/>
          <w:iCs/>
          <w:sz w:val="20"/>
        </w:rPr>
        <w:t>77</w:t>
      </w:r>
      <w:r w:rsidR="00054190" w:rsidRPr="00CB32E6">
        <w:rPr>
          <w:b/>
          <w:bCs/>
          <w:i/>
          <w:iCs/>
          <w:sz w:val="20"/>
        </w:rPr>
        <w:t>, rule</w:t>
      </w:r>
      <w:r w:rsidR="006E7B40" w:rsidRPr="00CB32E6">
        <w:rPr>
          <w:b/>
          <w:bCs/>
          <w:i/>
          <w:iCs/>
          <w:sz w:val="20"/>
        </w:rPr>
        <w:t>s</w:t>
      </w:r>
      <w:r w:rsidR="00054190" w:rsidRPr="00CB32E6">
        <w:rPr>
          <w:b/>
          <w:bCs/>
          <w:i/>
          <w:iCs/>
          <w:sz w:val="20"/>
        </w:rPr>
        <w:t xml:space="preserve"> 4.10</w:t>
      </w:r>
      <w:r w:rsidR="006E7B40" w:rsidRPr="00CB32E6">
        <w:rPr>
          <w:b/>
          <w:bCs/>
          <w:i/>
          <w:iCs/>
          <w:sz w:val="20"/>
        </w:rPr>
        <w:t xml:space="preserve"> and 4.20D</w:t>
      </w:r>
      <w:r w:rsidR="00D00C6A" w:rsidRPr="00CB32E6">
        <w:rPr>
          <w:b/>
          <w:bCs/>
          <w:i/>
          <w:iCs/>
          <w:sz w:val="20"/>
        </w:rPr>
        <w:t>]</w:t>
      </w:r>
    </w:p>
    <w:p w14:paraId="6F7B31A9" w14:textId="6B682F8A" w:rsidR="00C54AEB" w:rsidRDefault="00E06646" w:rsidP="00AA145D">
      <w:pPr>
        <w:pStyle w:val="OutlineNumbered1"/>
      </w:pPr>
      <w:r>
        <w:t>Th</w:t>
      </w:r>
      <w:r w:rsidR="0068571A">
        <w:t>ese provisions</w:t>
      </w:r>
      <w:r w:rsidR="00054190">
        <w:t xml:space="preserve"> </w:t>
      </w:r>
      <w:r>
        <w:t xml:space="preserve">as amended, combined with the </w:t>
      </w:r>
      <w:r w:rsidR="00C21702">
        <w:t>existing obligation</w:t>
      </w:r>
      <w:r w:rsidR="0062763A">
        <w:t>s</w:t>
      </w:r>
      <w:r w:rsidR="00C21702">
        <w:t xml:space="preserve"> on an</w:t>
      </w:r>
      <w:r w:rsidR="000049CD">
        <w:t xml:space="preserve"> accredited person or CDR representative </w:t>
      </w:r>
      <w:r w:rsidR="004B02CE">
        <w:t>under the data minimisation principle in rule 1.8</w:t>
      </w:r>
      <w:r w:rsidR="004B32D0">
        <w:t xml:space="preserve">, mean that </w:t>
      </w:r>
      <w:r>
        <w:t>e</w:t>
      </w:r>
      <w:r w:rsidR="00675CBB">
        <w:t xml:space="preserve">ach </w:t>
      </w:r>
      <w:r>
        <w:t xml:space="preserve">bundled </w:t>
      </w:r>
      <w:r w:rsidR="004B02CE">
        <w:t xml:space="preserve">collection, use and disclosure </w:t>
      </w:r>
      <w:r w:rsidR="00675CBB">
        <w:t xml:space="preserve">consent </w:t>
      </w:r>
      <w:r w:rsidR="004B32D0">
        <w:t>will still need to</w:t>
      </w:r>
      <w:r w:rsidR="000049CD">
        <w:t xml:space="preserve"> </w:t>
      </w:r>
      <w:r w:rsidR="00675CBB">
        <w:t xml:space="preserve">be separately identified </w:t>
      </w:r>
      <w:r w:rsidR="000049CD">
        <w:t>in the request</w:t>
      </w:r>
      <w:r w:rsidR="00992F59">
        <w:t>, each retains its identity as a collection, use or disclosure consent (bundled consents do not become a different type of consent),</w:t>
      </w:r>
      <w:r w:rsidR="004B02CE">
        <w:t xml:space="preserve"> and only consents that are reasonably needed to provide the </w:t>
      </w:r>
      <w:r w:rsidR="00992F59">
        <w:t xml:space="preserve">particular good or service the </w:t>
      </w:r>
      <w:r w:rsidR="004B02CE">
        <w:t>CDR consumer</w:t>
      </w:r>
      <w:r w:rsidR="00992F59">
        <w:t xml:space="preserve"> has</w:t>
      </w:r>
      <w:r w:rsidR="004B02CE">
        <w:t xml:space="preserve"> requested can be bundled</w:t>
      </w:r>
      <w:r w:rsidR="003C447C">
        <w:t xml:space="preserve"> together</w:t>
      </w:r>
      <w:r w:rsidR="00C21702">
        <w:t xml:space="preserve">. </w:t>
      </w:r>
    </w:p>
    <w:p w14:paraId="79B75B0E" w14:textId="76B226CC" w:rsidR="00DB127E" w:rsidRDefault="00DB127E" w:rsidP="00AA145D">
      <w:pPr>
        <w:pStyle w:val="OutlineNumbered1"/>
      </w:pPr>
      <w:r>
        <w:lastRenderedPageBreak/>
        <w:t xml:space="preserve">The Amending Rules also clarify that collection and use consents </w:t>
      </w:r>
      <w:r w:rsidR="007C733F">
        <w:t xml:space="preserve">for CDR data </w:t>
      </w:r>
      <w:r>
        <w:t xml:space="preserve">are </w:t>
      </w:r>
      <w:r w:rsidRPr="00D57799">
        <w:rPr>
          <w:i/>
        </w:rPr>
        <w:t>not</w:t>
      </w:r>
      <w:r>
        <w:t xml:space="preserve"> required to be given </w:t>
      </w:r>
      <w:r w:rsidRPr="00D57799">
        <w:t>before</w:t>
      </w:r>
      <w:r>
        <w:t xml:space="preserve"> a disclosure consent </w:t>
      </w:r>
      <w:r w:rsidR="007C733F">
        <w:t>in relation to the data can be requested</w:t>
      </w:r>
      <w:r w:rsidR="00D57799">
        <w:t>. R</w:t>
      </w:r>
      <w:r w:rsidR="0093701B">
        <w:t>ather, a</w:t>
      </w:r>
      <w:r w:rsidR="00D57799">
        <w:t>n accredited person or CDR representative can request</w:t>
      </w:r>
      <w:r w:rsidR="0093701B">
        <w:t xml:space="preserve"> a collection, use and disclosure consent relating to CDR data </w:t>
      </w:r>
      <w:r w:rsidR="007C733F">
        <w:t xml:space="preserve">at the same time. </w:t>
      </w:r>
      <w:r w:rsidR="007C733F" w:rsidRPr="00CB32E6">
        <w:rPr>
          <w:b/>
          <w:bCs/>
          <w:i/>
          <w:iCs/>
          <w:sz w:val="20"/>
        </w:rPr>
        <w:t xml:space="preserve">[Schedule 1, items </w:t>
      </w:r>
      <w:r w:rsidR="00227218">
        <w:rPr>
          <w:b/>
          <w:bCs/>
          <w:i/>
          <w:iCs/>
          <w:sz w:val="20"/>
        </w:rPr>
        <w:t>45 to 48</w:t>
      </w:r>
      <w:r w:rsidR="007C733F" w:rsidRPr="00CB32E6">
        <w:rPr>
          <w:b/>
          <w:bCs/>
          <w:i/>
          <w:iCs/>
          <w:sz w:val="20"/>
        </w:rPr>
        <w:t xml:space="preserve">, </w:t>
      </w:r>
      <w:r w:rsidR="00674DC8">
        <w:rPr>
          <w:b/>
          <w:bCs/>
          <w:i/>
          <w:iCs/>
          <w:sz w:val="20"/>
        </w:rPr>
        <w:t xml:space="preserve">rule 4.2 and </w:t>
      </w:r>
      <w:r w:rsidR="007C733F" w:rsidRPr="00CB32E6">
        <w:rPr>
          <w:b/>
          <w:bCs/>
          <w:i/>
          <w:iCs/>
          <w:sz w:val="20"/>
        </w:rPr>
        <w:t>subrules 4.</w:t>
      </w:r>
      <w:r w:rsidR="00674DC8">
        <w:rPr>
          <w:b/>
          <w:bCs/>
          <w:i/>
          <w:iCs/>
          <w:sz w:val="20"/>
        </w:rPr>
        <w:t>3</w:t>
      </w:r>
      <w:r w:rsidR="007C733F" w:rsidRPr="00CB32E6">
        <w:rPr>
          <w:b/>
          <w:bCs/>
          <w:i/>
          <w:iCs/>
          <w:sz w:val="20"/>
        </w:rPr>
        <w:t>(2</w:t>
      </w:r>
      <w:r w:rsidR="00674DC8">
        <w:rPr>
          <w:b/>
          <w:bCs/>
          <w:i/>
          <w:iCs/>
          <w:sz w:val="20"/>
        </w:rPr>
        <w:t>A</w:t>
      </w:r>
      <w:r w:rsidR="007C733F" w:rsidRPr="00CB32E6">
        <w:rPr>
          <w:b/>
          <w:bCs/>
          <w:i/>
          <w:iCs/>
          <w:sz w:val="20"/>
        </w:rPr>
        <w:t>)</w:t>
      </w:r>
      <w:r w:rsidR="00674DC8">
        <w:rPr>
          <w:b/>
          <w:bCs/>
          <w:i/>
          <w:iCs/>
          <w:sz w:val="20"/>
        </w:rPr>
        <w:t xml:space="preserve"> and 4.3A(3</w:t>
      </w:r>
      <w:r w:rsidR="007C733F" w:rsidRPr="00CB32E6">
        <w:rPr>
          <w:b/>
          <w:bCs/>
          <w:i/>
          <w:iCs/>
          <w:sz w:val="20"/>
        </w:rPr>
        <w:t>)]</w:t>
      </w:r>
    </w:p>
    <w:p w14:paraId="10013C80" w14:textId="67EA2097" w:rsidR="007715E3" w:rsidRPr="007715E3" w:rsidRDefault="007715E3" w:rsidP="007715E3">
      <w:pPr>
        <w:pStyle w:val="OutlineNumbered1"/>
        <w:numPr>
          <w:ilvl w:val="0"/>
          <w:numId w:val="0"/>
        </w:numPr>
        <w:ind w:left="567" w:hanging="567"/>
        <w:rPr>
          <w:i/>
          <w:iCs/>
        </w:rPr>
      </w:pPr>
      <w:r>
        <w:rPr>
          <w:i/>
          <w:iCs/>
        </w:rPr>
        <w:t>Pre-selecting consent elements</w:t>
      </w:r>
    </w:p>
    <w:p w14:paraId="54A14BA2" w14:textId="23E7767C" w:rsidR="00E13FF8" w:rsidRDefault="00BB4EB4" w:rsidP="00E13FF8">
      <w:pPr>
        <w:pStyle w:val="OutlineNumbered1"/>
      </w:pPr>
      <w:r>
        <w:t>R</w:t>
      </w:r>
      <w:r w:rsidR="00631A60">
        <w:t>ules setting out</w:t>
      </w:r>
      <w:r>
        <w:t xml:space="preserve"> how accredited persons and CDR representatives seek </w:t>
      </w:r>
      <w:r w:rsidR="00955D78">
        <w:t xml:space="preserve">CDR </w:t>
      </w:r>
      <w:r w:rsidR="00631A60">
        <w:t>consumers’ consent to</w:t>
      </w:r>
      <w:r w:rsidR="00E13FF8">
        <w:t>:</w:t>
      </w:r>
    </w:p>
    <w:p w14:paraId="7163694B" w14:textId="69AAB506" w:rsidR="00E13FF8" w:rsidRDefault="008A1CAC" w:rsidP="00445D37">
      <w:pPr>
        <w:pStyle w:val="Dash"/>
        <w:spacing w:before="0"/>
      </w:pPr>
      <w:r>
        <w:t>the types of data a collection or disclosure consent applies to</w:t>
      </w:r>
      <w:r w:rsidR="00E13FF8">
        <w:t>;</w:t>
      </w:r>
    </w:p>
    <w:p w14:paraId="2AC00B1E" w14:textId="54EF860A" w:rsidR="00E13FF8" w:rsidRDefault="008A1CAC" w:rsidP="00445D37">
      <w:pPr>
        <w:pStyle w:val="Dash"/>
        <w:spacing w:before="0"/>
      </w:pPr>
      <w:r>
        <w:t>who the data may be disclosed to</w:t>
      </w:r>
      <w:r w:rsidR="00E13FF8">
        <w:t>;</w:t>
      </w:r>
    </w:p>
    <w:p w14:paraId="31811965" w14:textId="104A417A" w:rsidR="002963B6" w:rsidRDefault="008A1CAC" w:rsidP="00445D37">
      <w:pPr>
        <w:pStyle w:val="Dash"/>
        <w:spacing w:before="0"/>
      </w:pPr>
      <w:r>
        <w:t>the specific uses for the collected data</w:t>
      </w:r>
      <w:r w:rsidR="00E13FF8">
        <w:t>;</w:t>
      </w:r>
      <w:r>
        <w:t xml:space="preserve"> and </w:t>
      </w:r>
    </w:p>
    <w:p w14:paraId="1795E1B1" w14:textId="01B946BF" w:rsidR="008F6CF9" w:rsidRDefault="008A1CAC" w:rsidP="00445D37">
      <w:pPr>
        <w:pStyle w:val="Dash"/>
        <w:spacing w:before="0"/>
      </w:pPr>
      <w:r>
        <w:t>the period of the consent</w:t>
      </w:r>
      <w:r w:rsidR="000D42C5">
        <w:t>;</w:t>
      </w:r>
    </w:p>
    <w:p w14:paraId="3E4AE6A2" w14:textId="501DA8C6" w:rsidR="008F0057" w:rsidRDefault="008F6CF9" w:rsidP="008F0057">
      <w:pPr>
        <w:pStyle w:val="Bullet"/>
        <w:numPr>
          <w:ilvl w:val="0"/>
          <w:numId w:val="0"/>
        </w:numPr>
        <w:ind w:left="567"/>
      </w:pPr>
      <w:r>
        <w:t xml:space="preserve">are amended </w:t>
      </w:r>
      <w:r w:rsidR="000D42C5">
        <w:t>to permit</w:t>
      </w:r>
      <w:r>
        <w:t xml:space="preserve"> an accredited person or CDR representative</w:t>
      </w:r>
      <w:r w:rsidR="00481BAF">
        <w:t>, when requesting the consumer’s consent,</w:t>
      </w:r>
      <w:r>
        <w:t xml:space="preserve"> </w:t>
      </w:r>
      <w:r w:rsidR="000D42C5">
        <w:t xml:space="preserve">to </w:t>
      </w:r>
      <w:r>
        <w:t>either</w:t>
      </w:r>
      <w:r w:rsidR="008F0057">
        <w:t>:</w:t>
      </w:r>
    </w:p>
    <w:p w14:paraId="1D7634CC" w14:textId="22843029" w:rsidR="008F0057" w:rsidRDefault="008F6CF9" w:rsidP="006467C7">
      <w:pPr>
        <w:pStyle w:val="Dash"/>
        <w:spacing w:before="0"/>
      </w:pPr>
      <w:r>
        <w:t xml:space="preserve">allow the CDR consumer to actively select or otherwise clearly indicate </w:t>
      </w:r>
      <w:r w:rsidR="00481BAF">
        <w:t>each of the above consent elements</w:t>
      </w:r>
      <w:r w:rsidR="008F0057">
        <w:t>; or</w:t>
      </w:r>
    </w:p>
    <w:p w14:paraId="6A2079B0" w14:textId="79DA4794" w:rsidR="00481BAF" w:rsidRDefault="00481BAF" w:rsidP="006467C7">
      <w:pPr>
        <w:pStyle w:val="Dash"/>
        <w:spacing w:before="0"/>
      </w:pPr>
      <w:r>
        <w:t>present the consumer with each element already selected, and seek the consumer’s agreement to all the elements so presented.</w:t>
      </w:r>
      <w:r w:rsidR="008F0057">
        <w:t xml:space="preserve"> </w:t>
      </w:r>
      <w:r>
        <w:t>In th</w:t>
      </w:r>
      <w:r w:rsidR="008F0057">
        <w:t>is c</w:t>
      </w:r>
      <w:r>
        <w:t xml:space="preserve">ase, the consumer </w:t>
      </w:r>
      <w:r w:rsidR="008F0057">
        <w:t>is only able to either agree to proceed with all the consent elements as presented, or to not proceed with the entire request for the good or service.</w:t>
      </w:r>
    </w:p>
    <w:p w14:paraId="7068565E" w14:textId="505DD5DB" w:rsidR="007715E3" w:rsidRPr="00CB32E6" w:rsidRDefault="00D00C6A" w:rsidP="00445D37">
      <w:pPr>
        <w:pStyle w:val="Dash"/>
        <w:numPr>
          <w:ilvl w:val="0"/>
          <w:numId w:val="0"/>
        </w:numPr>
        <w:spacing w:before="0"/>
        <w:ind w:left="567"/>
        <w:rPr>
          <w:sz w:val="20"/>
          <w:szCs w:val="20"/>
        </w:rPr>
      </w:pPr>
      <w:r w:rsidRPr="00CB32E6">
        <w:rPr>
          <w:b/>
          <w:bCs/>
          <w:i/>
          <w:iCs/>
          <w:sz w:val="20"/>
          <w:szCs w:val="20"/>
        </w:rPr>
        <w:t>[</w:t>
      </w:r>
      <w:r w:rsidR="00C20E36" w:rsidRPr="00CB32E6">
        <w:rPr>
          <w:b/>
          <w:bCs/>
          <w:i/>
          <w:iCs/>
          <w:sz w:val="20"/>
          <w:szCs w:val="20"/>
        </w:rPr>
        <w:t>Schedule 1, items</w:t>
      </w:r>
      <w:r w:rsidR="00227218">
        <w:rPr>
          <w:b/>
          <w:bCs/>
          <w:i/>
          <w:iCs/>
          <w:sz w:val="20"/>
          <w:szCs w:val="20"/>
        </w:rPr>
        <w:t xml:space="preserve"> </w:t>
      </w:r>
      <w:r w:rsidR="004D10A2">
        <w:rPr>
          <w:b/>
          <w:bCs/>
          <w:i/>
          <w:iCs/>
          <w:sz w:val="20"/>
          <w:szCs w:val="20"/>
        </w:rPr>
        <w:t>54 to 5</w:t>
      </w:r>
      <w:r w:rsidR="000F4333">
        <w:rPr>
          <w:b/>
          <w:bCs/>
          <w:i/>
          <w:iCs/>
          <w:sz w:val="20"/>
          <w:szCs w:val="20"/>
        </w:rPr>
        <w:t>7</w:t>
      </w:r>
      <w:r w:rsidR="000D4C53">
        <w:rPr>
          <w:b/>
          <w:bCs/>
          <w:i/>
          <w:iCs/>
          <w:sz w:val="20"/>
          <w:szCs w:val="20"/>
        </w:rPr>
        <w:t>, 67,</w:t>
      </w:r>
      <w:r w:rsidR="00D824B2">
        <w:rPr>
          <w:b/>
          <w:bCs/>
          <w:i/>
          <w:iCs/>
          <w:sz w:val="20"/>
          <w:szCs w:val="20"/>
        </w:rPr>
        <w:t xml:space="preserve"> </w:t>
      </w:r>
      <w:r w:rsidR="004D10A2">
        <w:rPr>
          <w:b/>
          <w:bCs/>
          <w:i/>
          <w:iCs/>
          <w:sz w:val="20"/>
          <w:szCs w:val="20"/>
        </w:rPr>
        <w:t>78 to 81</w:t>
      </w:r>
      <w:r w:rsidR="008603FF">
        <w:rPr>
          <w:b/>
          <w:bCs/>
          <w:i/>
          <w:iCs/>
          <w:sz w:val="20"/>
          <w:szCs w:val="20"/>
        </w:rPr>
        <w:t xml:space="preserve"> and</w:t>
      </w:r>
      <w:r w:rsidR="000D4C53">
        <w:rPr>
          <w:b/>
          <w:bCs/>
          <w:i/>
          <w:iCs/>
          <w:sz w:val="20"/>
          <w:szCs w:val="20"/>
        </w:rPr>
        <w:t xml:space="preserve"> 91</w:t>
      </w:r>
      <w:r w:rsidR="004D10A2">
        <w:rPr>
          <w:b/>
          <w:bCs/>
          <w:i/>
          <w:iCs/>
          <w:sz w:val="20"/>
          <w:szCs w:val="20"/>
        </w:rPr>
        <w:t>, subrules 4.11(1)</w:t>
      </w:r>
      <w:r w:rsidR="000D4C53">
        <w:rPr>
          <w:b/>
          <w:bCs/>
          <w:i/>
          <w:iCs/>
          <w:sz w:val="20"/>
          <w:szCs w:val="20"/>
        </w:rPr>
        <w:t xml:space="preserve">, 4.12C(2), </w:t>
      </w:r>
      <w:r w:rsidR="004D10A2">
        <w:rPr>
          <w:b/>
          <w:bCs/>
          <w:i/>
          <w:iCs/>
          <w:sz w:val="20"/>
          <w:szCs w:val="20"/>
        </w:rPr>
        <w:t>4.20E(1)</w:t>
      </w:r>
      <w:r w:rsidR="008603FF">
        <w:rPr>
          <w:b/>
          <w:bCs/>
          <w:i/>
          <w:iCs/>
          <w:sz w:val="20"/>
          <w:szCs w:val="20"/>
        </w:rPr>
        <w:t xml:space="preserve"> and 4.20I(2</w:t>
      </w:r>
      <w:r w:rsidR="004D10A2">
        <w:rPr>
          <w:b/>
          <w:bCs/>
          <w:i/>
          <w:iCs/>
          <w:sz w:val="20"/>
          <w:szCs w:val="20"/>
        </w:rPr>
        <w:t>)</w:t>
      </w:r>
      <w:r w:rsidRPr="00CB32E6">
        <w:rPr>
          <w:b/>
          <w:bCs/>
          <w:i/>
          <w:iCs/>
          <w:sz w:val="20"/>
          <w:szCs w:val="20"/>
        </w:rPr>
        <w:t>]</w:t>
      </w:r>
    </w:p>
    <w:p w14:paraId="6CC4533A" w14:textId="3B17543A" w:rsidR="00F174FF" w:rsidRPr="00BE2E82" w:rsidRDefault="004C2158" w:rsidP="00AE7AFF">
      <w:pPr>
        <w:pStyle w:val="OutlineNumbered1"/>
        <w:rPr>
          <w:szCs w:val="24"/>
        </w:rPr>
      </w:pPr>
      <w:r>
        <w:t>D</w:t>
      </w:r>
      <w:r w:rsidR="00F174FF">
        <w:t xml:space="preserve">irect marketing and de-identification consents </w:t>
      </w:r>
      <w:r>
        <w:t xml:space="preserve">are not able to be </w:t>
      </w:r>
      <w:r w:rsidR="008B6921">
        <w:t>presented as pre</w:t>
      </w:r>
      <w:r w:rsidR="00C822A6">
        <w:noBreakHyphen/>
      </w:r>
      <w:r w:rsidR="008B6921">
        <w:t xml:space="preserve">selected </w:t>
      </w:r>
      <w:r>
        <w:t xml:space="preserve">consent </w:t>
      </w:r>
      <w:r w:rsidR="002D0F62">
        <w:t xml:space="preserve">options </w:t>
      </w:r>
      <w:r>
        <w:t>under the above provisions</w:t>
      </w:r>
      <w:r w:rsidR="008B6921">
        <w:t>.</w:t>
      </w:r>
      <w:r w:rsidR="00AE7AFF">
        <w:t xml:space="preserve"> </w:t>
      </w:r>
      <w:r w:rsidR="00EA77F3">
        <w:t xml:space="preserve">                                              </w:t>
      </w:r>
      <w:r w:rsidR="00D00C6A" w:rsidRPr="00CB32E6">
        <w:rPr>
          <w:b/>
          <w:bCs/>
          <w:i/>
          <w:iCs/>
          <w:sz w:val="20"/>
        </w:rPr>
        <w:t>[</w:t>
      </w:r>
      <w:r w:rsidR="009148F3" w:rsidRPr="00CB32E6">
        <w:rPr>
          <w:b/>
          <w:bCs/>
          <w:i/>
          <w:iCs/>
          <w:sz w:val="20"/>
        </w:rPr>
        <w:t>Schedule 1, item</w:t>
      </w:r>
      <w:r w:rsidR="003035CE" w:rsidRPr="00CB32E6">
        <w:rPr>
          <w:b/>
          <w:bCs/>
          <w:i/>
          <w:iCs/>
          <w:sz w:val="20"/>
        </w:rPr>
        <w:t>s</w:t>
      </w:r>
      <w:r w:rsidR="009148F3" w:rsidRPr="00CB32E6">
        <w:rPr>
          <w:b/>
          <w:bCs/>
          <w:i/>
          <w:iCs/>
          <w:sz w:val="20"/>
        </w:rPr>
        <w:t xml:space="preserve"> </w:t>
      </w:r>
      <w:r w:rsidR="000F4333">
        <w:rPr>
          <w:b/>
          <w:bCs/>
          <w:i/>
          <w:iCs/>
          <w:sz w:val="20"/>
        </w:rPr>
        <w:t>58</w:t>
      </w:r>
      <w:r w:rsidR="00F875FB" w:rsidRPr="00CB32E6">
        <w:rPr>
          <w:b/>
          <w:bCs/>
          <w:i/>
          <w:iCs/>
          <w:sz w:val="20"/>
        </w:rPr>
        <w:t xml:space="preserve"> </w:t>
      </w:r>
      <w:r w:rsidR="003035CE" w:rsidRPr="00CB32E6">
        <w:rPr>
          <w:b/>
          <w:bCs/>
          <w:i/>
          <w:iCs/>
          <w:sz w:val="20"/>
        </w:rPr>
        <w:t xml:space="preserve">and </w:t>
      </w:r>
      <w:r w:rsidR="00D3296D">
        <w:rPr>
          <w:b/>
          <w:bCs/>
          <w:i/>
          <w:iCs/>
          <w:sz w:val="20"/>
        </w:rPr>
        <w:t>83</w:t>
      </w:r>
      <w:r w:rsidR="009148F3" w:rsidRPr="00CB32E6">
        <w:rPr>
          <w:b/>
          <w:bCs/>
          <w:i/>
          <w:iCs/>
          <w:sz w:val="20"/>
        </w:rPr>
        <w:t>, subrule</w:t>
      </w:r>
      <w:r w:rsidR="003035CE" w:rsidRPr="00CB32E6">
        <w:rPr>
          <w:b/>
          <w:bCs/>
          <w:i/>
          <w:iCs/>
          <w:sz w:val="20"/>
        </w:rPr>
        <w:t>s</w:t>
      </w:r>
      <w:r w:rsidR="00C8618A" w:rsidRPr="00CB32E6">
        <w:rPr>
          <w:b/>
          <w:bCs/>
          <w:i/>
          <w:iCs/>
          <w:sz w:val="20"/>
        </w:rPr>
        <w:t> </w:t>
      </w:r>
      <w:r w:rsidR="009148F3" w:rsidRPr="00CB32E6">
        <w:rPr>
          <w:b/>
          <w:bCs/>
          <w:i/>
          <w:iCs/>
          <w:sz w:val="20"/>
        </w:rPr>
        <w:t>4.11(2)</w:t>
      </w:r>
      <w:r w:rsidR="000F4333">
        <w:rPr>
          <w:b/>
          <w:bCs/>
          <w:i/>
          <w:iCs/>
          <w:sz w:val="20"/>
        </w:rPr>
        <w:t xml:space="preserve"> and</w:t>
      </w:r>
      <w:r w:rsidR="00090EF8" w:rsidRPr="00CB32E6">
        <w:rPr>
          <w:b/>
          <w:bCs/>
          <w:i/>
          <w:iCs/>
          <w:sz w:val="20"/>
        </w:rPr>
        <w:t xml:space="preserve"> </w:t>
      </w:r>
      <w:r w:rsidR="003035CE" w:rsidRPr="00CB32E6">
        <w:rPr>
          <w:b/>
          <w:bCs/>
          <w:i/>
          <w:iCs/>
          <w:sz w:val="20"/>
        </w:rPr>
        <w:t>4.20E(2</w:t>
      </w:r>
      <w:r w:rsidR="009148F3" w:rsidRPr="00CB32E6">
        <w:rPr>
          <w:b/>
          <w:bCs/>
          <w:i/>
          <w:iCs/>
          <w:sz w:val="20"/>
        </w:rPr>
        <w:t>)</w:t>
      </w:r>
      <w:r w:rsidR="00D00C6A" w:rsidRPr="00CB32E6">
        <w:rPr>
          <w:b/>
          <w:bCs/>
          <w:i/>
          <w:iCs/>
          <w:sz w:val="20"/>
        </w:rPr>
        <w:t>]</w:t>
      </w:r>
    </w:p>
    <w:p w14:paraId="048719AC" w14:textId="7254BCFA" w:rsidR="004B4D53" w:rsidRDefault="008A1CAC" w:rsidP="007715E3">
      <w:pPr>
        <w:pStyle w:val="OutlineNumbered1"/>
      </w:pPr>
      <w:r>
        <w:t>Th</w:t>
      </w:r>
      <w:r w:rsidR="00F174FF">
        <w:t>ese amendments</w:t>
      </w:r>
      <w:r w:rsidR="009D2B5E">
        <w:t xml:space="preserve"> </w:t>
      </w:r>
      <w:r w:rsidR="00D367D6">
        <w:t xml:space="preserve">will </w:t>
      </w:r>
      <w:r w:rsidR="009D2B5E">
        <w:t>enable</w:t>
      </w:r>
      <w:r w:rsidR="009D2B5E" w:rsidRPr="009D2B5E">
        <w:t xml:space="preserve"> an accredited person or CDR representative</w:t>
      </w:r>
      <w:r w:rsidR="009D2B5E">
        <w:t>, when</w:t>
      </w:r>
      <w:r w:rsidR="009D2B5E" w:rsidRPr="009D2B5E">
        <w:t xml:space="preserve"> seeking a </w:t>
      </w:r>
      <w:r w:rsidR="00955D78">
        <w:t xml:space="preserve">CDR </w:t>
      </w:r>
      <w:r w:rsidR="009D2B5E" w:rsidRPr="009D2B5E">
        <w:t>consumer’s consent, to present the consumer with the data types and uses</w:t>
      </w:r>
      <w:r w:rsidR="009E6453">
        <w:t>, data recipients</w:t>
      </w:r>
      <w:r w:rsidR="009D2B5E" w:rsidRPr="009D2B5E">
        <w:t xml:space="preserve"> and the consent durations that are needed to provide the good or service the consumer has requested, and the consumer is able to agree to all with a single action</w:t>
      </w:r>
      <w:r w:rsidR="009D2B5E">
        <w:t xml:space="preserve">. </w:t>
      </w:r>
    </w:p>
    <w:p w14:paraId="6FC67E8A" w14:textId="024AA4DD" w:rsidR="008A1CAC" w:rsidRDefault="00D367D6" w:rsidP="00445D37">
      <w:pPr>
        <w:pStyle w:val="OutlineNumbered1"/>
      </w:pPr>
      <w:r>
        <w:t xml:space="preserve">This will help avoid </w:t>
      </w:r>
      <w:r w:rsidR="004B4D53">
        <w:t xml:space="preserve">the </w:t>
      </w:r>
      <w:r>
        <w:t>inefficiencies</w:t>
      </w:r>
      <w:r w:rsidR="00703A15">
        <w:t xml:space="preserve"> produced</w:t>
      </w:r>
      <w:r w:rsidR="004B4D53">
        <w:t xml:space="preserve"> by requiring</w:t>
      </w:r>
      <w:r w:rsidR="00B67F3E">
        <w:t xml:space="preserve"> a CDR consumer to </w:t>
      </w:r>
      <w:r w:rsidR="009E6453">
        <w:t xml:space="preserve">individually select </w:t>
      </w:r>
      <w:r w:rsidR="000D42C5">
        <w:t xml:space="preserve">and agree to, </w:t>
      </w:r>
      <w:r w:rsidR="009E6453">
        <w:t>datasets, data recipients and consent periods</w:t>
      </w:r>
      <w:r w:rsidR="000008D0">
        <w:t xml:space="preserve"> in a </w:t>
      </w:r>
      <w:r w:rsidR="00703A15">
        <w:t xml:space="preserve">situation where </w:t>
      </w:r>
      <w:r w:rsidR="000008D0">
        <w:t xml:space="preserve">the good or service the consumer has requested can only be provided if the accredited person or CDR representative </w:t>
      </w:r>
      <w:r w:rsidR="00DA3816">
        <w:t>has the access enabled by those consent</w:t>
      </w:r>
      <w:r w:rsidR="000D42C5">
        <w:t xml:space="preserve"> elements</w:t>
      </w:r>
      <w:r w:rsidR="00FA6E52">
        <w:t>.</w:t>
      </w:r>
    </w:p>
    <w:p w14:paraId="35690B78" w14:textId="42FE8910" w:rsidR="003A4E3E" w:rsidRPr="00B17E8B" w:rsidRDefault="006751F3" w:rsidP="003A4E3E">
      <w:pPr>
        <w:pStyle w:val="OutlineNumbered1"/>
      </w:pPr>
      <w:r>
        <w:t xml:space="preserve">As the data minimisation </w:t>
      </w:r>
      <w:r w:rsidR="00E33704">
        <w:t xml:space="preserve">principle in rule 1.8 applies to any collection, use or disclosure </w:t>
      </w:r>
      <w:r w:rsidR="00C93E95">
        <w:t>(following the amendment to extend the principle to disclosure</w:t>
      </w:r>
      <w:r w:rsidR="009C622B">
        <w:t xml:space="preserve"> </w:t>
      </w:r>
      <w:r w:rsidR="00CC5B3F">
        <w:t>outlined</w:t>
      </w:r>
      <w:r w:rsidR="009C622B">
        <w:t xml:space="preserve"> below</w:t>
      </w:r>
      <w:r w:rsidR="00C93E95">
        <w:t xml:space="preserve">) </w:t>
      </w:r>
      <w:r w:rsidR="00E33704">
        <w:t xml:space="preserve">of a </w:t>
      </w:r>
      <w:r w:rsidR="00B729A3">
        <w:t xml:space="preserve">CDR </w:t>
      </w:r>
      <w:r w:rsidR="00E33704">
        <w:t xml:space="preserve">consumer’s CDR data, whether the relevant consents were asked for separately, or pre-selected, the accredited person or CDR representative can still only collect, use or disclose the data </w:t>
      </w:r>
      <w:r w:rsidR="003A4E3E">
        <w:t xml:space="preserve">as reasonably needed to provide the good or service the consumer has requested. </w:t>
      </w:r>
      <w:r w:rsidR="00B729A3">
        <w:t xml:space="preserve">The accredited person or CDR representative will still be required to provide the consumer with an explanation of why the </w:t>
      </w:r>
      <w:r w:rsidR="00B729A3">
        <w:lastRenderedPageBreak/>
        <w:t xml:space="preserve">collection, use or disclosure </w:t>
      </w:r>
      <w:r w:rsidR="004F58F0">
        <w:t xml:space="preserve">does not go beyond what is reasonably needed. </w:t>
      </w:r>
      <w:r w:rsidR="00B346F7">
        <w:t xml:space="preserve">                                       </w:t>
      </w:r>
      <w:r w:rsidR="004F58F0" w:rsidRPr="00CB32E6">
        <w:rPr>
          <w:b/>
          <w:bCs/>
          <w:i/>
          <w:iCs/>
          <w:sz w:val="20"/>
        </w:rPr>
        <w:t xml:space="preserve">[Schedule 1, items </w:t>
      </w:r>
      <w:r w:rsidR="00D3296D">
        <w:rPr>
          <w:b/>
          <w:bCs/>
          <w:i/>
          <w:iCs/>
          <w:sz w:val="20"/>
        </w:rPr>
        <w:t>59</w:t>
      </w:r>
      <w:r w:rsidR="004F58F0">
        <w:rPr>
          <w:b/>
          <w:bCs/>
          <w:i/>
          <w:iCs/>
          <w:sz w:val="20"/>
        </w:rPr>
        <w:t xml:space="preserve"> and 8</w:t>
      </w:r>
      <w:r w:rsidR="00D3296D">
        <w:rPr>
          <w:b/>
          <w:bCs/>
          <w:i/>
          <w:iCs/>
          <w:sz w:val="20"/>
        </w:rPr>
        <w:t>4</w:t>
      </w:r>
      <w:r w:rsidR="004F58F0" w:rsidRPr="00CB32E6">
        <w:rPr>
          <w:b/>
          <w:bCs/>
          <w:i/>
          <w:iCs/>
          <w:sz w:val="20"/>
        </w:rPr>
        <w:t xml:space="preserve">, </w:t>
      </w:r>
      <w:r w:rsidR="004F58F0">
        <w:rPr>
          <w:b/>
          <w:bCs/>
          <w:i/>
          <w:iCs/>
          <w:sz w:val="20"/>
        </w:rPr>
        <w:t>paragraphs 4.11(3)(c) and 4.20E(3)(f)</w:t>
      </w:r>
      <w:r w:rsidR="004F58F0" w:rsidRPr="00CB32E6">
        <w:rPr>
          <w:b/>
          <w:bCs/>
          <w:i/>
          <w:iCs/>
          <w:sz w:val="20"/>
        </w:rPr>
        <w:t>]</w:t>
      </w:r>
    </w:p>
    <w:p w14:paraId="2D741C44" w14:textId="4DCE9355" w:rsidR="00B0211F" w:rsidRPr="00B0211F" w:rsidRDefault="005316A1" w:rsidP="003A4E3E">
      <w:pPr>
        <w:pStyle w:val="OutlineNumbered1"/>
        <w:rPr>
          <w:szCs w:val="24"/>
        </w:rPr>
      </w:pPr>
      <w:r>
        <w:rPr>
          <w:szCs w:val="24"/>
        </w:rPr>
        <w:t xml:space="preserve">The meaning of </w:t>
      </w:r>
      <w:r w:rsidR="00BB5B0C">
        <w:rPr>
          <w:szCs w:val="24"/>
        </w:rPr>
        <w:t>‘</w:t>
      </w:r>
      <w:r>
        <w:rPr>
          <w:szCs w:val="24"/>
        </w:rPr>
        <w:t>reasonably needed</w:t>
      </w:r>
      <w:r w:rsidR="00BB5B0C">
        <w:rPr>
          <w:szCs w:val="24"/>
        </w:rPr>
        <w:t>’</w:t>
      </w:r>
      <w:r>
        <w:rPr>
          <w:szCs w:val="24"/>
        </w:rPr>
        <w:t xml:space="preserve"> </w:t>
      </w:r>
      <w:r w:rsidR="00947A75">
        <w:rPr>
          <w:szCs w:val="24"/>
        </w:rPr>
        <w:t xml:space="preserve">should be </w:t>
      </w:r>
      <w:r w:rsidR="00BB5B0C">
        <w:rPr>
          <w:szCs w:val="24"/>
        </w:rPr>
        <w:t xml:space="preserve">assessed on a case by cases basis. </w:t>
      </w:r>
      <w:r w:rsidR="00982917">
        <w:rPr>
          <w:szCs w:val="24"/>
        </w:rPr>
        <w:t>In general</w:t>
      </w:r>
      <w:r w:rsidR="00BB5B0C">
        <w:rPr>
          <w:szCs w:val="24"/>
        </w:rPr>
        <w:t xml:space="preserve">, it should involve an objective assessment about whether a reasonable and informed person would </w:t>
      </w:r>
      <w:r w:rsidR="007969A5">
        <w:rPr>
          <w:szCs w:val="24"/>
        </w:rPr>
        <w:t>consider the consent is needed to provide the consumer with the requested good or service. I</w:t>
      </w:r>
      <w:r w:rsidR="00790A50">
        <w:rPr>
          <w:szCs w:val="24"/>
        </w:rPr>
        <w:t>n other words, it would not be sufficient if the c</w:t>
      </w:r>
      <w:r w:rsidR="00CD46F0">
        <w:rPr>
          <w:szCs w:val="24"/>
        </w:rPr>
        <w:t>onsent was only useful or preferable for the accredited person or CDR representative to have.</w:t>
      </w:r>
    </w:p>
    <w:p w14:paraId="2EFFED42" w14:textId="22500471" w:rsidR="00056EF9" w:rsidRPr="00056EF9" w:rsidRDefault="00056EF9" w:rsidP="00AE7AFF">
      <w:pPr>
        <w:pStyle w:val="OutlineNumbered1"/>
        <w:keepNext/>
        <w:numPr>
          <w:ilvl w:val="0"/>
          <w:numId w:val="0"/>
        </w:numPr>
        <w:ind w:left="567" w:hanging="567"/>
        <w:rPr>
          <w:i/>
          <w:iCs/>
        </w:rPr>
      </w:pPr>
      <w:r w:rsidRPr="00056EF9">
        <w:rPr>
          <w:i/>
          <w:iCs/>
        </w:rPr>
        <w:t>Data minimisation principle</w:t>
      </w:r>
    </w:p>
    <w:p w14:paraId="2E557B5D" w14:textId="428AE93F" w:rsidR="007F17DA" w:rsidRPr="007F17DA" w:rsidRDefault="007F17DA" w:rsidP="007F17DA">
      <w:pPr>
        <w:pStyle w:val="OutlineNumbered1"/>
      </w:pPr>
      <w:r>
        <w:t xml:space="preserve">Rule 1.8 is amended to </w:t>
      </w:r>
      <w:r w:rsidR="00FD638A">
        <w:t>extend</w:t>
      </w:r>
      <w:r>
        <w:t xml:space="preserve"> the data minimisation principle to disclosure of CDR data.</w:t>
      </w:r>
      <w:r w:rsidR="001967D8">
        <w:t xml:space="preserve"> </w:t>
      </w:r>
      <w:r w:rsidR="00CB32E6">
        <w:tab/>
      </w:r>
      <w:r w:rsidR="00CB32E6">
        <w:tab/>
      </w:r>
      <w:r w:rsidR="00CB32E6">
        <w:tab/>
      </w:r>
      <w:r w:rsidR="00CB32E6">
        <w:tab/>
      </w:r>
      <w:r w:rsidR="00CB32E6">
        <w:tab/>
      </w:r>
      <w:r w:rsidR="00CB32E6">
        <w:tab/>
      </w:r>
      <w:r w:rsidR="00CB32E6">
        <w:tab/>
      </w:r>
      <w:r w:rsidR="00CB32E6">
        <w:tab/>
      </w:r>
      <w:r w:rsidR="00CB32E6">
        <w:tab/>
        <w:t xml:space="preserve"> </w:t>
      </w:r>
      <w:r w:rsidRPr="00D00C6A">
        <w:rPr>
          <w:b/>
          <w:bCs/>
          <w:i/>
          <w:iCs/>
        </w:rPr>
        <w:t>[</w:t>
      </w:r>
      <w:r w:rsidR="005D3253">
        <w:rPr>
          <w:b/>
          <w:bCs/>
          <w:i/>
          <w:iCs/>
          <w:sz w:val="20"/>
        </w:rPr>
        <w:t xml:space="preserve">Schedule 1, item </w:t>
      </w:r>
      <w:r w:rsidR="00D3296D">
        <w:rPr>
          <w:b/>
          <w:bCs/>
          <w:i/>
          <w:iCs/>
          <w:sz w:val="20"/>
        </w:rPr>
        <w:t>41</w:t>
      </w:r>
      <w:r w:rsidR="005D3253">
        <w:rPr>
          <w:b/>
          <w:bCs/>
          <w:i/>
          <w:iCs/>
          <w:sz w:val="20"/>
        </w:rPr>
        <w:t xml:space="preserve">, </w:t>
      </w:r>
      <w:r w:rsidR="00850742">
        <w:rPr>
          <w:b/>
          <w:bCs/>
          <w:i/>
          <w:iCs/>
          <w:sz w:val="20"/>
        </w:rPr>
        <w:t>sub</w:t>
      </w:r>
      <w:r w:rsidR="005D3253">
        <w:rPr>
          <w:b/>
          <w:bCs/>
          <w:i/>
          <w:iCs/>
          <w:sz w:val="20"/>
        </w:rPr>
        <w:t>rule 1.8</w:t>
      </w:r>
      <w:r w:rsidR="00850742">
        <w:rPr>
          <w:b/>
          <w:bCs/>
          <w:i/>
          <w:iCs/>
          <w:sz w:val="20"/>
        </w:rPr>
        <w:t>(2)</w:t>
      </w:r>
      <w:r w:rsidRPr="00D00C6A">
        <w:rPr>
          <w:b/>
          <w:bCs/>
          <w:i/>
          <w:iCs/>
        </w:rPr>
        <w:t>]</w:t>
      </w:r>
    </w:p>
    <w:p w14:paraId="79D86DD0" w14:textId="698D0B6D" w:rsidR="007F17DA" w:rsidRDefault="007F17DA">
      <w:pPr>
        <w:pStyle w:val="OutlineNumbered1"/>
      </w:pPr>
      <w:r>
        <w:t>Th</w:t>
      </w:r>
      <w:r w:rsidR="00CF735B">
        <w:t xml:space="preserve">is </w:t>
      </w:r>
      <w:r w:rsidR="00A23D7C">
        <w:t>means</w:t>
      </w:r>
      <w:r>
        <w:t xml:space="preserve"> that any use or disclosure of CDR data cannot exceed </w:t>
      </w:r>
      <w:r w:rsidR="00EB7F41">
        <w:t xml:space="preserve">what is reasonably needed by the accredited person or CDR representative in order to provide the requested goods or services or to </w:t>
      </w:r>
      <w:proofErr w:type="gramStart"/>
      <w:r w:rsidR="00EB7F41">
        <w:t>effect</w:t>
      </w:r>
      <w:proofErr w:type="gramEnd"/>
      <w:r w:rsidR="00EB7F41">
        <w:t xml:space="preserve"> another permitted use or disclosure.</w:t>
      </w:r>
    </w:p>
    <w:p w14:paraId="11292F73" w14:textId="5AFCD9DF" w:rsidR="004F2532" w:rsidRPr="004E3181" w:rsidRDefault="004F2532" w:rsidP="00445D37">
      <w:pPr>
        <w:pStyle w:val="OutlineNumbered1"/>
      </w:pPr>
      <w:r>
        <w:t xml:space="preserve">For clarity and consistency with current drafting practice, the note to </w:t>
      </w:r>
      <w:r w:rsidR="00702BC5">
        <w:t xml:space="preserve">the heading of </w:t>
      </w:r>
      <w:r>
        <w:t xml:space="preserve">rule 1.8 is removed. </w:t>
      </w:r>
      <w:r w:rsidR="009C622B">
        <w:t xml:space="preserve">                                                                                                    </w:t>
      </w:r>
      <w:r w:rsidRPr="00D00C6A">
        <w:rPr>
          <w:b/>
          <w:bCs/>
          <w:i/>
          <w:iCs/>
        </w:rPr>
        <w:t>[</w:t>
      </w:r>
      <w:r>
        <w:rPr>
          <w:b/>
          <w:bCs/>
          <w:i/>
          <w:iCs/>
          <w:sz w:val="20"/>
        </w:rPr>
        <w:t xml:space="preserve">Schedule 1, item </w:t>
      </w:r>
      <w:r w:rsidR="00D3296D">
        <w:rPr>
          <w:b/>
          <w:bCs/>
          <w:i/>
          <w:iCs/>
          <w:sz w:val="20"/>
        </w:rPr>
        <w:t>40</w:t>
      </w:r>
      <w:r>
        <w:rPr>
          <w:b/>
          <w:bCs/>
          <w:i/>
          <w:iCs/>
          <w:sz w:val="20"/>
        </w:rPr>
        <w:t>, rule 1.8</w:t>
      </w:r>
      <w:r w:rsidR="00AE0F5F">
        <w:rPr>
          <w:b/>
          <w:bCs/>
          <w:i/>
          <w:iCs/>
          <w:sz w:val="20"/>
        </w:rPr>
        <w:t xml:space="preserve"> (note)</w:t>
      </w:r>
      <w:r w:rsidRPr="00D00C6A">
        <w:rPr>
          <w:b/>
          <w:bCs/>
          <w:i/>
          <w:iCs/>
        </w:rPr>
        <w:t>]</w:t>
      </w:r>
    </w:p>
    <w:p w14:paraId="206A697E" w14:textId="6C089BF3" w:rsidR="007F17DA" w:rsidRPr="00696EF5" w:rsidRDefault="00AB0AF9" w:rsidP="007F17DA">
      <w:pPr>
        <w:pStyle w:val="OutlineNumbered1"/>
      </w:pPr>
      <w:r>
        <w:t xml:space="preserve">A number of other </w:t>
      </w:r>
      <w:r w:rsidR="008169E0">
        <w:t xml:space="preserve">minor </w:t>
      </w:r>
      <w:r>
        <w:t xml:space="preserve">amendments </w:t>
      </w:r>
      <w:r w:rsidR="001907F7">
        <w:t xml:space="preserve">are made to </w:t>
      </w:r>
      <w:r w:rsidR="007F17DA">
        <w:t xml:space="preserve">reflect the </w:t>
      </w:r>
      <w:r w:rsidR="001907F7">
        <w:t>extension of</w:t>
      </w:r>
      <w:r w:rsidR="007F17DA">
        <w:t xml:space="preserve"> the data minimisation principle</w:t>
      </w:r>
      <w:r w:rsidR="003341EF">
        <w:t xml:space="preserve"> to disclosure</w:t>
      </w:r>
      <w:r w:rsidR="007F17DA">
        <w:t xml:space="preserve">. </w:t>
      </w:r>
      <w:r w:rsidR="009C622B">
        <w:t xml:space="preserve">                                                                            </w:t>
      </w:r>
      <w:r w:rsidR="007F17DA" w:rsidRPr="00D00C6A">
        <w:rPr>
          <w:b/>
          <w:bCs/>
          <w:i/>
          <w:iCs/>
        </w:rPr>
        <w:t>[</w:t>
      </w:r>
      <w:r w:rsidR="005D3253">
        <w:rPr>
          <w:b/>
          <w:bCs/>
          <w:i/>
          <w:iCs/>
          <w:sz w:val="20"/>
        </w:rPr>
        <w:t>Schedule 1, items</w:t>
      </w:r>
      <w:r w:rsidR="00D3296D">
        <w:rPr>
          <w:b/>
          <w:bCs/>
          <w:i/>
          <w:iCs/>
          <w:sz w:val="20"/>
        </w:rPr>
        <w:t xml:space="preserve"> 39, </w:t>
      </w:r>
      <w:r w:rsidR="008169E0">
        <w:rPr>
          <w:b/>
          <w:bCs/>
          <w:i/>
          <w:iCs/>
          <w:sz w:val="20"/>
        </w:rPr>
        <w:t xml:space="preserve">43, 44, 49 to 52 </w:t>
      </w:r>
      <w:r w:rsidR="004A1406">
        <w:rPr>
          <w:b/>
          <w:bCs/>
          <w:i/>
          <w:iCs/>
          <w:sz w:val="20"/>
        </w:rPr>
        <w:t>and</w:t>
      </w:r>
      <w:r w:rsidR="008169E0">
        <w:rPr>
          <w:b/>
          <w:bCs/>
          <w:i/>
          <w:iCs/>
          <w:sz w:val="20"/>
        </w:rPr>
        <w:t xml:space="preserve"> </w:t>
      </w:r>
      <w:r w:rsidR="000D4C53">
        <w:rPr>
          <w:b/>
          <w:bCs/>
          <w:i/>
          <w:iCs/>
          <w:sz w:val="20"/>
        </w:rPr>
        <w:t>66</w:t>
      </w:r>
      <w:r w:rsidR="00D3296D">
        <w:rPr>
          <w:b/>
          <w:bCs/>
          <w:i/>
          <w:iCs/>
          <w:sz w:val="20"/>
        </w:rPr>
        <w:t>, rule</w:t>
      </w:r>
      <w:r w:rsidR="008169E0">
        <w:rPr>
          <w:b/>
          <w:bCs/>
          <w:i/>
          <w:iCs/>
          <w:sz w:val="20"/>
        </w:rPr>
        <w:t>s</w:t>
      </w:r>
      <w:r w:rsidR="00D3296D">
        <w:rPr>
          <w:b/>
          <w:bCs/>
          <w:i/>
          <w:iCs/>
          <w:sz w:val="20"/>
        </w:rPr>
        <w:t xml:space="preserve"> 1.4, </w:t>
      </w:r>
      <w:r w:rsidR="008169E0">
        <w:rPr>
          <w:b/>
          <w:bCs/>
          <w:i/>
          <w:iCs/>
          <w:sz w:val="20"/>
        </w:rPr>
        <w:t>4.1, 4.4, 4.7A</w:t>
      </w:r>
      <w:r w:rsidR="004A1406">
        <w:rPr>
          <w:b/>
          <w:bCs/>
          <w:i/>
          <w:iCs/>
          <w:sz w:val="20"/>
        </w:rPr>
        <w:t xml:space="preserve"> and</w:t>
      </w:r>
      <w:r w:rsidR="000D4C53">
        <w:rPr>
          <w:b/>
          <w:bCs/>
          <w:i/>
          <w:iCs/>
          <w:sz w:val="20"/>
        </w:rPr>
        <w:t xml:space="preserve"> 4.12</w:t>
      </w:r>
      <w:r w:rsidR="007F17DA" w:rsidRPr="00D00C6A">
        <w:rPr>
          <w:b/>
          <w:bCs/>
          <w:i/>
          <w:iCs/>
        </w:rPr>
        <w:t>]</w:t>
      </w:r>
    </w:p>
    <w:p w14:paraId="7D239532" w14:textId="521823E1" w:rsidR="008E1602" w:rsidRPr="008E1602" w:rsidRDefault="008E1602" w:rsidP="008E1602">
      <w:pPr>
        <w:pStyle w:val="OutlineNumbered1"/>
        <w:numPr>
          <w:ilvl w:val="0"/>
          <w:numId w:val="0"/>
        </w:numPr>
        <w:ind w:left="567" w:hanging="567"/>
        <w:rPr>
          <w:i/>
          <w:iCs/>
        </w:rPr>
      </w:pPr>
      <w:r w:rsidRPr="008E1602">
        <w:rPr>
          <w:i/>
          <w:iCs/>
        </w:rPr>
        <w:t>Withdrawing consent</w:t>
      </w:r>
    </w:p>
    <w:p w14:paraId="67973178" w14:textId="16AD0F37" w:rsidR="000572C1" w:rsidRDefault="0045308C" w:rsidP="00762450">
      <w:pPr>
        <w:pStyle w:val="OutlineNumbered1"/>
      </w:pPr>
      <w:r>
        <w:t>The Amending Rules</w:t>
      </w:r>
      <w:r w:rsidR="009221A6">
        <w:t xml:space="preserve"> remove the requirement that,</w:t>
      </w:r>
      <w:r>
        <w:t xml:space="preserve"> </w:t>
      </w:r>
      <w:r w:rsidR="009221A6">
        <w:t>when being asked to give a consent, a CDR consumer must be informed about how to withdraw a consent and the consequences of doing so</w:t>
      </w:r>
      <w:r w:rsidR="00FB6F12">
        <w:t xml:space="preserve"> (although the consumer must still be informed</w:t>
      </w:r>
      <w:r w:rsidR="009E414D">
        <w:t>, when being asked for a consent,</w:t>
      </w:r>
      <w:r w:rsidR="00FB6F12">
        <w:t xml:space="preserve"> that they are able to withdraw their consent at any time)</w:t>
      </w:r>
      <w:r w:rsidR="009221A6">
        <w:t xml:space="preserve">. </w:t>
      </w:r>
      <w:r w:rsidR="00BF6825" w:rsidRPr="00D00C6A">
        <w:rPr>
          <w:b/>
          <w:bCs/>
          <w:i/>
          <w:iCs/>
        </w:rPr>
        <w:t>[</w:t>
      </w:r>
      <w:r w:rsidR="00F54583">
        <w:rPr>
          <w:b/>
          <w:bCs/>
          <w:i/>
          <w:iCs/>
          <w:sz w:val="20"/>
        </w:rPr>
        <w:t xml:space="preserve">Schedule 1, items </w:t>
      </w:r>
      <w:r w:rsidR="003C11EF">
        <w:rPr>
          <w:b/>
          <w:bCs/>
          <w:i/>
          <w:iCs/>
          <w:sz w:val="20"/>
        </w:rPr>
        <w:t>62 and 87</w:t>
      </w:r>
      <w:r w:rsidR="00F54583">
        <w:rPr>
          <w:b/>
          <w:bCs/>
          <w:i/>
          <w:iCs/>
          <w:sz w:val="20"/>
        </w:rPr>
        <w:t>, paragraphs 4.11(3)(g) and 4.20E(3)(m)</w:t>
      </w:r>
      <w:r w:rsidR="00BF6825" w:rsidRPr="00D00C6A">
        <w:rPr>
          <w:b/>
          <w:bCs/>
          <w:i/>
          <w:iCs/>
        </w:rPr>
        <w:t>]</w:t>
      </w:r>
    </w:p>
    <w:p w14:paraId="7DB00CAB" w14:textId="416E306C" w:rsidR="00FB6F12" w:rsidRDefault="00FB6F12" w:rsidP="00445D37">
      <w:pPr>
        <w:pStyle w:val="OutlineNumbered1"/>
      </w:pPr>
      <w:r>
        <w:t>Information about how to withdraw a consent and the consequences of doing so will still be provided in the CDR receipt a consumer receives when a consent has been given, in the notifications given about current consents, and when a collection consent expires but a use or disclosure consent remains current.</w:t>
      </w:r>
    </w:p>
    <w:p w14:paraId="232780D7" w14:textId="65B119B2" w:rsidR="008E1602" w:rsidRDefault="00BF6825" w:rsidP="00445D37">
      <w:pPr>
        <w:pStyle w:val="OutlineNumbered1"/>
      </w:pPr>
      <w:r>
        <w:t xml:space="preserve">This </w:t>
      </w:r>
      <w:r w:rsidR="00FB6F12">
        <w:t xml:space="preserve">change </w:t>
      </w:r>
      <w:r>
        <w:t xml:space="preserve">will help streamline the process for requesting and giving consents, and reflects a more intuitive approach for the consumer </w:t>
      </w:r>
      <w:r w:rsidR="00A81BCB">
        <w:t xml:space="preserve">who will </w:t>
      </w:r>
      <w:r>
        <w:t xml:space="preserve">only </w:t>
      </w:r>
      <w:r w:rsidR="00A81BCB">
        <w:t>need to think about the process for withdrawing their consent at the point they are, or may be, considering doing so.</w:t>
      </w:r>
    </w:p>
    <w:p w14:paraId="68F61BA8" w14:textId="7CF6371D" w:rsidR="00081F5A" w:rsidRDefault="00081F5A" w:rsidP="00081F5A">
      <w:pPr>
        <w:pStyle w:val="OutlineNumbered1"/>
        <w:numPr>
          <w:ilvl w:val="0"/>
          <w:numId w:val="0"/>
        </w:numPr>
        <w:ind w:left="567" w:hanging="567"/>
        <w:rPr>
          <w:i/>
          <w:iCs/>
        </w:rPr>
      </w:pPr>
      <w:r>
        <w:rPr>
          <w:i/>
          <w:iCs/>
        </w:rPr>
        <w:t xml:space="preserve">Notifications </w:t>
      </w:r>
      <w:r w:rsidR="00800B97">
        <w:rPr>
          <w:i/>
          <w:iCs/>
        </w:rPr>
        <w:t xml:space="preserve">about current </w:t>
      </w:r>
      <w:r>
        <w:rPr>
          <w:i/>
          <w:iCs/>
        </w:rPr>
        <w:t>consents</w:t>
      </w:r>
    </w:p>
    <w:p w14:paraId="4292B283" w14:textId="7895F789" w:rsidR="00081F5A" w:rsidRDefault="00EA1522" w:rsidP="00081F5A">
      <w:pPr>
        <w:pStyle w:val="OutlineNumbered1"/>
      </w:pPr>
      <w:r>
        <w:t>The CDR</w:t>
      </w:r>
      <w:r w:rsidR="0023265C">
        <w:t xml:space="preserve"> Rules </w:t>
      </w:r>
      <w:r>
        <w:t>require</w:t>
      </w:r>
      <w:r w:rsidR="004F500B">
        <w:t xml:space="preserve">, </w:t>
      </w:r>
      <w:r w:rsidR="0023265C">
        <w:t>where a collection</w:t>
      </w:r>
      <w:r w:rsidR="003018F0">
        <w:t xml:space="preserve"> or</w:t>
      </w:r>
      <w:r w:rsidR="0023265C">
        <w:t xml:space="preserve"> use</w:t>
      </w:r>
      <w:r w:rsidR="00631D17">
        <w:t xml:space="preserve"> </w:t>
      </w:r>
      <w:r w:rsidR="0023265C">
        <w:t xml:space="preserve">consent is </w:t>
      </w:r>
      <w:r w:rsidR="00C212F1">
        <w:t>current,</w:t>
      </w:r>
      <w:r w:rsidR="0023265C">
        <w:t xml:space="preserve"> but</w:t>
      </w:r>
      <w:r w:rsidR="00E06890">
        <w:t xml:space="preserve"> </w:t>
      </w:r>
      <w:r w:rsidR="00C71C45">
        <w:t>90 days have passed</w:t>
      </w:r>
      <w:r w:rsidR="0023265C">
        <w:t xml:space="preserve"> since the </w:t>
      </w:r>
      <w:r w:rsidR="004F500B">
        <w:t xml:space="preserve">CDR </w:t>
      </w:r>
      <w:r w:rsidR="0023265C">
        <w:t>consumer</w:t>
      </w:r>
      <w:r w:rsidR="00EF01C3">
        <w:t xml:space="preserve"> either</w:t>
      </w:r>
      <w:r w:rsidR="0023265C">
        <w:t xml:space="preserve"> gave or amended the consent, used their consumer dashboard or </w:t>
      </w:r>
      <w:r w:rsidR="004F500B">
        <w:t xml:space="preserve">received a notification under the same rule, the consumer </w:t>
      </w:r>
      <w:r>
        <w:t xml:space="preserve">to </w:t>
      </w:r>
      <w:r w:rsidR="004F500B">
        <w:t>be notified that the consent is still current.</w:t>
      </w:r>
    </w:p>
    <w:p w14:paraId="051AB748" w14:textId="43121844" w:rsidR="00843C6F" w:rsidRPr="00BE6AC0" w:rsidRDefault="00EA1522" w:rsidP="00E64C8E">
      <w:pPr>
        <w:pStyle w:val="OutlineNumbered1"/>
      </w:pPr>
      <w:r>
        <w:lastRenderedPageBreak/>
        <w:t>Minor amendments are</w:t>
      </w:r>
      <w:r w:rsidR="003018F0">
        <w:t xml:space="preserve"> </w:t>
      </w:r>
      <w:r>
        <w:t xml:space="preserve">made </w:t>
      </w:r>
      <w:r w:rsidR="005647AF">
        <w:t>to allow,</w:t>
      </w:r>
      <w:r w:rsidR="009F08BD">
        <w:t xml:space="preserve"> where these circumstances apply to more than one current </w:t>
      </w:r>
      <w:r w:rsidR="00C65AD4">
        <w:t xml:space="preserve">collection, use or disclosure </w:t>
      </w:r>
      <w:r w:rsidR="009F08BD">
        <w:t>consent,</w:t>
      </w:r>
      <w:r w:rsidR="006D077C">
        <w:t xml:space="preserve"> </w:t>
      </w:r>
      <w:r w:rsidR="008A1636">
        <w:t>an accredited person or CDR representative</w:t>
      </w:r>
      <w:r w:rsidR="00913E75">
        <w:t xml:space="preserve"> to give</w:t>
      </w:r>
      <w:r w:rsidR="009F08BD">
        <w:t xml:space="preserve"> the consumer a single notification </w:t>
      </w:r>
      <w:r w:rsidR="00913E75">
        <w:t>setting</w:t>
      </w:r>
      <w:r w:rsidR="009F08BD">
        <w:t xml:space="preserve"> out all the current consents. In other words, a separate notification </w:t>
      </w:r>
      <w:r w:rsidR="00843C6F">
        <w:t>does</w:t>
      </w:r>
      <w:r w:rsidR="009F08BD">
        <w:t xml:space="preserve"> not </w:t>
      </w:r>
      <w:r w:rsidR="00843C6F">
        <w:t xml:space="preserve">need to be given </w:t>
      </w:r>
      <w:r w:rsidR="009F08BD">
        <w:t>for each consent.</w:t>
      </w:r>
      <w:r w:rsidR="00843C6F">
        <w:t xml:space="preserve"> </w:t>
      </w:r>
      <w:r w:rsidR="00E64C8E">
        <w:t>In addition, the notifications must be given in accordance with the consumer data standards.</w:t>
      </w:r>
      <w:r w:rsidR="00E64C8E" w:rsidRPr="00D00C6A">
        <w:rPr>
          <w:b/>
          <w:bCs/>
          <w:i/>
          <w:iCs/>
        </w:rPr>
        <w:t xml:space="preserve"> </w:t>
      </w:r>
      <w:r w:rsidR="003A4389">
        <w:rPr>
          <w:b/>
          <w:bCs/>
          <w:i/>
          <w:iCs/>
        </w:rPr>
        <w:t xml:space="preserve">                                                                                                               </w:t>
      </w:r>
      <w:r w:rsidR="00843C6F" w:rsidRPr="00D00C6A">
        <w:rPr>
          <w:b/>
          <w:bCs/>
          <w:i/>
          <w:iCs/>
        </w:rPr>
        <w:t>[</w:t>
      </w:r>
      <w:r w:rsidR="00677B4E">
        <w:rPr>
          <w:b/>
          <w:bCs/>
          <w:i/>
          <w:iCs/>
          <w:sz w:val="20"/>
        </w:rPr>
        <w:t xml:space="preserve">Schedule 1, items </w:t>
      </w:r>
      <w:r w:rsidR="003C11EF">
        <w:rPr>
          <w:b/>
          <w:bCs/>
          <w:i/>
          <w:iCs/>
          <w:sz w:val="20"/>
        </w:rPr>
        <w:t>73</w:t>
      </w:r>
      <w:r w:rsidR="00677B4E">
        <w:rPr>
          <w:b/>
          <w:bCs/>
          <w:i/>
          <w:iCs/>
          <w:sz w:val="20"/>
        </w:rPr>
        <w:t xml:space="preserve"> to </w:t>
      </w:r>
      <w:r w:rsidR="003C11EF">
        <w:rPr>
          <w:b/>
          <w:bCs/>
          <w:i/>
          <w:iCs/>
          <w:sz w:val="20"/>
        </w:rPr>
        <w:t>76, 96</w:t>
      </w:r>
      <w:r w:rsidR="00EC4BCD">
        <w:rPr>
          <w:b/>
          <w:bCs/>
          <w:i/>
          <w:iCs/>
          <w:sz w:val="20"/>
        </w:rPr>
        <w:t xml:space="preserve"> </w:t>
      </w:r>
      <w:r w:rsidR="008954CF">
        <w:rPr>
          <w:b/>
          <w:bCs/>
          <w:i/>
          <w:iCs/>
          <w:sz w:val="20"/>
        </w:rPr>
        <w:t xml:space="preserve">to </w:t>
      </w:r>
      <w:r w:rsidR="003C11EF">
        <w:rPr>
          <w:b/>
          <w:bCs/>
          <w:i/>
          <w:iCs/>
          <w:sz w:val="20"/>
        </w:rPr>
        <w:t>99</w:t>
      </w:r>
      <w:r w:rsidR="00EC4BCD">
        <w:rPr>
          <w:b/>
          <w:bCs/>
          <w:i/>
          <w:iCs/>
          <w:sz w:val="20"/>
        </w:rPr>
        <w:t xml:space="preserve"> </w:t>
      </w:r>
      <w:r w:rsidR="004B770F">
        <w:rPr>
          <w:b/>
          <w:bCs/>
          <w:i/>
          <w:iCs/>
          <w:sz w:val="20"/>
        </w:rPr>
        <w:t xml:space="preserve">and </w:t>
      </w:r>
      <w:r w:rsidR="003C11EF">
        <w:rPr>
          <w:b/>
          <w:bCs/>
          <w:i/>
          <w:iCs/>
          <w:sz w:val="20"/>
        </w:rPr>
        <w:t>100</w:t>
      </w:r>
      <w:r w:rsidR="00677B4E">
        <w:rPr>
          <w:b/>
          <w:bCs/>
          <w:i/>
          <w:iCs/>
          <w:sz w:val="20"/>
        </w:rPr>
        <w:t>, rules 4.20 and 4.20U</w:t>
      </w:r>
      <w:r w:rsidR="004B770F">
        <w:rPr>
          <w:b/>
          <w:bCs/>
          <w:i/>
          <w:iCs/>
          <w:sz w:val="20"/>
        </w:rPr>
        <w:t xml:space="preserve"> and paragraph 8.11(1)(fb)</w:t>
      </w:r>
      <w:r w:rsidR="00843C6F" w:rsidRPr="00D00C6A">
        <w:rPr>
          <w:b/>
          <w:bCs/>
          <w:i/>
          <w:iCs/>
        </w:rPr>
        <w:t>]</w:t>
      </w:r>
    </w:p>
    <w:p w14:paraId="02138D2C" w14:textId="44CFF6F1" w:rsidR="00D76CBA" w:rsidRPr="00223BC5" w:rsidRDefault="00EE015E" w:rsidP="00E64C8E">
      <w:pPr>
        <w:pStyle w:val="OutlineNumbered1"/>
      </w:pPr>
      <w:r>
        <w:t>In order</w:t>
      </w:r>
      <w:r w:rsidR="00D76CBA">
        <w:t xml:space="preserve"> to </w:t>
      </w:r>
      <w:r>
        <w:t>align applicable obligations</w:t>
      </w:r>
      <w:r w:rsidR="00D76CBA">
        <w:t>, the existing notification provisions will continue to apply until data standards for this purpose are made</w:t>
      </w:r>
      <w:r w:rsidR="00B7556A">
        <w:t xml:space="preserve"> and in effect</w:t>
      </w:r>
      <w:r w:rsidR="00D76CBA">
        <w:t xml:space="preserve">. </w:t>
      </w:r>
      <w:r w:rsidR="00D76CBA" w:rsidRPr="00D00C6A">
        <w:rPr>
          <w:b/>
          <w:bCs/>
          <w:i/>
          <w:iCs/>
        </w:rPr>
        <w:t>[</w:t>
      </w:r>
      <w:r w:rsidR="00D76CBA">
        <w:rPr>
          <w:b/>
          <w:bCs/>
          <w:i/>
          <w:iCs/>
          <w:sz w:val="20"/>
        </w:rPr>
        <w:t xml:space="preserve">Schedule 1, item </w:t>
      </w:r>
      <w:r w:rsidR="00934EBF">
        <w:rPr>
          <w:b/>
          <w:bCs/>
          <w:i/>
          <w:iCs/>
          <w:sz w:val="20"/>
        </w:rPr>
        <w:t>10</w:t>
      </w:r>
      <w:r w:rsidR="003E6832">
        <w:rPr>
          <w:b/>
          <w:bCs/>
          <w:i/>
          <w:iCs/>
          <w:sz w:val="20"/>
        </w:rPr>
        <w:t>3</w:t>
      </w:r>
      <w:r w:rsidR="00D76CBA">
        <w:rPr>
          <w:b/>
          <w:bCs/>
          <w:i/>
          <w:iCs/>
          <w:sz w:val="20"/>
        </w:rPr>
        <w:t xml:space="preserve">, rules </w:t>
      </w:r>
      <w:r w:rsidR="00934EBF">
        <w:rPr>
          <w:b/>
          <w:bCs/>
          <w:i/>
          <w:iCs/>
          <w:sz w:val="20"/>
        </w:rPr>
        <w:t>504 and 507</w:t>
      </w:r>
      <w:r w:rsidR="00934EBF" w:rsidRPr="00D00C6A">
        <w:rPr>
          <w:b/>
          <w:bCs/>
          <w:i/>
          <w:iCs/>
        </w:rPr>
        <w:t>]</w:t>
      </w:r>
    </w:p>
    <w:p w14:paraId="1943FD5C" w14:textId="2A8845D0" w:rsidR="00CA646E" w:rsidRPr="00BE6AC0" w:rsidRDefault="00CC27AF" w:rsidP="00CA646E">
      <w:pPr>
        <w:pStyle w:val="OutlineNumbered1"/>
      </w:pPr>
      <w:r>
        <w:t>T</w:t>
      </w:r>
      <w:r w:rsidR="00CA646E">
        <w:t xml:space="preserve">he </w:t>
      </w:r>
      <w:r>
        <w:t xml:space="preserve">existing </w:t>
      </w:r>
      <w:r w:rsidR="00CA646E">
        <w:t>requirements to notify a CDR consumer when a collection consent expires</w:t>
      </w:r>
      <w:r>
        <w:t xml:space="preserve"> but a use consent is still current, are amended to </w:t>
      </w:r>
      <w:r w:rsidR="00CA646E">
        <w:t>include disclosure consents</w:t>
      </w:r>
      <w:r>
        <w:t xml:space="preserve"> that are still current</w:t>
      </w:r>
      <w:r w:rsidR="00CA646E">
        <w:t xml:space="preserve">. </w:t>
      </w:r>
      <w:r w:rsidR="00722B67">
        <w:t xml:space="preserve">                                                                                                     </w:t>
      </w:r>
      <w:r w:rsidR="00CA646E" w:rsidRPr="00D00C6A">
        <w:rPr>
          <w:b/>
          <w:bCs/>
          <w:i/>
          <w:iCs/>
        </w:rPr>
        <w:t>[</w:t>
      </w:r>
      <w:r w:rsidR="00CA646E">
        <w:rPr>
          <w:b/>
          <w:bCs/>
          <w:i/>
          <w:iCs/>
          <w:sz w:val="20"/>
        </w:rPr>
        <w:t>Schedule 1, items 7</w:t>
      </w:r>
      <w:r>
        <w:rPr>
          <w:b/>
          <w:bCs/>
          <w:i/>
          <w:iCs/>
          <w:sz w:val="20"/>
        </w:rPr>
        <w:t>0 to 72</w:t>
      </w:r>
      <w:r w:rsidR="00CA646E">
        <w:rPr>
          <w:b/>
          <w:bCs/>
          <w:i/>
          <w:iCs/>
          <w:sz w:val="20"/>
        </w:rPr>
        <w:t xml:space="preserve"> and 9</w:t>
      </w:r>
      <w:r>
        <w:rPr>
          <w:b/>
          <w:bCs/>
          <w:i/>
          <w:iCs/>
          <w:sz w:val="20"/>
        </w:rPr>
        <w:t>3 to 95</w:t>
      </w:r>
      <w:r w:rsidR="00CA646E">
        <w:rPr>
          <w:b/>
          <w:bCs/>
          <w:i/>
          <w:iCs/>
          <w:sz w:val="20"/>
        </w:rPr>
        <w:t xml:space="preserve">, </w:t>
      </w:r>
      <w:r>
        <w:rPr>
          <w:b/>
          <w:bCs/>
          <w:i/>
          <w:iCs/>
          <w:sz w:val="20"/>
        </w:rPr>
        <w:t>rules 4.18A and 4.20Q</w:t>
      </w:r>
      <w:r w:rsidR="00CA646E" w:rsidRPr="00D00C6A">
        <w:rPr>
          <w:b/>
          <w:bCs/>
          <w:i/>
          <w:iCs/>
        </w:rPr>
        <w:t>]</w:t>
      </w:r>
    </w:p>
    <w:p w14:paraId="6BDC6224" w14:textId="1C32A84A" w:rsidR="008E1602" w:rsidRPr="008E1602" w:rsidRDefault="008E1602" w:rsidP="008E1602">
      <w:pPr>
        <w:pStyle w:val="OutlineNumbered1"/>
        <w:numPr>
          <w:ilvl w:val="0"/>
          <w:numId w:val="0"/>
        </w:numPr>
        <w:ind w:left="567" w:hanging="567"/>
        <w:rPr>
          <w:i/>
          <w:iCs/>
        </w:rPr>
      </w:pPr>
      <w:r>
        <w:rPr>
          <w:i/>
          <w:iCs/>
        </w:rPr>
        <w:t xml:space="preserve">Direct marketing </w:t>
      </w:r>
      <w:r w:rsidR="00A34EF9">
        <w:rPr>
          <w:i/>
          <w:iCs/>
        </w:rPr>
        <w:t xml:space="preserve">and de-identification </w:t>
      </w:r>
      <w:r>
        <w:rPr>
          <w:i/>
          <w:iCs/>
        </w:rPr>
        <w:t>consents</w:t>
      </w:r>
    </w:p>
    <w:p w14:paraId="2E56E724" w14:textId="6DD925CE" w:rsidR="005B1BBA" w:rsidRDefault="003D002E" w:rsidP="00F45ACA">
      <w:pPr>
        <w:pStyle w:val="OutlineNumbered1"/>
      </w:pPr>
      <w:r>
        <w:t xml:space="preserve">A </w:t>
      </w:r>
      <w:r w:rsidR="001502E5">
        <w:t>note is added</w:t>
      </w:r>
      <w:r w:rsidR="004E3181">
        <w:t xml:space="preserve"> to clarify</w:t>
      </w:r>
      <w:r w:rsidR="00820578">
        <w:t xml:space="preserve"> that</w:t>
      </w:r>
      <w:r w:rsidR="004F05A7">
        <w:t xml:space="preserve"> </w:t>
      </w:r>
      <w:r w:rsidR="004E3181">
        <w:t>direct marketing and de-identification consents may consist of either a use or disclosure consent, or a combination of use and disclosure consent</w:t>
      </w:r>
      <w:r w:rsidR="0089587A">
        <w:t>s</w:t>
      </w:r>
      <w:r w:rsidR="004E3181">
        <w:t>.</w:t>
      </w:r>
      <w:r w:rsidR="004F05A7">
        <w:t xml:space="preserve"> </w:t>
      </w:r>
      <w:r w:rsidR="001E53ED">
        <w:t>This is designed to clarify how the</w:t>
      </w:r>
      <w:r w:rsidR="00406FAB">
        <w:t>se consents are to be treated under the</w:t>
      </w:r>
      <w:r w:rsidR="001E53ED">
        <w:t xml:space="preserve"> CDR </w:t>
      </w:r>
      <w:r w:rsidR="00406FAB">
        <w:t>R</w:t>
      </w:r>
      <w:r w:rsidR="001E53ED">
        <w:t xml:space="preserve">ules, consistently with the </w:t>
      </w:r>
      <w:r w:rsidR="001502E5">
        <w:t xml:space="preserve">original </w:t>
      </w:r>
      <w:r w:rsidR="001E53ED">
        <w:t xml:space="preserve">intention. </w:t>
      </w:r>
      <w:r w:rsidR="0090796A">
        <w:t xml:space="preserve">                                                   </w:t>
      </w:r>
      <w:r w:rsidR="001E53ED" w:rsidRPr="00D00C6A">
        <w:rPr>
          <w:b/>
          <w:bCs/>
          <w:i/>
          <w:iCs/>
        </w:rPr>
        <w:t>[</w:t>
      </w:r>
      <w:r w:rsidR="00677B4E">
        <w:rPr>
          <w:b/>
          <w:bCs/>
          <w:i/>
          <w:iCs/>
          <w:sz w:val="20"/>
        </w:rPr>
        <w:t xml:space="preserve">Schedule 1, item </w:t>
      </w:r>
      <w:r w:rsidR="00B97CCE">
        <w:rPr>
          <w:b/>
          <w:bCs/>
          <w:i/>
          <w:iCs/>
          <w:sz w:val="20"/>
        </w:rPr>
        <w:t>42</w:t>
      </w:r>
      <w:r w:rsidR="00677B4E">
        <w:rPr>
          <w:b/>
          <w:bCs/>
          <w:i/>
          <w:iCs/>
          <w:sz w:val="20"/>
        </w:rPr>
        <w:t>, subrule 1.10A(1)</w:t>
      </w:r>
      <w:r w:rsidR="00AE0F5F">
        <w:rPr>
          <w:b/>
          <w:bCs/>
          <w:i/>
          <w:iCs/>
          <w:sz w:val="20"/>
        </w:rPr>
        <w:t xml:space="preserve"> </w:t>
      </w:r>
      <w:r w:rsidR="00677B4E">
        <w:rPr>
          <w:b/>
          <w:bCs/>
          <w:i/>
          <w:iCs/>
          <w:sz w:val="20"/>
        </w:rPr>
        <w:t>(note)</w:t>
      </w:r>
      <w:r w:rsidR="001E53ED" w:rsidRPr="00D00C6A">
        <w:rPr>
          <w:b/>
          <w:bCs/>
          <w:i/>
          <w:iCs/>
        </w:rPr>
        <w:t>]</w:t>
      </w:r>
    </w:p>
    <w:p w14:paraId="764D6DBB" w14:textId="2C3F6DC3" w:rsidR="006E7B40" w:rsidRDefault="00D73E81" w:rsidP="00F45ACA">
      <w:pPr>
        <w:pStyle w:val="OutlineNumbered1"/>
      </w:pPr>
      <w:r>
        <w:t xml:space="preserve">When an accredited person or CDR representative is seeking a direct marketing consent, they must inform the CDR consumer about how the CDR data covered by the consent may be used or disclosed. </w:t>
      </w:r>
      <w:r w:rsidR="00551628">
        <w:t xml:space="preserve">                                                                         </w:t>
      </w:r>
      <w:r w:rsidRPr="00D00C6A">
        <w:rPr>
          <w:b/>
          <w:bCs/>
          <w:i/>
          <w:iCs/>
        </w:rPr>
        <w:t>[</w:t>
      </w:r>
      <w:r>
        <w:rPr>
          <w:b/>
          <w:bCs/>
          <w:i/>
          <w:iCs/>
          <w:sz w:val="20"/>
        </w:rPr>
        <w:t xml:space="preserve">Schedule 1, items </w:t>
      </w:r>
      <w:r w:rsidR="00B97CCE">
        <w:rPr>
          <w:b/>
          <w:bCs/>
          <w:i/>
          <w:iCs/>
          <w:sz w:val="20"/>
        </w:rPr>
        <w:t>60, 64, 65, 85</w:t>
      </w:r>
      <w:r w:rsidR="004A5650">
        <w:rPr>
          <w:b/>
          <w:bCs/>
          <w:i/>
          <w:iCs/>
          <w:sz w:val="20"/>
        </w:rPr>
        <w:t>, 88, 89</w:t>
      </w:r>
      <w:r>
        <w:rPr>
          <w:b/>
          <w:bCs/>
          <w:i/>
          <w:iCs/>
          <w:sz w:val="20"/>
        </w:rPr>
        <w:t>, paragraph 4.11(3</w:t>
      </w:r>
      <w:r w:rsidR="0080754B">
        <w:rPr>
          <w:b/>
          <w:bCs/>
          <w:i/>
          <w:iCs/>
          <w:sz w:val="20"/>
        </w:rPr>
        <w:t>)</w:t>
      </w:r>
      <w:r>
        <w:rPr>
          <w:b/>
          <w:bCs/>
          <w:i/>
          <w:iCs/>
          <w:sz w:val="20"/>
        </w:rPr>
        <w:t>(da)</w:t>
      </w:r>
      <w:r w:rsidR="00203068">
        <w:rPr>
          <w:b/>
          <w:bCs/>
          <w:i/>
          <w:iCs/>
          <w:sz w:val="20"/>
        </w:rPr>
        <w:t>, subrule 4.11(3)</w:t>
      </w:r>
      <w:r w:rsidR="00AE0F5F">
        <w:rPr>
          <w:b/>
          <w:bCs/>
          <w:i/>
          <w:iCs/>
          <w:sz w:val="20"/>
        </w:rPr>
        <w:t xml:space="preserve"> </w:t>
      </w:r>
      <w:r w:rsidR="00203068">
        <w:rPr>
          <w:b/>
          <w:bCs/>
          <w:i/>
          <w:iCs/>
          <w:sz w:val="20"/>
        </w:rPr>
        <w:t>(notes),</w:t>
      </w:r>
      <w:r w:rsidR="00205E68">
        <w:rPr>
          <w:b/>
          <w:bCs/>
          <w:i/>
          <w:iCs/>
          <w:sz w:val="20"/>
        </w:rPr>
        <w:t xml:space="preserve"> paragraph</w:t>
      </w:r>
      <w:r>
        <w:rPr>
          <w:b/>
          <w:bCs/>
          <w:i/>
          <w:iCs/>
          <w:sz w:val="20"/>
        </w:rPr>
        <w:t xml:space="preserve"> 4.20</w:t>
      </w:r>
      <w:r w:rsidR="00550846">
        <w:rPr>
          <w:b/>
          <w:bCs/>
          <w:i/>
          <w:iCs/>
          <w:sz w:val="20"/>
        </w:rPr>
        <w:t>E(3)(ga</w:t>
      </w:r>
      <w:r>
        <w:rPr>
          <w:b/>
          <w:bCs/>
          <w:i/>
          <w:iCs/>
          <w:sz w:val="20"/>
        </w:rPr>
        <w:t>)</w:t>
      </w:r>
      <w:r w:rsidR="00205E68">
        <w:rPr>
          <w:b/>
          <w:bCs/>
          <w:i/>
          <w:iCs/>
          <w:sz w:val="20"/>
        </w:rPr>
        <w:t xml:space="preserve"> and subrule 4.20E(3)</w:t>
      </w:r>
      <w:r w:rsidR="00AE0F5F">
        <w:rPr>
          <w:b/>
          <w:bCs/>
          <w:i/>
          <w:iCs/>
          <w:sz w:val="20"/>
        </w:rPr>
        <w:t xml:space="preserve"> </w:t>
      </w:r>
      <w:r w:rsidR="00205E68">
        <w:rPr>
          <w:b/>
          <w:bCs/>
          <w:i/>
          <w:iCs/>
          <w:sz w:val="20"/>
        </w:rPr>
        <w:t>(notes</w:t>
      </w:r>
      <w:r>
        <w:rPr>
          <w:b/>
          <w:bCs/>
          <w:i/>
          <w:iCs/>
          <w:sz w:val="20"/>
        </w:rPr>
        <w:t>)</w:t>
      </w:r>
      <w:r w:rsidRPr="00D00C6A">
        <w:rPr>
          <w:b/>
          <w:bCs/>
          <w:i/>
          <w:iCs/>
        </w:rPr>
        <w:t>]</w:t>
      </w:r>
    </w:p>
    <w:p w14:paraId="4BA674DF" w14:textId="642193BA" w:rsidR="007F0686" w:rsidRDefault="007F0686" w:rsidP="00F45ACA">
      <w:pPr>
        <w:pStyle w:val="OutlineNumbered1"/>
      </w:pPr>
      <w:r>
        <w:t xml:space="preserve">A minor amendment is made to </w:t>
      </w:r>
      <w:r w:rsidR="00815635">
        <w:t xml:space="preserve">rule 4.15 </w:t>
      </w:r>
      <w:r w:rsidR="005B481D">
        <w:t>(</w:t>
      </w:r>
      <w:r w:rsidR="00815635">
        <w:t>additional information provided when a de-identification consent is sought</w:t>
      </w:r>
      <w:r w:rsidR="005B481D">
        <w:t>)</w:t>
      </w:r>
      <w:r w:rsidR="00815635">
        <w:t xml:space="preserve"> to clarify the wording in line with current drafting practice.</w:t>
      </w:r>
      <w:r w:rsidR="004F4720">
        <w:t xml:space="preserve">                                                                                                        </w:t>
      </w:r>
      <w:r w:rsidR="00815635">
        <w:t xml:space="preserve"> </w:t>
      </w:r>
      <w:r w:rsidR="00815635" w:rsidRPr="00D00C6A">
        <w:rPr>
          <w:b/>
          <w:bCs/>
          <w:i/>
          <w:iCs/>
        </w:rPr>
        <w:t>[</w:t>
      </w:r>
      <w:r w:rsidR="00815635">
        <w:rPr>
          <w:b/>
          <w:bCs/>
          <w:i/>
          <w:iCs/>
          <w:sz w:val="20"/>
        </w:rPr>
        <w:t>Schedule 1, item 68, rule 4.15</w:t>
      </w:r>
      <w:r w:rsidR="00815635" w:rsidRPr="00D00C6A">
        <w:rPr>
          <w:b/>
          <w:bCs/>
          <w:i/>
          <w:iCs/>
        </w:rPr>
        <w:t>]</w:t>
      </w:r>
    </w:p>
    <w:p w14:paraId="37697A44" w14:textId="1131B09A" w:rsidR="008E1602" w:rsidRPr="008E1602" w:rsidRDefault="008E1602" w:rsidP="008E1602">
      <w:pPr>
        <w:pStyle w:val="OutlineNumbered1"/>
        <w:numPr>
          <w:ilvl w:val="0"/>
          <w:numId w:val="0"/>
        </w:numPr>
        <w:ind w:left="567" w:hanging="567"/>
        <w:rPr>
          <w:i/>
          <w:iCs/>
        </w:rPr>
      </w:pPr>
      <w:r w:rsidRPr="008E1602">
        <w:rPr>
          <w:i/>
          <w:iCs/>
        </w:rPr>
        <w:t xml:space="preserve">Information about supporting </w:t>
      </w:r>
      <w:proofErr w:type="gramStart"/>
      <w:r w:rsidRPr="008E1602">
        <w:rPr>
          <w:i/>
          <w:iCs/>
        </w:rPr>
        <w:t>parties</w:t>
      </w:r>
      <w:proofErr w:type="gramEnd"/>
    </w:p>
    <w:p w14:paraId="5E09D020" w14:textId="28C0EBDA" w:rsidR="008E1602" w:rsidRPr="00595B2B" w:rsidRDefault="00F45ACA" w:rsidP="00660EAD">
      <w:pPr>
        <w:pStyle w:val="OutlineNumbered1"/>
      </w:pPr>
      <w:r>
        <w:t xml:space="preserve">Rules </w:t>
      </w:r>
      <w:r w:rsidR="002C777F">
        <w:t>requiring</w:t>
      </w:r>
      <w:r w:rsidR="00B1652F">
        <w:t xml:space="preserve"> </w:t>
      </w:r>
      <w:r>
        <w:t xml:space="preserve">information </w:t>
      </w:r>
      <w:r w:rsidR="000417F1">
        <w:t xml:space="preserve">to </w:t>
      </w:r>
      <w:r w:rsidR="00660EAD">
        <w:t xml:space="preserve">be provided when requesting a CDR consumer’s consent </w:t>
      </w:r>
      <w:r>
        <w:t xml:space="preserve">about </w:t>
      </w:r>
      <w:r w:rsidR="00660EAD">
        <w:t xml:space="preserve">any outsourced service providers or sponsors that will be collecting and disclosing CDR data under the consent are </w:t>
      </w:r>
      <w:r w:rsidR="002C777F">
        <w:t xml:space="preserve">amended so that the requirements are consistent. This will </w:t>
      </w:r>
      <w:r w:rsidR="006956AB">
        <w:t>improve e</w:t>
      </w:r>
      <w:r w:rsidR="002C777F">
        <w:t xml:space="preserve">fficiency </w:t>
      </w:r>
      <w:r w:rsidR="003018F0">
        <w:t xml:space="preserve">and transparency </w:t>
      </w:r>
      <w:r w:rsidR="00527509">
        <w:t xml:space="preserve">for consumers </w:t>
      </w:r>
      <w:r w:rsidR="006956AB">
        <w:t>when consents are requested.</w:t>
      </w:r>
      <w:r w:rsidR="0071764F">
        <w:t xml:space="preserve"> </w:t>
      </w:r>
      <w:r w:rsidR="003E19B8">
        <w:t xml:space="preserve">                                                                                               </w:t>
      </w:r>
      <w:r w:rsidR="0071764F" w:rsidRPr="00D00C6A">
        <w:rPr>
          <w:b/>
          <w:bCs/>
          <w:i/>
          <w:iCs/>
        </w:rPr>
        <w:t>[</w:t>
      </w:r>
      <w:r w:rsidR="00677B4E">
        <w:rPr>
          <w:b/>
          <w:bCs/>
          <w:i/>
          <w:iCs/>
          <w:sz w:val="20"/>
        </w:rPr>
        <w:t xml:space="preserve">Schedule 1, items </w:t>
      </w:r>
      <w:r w:rsidR="00051AF9">
        <w:rPr>
          <w:b/>
          <w:bCs/>
          <w:i/>
          <w:iCs/>
          <w:sz w:val="20"/>
        </w:rPr>
        <w:t>61, 63</w:t>
      </w:r>
      <w:r w:rsidR="00B91158">
        <w:rPr>
          <w:b/>
          <w:bCs/>
          <w:i/>
          <w:iCs/>
          <w:sz w:val="20"/>
        </w:rPr>
        <w:t xml:space="preserve"> and </w:t>
      </w:r>
      <w:r w:rsidR="00605FA4">
        <w:rPr>
          <w:b/>
          <w:bCs/>
          <w:i/>
          <w:iCs/>
          <w:sz w:val="20"/>
        </w:rPr>
        <w:t>8</w:t>
      </w:r>
      <w:r w:rsidR="00605FA4" w:rsidDel="007A505C">
        <w:rPr>
          <w:b/>
          <w:bCs/>
          <w:i/>
          <w:iCs/>
          <w:sz w:val="20"/>
        </w:rPr>
        <w:t>6</w:t>
      </w:r>
      <w:r w:rsidR="00B91158">
        <w:rPr>
          <w:b/>
          <w:bCs/>
          <w:i/>
          <w:iCs/>
          <w:sz w:val="20"/>
        </w:rPr>
        <w:t>, paragraphs 4.11(3)(f) and (</w:t>
      </w:r>
      <w:proofErr w:type="spellStart"/>
      <w:r w:rsidR="00B91158">
        <w:rPr>
          <w:b/>
          <w:bCs/>
          <w:i/>
          <w:iCs/>
          <w:sz w:val="20"/>
        </w:rPr>
        <w:t>i</w:t>
      </w:r>
      <w:proofErr w:type="spellEnd"/>
      <w:r w:rsidR="00B91158">
        <w:rPr>
          <w:b/>
          <w:bCs/>
          <w:i/>
          <w:iCs/>
          <w:sz w:val="20"/>
        </w:rPr>
        <w:t>) and 4.20E(3)(k)</w:t>
      </w:r>
      <w:r w:rsidR="0071764F" w:rsidRPr="00D00C6A">
        <w:rPr>
          <w:b/>
          <w:bCs/>
          <w:i/>
          <w:iCs/>
        </w:rPr>
        <w:t>]</w:t>
      </w:r>
    </w:p>
    <w:p w14:paraId="3C082494" w14:textId="0EFD9758" w:rsidR="001E472E" w:rsidRDefault="00A0507E" w:rsidP="00660EAD">
      <w:pPr>
        <w:pStyle w:val="OutlineNumbered1"/>
      </w:pPr>
      <w:r>
        <w:t>T</w:t>
      </w:r>
      <w:r w:rsidR="001E472E">
        <w:t xml:space="preserve">o allow sufficient time for the necessary systems </w:t>
      </w:r>
      <w:r w:rsidR="0033344E">
        <w:t xml:space="preserve">to be </w:t>
      </w:r>
      <w:r w:rsidR="001E472E">
        <w:t>updat</w:t>
      </w:r>
      <w:r w:rsidR="0033344E">
        <w:t xml:space="preserve">ed, the existing requirements will continue to apply until 12 months after the Amending Rules have commenced. </w:t>
      </w:r>
      <w:r w:rsidR="003E19B8">
        <w:t xml:space="preserve">                                                                                                                </w:t>
      </w:r>
      <w:r w:rsidR="0033344E" w:rsidRPr="00D00C6A">
        <w:rPr>
          <w:b/>
          <w:bCs/>
          <w:i/>
          <w:iCs/>
        </w:rPr>
        <w:t>[</w:t>
      </w:r>
      <w:r w:rsidR="0033344E">
        <w:rPr>
          <w:b/>
          <w:bCs/>
          <w:i/>
          <w:iCs/>
          <w:sz w:val="20"/>
        </w:rPr>
        <w:t>Schedule 1, item 10</w:t>
      </w:r>
      <w:r w:rsidR="003E6832">
        <w:rPr>
          <w:b/>
          <w:bCs/>
          <w:i/>
          <w:iCs/>
          <w:sz w:val="20"/>
        </w:rPr>
        <w:t>3</w:t>
      </w:r>
      <w:r w:rsidR="0033344E">
        <w:rPr>
          <w:b/>
          <w:bCs/>
          <w:i/>
          <w:iCs/>
          <w:sz w:val="20"/>
        </w:rPr>
        <w:t xml:space="preserve">, rules </w:t>
      </w:r>
      <w:r w:rsidR="00051AF9">
        <w:rPr>
          <w:b/>
          <w:bCs/>
          <w:i/>
          <w:iCs/>
          <w:sz w:val="20"/>
        </w:rPr>
        <w:t>502 and 505</w:t>
      </w:r>
      <w:r w:rsidR="0033344E" w:rsidRPr="00D00C6A">
        <w:rPr>
          <w:b/>
          <w:bCs/>
          <w:i/>
          <w:iCs/>
        </w:rPr>
        <w:t>]</w:t>
      </w:r>
    </w:p>
    <w:p w14:paraId="52C2CDFB" w14:textId="38FB423B" w:rsidR="008E1602" w:rsidRPr="008E1602" w:rsidRDefault="008E1602" w:rsidP="008E1602">
      <w:pPr>
        <w:pStyle w:val="OutlineNumbered1"/>
        <w:numPr>
          <w:ilvl w:val="0"/>
          <w:numId w:val="0"/>
        </w:numPr>
        <w:ind w:left="567" w:hanging="567"/>
        <w:rPr>
          <w:i/>
          <w:iCs/>
        </w:rPr>
      </w:pPr>
      <w:r w:rsidRPr="008E1602">
        <w:rPr>
          <w:i/>
          <w:iCs/>
        </w:rPr>
        <w:t>CDR receipts</w:t>
      </w:r>
    </w:p>
    <w:p w14:paraId="01E818BE" w14:textId="59002292" w:rsidR="001C24DB" w:rsidRDefault="006B1A4D" w:rsidP="001C24DB">
      <w:pPr>
        <w:pStyle w:val="OutlineNumbered1"/>
      </w:pPr>
      <w:r>
        <w:lastRenderedPageBreak/>
        <w:t>T</w:t>
      </w:r>
      <w:r w:rsidR="001C24DB">
        <w:t xml:space="preserve">he requirements </w:t>
      </w:r>
      <w:r>
        <w:t xml:space="preserve">regarding CDR receipts </w:t>
      </w:r>
      <w:r w:rsidR="001C24DB">
        <w:t xml:space="preserve">are amended so that </w:t>
      </w:r>
      <w:r w:rsidR="00806F9D">
        <w:t>the CDR</w:t>
      </w:r>
      <w:r w:rsidR="001C24DB">
        <w:t xml:space="preserve"> Rules </w:t>
      </w:r>
      <w:r w:rsidR="00806F9D">
        <w:t xml:space="preserve">only </w:t>
      </w:r>
      <w:r w:rsidR="001C24DB" w:rsidRPr="001C24DB">
        <w:t xml:space="preserve">require CDR receipts </w:t>
      </w:r>
      <w:r w:rsidR="004D1522">
        <w:t xml:space="preserve">to </w:t>
      </w:r>
      <w:r w:rsidR="001C24DB" w:rsidRPr="001C24DB">
        <w:t>be given in accordance with the data standards</w:t>
      </w:r>
      <w:r w:rsidR="00196905">
        <w:t xml:space="preserve">. The existing timing </w:t>
      </w:r>
      <w:r w:rsidR="00170A74">
        <w:t xml:space="preserve">requirements are retained, that is, a CDR receipt must be given as soon as practicable after a CDR consumer gives, amends or withdraws a collection use or disclosure consent. </w:t>
      </w:r>
      <w:r w:rsidR="00C63019">
        <w:t xml:space="preserve">In addition, the existing requirements regarding CDR receipts will continue to apply until the relevant data standards are made and in effect. </w:t>
      </w:r>
      <w:r w:rsidR="00AD4B8D">
        <w:t xml:space="preserve">                                                                                                                         </w:t>
      </w:r>
      <w:r w:rsidR="00196905" w:rsidRPr="00D00C6A">
        <w:rPr>
          <w:b/>
          <w:bCs/>
          <w:i/>
          <w:iCs/>
        </w:rPr>
        <w:t>[</w:t>
      </w:r>
      <w:r w:rsidR="00B91158">
        <w:rPr>
          <w:b/>
          <w:bCs/>
          <w:i/>
          <w:iCs/>
          <w:sz w:val="20"/>
        </w:rPr>
        <w:t xml:space="preserve">Schedule 1, items </w:t>
      </w:r>
      <w:r w:rsidR="00051AF9">
        <w:rPr>
          <w:b/>
          <w:bCs/>
          <w:i/>
          <w:iCs/>
          <w:sz w:val="20"/>
        </w:rPr>
        <w:t>69, 92</w:t>
      </w:r>
      <w:r w:rsidR="003E6832">
        <w:rPr>
          <w:b/>
          <w:bCs/>
          <w:i/>
          <w:iCs/>
          <w:sz w:val="20"/>
        </w:rPr>
        <w:t>, 100</w:t>
      </w:r>
      <w:r w:rsidR="00C63019">
        <w:rPr>
          <w:b/>
          <w:bCs/>
          <w:i/>
          <w:iCs/>
          <w:sz w:val="20"/>
        </w:rPr>
        <w:t xml:space="preserve"> and </w:t>
      </w:r>
      <w:r w:rsidR="003E6832">
        <w:rPr>
          <w:b/>
          <w:bCs/>
          <w:i/>
          <w:iCs/>
          <w:sz w:val="20"/>
        </w:rPr>
        <w:t>103</w:t>
      </w:r>
      <w:r w:rsidR="00B91158">
        <w:rPr>
          <w:b/>
          <w:bCs/>
          <w:i/>
          <w:iCs/>
          <w:sz w:val="20"/>
        </w:rPr>
        <w:t>, rules 4.18 and 4.20O</w:t>
      </w:r>
      <w:r w:rsidR="004B770F">
        <w:rPr>
          <w:b/>
          <w:bCs/>
          <w:i/>
          <w:iCs/>
          <w:sz w:val="20"/>
        </w:rPr>
        <w:t>, paragraph 8.11(1)(fa)</w:t>
      </w:r>
      <w:r w:rsidR="00605FA4">
        <w:rPr>
          <w:b/>
          <w:bCs/>
          <w:i/>
          <w:iCs/>
          <w:sz w:val="20"/>
        </w:rPr>
        <w:t xml:space="preserve"> and </w:t>
      </w:r>
      <w:r w:rsidR="00270D6C">
        <w:rPr>
          <w:b/>
          <w:bCs/>
          <w:i/>
          <w:iCs/>
          <w:sz w:val="20"/>
        </w:rPr>
        <w:t>rules 503 and 50</w:t>
      </w:r>
      <w:r w:rsidR="003E6832">
        <w:rPr>
          <w:b/>
          <w:bCs/>
          <w:i/>
          <w:iCs/>
          <w:sz w:val="20"/>
        </w:rPr>
        <w:t>6</w:t>
      </w:r>
      <w:r w:rsidR="00196905" w:rsidRPr="00D00C6A">
        <w:rPr>
          <w:b/>
          <w:bCs/>
          <w:i/>
          <w:iCs/>
        </w:rPr>
        <w:t>]</w:t>
      </w:r>
    </w:p>
    <w:p w14:paraId="44E4640E" w14:textId="752FB335" w:rsidR="008E1602" w:rsidRDefault="00196905" w:rsidP="001C24DB">
      <w:pPr>
        <w:pStyle w:val="OutlineNumbered1"/>
      </w:pPr>
      <w:r>
        <w:t>This simplification of obligations under the CDR Rules and allowing the data standards to s</w:t>
      </w:r>
      <w:r w:rsidR="00820ADF">
        <w:t xml:space="preserve">pecify </w:t>
      </w:r>
      <w:r>
        <w:t xml:space="preserve">the information </w:t>
      </w:r>
      <w:r w:rsidR="0030704B">
        <w:t xml:space="preserve">that must be included in </w:t>
      </w:r>
      <w:r>
        <w:t xml:space="preserve">receipts will </w:t>
      </w:r>
      <w:r w:rsidR="00C212F1">
        <w:t>improve consistency</w:t>
      </w:r>
      <w:r>
        <w:t xml:space="preserve"> and compliance in the provision of CDR receipts</w:t>
      </w:r>
      <w:r w:rsidR="001C24DB" w:rsidRPr="001C24DB">
        <w:t>.</w:t>
      </w:r>
    </w:p>
    <w:p w14:paraId="774973EF" w14:textId="2F0FC562" w:rsidR="008E1602" w:rsidRPr="00DA3816" w:rsidRDefault="000F32A1" w:rsidP="008E578F">
      <w:pPr>
        <w:pStyle w:val="OutlineNumbered1"/>
        <w:keepNext/>
        <w:numPr>
          <w:ilvl w:val="0"/>
          <w:numId w:val="0"/>
        </w:numPr>
        <w:ind w:left="567" w:hanging="567"/>
        <w:rPr>
          <w:i/>
          <w:iCs/>
        </w:rPr>
      </w:pPr>
      <w:r>
        <w:rPr>
          <w:i/>
          <w:iCs/>
        </w:rPr>
        <w:t xml:space="preserve">Miscellaneous </w:t>
      </w:r>
      <w:r w:rsidR="001B2A8F">
        <w:rPr>
          <w:i/>
          <w:iCs/>
        </w:rPr>
        <w:t>a</w:t>
      </w:r>
      <w:r w:rsidR="00DA3816" w:rsidRPr="00DA3816">
        <w:rPr>
          <w:i/>
          <w:iCs/>
        </w:rPr>
        <w:t>mendments</w:t>
      </w:r>
    </w:p>
    <w:p w14:paraId="611B36DE" w14:textId="7B0D561F" w:rsidR="00696EF5" w:rsidRPr="00696EF5" w:rsidRDefault="00696EF5" w:rsidP="00DA3816">
      <w:pPr>
        <w:pStyle w:val="OutlineNumbered1"/>
      </w:pPr>
      <w:r>
        <w:t xml:space="preserve">An incorrect reference to </w:t>
      </w:r>
      <w:r w:rsidR="00577482">
        <w:t>‘</w:t>
      </w:r>
      <w:r>
        <w:t>accredited data recipient</w:t>
      </w:r>
      <w:r w:rsidR="00577482">
        <w:t>’</w:t>
      </w:r>
      <w:r>
        <w:t xml:space="preserve"> is changed to </w:t>
      </w:r>
      <w:r w:rsidR="00577482">
        <w:t>‘</w:t>
      </w:r>
      <w:r>
        <w:t>CDR representative</w:t>
      </w:r>
      <w:r w:rsidR="00577482">
        <w:t>’</w:t>
      </w:r>
      <w:r>
        <w:t xml:space="preserve"> in note 3 to subrule 4.20E(1). </w:t>
      </w:r>
      <w:r w:rsidR="00CB32E6">
        <w:tab/>
      </w:r>
      <w:r w:rsidR="00CB32E6">
        <w:tab/>
      </w:r>
      <w:r w:rsidR="00CB32E6">
        <w:tab/>
      </w:r>
      <w:r w:rsidR="00CB32E6">
        <w:tab/>
        <w:t xml:space="preserve"> </w:t>
      </w:r>
      <w:r w:rsidRPr="00D00C6A">
        <w:rPr>
          <w:b/>
          <w:bCs/>
          <w:i/>
          <w:iCs/>
        </w:rPr>
        <w:t>[</w:t>
      </w:r>
      <w:r w:rsidR="00B91158">
        <w:rPr>
          <w:b/>
          <w:bCs/>
          <w:i/>
          <w:iCs/>
          <w:sz w:val="20"/>
        </w:rPr>
        <w:t xml:space="preserve">Schedule 1, item </w:t>
      </w:r>
      <w:r w:rsidR="001F23CC">
        <w:rPr>
          <w:b/>
          <w:bCs/>
          <w:i/>
          <w:iCs/>
          <w:sz w:val="20"/>
        </w:rPr>
        <w:t>8</w:t>
      </w:r>
      <w:r w:rsidR="0091269D">
        <w:rPr>
          <w:b/>
          <w:bCs/>
          <w:i/>
          <w:iCs/>
          <w:sz w:val="20"/>
        </w:rPr>
        <w:t>2</w:t>
      </w:r>
      <w:r w:rsidR="008B4C90">
        <w:rPr>
          <w:b/>
          <w:bCs/>
          <w:i/>
          <w:iCs/>
          <w:sz w:val="20"/>
        </w:rPr>
        <w:t>, subrule 4.20E(1)</w:t>
      </w:r>
      <w:r w:rsidR="001F23CC">
        <w:rPr>
          <w:b/>
          <w:bCs/>
          <w:i/>
          <w:iCs/>
          <w:sz w:val="20"/>
        </w:rPr>
        <w:t xml:space="preserve"> </w:t>
      </w:r>
      <w:r w:rsidR="008B4C90">
        <w:rPr>
          <w:b/>
          <w:bCs/>
          <w:i/>
          <w:iCs/>
          <w:sz w:val="20"/>
        </w:rPr>
        <w:t>(note</w:t>
      </w:r>
      <w:r w:rsidR="00011268">
        <w:rPr>
          <w:b/>
          <w:bCs/>
          <w:i/>
          <w:iCs/>
          <w:sz w:val="20"/>
        </w:rPr>
        <w:t> </w:t>
      </w:r>
      <w:r w:rsidR="008B4C90">
        <w:rPr>
          <w:b/>
          <w:bCs/>
          <w:i/>
          <w:iCs/>
          <w:sz w:val="20"/>
        </w:rPr>
        <w:t>3)</w:t>
      </w:r>
      <w:r w:rsidRPr="00D00C6A">
        <w:rPr>
          <w:b/>
          <w:bCs/>
          <w:i/>
          <w:iCs/>
        </w:rPr>
        <w:t>]</w:t>
      </w:r>
    </w:p>
    <w:p w14:paraId="64C37896" w14:textId="67167F82" w:rsidR="00696EF5" w:rsidRDefault="004C0E7D" w:rsidP="00DA3816">
      <w:pPr>
        <w:pStyle w:val="OutlineNumbered1"/>
      </w:pPr>
      <w:r>
        <w:t>Minor amendments are made to the provisions</w:t>
      </w:r>
      <w:r w:rsidR="007871A7">
        <w:t xml:space="preserve"> relating to consumer dashboards</w:t>
      </w:r>
      <w:r w:rsidR="0026672C">
        <w:t xml:space="preserve"> provided by accredited persons</w:t>
      </w:r>
      <w:r w:rsidR="006347C7">
        <w:t>,</w:t>
      </w:r>
      <w:r w:rsidR="007871A7">
        <w:t xml:space="preserve"> </w:t>
      </w:r>
      <w:r>
        <w:t xml:space="preserve">to </w:t>
      </w:r>
      <w:r w:rsidR="006443E3">
        <w:t xml:space="preserve">remove the expression </w:t>
      </w:r>
      <w:r w:rsidR="00577482">
        <w:t>‘</w:t>
      </w:r>
      <w:r w:rsidR="006443E3">
        <w:t>functionality</w:t>
      </w:r>
      <w:r w:rsidR="00577482">
        <w:t>’</w:t>
      </w:r>
      <w:r w:rsidR="006443E3">
        <w:t xml:space="preserve">, and clarify the wording in line with current drafting practice. </w:t>
      </w:r>
      <w:r w:rsidR="00CB32E6">
        <w:tab/>
      </w:r>
      <w:r w:rsidR="00CB32E6">
        <w:tab/>
      </w:r>
      <w:r w:rsidR="00CB32E6">
        <w:tab/>
      </w:r>
      <w:r w:rsidR="00CB32E6">
        <w:tab/>
        <w:t xml:space="preserve"> </w:t>
      </w:r>
      <w:r w:rsidR="006443E3" w:rsidRPr="00D00C6A">
        <w:rPr>
          <w:b/>
          <w:bCs/>
          <w:i/>
          <w:iCs/>
        </w:rPr>
        <w:t>[</w:t>
      </w:r>
      <w:r w:rsidR="006443E3">
        <w:rPr>
          <w:b/>
          <w:bCs/>
          <w:i/>
          <w:iCs/>
          <w:sz w:val="20"/>
        </w:rPr>
        <w:t xml:space="preserve">Schedule 1, items </w:t>
      </w:r>
      <w:r w:rsidR="005A2A5D" w:rsidDel="002B2999">
        <w:rPr>
          <w:b/>
          <w:bCs/>
          <w:i/>
          <w:iCs/>
          <w:sz w:val="20"/>
        </w:rPr>
        <w:t>8</w:t>
      </w:r>
      <w:r w:rsidR="0091269D">
        <w:rPr>
          <w:b/>
          <w:bCs/>
          <w:i/>
          <w:iCs/>
          <w:sz w:val="20"/>
        </w:rPr>
        <w:t>, 14</w:t>
      </w:r>
      <w:r w:rsidR="005A2A5D">
        <w:rPr>
          <w:b/>
          <w:bCs/>
          <w:i/>
          <w:iCs/>
          <w:sz w:val="20"/>
        </w:rPr>
        <w:t xml:space="preserve"> </w:t>
      </w:r>
      <w:r w:rsidR="006443E3">
        <w:rPr>
          <w:b/>
          <w:bCs/>
          <w:i/>
          <w:iCs/>
          <w:sz w:val="20"/>
        </w:rPr>
        <w:t xml:space="preserve">to </w:t>
      </w:r>
      <w:r w:rsidR="009E1E35">
        <w:rPr>
          <w:b/>
          <w:bCs/>
          <w:i/>
          <w:iCs/>
          <w:sz w:val="20"/>
        </w:rPr>
        <w:t>16, 25</w:t>
      </w:r>
      <w:r w:rsidR="005A2A5D">
        <w:rPr>
          <w:b/>
          <w:bCs/>
          <w:i/>
          <w:iCs/>
          <w:sz w:val="20"/>
        </w:rPr>
        <w:t xml:space="preserve"> </w:t>
      </w:r>
      <w:r w:rsidR="006347C7">
        <w:rPr>
          <w:b/>
          <w:bCs/>
          <w:i/>
          <w:iCs/>
          <w:sz w:val="20"/>
        </w:rPr>
        <w:t xml:space="preserve">and </w:t>
      </w:r>
      <w:r w:rsidR="009E1E35">
        <w:rPr>
          <w:b/>
          <w:bCs/>
          <w:i/>
          <w:iCs/>
          <w:sz w:val="20"/>
        </w:rPr>
        <w:t>26</w:t>
      </w:r>
      <w:r w:rsidR="006443E3">
        <w:rPr>
          <w:b/>
          <w:bCs/>
          <w:i/>
          <w:iCs/>
          <w:sz w:val="20"/>
        </w:rPr>
        <w:t xml:space="preserve">, </w:t>
      </w:r>
      <w:r w:rsidR="0026672C">
        <w:rPr>
          <w:b/>
          <w:bCs/>
          <w:i/>
          <w:iCs/>
          <w:sz w:val="20"/>
        </w:rPr>
        <w:t xml:space="preserve">rule 1.11, </w:t>
      </w:r>
      <w:r w:rsidR="006443E3">
        <w:rPr>
          <w:b/>
          <w:bCs/>
          <w:i/>
          <w:iCs/>
          <w:sz w:val="20"/>
        </w:rPr>
        <w:t>paragraph 1.14(1)(c)</w:t>
      </w:r>
      <w:r w:rsidR="006347C7">
        <w:rPr>
          <w:b/>
          <w:bCs/>
          <w:i/>
          <w:iCs/>
          <w:sz w:val="20"/>
        </w:rPr>
        <w:t xml:space="preserve">, </w:t>
      </w:r>
      <w:r w:rsidR="006443E3">
        <w:rPr>
          <w:b/>
          <w:bCs/>
          <w:i/>
          <w:iCs/>
          <w:sz w:val="20"/>
        </w:rPr>
        <w:t>subrules 1.14(2A) and (4)</w:t>
      </w:r>
      <w:r w:rsidR="006347C7">
        <w:rPr>
          <w:b/>
          <w:bCs/>
          <w:i/>
          <w:iCs/>
          <w:sz w:val="20"/>
        </w:rPr>
        <w:t xml:space="preserve"> and paragraphs 4.12B(2)(a) and 4.20H(2)(a)</w:t>
      </w:r>
      <w:r w:rsidR="006443E3" w:rsidRPr="00D00C6A">
        <w:rPr>
          <w:b/>
          <w:bCs/>
          <w:i/>
          <w:iCs/>
        </w:rPr>
        <w:t>]</w:t>
      </w:r>
    </w:p>
    <w:p w14:paraId="70CD49D3" w14:textId="49FD8A80" w:rsidR="004B770F" w:rsidRDefault="004B770F" w:rsidP="00DA3816">
      <w:pPr>
        <w:pStyle w:val="OutlineNumbered1"/>
      </w:pPr>
      <w:r>
        <w:t xml:space="preserve">Rule 9.8 </w:t>
      </w:r>
      <w:r w:rsidR="001574C2">
        <w:t>(</w:t>
      </w:r>
      <w:r>
        <w:t>civil penalty provisions</w:t>
      </w:r>
      <w:r w:rsidR="001574C2">
        <w:t>)</w:t>
      </w:r>
      <w:r>
        <w:t xml:space="preserve"> is amended to </w:t>
      </w:r>
      <w:proofErr w:type="gramStart"/>
      <w:r w:rsidR="00BC0D3E">
        <w:t>take into account</w:t>
      </w:r>
      <w:proofErr w:type="gramEnd"/>
      <w:r w:rsidR="00BC0D3E">
        <w:t xml:space="preserve"> the changes to the current consent notification requirements in rule 4.20</w:t>
      </w:r>
      <w:r w:rsidR="00B93107">
        <w:t xml:space="preserve"> and the </w:t>
      </w:r>
      <w:r w:rsidR="00E13132">
        <w:t>CDR receipts provision in rule 4.18</w:t>
      </w:r>
      <w:r w:rsidR="00BC0D3E">
        <w:t xml:space="preserve">. </w:t>
      </w:r>
      <w:r w:rsidR="008904FE">
        <w:t xml:space="preserve">                                                                                                                   </w:t>
      </w:r>
      <w:r w:rsidR="00BC0D3E" w:rsidRPr="00D00C6A">
        <w:rPr>
          <w:b/>
          <w:bCs/>
          <w:i/>
          <w:iCs/>
        </w:rPr>
        <w:t>[</w:t>
      </w:r>
      <w:r w:rsidR="00BC0D3E">
        <w:rPr>
          <w:b/>
          <w:bCs/>
          <w:i/>
          <w:iCs/>
          <w:sz w:val="20"/>
        </w:rPr>
        <w:t>Schedule 1, item</w:t>
      </w:r>
      <w:r w:rsidR="00E13132">
        <w:rPr>
          <w:b/>
          <w:bCs/>
          <w:i/>
          <w:iCs/>
          <w:sz w:val="20"/>
        </w:rPr>
        <w:t>s</w:t>
      </w:r>
      <w:r w:rsidR="00BC0D3E">
        <w:rPr>
          <w:b/>
          <w:bCs/>
          <w:i/>
          <w:iCs/>
          <w:sz w:val="20"/>
        </w:rPr>
        <w:t xml:space="preserve"> </w:t>
      </w:r>
      <w:r w:rsidR="009E1E35">
        <w:rPr>
          <w:b/>
          <w:bCs/>
          <w:i/>
          <w:iCs/>
          <w:sz w:val="20"/>
        </w:rPr>
        <w:t>101</w:t>
      </w:r>
      <w:r w:rsidR="00E13132">
        <w:rPr>
          <w:b/>
          <w:bCs/>
          <w:i/>
          <w:iCs/>
          <w:sz w:val="20"/>
        </w:rPr>
        <w:t xml:space="preserve"> and </w:t>
      </w:r>
      <w:r w:rsidR="009E1E35">
        <w:rPr>
          <w:b/>
          <w:bCs/>
          <w:i/>
          <w:iCs/>
          <w:sz w:val="20"/>
        </w:rPr>
        <w:t>102</w:t>
      </w:r>
      <w:r w:rsidR="00BC0D3E">
        <w:rPr>
          <w:b/>
          <w:bCs/>
          <w:i/>
          <w:iCs/>
          <w:sz w:val="20"/>
        </w:rPr>
        <w:t>, rule 9.8</w:t>
      </w:r>
      <w:r w:rsidR="00BC0D3E" w:rsidRPr="00D00C6A">
        <w:rPr>
          <w:b/>
          <w:bCs/>
          <w:i/>
          <w:iCs/>
        </w:rPr>
        <w:t>]</w:t>
      </w:r>
    </w:p>
    <w:p w14:paraId="19C112C2" w14:textId="1A802D52" w:rsidR="002B3BE2" w:rsidRDefault="004D4E79" w:rsidP="00466DD5">
      <w:pPr>
        <w:spacing w:before="240" w:after="200"/>
        <w:rPr>
          <w:b/>
          <w:bCs/>
        </w:rPr>
      </w:pPr>
      <w:r>
        <w:rPr>
          <w:b/>
          <w:bCs/>
        </w:rPr>
        <w:t>Operational enhancements</w:t>
      </w:r>
    </w:p>
    <w:p w14:paraId="787A8B45" w14:textId="1342F063" w:rsidR="007173BC" w:rsidRDefault="0026582D" w:rsidP="007173BC">
      <w:pPr>
        <w:spacing w:before="240" w:after="200"/>
        <w:rPr>
          <w:i/>
          <w:iCs/>
        </w:rPr>
      </w:pPr>
      <w:r>
        <w:rPr>
          <w:i/>
          <w:iCs/>
        </w:rPr>
        <w:t xml:space="preserve">Accredited </w:t>
      </w:r>
      <w:r w:rsidR="00BF64A1">
        <w:rPr>
          <w:i/>
          <w:iCs/>
        </w:rPr>
        <w:t>a</w:t>
      </w:r>
      <w:r>
        <w:rPr>
          <w:i/>
          <w:iCs/>
        </w:rPr>
        <w:t>uthorised</w:t>
      </w:r>
      <w:r w:rsidR="00D72E3A">
        <w:rPr>
          <w:i/>
          <w:iCs/>
        </w:rPr>
        <w:t xml:space="preserve"> </w:t>
      </w:r>
      <w:r w:rsidR="00BF64A1">
        <w:rPr>
          <w:i/>
          <w:iCs/>
        </w:rPr>
        <w:t>d</w:t>
      </w:r>
      <w:r>
        <w:rPr>
          <w:i/>
          <w:iCs/>
        </w:rPr>
        <w:t>eposit</w:t>
      </w:r>
      <w:r w:rsidR="00D72E3A">
        <w:rPr>
          <w:i/>
          <w:iCs/>
        </w:rPr>
        <w:t>-</w:t>
      </w:r>
      <w:r w:rsidR="00BF64A1">
        <w:rPr>
          <w:i/>
          <w:iCs/>
        </w:rPr>
        <w:t>t</w:t>
      </w:r>
      <w:r>
        <w:rPr>
          <w:i/>
          <w:iCs/>
        </w:rPr>
        <w:t xml:space="preserve">aking </w:t>
      </w:r>
      <w:r w:rsidR="00BF64A1">
        <w:rPr>
          <w:i/>
          <w:iCs/>
        </w:rPr>
        <w:t>i</w:t>
      </w:r>
      <w:r>
        <w:rPr>
          <w:i/>
          <w:iCs/>
        </w:rPr>
        <w:t xml:space="preserve">nstitutions holding CDR data as data </w:t>
      </w:r>
      <w:proofErr w:type="gramStart"/>
      <w:r>
        <w:rPr>
          <w:i/>
          <w:iCs/>
        </w:rPr>
        <w:t>holders</w:t>
      </w:r>
      <w:proofErr w:type="gramEnd"/>
    </w:p>
    <w:p w14:paraId="49115577" w14:textId="08C6F5F2" w:rsidR="00846E95" w:rsidRDefault="00450E36" w:rsidP="001C2B64">
      <w:pPr>
        <w:pStyle w:val="OutlineNumbered1"/>
      </w:pPr>
      <w:r>
        <w:t xml:space="preserve">The Amending </w:t>
      </w:r>
      <w:r w:rsidR="00580C92">
        <w:t>R</w:t>
      </w:r>
      <w:r>
        <w:t>ules</w:t>
      </w:r>
      <w:r w:rsidR="00852AE1">
        <w:t xml:space="preserve"> </w:t>
      </w:r>
      <w:r w:rsidR="006C33FE" w:rsidRPr="006C33FE">
        <w:t>expand the circumstances in which an accredited</w:t>
      </w:r>
      <w:r w:rsidR="007C261F">
        <w:t xml:space="preserve"> authorised deposit-taking institution</w:t>
      </w:r>
      <w:r w:rsidR="006C33FE" w:rsidRPr="006C33FE">
        <w:t xml:space="preserve"> </w:t>
      </w:r>
      <w:r w:rsidR="007C261F">
        <w:t>(</w:t>
      </w:r>
      <w:r w:rsidR="006C33FE" w:rsidRPr="006C33FE">
        <w:t>ADI</w:t>
      </w:r>
      <w:r w:rsidR="007C261F">
        <w:t>)</w:t>
      </w:r>
      <w:r w:rsidR="006C33FE" w:rsidRPr="006C33FE">
        <w:t xml:space="preserve"> can hold data as a data holder</w:t>
      </w:r>
      <w:r w:rsidR="00DA1688">
        <w:t>. They do this</w:t>
      </w:r>
      <w:r w:rsidR="006C33FE">
        <w:t xml:space="preserve"> by </w:t>
      </w:r>
      <w:r w:rsidR="00945E3E">
        <w:t>creat</w:t>
      </w:r>
      <w:r w:rsidR="006C33FE">
        <w:t>ing</w:t>
      </w:r>
      <w:r w:rsidR="00580C92">
        <w:t xml:space="preserve"> a </w:t>
      </w:r>
      <w:r w:rsidR="00D05112">
        <w:t>second</w:t>
      </w:r>
      <w:r w:rsidR="00FF79C6">
        <w:t xml:space="preserve"> set</w:t>
      </w:r>
      <w:r w:rsidR="00580C92">
        <w:t xml:space="preserve"> of conditions</w:t>
      </w:r>
      <w:r w:rsidR="00945E3E">
        <w:t xml:space="preserve"> (in addition to the existing conditions)</w:t>
      </w:r>
      <w:r w:rsidR="008C518D">
        <w:t xml:space="preserve"> under </w:t>
      </w:r>
      <w:r w:rsidR="00BF64A1">
        <w:t xml:space="preserve">subsection </w:t>
      </w:r>
      <w:r w:rsidR="008C518D">
        <w:t xml:space="preserve">56AJ(4) of the </w:t>
      </w:r>
      <w:r w:rsidR="00A65029">
        <w:t>Act to allow</w:t>
      </w:r>
      <w:r w:rsidR="00580C92">
        <w:t xml:space="preserve"> </w:t>
      </w:r>
      <w:r w:rsidR="00852AE1">
        <w:t xml:space="preserve">accredited </w:t>
      </w:r>
      <w:r w:rsidR="00CC51EB">
        <w:t>ADIs</w:t>
      </w:r>
      <w:r w:rsidR="00C33661">
        <w:t xml:space="preserve"> </w:t>
      </w:r>
      <w:r w:rsidR="00852AE1">
        <w:t>to hold CDR data they receive</w:t>
      </w:r>
      <w:r w:rsidR="00C33661">
        <w:t xml:space="preserve"> under the CDR Rules</w:t>
      </w:r>
      <w:r w:rsidR="00852AE1">
        <w:t xml:space="preserve"> </w:t>
      </w:r>
      <w:r w:rsidR="00787509">
        <w:t xml:space="preserve">as </w:t>
      </w:r>
      <w:r w:rsidR="006E7138">
        <w:t xml:space="preserve">a </w:t>
      </w:r>
      <w:r w:rsidR="00787509">
        <w:t>data holder</w:t>
      </w:r>
      <w:r w:rsidR="00C33661">
        <w:t>.</w:t>
      </w:r>
      <w:r w:rsidR="00FF79C6">
        <w:t xml:space="preserve"> </w:t>
      </w:r>
      <w:r w:rsidR="0012726C">
        <w:t xml:space="preserve">                                                         </w:t>
      </w:r>
      <w:r w:rsidR="006328E2" w:rsidRPr="00A8488E">
        <w:rPr>
          <w:b/>
          <w:bCs/>
          <w:i/>
          <w:iCs/>
          <w:sz w:val="20"/>
          <w:szCs w:val="16"/>
        </w:rPr>
        <w:t xml:space="preserve">[Schedule 1, item </w:t>
      </w:r>
      <w:r w:rsidR="00E51365">
        <w:rPr>
          <w:b/>
          <w:bCs/>
          <w:i/>
          <w:iCs/>
          <w:sz w:val="20"/>
          <w:szCs w:val="16"/>
        </w:rPr>
        <w:t>29</w:t>
      </w:r>
      <w:r w:rsidR="005C4B06" w:rsidRPr="00A8488E">
        <w:rPr>
          <w:b/>
          <w:bCs/>
          <w:i/>
          <w:iCs/>
          <w:sz w:val="20"/>
          <w:szCs w:val="16"/>
        </w:rPr>
        <w:t>,</w:t>
      </w:r>
      <w:r w:rsidR="00A8488E" w:rsidRPr="00A8488E">
        <w:rPr>
          <w:b/>
          <w:bCs/>
          <w:i/>
          <w:iCs/>
          <w:sz w:val="20"/>
          <w:szCs w:val="16"/>
        </w:rPr>
        <w:t xml:space="preserve"> clause 7.2 of </w:t>
      </w:r>
      <w:r w:rsidR="005A3B3A">
        <w:rPr>
          <w:b/>
          <w:bCs/>
          <w:i/>
          <w:iCs/>
          <w:sz w:val="20"/>
          <w:szCs w:val="16"/>
        </w:rPr>
        <w:t>S</w:t>
      </w:r>
      <w:r w:rsidR="00A8488E" w:rsidRPr="00A8488E">
        <w:rPr>
          <w:b/>
          <w:bCs/>
          <w:i/>
          <w:iCs/>
          <w:sz w:val="20"/>
          <w:szCs w:val="16"/>
        </w:rPr>
        <w:t>chedule</w:t>
      </w:r>
      <w:r w:rsidR="00B03A0E">
        <w:rPr>
          <w:b/>
          <w:bCs/>
          <w:i/>
          <w:iCs/>
          <w:sz w:val="20"/>
          <w:szCs w:val="16"/>
        </w:rPr>
        <w:t> </w:t>
      </w:r>
      <w:r w:rsidR="00A8488E" w:rsidRPr="00A8488E">
        <w:rPr>
          <w:b/>
          <w:bCs/>
          <w:i/>
          <w:iCs/>
          <w:sz w:val="20"/>
          <w:szCs w:val="16"/>
        </w:rPr>
        <w:t>3</w:t>
      </w:r>
      <w:r w:rsidR="005A3B3A">
        <w:rPr>
          <w:b/>
          <w:bCs/>
          <w:i/>
          <w:iCs/>
          <w:sz w:val="20"/>
          <w:szCs w:val="16"/>
        </w:rPr>
        <w:t xml:space="preserve"> to the CDR Rules</w:t>
      </w:r>
      <w:r w:rsidR="00A8488E" w:rsidRPr="00A8488E">
        <w:rPr>
          <w:b/>
          <w:bCs/>
          <w:i/>
          <w:iCs/>
          <w:sz w:val="20"/>
          <w:szCs w:val="16"/>
        </w:rPr>
        <w:t>]</w:t>
      </w:r>
    </w:p>
    <w:p w14:paraId="1301A062" w14:textId="20FAF9C7" w:rsidR="00FF79C6" w:rsidRDefault="00FF79C6" w:rsidP="00BE754C">
      <w:pPr>
        <w:pStyle w:val="OutlineNumbered1"/>
      </w:pPr>
      <w:r>
        <w:t xml:space="preserve">Common </w:t>
      </w:r>
      <w:r w:rsidR="00D05112">
        <w:t>aspects</w:t>
      </w:r>
      <w:r>
        <w:t xml:space="preserve"> across the </w:t>
      </w:r>
      <w:r w:rsidR="00D05112">
        <w:t>t</w:t>
      </w:r>
      <w:r>
        <w:t xml:space="preserve">wo </w:t>
      </w:r>
      <w:r w:rsidR="00D05112">
        <w:t>conditions</w:t>
      </w:r>
      <w:r>
        <w:t xml:space="preserve"> </w:t>
      </w:r>
      <w:r w:rsidR="00D05112">
        <w:t xml:space="preserve">for accredited ADIs to hold CDR data as data holders </w:t>
      </w:r>
      <w:r w:rsidR="00D41E8A">
        <w:t xml:space="preserve">are that </w:t>
      </w:r>
      <w:r w:rsidR="00340C5E">
        <w:t xml:space="preserve">the </w:t>
      </w:r>
      <w:r w:rsidR="00614BC5">
        <w:t>accredited person is an ADI,</w:t>
      </w:r>
      <w:r w:rsidR="00D41E8A">
        <w:t xml:space="preserve"> the </w:t>
      </w:r>
      <w:r w:rsidR="0014439F">
        <w:t>CDR da</w:t>
      </w:r>
      <w:r w:rsidR="009172E9">
        <w:t>ta (whether directly or indirectly) has been collected in accordance with the collection consent, and that the accredited ADI believes that the data is relevant to its supply of a product to the CDR consumer.</w:t>
      </w:r>
      <w:r w:rsidR="00754268">
        <w:t xml:space="preserve">                                                                                                            </w:t>
      </w:r>
      <w:r w:rsidR="001C2B64">
        <w:t xml:space="preserve"> </w:t>
      </w:r>
      <w:r w:rsidR="001C2B64" w:rsidRPr="00E723FE">
        <w:rPr>
          <w:b/>
          <w:bCs/>
          <w:i/>
          <w:iCs/>
          <w:sz w:val="20"/>
        </w:rPr>
        <w:t xml:space="preserve">[Schedule 1, item </w:t>
      </w:r>
      <w:r w:rsidR="00940D34">
        <w:rPr>
          <w:b/>
          <w:bCs/>
          <w:i/>
          <w:iCs/>
          <w:sz w:val="20"/>
        </w:rPr>
        <w:t>29</w:t>
      </w:r>
      <w:r w:rsidR="001C2B64" w:rsidRPr="00E723FE">
        <w:rPr>
          <w:b/>
          <w:bCs/>
          <w:i/>
          <w:iCs/>
          <w:sz w:val="20"/>
        </w:rPr>
        <w:t xml:space="preserve">, </w:t>
      </w:r>
      <w:r w:rsidR="001C2B64">
        <w:rPr>
          <w:b/>
          <w:bCs/>
          <w:i/>
          <w:iCs/>
          <w:sz w:val="20"/>
        </w:rPr>
        <w:t>paragraph</w:t>
      </w:r>
      <w:r w:rsidR="007A29A5">
        <w:rPr>
          <w:b/>
          <w:bCs/>
          <w:i/>
          <w:iCs/>
          <w:sz w:val="20"/>
        </w:rPr>
        <w:t>s</w:t>
      </w:r>
      <w:r w:rsidR="001C2B64">
        <w:rPr>
          <w:b/>
          <w:bCs/>
          <w:i/>
          <w:iCs/>
          <w:sz w:val="20"/>
        </w:rPr>
        <w:t xml:space="preserve"> 7.2(1)(</w:t>
      </w:r>
      <w:r w:rsidR="007A29A5">
        <w:rPr>
          <w:b/>
          <w:bCs/>
          <w:i/>
          <w:iCs/>
          <w:sz w:val="20"/>
        </w:rPr>
        <w:t>a)</w:t>
      </w:r>
      <w:r w:rsidR="00DD427E">
        <w:rPr>
          <w:b/>
          <w:bCs/>
          <w:i/>
          <w:iCs/>
          <w:sz w:val="20"/>
        </w:rPr>
        <w:t xml:space="preserve">(b) and (c) </w:t>
      </w:r>
      <w:r w:rsidR="001C2B64">
        <w:rPr>
          <w:b/>
          <w:bCs/>
          <w:i/>
          <w:iCs/>
          <w:sz w:val="20"/>
        </w:rPr>
        <w:t>of Schedule 3 to the CDR Rules</w:t>
      </w:r>
      <w:r w:rsidR="001C2B64" w:rsidRPr="00E723FE">
        <w:rPr>
          <w:b/>
          <w:bCs/>
          <w:i/>
          <w:iCs/>
          <w:sz w:val="20"/>
        </w:rPr>
        <w:t>]</w:t>
      </w:r>
    </w:p>
    <w:p w14:paraId="17AF7F65" w14:textId="75E38095" w:rsidR="00840F6F" w:rsidRDefault="0014439F" w:rsidP="001C2B64">
      <w:pPr>
        <w:pStyle w:val="OutlineNumbered1"/>
      </w:pPr>
      <w:r>
        <w:t>In addition to the above, t</w:t>
      </w:r>
      <w:r w:rsidR="00284AFC">
        <w:t>he new set of conditions will be met</w:t>
      </w:r>
      <w:r>
        <w:t xml:space="preserve"> if</w:t>
      </w:r>
      <w:r w:rsidR="00F51196">
        <w:t>:</w:t>
      </w:r>
    </w:p>
    <w:p w14:paraId="7F1F2788" w14:textId="7841FF5B" w:rsidR="00CA67EA" w:rsidRDefault="001C5B43" w:rsidP="00445D37">
      <w:pPr>
        <w:pStyle w:val="Dash"/>
        <w:spacing w:before="0"/>
      </w:pPr>
      <w:r>
        <w:t xml:space="preserve">the accredited person is </w:t>
      </w:r>
      <w:r w:rsidR="00743ED4">
        <w:t xml:space="preserve">supplying the product </w:t>
      </w:r>
      <w:r w:rsidR="0089734D">
        <w:t>to the CDR consumer</w:t>
      </w:r>
      <w:r w:rsidR="00743ED4">
        <w:t xml:space="preserve"> </w:t>
      </w:r>
      <w:r w:rsidR="00CF23A0">
        <w:t xml:space="preserve">(being the product that the CDR </w:t>
      </w:r>
      <w:r w:rsidR="00CA67EA">
        <w:t>data collected under the CDR consent is relevant to); or</w:t>
      </w:r>
    </w:p>
    <w:p w14:paraId="7FE25961" w14:textId="79134BF1" w:rsidR="00CA67EA" w:rsidRDefault="00CA67EA" w:rsidP="00445D37">
      <w:pPr>
        <w:pStyle w:val="Dash"/>
        <w:spacing w:before="0"/>
      </w:pPr>
      <w:r>
        <w:lastRenderedPageBreak/>
        <w:t>the accredited person has received an application from the CDR consumer for the supply of the product</w:t>
      </w:r>
      <w:r w:rsidR="00E02D8A">
        <w:t>;</w:t>
      </w:r>
      <w:r>
        <w:t xml:space="preserve"> or</w:t>
      </w:r>
    </w:p>
    <w:p w14:paraId="5633EF9C" w14:textId="67CAB90E" w:rsidR="003C1C4E" w:rsidRDefault="00CA67EA" w:rsidP="00445D37">
      <w:pPr>
        <w:pStyle w:val="Dash"/>
        <w:spacing w:before="0"/>
      </w:pPr>
      <w:r>
        <w:t xml:space="preserve">the accredited person is aware </w:t>
      </w:r>
      <w:r w:rsidR="0089734D">
        <w:t xml:space="preserve">that the CDR consumer </w:t>
      </w:r>
      <w:r w:rsidR="001611F8">
        <w:t>proposes to apply for the supply of the product; and</w:t>
      </w:r>
    </w:p>
    <w:p w14:paraId="3860D50A" w14:textId="3E733646" w:rsidR="002C2498" w:rsidRDefault="002A769E" w:rsidP="00445D37">
      <w:pPr>
        <w:pStyle w:val="Dash"/>
        <w:spacing w:before="0"/>
      </w:pPr>
      <w:r>
        <w:t>prior to</w:t>
      </w:r>
      <w:r w:rsidR="00FA1ECE">
        <w:t xml:space="preserve"> the </w:t>
      </w:r>
      <w:r w:rsidR="006307CB">
        <w:t xml:space="preserve">first </w:t>
      </w:r>
      <w:r w:rsidR="00FA1ECE">
        <w:t xml:space="preserve">collection </w:t>
      </w:r>
      <w:r w:rsidR="006307CB">
        <w:t xml:space="preserve">of </w:t>
      </w:r>
      <w:r w:rsidR="00FA1ECE">
        <w:t>CDR data collected in accordance with a collection consent</w:t>
      </w:r>
      <w:r w:rsidR="003556C8">
        <w:t xml:space="preserve">, the accredited ADI notified the consumer that </w:t>
      </w:r>
      <w:r w:rsidR="00B61C68">
        <w:t xml:space="preserve">they would </w:t>
      </w:r>
      <w:r w:rsidR="00766296">
        <w:t>hold that data in accordance with their usual data holding practices for consumer data</w:t>
      </w:r>
      <w:r w:rsidR="003D488D">
        <w:t>;</w:t>
      </w:r>
    </w:p>
    <w:p w14:paraId="4EE0E964" w14:textId="0A07309B" w:rsidR="0010688B" w:rsidRDefault="00E723FE" w:rsidP="00445D37">
      <w:pPr>
        <w:pStyle w:val="Dash"/>
        <w:numPr>
          <w:ilvl w:val="0"/>
          <w:numId w:val="0"/>
        </w:numPr>
        <w:spacing w:before="0"/>
        <w:ind w:left="567"/>
      </w:pPr>
      <w:r w:rsidRPr="00E723FE">
        <w:rPr>
          <w:b/>
          <w:bCs/>
          <w:i/>
          <w:iCs/>
          <w:sz w:val="20"/>
          <w:szCs w:val="20"/>
        </w:rPr>
        <w:t xml:space="preserve">[Schedule 1, item </w:t>
      </w:r>
      <w:r w:rsidR="00940D34">
        <w:rPr>
          <w:b/>
          <w:bCs/>
          <w:i/>
          <w:iCs/>
          <w:sz w:val="20"/>
          <w:szCs w:val="20"/>
        </w:rPr>
        <w:t>29</w:t>
      </w:r>
      <w:r w:rsidRPr="00E723FE">
        <w:rPr>
          <w:b/>
          <w:bCs/>
          <w:i/>
          <w:iCs/>
          <w:sz w:val="20"/>
          <w:szCs w:val="20"/>
        </w:rPr>
        <w:t xml:space="preserve">, </w:t>
      </w:r>
      <w:r w:rsidR="001C2B64">
        <w:rPr>
          <w:b/>
          <w:bCs/>
          <w:i/>
          <w:iCs/>
          <w:sz w:val="20"/>
          <w:szCs w:val="20"/>
        </w:rPr>
        <w:t>paragraph</w:t>
      </w:r>
      <w:r w:rsidRPr="00E723FE">
        <w:rPr>
          <w:b/>
          <w:bCs/>
          <w:i/>
          <w:iCs/>
          <w:sz w:val="20"/>
          <w:szCs w:val="20"/>
        </w:rPr>
        <w:t xml:space="preserve"> </w:t>
      </w:r>
      <w:r w:rsidR="007C5779">
        <w:rPr>
          <w:b/>
          <w:bCs/>
          <w:i/>
          <w:iCs/>
          <w:sz w:val="20"/>
          <w:szCs w:val="20"/>
        </w:rPr>
        <w:t>7.2(1)(d)</w:t>
      </w:r>
      <w:r w:rsidR="00DD427E">
        <w:rPr>
          <w:b/>
          <w:bCs/>
          <w:i/>
          <w:iCs/>
          <w:sz w:val="20"/>
          <w:szCs w:val="20"/>
        </w:rPr>
        <w:t>(</w:t>
      </w:r>
      <w:proofErr w:type="spellStart"/>
      <w:r w:rsidR="00DD427E">
        <w:rPr>
          <w:b/>
          <w:bCs/>
          <w:i/>
          <w:iCs/>
          <w:sz w:val="20"/>
          <w:szCs w:val="20"/>
        </w:rPr>
        <w:t>i</w:t>
      </w:r>
      <w:proofErr w:type="spellEnd"/>
      <w:r w:rsidR="007C5779">
        <w:rPr>
          <w:b/>
          <w:bCs/>
          <w:i/>
          <w:iCs/>
          <w:sz w:val="20"/>
          <w:szCs w:val="20"/>
        </w:rPr>
        <w:t>)</w:t>
      </w:r>
      <w:r w:rsidR="001C2B64">
        <w:rPr>
          <w:b/>
          <w:bCs/>
          <w:i/>
          <w:iCs/>
          <w:sz w:val="20"/>
          <w:szCs w:val="20"/>
        </w:rPr>
        <w:t xml:space="preserve"> </w:t>
      </w:r>
      <w:r w:rsidR="00770825">
        <w:rPr>
          <w:b/>
          <w:bCs/>
          <w:i/>
          <w:iCs/>
          <w:sz w:val="20"/>
          <w:szCs w:val="20"/>
        </w:rPr>
        <w:t>of Schedule 3 to the CDR Rules</w:t>
      </w:r>
      <w:r w:rsidRPr="00E723FE">
        <w:rPr>
          <w:b/>
          <w:bCs/>
          <w:i/>
          <w:iCs/>
          <w:sz w:val="20"/>
          <w:szCs w:val="20"/>
        </w:rPr>
        <w:t>]</w:t>
      </w:r>
    </w:p>
    <w:p w14:paraId="18304598" w14:textId="55FCEAB5" w:rsidR="001611F8" w:rsidRDefault="006F65D1" w:rsidP="00BE754C">
      <w:pPr>
        <w:pStyle w:val="OutlineNumbered1"/>
      </w:pPr>
      <w:r>
        <w:t xml:space="preserve">For an accredited person to be aware that a CDR consumer proposed to apply for the supply of a product, </w:t>
      </w:r>
      <w:r w:rsidR="002E2998">
        <w:t xml:space="preserve">the CDR consumer will have commenced an application for a certain product. This is intended to allow a </w:t>
      </w:r>
      <w:r w:rsidR="00FF4B32">
        <w:t xml:space="preserve">notification </w:t>
      </w:r>
      <w:r w:rsidR="00B11EA8">
        <w:t xml:space="preserve">in line with this set of conditions to be provided prior to the CDR consent for the collection of data to be provided, </w:t>
      </w:r>
      <w:r w:rsidR="00606C8C">
        <w:t xml:space="preserve">so that if the CDR data </w:t>
      </w:r>
      <w:r w:rsidR="00C71938">
        <w:t xml:space="preserve">collection consent is </w:t>
      </w:r>
      <w:r w:rsidR="00A2430B">
        <w:t>required for the product application to be submitted</w:t>
      </w:r>
      <w:r w:rsidR="00C548D2">
        <w:t>,</w:t>
      </w:r>
      <w:r w:rsidR="00735902">
        <w:t xml:space="preserve"> those circumstances are still captured by this amendment.</w:t>
      </w:r>
    </w:p>
    <w:p w14:paraId="195A3787" w14:textId="1D96C5D8" w:rsidR="00C91AD8" w:rsidRDefault="00AF17E7" w:rsidP="00BE754C">
      <w:pPr>
        <w:pStyle w:val="OutlineNumbered1"/>
      </w:pPr>
      <w:r>
        <w:t>It is</w:t>
      </w:r>
      <w:r w:rsidR="00C91AD8">
        <w:t xml:space="preserve"> expect</w:t>
      </w:r>
      <w:r>
        <w:t>ed</w:t>
      </w:r>
      <w:r w:rsidR="00C91AD8">
        <w:t xml:space="preserve"> that a</w:t>
      </w:r>
      <w:r w:rsidR="00F11654">
        <w:t xml:space="preserve">n accredited ADI will </w:t>
      </w:r>
      <w:r>
        <w:t xml:space="preserve">comply with the requirement to </w:t>
      </w:r>
      <w:r w:rsidR="00525DCF">
        <w:t xml:space="preserve">notify the consumer that the data will be held in accordance </w:t>
      </w:r>
      <w:r w:rsidR="009641BD">
        <w:t xml:space="preserve">with their usual data holding practices by, for example, explaining to the consumer that the </w:t>
      </w:r>
      <w:r w:rsidR="00002A40">
        <w:t xml:space="preserve">accredited ADI will be holding the data consistent with their privacy policy. </w:t>
      </w:r>
      <w:r w:rsidR="008E025F">
        <w:t>R</w:t>
      </w:r>
      <w:r w:rsidR="00002A40">
        <w:t xml:space="preserve">egulator guidance will provide additional clarity </w:t>
      </w:r>
      <w:r w:rsidR="00576BEF">
        <w:t xml:space="preserve">on this condition. </w:t>
      </w:r>
    </w:p>
    <w:p w14:paraId="72A3D488" w14:textId="11406366" w:rsidR="009172E9" w:rsidRDefault="009172E9" w:rsidP="00BE754C">
      <w:pPr>
        <w:pStyle w:val="OutlineNumbered1"/>
      </w:pPr>
      <w:r>
        <w:t xml:space="preserve">An accredited ADI may only give a notification in accordance with the new set of conditions </w:t>
      </w:r>
      <w:r w:rsidR="00760B7E">
        <w:t xml:space="preserve">if </w:t>
      </w:r>
      <w:r w:rsidR="00AA54AC">
        <w:t>they are</w:t>
      </w:r>
      <w:r w:rsidR="00760B7E">
        <w:t xml:space="preserve"> supplying the product to the consumer (</w:t>
      </w:r>
      <w:r w:rsidR="008E4CE7">
        <w:t>i.e.</w:t>
      </w:r>
      <w:r w:rsidR="00760B7E">
        <w:t xml:space="preserve">, the consumer has </w:t>
      </w:r>
      <w:r w:rsidR="00133F80">
        <w:t>acquired a</w:t>
      </w:r>
      <w:r w:rsidR="00760B7E">
        <w:t xml:space="preserve"> product), or the consumer has applied or is applying to acquire a product. This will be the case, for example, when a consumer is completing an online application to apply for a personal loan or credit card</w:t>
      </w:r>
      <w:r w:rsidR="005D6B2C">
        <w:t>, but the bank requires the consumer’s transaction data to finalise and assess their application</w:t>
      </w:r>
      <w:r w:rsidR="00760B7E">
        <w:t>.</w:t>
      </w:r>
      <w:r w:rsidR="00804F0D">
        <w:t xml:space="preserve"> </w:t>
      </w:r>
      <w:r w:rsidR="00813272">
        <w:t xml:space="preserve">                           </w:t>
      </w:r>
      <w:r w:rsidR="00804F0D" w:rsidRPr="00E723FE">
        <w:rPr>
          <w:b/>
          <w:bCs/>
          <w:i/>
          <w:iCs/>
          <w:sz w:val="20"/>
        </w:rPr>
        <w:t xml:space="preserve">[Schedule 1, item </w:t>
      </w:r>
      <w:r w:rsidR="00E51365">
        <w:rPr>
          <w:b/>
          <w:bCs/>
          <w:i/>
          <w:iCs/>
          <w:sz w:val="20"/>
        </w:rPr>
        <w:t>29</w:t>
      </w:r>
      <w:r w:rsidR="00804F0D" w:rsidRPr="00E723FE">
        <w:rPr>
          <w:b/>
          <w:bCs/>
          <w:i/>
          <w:iCs/>
          <w:sz w:val="20"/>
        </w:rPr>
        <w:t>, subclause 7.2(</w:t>
      </w:r>
      <w:r w:rsidR="00804F0D">
        <w:rPr>
          <w:b/>
          <w:bCs/>
          <w:i/>
          <w:iCs/>
          <w:sz w:val="20"/>
        </w:rPr>
        <w:t>2</w:t>
      </w:r>
      <w:r w:rsidR="00804F0D" w:rsidRPr="00E723FE">
        <w:rPr>
          <w:b/>
          <w:bCs/>
          <w:i/>
          <w:iCs/>
          <w:sz w:val="20"/>
        </w:rPr>
        <w:t>)</w:t>
      </w:r>
      <w:r w:rsidR="00770825">
        <w:rPr>
          <w:b/>
          <w:bCs/>
          <w:i/>
          <w:iCs/>
          <w:sz w:val="20"/>
        </w:rPr>
        <w:t xml:space="preserve"> of Schedule 3 to the CDR Rules</w:t>
      </w:r>
      <w:r w:rsidR="00804F0D" w:rsidRPr="00E723FE">
        <w:rPr>
          <w:b/>
          <w:bCs/>
          <w:i/>
          <w:iCs/>
          <w:sz w:val="20"/>
        </w:rPr>
        <w:t>]</w:t>
      </w:r>
    </w:p>
    <w:p w14:paraId="204C22AC" w14:textId="743C3049" w:rsidR="0031160B" w:rsidRPr="00654EAD" w:rsidRDefault="0031160B" w:rsidP="0031160B">
      <w:pPr>
        <w:pStyle w:val="OutlineNumbered1"/>
      </w:pPr>
      <w:r w:rsidRPr="00654EAD">
        <w:t>Any future CDR data collected in accordance with th</w:t>
      </w:r>
      <w:r w:rsidR="004F1EB5">
        <w:t>e</w:t>
      </w:r>
      <w:r w:rsidR="00E5617F">
        <w:t xml:space="preserve"> collection</w:t>
      </w:r>
      <w:r w:rsidRPr="00654EAD">
        <w:t xml:space="preserve"> consent can also be held </w:t>
      </w:r>
      <w:r>
        <w:t xml:space="preserve">by the accredited ADI </w:t>
      </w:r>
      <w:r w:rsidRPr="00654EAD">
        <w:t xml:space="preserve">as a data holder. So long as the first notification was </w:t>
      </w:r>
      <w:r>
        <w:t>provided</w:t>
      </w:r>
      <w:r w:rsidRPr="00654EAD">
        <w:t xml:space="preserve"> in accordance with th</w:t>
      </w:r>
      <w:r w:rsidR="005D6B2C">
        <w:t>es</w:t>
      </w:r>
      <w:r w:rsidRPr="00654EAD">
        <w:t xml:space="preserve">e new conditions, the accredited ADI </w:t>
      </w:r>
      <w:r>
        <w:t>is</w:t>
      </w:r>
      <w:r w:rsidRPr="00654EAD">
        <w:t xml:space="preserve"> not </w:t>
      </w:r>
      <w:r>
        <w:t>required</w:t>
      </w:r>
      <w:r w:rsidRPr="00654EAD">
        <w:t xml:space="preserve"> to provide </w:t>
      </w:r>
      <w:r>
        <w:t>such a</w:t>
      </w:r>
      <w:r w:rsidRPr="00654EAD">
        <w:t xml:space="preserve"> notification each time CDR data </w:t>
      </w:r>
      <w:r>
        <w:t xml:space="preserve">is collected </w:t>
      </w:r>
      <w:r w:rsidRPr="00654EAD">
        <w:t>in connection with that consent.</w:t>
      </w:r>
      <w:r w:rsidR="00257F14">
        <w:t xml:space="preserve"> </w:t>
      </w:r>
      <w:r w:rsidR="00CB32E6">
        <w:t xml:space="preserve"> </w:t>
      </w:r>
      <w:r w:rsidR="00AE2D26">
        <w:t xml:space="preserve">                                                                                                               </w:t>
      </w:r>
      <w:r w:rsidR="00257F14" w:rsidRPr="00E723FE">
        <w:rPr>
          <w:b/>
          <w:bCs/>
          <w:i/>
          <w:iCs/>
          <w:sz w:val="20"/>
        </w:rPr>
        <w:t xml:space="preserve">[Schedule 1, item </w:t>
      </w:r>
      <w:r w:rsidR="00E51365">
        <w:rPr>
          <w:b/>
          <w:bCs/>
          <w:i/>
          <w:iCs/>
          <w:sz w:val="20"/>
        </w:rPr>
        <w:t>29</w:t>
      </w:r>
      <w:r w:rsidR="00257F14" w:rsidRPr="00E723FE">
        <w:rPr>
          <w:b/>
          <w:bCs/>
          <w:i/>
          <w:iCs/>
          <w:sz w:val="20"/>
        </w:rPr>
        <w:t xml:space="preserve">, </w:t>
      </w:r>
      <w:r w:rsidR="00D237AE">
        <w:rPr>
          <w:b/>
          <w:bCs/>
          <w:i/>
          <w:iCs/>
          <w:sz w:val="20"/>
        </w:rPr>
        <w:t>paragraph</w:t>
      </w:r>
      <w:r w:rsidR="00257F14" w:rsidRPr="00E723FE">
        <w:rPr>
          <w:b/>
          <w:bCs/>
          <w:i/>
          <w:iCs/>
          <w:sz w:val="20"/>
        </w:rPr>
        <w:t xml:space="preserve"> 7.2(2</w:t>
      </w:r>
      <w:r w:rsidR="008E025F">
        <w:rPr>
          <w:b/>
          <w:bCs/>
          <w:i/>
          <w:iCs/>
          <w:sz w:val="20"/>
        </w:rPr>
        <w:t>A</w:t>
      </w:r>
      <w:r w:rsidR="00257F14" w:rsidRPr="00E723FE">
        <w:rPr>
          <w:b/>
          <w:bCs/>
          <w:i/>
          <w:iCs/>
          <w:sz w:val="20"/>
        </w:rPr>
        <w:t>)</w:t>
      </w:r>
      <w:r w:rsidR="00D237AE">
        <w:rPr>
          <w:b/>
          <w:bCs/>
          <w:i/>
          <w:iCs/>
          <w:sz w:val="20"/>
        </w:rPr>
        <w:t>(a)</w:t>
      </w:r>
      <w:r w:rsidR="00770825">
        <w:rPr>
          <w:b/>
          <w:bCs/>
          <w:i/>
          <w:iCs/>
          <w:sz w:val="20"/>
        </w:rPr>
        <w:t xml:space="preserve"> of Schedule 3 to the CDR Rules</w:t>
      </w:r>
      <w:r w:rsidR="00257F14" w:rsidRPr="00E723FE">
        <w:rPr>
          <w:b/>
          <w:bCs/>
          <w:i/>
          <w:iCs/>
          <w:sz w:val="20"/>
        </w:rPr>
        <w:t>]</w:t>
      </w:r>
    </w:p>
    <w:p w14:paraId="652114DE" w14:textId="07E4C287" w:rsidR="0031160B" w:rsidRPr="00654EAD" w:rsidRDefault="0031160B" w:rsidP="0031160B">
      <w:pPr>
        <w:pStyle w:val="OutlineNumbered1"/>
      </w:pPr>
      <w:r w:rsidRPr="00654EAD">
        <w:t xml:space="preserve">The existing conditions in the </w:t>
      </w:r>
      <w:r>
        <w:t>CDR R</w:t>
      </w:r>
      <w:r w:rsidRPr="00654EAD">
        <w:t xml:space="preserve">ules remain in operation, which allow accredited </w:t>
      </w:r>
      <w:r>
        <w:t>ADIs</w:t>
      </w:r>
      <w:r w:rsidRPr="00654EAD">
        <w:t xml:space="preserve"> to hold CDR data as data holders whe</w:t>
      </w:r>
      <w:r>
        <w:t>re</w:t>
      </w:r>
      <w:r w:rsidRPr="00654EAD">
        <w:t xml:space="preserve"> a consumer has acquired a product from the ADI and has agreed to the ADI holding this data as a data holder, rather than an ADR. These have taken a slightly new form in the Amending Rules, but the effect is intended to remain unchanged.</w:t>
      </w:r>
      <w:r w:rsidR="00257F14">
        <w:t xml:space="preserve"> </w:t>
      </w:r>
      <w:r w:rsidR="00D82BE9">
        <w:t xml:space="preserve">                                                         </w:t>
      </w:r>
      <w:r w:rsidR="00257F14" w:rsidRPr="00E723FE">
        <w:rPr>
          <w:b/>
          <w:bCs/>
          <w:i/>
          <w:iCs/>
          <w:sz w:val="20"/>
        </w:rPr>
        <w:t xml:space="preserve">[Schedule 1, item </w:t>
      </w:r>
      <w:r w:rsidR="00E51365">
        <w:rPr>
          <w:b/>
          <w:bCs/>
          <w:i/>
          <w:iCs/>
          <w:sz w:val="20"/>
        </w:rPr>
        <w:t>29</w:t>
      </w:r>
      <w:r w:rsidR="00257F14" w:rsidRPr="00E723FE">
        <w:rPr>
          <w:b/>
          <w:bCs/>
          <w:i/>
          <w:iCs/>
          <w:sz w:val="20"/>
        </w:rPr>
        <w:t>, subclause 7.2(2</w:t>
      </w:r>
      <w:r w:rsidR="00E51365">
        <w:rPr>
          <w:b/>
          <w:bCs/>
          <w:i/>
          <w:iCs/>
          <w:sz w:val="20"/>
        </w:rPr>
        <w:t>A</w:t>
      </w:r>
      <w:r w:rsidR="00257F14" w:rsidRPr="00E723FE">
        <w:rPr>
          <w:b/>
          <w:bCs/>
          <w:i/>
          <w:iCs/>
          <w:sz w:val="20"/>
        </w:rPr>
        <w:t>)</w:t>
      </w:r>
      <w:r w:rsidR="00770825">
        <w:rPr>
          <w:b/>
          <w:bCs/>
          <w:i/>
          <w:iCs/>
          <w:sz w:val="20"/>
        </w:rPr>
        <w:t xml:space="preserve"> of Schedule 3 to the CDR Rules</w:t>
      </w:r>
      <w:r w:rsidR="00257F14" w:rsidRPr="00E723FE">
        <w:rPr>
          <w:b/>
          <w:bCs/>
          <w:i/>
          <w:iCs/>
          <w:sz w:val="20"/>
        </w:rPr>
        <w:t>]</w:t>
      </w:r>
    </w:p>
    <w:p w14:paraId="4EBC5A1B" w14:textId="3BE586F4" w:rsidR="00E079E4" w:rsidRPr="00654EAD" w:rsidRDefault="00E079E4" w:rsidP="00E079E4">
      <w:pPr>
        <w:pStyle w:val="OutlineNumbered1"/>
      </w:pPr>
      <w:r w:rsidRPr="00654EAD">
        <w:t xml:space="preserve">For clarity, </w:t>
      </w:r>
      <w:r>
        <w:t>where</w:t>
      </w:r>
      <w:r w:rsidRPr="00654EAD">
        <w:t xml:space="preserve"> the original set of conditions are met (i.e., the consumer has consented</w:t>
      </w:r>
      <w:r>
        <w:t xml:space="preserve"> to the ADI holding the data as a data holder after the data has been collected</w:t>
      </w:r>
      <w:r w:rsidRPr="00654EAD">
        <w:t>)</w:t>
      </w:r>
      <w:r>
        <w:t>,</w:t>
      </w:r>
      <w:r w:rsidRPr="00654EAD">
        <w:t xml:space="preserve"> </w:t>
      </w:r>
      <w:r>
        <w:t>an accredited ADI cannot</w:t>
      </w:r>
      <w:r w:rsidRPr="00654EAD">
        <w:t xml:space="preserve"> automatically</w:t>
      </w:r>
      <w:r>
        <w:t xml:space="preserve"> hold </w:t>
      </w:r>
      <w:r w:rsidRPr="00654EAD">
        <w:t xml:space="preserve">any future CDR data collected in accordance with </w:t>
      </w:r>
      <w:r>
        <w:t>the relevant</w:t>
      </w:r>
      <w:r w:rsidRPr="00654EAD">
        <w:t xml:space="preserve"> collection consent</w:t>
      </w:r>
      <w:r>
        <w:t xml:space="preserve"> as a data holder</w:t>
      </w:r>
      <w:r w:rsidRPr="00654EAD">
        <w:t>. T</w:t>
      </w:r>
      <w:r>
        <w:t xml:space="preserve">o do </w:t>
      </w:r>
      <w:r>
        <w:lastRenderedPageBreak/>
        <w:t>so, t</w:t>
      </w:r>
      <w:r w:rsidRPr="00654EAD">
        <w:t xml:space="preserve">hey must </w:t>
      </w:r>
      <w:r>
        <w:t>satisfy</w:t>
      </w:r>
      <w:r w:rsidRPr="00654EAD">
        <w:t xml:space="preserve"> </w:t>
      </w:r>
      <w:r>
        <w:t xml:space="preserve">either </w:t>
      </w:r>
      <w:r w:rsidRPr="00654EAD">
        <w:t xml:space="preserve">the </w:t>
      </w:r>
      <w:r>
        <w:t>existing or new</w:t>
      </w:r>
      <w:r w:rsidRPr="00654EAD">
        <w:t xml:space="preserve"> </w:t>
      </w:r>
      <w:r>
        <w:t>conditions in clause 7.2</w:t>
      </w:r>
      <w:r w:rsidR="0037602E">
        <w:t xml:space="preserve"> of Schedule 3 to the CDR Rules</w:t>
      </w:r>
      <w:r>
        <w:t xml:space="preserve">.  </w:t>
      </w:r>
    </w:p>
    <w:p w14:paraId="04537E28" w14:textId="15D58539" w:rsidR="0018671C" w:rsidRPr="00654EAD" w:rsidRDefault="00A10C7C" w:rsidP="00E079E4">
      <w:pPr>
        <w:pStyle w:val="OutlineNumbered1"/>
      </w:pPr>
      <w:r>
        <w:t>Accredited ADIs</w:t>
      </w:r>
      <w:r w:rsidR="00B0351C">
        <w:t xml:space="preserve"> that </w:t>
      </w:r>
      <w:r w:rsidR="00EE2E11">
        <w:t xml:space="preserve">were holding CDR data as an accredited person </w:t>
      </w:r>
      <w:r w:rsidR="001F2429">
        <w:t>in accordance with a collection consent</w:t>
      </w:r>
      <w:r w:rsidR="00EE2E11">
        <w:t xml:space="preserve"> prior to the commencement of the </w:t>
      </w:r>
      <w:r w:rsidR="009B6FC7">
        <w:t>A</w:t>
      </w:r>
      <w:r w:rsidR="00EE2E11">
        <w:t xml:space="preserve">mending </w:t>
      </w:r>
      <w:r w:rsidR="009B6FC7">
        <w:t>R</w:t>
      </w:r>
      <w:r w:rsidR="00EE2E11">
        <w:t xml:space="preserve">ules </w:t>
      </w:r>
      <w:r w:rsidR="00397BC3">
        <w:t>will not be able to use the notification</w:t>
      </w:r>
      <w:r w:rsidR="004555FA">
        <w:t xml:space="preserve"> </w:t>
      </w:r>
      <w:r w:rsidR="00C807A2">
        <w:t>avenue</w:t>
      </w:r>
      <w:r w:rsidR="004555FA">
        <w:t xml:space="preserve"> to hold CDR data as a data holder</w:t>
      </w:r>
      <w:r w:rsidR="00680FAA">
        <w:t xml:space="preserve"> in relation to CDR data</w:t>
      </w:r>
      <w:r w:rsidR="001F2429">
        <w:t xml:space="preserve"> collected under that consent.</w:t>
      </w:r>
      <w:r w:rsidR="009B2AA9">
        <w:t xml:space="preserve"> </w:t>
      </w:r>
      <w:r w:rsidR="004555FA">
        <w:t>T</w:t>
      </w:r>
      <w:r w:rsidR="00956305">
        <w:t xml:space="preserve">his will apply to any CDR data received in accordance with that consent, even if that data is collected after the commencement of the </w:t>
      </w:r>
      <w:r w:rsidR="00587D7E">
        <w:t>A</w:t>
      </w:r>
      <w:r w:rsidR="00956305">
        <w:t xml:space="preserve">mending </w:t>
      </w:r>
      <w:r w:rsidR="00587D7E">
        <w:t>R</w:t>
      </w:r>
      <w:r w:rsidR="00956305">
        <w:t>ules</w:t>
      </w:r>
      <w:r w:rsidR="00837A91">
        <w:t xml:space="preserve"> (so long as the original consent was prior to the amending rules commencing</w:t>
      </w:r>
      <w:r w:rsidR="00CC7309">
        <w:t>)</w:t>
      </w:r>
      <w:r w:rsidR="00B462B7">
        <w:t>.</w:t>
      </w:r>
      <w:r w:rsidR="002D3935">
        <w:t xml:space="preserve"> </w:t>
      </w:r>
      <w:r w:rsidR="006A75A0">
        <w:t>Accredited ADIs</w:t>
      </w:r>
      <w:r w:rsidR="002D3935">
        <w:t xml:space="preserve"> will still be able to rely on the consent </w:t>
      </w:r>
      <w:r w:rsidR="009B6FC7">
        <w:t>conditions</w:t>
      </w:r>
      <w:r w:rsidR="002D3935">
        <w:t xml:space="preserve"> </w:t>
      </w:r>
      <w:r w:rsidR="009B6FC7">
        <w:t xml:space="preserve">that were also </w:t>
      </w:r>
      <w:r w:rsidR="002D3935">
        <w:t xml:space="preserve">available prior to commencement of the </w:t>
      </w:r>
      <w:r w:rsidR="009B6FC7">
        <w:t>A</w:t>
      </w:r>
      <w:r w:rsidR="002D3935">
        <w:t xml:space="preserve">mending </w:t>
      </w:r>
      <w:r w:rsidR="009B6FC7">
        <w:t>R</w:t>
      </w:r>
      <w:r w:rsidR="002D3935">
        <w:t xml:space="preserve">ules in relation to </w:t>
      </w:r>
      <w:r w:rsidR="0010693E">
        <w:t xml:space="preserve">CDR data collected in accordance with a collection consent, so long as </w:t>
      </w:r>
      <w:r w:rsidR="009B6FC7">
        <w:t>the</w:t>
      </w:r>
      <w:r w:rsidR="0010693E">
        <w:t xml:space="preserve"> conditions are met</w:t>
      </w:r>
      <w:r w:rsidR="004F17C3">
        <w:t xml:space="preserve"> </w:t>
      </w:r>
      <w:r w:rsidR="00956305">
        <w:t xml:space="preserve">. </w:t>
      </w:r>
      <w:r w:rsidR="00C31DF4">
        <w:t xml:space="preserve">                                                             </w:t>
      </w:r>
      <w:r w:rsidR="00625929">
        <w:t xml:space="preserve">                    </w:t>
      </w:r>
      <w:r w:rsidR="007F2CD5">
        <w:t xml:space="preserve">              </w:t>
      </w:r>
      <w:r w:rsidR="00625929">
        <w:t xml:space="preserve"> </w:t>
      </w:r>
      <w:r w:rsidR="00956305" w:rsidRPr="00E723FE">
        <w:rPr>
          <w:b/>
          <w:bCs/>
          <w:i/>
          <w:iCs/>
          <w:sz w:val="20"/>
        </w:rPr>
        <w:t>[Schedule 1,</w:t>
      </w:r>
      <w:r w:rsidR="00E51365">
        <w:rPr>
          <w:b/>
          <w:bCs/>
          <w:i/>
          <w:iCs/>
          <w:sz w:val="20"/>
        </w:rPr>
        <w:t xml:space="preserve"> item 103, rule 508</w:t>
      </w:r>
      <w:r w:rsidR="00956305" w:rsidRPr="00E723FE">
        <w:rPr>
          <w:b/>
          <w:bCs/>
          <w:i/>
          <w:iCs/>
          <w:sz w:val="20"/>
        </w:rPr>
        <w:t>]</w:t>
      </w:r>
      <w:r w:rsidR="00397BC3">
        <w:t xml:space="preserve"> </w:t>
      </w:r>
      <w:r w:rsidR="007F2CD5">
        <w:t xml:space="preserve"> </w:t>
      </w:r>
    </w:p>
    <w:p w14:paraId="408B3C79" w14:textId="50040954" w:rsidR="00104C23" w:rsidRPr="006F769E" w:rsidRDefault="00104C23" w:rsidP="00104C23">
      <w:pPr>
        <w:spacing w:before="240" w:after="200"/>
        <w:rPr>
          <w:i/>
          <w:iCs/>
        </w:rPr>
      </w:pPr>
      <w:r>
        <w:rPr>
          <w:i/>
          <w:iCs/>
        </w:rPr>
        <w:t xml:space="preserve">CDR representatives complying with </w:t>
      </w:r>
      <w:proofErr w:type="gramStart"/>
      <w:r>
        <w:rPr>
          <w:i/>
          <w:iCs/>
        </w:rPr>
        <w:t>standards</w:t>
      </w:r>
      <w:proofErr w:type="gramEnd"/>
    </w:p>
    <w:p w14:paraId="389BB8BC" w14:textId="7501D913" w:rsidR="00104C23" w:rsidRDefault="00104C23" w:rsidP="00104C23">
      <w:pPr>
        <w:pStyle w:val="OutlineNumbered1"/>
      </w:pPr>
      <w:r>
        <w:t xml:space="preserve">The CDR Rules require CDR representatives to comply with any relevant CDR data standards that relate to the CDR representative doing things in accordance with Division 4.3A of the CDR Rules. </w:t>
      </w:r>
    </w:p>
    <w:p w14:paraId="490AE8C7" w14:textId="6778203E" w:rsidR="00104C23" w:rsidRDefault="00104C23" w:rsidP="00104C23">
      <w:pPr>
        <w:pStyle w:val="OutlineNumbered1"/>
      </w:pPr>
      <w:r>
        <w:t xml:space="preserve">The Amending Rules create an express requirement that a </w:t>
      </w:r>
      <w:r w:rsidRPr="004210C6">
        <w:t>CDR representative arrangement</w:t>
      </w:r>
      <w:r>
        <w:t xml:space="preserve"> must contain a term that requires the CDR representative to comply with any </w:t>
      </w:r>
      <w:r w:rsidRPr="00393EA0">
        <w:t xml:space="preserve">consumer experience data standards that are </w:t>
      </w:r>
      <w:r>
        <w:t>expressed to apply</w:t>
      </w:r>
      <w:r w:rsidRPr="00393EA0">
        <w:t xml:space="preserve"> to</w:t>
      </w:r>
      <w:r>
        <w:t xml:space="preserve"> ADRs</w:t>
      </w:r>
      <w:r w:rsidRPr="00393EA0">
        <w:t>, as if the CDR representative were an ADR.</w:t>
      </w:r>
      <w:r>
        <w:t xml:space="preserve"> </w:t>
      </w:r>
      <w:r>
        <w:tab/>
      </w:r>
      <w:r>
        <w:tab/>
      </w:r>
      <w:r>
        <w:tab/>
      </w:r>
      <w:r>
        <w:tab/>
      </w:r>
      <w:r>
        <w:tab/>
        <w:t xml:space="preserve"> </w:t>
      </w:r>
      <w:r w:rsidRPr="41EC66FB">
        <w:rPr>
          <w:b/>
          <w:i/>
          <w:sz w:val="20"/>
        </w:rPr>
        <w:t xml:space="preserve">[Schedule 1, item </w:t>
      </w:r>
      <w:r w:rsidR="00E164E0">
        <w:rPr>
          <w:b/>
          <w:i/>
          <w:sz w:val="20"/>
        </w:rPr>
        <w:t>6</w:t>
      </w:r>
      <w:r w:rsidRPr="41EC66FB">
        <w:rPr>
          <w:b/>
          <w:i/>
          <w:sz w:val="20"/>
        </w:rPr>
        <w:t>, paragraph 1.10AA(1)(d)]</w:t>
      </w:r>
    </w:p>
    <w:p w14:paraId="4290E406" w14:textId="3BEBB499" w:rsidR="00104C23" w:rsidRDefault="00104C23" w:rsidP="00104C23">
      <w:pPr>
        <w:pStyle w:val="OutlineNumbered1"/>
      </w:pPr>
      <w:r>
        <w:t>This obligation would only apply to CDR representatives when doing anything they are empowered to do under the CDR Rules and does not allow CDR representatives to do things that only ADRs or accredited persons are able to do – for example, to make consumer data requests directly to data holders.</w:t>
      </w:r>
    </w:p>
    <w:p w14:paraId="4B8889D4" w14:textId="2514EEED" w:rsidR="00104C23" w:rsidRDefault="00104C23" w:rsidP="00104C23">
      <w:pPr>
        <w:pStyle w:val="OutlineNumbered1"/>
      </w:pPr>
      <w:r>
        <w:t>As is the case in current subrule 1.16A(2), a civil penalty attaches to a breach of a CDR representative principal’s obligation to ensure their CDR representative complies with the relevant consumer experience data standards as if they were an ADR.</w:t>
      </w:r>
    </w:p>
    <w:p w14:paraId="501C6713" w14:textId="3C30C33D" w:rsidR="00104C23" w:rsidRDefault="00104C23" w:rsidP="00104C23">
      <w:pPr>
        <w:pStyle w:val="OutlineNumbered1"/>
      </w:pPr>
      <w:r>
        <w:t xml:space="preserve">The Amending Rules also clarify that a CDR representative principal is liable for their CDR representative breaching a required term of their CDR representative arrangement, irrespective of whether the term in question was actually included as a provision in their arrangement. </w:t>
      </w:r>
      <w:r>
        <w:tab/>
      </w:r>
      <w:r>
        <w:tab/>
      </w:r>
      <w:r>
        <w:tab/>
      </w:r>
      <w:r>
        <w:tab/>
      </w:r>
      <w:r>
        <w:tab/>
      </w:r>
      <w:r>
        <w:tab/>
        <w:t xml:space="preserve"> </w:t>
      </w:r>
      <w:r w:rsidRPr="41EC66FB">
        <w:rPr>
          <w:b/>
          <w:i/>
          <w:sz w:val="20"/>
        </w:rPr>
        <w:t>[Schedule 1, item 2</w:t>
      </w:r>
      <w:r w:rsidR="00E164E0">
        <w:rPr>
          <w:b/>
          <w:i/>
          <w:sz w:val="20"/>
        </w:rPr>
        <w:t>2</w:t>
      </w:r>
      <w:r w:rsidRPr="41EC66FB">
        <w:rPr>
          <w:b/>
          <w:i/>
          <w:sz w:val="20"/>
        </w:rPr>
        <w:t>, paragraph 1.16A(2)(a)]</w:t>
      </w:r>
      <w:r w:rsidRPr="41EC66FB">
        <w:rPr>
          <w:sz w:val="20"/>
        </w:rPr>
        <w:t xml:space="preserve"> </w:t>
      </w:r>
    </w:p>
    <w:p w14:paraId="6CAB34AB" w14:textId="0D2854FF" w:rsidR="00104C23" w:rsidRDefault="00104C23" w:rsidP="00104C23">
      <w:pPr>
        <w:pStyle w:val="OutlineNumbered1"/>
      </w:pPr>
      <w:r>
        <w:t xml:space="preserve">Based on this amendment, subrule 1.16A(5) is no longer necessary and has been repealed. </w:t>
      </w:r>
      <w:r>
        <w:tab/>
      </w:r>
      <w:r>
        <w:tab/>
      </w:r>
      <w:r>
        <w:tab/>
      </w:r>
      <w:r>
        <w:tab/>
      </w:r>
      <w:r>
        <w:tab/>
      </w:r>
      <w:r>
        <w:tab/>
      </w:r>
      <w:r>
        <w:tab/>
      </w:r>
      <w:r>
        <w:tab/>
      </w:r>
      <w:r>
        <w:tab/>
        <w:t xml:space="preserve"> </w:t>
      </w:r>
      <w:r w:rsidRPr="41EC66FB">
        <w:rPr>
          <w:b/>
          <w:i/>
          <w:sz w:val="20"/>
        </w:rPr>
        <w:t>[Schedule 1, item 2</w:t>
      </w:r>
      <w:r w:rsidR="00E164E0">
        <w:rPr>
          <w:b/>
          <w:i/>
          <w:sz w:val="20"/>
        </w:rPr>
        <w:t>3</w:t>
      </w:r>
      <w:r w:rsidRPr="41EC66FB">
        <w:rPr>
          <w:b/>
          <w:i/>
          <w:sz w:val="20"/>
        </w:rPr>
        <w:t>, subrule 1.16A(5)]</w:t>
      </w:r>
    </w:p>
    <w:p w14:paraId="7F106C1E" w14:textId="52D49661" w:rsidR="00104C23" w:rsidRDefault="00104C23" w:rsidP="00104C23">
      <w:pPr>
        <w:pStyle w:val="OutlineNumbered1"/>
      </w:pPr>
      <w:r w:rsidRPr="008B20A0">
        <w:t xml:space="preserve">The commencement of this obligation will be deferred </w:t>
      </w:r>
      <w:r>
        <w:t xml:space="preserve">by 12 </w:t>
      </w:r>
      <w:r w:rsidRPr="008B20A0">
        <w:t>months from the date these amendments take effec</w:t>
      </w:r>
      <w:r>
        <w:t xml:space="preserve">t. </w:t>
      </w:r>
      <w:r>
        <w:tab/>
      </w:r>
      <w:r>
        <w:tab/>
      </w:r>
      <w:r>
        <w:tab/>
      </w:r>
      <w:r>
        <w:tab/>
      </w:r>
      <w:r>
        <w:tab/>
      </w:r>
      <w:r>
        <w:tab/>
        <w:t xml:space="preserve"> </w:t>
      </w:r>
      <w:r w:rsidRPr="41EC66FB">
        <w:rPr>
          <w:b/>
          <w:i/>
          <w:sz w:val="20"/>
        </w:rPr>
        <w:t>[Schedule 1, item 10</w:t>
      </w:r>
      <w:r w:rsidR="00E164E0">
        <w:rPr>
          <w:b/>
          <w:i/>
          <w:sz w:val="20"/>
        </w:rPr>
        <w:t>3</w:t>
      </w:r>
      <w:r w:rsidRPr="41EC66FB">
        <w:rPr>
          <w:b/>
          <w:i/>
          <w:sz w:val="20"/>
        </w:rPr>
        <w:t>, rule 501]</w:t>
      </w:r>
    </w:p>
    <w:p w14:paraId="3410BF99" w14:textId="632328FA" w:rsidR="00104C23" w:rsidRPr="00F333DD" w:rsidRDefault="00104C23" w:rsidP="00104C23">
      <w:pPr>
        <w:pStyle w:val="OutlineNumbered1"/>
      </w:pPr>
      <w:r>
        <w:lastRenderedPageBreak/>
        <w:t xml:space="preserve">To support these amendments, the Amending Rules introduce a definition of </w:t>
      </w:r>
      <w:r w:rsidRPr="00BE754C">
        <w:rPr>
          <w:b/>
          <w:bCs/>
          <w:i/>
          <w:iCs/>
        </w:rPr>
        <w:t>consumer experience data standards</w:t>
      </w:r>
      <w:r>
        <w:t xml:space="preserve"> as data standards expressed to be consumer experience data standards. This is intended to capture all data standards made by the Data Standards Chair that operate as consumer experience data standards. </w:t>
      </w:r>
      <w:r>
        <w:tab/>
        <w:t xml:space="preserve"> </w:t>
      </w:r>
      <w:r w:rsidRPr="41EC66FB">
        <w:rPr>
          <w:b/>
          <w:i/>
          <w:sz w:val="20"/>
        </w:rPr>
        <w:t>[Schedule 1, item 2, definition of ‘consumer experience data standards’ in subrule 1.7(1)]</w:t>
      </w:r>
    </w:p>
    <w:p w14:paraId="1B77B9B0" w14:textId="77777777" w:rsidR="00E71E60" w:rsidRDefault="00E71E60" w:rsidP="00E71E60">
      <w:pPr>
        <w:spacing w:before="240" w:after="200"/>
        <w:rPr>
          <w:i/>
          <w:iCs/>
        </w:rPr>
      </w:pPr>
      <w:r>
        <w:rPr>
          <w:i/>
          <w:iCs/>
        </w:rPr>
        <w:t>Secondary users</w:t>
      </w:r>
    </w:p>
    <w:p w14:paraId="5B1B5F0A" w14:textId="71D29825" w:rsidR="00E71E60" w:rsidRPr="000B0ACD" w:rsidRDefault="00E71E60" w:rsidP="00E254B3">
      <w:pPr>
        <w:pStyle w:val="OutlineNumbered1"/>
        <w:rPr>
          <w:b/>
          <w:bCs/>
          <w:i/>
          <w:iCs/>
        </w:rPr>
      </w:pPr>
      <w:r>
        <w:t xml:space="preserve">The Amending Rules remove the obligation currently imposed on data holders to offer a functionality that allows an account holder </w:t>
      </w:r>
      <w:r w:rsidRPr="0055163B">
        <w:t>who has given a secondary user instruction to indicate, through their consumer dashboard, that the holder no longer approves CDR data relating to that account being disclosed to a particular accredited person in response to consumer data requests made by that secondary user</w:t>
      </w:r>
      <w:r>
        <w:t>.</w:t>
      </w:r>
      <w:r w:rsidR="00D50BB9">
        <w:t xml:space="preserve"> </w:t>
      </w:r>
      <w:r w:rsidR="000D199A">
        <w:t xml:space="preserve">The Amending Rules make a minor addition to the </w:t>
      </w:r>
      <w:r w:rsidR="00C15200">
        <w:t xml:space="preserve">data holder consumer dashboard service </w:t>
      </w:r>
      <w:r w:rsidR="00AA5ED4">
        <w:t>requirements that the service also be ‘readily accessible’.</w:t>
      </w:r>
      <w:r w:rsidR="00D50BB9">
        <w:t xml:space="preserve"> </w:t>
      </w:r>
      <w:r w:rsidR="00CB32E6">
        <w:tab/>
      </w:r>
      <w:r w:rsidR="00CB32E6">
        <w:tab/>
        <w:t xml:space="preserve"> </w:t>
      </w:r>
      <w:r w:rsidR="00D50BB9" w:rsidRPr="00F333DD">
        <w:rPr>
          <w:b/>
          <w:bCs/>
          <w:i/>
          <w:iCs/>
          <w:sz w:val="20"/>
          <w:szCs w:val="16"/>
        </w:rPr>
        <w:t xml:space="preserve">[Schedule 1, item </w:t>
      </w:r>
      <w:r w:rsidR="00E056D7">
        <w:rPr>
          <w:b/>
          <w:bCs/>
          <w:i/>
          <w:iCs/>
          <w:sz w:val="20"/>
          <w:szCs w:val="16"/>
        </w:rPr>
        <w:t>19</w:t>
      </w:r>
      <w:r w:rsidR="00D50BB9" w:rsidRPr="00F333DD">
        <w:rPr>
          <w:b/>
          <w:bCs/>
          <w:i/>
          <w:iCs/>
          <w:sz w:val="20"/>
          <w:szCs w:val="16"/>
        </w:rPr>
        <w:t>, paragraph</w:t>
      </w:r>
      <w:r w:rsidR="00154CE2">
        <w:rPr>
          <w:b/>
          <w:bCs/>
          <w:i/>
          <w:iCs/>
          <w:sz w:val="20"/>
          <w:szCs w:val="16"/>
        </w:rPr>
        <w:t>s</w:t>
      </w:r>
      <w:r w:rsidR="00D50BB9" w:rsidRPr="00F333DD">
        <w:rPr>
          <w:b/>
          <w:bCs/>
          <w:i/>
          <w:iCs/>
          <w:sz w:val="20"/>
          <w:szCs w:val="16"/>
        </w:rPr>
        <w:t xml:space="preserve"> 1.15(5)(b)</w:t>
      </w:r>
      <w:r w:rsidR="0013557F">
        <w:rPr>
          <w:b/>
          <w:bCs/>
          <w:i/>
          <w:iCs/>
          <w:sz w:val="20"/>
          <w:szCs w:val="16"/>
        </w:rPr>
        <w:t xml:space="preserve"> to </w:t>
      </w:r>
      <w:r w:rsidR="00E4666B">
        <w:rPr>
          <w:b/>
          <w:bCs/>
          <w:i/>
          <w:iCs/>
          <w:sz w:val="20"/>
          <w:szCs w:val="16"/>
        </w:rPr>
        <w:t>(e)</w:t>
      </w:r>
      <w:r w:rsidR="00D50BB9" w:rsidRPr="00F333DD">
        <w:rPr>
          <w:b/>
          <w:bCs/>
          <w:i/>
          <w:iCs/>
          <w:sz w:val="20"/>
          <w:szCs w:val="16"/>
        </w:rPr>
        <w:t>]</w:t>
      </w:r>
    </w:p>
    <w:p w14:paraId="4419F520" w14:textId="276C6DAD" w:rsidR="00E71E60" w:rsidRDefault="00E71E60" w:rsidP="00E254B3">
      <w:pPr>
        <w:pStyle w:val="OutlineNumbered1"/>
      </w:pPr>
      <w:r>
        <w:t>Data holders may still provide this functionality to account holders but are not compelled to do so. Instead, an account holder can continue to rely on the ability to block secondary user authorised data sharing by stopping all data</w:t>
      </w:r>
      <w:r w:rsidR="00406280">
        <w:t xml:space="preserve"> </w:t>
      </w:r>
      <w:r>
        <w:t xml:space="preserve">sharing from the account on behalf of the </w:t>
      </w:r>
      <w:r w:rsidRPr="00852AE1">
        <w:rPr>
          <w:i/>
          <w:iCs/>
        </w:rPr>
        <w:t>specified</w:t>
      </w:r>
      <w:r>
        <w:t xml:space="preserve"> secondary user</w:t>
      </w:r>
      <w:r w:rsidR="0004348D">
        <w:t xml:space="preserve"> by withdrawing the secondary user instruction</w:t>
      </w:r>
      <w:r w:rsidR="003F4028">
        <w:t>.</w:t>
      </w:r>
    </w:p>
    <w:p w14:paraId="558A5847" w14:textId="5A3312D6" w:rsidR="00527FF3" w:rsidRDefault="00527FF3" w:rsidP="00E254B3">
      <w:pPr>
        <w:pStyle w:val="OutlineNumbered1"/>
      </w:pPr>
      <w:r>
        <w:t xml:space="preserve">Existing subparagraph </w:t>
      </w:r>
      <w:r w:rsidR="00912AD1">
        <w:t>4.6A</w:t>
      </w:r>
      <w:r w:rsidR="00A612BB">
        <w:t xml:space="preserve">(a)(ii) in the CDR Rules </w:t>
      </w:r>
      <w:r w:rsidR="004914D8">
        <w:t xml:space="preserve">continues to apply </w:t>
      </w:r>
      <w:r w:rsidR="00AF33A8">
        <w:t xml:space="preserve">to </w:t>
      </w:r>
      <w:r w:rsidR="007035C7">
        <w:t xml:space="preserve">block </w:t>
      </w:r>
      <w:r w:rsidR="00D41EDA">
        <w:t xml:space="preserve">data holders </w:t>
      </w:r>
      <w:r w:rsidR="00CF71A4">
        <w:t xml:space="preserve">sharing </w:t>
      </w:r>
      <w:r w:rsidR="002B1813">
        <w:t xml:space="preserve">data to </w:t>
      </w:r>
      <w:r w:rsidR="00031F89">
        <w:t xml:space="preserve">a </w:t>
      </w:r>
      <w:r w:rsidR="002B1813">
        <w:t xml:space="preserve">particular accredited </w:t>
      </w:r>
      <w:r w:rsidR="00031F89">
        <w:t xml:space="preserve">person </w:t>
      </w:r>
      <w:r w:rsidR="00B77DF2">
        <w:t xml:space="preserve">where data holders choose to still provide the </w:t>
      </w:r>
      <w:r w:rsidR="004460D6">
        <w:t>more granular functionality</w:t>
      </w:r>
      <w:r w:rsidR="00DF4CA0">
        <w:t>.</w:t>
      </w:r>
    </w:p>
    <w:p w14:paraId="21CE4DEF" w14:textId="71E484F5" w:rsidR="00DE2935" w:rsidRPr="00A8488E" w:rsidRDefault="00047A5A" w:rsidP="00E254B3">
      <w:pPr>
        <w:pStyle w:val="OutlineNumbered1"/>
      </w:pPr>
      <w:r>
        <w:t>The Amending Rules maintain the current rule that a</w:t>
      </w:r>
      <w:r w:rsidR="00DE2935">
        <w:t xml:space="preserve"> data holder will not contravene </w:t>
      </w:r>
      <w:r>
        <w:t>its</w:t>
      </w:r>
      <w:r w:rsidR="00DE2935">
        <w:t xml:space="preserve"> obligation</w:t>
      </w:r>
      <w:r>
        <w:t>s to ensure the service is simple and straightforward to use</w:t>
      </w:r>
      <w:r w:rsidR="001B6585">
        <w:t>,</w:t>
      </w:r>
      <w:r w:rsidR="00DE2935">
        <w:t xml:space="preserve"> </w:t>
      </w:r>
      <w:r w:rsidR="00767EBF">
        <w:t>and no more complicated to use than the processes for giving the authorisation or instruction</w:t>
      </w:r>
      <w:r w:rsidR="001B6585">
        <w:t>,</w:t>
      </w:r>
      <w:r w:rsidR="00DE2935">
        <w:t xml:space="preserve"> so long as it takes reasonable steps </w:t>
      </w:r>
      <w:r w:rsidR="00376A0D">
        <w:t xml:space="preserve">to comply with </w:t>
      </w:r>
      <w:r w:rsidR="00F86DCB">
        <w:t>those requirements.</w:t>
      </w:r>
      <w:r w:rsidR="00377A9C">
        <w:t xml:space="preserve"> </w:t>
      </w:r>
      <w:r w:rsidR="00CB32E6">
        <w:tab/>
      </w:r>
      <w:r w:rsidR="00CB32E6">
        <w:tab/>
        <w:t xml:space="preserve"> </w:t>
      </w:r>
      <w:r w:rsidR="00377A9C" w:rsidRPr="00483B09">
        <w:rPr>
          <w:b/>
          <w:bCs/>
          <w:i/>
          <w:iCs/>
          <w:sz w:val="20"/>
          <w:szCs w:val="16"/>
        </w:rPr>
        <w:t xml:space="preserve">[Schedule </w:t>
      </w:r>
      <w:r w:rsidR="00DF29F7" w:rsidRPr="00483B09">
        <w:rPr>
          <w:b/>
          <w:bCs/>
          <w:i/>
          <w:iCs/>
          <w:sz w:val="20"/>
          <w:szCs w:val="16"/>
        </w:rPr>
        <w:t>1</w:t>
      </w:r>
      <w:r w:rsidR="00377A9C" w:rsidRPr="00483B09">
        <w:rPr>
          <w:b/>
          <w:bCs/>
          <w:i/>
          <w:iCs/>
          <w:sz w:val="20"/>
          <w:szCs w:val="16"/>
        </w:rPr>
        <w:t>, item</w:t>
      </w:r>
      <w:r w:rsidR="0078422A">
        <w:rPr>
          <w:b/>
          <w:bCs/>
          <w:i/>
          <w:iCs/>
          <w:sz w:val="20"/>
          <w:szCs w:val="16"/>
        </w:rPr>
        <w:t> </w:t>
      </w:r>
      <w:r w:rsidR="00852602">
        <w:rPr>
          <w:b/>
          <w:bCs/>
          <w:i/>
          <w:iCs/>
          <w:sz w:val="20"/>
          <w:szCs w:val="16"/>
        </w:rPr>
        <w:t>2</w:t>
      </w:r>
      <w:r w:rsidR="00E056D7">
        <w:rPr>
          <w:b/>
          <w:bCs/>
          <w:i/>
          <w:iCs/>
          <w:sz w:val="20"/>
          <w:szCs w:val="16"/>
        </w:rPr>
        <w:t>1</w:t>
      </w:r>
      <w:r w:rsidR="00CB58B3" w:rsidRPr="00483B09">
        <w:rPr>
          <w:b/>
          <w:bCs/>
          <w:i/>
          <w:iCs/>
          <w:sz w:val="20"/>
          <w:szCs w:val="16"/>
        </w:rPr>
        <w:t xml:space="preserve">, </w:t>
      </w:r>
      <w:r w:rsidR="00483B09" w:rsidRPr="00483B09">
        <w:rPr>
          <w:b/>
          <w:bCs/>
          <w:i/>
          <w:iCs/>
          <w:sz w:val="20"/>
          <w:szCs w:val="16"/>
        </w:rPr>
        <w:t>subrule 1.15(6)]</w:t>
      </w:r>
    </w:p>
    <w:p w14:paraId="2CAEE08C" w14:textId="290A56B2" w:rsidR="00A8488E" w:rsidRPr="00A8488E" w:rsidRDefault="00A8488E" w:rsidP="00A8488E">
      <w:pPr>
        <w:pStyle w:val="OutlineNumbered1"/>
        <w:rPr>
          <w:b/>
          <w:bCs/>
          <w:i/>
          <w:iCs/>
        </w:rPr>
      </w:pPr>
      <w:r>
        <w:t>As a result of the amendments, Note 2 in subrule 1.15(5)</w:t>
      </w:r>
      <w:r w:rsidR="001C6A32">
        <w:t xml:space="preserve"> and Note 1</w:t>
      </w:r>
      <w:r w:rsidR="00223179">
        <w:t xml:space="preserve"> in </w:t>
      </w:r>
      <w:r w:rsidR="00BA4B34">
        <w:t>rule 4.6</w:t>
      </w:r>
      <w:r w:rsidR="008E4BD0">
        <w:t xml:space="preserve">A </w:t>
      </w:r>
      <w:r w:rsidR="00E470D3">
        <w:t>are</w:t>
      </w:r>
      <w:r>
        <w:t xml:space="preserve"> no longer relevant and ha</w:t>
      </w:r>
      <w:r w:rsidR="00E470D3">
        <w:t>ve</w:t>
      </w:r>
      <w:r>
        <w:t xml:space="preserve"> been repealed. </w:t>
      </w:r>
      <w:r w:rsidR="00CB32E6">
        <w:tab/>
      </w:r>
      <w:r w:rsidR="00CB32E6">
        <w:tab/>
      </w:r>
      <w:r w:rsidR="00CB32E6">
        <w:tab/>
      </w:r>
      <w:r w:rsidR="00CB32E6">
        <w:tab/>
      </w:r>
      <w:r w:rsidR="00CB32E6">
        <w:tab/>
      </w:r>
      <w:r w:rsidR="00CB32E6">
        <w:tab/>
        <w:t xml:space="preserve"> </w:t>
      </w:r>
      <w:r w:rsidRPr="00E206F4">
        <w:rPr>
          <w:b/>
          <w:bCs/>
          <w:i/>
          <w:iCs/>
          <w:sz w:val="20"/>
          <w:szCs w:val="16"/>
        </w:rPr>
        <w:t>[Schedule 1, item</w:t>
      </w:r>
      <w:r w:rsidR="008E4BD0">
        <w:rPr>
          <w:b/>
          <w:bCs/>
          <w:i/>
          <w:iCs/>
          <w:sz w:val="20"/>
          <w:szCs w:val="16"/>
        </w:rPr>
        <w:t>s</w:t>
      </w:r>
      <w:r w:rsidRPr="00E206F4">
        <w:rPr>
          <w:b/>
          <w:bCs/>
          <w:i/>
          <w:iCs/>
          <w:sz w:val="20"/>
          <w:szCs w:val="16"/>
        </w:rPr>
        <w:t xml:space="preserve"> </w:t>
      </w:r>
      <w:r w:rsidR="00E056D7">
        <w:rPr>
          <w:b/>
          <w:bCs/>
          <w:i/>
          <w:iCs/>
          <w:sz w:val="20"/>
          <w:szCs w:val="16"/>
        </w:rPr>
        <w:t>20</w:t>
      </w:r>
      <w:r w:rsidR="00000C4C">
        <w:rPr>
          <w:b/>
          <w:bCs/>
          <w:i/>
          <w:iCs/>
          <w:sz w:val="20"/>
          <w:szCs w:val="16"/>
        </w:rPr>
        <w:t xml:space="preserve"> and 2</w:t>
      </w:r>
      <w:r w:rsidR="00E056D7">
        <w:rPr>
          <w:b/>
          <w:bCs/>
          <w:i/>
          <w:iCs/>
          <w:sz w:val="20"/>
          <w:szCs w:val="16"/>
        </w:rPr>
        <w:t>4</w:t>
      </w:r>
      <w:r w:rsidRPr="00E206F4">
        <w:rPr>
          <w:b/>
          <w:bCs/>
          <w:i/>
          <w:iCs/>
          <w:sz w:val="20"/>
          <w:szCs w:val="16"/>
        </w:rPr>
        <w:t xml:space="preserve">, </w:t>
      </w:r>
      <w:r w:rsidR="00594049">
        <w:rPr>
          <w:b/>
          <w:bCs/>
          <w:i/>
          <w:iCs/>
          <w:sz w:val="20"/>
          <w:szCs w:val="16"/>
        </w:rPr>
        <w:t>s</w:t>
      </w:r>
      <w:r w:rsidRPr="00E206F4">
        <w:rPr>
          <w:b/>
          <w:bCs/>
          <w:i/>
          <w:iCs/>
          <w:sz w:val="20"/>
          <w:szCs w:val="16"/>
        </w:rPr>
        <w:t>ubrule 1.15(5) (notes)</w:t>
      </w:r>
      <w:r w:rsidR="00EF763D">
        <w:rPr>
          <w:b/>
          <w:bCs/>
          <w:i/>
          <w:iCs/>
          <w:sz w:val="20"/>
          <w:szCs w:val="16"/>
        </w:rPr>
        <w:t xml:space="preserve"> and rule 4.6A (notes)</w:t>
      </w:r>
      <w:r w:rsidRPr="00E206F4">
        <w:rPr>
          <w:b/>
          <w:bCs/>
          <w:i/>
          <w:iCs/>
          <w:sz w:val="20"/>
          <w:szCs w:val="16"/>
        </w:rPr>
        <w:t>]</w:t>
      </w:r>
    </w:p>
    <w:p w14:paraId="4DCC65B4" w14:textId="5E36B804" w:rsidR="00006033" w:rsidRPr="00662EA0" w:rsidRDefault="00E71E60" w:rsidP="007173BC">
      <w:pPr>
        <w:pStyle w:val="OutlineNumbered1"/>
        <w:rPr>
          <w:szCs w:val="24"/>
        </w:rPr>
      </w:pPr>
      <w:r>
        <w:t>The Amending Rules also address an irregularity in the</w:t>
      </w:r>
      <w:r w:rsidR="00AC7580">
        <w:t xml:space="preserve"> CDR</w:t>
      </w:r>
      <w:r>
        <w:t xml:space="preserve"> </w:t>
      </w:r>
      <w:r w:rsidR="00AC7580">
        <w:t>R</w:t>
      </w:r>
      <w:r>
        <w:t xml:space="preserve">ules that </w:t>
      </w:r>
      <w:r w:rsidR="006E68A0">
        <w:t>allow</w:t>
      </w:r>
      <w:r w:rsidR="00594049">
        <w:t>s</w:t>
      </w:r>
      <w:r>
        <w:t xml:space="preserve"> a secondary user to make a consumer data request on an account even when the relevant account holder </w:t>
      </w:r>
      <w:r w:rsidR="006E68A0">
        <w:t>is</w:t>
      </w:r>
      <w:r>
        <w:t xml:space="preserve"> no longer eligible to share data</w:t>
      </w:r>
      <w:r w:rsidR="006E68A0">
        <w:t xml:space="preserve">. </w:t>
      </w:r>
      <w:r w:rsidR="008D6ED1">
        <w:t>This is achieved by</w:t>
      </w:r>
      <w:r w:rsidR="0098376A">
        <w:t xml:space="preserve"> amending the definition of secondary user</w:t>
      </w:r>
      <w:r w:rsidR="00B40004">
        <w:t xml:space="preserve"> and</w:t>
      </w:r>
      <w:r w:rsidR="00B67FBC">
        <w:t xml:space="preserve"> </w:t>
      </w:r>
      <w:r w:rsidR="0036766E">
        <w:t>introducing a temporal requirement</w:t>
      </w:r>
      <w:r w:rsidR="0036766E" w:rsidRPr="00F333DD">
        <w:rPr>
          <w:sz w:val="20"/>
          <w:szCs w:val="16"/>
        </w:rPr>
        <w:t xml:space="preserve">. </w:t>
      </w:r>
      <w:r w:rsidR="0036766E" w:rsidRPr="00F333DD">
        <w:rPr>
          <w:b/>
          <w:bCs/>
          <w:i/>
          <w:iCs/>
          <w:sz w:val="20"/>
          <w:szCs w:val="16"/>
        </w:rPr>
        <w:t xml:space="preserve">[Schedule 1, items </w:t>
      </w:r>
      <w:r w:rsidR="00E056D7">
        <w:rPr>
          <w:b/>
          <w:bCs/>
          <w:i/>
          <w:iCs/>
          <w:sz w:val="20"/>
          <w:szCs w:val="16"/>
        </w:rPr>
        <w:t>4</w:t>
      </w:r>
      <w:r w:rsidR="006E4362">
        <w:rPr>
          <w:b/>
          <w:bCs/>
          <w:i/>
          <w:iCs/>
          <w:sz w:val="20"/>
          <w:szCs w:val="16"/>
        </w:rPr>
        <w:t xml:space="preserve"> and</w:t>
      </w:r>
      <w:r w:rsidR="008841DA" w:rsidRPr="00F333DD">
        <w:rPr>
          <w:b/>
          <w:bCs/>
          <w:i/>
          <w:iCs/>
          <w:sz w:val="20"/>
          <w:szCs w:val="16"/>
        </w:rPr>
        <w:t xml:space="preserve"> </w:t>
      </w:r>
      <w:r w:rsidR="00E056D7">
        <w:rPr>
          <w:b/>
          <w:bCs/>
          <w:i/>
          <w:iCs/>
          <w:sz w:val="20"/>
          <w:szCs w:val="16"/>
        </w:rPr>
        <w:t>5</w:t>
      </w:r>
      <w:r w:rsidR="008841DA" w:rsidRPr="00F333DD">
        <w:rPr>
          <w:b/>
          <w:bCs/>
          <w:i/>
          <w:iCs/>
          <w:sz w:val="20"/>
          <w:szCs w:val="16"/>
        </w:rPr>
        <w:t xml:space="preserve">, </w:t>
      </w:r>
      <w:r w:rsidR="006C3EF7">
        <w:rPr>
          <w:b/>
          <w:bCs/>
          <w:i/>
          <w:iCs/>
          <w:sz w:val="20"/>
          <w:szCs w:val="16"/>
        </w:rPr>
        <w:t xml:space="preserve">definition of ‘secondary user’ in </w:t>
      </w:r>
      <w:r w:rsidR="003A2006" w:rsidRPr="00F333DD">
        <w:rPr>
          <w:b/>
          <w:bCs/>
          <w:i/>
          <w:iCs/>
          <w:sz w:val="20"/>
          <w:szCs w:val="16"/>
        </w:rPr>
        <w:t>subrule 1.7(1)]</w:t>
      </w:r>
    </w:p>
    <w:p w14:paraId="0771A3C2" w14:textId="6F853F0B" w:rsidR="00E31562" w:rsidRPr="00E31562" w:rsidRDefault="00E31562" w:rsidP="00E31562">
      <w:pPr>
        <w:pStyle w:val="OutlineNumbered1"/>
        <w:numPr>
          <w:ilvl w:val="0"/>
          <w:numId w:val="0"/>
        </w:numPr>
        <w:rPr>
          <w:i/>
          <w:iCs/>
        </w:rPr>
      </w:pPr>
      <w:r w:rsidRPr="00E31562">
        <w:rPr>
          <w:i/>
          <w:iCs/>
        </w:rPr>
        <w:t>Miscellaneous dashboard</w:t>
      </w:r>
      <w:r w:rsidR="009A7F54">
        <w:rPr>
          <w:i/>
          <w:iCs/>
        </w:rPr>
        <w:t xml:space="preserve"> requirements for data holders</w:t>
      </w:r>
    </w:p>
    <w:p w14:paraId="5D770B16" w14:textId="54913C6C" w:rsidR="00914BD1" w:rsidRDefault="00E4040F" w:rsidP="007173BC">
      <w:pPr>
        <w:pStyle w:val="OutlineNumbered1"/>
      </w:pPr>
      <w:r>
        <w:t xml:space="preserve">The Amending </w:t>
      </w:r>
      <w:r w:rsidR="0095322E">
        <w:t>R</w:t>
      </w:r>
      <w:r>
        <w:t>ules</w:t>
      </w:r>
      <w:r w:rsidR="009A7F54">
        <w:t xml:space="preserve"> align</w:t>
      </w:r>
      <w:r w:rsidR="008C2BBF">
        <w:t xml:space="preserve"> the</w:t>
      </w:r>
      <w:r w:rsidR="009A7F54">
        <w:t xml:space="preserve"> </w:t>
      </w:r>
      <w:r w:rsidR="008C2BBF">
        <w:t>consumer dashboard</w:t>
      </w:r>
      <w:r>
        <w:t xml:space="preserve"> functionality</w:t>
      </w:r>
      <w:r w:rsidR="008C2BBF">
        <w:t xml:space="preserve"> requirements for data holders </w:t>
      </w:r>
      <w:r w:rsidR="009A7F54">
        <w:t xml:space="preserve">with </w:t>
      </w:r>
      <w:r w:rsidR="008C2BBF">
        <w:t>new</w:t>
      </w:r>
      <w:r w:rsidR="009A7F54">
        <w:t xml:space="preserve"> dashboard requirements </w:t>
      </w:r>
      <w:r w:rsidR="00885AAE">
        <w:t>related to</w:t>
      </w:r>
      <w:r w:rsidR="009A7F54">
        <w:t xml:space="preserve"> secondary users outlined above</w:t>
      </w:r>
      <w:r>
        <w:t>.</w:t>
      </w:r>
      <w:r w:rsidR="00DB57A2">
        <w:t xml:space="preserve"> </w:t>
      </w:r>
      <w:r w:rsidR="00CB32E6">
        <w:tab/>
      </w:r>
      <w:r w:rsidR="00CB32E6">
        <w:tab/>
      </w:r>
      <w:r w:rsidR="00CB32E6">
        <w:tab/>
      </w:r>
      <w:r w:rsidR="00CB32E6">
        <w:tab/>
      </w:r>
      <w:r w:rsidR="00CB32E6">
        <w:tab/>
      </w:r>
      <w:r w:rsidR="00CB32E6">
        <w:tab/>
      </w:r>
      <w:r w:rsidR="00CB32E6">
        <w:tab/>
      </w:r>
      <w:r w:rsidR="00CB32E6">
        <w:tab/>
      </w:r>
      <w:r w:rsidR="00CB32E6">
        <w:tab/>
        <w:t xml:space="preserve"> </w:t>
      </w:r>
      <w:r w:rsidR="00471873" w:rsidRPr="00471873">
        <w:rPr>
          <w:b/>
          <w:bCs/>
          <w:i/>
          <w:iCs/>
          <w:sz w:val="20"/>
          <w:szCs w:val="16"/>
        </w:rPr>
        <w:t>[</w:t>
      </w:r>
      <w:r w:rsidRPr="00471873">
        <w:rPr>
          <w:b/>
          <w:bCs/>
          <w:i/>
          <w:iCs/>
          <w:sz w:val="20"/>
          <w:szCs w:val="16"/>
        </w:rPr>
        <w:t xml:space="preserve">Schedule 1, </w:t>
      </w:r>
      <w:r w:rsidR="00471873" w:rsidRPr="00471873">
        <w:rPr>
          <w:b/>
          <w:bCs/>
          <w:i/>
          <w:iCs/>
          <w:sz w:val="20"/>
          <w:szCs w:val="16"/>
        </w:rPr>
        <w:t>i</w:t>
      </w:r>
      <w:r w:rsidRPr="00471873">
        <w:rPr>
          <w:b/>
          <w:bCs/>
          <w:i/>
          <w:iCs/>
          <w:sz w:val="20"/>
          <w:szCs w:val="16"/>
        </w:rPr>
        <w:t>tem</w:t>
      </w:r>
      <w:r w:rsidR="00935B9B">
        <w:rPr>
          <w:b/>
          <w:bCs/>
          <w:i/>
          <w:iCs/>
          <w:sz w:val="20"/>
          <w:szCs w:val="16"/>
        </w:rPr>
        <w:t>s</w:t>
      </w:r>
      <w:r w:rsidRPr="00471873">
        <w:rPr>
          <w:b/>
          <w:bCs/>
          <w:i/>
          <w:iCs/>
          <w:sz w:val="20"/>
          <w:szCs w:val="16"/>
        </w:rPr>
        <w:t xml:space="preserve"> </w:t>
      </w:r>
      <w:r w:rsidR="00E056D7">
        <w:rPr>
          <w:b/>
          <w:bCs/>
          <w:i/>
          <w:iCs/>
          <w:sz w:val="20"/>
          <w:szCs w:val="16"/>
        </w:rPr>
        <w:t>17</w:t>
      </w:r>
      <w:r w:rsidR="00DB57A2">
        <w:rPr>
          <w:b/>
          <w:bCs/>
          <w:i/>
          <w:iCs/>
          <w:sz w:val="20"/>
          <w:szCs w:val="16"/>
        </w:rPr>
        <w:t xml:space="preserve"> and </w:t>
      </w:r>
      <w:r w:rsidR="00E056D7">
        <w:rPr>
          <w:b/>
          <w:bCs/>
          <w:i/>
          <w:iCs/>
          <w:sz w:val="20"/>
          <w:szCs w:val="16"/>
        </w:rPr>
        <w:t>18</w:t>
      </w:r>
      <w:r w:rsidR="00C4679C">
        <w:rPr>
          <w:b/>
          <w:bCs/>
          <w:i/>
          <w:iCs/>
          <w:sz w:val="20"/>
          <w:szCs w:val="16"/>
        </w:rPr>
        <w:t>,</w:t>
      </w:r>
      <w:r w:rsidRPr="00471873">
        <w:rPr>
          <w:b/>
          <w:bCs/>
          <w:i/>
          <w:iCs/>
          <w:sz w:val="20"/>
          <w:szCs w:val="16"/>
        </w:rPr>
        <w:t xml:space="preserve"> </w:t>
      </w:r>
      <w:r w:rsidR="00471873" w:rsidRPr="00471873">
        <w:rPr>
          <w:b/>
          <w:bCs/>
          <w:i/>
          <w:iCs/>
          <w:sz w:val="20"/>
          <w:szCs w:val="16"/>
        </w:rPr>
        <w:t xml:space="preserve">paragraphs 1.15(1)(c) </w:t>
      </w:r>
      <w:r w:rsidR="00E60156">
        <w:rPr>
          <w:b/>
          <w:bCs/>
          <w:i/>
          <w:iCs/>
          <w:sz w:val="20"/>
          <w:szCs w:val="16"/>
        </w:rPr>
        <w:t>to</w:t>
      </w:r>
      <w:r w:rsidR="00471873" w:rsidRPr="00471873">
        <w:rPr>
          <w:b/>
          <w:bCs/>
          <w:i/>
          <w:iCs/>
          <w:sz w:val="20"/>
          <w:szCs w:val="16"/>
        </w:rPr>
        <w:t xml:space="preserve"> </w:t>
      </w:r>
      <w:r w:rsidR="00F13730">
        <w:rPr>
          <w:b/>
          <w:bCs/>
          <w:i/>
          <w:iCs/>
          <w:sz w:val="20"/>
          <w:szCs w:val="16"/>
        </w:rPr>
        <w:t>(g)</w:t>
      </w:r>
      <w:r w:rsidR="00DB57A2">
        <w:rPr>
          <w:b/>
          <w:bCs/>
          <w:i/>
          <w:iCs/>
          <w:sz w:val="20"/>
          <w:szCs w:val="16"/>
        </w:rPr>
        <w:t xml:space="preserve"> and </w:t>
      </w:r>
      <w:r w:rsidR="00EC4985">
        <w:rPr>
          <w:b/>
          <w:bCs/>
          <w:i/>
          <w:iCs/>
          <w:sz w:val="20"/>
          <w:szCs w:val="16"/>
        </w:rPr>
        <w:t xml:space="preserve">subrule </w:t>
      </w:r>
      <w:r w:rsidR="00DB57A2">
        <w:rPr>
          <w:b/>
          <w:bCs/>
          <w:i/>
          <w:iCs/>
          <w:sz w:val="20"/>
          <w:szCs w:val="16"/>
        </w:rPr>
        <w:t>1.15(4)</w:t>
      </w:r>
      <w:r w:rsidR="00471873" w:rsidRPr="00471873">
        <w:rPr>
          <w:b/>
          <w:bCs/>
          <w:i/>
          <w:iCs/>
          <w:sz w:val="20"/>
          <w:szCs w:val="16"/>
        </w:rPr>
        <w:t>]</w:t>
      </w:r>
    </w:p>
    <w:p w14:paraId="24FE987B" w14:textId="669EDF93" w:rsidR="00E31562" w:rsidRPr="000A3C32" w:rsidRDefault="00E10C8D" w:rsidP="00E31562">
      <w:pPr>
        <w:pStyle w:val="OutlineNumbered1"/>
      </w:pPr>
      <w:r>
        <w:t xml:space="preserve">Similar amendments are made to data holder </w:t>
      </w:r>
      <w:r w:rsidR="003901BB">
        <w:t>consumer</w:t>
      </w:r>
      <w:r>
        <w:t xml:space="preserve"> dashboard </w:t>
      </w:r>
      <w:r w:rsidR="003901BB">
        <w:t>functionality</w:t>
      </w:r>
      <w:r>
        <w:t xml:space="preserve"> requirements for joint account holders</w:t>
      </w:r>
      <w:r w:rsidR="003901BB">
        <w:t xml:space="preserve">. </w:t>
      </w:r>
      <w:r w:rsidR="00F43194">
        <w:t>The</w:t>
      </w:r>
      <w:r w:rsidR="00963B92">
        <w:t xml:space="preserve"> Amending Rules remove the</w:t>
      </w:r>
      <w:r w:rsidR="00F43194">
        <w:t xml:space="preserve"> ‘reasonable </w:t>
      </w:r>
      <w:r w:rsidR="00F43194">
        <w:lastRenderedPageBreak/>
        <w:t>steps’</w:t>
      </w:r>
      <w:r w:rsidR="00292254">
        <w:t xml:space="preserve"> </w:t>
      </w:r>
      <w:r w:rsidR="004A5988">
        <w:t xml:space="preserve">protection </w:t>
      </w:r>
      <w:r w:rsidR="00CA4319">
        <w:t>to the extent it relates to the requirement for the online service to be prominently displayed</w:t>
      </w:r>
      <w:r w:rsidR="004A5988">
        <w:t xml:space="preserve">. </w:t>
      </w:r>
      <w:r w:rsidR="00292254">
        <w:t xml:space="preserve">This is consistent with other provisions </w:t>
      </w:r>
      <w:r w:rsidR="004A5988">
        <w:t xml:space="preserve">in the CDR Rules </w:t>
      </w:r>
      <w:r w:rsidR="00292254">
        <w:t xml:space="preserve">that include requirements </w:t>
      </w:r>
      <w:r w:rsidR="004A5988">
        <w:t xml:space="preserve">on data holders to </w:t>
      </w:r>
      <w:r w:rsidR="00F12A39">
        <w:t>provide services</w:t>
      </w:r>
      <w:r w:rsidR="00292254">
        <w:t xml:space="preserve"> </w:t>
      </w:r>
      <w:r w:rsidR="00854E06">
        <w:t xml:space="preserve">that </w:t>
      </w:r>
      <w:r w:rsidR="00292254">
        <w:t xml:space="preserve">are </w:t>
      </w:r>
      <w:r w:rsidR="00854E06">
        <w:t>‘</w:t>
      </w:r>
      <w:r w:rsidR="00292254">
        <w:t xml:space="preserve">prominently </w:t>
      </w:r>
      <w:r w:rsidR="00854E06">
        <w:t>displayed</w:t>
      </w:r>
      <w:r w:rsidR="00292254">
        <w:t xml:space="preserve"> and readily accessible</w:t>
      </w:r>
      <w:r w:rsidR="00854E06">
        <w:t>’.</w:t>
      </w:r>
      <w:r w:rsidR="003901BB">
        <w:t xml:space="preserve"> </w:t>
      </w:r>
      <w:r w:rsidR="00CB32E6">
        <w:tab/>
      </w:r>
      <w:r w:rsidR="00CB32E6">
        <w:tab/>
      </w:r>
      <w:r w:rsidR="00CB32E6">
        <w:tab/>
      </w:r>
      <w:r w:rsidR="00CB32E6">
        <w:tab/>
      </w:r>
      <w:r w:rsidR="00CB32E6">
        <w:tab/>
      </w:r>
      <w:r w:rsidR="00CB32E6">
        <w:tab/>
        <w:t xml:space="preserve"> </w:t>
      </w:r>
      <w:r w:rsidR="003901BB" w:rsidRPr="003901BB">
        <w:rPr>
          <w:b/>
          <w:bCs/>
          <w:i/>
          <w:iCs/>
          <w:sz w:val="20"/>
          <w:szCs w:val="16"/>
        </w:rPr>
        <w:t xml:space="preserve">[Schedule 1, items </w:t>
      </w:r>
      <w:r w:rsidR="00A267FC">
        <w:rPr>
          <w:b/>
          <w:bCs/>
          <w:i/>
          <w:iCs/>
          <w:sz w:val="20"/>
          <w:szCs w:val="16"/>
        </w:rPr>
        <w:t>27</w:t>
      </w:r>
      <w:r w:rsidR="003901BB" w:rsidRPr="003901BB">
        <w:rPr>
          <w:b/>
          <w:bCs/>
          <w:i/>
          <w:iCs/>
          <w:sz w:val="20"/>
          <w:szCs w:val="16"/>
        </w:rPr>
        <w:t xml:space="preserve"> and </w:t>
      </w:r>
      <w:r w:rsidR="00A267FC">
        <w:rPr>
          <w:b/>
          <w:bCs/>
          <w:i/>
          <w:iCs/>
          <w:sz w:val="20"/>
          <w:szCs w:val="16"/>
        </w:rPr>
        <w:t>28</w:t>
      </w:r>
      <w:r w:rsidR="003901BB" w:rsidRPr="003901BB">
        <w:rPr>
          <w:b/>
          <w:bCs/>
          <w:i/>
          <w:iCs/>
          <w:sz w:val="20"/>
          <w:szCs w:val="16"/>
        </w:rPr>
        <w:t>, paragraph</w:t>
      </w:r>
      <w:r w:rsidR="007B0F2C">
        <w:rPr>
          <w:b/>
          <w:bCs/>
          <w:i/>
          <w:iCs/>
          <w:sz w:val="20"/>
          <w:szCs w:val="16"/>
        </w:rPr>
        <w:t>s</w:t>
      </w:r>
      <w:r w:rsidR="003901BB" w:rsidRPr="003901BB">
        <w:rPr>
          <w:b/>
          <w:bCs/>
          <w:i/>
          <w:iCs/>
          <w:sz w:val="20"/>
          <w:szCs w:val="16"/>
        </w:rPr>
        <w:t xml:space="preserve"> 4A.13(1)(d)</w:t>
      </w:r>
      <w:r w:rsidR="007B0F2C">
        <w:rPr>
          <w:b/>
          <w:bCs/>
          <w:i/>
          <w:iCs/>
          <w:sz w:val="20"/>
          <w:szCs w:val="16"/>
        </w:rPr>
        <w:t xml:space="preserve"> to </w:t>
      </w:r>
      <w:r w:rsidR="00F7384C">
        <w:rPr>
          <w:b/>
          <w:bCs/>
          <w:i/>
          <w:iCs/>
          <w:sz w:val="20"/>
          <w:szCs w:val="16"/>
        </w:rPr>
        <w:t>(h)</w:t>
      </w:r>
      <w:r w:rsidR="003901BB" w:rsidRPr="003901BB">
        <w:rPr>
          <w:b/>
          <w:bCs/>
          <w:i/>
          <w:iCs/>
          <w:sz w:val="20"/>
          <w:szCs w:val="16"/>
        </w:rPr>
        <w:t xml:space="preserve"> and subrule 4A.1</w:t>
      </w:r>
      <w:r w:rsidR="00F7384C">
        <w:rPr>
          <w:b/>
          <w:bCs/>
          <w:i/>
          <w:iCs/>
          <w:sz w:val="20"/>
          <w:szCs w:val="16"/>
        </w:rPr>
        <w:t>3</w:t>
      </w:r>
      <w:r w:rsidR="003901BB" w:rsidRPr="003901BB">
        <w:rPr>
          <w:b/>
          <w:bCs/>
          <w:i/>
          <w:iCs/>
          <w:sz w:val="20"/>
          <w:szCs w:val="16"/>
        </w:rPr>
        <w:t>(4)]</w:t>
      </w:r>
    </w:p>
    <w:p w14:paraId="594ABE7E" w14:textId="79E71CDC" w:rsidR="000A3C32" w:rsidRDefault="003C0BA8" w:rsidP="00E31562">
      <w:pPr>
        <w:pStyle w:val="OutlineNumbered1"/>
      </w:pPr>
      <w:r>
        <w:t xml:space="preserve">References in the CDR Rules to </w:t>
      </w:r>
      <w:r w:rsidR="0007409E">
        <w:t xml:space="preserve">services being </w:t>
      </w:r>
      <w:r w:rsidR="008B2C9A">
        <w:t>‘</w:t>
      </w:r>
      <w:r w:rsidR="002D2EFD">
        <w:t>prominently display</w:t>
      </w:r>
      <w:r w:rsidR="0007409E">
        <w:t>ed</w:t>
      </w:r>
      <w:r w:rsidR="008B2C9A">
        <w:t>’</w:t>
      </w:r>
      <w:r w:rsidR="00584C93">
        <w:t xml:space="preserve"> </w:t>
      </w:r>
      <w:r w:rsidR="007F0B91">
        <w:t xml:space="preserve">are </w:t>
      </w:r>
      <w:r w:rsidR="00A26274">
        <w:t xml:space="preserve">intended to refer to </w:t>
      </w:r>
      <w:r w:rsidR="00832EF0">
        <w:t>prominent display on a participant’s app or website</w:t>
      </w:r>
      <w:r w:rsidR="008B2C9A">
        <w:t>.</w:t>
      </w:r>
    </w:p>
    <w:p w14:paraId="2FB6825D" w14:textId="7C6913BA" w:rsidR="007173BC" w:rsidRDefault="0026582D" w:rsidP="007173BC">
      <w:pPr>
        <w:spacing w:before="240" w:after="200"/>
        <w:rPr>
          <w:i/>
          <w:iCs/>
        </w:rPr>
      </w:pPr>
      <w:r>
        <w:rPr>
          <w:i/>
          <w:iCs/>
        </w:rPr>
        <w:t>Trial products for the energy sector</w:t>
      </w:r>
    </w:p>
    <w:p w14:paraId="3DF3DBC6" w14:textId="32FB6CDA" w:rsidR="003A2006" w:rsidRDefault="00415B2F">
      <w:pPr>
        <w:pStyle w:val="OutlineNumbered1"/>
      </w:pPr>
      <w:r>
        <w:t xml:space="preserve">The Amending Rules </w:t>
      </w:r>
      <w:r w:rsidR="006E3876">
        <w:t>intend</w:t>
      </w:r>
      <w:r w:rsidR="00AE41A4">
        <w:t xml:space="preserve"> to remove possible </w:t>
      </w:r>
      <w:r w:rsidR="0004348D">
        <w:t>dis</w:t>
      </w:r>
      <w:r w:rsidR="00AE41A4">
        <w:t>incentives for electricity retailers</w:t>
      </w:r>
      <w:r w:rsidR="00D27A79">
        <w:t xml:space="preserve"> to</w:t>
      </w:r>
      <w:r w:rsidR="00AE41A4">
        <w:t xml:space="preserve"> </w:t>
      </w:r>
      <w:r w:rsidR="00B9499E">
        <w:t>introduce</w:t>
      </w:r>
      <w:r w:rsidR="00271075">
        <w:t xml:space="preserve"> innovative </w:t>
      </w:r>
      <w:r w:rsidR="00AE41A4">
        <w:t>new</w:t>
      </w:r>
      <w:r w:rsidR="00271075">
        <w:t xml:space="preserve"> products </w:t>
      </w:r>
      <w:r w:rsidR="00B9499E">
        <w:t xml:space="preserve">in the CDR. The Amending Rules achieve this by </w:t>
      </w:r>
      <w:r w:rsidR="00B840D4">
        <w:t>mirroring</w:t>
      </w:r>
      <w:r w:rsidR="00537F84">
        <w:t>, to some extent,</w:t>
      </w:r>
      <w:r w:rsidR="00B840D4">
        <w:t xml:space="preserve"> </w:t>
      </w:r>
      <w:r w:rsidR="00B9499E">
        <w:t xml:space="preserve">the operation of the ‘trial product’ provisions </w:t>
      </w:r>
      <w:r w:rsidR="00B840D4">
        <w:t xml:space="preserve">in the banking schedule of the </w:t>
      </w:r>
      <w:r w:rsidR="007E4E24">
        <w:t xml:space="preserve">CDR </w:t>
      </w:r>
      <w:r w:rsidR="00AC7580">
        <w:t>R</w:t>
      </w:r>
      <w:r w:rsidR="00B840D4">
        <w:t xml:space="preserve">ules (Schedule 3). </w:t>
      </w:r>
      <w:r w:rsidR="00DE6901">
        <w:t xml:space="preserve">This change </w:t>
      </w:r>
      <w:r w:rsidR="009D2E94">
        <w:t xml:space="preserve">will allow </w:t>
      </w:r>
      <w:r w:rsidR="00AE41A4">
        <w:t>retailers</w:t>
      </w:r>
      <w:r w:rsidR="001B153E" w:rsidRPr="001B153E">
        <w:t xml:space="preserve"> </w:t>
      </w:r>
      <w:r w:rsidR="003A7A36">
        <w:t xml:space="preserve">to </w:t>
      </w:r>
      <w:r w:rsidR="00AE41A4">
        <w:t>trial products</w:t>
      </w:r>
      <w:r w:rsidR="001B153E" w:rsidRPr="001B153E">
        <w:t xml:space="preserve"> without </w:t>
      </w:r>
      <w:r w:rsidR="00AE41A4">
        <w:t xml:space="preserve">those products </w:t>
      </w:r>
      <w:r w:rsidR="001B153E" w:rsidRPr="001B153E">
        <w:t>being subject to CDR data sharing obligations.</w:t>
      </w:r>
      <w:r w:rsidR="006B2D75">
        <w:t xml:space="preserve"> This is achieved by exempting trial products from the application of Part 3 of Schedule 4</w:t>
      </w:r>
      <w:r w:rsidR="004F14C9">
        <w:t>.</w:t>
      </w:r>
      <w:r w:rsidR="00CB32E6">
        <w:tab/>
      </w:r>
      <w:r w:rsidR="00CB32E6">
        <w:tab/>
      </w:r>
      <w:r w:rsidR="00CB32E6">
        <w:tab/>
      </w:r>
      <w:r w:rsidR="00CB32E6">
        <w:tab/>
      </w:r>
      <w:r w:rsidR="00CB32E6">
        <w:tab/>
      </w:r>
      <w:r w:rsidR="00CB32E6">
        <w:tab/>
      </w:r>
      <w:r w:rsidR="007D431A">
        <w:t xml:space="preserve">                                    </w:t>
      </w:r>
      <w:r w:rsidR="00295D86" w:rsidRPr="00295D86">
        <w:rPr>
          <w:b/>
          <w:bCs/>
          <w:i/>
          <w:iCs/>
          <w:sz w:val="20"/>
          <w:szCs w:val="16"/>
        </w:rPr>
        <w:t xml:space="preserve"> </w:t>
      </w:r>
      <w:r w:rsidR="00295D86" w:rsidRPr="00834AEA">
        <w:rPr>
          <w:b/>
          <w:bCs/>
          <w:i/>
          <w:iCs/>
          <w:sz w:val="20"/>
          <w:szCs w:val="16"/>
        </w:rPr>
        <w:t xml:space="preserve">[Schedule 1, item </w:t>
      </w:r>
      <w:r w:rsidR="00A267FC">
        <w:rPr>
          <w:b/>
          <w:bCs/>
          <w:i/>
          <w:iCs/>
          <w:sz w:val="20"/>
          <w:szCs w:val="16"/>
        </w:rPr>
        <w:t>31</w:t>
      </w:r>
      <w:r w:rsidR="00295D86" w:rsidRPr="00834AEA">
        <w:rPr>
          <w:b/>
          <w:bCs/>
          <w:i/>
          <w:iCs/>
          <w:sz w:val="20"/>
          <w:szCs w:val="16"/>
        </w:rPr>
        <w:t>, clause 3.1A</w:t>
      </w:r>
      <w:r w:rsidR="00295D86">
        <w:rPr>
          <w:b/>
          <w:bCs/>
          <w:i/>
          <w:iCs/>
          <w:sz w:val="20"/>
          <w:szCs w:val="16"/>
        </w:rPr>
        <w:t xml:space="preserve"> of Schedule 4 to the CDR Rules</w:t>
      </w:r>
      <w:r w:rsidR="00295D86" w:rsidRPr="00834AEA">
        <w:rPr>
          <w:b/>
          <w:bCs/>
          <w:i/>
          <w:iCs/>
          <w:sz w:val="20"/>
          <w:szCs w:val="16"/>
        </w:rPr>
        <w:t>]</w:t>
      </w:r>
      <w:r w:rsidR="00295D86">
        <w:t xml:space="preserve"> </w:t>
      </w:r>
    </w:p>
    <w:p w14:paraId="11A16A4B" w14:textId="6C163271" w:rsidR="0048723A" w:rsidRDefault="003A2006">
      <w:pPr>
        <w:pStyle w:val="OutlineNumbered1"/>
      </w:pPr>
      <w:r>
        <w:t>T</w:t>
      </w:r>
      <w:r w:rsidR="00E56F66">
        <w:t>he meaning of trial product for the purposes of the energy sector has a different meaning in the context of the products and services offered in that sector as compared to the banking sector.</w:t>
      </w:r>
      <w:r>
        <w:t xml:space="preserve"> As such, a</w:t>
      </w:r>
      <w:r w:rsidR="00A5788E">
        <w:t xml:space="preserve"> trial product is described in the Amending Rules</w:t>
      </w:r>
      <w:r w:rsidR="00C131F8">
        <w:t xml:space="preserve"> for the energy sector as a </w:t>
      </w:r>
      <w:r w:rsidR="00C131F8" w:rsidRPr="007E4E24">
        <w:rPr>
          <w:b/>
          <w:bCs/>
          <w:i/>
          <w:iCs/>
        </w:rPr>
        <w:t>plan</w:t>
      </w:r>
      <w:r w:rsidR="00C131F8">
        <w:t xml:space="preserve">, which is a more appropriate term for </w:t>
      </w:r>
      <w:r w:rsidR="00AF00FE">
        <w:t>the</w:t>
      </w:r>
      <w:r w:rsidR="00C131F8">
        <w:t xml:space="preserve"> sector. </w:t>
      </w:r>
      <w:r w:rsidR="00AB3376">
        <w:t xml:space="preserve">A plan will be a trial product for the </w:t>
      </w:r>
      <w:r w:rsidR="0048723A">
        <w:t>purposes</w:t>
      </w:r>
      <w:r w:rsidR="00AB3376">
        <w:t xml:space="preserve"> of the energy sector if</w:t>
      </w:r>
      <w:r w:rsidR="0048723A">
        <w:t xml:space="preserve"> it</w:t>
      </w:r>
      <w:r w:rsidR="00AE41A4">
        <w:t xml:space="preserve"> is offered</w:t>
      </w:r>
      <w:r w:rsidR="00AB3376">
        <w:t>:</w:t>
      </w:r>
    </w:p>
    <w:p w14:paraId="4F317AF1" w14:textId="36E50EFC" w:rsidR="00CA44E6" w:rsidRDefault="00CA44E6" w:rsidP="00445D37">
      <w:pPr>
        <w:pStyle w:val="Dash"/>
        <w:spacing w:before="0"/>
      </w:pPr>
      <w:r>
        <w:t xml:space="preserve">with the description </w:t>
      </w:r>
      <w:r w:rsidR="00577482">
        <w:t>‘</w:t>
      </w:r>
      <w:r>
        <w:t>pilot</w:t>
      </w:r>
      <w:r w:rsidR="00577482">
        <w:t>’</w:t>
      </w:r>
      <w:r>
        <w:t xml:space="preserve"> or </w:t>
      </w:r>
      <w:r w:rsidR="00577482">
        <w:t>‘</w:t>
      </w:r>
      <w:r>
        <w:t>trial</w:t>
      </w:r>
      <w:r w:rsidR="00577482">
        <w:t>’</w:t>
      </w:r>
      <w:r>
        <w:t>;</w:t>
      </w:r>
    </w:p>
    <w:p w14:paraId="7A88DDDC" w14:textId="049DA5EB" w:rsidR="00CA44E6" w:rsidRDefault="00300DF8" w:rsidP="00445D37">
      <w:pPr>
        <w:pStyle w:val="Dash"/>
        <w:spacing w:before="0"/>
      </w:pPr>
      <w:r>
        <w:t xml:space="preserve">with a statement specifying </w:t>
      </w:r>
      <w:r w:rsidR="00CA44E6">
        <w:t>a</w:t>
      </w:r>
      <w:r>
        <w:t xml:space="preserve"> trial</w:t>
      </w:r>
      <w:r w:rsidR="00CA44E6">
        <w:t xml:space="preserve"> period of no more than </w:t>
      </w:r>
      <w:r w:rsidR="001E6E1F">
        <w:t>24</w:t>
      </w:r>
      <w:r w:rsidR="00CA44E6">
        <w:t xml:space="preserve"> months;</w:t>
      </w:r>
    </w:p>
    <w:p w14:paraId="71447998" w14:textId="2EF2E657" w:rsidR="00CA44E6" w:rsidRDefault="00300DF8" w:rsidP="00445D37">
      <w:pPr>
        <w:pStyle w:val="Dash"/>
        <w:spacing w:before="0"/>
      </w:pPr>
      <w:r>
        <w:t xml:space="preserve">on the basis that it </w:t>
      </w:r>
      <w:r w:rsidR="00CA44E6">
        <w:t xml:space="preserve">will be </w:t>
      </w:r>
      <w:r>
        <w:t xml:space="preserve">supplied </w:t>
      </w:r>
      <w:r w:rsidR="00CA44E6">
        <w:t xml:space="preserve">to no more than </w:t>
      </w:r>
      <w:r w:rsidR="001E6E1F">
        <w:t>2,000</w:t>
      </w:r>
      <w:r w:rsidR="00CA44E6">
        <w:t xml:space="preserve"> customers; and</w:t>
      </w:r>
    </w:p>
    <w:p w14:paraId="6060C2B4" w14:textId="71F277EB" w:rsidR="00577482" w:rsidRDefault="00CA44E6" w:rsidP="00577482">
      <w:pPr>
        <w:pStyle w:val="Dash"/>
        <w:spacing w:before="0"/>
      </w:pPr>
      <w:r>
        <w:t>with a statement that it may be terminated before the end of the trial period in which case CDR data in relation to the product may not be available.</w:t>
      </w:r>
      <w:r w:rsidR="00861BA0">
        <w:t xml:space="preserve"> </w:t>
      </w:r>
    </w:p>
    <w:p w14:paraId="38761B5F" w14:textId="014C760A" w:rsidR="0048723A" w:rsidRDefault="00861BA0" w:rsidP="00445D37">
      <w:pPr>
        <w:pStyle w:val="Dash"/>
        <w:numPr>
          <w:ilvl w:val="0"/>
          <w:numId w:val="0"/>
        </w:numPr>
        <w:spacing w:before="0"/>
        <w:ind w:left="567"/>
      </w:pPr>
      <w:r w:rsidRPr="005F5F47">
        <w:rPr>
          <w:b/>
          <w:bCs/>
          <w:i/>
          <w:iCs/>
          <w:sz w:val="20"/>
          <w:szCs w:val="20"/>
        </w:rPr>
        <w:t xml:space="preserve">[Schedule 1, item </w:t>
      </w:r>
      <w:r w:rsidR="00A267FC">
        <w:rPr>
          <w:b/>
          <w:bCs/>
          <w:i/>
          <w:iCs/>
          <w:sz w:val="20"/>
          <w:szCs w:val="20"/>
        </w:rPr>
        <w:t>30</w:t>
      </w:r>
      <w:r w:rsidRPr="005F5F47">
        <w:rPr>
          <w:b/>
          <w:bCs/>
          <w:i/>
          <w:iCs/>
          <w:sz w:val="20"/>
          <w:szCs w:val="20"/>
        </w:rPr>
        <w:t xml:space="preserve">, meaning of </w:t>
      </w:r>
      <w:r w:rsidR="003076B1">
        <w:rPr>
          <w:b/>
          <w:bCs/>
          <w:i/>
          <w:iCs/>
          <w:sz w:val="20"/>
          <w:szCs w:val="20"/>
        </w:rPr>
        <w:t>‘</w:t>
      </w:r>
      <w:r w:rsidRPr="005F5F47">
        <w:rPr>
          <w:b/>
          <w:bCs/>
          <w:i/>
          <w:iCs/>
          <w:sz w:val="20"/>
          <w:szCs w:val="20"/>
        </w:rPr>
        <w:t>trial product</w:t>
      </w:r>
      <w:r w:rsidR="003076B1">
        <w:rPr>
          <w:b/>
          <w:bCs/>
          <w:i/>
          <w:iCs/>
          <w:sz w:val="20"/>
          <w:szCs w:val="20"/>
        </w:rPr>
        <w:t>’</w:t>
      </w:r>
      <w:r w:rsidRPr="005F5F47">
        <w:rPr>
          <w:b/>
          <w:bCs/>
          <w:i/>
          <w:iCs/>
          <w:sz w:val="20"/>
          <w:szCs w:val="20"/>
        </w:rPr>
        <w:t xml:space="preserve"> in subclause 1.5(1)</w:t>
      </w:r>
      <w:r w:rsidR="007D6EAD">
        <w:rPr>
          <w:b/>
          <w:bCs/>
          <w:i/>
          <w:iCs/>
          <w:sz w:val="20"/>
          <w:szCs w:val="20"/>
        </w:rPr>
        <w:t xml:space="preserve"> of Schedule 4 to the CDR Rules</w:t>
      </w:r>
      <w:r w:rsidRPr="005F5F47">
        <w:rPr>
          <w:b/>
          <w:bCs/>
          <w:i/>
          <w:iCs/>
          <w:sz w:val="20"/>
          <w:szCs w:val="20"/>
        </w:rPr>
        <w:t>]</w:t>
      </w:r>
    </w:p>
    <w:p w14:paraId="4A28C637" w14:textId="132DF496" w:rsidR="00A5788E" w:rsidRPr="005B54BC" w:rsidRDefault="007B7CA1">
      <w:pPr>
        <w:pStyle w:val="OutlineNumbered1"/>
        <w:rPr>
          <w:sz w:val="20"/>
          <w:szCs w:val="16"/>
        </w:rPr>
      </w:pPr>
      <w:r>
        <w:t>A plan ceases to be a trial product if it continues to be</w:t>
      </w:r>
      <w:r w:rsidR="000D0795">
        <w:t xml:space="preserve"> supplied or</w:t>
      </w:r>
      <w:r>
        <w:t xml:space="preserve"> offered after the end of trial period</w:t>
      </w:r>
      <w:r w:rsidR="00EA109D">
        <w:t>,</w:t>
      </w:r>
      <w:r w:rsidR="0060560B">
        <w:t xml:space="preserve"> or it is supplied to more than </w:t>
      </w:r>
      <w:r w:rsidR="00CC258B">
        <w:t>2,000</w:t>
      </w:r>
      <w:r w:rsidR="0060560B">
        <w:t xml:space="preserve"> customers.</w:t>
      </w:r>
      <w:r w:rsidR="004A5808" w:rsidRPr="00861BA0">
        <w:rPr>
          <w:b/>
          <w:bCs/>
          <w:i/>
          <w:iCs/>
        </w:rPr>
        <w:t xml:space="preserve"> </w:t>
      </w:r>
      <w:r w:rsidR="00CB32E6">
        <w:rPr>
          <w:b/>
          <w:bCs/>
          <w:i/>
          <w:iCs/>
        </w:rPr>
        <w:tab/>
      </w:r>
      <w:r w:rsidR="00CB32E6">
        <w:rPr>
          <w:b/>
          <w:bCs/>
          <w:i/>
          <w:iCs/>
        </w:rPr>
        <w:tab/>
      </w:r>
      <w:r w:rsidR="00CB32E6">
        <w:rPr>
          <w:b/>
          <w:bCs/>
          <w:i/>
          <w:iCs/>
        </w:rPr>
        <w:tab/>
        <w:t xml:space="preserve"> </w:t>
      </w:r>
      <w:r w:rsidR="00EB0EDF" w:rsidRPr="005F5F47">
        <w:rPr>
          <w:b/>
          <w:bCs/>
          <w:i/>
          <w:iCs/>
          <w:sz w:val="20"/>
          <w:szCs w:val="16"/>
        </w:rPr>
        <w:t xml:space="preserve">[Schedule 1, item </w:t>
      </w:r>
      <w:r w:rsidR="00A267FC">
        <w:rPr>
          <w:b/>
          <w:bCs/>
          <w:i/>
          <w:iCs/>
          <w:sz w:val="20"/>
          <w:szCs w:val="16"/>
        </w:rPr>
        <w:t>30</w:t>
      </w:r>
      <w:r w:rsidR="00EB0EDF" w:rsidRPr="005F5F47">
        <w:rPr>
          <w:b/>
          <w:bCs/>
          <w:i/>
          <w:iCs/>
          <w:sz w:val="20"/>
          <w:szCs w:val="16"/>
        </w:rPr>
        <w:t xml:space="preserve">, </w:t>
      </w:r>
      <w:r w:rsidR="00861BA0" w:rsidRPr="005F5F47">
        <w:rPr>
          <w:b/>
          <w:bCs/>
          <w:i/>
          <w:iCs/>
          <w:sz w:val="20"/>
          <w:szCs w:val="16"/>
        </w:rPr>
        <w:t>meaning</w:t>
      </w:r>
      <w:r w:rsidR="00085AF9" w:rsidRPr="005F5F47">
        <w:rPr>
          <w:b/>
          <w:bCs/>
          <w:i/>
          <w:iCs/>
          <w:sz w:val="20"/>
          <w:szCs w:val="16"/>
        </w:rPr>
        <w:t xml:space="preserve"> of </w:t>
      </w:r>
      <w:r w:rsidR="00553B13">
        <w:rPr>
          <w:b/>
          <w:bCs/>
          <w:i/>
          <w:iCs/>
          <w:sz w:val="20"/>
          <w:szCs w:val="16"/>
        </w:rPr>
        <w:t>‘</w:t>
      </w:r>
      <w:r w:rsidR="00085AF9" w:rsidRPr="005F5F47">
        <w:rPr>
          <w:b/>
          <w:bCs/>
          <w:i/>
          <w:iCs/>
          <w:sz w:val="20"/>
          <w:szCs w:val="16"/>
        </w:rPr>
        <w:t>trial product</w:t>
      </w:r>
      <w:r w:rsidR="00553B13">
        <w:rPr>
          <w:b/>
          <w:bCs/>
          <w:i/>
          <w:iCs/>
          <w:sz w:val="20"/>
          <w:szCs w:val="16"/>
        </w:rPr>
        <w:t>’</w:t>
      </w:r>
      <w:r w:rsidR="00085AF9" w:rsidRPr="005F5F47">
        <w:rPr>
          <w:b/>
          <w:bCs/>
          <w:i/>
          <w:iCs/>
          <w:sz w:val="20"/>
          <w:szCs w:val="16"/>
        </w:rPr>
        <w:t xml:space="preserve"> in </w:t>
      </w:r>
      <w:r w:rsidR="00D52BD4" w:rsidRPr="005F5F47">
        <w:rPr>
          <w:b/>
          <w:bCs/>
          <w:i/>
          <w:iCs/>
          <w:sz w:val="20"/>
          <w:szCs w:val="16"/>
        </w:rPr>
        <w:t>subclause 1.</w:t>
      </w:r>
      <w:r w:rsidR="000F5F2D" w:rsidRPr="005F5F47">
        <w:rPr>
          <w:b/>
          <w:bCs/>
          <w:i/>
          <w:iCs/>
          <w:sz w:val="20"/>
          <w:szCs w:val="16"/>
        </w:rPr>
        <w:t>5(2)</w:t>
      </w:r>
      <w:r w:rsidR="001D3435">
        <w:rPr>
          <w:b/>
          <w:bCs/>
          <w:i/>
          <w:iCs/>
          <w:sz w:val="20"/>
          <w:szCs w:val="16"/>
        </w:rPr>
        <w:t xml:space="preserve"> of Schedule 4 to the CDR Rules</w:t>
      </w:r>
      <w:r w:rsidR="00861BA0" w:rsidRPr="005F5F47">
        <w:rPr>
          <w:b/>
          <w:bCs/>
          <w:i/>
          <w:iCs/>
          <w:sz w:val="20"/>
          <w:szCs w:val="16"/>
        </w:rPr>
        <w:t>]</w:t>
      </w:r>
    </w:p>
    <w:p w14:paraId="55A40021" w14:textId="3B1A4E7C" w:rsidR="00256366" w:rsidRPr="005F5F47" w:rsidRDefault="00CF22EE">
      <w:pPr>
        <w:pStyle w:val="OutlineNumbered1"/>
        <w:rPr>
          <w:sz w:val="20"/>
          <w:szCs w:val="16"/>
        </w:rPr>
      </w:pPr>
      <w:r>
        <w:t>The intention is that i</w:t>
      </w:r>
      <w:r w:rsidR="00C25C05">
        <w:t xml:space="preserve">f </w:t>
      </w:r>
      <w:r w:rsidR="00CB7EC1">
        <w:t xml:space="preserve">a plan ceases to be a trial product, </w:t>
      </w:r>
      <w:r w:rsidR="00DB34AE">
        <w:t xml:space="preserve">retailers must share data generated while the energy plan was a trial product. </w:t>
      </w:r>
      <w:r w:rsidR="00677C72">
        <w:t>However, i</w:t>
      </w:r>
      <w:r w:rsidR="00256366">
        <w:t xml:space="preserve">f </w:t>
      </w:r>
      <w:r w:rsidR="00032C4C">
        <w:t xml:space="preserve">a </w:t>
      </w:r>
      <w:r w:rsidR="008E16D6">
        <w:t>reta</w:t>
      </w:r>
      <w:r w:rsidR="00256BF9">
        <w:t xml:space="preserve">iler ceases to </w:t>
      </w:r>
      <w:r w:rsidR="00683636">
        <w:t xml:space="preserve">offer the </w:t>
      </w:r>
      <w:r w:rsidR="007F2F2B">
        <w:t>pla</w:t>
      </w:r>
      <w:r w:rsidR="00012225">
        <w:t>n at the end of the trial period, and never exceeded the 2,000 customer limit,</w:t>
      </w:r>
      <w:r w:rsidR="00A80735">
        <w:t xml:space="preserve"> the</w:t>
      </w:r>
      <w:r w:rsidR="008C4FB5">
        <w:t>re is no obligation to share CDR data generated during the trial</w:t>
      </w:r>
      <w:r w:rsidR="00D001E0">
        <w:t>.</w:t>
      </w:r>
      <w:r w:rsidR="00012225">
        <w:t xml:space="preserve"> </w:t>
      </w:r>
    </w:p>
    <w:p w14:paraId="6EB110B5" w14:textId="0DB0E228" w:rsidR="007173BC" w:rsidRDefault="006E68A0" w:rsidP="007173BC">
      <w:pPr>
        <w:spacing w:before="240" w:after="200"/>
        <w:rPr>
          <w:i/>
          <w:iCs/>
        </w:rPr>
      </w:pPr>
      <w:r>
        <w:rPr>
          <w:i/>
          <w:iCs/>
        </w:rPr>
        <w:t>Equalisation</w:t>
      </w:r>
      <w:r w:rsidR="00B060B1" w:rsidRPr="00B060B1">
        <w:rPr>
          <w:i/>
          <w:iCs/>
        </w:rPr>
        <w:t xml:space="preserve"> of data holder obligation</w:t>
      </w:r>
      <w:r w:rsidR="00E71E60">
        <w:rPr>
          <w:i/>
          <w:iCs/>
        </w:rPr>
        <w:t xml:space="preserve"> </w:t>
      </w:r>
      <w:r>
        <w:rPr>
          <w:i/>
          <w:iCs/>
        </w:rPr>
        <w:t>dates</w:t>
      </w:r>
      <w:r w:rsidR="00B060B1" w:rsidRPr="00B060B1">
        <w:rPr>
          <w:i/>
          <w:iCs/>
        </w:rPr>
        <w:t xml:space="preserve"> for accredited persons who become small retailers</w:t>
      </w:r>
      <w:r w:rsidR="0085633D">
        <w:rPr>
          <w:i/>
          <w:iCs/>
        </w:rPr>
        <w:t xml:space="preserve"> (energy sector)</w:t>
      </w:r>
    </w:p>
    <w:p w14:paraId="6F696E65" w14:textId="10A03C89" w:rsidR="00E254B3" w:rsidRDefault="00962530" w:rsidP="00E254B3">
      <w:pPr>
        <w:pStyle w:val="OutlineNumbered1"/>
      </w:pPr>
      <w:r>
        <w:t>Currently, there is</w:t>
      </w:r>
      <w:r w:rsidR="00503035">
        <w:t xml:space="preserve"> no deferral of</w:t>
      </w:r>
      <w:r w:rsidR="002039E8">
        <w:t xml:space="preserve"> data holder</w:t>
      </w:r>
      <w:r w:rsidR="00503035">
        <w:t xml:space="preserve"> obligations </w:t>
      </w:r>
      <w:r w:rsidR="007B0489">
        <w:t>for</w:t>
      </w:r>
      <w:r w:rsidR="00503035">
        <w:t xml:space="preserve"> accredited persons who become small retailers. </w:t>
      </w:r>
      <w:r w:rsidR="00C615D8">
        <w:t xml:space="preserve">This </w:t>
      </w:r>
      <w:r>
        <w:t>has</w:t>
      </w:r>
      <w:r w:rsidR="00C615D8">
        <w:t xml:space="preserve"> the effect that those entities </w:t>
      </w:r>
      <w:r>
        <w:t>are</w:t>
      </w:r>
      <w:r w:rsidR="00C615D8">
        <w:t xml:space="preserve"> required to comply with data holder obligations as small retailers </w:t>
      </w:r>
      <w:r>
        <w:t>on the day</w:t>
      </w:r>
      <w:r w:rsidR="00C615D8">
        <w:t xml:space="preserve"> they bec</w:t>
      </w:r>
      <w:r>
        <w:t>o</w:t>
      </w:r>
      <w:r w:rsidR="00C615D8">
        <w:t xml:space="preserve">me small retailers. </w:t>
      </w:r>
    </w:p>
    <w:p w14:paraId="0BC149CD" w14:textId="26523BAF" w:rsidR="00732A3E" w:rsidRDefault="00E0321E" w:rsidP="00732A3E">
      <w:pPr>
        <w:pStyle w:val="OutlineNumbered1"/>
      </w:pPr>
      <w:r>
        <w:lastRenderedPageBreak/>
        <w:t>In contrast</w:t>
      </w:r>
      <w:r w:rsidR="0058101A">
        <w:t>,</w:t>
      </w:r>
      <w:r w:rsidR="00D80C38">
        <w:t xml:space="preserve"> small retailers that become accredited </w:t>
      </w:r>
      <w:r w:rsidR="0058101A">
        <w:t xml:space="preserve">persons </w:t>
      </w:r>
      <w:r w:rsidR="00D80C38">
        <w:t>have the benefit of a 12-month de</w:t>
      </w:r>
      <w:r w:rsidR="006C3145">
        <w:t xml:space="preserve">ferral on the obligation to comply with non-complex </w:t>
      </w:r>
      <w:r w:rsidR="006C3145" w:rsidDel="00CF5BE9">
        <w:t xml:space="preserve">consumer </w:t>
      </w:r>
      <w:r w:rsidR="006C3145">
        <w:t xml:space="preserve">data requests made by accredited persons on behalf of CDR consumers. For complex requests, there is an 18-month delay of </w:t>
      </w:r>
      <w:r w:rsidR="0050636F">
        <w:t>those obligations</w:t>
      </w:r>
      <w:r w:rsidR="006C3145">
        <w:t xml:space="preserve">. </w:t>
      </w:r>
    </w:p>
    <w:p w14:paraId="1DADEADC" w14:textId="78C3A702" w:rsidR="00633FC1" w:rsidRPr="00445D37" w:rsidRDefault="00962530" w:rsidP="00732A3E">
      <w:pPr>
        <w:pStyle w:val="OutlineNumbered1"/>
      </w:pPr>
      <w:r>
        <w:t xml:space="preserve">The Amending </w:t>
      </w:r>
      <w:r w:rsidR="007B0489">
        <w:t>R</w:t>
      </w:r>
      <w:r>
        <w:t>ules</w:t>
      </w:r>
      <w:r w:rsidR="00E0321E">
        <w:t xml:space="preserve"> </w:t>
      </w:r>
      <w:r w:rsidR="007629B7">
        <w:t xml:space="preserve">amend </w:t>
      </w:r>
      <w:r w:rsidR="00F058D8">
        <w:t xml:space="preserve">clause 8.6 of Schedule 4 to the </w:t>
      </w:r>
      <w:r w:rsidR="00AC7580">
        <w:t>CDR R</w:t>
      </w:r>
      <w:r w:rsidR="00F058D8">
        <w:t xml:space="preserve">ules </w:t>
      </w:r>
      <w:r w:rsidR="0050636F">
        <w:t xml:space="preserve">to align the </w:t>
      </w:r>
      <w:r w:rsidR="00502C12">
        <w:t>compliance dates f</w:t>
      </w:r>
      <w:r w:rsidR="0098636A">
        <w:t>or accredited persons who become small retailers (and vice versa)</w:t>
      </w:r>
      <w:r w:rsidR="0050636F">
        <w:t xml:space="preserve">. This is achieved by specifying </w:t>
      </w:r>
      <w:r w:rsidR="00B4210E">
        <w:t>the dates that</w:t>
      </w:r>
      <w:r w:rsidR="0050636F">
        <w:t xml:space="preserve"> Part 4 of the</w:t>
      </w:r>
      <w:r w:rsidR="00AC7580">
        <w:t xml:space="preserve"> CDR R</w:t>
      </w:r>
      <w:r w:rsidR="0050636F">
        <w:t xml:space="preserve">ules (which deals with </w:t>
      </w:r>
      <w:r w:rsidR="0050636F" w:rsidDel="00885C61">
        <w:t xml:space="preserve">consumer </w:t>
      </w:r>
      <w:r w:rsidR="0050636F">
        <w:t xml:space="preserve">data requests made by accredited persons on behalf of </w:t>
      </w:r>
      <w:r w:rsidR="00AD0B02">
        <w:t xml:space="preserve">CDR consumers) </w:t>
      </w:r>
      <w:r w:rsidR="00B4210E">
        <w:t>will apply</w:t>
      </w:r>
      <w:r w:rsidR="00AD0B02">
        <w:t xml:space="preserve"> to a person who is both a small retailer</w:t>
      </w:r>
      <w:r w:rsidR="00155A88">
        <w:t xml:space="preserve"> and an accredi</w:t>
      </w:r>
      <w:r w:rsidR="00B4210E">
        <w:t>ted person</w:t>
      </w:r>
      <w:r w:rsidR="006036D5">
        <w:t xml:space="preserve"> </w:t>
      </w:r>
      <w:r w:rsidR="00135250">
        <w:t>for</w:t>
      </w:r>
      <w:r w:rsidR="00FC1763">
        <w:t xml:space="preserve"> non</w:t>
      </w:r>
      <w:r w:rsidR="006036D5">
        <w:t>-complex and complex requests</w:t>
      </w:r>
      <w:r w:rsidR="00B4210E">
        <w:t>.</w:t>
      </w:r>
      <w:r w:rsidR="003A1848">
        <w:t xml:space="preserve"> </w:t>
      </w:r>
      <w:r w:rsidR="00EB56A5">
        <w:t xml:space="preserve">The </w:t>
      </w:r>
      <w:r w:rsidR="00385DE1">
        <w:t xml:space="preserve">amendment also </w:t>
      </w:r>
      <w:r w:rsidR="0070390E">
        <w:t xml:space="preserve">removes </w:t>
      </w:r>
      <w:r w:rsidR="00EB56A5">
        <w:t>reference to the ‘tranche 1’ date</w:t>
      </w:r>
      <w:r w:rsidR="0070390E">
        <w:t xml:space="preserve">, which is </w:t>
      </w:r>
      <w:r w:rsidR="00B544FB">
        <w:t>no longer relevant, having passed in 2022.</w:t>
      </w:r>
      <w:r w:rsidR="00EB56A5">
        <w:t xml:space="preserve"> </w:t>
      </w:r>
      <w:r w:rsidR="003A1848" w:rsidRPr="00732A3E">
        <w:rPr>
          <w:b/>
          <w:bCs/>
          <w:i/>
          <w:iCs/>
          <w:sz w:val="20"/>
          <w:szCs w:val="16"/>
        </w:rPr>
        <w:t xml:space="preserve">[Schedule 1, </w:t>
      </w:r>
      <w:r w:rsidR="00834AEA" w:rsidRPr="00732A3E">
        <w:rPr>
          <w:b/>
          <w:bCs/>
          <w:i/>
          <w:iCs/>
          <w:sz w:val="20"/>
          <w:szCs w:val="16"/>
        </w:rPr>
        <w:t>i</w:t>
      </w:r>
      <w:r w:rsidR="003A1848" w:rsidRPr="00732A3E">
        <w:rPr>
          <w:b/>
          <w:bCs/>
          <w:i/>
          <w:iCs/>
          <w:sz w:val="20"/>
          <w:szCs w:val="16"/>
        </w:rPr>
        <w:t xml:space="preserve">tem </w:t>
      </w:r>
      <w:r w:rsidR="00A267FC">
        <w:rPr>
          <w:b/>
          <w:bCs/>
          <w:i/>
          <w:iCs/>
          <w:sz w:val="20"/>
          <w:szCs w:val="16"/>
        </w:rPr>
        <w:t>38</w:t>
      </w:r>
      <w:r w:rsidR="00053324" w:rsidRPr="00732A3E">
        <w:rPr>
          <w:b/>
          <w:bCs/>
          <w:i/>
          <w:iCs/>
          <w:sz w:val="20"/>
          <w:szCs w:val="16"/>
        </w:rPr>
        <w:t>, subclauses 8.6(7) and (</w:t>
      </w:r>
      <w:r w:rsidR="0085109D" w:rsidRPr="00732A3E">
        <w:rPr>
          <w:b/>
          <w:bCs/>
          <w:i/>
          <w:iCs/>
          <w:sz w:val="20"/>
          <w:szCs w:val="16"/>
        </w:rPr>
        <w:t>8</w:t>
      </w:r>
      <w:r w:rsidR="00053324" w:rsidRPr="00732A3E">
        <w:rPr>
          <w:b/>
          <w:bCs/>
          <w:i/>
          <w:iCs/>
          <w:sz w:val="20"/>
          <w:szCs w:val="16"/>
        </w:rPr>
        <w:t xml:space="preserve">) of </w:t>
      </w:r>
      <w:r w:rsidR="005D0261">
        <w:rPr>
          <w:b/>
          <w:bCs/>
          <w:i/>
          <w:iCs/>
          <w:sz w:val="20"/>
          <w:szCs w:val="16"/>
        </w:rPr>
        <w:t>S</w:t>
      </w:r>
      <w:r w:rsidR="00053324" w:rsidRPr="00732A3E">
        <w:rPr>
          <w:b/>
          <w:bCs/>
          <w:i/>
          <w:iCs/>
          <w:sz w:val="20"/>
          <w:szCs w:val="16"/>
        </w:rPr>
        <w:t>chedule 4</w:t>
      </w:r>
      <w:r w:rsidR="00423733">
        <w:rPr>
          <w:b/>
          <w:bCs/>
          <w:i/>
          <w:iCs/>
          <w:sz w:val="20"/>
          <w:szCs w:val="16"/>
        </w:rPr>
        <w:t xml:space="preserve"> to the CDR Rules</w:t>
      </w:r>
      <w:r w:rsidR="003A1848" w:rsidRPr="00732A3E">
        <w:rPr>
          <w:b/>
          <w:bCs/>
          <w:i/>
          <w:iCs/>
          <w:sz w:val="20"/>
          <w:szCs w:val="16"/>
        </w:rPr>
        <w:t>]</w:t>
      </w:r>
    </w:p>
    <w:p w14:paraId="66F2A071" w14:textId="6097BEFD" w:rsidR="00764D12" w:rsidRDefault="00200EF5" w:rsidP="007173BC">
      <w:pPr>
        <w:spacing w:before="240" w:after="200"/>
        <w:rPr>
          <w:i/>
          <w:iCs/>
        </w:rPr>
      </w:pPr>
      <w:r>
        <w:rPr>
          <w:i/>
          <w:iCs/>
        </w:rPr>
        <w:t xml:space="preserve">Obligation dates for small retailers that become larger </w:t>
      </w:r>
      <w:proofErr w:type="gramStart"/>
      <w:r>
        <w:rPr>
          <w:i/>
          <w:iCs/>
        </w:rPr>
        <w:t>retailers</w:t>
      </w:r>
      <w:proofErr w:type="gramEnd"/>
    </w:p>
    <w:p w14:paraId="0C2116A5" w14:textId="39E557DB" w:rsidR="007557B0" w:rsidRDefault="000F4062" w:rsidP="00E254B3">
      <w:pPr>
        <w:pStyle w:val="OutlineNumbered1"/>
      </w:pPr>
      <w:r>
        <w:t xml:space="preserve">The Amending Rules </w:t>
      </w:r>
      <w:r w:rsidR="0004034F">
        <w:t xml:space="preserve">fix an inconsistency </w:t>
      </w:r>
      <w:r w:rsidR="005B2673">
        <w:t>whereby</w:t>
      </w:r>
      <w:r w:rsidR="003D1718">
        <w:t xml:space="preserve"> </w:t>
      </w:r>
      <w:r w:rsidR="00D6699B" w:rsidRPr="00D6699B">
        <w:t>a small retailer that</w:t>
      </w:r>
      <w:r w:rsidR="000D40B3">
        <w:t xml:space="preserve"> reaches the customer numbers for </w:t>
      </w:r>
      <w:r w:rsidR="00D6699B" w:rsidRPr="00D6699B">
        <w:t>a larger retailer ha</w:t>
      </w:r>
      <w:r w:rsidR="00135250">
        <w:t>s</w:t>
      </w:r>
      <w:r w:rsidR="00D6699B" w:rsidRPr="00D6699B">
        <w:t xml:space="preserve"> less time to comply with complex data sharing requests (12 months) than a small retailer that </w:t>
      </w:r>
      <w:r w:rsidR="00ED7C9C">
        <w:t>bec</w:t>
      </w:r>
      <w:r w:rsidR="00135250">
        <w:t>om</w:t>
      </w:r>
      <w:r w:rsidR="00ED7C9C">
        <w:t>e</w:t>
      </w:r>
      <w:r w:rsidR="00135250">
        <w:t>s</w:t>
      </w:r>
      <w:r w:rsidR="00D6699B" w:rsidRPr="00D6699B">
        <w:t xml:space="preserve"> an accredited person (18 months)</w:t>
      </w:r>
      <w:r w:rsidR="00D6699B">
        <w:t>.</w:t>
      </w:r>
    </w:p>
    <w:p w14:paraId="547E0C96" w14:textId="3C3D37AC" w:rsidR="00D50BB9" w:rsidRDefault="0017086E" w:rsidP="00C818FE">
      <w:pPr>
        <w:pStyle w:val="OutlineNumbered1"/>
      </w:pPr>
      <w:r>
        <w:t>The Amending Rules</w:t>
      </w:r>
      <w:r w:rsidR="00A0517F">
        <w:t xml:space="preserve"> achieve this by </w:t>
      </w:r>
      <w:r w:rsidR="000F72C9">
        <w:t>clarifying that Part 4</w:t>
      </w:r>
      <w:r w:rsidR="00297D11">
        <w:t xml:space="preserve"> (which deals with consumer data requests by accredited persons on behalf of CDR consumers)</w:t>
      </w:r>
      <w:r w:rsidR="000F72C9">
        <w:t xml:space="preserve"> of the </w:t>
      </w:r>
      <w:r w:rsidR="00AC7580">
        <w:t>CDR R</w:t>
      </w:r>
      <w:r w:rsidR="000F72C9">
        <w:t xml:space="preserve">ules </w:t>
      </w:r>
      <w:r w:rsidR="00297D11">
        <w:t xml:space="preserve">applies to a larger retailer in relation to a complex request from the later of the tranche 4 date (1 May 2024) </w:t>
      </w:r>
      <w:r w:rsidR="001E72D2">
        <w:t xml:space="preserve">and </w:t>
      </w:r>
      <w:r w:rsidR="00EB206E">
        <w:t>the day that is 6 months after the day that it became a la</w:t>
      </w:r>
      <w:r w:rsidR="00ED6009">
        <w:t>r</w:t>
      </w:r>
      <w:r w:rsidR="00EB206E">
        <w:t xml:space="preserve">ger retailer. </w:t>
      </w:r>
      <w:r w:rsidR="00C51163">
        <w:t xml:space="preserve">As </w:t>
      </w:r>
      <w:r w:rsidR="00770400">
        <w:t>sub</w:t>
      </w:r>
      <w:r w:rsidR="00D2775D">
        <w:t>clause 8.3(1)</w:t>
      </w:r>
      <w:r w:rsidR="00C51163">
        <w:t xml:space="preserve"> of Schedule 4 to the CDR Rules</w:t>
      </w:r>
      <w:r w:rsidR="00770400">
        <w:t xml:space="preserve"> provides a</w:t>
      </w:r>
      <w:r w:rsidR="00C51163">
        <w:t xml:space="preserve"> retailer that reaches the customer numbers for a</w:t>
      </w:r>
      <w:r w:rsidR="00770400">
        <w:t xml:space="preserve"> larger retailer with a </w:t>
      </w:r>
      <w:r w:rsidR="00135250">
        <w:t>12-month</w:t>
      </w:r>
      <w:r w:rsidR="00770400">
        <w:t xml:space="preserve"> delayed obligation period, this </w:t>
      </w:r>
      <w:r w:rsidR="002B012E">
        <w:t>amendment</w:t>
      </w:r>
      <w:r w:rsidR="00784FAC">
        <w:t xml:space="preserve"> </w:t>
      </w:r>
      <w:r w:rsidR="00D76609">
        <w:t>has</w:t>
      </w:r>
      <w:r w:rsidR="00784FAC">
        <w:t xml:space="preserve"> the effect that a small retailer that </w:t>
      </w:r>
      <w:r w:rsidR="00801F06">
        <w:t xml:space="preserve">reaches </w:t>
      </w:r>
      <w:r w:rsidR="00691978">
        <w:t>the custo</w:t>
      </w:r>
      <w:r w:rsidR="00994522">
        <w:t>mer</w:t>
      </w:r>
      <w:r w:rsidR="00FA0EF4">
        <w:t xml:space="preserve"> numbers for</w:t>
      </w:r>
      <w:r w:rsidR="00801F06">
        <w:t xml:space="preserve"> </w:t>
      </w:r>
      <w:r w:rsidR="00784FAC">
        <w:t xml:space="preserve">a larger retailer will have 18 months </w:t>
      </w:r>
      <w:r w:rsidR="001652B3">
        <w:t xml:space="preserve">prior to its obligations in relation </w:t>
      </w:r>
      <w:r w:rsidR="00784FAC">
        <w:t>to complex requests</w:t>
      </w:r>
      <w:r w:rsidR="001652B3">
        <w:t xml:space="preserve"> taking effect</w:t>
      </w:r>
      <w:r w:rsidR="00784FAC">
        <w:t>.</w:t>
      </w:r>
      <w:r>
        <w:t xml:space="preserve"> </w:t>
      </w:r>
      <w:r w:rsidR="00CB32E6">
        <w:tab/>
      </w:r>
      <w:r w:rsidR="00CB32E6">
        <w:tab/>
      </w:r>
      <w:r w:rsidR="00CB32E6">
        <w:tab/>
        <w:t xml:space="preserve"> </w:t>
      </w:r>
      <w:r w:rsidR="00DA5F2A" w:rsidRPr="0085109D">
        <w:rPr>
          <w:b/>
          <w:bCs/>
          <w:i/>
          <w:iCs/>
          <w:sz w:val="20"/>
          <w:szCs w:val="16"/>
        </w:rPr>
        <w:t>[</w:t>
      </w:r>
      <w:r w:rsidR="009D6B27" w:rsidRPr="0085109D">
        <w:rPr>
          <w:b/>
          <w:bCs/>
          <w:i/>
          <w:iCs/>
          <w:sz w:val="20"/>
          <w:szCs w:val="16"/>
        </w:rPr>
        <w:t>Schedule</w:t>
      </w:r>
      <w:r w:rsidR="00DA5F2A" w:rsidRPr="0085109D">
        <w:rPr>
          <w:b/>
          <w:bCs/>
          <w:i/>
          <w:iCs/>
          <w:sz w:val="20"/>
          <w:szCs w:val="16"/>
        </w:rPr>
        <w:t xml:space="preserve"> 1, </w:t>
      </w:r>
      <w:r w:rsidR="00D76609">
        <w:rPr>
          <w:b/>
          <w:bCs/>
          <w:i/>
          <w:iCs/>
          <w:sz w:val="20"/>
          <w:szCs w:val="16"/>
        </w:rPr>
        <w:t>i</w:t>
      </w:r>
      <w:r w:rsidR="00DA5F2A" w:rsidRPr="0085109D">
        <w:rPr>
          <w:b/>
          <w:bCs/>
          <w:i/>
          <w:iCs/>
          <w:sz w:val="20"/>
          <w:szCs w:val="16"/>
        </w:rPr>
        <w:t xml:space="preserve">tem </w:t>
      </w:r>
      <w:r w:rsidR="00A267FC">
        <w:rPr>
          <w:b/>
          <w:bCs/>
          <w:i/>
          <w:iCs/>
          <w:sz w:val="20"/>
          <w:szCs w:val="16"/>
        </w:rPr>
        <w:t>37</w:t>
      </w:r>
      <w:r w:rsidR="00DA5F2A" w:rsidRPr="0085109D">
        <w:rPr>
          <w:b/>
          <w:bCs/>
          <w:i/>
          <w:iCs/>
          <w:sz w:val="20"/>
          <w:szCs w:val="16"/>
        </w:rPr>
        <w:t>,</w:t>
      </w:r>
      <w:r w:rsidR="00A0517F" w:rsidRPr="0085109D">
        <w:rPr>
          <w:b/>
          <w:bCs/>
          <w:i/>
          <w:iCs/>
          <w:sz w:val="20"/>
          <w:szCs w:val="16"/>
        </w:rPr>
        <w:t xml:space="preserve"> </w:t>
      </w:r>
      <w:r w:rsidR="00122616" w:rsidRPr="0085109D">
        <w:rPr>
          <w:b/>
          <w:bCs/>
          <w:i/>
          <w:iCs/>
          <w:sz w:val="20"/>
          <w:szCs w:val="16"/>
        </w:rPr>
        <w:t xml:space="preserve">subclause 8.6(6) of </w:t>
      </w:r>
      <w:r w:rsidR="0085633D">
        <w:rPr>
          <w:b/>
          <w:bCs/>
          <w:i/>
          <w:iCs/>
          <w:sz w:val="20"/>
          <w:szCs w:val="16"/>
        </w:rPr>
        <w:t>S</w:t>
      </w:r>
      <w:r w:rsidR="00122616" w:rsidRPr="0085109D">
        <w:rPr>
          <w:b/>
          <w:bCs/>
          <w:i/>
          <w:iCs/>
          <w:sz w:val="20"/>
          <w:szCs w:val="16"/>
        </w:rPr>
        <w:t>chedule 4</w:t>
      </w:r>
      <w:r w:rsidR="0085633D">
        <w:rPr>
          <w:b/>
          <w:bCs/>
          <w:i/>
          <w:iCs/>
          <w:sz w:val="20"/>
          <w:szCs w:val="16"/>
        </w:rPr>
        <w:t xml:space="preserve"> to the CDR Rules</w:t>
      </w:r>
      <w:r w:rsidR="00122616" w:rsidRPr="0085109D">
        <w:rPr>
          <w:b/>
          <w:bCs/>
          <w:i/>
          <w:iCs/>
          <w:sz w:val="20"/>
          <w:szCs w:val="16"/>
        </w:rPr>
        <w:t>]</w:t>
      </w:r>
    </w:p>
    <w:p w14:paraId="21BC6565" w14:textId="64BAA4A8" w:rsidR="00A60D87" w:rsidRPr="00A60D87" w:rsidRDefault="00A60D87" w:rsidP="00D33FD3">
      <w:pPr>
        <w:pStyle w:val="OutlineNumbered1"/>
        <w:keepNext/>
        <w:numPr>
          <w:ilvl w:val="0"/>
          <w:numId w:val="0"/>
        </w:numPr>
        <w:rPr>
          <w:i/>
          <w:iCs/>
        </w:rPr>
      </w:pPr>
      <w:r w:rsidRPr="00A60D87">
        <w:rPr>
          <w:i/>
          <w:iCs/>
        </w:rPr>
        <w:t xml:space="preserve">Miscellaneous amendments to staged application for energy </w:t>
      </w:r>
      <w:proofErr w:type="gramStart"/>
      <w:r w:rsidRPr="00A60D87">
        <w:rPr>
          <w:i/>
          <w:iCs/>
        </w:rPr>
        <w:t>sector</w:t>
      </w:r>
      <w:proofErr w:type="gramEnd"/>
      <w:r w:rsidRPr="00A60D87">
        <w:rPr>
          <w:i/>
          <w:iCs/>
        </w:rPr>
        <w:t xml:space="preserve"> </w:t>
      </w:r>
    </w:p>
    <w:p w14:paraId="18D2281E" w14:textId="6BA60BAF" w:rsidR="00B64092" w:rsidRPr="004141BA" w:rsidRDefault="00053324">
      <w:pPr>
        <w:pStyle w:val="OutlineNumbered1"/>
      </w:pPr>
      <w:r>
        <w:t xml:space="preserve">The Amending Rules make several </w:t>
      </w:r>
      <w:r w:rsidR="000345BB">
        <w:t>minor amendments to Part 8 of Schedule 4</w:t>
      </w:r>
      <w:r w:rsidR="00601526">
        <w:t xml:space="preserve"> </w:t>
      </w:r>
      <w:r w:rsidR="007E6953">
        <w:t xml:space="preserve">to the CDR Rules </w:t>
      </w:r>
      <w:r w:rsidR="00601526">
        <w:t xml:space="preserve">to assist clarity and comprehension. </w:t>
      </w:r>
      <w:r w:rsidR="00326A4E">
        <w:t>These minor changes relate to clauses dealing</w:t>
      </w:r>
      <w:r w:rsidR="007E6953">
        <w:t xml:space="preserve"> with</w:t>
      </w:r>
      <w:r w:rsidR="00326A4E">
        <w:t xml:space="preserve"> </w:t>
      </w:r>
      <w:r w:rsidR="001652B3">
        <w:t xml:space="preserve">the timing of </w:t>
      </w:r>
      <w:r w:rsidR="00326A4E">
        <w:t>obligation</w:t>
      </w:r>
      <w:r w:rsidR="001652B3">
        <w:t>s taking effect in relation</w:t>
      </w:r>
      <w:r w:rsidR="00326A4E">
        <w:t xml:space="preserve"> to product data request</w:t>
      </w:r>
      <w:r w:rsidR="0017194D">
        <w:t>s</w:t>
      </w:r>
      <w:r w:rsidR="00326A4E">
        <w:t xml:space="preserve"> under Part 2</w:t>
      </w:r>
      <w:r w:rsidR="00190D4F">
        <w:t xml:space="preserve"> and Part 4</w:t>
      </w:r>
      <w:r w:rsidR="00326A4E">
        <w:t xml:space="preserve"> of the CDR Rules</w:t>
      </w:r>
      <w:r w:rsidR="002B012E">
        <w:t>.</w:t>
      </w:r>
      <w:r w:rsidR="00CB32E6">
        <w:tab/>
      </w:r>
      <w:r w:rsidR="00CB32E6">
        <w:tab/>
      </w:r>
      <w:r w:rsidR="00CB32E6">
        <w:tab/>
      </w:r>
      <w:r w:rsidR="00CB32E6">
        <w:tab/>
      </w:r>
      <w:r w:rsidR="00190D4F" w:rsidRPr="008C0237">
        <w:rPr>
          <w:b/>
          <w:bCs/>
          <w:i/>
          <w:iCs/>
        </w:rPr>
        <w:t xml:space="preserve"> </w:t>
      </w:r>
      <w:r w:rsidR="00190D4F" w:rsidRPr="0085109D">
        <w:rPr>
          <w:b/>
          <w:bCs/>
          <w:i/>
          <w:iCs/>
          <w:sz w:val="20"/>
          <w:szCs w:val="16"/>
        </w:rPr>
        <w:t>[Schedule 1, i</w:t>
      </w:r>
      <w:r w:rsidR="00DA4FB5" w:rsidRPr="0085109D">
        <w:rPr>
          <w:b/>
          <w:bCs/>
          <w:i/>
          <w:iCs/>
          <w:sz w:val="20"/>
          <w:szCs w:val="16"/>
        </w:rPr>
        <w:t xml:space="preserve">tems </w:t>
      </w:r>
      <w:r w:rsidR="00A267FC">
        <w:rPr>
          <w:b/>
          <w:bCs/>
          <w:i/>
          <w:iCs/>
          <w:sz w:val="20"/>
          <w:szCs w:val="16"/>
        </w:rPr>
        <w:t>33</w:t>
      </w:r>
      <w:r w:rsidR="000C4079">
        <w:rPr>
          <w:b/>
          <w:bCs/>
          <w:i/>
          <w:iCs/>
          <w:sz w:val="20"/>
          <w:szCs w:val="16"/>
        </w:rPr>
        <w:t xml:space="preserve"> to </w:t>
      </w:r>
      <w:r w:rsidR="00A267FC">
        <w:rPr>
          <w:b/>
          <w:bCs/>
          <w:i/>
          <w:iCs/>
          <w:sz w:val="20"/>
          <w:szCs w:val="16"/>
        </w:rPr>
        <w:t>36</w:t>
      </w:r>
      <w:r w:rsidR="00190D4F" w:rsidRPr="0085109D">
        <w:rPr>
          <w:b/>
          <w:bCs/>
          <w:i/>
          <w:iCs/>
          <w:sz w:val="20"/>
          <w:szCs w:val="16"/>
        </w:rPr>
        <w:t xml:space="preserve">, </w:t>
      </w:r>
      <w:r w:rsidR="00D442B4" w:rsidRPr="0085109D">
        <w:rPr>
          <w:b/>
          <w:bCs/>
          <w:i/>
          <w:iCs/>
          <w:sz w:val="20"/>
          <w:szCs w:val="16"/>
        </w:rPr>
        <w:t xml:space="preserve">clause 8.4 </w:t>
      </w:r>
      <w:r w:rsidR="005A0643" w:rsidRPr="0085109D">
        <w:rPr>
          <w:b/>
          <w:bCs/>
          <w:i/>
          <w:iCs/>
          <w:sz w:val="20"/>
          <w:szCs w:val="16"/>
        </w:rPr>
        <w:t xml:space="preserve">and </w:t>
      </w:r>
      <w:r w:rsidR="007E0418">
        <w:rPr>
          <w:b/>
          <w:bCs/>
          <w:i/>
          <w:iCs/>
          <w:sz w:val="20"/>
          <w:szCs w:val="16"/>
        </w:rPr>
        <w:t xml:space="preserve">subclauses </w:t>
      </w:r>
      <w:r w:rsidR="00BF1095" w:rsidRPr="0085109D">
        <w:rPr>
          <w:b/>
          <w:bCs/>
          <w:i/>
          <w:iCs/>
          <w:sz w:val="20"/>
          <w:szCs w:val="16"/>
        </w:rPr>
        <w:t>8.6(1)</w:t>
      </w:r>
      <w:r w:rsidR="007E0418">
        <w:rPr>
          <w:b/>
          <w:bCs/>
          <w:i/>
          <w:iCs/>
          <w:sz w:val="20"/>
          <w:szCs w:val="16"/>
        </w:rPr>
        <w:t xml:space="preserve"> to</w:t>
      </w:r>
      <w:r w:rsidR="00BF1095" w:rsidRPr="0085109D">
        <w:rPr>
          <w:b/>
          <w:bCs/>
          <w:i/>
          <w:iCs/>
          <w:sz w:val="20"/>
          <w:szCs w:val="16"/>
        </w:rPr>
        <w:t xml:space="preserve"> (5)</w:t>
      </w:r>
      <w:r w:rsidR="008C0237" w:rsidRPr="0085109D">
        <w:rPr>
          <w:b/>
          <w:bCs/>
          <w:i/>
          <w:iCs/>
          <w:sz w:val="20"/>
          <w:szCs w:val="16"/>
        </w:rPr>
        <w:t xml:space="preserve"> </w:t>
      </w:r>
      <w:r w:rsidR="00D442B4" w:rsidRPr="0085109D">
        <w:rPr>
          <w:b/>
          <w:bCs/>
          <w:i/>
          <w:iCs/>
          <w:sz w:val="20"/>
          <w:szCs w:val="16"/>
        </w:rPr>
        <w:t xml:space="preserve">of </w:t>
      </w:r>
      <w:r w:rsidR="007E0418">
        <w:rPr>
          <w:b/>
          <w:bCs/>
          <w:i/>
          <w:iCs/>
          <w:sz w:val="20"/>
          <w:szCs w:val="16"/>
        </w:rPr>
        <w:t>S</w:t>
      </w:r>
      <w:r w:rsidR="00D442B4" w:rsidRPr="0085109D">
        <w:rPr>
          <w:b/>
          <w:bCs/>
          <w:i/>
          <w:iCs/>
          <w:sz w:val="20"/>
          <w:szCs w:val="16"/>
        </w:rPr>
        <w:t>chedule 4</w:t>
      </w:r>
      <w:r w:rsidR="007E0418">
        <w:rPr>
          <w:b/>
          <w:bCs/>
          <w:i/>
          <w:iCs/>
          <w:sz w:val="20"/>
          <w:szCs w:val="16"/>
        </w:rPr>
        <w:t xml:space="preserve"> to the CDR Rules</w:t>
      </w:r>
      <w:r w:rsidR="008C0237" w:rsidRPr="0085109D">
        <w:rPr>
          <w:b/>
          <w:bCs/>
          <w:i/>
          <w:iCs/>
          <w:sz w:val="20"/>
          <w:szCs w:val="16"/>
        </w:rPr>
        <w:t>]</w:t>
      </w:r>
    </w:p>
    <w:p w14:paraId="1734E429" w14:textId="1A5D5278" w:rsidR="004D71F5" w:rsidRPr="00121B3C" w:rsidRDefault="004D71F5" w:rsidP="004D71F5">
      <w:pPr>
        <w:spacing w:before="240" w:after="200"/>
        <w:rPr>
          <w:i/>
          <w:iCs/>
        </w:rPr>
      </w:pPr>
      <w:r>
        <w:rPr>
          <w:i/>
          <w:iCs/>
        </w:rPr>
        <w:t xml:space="preserve">Nominated </w:t>
      </w:r>
      <w:proofErr w:type="gramStart"/>
      <w:r>
        <w:rPr>
          <w:i/>
          <w:iCs/>
        </w:rPr>
        <w:t>representatives</w:t>
      </w:r>
      <w:proofErr w:type="gramEnd"/>
    </w:p>
    <w:p w14:paraId="6321B9C8" w14:textId="58510C1D" w:rsidR="004D71F5" w:rsidRPr="002C7E40" w:rsidRDefault="004D71F5" w:rsidP="004D71F5">
      <w:pPr>
        <w:pStyle w:val="OutlineNumbered1"/>
      </w:pPr>
      <w:r>
        <w:t xml:space="preserve">The CDR Rules oblige a data holder to provide a service that business consumers can use to nominate a representative to take certain actions on their behalf. The Amending Rules modify the existing requirement, that the service can be used to </w:t>
      </w:r>
      <w:r w:rsidRPr="00BA7D30">
        <w:rPr>
          <w:b/>
          <w:bCs/>
          <w:i/>
          <w:iCs/>
        </w:rPr>
        <w:t>revoke</w:t>
      </w:r>
      <w:r>
        <w:t xml:space="preserve"> such a nomination, to require that the service must instead provide a mechanism to </w:t>
      </w:r>
      <w:r w:rsidRPr="00BA7D30">
        <w:rPr>
          <w:b/>
          <w:bCs/>
          <w:i/>
          <w:iCs/>
        </w:rPr>
        <w:t>withdraw</w:t>
      </w:r>
      <w:r>
        <w:t xml:space="preserve"> the nomination. The use of withdraw is a more appropriate description of the action. </w:t>
      </w:r>
      <w:r>
        <w:tab/>
      </w:r>
      <w:r>
        <w:tab/>
      </w:r>
      <w:r>
        <w:tab/>
      </w:r>
      <w:r>
        <w:tab/>
      </w:r>
      <w:r>
        <w:tab/>
      </w:r>
      <w:r>
        <w:tab/>
      </w:r>
      <w:r>
        <w:tab/>
        <w:t xml:space="preserve"> </w:t>
      </w:r>
      <w:r w:rsidRPr="00BA7D30">
        <w:rPr>
          <w:b/>
          <w:bCs/>
          <w:i/>
          <w:iCs/>
          <w:sz w:val="20"/>
          <w:szCs w:val="16"/>
        </w:rPr>
        <w:t>[Schedule 1, item</w:t>
      </w:r>
      <w:r>
        <w:rPr>
          <w:b/>
          <w:bCs/>
          <w:i/>
          <w:iCs/>
          <w:sz w:val="20"/>
          <w:szCs w:val="16"/>
        </w:rPr>
        <w:t>s</w:t>
      </w:r>
      <w:r w:rsidRPr="00BA7D30">
        <w:rPr>
          <w:b/>
          <w:bCs/>
          <w:i/>
          <w:iCs/>
          <w:sz w:val="20"/>
          <w:szCs w:val="16"/>
        </w:rPr>
        <w:t xml:space="preserve"> </w:t>
      </w:r>
      <w:r w:rsidDel="00873A33">
        <w:rPr>
          <w:b/>
          <w:bCs/>
          <w:i/>
          <w:iCs/>
          <w:sz w:val="20"/>
          <w:szCs w:val="16"/>
        </w:rPr>
        <w:t>9</w:t>
      </w:r>
      <w:r>
        <w:rPr>
          <w:b/>
          <w:bCs/>
          <w:i/>
          <w:iCs/>
          <w:sz w:val="20"/>
          <w:szCs w:val="16"/>
        </w:rPr>
        <w:t xml:space="preserve"> to</w:t>
      </w:r>
      <w:r w:rsidDel="00873A33">
        <w:rPr>
          <w:b/>
          <w:bCs/>
          <w:i/>
          <w:iCs/>
          <w:sz w:val="20"/>
          <w:szCs w:val="16"/>
        </w:rPr>
        <w:t xml:space="preserve"> </w:t>
      </w:r>
      <w:r w:rsidR="00A267FC">
        <w:rPr>
          <w:b/>
          <w:bCs/>
          <w:i/>
          <w:iCs/>
          <w:sz w:val="20"/>
          <w:szCs w:val="16"/>
        </w:rPr>
        <w:t>12</w:t>
      </w:r>
      <w:r w:rsidRPr="00BA7D30">
        <w:rPr>
          <w:b/>
          <w:bCs/>
          <w:i/>
          <w:iCs/>
          <w:sz w:val="20"/>
          <w:szCs w:val="16"/>
        </w:rPr>
        <w:t>, paragraphs 1.13(1)(c) and (d)]</w:t>
      </w:r>
    </w:p>
    <w:p w14:paraId="3FD4148F" w14:textId="05BB24CD" w:rsidR="004D71F5" w:rsidRDefault="004D71F5" w:rsidP="004D71F5">
      <w:pPr>
        <w:pStyle w:val="OutlineNumbered1"/>
      </w:pPr>
      <w:r>
        <w:t xml:space="preserve">Note 4 to subrule 1.13(1) of the CDR Rules is substituted by the Amending Rules, which now explains that a consumer data request service may be offered in an online </w:t>
      </w:r>
      <w:r>
        <w:lastRenderedPageBreak/>
        <w:t xml:space="preserve">form even if this subrule does not require it to be an online service. </w:t>
      </w:r>
      <w:r>
        <w:tab/>
      </w:r>
      <w:r>
        <w:tab/>
        <w:t xml:space="preserve"> </w:t>
      </w:r>
      <w:r w:rsidRPr="007A1F3D">
        <w:rPr>
          <w:b/>
          <w:bCs/>
          <w:i/>
          <w:iCs/>
          <w:sz w:val="20"/>
          <w:szCs w:val="16"/>
        </w:rPr>
        <w:t xml:space="preserve">[Schedule 1, item </w:t>
      </w:r>
      <w:r w:rsidR="00A267FC">
        <w:rPr>
          <w:b/>
          <w:bCs/>
          <w:i/>
          <w:iCs/>
          <w:sz w:val="20"/>
          <w:szCs w:val="16"/>
        </w:rPr>
        <w:t>13</w:t>
      </w:r>
      <w:r w:rsidRPr="007A1F3D">
        <w:rPr>
          <w:b/>
          <w:bCs/>
          <w:i/>
          <w:iCs/>
          <w:sz w:val="20"/>
          <w:szCs w:val="16"/>
        </w:rPr>
        <w:t>, subrule 1.13(1) (note 4)]</w:t>
      </w:r>
    </w:p>
    <w:p w14:paraId="1FE11309" w14:textId="7630F57F" w:rsidR="004D71F5" w:rsidRDefault="004D71F5" w:rsidP="004D71F5">
      <w:pPr>
        <w:pStyle w:val="OutlineNumbered1"/>
      </w:pPr>
      <w:r>
        <w:t xml:space="preserve">In addition, the Amending Rules broaden the definition of </w:t>
      </w:r>
      <w:r w:rsidRPr="00A267FC">
        <w:rPr>
          <w:b/>
          <w:i/>
        </w:rPr>
        <w:t>complex request</w:t>
      </w:r>
      <w:r>
        <w:t xml:space="preserve"> in the energy sector to include a request made on behalf of a CDR consumer by a nominated representative</w:t>
      </w:r>
      <w:r w:rsidRPr="007A1F3D">
        <w:rPr>
          <w:sz w:val="20"/>
          <w:szCs w:val="16"/>
        </w:rPr>
        <w:t xml:space="preserve">. </w:t>
      </w:r>
      <w:r>
        <w:rPr>
          <w:sz w:val="20"/>
          <w:szCs w:val="16"/>
        </w:rPr>
        <w:tab/>
      </w:r>
      <w:r>
        <w:rPr>
          <w:sz w:val="20"/>
          <w:szCs w:val="16"/>
        </w:rPr>
        <w:tab/>
      </w:r>
      <w:r>
        <w:rPr>
          <w:sz w:val="20"/>
          <w:szCs w:val="16"/>
        </w:rPr>
        <w:tab/>
      </w:r>
      <w:r>
        <w:rPr>
          <w:sz w:val="20"/>
          <w:szCs w:val="16"/>
        </w:rPr>
        <w:tab/>
      </w:r>
      <w:r>
        <w:rPr>
          <w:sz w:val="20"/>
          <w:szCs w:val="16"/>
        </w:rPr>
        <w:tab/>
      </w:r>
      <w:r>
        <w:rPr>
          <w:sz w:val="20"/>
          <w:szCs w:val="16"/>
        </w:rPr>
        <w:tab/>
      </w:r>
      <w:r>
        <w:rPr>
          <w:sz w:val="20"/>
          <w:szCs w:val="16"/>
        </w:rPr>
        <w:tab/>
        <w:t xml:space="preserve"> </w:t>
      </w:r>
      <w:r w:rsidRPr="007A1F3D">
        <w:rPr>
          <w:b/>
          <w:bCs/>
          <w:i/>
          <w:iCs/>
          <w:sz w:val="20"/>
          <w:szCs w:val="16"/>
        </w:rPr>
        <w:t xml:space="preserve">[Schedule 1, item </w:t>
      </w:r>
      <w:r w:rsidR="00A267FC">
        <w:rPr>
          <w:b/>
          <w:bCs/>
          <w:i/>
          <w:iCs/>
          <w:sz w:val="20"/>
          <w:szCs w:val="16"/>
        </w:rPr>
        <w:t>32</w:t>
      </w:r>
      <w:r w:rsidRPr="007A1F3D">
        <w:rPr>
          <w:b/>
          <w:bCs/>
          <w:i/>
          <w:iCs/>
          <w:sz w:val="20"/>
          <w:szCs w:val="16"/>
        </w:rPr>
        <w:t xml:space="preserve">, </w:t>
      </w:r>
      <w:r>
        <w:rPr>
          <w:b/>
          <w:bCs/>
          <w:i/>
          <w:iCs/>
          <w:sz w:val="20"/>
          <w:szCs w:val="16"/>
        </w:rPr>
        <w:t>paragraph</w:t>
      </w:r>
      <w:r w:rsidRPr="007A1F3D">
        <w:rPr>
          <w:b/>
          <w:bCs/>
          <w:i/>
          <w:iCs/>
          <w:sz w:val="20"/>
          <w:szCs w:val="16"/>
        </w:rPr>
        <w:t xml:space="preserve"> 8.1(d)</w:t>
      </w:r>
      <w:r>
        <w:rPr>
          <w:b/>
          <w:bCs/>
          <w:i/>
          <w:iCs/>
          <w:sz w:val="20"/>
          <w:szCs w:val="16"/>
        </w:rPr>
        <w:t xml:space="preserve"> of Schedule 4 to the CDR Rules</w:t>
      </w:r>
      <w:r w:rsidRPr="007A1F3D">
        <w:rPr>
          <w:b/>
          <w:bCs/>
          <w:i/>
          <w:iCs/>
          <w:sz w:val="20"/>
          <w:szCs w:val="16"/>
        </w:rPr>
        <w:t>]</w:t>
      </w:r>
    </w:p>
    <w:p w14:paraId="58F099F1" w14:textId="61AA5D52" w:rsidR="006627DD" w:rsidRPr="004141BA" w:rsidRDefault="006627DD" w:rsidP="004141BA">
      <w:pPr>
        <w:pStyle w:val="OutlineNumbered1"/>
        <w:numPr>
          <w:ilvl w:val="0"/>
          <w:numId w:val="0"/>
        </w:numPr>
        <w:rPr>
          <w:i/>
          <w:iCs/>
        </w:rPr>
      </w:pPr>
      <w:r w:rsidRPr="004141BA">
        <w:rPr>
          <w:i/>
          <w:iCs/>
        </w:rPr>
        <w:t xml:space="preserve">Meaning of </w:t>
      </w:r>
      <w:r w:rsidR="004141BA" w:rsidRPr="004141BA">
        <w:rPr>
          <w:i/>
          <w:iCs/>
        </w:rPr>
        <w:t>‘financial counselling agencies’</w:t>
      </w:r>
    </w:p>
    <w:p w14:paraId="50A15F95" w14:textId="35D95E0E" w:rsidR="00ED4836" w:rsidRDefault="008278C6" w:rsidP="00D403BF">
      <w:pPr>
        <w:pStyle w:val="OutlineNumbered1"/>
        <w:contextualSpacing/>
      </w:pPr>
      <w:r>
        <w:t xml:space="preserve">One of the classes of trusted adviser recognised by the CDR Rules is financial counselling agencies. </w:t>
      </w:r>
      <w:r w:rsidR="00666439">
        <w:t xml:space="preserve">The Amending Rules </w:t>
      </w:r>
      <w:r w:rsidR="005540BF">
        <w:t xml:space="preserve">update </w:t>
      </w:r>
      <w:r w:rsidR="00296654">
        <w:t xml:space="preserve">the </w:t>
      </w:r>
      <w:r w:rsidR="00DA5C81">
        <w:t xml:space="preserve">cross-reference for the </w:t>
      </w:r>
      <w:r>
        <w:t>meaning of that term</w:t>
      </w:r>
      <w:r w:rsidR="00FD49CB">
        <w:t xml:space="preserve">, </w:t>
      </w:r>
      <w:r>
        <w:t>reflecting</w:t>
      </w:r>
      <w:r w:rsidR="00AC5529">
        <w:t xml:space="preserve"> that </w:t>
      </w:r>
      <w:r w:rsidR="00034548">
        <w:t xml:space="preserve">the </w:t>
      </w:r>
      <w:r w:rsidR="00034548">
        <w:rPr>
          <w:i/>
          <w:iCs/>
        </w:rPr>
        <w:t xml:space="preserve">Treasury Laws Amendment (Rationalising ASIC Instruments) Regulations </w:t>
      </w:r>
      <w:r w:rsidR="0028655A">
        <w:rPr>
          <w:i/>
          <w:iCs/>
        </w:rPr>
        <w:t>2022</w:t>
      </w:r>
      <w:r w:rsidR="0028655A">
        <w:t xml:space="preserve"> </w:t>
      </w:r>
      <w:r w:rsidR="001323EA">
        <w:t>incorporated</w:t>
      </w:r>
      <w:r w:rsidR="0028655A">
        <w:t xml:space="preserve"> the </w:t>
      </w:r>
      <w:r w:rsidR="00F66C2B">
        <w:t xml:space="preserve">previously referenced </w:t>
      </w:r>
      <w:r w:rsidR="00EA3005">
        <w:rPr>
          <w:i/>
          <w:iCs/>
        </w:rPr>
        <w:t>ASIC Corporations (Financial Counselling Agencies) Instrument 2017/792</w:t>
      </w:r>
      <w:r w:rsidR="001323EA">
        <w:t xml:space="preserve"> into the </w:t>
      </w:r>
      <w:r w:rsidR="001323EA">
        <w:rPr>
          <w:i/>
          <w:iCs/>
        </w:rPr>
        <w:t>Corporations Regulations 2001</w:t>
      </w:r>
      <w:r w:rsidR="00EA3005">
        <w:t>.</w:t>
      </w:r>
    </w:p>
    <w:p w14:paraId="1EB502EC" w14:textId="6F3ECE64" w:rsidR="00D403BF" w:rsidRDefault="00D403BF" w:rsidP="00D403BF">
      <w:pPr>
        <w:pStyle w:val="OutlineNumbered1"/>
        <w:numPr>
          <w:ilvl w:val="0"/>
          <w:numId w:val="0"/>
        </w:numPr>
        <w:ind w:left="567"/>
      </w:pPr>
      <w:r w:rsidRPr="0085109D">
        <w:rPr>
          <w:b/>
          <w:bCs/>
          <w:i/>
          <w:iCs/>
          <w:sz w:val="20"/>
          <w:szCs w:val="16"/>
        </w:rPr>
        <w:t>[Schedule 1, item</w:t>
      </w:r>
      <w:r>
        <w:rPr>
          <w:b/>
          <w:bCs/>
          <w:i/>
          <w:iCs/>
          <w:sz w:val="20"/>
          <w:szCs w:val="16"/>
        </w:rPr>
        <w:t xml:space="preserve"> </w:t>
      </w:r>
      <w:r w:rsidR="00A267FC">
        <w:rPr>
          <w:b/>
          <w:bCs/>
          <w:i/>
          <w:iCs/>
          <w:sz w:val="20"/>
          <w:szCs w:val="16"/>
        </w:rPr>
        <w:t>7</w:t>
      </w:r>
      <w:r>
        <w:rPr>
          <w:b/>
          <w:bCs/>
          <w:i/>
          <w:iCs/>
          <w:sz w:val="20"/>
          <w:szCs w:val="16"/>
        </w:rPr>
        <w:t xml:space="preserve">, </w:t>
      </w:r>
      <w:r w:rsidR="00BA59B0">
        <w:rPr>
          <w:b/>
          <w:bCs/>
          <w:i/>
          <w:iCs/>
          <w:sz w:val="20"/>
          <w:szCs w:val="16"/>
        </w:rPr>
        <w:t>paragraph 1.10C(2)(d)</w:t>
      </w:r>
      <w:r w:rsidRPr="0085109D">
        <w:rPr>
          <w:b/>
          <w:bCs/>
          <w:i/>
          <w:iCs/>
          <w:sz w:val="20"/>
          <w:szCs w:val="16"/>
        </w:rPr>
        <w:t>]</w:t>
      </w:r>
    </w:p>
    <w:p w14:paraId="29280626" w14:textId="7AB0D188" w:rsidR="00361E4E" w:rsidRDefault="0076193E">
      <w:pPr>
        <w:pStyle w:val="OutlineNumbered1"/>
      </w:pPr>
      <w:r>
        <w:t>The meaning remains</w:t>
      </w:r>
      <w:r w:rsidR="001C7E23">
        <w:t xml:space="preserve"> substantively</w:t>
      </w:r>
      <w:r>
        <w:t xml:space="preserve"> the same – ‘</w:t>
      </w:r>
      <w:r w:rsidRPr="0076193E">
        <w:t>financial counselling agency</w:t>
      </w:r>
      <w:r>
        <w:t>’</w:t>
      </w:r>
      <w:r w:rsidRPr="0076193E">
        <w:t xml:space="preserve"> means a person that provides a financial counselling service.</w:t>
      </w:r>
      <w:r w:rsidR="00552471">
        <w:t xml:space="preserve"> A ‘</w:t>
      </w:r>
      <w:r w:rsidR="00552471" w:rsidRPr="00552471">
        <w:t>financial counselling service</w:t>
      </w:r>
      <w:r w:rsidR="00552471">
        <w:t>’</w:t>
      </w:r>
      <w:r w:rsidR="00552471" w:rsidRPr="00552471">
        <w:t xml:space="preserve"> means a counselling and advocacy service provided mainly for the purposes of assisting individuals or small businesses who are in financial difficulty to resolve their problems.</w:t>
      </w:r>
    </w:p>
    <w:p w14:paraId="6801C4B4" w14:textId="1809F1E2" w:rsidR="00F6650A" w:rsidRPr="001829D7" w:rsidRDefault="00F6650A" w:rsidP="001829D7">
      <w:pPr>
        <w:pStyle w:val="OutlineNumbered1"/>
        <w:numPr>
          <w:ilvl w:val="0"/>
          <w:numId w:val="0"/>
        </w:numPr>
        <w:rPr>
          <w:i/>
          <w:iCs/>
        </w:rPr>
      </w:pPr>
      <w:r w:rsidRPr="001829D7">
        <w:rPr>
          <w:i/>
          <w:iCs/>
        </w:rPr>
        <w:t>Miscellaneous</w:t>
      </w:r>
    </w:p>
    <w:p w14:paraId="60BFE753" w14:textId="77777777" w:rsidR="001829D7" w:rsidRPr="000E292E" w:rsidRDefault="007A3AB7" w:rsidP="000E292E">
      <w:pPr>
        <w:pStyle w:val="OutlineNumbered1"/>
        <w:spacing w:after="0"/>
        <w:rPr>
          <w:sz w:val="20"/>
        </w:rPr>
      </w:pPr>
      <w:r>
        <w:t>The Amending Rules create a new Part of the CDR Rules to house the application and transitional provisions associated with these Amending Rules and any future application or transitional provisions.</w:t>
      </w:r>
      <w:r>
        <w:rPr>
          <w:b/>
          <w:bCs/>
          <w:i/>
          <w:iCs/>
        </w:rPr>
        <w:t xml:space="preserve"> </w:t>
      </w:r>
    </w:p>
    <w:p w14:paraId="3711398B" w14:textId="00B84429" w:rsidR="007A3AB7" w:rsidRPr="000E292E" w:rsidRDefault="007A3AB7" w:rsidP="000E292E">
      <w:pPr>
        <w:pStyle w:val="OutlineNumbered1"/>
        <w:numPr>
          <w:ilvl w:val="0"/>
          <w:numId w:val="0"/>
        </w:numPr>
        <w:spacing w:before="0"/>
        <w:ind w:left="567"/>
        <w:rPr>
          <w:b/>
          <w:bCs/>
          <w:i/>
          <w:iCs/>
          <w:sz w:val="20"/>
          <w:szCs w:val="16"/>
        </w:rPr>
      </w:pPr>
      <w:r w:rsidRPr="000E292E">
        <w:rPr>
          <w:b/>
          <w:bCs/>
          <w:i/>
          <w:iCs/>
          <w:sz w:val="20"/>
          <w:szCs w:val="16"/>
        </w:rPr>
        <w:t>[Schedule 1, items 1 and 10</w:t>
      </w:r>
      <w:r w:rsidR="00A267FC">
        <w:rPr>
          <w:b/>
          <w:bCs/>
          <w:i/>
          <w:iCs/>
          <w:sz w:val="20"/>
          <w:szCs w:val="16"/>
        </w:rPr>
        <w:t>3</w:t>
      </w:r>
      <w:r w:rsidRPr="000E292E">
        <w:rPr>
          <w:b/>
          <w:bCs/>
          <w:i/>
          <w:iCs/>
          <w:sz w:val="20"/>
          <w:szCs w:val="16"/>
        </w:rPr>
        <w:t xml:space="preserve">, subrule 1.6(9A) and Part 50 of the CDR Rules]  </w:t>
      </w:r>
    </w:p>
    <w:p w14:paraId="42B0A82F" w14:textId="77777777" w:rsidR="000E292E" w:rsidRDefault="007A3AB7" w:rsidP="000E292E">
      <w:pPr>
        <w:pStyle w:val="OutlineNumbered1"/>
        <w:spacing w:after="0"/>
      </w:pPr>
      <w:r>
        <w:t xml:space="preserve">The Amending Rules amend the definition of </w:t>
      </w:r>
      <w:r>
        <w:rPr>
          <w:b/>
          <w:bCs/>
          <w:i/>
          <w:iCs/>
        </w:rPr>
        <w:t>eligible</w:t>
      </w:r>
      <w:r>
        <w:t xml:space="preserve"> in rule 1.7 (the definitions rule) to </w:t>
      </w:r>
      <w:proofErr w:type="gramStart"/>
      <w:r>
        <w:t>more comprehensively cross-reference the existing definition of that term</w:t>
      </w:r>
      <w:proofErr w:type="gramEnd"/>
      <w:r>
        <w:t xml:space="preserve"> in rule</w:t>
      </w:r>
      <w:r w:rsidR="000E292E">
        <w:t> </w:t>
      </w:r>
      <w:r>
        <w:t xml:space="preserve">1.10B, without changing the substance. </w:t>
      </w:r>
    </w:p>
    <w:p w14:paraId="2AD950FB" w14:textId="058E6476" w:rsidR="007A3AB7" w:rsidRPr="000E292E" w:rsidRDefault="007A3AB7" w:rsidP="000E292E">
      <w:pPr>
        <w:pStyle w:val="OutlineNumbered1"/>
        <w:numPr>
          <w:ilvl w:val="0"/>
          <w:numId w:val="0"/>
        </w:numPr>
        <w:spacing w:before="0"/>
        <w:ind w:left="567"/>
        <w:rPr>
          <w:b/>
          <w:bCs/>
          <w:i/>
          <w:iCs/>
          <w:sz w:val="20"/>
          <w:szCs w:val="16"/>
        </w:rPr>
      </w:pPr>
      <w:r w:rsidRPr="000E292E">
        <w:rPr>
          <w:b/>
          <w:bCs/>
          <w:i/>
          <w:iCs/>
          <w:sz w:val="20"/>
          <w:szCs w:val="16"/>
        </w:rPr>
        <w:t>[Schedule 1, item 3, definition of ‘eligible’ in subrule 1.7(1)]</w:t>
      </w:r>
    </w:p>
    <w:p w14:paraId="1930EEBD" w14:textId="77777777" w:rsidR="00D50A22" w:rsidRDefault="00D50A22" w:rsidP="00D50A22">
      <w:pPr>
        <w:pStyle w:val="OutlineNumbered1"/>
        <w:numPr>
          <w:ilvl w:val="0"/>
          <w:numId w:val="0"/>
        </w:numPr>
        <w:ind w:left="567" w:hanging="567"/>
      </w:pPr>
    </w:p>
    <w:p w14:paraId="092C1A52" w14:textId="77777777" w:rsidR="00D50A22" w:rsidRDefault="00D50A22" w:rsidP="00D50A22">
      <w:pPr>
        <w:pStyle w:val="OutlineNumbered1"/>
        <w:numPr>
          <w:ilvl w:val="0"/>
          <w:numId w:val="0"/>
        </w:numPr>
        <w:ind w:left="567" w:hanging="567"/>
      </w:pPr>
    </w:p>
    <w:p w14:paraId="53180387" w14:textId="77777777" w:rsidR="00D50A22" w:rsidRDefault="00D50A22" w:rsidP="00D50A22">
      <w:pPr>
        <w:pStyle w:val="OutlineNumbered1"/>
        <w:numPr>
          <w:ilvl w:val="0"/>
          <w:numId w:val="0"/>
        </w:numPr>
        <w:ind w:left="567" w:hanging="567"/>
      </w:pPr>
    </w:p>
    <w:p w14:paraId="152DC3EA" w14:textId="77777777" w:rsidR="00D50A22" w:rsidRDefault="00D50A22" w:rsidP="00D50A22">
      <w:pPr>
        <w:pStyle w:val="OutlineNumbered1"/>
        <w:numPr>
          <w:ilvl w:val="0"/>
          <w:numId w:val="0"/>
        </w:numPr>
        <w:ind w:left="567" w:hanging="567"/>
      </w:pPr>
    </w:p>
    <w:p w14:paraId="7942F80B" w14:textId="77777777" w:rsidR="00D50A22" w:rsidRDefault="00D50A22" w:rsidP="00D50A22">
      <w:pPr>
        <w:pStyle w:val="OutlineNumbered1"/>
        <w:numPr>
          <w:ilvl w:val="0"/>
          <w:numId w:val="0"/>
        </w:numPr>
        <w:ind w:left="567" w:hanging="567"/>
      </w:pPr>
    </w:p>
    <w:p w14:paraId="4126DE29" w14:textId="4A936530" w:rsidR="00D50A22" w:rsidRPr="003C5719" w:rsidRDefault="00D50A22" w:rsidP="00D50A22">
      <w:pPr>
        <w:pageBreakBefore/>
        <w:spacing w:before="240"/>
        <w:jc w:val="right"/>
        <w:rPr>
          <w:b/>
          <w:u w:val="single"/>
        </w:rPr>
      </w:pPr>
      <w:r w:rsidRPr="003C5719">
        <w:rPr>
          <w:b/>
          <w:u w:val="single"/>
        </w:rPr>
        <w:lastRenderedPageBreak/>
        <w:t xml:space="preserve">ATTACHMENT </w:t>
      </w:r>
      <w:r w:rsidR="00973773">
        <w:rPr>
          <w:b/>
          <w:u w:val="single"/>
        </w:rPr>
        <w:t>B</w:t>
      </w:r>
    </w:p>
    <w:p w14:paraId="6553E154" w14:textId="77777777" w:rsidR="00D50A22" w:rsidRPr="00757B95" w:rsidRDefault="00D50A22" w:rsidP="00D50A22">
      <w:pPr>
        <w:pStyle w:val="base-text-paragraph"/>
      </w:pPr>
    </w:p>
    <w:p w14:paraId="5DF847F4" w14:textId="1C7399F5" w:rsidR="00D50A22" w:rsidRPr="003C5719" w:rsidRDefault="00D50A22" w:rsidP="00D50A22">
      <w:pPr>
        <w:pStyle w:val="Heading3"/>
        <w:jc w:val="center"/>
      </w:pPr>
      <w:r w:rsidRPr="003C5719">
        <w:t>Statement of Compatibility with Human Rights</w:t>
      </w:r>
    </w:p>
    <w:p w14:paraId="18ED3FD3" w14:textId="77777777" w:rsidR="00D50A22" w:rsidRPr="003C5719" w:rsidRDefault="00D50A22" w:rsidP="00D50A22">
      <w:pPr>
        <w:spacing w:before="240"/>
        <w:jc w:val="center"/>
        <w:rPr>
          <w:i/>
        </w:rPr>
      </w:pPr>
      <w:r w:rsidRPr="003C5719">
        <w:rPr>
          <w:i/>
        </w:rPr>
        <w:t>Prepared in accordance with Part 3 of the Human Rights (Parliamentary Scrutiny) Act</w:t>
      </w:r>
      <w:r>
        <w:rPr>
          <w:i/>
        </w:rPr>
        <w:t> </w:t>
      </w:r>
      <w:r w:rsidRPr="003C5719">
        <w:rPr>
          <w:i/>
        </w:rPr>
        <w:t>2011</w:t>
      </w:r>
    </w:p>
    <w:p w14:paraId="60B62F82" w14:textId="77777777" w:rsidR="00D50A22" w:rsidRPr="003C5719" w:rsidRDefault="00D50A22" w:rsidP="00D50A22">
      <w:pPr>
        <w:pStyle w:val="Heading3"/>
        <w:jc w:val="center"/>
      </w:pPr>
      <w:r>
        <w:fldChar w:fldCharType="begin"/>
      </w:r>
      <w:r>
        <w:instrText xml:space="preserve"> MACROBUTTON  AcceptAllChangesInDocAndStopTracking Insert Title of Instrument </w:instrText>
      </w:r>
      <w:r>
        <w:fldChar w:fldCharType="end"/>
      </w:r>
    </w:p>
    <w:p w14:paraId="48496E5C" w14:textId="77777777" w:rsidR="00D50A22" w:rsidRPr="003C5719" w:rsidRDefault="00D50A22" w:rsidP="00D50A22">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441B9AFC" w14:textId="2A0CEB9C" w:rsidR="00D50A22" w:rsidRPr="003C5719" w:rsidRDefault="00D50A22" w:rsidP="00D50A22">
      <w:pPr>
        <w:pStyle w:val="Heading3"/>
      </w:pPr>
      <w:r w:rsidRPr="003C5719">
        <w:t>Overview of the Legislative Instrument</w:t>
      </w:r>
    </w:p>
    <w:p w14:paraId="23DA9AE4" w14:textId="15200EAB" w:rsidR="00097890" w:rsidRDefault="00097890" w:rsidP="00D50A22">
      <w:pPr>
        <w:spacing w:before="240"/>
        <w:rPr>
          <w:color w:val="000000"/>
          <w:shd w:val="clear" w:color="auto" w:fill="FFFFFF"/>
        </w:rPr>
      </w:pPr>
      <w:r w:rsidRPr="003C5719">
        <w:t>The</w:t>
      </w:r>
      <w:r>
        <w:t xml:space="preserve"> </w:t>
      </w:r>
      <w:r>
        <w:rPr>
          <w:i/>
          <w:iCs/>
          <w:color w:val="000000"/>
          <w:shd w:val="clear" w:color="auto" w:fill="FFFFFF"/>
        </w:rPr>
        <w:t>Competition and Consumer (Consumer Data Right) Amendment (2024 Measures No. 1) Rules 2024</w:t>
      </w:r>
      <w:r>
        <w:rPr>
          <w:color w:val="000000"/>
          <w:shd w:val="clear" w:color="auto" w:fill="FFFFFF"/>
        </w:rPr>
        <w:t xml:space="preserve"> (the Amending Rules) amend the </w:t>
      </w:r>
      <w:r w:rsidR="00BD4B3C">
        <w:rPr>
          <w:color w:val="000000"/>
          <w:shd w:val="clear" w:color="auto" w:fill="FFFFFF"/>
        </w:rPr>
        <w:t>consumer data right (</w:t>
      </w:r>
      <w:r>
        <w:rPr>
          <w:color w:val="000000"/>
          <w:shd w:val="clear" w:color="auto" w:fill="FFFFFF"/>
        </w:rPr>
        <w:t>CDR</w:t>
      </w:r>
      <w:r w:rsidR="00BD4B3C">
        <w:rPr>
          <w:color w:val="000000"/>
          <w:shd w:val="clear" w:color="auto" w:fill="FFFFFF"/>
        </w:rPr>
        <w:t>)</w:t>
      </w:r>
      <w:r>
        <w:rPr>
          <w:color w:val="000000"/>
          <w:shd w:val="clear" w:color="auto" w:fill="FFFFFF"/>
        </w:rPr>
        <w:t xml:space="preserve"> consent process and introduce several other operational enhancements to the </w:t>
      </w:r>
      <w:r w:rsidR="00637790">
        <w:rPr>
          <w:i/>
          <w:iCs/>
          <w:color w:val="000000"/>
          <w:shd w:val="clear" w:color="auto" w:fill="FFFFFF"/>
        </w:rPr>
        <w:t>Competition and Consumer (Consumer Data Right) Rules 2020</w:t>
      </w:r>
      <w:r w:rsidR="00637790">
        <w:rPr>
          <w:color w:val="000000"/>
          <w:shd w:val="clear" w:color="auto" w:fill="FFFFFF"/>
        </w:rPr>
        <w:t xml:space="preserve"> (the </w:t>
      </w:r>
      <w:r>
        <w:rPr>
          <w:color w:val="000000"/>
          <w:shd w:val="clear" w:color="auto" w:fill="FFFFFF"/>
        </w:rPr>
        <w:t>CDR Rules</w:t>
      </w:r>
      <w:r w:rsidR="00637790">
        <w:rPr>
          <w:color w:val="000000"/>
          <w:shd w:val="clear" w:color="auto" w:fill="FFFFFF"/>
        </w:rPr>
        <w:t>)</w:t>
      </w:r>
      <w:r>
        <w:rPr>
          <w:color w:val="000000"/>
          <w:shd w:val="clear" w:color="auto" w:fill="FFFFFF"/>
        </w:rPr>
        <w:t>.</w:t>
      </w:r>
    </w:p>
    <w:p w14:paraId="36DE5115" w14:textId="6870BD38" w:rsidR="00BD4B3C" w:rsidRPr="0039005A" w:rsidRDefault="00BD4B3C" w:rsidP="00BD4B3C">
      <w:pPr>
        <w:pStyle w:val="Bullet"/>
        <w:numPr>
          <w:ilvl w:val="0"/>
          <w:numId w:val="0"/>
        </w:numPr>
        <w:spacing w:before="0"/>
      </w:pPr>
      <w:r>
        <w:t>The consent amendments:</w:t>
      </w:r>
    </w:p>
    <w:p w14:paraId="09D97011" w14:textId="0CA2881C" w:rsidR="00BD4B3C" w:rsidRDefault="00BD4B3C" w:rsidP="00BD4B3C">
      <w:pPr>
        <w:pStyle w:val="Bullet"/>
        <w:spacing w:before="0"/>
      </w:pPr>
      <w:r>
        <w:t>extend the data minimisation principle to disclosure, ensuring privacy protection coverage for consumers;</w:t>
      </w:r>
    </w:p>
    <w:p w14:paraId="75AD030E" w14:textId="069C6264" w:rsidR="00BD4B3C" w:rsidRPr="0039005A" w:rsidRDefault="00BD4B3C" w:rsidP="00BD4B3C">
      <w:pPr>
        <w:pStyle w:val="Bullet"/>
        <w:spacing w:before="0"/>
      </w:pPr>
      <w:r>
        <w:t>enable consumers to provide multiple CDR consents with a single action;</w:t>
      </w:r>
    </w:p>
    <w:p w14:paraId="095B29D9" w14:textId="63E0C97F" w:rsidR="00BD4B3C" w:rsidRDefault="00BD4B3C" w:rsidP="00BD4B3C">
      <w:pPr>
        <w:pStyle w:val="Bullet"/>
        <w:spacing w:before="0"/>
      </w:pPr>
      <w:r>
        <w:t>allow data recipients to pre-select the particular consent elements that would be reasonably needed to provide a consumer’s requested good or service;</w:t>
      </w:r>
    </w:p>
    <w:p w14:paraId="096123C1" w14:textId="05524893" w:rsidR="00BD4B3C" w:rsidRDefault="00BD4B3C" w:rsidP="00BD4B3C">
      <w:pPr>
        <w:pStyle w:val="Bullet"/>
        <w:spacing w:before="0"/>
      </w:pPr>
      <w:r>
        <w:t>simplify the information that data recipients are required to provide to the consumer at the time of seeking the consumer’s consent;</w:t>
      </w:r>
    </w:p>
    <w:p w14:paraId="6EA5663F" w14:textId="55B98B49" w:rsidR="00BD4B3C" w:rsidRPr="0039005A" w:rsidRDefault="00BD4B3C" w:rsidP="00BD4B3C">
      <w:pPr>
        <w:pStyle w:val="Bullet"/>
        <w:spacing w:before="0"/>
      </w:pPr>
      <w:r>
        <w:t>allow data recipients to consolidate the delivery of 90-day notifications to minimise the notification fatigue that consumers may currently experience; and</w:t>
      </w:r>
    </w:p>
    <w:p w14:paraId="5A50757F" w14:textId="290A900A" w:rsidR="00BD4B3C" w:rsidRDefault="00BD4B3C" w:rsidP="00BD4B3C">
      <w:pPr>
        <w:pStyle w:val="Bullet"/>
        <w:spacing w:before="0"/>
      </w:pPr>
      <w:r>
        <w:t>require data recipients to provide consumers with information about all supporting parties who may access a consumer’s data at the time a consumer’s consent is sought.</w:t>
      </w:r>
    </w:p>
    <w:p w14:paraId="191CFEFD" w14:textId="11901C21" w:rsidR="00BD4B3C" w:rsidRDefault="00BD4B3C" w:rsidP="00637790">
      <w:pPr>
        <w:pStyle w:val="Bullet"/>
        <w:numPr>
          <w:ilvl w:val="0"/>
          <w:numId w:val="0"/>
        </w:numPr>
        <w:spacing w:before="0"/>
      </w:pPr>
      <w:r>
        <w:t>The operational enhancements include the following:</w:t>
      </w:r>
    </w:p>
    <w:p w14:paraId="086EF273" w14:textId="0C7C00E7" w:rsidR="00BD4B3C" w:rsidRPr="002B0054" w:rsidRDefault="0045349F" w:rsidP="00BD4B3C">
      <w:pPr>
        <w:pStyle w:val="Bullet"/>
        <w:spacing w:before="0"/>
      </w:pPr>
      <w:r>
        <w:t>a</w:t>
      </w:r>
      <w:r w:rsidR="00BD4B3C">
        <w:t>llowing accredited authorised deposit-taking institutions (ADIs) to hold CDR data as a data holder where a consumer has applied to acquire a product from an ADI</w:t>
      </w:r>
      <w:r>
        <w:t>;</w:t>
      </w:r>
    </w:p>
    <w:p w14:paraId="2357E4A5" w14:textId="6D15656D" w:rsidR="00BD4B3C" w:rsidRPr="002B0054" w:rsidRDefault="0045349F" w:rsidP="00BD4B3C">
      <w:pPr>
        <w:pStyle w:val="Bullet"/>
        <w:spacing w:before="0"/>
      </w:pPr>
      <w:r>
        <w:t>c</w:t>
      </w:r>
      <w:r w:rsidR="00BD4B3C">
        <w:t xml:space="preserve">larifying that a CDR representative principal must ensure their CDR representative(s) comply with consumer </w:t>
      </w:r>
      <w:r w:rsidR="004B512D">
        <w:t xml:space="preserve">experience </w:t>
      </w:r>
      <w:r w:rsidR="00BD4B3C">
        <w:t>data standards as if they were an accredited data recipient (ADR)</w:t>
      </w:r>
      <w:r>
        <w:t>;</w:t>
      </w:r>
      <w:r w:rsidR="00BD4B3C">
        <w:t xml:space="preserve"> </w:t>
      </w:r>
    </w:p>
    <w:p w14:paraId="7DEB50A0" w14:textId="15110EF5" w:rsidR="00BD4B3C" w:rsidRDefault="0045349F" w:rsidP="00BD4B3C">
      <w:pPr>
        <w:pStyle w:val="Bullet"/>
        <w:spacing w:before="0"/>
      </w:pPr>
      <w:r>
        <w:t>r</w:t>
      </w:r>
      <w:r w:rsidR="00BD4B3C">
        <w:t>emoving the obligation for data holders to provide account holders with an online service that allows them to stop CDR data being disclosed to a particular ADR in response to data sharing requests made by secondary users</w:t>
      </w:r>
      <w:r>
        <w:t>; and</w:t>
      </w:r>
    </w:p>
    <w:p w14:paraId="4780FD4A" w14:textId="4A9901A8" w:rsidR="00BD4B3C" w:rsidRDefault="00621B82" w:rsidP="00BD4B3C">
      <w:pPr>
        <w:pStyle w:val="Bullet"/>
        <w:spacing w:before="0"/>
      </w:pPr>
      <w:r>
        <w:t>p</w:t>
      </w:r>
      <w:r w:rsidR="00BD4B3C">
        <w:t>roviding a trial products exemption in the energy sector.</w:t>
      </w:r>
    </w:p>
    <w:p w14:paraId="7C87C692" w14:textId="77777777" w:rsidR="00D50A22" w:rsidRDefault="00D50A22" w:rsidP="00D50A22">
      <w:pPr>
        <w:pStyle w:val="Heading3"/>
      </w:pPr>
      <w:r w:rsidRPr="003C5719">
        <w:lastRenderedPageBreak/>
        <w:t>Human rights implications</w:t>
      </w:r>
      <w:r>
        <w:t xml:space="preserve"> </w:t>
      </w:r>
    </w:p>
    <w:p w14:paraId="6FA375E3" w14:textId="6DB7606C" w:rsidR="008119E8" w:rsidRDefault="008119E8" w:rsidP="008119E8">
      <w:pPr>
        <w:spacing w:before="240"/>
      </w:pPr>
      <w:r>
        <w:t>The Amending Rules engage the right to protection from unlawful or arbitrary interference under Article 17 of the International Covenant on Civil and Political Rights (ICCPR) because they make amendments that impact on the disclosure of consumers’ CDR data.</w:t>
      </w:r>
    </w:p>
    <w:p w14:paraId="20FA36BF" w14:textId="12E74130" w:rsidR="008119E8" w:rsidRDefault="008119E8" w:rsidP="008119E8">
      <w:pPr>
        <w:spacing w:before="240"/>
      </w:pPr>
      <w:r>
        <w:t>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4165C30D" w14:textId="43305CFB" w:rsidR="004C5724" w:rsidRDefault="004C5724" w:rsidP="00D50A22">
      <w:pPr>
        <w:spacing w:before="240"/>
        <w:rPr>
          <w:b/>
          <w:bCs/>
          <w:i/>
          <w:iCs/>
        </w:rPr>
      </w:pPr>
      <w:r>
        <w:rPr>
          <w:b/>
          <w:bCs/>
          <w:i/>
          <w:iCs/>
        </w:rPr>
        <w:t>Consent</w:t>
      </w:r>
      <w:r w:rsidR="00A53499">
        <w:rPr>
          <w:b/>
          <w:bCs/>
          <w:i/>
          <w:iCs/>
        </w:rPr>
        <w:t>-related</w:t>
      </w:r>
      <w:r>
        <w:rPr>
          <w:b/>
          <w:bCs/>
          <w:i/>
          <w:iCs/>
        </w:rPr>
        <w:t xml:space="preserve"> </w:t>
      </w:r>
      <w:proofErr w:type="gramStart"/>
      <w:r>
        <w:rPr>
          <w:b/>
          <w:bCs/>
          <w:i/>
          <w:iCs/>
        </w:rPr>
        <w:t>amendments</w:t>
      </w:r>
      <w:proofErr w:type="gramEnd"/>
    </w:p>
    <w:p w14:paraId="0DBFE54B" w14:textId="18538FC0" w:rsidR="004C5724" w:rsidRDefault="005279BD" w:rsidP="00D50A22">
      <w:pPr>
        <w:spacing w:before="240"/>
      </w:pPr>
      <w:r>
        <w:t xml:space="preserve">As </w:t>
      </w:r>
      <w:r w:rsidR="00AE4D2E">
        <w:t>informed and voluntary consent is critical to ensuring consumers retain control over what is done with their personal information, by making changes to the rules about consent, t</w:t>
      </w:r>
      <w:r w:rsidR="00AE4D2E" w:rsidRPr="00AE4D2E">
        <w:t xml:space="preserve">he </w:t>
      </w:r>
      <w:r w:rsidR="00AE4D2E">
        <w:t>Amending Rules engage Article 17.</w:t>
      </w:r>
    </w:p>
    <w:p w14:paraId="30942B06" w14:textId="15FA0788" w:rsidR="00AE4D2E" w:rsidRDefault="00AE4D2E" w:rsidP="00D50A22">
      <w:pPr>
        <w:spacing w:before="240"/>
      </w:pPr>
      <w:r>
        <w:t xml:space="preserve">However, the effect of the Amending Rules is to improve the consent-giving experience for consumers by requiring information about the consents being sought to be given when it will be most relevant and useful to the consumer, and </w:t>
      </w:r>
      <w:r w:rsidR="003E471D">
        <w:t>by allowing all the consent elements needed to provide the good or service the consumer has asked for, to be presented together, so the consumer is able to agree to everything needed with fewer separate actions.</w:t>
      </w:r>
    </w:p>
    <w:p w14:paraId="67B7DA0E" w14:textId="59E9D347" w:rsidR="003E471D" w:rsidRDefault="003E471D" w:rsidP="00D50A22">
      <w:pPr>
        <w:spacing w:before="240"/>
      </w:pPr>
      <w:r>
        <w:t>Consumer privacy protection is maintained by ensuring:</w:t>
      </w:r>
    </w:p>
    <w:p w14:paraId="1D034F87" w14:textId="72C23784" w:rsidR="003E471D" w:rsidRDefault="003E471D" w:rsidP="003E471D">
      <w:pPr>
        <w:pStyle w:val="Bullet"/>
      </w:pPr>
      <w:r>
        <w:t xml:space="preserve">consumers </w:t>
      </w:r>
      <w:r w:rsidR="0078594D">
        <w:t xml:space="preserve">can only </w:t>
      </w:r>
      <w:r>
        <w:t>be asked for access to their information that is reasonably needed in order to provide the good or service the consu</w:t>
      </w:r>
      <w:r w:rsidR="0078594D">
        <w:t>mer</w:t>
      </w:r>
      <w:r>
        <w:t xml:space="preserve"> has asked for</w:t>
      </w:r>
      <w:r w:rsidR="0078594D">
        <w:t>; and</w:t>
      </w:r>
    </w:p>
    <w:p w14:paraId="3A1AEE09" w14:textId="71B387AB" w:rsidR="003E471D" w:rsidRPr="00AE4D2E" w:rsidRDefault="003E471D" w:rsidP="003E471D">
      <w:pPr>
        <w:pStyle w:val="Bullet"/>
      </w:pPr>
      <w:r>
        <w:t xml:space="preserve">consumers are fully informed about how the consents being </w:t>
      </w:r>
      <w:r w:rsidR="0078594D">
        <w:t>asked for</w:t>
      </w:r>
      <w:r>
        <w:t xml:space="preserve"> will affect their personal information</w:t>
      </w:r>
      <w:r w:rsidR="0078594D">
        <w:t>, and that they are able to withdraw any consent they have given at any time.</w:t>
      </w:r>
    </w:p>
    <w:p w14:paraId="1ED12F55" w14:textId="56D4EBC5" w:rsidR="00D868E3" w:rsidRPr="002E76B5" w:rsidRDefault="00D868E3" w:rsidP="00D50A22">
      <w:pPr>
        <w:spacing w:before="240"/>
        <w:rPr>
          <w:i/>
        </w:rPr>
      </w:pPr>
      <w:r w:rsidRPr="002E76B5">
        <w:rPr>
          <w:b/>
          <w:i/>
        </w:rPr>
        <w:t>Operational enhancements</w:t>
      </w:r>
    </w:p>
    <w:p w14:paraId="727C2CA2" w14:textId="183BBB64" w:rsidR="00C24F08" w:rsidDel="002B0F33" w:rsidRDefault="00C24F08" w:rsidP="00D50A22">
      <w:pPr>
        <w:spacing w:before="240"/>
        <w:rPr>
          <w:i/>
          <w:iCs/>
        </w:rPr>
      </w:pPr>
      <w:r w:rsidDel="002B0F33">
        <w:rPr>
          <w:i/>
          <w:iCs/>
        </w:rPr>
        <w:t xml:space="preserve">Accredited </w:t>
      </w:r>
      <w:r w:rsidR="0047414C" w:rsidDel="002B0F33">
        <w:rPr>
          <w:i/>
          <w:iCs/>
        </w:rPr>
        <w:t>authorised deposit-taking institutions</w:t>
      </w:r>
      <w:r w:rsidR="00BA2120" w:rsidDel="002B0F33">
        <w:rPr>
          <w:i/>
          <w:iCs/>
        </w:rPr>
        <w:t xml:space="preserve"> holding CDR data as data </w:t>
      </w:r>
      <w:proofErr w:type="gramStart"/>
      <w:r w:rsidR="00BA2120" w:rsidDel="002B0F33">
        <w:rPr>
          <w:i/>
          <w:iCs/>
        </w:rPr>
        <w:t>holders</w:t>
      </w:r>
      <w:proofErr w:type="gramEnd"/>
    </w:p>
    <w:p w14:paraId="7EB88A02" w14:textId="1FFBABC0" w:rsidR="009C71F5" w:rsidRDefault="009C71F5" w:rsidP="00D50A22">
      <w:pPr>
        <w:spacing w:before="240"/>
      </w:pPr>
      <w:r>
        <w:t>The Amending Rules</w:t>
      </w:r>
      <w:r w:rsidR="00AE4E7D">
        <w:t xml:space="preserve"> also</w:t>
      </w:r>
      <w:r>
        <w:t xml:space="preserve"> engage Article 17 </w:t>
      </w:r>
      <w:r w:rsidR="003E76CB">
        <w:t xml:space="preserve">by </w:t>
      </w:r>
      <w:r w:rsidR="00E12813">
        <w:t xml:space="preserve">broadening the circumstances in which an accredited </w:t>
      </w:r>
      <w:r w:rsidR="00D72E3A">
        <w:t xml:space="preserve">authorised deposit-taking institution (ADI) </w:t>
      </w:r>
      <w:r w:rsidR="00181B86">
        <w:t>is permitted to hold CDR data as a data holder</w:t>
      </w:r>
      <w:r w:rsidR="000C4A0D">
        <w:t xml:space="preserve">. This means the accredited ADI </w:t>
      </w:r>
      <w:r w:rsidR="00B120E6">
        <w:t xml:space="preserve">is </w:t>
      </w:r>
      <w:r w:rsidR="00484F41">
        <w:t>no longer bound by the CDR</w:t>
      </w:r>
      <w:r w:rsidR="00B120E6">
        <w:t xml:space="preserve"> privacy safeguards tha</w:t>
      </w:r>
      <w:r w:rsidR="00484F41">
        <w:t xml:space="preserve">t would </w:t>
      </w:r>
      <w:r w:rsidR="004863B0">
        <w:t xml:space="preserve">have applied </w:t>
      </w:r>
      <w:r w:rsidR="00DF0ECC">
        <w:t xml:space="preserve">if they had continued </w:t>
      </w:r>
      <w:r w:rsidR="00B517EC">
        <w:t>to hold the data as an accredited data recipient (ADR)</w:t>
      </w:r>
      <w:r w:rsidR="003872C0">
        <w:t xml:space="preserve"> in the expanded circumstances</w:t>
      </w:r>
      <w:r w:rsidR="00B517EC">
        <w:t>.</w:t>
      </w:r>
    </w:p>
    <w:p w14:paraId="516F89B5" w14:textId="77777777" w:rsidR="00F51E12" w:rsidRDefault="003E5C51" w:rsidP="00D50A22">
      <w:pPr>
        <w:spacing w:before="240"/>
      </w:pPr>
      <w:r>
        <w:t xml:space="preserve">However, </w:t>
      </w:r>
      <w:r w:rsidR="002C35E8">
        <w:t xml:space="preserve">the ordinary </w:t>
      </w:r>
      <w:r w:rsidR="009F240E">
        <w:t>settings under the</w:t>
      </w:r>
      <w:r w:rsidR="002C35E8">
        <w:t xml:space="preserve"> </w:t>
      </w:r>
      <w:r w:rsidR="009F240E">
        <w:t xml:space="preserve">Australian Privacy Principles in Schedule 1 to the </w:t>
      </w:r>
      <w:r w:rsidR="00DA2D6B">
        <w:rPr>
          <w:i/>
          <w:iCs/>
        </w:rPr>
        <w:t>Privacy Act 1988</w:t>
      </w:r>
      <w:r w:rsidR="00DA2D6B">
        <w:t xml:space="preserve"> would </w:t>
      </w:r>
      <w:r w:rsidR="00BB7950">
        <w:t xml:space="preserve">still </w:t>
      </w:r>
      <w:r w:rsidR="00DA2D6B">
        <w:t xml:space="preserve">apply to the ADI’s </w:t>
      </w:r>
      <w:r w:rsidR="009F240E">
        <w:t>handling</w:t>
      </w:r>
      <w:r w:rsidR="00BB7950">
        <w:t xml:space="preserve"> of that data.</w:t>
      </w:r>
      <w:r w:rsidR="002C35E8">
        <w:t xml:space="preserve"> </w:t>
      </w:r>
    </w:p>
    <w:p w14:paraId="680903FC" w14:textId="77777777" w:rsidR="00AE4E7D" w:rsidRDefault="00F51E12" w:rsidP="00D50A22">
      <w:pPr>
        <w:spacing w:before="240"/>
      </w:pPr>
      <w:r>
        <w:t xml:space="preserve">Further, </w:t>
      </w:r>
      <w:r w:rsidR="00E44628">
        <w:t xml:space="preserve">while this is a simplified notification requirement </w:t>
      </w:r>
      <w:r w:rsidR="009E5F0C">
        <w:t xml:space="preserve">compared to the existing circumstance where accredited ADIs </w:t>
      </w:r>
      <w:r w:rsidR="00DC6D38">
        <w:t>can</w:t>
      </w:r>
      <w:r w:rsidR="009E5F0C">
        <w:t xml:space="preserve"> hold as a data holder</w:t>
      </w:r>
      <w:r w:rsidR="00086662">
        <w:t>,</w:t>
      </w:r>
      <w:r>
        <w:t xml:space="preserve"> </w:t>
      </w:r>
      <w:r w:rsidR="00055977">
        <w:t xml:space="preserve">the </w:t>
      </w:r>
      <w:r w:rsidR="00916BBF">
        <w:t xml:space="preserve">ADI must </w:t>
      </w:r>
      <w:r w:rsidR="00936169">
        <w:t>still</w:t>
      </w:r>
      <w:r w:rsidR="00916BBF">
        <w:t xml:space="preserve"> notify the </w:t>
      </w:r>
      <w:r w:rsidR="00592F5F">
        <w:t xml:space="preserve">consumer prior to the first collection of the relevant data </w:t>
      </w:r>
      <w:r w:rsidR="00157057">
        <w:t xml:space="preserve">that they would hold that data in accordance with their usual data holding practices for consumer banking data. </w:t>
      </w:r>
    </w:p>
    <w:p w14:paraId="1A661640" w14:textId="60FD1484" w:rsidR="00CF466C" w:rsidRDefault="00CF466C" w:rsidP="00D50A22">
      <w:pPr>
        <w:spacing w:before="240"/>
        <w:rPr>
          <w:i/>
          <w:iCs/>
        </w:rPr>
      </w:pPr>
      <w:r>
        <w:rPr>
          <w:i/>
          <w:iCs/>
        </w:rPr>
        <w:lastRenderedPageBreak/>
        <w:t xml:space="preserve">CDR representatives complying with </w:t>
      </w:r>
      <w:proofErr w:type="gramStart"/>
      <w:r>
        <w:rPr>
          <w:i/>
          <w:iCs/>
        </w:rPr>
        <w:t>standards</w:t>
      </w:r>
      <w:proofErr w:type="gramEnd"/>
    </w:p>
    <w:p w14:paraId="453DEBB2" w14:textId="3CEF3D07" w:rsidR="00DD1D88" w:rsidRPr="00DD1D88" w:rsidRDefault="005550D0" w:rsidP="00D50A22">
      <w:pPr>
        <w:spacing w:before="240"/>
      </w:pPr>
      <w:r>
        <w:t xml:space="preserve">The independent privacy impact assessment </w:t>
      </w:r>
      <w:r w:rsidR="00806AD9">
        <w:t xml:space="preserve">conducted for the Amending Rules </w:t>
      </w:r>
      <w:r w:rsidR="00266F7A">
        <w:t xml:space="preserve">concluded that consistent application and reinforcement </w:t>
      </w:r>
      <w:r w:rsidR="004F6568">
        <w:t>of the consumer experience data standards is a privacy positive step because it promotes trust, uniformity and predictability across the CDR regime.</w:t>
      </w:r>
    </w:p>
    <w:p w14:paraId="45BDA3E6" w14:textId="1DACAC9C" w:rsidR="00626BE0" w:rsidRDefault="00626BE0" w:rsidP="00626BE0">
      <w:pPr>
        <w:pStyle w:val="NormalWeb"/>
        <w:spacing w:before="240" w:beforeAutospacing="0" w:after="120" w:afterAutospacing="0"/>
        <w:ind w:left="340" w:hanging="340"/>
        <w:rPr>
          <w:color w:val="000000"/>
        </w:rPr>
      </w:pPr>
      <w:r w:rsidRPr="41EC66FB">
        <w:rPr>
          <w:i/>
          <w:color w:val="000000" w:themeColor="text1"/>
        </w:rPr>
        <w:t>Energy sector trial products</w:t>
      </w:r>
    </w:p>
    <w:p w14:paraId="17459522" w14:textId="35BED7D9" w:rsidR="00626BE0" w:rsidRDefault="002C4069" w:rsidP="00626BE0">
      <w:pPr>
        <w:pStyle w:val="NormalWeb"/>
        <w:spacing w:before="120" w:beforeAutospacing="0" w:after="120" w:afterAutospacing="0"/>
        <w:rPr>
          <w:color w:val="000000"/>
        </w:rPr>
      </w:pPr>
      <w:r>
        <w:rPr>
          <w:color w:val="000000" w:themeColor="text1"/>
        </w:rPr>
        <w:t>In addition, t</w:t>
      </w:r>
      <w:r w:rsidR="00626BE0" w:rsidRPr="41EC66FB">
        <w:rPr>
          <w:color w:val="000000" w:themeColor="text1"/>
        </w:rPr>
        <w:t xml:space="preserve">he Amending Rules also engage Article 17 by exempting trial products in the </w:t>
      </w:r>
      <w:r w:rsidR="00917E16" w:rsidRPr="41EC66FB">
        <w:rPr>
          <w:color w:val="000000" w:themeColor="text1"/>
        </w:rPr>
        <w:t>energy</w:t>
      </w:r>
      <w:r w:rsidR="00626BE0" w:rsidRPr="41EC66FB">
        <w:rPr>
          <w:color w:val="000000" w:themeColor="text1"/>
        </w:rPr>
        <w:t xml:space="preserve"> sector from the requirements under the CDR Rules. However, the following additional requirements </w:t>
      </w:r>
      <w:r w:rsidR="000705C4">
        <w:rPr>
          <w:color w:val="000000" w:themeColor="text1"/>
        </w:rPr>
        <w:t xml:space="preserve">support </w:t>
      </w:r>
      <w:r w:rsidR="00896257">
        <w:rPr>
          <w:color w:val="000000" w:themeColor="text1"/>
        </w:rPr>
        <w:t>an appropriate balance with</w:t>
      </w:r>
      <w:r w:rsidR="00626BE0" w:rsidRPr="41EC66FB">
        <w:rPr>
          <w:color w:val="000000" w:themeColor="text1"/>
        </w:rPr>
        <w:t xml:space="preserve"> consumers’ privacy protection:</w:t>
      </w:r>
    </w:p>
    <w:p w14:paraId="63770660" w14:textId="648D1AFC" w:rsidR="00626BE0" w:rsidRDefault="00626BE0" w:rsidP="00626BE0">
      <w:pPr>
        <w:pStyle w:val="Bullet"/>
        <w:spacing w:before="0"/>
        <w:rPr>
          <w:color w:val="000000"/>
        </w:rPr>
      </w:pPr>
      <w:r w:rsidRPr="41EC66FB">
        <w:rPr>
          <w:color w:val="000000" w:themeColor="text1"/>
        </w:rPr>
        <w:t xml:space="preserve">the number of customers that may be supplied with a trial product is limited to </w:t>
      </w:r>
      <w:r w:rsidR="00917E16" w:rsidRPr="41EC66FB">
        <w:rPr>
          <w:color w:val="000000" w:themeColor="text1"/>
        </w:rPr>
        <w:t>2</w:t>
      </w:r>
      <w:r w:rsidRPr="41EC66FB">
        <w:rPr>
          <w:color w:val="000000" w:themeColor="text1"/>
        </w:rPr>
        <w:t>,000 people;</w:t>
      </w:r>
    </w:p>
    <w:p w14:paraId="683C8696" w14:textId="720DBF1F" w:rsidR="00626BE0" w:rsidRDefault="00626BE0" w:rsidP="00626BE0">
      <w:pPr>
        <w:pStyle w:val="Bullet"/>
        <w:spacing w:before="0"/>
        <w:rPr>
          <w:color w:val="000000"/>
        </w:rPr>
      </w:pPr>
      <w:r w:rsidRPr="41EC66FB">
        <w:rPr>
          <w:color w:val="000000" w:themeColor="text1"/>
        </w:rPr>
        <w:t xml:space="preserve">when offering the </w:t>
      </w:r>
      <w:r w:rsidR="004048C5">
        <w:rPr>
          <w:color w:val="000000" w:themeColor="text1"/>
        </w:rPr>
        <w:t>plan</w:t>
      </w:r>
      <w:r w:rsidRPr="41EC66FB">
        <w:rPr>
          <w:color w:val="000000" w:themeColor="text1"/>
        </w:rPr>
        <w:t xml:space="preserve">, the period of time for which it will operate as a trial product must be stated (the trial period), ending no more than </w:t>
      </w:r>
      <w:r w:rsidR="00917E16" w:rsidRPr="41EC66FB">
        <w:rPr>
          <w:color w:val="000000" w:themeColor="text1"/>
        </w:rPr>
        <w:t>24</w:t>
      </w:r>
      <w:r w:rsidRPr="41EC66FB">
        <w:rPr>
          <w:color w:val="000000" w:themeColor="text1"/>
        </w:rPr>
        <w:t xml:space="preserve"> months after the initial offering; and</w:t>
      </w:r>
    </w:p>
    <w:p w14:paraId="7504100A" w14:textId="6B014FCA" w:rsidR="00626BE0" w:rsidRDefault="00626BE0" w:rsidP="00626BE0">
      <w:pPr>
        <w:pStyle w:val="Bullet"/>
        <w:spacing w:before="0"/>
        <w:rPr>
          <w:color w:val="000000"/>
        </w:rPr>
      </w:pPr>
      <w:r w:rsidRPr="41EC66FB">
        <w:rPr>
          <w:color w:val="000000" w:themeColor="text1"/>
        </w:rPr>
        <w:t xml:space="preserve">when offering the </w:t>
      </w:r>
      <w:r w:rsidR="005B1DFC">
        <w:rPr>
          <w:color w:val="000000" w:themeColor="text1"/>
        </w:rPr>
        <w:t>plan</w:t>
      </w:r>
      <w:r w:rsidRPr="41EC66FB">
        <w:rPr>
          <w:color w:val="000000" w:themeColor="text1"/>
        </w:rPr>
        <w:t xml:space="preserve">, it must be fully disclosed that it is a ‘pilot’ or a ‘trial’, that the </w:t>
      </w:r>
      <w:r w:rsidR="005B1DFC">
        <w:rPr>
          <w:color w:val="000000" w:themeColor="text1"/>
        </w:rPr>
        <w:t>plan</w:t>
      </w:r>
      <w:r w:rsidRPr="41EC66FB">
        <w:rPr>
          <w:color w:val="000000" w:themeColor="text1"/>
        </w:rPr>
        <w:t xml:space="preserve"> may be terminated before the end of the trial period, and in this event, any CDR data collected in relation to the trial product may not be available.</w:t>
      </w:r>
    </w:p>
    <w:p w14:paraId="37E850E3" w14:textId="7EB4A6F1" w:rsidR="00626BE0" w:rsidRDefault="00626BE0" w:rsidP="00626BE0">
      <w:pPr>
        <w:pStyle w:val="NormalWeb"/>
        <w:spacing w:before="120" w:beforeAutospacing="0" w:after="120" w:afterAutospacing="0"/>
        <w:rPr>
          <w:color w:val="000000"/>
        </w:rPr>
      </w:pPr>
      <w:r w:rsidRPr="41EC66FB">
        <w:rPr>
          <w:color w:val="000000" w:themeColor="text1"/>
        </w:rPr>
        <w:t xml:space="preserve">This ensures that before consumers agree to participate in a trial product in the </w:t>
      </w:r>
      <w:r w:rsidR="00136895" w:rsidRPr="41EC66FB">
        <w:rPr>
          <w:color w:val="000000" w:themeColor="text1"/>
        </w:rPr>
        <w:t>energy</w:t>
      </w:r>
      <w:r w:rsidRPr="41EC66FB">
        <w:rPr>
          <w:color w:val="000000" w:themeColor="text1"/>
        </w:rPr>
        <w:t xml:space="preserve"> sector, they will be well-informed of the nature of the product and how it differs from products that are covered by the CDR. </w:t>
      </w:r>
    </w:p>
    <w:p w14:paraId="3F180E01" w14:textId="77777777" w:rsidR="005A0E11" w:rsidRPr="00FC6F4E" w:rsidRDefault="005A0E11" w:rsidP="005A0E11">
      <w:pPr>
        <w:spacing w:before="240"/>
        <w:rPr>
          <w:b/>
          <w:bCs/>
          <w:i/>
          <w:iCs/>
        </w:rPr>
      </w:pPr>
      <w:r w:rsidRPr="00FC6F4E">
        <w:rPr>
          <w:b/>
          <w:bCs/>
          <w:i/>
          <w:iCs/>
        </w:rPr>
        <w:t>Civil penalty provisions</w:t>
      </w:r>
    </w:p>
    <w:p w14:paraId="5519D34F" w14:textId="75069C00" w:rsidR="00D868E3" w:rsidRPr="00D868E3" w:rsidRDefault="005A0E11" w:rsidP="00D50A22">
      <w:pPr>
        <w:spacing w:before="240"/>
      </w:pPr>
      <w:r>
        <w:t xml:space="preserve">The Amending Rules </w:t>
      </w:r>
      <w:r w:rsidR="009F2AD7">
        <w:t xml:space="preserve">introduce or </w:t>
      </w:r>
      <w:r w:rsidR="004764DA">
        <w:t>alter</w:t>
      </w:r>
      <w:r w:rsidR="009F2AD7">
        <w:t xml:space="preserve"> some</w:t>
      </w:r>
      <w:r>
        <w:t xml:space="preserve"> civil penalty </w:t>
      </w:r>
      <w:r w:rsidR="009F2AD7">
        <w:t>provisions in the CDR Rules</w:t>
      </w:r>
      <w:r>
        <w:t>. These civil penalty provisions potentially invoke Articles 14 and 15 of the ICCPR. Although the Articles cover criminal process rights, in international human rights law, where a civil penalty is imposed, it must be determined whether it nevertheless amounts to a ‘criminal’ penalty. As with the existing civil penalties in the current CDR Rules, the new civil penalty provisions should not be considered ‘criminal’ for this purpose. While they are intended to deter non-compliance with CDR obligations, they are not directed at the general public, but at a class of businesses that should be reasonably aware of their obligations under the CDR. In addition, none of the provisions carry a penalty of imprisonment for non-payment of a penalty.</w:t>
      </w:r>
    </w:p>
    <w:p w14:paraId="51BD7328" w14:textId="77777777" w:rsidR="00D50A22" w:rsidRDefault="00D50A22" w:rsidP="00D50A22">
      <w:pPr>
        <w:pStyle w:val="Heading3"/>
      </w:pPr>
      <w:r w:rsidRPr="003C5719">
        <w:t>Conclusion</w:t>
      </w:r>
      <w:r>
        <w:t xml:space="preserve"> </w:t>
      </w:r>
    </w:p>
    <w:p w14:paraId="299E9305" w14:textId="2F8E490F" w:rsidR="00DB6D2F" w:rsidRPr="00C84FA0" w:rsidRDefault="00DB6D2F" w:rsidP="00D50A22">
      <w:pPr>
        <w:spacing w:before="240"/>
      </w:pPr>
      <w:r>
        <w:rPr>
          <w:color w:val="000000"/>
          <w:shd w:val="clear" w:color="auto" w:fill="FFFFFF"/>
        </w:rPr>
        <w:t>The Amending Rules are compatible with human rights as to the extent that they do engage the relevant human rights and freedoms, they are proportional to the ends sought and reasonable and necessary in the circumstances.</w:t>
      </w:r>
    </w:p>
    <w:p w14:paraId="4A448172" w14:textId="77777777" w:rsidR="00D50A22" w:rsidRDefault="00D50A22" w:rsidP="00D50A22">
      <w:pPr>
        <w:pStyle w:val="OutlineNumbered1"/>
        <w:numPr>
          <w:ilvl w:val="0"/>
          <w:numId w:val="0"/>
        </w:numPr>
        <w:ind w:left="567" w:hanging="567"/>
      </w:pPr>
    </w:p>
    <w:sectPr w:rsidR="00D50A22"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5C7A" w14:textId="77777777" w:rsidR="009D0382" w:rsidRDefault="009D0382" w:rsidP="00954679">
      <w:pPr>
        <w:spacing w:before="0" w:after="0"/>
      </w:pPr>
      <w:r>
        <w:separator/>
      </w:r>
    </w:p>
  </w:endnote>
  <w:endnote w:type="continuationSeparator" w:id="0">
    <w:p w14:paraId="19553052" w14:textId="77777777" w:rsidR="009D0382" w:rsidRDefault="009D0382" w:rsidP="00954679">
      <w:pPr>
        <w:spacing w:before="0" w:after="0"/>
      </w:pPr>
      <w:r>
        <w:continuationSeparator/>
      </w:r>
    </w:p>
  </w:endnote>
  <w:endnote w:type="continuationNotice" w:id="1">
    <w:p w14:paraId="41A3F485" w14:textId="77777777" w:rsidR="009D0382" w:rsidRDefault="009D03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2873" w14:textId="097CC0A8" w:rsidR="00ED43A0" w:rsidRDefault="00ED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C43D" w14:textId="4FA3EABA" w:rsidR="00954679" w:rsidRDefault="0071085F"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5416" w14:textId="10A336FF" w:rsidR="00ED43A0" w:rsidRDefault="00ED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D672" w14:textId="77777777" w:rsidR="009D0382" w:rsidRDefault="009D0382" w:rsidP="00954679">
      <w:pPr>
        <w:spacing w:before="0" w:after="0"/>
      </w:pPr>
      <w:r>
        <w:separator/>
      </w:r>
    </w:p>
  </w:footnote>
  <w:footnote w:type="continuationSeparator" w:id="0">
    <w:p w14:paraId="3EF67BF1" w14:textId="77777777" w:rsidR="009D0382" w:rsidRDefault="009D0382" w:rsidP="00954679">
      <w:pPr>
        <w:spacing w:before="0" w:after="0"/>
      </w:pPr>
      <w:r>
        <w:continuationSeparator/>
      </w:r>
    </w:p>
  </w:footnote>
  <w:footnote w:type="continuationNotice" w:id="1">
    <w:p w14:paraId="6FB6C70C" w14:textId="77777777" w:rsidR="009D0382" w:rsidRDefault="009D03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33DA" w14:textId="6A377846" w:rsidR="00ED43A0" w:rsidRDefault="00ED4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514" w14:textId="6AF5A0F7" w:rsidR="00ED43A0" w:rsidRDefault="00ED4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4A23" w14:textId="7E70B80D" w:rsidR="00ED43A0" w:rsidRDefault="00ED4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241F"/>
    <w:multiLevelType w:val="hybridMultilevel"/>
    <w:tmpl w:val="D4127526"/>
    <w:lvl w:ilvl="0" w:tplc="D4D8EE60">
      <w:start w:val="1"/>
      <w:numFmt w:val="bullet"/>
      <w:lvlText w:val=""/>
      <w:lvlJc w:val="left"/>
      <w:pPr>
        <w:ind w:left="1280" w:hanging="360"/>
      </w:pPr>
      <w:rPr>
        <w:rFonts w:ascii="Symbol" w:hAnsi="Symbol"/>
      </w:rPr>
    </w:lvl>
    <w:lvl w:ilvl="1" w:tplc="6B8423FC">
      <w:start w:val="1"/>
      <w:numFmt w:val="bullet"/>
      <w:lvlText w:val=""/>
      <w:lvlJc w:val="left"/>
      <w:pPr>
        <w:ind w:left="1280" w:hanging="360"/>
      </w:pPr>
      <w:rPr>
        <w:rFonts w:ascii="Symbol" w:hAnsi="Symbol"/>
      </w:rPr>
    </w:lvl>
    <w:lvl w:ilvl="2" w:tplc="C2281A9C">
      <w:start w:val="1"/>
      <w:numFmt w:val="bullet"/>
      <w:lvlText w:val=""/>
      <w:lvlJc w:val="left"/>
      <w:pPr>
        <w:ind w:left="1280" w:hanging="360"/>
      </w:pPr>
      <w:rPr>
        <w:rFonts w:ascii="Symbol" w:hAnsi="Symbol"/>
      </w:rPr>
    </w:lvl>
    <w:lvl w:ilvl="3" w:tplc="23E2E00A">
      <w:start w:val="1"/>
      <w:numFmt w:val="bullet"/>
      <w:lvlText w:val=""/>
      <w:lvlJc w:val="left"/>
      <w:pPr>
        <w:ind w:left="1280" w:hanging="360"/>
      </w:pPr>
      <w:rPr>
        <w:rFonts w:ascii="Symbol" w:hAnsi="Symbol"/>
      </w:rPr>
    </w:lvl>
    <w:lvl w:ilvl="4" w:tplc="A0FEC650">
      <w:start w:val="1"/>
      <w:numFmt w:val="bullet"/>
      <w:lvlText w:val=""/>
      <w:lvlJc w:val="left"/>
      <w:pPr>
        <w:ind w:left="1280" w:hanging="360"/>
      </w:pPr>
      <w:rPr>
        <w:rFonts w:ascii="Symbol" w:hAnsi="Symbol"/>
      </w:rPr>
    </w:lvl>
    <w:lvl w:ilvl="5" w:tplc="7E46B694">
      <w:start w:val="1"/>
      <w:numFmt w:val="bullet"/>
      <w:lvlText w:val=""/>
      <w:lvlJc w:val="left"/>
      <w:pPr>
        <w:ind w:left="1280" w:hanging="360"/>
      </w:pPr>
      <w:rPr>
        <w:rFonts w:ascii="Symbol" w:hAnsi="Symbol"/>
      </w:rPr>
    </w:lvl>
    <w:lvl w:ilvl="6" w:tplc="CAEC58F4">
      <w:start w:val="1"/>
      <w:numFmt w:val="bullet"/>
      <w:lvlText w:val=""/>
      <w:lvlJc w:val="left"/>
      <w:pPr>
        <w:ind w:left="1280" w:hanging="360"/>
      </w:pPr>
      <w:rPr>
        <w:rFonts w:ascii="Symbol" w:hAnsi="Symbol"/>
      </w:rPr>
    </w:lvl>
    <w:lvl w:ilvl="7" w:tplc="E34097E4">
      <w:start w:val="1"/>
      <w:numFmt w:val="bullet"/>
      <w:lvlText w:val=""/>
      <w:lvlJc w:val="left"/>
      <w:pPr>
        <w:ind w:left="1280" w:hanging="360"/>
      </w:pPr>
      <w:rPr>
        <w:rFonts w:ascii="Symbol" w:hAnsi="Symbol"/>
      </w:rPr>
    </w:lvl>
    <w:lvl w:ilvl="8" w:tplc="77F44A3C">
      <w:start w:val="1"/>
      <w:numFmt w:val="bullet"/>
      <w:lvlText w:val=""/>
      <w:lvlJc w:val="left"/>
      <w:pPr>
        <w:ind w:left="1280" w:hanging="360"/>
      </w:pPr>
      <w:rPr>
        <w:rFonts w:ascii="Symbol" w:hAnsi="Symbol"/>
      </w:r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4593683A"/>
    <w:multiLevelType w:val="multilevel"/>
    <w:tmpl w:val="C9BE2FF6"/>
    <w:name w:val="StandardNumberedList"/>
    <w:lvl w:ilvl="0">
      <w:start w:val="1"/>
      <w:numFmt w:val="decimal"/>
      <w:pStyle w:val="OutlineNumbered1"/>
      <w:lvlText w:val="%1."/>
      <w:lvlJc w:val="left"/>
      <w:pPr>
        <w:tabs>
          <w:tab w:val="num" w:pos="567"/>
        </w:tabs>
        <w:ind w:left="567" w:hanging="567"/>
      </w:pPr>
      <w:rPr>
        <w:b w:val="0"/>
        <w:bCs w:val="0"/>
        <w:i w:val="0"/>
        <w:iCs w:val="0"/>
        <w:sz w:val="24"/>
        <w:szCs w:val="24"/>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val="0"/>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C9268A"/>
    <w:multiLevelType w:val="hybridMultilevel"/>
    <w:tmpl w:val="4F2823A2"/>
    <w:lvl w:ilvl="0" w:tplc="64B8862E">
      <w:start w:val="1"/>
      <w:numFmt w:val="bullet"/>
      <w:lvlText w:val=""/>
      <w:lvlJc w:val="left"/>
      <w:pPr>
        <w:ind w:left="1280" w:hanging="360"/>
      </w:pPr>
      <w:rPr>
        <w:rFonts w:ascii="Symbol" w:hAnsi="Symbol"/>
      </w:rPr>
    </w:lvl>
    <w:lvl w:ilvl="1" w:tplc="FF1A3070">
      <w:start w:val="1"/>
      <w:numFmt w:val="bullet"/>
      <w:lvlText w:val=""/>
      <w:lvlJc w:val="left"/>
      <w:pPr>
        <w:ind w:left="1280" w:hanging="360"/>
      </w:pPr>
      <w:rPr>
        <w:rFonts w:ascii="Symbol" w:hAnsi="Symbol"/>
      </w:rPr>
    </w:lvl>
    <w:lvl w:ilvl="2" w:tplc="BA4C93A4">
      <w:start w:val="1"/>
      <w:numFmt w:val="bullet"/>
      <w:lvlText w:val=""/>
      <w:lvlJc w:val="left"/>
      <w:pPr>
        <w:ind w:left="1280" w:hanging="360"/>
      </w:pPr>
      <w:rPr>
        <w:rFonts w:ascii="Symbol" w:hAnsi="Symbol"/>
      </w:rPr>
    </w:lvl>
    <w:lvl w:ilvl="3" w:tplc="7FB4A29C">
      <w:start w:val="1"/>
      <w:numFmt w:val="bullet"/>
      <w:lvlText w:val=""/>
      <w:lvlJc w:val="left"/>
      <w:pPr>
        <w:ind w:left="1280" w:hanging="360"/>
      </w:pPr>
      <w:rPr>
        <w:rFonts w:ascii="Symbol" w:hAnsi="Symbol"/>
      </w:rPr>
    </w:lvl>
    <w:lvl w:ilvl="4" w:tplc="ECE24C04">
      <w:start w:val="1"/>
      <w:numFmt w:val="bullet"/>
      <w:lvlText w:val=""/>
      <w:lvlJc w:val="left"/>
      <w:pPr>
        <w:ind w:left="1280" w:hanging="360"/>
      </w:pPr>
      <w:rPr>
        <w:rFonts w:ascii="Symbol" w:hAnsi="Symbol"/>
      </w:rPr>
    </w:lvl>
    <w:lvl w:ilvl="5" w:tplc="9EA4A3EE">
      <w:start w:val="1"/>
      <w:numFmt w:val="bullet"/>
      <w:lvlText w:val=""/>
      <w:lvlJc w:val="left"/>
      <w:pPr>
        <w:ind w:left="1280" w:hanging="360"/>
      </w:pPr>
      <w:rPr>
        <w:rFonts w:ascii="Symbol" w:hAnsi="Symbol"/>
      </w:rPr>
    </w:lvl>
    <w:lvl w:ilvl="6" w:tplc="74B82CC4">
      <w:start w:val="1"/>
      <w:numFmt w:val="bullet"/>
      <w:lvlText w:val=""/>
      <w:lvlJc w:val="left"/>
      <w:pPr>
        <w:ind w:left="1280" w:hanging="360"/>
      </w:pPr>
      <w:rPr>
        <w:rFonts w:ascii="Symbol" w:hAnsi="Symbol"/>
      </w:rPr>
    </w:lvl>
    <w:lvl w:ilvl="7" w:tplc="C3DA3A54">
      <w:start w:val="1"/>
      <w:numFmt w:val="bullet"/>
      <w:lvlText w:val=""/>
      <w:lvlJc w:val="left"/>
      <w:pPr>
        <w:ind w:left="1280" w:hanging="360"/>
      </w:pPr>
      <w:rPr>
        <w:rFonts w:ascii="Symbol" w:hAnsi="Symbol"/>
      </w:rPr>
    </w:lvl>
    <w:lvl w:ilvl="8" w:tplc="04D26862">
      <w:start w:val="1"/>
      <w:numFmt w:val="bullet"/>
      <w:lvlText w:val=""/>
      <w:lvlJc w:val="left"/>
      <w:pPr>
        <w:ind w:left="1280" w:hanging="360"/>
      </w:pPr>
      <w:rPr>
        <w:rFonts w:ascii="Symbol" w:hAnsi="Symbol"/>
      </w:rPr>
    </w:lvl>
  </w:abstractNum>
  <w:abstractNum w:abstractNumId="4" w15:restartNumberingAfterBreak="0">
    <w:nsid w:val="67A43C0B"/>
    <w:multiLevelType w:val="multilevel"/>
    <w:tmpl w:val="28D28C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367" w:hanging="360"/>
      </w:pPr>
    </w:lvl>
    <w:lvl w:ilvl="4">
      <w:start w:val="1"/>
      <w:numFmt w:val="lowerLetter"/>
      <w:lvlText w:val="(%5)"/>
      <w:lvlJc w:val="left"/>
      <w:pPr>
        <w:ind w:left="2727" w:hanging="360"/>
      </w:pPr>
    </w:lvl>
    <w:lvl w:ilvl="5">
      <w:start w:val="1"/>
      <w:numFmt w:val="lowerRoman"/>
      <w:lvlText w:val="(%6)"/>
      <w:lvlJc w:val="left"/>
      <w:pPr>
        <w:ind w:left="3087" w:hanging="360"/>
      </w:pPr>
    </w:lvl>
    <w:lvl w:ilvl="6">
      <w:start w:val="1"/>
      <w:numFmt w:val="decimal"/>
      <w:lvlText w:val="%7."/>
      <w:lvlJc w:val="left"/>
      <w:pPr>
        <w:ind w:left="3447" w:hanging="360"/>
      </w:pPr>
    </w:lvl>
    <w:lvl w:ilvl="7">
      <w:start w:val="1"/>
      <w:numFmt w:val="lowerLetter"/>
      <w:lvlText w:val="%8."/>
      <w:lvlJc w:val="left"/>
      <w:pPr>
        <w:ind w:left="3807" w:hanging="360"/>
      </w:pPr>
    </w:lvl>
    <w:lvl w:ilvl="8">
      <w:start w:val="1"/>
      <w:numFmt w:val="lowerRoman"/>
      <w:lvlText w:val="%9."/>
      <w:lvlJc w:val="left"/>
      <w:pPr>
        <w:ind w:left="4167" w:hanging="360"/>
      </w:pPr>
    </w:lvl>
  </w:abstractNum>
  <w:abstractNum w:abstractNumId="5" w15:restartNumberingAfterBreak="0">
    <w:nsid w:val="76C650F6"/>
    <w:multiLevelType w:val="hybridMultilevel"/>
    <w:tmpl w:val="6C14C42A"/>
    <w:lvl w:ilvl="0" w:tplc="F6A25B26">
      <w:start w:val="1"/>
      <w:numFmt w:val="bullet"/>
      <w:lvlText w:val=""/>
      <w:lvlJc w:val="left"/>
      <w:pPr>
        <w:ind w:left="1280" w:hanging="360"/>
      </w:pPr>
      <w:rPr>
        <w:rFonts w:ascii="Symbol" w:hAnsi="Symbol"/>
      </w:rPr>
    </w:lvl>
    <w:lvl w:ilvl="1" w:tplc="335E0E5E">
      <w:start w:val="1"/>
      <w:numFmt w:val="bullet"/>
      <w:lvlText w:val=""/>
      <w:lvlJc w:val="left"/>
      <w:pPr>
        <w:ind w:left="1280" w:hanging="360"/>
      </w:pPr>
      <w:rPr>
        <w:rFonts w:ascii="Symbol" w:hAnsi="Symbol"/>
      </w:rPr>
    </w:lvl>
    <w:lvl w:ilvl="2" w:tplc="79AAD33C">
      <w:start w:val="1"/>
      <w:numFmt w:val="bullet"/>
      <w:lvlText w:val=""/>
      <w:lvlJc w:val="left"/>
      <w:pPr>
        <w:ind w:left="1280" w:hanging="360"/>
      </w:pPr>
      <w:rPr>
        <w:rFonts w:ascii="Symbol" w:hAnsi="Symbol"/>
      </w:rPr>
    </w:lvl>
    <w:lvl w:ilvl="3" w:tplc="28824B42">
      <w:start w:val="1"/>
      <w:numFmt w:val="bullet"/>
      <w:lvlText w:val=""/>
      <w:lvlJc w:val="left"/>
      <w:pPr>
        <w:ind w:left="1280" w:hanging="360"/>
      </w:pPr>
      <w:rPr>
        <w:rFonts w:ascii="Symbol" w:hAnsi="Symbol"/>
      </w:rPr>
    </w:lvl>
    <w:lvl w:ilvl="4" w:tplc="B2FCF4A8">
      <w:start w:val="1"/>
      <w:numFmt w:val="bullet"/>
      <w:lvlText w:val=""/>
      <w:lvlJc w:val="left"/>
      <w:pPr>
        <w:ind w:left="1280" w:hanging="360"/>
      </w:pPr>
      <w:rPr>
        <w:rFonts w:ascii="Symbol" w:hAnsi="Symbol"/>
      </w:rPr>
    </w:lvl>
    <w:lvl w:ilvl="5" w:tplc="902C6F60">
      <w:start w:val="1"/>
      <w:numFmt w:val="bullet"/>
      <w:lvlText w:val=""/>
      <w:lvlJc w:val="left"/>
      <w:pPr>
        <w:ind w:left="1280" w:hanging="360"/>
      </w:pPr>
      <w:rPr>
        <w:rFonts w:ascii="Symbol" w:hAnsi="Symbol"/>
      </w:rPr>
    </w:lvl>
    <w:lvl w:ilvl="6" w:tplc="1A0EEED4">
      <w:start w:val="1"/>
      <w:numFmt w:val="bullet"/>
      <w:lvlText w:val=""/>
      <w:lvlJc w:val="left"/>
      <w:pPr>
        <w:ind w:left="1280" w:hanging="360"/>
      </w:pPr>
      <w:rPr>
        <w:rFonts w:ascii="Symbol" w:hAnsi="Symbol"/>
      </w:rPr>
    </w:lvl>
    <w:lvl w:ilvl="7" w:tplc="D4229540">
      <w:start w:val="1"/>
      <w:numFmt w:val="bullet"/>
      <w:lvlText w:val=""/>
      <w:lvlJc w:val="left"/>
      <w:pPr>
        <w:ind w:left="1280" w:hanging="360"/>
      </w:pPr>
      <w:rPr>
        <w:rFonts w:ascii="Symbol" w:hAnsi="Symbol"/>
      </w:rPr>
    </w:lvl>
    <w:lvl w:ilvl="8" w:tplc="4BFC71EA">
      <w:start w:val="1"/>
      <w:numFmt w:val="bullet"/>
      <w:lvlText w:val=""/>
      <w:lvlJc w:val="left"/>
      <w:pPr>
        <w:ind w:left="1280" w:hanging="360"/>
      </w:pPr>
      <w:rPr>
        <w:rFonts w:ascii="Symbol" w:hAnsi="Symbol"/>
      </w:rPr>
    </w:lvl>
  </w:abstractNum>
  <w:num w:numId="1" w16cid:durableId="2142919768">
    <w:abstractNumId w:val="1"/>
  </w:num>
  <w:num w:numId="2" w16cid:durableId="92435628">
    <w:abstractNumId w:val="4"/>
  </w:num>
  <w:num w:numId="3" w16cid:durableId="1181433620">
    <w:abstractNumId w:val="2"/>
  </w:num>
  <w:num w:numId="4" w16cid:durableId="1889030421">
    <w:abstractNumId w:val="3"/>
  </w:num>
  <w:num w:numId="5" w16cid:durableId="1770854294">
    <w:abstractNumId w:val="2"/>
  </w:num>
  <w:num w:numId="6" w16cid:durableId="970089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621786">
    <w:abstractNumId w:val="0"/>
  </w:num>
  <w:num w:numId="8" w16cid:durableId="160375648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9"/>
    <w:rsid w:val="000008D0"/>
    <w:rsid w:val="000009D9"/>
    <w:rsid w:val="00000C4C"/>
    <w:rsid w:val="00001230"/>
    <w:rsid w:val="00001233"/>
    <w:rsid w:val="0000242E"/>
    <w:rsid w:val="000026BE"/>
    <w:rsid w:val="000026DE"/>
    <w:rsid w:val="00002A40"/>
    <w:rsid w:val="00002EFF"/>
    <w:rsid w:val="00003189"/>
    <w:rsid w:val="00003F70"/>
    <w:rsid w:val="00003FBD"/>
    <w:rsid w:val="000049CD"/>
    <w:rsid w:val="00004A60"/>
    <w:rsid w:val="00004A8A"/>
    <w:rsid w:val="00005605"/>
    <w:rsid w:val="0000599B"/>
    <w:rsid w:val="00005B51"/>
    <w:rsid w:val="00006033"/>
    <w:rsid w:val="00006198"/>
    <w:rsid w:val="0000628C"/>
    <w:rsid w:val="00006398"/>
    <w:rsid w:val="000065B6"/>
    <w:rsid w:val="00007017"/>
    <w:rsid w:val="0000727D"/>
    <w:rsid w:val="000075D2"/>
    <w:rsid w:val="0000795C"/>
    <w:rsid w:val="00010D85"/>
    <w:rsid w:val="00011222"/>
    <w:rsid w:val="00011268"/>
    <w:rsid w:val="0001143D"/>
    <w:rsid w:val="00011952"/>
    <w:rsid w:val="00011A7D"/>
    <w:rsid w:val="00011BA2"/>
    <w:rsid w:val="00012225"/>
    <w:rsid w:val="00012431"/>
    <w:rsid w:val="00012B03"/>
    <w:rsid w:val="00012B60"/>
    <w:rsid w:val="00012BB8"/>
    <w:rsid w:val="00012F55"/>
    <w:rsid w:val="000132EC"/>
    <w:rsid w:val="00013390"/>
    <w:rsid w:val="00013727"/>
    <w:rsid w:val="00013B54"/>
    <w:rsid w:val="00014542"/>
    <w:rsid w:val="0001456D"/>
    <w:rsid w:val="000145D0"/>
    <w:rsid w:val="00014E0A"/>
    <w:rsid w:val="000154B5"/>
    <w:rsid w:val="00015693"/>
    <w:rsid w:val="00015E2E"/>
    <w:rsid w:val="000165CD"/>
    <w:rsid w:val="00016876"/>
    <w:rsid w:val="00016EA2"/>
    <w:rsid w:val="00016F05"/>
    <w:rsid w:val="00017D97"/>
    <w:rsid w:val="000202D7"/>
    <w:rsid w:val="0002087E"/>
    <w:rsid w:val="00020A2D"/>
    <w:rsid w:val="00020E23"/>
    <w:rsid w:val="00020ECE"/>
    <w:rsid w:val="00020ED0"/>
    <w:rsid w:val="000219F2"/>
    <w:rsid w:val="00021A2C"/>
    <w:rsid w:val="00021E36"/>
    <w:rsid w:val="00022072"/>
    <w:rsid w:val="000220D9"/>
    <w:rsid w:val="00022D1A"/>
    <w:rsid w:val="00023300"/>
    <w:rsid w:val="0002350D"/>
    <w:rsid w:val="00023628"/>
    <w:rsid w:val="0002378D"/>
    <w:rsid w:val="00023E5B"/>
    <w:rsid w:val="000243EA"/>
    <w:rsid w:val="00024475"/>
    <w:rsid w:val="00024D9C"/>
    <w:rsid w:val="0002546A"/>
    <w:rsid w:val="000254AC"/>
    <w:rsid w:val="00025AD6"/>
    <w:rsid w:val="000260BD"/>
    <w:rsid w:val="000263BD"/>
    <w:rsid w:val="0002641D"/>
    <w:rsid w:val="0002654F"/>
    <w:rsid w:val="00026628"/>
    <w:rsid w:val="00026DB4"/>
    <w:rsid w:val="00026DB7"/>
    <w:rsid w:val="0002709A"/>
    <w:rsid w:val="0002762E"/>
    <w:rsid w:val="0002795E"/>
    <w:rsid w:val="00031378"/>
    <w:rsid w:val="000318B0"/>
    <w:rsid w:val="00031991"/>
    <w:rsid w:val="00031AE1"/>
    <w:rsid w:val="00031DC1"/>
    <w:rsid w:val="00031EFF"/>
    <w:rsid w:val="00031F89"/>
    <w:rsid w:val="00032632"/>
    <w:rsid w:val="000327A9"/>
    <w:rsid w:val="00032C4C"/>
    <w:rsid w:val="00032F0B"/>
    <w:rsid w:val="00033131"/>
    <w:rsid w:val="00034451"/>
    <w:rsid w:val="00034548"/>
    <w:rsid w:val="000345BB"/>
    <w:rsid w:val="00034A28"/>
    <w:rsid w:val="00034B6F"/>
    <w:rsid w:val="00034E1C"/>
    <w:rsid w:val="00035E9F"/>
    <w:rsid w:val="00035EC3"/>
    <w:rsid w:val="00036858"/>
    <w:rsid w:val="00036C08"/>
    <w:rsid w:val="0003757F"/>
    <w:rsid w:val="0003764B"/>
    <w:rsid w:val="0004012D"/>
    <w:rsid w:val="0004034F"/>
    <w:rsid w:val="0004069E"/>
    <w:rsid w:val="00040DFE"/>
    <w:rsid w:val="000417F1"/>
    <w:rsid w:val="00041C87"/>
    <w:rsid w:val="00042A9E"/>
    <w:rsid w:val="00042FD4"/>
    <w:rsid w:val="0004348D"/>
    <w:rsid w:val="00043CB8"/>
    <w:rsid w:val="00044272"/>
    <w:rsid w:val="00044289"/>
    <w:rsid w:val="0004460E"/>
    <w:rsid w:val="000446BC"/>
    <w:rsid w:val="0004551B"/>
    <w:rsid w:val="000455BA"/>
    <w:rsid w:val="000459DA"/>
    <w:rsid w:val="00045B14"/>
    <w:rsid w:val="00045BB5"/>
    <w:rsid w:val="00047415"/>
    <w:rsid w:val="00047A5A"/>
    <w:rsid w:val="00050146"/>
    <w:rsid w:val="0005124E"/>
    <w:rsid w:val="00051648"/>
    <w:rsid w:val="00051A4E"/>
    <w:rsid w:val="00051AF9"/>
    <w:rsid w:val="000524A9"/>
    <w:rsid w:val="000525BE"/>
    <w:rsid w:val="00052B6A"/>
    <w:rsid w:val="00052DA7"/>
    <w:rsid w:val="0005316A"/>
    <w:rsid w:val="00053324"/>
    <w:rsid w:val="00053425"/>
    <w:rsid w:val="000536B0"/>
    <w:rsid w:val="000539A4"/>
    <w:rsid w:val="00053CEE"/>
    <w:rsid w:val="00053D87"/>
    <w:rsid w:val="00054190"/>
    <w:rsid w:val="00054259"/>
    <w:rsid w:val="000547DB"/>
    <w:rsid w:val="00054C3E"/>
    <w:rsid w:val="0005542C"/>
    <w:rsid w:val="00055977"/>
    <w:rsid w:val="00056241"/>
    <w:rsid w:val="000562F7"/>
    <w:rsid w:val="0005656D"/>
    <w:rsid w:val="00056631"/>
    <w:rsid w:val="00056EF9"/>
    <w:rsid w:val="0005724D"/>
    <w:rsid w:val="000572C1"/>
    <w:rsid w:val="000573D3"/>
    <w:rsid w:val="0005748E"/>
    <w:rsid w:val="00057EC9"/>
    <w:rsid w:val="0006020F"/>
    <w:rsid w:val="000602C5"/>
    <w:rsid w:val="00060363"/>
    <w:rsid w:val="000607E2"/>
    <w:rsid w:val="00060926"/>
    <w:rsid w:val="00060C6E"/>
    <w:rsid w:val="0006103D"/>
    <w:rsid w:val="0006169C"/>
    <w:rsid w:val="00061726"/>
    <w:rsid w:val="0006285B"/>
    <w:rsid w:val="000628A8"/>
    <w:rsid w:val="00063632"/>
    <w:rsid w:val="00063757"/>
    <w:rsid w:val="000646E8"/>
    <w:rsid w:val="00064D7A"/>
    <w:rsid w:val="00064E2F"/>
    <w:rsid w:val="00065034"/>
    <w:rsid w:val="0006553A"/>
    <w:rsid w:val="00065D18"/>
    <w:rsid w:val="000666EC"/>
    <w:rsid w:val="0006681C"/>
    <w:rsid w:val="000671EE"/>
    <w:rsid w:val="000674B2"/>
    <w:rsid w:val="00067701"/>
    <w:rsid w:val="000677F8"/>
    <w:rsid w:val="00067AA3"/>
    <w:rsid w:val="00070434"/>
    <w:rsid w:val="000705C4"/>
    <w:rsid w:val="00070B90"/>
    <w:rsid w:val="00071398"/>
    <w:rsid w:val="00071440"/>
    <w:rsid w:val="0007219B"/>
    <w:rsid w:val="000725D1"/>
    <w:rsid w:val="00072803"/>
    <w:rsid w:val="00072CCD"/>
    <w:rsid w:val="00073407"/>
    <w:rsid w:val="0007340A"/>
    <w:rsid w:val="0007409E"/>
    <w:rsid w:val="0007482A"/>
    <w:rsid w:val="00074931"/>
    <w:rsid w:val="00074ED6"/>
    <w:rsid w:val="00075A77"/>
    <w:rsid w:val="00075AEC"/>
    <w:rsid w:val="00075CE1"/>
    <w:rsid w:val="00076178"/>
    <w:rsid w:val="0007654E"/>
    <w:rsid w:val="00076561"/>
    <w:rsid w:val="0007668C"/>
    <w:rsid w:val="00076A27"/>
    <w:rsid w:val="00076A69"/>
    <w:rsid w:val="00076BBB"/>
    <w:rsid w:val="00076E15"/>
    <w:rsid w:val="00076FF9"/>
    <w:rsid w:val="0007726A"/>
    <w:rsid w:val="000774E1"/>
    <w:rsid w:val="00077640"/>
    <w:rsid w:val="00077714"/>
    <w:rsid w:val="00077997"/>
    <w:rsid w:val="0008043D"/>
    <w:rsid w:val="00080660"/>
    <w:rsid w:val="00080673"/>
    <w:rsid w:val="000811C4"/>
    <w:rsid w:val="00081CD2"/>
    <w:rsid w:val="00081F5A"/>
    <w:rsid w:val="0008212C"/>
    <w:rsid w:val="000823C0"/>
    <w:rsid w:val="000824DB"/>
    <w:rsid w:val="00082B11"/>
    <w:rsid w:val="00082F36"/>
    <w:rsid w:val="00082FF8"/>
    <w:rsid w:val="00083266"/>
    <w:rsid w:val="000832A8"/>
    <w:rsid w:val="000834A2"/>
    <w:rsid w:val="00083633"/>
    <w:rsid w:val="00083684"/>
    <w:rsid w:val="000844B0"/>
    <w:rsid w:val="000844FF"/>
    <w:rsid w:val="000846FB"/>
    <w:rsid w:val="00084FA5"/>
    <w:rsid w:val="00085030"/>
    <w:rsid w:val="000854E0"/>
    <w:rsid w:val="00085754"/>
    <w:rsid w:val="00085AF9"/>
    <w:rsid w:val="0008616E"/>
    <w:rsid w:val="000861F1"/>
    <w:rsid w:val="000861F6"/>
    <w:rsid w:val="00086662"/>
    <w:rsid w:val="0008712C"/>
    <w:rsid w:val="0008729E"/>
    <w:rsid w:val="0008741E"/>
    <w:rsid w:val="00087610"/>
    <w:rsid w:val="00090755"/>
    <w:rsid w:val="000907F8"/>
    <w:rsid w:val="00090DA0"/>
    <w:rsid w:val="00090EF8"/>
    <w:rsid w:val="000913A5"/>
    <w:rsid w:val="00092778"/>
    <w:rsid w:val="000928F6"/>
    <w:rsid w:val="00092CC1"/>
    <w:rsid w:val="0009307A"/>
    <w:rsid w:val="0009368B"/>
    <w:rsid w:val="00095211"/>
    <w:rsid w:val="0009594B"/>
    <w:rsid w:val="00095B45"/>
    <w:rsid w:val="00096E2E"/>
    <w:rsid w:val="00096E67"/>
    <w:rsid w:val="00097478"/>
    <w:rsid w:val="000974BE"/>
    <w:rsid w:val="00097890"/>
    <w:rsid w:val="00097CF1"/>
    <w:rsid w:val="000A0270"/>
    <w:rsid w:val="000A05CC"/>
    <w:rsid w:val="000A09C6"/>
    <w:rsid w:val="000A0D46"/>
    <w:rsid w:val="000A111C"/>
    <w:rsid w:val="000A1324"/>
    <w:rsid w:val="000A1552"/>
    <w:rsid w:val="000A1A9A"/>
    <w:rsid w:val="000A1D13"/>
    <w:rsid w:val="000A259D"/>
    <w:rsid w:val="000A3C32"/>
    <w:rsid w:val="000A3EEC"/>
    <w:rsid w:val="000A42D6"/>
    <w:rsid w:val="000A52FB"/>
    <w:rsid w:val="000A5421"/>
    <w:rsid w:val="000A55BB"/>
    <w:rsid w:val="000A58BB"/>
    <w:rsid w:val="000A62D3"/>
    <w:rsid w:val="000A69C5"/>
    <w:rsid w:val="000A6DA4"/>
    <w:rsid w:val="000B0ACD"/>
    <w:rsid w:val="000B0FBD"/>
    <w:rsid w:val="000B1470"/>
    <w:rsid w:val="000B1CAD"/>
    <w:rsid w:val="000B1CB8"/>
    <w:rsid w:val="000B1FFA"/>
    <w:rsid w:val="000B38AC"/>
    <w:rsid w:val="000B39A1"/>
    <w:rsid w:val="000B3B72"/>
    <w:rsid w:val="000B4098"/>
    <w:rsid w:val="000B412B"/>
    <w:rsid w:val="000B4723"/>
    <w:rsid w:val="000B4C57"/>
    <w:rsid w:val="000B5213"/>
    <w:rsid w:val="000B5BE3"/>
    <w:rsid w:val="000B5F49"/>
    <w:rsid w:val="000B60B1"/>
    <w:rsid w:val="000B6525"/>
    <w:rsid w:val="000B65D0"/>
    <w:rsid w:val="000B6E90"/>
    <w:rsid w:val="000B7269"/>
    <w:rsid w:val="000B77B6"/>
    <w:rsid w:val="000B7B7C"/>
    <w:rsid w:val="000C0799"/>
    <w:rsid w:val="000C0841"/>
    <w:rsid w:val="000C090F"/>
    <w:rsid w:val="000C10DF"/>
    <w:rsid w:val="000C1AA2"/>
    <w:rsid w:val="000C2AFF"/>
    <w:rsid w:val="000C2DFB"/>
    <w:rsid w:val="000C2E12"/>
    <w:rsid w:val="000C2FA7"/>
    <w:rsid w:val="000C3124"/>
    <w:rsid w:val="000C3543"/>
    <w:rsid w:val="000C389B"/>
    <w:rsid w:val="000C3C22"/>
    <w:rsid w:val="000C3ECC"/>
    <w:rsid w:val="000C4079"/>
    <w:rsid w:val="000C46D3"/>
    <w:rsid w:val="000C4A0D"/>
    <w:rsid w:val="000C4B61"/>
    <w:rsid w:val="000C52BE"/>
    <w:rsid w:val="000C5588"/>
    <w:rsid w:val="000C5C40"/>
    <w:rsid w:val="000C5CB5"/>
    <w:rsid w:val="000C6935"/>
    <w:rsid w:val="000C6AB1"/>
    <w:rsid w:val="000C6AD6"/>
    <w:rsid w:val="000C6C85"/>
    <w:rsid w:val="000C7319"/>
    <w:rsid w:val="000C739F"/>
    <w:rsid w:val="000C770B"/>
    <w:rsid w:val="000C7AB3"/>
    <w:rsid w:val="000C7E95"/>
    <w:rsid w:val="000D064C"/>
    <w:rsid w:val="000D0795"/>
    <w:rsid w:val="000D0BB1"/>
    <w:rsid w:val="000D0F79"/>
    <w:rsid w:val="000D1181"/>
    <w:rsid w:val="000D11E5"/>
    <w:rsid w:val="000D13D7"/>
    <w:rsid w:val="000D18E7"/>
    <w:rsid w:val="000D199A"/>
    <w:rsid w:val="000D2234"/>
    <w:rsid w:val="000D2C1D"/>
    <w:rsid w:val="000D2C71"/>
    <w:rsid w:val="000D40B3"/>
    <w:rsid w:val="000D42C5"/>
    <w:rsid w:val="000D4C53"/>
    <w:rsid w:val="000D51F7"/>
    <w:rsid w:val="000D5827"/>
    <w:rsid w:val="000D59B4"/>
    <w:rsid w:val="000D5C7C"/>
    <w:rsid w:val="000D6086"/>
    <w:rsid w:val="000D6154"/>
    <w:rsid w:val="000D66C4"/>
    <w:rsid w:val="000D6E0B"/>
    <w:rsid w:val="000D6F62"/>
    <w:rsid w:val="000D7279"/>
    <w:rsid w:val="000D76A5"/>
    <w:rsid w:val="000D7D61"/>
    <w:rsid w:val="000E1059"/>
    <w:rsid w:val="000E1929"/>
    <w:rsid w:val="000E292E"/>
    <w:rsid w:val="000E2CAE"/>
    <w:rsid w:val="000E32E3"/>
    <w:rsid w:val="000E4A0B"/>
    <w:rsid w:val="000E4B5A"/>
    <w:rsid w:val="000E55F2"/>
    <w:rsid w:val="000E589F"/>
    <w:rsid w:val="000E5944"/>
    <w:rsid w:val="000E5C10"/>
    <w:rsid w:val="000E5C85"/>
    <w:rsid w:val="000E6669"/>
    <w:rsid w:val="000E70F5"/>
    <w:rsid w:val="000E722E"/>
    <w:rsid w:val="000E77DE"/>
    <w:rsid w:val="000E79B2"/>
    <w:rsid w:val="000E79F2"/>
    <w:rsid w:val="000F0503"/>
    <w:rsid w:val="000F097E"/>
    <w:rsid w:val="000F0C3F"/>
    <w:rsid w:val="000F0C65"/>
    <w:rsid w:val="000F0EE6"/>
    <w:rsid w:val="000F16AC"/>
    <w:rsid w:val="000F16ED"/>
    <w:rsid w:val="000F1F12"/>
    <w:rsid w:val="000F26D3"/>
    <w:rsid w:val="000F2990"/>
    <w:rsid w:val="000F301B"/>
    <w:rsid w:val="000F3298"/>
    <w:rsid w:val="000F32A1"/>
    <w:rsid w:val="000F3A05"/>
    <w:rsid w:val="000F4062"/>
    <w:rsid w:val="000F4205"/>
    <w:rsid w:val="000F4333"/>
    <w:rsid w:val="000F48C9"/>
    <w:rsid w:val="000F4E45"/>
    <w:rsid w:val="000F51A5"/>
    <w:rsid w:val="000F53D9"/>
    <w:rsid w:val="000F5D60"/>
    <w:rsid w:val="000F5F2D"/>
    <w:rsid w:val="000F61E8"/>
    <w:rsid w:val="000F67AB"/>
    <w:rsid w:val="000F69AA"/>
    <w:rsid w:val="000F7270"/>
    <w:rsid w:val="000F72C9"/>
    <w:rsid w:val="000F7D30"/>
    <w:rsid w:val="000F7E4A"/>
    <w:rsid w:val="00100121"/>
    <w:rsid w:val="001006BE"/>
    <w:rsid w:val="001011E6"/>
    <w:rsid w:val="001012C2"/>
    <w:rsid w:val="00102103"/>
    <w:rsid w:val="001022F5"/>
    <w:rsid w:val="00102B65"/>
    <w:rsid w:val="00103666"/>
    <w:rsid w:val="00103A4C"/>
    <w:rsid w:val="0010433A"/>
    <w:rsid w:val="0010455B"/>
    <w:rsid w:val="00104864"/>
    <w:rsid w:val="00104A74"/>
    <w:rsid w:val="00104C23"/>
    <w:rsid w:val="001056BF"/>
    <w:rsid w:val="00105A24"/>
    <w:rsid w:val="001065FD"/>
    <w:rsid w:val="0010688B"/>
    <w:rsid w:val="0010693E"/>
    <w:rsid w:val="00106BFD"/>
    <w:rsid w:val="0011013A"/>
    <w:rsid w:val="001101C7"/>
    <w:rsid w:val="00110488"/>
    <w:rsid w:val="00110AB9"/>
    <w:rsid w:val="0011161D"/>
    <w:rsid w:val="001116E1"/>
    <w:rsid w:val="00111E30"/>
    <w:rsid w:val="0011298D"/>
    <w:rsid w:val="00113233"/>
    <w:rsid w:val="0011385E"/>
    <w:rsid w:val="00113B45"/>
    <w:rsid w:val="00113CA7"/>
    <w:rsid w:val="00113FEC"/>
    <w:rsid w:val="00114003"/>
    <w:rsid w:val="001142B5"/>
    <w:rsid w:val="001151CA"/>
    <w:rsid w:val="0011527C"/>
    <w:rsid w:val="00115C01"/>
    <w:rsid w:val="00116161"/>
    <w:rsid w:val="00116452"/>
    <w:rsid w:val="00116476"/>
    <w:rsid w:val="001167E6"/>
    <w:rsid w:val="00116B9C"/>
    <w:rsid w:val="00117152"/>
    <w:rsid w:val="00117999"/>
    <w:rsid w:val="00117C02"/>
    <w:rsid w:val="00120272"/>
    <w:rsid w:val="001204C4"/>
    <w:rsid w:val="00120701"/>
    <w:rsid w:val="0012083A"/>
    <w:rsid w:val="00120913"/>
    <w:rsid w:val="0012130D"/>
    <w:rsid w:val="00121B3C"/>
    <w:rsid w:val="00121B3E"/>
    <w:rsid w:val="00122078"/>
    <w:rsid w:val="00122616"/>
    <w:rsid w:val="00122F0D"/>
    <w:rsid w:val="00122FD2"/>
    <w:rsid w:val="001230A9"/>
    <w:rsid w:val="001235BB"/>
    <w:rsid w:val="001238B2"/>
    <w:rsid w:val="00123CCF"/>
    <w:rsid w:val="00124B3C"/>
    <w:rsid w:val="00125DCC"/>
    <w:rsid w:val="00126194"/>
    <w:rsid w:val="00126BCE"/>
    <w:rsid w:val="0012726C"/>
    <w:rsid w:val="001276B4"/>
    <w:rsid w:val="0012791F"/>
    <w:rsid w:val="001300DA"/>
    <w:rsid w:val="00130184"/>
    <w:rsid w:val="00130285"/>
    <w:rsid w:val="0013047E"/>
    <w:rsid w:val="0013070D"/>
    <w:rsid w:val="00130830"/>
    <w:rsid w:val="00130F3F"/>
    <w:rsid w:val="00131593"/>
    <w:rsid w:val="00131694"/>
    <w:rsid w:val="00131830"/>
    <w:rsid w:val="001319C8"/>
    <w:rsid w:val="001321EC"/>
    <w:rsid w:val="001323EA"/>
    <w:rsid w:val="00132A79"/>
    <w:rsid w:val="001331B7"/>
    <w:rsid w:val="00133D7A"/>
    <w:rsid w:val="00133F80"/>
    <w:rsid w:val="00134192"/>
    <w:rsid w:val="001342C7"/>
    <w:rsid w:val="0013445D"/>
    <w:rsid w:val="001345C0"/>
    <w:rsid w:val="00134841"/>
    <w:rsid w:val="001351F5"/>
    <w:rsid w:val="00135250"/>
    <w:rsid w:val="00135295"/>
    <w:rsid w:val="0013557F"/>
    <w:rsid w:val="00135746"/>
    <w:rsid w:val="001358AF"/>
    <w:rsid w:val="00136213"/>
    <w:rsid w:val="00136334"/>
    <w:rsid w:val="001365BE"/>
    <w:rsid w:val="00136895"/>
    <w:rsid w:val="001368CC"/>
    <w:rsid w:val="00136DED"/>
    <w:rsid w:val="00136E45"/>
    <w:rsid w:val="001376A2"/>
    <w:rsid w:val="001376A7"/>
    <w:rsid w:val="00137B7F"/>
    <w:rsid w:val="00137FF6"/>
    <w:rsid w:val="00140866"/>
    <w:rsid w:val="0014163D"/>
    <w:rsid w:val="00141873"/>
    <w:rsid w:val="001423DA"/>
    <w:rsid w:val="00142703"/>
    <w:rsid w:val="00142BCF"/>
    <w:rsid w:val="001430FD"/>
    <w:rsid w:val="0014399E"/>
    <w:rsid w:val="00143D2A"/>
    <w:rsid w:val="00143EA9"/>
    <w:rsid w:val="0014439F"/>
    <w:rsid w:val="001445DC"/>
    <w:rsid w:val="0014512C"/>
    <w:rsid w:val="001451A8"/>
    <w:rsid w:val="001453BB"/>
    <w:rsid w:val="0014570A"/>
    <w:rsid w:val="0014608E"/>
    <w:rsid w:val="001461FC"/>
    <w:rsid w:val="00146B8D"/>
    <w:rsid w:val="00146CBA"/>
    <w:rsid w:val="00146F00"/>
    <w:rsid w:val="0014751E"/>
    <w:rsid w:val="00147DFE"/>
    <w:rsid w:val="001502E5"/>
    <w:rsid w:val="001504C4"/>
    <w:rsid w:val="00150988"/>
    <w:rsid w:val="001514CB"/>
    <w:rsid w:val="001517AF"/>
    <w:rsid w:val="001519B9"/>
    <w:rsid w:val="00151FE9"/>
    <w:rsid w:val="001522AE"/>
    <w:rsid w:val="00152330"/>
    <w:rsid w:val="00152754"/>
    <w:rsid w:val="001534D5"/>
    <w:rsid w:val="0015465D"/>
    <w:rsid w:val="001548C4"/>
    <w:rsid w:val="00154CE2"/>
    <w:rsid w:val="001558F6"/>
    <w:rsid w:val="00155A88"/>
    <w:rsid w:val="00155C74"/>
    <w:rsid w:val="00155D97"/>
    <w:rsid w:val="00155E09"/>
    <w:rsid w:val="00156469"/>
    <w:rsid w:val="00156553"/>
    <w:rsid w:val="001567D3"/>
    <w:rsid w:val="00157057"/>
    <w:rsid w:val="0015705A"/>
    <w:rsid w:val="001574C2"/>
    <w:rsid w:val="00157C48"/>
    <w:rsid w:val="001603D3"/>
    <w:rsid w:val="001605ED"/>
    <w:rsid w:val="00160771"/>
    <w:rsid w:val="00160A8E"/>
    <w:rsid w:val="00160F51"/>
    <w:rsid w:val="001611F8"/>
    <w:rsid w:val="0016127B"/>
    <w:rsid w:val="00161B98"/>
    <w:rsid w:val="00162AA4"/>
    <w:rsid w:val="00162CD6"/>
    <w:rsid w:val="0016336E"/>
    <w:rsid w:val="00163885"/>
    <w:rsid w:val="001645C1"/>
    <w:rsid w:val="00164A35"/>
    <w:rsid w:val="00164DD3"/>
    <w:rsid w:val="001652B3"/>
    <w:rsid w:val="0016595B"/>
    <w:rsid w:val="00166098"/>
    <w:rsid w:val="001662A9"/>
    <w:rsid w:val="0016648C"/>
    <w:rsid w:val="0016683E"/>
    <w:rsid w:val="0016717D"/>
    <w:rsid w:val="0016748F"/>
    <w:rsid w:val="00167F3C"/>
    <w:rsid w:val="0017049F"/>
    <w:rsid w:val="0017086E"/>
    <w:rsid w:val="00170A74"/>
    <w:rsid w:val="00170BAD"/>
    <w:rsid w:val="00171386"/>
    <w:rsid w:val="001713D5"/>
    <w:rsid w:val="00171589"/>
    <w:rsid w:val="00171844"/>
    <w:rsid w:val="0017194D"/>
    <w:rsid w:val="001720A6"/>
    <w:rsid w:val="00172B5A"/>
    <w:rsid w:val="001730F1"/>
    <w:rsid w:val="00173E53"/>
    <w:rsid w:val="0017456A"/>
    <w:rsid w:val="001745C2"/>
    <w:rsid w:val="00174C06"/>
    <w:rsid w:val="00174F2A"/>
    <w:rsid w:val="001758D3"/>
    <w:rsid w:val="00175941"/>
    <w:rsid w:val="00176830"/>
    <w:rsid w:val="00177A80"/>
    <w:rsid w:val="00180315"/>
    <w:rsid w:val="001803A9"/>
    <w:rsid w:val="001805FA"/>
    <w:rsid w:val="001810FF"/>
    <w:rsid w:val="00181558"/>
    <w:rsid w:val="001815C7"/>
    <w:rsid w:val="001817B1"/>
    <w:rsid w:val="00181B86"/>
    <w:rsid w:val="00181BAF"/>
    <w:rsid w:val="001826A8"/>
    <w:rsid w:val="0018275E"/>
    <w:rsid w:val="001829D7"/>
    <w:rsid w:val="00183464"/>
    <w:rsid w:val="00183472"/>
    <w:rsid w:val="00183A9C"/>
    <w:rsid w:val="00183FDF"/>
    <w:rsid w:val="001843B2"/>
    <w:rsid w:val="00184D17"/>
    <w:rsid w:val="00185A09"/>
    <w:rsid w:val="00185F16"/>
    <w:rsid w:val="00185F8A"/>
    <w:rsid w:val="0018671C"/>
    <w:rsid w:val="0018679B"/>
    <w:rsid w:val="00186CF1"/>
    <w:rsid w:val="00187726"/>
    <w:rsid w:val="00187857"/>
    <w:rsid w:val="001879B2"/>
    <w:rsid w:val="001907F7"/>
    <w:rsid w:val="00190D4F"/>
    <w:rsid w:val="001914BE"/>
    <w:rsid w:val="00192703"/>
    <w:rsid w:val="0019334C"/>
    <w:rsid w:val="001933E4"/>
    <w:rsid w:val="00193A0C"/>
    <w:rsid w:val="0019488B"/>
    <w:rsid w:val="00194E73"/>
    <w:rsid w:val="00195A29"/>
    <w:rsid w:val="00196305"/>
    <w:rsid w:val="001963F5"/>
    <w:rsid w:val="00196423"/>
    <w:rsid w:val="00196544"/>
    <w:rsid w:val="001967D8"/>
    <w:rsid w:val="00196905"/>
    <w:rsid w:val="00196C4D"/>
    <w:rsid w:val="0019711E"/>
    <w:rsid w:val="00197D1C"/>
    <w:rsid w:val="00197ECE"/>
    <w:rsid w:val="001A15D5"/>
    <w:rsid w:val="001A2FB2"/>
    <w:rsid w:val="001A3396"/>
    <w:rsid w:val="001A35B6"/>
    <w:rsid w:val="001A36AC"/>
    <w:rsid w:val="001A3EB5"/>
    <w:rsid w:val="001A435F"/>
    <w:rsid w:val="001A47BF"/>
    <w:rsid w:val="001A489A"/>
    <w:rsid w:val="001A4A3A"/>
    <w:rsid w:val="001A4ED5"/>
    <w:rsid w:val="001A50B4"/>
    <w:rsid w:val="001A513D"/>
    <w:rsid w:val="001A6315"/>
    <w:rsid w:val="001A6C47"/>
    <w:rsid w:val="001A6EF1"/>
    <w:rsid w:val="001A7B5C"/>
    <w:rsid w:val="001A7DFF"/>
    <w:rsid w:val="001B0057"/>
    <w:rsid w:val="001B0854"/>
    <w:rsid w:val="001B0D59"/>
    <w:rsid w:val="001B153E"/>
    <w:rsid w:val="001B1D34"/>
    <w:rsid w:val="001B22AC"/>
    <w:rsid w:val="001B24FA"/>
    <w:rsid w:val="001B29E5"/>
    <w:rsid w:val="001B2A8F"/>
    <w:rsid w:val="001B2B2C"/>
    <w:rsid w:val="001B30A9"/>
    <w:rsid w:val="001B3276"/>
    <w:rsid w:val="001B3475"/>
    <w:rsid w:val="001B36C8"/>
    <w:rsid w:val="001B40B8"/>
    <w:rsid w:val="001B445E"/>
    <w:rsid w:val="001B4919"/>
    <w:rsid w:val="001B4C7D"/>
    <w:rsid w:val="001B517A"/>
    <w:rsid w:val="001B5354"/>
    <w:rsid w:val="001B538D"/>
    <w:rsid w:val="001B54BD"/>
    <w:rsid w:val="001B55EB"/>
    <w:rsid w:val="001B6124"/>
    <w:rsid w:val="001B6585"/>
    <w:rsid w:val="001B67C9"/>
    <w:rsid w:val="001B7535"/>
    <w:rsid w:val="001B770D"/>
    <w:rsid w:val="001B77DD"/>
    <w:rsid w:val="001B77E4"/>
    <w:rsid w:val="001B7820"/>
    <w:rsid w:val="001B7EC2"/>
    <w:rsid w:val="001B7FF2"/>
    <w:rsid w:val="001C0013"/>
    <w:rsid w:val="001C0477"/>
    <w:rsid w:val="001C09BF"/>
    <w:rsid w:val="001C1C0E"/>
    <w:rsid w:val="001C1F92"/>
    <w:rsid w:val="001C2366"/>
    <w:rsid w:val="001C24DB"/>
    <w:rsid w:val="001C287F"/>
    <w:rsid w:val="001C290B"/>
    <w:rsid w:val="001C2990"/>
    <w:rsid w:val="001C2B64"/>
    <w:rsid w:val="001C33AC"/>
    <w:rsid w:val="001C4311"/>
    <w:rsid w:val="001C43B3"/>
    <w:rsid w:val="001C465F"/>
    <w:rsid w:val="001C486E"/>
    <w:rsid w:val="001C496F"/>
    <w:rsid w:val="001C4D10"/>
    <w:rsid w:val="001C4FBF"/>
    <w:rsid w:val="001C5A83"/>
    <w:rsid w:val="001C5B43"/>
    <w:rsid w:val="001C5ED5"/>
    <w:rsid w:val="001C5F1B"/>
    <w:rsid w:val="001C63E9"/>
    <w:rsid w:val="001C64D3"/>
    <w:rsid w:val="001C6593"/>
    <w:rsid w:val="001C65EC"/>
    <w:rsid w:val="001C6A32"/>
    <w:rsid w:val="001C6BF6"/>
    <w:rsid w:val="001C706C"/>
    <w:rsid w:val="001C7E23"/>
    <w:rsid w:val="001D01D2"/>
    <w:rsid w:val="001D09C4"/>
    <w:rsid w:val="001D0E5A"/>
    <w:rsid w:val="001D1196"/>
    <w:rsid w:val="001D1732"/>
    <w:rsid w:val="001D1E4F"/>
    <w:rsid w:val="001D22A8"/>
    <w:rsid w:val="001D2320"/>
    <w:rsid w:val="001D247F"/>
    <w:rsid w:val="001D3435"/>
    <w:rsid w:val="001D3600"/>
    <w:rsid w:val="001D3950"/>
    <w:rsid w:val="001D4394"/>
    <w:rsid w:val="001D45F5"/>
    <w:rsid w:val="001D4874"/>
    <w:rsid w:val="001D4C45"/>
    <w:rsid w:val="001D5E7F"/>
    <w:rsid w:val="001D5EBC"/>
    <w:rsid w:val="001D637F"/>
    <w:rsid w:val="001D6960"/>
    <w:rsid w:val="001D6BC9"/>
    <w:rsid w:val="001D704C"/>
    <w:rsid w:val="001D731C"/>
    <w:rsid w:val="001D76ED"/>
    <w:rsid w:val="001D7956"/>
    <w:rsid w:val="001E0980"/>
    <w:rsid w:val="001E0B13"/>
    <w:rsid w:val="001E0B38"/>
    <w:rsid w:val="001E0CF7"/>
    <w:rsid w:val="001E0EC8"/>
    <w:rsid w:val="001E105F"/>
    <w:rsid w:val="001E12B9"/>
    <w:rsid w:val="001E14AF"/>
    <w:rsid w:val="001E1B2A"/>
    <w:rsid w:val="001E1E74"/>
    <w:rsid w:val="001E1EA2"/>
    <w:rsid w:val="001E1FEC"/>
    <w:rsid w:val="001E278C"/>
    <w:rsid w:val="001E2B14"/>
    <w:rsid w:val="001E2E61"/>
    <w:rsid w:val="001E31C3"/>
    <w:rsid w:val="001E356E"/>
    <w:rsid w:val="001E3CF5"/>
    <w:rsid w:val="001E45DA"/>
    <w:rsid w:val="001E472E"/>
    <w:rsid w:val="001E4985"/>
    <w:rsid w:val="001E4C7E"/>
    <w:rsid w:val="001E4D0F"/>
    <w:rsid w:val="001E4D6B"/>
    <w:rsid w:val="001E53ED"/>
    <w:rsid w:val="001E5A37"/>
    <w:rsid w:val="001E5A58"/>
    <w:rsid w:val="001E6A74"/>
    <w:rsid w:val="001E6E1F"/>
    <w:rsid w:val="001E72D2"/>
    <w:rsid w:val="001E791C"/>
    <w:rsid w:val="001E7E89"/>
    <w:rsid w:val="001E7F47"/>
    <w:rsid w:val="001F0326"/>
    <w:rsid w:val="001F0882"/>
    <w:rsid w:val="001F0C93"/>
    <w:rsid w:val="001F1974"/>
    <w:rsid w:val="001F1CD1"/>
    <w:rsid w:val="001F1D06"/>
    <w:rsid w:val="001F2003"/>
    <w:rsid w:val="001F23CC"/>
    <w:rsid w:val="001F2429"/>
    <w:rsid w:val="001F2574"/>
    <w:rsid w:val="001F30A6"/>
    <w:rsid w:val="001F3196"/>
    <w:rsid w:val="001F36A9"/>
    <w:rsid w:val="001F383F"/>
    <w:rsid w:val="001F3B48"/>
    <w:rsid w:val="001F414C"/>
    <w:rsid w:val="001F41D0"/>
    <w:rsid w:val="001F4621"/>
    <w:rsid w:val="001F462C"/>
    <w:rsid w:val="001F506D"/>
    <w:rsid w:val="001F5B75"/>
    <w:rsid w:val="001F5E2E"/>
    <w:rsid w:val="001F6376"/>
    <w:rsid w:val="001F6AC2"/>
    <w:rsid w:val="001F703C"/>
    <w:rsid w:val="001F7182"/>
    <w:rsid w:val="001F752B"/>
    <w:rsid w:val="001F76A7"/>
    <w:rsid w:val="001F7BEC"/>
    <w:rsid w:val="002001EE"/>
    <w:rsid w:val="0020037C"/>
    <w:rsid w:val="002003F7"/>
    <w:rsid w:val="0020081F"/>
    <w:rsid w:val="00200C6C"/>
    <w:rsid w:val="00200EF5"/>
    <w:rsid w:val="002010AC"/>
    <w:rsid w:val="002014FA"/>
    <w:rsid w:val="00201732"/>
    <w:rsid w:val="0020207E"/>
    <w:rsid w:val="002027A7"/>
    <w:rsid w:val="00202902"/>
    <w:rsid w:val="00203068"/>
    <w:rsid w:val="00203495"/>
    <w:rsid w:val="0020363B"/>
    <w:rsid w:val="002039E8"/>
    <w:rsid w:val="00203D4A"/>
    <w:rsid w:val="00203DCA"/>
    <w:rsid w:val="00204496"/>
    <w:rsid w:val="002045D2"/>
    <w:rsid w:val="002048A8"/>
    <w:rsid w:val="00205E68"/>
    <w:rsid w:val="00205F73"/>
    <w:rsid w:val="0020661E"/>
    <w:rsid w:val="00206C0E"/>
    <w:rsid w:val="00210544"/>
    <w:rsid w:val="00210AA2"/>
    <w:rsid w:val="0021128A"/>
    <w:rsid w:val="00212046"/>
    <w:rsid w:val="00212B2B"/>
    <w:rsid w:val="00213011"/>
    <w:rsid w:val="002139F8"/>
    <w:rsid w:val="00213ECD"/>
    <w:rsid w:val="002142E6"/>
    <w:rsid w:val="00214338"/>
    <w:rsid w:val="00214541"/>
    <w:rsid w:val="0021472E"/>
    <w:rsid w:val="00214831"/>
    <w:rsid w:val="00215280"/>
    <w:rsid w:val="0021608F"/>
    <w:rsid w:val="002163FD"/>
    <w:rsid w:val="00216B00"/>
    <w:rsid w:val="00216EF9"/>
    <w:rsid w:val="0021700D"/>
    <w:rsid w:val="0021725F"/>
    <w:rsid w:val="00217B72"/>
    <w:rsid w:val="00217BEC"/>
    <w:rsid w:val="00217E68"/>
    <w:rsid w:val="00220403"/>
    <w:rsid w:val="002206BB"/>
    <w:rsid w:val="0022090E"/>
    <w:rsid w:val="00220E79"/>
    <w:rsid w:val="00220F16"/>
    <w:rsid w:val="00221082"/>
    <w:rsid w:val="00222A25"/>
    <w:rsid w:val="00222C29"/>
    <w:rsid w:val="00222DD0"/>
    <w:rsid w:val="00223179"/>
    <w:rsid w:val="00223BC5"/>
    <w:rsid w:val="002242F4"/>
    <w:rsid w:val="00224A31"/>
    <w:rsid w:val="00224D8E"/>
    <w:rsid w:val="00224DC8"/>
    <w:rsid w:val="00224ED4"/>
    <w:rsid w:val="00225019"/>
    <w:rsid w:val="00225B65"/>
    <w:rsid w:val="002260B4"/>
    <w:rsid w:val="00226303"/>
    <w:rsid w:val="002263F5"/>
    <w:rsid w:val="00226883"/>
    <w:rsid w:val="00226A23"/>
    <w:rsid w:val="00226BA9"/>
    <w:rsid w:val="00226EC1"/>
    <w:rsid w:val="00227218"/>
    <w:rsid w:val="00227BD6"/>
    <w:rsid w:val="0023008B"/>
    <w:rsid w:val="0023034A"/>
    <w:rsid w:val="00230EFE"/>
    <w:rsid w:val="00231837"/>
    <w:rsid w:val="002318AC"/>
    <w:rsid w:val="00231BC0"/>
    <w:rsid w:val="00231EDB"/>
    <w:rsid w:val="00231F18"/>
    <w:rsid w:val="002323ED"/>
    <w:rsid w:val="0023252D"/>
    <w:rsid w:val="0023265C"/>
    <w:rsid w:val="00232B4A"/>
    <w:rsid w:val="00232D70"/>
    <w:rsid w:val="002332A1"/>
    <w:rsid w:val="002334AA"/>
    <w:rsid w:val="00233C82"/>
    <w:rsid w:val="00233E0F"/>
    <w:rsid w:val="00234925"/>
    <w:rsid w:val="002349A0"/>
    <w:rsid w:val="00235FAC"/>
    <w:rsid w:val="00236E2B"/>
    <w:rsid w:val="00237283"/>
    <w:rsid w:val="00237A5C"/>
    <w:rsid w:val="00237A66"/>
    <w:rsid w:val="0024006A"/>
    <w:rsid w:val="002400FD"/>
    <w:rsid w:val="002402D2"/>
    <w:rsid w:val="00240D31"/>
    <w:rsid w:val="00241144"/>
    <w:rsid w:val="00241561"/>
    <w:rsid w:val="0024163F"/>
    <w:rsid w:val="00241CC1"/>
    <w:rsid w:val="0024245F"/>
    <w:rsid w:val="00242D9C"/>
    <w:rsid w:val="00242DD5"/>
    <w:rsid w:val="002445C2"/>
    <w:rsid w:val="00244F1A"/>
    <w:rsid w:val="00245398"/>
    <w:rsid w:val="00245558"/>
    <w:rsid w:val="00245647"/>
    <w:rsid w:val="00245830"/>
    <w:rsid w:val="00247F87"/>
    <w:rsid w:val="00250000"/>
    <w:rsid w:val="0025020B"/>
    <w:rsid w:val="00250916"/>
    <w:rsid w:val="002510FA"/>
    <w:rsid w:val="002510FC"/>
    <w:rsid w:val="00251525"/>
    <w:rsid w:val="002516AB"/>
    <w:rsid w:val="00251AB0"/>
    <w:rsid w:val="002522FC"/>
    <w:rsid w:val="002524FE"/>
    <w:rsid w:val="00252921"/>
    <w:rsid w:val="0025312F"/>
    <w:rsid w:val="002538E9"/>
    <w:rsid w:val="00253B2C"/>
    <w:rsid w:val="00253DF1"/>
    <w:rsid w:val="00254460"/>
    <w:rsid w:val="00254949"/>
    <w:rsid w:val="00254C5B"/>
    <w:rsid w:val="00254D3D"/>
    <w:rsid w:val="00254D41"/>
    <w:rsid w:val="00255208"/>
    <w:rsid w:val="002558DA"/>
    <w:rsid w:val="00256366"/>
    <w:rsid w:val="00256BF9"/>
    <w:rsid w:val="00256F06"/>
    <w:rsid w:val="00257C42"/>
    <w:rsid w:val="00257ED1"/>
    <w:rsid w:val="00257F14"/>
    <w:rsid w:val="00260366"/>
    <w:rsid w:val="00260595"/>
    <w:rsid w:val="002606C6"/>
    <w:rsid w:val="00262EA9"/>
    <w:rsid w:val="002639C1"/>
    <w:rsid w:val="00263A78"/>
    <w:rsid w:val="00263AAD"/>
    <w:rsid w:val="00263EF0"/>
    <w:rsid w:val="00263F0D"/>
    <w:rsid w:val="0026416A"/>
    <w:rsid w:val="002644AF"/>
    <w:rsid w:val="00264813"/>
    <w:rsid w:val="00264A60"/>
    <w:rsid w:val="00265129"/>
    <w:rsid w:val="002653AF"/>
    <w:rsid w:val="0026582D"/>
    <w:rsid w:val="0026586F"/>
    <w:rsid w:val="0026672C"/>
    <w:rsid w:val="00266F7A"/>
    <w:rsid w:val="00267797"/>
    <w:rsid w:val="00267E0C"/>
    <w:rsid w:val="00270499"/>
    <w:rsid w:val="00270B3B"/>
    <w:rsid w:val="00270D6C"/>
    <w:rsid w:val="00270F29"/>
    <w:rsid w:val="00271075"/>
    <w:rsid w:val="00271157"/>
    <w:rsid w:val="0027118E"/>
    <w:rsid w:val="0027132D"/>
    <w:rsid w:val="0027178F"/>
    <w:rsid w:val="00271B76"/>
    <w:rsid w:val="00271FC9"/>
    <w:rsid w:val="002725F4"/>
    <w:rsid w:val="00272633"/>
    <w:rsid w:val="00272BF6"/>
    <w:rsid w:val="00273AD3"/>
    <w:rsid w:val="00273DF7"/>
    <w:rsid w:val="00273F95"/>
    <w:rsid w:val="002744DA"/>
    <w:rsid w:val="002748DD"/>
    <w:rsid w:val="00274A8D"/>
    <w:rsid w:val="00275487"/>
    <w:rsid w:val="0027553B"/>
    <w:rsid w:val="00275DC6"/>
    <w:rsid w:val="00276B8C"/>
    <w:rsid w:val="002770A4"/>
    <w:rsid w:val="002771E5"/>
    <w:rsid w:val="002774C1"/>
    <w:rsid w:val="00277840"/>
    <w:rsid w:val="00277B2B"/>
    <w:rsid w:val="002801C7"/>
    <w:rsid w:val="002802C6"/>
    <w:rsid w:val="002807C9"/>
    <w:rsid w:val="00280DE4"/>
    <w:rsid w:val="0028125D"/>
    <w:rsid w:val="002814EC"/>
    <w:rsid w:val="00281AB9"/>
    <w:rsid w:val="0028255D"/>
    <w:rsid w:val="00282804"/>
    <w:rsid w:val="00282C74"/>
    <w:rsid w:val="0028315B"/>
    <w:rsid w:val="002841EC"/>
    <w:rsid w:val="00284AFC"/>
    <w:rsid w:val="00284F9C"/>
    <w:rsid w:val="00285470"/>
    <w:rsid w:val="00285B71"/>
    <w:rsid w:val="0028655A"/>
    <w:rsid w:val="00286F28"/>
    <w:rsid w:val="00286F96"/>
    <w:rsid w:val="0028761D"/>
    <w:rsid w:val="00287C5A"/>
    <w:rsid w:val="00287C85"/>
    <w:rsid w:val="002903A3"/>
    <w:rsid w:val="00291B49"/>
    <w:rsid w:val="00292099"/>
    <w:rsid w:val="00292254"/>
    <w:rsid w:val="00292CE7"/>
    <w:rsid w:val="00293208"/>
    <w:rsid w:val="002933D6"/>
    <w:rsid w:val="00293839"/>
    <w:rsid w:val="00293EB5"/>
    <w:rsid w:val="0029451D"/>
    <w:rsid w:val="0029485E"/>
    <w:rsid w:val="00294E44"/>
    <w:rsid w:val="00295753"/>
    <w:rsid w:val="00295AF8"/>
    <w:rsid w:val="00295D86"/>
    <w:rsid w:val="002963B6"/>
    <w:rsid w:val="00296654"/>
    <w:rsid w:val="00296804"/>
    <w:rsid w:val="00296A43"/>
    <w:rsid w:val="00297119"/>
    <w:rsid w:val="0029723E"/>
    <w:rsid w:val="00297C65"/>
    <w:rsid w:val="00297D11"/>
    <w:rsid w:val="00297E8B"/>
    <w:rsid w:val="00297E9E"/>
    <w:rsid w:val="002A08B9"/>
    <w:rsid w:val="002A10D4"/>
    <w:rsid w:val="002A1236"/>
    <w:rsid w:val="002A1B51"/>
    <w:rsid w:val="002A1C49"/>
    <w:rsid w:val="002A1E15"/>
    <w:rsid w:val="002A230D"/>
    <w:rsid w:val="002A24D2"/>
    <w:rsid w:val="002A2558"/>
    <w:rsid w:val="002A25CE"/>
    <w:rsid w:val="002A2E16"/>
    <w:rsid w:val="002A2F86"/>
    <w:rsid w:val="002A3717"/>
    <w:rsid w:val="002A3C80"/>
    <w:rsid w:val="002A3EE0"/>
    <w:rsid w:val="002A403F"/>
    <w:rsid w:val="002A4F6B"/>
    <w:rsid w:val="002A5ABC"/>
    <w:rsid w:val="002A5AE2"/>
    <w:rsid w:val="002A60CB"/>
    <w:rsid w:val="002A693B"/>
    <w:rsid w:val="002A6956"/>
    <w:rsid w:val="002A6DA4"/>
    <w:rsid w:val="002A769E"/>
    <w:rsid w:val="002A7B74"/>
    <w:rsid w:val="002A7E1F"/>
    <w:rsid w:val="002B0054"/>
    <w:rsid w:val="002B012E"/>
    <w:rsid w:val="002B0180"/>
    <w:rsid w:val="002B04B3"/>
    <w:rsid w:val="002B0C45"/>
    <w:rsid w:val="002B0F33"/>
    <w:rsid w:val="002B1356"/>
    <w:rsid w:val="002B1813"/>
    <w:rsid w:val="002B19B2"/>
    <w:rsid w:val="002B1A52"/>
    <w:rsid w:val="002B1D7A"/>
    <w:rsid w:val="002B1E4F"/>
    <w:rsid w:val="002B22BB"/>
    <w:rsid w:val="002B2984"/>
    <w:rsid w:val="002B2999"/>
    <w:rsid w:val="002B2FA6"/>
    <w:rsid w:val="002B3094"/>
    <w:rsid w:val="002B3550"/>
    <w:rsid w:val="002B35AA"/>
    <w:rsid w:val="002B3BE2"/>
    <w:rsid w:val="002B3EF3"/>
    <w:rsid w:val="002B3F31"/>
    <w:rsid w:val="002B40CA"/>
    <w:rsid w:val="002B44BA"/>
    <w:rsid w:val="002B46C9"/>
    <w:rsid w:val="002B5415"/>
    <w:rsid w:val="002B5DAE"/>
    <w:rsid w:val="002B601F"/>
    <w:rsid w:val="002B6505"/>
    <w:rsid w:val="002B661A"/>
    <w:rsid w:val="002B679A"/>
    <w:rsid w:val="002B680A"/>
    <w:rsid w:val="002B6D1A"/>
    <w:rsid w:val="002B723D"/>
    <w:rsid w:val="002B7988"/>
    <w:rsid w:val="002B798F"/>
    <w:rsid w:val="002B7B6D"/>
    <w:rsid w:val="002C0016"/>
    <w:rsid w:val="002C0792"/>
    <w:rsid w:val="002C0A5A"/>
    <w:rsid w:val="002C0CE3"/>
    <w:rsid w:val="002C0D51"/>
    <w:rsid w:val="002C115C"/>
    <w:rsid w:val="002C1391"/>
    <w:rsid w:val="002C226C"/>
    <w:rsid w:val="002C2498"/>
    <w:rsid w:val="002C31F6"/>
    <w:rsid w:val="002C35E8"/>
    <w:rsid w:val="002C3B57"/>
    <w:rsid w:val="002C3DC3"/>
    <w:rsid w:val="002C3EE2"/>
    <w:rsid w:val="002C4069"/>
    <w:rsid w:val="002C4996"/>
    <w:rsid w:val="002C4BCA"/>
    <w:rsid w:val="002C5234"/>
    <w:rsid w:val="002C53E9"/>
    <w:rsid w:val="002C5DCD"/>
    <w:rsid w:val="002C64BD"/>
    <w:rsid w:val="002C6B75"/>
    <w:rsid w:val="002C6FA0"/>
    <w:rsid w:val="002C72B5"/>
    <w:rsid w:val="002C777F"/>
    <w:rsid w:val="002C784C"/>
    <w:rsid w:val="002C7A8B"/>
    <w:rsid w:val="002C7B68"/>
    <w:rsid w:val="002C7E40"/>
    <w:rsid w:val="002D078C"/>
    <w:rsid w:val="002D080C"/>
    <w:rsid w:val="002D0F62"/>
    <w:rsid w:val="002D0F84"/>
    <w:rsid w:val="002D1A43"/>
    <w:rsid w:val="002D1C03"/>
    <w:rsid w:val="002D1E4B"/>
    <w:rsid w:val="002D2105"/>
    <w:rsid w:val="002D28B8"/>
    <w:rsid w:val="002D28F7"/>
    <w:rsid w:val="002D2D35"/>
    <w:rsid w:val="002D2EFD"/>
    <w:rsid w:val="002D3263"/>
    <w:rsid w:val="002D34C3"/>
    <w:rsid w:val="002D38C1"/>
    <w:rsid w:val="002D3935"/>
    <w:rsid w:val="002D44FA"/>
    <w:rsid w:val="002D47BE"/>
    <w:rsid w:val="002D4B55"/>
    <w:rsid w:val="002D4C0D"/>
    <w:rsid w:val="002D5E0B"/>
    <w:rsid w:val="002D631B"/>
    <w:rsid w:val="002D70A0"/>
    <w:rsid w:val="002D7238"/>
    <w:rsid w:val="002D7496"/>
    <w:rsid w:val="002D7636"/>
    <w:rsid w:val="002E008E"/>
    <w:rsid w:val="002E02F6"/>
    <w:rsid w:val="002E07F1"/>
    <w:rsid w:val="002E08E8"/>
    <w:rsid w:val="002E0DBE"/>
    <w:rsid w:val="002E13E3"/>
    <w:rsid w:val="002E20CB"/>
    <w:rsid w:val="002E25A1"/>
    <w:rsid w:val="002E2998"/>
    <w:rsid w:val="002E2B8F"/>
    <w:rsid w:val="002E2BD0"/>
    <w:rsid w:val="002E2F44"/>
    <w:rsid w:val="002E3493"/>
    <w:rsid w:val="002E3D0B"/>
    <w:rsid w:val="002E43A5"/>
    <w:rsid w:val="002E51F8"/>
    <w:rsid w:val="002E55CE"/>
    <w:rsid w:val="002E63E3"/>
    <w:rsid w:val="002E64C2"/>
    <w:rsid w:val="002E66F2"/>
    <w:rsid w:val="002E6948"/>
    <w:rsid w:val="002E6F80"/>
    <w:rsid w:val="002E73BB"/>
    <w:rsid w:val="002E7415"/>
    <w:rsid w:val="002E76B5"/>
    <w:rsid w:val="002E7D87"/>
    <w:rsid w:val="002E7FC2"/>
    <w:rsid w:val="002F022D"/>
    <w:rsid w:val="002F0506"/>
    <w:rsid w:val="002F0C14"/>
    <w:rsid w:val="002F111C"/>
    <w:rsid w:val="002F133D"/>
    <w:rsid w:val="002F2284"/>
    <w:rsid w:val="002F25E4"/>
    <w:rsid w:val="002F2726"/>
    <w:rsid w:val="002F27C9"/>
    <w:rsid w:val="002F35AC"/>
    <w:rsid w:val="002F3913"/>
    <w:rsid w:val="002F3B73"/>
    <w:rsid w:val="002F6446"/>
    <w:rsid w:val="002F6572"/>
    <w:rsid w:val="002F661B"/>
    <w:rsid w:val="002F667D"/>
    <w:rsid w:val="002F6BB1"/>
    <w:rsid w:val="002F7120"/>
    <w:rsid w:val="002F71DE"/>
    <w:rsid w:val="002F7356"/>
    <w:rsid w:val="002F7E0F"/>
    <w:rsid w:val="002F7FA0"/>
    <w:rsid w:val="003000B4"/>
    <w:rsid w:val="003003A6"/>
    <w:rsid w:val="00300A64"/>
    <w:rsid w:val="00300AA8"/>
    <w:rsid w:val="00300D1E"/>
    <w:rsid w:val="00300DF8"/>
    <w:rsid w:val="003018F0"/>
    <w:rsid w:val="00301972"/>
    <w:rsid w:val="00301F6A"/>
    <w:rsid w:val="0030274C"/>
    <w:rsid w:val="0030286C"/>
    <w:rsid w:val="003028CC"/>
    <w:rsid w:val="00302EE4"/>
    <w:rsid w:val="003034F7"/>
    <w:rsid w:val="003035CE"/>
    <w:rsid w:val="003037F8"/>
    <w:rsid w:val="003041F6"/>
    <w:rsid w:val="003041FA"/>
    <w:rsid w:val="003058E0"/>
    <w:rsid w:val="0030704B"/>
    <w:rsid w:val="0030725E"/>
    <w:rsid w:val="003073E7"/>
    <w:rsid w:val="003076B1"/>
    <w:rsid w:val="003104B0"/>
    <w:rsid w:val="00310D6B"/>
    <w:rsid w:val="00311568"/>
    <w:rsid w:val="0031160B"/>
    <w:rsid w:val="00311727"/>
    <w:rsid w:val="003118D2"/>
    <w:rsid w:val="00311B08"/>
    <w:rsid w:val="0031226C"/>
    <w:rsid w:val="00312A68"/>
    <w:rsid w:val="00312A7A"/>
    <w:rsid w:val="00312AA5"/>
    <w:rsid w:val="003137B3"/>
    <w:rsid w:val="00313DE5"/>
    <w:rsid w:val="0031480A"/>
    <w:rsid w:val="00314A2A"/>
    <w:rsid w:val="0031539D"/>
    <w:rsid w:val="00315B1F"/>
    <w:rsid w:val="00315C2F"/>
    <w:rsid w:val="0031653A"/>
    <w:rsid w:val="0031658B"/>
    <w:rsid w:val="003165CC"/>
    <w:rsid w:val="00316622"/>
    <w:rsid w:val="00316952"/>
    <w:rsid w:val="003174BA"/>
    <w:rsid w:val="00320827"/>
    <w:rsid w:val="003208BE"/>
    <w:rsid w:val="00320CB7"/>
    <w:rsid w:val="00321CAD"/>
    <w:rsid w:val="0032211D"/>
    <w:rsid w:val="003222B0"/>
    <w:rsid w:val="00322694"/>
    <w:rsid w:val="003226BF"/>
    <w:rsid w:val="0032285F"/>
    <w:rsid w:val="00322974"/>
    <w:rsid w:val="00322BFE"/>
    <w:rsid w:val="0032355F"/>
    <w:rsid w:val="00323688"/>
    <w:rsid w:val="00323E8A"/>
    <w:rsid w:val="00323F91"/>
    <w:rsid w:val="00324723"/>
    <w:rsid w:val="00324F52"/>
    <w:rsid w:val="00324FE2"/>
    <w:rsid w:val="0032517B"/>
    <w:rsid w:val="00325C2A"/>
    <w:rsid w:val="00326152"/>
    <w:rsid w:val="0032648C"/>
    <w:rsid w:val="00326594"/>
    <w:rsid w:val="00326772"/>
    <w:rsid w:val="00326855"/>
    <w:rsid w:val="00326A4E"/>
    <w:rsid w:val="00327191"/>
    <w:rsid w:val="0032733B"/>
    <w:rsid w:val="00327BBF"/>
    <w:rsid w:val="00327D6B"/>
    <w:rsid w:val="0033067A"/>
    <w:rsid w:val="00330877"/>
    <w:rsid w:val="00330F11"/>
    <w:rsid w:val="00330F82"/>
    <w:rsid w:val="0033109B"/>
    <w:rsid w:val="00331B40"/>
    <w:rsid w:val="00331B7D"/>
    <w:rsid w:val="00331E03"/>
    <w:rsid w:val="00331EF0"/>
    <w:rsid w:val="0033254F"/>
    <w:rsid w:val="003329AD"/>
    <w:rsid w:val="00332D24"/>
    <w:rsid w:val="003333CE"/>
    <w:rsid w:val="0033344E"/>
    <w:rsid w:val="003337CC"/>
    <w:rsid w:val="00333966"/>
    <w:rsid w:val="00333A45"/>
    <w:rsid w:val="00333FDC"/>
    <w:rsid w:val="003341EF"/>
    <w:rsid w:val="003342CD"/>
    <w:rsid w:val="0033477F"/>
    <w:rsid w:val="00334DC3"/>
    <w:rsid w:val="00334E6C"/>
    <w:rsid w:val="00334FFA"/>
    <w:rsid w:val="00335042"/>
    <w:rsid w:val="003359B0"/>
    <w:rsid w:val="003361AD"/>
    <w:rsid w:val="003364D9"/>
    <w:rsid w:val="00336BB6"/>
    <w:rsid w:val="00336CB1"/>
    <w:rsid w:val="003376A9"/>
    <w:rsid w:val="0034004B"/>
    <w:rsid w:val="00340AC4"/>
    <w:rsid w:val="00340C5D"/>
    <w:rsid w:val="00340C5E"/>
    <w:rsid w:val="00340E02"/>
    <w:rsid w:val="00341531"/>
    <w:rsid w:val="00341642"/>
    <w:rsid w:val="0034195A"/>
    <w:rsid w:val="00342040"/>
    <w:rsid w:val="00343631"/>
    <w:rsid w:val="00343C41"/>
    <w:rsid w:val="003441EC"/>
    <w:rsid w:val="00344BE8"/>
    <w:rsid w:val="00345325"/>
    <w:rsid w:val="0034678E"/>
    <w:rsid w:val="003467C6"/>
    <w:rsid w:val="00346961"/>
    <w:rsid w:val="00346AFB"/>
    <w:rsid w:val="003474E1"/>
    <w:rsid w:val="003476E0"/>
    <w:rsid w:val="003511F2"/>
    <w:rsid w:val="00351CDC"/>
    <w:rsid w:val="00351FA2"/>
    <w:rsid w:val="0035211D"/>
    <w:rsid w:val="00352452"/>
    <w:rsid w:val="00352848"/>
    <w:rsid w:val="003528D9"/>
    <w:rsid w:val="00353ADC"/>
    <w:rsid w:val="00353DE1"/>
    <w:rsid w:val="00353F0B"/>
    <w:rsid w:val="003548EB"/>
    <w:rsid w:val="00354DE2"/>
    <w:rsid w:val="0035518D"/>
    <w:rsid w:val="003552F8"/>
    <w:rsid w:val="0035568B"/>
    <w:rsid w:val="003556C8"/>
    <w:rsid w:val="00355872"/>
    <w:rsid w:val="00355927"/>
    <w:rsid w:val="003559AC"/>
    <w:rsid w:val="00355AAF"/>
    <w:rsid w:val="003561C2"/>
    <w:rsid w:val="003561D2"/>
    <w:rsid w:val="00356657"/>
    <w:rsid w:val="0035675F"/>
    <w:rsid w:val="00356C69"/>
    <w:rsid w:val="00356F47"/>
    <w:rsid w:val="00357323"/>
    <w:rsid w:val="003573A6"/>
    <w:rsid w:val="003573CA"/>
    <w:rsid w:val="00357733"/>
    <w:rsid w:val="00360C0A"/>
    <w:rsid w:val="00361994"/>
    <w:rsid w:val="00361E4E"/>
    <w:rsid w:val="00362868"/>
    <w:rsid w:val="00362B70"/>
    <w:rsid w:val="00362CCC"/>
    <w:rsid w:val="00363174"/>
    <w:rsid w:val="00363A01"/>
    <w:rsid w:val="003640CF"/>
    <w:rsid w:val="00364DEE"/>
    <w:rsid w:val="00364ED5"/>
    <w:rsid w:val="00364F49"/>
    <w:rsid w:val="00365379"/>
    <w:rsid w:val="00365596"/>
    <w:rsid w:val="00365C60"/>
    <w:rsid w:val="00365E7B"/>
    <w:rsid w:val="00366009"/>
    <w:rsid w:val="00366BB5"/>
    <w:rsid w:val="0036733F"/>
    <w:rsid w:val="0036766E"/>
    <w:rsid w:val="003677F3"/>
    <w:rsid w:val="00367A5E"/>
    <w:rsid w:val="00367DAC"/>
    <w:rsid w:val="00370395"/>
    <w:rsid w:val="0037097F"/>
    <w:rsid w:val="0037180D"/>
    <w:rsid w:val="00371D67"/>
    <w:rsid w:val="003721CC"/>
    <w:rsid w:val="00372593"/>
    <w:rsid w:val="00373853"/>
    <w:rsid w:val="00373CD2"/>
    <w:rsid w:val="003748A5"/>
    <w:rsid w:val="00374BB4"/>
    <w:rsid w:val="00374C88"/>
    <w:rsid w:val="00375209"/>
    <w:rsid w:val="003757CE"/>
    <w:rsid w:val="003757DC"/>
    <w:rsid w:val="0037602E"/>
    <w:rsid w:val="0037617D"/>
    <w:rsid w:val="0037638F"/>
    <w:rsid w:val="003764F3"/>
    <w:rsid w:val="00376A0D"/>
    <w:rsid w:val="00376C2A"/>
    <w:rsid w:val="00376CA1"/>
    <w:rsid w:val="00377076"/>
    <w:rsid w:val="0037737D"/>
    <w:rsid w:val="00377945"/>
    <w:rsid w:val="00377A9C"/>
    <w:rsid w:val="003808D1"/>
    <w:rsid w:val="00380D15"/>
    <w:rsid w:val="00380E13"/>
    <w:rsid w:val="00381107"/>
    <w:rsid w:val="00381333"/>
    <w:rsid w:val="00382710"/>
    <w:rsid w:val="00383A40"/>
    <w:rsid w:val="003847C4"/>
    <w:rsid w:val="00384A19"/>
    <w:rsid w:val="00384C7E"/>
    <w:rsid w:val="00384F75"/>
    <w:rsid w:val="00385DE1"/>
    <w:rsid w:val="00386059"/>
    <w:rsid w:val="003862F8"/>
    <w:rsid w:val="003864F4"/>
    <w:rsid w:val="003866AB"/>
    <w:rsid w:val="003867F2"/>
    <w:rsid w:val="003872C0"/>
    <w:rsid w:val="003901BB"/>
    <w:rsid w:val="00390552"/>
    <w:rsid w:val="00390576"/>
    <w:rsid w:val="003906B4"/>
    <w:rsid w:val="003908C4"/>
    <w:rsid w:val="00390DFE"/>
    <w:rsid w:val="00390F1E"/>
    <w:rsid w:val="00391FA0"/>
    <w:rsid w:val="00392987"/>
    <w:rsid w:val="00392BBA"/>
    <w:rsid w:val="00392C0C"/>
    <w:rsid w:val="00392C6C"/>
    <w:rsid w:val="00393C3E"/>
    <w:rsid w:val="00393E17"/>
    <w:rsid w:val="00393EA0"/>
    <w:rsid w:val="003941EE"/>
    <w:rsid w:val="00394283"/>
    <w:rsid w:val="00394D9B"/>
    <w:rsid w:val="00394F1A"/>
    <w:rsid w:val="0039546B"/>
    <w:rsid w:val="003954A8"/>
    <w:rsid w:val="003954FD"/>
    <w:rsid w:val="0039581C"/>
    <w:rsid w:val="00395F93"/>
    <w:rsid w:val="00396784"/>
    <w:rsid w:val="00396F37"/>
    <w:rsid w:val="00397654"/>
    <w:rsid w:val="00397A54"/>
    <w:rsid w:val="00397BC3"/>
    <w:rsid w:val="003A0454"/>
    <w:rsid w:val="003A096B"/>
    <w:rsid w:val="003A160F"/>
    <w:rsid w:val="003A1848"/>
    <w:rsid w:val="003A1881"/>
    <w:rsid w:val="003A1F91"/>
    <w:rsid w:val="003A2006"/>
    <w:rsid w:val="003A265A"/>
    <w:rsid w:val="003A278C"/>
    <w:rsid w:val="003A295B"/>
    <w:rsid w:val="003A340F"/>
    <w:rsid w:val="003A3667"/>
    <w:rsid w:val="003A375E"/>
    <w:rsid w:val="003A4389"/>
    <w:rsid w:val="003A4AF2"/>
    <w:rsid w:val="003A4C95"/>
    <w:rsid w:val="003A4E3E"/>
    <w:rsid w:val="003A53D7"/>
    <w:rsid w:val="003A5A07"/>
    <w:rsid w:val="003A6AFC"/>
    <w:rsid w:val="003A6DB3"/>
    <w:rsid w:val="003A6E2A"/>
    <w:rsid w:val="003A71E1"/>
    <w:rsid w:val="003A71E5"/>
    <w:rsid w:val="003A7339"/>
    <w:rsid w:val="003A75A3"/>
    <w:rsid w:val="003A7844"/>
    <w:rsid w:val="003A7A36"/>
    <w:rsid w:val="003B025A"/>
    <w:rsid w:val="003B0CE1"/>
    <w:rsid w:val="003B0D4C"/>
    <w:rsid w:val="003B0E00"/>
    <w:rsid w:val="003B16E7"/>
    <w:rsid w:val="003B19DD"/>
    <w:rsid w:val="003B1AF2"/>
    <w:rsid w:val="003B2760"/>
    <w:rsid w:val="003B294C"/>
    <w:rsid w:val="003B31F4"/>
    <w:rsid w:val="003B32CD"/>
    <w:rsid w:val="003B4356"/>
    <w:rsid w:val="003B58B2"/>
    <w:rsid w:val="003B64C5"/>
    <w:rsid w:val="003B64D5"/>
    <w:rsid w:val="003C0BA8"/>
    <w:rsid w:val="003C11EF"/>
    <w:rsid w:val="003C13C6"/>
    <w:rsid w:val="003C15BE"/>
    <w:rsid w:val="003C18D9"/>
    <w:rsid w:val="003C1AF6"/>
    <w:rsid w:val="003C1C4E"/>
    <w:rsid w:val="003C2270"/>
    <w:rsid w:val="003C25DD"/>
    <w:rsid w:val="003C27AB"/>
    <w:rsid w:val="003C322E"/>
    <w:rsid w:val="003C324D"/>
    <w:rsid w:val="003C4083"/>
    <w:rsid w:val="003C418B"/>
    <w:rsid w:val="003C445C"/>
    <w:rsid w:val="003C447C"/>
    <w:rsid w:val="003C4ACF"/>
    <w:rsid w:val="003C562E"/>
    <w:rsid w:val="003C5719"/>
    <w:rsid w:val="003C57CA"/>
    <w:rsid w:val="003C6AE2"/>
    <w:rsid w:val="003C6BE6"/>
    <w:rsid w:val="003C77D6"/>
    <w:rsid w:val="003C789F"/>
    <w:rsid w:val="003C7907"/>
    <w:rsid w:val="003C79E7"/>
    <w:rsid w:val="003C7B82"/>
    <w:rsid w:val="003D002E"/>
    <w:rsid w:val="003D0B99"/>
    <w:rsid w:val="003D13B9"/>
    <w:rsid w:val="003D1570"/>
    <w:rsid w:val="003D16FA"/>
    <w:rsid w:val="003D1718"/>
    <w:rsid w:val="003D1F3A"/>
    <w:rsid w:val="003D249E"/>
    <w:rsid w:val="003D25EA"/>
    <w:rsid w:val="003D25EE"/>
    <w:rsid w:val="003D2A0E"/>
    <w:rsid w:val="003D2AF7"/>
    <w:rsid w:val="003D2B87"/>
    <w:rsid w:val="003D2F11"/>
    <w:rsid w:val="003D3440"/>
    <w:rsid w:val="003D392B"/>
    <w:rsid w:val="003D3CEB"/>
    <w:rsid w:val="003D488D"/>
    <w:rsid w:val="003D4A84"/>
    <w:rsid w:val="003D4FC8"/>
    <w:rsid w:val="003D607F"/>
    <w:rsid w:val="003D60D7"/>
    <w:rsid w:val="003D7342"/>
    <w:rsid w:val="003D78F1"/>
    <w:rsid w:val="003E0411"/>
    <w:rsid w:val="003E0751"/>
    <w:rsid w:val="003E0B9F"/>
    <w:rsid w:val="003E0CC6"/>
    <w:rsid w:val="003E1076"/>
    <w:rsid w:val="003E1567"/>
    <w:rsid w:val="003E1685"/>
    <w:rsid w:val="003E19B8"/>
    <w:rsid w:val="003E1C28"/>
    <w:rsid w:val="003E1C8F"/>
    <w:rsid w:val="003E1CE3"/>
    <w:rsid w:val="003E2E87"/>
    <w:rsid w:val="003E3507"/>
    <w:rsid w:val="003E35FF"/>
    <w:rsid w:val="003E379F"/>
    <w:rsid w:val="003E3917"/>
    <w:rsid w:val="003E3A42"/>
    <w:rsid w:val="003E3F7B"/>
    <w:rsid w:val="003E471D"/>
    <w:rsid w:val="003E4749"/>
    <w:rsid w:val="003E47B6"/>
    <w:rsid w:val="003E47F4"/>
    <w:rsid w:val="003E488F"/>
    <w:rsid w:val="003E52C2"/>
    <w:rsid w:val="003E55E2"/>
    <w:rsid w:val="003E5697"/>
    <w:rsid w:val="003E572F"/>
    <w:rsid w:val="003E5C51"/>
    <w:rsid w:val="003E6635"/>
    <w:rsid w:val="003E6832"/>
    <w:rsid w:val="003E69D4"/>
    <w:rsid w:val="003E6CA3"/>
    <w:rsid w:val="003E702E"/>
    <w:rsid w:val="003E70A4"/>
    <w:rsid w:val="003E70FB"/>
    <w:rsid w:val="003E76CB"/>
    <w:rsid w:val="003E77BC"/>
    <w:rsid w:val="003E7E72"/>
    <w:rsid w:val="003F0208"/>
    <w:rsid w:val="003F0AC6"/>
    <w:rsid w:val="003F0B1A"/>
    <w:rsid w:val="003F12F5"/>
    <w:rsid w:val="003F17A4"/>
    <w:rsid w:val="003F1E7E"/>
    <w:rsid w:val="003F2227"/>
    <w:rsid w:val="003F2716"/>
    <w:rsid w:val="003F2974"/>
    <w:rsid w:val="003F3549"/>
    <w:rsid w:val="003F3B86"/>
    <w:rsid w:val="003F4028"/>
    <w:rsid w:val="003F42D9"/>
    <w:rsid w:val="003F43F1"/>
    <w:rsid w:val="003F4826"/>
    <w:rsid w:val="003F486D"/>
    <w:rsid w:val="003F4C36"/>
    <w:rsid w:val="003F526E"/>
    <w:rsid w:val="003F53F7"/>
    <w:rsid w:val="003F6480"/>
    <w:rsid w:val="003F6CAE"/>
    <w:rsid w:val="003F7C60"/>
    <w:rsid w:val="003F7C96"/>
    <w:rsid w:val="004000AE"/>
    <w:rsid w:val="00401191"/>
    <w:rsid w:val="00401895"/>
    <w:rsid w:val="00401B17"/>
    <w:rsid w:val="00401BB1"/>
    <w:rsid w:val="00402057"/>
    <w:rsid w:val="00402242"/>
    <w:rsid w:val="00402BE8"/>
    <w:rsid w:val="00403073"/>
    <w:rsid w:val="00403189"/>
    <w:rsid w:val="004036A4"/>
    <w:rsid w:val="00403A24"/>
    <w:rsid w:val="00403E56"/>
    <w:rsid w:val="00403EAE"/>
    <w:rsid w:val="004048C5"/>
    <w:rsid w:val="004049A9"/>
    <w:rsid w:val="004051C4"/>
    <w:rsid w:val="00405499"/>
    <w:rsid w:val="004057BB"/>
    <w:rsid w:val="00405BF5"/>
    <w:rsid w:val="00406063"/>
    <w:rsid w:val="00406280"/>
    <w:rsid w:val="00406487"/>
    <w:rsid w:val="00406707"/>
    <w:rsid w:val="00406FAB"/>
    <w:rsid w:val="004078C8"/>
    <w:rsid w:val="0041073D"/>
    <w:rsid w:val="00410D98"/>
    <w:rsid w:val="00411173"/>
    <w:rsid w:val="00411273"/>
    <w:rsid w:val="00411890"/>
    <w:rsid w:val="00411EDF"/>
    <w:rsid w:val="00412942"/>
    <w:rsid w:val="00412BB6"/>
    <w:rsid w:val="00413988"/>
    <w:rsid w:val="00413A92"/>
    <w:rsid w:val="00414091"/>
    <w:rsid w:val="004141BA"/>
    <w:rsid w:val="00414AD8"/>
    <w:rsid w:val="00414DDF"/>
    <w:rsid w:val="004152D8"/>
    <w:rsid w:val="00415B2F"/>
    <w:rsid w:val="0041678A"/>
    <w:rsid w:val="00416F38"/>
    <w:rsid w:val="00417214"/>
    <w:rsid w:val="00417E39"/>
    <w:rsid w:val="00420015"/>
    <w:rsid w:val="004201FE"/>
    <w:rsid w:val="00420269"/>
    <w:rsid w:val="0042041E"/>
    <w:rsid w:val="00420549"/>
    <w:rsid w:val="00420554"/>
    <w:rsid w:val="004210C6"/>
    <w:rsid w:val="00421627"/>
    <w:rsid w:val="004216DD"/>
    <w:rsid w:val="00422014"/>
    <w:rsid w:val="0042264E"/>
    <w:rsid w:val="004232B6"/>
    <w:rsid w:val="00423733"/>
    <w:rsid w:val="00423C5E"/>
    <w:rsid w:val="004247A5"/>
    <w:rsid w:val="00424A93"/>
    <w:rsid w:val="00424AB5"/>
    <w:rsid w:val="0042543E"/>
    <w:rsid w:val="004255BA"/>
    <w:rsid w:val="00425F42"/>
    <w:rsid w:val="00425FFD"/>
    <w:rsid w:val="004265B9"/>
    <w:rsid w:val="004271A7"/>
    <w:rsid w:val="00427C51"/>
    <w:rsid w:val="00427FB2"/>
    <w:rsid w:val="004300BC"/>
    <w:rsid w:val="00430191"/>
    <w:rsid w:val="004305F8"/>
    <w:rsid w:val="00430CD5"/>
    <w:rsid w:val="00431214"/>
    <w:rsid w:val="0043139E"/>
    <w:rsid w:val="00431451"/>
    <w:rsid w:val="00431D81"/>
    <w:rsid w:val="00431DFF"/>
    <w:rsid w:val="004337D8"/>
    <w:rsid w:val="00433BBC"/>
    <w:rsid w:val="00433E0C"/>
    <w:rsid w:val="00434A3F"/>
    <w:rsid w:val="00434E68"/>
    <w:rsid w:val="00434F7B"/>
    <w:rsid w:val="0043534A"/>
    <w:rsid w:val="004356E4"/>
    <w:rsid w:val="00435D50"/>
    <w:rsid w:val="00436952"/>
    <w:rsid w:val="004369EC"/>
    <w:rsid w:val="00440CA4"/>
    <w:rsid w:val="00440D4B"/>
    <w:rsid w:val="004413B6"/>
    <w:rsid w:val="0044179A"/>
    <w:rsid w:val="00441C7C"/>
    <w:rsid w:val="00441D31"/>
    <w:rsid w:val="00441D48"/>
    <w:rsid w:val="00442056"/>
    <w:rsid w:val="00442448"/>
    <w:rsid w:val="00442476"/>
    <w:rsid w:val="004424B4"/>
    <w:rsid w:val="004429A2"/>
    <w:rsid w:val="00442AE9"/>
    <w:rsid w:val="0044355A"/>
    <w:rsid w:val="00444BC9"/>
    <w:rsid w:val="004459B1"/>
    <w:rsid w:val="00445D0C"/>
    <w:rsid w:val="00445D37"/>
    <w:rsid w:val="00445EB1"/>
    <w:rsid w:val="00446031"/>
    <w:rsid w:val="004460D6"/>
    <w:rsid w:val="00446818"/>
    <w:rsid w:val="004468EF"/>
    <w:rsid w:val="00446930"/>
    <w:rsid w:val="00446D18"/>
    <w:rsid w:val="004470DA"/>
    <w:rsid w:val="00447726"/>
    <w:rsid w:val="00450599"/>
    <w:rsid w:val="00450C93"/>
    <w:rsid w:val="00450DEB"/>
    <w:rsid w:val="00450E36"/>
    <w:rsid w:val="0045154C"/>
    <w:rsid w:val="00451CB9"/>
    <w:rsid w:val="00451FB9"/>
    <w:rsid w:val="00452EDA"/>
    <w:rsid w:val="0045308C"/>
    <w:rsid w:val="0045349F"/>
    <w:rsid w:val="00454072"/>
    <w:rsid w:val="00454348"/>
    <w:rsid w:val="004546A8"/>
    <w:rsid w:val="004549E6"/>
    <w:rsid w:val="00454B7E"/>
    <w:rsid w:val="00454C9E"/>
    <w:rsid w:val="00454E2D"/>
    <w:rsid w:val="00454FA4"/>
    <w:rsid w:val="0045526E"/>
    <w:rsid w:val="004555FA"/>
    <w:rsid w:val="00456060"/>
    <w:rsid w:val="004575E2"/>
    <w:rsid w:val="0045777C"/>
    <w:rsid w:val="004577E7"/>
    <w:rsid w:val="00457EC4"/>
    <w:rsid w:val="00460704"/>
    <w:rsid w:val="00460A8C"/>
    <w:rsid w:val="0046120C"/>
    <w:rsid w:val="004616BD"/>
    <w:rsid w:val="00462095"/>
    <w:rsid w:val="00462629"/>
    <w:rsid w:val="00464356"/>
    <w:rsid w:val="0046463B"/>
    <w:rsid w:val="00464B7E"/>
    <w:rsid w:val="0046500C"/>
    <w:rsid w:val="0046632A"/>
    <w:rsid w:val="00466731"/>
    <w:rsid w:val="00466A85"/>
    <w:rsid w:val="00466DD5"/>
    <w:rsid w:val="00467361"/>
    <w:rsid w:val="00467759"/>
    <w:rsid w:val="004679A7"/>
    <w:rsid w:val="00467E83"/>
    <w:rsid w:val="004701D2"/>
    <w:rsid w:val="0047065D"/>
    <w:rsid w:val="00471873"/>
    <w:rsid w:val="00471F5A"/>
    <w:rsid w:val="0047265F"/>
    <w:rsid w:val="00472C24"/>
    <w:rsid w:val="00472EC9"/>
    <w:rsid w:val="004735E8"/>
    <w:rsid w:val="00473B71"/>
    <w:rsid w:val="00473F04"/>
    <w:rsid w:val="00474027"/>
    <w:rsid w:val="0047414C"/>
    <w:rsid w:val="004747A7"/>
    <w:rsid w:val="00474E32"/>
    <w:rsid w:val="00474F34"/>
    <w:rsid w:val="004753FC"/>
    <w:rsid w:val="0047559D"/>
    <w:rsid w:val="004755FE"/>
    <w:rsid w:val="00475B5C"/>
    <w:rsid w:val="00475D47"/>
    <w:rsid w:val="00475DD6"/>
    <w:rsid w:val="00475F6D"/>
    <w:rsid w:val="0047627C"/>
    <w:rsid w:val="004764DA"/>
    <w:rsid w:val="004765E5"/>
    <w:rsid w:val="004767DE"/>
    <w:rsid w:val="004769A7"/>
    <w:rsid w:val="004769CA"/>
    <w:rsid w:val="00477C7D"/>
    <w:rsid w:val="00480103"/>
    <w:rsid w:val="004801A5"/>
    <w:rsid w:val="004803BC"/>
    <w:rsid w:val="0048050C"/>
    <w:rsid w:val="00480789"/>
    <w:rsid w:val="00480DA9"/>
    <w:rsid w:val="00480E6F"/>
    <w:rsid w:val="004816E5"/>
    <w:rsid w:val="00481881"/>
    <w:rsid w:val="004819FC"/>
    <w:rsid w:val="00481BAF"/>
    <w:rsid w:val="0048207F"/>
    <w:rsid w:val="004821F3"/>
    <w:rsid w:val="00482B81"/>
    <w:rsid w:val="00482D4C"/>
    <w:rsid w:val="00483458"/>
    <w:rsid w:val="00483475"/>
    <w:rsid w:val="004838E4"/>
    <w:rsid w:val="00483B09"/>
    <w:rsid w:val="00483DC9"/>
    <w:rsid w:val="0048463A"/>
    <w:rsid w:val="00484F41"/>
    <w:rsid w:val="00485058"/>
    <w:rsid w:val="004854AF"/>
    <w:rsid w:val="0048556F"/>
    <w:rsid w:val="004863B0"/>
    <w:rsid w:val="004865B3"/>
    <w:rsid w:val="00486FA0"/>
    <w:rsid w:val="0048723A"/>
    <w:rsid w:val="004873C1"/>
    <w:rsid w:val="00487E6C"/>
    <w:rsid w:val="00490050"/>
    <w:rsid w:val="00490191"/>
    <w:rsid w:val="004901E7"/>
    <w:rsid w:val="0049048B"/>
    <w:rsid w:val="00490B1A"/>
    <w:rsid w:val="00490BF1"/>
    <w:rsid w:val="00491198"/>
    <w:rsid w:val="004914D8"/>
    <w:rsid w:val="0049198B"/>
    <w:rsid w:val="00491E5D"/>
    <w:rsid w:val="0049246F"/>
    <w:rsid w:val="0049250B"/>
    <w:rsid w:val="00492AAA"/>
    <w:rsid w:val="00492BF6"/>
    <w:rsid w:val="00493C93"/>
    <w:rsid w:val="00493EC2"/>
    <w:rsid w:val="00493FAD"/>
    <w:rsid w:val="00494E70"/>
    <w:rsid w:val="00494FE5"/>
    <w:rsid w:val="004953AA"/>
    <w:rsid w:val="00495518"/>
    <w:rsid w:val="00495638"/>
    <w:rsid w:val="00495FB9"/>
    <w:rsid w:val="0049669C"/>
    <w:rsid w:val="004977FE"/>
    <w:rsid w:val="00497ABC"/>
    <w:rsid w:val="00497D78"/>
    <w:rsid w:val="004A04E9"/>
    <w:rsid w:val="004A059E"/>
    <w:rsid w:val="004A10CE"/>
    <w:rsid w:val="004A1406"/>
    <w:rsid w:val="004A1638"/>
    <w:rsid w:val="004A186B"/>
    <w:rsid w:val="004A1AEF"/>
    <w:rsid w:val="004A1E41"/>
    <w:rsid w:val="004A22A7"/>
    <w:rsid w:val="004A27A8"/>
    <w:rsid w:val="004A2EB4"/>
    <w:rsid w:val="004A3018"/>
    <w:rsid w:val="004A3AA7"/>
    <w:rsid w:val="004A3B9C"/>
    <w:rsid w:val="004A3DCF"/>
    <w:rsid w:val="004A3EC9"/>
    <w:rsid w:val="004A3FF9"/>
    <w:rsid w:val="004A4499"/>
    <w:rsid w:val="004A4706"/>
    <w:rsid w:val="004A4B0B"/>
    <w:rsid w:val="004A5650"/>
    <w:rsid w:val="004A5808"/>
    <w:rsid w:val="004A5988"/>
    <w:rsid w:val="004A6A5B"/>
    <w:rsid w:val="004A70F0"/>
    <w:rsid w:val="004A7593"/>
    <w:rsid w:val="004A7C16"/>
    <w:rsid w:val="004B010E"/>
    <w:rsid w:val="004B02CE"/>
    <w:rsid w:val="004B08A2"/>
    <w:rsid w:val="004B09AD"/>
    <w:rsid w:val="004B0AC2"/>
    <w:rsid w:val="004B1EA7"/>
    <w:rsid w:val="004B1F2B"/>
    <w:rsid w:val="004B32D0"/>
    <w:rsid w:val="004B340D"/>
    <w:rsid w:val="004B3B27"/>
    <w:rsid w:val="004B3C0F"/>
    <w:rsid w:val="004B3F85"/>
    <w:rsid w:val="004B4A3C"/>
    <w:rsid w:val="004B4D53"/>
    <w:rsid w:val="004B4FD8"/>
    <w:rsid w:val="004B512D"/>
    <w:rsid w:val="004B52B0"/>
    <w:rsid w:val="004B58B6"/>
    <w:rsid w:val="004B5D1D"/>
    <w:rsid w:val="004B605C"/>
    <w:rsid w:val="004B615B"/>
    <w:rsid w:val="004B6B56"/>
    <w:rsid w:val="004B7058"/>
    <w:rsid w:val="004B770F"/>
    <w:rsid w:val="004B7B98"/>
    <w:rsid w:val="004B7D97"/>
    <w:rsid w:val="004B7DFF"/>
    <w:rsid w:val="004C05E4"/>
    <w:rsid w:val="004C0BB9"/>
    <w:rsid w:val="004C0E7D"/>
    <w:rsid w:val="004C0F79"/>
    <w:rsid w:val="004C11AA"/>
    <w:rsid w:val="004C14A6"/>
    <w:rsid w:val="004C18F2"/>
    <w:rsid w:val="004C19AA"/>
    <w:rsid w:val="004C2158"/>
    <w:rsid w:val="004C2245"/>
    <w:rsid w:val="004C28DF"/>
    <w:rsid w:val="004C2C51"/>
    <w:rsid w:val="004C2E00"/>
    <w:rsid w:val="004C35E4"/>
    <w:rsid w:val="004C3776"/>
    <w:rsid w:val="004C3D02"/>
    <w:rsid w:val="004C400E"/>
    <w:rsid w:val="004C41FA"/>
    <w:rsid w:val="004C464F"/>
    <w:rsid w:val="004C46AC"/>
    <w:rsid w:val="004C4D77"/>
    <w:rsid w:val="004C5724"/>
    <w:rsid w:val="004C647C"/>
    <w:rsid w:val="004C6AB7"/>
    <w:rsid w:val="004C6D2B"/>
    <w:rsid w:val="004C6FC6"/>
    <w:rsid w:val="004C756A"/>
    <w:rsid w:val="004C76AA"/>
    <w:rsid w:val="004C78C9"/>
    <w:rsid w:val="004D0483"/>
    <w:rsid w:val="004D0703"/>
    <w:rsid w:val="004D0AC5"/>
    <w:rsid w:val="004D10A2"/>
    <w:rsid w:val="004D1423"/>
    <w:rsid w:val="004D14B1"/>
    <w:rsid w:val="004D14EE"/>
    <w:rsid w:val="004D1522"/>
    <w:rsid w:val="004D178E"/>
    <w:rsid w:val="004D20F0"/>
    <w:rsid w:val="004D27AC"/>
    <w:rsid w:val="004D2868"/>
    <w:rsid w:val="004D2A5F"/>
    <w:rsid w:val="004D2CDE"/>
    <w:rsid w:val="004D317A"/>
    <w:rsid w:val="004D3359"/>
    <w:rsid w:val="004D374F"/>
    <w:rsid w:val="004D3F0A"/>
    <w:rsid w:val="004D410F"/>
    <w:rsid w:val="004D4531"/>
    <w:rsid w:val="004D4AE5"/>
    <w:rsid w:val="004D4D3B"/>
    <w:rsid w:val="004D4E79"/>
    <w:rsid w:val="004D559E"/>
    <w:rsid w:val="004D5B1A"/>
    <w:rsid w:val="004D62A1"/>
    <w:rsid w:val="004D70CE"/>
    <w:rsid w:val="004D71F5"/>
    <w:rsid w:val="004D747C"/>
    <w:rsid w:val="004D7676"/>
    <w:rsid w:val="004D7938"/>
    <w:rsid w:val="004D7E49"/>
    <w:rsid w:val="004D7ED3"/>
    <w:rsid w:val="004E0AB1"/>
    <w:rsid w:val="004E0DFC"/>
    <w:rsid w:val="004E1115"/>
    <w:rsid w:val="004E148B"/>
    <w:rsid w:val="004E18EE"/>
    <w:rsid w:val="004E2D25"/>
    <w:rsid w:val="004E2D26"/>
    <w:rsid w:val="004E2EE7"/>
    <w:rsid w:val="004E3181"/>
    <w:rsid w:val="004E339C"/>
    <w:rsid w:val="004E3590"/>
    <w:rsid w:val="004E39E1"/>
    <w:rsid w:val="004E3C8F"/>
    <w:rsid w:val="004E3FE0"/>
    <w:rsid w:val="004E4665"/>
    <w:rsid w:val="004E4B1D"/>
    <w:rsid w:val="004E5681"/>
    <w:rsid w:val="004E5DF8"/>
    <w:rsid w:val="004E6029"/>
    <w:rsid w:val="004E63BD"/>
    <w:rsid w:val="004E63FC"/>
    <w:rsid w:val="004E64BC"/>
    <w:rsid w:val="004E65D4"/>
    <w:rsid w:val="004E6807"/>
    <w:rsid w:val="004E6B4B"/>
    <w:rsid w:val="004E6C07"/>
    <w:rsid w:val="004E7D03"/>
    <w:rsid w:val="004E7DC4"/>
    <w:rsid w:val="004E7F28"/>
    <w:rsid w:val="004F00BA"/>
    <w:rsid w:val="004F011F"/>
    <w:rsid w:val="004F02BE"/>
    <w:rsid w:val="004F03F4"/>
    <w:rsid w:val="004F05A7"/>
    <w:rsid w:val="004F0C39"/>
    <w:rsid w:val="004F0D7B"/>
    <w:rsid w:val="004F0F88"/>
    <w:rsid w:val="004F14C9"/>
    <w:rsid w:val="004F16CC"/>
    <w:rsid w:val="004F17C3"/>
    <w:rsid w:val="004F1EB5"/>
    <w:rsid w:val="004F20B1"/>
    <w:rsid w:val="004F2532"/>
    <w:rsid w:val="004F296A"/>
    <w:rsid w:val="004F398E"/>
    <w:rsid w:val="004F3BF3"/>
    <w:rsid w:val="004F4720"/>
    <w:rsid w:val="004F488F"/>
    <w:rsid w:val="004F4A11"/>
    <w:rsid w:val="004F4C00"/>
    <w:rsid w:val="004F500B"/>
    <w:rsid w:val="004F5091"/>
    <w:rsid w:val="004F567D"/>
    <w:rsid w:val="004F56B5"/>
    <w:rsid w:val="004F56D0"/>
    <w:rsid w:val="004F58F0"/>
    <w:rsid w:val="004F5C0D"/>
    <w:rsid w:val="004F6568"/>
    <w:rsid w:val="004F7122"/>
    <w:rsid w:val="004F7A58"/>
    <w:rsid w:val="004F7DAD"/>
    <w:rsid w:val="00500538"/>
    <w:rsid w:val="0050088D"/>
    <w:rsid w:val="005014B4"/>
    <w:rsid w:val="0050235E"/>
    <w:rsid w:val="005024F3"/>
    <w:rsid w:val="00502760"/>
    <w:rsid w:val="00502C12"/>
    <w:rsid w:val="00502EA0"/>
    <w:rsid w:val="00503035"/>
    <w:rsid w:val="005037AD"/>
    <w:rsid w:val="00503A99"/>
    <w:rsid w:val="00503E44"/>
    <w:rsid w:val="00504288"/>
    <w:rsid w:val="00504FF5"/>
    <w:rsid w:val="00505A1F"/>
    <w:rsid w:val="0050636F"/>
    <w:rsid w:val="0050640A"/>
    <w:rsid w:val="0050656C"/>
    <w:rsid w:val="00506CAF"/>
    <w:rsid w:val="0050777E"/>
    <w:rsid w:val="0051001C"/>
    <w:rsid w:val="0051107D"/>
    <w:rsid w:val="005116CC"/>
    <w:rsid w:val="005116E5"/>
    <w:rsid w:val="005117BB"/>
    <w:rsid w:val="00511859"/>
    <w:rsid w:val="00511CE7"/>
    <w:rsid w:val="005125AE"/>
    <w:rsid w:val="005134CC"/>
    <w:rsid w:val="00513B1A"/>
    <w:rsid w:val="00513FE8"/>
    <w:rsid w:val="0051429B"/>
    <w:rsid w:val="00514557"/>
    <w:rsid w:val="005145D6"/>
    <w:rsid w:val="00514878"/>
    <w:rsid w:val="00514F36"/>
    <w:rsid w:val="00514FF5"/>
    <w:rsid w:val="00515283"/>
    <w:rsid w:val="0051549A"/>
    <w:rsid w:val="00515D93"/>
    <w:rsid w:val="00516F20"/>
    <w:rsid w:val="00516FC9"/>
    <w:rsid w:val="00517BA2"/>
    <w:rsid w:val="00517DF4"/>
    <w:rsid w:val="00520192"/>
    <w:rsid w:val="0052027C"/>
    <w:rsid w:val="005207D9"/>
    <w:rsid w:val="005217DC"/>
    <w:rsid w:val="0052195B"/>
    <w:rsid w:val="00521BB9"/>
    <w:rsid w:val="00521D48"/>
    <w:rsid w:val="00521F5A"/>
    <w:rsid w:val="00522500"/>
    <w:rsid w:val="005227CE"/>
    <w:rsid w:val="00522D28"/>
    <w:rsid w:val="00522F2F"/>
    <w:rsid w:val="0052315A"/>
    <w:rsid w:val="005231C5"/>
    <w:rsid w:val="00523276"/>
    <w:rsid w:val="00523457"/>
    <w:rsid w:val="00523A24"/>
    <w:rsid w:val="00523C25"/>
    <w:rsid w:val="00523E88"/>
    <w:rsid w:val="00524369"/>
    <w:rsid w:val="00524AF8"/>
    <w:rsid w:val="00524BB6"/>
    <w:rsid w:val="005254D2"/>
    <w:rsid w:val="00525DCF"/>
    <w:rsid w:val="00526841"/>
    <w:rsid w:val="00526DCC"/>
    <w:rsid w:val="00527260"/>
    <w:rsid w:val="00527509"/>
    <w:rsid w:val="005276AF"/>
    <w:rsid w:val="005279BD"/>
    <w:rsid w:val="00527A47"/>
    <w:rsid w:val="00527E1B"/>
    <w:rsid w:val="00527FF3"/>
    <w:rsid w:val="005303ED"/>
    <w:rsid w:val="00530B62"/>
    <w:rsid w:val="00530F74"/>
    <w:rsid w:val="00531375"/>
    <w:rsid w:val="0053151F"/>
    <w:rsid w:val="005316A1"/>
    <w:rsid w:val="0053239F"/>
    <w:rsid w:val="005323FD"/>
    <w:rsid w:val="00533109"/>
    <w:rsid w:val="005337FC"/>
    <w:rsid w:val="00533926"/>
    <w:rsid w:val="00533C6B"/>
    <w:rsid w:val="005340CD"/>
    <w:rsid w:val="00534379"/>
    <w:rsid w:val="005344E5"/>
    <w:rsid w:val="00535982"/>
    <w:rsid w:val="005359C5"/>
    <w:rsid w:val="00535D0F"/>
    <w:rsid w:val="00535E8D"/>
    <w:rsid w:val="00535EB7"/>
    <w:rsid w:val="00537056"/>
    <w:rsid w:val="005370EF"/>
    <w:rsid w:val="00537607"/>
    <w:rsid w:val="00537CA8"/>
    <w:rsid w:val="00537F84"/>
    <w:rsid w:val="00537FB7"/>
    <w:rsid w:val="005404A8"/>
    <w:rsid w:val="0054062E"/>
    <w:rsid w:val="00540DA1"/>
    <w:rsid w:val="0054113D"/>
    <w:rsid w:val="005411D1"/>
    <w:rsid w:val="0054128D"/>
    <w:rsid w:val="005412D2"/>
    <w:rsid w:val="00541DA6"/>
    <w:rsid w:val="00541E86"/>
    <w:rsid w:val="00541EA1"/>
    <w:rsid w:val="005424F8"/>
    <w:rsid w:val="005425EE"/>
    <w:rsid w:val="00542873"/>
    <w:rsid w:val="005431EA"/>
    <w:rsid w:val="00543254"/>
    <w:rsid w:val="00543430"/>
    <w:rsid w:val="00544371"/>
    <w:rsid w:val="00544764"/>
    <w:rsid w:val="00544DA2"/>
    <w:rsid w:val="005453BF"/>
    <w:rsid w:val="005461DE"/>
    <w:rsid w:val="00546503"/>
    <w:rsid w:val="005465AD"/>
    <w:rsid w:val="0054708B"/>
    <w:rsid w:val="00547095"/>
    <w:rsid w:val="005470F2"/>
    <w:rsid w:val="00550846"/>
    <w:rsid w:val="0055084E"/>
    <w:rsid w:val="00551628"/>
    <w:rsid w:val="0055163B"/>
    <w:rsid w:val="005519EE"/>
    <w:rsid w:val="00552471"/>
    <w:rsid w:val="00552995"/>
    <w:rsid w:val="005530D9"/>
    <w:rsid w:val="005532B7"/>
    <w:rsid w:val="0055342F"/>
    <w:rsid w:val="00553B13"/>
    <w:rsid w:val="005540BF"/>
    <w:rsid w:val="00554304"/>
    <w:rsid w:val="005549D5"/>
    <w:rsid w:val="005550D0"/>
    <w:rsid w:val="0055520B"/>
    <w:rsid w:val="00555CF0"/>
    <w:rsid w:val="00555F80"/>
    <w:rsid w:val="0055642B"/>
    <w:rsid w:val="0055675D"/>
    <w:rsid w:val="0055685D"/>
    <w:rsid w:val="00556E95"/>
    <w:rsid w:val="005570A7"/>
    <w:rsid w:val="005570BB"/>
    <w:rsid w:val="005573C4"/>
    <w:rsid w:val="0056112B"/>
    <w:rsid w:val="005615DC"/>
    <w:rsid w:val="00561DB9"/>
    <w:rsid w:val="00561FB0"/>
    <w:rsid w:val="00562E5F"/>
    <w:rsid w:val="00562FD3"/>
    <w:rsid w:val="00563BD2"/>
    <w:rsid w:val="00564071"/>
    <w:rsid w:val="005642BF"/>
    <w:rsid w:val="005643DD"/>
    <w:rsid w:val="005647AF"/>
    <w:rsid w:val="00564E70"/>
    <w:rsid w:val="00564FBE"/>
    <w:rsid w:val="00564FC2"/>
    <w:rsid w:val="0056556B"/>
    <w:rsid w:val="005659CA"/>
    <w:rsid w:val="00566044"/>
    <w:rsid w:val="005661DD"/>
    <w:rsid w:val="005668DC"/>
    <w:rsid w:val="00566E8F"/>
    <w:rsid w:val="00567369"/>
    <w:rsid w:val="00567501"/>
    <w:rsid w:val="005679E4"/>
    <w:rsid w:val="00567F55"/>
    <w:rsid w:val="0057057C"/>
    <w:rsid w:val="00570955"/>
    <w:rsid w:val="005709DE"/>
    <w:rsid w:val="00571537"/>
    <w:rsid w:val="00571AAE"/>
    <w:rsid w:val="005725B3"/>
    <w:rsid w:val="005726BA"/>
    <w:rsid w:val="005728CD"/>
    <w:rsid w:val="005729E7"/>
    <w:rsid w:val="00573285"/>
    <w:rsid w:val="00573FFC"/>
    <w:rsid w:val="0057422E"/>
    <w:rsid w:val="005747DE"/>
    <w:rsid w:val="00574AA9"/>
    <w:rsid w:val="00575037"/>
    <w:rsid w:val="0057589F"/>
    <w:rsid w:val="00575925"/>
    <w:rsid w:val="00576B91"/>
    <w:rsid w:val="00576BEF"/>
    <w:rsid w:val="00576DB9"/>
    <w:rsid w:val="00577482"/>
    <w:rsid w:val="005802F7"/>
    <w:rsid w:val="0058045B"/>
    <w:rsid w:val="00580784"/>
    <w:rsid w:val="00580B5F"/>
    <w:rsid w:val="00580C92"/>
    <w:rsid w:val="0058101A"/>
    <w:rsid w:val="00581C42"/>
    <w:rsid w:val="0058211A"/>
    <w:rsid w:val="00582961"/>
    <w:rsid w:val="00582D88"/>
    <w:rsid w:val="005832E8"/>
    <w:rsid w:val="005833BE"/>
    <w:rsid w:val="00583500"/>
    <w:rsid w:val="00584988"/>
    <w:rsid w:val="00584C93"/>
    <w:rsid w:val="005858FB"/>
    <w:rsid w:val="005859E0"/>
    <w:rsid w:val="00586E85"/>
    <w:rsid w:val="0058708F"/>
    <w:rsid w:val="00587C9F"/>
    <w:rsid w:val="00587D7E"/>
    <w:rsid w:val="005904A1"/>
    <w:rsid w:val="00590694"/>
    <w:rsid w:val="005906A1"/>
    <w:rsid w:val="00590AA2"/>
    <w:rsid w:val="00591013"/>
    <w:rsid w:val="0059101E"/>
    <w:rsid w:val="005912D3"/>
    <w:rsid w:val="00591A9F"/>
    <w:rsid w:val="005922B0"/>
    <w:rsid w:val="005929DE"/>
    <w:rsid w:val="00592AF0"/>
    <w:rsid w:val="00592F5F"/>
    <w:rsid w:val="00592FFA"/>
    <w:rsid w:val="0059302A"/>
    <w:rsid w:val="005938A5"/>
    <w:rsid w:val="005938C0"/>
    <w:rsid w:val="00594049"/>
    <w:rsid w:val="005947E6"/>
    <w:rsid w:val="00594BE3"/>
    <w:rsid w:val="00594E27"/>
    <w:rsid w:val="0059521D"/>
    <w:rsid w:val="00595304"/>
    <w:rsid w:val="00595552"/>
    <w:rsid w:val="005956BD"/>
    <w:rsid w:val="00595B2B"/>
    <w:rsid w:val="00596257"/>
    <w:rsid w:val="0059693D"/>
    <w:rsid w:val="00596A08"/>
    <w:rsid w:val="00597368"/>
    <w:rsid w:val="00597490"/>
    <w:rsid w:val="00597C9F"/>
    <w:rsid w:val="00597CFD"/>
    <w:rsid w:val="00597E15"/>
    <w:rsid w:val="005A0643"/>
    <w:rsid w:val="005A065B"/>
    <w:rsid w:val="005A071A"/>
    <w:rsid w:val="005A0776"/>
    <w:rsid w:val="005A0BF7"/>
    <w:rsid w:val="005A0C16"/>
    <w:rsid w:val="005A0E11"/>
    <w:rsid w:val="005A0EDB"/>
    <w:rsid w:val="005A13DF"/>
    <w:rsid w:val="005A1B45"/>
    <w:rsid w:val="005A2572"/>
    <w:rsid w:val="005A26F5"/>
    <w:rsid w:val="005A28EE"/>
    <w:rsid w:val="005A2A5D"/>
    <w:rsid w:val="005A3B3A"/>
    <w:rsid w:val="005A3F04"/>
    <w:rsid w:val="005A3FEF"/>
    <w:rsid w:val="005A4BFC"/>
    <w:rsid w:val="005A51FA"/>
    <w:rsid w:val="005A5466"/>
    <w:rsid w:val="005A5535"/>
    <w:rsid w:val="005A5608"/>
    <w:rsid w:val="005A5629"/>
    <w:rsid w:val="005A5777"/>
    <w:rsid w:val="005A589B"/>
    <w:rsid w:val="005A5F9D"/>
    <w:rsid w:val="005A5FD1"/>
    <w:rsid w:val="005A681B"/>
    <w:rsid w:val="005A7BF9"/>
    <w:rsid w:val="005A7D7B"/>
    <w:rsid w:val="005B092E"/>
    <w:rsid w:val="005B0E73"/>
    <w:rsid w:val="005B0F07"/>
    <w:rsid w:val="005B12CE"/>
    <w:rsid w:val="005B1B86"/>
    <w:rsid w:val="005B1BBA"/>
    <w:rsid w:val="005B1C46"/>
    <w:rsid w:val="005B1DFC"/>
    <w:rsid w:val="005B1EB0"/>
    <w:rsid w:val="005B2673"/>
    <w:rsid w:val="005B2C66"/>
    <w:rsid w:val="005B313E"/>
    <w:rsid w:val="005B3373"/>
    <w:rsid w:val="005B34EC"/>
    <w:rsid w:val="005B36E2"/>
    <w:rsid w:val="005B3AF1"/>
    <w:rsid w:val="005B4121"/>
    <w:rsid w:val="005B4420"/>
    <w:rsid w:val="005B466D"/>
    <w:rsid w:val="005B47FB"/>
    <w:rsid w:val="005B481D"/>
    <w:rsid w:val="005B4B49"/>
    <w:rsid w:val="005B54BC"/>
    <w:rsid w:val="005B60FB"/>
    <w:rsid w:val="005B637B"/>
    <w:rsid w:val="005B6C80"/>
    <w:rsid w:val="005B7243"/>
    <w:rsid w:val="005B7512"/>
    <w:rsid w:val="005B754A"/>
    <w:rsid w:val="005B76DF"/>
    <w:rsid w:val="005B7984"/>
    <w:rsid w:val="005B7F85"/>
    <w:rsid w:val="005C032C"/>
    <w:rsid w:val="005C0D55"/>
    <w:rsid w:val="005C0DF0"/>
    <w:rsid w:val="005C1576"/>
    <w:rsid w:val="005C26F0"/>
    <w:rsid w:val="005C2AFD"/>
    <w:rsid w:val="005C2BF6"/>
    <w:rsid w:val="005C2DEB"/>
    <w:rsid w:val="005C30DB"/>
    <w:rsid w:val="005C322F"/>
    <w:rsid w:val="005C3797"/>
    <w:rsid w:val="005C403E"/>
    <w:rsid w:val="005C41D5"/>
    <w:rsid w:val="005C4907"/>
    <w:rsid w:val="005C4B06"/>
    <w:rsid w:val="005C50F1"/>
    <w:rsid w:val="005C566C"/>
    <w:rsid w:val="005C5E3A"/>
    <w:rsid w:val="005C5EDB"/>
    <w:rsid w:val="005C73D6"/>
    <w:rsid w:val="005C7C82"/>
    <w:rsid w:val="005C7CF5"/>
    <w:rsid w:val="005D0261"/>
    <w:rsid w:val="005D09BD"/>
    <w:rsid w:val="005D0AFE"/>
    <w:rsid w:val="005D0E92"/>
    <w:rsid w:val="005D1C5B"/>
    <w:rsid w:val="005D1DF9"/>
    <w:rsid w:val="005D2168"/>
    <w:rsid w:val="005D2757"/>
    <w:rsid w:val="005D3253"/>
    <w:rsid w:val="005D325B"/>
    <w:rsid w:val="005D33FA"/>
    <w:rsid w:val="005D3523"/>
    <w:rsid w:val="005D4575"/>
    <w:rsid w:val="005D48F7"/>
    <w:rsid w:val="005D4C4D"/>
    <w:rsid w:val="005D4F66"/>
    <w:rsid w:val="005D5207"/>
    <w:rsid w:val="005D55D0"/>
    <w:rsid w:val="005D6892"/>
    <w:rsid w:val="005D6921"/>
    <w:rsid w:val="005D6B2C"/>
    <w:rsid w:val="005D72CA"/>
    <w:rsid w:val="005D7D5A"/>
    <w:rsid w:val="005D7E35"/>
    <w:rsid w:val="005E0971"/>
    <w:rsid w:val="005E0EBE"/>
    <w:rsid w:val="005E1133"/>
    <w:rsid w:val="005E1863"/>
    <w:rsid w:val="005E2802"/>
    <w:rsid w:val="005E2A8B"/>
    <w:rsid w:val="005E318B"/>
    <w:rsid w:val="005E3542"/>
    <w:rsid w:val="005E3B99"/>
    <w:rsid w:val="005E4792"/>
    <w:rsid w:val="005E4BAC"/>
    <w:rsid w:val="005E4DBA"/>
    <w:rsid w:val="005E5046"/>
    <w:rsid w:val="005E5399"/>
    <w:rsid w:val="005E580A"/>
    <w:rsid w:val="005E6291"/>
    <w:rsid w:val="005E63FF"/>
    <w:rsid w:val="005E6475"/>
    <w:rsid w:val="005E7448"/>
    <w:rsid w:val="005F02C8"/>
    <w:rsid w:val="005F0952"/>
    <w:rsid w:val="005F0ABE"/>
    <w:rsid w:val="005F118A"/>
    <w:rsid w:val="005F17C1"/>
    <w:rsid w:val="005F196C"/>
    <w:rsid w:val="005F19E8"/>
    <w:rsid w:val="005F1BC2"/>
    <w:rsid w:val="005F225D"/>
    <w:rsid w:val="005F28AA"/>
    <w:rsid w:val="005F3B02"/>
    <w:rsid w:val="005F3CB7"/>
    <w:rsid w:val="005F3F97"/>
    <w:rsid w:val="005F45F6"/>
    <w:rsid w:val="005F4AC4"/>
    <w:rsid w:val="005F50BB"/>
    <w:rsid w:val="005F51E4"/>
    <w:rsid w:val="005F5640"/>
    <w:rsid w:val="005F5929"/>
    <w:rsid w:val="005F592B"/>
    <w:rsid w:val="005F5F47"/>
    <w:rsid w:val="005F5F76"/>
    <w:rsid w:val="005F6164"/>
    <w:rsid w:val="005F6A11"/>
    <w:rsid w:val="005F7CCE"/>
    <w:rsid w:val="0060007D"/>
    <w:rsid w:val="00600C9F"/>
    <w:rsid w:val="00600E61"/>
    <w:rsid w:val="0060106E"/>
    <w:rsid w:val="0060130D"/>
    <w:rsid w:val="00601526"/>
    <w:rsid w:val="006017F1"/>
    <w:rsid w:val="00602915"/>
    <w:rsid w:val="00602F05"/>
    <w:rsid w:val="0060310A"/>
    <w:rsid w:val="006036D5"/>
    <w:rsid w:val="00603E7B"/>
    <w:rsid w:val="00604522"/>
    <w:rsid w:val="006046FA"/>
    <w:rsid w:val="006048AD"/>
    <w:rsid w:val="0060560B"/>
    <w:rsid w:val="00605F2C"/>
    <w:rsid w:val="00605FA4"/>
    <w:rsid w:val="00606453"/>
    <w:rsid w:val="0060665D"/>
    <w:rsid w:val="00606671"/>
    <w:rsid w:val="00606C4D"/>
    <w:rsid w:val="00606C8C"/>
    <w:rsid w:val="00606F84"/>
    <w:rsid w:val="0060728D"/>
    <w:rsid w:val="00607361"/>
    <w:rsid w:val="006075AF"/>
    <w:rsid w:val="0060766F"/>
    <w:rsid w:val="00607894"/>
    <w:rsid w:val="006100E5"/>
    <w:rsid w:val="00610245"/>
    <w:rsid w:val="006114E9"/>
    <w:rsid w:val="0061168B"/>
    <w:rsid w:val="00611716"/>
    <w:rsid w:val="00611BB8"/>
    <w:rsid w:val="00612329"/>
    <w:rsid w:val="006126A6"/>
    <w:rsid w:val="0061271A"/>
    <w:rsid w:val="00612800"/>
    <w:rsid w:val="00612A9D"/>
    <w:rsid w:val="0061354D"/>
    <w:rsid w:val="006137A6"/>
    <w:rsid w:val="00613B16"/>
    <w:rsid w:val="00613D61"/>
    <w:rsid w:val="00614058"/>
    <w:rsid w:val="006142ED"/>
    <w:rsid w:val="00614BC5"/>
    <w:rsid w:val="00614D9B"/>
    <w:rsid w:val="00615509"/>
    <w:rsid w:val="0061556B"/>
    <w:rsid w:val="00615574"/>
    <w:rsid w:val="006158D8"/>
    <w:rsid w:val="00615B59"/>
    <w:rsid w:val="00615F3A"/>
    <w:rsid w:val="006160BF"/>
    <w:rsid w:val="00616135"/>
    <w:rsid w:val="00616226"/>
    <w:rsid w:val="006167AA"/>
    <w:rsid w:val="0061709F"/>
    <w:rsid w:val="00617540"/>
    <w:rsid w:val="00617648"/>
    <w:rsid w:val="00617696"/>
    <w:rsid w:val="00617B1E"/>
    <w:rsid w:val="00620114"/>
    <w:rsid w:val="00620766"/>
    <w:rsid w:val="00620A2D"/>
    <w:rsid w:val="00620CF2"/>
    <w:rsid w:val="006216EB"/>
    <w:rsid w:val="00621B82"/>
    <w:rsid w:val="00621D37"/>
    <w:rsid w:val="00621FB9"/>
    <w:rsid w:val="00622074"/>
    <w:rsid w:val="00622A93"/>
    <w:rsid w:val="00622C7B"/>
    <w:rsid w:val="00622CB6"/>
    <w:rsid w:val="00622DCC"/>
    <w:rsid w:val="00622E31"/>
    <w:rsid w:val="006232BF"/>
    <w:rsid w:val="00623543"/>
    <w:rsid w:val="00623A60"/>
    <w:rsid w:val="00623AB5"/>
    <w:rsid w:val="00623C83"/>
    <w:rsid w:val="00623DC2"/>
    <w:rsid w:val="00623F9C"/>
    <w:rsid w:val="00624095"/>
    <w:rsid w:val="006243B3"/>
    <w:rsid w:val="006243C6"/>
    <w:rsid w:val="006243CE"/>
    <w:rsid w:val="00624C31"/>
    <w:rsid w:val="00624EB7"/>
    <w:rsid w:val="0062547D"/>
    <w:rsid w:val="00625555"/>
    <w:rsid w:val="00625929"/>
    <w:rsid w:val="006260A6"/>
    <w:rsid w:val="006262F1"/>
    <w:rsid w:val="0062630C"/>
    <w:rsid w:val="0062676E"/>
    <w:rsid w:val="00626B28"/>
    <w:rsid w:val="00626BE0"/>
    <w:rsid w:val="006271E4"/>
    <w:rsid w:val="006274F2"/>
    <w:rsid w:val="0062763A"/>
    <w:rsid w:val="00627EBB"/>
    <w:rsid w:val="0063032C"/>
    <w:rsid w:val="006307CB"/>
    <w:rsid w:val="00630893"/>
    <w:rsid w:val="00630DFC"/>
    <w:rsid w:val="00630FE2"/>
    <w:rsid w:val="00631495"/>
    <w:rsid w:val="006317B0"/>
    <w:rsid w:val="00631A60"/>
    <w:rsid w:val="00631D17"/>
    <w:rsid w:val="00631F29"/>
    <w:rsid w:val="00632007"/>
    <w:rsid w:val="006322FE"/>
    <w:rsid w:val="0063242D"/>
    <w:rsid w:val="006328E2"/>
    <w:rsid w:val="00632991"/>
    <w:rsid w:val="00633FC1"/>
    <w:rsid w:val="0063463D"/>
    <w:rsid w:val="006347C7"/>
    <w:rsid w:val="0063482E"/>
    <w:rsid w:val="006355BC"/>
    <w:rsid w:val="00636E71"/>
    <w:rsid w:val="006372F0"/>
    <w:rsid w:val="00637790"/>
    <w:rsid w:val="0063795E"/>
    <w:rsid w:val="00637E22"/>
    <w:rsid w:val="0064025E"/>
    <w:rsid w:val="00640282"/>
    <w:rsid w:val="0064129F"/>
    <w:rsid w:val="00641CC5"/>
    <w:rsid w:val="0064228B"/>
    <w:rsid w:val="00642343"/>
    <w:rsid w:val="006429F3"/>
    <w:rsid w:val="0064309D"/>
    <w:rsid w:val="00643972"/>
    <w:rsid w:val="00643A21"/>
    <w:rsid w:val="006443E3"/>
    <w:rsid w:val="0064459D"/>
    <w:rsid w:val="00644794"/>
    <w:rsid w:val="006447C0"/>
    <w:rsid w:val="006459E6"/>
    <w:rsid w:val="00646071"/>
    <w:rsid w:val="006467C7"/>
    <w:rsid w:val="00646ADB"/>
    <w:rsid w:val="00646F17"/>
    <w:rsid w:val="00647362"/>
    <w:rsid w:val="00647A10"/>
    <w:rsid w:val="00647A70"/>
    <w:rsid w:val="00647BB7"/>
    <w:rsid w:val="00647D39"/>
    <w:rsid w:val="00647F74"/>
    <w:rsid w:val="00650126"/>
    <w:rsid w:val="00650208"/>
    <w:rsid w:val="00650436"/>
    <w:rsid w:val="006507E8"/>
    <w:rsid w:val="00650AC5"/>
    <w:rsid w:val="00650D59"/>
    <w:rsid w:val="006510DB"/>
    <w:rsid w:val="006518B8"/>
    <w:rsid w:val="00651BA0"/>
    <w:rsid w:val="00651BB3"/>
    <w:rsid w:val="0065229A"/>
    <w:rsid w:val="00652E29"/>
    <w:rsid w:val="0065304F"/>
    <w:rsid w:val="0065329D"/>
    <w:rsid w:val="00653525"/>
    <w:rsid w:val="006535CE"/>
    <w:rsid w:val="0065362F"/>
    <w:rsid w:val="00653987"/>
    <w:rsid w:val="00653CF1"/>
    <w:rsid w:val="00653E9D"/>
    <w:rsid w:val="00654517"/>
    <w:rsid w:val="00654A42"/>
    <w:rsid w:val="00655CB7"/>
    <w:rsid w:val="00655D9A"/>
    <w:rsid w:val="00656A5F"/>
    <w:rsid w:val="00657068"/>
    <w:rsid w:val="006573EA"/>
    <w:rsid w:val="00660AF3"/>
    <w:rsid w:val="00660EAD"/>
    <w:rsid w:val="00660F56"/>
    <w:rsid w:val="006613C3"/>
    <w:rsid w:val="006614EE"/>
    <w:rsid w:val="0066204D"/>
    <w:rsid w:val="006627DD"/>
    <w:rsid w:val="00662EA0"/>
    <w:rsid w:val="0066374A"/>
    <w:rsid w:val="00663A00"/>
    <w:rsid w:val="00664864"/>
    <w:rsid w:val="00664937"/>
    <w:rsid w:val="006652E2"/>
    <w:rsid w:val="006654AC"/>
    <w:rsid w:val="0066618A"/>
    <w:rsid w:val="00666439"/>
    <w:rsid w:val="00666455"/>
    <w:rsid w:val="00666940"/>
    <w:rsid w:val="006669F2"/>
    <w:rsid w:val="00666C04"/>
    <w:rsid w:val="00670733"/>
    <w:rsid w:val="00670C30"/>
    <w:rsid w:val="006711DF"/>
    <w:rsid w:val="00671AC2"/>
    <w:rsid w:val="006721BB"/>
    <w:rsid w:val="006728F6"/>
    <w:rsid w:val="006729E2"/>
    <w:rsid w:val="00672DFF"/>
    <w:rsid w:val="0067324B"/>
    <w:rsid w:val="006732AE"/>
    <w:rsid w:val="00673BE4"/>
    <w:rsid w:val="006741A2"/>
    <w:rsid w:val="00674424"/>
    <w:rsid w:val="0067477E"/>
    <w:rsid w:val="006748EB"/>
    <w:rsid w:val="006749D5"/>
    <w:rsid w:val="00674B02"/>
    <w:rsid w:val="00674DC8"/>
    <w:rsid w:val="00674F60"/>
    <w:rsid w:val="006751F3"/>
    <w:rsid w:val="00675312"/>
    <w:rsid w:val="00675CBB"/>
    <w:rsid w:val="00677258"/>
    <w:rsid w:val="006773FC"/>
    <w:rsid w:val="006777C4"/>
    <w:rsid w:val="00677979"/>
    <w:rsid w:val="00677AE1"/>
    <w:rsid w:val="00677B4E"/>
    <w:rsid w:val="00677C72"/>
    <w:rsid w:val="00680297"/>
    <w:rsid w:val="0068046D"/>
    <w:rsid w:val="006804CD"/>
    <w:rsid w:val="00680871"/>
    <w:rsid w:val="00680D04"/>
    <w:rsid w:val="00680FAA"/>
    <w:rsid w:val="00681FBE"/>
    <w:rsid w:val="00682508"/>
    <w:rsid w:val="00682837"/>
    <w:rsid w:val="00682A31"/>
    <w:rsid w:val="00682CD1"/>
    <w:rsid w:val="00682DDD"/>
    <w:rsid w:val="00682E44"/>
    <w:rsid w:val="00683636"/>
    <w:rsid w:val="00683956"/>
    <w:rsid w:val="00683CC8"/>
    <w:rsid w:val="0068425C"/>
    <w:rsid w:val="00684421"/>
    <w:rsid w:val="006848C4"/>
    <w:rsid w:val="00684A3A"/>
    <w:rsid w:val="00684B00"/>
    <w:rsid w:val="00684C83"/>
    <w:rsid w:val="0068571A"/>
    <w:rsid w:val="006862AB"/>
    <w:rsid w:val="0068688A"/>
    <w:rsid w:val="006873CE"/>
    <w:rsid w:val="00687C2A"/>
    <w:rsid w:val="00690834"/>
    <w:rsid w:val="00690DD2"/>
    <w:rsid w:val="00691373"/>
    <w:rsid w:val="00691978"/>
    <w:rsid w:val="00691A6A"/>
    <w:rsid w:val="0069205F"/>
    <w:rsid w:val="00692DBF"/>
    <w:rsid w:val="00692E55"/>
    <w:rsid w:val="00693B7A"/>
    <w:rsid w:val="00693E98"/>
    <w:rsid w:val="0069436A"/>
    <w:rsid w:val="00694DB9"/>
    <w:rsid w:val="0069547C"/>
    <w:rsid w:val="006956AB"/>
    <w:rsid w:val="0069575D"/>
    <w:rsid w:val="006958B7"/>
    <w:rsid w:val="006961CB"/>
    <w:rsid w:val="0069657E"/>
    <w:rsid w:val="0069664B"/>
    <w:rsid w:val="00696EF5"/>
    <w:rsid w:val="00697138"/>
    <w:rsid w:val="00697596"/>
    <w:rsid w:val="006979A8"/>
    <w:rsid w:val="00697B07"/>
    <w:rsid w:val="00697B85"/>
    <w:rsid w:val="006A03CF"/>
    <w:rsid w:val="006A0740"/>
    <w:rsid w:val="006A0786"/>
    <w:rsid w:val="006A11D6"/>
    <w:rsid w:val="006A173D"/>
    <w:rsid w:val="006A1A50"/>
    <w:rsid w:val="006A1B30"/>
    <w:rsid w:val="006A21DF"/>
    <w:rsid w:val="006A22A3"/>
    <w:rsid w:val="006A2309"/>
    <w:rsid w:val="006A2BDC"/>
    <w:rsid w:val="006A3849"/>
    <w:rsid w:val="006A39EB"/>
    <w:rsid w:val="006A3DBC"/>
    <w:rsid w:val="006A40C8"/>
    <w:rsid w:val="006A4BAB"/>
    <w:rsid w:val="006A4C7C"/>
    <w:rsid w:val="006A55CD"/>
    <w:rsid w:val="006A57B6"/>
    <w:rsid w:val="006A5F9B"/>
    <w:rsid w:val="006A6256"/>
    <w:rsid w:val="006A63AF"/>
    <w:rsid w:val="006A66CD"/>
    <w:rsid w:val="006A6B66"/>
    <w:rsid w:val="006A75A0"/>
    <w:rsid w:val="006A779F"/>
    <w:rsid w:val="006A7F23"/>
    <w:rsid w:val="006A7FF1"/>
    <w:rsid w:val="006B0213"/>
    <w:rsid w:val="006B0226"/>
    <w:rsid w:val="006B040C"/>
    <w:rsid w:val="006B11A0"/>
    <w:rsid w:val="006B1600"/>
    <w:rsid w:val="006B18D4"/>
    <w:rsid w:val="006B1A4D"/>
    <w:rsid w:val="006B2745"/>
    <w:rsid w:val="006B2D75"/>
    <w:rsid w:val="006B36DA"/>
    <w:rsid w:val="006B3741"/>
    <w:rsid w:val="006B3D18"/>
    <w:rsid w:val="006B3F5D"/>
    <w:rsid w:val="006B4031"/>
    <w:rsid w:val="006B4C3E"/>
    <w:rsid w:val="006B520A"/>
    <w:rsid w:val="006B523A"/>
    <w:rsid w:val="006B5662"/>
    <w:rsid w:val="006B575C"/>
    <w:rsid w:val="006B5779"/>
    <w:rsid w:val="006B587B"/>
    <w:rsid w:val="006B5A46"/>
    <w:rsid w:val="006B5AFA"/>
    <w:rsid w:val="006B604F"/>
    <w:rsid w:val="006B63F2"/>
    <w:rsid w:val="006B7FE8"/>
    <w:rsid w:val="006C056F"/>
    <w:rsid w:val="006C0A4C"/>
    <w:rsid w:val="006C157E"/>
    <w:rsid w:val="006C170A"/>
    <w:rsid w:val="006C1D29"/>
    <w:rsid w:val="006C2E73"/>
    <w:rsid w:val="006C3145"/>
    <w:rsid w:val="006C33FE"/>
    <w:rsid w:val="006C3C94"/>
    <w:rsid w:val="006C3EF7"/>
    <w:rsid w:val="006C44C8"/>
    <w:rsid w:val="006C45AC"/>
    <w:rsid w:val="006C5050"/>
    <w:rsid w:val="006C5099"/>
    <w:rsid w:val="006C539B"/>
    <w:rsid w:val="006C53CD"/>
    <w:rsid w:val="006C6ACB"/>
    <w:rsid w:val="006C6CA2"/>
    <w:rsid w:val="006C775A"/>
    <w:rsid w:val="006D046D"/>
    <w:rsid w:val="006D076E"/>
    <w:rsid w:val="006D077C"/>
    <w:rsid w:val="006D08D2"/>
    <w:rsid w:val="006D10EC"/>
    <w:rsid w:val="006D19D1"/>
    <w:rsid w:val="006D1C7D"/>
    <w:rsid w:val="006D1CB4"/>
    <w:rsid w:val="006D1D4B"/>
    <w:rsid w:val="006D25D1"/>
    <w:rsid w:val="006D2DA5"/>
    <w:rsid w:val="006D2F5C"/>
    <w:rsid w:val="006D38AE"/>
    <w:rsid w:val="006D478B"/>
    <w:rsid w:val="006D4DAA"/>
    <w:rsid w:val="006D5081"/>
    <w:rsid w:val="006D59B0"/>
    <w:rsid w:val="006D5A75"/>
    <w:rsid w:val="006D60D0"/>
    <w:rsid w:val="006D64C7"/>
    <w:rsid w:val="006D672B"/>
    <w:rsid w:val="006D731C"/>
    <w:rsid w:val="006D7452"/>
    <w:rsid w:val="006D7BCA"/>
    <w:rsid w:val="006E04D4"/>
    <w:rsid w:val="006E04DB"/>
    <w:rsid w:val="006E04E0"/>
    <w:rsid w:val="006E07F8"/>
    <w:rsid w:val="006E0852"/>
    <w:rsid w:val="006E0CBA"/>
    <w:rsid w:val="006E0EE3"/>
    <w:rsid w:val="006E1845"/>
    <w:rsid w:val="006E245D"/>
    <w:rsid w:val="006E26CA"/>
    <w:rsid w:val="006E270D"/>
    <w:rsid w:val="006E3876"/>
    <w:rsid w:val="006E39CC"/>
    <w:rsid w:val="006E3AB4"/>
    <w:rsid w:val="006E4362"/>
    <w:rsid w:val="006E48E1"/>
    <w:rsid w:val="006E4FBC"/>
    <w:rsid w:val="006E51CB"/>
    <w:rsid w:val="006E5687"/>
    <w:rsid w:val="006E57EC"/>
    <w:rsid w:val="006E611D"/>
    <w:rsid w:val="006E6321"/>
    <w:rsid w:val="006E66C1"/>
    <w:rsid w:val="006E68A0"/>
    <w:rsid w:val="006E7138"/>
    <w:rsid w:val="006E798D"/>
    <w:rsid w:val="006E7B40"/>
    <w:rsid w:val="006F037A"/>
    <w:rsid w:val="006F061C"/>
    <w:rsid w:val="006F06C1"/>
    <w:rsid w:val="006F1135"/>
    <w:rsid w:val="006F115B"/>
    <w:rsid w:val="006F232E"/>
    <w:rsid w:val="006F2555"/>
    <w:rsid w:val="006F2D14"/>
    <w:rsid w:val="006F44F4"/>
    <w:rsid w:val="006F4B05"/>
    <w:rsid w:val="006F4D83"/>
    <w:rsid w:val="006F538A"/>
    <w:rsid w:val="006F5A38"/>
    <w:rsid w:val="006F5B6B"/>
    <w:rsid w:val="006F637A"/>
    <w:rsid w:val="006F64F0"/>
    <w:rsid w:val="006F65D1"/>
    <w:rsid w:val="006F683C"/>
    <w:rsid w:val="006F6C2A"/>
    <w:rsid w:val="006F727C"/>
    <w:rsid w:val="006F72D4"/>
    <w:rsid w:val="006F74AB"/>
    <w:rsid w:val="006F769E"/>
    <w:rsid w:val="00700447"/>
    <w:rsid w:val="0070063D"/>
    <w:rsid w:val="00700B81"/>
    <w:rsid w:val="00700BAB"/>
    <w:rsid w:val="007012DD"/>
    <w:rsid w:val="0070169C"/>
    <w:rsid w:val="00701735"/>
    <w:rsid w:val="00701F57"/>
    <w:rsid w:val="007025A5"/>
    <w:rsid w:val="0070269B"/>
    <w:rsid w:val="00702AB4"/>
    <w:rsid w:val="00702BC5"/>
    <w:rsid w:val="00702C91"/>
    <w:rsid w:val="00702CF1"/>
    <w:rsid w:val="00703412"/>
    <w:rsid w:val="007035A6"/>
    <w:rsid w:val="007035C7"/>
    <w:rsid w:val="00703699"/>
    <w:rsid w:val="0070390E"/>
    <w:rsid w:val="00703998"/>
    <w:rsid w:val="00703A15"/>
    <w:rsid w:val="00703A58"/>
    <w:rsid w:val="00703AA6"/>
    <w:rsid w:val="00703F3A"/>
    <w:rsid w:val="0070432A"/>
    <w:rsid w:val="00704501"/>
    <w:rsid w:val="00704583"/>
    <w:rsid w:val="00704A72"/>
    <w:rsid w:val="00704CCA"/>
    <w:rsid w:val="00705171"/>
    <w:rsid w:val="007053B0"/>
    <w:rsid w:val="007055CC"/>
    <w:rsid w:val="0070567C"/>
    <w:rsid w:val="0070582E"/>
    <w:rsid w:val="00705CE6"/>
    <w:rsid w:val="00706044"/>
    <w:rsid w:val="00706142"/>
    <w:rsid w:val="00706AF5"/>
    <w:rsid w:val="0070734E"/>
    <w:rsid w:val="007076B1"/>
    <w:rsid w:val="00707D89"/>
    <w:rsid w:val="00710768"/>
    <w:rsid w:val="0071085F"/>
    <w:rsid w:val="00710939"/>
    <w:rsid w:val="00710B0E"/>
    <w:rsid w:val="00710E94"/>
    <w:rsid w:val="00711F54"/>
    <w:rsid w:val="007124F9"/>
    <w:rsid w:val="0071250D"/>
    <w:rsid w:val="00712634"/>
    <w:rsid w:val="00712E14"/>
    <w:rsid w:val="00714298"/>
    <w:rsid w:val="00715410"/>
    <w:rsid w:val="007155BB"/>
    <w:rsid w:val="00715808"/>
    <w:rsid w:val="00715A08"/>
    <w:rsid w:val="00715B0D"/>
    <w:rsid w:val="00715E50"/>
    <w:rsid w:val="00716983"/>
    <w:rsid w:val="007173BC"/>
    <w:rsid w:val="007174E7"/>
    <w:rsid w:val="00717556"/>
    <w:rsid w:val="0071764F"/>
    <w:rsid w:val="00717AF4"/>
    <w:rsid w:val="00717B24"/>
    <w:rsid w:val="00717C89"/>
    <w:rsid w:val="00717E03"/>
    <w:rsid w:val="00717FA4"/>
    <w:rsid w:val="007207FF"/>
    <w:rsid w:val="00720A56"/>
    <w:rsid w:val="00720F29"/>
    <w:rsid w:val="007223D6"/>
    <w:rsid w:val="00722680"/>
    <w:rsid w:val="00722740"/>
    <w:rsid w:val="00722B67"/>
    <w:rsid w:val="00722FAA"/>
    <w:rsid w:val="007233CF"/>
    <w:rsid w:val="007235C1"/>
    <w:rsid w:val="00724000"/>
    <w:rsid w:val="00724049"/>
    <w:rsid w:val="0072411C"/>
    <w:rsid w:val="00724676"/>
    <w:rsid w:val="0072492B"/>
    <w:rsid w:val="00724AD7"/>
    <w:rsid w:val="00725A05"/>
    <w:rsid w:val="0072603A"/>
    <w:rsid w:val="0072645F"/>
    <w:rsid w:val="007266CB"/>
    <w:rsid w:val="00726FFD"/>
    <w:rsid w:val="00727169"/>
    <w:rsid w:val="00727816"/>
    <w:rsid w:val="007279DF"/>
    <w:rsid w:val="00727CE5"/>
    <w:rsid w:val="00727D8A"/>
    <w:rsid w:val="00730911"/>
    <w:rsid w:val="00730996"/>
    <w:rsid w:val="00730DA8"/>
    <w:rsid w:val="00730E90"/>
    <w:rsid w:val="0073198B"/>
    <w:rsid w:val="00731C5B"/>
    <w:rsid w:val="00731CEA"/>
    <w:rsid w:val="00731D05"/>
    <w:rsid w:val="00731FEA"/>
    <w:rsid w:val="007320FF"/>
    <w:rsid w:val="007323F4"/>
    <w:rsid w:val="00732A3E"/>
    <w:rsid w:val="00733962"/>
    <w:rsid w:val="00733D36"/>
    <w:rsid w:val="00733E74"/>
    <w:rsid w:val="00734D4D"/>
    <w:rsid w:val="0073536F"/>
    <w:rsid w:val="007357F8"/>
    <w:rsid w:val="00735902"/>
    <w:rsid w:val="00735921"/>
    <w:rsid w:val="0073599B"/>
    <w:rsid w:val="00735AB6"/>
    <w:rsid w:val="00735B54"/>
    <w:rsid w:val="00736F61"/>
    <w:rsid w:val="007405BB"/>
    <w:rsid w:val="00740625"/>
    <w:rsid w:val="0074185E"/>
    <w:rsid w:val="00741A9E"/>
    <w:rsid w:val="00741AFA"/>
    <w:rsid w:val="00742253"/>
    <w:rsid w:val="007436F0"/>
    <w:rsid w:val="00743ED4"/>
    <w:rsid w:val="007440C5"/>
    <w:rsid w:val="00744218"/>
    <w:rsid w:val="0074422A"/>
    <w:rsid w:val="007446BE"/>
    <w:rsid w:val="00744E27"/>
    <w:rsid w:val="00745041"/>
    <w:rsid w:val="0074518E"/>
    <w:rsid w:val="007451DE"/>
    <w:rsid w:val="00745718"/>
    <w:rsid w:val="007463E6"/>
    <w:rsid w:val="00746AE3"/>
    <w:rsid w:val="00746AF3"/>
    <w:rsid w:val="0074728E"/>
    <w:rsid w:val="007472F9"/>
    <w:rsid w:val="007478BF"/>
    <w:rsid w:val="00750323"/>
    <w:rsid w:val="00751B5F"/>
    <w:rsid w:val="00751F13"/>
    <w:rsid w:val="0075208B"/>
    <w:rsid w:val="00752DEA"/>
    <w:rsid w:val="00752F9E"/>
    <w:rsid w:val="0075364D"/>
    <w:rsid w:val="00753872"/>
    <w:rsid w:val="00753A74"/>
    <w:rsid w:val="00753AF6"/>
    <w:rsid w:val="00753CC2"/>
    <w:rsid w:val="007541A5"/>
    <w:rsid w:val="0075420B"/>
    <w:rsid w:val="00754268"/>
    <w:rsid w:val="00754435"/>
    <w:rsid w:val="007549B8"/>
    <w:rsid w:val="00755318"/>
    <w:rsid w:val="007557B0"/>
    <w:rsid w:val="007557CB"/>
    <w:rsid w:val="00756123"/>
    <w:rsid w:val="00756B43"/>
    <w:rsid w:val="00756F2E"/>
    <w:rsid w:val="00757081"/>
    <w:rsid w:val="00757281"/>
    <w:rsid w:val="0075797C"/>
    <w:rsid w:val="00757B95"/>
    <w:rsid w:val="00757E82"/>
    <w:rsid w:val="0076017A"/>
    <w:rsid w:val="00760286"/>
    <w:rsid w:val="00760B7E"/>
    <w:rsid w:val="0076193E"/>
    <w:rsid w:val="00761AD6"/>
    <w:rsid w:val="00761E81"/>
    <w:rsid w:val="00762020"/>
    <w:rsid w:val="007622BB"/>
    <w:rsid w:val="00762450"/>
    <w:rsid w:val="00762619"/>
    <w:rsid w:val="007629B7"/>
    <w:rsid w:val="00762F1B"/>
    <w:rsid w:val="007630F4"/>
    <w:rsid w:val="0076379B"/>
    <w:rsid w:val="00763A97"/>
    <w:rsid w:val="00763C60"/>
    <w:rsid w:val="0076443F"/>
    <w:rsid w:val="007649F5"/>
    <w:rsid w:val="00764A93"/>
    <w:rsid w:val="00764D12"/>
    <w:rsid w:val="007652BB"/>
    <w:rsid w:val="00765821"/>
    <w:rsid w:val="00766296"/>
    <w:rsid w:val="007662C7"/>
    <w:rsid w:val="007663C6"/>
    <w:rsid w:val="00766774"/>
    <w:rsid w:val="00766E65"/>
    <w:rsid w:val="00767970"/>
    <w:rsid w:val="00767EBF"/>
    <w:rsid w:val="00770400"/>
    <w:rsid w:val="007704DF"/>
    <w:rsid w:val="00770825"/>
    <w:rsid w:val="00770C88"/>
    <w:rsid w:val="00771008"/>
    <w:rsid w:val="007711BE"/>
    <w:rsid w:val="007712C0"/>
    <w:rsid w:val="007715E3"/>
    <w:rsid w:val="00771B4F"/>
    <w:rsid w:val="00771CAF"/>
    <w:rsid w:val="0077245D"/>
    <w:rsid w:val="00772878"/>
    <w:rsid w:val="00772A56"/>
    <w:rsid w:val="00772AB0"/>
    <w:rsid w:val="00772E9E"/>
    <w:rsid w:val="00772FAF"/>
    <w:rsid w:val="007731CE"/>
    <w:rsid w:val="00773738"/>
    <w:rsid w:val="00773810"/>
    <w:rsid w:val="00773E36"/>
    <w:rsid w:val="00774148"/>
    <w:rsid w:val="00774CBF"/>
    <w:rsid w:val="00775DD3"/>
    <w:rsid w:val="00775EAF"/>
    <w:rsid w:val="00776306"/>
    <w:rsid w:val="00776551"/>
    <w:rsid w:val="00776656"/>
    <w:rsid w:val="0077736D"/>
    <w:rsid w:val="007776E8"/>
    <w:rsid w:val="00777917"/>
    <w:rsid w:val="00777F14"/>
    <w:rsid w:val="00780018"/>
    <w:rsid w:val="0078035D"/>
    <w:rsid w:val="007803AE"/>
    <w:rsid w:val="00780671"/>
    <w:rsid w:val="00780C7C"/>
    <w:rsid w:val="007816E2"/>
    <w:rsid w:val="00781A5D"/>
    <w:rsid w:val="00782675"/>
    <w:rsid w:val="00782C12"/>
    <w:rsid w:val="0078338A"/>
    <w:rsid w:val="007836A5"/>
    <w:rsid w:val="0078374B"/>
    <w:rsid w:val="0078376B"/>
    <w:rsid w:val="0078422A"/>
    <w:rsid w:val="0078486B"/>
    <w:rsid w:val="007849CF"/>
    <w:rsid w:val="00784ED4"/>
    <w:rsid w:val="00784FAC"/>
    <w:rsid w:val="00785615"/>
    <w:rsid w:val="0078594D"/>
    <w:rsid w:val="00785A11"/>
    <w:rsid w:val="007861DE"/>
    <w:rsid w:val="007869B3"/>
    <w:rsid w:val="00786C7F"/>
    <w:rsid w:val="00786CDE"/>
    <w:rsid w:val="00787082"/>
    <w:rsid w:val="007871A7"/>
    <w:rsid w:val="00787509"/>
    <w:rsid w:val="007879BC"/>
    <w:rsid w:val="00787A36"/>
    <w:rsid w:val="00787BDC"/>
    <w:rsid w:val="007900F5"/>
    <w:rsid w:val="007906EE"/>
    <w:rsid w:val="00790912"/>
    <w:rsid w:val="00790A50"/>
    <w:rsid w:val="007917D7"/>
    <w:rsid w:val="00791A1F"/>
    <w:rsid w:val="00791AEE"/>
    <w:rsid w:val="00791C98"/>
    <w:rsid w:val="00791F49"/>
    <w:rsid w:val="007924D1"/>
    <w:rsid w:val="00792993"/>
    <w:rsid w:val="007932E3"/>
    <w:rsid w:val="007936D9"/>
    <w:rsid w:val="00793A4E"/>
    <w:rsid w:val="00793F4A"/>
    <w:rsid w:val="00794291"/>
    <w:rsid w:val="007954DB"/>
    <w:rsid w:val="0079553C"/>
    <w:rsid w:val="007960B1"/>
    <w:rsid w:val="007960B6"/>
    <w:rsid w:val="007969A5"/>
    <w:rsid w:val="00796AA2"/>
    <w:rsid w:val="00796E94"/>
    <w:rsid w:val="007972BC"/>
    <w:rsid w:val="007979C9"/>
    <w:rsid w:val="007A0011"/>
    <w:rsid w:val="007A0261"/>
    <w:rsid w:val="007A0DE2"/>
    <w:rsid w:val="007A0DFA"/>
    <w:rsid w:val="007A1050"/>
    <w:rsid w:val="007A11F5"/>
    <w:rsid w:val="007A1887"/>
    <w:rsid w:val="007A1F3D"/>
    <w:rsid w:val="007A260F"/>
    <w:rsid w:val="007A26BD"/>
    <w:rsid w:val="007A29A5"/>
    <w:rsid w:val="007A33F8"/>
    <w:rsid w:val="007A3AB7"/>
    <w:rsid w:val="007A4021"/>
    <w:rsid w:val="007A505C"/>
    <w:rsid w:val="007A516C"/>
    <w:rsid w:val="007A527C"/>
    <w:rsid w:val="007A55A7"/>
    <w:rsid w:val="007A56FD"/>
    <w:rsid w:val="007A57BC"/>
    <w:rsid w:val="007A5DFD"/>
    <w:rsid w:val="007A662C"/>
    <w:rsid w:val="007A6D21"/>
    <w:rsid w:val="007A6D7C"/>
    <w:rsid w:val="007A6ECF"/>
    <w:rsid w:val="007A7385"/>
    <w:rsid w:val="007A76AD"/>
    <w:rsid w:val="007A7D55"/>
    <w:rsid w:val="007A7EB5"/>
    <w:rsid w:val="007B0162"/>
    <w:rsid w:val="007B01A0"/>
    <w:rsid w:val="007B0489"/>
    <w:rsid w:val="007B0611"/>
    <w:rsid w:val="007B0615"/>
    <w:rsid w:val="007B0F2C"/>
    <w:rsid w:val="007B1F10"/>
    <w:rsid w:val="007B2143"/>
    <w:rsid w:val="007B214C"/>
    <w:rsid w:val="007B21FB"/>
    <w:rsid w:val="007B2473"/>
    <w:rsid w:val="007B2518"/>
    <w:rsid w:val="007B2D95"/>
    <w:rsid w:val="007B335E"/>
    <w:rsid w:val="007B39E5"/>
    <w:rsid w:val="007B42CA"/>
    <w:rsid w:val="007B46CD"/>
    <w:rsid w:val="007B48CD"/>
    <w:rsid w:val="007B4A9D"/>
    <w:rsid w:val="007B5371"/>
    <w:rsid w:val="007B54B2"/>
    <w:rsid w:val="007B5640"/>
    <w:rsid w:val="007B59CF"/>
    <w:rsid w:val="007B5FBD"/>
    <w:rsid w:val="007B6386"/>
    <w:rsid w:val="007B6461"/>
    <w:rsid w:val="007B6B23"/>
    <w:rsid w:val="007B6E11"/>
    <w:rsid w:val="007B7A88"/>
    <w:rsid w:val="007B7CA1"/>
    <w:rsid w:val="007B7EA1"/>
    <w:rsid w:val="007C0744"/>
    <w:rsid w:val="007C0803"/>
    <w:rsid w:val="007C086D"/>
    <w:rsid w:val="007C0CAF"/>
    <w:rsid w:val="007C0FB9"/>
    <w:rsid w:val="007C137D"/>
    <w:rsid w:val="007C261F"/>
    <w:rsid w:val="007C2F5B"/>
    <w:rsid w:val="007C3820"/>
    <w:rsid w:val="007C38F5"/>
    <w:rsid w:val="007C40D1"/>
    <w:rsid w:val="007C44D6"/>
    <w:rsid w:val="007C4E7F"/>
    <w:rsid w:val="007C4ED6"/>
    <w:rsid w:val="007C51E9"/>
    <w:rsid w:val="007C51F9"/>
    <w:rsid w:val="007C531D"/>
    <w:rsid w:val="007C550D"/>
    <w:rsid w:val="007C5779"/>
    <w:rsid w:val="007C6079"/>
    <w:rsid w:val="007C6D92"/>
    <w:rsid w:val="007C733F"/>
    <w:rsid w:val="007C785E"/>
    <w:rsid w:val="007C7BDF"/>
    <w:rsid w:val="007C7D64"/>
    <w:rsid w:val="007C7E44"/>
    <w:rsid w:val="007D007B"/>
    <w:rsid w:val="007D030C"/>
    <w:rsid w:val="007D05DA"/>
    <w:rsid w:val="007D0698"/>
    <w:rsid w:val="007D0EBA"/>
    <w:rsid w:val="007D108D"/>
    <w:rsid w:val="007D128D"/>
    <w:rsid w:val="007D1C3A"/>
    <w:rsid w:val="007D200C"/>
    <w:rsid w:val="007D202D"/>
    <w:rsid w:val="007D2DBC"/>
    <w:rsid w:val="007D387D"/>
    <w:rsid w:val="007D38FA"/>
    <w:rsid w:val="007D3DCF"/>
    <w:rsid w:val="007D431A"/>
    <w:rsid w:val="007D516D"/>
    <w:rsid w:val="007D523C"/>
    <w:rsid w:val="007D601A"/>
    <w:rsid w:val="007D62F9"/>
    <w:rsid w:val="007D6771"/>
    <w:rsid w:val="007D6EAD"/>
    <w:rsid w:val="007D72D8"/>
    <w:rsid w:val="007D7567"/>
    <w:rsid w:val="007D7DBE"/>
    <w:rsid w:val="007D7E08"/>
    <w:rsid w:val="007E018D"/>
    <w:rsid w:val="007E0418"/>
    <w:rsid w:val="007E090E"/>
    <w:rsid w:val="007E095B"/>
    <w:rsid w:val="007E0D84"/>
    <w:rsid w:val="007E0F7C"/>
    <w:rsid w:val="007E1256"/>
    <w:rsid w:val="007E144A"/>
    <w:rsid w:val="007E1B77"/>
    <w:rsid w:val="007E2D92"/>
    <w:rsid w:val="007E3291"/>
    <w:rsid w:val="007E3357"/>
    <w:rsid w:val="007E3913"/>
    <w:rsid w:val="007E4147"/>
    <w:rsid w:val="007E4176"/>
    <w:rsid w:val="007E47F7"/>
    <w:rsid w:val="007E4B02"/>
    <w:rsid w:val="007E4C1A"/>
    <w:rsid w:val="007E4CDA"/>
    <w:rsid w:val="007E4DB7"/>
    <w:rsid w:val="007E4E24"/>
    <w:rsid w:val="007E533A"/>
    <w:rsid w:val="007E5C8E"/>
    <w:rsid w:val="007E60D2"/>
    <w:rsid w:val="007E62A3"/>
    <w:rsid w:val="007E62BA"/>
    <w:rsid w:val="007E6953"/>
    <w:rsid w:val="007E6A45"/>
    <w:rsid w:val="007E6C65"/>
    <w:rsid w:val="007E6FA0"/>
    <w:rsid w:val="007E7072"/>
    <w:rsid w:val="007E7241"/>
    <w:rsid w:val="007E73EE"/>
    <w:rsid w:val="007E744B"/>
    <w:rsid w:val="007E7AB0"/>
    <w:rsid w:val="007E7FF1"/>
    <w:rsid w:val="007F0686"/>
    <w:rsid w:val="007F08E2"/>
    <w:rsid w:val="007F0B91"/>
    <w:rsid w:val="007F0E0B"/>
    <w:rsid w:val="007F1105"/>
    <w:rsid w:val="007F17DA"/>
    <w:rsid w:val="007F19E6"/>
    <w:rsid w:val="007F1B1F"/>
    <w:rsid w:val="007F1B71"/>
    <w:rsid w:val="007F1B8E"/>
    <w:rsid w:val="007F1E97"/>
    <w:rsid w:val="007F2CD5"/>
    <w:rsid w:val="007F2F2B"/>
    <w:rsid w:val="007F3399"/>
    <w:rsid w:val="007F3421"/>
    <w:rsid w:val="007F36A7"/>
    <w:rsid w:val="007F381F"/>
    <w:rsid w:val="007F3C05"/>
    <w:rsid w:val="007F3FEB"/>
    <w:rsid w:val="007F4223"/>
    <w:rsid w:val="007F440C"/>
    <w:rsid w:val="007F488D"/>
    <w:rsid w:val="007F4AAF"/>
    <w:rsid w:val="007F4AEC"/>
    <w:rsid w:val="007F5FF6"/>
    <w:rsid w:val="007F6022"/>
    <w:rsid w:val="007F61CA"/>
    <w:rsid w:val="007F6F9D"/>
    <w:rsid w:val="007F74CE"/>
    <w:rsid w:val="007F74FB"/>
    <w:rsid w:val="007F7812"/>
    <w:rsid w:val="007F7FFE"/>
    <w:rsid w:val="008002CD"/>
    <w:rsid w:val="00800358"/>
    <w:rsid w:val="00800B97"/>
    <w:rsid w:val="00800C0F"/>
    <w:rsid w:val="008018EC"/>
    <w:rsid w:val="00801A6C"/>
    <w:rsid w:val="00801F06"/>
    <w:rsid w:val="0080202A"/>
    <w:rsid w:val="00802450"/>
    <w:rsid w:val="00802CCD"/>
    <w:rsid w:val="00802CEA"/>
    <w:rsid w:val="0080320B"/>
    <w:rsid w:val="00803705"/>
    <w:rsid w:val="00803EB3"/>
    <w:rsid w:val="008044D9"/>
    <w:rsid w:val="00804F0D"/>
    <w:rsid w:val="0080502E"/>
    <w:rsid w:val="0080518E"/>
    <w:rsid w:val="00805815"/>
    <w:rsid w:val="00805913"/>
    <w:rsid w:val="008059B6"/>
    <w:rsid w:val="00805CED"/>
    <w:rsid w:val="00806AD9"/>
    <w:rsid w:val="00806C94"/>
    <w:rsid w:val="00806F9D"/>
    <w:rsid w:val="00807016"/>
    <w:rsid w:val="0080754B"/>
    <w:rsid w:val="00807695"/>
    <w:rsid w:val="00807E7D"/>
    <w:rsid w:val="00807EF5"/>
    <w:rsid w:val="008105CC"/>
    <w:rsid w:val="00810B3B"/>
    <w:rsid w:val="00810BD4"/>
    <w:rsid w:val="00810CE6"/>
    <w:rsid w:val="00811327"/>
    <w:rsid w:val="0081144E"/>
    <w:rsid w:val="008114E4"/>
    <w:rsid w:val="008119E8"/>
    <w:rsid w:val="00811CC4"/>
    <w:rsid w:val="00811E71"/>
    <w:rsid w:val="00812127"/>
    <w:rsid w:val="00812624"/>
    <w:rsid w:val="0081274D"/>
    <w:rsid w:val="00813272"/>
    <w:rsid w:val="008139D9"/>
    <w:rsid w:val="008145BA"/>
    <w:rsid w:val="008147AC"/>
    <w:rsid w:val="008147F6"/>
    <w:rsid w:val="0081490F"/>
    <w:rsid w:val="00815635"/>
    <w:rsid w:val="0081564B"/>
    <w:rsid w:val="00815823"/>
    <w:rsid w:val="008162B5"/>
    <w:rsid w:val="008166A4"/>
    <w:rsid w:val="008167EC"/>
    <w:rsid w:val="00816844"/>
    <w:rsid w:val="008169E0"/>
    <w:rsid w:val="00816D41"/>
    <w:rsid w:val="00816F87"/>
    <w:rsid w:val="008170C5"/>
    <w:rsid w:val="00817285"/>
    <w:rsid w:val="008174D0"/>
    <w:rsid w:val="008178A0"/>
    <w:rsid w:val="008178C9"/>
    <w:rsid w:val="008202F6"/>
    <w:rsid w:val="00820578"/>
    <w:rsid w:val="0082083C"/>
    <w:rsid w:val="00820ADF"/>
    <w:rsid w:val="00820BD9"/>
    <w:rsid w:val="0082108B"/>
    <w:rsid w:val="0082119D"/>
    <w:rsid w:val="0082154E"/>
    <w:rsid w:val="0082182E"/>
    <w:rsid w:val="008230D7"/>
    <w:rsid w:val="00823B51"/>
    <w:rsid w:val="00823D46"/>
    <w:rsid w:val="008242A9"/>
    <w:rsid w:val="008249BE"/>
    <w:rsid w:val="00824C67"/>
    <w:rsid w:val="0082565D"/>
    <w:rsid w:val="00825672"/>
    <w:rsid w:val="008261C9"/>
    <w:rsid w:val="0082673B"/>
    <w:rsid w:val="00826B33"/>
    <w:rsid w:val="00826B5B"/>
    <w:rsid w:val="008273F2"/>
    <w:rsid w:val="0082746A"/>
    <w:rsid w:val="008277E7"/>
    <w:rsid w:val="008278C6"/>
    <w:rsid w:val="008302F2"/>
    <w:rsid w:val="008303F2"/>
    <w:rsid w:val="0083078D"/>
    <w:rsid w:val="008309D8"/>
    <w:rsid w:val="00830CDC"/>
    <w:rsid w:val="00831675"/>
    <w:rsid w:val="00832858"/>
    <w:rsid w:val="00832DDA"/>
    <w:rsid w:val="00832EF0"/>
    <w:rsid w:val="00833654"/>
    <w:rsid w:val="00833C91"/>
    <w:rsid w:val="00834299"/>
    <w:rsid w:val="008346DB"/>
    <w:rsid w:val="00834736"/>
    <w:rsid w:val="00834AEA"/>
    <w:rsid w:val="00834E41"/>
    <w:rsid w:val="008354D4"/>
    <w:rsid w:val="0083550E"/>
    <w:rsid w:val="00835700"/>
    <w:rsid w:val="00835821"/>
    <w:rsid w:val="00836992"/>
    <w:rsid w:val="00836FE0"/>
    <w:rsid w:val="0083741A"/>
    <w:rsid w:val="00837A61"/>
    <w:rsid w:val="00837A91"/>
    <w:rsid w:val="00837C20"/>
    <w:rsid w:val="008404AD"/>
    <w:rsid w:val="00840F48"/>
    <w:rsid w:val="00840F6F"/>
    <w:rsid w:val="00841401"/>
    <w:rsid w:val="00841434"/>
    <w:rsid w:val="0084148D"/>
    <w:rsid w:val="00842207"/>
    <w:rsid w:val="00842278"/>
    <w:rsid w:val="00842672"/>
    <w:rsid w:val="0084278F"/>
    <w:rsid w:val="00842A68"/>
    <w:rsid w:val="00842AB2"/>
    <w:rsid w:val="00842C88"/>
    <w:rsid w:val="008430F5"/>
    <w:rsid w:val="0084335A"/>
    <w:rsid w:val="008437EF"/>
    <w:rsid w:val="0084394C"/>
    <w:rsid w:val="00843C04"/>
    <w:rsid w:val="00843C6F"/>
    <w:rsid w:val="008446DF"/>
    <w:rsid w:val="00844735"/>
    <w:rsid w:val="00844777"/>
    <w:rsid w:val="00844849"/>
    <w:rsid w:val="00845808"/>
    <w:rsid w:val="00845A80"/>
    <w:rsid w:val="00845E5B"/>
    <w:rsid w:val="00846E95"/>
    <w:rsid w:val="008473DC"/>
    <w:rsid w:val="00847908"/>
    <w:rsid w:val="008502A4"/>
    <w:rsid w:val="00850581"/>
    <w:rsid w:val="00850689"/>
    <w:rsid w:val="00850742"/>
    <w:rsid w:val="00850FDD"/>
    <w:rsid w:val="0085109D"/>
    <w:rsid w:val="00852194"/>
    <w:rsid w:val="00852602"/>
    <w:rsid w:val="00852A49"/>
    <w:rsid w:val="00852AE1"/>
    <w:rsid w:val="00852E23"/>
    <w:rsid w:val="008530A1"/>
    <w:rsid w:val="00853458"/>
    <w:rsid w:val="00853952"/>
    <w:rsid w:val="00853BC1"/>
    <w:rsid w:val="00853CB0"/>
    <w:rsid w:val="008542D4"/>
    <w:rsid w:val="00854458"/>
    <w:rsid w:val="0085456A"/>
    <w:rsid w:val="00854CB6"/>
    <w:rsid w:val="00854E06"/>
    <w:rsid w:val="00854FBD"/>
    <w:rsid w:val="008552D6"/>
    <w:rsid w:val="00855434"/>
    <w:rsid w:val="0085589F"/>
    <w:rsid w:val="00855AA2"/>
    <w:rsid w:val="00855DA3"/>
    <w:rsid w:val="00855EF9"/>
    <w:rsid w:val="0085633D"/>
    <w:rsid w:val="0085643F"/>
    <w:rsid w:val="00856588"/>
    <w:rsid w:val="00856ED2"/>
    <w:rsid w:val="00857407"/>
    <w:rsid w:val="008577A1"/>
    <w:rsid w:val="00857F53"/>
    <w:rsid w:val="0086025C"/>
    <w:rsid w:val="008603FF"/>
    <w:rsid w:val="00860BB5"/>
    <w:rsid w:val="00860E60"/>
    <w:rsid w:val="00861167"/>
    <w:rsid w:val="00861204"/>
    <w:rsid w:val="00861BA0"/>
    <w:rsid w:val="00862082"/>
    <w:rsid w:val="008621EC"/>
    <w:rsid w:val="008622B8"/>
    <w:rsid w:val="00862443"/>
    <w:rsid w:val="008626B2"/>
    <w:rsid w:val="00862E81"/>
    <w:rsid w:val="00862FDD"/>
    <w:rsid w:val="00863548"/>
    <w:rsid w:val="00863BBA"/>
    <w:rsid w:val="00864182"/>
    <w:rsid w:val="0086427F"/>
    <w:rsid w:val="0086439D"/>
    <w:rsid w:val="00864B5A"/>
    <w:rsid w:val="00865465"/>
    <w:rsid w:val="00865622"/>
    <w:rsid w:val="00865721"/>
    <w:rsid w:val="00865722"/>
    <w:rsid w:val="008657B9"/>
    <w:rsid w:val="0086622A"/>
    <w:rsid w:val="008700D4"/>
    <w:rsid w:val="00870321"/>
    <w:rsid w:val="0087043C"/>
    <w:rsid w:val="00870690"/>
    <w:rsid w:val="008708FE"/>
    <w:rsid w:val="00870E69"/>
    <w:rsid w:val="008711E8"/>
    <w:rsid w:val="00871BC9"/>
    <w:rsid w:val="00871C99"/>
    <w:rsid w:val="008721D8"/>
    <w:rsid w:val="008723E4"/>
    <w:rsid w:val="00873529"/>
    <w:rsid w:val="00873991"/>
    <w:rsid w:val="00873A33"/>
    <w:rsid w:val="00873CB9"/>
    <w:rsid w:val="0087451E"/>
    <w:rsid w:val="00874A05"/>
    <w:rsid w:val="00874FEE"/>
    <w:rsid w:val="0087537A"/>
    <w:rsid w:val="008753E8"/>
    <w:rsid w:val="00875644"/>
    <w:rsid w:val="0087595E"/>
    <w:rsid w:val="0087598E"/>
    <w:rsid w:val="00875E70"/>
    <w:rsid w:val="008767C9"/>
    <w:rsid w:val="00877071"/>
    <w:rsid w:val="008771F7"/>
    <w:rsid w:val="008772AB"/>
    <w:rsid w:val="008775E3"/>
    <w:rsid w:val="00877670"/>
    <w:rsid w:val="008779B4"/>
    <w:rsid w:val="00877A2F"/>
    <w:rsid w:val="00877F9D"/>
    <w:rsid w:val="0088138D"/>
    <w:rsid w:val="008815E0"/>
    <w:rsid w:val="0088249D"/>
    <w:rsid w:val="0088279B"/>
    <w:rsid w:val="0088282E"/>
    <w:rsid w:val="00882AC0"/>
    <w:rsid w:val="0088304B"/>
    <w:rsid w:val="008835B3"/>
    <w:rsid w:val="00883863"/>
    <w:rsid w:val="008841DA"/>
    <w:rsid w:val="0088467C"/>
    <w:rsid w:val="008847E5"/>
    <w:rsid w:val="008848F2"/>
    <w:rsid w:val="00884A11"/>
    <w:rsid w:val="008853B9"/>
    <w:rsid w:val="008859A2"/>
    <w:rsid w:val="00885A4F"/>
    <w:rsid w:val="00885AA3"/>
    <w:rsid w:val="00885AAE"/>
    <w:rsid w:val="00885C61"/>
    <w:rsid w:val="00885F66"/>
    <w:rsid w:val="0088606D"/>
    <w:rsid w:val="0088631F"/>
    <w:rsid w:val="00886A16"/>
    <w:rsid w:val="00886C59"/>
    <w:rsid w:val="00886CD2"/>
    <w:rsid w:val="00887358"/>
    <w:rsid w:val="00887574"/>
    <w:rsid w:val="00887E0A"/>
    <w:rsid w:val="00890083"/>
    <w:rsid w:val="008904FE"/>
    <w:rsid w:val="0089082B"/>
    <w:rsid w:val="00890E3B"/>
    <w:rsid w:val="008910A3"/>
    <w:rsid w:val="008919AF"/>
    <w:rsid w:val="00891F21"/>
    <w:rsid w:val="008921DB"/>
    <w:rsid w:val="00892D3B"/>
    <w:rsid w:val="0089336D"/>
    <w:rsid w:val="008933CE"/>
    <w:rsid w:val="00893AAB"/>
    <w:rsid w:val="00894070"/>
    <w:rsid w:val="00894374"/>
    <w:rsid w:val="0089446E"/>
    <w:rsid w:val="00894579"/>
    <w:rsid w:val="00894660"/>
    <w:rsid w:val="008952F1"/>
    <w:rsid w:val="0089546E"/>
    <w:rsid w:val="008954CF"/>
    <w:rsid w:val="0089587A"/>
    <w:rsid w:val="008959F6"/>
    <w:rsid w:val="00896257"/>
    <w:rsid w:val="00896F70"/>
    <w:rsid w:val="0089734D"/>
    <w:rsid w:val="00897EAA"/>
    <w:rsid w:val="008A09B3"/>
    <w:rsid w:val="008A105F"/>
    <w:rsid w:val="008A1420"/>
    <w:rsid w:val="008A152E"/>
    <w:rsid w:val="008A1636"/>
    <w:rsid w:val="008A1CAC"/>
    <w:rsid w:val="008A1DFA"/>
    <w:rsid w:val="008A20ED"/>
    <w:rsid w:val="008A21A4"/>
    <w:rsid w:val="008A225F"/>
    <w:rsid w:val="008A2320"/>
    <w:rsid w:val="008A2642"/>
    <w:rsid w:val="008A2BDB"/>
    <w:rsid w:val="008A305E"/>
    <w:rsid w:val="008A32C1"/>
    <w:rsid w:val="008A39F0"/>
    <w:rsid w:val="008A3F52"/>
    <w:rsid w:val="008A4277"/>
    <w:rsid w:val="008A4938"/>
    <w:rsid w:val="008A497D"/>
    <w:rsid w:val="008A4F1D"/>
    <w:rsid w:val="008A4FB5"/>
    <w:rsid w:val="008A5840"/>
    <w:rsid w:val="008A59AA"/>
    <w:rsid w:val="008A5B67"/>
    <w:rsid w:val="008A5C3C"/>
    <w:rsid w:val="008A5CCD"/>
    <w:rsid w:val="008A6040"/>
    <w:rsid w:val="008A6A6D"/>
    <w:rsid w:val="008A7839"/>
    <w:rsid w:val="008B0CD1"/>
    <w:rsid w:val="008B0D86"/>
    <w:rsid w:val="008B0E1F"/>
    <w:rsid w:val="008B20A0"/>
    <w:rsid w:val="008B29E7"/>
    <w:rsid w:val="008B2C4E"/>
    <w:rsid w:val="008B2C9A"/>
    <w:rsid w:val="008B2E5D"/>
    <w:rsid w:val="008B33DF"/>
    <w:rsid w:val="008B3442"/>
    <w:rsid w:val="008B384F"/>
    <w:rsid w:val="008B39C3"/>
    <w:rsid w:val="008B3A9A"/>
    <w:rsid w:val="008B40FD"/>
    <w:rsid w:val="008B46E6"/>
    <w:rsid w:val="008B4924"/>
    <w:rsid w:val="008B4C05"/>
    <w:rsid w:val="008B4C90"/>
    <w:rsid w:val="008B4C95"/>
    <w:rsid w:val="008B5221"/>
    <w:rsid w:val="008B5456"/>
    <w:rsid w:val="008B592F"/>
    <w:rsid w:val="008B5C0B"/>
    <w:rsid w:val="008B6057"/>
    <w:rsid w:val="008B68B4"/>
    <w:rsid w:val="008B6921"/>
    <w:rsid w:val="008B6BCF"/>
    <w:rsid w:val="008B72F2"/>
    <w:rsid w:val="008B7541"/>
    <w:rsid w:val="008B7574"/>
    <w:rsid w:val="008B79F7"/>
    <w:rsid w:val="008B7D57"/>
    <w:rsid w:val="008C0069"/>
    <w:rsid w:val="008C0237"/>
    <w:rsid w:val="008C2047"/>
    <w:rsid w:val="008C2216"/>
    <w:rsid w:val="008C2B1E"/>
    <w:rsid w:val="008C2BBF"/>
    <w:rsid w:val="008C3395"/>
    <w:rsid w:val="008C39D7"/>
    <w:rsid w:val="008C3D2F"/>
    <w:rsid w:val="008C3DF6"/>
    <w:rsid w:val="008C430E"/>
    <w:rsid w:val="008C4FB5"/>
    <w:rsid w:val="008C518D"/>
    <w:rsid w:val="008C52D3"/>
    <w:rsid w:val="008C5E4B"/>
    <w:rsid w:val="008C6112"/>
    <w:rsid w:val="008C6160"/>
    <w:rsid w:val="008C65B3"/>
    <w:rsid w:val="008C671E"/>
    <w:rsid w:val="008C6E34"/>
    <w:rsid w:val="008C7126"/>
    <w:rsid w:val="008C7489"/>
    <w:rsid w:val="008C7541"/>
    <w:rsid w:val="008C76BF"/>
    <w:rsid w:val="008C7AC2"/>
    <w:rsid w:val="008C7BAA"/>
    <w:rsid w:val="008C7CA3"/>
    <w:rsid w:val="008C7F32"/>
    <w:rsid w:val="008C7F90"/>
    <w:rsid w:val="008D079F"/>
    <w:rsid w:val="008D07E2"/>
    <w:rsid w:val="008D0D43"/>
    <w:rsid w:val="008D0D6C"/>
    <w:rsid w:val="008D0DF2"/>
    <w:rsid w:val="008D101B"/>
    <w:rsid w:val="008D1395"/>
    <w:rsid w:val="008D1534"/>
    <w:rsid w:val="008D16F7"/>
    <w:rsid w:val="008D177D"/>
    <w:rsid w:val="008D1958"/>
    <w:rsid w:val="008D1B52"/>
    <w:rsid w:val="008D213F"/>
    <w:rsid w:val="008D2915"/>
    <w:rsid w:val="008D2AC3"/>
    <w:rsid w:val="008D362E"/>
    <w:rsid w:val="008D3796"/>
    <w:rsid w:val="008D3AFE"/>
    <w:rsid w:val="008D3C37"/>
    <w:rsid w:val="008D40D9"/>
    <w:rsid w:val="008D40FA"/>
    <w:rsid w:val="008D4835"/>
    <w:rsid w:val="008D568B"/>
    <w:rsid w:val="008D5D25"/>
    <w:rsid w:val="008D65F4"/>
    <w:rsid w:val="008D678B"/>
    <w:rsid w:val="008D6972"/>
    <w:rsid w:val="008D6BCC"/>
    <w:rsid w:val="008D6DC1"/>
    <w:rsid w:val="008D6ED1"/>
    <w:rsid w:val="008D6F41"/>
    <w:rsid w:val="008D7592"/>
    <w:rsid w:val="008D78A2"/>
    <w:rsid w:val="008D7B3E"/>
    <w:rsid w:val="008D7BE4"/>
    <w:rsid w:val="008D7F53"/>
    <w:rsid w:val="008E025F"/>
    <w:rsid w:val="008E04BD"/>
    <w:rsid w:val="008E0A31"/>
    <w:rsid w:val="008E0CC4"/>
    <w:rsid w:val="008E122C"/>
    <w:rsid w:val="008E1427"/>
    <w:rsid w:val="008E1602"/>
    <w:rsid w:val="008E16D6"/>
    <w:rsid w:val="008E1BBC"/>
    <w:rsid w:val="008E216E"/>
    <w:rsid w:val="008E24A5"/>
    <w:rsid w:val="008E2554"/>
    <w:rsid w:val="008E2BDC"/>
    <w:rsid w:val="008E3628"/>
    <w:rsid w:val="008E41FC"/>
    <w:rsid w:val="008E4684"/>
    <w:rsid w:val="008E4709"/>
    <w:rsid w:val="008E4BD0"/>
    <w:rsid w:val="008E4CE7"/>
    <w:rsid w:val="008E52C7"/>
    <w:rsid w:val="008E578F"/>
    <w:rsid w:val="008E586F"/>
    <w:rsid w:val="008E59D8"/>
    <w:rsid w:val="008E5A1D"/>
    <w:rsid w:val="008E6947"/>
    <w:rsid w:val="008E6C29"/>
    <w:rsid w:val="008E6CBC"/>
    <w:rsid w:val="008E76E4"/>
    <w:rsid w:val="008E7744"/>
    <w:rsid w:val="008F0057"/>
    <w:rsid w:val="008F036F"/>
    <w:rsid w:val="008F0864"/>
    <w:rsid w:val="008F0C50"/>
    <w:rsid w:val="008F159B"/>
    <w:rsid w:val="008F17FD"/>
    <w:rsid w:val="008F19F1"/>
    <w:rsid w:val="008F2080"/>
    <w:rsid w:val="008F2529"/>
    <w:rsid w:val="008F28FD"/>
    <w:rsid w:val="008F3051"/>
    <w:rsid w:val="008F3417"/>
    <w:rsid w:val="008F3527"/>
    <w:rsid w:val="008F359E"/>
    <w:rsid w:val="008F39DC"/>
    <w:rsid w:val="008F42F7"/>
    <w:rsid w:val="008F491B"/>
    <w:rsid w:val="008F49B9"/>
    <w:rsid w:val="008F4EFD"/>
    <w:rsid w:val="008F4F4E"/>
    <w:rsid w:val="008F5078"/>
    <w:rsid w:val="008F5A69"/>
    <w:rsid w:val="008F6370"/>
    <w:rsid w:val="008F6388"/>
    <w:rsid w:val="008F644E"/>
    <w:rsid w:val="008F6CF9"/>
    <w:rsid w:val="008F778A"/>
    <w:rsid w:val="008F77AA"/>
    <w:rsid w:val="008F7808"/>
    <w:rsid w:val="008F78C5"/>
    <w:rsid w:val="008F7C68"/>
    <w:rsid w:val="00900014"/>
    <w:rsid w:val="0090068C"/>
    <w:rsid w:val="00900AEB"/>
    <w:rsid w:val="00900F28"/>
    <w:rsid w:val="009010E9"/>
    <w:rsid w:val="00901947"/>
    <w:rsid w:val="00901A16"/>
    <w:rsid w:val="00901BDC"/>
    <w:rsid w:val="0090209C"/>
    <w:rsid w:val="009023A9"/>
    <w:rsid w:val="00902D97"/>
    <w:rsid w:val="00902DCB"/>
    <w:rsid w:val="00902E60"/>
    <w:rsid w:val="00902ED6"/>
    <w:rsid w:val="0090320B"/>
    <w:rsid w:val="00903411"/>
    <w:rsid w:val="009038A6"/>
    <w:rsid w:val="00904462"/>
    <w:rsid w:val="009046CC"/>
    <w:rsid w:val="009048CA"/>
    <w:rsid w:val="00904D3B"/>
    <w:rsid w:val="00904E22"/>
    <w:rsid w:val="00904E29"/>
    <w:rsid w:val="00904F8A"/>
    <w:rsid w:val="00905060"/>
    <w:rsid w:val="009056D1"/>
    <w:rsid w:val="00906037"/>
    <w:rsid w:val="00906294"/>
    <w:rsid w:val="009063A2"/>
    <w:rsid w:val="0090749F"/>
    <w:rsid w:val="009075AB"/>
    <w:rsid w:val="009076B9"/>
    <w:rsid w:val="0090796A"/>
    <w:rsid w:val="00907D2F"/>
    <w:rsid w:val="00910999"/>
    <w:rsid w:val="0091269D"/>
    <w:rsid w:val="0091277E"/>
    <w:rsid w:val="0091280A"/>
    <w:rsid w:val="00912A16"/>
    <w:rsid w:val="00912A65"/>
    <w:rsid w:val="00912AC5"/>
    <w:rsid w:val="00912AD1"/>
    <w:rsid w:val="0091310F"/>
    <w:rsid w:val="009131F5"/>
    <w:rsid w:val="00913E75"/>
    <w:rsid w:val="009142E8"/>
    <w:rsid w:val="009142F8"/>
    <w:rsid w:val="009143A0"/>
    <w:rsid w:val="009146C9"/>
    <w:rsid w:val="009148E7"/>
    <w:rsid w:val="009148F3"/>
    <w:rsid w:val="00914902"/>
    <w:rsid w:val="00914BD1"/>
    <w:rsid w:val="00915337"/>
    <w:rsid w:val="009157D1"/>
    <w:rsid w:val="00915B2E"/>
    <w:rsid w:val="00915FBB"/>
    <w:rsid w:val="0091610E"/>
    <w:rsid w:val="009168BB"/>
    <w:rsid w:val="00916BBF"/>
    <w:rsid w:val="00916FEE"/>
    <w:rsid w:val="009172E9"/>
    <w:rsid w:val="0091758F"/>
    <w:rsid w:val="00917820"/>
    <w:rsid w:val="00917E16"/>
    <w:rsid w:val="00917E90"/>
    <w:rsid w:val="009211B9"/>
    <w:rsid w:val="00921463"/>
    <w:rsid w:val="009217FC"/>
    <w:rsid w:val="00921863"/>
    <w:rsid w:val="00921B5A"/>
    <w:rsid w:val="009221A6"/>
    <w:rsid w:val="0092221C"/>
    <w:rsid w:val="0092336E"/>
    <w:rsid w:val="009236A1"/>
    <w:rsid w:val="0092397B"/>
    <w:rsid w:val="00923BB8"/>
    <w:rsid w:val="00923BE6"/>
    <w:rsid w:val="00924A28"/>
    <w:rsid w:val="00925124"/>
    <w:rsid w:val="00925171"/>
    <w:rsid w:val="00925207"/>
    <w:rsid w:val="00925635"/>
    <w:rsid w:val="00925A4E"/>
    <w:rsid w:val="00925B4C"/>
    <w:rsid w:val="00926039"/>
    <w:rsid w:val="0092649A"/>
    <w:rsid w:val="00926CF1"/>
    <w:rsid w:val="00927C59"/>
    <w:rsid w:val="0093003A"/>
    <w:rsid w:val="00930611"/>
    <w:rsid w:val="0093090A"/>
    <w:rsid w:val="00930F8E"/>
    <w:rsid w:val="009310E1"/>
    <w:rsid w:val="0093156E"/>
    <w:rsid w:val="0093164C"/>
    <w:rsid w:val="009316C7"/>
    <w:rsid w:val="00931881"/>
    <w:rsid w:val="00931EE4"/>
    <w:rsid w:val="009328F4"/>
    <w:rsid w:val="0093395D"/>
    <w:rsid w:val="0093412F"/>
    <w:rsid w:val="0093421F"/>
    <w:rsid w:val="009342A7"/>
    <w:rsid w:val="009342C8"/>
    <w:rsid w:val="00934EBF"/>
    <w:rsid w:val="00934F38"/>
    <w:rsid w:val="009351A7"/>
    <w:rsid w:val="00935258"/>
    <w:rsid w:val="00935534"/>
    <w:rsid w:val="009355D0"/>
    <w:rsid w:val="00935B9B"/>
    <w:rsid w:val="00935CCD"/>
    <w:rsid w:val="00936169"/>
    <w:rsid w:val="00936860"/>
    <w:rsid w:val="00936902"/>
    <w:rsid w:val="0093701B"/>
    <w:rsid w:val="009375BC"/>
    <w:rsid w:val="00937B82"/>
    <w:rsid w:val="00937BB9"/>
    <w:rsid w:val="00937C8E"/>
    <w:rsid w:val="00937D0B"/>
    <w:rsid w:val="00937ED1"/>
    <w:rsid w:val="00940223"/>
    <w:rsid w:val="0094045A"/>
    <w:rsid w:val="009407AF"/>
    <w:rsid w:val="00940901"/>
    <w:rsid w:val="00940D34"/>
    <w:rsid w:val="009410EB"/>
    <w:rsid w:val="00941E82"/>
    <w:rsid w:val="00942170"/>
    <w:rsid w:val="0094233E"/>
    <w:rsid w:val="009425FA"/>
    <w:rsid w:val="009429FB"/>
    <w:rsid w:val="00943030"/>
    <w:rsid w:val="00943173"/>
    <w:rsid w:val="0094347D"/>
    <w:rsid w:val="00943A11"/>
    <w:rsid w:val="00943CCC"/>
    <w:rsid w:val="009440F1"/>
    <w:rsid w:val="00944521"/>
    <w:rsid w:val="0094486D"/>
    <w:rsid w:val="009448AF"/>
    <w:rsid w:val="00945B0C"/>
    <w:rsid w:val="00945E3E"/>
    <w:rsid w:val="00945F3F"/>
    <w:rsid w:val="00946B64"/>
    <w:rsid w:val="00947094"/>
    <w:rsid w:val="0094795D"/>
    <w:rsid w:val="00947A75"/>
    <w:rsid w:val="0095029F"/>
    <w:rsid w:val="0095044C"/>
    <w:rsid w:val="00950E58"/>
    <w:rsid w:val="0095121B"/>
    <w:rsid w:val="009517A9"/>
    <w:rsid w:val="00951D61"/>
    <w:rsid w:val="00951D7F"/>
    <w:rsid w:val="00951F16"/>
    <w:rsid w:val="009521F7"/>
    <w:rsid w:val="00952C87"/>
    <w:rsid w:val="00952DF0"/>
    <w:rsid w:val="00953025"/>
    <w:rsid w:val="009530E8"/>
    <w:rsid w:val="00953155"/>
    <w:rsid w:val="0095322E"/>
    <w:rsid w:val="00954214"/>
    <w:rsid w:val="00954679"/>
    <w:rsid w:val="00954CD7"/>
    <w:rsid w:val="00954E56"/>
    <w:rsid w:val="009552FE"/>
    <w:rsid w:val="00955673"/>
    <w:rsid w:val="0095570F"/>
    <w:rsid w:val="00955741"/>
    <w:rsid w:val="00955BBF"/>
    <w:rsid w:val="00955BD8"/>
    <w:rsid w:val="00955D78"/>
    <w:rsid w:val="009562E9"/>
    <w:rsid w:val="00956305"/>
    <w:rsid w:val="00956726"/>
    <w:rsid w:val="00956758"/>
    <w:rsid w:val="00956C9D"/>
    <w:rsid w:val="00957876"/>
    <w:rsid w:val="00957DF8"/>
    <w:rsid w:val="00960566"/>
    <w:rsid w:val="009609F8"/>
    <w:rsid w:val="00960AA0"/>
    <w:rsid w:val="00961299"/>
    <w:rsid w:val="009615AE"/>
    <w:rsid w:val="009617BE"/>
    <w:rsid w:val="00961A8B"/>
    <w:rsid w:val="00962530"/>
    <w:rsid w:val="00962C99"/>
    <w:rsid w:val="00963B92"/>
    <w:rsid w:val="00963E80"/>
    <w:rsid w:val="009641BD"/>
    <w:rsid w:val="00964E4C"/>
    <w:rsid w:val="00964FFC"/>
    <w:rsid w:val="00965180"/>
    <w:rsid w:val="009655DA"/>
    <w:rsid w:val="00965BBC"/>
    <w:rsid w:val="009665B3"/>
    <w:rsid w:val="009673D0"/>
    <w:rsid w:val="00967F75"/>
    <w:rsid w:val="009704B7"/>
    <w:rsid w:val="00970649"/>
    <w:rsid w:val="00970A9E"/>
    <w:rsid w:val="00970E2E"/>
    <w:rsid w:val="00971766"/>
    <w:rsid w:val="00971FED"/>
    <w:rsid w:val="00972823"/>
    <w:rsid w:val="0097315B"/>
    <w:rsid w:val="00973747"/>
    <w:rsid w:val="00973773"/>
    <w:rsid w:val="009738A8"/>
    <w:rsid w:val="00974566"/>
    <w:rsid w:val="00974996"/>
    <w:rsid w:val="00975780"/>
    <w:rsid w:val="0097581F"/>
    <w:rsid w:val="00975B10"/>
    <w:rsid w:val="00975ED0"/>
    <w:rsid w:val="0097607E"/>
    <w:rsid w:val="00976D59"/>
    <w:rsid w:val="0097710E"/>
    <w:rsid w:val="00977476"/>
    <w:rsid w:val="00977693"/>
    <w:rsid w:val="009778F6"/>
    <w:rsid w:val="0098019C"/>
    <w:rsid w:val="009804B1"/>
    <w:rsid w:val="009805DD"/>
    <w:rsid w:val="009808F3"/>
    <w:rsid w:val="00981118"/>
    <w:rsid w:val="00981422"/>
    <w:rsid w:val="009821F7"/>
    <w:rsid w:val="00982884"/>
    <w:rsid w:val="00982917"/>
    <w:rsid w:val="00982C09"/>
    <w:rsid w:val="00982D0E"/>
    <w:rsid w:val="00982DCB"/>
    <w:rsid w:val="00983753"/>
    <w:rsid w:val="0098376A"/>
    <w:rsid w:val="009837C7"/>
    <w:rsid w:val="009837E8"/>
    <w:rsid w:val="00983B33"/>
    <w:rsid w:val="00983C6D"/>
    <w:rsid w:val="00983C93"/>
    <w:rsid w:val="00983DE7"/>
    <w:rsid w:val="00984512"/>
    <w:rsid w:val="0098498B"/>
    <w:rsid w:val="00984FB1"/>
    <w:rsid w:val="00985798"/>
    <w:rsid w:val="00985EE7"/>
    <w:rsid w:val="0098636A"/>
    <w:rsid w:val="00986651"/>
    <w:rsid w:val="00986F07"/>
    <w:rsid w:val="0098737D"/>
    <w:rsid w:val="009874B3"/>
    <w:rsid w:val="009874CD"/>
    <w:rsid w:val="00987560"/>
    <w:rsid w:val="00987820"/>
    <w:rsid w:val="00990BE6"/>
    <w:rsid w:val="00990DDB"/>
    <w:rsid w:val="0099131B"/>
    <w:rsid w:val="00991941"/>
    <w:rsid w:val="00991B2A"/>
    <w:rsid w:val="009924B7"/>
    <w:rsid w:val="009925CD"/>
    <w:rsid w:val="00992B5D"/>
    <w:rsid w:val="00992F59"/>
    <w:rsid w:val="00993463"/>
    <w:rsid w:val="00994522"/>
    <w:rsid w:val="00995B04"/>
    <w:rsid w:val="00995DEF"/>
    <w:rsid w:val="0099611F"/>
    <w:rsid w:val="009961DF"/>
    <w:rsid w:val="0099649C"/>
    <w:rsid w:val="009968B7"/>
    <w:rsid w:val="00996A9B"/>
    <w:rsid w:val="00996D79"/>
    <w:rsid w:val="009A092E"/>
    <w:rsid w:val="009A0FAB"/>
    <w:rsid w:val="009A1CF1"/>
    <w:rsid w:val="009A2167"/>
    <w:rsid w:val="009A2542"/>
    <w:rsid w:val="009A2E40"/>
    <w:rsid w:val="009A2F15"/>
    <w:rsid w:val="009A3143"/>
    <w:rsid w:val="009A364A"/>
    <w:rsid w:val="009A38FE"/>
    <w:rsid w:val="009A460A"/>
    <w:rsid w:val="009A49F0"/>
    <w:rsid w:val="009A4C3B"/>
    <w:rsid w:val="009A4E2D"/>
    <w:rsid w:val="009A4E6B"/>
    <w:rsid w:val="009A5307"/>
    <w:rsid w:val="009A5657"/>
    <w:rsid w:val="009A61AC"/>
    <w:rsid w:val="009A6490"/>
    <w:rsid w:val="009A678D"/>
    <w:rsid w:val="009A7197"/>
    <w:rsid w:val="009A7BC9"/>
    <w:rsid w:val="009A7D10"/>
    <w:rsid w:val="009A7F54"/>
    <w:rsid w:val="009B0082"/>
    <w:rsid w:val="009B03D6"/>
    <w:rsid w:val="009B04A4"/>
    <w:rsid w:val="009B074F"/>
    <w:rsid w:val="009B07F4"/>
    <w:rsid w:val="009B0912"/>
    <w:rsid w:val="009B09C7"/>
    <w:rsid w:val="009B1000"/>
    <w:rsid w:val="009B1351"/>
    <w:rsid w:val="009B18F8"/>
    <w:rsid w:val="009B1F6E"/>
    <w:rsid w:val="009B209D"/>
    <w:rsid w:val="009B2293"/>
    <w:rsid w:val="009B2AA9"/>
    <w:rsid w:val="009B3125"/>
    <w:rsid w:val="009B32CF"/>
    <w:rsid w:val="009B3E14"/>
    <w:rsid w:val="009B4DFB"/>
    <w:rsid w:val="009B529F"/>
    <w:rsid w:val="009B55EB"/>
    <w:rsid w:val="009B5757"/>
    <w:rsid w:val="009B5950"/>
    <w:rsid w:val="009B5D19"/>
    <w:rsid w:val="009B6158"/>
    <w:rsid w:val="009B6424"/>
    <w:rsid w:val="009B6FC7"/>
    <w:rsid w:val="009B733A"/>
    <w:rsid w:val="009B7A38"/>
    <w:rsid w:val="009B7C72"/>
    <w:rsid w:val="009B7F7E"/>
    <w:rsid w:val="009C0051"/>
    <w:rsid w:val="009C0F07"/>
    <w:rsid w:val="009C1437"/>
    <w:rsid w:val="009C1AEA"/>
    <w:rsid w:val="009C1B77"/>
    <w:rsid w:val="009C23A2"/>
    <w:rsid w:val="009C2E8E"/>
    <w:rsid w:val="009C2FDC"/>
    <w:rsid w:val="009C30FB"/>
    <w:rsid w:val="009C3651"/>
    <w:rsid w:val="009C38B0"/>
    <w:rsid w:val="009C407A"/>
    <w:rsid w:val="009C4098"/>
    <w:rsid w:val="009C4A4A"/>
    <w:rsid w:val="009C55DC"/>
    <w:rsid w:val="009C56F8"/>
    <w:rsid w:val="009C5981"/>
    <w:rsid w:val="009C5BD7"/>
    <w:rsid w:val="009C5E2D"/>
    <w:rsid w:val="009C622B"/>
    <w:rsid w:val="009C6A1E"/>
    <w:rsid w:val="009C709A"/>
    <w:rsid w:val="009C71F5"/>
    <w:rsid w:val="009C72E9"/>
    <w:rsid w:val="009C7524"/>
    <w:rsid w:val="009C76F7"/>
    <w:rsid w:val="009C7939"/>
    <w:rsid w:val="009C7C29"/>
    <w:rsid w:val="009D0382"/>
    <w:rsid w:val="009D0451"/>
    <w:rsid w:val="009D066C"/>
    <w:rsid w:val="009D08B6"/>
    <w:rsid w:val="009D0C2A"/>
    <w:rsid w:val="009D0EFB"/>
    <w:rsid w:val="009D111D"/>
    <w:rsid w:val="009D1927"/>
    <w:rsid w:val="009D244E"/>
    <w:rsid w:val="009D2812"/>
    <w:rsid w:val="009D2B5E"/>
    <w:rsid w:val="009D2E94"/>
    <w:rsid w:val="009D2F0C"/>
    <w:rsid w:val="009D3317"/>
    <w:rsid w:val="009D3341"/>
    <w:rsid w:val="009D3845"/>
    <w:rsid w:val="009D38B1"/>
    <w:rsid w:val="009D3BD1"/>
    <w:rsid w:val="009D45B4"/>
    <w:rsid w:val="009D460A"/>
    <w:rsid w:val="009D46EE"/>
    <w:rsid w:val="009D477C"/>
    <w:rsid w:val="009D4A3E"/>
    <w:rsid w:val="009D4A6D"/>
    <w:rsid w:val="009D5B89"/>
    <w:rsid w:val="009D5BCA"/>
    <w:rsid w:val="009D5CEF"/>
    <w:rsid w:val="009D630B"/>
    <w:rsid w:val="009D6ADB"/>
    <w:rsid w:val="009D6B27"/>
    <w:rsid w:val="009D6CA1"/>
    <w:rsid w:val="009D7103"/>
    <w:rsid w:val="009E0154"/>
    <w:rsid w:val="009E090E"/>
    <w:rsid w:val="009E0A62"/>
    <w:rsid w:val="009E0BAA"/>
    <w:rsid w:val="009E0BE1"/>
    <w:rsid w:val="009E16AE"/>
    <w:rsid w:val="009E1B32"/>
    <w:rsid w:val="009E1E35"/>
    <w:rsid w:val="009E1ED8"/>
    <w:rsid w:val="009E225A"/>
    <w:rsid w:val="009E25D7"/>
    <w:rsid w:val="009E27A5"/>
    <w:rsid w:val="009E2F86"/>
    <w:rsid w:val="009E3D16"/>
    <w:rsid w:val="009E3D57"/>
    <w:rsid w:val="009E414D"/>
    <w:rsid w:val="009E45D8"/>
    <w:rsid w:val="009E4638"/>
    <w:rsid w:val="009E4D7D"/>
    <w:rsid w:val="009E55F7"/>
    <w:rsid w:val="009E5612"/>
    <w:rsid w:val="009E56F2"/>
    <w:rsid w:val="009E5BC7"/>
    <w:rsid w:val="009E5F0C"/>
    <w:rsid w:val="009E61EB"/>
    <w:rsid w:val="009E6453"/>
    <w:rsid w:val="009E6722"/>
    <w:rsid w:val="009E700C"/>
    <w:rsid w:val="009E742F"/>
    <w:rsid w:val="009E7E8C"/>
    <w:rsid w:val="009F0062"/>
    <w:rsid w:val="009F0251"/>
    <w:rsid w:val="009F0539"/>
    <w:rsid w:val="009F08BD"/>
    <w:rsid w:val="009F0BDD"/>
    <w:rsid w:val="009F1012"/>
    <w:rsid w:val="009F1BF3"/>
    <w:rsid w:val="009F1E5F"/>
    <w:rsid w:val="009F23D9"/>
    <w:rsid w:val="009F240E"/>
    <w:rsid w:val="009F2AD7"/>
    <w:rsid w:val="009F2BE4"/>
    <w:rsid w:val="009F2C6B"/>
    <w:rsid w:val="009F32CA"/>
    <w:rsid w:val="009F3386"/>
    <w:rsid w:val="009F3788"/>
    <w:rsid w:val="009F46BC"/>
    <w:rsid w:val="009F4DE0"/>
    <w:rsid w:val="009F5384"/>
    <w:rsid w:val="009F5940"/>
    <w:rsid w:val="009F5BD5"/>
    <w:rsid w:val="009F5FAE"/>
    <w:rsid w:val="009F6781"/>
    <w:rsid w:val="009F687D"/>
    <w:rsid w:val="009F69A7"/>
    <w:rsid w:val="009F6A14"/>
    <w:rsid w:val="009F7008"/>
    <w:rsid w:val="009F70DB"/>
    <w:rsid w:val="009F72A8"/>
    <w:rsid w:val="009F7384"/>
    <w:rsid w:val="00A00388"/>
    <w:rsid w:val="00A004DD"/>
    <w:rsid w:val="00A00A39"/>
    <w:rsid w:val="00A012E6"/>
    <w:rsid w:val="00A01600"/>
    <w:rsid w:val="00A027A2"/>
    <w:rsid w:val="00A029F8"/>
    <w:rsid w:val="00A02D44"/>
    <w:rsid w:val="00A02EF9"/>
    <w:rsid w:val="00A030AC"/>
    <w:rsid w:val="00A03613"/>
    <w:rsid w:val="00A039E1"/>
    <w:rsid w:val="00A03C49"/>
    <w:rsid w:val="00A04C22"/>
    <w:rsid w:val="00A0507E"/>
    <w:rsid w:val="00A0517F"/>
    <w:rsid w:val="00A0570B"/>
    <w:rsid w:val="00A060EE"/>
    <w:rsid w:val="00A066B5"/>
    <w:rsid w:val="00A06C1B"/>
    <w:rsid w:val="00A0704F"/>
    <w:rsid w:val="00A07216"/>
    <w:rsid w:val="00A0797C"/>
    <w:rsid w:val="00A07B0D"/>
    <w:rsid w:val="00A103BE"/>
    <w:rsid w:val="00A10660"/>
    <w:rsid w:val="00A10C7C"/>
    <w:rsid w:val="00A1116B"/>
    <w:rsid w:val="00A1139A"/>
    <w:rsid w:val="00A12209"/>
    <w:rsid w:val="00A12A26"/>
    <w:rsid w:val="00A12F58"/>
    <w:rsid w:val="00A1308E"/>
    <w:rsid w:val="00A131DA"/>
    <w:rsid w:val="00A1336D"/>
    <w:rsid w:val="00A136C7"/>
    <w:rsid w:val="00A13741"/>
    <w:rsid w:val="00A13E23"/>
    <w:rsid w:val="00A1472D"/>
    <w:rsid w:val="00A14CE0"/>
    <w:rsid w:val="00A1597C"/>
    <w:rsid w:val="00A15CB9"/>
    <w:rsid w:val="00A15F09"/>
    <w:rsid w:val="00A160E7"/>
    <w:rsid w:val="00A165BA"/>
    <w:rsid w:val="00A169B6"/>
    <w:rsid w:val="00A17810"/>
    <w:rsid w:val="00A17A1E"/>
    <w:rsid w:val="00A17A48"/>
    <w:rsid w:val="00A17AA8"/>
    <w:rsid w:val="00A17C4F"/>
    <w:rsid w:val="00A20052"/>
    <w:rsid w:val="00A20718"/>
    <w:rsid w:val="00A20BE8"/>
    <w:rsid w:val="00A2187C"/>
    <w:rsid w:val="00A22319"/>
    <w:rsid w:val="00A2276B"/>
    <w:rsid w:val="00A233F3"/>
    <w:rsid w:val="00A23CD6"/>
    <w:rsid w:val="00A23D7C"/>
    <w:rsid w:val="00A2430B"/>
    <w:rsid w:val="00A25001"/>
    <w:rsid w:val="00A257F2"/>
    <w:rsid w:val="00A26274"/>
    <w:rsid w:val="00A26588"/>
    <w:rsid w:val="00A267FC"/>
    <w:rsid w:val="00A268A6"/>
    <w:rsid w:val="00A26A41"/>
    <w:rsid w:val="00A26B9F"/>
    <w:rsid w:val="00A26D9D"/>
    <w:rsid w:val="00A2730E"/>
    <w:rsid w:val="00A2761A"/>
    <w:rsid w:val="00A278F5"/>
    <w:rsid w:val="00A27BDE"/>
    <w:rsid w:val="00A27C88"/>
    <w:rsid w:val="00A30750"/>
    <w:rsid w:val="00A3101C"/>
    <w:rsid w:val="00A31484"/>
    <w:rsid w:val="00A31681"/>
    <w:rsid w:val="00A317C2"/>
    <w:rsid w:val="00A31918"/>
    <w:rsid w:val="00A32211"/>
    <w:rsid w:val="00A32354"/>
    <w:rsid w:val="00A32759"/>
    <w:rsid w:val="00A331BB"/>
    <w:rsid w:val="00A33376"/>
    <w:rsid w:val="00A33B78"/>
    <w:rsid w:val="00A34821"/>
    <w:rsid w:val="00A34AA9"/>
    <w:rsid w:val="00A34BCB"/>
    <w:rsid w:val="00A34CA4"/>
    <w:rsid w:val="00A34EF9"/>
    <w:rsid w:val="00A35960"/>
    <w:rsid w:val="00A362AE"/>
    <w:rsid w:val="00A36377"/>
    <w:rsid w:val="00A363AD"/>
    <w:rsid w:val="00A36533"/>
    <w:rsid w:val="00A36BBA"/>
    <w:rsid w:val="00A36C1C"/>
    <w:rsid w:val="00A36DF3"/>
    <w:rsid w:val="00A36FF6"/>
    <w:rsid w:val="00A37056"/>
    <w:rsid w:val="00A373DC"/>
    <w:rsid w:val="00A374B7"/>
    <w:rsid w:val="00A378C1"/>
    <w:rsid w:val="00A403EE"/>
    <w:rsid w:val="00A408BE"/>
    <w:rsid w:val="00A41267"/>
    <w:rsid w:val="00A4140F"/>
    <w:rsid w:val="00A41EEA"/>
    <w:rsid w:val="00A4257C"/>
    <w:rsid w:val="00A428A0"/>
    <w:rsid w:val="00A43156"/>
    <w:rsid w:val="00A4346E"/>
    <w:rsid w:val="00A43EB5"/>
    <w:rsid w:val="00A43FE4"/>
    <w:rsid w:val="00A4441D"/>
    <w:rsid w:val="00A449CF"/>
    <w:rsid w:val="00A44DD0"/>
    <w:rsid w:val="00A454B3"/>
    <w:rsid w:val="00A45B5B"/>
    <w:rsid w:val="00A463C9"/>
    <w:rsid w:val="00A464CA"/>
    <w:rsid w:val="00A46B3C"/>
    <w:rsid w:val="00A4710C"/>
    <w:rsid w:val="00A47129"/>
    <w:rsid w:val="00A47BEE"/>
    <w:rsid w:val="00A50554"/>
    <w:rsid w:val="00A50A07"/>
    <w:rsid w:val="00A50D0F"/>
    <w:rsid w:val="00A515D8"/>
    <w:rsid w:val="00A51687"/>
    <w:rsid w:val="00A517E0"/>
    <w:rsid w:val="00A51BF5"/>
    <w:rsid w:val="00A51CFC"/>
    <w:rsid w:val="00A51F7F"/>
    <w:rsid w:val="00A5233B"/>
    <w:rsid w:val="00A52433"/>
    <w:rsid w:val="00A52464"/>
    <w:rsid w:val="00A52723"/>
    <w:rsid w:val="00A52D9B"/>
    <w:rsid w:val="00A52DAE"/>
    <w:rsid w:val="00A52E3B"/>
    <w:rsid w:val="00A532DD"/>
    <w:rsid w:val="00A53362"/>
    <w:rsid w:val="00A533A1"/>
    <w:rsid w:val="00A53499"/>
    <w:rsid w:val="00A53A65"/>
    <w:rsid w:val="00A5471F"/>
    <w:rsid w:val="00A54C53"/>
    <w:rsid w:val="00A54C6D"/>
    <w:rsid w:val="00A54E3C"/>
    <w:rsid w:val="00A5522E"/>
    <w:rsid w:val="00A5552B"/>
    <w:rsid w:val="00A56089"/>
    <w:rsid w:val="00A571BB"/>
    <w:rsid w:val="00A5788E"/>
    <w:rsid w:val="00A60248"/>
    <w:rsid w:val="00A6026F"/>
    <w:rsid w:val="00A603D3"/>
    <w:rsid w:val="00A60699"/>
    <w:rsid w:val="00A60D87"/>
    <w:rsid w:val="00A612BB"/>
    <w:rsid w:val="00A61377"/>
    <w:rsid w:val="00A61380"/>
    <w:rsid w:val="00A616E3"/>
    <w:rsid w:val="00A61757"/>
    <w:rsid w:val="00A62476"/>
    <w:rsid w:val="00A6270F"/>
    <w:rsid w:val="00A62A76"/>
    <w:rsid w:val="00A6300D"/>
    <w:rsid w:val="00A63098"/>
    <w:rsid w:val="00A632A7"/>
    <w:rsid w:val="00A633DE"/>
    <w:rsid w:val="00A636EE"/>
    <w:rsid w:val="00A63914"/>
    <w:rsid w:val="00A63BFB"/>
    <w:rsid w:val="00A64251"/>
    <w:rsid w:val="00A6464B"/>
    <w:rsid w:val="00A64842"/>
    <w:rsid w:val="00A649B6"/>
    <w:rsid w:val="00A64BF0"/>
    <w:rsid w:val="00A65029"/>
    <w:rsid w:val="00A65C40"/>
    <w:rsid w:val="00A65FD8"/>
    <w:rsid w:val="00A66ED8"/>
    <w:rsid w:val="00A6760E"/>
    <w:rsid w:val="00A67F3A"/>
    <w:rsid w:val="00A700B7"/>
    <w:rsid w:val="00A70797"/>
    <w:rsid w:val="00A70A30"/>
    <w:rsid w:val="00A7174A"/>
    <w:rsid w:val="00A719BB"/>
    <w:rsid w:val="00A721FE"/>
    <w:rsid w:val="00A72B79"/>
    <w:rsid w:val="00A72CE7"/>
    <w:rsid w:val="00A72D53"/>
    <w:rsid w:val="00A72E3B"/>
    <w:rsid w:val="00A72FA2"/>
    <w:rsid w:val="00A7308D"/>
    <w:rsid w:val="00A7309E"/>
    <w:rsid w:val="00A732D2"/>
    <w:rsid w:val="00A739D4"/>
    <w:rsid w:val="00A73A9A"/>
    <w:rsid w:val="00A73BF7"/>
    <w:rsid w:val="00A74B90"/>
    <w:rsid w:val="00A74EC1"/>
    <w:rsid w:val="00A74F41"/>
    <w:rsid w:val="00A752BE"/>
    <w:rsid w:val="00A760F0"/>
    <w:rsid w:val="00A7632F"/>
    <w:rsid w:val="00A76425"/>
    <w:rsid w:val="00A76992"/>
    <w:rsid w:val="00A76D03"/>
    <w:rsid w:val="00A775C2"/>
    <w:rsid w:val="00A80735"/>
    <w:rsid w:val="00A80A39"/>
    <w:rsid w:val="00A80BCF"/>
    <w:rsid w:val="00A80DCF"/>
    <w:rsid w:val="00A81BCB"/>
    <w:rsid w:val="00A81C65"/>
    <w:rsid w:val="00A825D1"/>
    <w:rsid w:val="00A8264F"/>
    <w:rsid w:val="00A82C2F"/>
    <w:rsid w:val="00A8369C"/>
    <w:rsid w:val="00A83B39"/>
    <w:rsid w:val="00A83FE4"/>
    <w:rsid w:val="00A84844"/>
    <w:rsid w:val="00A8488E"/>
    <w:rsid w:val="00A84ADE"/>
    <w:rsid w:val="00A84AF1"/>
    <w:rsid w:val="00A84C41"/>
    <w:rsid w:val="00A84DAB"/>
    <w:rsid w:val="00A84F2E"/>
    <w:rsid w:val="00A853E7"/>
    <w:rsid w:val="00A855B2"/>
    <w:rsid w:val="00A85A39"/>
    <w:rsid w:val="00A85DF3"/>
    <w:rsid w:val="00A86579"/>
    <w:rsid w:val="00A86B75"/>
    <w:rsid w:val="00A874A8"/>
    <w:rsid w:val="00A90212"/>
    <w:rsid w:val="00A90CC4"/>
    <w:rsid w:val="00A911D8"/>
    <w:rsid w:val="00A91FF8"/>
    <w:rsid w:val="00A92A06"/>
    <w:rsid w:val="00A92AF4"/>
    <w:rsid w:val="00A92DF2"/>
    <w:rsid w:val="00A93627"/>
    <w:rsid w:val="00A936EE"/>
    <w:rsid w:val="00A93771"/>
    <w:rsid w:val="00A93AA7"/>
    <w:rsid w:val="00A9401D"/>
    <w:rsid w:val="00A9427B"/>
    <w:rsid w:val="00A94343"/>
    <w:rsid w:val="00A94D9C"/>
    <w:rsid w:val="00A96139"/>
    <w:rsid w:val="00A96477"/>
    <w:rsid w:val="00A97292"/>
    <w:rsid w:val="00A97373"/>
    <w:rsid w:val="00A97CAF"/>
    <w:rsid w:val="00A97E8D"/>
    <w:rsid w:val="00AA07CD"/>
    <w:rsid w:val="00AA0A00"/>
    <w:rsid w:val="00AA145D"/>
    <w:rsid w:val="00AA1689"/>
    <w:rsid w:val="00AA19B3"/>
    <w:rsid w:val="00AA1D73"/>
    <w:rsid w:val="00AA1F39"/>
    <w:rsid w:val="00AA239C"/>
    <w:rsid w:val="00AA2883"/>
    <w:rsid w:val="00AA2DA1"/>
    <w:rsid w:val="00AA301A"/>
    <w:rsid w:val="00AA3091"/>
    <w:rsid w:val="00AA3A06"/>
    <w:rsid w:val="00AA3EC3"/>
    <w:rsid w:val="00AA47A5"/>
    <w:rsid w:val="00AA496F"/>
    <w:rsid w:val="00AA54AC"/>
    <w:rsid w:val="00AA5638"/>
    <w:rsid w:val="00AA5770"/>
    <w:rsid w:val="00AA57AB"/>
    <w:rsid w:val="00AA5ED4"/>
    <w:rsid w:val="00AA6D20"/>
    <w:rsid w:val="00AA6DEB"/>
    <w:rsid w:val="00AA70DB"/>
    <w:rsid w:val="00AA73BE"/>
    <w:rsid w:val="00AA751C"/>
    <w:rsid w:val="00AA759F"/>
    <w:rsid w:val="00AA7682"/>
    <w:rsid w:val="00AA775A"/>
    <w:rsid w:val="00AA7B50"/>
    <w:rsid w:val="00AA7C9D"/>
    <w:rsid w:val="00AA7D94"/>
    <w:rsid w:val="00AA7F64"/>
    <w:rsid w:val="00AB0051"/>
    <w:rsid w:val="00AB0315"/>
    <w:rsid w:val="00AB09FD"/>
    <w:rsid w:val="00AB0A61"/>
    <w:rsid w:val="00AB0AF9"/>
    <w:rsid w:val="00AB119B"/>
    <w:rsid w:val="00AB12A7"/>
    <w:rsid w:val="00AB1EA2"/>
    <w:rsid w:val="00AB2172"/>
    <w:rsid w:val="00AB234E"/>
    <w:rsid w:val="00AB2E70"/>
    <w:rsid w:val="00AB3112"/>
    <w:rsid w:val="00AB319B"/>
    <w:rsid w:val="00AB3376"/>
    <w:rsid w:val="00AB33C1"/>
    <w:rsid w:val="00AB3E03"/>
    <w:rsid w:val="00AB4274"/>
    <w:rsid w:val="00AB43CA"/>
    <w:rsid w:val="00AB45EC"/>
    <w:rsid w:val="00AB49A8"/>
    <w:rsid w:val="00AB4EB6"/>
    <w:rsid w:val="00AB6D44"/>
    <w:rsid w:val="00AB75DB"/>
    <w:rsid w:val="00AC01FB"/>
    <w:rsid w:val="00AC0266"/>
    <w:rsid w:val="00AC09FD"/>
    <w:rsid w:val="00AC0BAF"/>
    <w:rsid w:val="00AC1062"/>
    <w:rsid w:val="00AC1431"/>
    <w:rsid w:val="00AC16F1"/>
    <w:rsid w:val="00AC17C6"/>
    <w:rsid w:val="00AC1D15"/>
    <w:rsid w:val="00AC21C5"/>
    <w:rsid w:val="00AC348A"/>
    <w:rsid w:val="00AC3796"/>
    <w:rsid w:val="00AC38C6"/>
    <w:rsid w:val="00AC4019"/>
    <w:rsid w:val="00AC409B"/>
    <w:rsid w:val="00AC43F2"/>
    <w:rsid w:val="00AC48B7"/>
    <w:rsid w:val="00AC5272"/>
    <w:rsid w:val="00AC5529"/>
    <w:rsid w:val="00AC5944"/>
    <w:rsid w:val="00AC6287"/>
    <w:rsid w:val="00AC7580"/>
    <w:rsid w:val="00AC77D4"/>
    <w:rsid w:val="00AD002A"/>
    <w:rsid w:val="00AD008E"/>
    <w:rsid w:val="00AD0342"/>
    <w:rsid w:val="00AD047E"/>
    <w:rsid w:val="00AD04DB"/>
    <w:rsid w:val="00AD0B02"/>
    <w:rsid w:val="00AD1420"/>
    <w:rsid w:val="00AD1B56"/>
    <w:rsid w:val="00AD1BAA"/>
    <w:rsid w:val="00AD2486"/>
    <w:rsid w:val="00AD29B0"/>
    <w:rsid w:val="00AD2CC7"/>
    <w:rsid w:val="00AD3330"/>
    <w:rsid w:val="00AD3382"/>
    <w:rsid w:val="00AD353B"/>
    <w:rsid w:val="00AD3C6B"/>
    <w:rsid w:val="00AD448E"/>
    <w:rsid w:val="00AD44C6"/>
    <w:rsid w:val="00AD47E6"/>
    <w:rsid w:val="00AD49DA"/>
    <w:rsid w:val="00AD4B8D"/>
    <w:rsid w:val="00AD534E"/>
    <w:rsid w:val="00AD577B"/>
    <w:rsid w:val="00AD5864"/>
    <w:rsid w:val="00AD591D"/>
    <w:rsid w:val="00AD5C43"/>
    <w:rsid w:val="00AD6619"/>
    <w:rsid w:val="00AD69B6"/>
    <w:rsid w:val="00AD69ED"/>
    <w:rsid w:val="00AD6E9C"/>
    <w:rsid w:val="00AD70C1"/>
    <w:rsid w:val="00AD70CC"/>
    <w:rsid w:val="00AD72C1"/>
    <w:rsid w:val="00AD7366"/>
    <w:rsid w:val="00AD7CDE"/>
    <w:rsid w:val="00AD7D96"/>
    <w:rsid w:val="00AD7F01"/>
    <w:rsid w:val="00AE02A0"/>
    <w:rsid w:val="00AE0859"/>
    <w:rsid w:val="00AE090F"/>
    <w:rsid w:val="00AE0A5C"/>
    <w:rsid w:val="00AE0F5F"/>
    <w:rsid w:val="00AE1771"/>
    <w:rsid w:val="00AE1AC4"/>
    <w:rsid w:val="00AE2499"/>
    <w:rsid w:val="00AE251B"/>
    <w:rsid w:val="00AE2D26"/>
    <w:rsid w:val="00AE31C5"/>
    <w:rsid w:val="00AE36BF"/>
    <w:rsid w:val="00AE3781"/>
    <w:rsid w:val="00AE3962"/>
    <w:rsid w:val="00AE3B30"/>
    <w:rsid w:val="00AE41A4"/>
    <w:rsid w:val="00AE4286"/>
    <w:rsid w:val="00AE460D"/>
    <w:rsid w:val="00AE4BF7"/>
    <w:rsid w:val="00AE4D2E"/>
    <w:rsid w:val="00AE4E7D"/>
    <w:rsid w:val="00AE55C6"/>
    <w:rsid w:val="00AE5950"/>
    <w:rsid w:val="00AE6E04"/>
    <w:rsid w:val="00AE7A41"/>
    <w:rsid w:val="00AE7AFF"/>
    <w:rsid w:val="00AE7F82"/>
    <w:rsid w:val="00AF0089"/>
    <w:rsid w:val="00AF00FE"/>
    <w:rsid w:val="00AF02F0"/>
    <w:rsid w:val="00AF08F8"/>
    <w:rsid w:val="00AF11E0"/>
    <w:rsid w:val="00AF132F"/>
    <w:rsid w:val="00AF1383"/>
    <w:rsid w:val="00AF17E7"/>
    <w:rsid w:val="00AF1ECC"/>
    <w:rsid w:val="00AF2136"/>
    <w:rsid w:val="00AF2F99"/>
    <w:rsid w:val="00AF3135"/>
    <w:rsid w:val="00AF33A8"/>
    <w:rsid w:val="00AF353A"/>
    <w:rsid w:val="00AF39CB"/>
    <w:rsid w:val="00AF3BC5"/>
    <w:rsid w:val="00AF3D33"/>
    <w:rsid w:val="00AF4AB2"/>
    <w:rsid w:val="00AF4AFF"/>
    <w:rsid w:val="00AF5239"/>
    <w:rsid w:val="00AF56C2"/>
    <w:rsid w:val="00AF5A95"/>
    <w:rsid w:val="00AF5F55"/>
    <w:rsid w:val="00AF64FC"/>
    <w:rsid w:val="00AF6586"/>
    <w:rsid w:val="00AF6A64"/>
    <w:rsid w:val="00AF7AEF"/>
    <w:rsid w:val="00B00193"/>
    <w:rsid w:val="00B005A2"/>
    <w:rsid w:val="00B007CF"/>
    <w:rsid w:val="00B00A85"/>
    <w:rsid w:val="00B00BA9"/>
    <w:rsid w:val="00B00F4B"/>
    <w:rsid w:val="00B01395"/>
    <w:rsid w:val="00B015BC"/>
    <w:rsid w:val="00B019D9"/>
    <w:rsid w:val="00B020BE"/>
    <w:rsid w:val="00B0211F"/>
    <w:rsid w:val="00B02876"/>
    <w:rsid w:val="00B02D80"/>
    <w:rsid w:val="00B03296"/>
    <w:rsid w:val="00B0351C"/>
    <w:rsid w:val="00B0352D"/>
    <w:rsid w:val="00B03629"/>
    <w:rsid w:val="00B03A0E"/>
    <w:rsid w:val="00B03A7F"/>
    <w:rsid w:val="00B03A97"/>
    <w:rsid w:val="00B03BA2"/>
    <w:rsid w:val="00B03C82"/>
    <w:rsid w:val="00B046E8"/>
    <w:rsid w:val="00B04976"/>
    <w:rsid w:val="00B04A1C"/>
    <w:rsid w:val="00B04AC6"/>
    <w:rsid w:val="00B055CF"/>
    <w:rsid w:val="00B055F7"/>
    <w:rsid w:val="00B05CA3"/>
    <w:rsid w:val="00B05D22"/>
    <w:rsid w:val="00B05D9B"/>
    <w:rsid w:val="00B060A8"/>
    <w:rsid w:val="00B060B1"/>
    <w:rsid w:val="00B06CF0"/>
    <w:rsid w:val="00B07B0C"/>
    <w:rsid w:val="00B07E56"/>
    <w:rsid w:val="00B10F4C"/>
    <w:rsid w:val="00B11105"/>
    <w:rsid w:val="00B1191B"/>
    <w:rsid w:val="00B11CDD"/>
    <w:rsid w:val="00B11EA8"/>
    <w:rsid w:val="00B11FD0"/>
    <w:rsid w:val="00B120E6"/>
    <w:rsid w:val="00B120F9"/>
    <w:rsid w:val="00B124ED"/>
    <w:rsid w:val="00B1266E"/>
    <w:rsid w:val="00B12DE0"/>
    <w:rsid w:val="00B1357D"/>
    <w:rsid w:val="00B13885"/>
    <w:rsid w:val="00B13A6D"/>
    <w:rsid w:val="00B14973"/>
    <w:rsid w:val="00B1565A"/>
    <w:rsid w:val="00B15F4F"/>
    <w:rsid w:val="00B1652F"/>
    <w:rsid w:val="00B167BF"/>
    <w:rsid w:val="00B16C6F"/>
    <w:rsid w:val="00B16FD9"/>
    <w:rsid w:val="00B171CB"/>
    <w:rsid w:val="00B17377"/>
    <w:rsid w:val="00B17811"/>
    <w:rsid w:val="00B17E8B"/>
    <w:rsid w:val="00B17F13"/>
    <w:rsid w:val="00B200A5"/>
    <w:rsid w:val="00B20B36"/>
    <w:rsid w:val="00B20B83"/>
    <w:rsid w:val="00B21252"/>
    <w:rsid w:val="00B21A81"/>
    <w:rsid w:val="00B21DB2"/>
    <w:rsid w:val="00B21F1F"/>
    <w:rsid w:val="00B2258F"/>
    <w:rsid w:val="00B22CD6"/>
    <w:rsid w:val="00B231FB"/>
    <w:rsid w:val="00B2324A"/>
    <w:rsid w:val="00B235FD"/>
    <w:rsid w:val="00B23CDB"/>
    <w:rsid w:val="00B245E2"/>
    <w:rsid w:val="00B2470F"/>
    <w:rsid w:val="00B25563"/>
    <w:rsid w:val="00B257F5"/>
    <w:rsid w:val="00B25959"/>
    <w:rsid w:val="00B26843"/>
    <w:rsid w:val="00B26AF4"/>
    <w:rsid w:val="00B26D48"/>
    <w:rsid w:val="00B26F07"/>
    <w:rsid w:val="00B270C1"/>
    <w:rsid w:val="00B2751D"/>
    <w:rsid w:val="00B27825"/>
    <w:rsid w:val="00B2789F"/>
    <w:rsid w:val="00B305F7"/>
    <w:rsid w:val="00B306C9"/>
    <w:rsid w:val="00B31324"/>
    <w:rsid w:val="00B31F38"/>
    <w:rsid w:val="00B3241A"/>
    <w:rsid w:val="00B330C8"/>
    <w:rsid w:val="00B331E5"/>
    <w:rsid w:val="00B3360C"/>
    <w:rsid w:val="00B3396B"/>
    <w:rsid w:val="00B340BC"/>
    <w:rsid w:val="00B34226"/>
    <w:rsid w:val="00B342A0"/>
    <w:rsid w:val="00B346F7"/>
    <w:rsid w:val="00B34C14"/>
    <w:rsid w:val="00B35171"/>
    <w:rsid w:val="00B35357"/>
    <w:rsid w:val="00B3540F"/>
    <w:rsid w:val="00B35415"/>
    <w:rsid w:val="00B355BC"/>
    <w:rsid w:val="00B356BF"/>
    <w:rsid w:val="00B35F9B"/>
    <w:rsid w:val="00B35F9F"/>
    <w:rsid w:val="00B35FF9"/>
    <w:rsid w:val="00B3689D"/>
    <w:rsid w:val="00B368BE"/>
    <w:rsid w:val="00B368F5"/>
    <w:rsid w:val="00B36B04"/>
    <w:rsid w:val="00B36D53"/>
    <w:rsid w:val="00B376D5"/>
    <w:rsid w:val="00B377AB"/>
    <w:rsid w:val="00B37A2C"/>
    <w:rsid w:val="00B40004"/>
    <w:rsid w:val="00B400E4"/>
    <w:rsid w:val="00B40949"/>
    <w:rsid w:val="00B40D80"/>
    <w:rsid w:val="00B4194C"/>
    <w:rsid w:val="00B41D20"/>
    <w:rsid w:val="00B41F7B"/>
    <w:rsid w:val="00B4210E"/>
    <w:rsid w:val="00B42561"/>
    <w:rsid w:val="00B425FF"/>
    <w:rsid w:val="00B42EE1"/>
    <w:rsid w:val="00B4368F"/>
    <w:rsid w:val="00B43695"/>
    <w:rsid w:val="00B458DD"/>
    <w:rsid w:val="00B458F0"/>
    <w:rsid w:val="00B461C4"/>
    <w:rsid w:val="00B462B7"/>
    <w:rsid w:val="00B468FB"/>
    <w:rsid w:val="00B46AFA"/>
    <w:rsid w:val="00B47A59"/>
    <w:rsid w:val="00B47CFC"/>
    <w:rsid w:val="00B47D6A"/>
    <w:rsid w:val="00B501DF"/>
    <w:rsid w:val="00B50339"/>
    <w:rsid w:val="00B5056B"/>
    <w:rsid w:val="00B513F8"/>
    <w:rsid w:val="00B517EC"/>
    <w:rsid w:val="00B5256B"/>
    <w:rsid w:val="00B525D9"/>
    <w:rsid w:val="00B52AF2"/>
    <w:rsid w:val="00B52B5A"/>
    <w:rsid w:val="00B52F0C"/>
    <w:rsid w:val="00B5349B"/>
    <w:rsid w:val="00B53920"/>
    <w:rsid w:val="00B53CA2"/>
    <w:rsid w:val="00B544FB"/>
    <w:rsid w:val="00B5488B"/>
    <w:rsid w:val="00B54903"/>
    <w:rsid w:val="00B54F0D"/>
    <w:rsid w:val="00B5649C"/>
    <w:rsid w:val="00B568FE"/>
    <w:rsid w:val="00B56BE1"/>
    <w:rsid w:val="00B56C10"/>
    <w:rsid w:val="00B573BA"/>
    <w:rsid w:val="00B579E9"/>
    <w:rsid w:val="00B6058C"/>
    <w:rsid w:val="00B6070B"/>
    <w:rsid w:val="00B609CE"/>
    <w:rsid w:val="00B60ABA"/>
    <w:rsid w:val="00B61BB0"/>
    <w:rsid w:val="00B61C68"/>
    <w:rsid w:val="00B61E1B"/>
    <w:rsid w:val="00B61EAB"/>
    <w:rsid w:val="00B6242A"/>
    <w:rsid w:val="00B625F5"/>
    <w:rsid w:val="00B62C0C"/>
    <w:rsid w:val="00B63247"/>
    <w:rsid w:val="00B63ACE"/>
    <w:rsid w:val="00B64092"/>
    <w:rsid w:val="00B64923"/>
    <w:rsid w:val="00B65E55"/>
    <w:rsid w:val="00B660FD"/>
    <w:rsid w:val="00B661FE"/>
    <w:rsid w:val="00B66287"/>
    <w:rsid w:val="00B669DC"/>
    <w:rsid w:val="00B67211"/>
    <w:rsid w:val="00B6775C"/>
    <w:rsid w:val="00B67766"/>
    <w:rsid w:val="00B67C81"/>
    <w:rsid w:val="00B67F3E"/>
    <w:rsid w:val="00B67FBC"/>
    <w:rsid w:val="00B7136C"/>
    <w:rsid w:val="00B7138A"/>
    <w:rsid w:val="00B71708"/>
    <w:rsid w:val="00B71C07"/>
    <w:rsid w:val="00B71C71"/>
    <w:rsid w:val="00B71CD0"/>
    <w:rsid w:val="00B71D86"/>
    <w:rsid w:val="00B71F83"/>
    <w:rsid w:val="00B72892"/>
    <w:rsid w:val="00B729A3"/>
    <w:rsid w:val="00B72FF3"/>
    <w:rsid w:val="00B7390F"/>
    <w:rsid w:val="00B7391F"/>
    <w:rsid w:val="00B73BC1"/>
    <w:rsid w:val="00B74C56"/>
    <w:rsid w:val="00B750DB"/>
    <w:rsid w:val="00B75514"/>
    <w:rsid w:val="00B7556A"/>
    <w:rsid w:val="00B757F6"/>
    <w:rsid w:val="00B75B39"/>
    <w:rsid w:val="00B75B7A"/>
    <w:rsid w:val="00B769B1"/>
    <w:rsid w:val="00B775A1"/>
    <w:rsid w:val="00B77DF2"/>
    <w:rsid w:val="00B8068A"/>
    <w:rsid w:val="00B80E30"/>
    <w:rsid w:val="00B80EBD"/>
    <w:rsid w:val="00B810A3"/>
    <w:rsid w:val="00B8173C"/>
    <w:rsid w:val="00B81B85"/>
    <w:rsid w:val="00B8209E"/>
    <w:rsid w:val="00B821C3"/>
    <w:rsid w:val="00B8293D"/>
    <w:rsid w:val="00B82A4E"/>
    <w:rsid w:val="00B838E1"/>
    <w:rsid w:val="00B83AAD"/>
    <w:rsid w:val="00B83C7F"/>
    <w:rsid w:val="00B83F5D"/>
    <w:rsid w:val="00B8403C"/>
    <w:rsid w:val="00B840D4"/>
    <w:rsid w:val="00B840F1"/>
    <w:rsid w:val="00B84291"/>
    <w:rsid w:val="00B846D1"/>
    <w:rsid w:val="00B84AEC"/>
    <w:rsid w:val="00B84D4E"/>
    <w:rsid w:val="00B84F5F"/>
    <w:rsid w:val="00B854AE"/>
    <w:rsid w:val="00B86070"/>
    <w:rsid w:val="00B863E5"/>
    <w:rsid w:val="00B865C1"/>
    <w:rsid w:val="00B86CF9"/>
    <w:rsid w:val="00B87327"/>
    <w:rsid w:val="00B873BA"/>
    <w:rsid w:val="00B87A49"/>
    <w:rsid w:val="00B90038"/>
    <w:rsid w:val="00B905C4"/>
    <w:rsid w:val="00B90B8E"/>
    <w:rsid w:val="00B9107D"/>
    <w:rsid w:val="00B91158"/>
    <w:rsid w:val="00B91840"/>
    <w:rsid w:val="00B91ECE"/>
    <w:rsid w:val="00B923DB"/>
    <w:rsid w:val="00B92478"/>
    <w:rsid w:val="00B9247E"/>
    <w:rsid w:val="00B9280E"/>
    <w:rsid w:val="00B93086"/>
    <w:rsid w:val="00B93107"/>
    <w:rsid w:val="00B9313F"/>
    <w:rsid w:val="00B9361D"/>
    <w:rsid w:val="00B9375C"/>
    <w:rsid w:val="00B93CC3"/>
    <w:rsid w:val="00B93DC7"/>
    <w:rsid w:val="00B943FB"/>
    <w:rsid w:val="00B944B4"/>
    <w:rsid w:val="00B9451B"/>
    <w:rsid w:val="00B9499E"/>
    <w:rsid w:val="00B94D2E"/>
    <w:rsid w:val="00B94EA9"/>
    <w:rsid w:val="00B95279"/>
    <w:rsid w:val="00B954B2"/>
    <w:rsid w:val="00B95BAE"/>
    <w:rsid w:val="00B95BBC"/>
    <w:rsid w:val="00B96029"/>
    <w:rsid w:val="00B960FE"/>
    <w:rsid w:val="00B96512"/>
    <w:rsid w:val="00B9719C"/>
    <w:rsid w:val="00B97463"/>
    <w:rsid w:val="00B97896"/>
    <w:rsid w:val="00B97CCE"/>
    <w:rsid w:val="00BA13A1"/>
    <w:rsid w:val="00BA149B"/>
    <w:rsid w:val="00BA15DC"/>
    <w:rsid w:val="00BA17BE"/>
    <w:rsid w:val="00BA1B37"/>
    <w:rsid w:val="00BA2120"/>
    <w:rsid w:val="00BA25B4"/>
    <w:rsid w:val="00BA28B8"/>
    <w:rsid w:val="00BA2AB8"/>
    <w:rsid w:val="00BA2B94"/>
    <w:rsid w:val="00BA39EF"/>
    <w:rsid w:val="00BA3BD4"/>
    <w:rsid w:val="00BA47FE"/>
    <w:rsid w:val="00BA4B34"/>
    <w:rsid w:val="00BA59B0"/>
    <w:rsid w:val="00BA6188"/>
    <w:rsid w:val="00BA6211"/>
    <w:rsid w:val="00BA6345"/>
    <w:rsid w:val="00BA7493"/>
    <w:rsid w:val="00BA7ADC"/>
    <w:rsid w:val="00BA7D30"/>
    <w:rsid w:val="00BA7DEE"/>
    <w:rsid w:val="00BB00DD"/>
    <w:rsid w:val="00BB027A"/>
    <w:rsid w:val="00BB095E"/>
    <w:rsid w:val="00BB09F9"/>
    <w:rsid w:val="00BB0E69"/>
    <w:rsid w:val="00BB17EA"/>
    <w:rsid w:val="00BB1B97"/>
    <w:rsid w:val="00BB1C99"/>
    <w:rsid w:val="00BB2047"/>
    <w:rsid w:val="00BB2304"/>
    <w:rsid w:val="00BB48C8"/>
    <w:rsid w:val="00BB49BF"/>
    <w:rsid w:val="00BB4EB4"/>
    <w:rsid w:val="00BB5065"/>
    <w:rsid w:val="00BB531C"/>
    <w:rsid w:val="00BB5422"/>
    <w:rsid w:val="00BB5455"/>
    <w:rsid w:val="00BB5B0C"/>
    <w:rsid w:val="00BB605E"/>
    <w:rsid w:val="00BB608E"/>
    <w:rsid w:val="00BB6D3D"/>
    <w:rsid w:val="00BB6E38"/>
    <w:rsid w:val="00BB6F32"/>
    <w:rsid w:val="00BB70FB"/>
    <w:rsid w:val="00BB74D1"/>
    <w:rsid w:val="00BB7567"/>
    <w:rsid w:val="00BB7950"/>
    <w:rsid w:val="00BC0133"/>
    <w:rsid w:val="00BC0356"/>
    <w:rsid w:val="00BC09F1"/>
    <w:rsid w:val="00BC0B4C"/>
    <w:rsid w:val="00BC0C2A"/>
    <w:rsid w:val="00BC0D3E"/>
    <w:rsid w:val="00BC11C3"/>
    <w:rsid w:val="00BC1367"/>
    <w:rsid w:val="00BC26B5"/>
    <w:rsid w:val="00BC2934"/>
    <w:rsid w:val="00BC2D2A"/>
    <w:rsid w:val="00BC2D4F"/>
    <w:rsid w:val="00BC301D"/>
    <w:rsid w:val="00BC328E"/>
    <w:rsid w:val="00BC361A"/>
    <w:rsid w:val="00BC36EC"/>
    <w:rsid w:val="00BC3A87"/>
    <w:rsid w:val="00BC45D6"/>
    <w:rsid w:val="00BC4691"/>
    <w:rsid w:val="00BC4757"/>
    <w:rsid w:val="00BC4C65"/>
    <w:rsid w:val="00BC5839"/>
    <w:rsid w:val="00BC5ACF"/>
    <w:rsid w:val="00BC5C68"/>
    <w:rsid w:val="00BC68C2"/>
    <w:rsid w:val="00BC6F64"/>
    <w:rsid w:val="00BC6FEF"/>
    <w:rsid w:val="00BC707F"/>
    <w:rsid w:val="00BC79C6"/>
    <w:rsid w:val="00BC7A72"/>
    <w:rsid w:val="00BC7AAE"/>
    <w:rsid w:val="00BD022C"/>
    <w:rsid w:val="00BD05C4"/>
    <w:rsid w:val="00BD0BEB"/>
    <w:rsid w:val="00BD0C54"/>
    <w:rsid w:val="00BD0CD3"/>
    <w:rsid w:val="00BD0FA3"/>
    <w:rsid w:val="00BD102F"/>
    <w:rsid w:val="00BD105D"/>
    <w:rsid w:val="00BD1280"/>
    <w:rsid w:val="00BD1309"/>
    <w:rsid w:val="00BD19BE"/>
    <w:rsid w:val="00BD2045"/>
    <w:rsid w:val="00BD2181"/>
    <w:rsid w:val="00BD313D"/>
    <w:rsid w:val="00BD33FF"/>
    <w:rsid w:val="00BD3450"/>
    <w:rsid w:val="00BD3999"/>
    <w:rsid w:val="00BD3AC3"/>
    <w:rsid w:val="00BD3C8E"/>
    <w:rsid w:val="00BD3D7D"/>
    <w:rsid w:val="00BD49F7"/>
    <w:rsid w:val="00BD4B08"/>
    <w:rsid w:val="00BD4B3C"/>
    <w:rsid w:val="00BD4B99"/>
    <w:rsid w:val="00BD4E81"/>
    <w:rsid w:val="00BD592E"/>
    <w:rsid w:val="00BD5DF0"/>
    <w:rsid w:val="00BD61A2"/>
    <w:rsid w:val="00BD6AEB"/>
    <w:rsid w:val="00BD7200"/>
    <w:rsid w:val="00BD76EE"/>
    <w:rsid w:val="00BD7884"/>
    <w:rsid w:val="00BD79BA"/>
    <w:rsid w:val="00BE02AA"/>
    <w:rsid w:val="00BE06A6"/>
    <w:rsid w:val="00BE084B"/>
    <w:rsid w:val="00BE0959"/>
    <w:rsid w:val="00BE09AA"/>
    <w:rsid w:val="00BE1383"/>
    <w:rsid w:val="00BE13C5"/>
    <w:rsid w:val="00BE1932"/>
    <w:rsid w:val="00BE1F1B"/>
    <w:rsid w:val="00BE25AD"/>
    <w:rsid w:val="00BE2CC2"/>
    <w:rsid w:val="00BE2E82"/>
    <w:rsid w:val="00BE2F33"/>
    <w:rsid w:val="00BE37AC"/>
    <w:rsid w:val="00BE3DD6"/>
    <w:rsid w:val="00BE3FFB"/>
    <w:rsid w:val="00BE46B0"/>
    <w:rsid w:val="00BE484D"/>
    <w:rsid w:val="00BE48C4"/>
    <w:rsid w:val="00BE51AC"/>
    <w:rsid w:val="00BE536F"/>
    <w:rsid w:val="00BE5604"/>
    <w:rsid w:val="00BE6AC0"/>
    <w:rsid w:val="00BE6E9A"/>
    <w:rsid w:val="00BE704A"/>
    <w:rsid w:val="00BE7522"/>
    <w:rsid w:val="00BE754C"/>
    <w:rsid w:val="00BE7891"/>
    <w:rsid w:val="00BE7A07"/>
    <w:rsid w:val="00BE7D45"/>
    <w:rsid w:val="00BF0391"/>
    <w:rsid w:val="00BF0410"/>
    <w:rsid w:val="00BF0578"/>
    <w:rsid w:val="00BF0EB6"/>
    <w:rsid w:val="00BF1095"/>
    <w:rsid w:val="00BF18EC"/>
    <w:rsid w:val="00BF1BF2"/>
    <w:rsid w:val="00BF257A"/>
    <w:rsid w:val="00BF2596"/>
    <w:rsid w:val="00BF2830"/>
    <w:rsid w:val="00BF2E57"/>
    <w:rsid w:val="00BF3126"/>
    <w:rsid w:val="00BF47B8"/>
    <w:rsid w:val="00BF4931"/>
    <w:rsid w:val="00BF4D3F"/>
    <w:rsid w:val="00BF4D60"/>
    <w:rsid w:val="00BF519F"/>
    <w:rsid w:val="00BF5213"/>
    <w:rsid w:val="00BF5CDF"/>
    <w:rsid w:val="00BF5D3B"/>
    <w:rsid w:val="00BF60E1"/>
    <w:rsid w:val="00BF61E2"/>
    <w:rsid w:val="00BF64A1"/>
    <w:rsid w:val="00BF6825"/>
    <w:rsid w:val="00C000B5"/>
    <w:rsid w:val="00C004E9"/>
    <w:rsid w:val="00C00B11"/>
    <w:rsid w:val="00C01D4A"/>
    <w:rsid w:val="00C01F09"/>
    <w:rsid w:val="00C01FD1"/>
    <w:rsid w:val="00C02065"/>
    <w:rsid w:val="00C024BA"/>
    <w:rsid w:val="00C02BC3"/>
    <w:rsid w:val="00C02C76"/>
    <w:rsid w:val="00C03067"/>
    <w:rsid w:val="00C03083"/>
    <w:rsid w:val="00C033B8"/>
    <w:rsid w:val="00C03522"/>
    <w:rsid w:val="00C03CFD"/>
    <w:rsid w:val="00C04636"/>
    <w:rsid w:val="00C0506B"/>
    <w:rsid w:val="00C060D4"/>
    <w:rsid w:val="00C06B79"/>
    <w:rsid w:val="00C07797"/>
    <w:rsid w:val="00C077BE"/>
    <w:rsid w:val="00C07DA0"/>
    <w:rsid w:val="00C10BA2"/>
    <w:rsid w:val="00C110B0"/>
    <w:rsid w:val="00C110EB"/>
    <w:rsid w:val="00C11542"/>
    <w:rsid w:val="00C12320"/>
    <w:rsid w:val="00C12739"/>
    <w:rsid w:val="00C131F8"/>
    <w:rsid w:val="00C132B2"/>
    <w:rsid w:val="00C132F5"/>
    <w:rsid w:val="00C1336A"/>
    <w:rsid w:val="00C15200"/>
    <w:rsid w:val="00C15532"/>
    <w:rsid w:val="00C1556C"/>
    <w:rsid w:val="00C157DF"/>
    <w:rsid w:val="00C15DDD"/>
    <w:rsid w:val="00C16A2A"/>
    <w:rsid w:val="00C16DEB"/>
    <w:rsid w:val="00C172CD"/>
    <w:rsid w:val="00C17F4E"/>
    <w:rsid w:val="00C2001B"/>
    <w:rsid w:val="00C203EB"/>
    <w:rsid w:val="00C207C6"/>
    <w:rsid w:val="00C2084A"/>
    <w:rsid w:val="00C208CD"/>
    <w:rsid w:val="00C20D13"/>
    <w:rsid w:val="00C20E36"/>
    <w:rsid w:val="00C212F1"/>
    <w:rsid w:val="00C21702"/>
    <w:rsid w:val="00C21BF0"/>
    <w:rsid w:val="00C22869"/>
    <w:rsid w:val="00C228D5"/>
    <w:rsid w:val="00C22A0B"/>
    <w:rsid w:val="00C22B69"/>
    <w:rsid w:val="00C2326F"/>
    <w:rsid w:val="00C24822"/>
    <w:rsid w:val="00C24EDE"/>
    <w:rsid w:val="00C24F08"/>
    <w:rsid w:val="00C25233"/>
    <w:rsid w:val="00C25C05"/>
    <w:rsid w:val="00C26076"/>
    <w:rsid w:val="00C260B3"/>
    <w:rsid w:val="00C26257"/>
    <w:rsid w:val="00C2685C"/>
    <w:rsid w:val="00C268CD"/>
    <w:rsid w:val="00C268E2"/>
    <w:rsid w:val="00C2691D"/>
    <w:rsid w:val="00C271BA"/>
    <w:rsid w:val="00C27A91"/>
    <w:rsid w:val="00C30E21"/>
    <w:rsid w:val="00C31DF4"/>
    <w:rsid w:val="00C32261"/>
    <w:rsid w:val="00C32C22"/>
    <w:rsid w:val="00C33661"/>
    <w:rsid w:val="00C34233"/>
    <w:rsid w:val="00C343C2"/>
    <w:rsid w:val="00C34B23"/>
    <w:rsid w:val="00C35613"/>
    <w:rsid w:val="00C35622"/>
    <w:rsid w:val="00C359AD"/>
    <w:rsid w:val="00C36BB3"/>
    <w:rsid w:val="00C37427"/>
    <w:rsid w:val="00C377CD"/>
    <w:rsid w:val="00C37E05"/>
    <w:rsid w:val="00C4085D"/>
    <w:rsid w:val="00C40D17"/>
    <w:rsid w:val="00C4187D"/>
    <w:rsid w:val="00C422AF"/>
    <w:rsid w:val="00C4270A"/>
    <w:rsid w:val="00C42A85"/>
    <w:rsid w:val="00C42BFD"/>
    <w:rsid w:val="00C434BE"/>
    <w:rsid w:val="00C434CD"/>
    <w:rsid w:val="00C437B0"/>
    <w:rsid w:val="00C43CC5"/>
    <w:rsid w:val="00C44147"/>
    <w:rsid w:val="00C4446C"/>
    <w:rsid w:val="00C44CF9"/>
    <w:rsid w:val="00C44D8D"/>
    <w:rsid w:val="00C45186"/>
    <w:rsid w:val="00C45333"/>
    <w:rsid w:val="00C45EA5"/>
    <w:rsid w:val="00C45EDF"/>
    <w:rsid w:val="00C460AB"/>
    <w:rsid w:val="00C461F3"/>
    <w:rsid w:val="00C4679C"/>
    <w:rsid w:val="00C46D19"/>
    <w:rsid w:val="00C46E68"/>
    <w:rsid w:val="00C46F3B"/>
    <w:rsid w:val="00C47789"/>
    <w:rsid w:val="00C50258"/>
    <w:rsid w:val="00C50E8F"/>
    <w:rsid w:val="00C51163"/>
    <w:rsid w:val="00C51451"/>
    <w:rsid w:val="00C5157A"/>
    <w:rsid w:val="00C51A0D"/>
    <w:rsid w:val="00C51BF9"/>
    <w:rsid w:val="00C51D8E"/>
    <w:rsid w:val="00C52172"/>
    <w:rsid w:val="00C522C4"/>
    <w:rsid w:val="00C522E1"/>
    <w:rsid w:val="00C52B00"/>
    <w:rsid w:val="00C52D48"/>
    <w:rsid w:val="00C5306C"/>
    <w:rsid w:val="00C536A8"/>
    <w:rsid w:val="00C53D57"/>
    <w:rsid w:val="00C54016"/>
    <w:rsid w:val="00C5438A"/>
    <w:rsid w:val="00C548D2"/>
    <w:rsid w:val="00C54AEB"/>
    <w:rsid w:val="00C5514F"/>
    <w:rsid w:val="00C5554F"/>
    <w:rsid w:val="00C55C1E"/>
    <w:rsid w:val="00C55D29"/>
    <w:rsid w:val="00C55E94"/>
    <w:rsid w:val="00C564A6"/>
    <w:rsid w:val="00C56C0B"/>
    <w:rsid w:val="00C56D41"/>
    <w:rsid w:val="00C56F2E"/>
    <w:rsid w:val="00C57042"/>
    <w:rsid w:val="00C573E7"/>
    <w:rsid w:val="00C57794"/>
    <w:rsid w:val="00C60272"/>
    <w:rsid w:val="00C604FF"/>
    <w:rsid w:val="00C6063A"/>
    <w:rsid w:val="00C6133E"/>
    <w:rsid w:val="00C615D8"/>
    <w:rsid w:val="00C6174C"/>
    <w:rsid w:val="00C626E3"/>
    <w:rsid w:val="00C627C1"/>
    <w:rsid w:val="00C62B3A"/>
    <w:rsid w:val="00C63019"/>
    <w:rsid w:val="00C633C0"/>
    <w:rsid w:val="00C637B2"/>
    <w:rsid w:val="00C6383E"/>
    <w:rsid w:val="00C6418B"/>
    <w:rsid w:val="00C6462C"/>
    <w:rsid w:val="00C64B66"/>
    <w:rsid w:val="00C64D0E"/>
    <w:rsid w:val="00C65757"/>
    <w:rsid w:val="00C65AD4"/>
    <w:rsid w:val="00C66B9F"/>
    <w:rsid w:val="00C6722C"/>
    <w:rsid w:val="00C67384"/>
    <w:rsid w:val="00C700DF"/>
    <w:rsid w:val="00C700FD"/>
    <w:rsid w:val="00C7023A"/>
    <w:rsid w:val="00C70A45"/>
    <w:rsid w:val="00C71938"/>
    <w:rsid w:val="00C71AA5"/>
    <w:rsid w:val="00C71B3F"/>
    <w:rsid w:val="00C71C45"/>
    <w:rsid w:val="00C728A0"/>
    <w:rsid w:val="00C72BE8"/>
    <w:rsid w:val="00C73E2D"/>
    <w:rsid w:val="00C7488C"/>
    <w:rsid w:val="00C75B11"/>
    <w:rsid w:val="00C75DDA"/>
    <w:rsid w:val="00C76151"/>
    <w:rsid w:val="00C76DE2"/>
    <w:rsid w:val="00C77143"/>
    <w:rsid w:val="00C772C0"/>
    <w:rsid w:val="00C77956"/>
    <w:rsid w:val="00C779CA"/>
    <w:rsid w:val="00C77F37"/>
    <w:rsid w:val="00C807A2"/>
    <w:rsid w:val="00C80EE3"/>
    <w:rsid w:val="00C811F9"/>
    <w:rsid w:val="00C818FE"/>
    <w:rsid w:val="00C81E91"/>
    <w:rsid w:val="00C822A6"/>
    <w:rsid w:val="00C822A8"/>
    <w:rsid w:val="00C825F5"/>
    <w:rsid w:val="00C82BA3"/>
    <w:rsid w:val="00C82D51"/>
    <w:rsid w:val="00C83417"/>
    <w:rsid w:val="00C839E7"/>
    <w:rsid w:val="00C83AC7"/>
    <w:rsid w:val="00C83C19"/>
    <w:rsid w:val="00C83DB6"/>
    <w:rsid w:val="00C846B8"/>
    <w:rsid w:val="00C84FA0"/>
    <w:rsid w:val="00C85696"/>
    <w:rsid w:val="00C85ADB"/>
    <w:rsid w:val="00C85B16"/>
    <w:rsid w:val="00C8618A"/>
    <w:rsid w:val="00C8629C"/>
    <w:rsid w:val="00C86F6D"/>
    <w:rsid w:val="00C86FC5"/>
    <w:rsid w:val="00C871F7"/>
    <w:rsid w:val="00C875E5"/>
    <w:rsid w:val="00C8798D"/>
    <w:rsid w:val="00C87DB6"/>
    <w:rsid w:val="00C87EB6"/>
    <w:rsid w:val="00C90686"/>
    <w:rsid w:val="00C90B07"/>
    <w:rsid w:val="00C91AD8"/>
    <w:rsid w:val="00C91DD9"/>
    <w:rsid w:val="00C92024"/>
    <w:rsid w:val="00C92279"/>
    <w:rsid w:val="00C92BB2"/>
    <w:rsid w:val="00C92C11"/>
    <w:rsid w:val="00C92C47"/>
    <w:rsid w:val="00C92DB5"/>
    <w:rsid w:val="00C92E1E"/>
    <w:rsid w:val="00C936F1"/>
    <w:rsid w:val="00C93DC7"/>
    <w:rsid w:val="00C93E95"/>
    <w:rsid w:val="00C9402A"/>
    <w:rsid w:val="00C9424B"/>
    <w:rsid w:val="00C943B1"/>
    <w:rsid w:val="00C948D8"/>
    <w:rsid w:val="00C94A31"/>
    <w:rsid w:val="00C95668"/>
    <w:rsid w:val="00C95CBF"/>
    <w:rsid w:val="00C966A7"/>
    <w:rsid w:val="00C974BF"/>
    <w:rsid w:val="00C9759D"/>
    <w:rsid w:val="00C97BF1"/>
    <w:rsid w:val="00C97D51"/>
    <w:rsid w:val="00CA0039"/>
    <w:rsid w:val="00CA055A"/>
    <w:rsid w:val="00CA0AA8"/>
    <w:rsid w:val="00CA0BE9"/>
    <w:rsid w:val="00CA12AC"/>
    <w:rsid w:val="00CA12FF"/>
    <w:rsid w:val="00CA138D"/>
    <w:rsid w:val="00CA1506"/>
    <w:rsid w:val="00CA1C8A"/>
    <w:rsid w:val="00CA2EFD"/>
    <w:rsid w:val="00CA3DEE"/>
    <w:rsid w:val="00CA3F6A"/>
    <w:rsid w:val="00CA404B"/>
    <w:rsid w:val="00CA40A8"/>
    <w:rsid w:val="00CA4319"/>
    <w:rsid w:val="00CA44E6"/>
    <w:rsid w:val="00CA4BB0"/>
    <w:rsid w:val="00CA4E38"/>
    <w:rsid w:val="00CA4E64"/>
    <w:rsid w:val="00CA505C"/>
    <w:rsid w:val="00CA5445"/>
    <w:rsid w:val="00CA57D9"/>
    <w:rsid w:val="00CA5D67"/>
    <w:rsid w:val="00CA6080"/>
    <w:rsid w:val="00CA643A"/>
    <w:rsid w:val="00CA646E"/>
    <w:rsid w:val="00CA67EA"/>
    <w:rsid w:val="00CA6ADA"/>
    <w:rsid w:val="00CA7135"/>
    <w:rsid w:val="00CA7513"/>
    <w:rsid w:val="00CA7AA0"/>
    <w:rsid w:val="00CB16F5"/>
    <w:rsid w:val="00CB1827"/>
    <w:rsid w:val="00CB2A52"/>
    <w:rsid w:val="00CB2BEA"/>
    <w:rsid w:val="00CB32E6"/>
    <w:rsid w:val="00CB34C4"/>
    <w:rsid w:val="00CB3568"/>
    <w:rsid w:val="00CB35E9"/>
    <w:rsid w:val="00CB4B51"/>
    <w:rsid w:val="00CB55D0"/>
    <w:rsid w:val="00CB5740"/>
    <w:rsid w:val="00CB58B3"/>
    <w:rsid w:val="00CB5C10"/>
    <w:rsid w:val="00CB5F50"/>
    <w:rsid w:val="00CB684F"/>
    <w:rsid w:val="00CB69F3"/>
    <w:rsid w:val="00CB6F8F"/>
    <w:rsid w:val="00CB7036"/>
    <w:rsid w:val="00CB7613"/>
    <w:rsid w:val="00CB774D"/>
    <w:rsid w:val="00CB7866"/>
    <w:rsid w:val="00CB7936"/>
    <w:rsid w:val="00CB7C05"/>
    <w:rsid w:val="00CB7D39"/>
    <w:rsid w:val="00CB7DCF"/>
    <w:rsid w:val="00CB7E3E"/>
    <w:rsid w:val="00CB7EC1"/>
    <w:rsid w:val="00CB7F0F"/>
    <w:rsid w:val="00CC0226"/>
    <w:rsid w:val="00CC11AE"/>
    <w:rsid w:val="00CC13B0"/>
    <w:rsid w:val="00CC1CCC"/>
    <w:rsid w:val="00CC220F"/>
    <w:rsid w:val="00CC258B"/>
    <w:rsid w:val="00CC27AF"/>
    <w:rsid w:val="00CC2AFE"/>
    <w:rsid w:val="00CC2E1B"/>
    <w:rsid w:val="00CC3063"/>
    <w:rsid w:val="00CC43B5"/>
    <w:rsid w:val="00CC44E8"/>
    <w:rsid w:val="00CC4CB7"/>
    <w:rsid w:val="00CC51EB"/>
    <w:rsid w:val="00CC5B3F"/>
    <w:rsid w:val="00CC5B90"/>
    <w:rsid w:val="00CC5EC9"/>
    <w:rsid w:val="00CC6262"/>
    <w:rsid w:val="00CC678F"/>
    <w:rsid w:val="00CC69C6"/>
    <w:rsid w:val="00CC6C3C"/>
    <w:rsid w:val="00CC6F88"/>
    <w:rsid w:val="00CC7309"/>
    <w:rsid w:val="00CC7641"/>
    <w:rsid w:val="00CD0050"/>
    <w:rsid w:val="00CD01D2"/>
    <w:rsid w:val="00CD1234"/>
    <w:rsid w:val="00CD12E6"/>
    <w:rsid w:val="00CD1722"/>
    <w:rsid w:val="00CD1DBD"/>
    <w:rsid w:val="00CD2C19"/>
    <w:rsid w:val="00CD31FE"/>
    <w:rsid w:val="00CD32A8"/>
    <w:rsid w:val="00CD3802"/>
    <w:rsid w:val="00CD4641"/>
    <w:rsid w:val="00CD46F0"/>
    <w:rsid w:val="00CD5076"/>
    <w:rsid w:val="00CD648F"/>
    <w:rsid w:val="00CD656A"/>
    <w:rsid w:val="00CD65F2"/>
    <w:rsid w:val="00CD67EF"/>
    <w:rsid w:val="00CD6ED6"/>
    <w:rsid w:val="00CD75AC"/>
    <w:rsid w:val="00CE0471"/>
    <w:rsid w:val="00CE05F2"/>
    <w:rsid w:val="00CE0B46"/>
    <w:rsid w:val="00CE1C9F"/>
    <w:rsid w:val="00CE209C"/>
    <w:rsid w:val="00CE2712"/>
    <w:rsid w:val="00CE2EDD"/>
    <w:rsid w:val="00CE3023"/>
    <w:rsid w:val="00CE32CA"/>
    <w:rsid w:val="00CE3383"/>
    <w:rsid w:val="00CE3876"/>
    <w:rsid w:val="00CE470A"/>
    <w:rsid w:val="00CE4BE2"/>
    <w:rsid w:val="00CE4EFB"/>
    <w:rsid w:val="00CE565F"/>
    <w:rsid w:val="00CE7D19"/>
    <w:rsid w:val="00CE7F7F"/>
    <w:rsid w:val="00CF0529"/>
    <w:rsid w:val="00CF0681"/>
    <w:rsid w:val="00CF0830"/>
    <w:rsid w:val="00CF1091"/>
    <w:rsid w:val="00CF11B5"/>
    <w:rsid w:val="00CF13AE"/>
    <w:rsid w:val="00CF1475"/>
    <w:rsid w:val="00CF1669"/>
    <w:rsid w:val="00CF182B"/>
    <w:rsid w:val="00CF1EB5"/>
    <w:rsid w:val="00CF20A1"/>
    <w:rsid w:val="00CF21EB"/>
    <w:rsid w:val="00CF22EE"/>
    <w:rsid w:val="00CF23A0"/>
    <w:rsid w:val="00CF2432"/>
    <w:rsid w:val="00CF2515"/>
    <w:rsid w:val="00CF2847"/>
    <w:rsid w:val="00CF2AF4"/>
    <w:rsid w:val="00CF30E2"/>
    <w:rsid w:val="00CF3BD3"/>
    <w:rsid w:val="00CF3E79"/>
    <w:rsid w:val="00CF3ED8"/>
    <w:rsid w:val="00CF466C"/>
    <w:rsid w:val="00CF47C3"/>
    <w:rsid w:val="00CF494F"/>
    <w:rsid w:val="00CF4C82"/>
    <w:rsid w:val="00CF554F"/>
    <w:rsid w:val="00CF5BE9"/>
    <w:rsid w:val="00CF6075"/>
    <w:rsid w:val="00CF6582"/>
    <w:rsid w:val="00CF6634"/>
    <w:rsid w:val="00CF71A4"/>
    <w:rsid w:val="00CF735B"/>
    <w:rsid w:val="00CF75EE"/>
    <w:rsid w:val="00CF7AD4"/>
    <w:rsid w:val="00CF7E30"/>
    <w:rsid w:val="00D001E0"/>
    <w:rsid w:val="00D003AB"/>
    <w:rsid w:val="00D00532"/>
    <w:rsid w:val="00D009FD"/>
    <w:rsid w:val="00D00C6A"/>
    <w:rsid w:val="00D01354"/>
    <w:rsid w:val="00D01AA4"/>
    <w:rsid w:val="00D03B8D"/>
    <w:rsid w:val="00D041A6"/>
    <w:rsid w:val="00D04829"/>
    <w:rsid w:val="00D04A8F"/>
    <w:rsid w:val="00D05112"/>
    <w:rsid w:val="00D05BCE"/>
    <w:rsid w:val="00D05F38"/>
    <w:rsid w:val="00D063F7"/>
    <w:rsid w:val="00D071AC"/>
    <w:rsid w:val="00D071E9"/>
    <w:rsid w:val="00D074A2"/>
    <w:rsid w:val="00D07680"/>
    <w:rsid w:val="00D07707"/>
    <w:rsid w:val="00D077DF"/>
    <w:rsid w:val="00D1053A"/>
    <w:rsid w:val="00D10B91"/>
    <w:rsid w:val="00D10E42"/>
    <w:rsid w:val="00D111B3"/>
    <w:rsid w:val="00D11C28"/>
    <w:rsid w:val="00D11DC7"/>
    <w:rsid w:val="00D1210C"/>
    <w:rsid w:val="00D12895"/>
    <w:rsid w:val="00D12AF5"/>
    <w:rsid w:val="00D13053"/>
    <w:rsid w:val="00D1305B"/>
    <w:rsid w:val="00D13794"/>
    <w:rsid w:val="00D138B2"/>
    <w:rsid w:val="00D138FE"/>
    <w:rsid w:val="00D13A7C"/>
    <w:rsid w:val="00D13C64"/>
    <w:rsid w:val="00D13CE1"/>
    <w:rsid w:val="00D14843"/>
    <w:rsid w:val="00D149E1"/>
    <w:rsid w:val="00D1578B"/>
    <w:rsid w:val="00D15CE0"/>
    <w:rsid w:val="00D15DFA"/>
    <w:rsid w:val="00D15EAB"/>
    <w:rsid w:val="00D16776"/>
    <w:rsid w:val="00D16857"/>
    <w:rsid w:val="00D1699E"/>
    <w:rsid w:val="00D169AC"/>
    <w:rsid w:val="00D16C5B"/>
    <w:rsid w:val="00D16DE0"/>
    <w:rsid w:val="00D17112"/>
    <w:rsid w:val="00D171EE"/>
    <w:rsid w:val="00D176BB"/>
    <w:rsid w:val="00D2014A"/>
    <w:rsid w:val="00D201F7"/>
    <w:rsid w:val="00D20271"/>
    <w:rsid w:val="00D2063D"/>
    <w:rsid w:val="00D21006"/>
    <w:rsid w:val="00D21156"/>
    <w:rsid w:val="00D21376"/>
    <w:rsid w:val="00D217CC"/>
    <w:rsid w:val="00D218E7"/>
    <w:rsid w:val="00D223C7"/>
    <w:rsid w:val="00D22710"/>
    <w:rsid w:val="00D237AE"/>
    <w:rsid w:val="00D238A5"/>
    <w:rsid w:val="00D23AED"/>
    <w:rsid w:val="00D23DC8"/>
    <w:rsid w:val="00D24052"/>
    <w:rsid w:val="00D24386"/>
    <w:rsid w:val="00D25F1D"/>
    <w:rsid w:val="00D25F2B"/>
    <w:rsid w:val="00D260EC"/>
    <w:rsid w:val="00D260F3"/>
    <w:rsid w:val="00D2636E"/>
    <w:rsid w:val="00D26845"/>
    <w:rsid w:val="00D26E97"/>
    <w:rsid w:val="00D271EA"/>
    <w:rsid w:val="00D2768A"/>
    <w:rsid w:val="00D2775D"/>
    <w:rsid w:val="00D27A79"/>
    <w:rsid w:val="00D3036C"/>
    <w:rsid w:val="00D309FD"/>
    <w:rsid w:val="00D3113C"/>
    <w:rsid w:val="00D31554"/>
    <w:rsid w:val="00D31575"/>
    <w:rsid w:val="00D31A89"/>
    <w:rsid w:val="00D31D45"/>
    <w:rsid w:val="00D32313"/>
    <w:rsid w:val="00D3296D"/>
    <w:rsid w:val="00D33FD3"/>
    <w:rsid w:val="00D340E1"/>
    <w:rsid w:val="00D34626"/>
    <w:rsid w:val="00D34FB4"/>
    <w:rsid w:val="00D35442"/>
    <w:rsid w:val="00D354DE"/>
    <w:rsid w:val="00D359BA"/>
    <w:rsid w:val="00D35FC2"/>
    <w:rsid w:val="00D36216"/>
    <w:rsid w:val="00D367D6"/>
    <w:rsid w:val="00D36A5C"/>
    <w:rsid w:val="00D374E2"/>
    <w:rsid w:val="00D375BD"/>
    <w:rsid w:val="00D37C12"/>
    <w:rsid w:val="00D37D55"/>
    <w:rsid w:val="00D403BF"/>
    <w:rsid w:val="00D4097D"/>
    <w:rsid w:val="00D40E04"/>
    <w:rsid w:val="00D40FA2"/>
    <w:rsid w:val="00D41237"/>
    <w:rsid w:val="00D41561"/>
    <w:rsid w:val="00D41819"/>
    <w:rsid w:val="00D41A94"/>
    <w:rsid w:val="00D41E8A"/>
    <w:rsid w:val="00D41EDA"/>
    <w:rsid w:val="00D4257A"/>
    <w:rsid w:val="00D425FE"/>
    <w:rsid w:val="00D43197"/>
    <w:rsid w:val="00D43305"/>
    <w:rsid w:val="00D43B75"/>
    <w:rsid w:val="00D43BC0"/>
    <w:rsid w:val="00D442B4"/>
    <w:rsid w:val="00D44625"/>
    <w:rsid w:val="00D4464E"/>
    <w:rsid w:val="00D44B35"/>
    <w:rsid w:val="00D44C32"/>
    <w:rsid w:val="00D456A9"/>
    <w:rsid w:val="00D45902"/>
    <w:rsid w:val="00D464DC"/>
    <w:rsid w:val="00D46970"/>
    <w:rsid w:val="00D505D2"/>
    <w:rsid w:val="00D50768"/>
    <w:rsid w:val="00D5081F"/>
    <w:rsid w:val="00D50A22"/>
    <w:rsid w:val="00D50AD3"/>
    <w:rsid w:val="00D50BB9"/>
    <w:rsid w:val="00D50C47"/>
    <w:rsid w:val="00D5122C"/>
    <w:rsid w:val="00D515BD"/>
    <w:rsid w:val="00D52798"/>
    <w:rsid w:val="00D52836"/>
    <w:rsid w:val="00D52B27"/>
    <w:rsid w:val="00D52BD4"/>
    <w:rsid w:val="00D52D30"/>
    <w:rsid w:val="00D52F16"/>
    <w:rsid w:val="00D54087"/>
    <w:rsid w:val="00D5468A"/>
    <w:rsid w:val="00D54A00"/>
    <w:rsid w:val="00D54DAA"/>
    <w:rsid w:val="00D54DB9"/>
    <w:rsid w:val="00D54E27"/>
    <w:rsid w:val="00D55CD3"/>
    <w:rsid w:val="00D567C4"/>
    <w:rsid w:val="00D568BD"/>
    <w:rsid w:val="00D56917"/>
    <w:rsid w:val="00D56C43"/>
    <w:rsid w:val="00D57799"/>
    <w:rsid w:val="00D578FC"/>
    <w:rsid w:val="00D60145"/>
    <w:rsid w:val="00D602B1"/>
    <w:rsid w:val="00D60AE8"/>
    <w:rsid w:val="00D61745"/>
    <w:rsid w:val="00D62665"/>
    <w:rsid w:val="00D62CC0"/>
    <w:rsid w:val="00D6392C"/>
    <w:rsid w:val="00D63938"/>
    <w:rsid w:val="00D63D1E"/>
    <w:rsid w:val="00D64256"/>
    <w:rsid w:val="00D645AC"/>
    <w:rsid w:val="00D64FDF"/>
    <w:rsid w:val="00D6516A"/>
    <w:rsid w:val="00D651B2"/>
    <w:rsid w:val="00D65464"/>
    <w:rsid w:val="00D657CA"/>
    <w:rsid w:val="00D65E24"/>
    <w:rsid w:val="00D65E7D"/>
    <w:rsid w:val="00D66903"/>
    <w:rsid w:val="00D6699B"/>
    <w:rsid w:val="00D66AE0"/>
    <w:rsid w:val="00D66C71"/>
    <w:rsid w:val="00D66D7C"/>
    <w:rsid w:val="00D679F1"/>
    <w:rsid w:val="00D67BD6"/>
    <w:rsid w:val="00D67BE1"/>
    <w:rsid w:val="00D701C2"/>
    <w:rsid w:val="00D70205"/>
    <w:rsid w:val="00D70786"/>
    <w:rsid w:val="00D70D71"/>
    <w:rsid w:val="00D71BF1"/>
    <w:rsid w:val="00D725C1"/>
    <w:rsid w:val="00D72E3A"/>
    <w:rsid w:val="00D735EF"/>
    <w:rsid w:val="00D738ED"/>
    <w:rsid w:val="00D73CD5"/>
    <w:rsid w:val="00D73D9F"/>
    <w:rsid w:val="00D73E81"/>
    <w:rsid w:val="00D7410A"/>
    <w:rsid w:val="00D7416B"/>
    <w:rsid w:val="00D749D6"/>
    <w:rsid w:val="00D7503A"/>
    <w:rsid w:val="00D756CB"/>
    <w:rsid w:val="00D759CC"/>
    <w:rsid w:val="00D7609F"/>
    <w:rsid w:val="00D76609"/>
    <w:rsid w:val="00D766BD"/>
    <w:rsid w:val="00D76CBA"/>
    <w:rsid w:val="00D770F9"/>
    <w:rsid w:val="00D774DC"/>
    <w:rsid w:val="00D77619"/>
    <w:rsid w:val="00D779B5"/>
    <w:rsid w:val="00D779E4"/>
    <w:rsid w:val="00D800FF"/>
    <w:rsid w:val="00D80B9A"/>
    <w:rsid w:val="00D80C38"/>
    <w:rsid w:val="00D81AA7"/>
    <w:rsid w:val="00D81DA6"/>
    <w:rsid w:val="00D81DAE"/>
    <w:rsid w:val="00D81E54"/>
    <w:rsid w:val="00D82194"/>
    <w:rsid w:val="00D824B2"/>
    <w:rsid w:val="00D826EC"/>
    <w:rsid w:val="00D82AC4"/>
    <w:rsid w:val="00D82BE9"/>
    <w:rsid w:val="00D82E47"/>
    <w:rsid w:val="00D8364A"/>
    <w:rsid w:val="00D837CE"/>
    <w:rsid w:val="00D839BB"/>
    <w:rsid w:val="00D84247"/>
    <w:rsid w:val="00D84A01"/>
    <w:rsid w:val="00D852B0"/>
    <w:rsid w:val="00D85CD2"/>
    <w:rsid w:val="00D865B4"/>
    <w:rsid w:val="00D868E3"/>
    <w:rsid w:val="00D86E38"/>
    <w:rsid w:val="00D86E41"/>
    <w:rsid w:val="00D86F75"/>
    <w:rsid w:val="00D87766"/>
    <w:rsid w:val="00D87963"/>
    <w:rsid w:val="00D87D42"/>
    <w:rsid w:val="00D87D5A"/>
    <w:rsid w:val="00D901B1"/>
    <w:rsid w:val="00D902AE"/>
    <w:rsid w:val="00D90666"/>
    <w:rsid w:val="00D90900"/>
    <w:rsid w:val="00D90AED"/>
    <w:rsid w:val="00D90B32"/>
    <w:rsid w:val="00D90C6C"/>
    <w:rsid w:val="00D91027"/>
    <w:rsid w:val="00D9120C"/>
    <w:rsid w:val="00D9227F"/>
    <w:rsid w:val="00D92CB0"/>
    <w:rsid w:val="00D92CBB"/>
    <w:rsid w:val="00D93879"/>
    <w:rsid w:val="00D941A8"/>
    <w:rsid w:val="00D9453A"/>
    <w:rsid w:val="00D948A9"/>
    <w:rsid w:val="00D9494F"/>
    <w:rsid w:val="00D94DB5"/>
    <w:rsid w:val="00D954F7"/>
    <w:rsid w:val="00D95610"/>
    <w:rsid w:val="00D95A04"/>
    <w:rsid w:val="00D95DF9"/>
    <w:rsid w:val="00D96850"/>
    <w:rsid w:val="00D97599"/>
    <w:rsid w:val="00D977E1"/>
    <w:rsid w:val="00D977EA"/>
    <w:rsid w:val="00DA0741"/>
    <w:rsid w:val="00DA0F03"/>
    <w:rsid w:val="00DA0F7D"/>
    <w:rsid w:val="00DA1350"/>
    <w:rsid w:val="00DA1688"/>
    <w:rsid w:val="00DA16C6"/>
    <w:rsid w:val="00DA1A4F"/>
    <w:rsid w:val="00DA1D27"/>
    <w:rsid w:val="00DA29AC"/>
    <w:rsid w:val="00DA2D6B"/>
    <w:rsid w:val="00DA36A9"/>
    <w:rsid w:val="00DA3816"/>
    <w:rsid w:val="00DA3ACD"/>
    <w:rsid w:val="00DA3C76"/>
    <w:rsid w:val="00DA3EA8"/>
    <w:rsid w:val="00DA4FB5"/>
    <w:rsid w:val="00DA4FC8"/>
    <w:rsid w:val="00DA502F"/>
    <w:rsid w:val="00DA5C81"/>
    <w:rsid w:val="00DA5F2A"/>
    <w:rsid w:val="00DA68DC"/>
    <w:rsid w:val="00DA6B6A"/>
    <w:rsid w:val="00DB0EE2"/>
    <w:rsid w:val="00DB1082"/>
    <w:rsid w:val="00DB121B"/>
    <w:rsid w:val="00DB127E"/>
    <w:rsid w:val="00DB141D"/>
    <w:rsid w:val="00DB148C"/>
    <w:rsid w:val="00DB1A31"/>
    <w:rsid w:val="00DB202E"/>
    <w:rsid w:val="00DB2283"/>
    <w:rsid w:val="00DB23D0"/>
    <w:rsid w:val="00DB25E0"/>
    <w:rsid w:val="00DB27A1"/>
    <w:rsid w:val="00DB337E"/>
    <w:rsid w:val="00DB34AE"/>
    <w:rsid w:val="00DB3CEE"/>
    <w:rsid w:val="00DB3E57"/>
    <w:rsid w:val="00DB3F4B"/>
    <w:rsid w:val="00DB4122"/>
    <w:rsid w:val="00DB4BF5"/>
    <w:rsid w:val="00DB4E48"/>
    <w:rsid w:val="00DB4F78"/>
    <w:rsid w:val="00DB5370"/>
    <w:rsid w:val="00DB53A4"/>
    <w:rsid w:val="00DB57A2"/>
    <w:rsid w:val="00DB5C80"/>
    <w:rsid w:val="00DB621F"/>
    <w:rsid w:val="00DB6D2F"/>
    <w:rsid w:val="00DB6D89"/>
    <w:rsid w:val="00DB6EF1"/>
    <w:rsid w:val="00DB79CF"/>
    <w:rsid w:val="00DB7F3A"/>
    <w:rsid w:val="00DC027B"/>
    <w:rsid w:val="00DC030F"/>
    <w:rsid w:val="00DC0AB8"/>
    <w:rsid w:val="00DC0CDE"/>
    <w:rsid w:val="00DC1342"/>
    <w:rsid w:val="00DC13C4"/>
    <w:rsid w:val="00DC14E8"/>
    <w:rsid w:val="00DC1A35"/>
    <w:rsid w:val="00DC1A85"/>
    <w:rsid w:val="00DC1F52"/>
    <w:rsid w:val="00DC23DD"/>
    <w:rsid w:val="00DC256B"/>
    <w:rsid w:val="00DC2F96"/>
    <w:rsid w:val="00DC30F5"/>
    <w:rsid w:val="00DC4525"/>
    <w:rsid w:val="00DC498E"/>
    <w:rsid w:val="00DC4D72"/>
    <w:rsid w:val="00DC558C"/>
    <w:rsid w:val="00DC56B0"/>
    <w:rsid w:val="00DC5A3E"/>
    <w:rsid w:val="00DC63CF"/>
    <w:rsid w:val="00DC6525"/>
    <w:rsid w:val="00DC6AA9"/>
    <w:rsid w:val="00DC6D38"/>
    <w:rsid w:val="00DC6DF9"/>
    <w:rsid w:val="00DC7018"/>
    <w:rsid w:val="00DC7382"/>
    <w:rsid w:val="00DC75A9"/>
    <w:rsid w:val="00DC7971"/>
    <w:rsid w:val="00DC7B98"/>
    <w:rsid w:val="00DC7D09"/>
    <w:rsid w:val="00DC7E5C"/>
    <w:rsid w:val="00DD0A1F"/>
    <w:rsid w:val="00DD0B08"/>
    <w:rsid w:val="00DD0D1C"/>
    <w:rsid w:val="00DD12B0"/>
    <w:rsid w:val="00DD17DA"/>
    <w:rsid w:val="00DD1D88"/>
    <w:rsid w:val="00DD21F5"/>
    <w:rsid w:val="00DD2230"/>
    <w:rsid w:val="00DD2426"/>
    <w:rsid w:val="00DD2FD9"/>
    <w:rsid w:val="00DD33BC"/>
    <w:rsid w:val="00DD3B3A"/>
    <w:rsid w:val="00DD3C4D"/>
    <w:rsid w:val="00DD3E5D"/>
    <w:rsid w:val="00DD427E"/>
    <w:rsid w:val="00DD5610"/>
    <w:rsid w:val="00DD5FD4"/>
    <w:rsid w:val="00DD6465"/>
    <w:rsid w:val="00DD68BC"/>
    <w:rsid w:val="00DD69F9"/>
    <w:rsid w:val="00DD70FE"/>
    <w:rsid w:val="00DD7336"/>
    <w:rsid w:val="00DD7678"/>
    <w:rsid w:val="00DD7850"/>
    <w:rsid w:val="00DD7C4D"/>
    <w:rsid w:val="00DD7F2D"/>
    <w:rsid w:val="00DE07E5"/>
    <w:rsid w:val="00DE0AAC"/>
    <w:rsid w:val="00DE1323"/>
    <w:rsid w:val="00DE1B7A"/>
    <w:rsid w:val="00DE1F6E"/>
    <w:rsid w:val="00DE207F"/>
    <w:rsid w:val="00DE2777"/>
    <w:rsid w:val="00DE2935"/>
    <w:rsid w:val="00DE322B"/>
    <w:rsid w:val="00DE3785"/>
    <w:rsid w:val="00DE48F9"/>
    <w:rsid w:val="00DE58D8"/>
    <w:rsid w:val="00DE590A"/>
    <w:rsid w:val="00DE5ACE"/>
    <w:rsid w:val="00DE5B3F"/>
    <w:rsid w:val="00DE5BFC"/>
    <w:rsid w:val="00DE5FD8"/>
    <w:rsid w:val="00DE6901"/>
    <w:rsid w:val="00DE737F"/>
    <w:rsid w:val="00DE73DD"/>
    <w:rsid w:val="00DF02CE"/>
    <w:rsid w:val="00DF0CB3"/>
    <w:rsid w:val="00DF0ECC"/>
    <w:rsid w:val="00DF1117"/>
    <w:rsid w:val="00DF1E1B"/>
    <w:rsid w:val="00DF225C"/>
    <w:rsid w:val="00DF2532"/>
    <w:rsid w:val="00DF297A"/>
    <w:rsid w:val="00DF29F7"/>
    <w:rsid w:val="00DF2A8D"/>
    <w:rsid w:val="00DF2B31"/>
    <w:rsid w:val="00DF2C6E"/>
    <w:rsid w:val="00DF358B"/>
    <w:rsid w:val="00DF399D"/>
    <w:rsid w:val="00DF3A27"/>
    <w:rsid w:val="00DF439F"/>
    <w:rsid w:val="00DF494C"/>
    <w:rsid w:val="00DF4CA0"/>
    <w:rsid w:val="00DF4EEB"/>
    <w:rsid w:val="00DF6A8C"/>
    <w:rsid w:val="00DF6B33"/>
    <w:rsid w:val="00DF6D0B"/>
    <w:rsid w:val="00DF70A5"/>
    <w:rsid w:val="00DF75F1"/>
    <w:rsid w:val="00DF7775"/>
    <w:rsid w:val="00DF7909"/>
    <w:rsid w:val="00DF7E0D"/>
    <w:rsid w:val="00E0027D"/>
    <w:rsid w:val="00E0042E"/>
    <w:rsid w:val="00E005E5"/>
    <w:rsid w:val="00E00E32"/>
    <w:rsid w:val="00E01A34"/>
    <w:rsid w:val="00E01C98"/>
    <w:rsid w:val="00E02CB1"/>
    <w:rsid w:val="00E02D8A"/>
    <w:rsid w:val="00E031A8"/>
    <w:rsid w:val="00E0321E"/>
    <w:rsid w:val="00E03372"/>
    <w:rsid w:val="00E0357D"/>
    <w:rsid w:val="00E03D5D"/>
    <w:rsid w:val="00E03F74"/>
    <w:rsid w:val="00E04816"/>
    <w:rsid w:val="00E04FA9"/>
    <w:rsid w:val="00E05080"/>
    <w:rsid w:val="00E056D7"/>
    <w:rsid w:val="00E05A58"/>
    <w:rsid w:val="00E05CE2"/>
    <w:rsid w:val="00E05E1B"/>
    <w:rsid w:val="00E05F55"/>
    <w:rsid w:val="00E05F57"/>
    <w:rsid w:val="00E05FCA"/>
    <w:rsid w:val="00E0624D"/>
    <w:rsid w:val="00E065E0"/>
    <w:rsid w:val="00E06646"/>
    <w:rsid w:val="00E06890"/>
    <w:rsid w:val="00E07126"/>
    <w:rsid w:val="00E0715C"/>
    <w:rsid w:val="00E07419"/>
    <w:rsid w:val="00E079E4"/>
    <w:rsid w:val="00E07E03"/>
    <w:rsid w:val="00E07EE5"/>
    <w:rsid w:val="00E10C8D"/>
    <w:rsid w:val="00E10D50"/>
    <w:rsid w:val="00E10E79"/>
    <w:rsid w:val="00E1179B"/>
    <w:rsid w:val="00E11B88"/>
    <w:rsid w:val="00E11F0B"/>
    <w:rsid w:val="00E1228C"/>
    <w:rsid w:val="00E1274C"/>
    <w:rsid w:val="00E12813"/>
    <w:rsid w:val="00E1290B"/>
    <w:rsid w:val="00E12DC1"/>
    <w:rsid w:val="00E13132"/>
    <w:rsid w:val="00E13D56"/>
    <w:rsid w:val="00E13FF8"/>
    <w:rsid w:val="00E14147"/>
    <w:rsid w:val="00E146E7"/>
    <w:rsid w:val="00E14997"/>
    <w:rsid w:val="00E14F29"/>
    <w:rsid w:val="00E14F4D"/>
    <w:rsid w:val="00E1511A"/>
    <w:rsid w:val="00E162C7"/>
    <w:rsid w:val="00E164E0"/>
    <w:rsid w:val="00E16569"/>
    <w:rsid w:val="00E1673C"/>
    <w:rsid w:val="00E167BD"/>
    <w:rsid w:val="00E17154"/>
    <w:rsid w:val="00E176BC"/>
    <w:rsid w:val="00E179D4"/>
    <w:rsid w:val="00E17A67"/>
    <w:rsid w:val="00E17B8A"/>
    <w:rsid w:val="00E17FA6"/>
    <w:rsid w:val="00E20023"/>
    <w:rsid w:val="00E20146"/>
    <w:rsid w:val="00E203C2"/>
    <w:rsid w:val="00E2068C"/>
    <w:rsid w:val="00E206F4"/>
    <w:rsid w:val="00E21614"/>
    <w:rsid w:val="00E22129"/>
    <w:rsid w:val="00E238D7"/>
    <w:rsid w:val="00E23B11"/>
    <w:rsid w:val="00E23E82"/>
    <w:rsid w:val="00E23EB2"/>
    <w:rsid w:val="00E23F90"/>
    <w:rsid w:val="00E24FB5"/>
    <w:rsid w:val="00E251F3"/>
    <w:rsid w:val="00E25499"/>
    <w:rsid w:val="00E254B3"/>
    <w:rsid w:val="00E2566E"/>
    <w:rsid w:val="00E257CB"/>
    <w:rsid w:val="00E25AAD"/>
    <w:rsid w:val="00E25B20"/>
    <w:rsid w:val="00E25B85"/>
    <w:rsid w:val="00E25C2D"/>
    <w:rsid w:val="00E26375"/>
    <w:rsid w:val="00E268EA"/>
    <w:rsid w:val="00E26BCE"/>
    <w:rsid w:val="00E27404"/>
    <w:rsid w:val="00E2748C"/>
    <w:rsid w:val="00E27CFD"/>
    <w:rsid w:val="00E27E54"/>
    <w:rsid w:val="00E30300"/>
    <w:rsid w:val="00E3036D"/>
    <w:rsid w:val="00E3065B"/>
    <w:rsid w:val="00E3097B"/>
    <w:rsid w:val="00E30ED2"/>
    <w:rsid w:val="00E3141A"/>
    <w:rsid w:val="00E31562"/>
    <w:rsid w:val="00E31C55"/>
    <w:rsid w:val="00E32050"/>
    <w:rsid w:val="00E32A11"/>
    <w:rsid w:val="00E32B77"/>
    <w:rsid w:val="00E33704"/>
    <w:rsid w:val="00E33E24"/>
    <w:rsid w:val="00E340B7"/>
    <w:rsid w:val="00E34F6A"/>
    <w:rsid w:val="00E353A3"/>
    <w:rsid w:val="00E35689"/>
    <w:rsid w:val="00E35AE1"/>
    <w:rsid w:val="00E35C3F"/>
    <w:rsid w:val="00E35C9D"/>
    <w:rsid w:val="00E36075"/>
    <w:rsid w:val="00E36091"/>
    <w:rsid w:val="00E360DF"/>
    <w:rsid w:val="00E36781"/>
    <w:rsid w:val="00E36CE4"/>
    <w:rsid w:val="00E37018"/>
    <w:rsid w:val="00E37617"/>
    <w:rsid w:val="00E37FF7"/>
    <w:rsid w:val="00E40348"/>
    <w:rsid w:val="00E4040F"/>
    <w:rsid w:val="00E409CC"/>
    <w:rsid w:val="00E40A03"/>
    <w:rsid w:val="00E40C93"/>
    <w:rsid w:val="00E40DE5"/>
    <w:rsid w:val="00E40F73"/>
    <w:rsid w:val="00E4107C"/>
    <w:rsid w:val="00E4214E"/>
    <w:rsid w:val="00E42C0B"/>
    <w:rsid w:val="00E43578"/>
    <w:rsid w:val="00E435ED"/>
    <w:rsid w:val="00E4383D"/>
    <w:rsid w:val="00E43FC5"/>
    <w:rsid w:val="00E4438C"/>
    <w:rsid w:val="00E44628"/>
    <w:rsid w:val="00E45526"/>
    <w:rsid w:val="00E457F3"/>
    <w:rsid w:val="00E45B97"/>
    <w:rsid w:val="00E45DB7"/>
    <w:rsid w:val="00E46395"/>
    <w:rsid w:val="00E4666B"/>
    <w:rsid w:val="00E46AD2"/>
    <w:rsid w:val="00E46B79"/>
    <w:rsid w:val="00E46DF7"/>
    <w:rsid w:val="00E470D3"/>
    <w:rsid w:val="00E47D27"/>
    <w:rsid w:val="00E47FAE"/>
    <w:rsid w:val="00E5030B"/>
    <w:rsid w:val="00E50347"/>
    <w:rsid w:val="00E50663"/>
    <w:rsid w:val="00E5068A"/>
    <w:rsid w:val="00E50903"/>
    <w:rsid w:val="00E50BAF"/>
    <w:rsid w:val="00E5129B"/>
    <w:rsid w:val="00E51365"/>
    <w:rsid w:val="00E51F99"/>
    <w:rsid w:val="00E52B2A"/>
    <w:rsid w:val="00E52C84"/>
    <w:rsid w:val="00E52E20"/>
    <w:rsid w:val="00E52E7A"/>
    <w:rsid w:val="00E537C7"/>
    <w:rsid w:val="00E537D6"/>
    <w:rsid w:val="00E5473A"/>
    <w:rsid w:val="00E5475C"/>
    <w:rsid w:val="00E54877"/>
    <w:rsid w:val="00E54990"/>
    <w:rsid w:val="00E55519"/>
    <w:rsid w:val="00E557AF"/>
    <w:rsid w:val="00E55A6B"/>
    <w:rsid w:val="00E55A84"/>
    <w:rsid w:val="00E55F9B"/>
    <w:rsid w:val="00E5617F"/>
    <w:rsid w:val="00E56F66"/>
    <w:rsid w:val="00E576F5"/>
    <w:rsid w:val="00E57A6A"/>
    <w:rsid w:val="00E57CE5"/>
    <w:rsid w:val="00E60156"/>
    <w:rsid w:val="00E60B53"/>
    <w:rsid w:val="00E60BBC"/>
    <w:rsid w:val="00E60E20"/>
    <w:rsid w:val="00E6121C"/>
    <w:rsid w:val="00E619BE"/>
    <w:rsid w:val="00E61BD6"/>
    <w:rsid w:val="00E61FCB"/>
    <w:rsid w:val="00E630AA"/>
    <w:rsid w:val="00E6346D"/>
    <w:rsid w:val="00E6391E"/>
    <w:rsid w:val="00E64A70"/>
    <w:rsid w:val="00E64C8E"/>
    <w:rsid w:val="00E6529F"/>
    <w:rsid w:val="00E65633"/>
    <w:rsid w:val="00E669CE"/>
    <w:rsid w:val="00E66DCC"/>
    <w:rsid w:val="00E6754E"/>
    <w:rsid w:val="00E677E8"/>
    <w:rsid w:val="00E67A58"/>
    <w:rsid w:val="00E67BDF"/>
    <w:rsid w:val="00E67C66"/>
    <w:rsid w:val="00E70967"/>
    <w:rsid w:val="00E70A92"/>
    <w:rsid w:val="00E71E60"/>
    <w:rsid w:val="00E7233B"/>
    <w:rsid w:val="00E723FE"/>
    <w:rsid w:val="00E7293B"/>
    <w:rsid w:val="00E7330B"/>
    <w:rsid w:val="00E73733"/>
    <w:rsid w:val="00E73979"/>
    <w:rsid w:val="00E739AA"/>
    <w:rsid w:val="00E73CC1"/>
    <w:rsid w:val="00E73F3F"/>
    <w:rsid w:val="00E74840"/>
    <w:rsid w:val="00E74B12"/>
    <w:rsid w:val="00E74BA0"/>
    <w:rsid w:val="00E74E16"/>
    <w:rsid w:val="00E74FBF"/>
    <w:rsid w:val="00E758EC"/>
    <w:rsid w:val="00E76FA4"/>
    <w:rsid w:val="00E76FD4"/>
    <w:rsid w:val="00E770AF"/>
    <w:rsid w:val="00E77113"/>
    <w:rsid w:val="00E77A50"/>
    <w:rsid w:val="00E77CF8"/>
    <w:rsid w:val="00E808FE"/>
    <w:rsid w:val="00E80948"/>
    <w:rsid w:val="00E809B1"/>
    <w:rsid w:val="00E80E5F"/>
    <w:rsid w:val="00E8125A"/>
    <w:rsid w:val="00E81583"/>
    <w:rsid w:val="00E8176C"/>
    <w:rsid w:val="00E81CC3"/>
    <w:rsid w:val="00E823BD"/>
    <w:rsid w:val="00E82AC5"/>
    <w:rsid w:val="00E82DA9"/>
    <w:rsid w:val="00E82DC1"/>
    <w:rsid w:val="00E83484"/>
    <w:rsid w:val="00E83CF8"/>
    <w:rsid w:val="00E84B9F"/>
    <w:rsid w:val="00E8541A"/>
    <w:rsid w:val="00E854D4"/>
    <w:rsid w:val="00E8553C"/>
    <w:rsid w:val="00E85CE0"/>
    <w:rsid w:val="00E86357"/>
    <w:rsid w:val="00E86479"/>
    <w:rsid w:val="00E86563"/>
    <w:rsid w:val="00E87284"/>
    <w:rsid w:val="00E87814"/>
    <w:rsid w:val="00E87C09"/>
    <w:rsid w:val="00E910B9"/>
    <w:rsid w:val="00E9124D"/>
    <w:rsid w:val="00E914E2"/>
    <w:rsid w:val="00E920C0"/>
    <w:rsid w:val="00E928E5"/>
    <w:rsid w:val="00E92995"/>
    <w:rsid w:val="00E93149"/>
    <w:rsid w:val="00E93682"/>
    <w:rsid w:val="00E941D5"/>
    <w:rsid w:val="00E9470D"/>
    <w:rsid w:val="00E94A0D"/>
    <w:rsid w:val="00E95095"/>
    <w:rsid w:val="00E9517F"/>
    <w:rsid w:val="00E958CC"/>
    <w:rsid w:val="00E9592E"/>
    <w:rsid w:val="00E95B61"/>
    <w:rsid w:val="00E9662F"/>
    <w:rsid w:val="00E968A6"/>
    <w:rsid w:val="00E96B9D"/>
    <w:rsid w:val="00E96EF1"/>
    <w:rsid w:val="00E97664"/>
    <w:rsid w:val="00EA0726"/>
    <w:rsid w:val="00EA0CC4"/>
    <w:rsid w:val="00EA109D"/>
    <w:rsid w:val="00EA14A3"/>
    <w:rsid w:val="00EA1522"/>
    <w:rsid w:val="00EA1686"/>
    <w:rsid w:val="00EA19F4"/>
    <w:rsid w:val="00EA1A0D"/>
    <w:rsid w:val="00EA21AC"/>
    <w:rsid w:val="00EA2504"/>
    <w:rsid w:val="00EA254B"/>
    <w:rsid w:val="00EA2737"/>
    <w:rsid w:val="00EA3005"/>
    <w:rsid w:val="00EA34C9"/>
    <w:rsid w:val="00EA385A"/>
    <w:rsid w:val="00EA413D"/>
    <w:rsid w:val="00EA421E"/>
    <w:rsid w:val="00EA4DD8"/>
    <w:rsid w:val="00EA59E9"/>
    <w:rsid w:val="00EA5C52"/>
    <w:rsid w:val="00EA5E9F"/>
    <w:rsid w:val="00EA68F2"/>
    <w:rsid w:val="00EA72A3"/>
    <w:rsid w:val="00EA77F3"/>
    <w:rsid w:val="00EA7959"/>
    <w:rsid w:val="00EB0208"/>
    <w:rsid w:val="00EB03E3"/>
    <w:rsid w:val="00EB0CEB"/>
    <w:rsid w:val="00EB0EDF"/>
    <w:rsid w:val="00EB16FF"/>
    <w:rsid w:val="00EB19B0"/>
    <w:rsid w:val="00EB1D4D"/>
    <w:rsid w:val="00EB1DC9"/>
    <w:rsid w:val="00EB206E"/>
    <w:rsid w:val="00EB28F9"/>
    <w:rsid w:val="00EB2AEF"/>
    <w:rsid w:val="00EB2B47"/>
    <w:rsid w:val="00EB2BED"/>
    <w:rsid w:val="00EB2BF6"/>
    <w:rsid w:val="00EB3473"/>
    <w:rsid w:val="00EB3503"/>
    <w:rsid w:val="00EB3B56"/>
    <w:rsid w:val="00EB3CEC"/>
    <w:rsid w:val="00EB4897"/>
    <w:rsid w:val="00EB4A50"/>
    <w:rsid w:val="00EB4AED"/>
    <w:rsid w:val="00EB50BB"/>
    <w:rsid w:val="00EB5180"/>
    <w:rsid w:val="00EB56A5"/>
    <w:rsid w:val="00EB5907"/>
    <w:rsid w:val="00EB5952"/>
    <w:rsid w:val="00EB5AA1"/>
    <w:rsid w:val="00EB603F"/>
    <w:rsid w:val="00EB6C40"/>
    <w:rsid w:val="00EB7366"/>
    <w:rsid w:val="00EB768F"/>
    <w:rsid w:val="00EB77FD"/>
    <w:rsid w:val="00EB7883"/>
    <w:rsid w:val="00EB7911"/>
    <w:rsid w:val="00EB7C5B"/>
    <w:rsid w:val="00EB7E71"/>
    <w:rsid w:val="00EB7F41"/>
    <w:rsid w:val="00EC06EA"/>
    <w:rsid w:val="00EC06F0"/>
    <w:rsid w:val="00EC079C"/>
    <w:rsid w:val="00EC088F"/>
    <w:rsid w:val="00EC0A7E"/>
    <w:rsid w:val="00EC1367"/>
    <w:rsid w:val="00EC22EE"/>
    <w:rsid w:val="00EC23D1"/>
    <w:rsid w:val="00EC2A97"/>
    <w:rsid w:val="00EC2DD5"/>
    <w:rsid w:val="00EC3895"/>
    <w:rsid w:val="00EC40AC"/>
    <w:rsid w:val="00EC473D"/>
    <w:rsid w:val="00EC4985"/>
    <w:rsid w:val="00EC4A24"/>
    <w:rsid w:val="00EC4A71"/>
    <w:rsid w:val="00EC4BCD"/>
    <w:rsid w:val="00EC5EAA"/>
    <w:rsid w:val="00EC6B75"/>
    <w:rsid w:val="00EC6B78"/>
    <w:rsid w:val="00EC73CE"/>
    <w:rsid w:val="00ED05E5"/>
    <w:rsid w:val="00ED0604"/>
    <w:rsid w:val="00ED0B72"/>
    <w:rsid w:val="00ED0ECA"/>
    <w:rsid w:val="00ED0F4D"/>
    <w:rsid w:val="00ED123E"/>
    <w:rsid w:val="00ED12D1"/>
    <w:rsid w:val="00ED1E26"/>
    <w:rsid w:val="00ED1F15"/>
    <w:rsid w:val="00ED216B"/>
    <w:rsid w:val="00ED219B"/>
    <w:rsid w:val="00ED2360"/>
    <w:rsid w:val="00ED2769"/>
    <w:rsid w:val="00ED33A8"/>
    <w:rsid w:val="00ED36FA"/>
    <w:rsid w:val="00ED37C2"/>
    <w:rsid w:val="00ED4327"/>
    <w:rsid w:val="00ED43A0"/>
    <w:rsid w:val="00ED47B3"/>
    <w:rsid w:val="00ED4836"/>
    <w:rsid w:val="00ED4E35"/>
    <w:rsid w:val="00ED6009"/>
    <w:rsid w:val="00ED64A5"/>
    <w:rsid w:val="00ED65DD"/>
    <w:rsid w:val="00ED6693"/>
    <w:rsid w:val="00ED6C83"/>
    <w:rsid w:val="00ED6F77"/>
    <w:rsid w:val="00ED7BF1"/>
    <w:rsid w:val="00ED7C9C"/>
    <w:rsid w:val="00EE015E"/>
    <w:rsid w:val="00EE0ABB"/>
    <w:rsid w:val="00EE1086"/>
    <w:rsid w:val="00EE13E1"/>
    <w:rsid w:val="00EE252B"/>
    <w:rsid w:val="00EE254C"/>
    <w:rsid w:val="00EE27FF"/>
    <w:rsid w:val="00EE2A09"/>
    <w:rsid w:val="00EE2CC8"/>
    <w:rsid w:val="00EE2E11"/>
    <w:rsid w:val="00EE3A76"/>
    <w:rsid w:val="00EE3FEE"/>
    <w:rsid w:val="00EE43A5"/>
    <w:rsid w:val="00EE450B"/>
    <w:rsid w:val="00EE46D1"/>
    <w:rsid w:val="00EE4A7B"/>
    <w:rsid w:val="00EE4EA0"/>
    <w:rsid w:val="00EE523A"/>
    <w:rsid w:val="00EE5613"/>
    <w:rsid w:val="00EE570C"/>
    <w:rsid w:val="00EE58E4"/>
    <w:rsid w:val="00EE61D0"/>
    <w:rsid w:val="00EE65B1"/>
    <w:rsid w:val="00EE6C17"/>
    <w:rsid w:val="00EE6CCF"/>
    <w:rsid w:val="00EE70D4"/>
    <w:rsid w:val="00EE78BD"/>
    <w:rsid w:val="00EE79F1"/>
    <w:rsid w:val="00EF01C3"/>
    <w:rsid w:val="00EF022C"/>
    <w:rsid w:val="00EF038D"/>
    <w:rsid w:val="00EF0729"/>
    <w:rsid w:val="00EF0806"/>
    <w:rsid w:val="00EF12D4"/>
    <w:rsid w:val="00EF1466"/>
    <w:rsid w:val="00EF1589"/>
    <w:rsid w:val="00EF1886"/>
    <w:rsid w:val="00EF1C2D"/>
    <w:rsid w:val="00EF1DEC"/>
    <w:rsid w:val="00EF1EEC"/>
    <w:rsid w:val="00EF2750"/>
    <w:rsid w:val="00EF2788"/>
    <w:rsid w:val="00EF299E"/>
    <w:rsid w:val="00EF2C5B"/>
    <w:rsid w:val="00EF2FF0"/>
    <w:rsid w:val="00EF30A0"/>
    <w:rsid w:val="00EF3103"/>
    <w:rsid w:val="00EF3625"/>
    <w:rsid w:val="00EF3D00"/>
    <w:rsid w:val="00EF3D92"/>
    <w:rsid w:val="00EF49AE"/>
    <w:rsid w:val="00EF4B05"/>
    <w:rsid w:val="00EF4BB3"/>
    <w:rsid w:val="00EF550E"/>
    <w:rsid w:val="00EF62AE"/>
    <w:rsid w:val="00EF6E9B"/>
    <w:rsid w:val="00EF7051"/>
    <w:rsid w:val="00EF763D"/>
    <w:rsid w:val="00EF7714"/>
    <w:rsid w:val="00EF7A0F"/>
    <w:rsid w:val="00EF7AC7"/>
    <w:rsid w:val="00F00045"/>
    <w:rsid w:val="00F0012F"/>
    <w:rsid w:val="00F00A33"/>
    <w:rsid w:val="00F01308"/>
    <w:rsid w:val="00F0156D"/>
    <w:rsid w:val="00F02087"/>
    <w:rsid w:val="00F02185"/>
    <w:rsid w:val="00F0223C"/>
    <w:rsid w:val="00F022E0"/>
    <w:rsid w:val="00F023DB"/>
    <w:rsid w:val="00F0241D"/>
    <w:rsid w:val="00F02592"/>
    <w:rsid w:val="00F0272B"/>
    <w:rsid w:val="00F0314B"/>
    <w:rsid w:val="00F0346C"/>
    <w:rsid w:val="00F0355D"/>
    <w:rsid w:val="00F0380E"/>
    <w:rsid w:val="00F0398E"/>
    <w:rsid w:val="00F03D64"/>
    <w:rsid w:val="00F03FB5"/>
    <w:rsid w:val="00F04380"/>
    <w:rsid w:val="00F045C0"/>
    <w:rsid w:val="00F05263"/>
    <w:rsid w:val="00F05508"/>
    <w:rsid w:val="00F057E2"/>
    <w:rsid w:val="00F058A6"/>
    <w:rsid w:val="00F058D8"/>
    <w:rsid w:val="00F06303"/>
    <w:rsid w:val="00F066BC"/>
    <w:rsid w:val="00F066DF"/>
    <w:rsid w:val="00F06EC0"/>
    <w:rsid w:val="00F07958"/>
    <w:rsid w:val="00F07EE3"/>
    <w:rsid w:val="00F1008B"/>
    <w:rsid w:val="00F1083A"/>
    <w:rsid w:val="00F109D4"/>
    <w:rsid w:val="00F10A6F"/>
    <w:rsid w:val="00F10F20"/>
    <w:rsid w:val="00F112A7"/>
    <w:rsid w:val="00F1142C"/>
    <w:rsid w:val="00F11654"/>
    <w:rsid w:val="00F11AED"/>
    <w:rsid w:val="00F1238B"/>
    <w:rsid w:val="00F12A39"/>
    <w:rsid w:val="00F12D0F"/>
    <w:rsid w:val="00F13455"/>
    <w:rsid w:val="00F1364C"/>
    <w:rsid w:val="00F13730"/>
    <w:rsid w:val="00F13FDC"/>
    <w:rsid w:val="00F151D4"/>
    <w:rsid w:val="00F1598F"/>
    <w:rsid w:val="00F15D1B"/>
    <w:rsid w:val="00F15EE9"/>
    <w:rsid w:val="00F1640A"/>
    <w:rsid w:val="00F169D6"/>
    <w:rsid w:val="00F16DAB"/>
    <w:rsid w:val="00F17363"/>
    <w:rsid w:val="00F174FF"/>
    <w:rsid w:val="00F17D18"/>
    <w:rsid w:val="00F17DCC"/>
    <w:rsid w:val="00F200D9"/>
    <w:rsid w:val="00F20256"/>
    <w:rsid w:val="00F20EE5"/>
    <w:rsid w:val="00F2203D"/>
    <w:rsid w:val="00F22140"/>
    <w:rsid w:val="00F2250F"/>
    <w:rsid w:val="00F22745"/>
    <w:rsid w:val="00F22C04"/>
    <w:rsid w:val="00F23B1B"/>
    <w:rsid w:val="00F23B86"/>
    <w:rsid w:val="00F23F0D"/>
    <w:rsid w:val="00F2431F"/>
    <w:rsid w:val="00F24439"/>
    <w:rsid w:val="00F24736"/>
    <w:rsid w:val="00F248BF"/>
    <w:rsid w:val="00F251F8"/>
    <w:rsid w:val="00F254E2"/>
    <w:rsid w:val="00F25622"/>
    <w:rsid w:val="00F257FC"/>
    <w:rsid w:val="00F266EE"/>
    <w:rsid w:val="00F269E7"/>
    <w:rsid w:val="00F26AF7"/>
    <w:rsid w:val="00F26E08"/>
    <w:rsid w:val="00F27090"/>
    <w:rsid w:val="00F27344"/>
    <w:rsid w:val="00F27589"/>
    <w:rsid w:val="00F27F85"/>
    <w:rsid w:val="00F27FAF"/>
    <w:rsid w:val="00F3008C"/>
    <w:rsid w:val="00F300DB"/>
    <w:rsid w:val="00F30B81"/>
    <w:rsid w:val="00F31F63"/>
    <w:rsid w:val="00F333DD"/>
    <w:rsid w:val="00F343AA"/>
    <w:rsid w:val="00F3449B"/>
    <w:rsid w:val="00F34879"/>
    <w:rsid w:val="00F348D8"/>
    <w:rsid w:val="00F349E2"/>
    <w:rsid w:val="00F3522D"/>
    <w:rsid w:val="00F353E2"/>
    <w:rsid w:val="00F3546D"/>
    <w:rsid w:val="00F359E4"/>
    <w:rsid w:val="00F35A4E"/>
    <w:rsid w:val="00F35D58"/>
    <w:rsid w:val="00F364CB"/>
    <w:rsid w:val="00F36673"/>
    <w:rsid w:val="00F36A80"/>
    <w:rsid w:val="00F37561"/>
    <w:rsid w:val="00F379F6"/>
    <w:rsid w:val="00F40882"/>
    <w:rsid w:val="00F40995"/>
    <w:rsid w:val="00F40F35"/>
    <w:rsid w:val="00F4141A"/>
    <w:rsid w:val="00F42066"/>
    <w:rsid w:val="00F422E3"/>
    <w:rsid w:val="00F4241B"/>
    <w:rsid w:val="00F42524"/>
    <w:rsid w:val="00F42C1A"/>
    <w:rsid w:val="00F43194"/>
    <w:rsid w:val="00F435CD"/>
    <w:rsid w:val="00F44896"/>
    <w:rsid w:val="00F45512"/>
    <w:rsid w:val="00F457AE"/>
    <w:rsid w:val="00F45ACA"/>
    <w:rsid w:val="00F4613D"/>
    <w:rsid w:val="00F46704"/>
    <w:rsid w:val="00F46C17"/>
    <w:rsid w:val="00F46CB9"/>
    <w:rsid w:val="00F46E64"/>
    <w:rsid w:val="00F47298"/>
    <w:rsid w:val="00F47585"/>
    <w:rsid w:val="00F47BCB"/>
    <w:rsid w:val="00F47CD0"/>
    <w:rsid w:val="00F5011D"/>
    <w:rsid w:val="00F5014E"/>
    <w:rsid w:val="00F5030C"/>
    <w:rsid w:val="00F5065F"/>
    <w:rsid w:val="00F507E4"/>
    <w:rsid w:val="00F50B63"/>
    <w:rsid w:val="00F51196"/>
    <w:rsid w:val="00F5140E"/>
    <w:rsid w:val="00F51E12"/>
    <w:rsid w:val="00F52755"/>
    <w:rsid w:val="00F52A57"/>
    <w:rsid w:val="00F52AD6"/>
    <w:rsid w:val="00F5379C"/>
    <w:rsid w:val="00F53AF9"/>
    <w:rsid w:val="00F541DC"/>
    <w:rsid w:val="00F54583"/>
    <w:rsid w:val="00F54602"/>
    <w:rsid w:val="00F54DA8"/>
    <w:rsid w:val="00F55610"/>
    <w:rsid w:val="00F557B4"/>
    <w:rsid w:val="00F55CC3"/>
    <w:rsid w:val="00F55EF5"/>
    <w:rsid w:val="00F55F76"/>
    <w:rsid w:val="00F56533"/>
    <w:rsid w:val="00F56B84"/>
    <w:rsid w:val="00F56E4F"/>
    <w:rsid w:val="00F573B8"/>
    <w:rsid w:val="00F576A6"/>
    <w:rsid w:val="00F57EF9"/>
    <w:rsid w:val="00F602A9"/>
    <w:rsid w:val="00F61D87"/>
    <w:rsid w:val="00F61F5E"/>
    <w:rsid w:val="00F62355"/>
    <w:rsid w:val="00F6249C"/>
    <w:rsid w:val="00F628DB"/>
    <w:rsid w:val="00F62B1A"/>
    <w:rsid w:val="00F62C75"/>
    <w:rsid w:val="00F632F9"/>
    <w:rsid w:val="00F63897"/>
    <w:rsid w:val="00F63FFB"/>
    <w:rsid w:val="00F640DF"/>
    <w:rsid w:val="00F64360"/>
    <w:rsid w:val="00F64A7C"/>
    <w:rsid w:val="00F64B40"/>
    <w:rsid w:val="00F64DE8"/>
    <w:rsid w:val="00F65236"/>
    <w:rsid w:val="00F65990"/>
    <w:rsid w:val="00F65A11"/>
    <w:rsid w:val="00F65C0E"/>
    <w:rsid w:val="00F65F45"/>
    <w:rsid w:val="00F6650A"/>
    <w:rsid w:val="00F66743"/>
    <w:rsid w:val="00F6693C"/>
    <w:rsid w:val="00F66A64"/>
    <w:rsid w:val="00F66C2B"/>
    <w:rsid w:val="00F66D49"/>
    <w:rsid w:val="00F66EF2"/>
    <w:rsid w:val="00F67056"/>
    <w:rsid w:val="00F6723F"/>
    <w:rsid w:val="00F67516"/>
    <w:rsid w:val="00F678B8"/>
    <w:rsid w:val="00F67D0A"/>
    <w:rsid w:val="00F70072"/>
    <w:rsid w:val="00F7078E"/>
    <w:rsid w:val="00F70C93"/>
    <w:rsid w:val="00F71B67"/>
    <w:rsid w:val="00F71E9F"/>
    <w:rsid w:val="00F72446"/>
    <w:rsid w:val="00F730E4"/>
    <w:rsid w:val="00F7384C"/>
    <w:rsid w:val="00F74390"/>
    <w:rsid w:val="00F744B9"/>
    <w:rsid w:val="00F744ED"/>
    <w:rsid w:val="00F74811"/>
    <w:rsid w:val="00F74A65"/>
    <w:rsid w:val="00F74E40"/>
    <w:rsid w:val="00F74F3F"/>
    <w:rsid w:val="00F756A3"/>
    <w:rsid w:val="00F759B5"/>
    <w:rsid w:val="00F75BDB"/>
    <w:rsid w:val="00F760E4"/>
    <w:rsid w:val="00F77248"/>
    <w:rsid w:val="00F77758"/>
    <w:rsid w:val="00F77F68"/>
    <w:rsid w:val="00F80463"/>
    <w:rsid w:val="00F804B0"/>
    <w:rsid w:val="00F80775"/>
    <w:rsid w:val="00F80DB5"/>
    <w:rsid w:val="00F81232"/>
    <w:rsid w:val="00F81BA6"/>
    <w:rsid w:val="00F81DE7"/>
    <w:rsid w:val="00F82499"/>
    <w:rsid w:val="00F82630"/>
    <w:rsid w:val="00F8265A"/>
    <w:rsid w:val="00F827CB"/>
    <w:rsid w:val="00F8291C"/>
    <w:rsid w:val="00F82A5A"/>
    <w:rsid w:val="00F82CF0"/>
    <w:rsid w:val="00F83BCA"/>
    <w:rsid w:val="00F845B3"/>
    <w:rsid w:val="00F84824"/>
    <w:rsid w:val="00F85E6F"/>
    <w:rsid w:val="00F85ECC"/>
    <w:rsid w:val="00F86BC0"/>
    <w:rsid w:val="00F86DCB"/>
    <w:rsid w:val="00F875FB"/>
    <w:rsid w:val="00F8775F"/>
    <w:rsid w:val="00F87D09"/>
    <w:rsid w:val="00F9046D"/>
    <w:rsid w:val="00F90527"/>
    <w:rsid w:val="00F9099E"/>
    <w:rsid w:val="00F90AF9"/>
    <w:rsid w:val="00F91415"/>
    <w:rsid w:val="00F917B2"/>
    <w:rsid w:val="00F92A11"/>
    <w:rsid w:val="00F93373"/>
    <w:rsid w:val="00F94371"/>
    <w:rsid w:val="00F9485A"/>
    <w:rsid w:val="00F94928"/>
    <w:rsid w:val="00F94A0F"/>
    <w:rsid w:val="00F94C62"/>
    <w:rsid w:val="00F95252"/>
    <w:rsid w:val="00F95449"/>
    <w:rsid w:val="00F9556B"/>
    <w:rsid w:val="00F95823"/>
    <w:rsid w:val="00F95EE1"/>
    <w:rsid w:val="00F96614"/>
    <w:rsid w:val="00F97F20"/>
    <w:rsid w:val="00FA029A"/>
    <w:rsid w:val="00FA0710"/>
    <w:rsid w:val="00FA09E4"/>
    <w:rsid w:val="00FA0BEB"/>
    <w:rsid w:val="00FA0EF4"/>
    <w:rsid w:val="00FA1258"/>
    <w:rsid w:val="00FA1426"/>
    <w:rsid w:val="00FA1942"/>
    <w:rsid w:val="00FA1ECE"/>
    <w:rsid w:val="00FA202B"/>
    <w:rsid w:val="00FA2DB1"/>
    <w:rsid w:val="00FA32FF"/>
    <w:rsid w:val="00FA380A"/>
    <w:rsid w:val="00FA3C9D"/>
    <w:rsid w:val="00FA3E05"/>
    <w:rsid w:val="00FA459E"/>
    <w:rsid w:val="00FA46A1"/>
    <w:rsid w:val="00FA4974"/>
    <w:rsid w:val="00FA4C79"/>
    <w:rsid w:val="00FA557C"/>
    <w:rsid w:val="00FA59AF"/>
    <w:rsid w:val="00FA6536"/>
    <w:rsid w:val="00FA67E2"/>
    <w:rsid w:val="00FA6AC3"/>
    <w:rsid w:val="00FA6E52"/>
    <w:rsid w:val="00FA73EF"/>
    <w:rsid w:val="00FA7738"/>
    <w:rsid w:val="00FA779A"/>
    <w:rsid w:val="00FA79F3"/>
    <w:rsid w:val="00FB069B"/>
    <w:rsid w:val="00FB07D4"/>
    <w:rsid w:val="00FB07EB"/>
    <w:rsid w:val="00FB0ACC"/>
    <w:rsid w:val="00FB1FE9"/>
    <w:rsid w:val="00FB2004"/>
    <w:rsid w:val="00FB248C"/>
    <w:rsid w:val="00FB3E25"/>
    <w:rsid w:val="00FB40B2"/>
    <w:rsid w:val="00FB41C2"/>
    <w:rsid w:val="00FB46C6"/>
    <w:rsid w:val="00FB4BF9"/>
    <w:rsid w:val="00FB565C"/>
    <w:rsid w:val="00FB56D1"/>
    <w:rsid w:val="00FB598C"/>
    <w:rsid w:val="00FB5BD6"/>
    <w:rsid w:val="00FB5DEE"/>
    <w:rsid w:val="00FB6ADA"/>
    <w:rsid w:val="00FB6C39"/>
    <w:rsid w:val="00FB6F12"/>
    <w:rsid w:val="00FB7B63"/>
    <w:rsid w:val="00FC0579"/>
    <w:rsid w:val="00FC0A20"/>
    <w:rsid w:val="00FC1593"/>
    <w:rsid w:val="00FC1763"/>
    <w:rsid w:val="00FC2CB5"/>
    <w:rsid w:val="00FC35B8"/>
    <w:rsid w:val="00FC3816"/>
    <w:rsid w:val="00FC38D9"/>
    <w:rsid w:val="00FC3A8F"/>
    <w:rsid w:val="00FC3BDA"/>
    <w:rsid w:val="00FC42D2"/>
    <w:rsid w:val="00FC4766"/>
    <w:rsid w:val="00FC4CB7"/>
    <w:rsid w:val="00FC5703"/>
    <w:rsid w:val="00FC595E"/>
    <w:rsid w:val="00FC5BAC"/>
    <w:rsid w:val="00FC6412"/>
    <w:rsid w:val="00FC6F4E"/>
    <w:rsid w:val="00FC7334"/>
    <w:rsid w:val="00FC75C6"/>
    <w:rsid w:val="00FD034A"/>
    <w:rsid w:val="00FD0971"/>
    <w:rsid w:val="00FD1551"/>
    <w:rsid w:val="00FD19F7"/>
    <w:rsid w:val="00FD1AD9"/>
    <w:rsid w:val="00FD1F30"/>
    <w:rsid w:val="00FD2066"/>
    <w:rsid w:val="00FD209D"/>
    <w:rsid w:val="00FD34C9"/>
    <w:rsid w:val="00FD361D"/>
    <w:rsid w:val="00FD3A18"/>
    <w:rsid w:val="00FD3BEB"/>
    <w:rsid w:val="00FD3E79"/>
    <w:rsid w:val="00FD41D7"/>
    <w:rsid w:val="00FD498A"/>
    <w:rsid w:val="00FD49CB"/>
    <w:rsid w:val="00FD4BBE"/>
    <w:rsid w:val="00FD5373"/>
    <w:rsid w:val="00FD5F0F"/>
    <w:rsid w:val="00FD6036"/>
    <w:rsid w:val="00FD606C"/>
    <w:rsid w:val="00FD638A"/>
    <w:rsid w:val="00FD6D1D"/>
    <w:rsid w:val="00FD6F1F"/>
    <w:rsid w:val="00FD7402"/>
    <w:rsid w:val="00FD7771"/>
    <w:rsid w:val="00FD7A6A"/>
    <w:rsid w:val="00FD7B13"/>
    <w:rsid w:val="00FD7F88"/>
    <w:rsid w:val="00FE04E4"/>
    <w:rsid w:val="00FE0587"/>
    <w:rsid w:val="00FE1220"/>
    <w:rsid w:val="00FE1AF9"/>
    <w:rsid w:val="00FE269C"/>
    <w:rsid w:val="00FE294D"/>
    <w:rsid w:val="00FE2DD7"/>
    <w:rsid w:val="00FE36C9"/>
    <w:rsid w:val="00FE3915"/>
    <w:rsid w:val="00FE3941"/>
    <w:rsid w:val="00FE3E40"/>
    <w:rsid w:val="00FE4034"/>
    <w:rsid w:val="00FE42E8"/>
    <w:rsid w:val="00FE4597"/>
    <w:rsid w:val="00FE48F6"/>
    <w:rsid w:val="00FE4A90"/>
    <w:rsid w:val="00FE4AC0"/>
    <w:rsid w:val="00FE4C39"/>
    <w:rsid w:val="00FE5437"/>
    <w:rsid w:val="00FE6031"/>
    <w:rsid w:val="00FE6051"/>
    <w:rsid w:val="00FE6199"/>
    <w:rsid w:val="00FE6A1C"/>
    <w:rsid w:val="00FE6A96"/>
    <w:rsid w:val="00FE73F9"/>
    <w:rsid w:val="00FF0655"/>
    <w:rsid w:val="00FF0B55"/>
    <w:rsid w:val="00FF1057"/>
    <w:rsid w:val="00FF150D"/>
    <w:rsid w:val="00FF1B7E"/>
    <w:rsid w:val="00FF1DFE"/>
    <w:rsid w:val="00FF1F98"/>
    <w:rsid w:val="00FF346E"/>
    <w:rsid w:val="00FF3D86"/>
    <w:rsid w:val="00FF3E25"/>
    <w:rsid w:val="00FF42DB"/>
    <w:rsid w:val="00FF4399"/>
    <w:rsid w:val="00FF4429"/>
    <w:rsid w:val="00FF4B32"/>
    <w:rsid w:val="00FF4B36"/>
    <w:rsid w:val="00FF4EBF"/>
    <w:rsid w:val="00FF5204"/>
    <w:rsid w:val="00FF5FD8"/>
    <w:rsid w:val="00FF6598"/>
    <w:rsid w:val="00FF6615"/>
    <w:rsid w:val="00FF6743"/>
    <w:rsid w:val="00FF6AA6"/>
    <w:rsid w:val="00FF6B3F"/>
    <w:rsid w:val="00FF6FB4"/>
    <w:rsid w:val="00FF7067"/>
    <w:rsid w:val="00FF79C6"/>
    <w:rsid w:val="00FF7D14"/>
    <w:rsid w:val="0BCA29FE"/>
    <w:rsid w:val="0D009694"/>
    <w:rsid w:val="1D46F1C0"/>
    <w:rsid w:val="1DCC122F"/>
    <w:rsid w:val="31C51AAD"/>
    <w:rsid w:val="332C9ABE"/>
    <w:rsid w:val="348B65D1"/>
    <w:rsid w:val="41EC66FB"/>
    <w:rsid w:val="43B38FD7"/>
    <w:rsid w:val="5E77ABBB"/>
    <w:rsid w:val="6CB5A9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2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4141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OutlineNumbered1">
    <w:name w:val="Outline Numbered 1"/>
    <w:basedOn w:val="Normal"/>
    <w:link w:val="OutlineNumbered1Char"/>
    <w:rsid w:val="00AA145D"/>
    <w:pPr>
      <w:numPr>
        <w:numId w:val="3"/>
      </w:numPr>
      <w:spacing w:before="240" w:after="200"/>
    </w:pPr>
  </w:style>
  <w:style w:type="character" w:customStyle="1" w:styleId="OutlineNumbered1Char">
    <w:name w:val="Outline Numbered 1 Char"/>
    <w:basedOn w:val="DefaultParagraphFont"/>
    <w:link w:val="OutlineNumbered1"/>
    <w:rsid w:val="00AA145D"/>
    <w:rPr>
      <w:sz w:val="24"/>
    </w:rPr>
  </w:style>
  <w:style w:type="paragraph" w:customStyle="1" w:styleId="OutlineNumbered2">
    <w:name w:val="Outline Numbered 2"/>
    <w:basedOn w:val="Normal"/>
    <w:link w:val="OutlineNumbered2Char"/>
    <w:rsid w:val="00AA145D"/>
    <w:pPr>
      <w:numPr>
        <w:ilvl w:val="1"/>
        <w:numId w:val="3"/>
      </w:numPr>
      <w:spacing w:before="240" w:after="200"/>
    </w:pPr>
  </w:style>
  <w:style w:type="character" w:customStyle="1" w:styleId="OutlineNumbered2Char">
    <w:name w:val="Outline Numbered 2 Char"/>
    <w:basedOn w:val="DefaultParagraphFont"/>
    <w:link w:val="OutlineNumbered2"/>
    <w:rsid w:val="00AA145D"/>
    <w:rPr>
      <w:sz w:val="24"/>
    </w:rPr>
  </w:style>
  <w:style w:type="paragraph" w:customStyle="1" w:styleId="OutlineNumbered3">
    <w:name w:val="Outline Numbered 3"/>
    <w:basedOn w:val="Normal"/>
    <w:link w:val="OutlineNumbered3Char"/>
    <w:rsid w:val="00AA145D"/>
    <w:pPr>
      <w:numPr>
        <w:ilvl w:val="2"/>
        <w:numId w:val="3"/>
      </w:numPr>
      <w:spacing w:before="240" w:after="200"/>
    </w:pPr>
  </w:style>
  <w:style w:type="character" w:customStyle="1" w:styleId="OutlineNumbered3Char">
    <w:name w:val="Outline Numbered 3 Char"/>
    <w:basedOn w:val="DefaultParagraphFont"/>
    <w:link w:val="OutlineNumbered3"/>
    <w:rsid w:val="00AA145D"/>
    <w:rPr>
      <w:sz w:val="24"/>
    </w:rPr>
  </w:style>
  <w:style w:type="character" w:styleId="Mention">
    <w:name w:val="Mention"/>
    <w:basedOn w:val="DefaultParagraphFont"/>
    <w:uiPriority w:val="99"/>
    <w:unhideWhenUsed/>
    <w:rsid w:val="001D6BC9"/>
    <w:rPr>
      <w:color w:val="2B579A"/>
      <w:shd w:val="clear" w:color="auto" w:fill="E1DFDD"/>
    </w:rPr>
  </w:style>
  <w:style w:type="character" w:customStyle="1" w:styleId="Heading5Char">
    <w:name w:val="Heading 5 Char"/>
    <w:basedOn w:val="DefaultParagraphFont"/>
    <w:link w:val="Heading5"/>
    <w:uiPriority w:val="9"/>
    <w:rsid w:val="004141BA"/>
    <w:rPr>
      <w:rFonts w:asciiTheme="majorHAnsi" w:eastAsiaTheme="majorEastAsia" w:hAnsiTheme="majorHAnsi" w:cstheme="majorBidi"/>
      <w:color w:val="365F91" w:themeColor="accent1" w:themeShade="BF"/>
      <w:sz w:val="24"/>
    </w:rPr>
  </w:style>
  <w:style w:type="paragraph" w:customStyle="1" w:styleId="bullet0">
    <w:name w:val="bullet"/>
    <w:basedOn w:val="Normal"/>
    <w:rsid w:val="00923BB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4793">
      <w:bodyDiv w:val="1"/>
      <w:marLeft w:val="0"/>
      <w:marRight w:val="0"/>
      <w:marTop w:val="0"/>
      <w:marBottom w:val="0"/>
      <w:divBdr>
        <w:top w:val="none" w:sz="0" w:space="0" w:color="auto"/>
        <w:left w:val="none" w:sz="0" w:space="0" w:color="auto"/>
        <w:bottom w:val="none" w:sz="0" w:space="0" w:color="auto"/>
        <w:right w:val="none" w:sz="0" w:space="0" w:color="auto"/>
      </w:divBdr>
    </w:div>
    <w:div w:id="846867173">
      <w:bodyDiv w:val="1"/>
      <w:marLeft w:val="0"/>
      <w:marRight w:val="0"/>
      <w:marTop w:val="0"/>
      <w:marBottom w:val="0"/>
      <w:divBdr>
        <w:top w:val="none" w:sz="0" w:space="0" w:color="auto"/>
        <w:left w:val="none" w:sz="0" w:space="0" w:color="auto"/>
        <w:bottom w:val="none" w:sz="0" w:space="0" w:color="auto"/>
        <w:right w:val="none" w:sz="0" w:space="0" w:color="auto"/>
      </w:divBdr>
    </w:div>
    <w:div w:id="126572724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06916291">
      <w:bodyDiv w:val="1"/>
      <w:marLeft w:val="0"/>
      <w:marRight w:val="0"/>
      <w:marTop w:val="0"/>
      <w:marBottom w:val="0"/>
      <w:divBdr>
        <w:top w:val="none" w:sz="0" w:space="0" w:color="auto"/>
        <w:left w:val="none" w:sz="0" w:space="0" w:color="auto"/>
        <w:bottom w:val="none" w:sz="0" w:space="0" w:color="auto"/>
        <w:right w:val="none" w:sz="0" w:space="0" w:color="auto"/>
      </w:divBdr>
    </w:div>
    <w:div w:id="205260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2707AB5074A9DBF73BD676279A8EC"/>
        <w:category>
          <w:name w:val="General"/>
          <w:gallery w:val="placeholder"/>
        </w:category>
        <w:types>
          <w:type w:val="bbPlcHdr"/>
        </w:types>
        <w:behaviors>
          <w:behavior w:val="content"/>
        </w:behaviors>
        <w:guid w:val="{05DA9DE7-8FDC-4F81-B4B5-5CFB5BD5FCA0}"/>
      </w:docPartPr>
      <w:docPartBody>
        <w:p w:rsidR="00F36A80" w:rsidRDefault="00F36A80" w:rsidP="00F36A80">
          <w:pPr>
            <w:pStyle w:val="0032707AB5074A9DBF73BD676279A8EC"/>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80"/>
    <w:rsid w:val="00026B31"/>
    <w:rsid w:val="000D0BB1"/>
    <w:rsid w:val="000F555E"/>
    <w:rsid w:val="0013552E"/>
    <w:rsid w:val="00147DFE"/>
    <w:rsid w:val="001740F8"/>
    <w:rsid w:val="002F5912"/>
    <w:rsid w:val="00362CCC"/>
    <w:rsid w:val="00422855"/>
    <w:rsid w:val="005642BF"/>
    <w:rsid w:val="0056556B"/>
    <w:rsid w:val="005B2821"/>
    <w:rsid w:val="006945B6"/>
    <w:rsid w:val="00720E63"/>
    <w:rsid w:val="00751E9D"/>
    <w:rsid w:val="00764790"/>
    <w:rsid w:val="00770C72"/>
    <w:rsid w:val="0077237E"/>
    <w:rsid w:val="007E07E1"/>
    <w:rsid w:val="007E5A2D"/>
    <w:rsid w:val="007F05DA"/>
    <w:rsid w:val="008D1054"/>
    <w:rsid w:val="0092397B"/>
    <w:rsid w:val="00942293"/>
    <w:rsid w:val="009473C7"/>
    <w:rsid w:val="009C4791"/>
    <w:rsid w:val="009D5F41"/>
    <w:rsid w:val="00A11648"/>
    <w:rsid w:val="00A31368"/>
    <w:rsid w:val="00AA3A42"/>
    <w:rsid w:val="00AE3F6C"/>
    <w:rsid w:val="00B02876"/>
    <w:rsid w:val="00B76D11"/>
    <w:rsid w:val="00BD3AC3"/>
    <w:rsid w:val="00C62E6E"/>
    <w:rsid w:val="00C8786C"/>
    <w:rsid w:val="00D21006"/>
    <w:rsid w:val="00D86C22"/>
    <w:rsid w:val="00DB0E43"/>
    <w:rsid w:val="00E55D3C"/>
    <w:rsid w:val="00E93EAF"/>
    <w:rsid w:val="00EF022C"/>
    <w:rsid w:val="00F36A80"/>
    <w:rsid w:val="00FA6A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821"/>
    <w:rPr>
      <w:color w:val="808080"/>
    </w:rPr>
  </w:style>
  <w:style w:type="paragraph" w:customStyle="1" w:styleId="0032707AB5074A9DBF73BD676279A8EC">
    <w:name w:val="0032707AB5074A9DBF73BD676279A8EC"/>
    <w:rsid w:val="00F36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S574FYTY5PW6-969949929-1936</_dlc_DocId>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https://austreasury.sharepoint.com/sites/leg-cord-function/_layouts/15/DocIdRedir.aspx?ID=S574FYTY5PW6-969949929-1936</Url>
      <Description>S574FYTY5PW6-969949929-1936</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471FB-2B3D-44F3-B7A0-612A041788A2}">
  <ds:schemaRefs>
    <ds:schemaRef ds:uri="http://schemas.microsoft.com/office/2006/documentManagement/types"/>
    <ds:schemaRef ds:uri="http://purl.org/dc/terms/"/>
    <ds:schemaRef ds:uri="fe39d773-a83d-4623-ae74-f25711a76616"/>
    <ds:schemaRef ds:uri="http://schemas.microsoft.com/office/2006/metadata/properties"/>
    <ds:schemaRef ds:uri="42f4cb5a-261c-4c59-b165-7132460581a3"/>
    <ds:schemaRef ds:uri="http://www.w3.org/XML/1998/namespace"/>
    <ds:schemaRef ds:uri="http://schemas.openxmlformats.org/package/2006/metadata/core-properties"/>
    <ds:schemaRef ds:uri="http://purl.org/dc/dcmitype/"/>
    <ds:schemaRef ds:uri="ff38c824-6e29-4496-8487-69f397e7ed29"/>
    <ds:schemaRef ds:uri="http://purl.org/dc/elements/1.1/"/>
    <ds:schemaRef ds:uri="http://schemas.microsoft.com/office/infopath/2007/PartnerControls"/>
    <ds:schemaRef ds:uri="30b813c2-29e2-43aa-bac2-1ed67b791ce7"/>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11F1CCAB-F584-4DDC-AC75-D0108F19A185}">
  <ds:schemaRefs>
    <ds:schemaRef ds:uri="http://schemas.microsoft.com/sharepoint/events"/>
  </ds:schemaRefs>
</ds:datastoreItem>
</file>

<file path=customXml/itemProps4.xml><?xml version="1.0" encoding="utf-8"?>
<ds:datastoreItem xmlns:ds="http://schemas.openxmlformats.org/officeDocument/2006/customXml" ds:itemID="{8E4430A1-C94A-4509-808E-D2245DC30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17356A-2158-4582-8D79-CEEBE0BF6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7306</Words>
  <Characters>39607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2024-10-28T05:52:00Z</dcterms:created>
  <dcterms:modified xsi:type="dcterms:W3CDTF">2024-11-06T21:40:00Z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Status">
    <vt:lpwstr/>
  </property>
  <property fmtid="{D5CDD505-2E9C-101B-9397-08002B2CF9AE}" pid="3" name="MediaServiceImageTags">
    <vt:lpwstr/>
  </property>
  <property fmtid="{D5CDD505-2E9C-101B-9397-08002B2CF9AE}" pid="4" name="ContentTypeId">
    <vt:lpwstr>0x010100B569D256E75E71428C72445DFBB99E7A</vt:lpwstr>
  </property>
  <property fmtid="{D5CDD505-2E9C-101B-9397-08002B2CF9AE}" pid="5" name="eTheme">
    <vt:lpwstr>1;#Law Design|318dd2d2-18da-4b8e-a458-14db2c1af95f</vt:lpwstr>
  </property>
  <property fmtid="{D5CDD505-2E9C-101B-9397-08002B2CF9AE}" pid="6" name="eDocumentType">
    <vt:lpwstr>153;#Explanatory Materials|ac61e78e-992e-40fd-ae93-2c9522960b05</vt:lpwstr>
  </property>
  <property fmtid="{D5CDD505-2E9C-101B-9397-08002B2CF9AE}" pid="7" name="_dlc_DocIdItemGuid">
    <vt:lpwstr>88213a61-348b-48e2-aa75-183743a4190c</vt:lpwstr>
  </property>
  <property fmtid="{D5CDD505-2E9C-101B-9397-08002B2CF9AE}" pid="8" name="TSYOffice">
    <vt:lpwstr/>
  </property>
  <property fmtid="{D5CDD505-2E9C-101B-9397-08002B2CF9AE}" pid="9" name="eTopic">
    <vt:lpwstr>36;#Legislation Coordination|58c6712e-e847-48f4-81ab-b25e2bbd3986</vt:lpwstr>
  </property>
  <property fmtid="{D5CDD505-2E9C-101B-9397-08002B2CF9AE}" pid="10" name="_NewReviewCycle">
    <vt:lpwstr/>
  </property>
  <property fmtid="{D5CDD505-2E9C-101B-9397-08002B2CF9AE}" pid="11" name="_docset_NoMedatataSyncRequired">
    <vt:lpwstr>False</vt:lpwstr>
  </property>
  <property fmtid="{D5CDD505-2E9C-101B-9397-08002B2CF9AE}" pid="12" name="LMDivision">
    <vt:lpwstr/>
  </property>
  <property fmtid="{D5CDD505-2E9C-101B-9397-08002B2CF9AE}" pid="13" name="eActivity">
    <vt:lpwstr>35;#Legislation management|cb630f2f-9155-496b-ad0f-d960eb1bf90c</vt:lpwstr>
  </property>
  <property fmtid="{D5CDD505-2E9C-101B-9397-08002B2CF9AE}" pid="14" name="TSYTopic">
    <vt:lpwstr/>
  </property>
  <property fmtid="{D5CDD505-2E9C-101B-9397-08002B2CF9AE}" pid="15" name="k8424359e03846678cc4a99dd97e9705">
    <vt:lpwstr/>
  </property>
  <property fmtid="{D5CDD505-2E9C-101B-9397-08002B2CF9AE}" pid="16" name="TSYRecordClass">
    <vt:lpwstr>1;#AE-20260-Destroy 7 years after action completed|623f5ec9-ec5d-4824-8e13-9c9bfc51fe7e</vt:lpwstr>
  </property>
  <property fmtid="{D5CDD505-2E9C-101B-9397-08002B2CF9AE}" pid="17" name="Topic">
    <vt:lpwstr>36;#Legislation Coordination|58c6712e-e847-48f4-81ab-b25e2bbd3986</vt:lpwstr>
  </property>
  <property fmtid="{D5CDD505-2E9C-101B-9397-08002B2CF9AE}" pid="18" name="Activity">
    <vt:lpwstr>35;#Legislation management|cb630f2f-9155-496b-ad0f-d960eb1bf90c</vt:lpwstr>
  </property>
  <property fmtid="{D5CDD505-2E9C-101B-9397-08002B2CF9AE}" pid="19" name="Document_x0020_Type">
    <vt:lpwstr>42;#Legislation|25c35cca-98fe-4d3e-a63c-3dda1c39f3ec</vt:lpwstr>
  </property>
  <property fmtid="{D5CDD505-2E9C-101B-9397-08002B2CF9AE}" pid="20" name="Document Type">
    <vt:lpwstr>42;#Legislation|25c35cca-98fe-4d3e-a63c-3dda1c39f3ec</vt:lpwstr>
  </property>
  <property fmtid="{D5CDD505-2E9C-101B-9397-08002B2CF9AE}" pid="21" name="MSIP_Label_4f932d64-9ab1-4d9b-81d2-a3a8b82dd47d_Enabled">
    <vt:lpwstr>true</vt:lpwstr>
  </property>
  <property fmtid="{D5CDD505-2E9C-101B-9397-08002B2CF9AE}" pid="22" name="MSIP_Label_4f932d64-9ab1-4d9b-81d2-a3a8b82dd47d_SetDate">
    <vt:lpwstr>2024-11-06T21:40:02Z</vt:lpwstr>
  </property>
  <property fmtid="{D5CDD505-2E9C-101B-9397-08002B2CF9AE}" pid="23" name="MSIP_Label_4f932d64-9ab1-4d9b-81d2-a3a8b82dd47d_Method">
    <vt:lpwstr>Privileged</vt:lpwstr>
  </property>
  <property fmtid="{D5CDD505-2E9C-101B-9397-08002B2CF9AE}" pid="24" name="MSIP_Label_4f932d64-9ab1-4d9b-81d2-a3a8b82dd47d_Name">
    <vt:lpwstr>OFFICIAL No Visual Marking</vt:lpwstr>
  </property>
  <property fmtid="{D5CDD505-2E9C-101B-9397-08002B2CF9AE}" pid="25" name="MSIP_Label_4f932d64-9ab1-4d9b-81d2-a3a8b82dd47d_SiteId">
    <vt:lpwstr>214f1646-2021-47cc-8397-e3d3a7ba7d9d</vt:lpwstr>
  </property>
  <property fmtid="{D5CDD505-2E9C-101B-9397-08002B2CF9AE}" pid="26" name="MSIP_Label_4f932d64-9ab1-4d9b-81d2-a3a8b82dd47d_ActionId">
    <vt:lpwstr>afc467c5-b4fc-46c8-8772-eb32d9e0e0c9</vt:lpwstr>
  </property>
  <property fmtid="{D5CDD505-2E9C-101B-9397-08002B2CF9AE}" pid="27" name="MSIP_Label_4f932d64-9ab1-4d9b-81d2-a3a8b82dd47d_ContentBits">
    <vt:lpwstr>0</vt:lpwstr>
  </property>
</Properties>
</file>