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21D91" w14:textId="77777777" w:rsidR="00EF0E0E" w:rsidRPr="00880707" w:rsidRDefault="00EF0E0E" w:rsidP="008C316C">
      <w:pPr>
        <w:spacing w:after="0" w:line="240" w:lineRule="auto"/>
        <w:jc w:val="center"/>
        <w:rPr>
          <w:rFonts w:eastAsia="Times New Roman"/>
          <w:b/>
          <w:kern w:val="0"/>
          <w:lang w:eastAsia="en-AU"/>
          <w14:ligatures w14:val="none"/>
        </w:rPr>
      </w:pPr>
      <w:r w:rsidRPr="00880707">
        <w:rPr>
          <w:rFonts w:eastAsia="Times New Roman"/>
          <w:b/>
          <w:kern w:val="0"/>
          <w:lang w:eastAsia="en-AU"/>
          <w14:ligatures w14:val="none"/>
        </w:rPr>
        <w:t>EXPLANATORY STATEMENT</w:t>
      </w:r>
    </w:p>
    <w:p w14:paraId="01F50E29" w14:textId="77777777" w:rsidR="00EF0E0E" w:rsidRPr="00880707" w:rsidRDefault="00EF0E0E" w:rsidP="008C316C">
      <w:pPr>
        <w:spacing w:after="0" w:line="240" w:lineRule="auto"/>
        <w:rPr>
          <w:rFonts w:eastAsia="Times New Roman"/>
          <w:kern w:val="0"/>
          <w:lang w:eastAsia="en-AU"/>
          <w14:ligatures w14:val="none"/>
        </w:rPr>
      </w:pPr>
    </w:p>
    <w:p w14:paraId="312CDD23" w14:textId="77777777" w:rsidR="00EF0E0E" w:rsidRPr="00880707" w:rsidRDefault="00EF0E0E" w:rsidP="008C316C">
      <w:pPr>
        <w:spacing w:after="0" w:line="240" w:lineRule="auto"/>
        <w:jc w:val="center"/>
        <w:rPr>
          <w:rFonts w:eastAsia="Times New Roman"/>
          <w:b/>
          <w:i/>
          <w:kern w:val="0"/>
          <w:lang w:eastAsia="en-AU"/>
          <w14:ligatures w14:val="none"/>
        </w:rPr>
      </w:pPr>
      <w:r w:rsidRPr="00880707">
        <w:rPr>
          <w:rFonts w:eastAsia="Times New Roman"/>
          <w:b/>
          <w:i/>
          <w:kern w:val="0"/>
          <w:lang w:eastAsia="en-AU"/>
          <w14:ligatures w14:val="none"/>
        </w:rPr>
        <w:t>NATIONAL HEALTH ACT 1953</w:t>
      </w:r>
    </w:p>
    <w:p w14:paraId="212C61EF" w14:textId="2B9C91FE" w:rsidR="00EF0E0E" w:rsidRPr="00880707" w:rsidRDefault="00EF0E0E" w:rsidP="008C316C">
      <w:pPr>
        <w:spacing w:before="240" w:after="0" w:line="240" w:lineRule="auto"/>
        <w:jc w:val="center"/>
        <w:rPr>
          <w:rFonts w:eastAsia="Times New Roman"/>
          <w:b/>
          <w:i/>
          <w:kern w:val="0"/>
          <w:sz w:val="22"/>
          <w:szCs w:val="22"/>
          <w:lang w:eastAsia="en-AU"/>
          <w14:ligatures w14:val="none"/>
        </w:rPr>
      </w:pPr>
      <w:r w:rsidRPr="00880707">
        <w:rPr>
          <w:rFonts w:eastAsia="Times New Roman"/>
          <w:b/>
          <w:i/>
          <w:kern w:val="0"/>
          <w:sz w:val="22"/>
          <w:szCs w:val="22"/>
          <w:lang w:eastAsia="en-AU"/>
          <w14:ligatures w14:val="none"/>
        </w:rPr>
        <w:t xml:space="preserve">NATIONAL HEALTH (CONTINUED DISPENSING) AMENDMENT DETERMINATION 2024 (No. </w:t>
      </w:r>
      <w:r w:rsidR="002C6A38" w:rsidRPr="00880707">
        <w:rPr>
          <w:rFonts w:eastAsia="Times New Roman"/>
          <w:b/>
          <w:i/>
          <w:kern w:val="0"/>
          <w:sz w:val="22"/>
          <w:szCs w:val="22"/>
          <w:lang w:eastAsia="en-AU"/>
          <w14:ligatures w14:val="none"/>
        </w:rPr>
        <w:t>3</w:t>
      </w:r>
      <w:r w:rsidRPr="00880707">
        <w:rPr>
          <w:rFonts w:eastAsia="Times New Roman"/>
          <w:b/>
          <w:i/>
          <w:kern w:val="0"/>
          <w:sz w:val="22"/>
          <w:szCs w:val="22"/>
          <w:lang w:eastAsia="en-AU"/>
          <w14:ligatures w14:val="none"/>
        </w:rPr>
        <w:t>)</w:t>
      </w:r>
    </w:p>
    <w:p w14:paraId="3EB5CC9D" w14:textId="16BD8D65" w:rsidR="00EF0E0E" w:rsidRPr="00880707" w:rsidRDefault="00EF0E0E" w:rsidP="008C316C">
      <w:pPr>
        <w:spacing w:before="240" w:after="0" w:line="240" w:lineRule="auto"/>
        <w:jc w:val="center"/>
        <w:rPr>
          <w:rFonts w:eastAsia="Times New Roman"/>
          <w:b/>
          <w:i/>
          <w:kern w:val="0"/>
          <w:sz w:val="22"/>
          <w:szCs w:val="22"/>
          <w:lang w:eastAsia="en-AU"/>
          <w14:ligatures w14:val="none"/>
        </w:rPr>
      </w:pPr>
      <w:r w:rsidRPr="00880707">
        <w:rPr>
          <w:rFonts w:eastAsia="Times New Roman"/>
          <w:b/>
          <w:kern w:val="0"/>
          <w:lang w:eastAsia="en-AU"/>
          <w14:ligatures w14:val="none"/>
        </w:rPr>
        <w:t xml:space="preserve">PB </w:t>
      </w:r>
      <w:r w:rsidR="00FA6908" w:rsidRPr="00880707">
        <w:rPr>
          <w:rFonts w:eastAsia="Times New Roman"/>
          <w:b/>
          <w:kern w:val="0"/>
          <w:lang w:eastAsia="en-AU"/>
          <w14:ligatures w14:val="none"/>
        </w:rPr>
        <w:t>114</w:t>
      </w:r>
      <w:r w:rsidRPr="00880707">
        <w:rPr>
          <w:rFonts w:eastAsia="Times New Roman"/>
          <w:b/>
          <w:kern w:val="0"/>
          <w:lang w:eastAsia="en-AU"/>
          <w14:ligatures w14:val="none"/>
        </w:rPr>
        <w:t xml:space="preserve"> of 2024</w:t>
      </w:r>
    </w:p>
    <w:p w14:paraId="5F77851D" w14:textId="77777777" w:rsidR="00EF0E0E" w:rsidRPr="00880707" w:rsidRDefault="00EF0E0E" w:rsidP="008C316C">
      <w:pPr>
        <w:spacing w:before="120" w:after="0" w:line="240" w:lineRule="auto"/>
        <w:rPr>
          <w:rFonts w:eastAsia="Times New Roman"/>
          <w:kern w:val="0"/>
          <w:sz w:val="22"/>
          <w:szCs w:val="22"/>
          <w:lang w:eastAsia="en-AU"/>
          <w14:ligatures w14:val="none"/>
        </w:rPr>
      </w:pPr>
    </w:p>
    <w:p w14:paraId="073AA0D3" w14:textId="77777777" w:rsidR="00EF0E0E" w:rsidRPr="00880707" w:rsidRDefault="00EF0E0E" w:rsidP="008C316C">
      <w:pPr>
        <w:spacing w:before="240" w:after="0" w:line="240" w:lineRule="auto"/>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Purpose</w:t>
      </w:r>
    </w:p>
    <w:p w14:paraId="25C33334" w14:textId="13DE01EF" w:rsidR="00400CDD" w:rsidRPr="00880707" w:rsidRDefault="00EF0E0E" w:rsidP="008C316C">
      <w:pPr>
        <w:spacing w:before="120" w:after="0" w:line="240" w:lineRule="auto"/>
        <w:jc w:val="both"/>
        <w:rPr>
          <w:rFonts w:eastAsia="Times New Roman"/>
          <w:color w:val="262626"/>
          <w:kern w:val="0"/>
          <w:sz w:val="22"/>
          <w:szCs w:val="22"/>
          <w14:ligatures w14:val="none"/>
        </w:rPr>
      </w:pPr>
      <w:r w:rsidRPr="00880707">
        <w:rPr>
          <w:rFonts w:eastAsia="Times New Roman"/>
          <w:kern w:val="0"/>
          <w:sz w:val="22"/>
          <w:szCs w:val="22"/>
          <w:lang w:eastAsia="en-AU"/>
          <w14:ligatures w14:val="none"/>
        </w:rPr>
        <w:t>The purpose of</w:t>
      </w:r>
      <w:r w:rsidR="009E1E55" w:rsidRPr="00880707">
        <w:rPr>
          <w:rFonts w:eastAsia="Times New Roman"/>
          <w:kern w:val="0"/>
          <w:sz w:val="22"/>
          <w:szCs w:val="22"/>
          <w:lang w:eastAsia="en-AU"/>
          <w14:ligatures w14:val="none"/>
        </w:rPr>
        <w:t xml:space="preserve"> the</w:t>
      </w:r>
      <w:r w:rsidR="00FC2E2F" w:rsidRPr="00880707">
        <w:rPr>
          <w:rFonts w:eastAsia="Times New Roman"/>
          <w:kern w:val="0"/>
          <w:sz w:val="22"/>
          <w:szCs w:val="22"/>
          <w:lang w:eastAsia="en-AU"/>
          <w14:ligatures w14:val="none"/>
        </w:rPr>
        <w:t xml:space="preserve"> </w:t>
      </w:r>
      <w:r w:rsidR="00FC2E2F" w:rsidRPr="00880707">
        <w:rPr>
          <w:rFonts w:eastAsia="Times New Roman"/>
          <w:i/>
          <w:iCs/>
          <w:kern w:val="0"/>
          <w:sz w:val="22"/>
          <w:szCs w:val="22"/>
          <w:lang w:eastAsia="en-AU"/>
          <w14:ligatures w14:val="none"/>
        </w:rPr>
        <w:t>National Health (Continued Dispensing) Amendment Determination 2024 (No. 3)</w:t>
      </w:r>
      <w:r w:rsidRPr="00880707">
        <w:rPr>
          <w:rFonts w:eastAsia="Times New Roman"/>
          <w:kern w:val="0"/>
          <w:sz w:val="22"/>
          <w:szCs w:val="22"/>
          <w:lang w:eastAsia="en-AU"/>
          <w14:ligatures w14:val="none"/>
        </w:rPr>
        <w:t xml:space="preserve">, made under subsection </w:t>
      </w:r>
      <w:r w:rsidRPr="00880707">
        <w:rPr>
          <w:rFonts w:eastAsia="Times New Roman"/>
          <w:color w:val="000000"/>
          <w:kern w:val="0"/>
          <w:sz w:val="22"/>
          <w:szCs w:val="22"/>
          <w:lang w:eastAsia="en-AU"/>
          <w14:ligatures w14:val="none"/>
        </w:rPr>
        <w:t xml:space="preserve">89A(3) of the </w:t>
      </w:r>
      <w:r w:rsidRPr="00880707">
        <w:rPr>
          <w:rFonts w:eastAsia="Times New Roman"/>
          <w:i/>
          <w:kern w:val="0"/>
          <w:sz w:val="22"/>
          <w:szCs w:val="22"/>
          <w:lang w:eastAsia="en-AU"/>
          <w14:ligatures w14:val="none"/>
        </w:rPr>
        <w:t>National Health Act 1953</w:t>
      </w:r>
      <w:r w:rsidRPr="00880707">
        <w:rPr>
          <w:rFonts w:eastAsia="Times New Roman"/>
          <w:kern w:val="0"/>
          <w:sz w:val="22"/>
          <w:szCs w:val="22"/>
          <w:lang w:eastAsia="en-AU"/>
          <w14:ligatures w14:val="none"/>
        </w:rPr>
        <w:t xml:space="preserve"> (the Act), is to amend the </w:t>
      </w:r>
      <w:r w:rsidRPr="00880707">
        <w:rPr>
          <w:rFonts w:eastAsia="Times New Roman"/>
          <w:i/>
          <w:kern w:val="0"/>
          <w:sz w:val="22"/>
          <w:szCs w:val="22"/>
          <w:lang w:eastAsia="en-AU"/>
          <w14:ligatures w14:val="none"/>
        </w:rPr>
        <w:t>National Health (Continued Dispensing) Determination 2022</w:t>
      </w:r>
      <w:r w:rsidR="00933FDE" w:rsidRPr="00880707">
        <w:rPr>
          <w:rFonts w:eastAsia="Times New Roman"/>
          <w:iCs/>
          <w:kern w:val="0"/>
          <w:sz w:val="22"/>
          <w:szCs w:val="22"/>
          <w:lang w:eastAsia="en-AU"/>
          <w14:ligatures w14:val="none"/>
        </w:rPr>
        <w:t xml:space="preserve"> </w:t>
      </w:r>
      <w:r w:rsidR="00E475AC" w:rsidRPr="00880707">
        <w:rPr>
          <w:rFonts w:eastAsia="Times New Roman"/>
          <w:kern w:val="0"/>
          <w:sz w:val="22"/>
          <w:szCs w:val="22"/>
          <w:lang w:eastAsia="en-AU"/>
          <w14:ligatures w14:val="none"/>
        </w:rPr>
        <w:t>to more accurately reflect the way that pharmaceutical benefits are defined</w:t>
      </w:r>
      <w:r w:rsidR="002C0427" w:rsidRPr="00880707">
        <w:rPr>
          <w:rFonts w:eastAsia="Times New Roman"/>
          <w:kern w:val="0"/>
          <w:sz w:val="22"/>
          <w:szCs w:val="22"/>
          <w:lang w:eastAsia="en-AU"/>
          <w14:ligatures w14:val="none"/>
        </w:rPr>
        <w:t xml:space="preserve"> </w:t>
      </w:r>
      <w:r w:rsidR="009A5237" w:rsidRPr="00880707">
        <w:rPr>
          <w:rFonts w:eastAsia="Times New Roman"/>
          <w:kern w:val="0"/>
          <w:sz w:val="22"/>
          <w:szCs w:val="22"/>
          <w:lang w:eastAsia="en-AU"/>
          <w14:ligatures w14:val="none"/>
        </w:rPr>
        <w:t xml:space="preserve">for the purposes of the Act </w:t>
      </w:r>
      <w:r w:rsidR="002C0427" w:rsidRPr="00880707">
        <w:rPr>
          <w:rFonts w:eastAsia="Times New Roman"/>
          <w:kern w:val="0"/>
          <w:sz w:val="22"/>
          <w:szCs w:val="22"/>
          <w:lang w:eastAsia="en-AU"/>
          <w14:ligatures w14:val="none"/>
        </w:rPr>
        <w:t>and provide</w:t>
      </w:r>
      <w:r w:rsidR="00400CDD" w:rsidRPr="00880707">
        <w:rPr>
          <w:rFonts w:eastAsia="Times New Roman"/>
          <w:color w:val="262626"/>
          <w:kern w:val="0"/>
          <w:sz w:val="22"/>
          <w:szCs w:val="22"/>
          <w14:ligatures w14:val="none"/>
        </w:rPr>
        <w:t xml:space="preserve"> that certain terms</w:t>
      </w:r>
      <w:r w:rsidR="00CF1C8E" w:rsidRPr="00880707">
        <w:rPr>
          <w:rFonts w:eastAsia="Times New Roman"/>
          <w:color w:val="262626"/>
          <w:kern w:val="0"/>
          <w:sz w:val="22"/>
          <w:szCs w:val="22"/>
          <w14:ligatures w14:val="none"/>
        </w:rPr>
        <w:t xml:space="preserve"> </w:t>
      </w:r>
      <w:r w:rsidR="00400CDD" w:rsidRPr="00880707">
        <w:rPr>
          <w:rFonts w:eastAsia="Times New Roman"/>
          <w:color w:val="262626"/>
          <w:kern w:val="0"/>
          <w:sz w:val="22"/>
          <w:szCs w:val="22"/>
          <w14:ligatures w14:val="none"/>
        </w:rPr>
        <w:t>are to have the same meaning as they were given in the Act</w:t>
      </w:r>
      <w:r w:rsidR="002C0427" w:rsidRPr="00880707">
        <w:rPr>
          <w:rFonts w:eastAsia="Times New Roman"/>
          <w:color w:val="262626"/>
          <w:kern w:val="0"/>
          <w:sz w:val="22"/>
          <w:szCs w:val="22"/>
          <w14:ligatures w14:val="none"/>
        </w:rPr>
        <w:t>.</w:t>
      </w:r>
    </w:p>
    <w:p w14:paraId="647C2247" w14:textId="46FCFA7A" w:rsidR="00EF0E0E" w:rsidRPr="00880707" w:rsidRDefault="00EF0E0E" w:rsidP="008C316C">
      <w:pPr>
        <w:shd w:val="clear" w:color="auto" w:fill="FFFFFF"/>
        <w:spacing w:before="120" w:after="0" w:line="240" w:lineRule="auto"/>
        <w:jc w:val="both"/>
        <w:rPr>
          <w:rFonts w:eastAsia="Times New Roman"/>
          <w:kern w:val="0"/>
          <w:sz w:val="22"/>
          <w:szCs w:val="22"/>
          <w:lang w:eastAsia="en-AU"/>
          <w14:ligatures w14:val="none"/>
        </w:rPr>
      </w:pPr>
      <w:r w:rsidRPr="00880707">
        <w:rPr>
          <w:rFonts w:eastAsia="Times New Roman"/>
          <w:color w:val="000000"/>
          <w:kern w:val="0"/>
          <w:sz w:val="22"/>
          <w:szCs w:val="22"/>
          <w:lang w:eastAsia="en-AU"/>
          <w14:ligatures w14:val="none"/>
        </w:rPr>
        <w:t xml:space="preserve">The </w:t>
      </w:r>
      <w:r w:rsidRPr="00880707">
        <w:rPr>
          <w:rFonts w:eastAsia="Times New Roman"/>
          <w:i/>
          <w:kern w:val="0"/>
          <w:sz w:val="22"/>
          <w:szCs w:val="22"/>
          <w:lang w:eastAsia="en-AU"/>
          <w14:ligatures w14:val="none"/>
        </w:rPr>
        <w:t>National Health (Continued Dispensing) Determination 2022</w:t>
      </w:r>
      <w:r w:rsidRPr="00880707">
        <w:rPr>
          <w:rFonts w:eastAsia="Times New Roman"/>
          <w:color w:val="000000"/>
          <w:kern w:val="0"/>
          <w:sz w:val="22"/>
          <w:szCs w:val="22"/>
          <w:lang w:eastAsia="en-AU"/>
          <w14:ligatures w14:val="none"/>
        </w:rPr>
        <w:t xml:space="preserve"> (the Principal</w:t>
      </w:r>
      <w:r w:rsidR="00322D29" w:rsidRPr="00880707">
        <w:rPr>
          <w:rFonts w:eastAsia="Times New Roman"/>
          <w:color w:val="000000"/>
          <w:kern w:val="0"/>
          <w:sz w:val="22"/>
          <w:szCs w:val="22"/>
          <w:lang w:eastAsia="en-AU"/>
          <w14:ligatures w14:val="none"/>
        </w:rPr>
        <w:t xml:space="preserve"> </w:t>
      </w:r>
      <w:r w:rsidRPr="00880707">
        <w:rPr>
          <w:rFonts w:eastAsia="Times New Roman"/>
          <w:color w:val="000000"/>
          <w:kern w:val="0"/>
          <w:sz w:val="22"/>
          <w:szCs w:val="22"/>
          <w:lang w:eastAsia="en-AU"/>
          <w14:ligatures w14:val="none"/>
        </w:rPr>
        <w:t>Instrument</w:t>
      </w:r>
      <w:r w:rsidR="005A3295" w:rsidRPr="00880707">
        <w:rPr>
          <w:rFonts w:eastAsia="Times New Roman"/>
          <w:color w:val="000000"/>
          <w:kern w:val="0"/>
          <w:sz w:val="22"/>
          <w:szCs w:val="22"/>
          <w:lang w:eastAsia="en-AU"/>
          <w14:ligatures w14:val="none"/>
        </w:rPr>
        <w:t>)</w:t>
      </w:r>
      <w:r w:rsidRPr="00880707">
        <w:rPr>
          <w:rFonts w:eastAsia="Times New Roman"/>
          <w:color w:val="000000"/>
          <w:kern w:val="0"/>
          <w:sz w:val="22"/>
          <w:szCs w:val="22"/>
          <w:lang w:eastAsia="en-AU"/>
          <w14:ligatures w14:val="none"/>
        </w:rPr>
        <w:t xml:space="preserve"> </w:t>
      </w:r>
      <w:r w:rsidRPr="00880707">
        <w:rPr>
          <w:rFonts w:eastAsia="Times New Roman"/>
          <w:kern w:val="0"/>
          <w:sz w:val="22"/>
          <w:szCs w:val="22"/>
          <w:lang w:eastAsia="en-AU"/>
          <w14:ligatures w14:val="none"/>
        </w:rPr>
        <w:t xml:space="preserve">lists the </w:t>
      </w:r>
      <w:r w:rsidR="00DA305C" w:rsidRPr="00880707">
        <w:rPr>
          <w:rFonts w:eastAsia="Times New Roman"/>
          <w:kern w:val="0"/>
          <w:sz w:val="22"/>
          <w:szCs w:val="22"/>
          <w:lang w:eastAsia="en-AU"/>
          <w14:ligatures w14:val="none"/>
        </w:rPr>
        <w:t>pharmaceutical benefit</w:t>
      </w:r>
      <w:r w:rsidR="00CC0882" w:rsidRPr="00880707">
        <w:rPr>
          <w:rFonts w:eastAsia="Times New Roman"/>
          <w:kern w:val="0"/>
          <w:sz w:val="22"/>
          <w:szCs w:val="22"/>
          <w:lang w:eastAsia="en-AU"/>
          <w14:ligatures w14:val="none"/>
        </w:rPr>
        <w:t>s</w:t>
      </w:r>
      <w:r w:rsidR="006562AA" w:rsidRPr="00880707">
        <w:rPr>
          <w:rFonts w:eastAsia="Times New Roman"/>
          <w:kern w:val="0"/>
          <w:sz w:val="22"/>
          <w:szCs w:val="22"/>
          <w:lang w:eastAsia="en-AU"/>
          <w14:ligatures w14:val="none"/>
        </w:rPr>
        <w:t xml:space="preserve"> that may be supplied</w:t>
      </w:r>
      <w:r w:rsidRPr="00880707">
        <w:rPr>
          <w:rFonts w:eastAsia="Times New Roman"/>
          <w:kern w:val="0"/>
          <w:sz w:val="22"/>
          <w:szCs w:val="22"/>
          <w:lang w:eastAsia="en-AU"/>
          <w14:ligatures w14:val="none"/>
        </w:rPr>
        <w:t xml:space="preserve"> by an approved pharmacist under Part VII of the Act</w:t>
      </w:r>
      <w:r w:rsidRPr="00880707">
        <w:rPr>
          <w:rFonts w:eastAsia="Times New Roman"/>
          <w:i/>
          <w:kern w:val="0"/>
          <w:sz w:val="22"/>
          <w:szCs w:val="22"/>
          <w:lang w:eastAsia="en-AU"/>
          <w14:ligatures w14:val="none"/>
        </w:rPr>
        <w:t xml:space="preserve"> </w:t>
      </w:r>
      <w:r w:rsidRPr="00880707">
        <w:rPr>
          <w:rFonts w:eastAsia="Times New Roman"/>
          <w:kern w:val="0"/>
          <w:sz w:val="22"/>
          <w:szCs w:val="22"/>
          <w:lang w:eastAsia="en-AU"/>
          <w14:ligatures w14:val="none"/>
        </w:rPr>
        <w:t xml:space="preserve">without a </w:t>
      </w:r>
      <w:proofErr w:type="gramStart"/>
      <w:r w:rsidRPr="00880707">
        <w:rPr>
          <w:rFonts w:eastAsia="Times New Roman"/>
          <w:kern w:val="0"/>
          <w:sz w:val="22"/>
          <w:szCs w:val="22"/>
          <w:lang w:eastAsia="en-AU"/>
          <w14:ligatures w14:val="none"/>
        </w:rPr>
        <w:t>prescription, and</w:t>
      </w:r>
      <w:proofErr w:type="gramEnd"/>
      <w:r w:rsidRPr="00880707">
        <w:rPr>
          <w:rFonts w:eastAsia="Times New Roman"/>
          <w:kern w:val="0"/>
          <w:sz w:val="22"/>
          <w:szCs w:val="22"/>
          <w:lang w:eastAsia="en-AU"/>
          <w14:ligatures w14:val="none"/>
        </w:rPr>
        <w:t xml:space="preserve"> provides the conditions for such a supply (a ‘Continued Dispensing’ supply).</w:t>
      </w:r>
    </w:p>
    <w:p w14:paraId="093BEC51" w14:textId="0AF91C85" w:rsidR="00EF0E0E" w:rsidRPr="00880707" w:rsidRDefault="00EF0E0E" w:rsidP="008C316C">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The amendments made by this instrument </w:t>
      </w:r>
      <w:r w:rsidR="00DF77A6" w:rsidRPr="00880707">
        <w:rPr>
          <w:rFonts w:eastAsia="Times New Roman"/>
          <w:kern w:val="0"/>
          <w:sz w:val="22"/>
          <w:szCs w:val="22"/>
          <w:lang w:eastAsia="en-AU"/>
          <w14:ligatures w14:val="none"/>
        </w:rPr>
        <w:t xml:space="preserve">also </w:t>
      </w:r>
      <w:r w:rsidRPr="00880707">
        <w:rPr>
          <w:rFonts w:eastAsia="Times New Roman"/>
          <w:kern w:val="0"/>
          <w:sz w:val="22"/>
          <w:szCs w:val="22"/>
          <w:lang w:eastAsia="en-AU"/>
          <w14:ligatures w14:val="none"/>
        </w:rPr>
        <w:t xml:space="preserve">reflect amendments to the </w:t>
      </w:r>
      <w:r w:rsidRPr="00880707">
        <w:rPr>
          <w:rFonts w:eastAsia="Times New Roman"/>
          <w:i/>
          <w:kern w:val="0"/>
          <w:sz w:val="22"/>
          <w:szCs w:val="22"/>
          <w:lang w:eastAsia="en-AU"/>
          <w14:ligatures w14:val="none"/>
        </w:rPr>
        <w:t>National Health (Listing of Pharmaceutical Benefits) Instrument 2024</w:t>
      </w:r>
      <w:r w:rsidRPr="00880707">
        <w:rPr>
          <w:rFonts w:eastAsia="Times New Roman"/>
          <w:kern w:val="0"/>
          <w:sz w:val="22"/>
          <w:szCs w:val="22"/>
          <w:lang w:eastAsia="en-AU"/>
          <w14:ligatures w14:val="none"/>
        </w:rPr>
        <w:t xml:space="preserve"> (PB 26 of 2024)</w:t>
      </w:r>
      <w:r w:rsidR="00870D25" w:rsidRPr="00880707">
        <w:rPr>
          <w:rFonts w:eastAsia="Times New Roman"/>
          <w:kern w:val="0"/>
          <w:sz w:val="22"/>
          <w:szCs w:val="22"/>
          <w:lang w:eastAsia="en-AU"/>
          <w14:ligatures w14:val="none"/>
        </w:rPr>
        <w:t xml:space="preserve"> (Listing Instrument)</w:t>
      </w:r>
      <w:r w:rsidRPr="00880707">
        <w:rPr>
          <w:rFonts w:eastAsia="Times New Roman"/>
          <w:kern w:val="0"/>
          <w:sz w:val="22"/>
          <w:szCs w:val="22"/>
          <w:lang w:eastAsia="en-AU"/>
          <w14:ligatures w14:val="none"/>
        </w:rPr>
        <w:t xml:space="preserve">. </w:t>
      </w:r>
      <w:r w:rsidR="00870D25" w:rsidRPr="00880707">
        <w:rPr>
          <w:rFonts w:eastAsia="Times New Roman"/>
          <w:kern w:val="0"/>
          <w:sz w:val="22"/>
          <w:szCs w:val="22"/>
          <w:lang w:eastAsia="en-AU"/>
          <w14:ligatures w14:val="none"/>
        </w:rPr>
        <w:t>The Listing Instrument</w:t>
      </w:r>
      <w:r w:rsidRPr="00880707">
        <w:rPr>
          <w:rFonts w:eastAsia="Times New Roman"/>
          <w:kern w:val="0"/>
          <w:sz w:val="22"/>
          <w:szCs w:val="22"/>
          <w:lang w:eastAsia="en-AU"/>
          <w14:ligatures w14:val="none"/>
        </w:rPr>
        <w:t xml:space="preserve"> is made under sections 84AF, 84AK, 85, 85A, 88 and 101 of the Act.</w:t>
      </w:r>
    </w:p>
    <w:p w14:paraId="5AE58FD4" w14:textId="77777777" w:rsidR="00EF0E0E" w:rsidRPr="00880707" w:rsidRDefault="00EF0E0E" w:rsidP="008C316C">
      <w:pPr>
        <w:spacing w:before="120" w:after="0" w:line="240" w:lineRule="auto"/>
        <w:rPr>
          <w:rFonts w:eastAsia="Times New Roman"/>
          <w:color w:val="000000"/>
          <w:kern w:val="0"/>
          <w:sz w:val="22"/>
          <w:szCs w:val="22"/>
          <w:lang w:eastAsia="en-AU"/>
          <w14:ligatures w14:val="none"/>
        </w:rPr>
      </w:pPr>
      <w:r w:rsidRPr="00880707">
        <w:rPr>
          <w:rFonts w:eastAsia="Times New Roman"/>
          <w:b/>
          <w:kern w:val="0"/>
          <w:sz w:val="22"/>
          <w:szCs w:val="22"/>
          <w:lang w:eastAsia="en-AU"/>
          <w14:ligatures w14:val="none"/>
        </w:rPr>
        <w:t>Authority</w:t>
      </w:r>
    </w:p>
    <w:p w14:paraId="33CB9EE5" w14:textId="43213F9C" w:rsidR="00EF0E0E" w:rsidRPr="00880707" w:rsidRDefault="00EF0E0E" w:rsidP="008C316C">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Subsection 89</w:t>
      </w:r>
      <w:proofErr w:type="gramStart"/>
      <w:r w:rsidRPr="00880707">
        <w:rPr>
          <w:rFonts w:eastAsia="Times New Roman"/>
          <w:kern w:val="0"/>
          <w:sz w:val="22"/>
          <w:szCs w:val="22"/>
          <w:lang w:eastAsia="en-AU"/>
          <w14:ligatures w14:val="none"/>
        </w:rPr>
        <w:t>A(</w:t>
      </w:r>
      <w:proofErr w:type="gramEnd"/>
      <w:r w:rsidRPr="00880707">
        <w:rPr>
          <w:rFonts w:eastAsia="Times New Roman"/>
          <w:kern w:val="0"/>
          <w:sz w:val="22"/>
          <w:szCs w:val="22"/>
          <w:lang w:eastAsia="en-AU"/>
          <w14:ligatures w14:val="none"/>
        </w:rPr>
        <w:t xml:space="preserve">3) of the </w:t>
      </w:r>
      <w:r w:rsidR="009B06E7" w:rsidRPr="00880707">
        <w:rPr>
          <w:rFonts w:eastAsia="Times New Roman"/>
          <w:kern w:val="0"/>
          <w:sz w:val="22"/>
          <w:szCs w:val="22"/>
          <w:lang w:eastAsia="en-AU"/>
          <w14:ligatures w14:val="none"/>
        </w:rPr>
        <w:t>Act</w:t>
      </w:r>
      <w:r w:rsidRPr="00880707">
        <w:rPr>
          <w:rFonts w:eastAsia="Times New Roman"/>
          <w:kern w:val="0"/>
          <w:sz w:val="22"/>
          <w:szCs w:val="22"/>
          <w:lang w:eastAsia="en-AU"/>
          <w14:ligatures w14:val="none"/>
        </w:rPr>
        <w:t xml:space="preserve"> provides that the Minister may determine the pharmaceutical benefits that can be supplied by an approved pharmacist under Part VII of the Act without a prescription, and the conditions for such a supply (‘Continued Dispensing’). </w:t>
      </w:r>
    </w:p>
    <w:p w14:paraId="259B79BB" w14:textId="68DD128F" w:rsidR="00EF0E0E" w:rsidRPr="00880707" w:rsidRDefault="00EF0E0E" w:rsidP="008C316C">
      <w:pPr>
        <w:spacing w:before="120" w:after="0" w:line="240" w:lineRule="auto"/>
        <w:jc w:val="both"/>
        <w:rPr>
          <w:rFonts w:eastAsia="Times New Roman"/>
          <w:color w:val="000000"/>
          <w:kern w:val="0"/>
          <w:sz w:val="22"/>
          <w:szCs w:val="22"/>
          <w:lang w:eastAsia="en-AU"/>
          <w14:ligatures w14:val="none"/>
        </w:rPr>
      </w:pPr>
      <w:r w:rsidRPr="00880707">
        <w:rPr>
          <w:rFonts w:eastAsia="Times New Roman"/>
          <w:color w:val="000000"/>
          <w:kern w:val="0"/>
          <w:sz w:val="22"/>
          <w:szCs w:val="22"/>
          <w:lang w:eastAsia="en-AU"/>
          <w14:ligatures w14:val="none"/>
        </w:rPr>
        <w:t>This instrument</w:t>
      </w:r>
      <w:r w:rsidR="00483D54" w:rsidRPr="00880707">
        <w:rPr>
          <w:rFonts w:eastAsia="Times New Roman"/>
          <w:color w:val="000000"/>
          <w:kern w:val="0"/>
          <w:sz w:val="22"/>
          <w:szCs w:val="22"/>
          <w:lang w:eastAsia="en-AU"/>
          <w14:ligatures w14:val="none"/>
        </w:rPr>
        <w:t xml:space="preserve"> </w:t>
      </w:r>
      <w:r w:rsidRPr="00880707">
        <w:rPr>
          <w:rFonts w:eastAsia="Times New Roman"/>
          <w:color w:val="000000"/>
          <w:kern w:val="0"/>
          <w:sz w:val="22"/>
          <w:szCs w:val="22"/>
          <w:lang w:eastAsia="en-AU"/>
          <w14:ligatures w14:val="none"/>
        </w:rPr>
        <w:t>does not override state and territory legislation and does not apply in the external territories.</w:t>
      </w:r>
      <w:r w:rsidRPr="00880707">
        <w:rPr>
          <w:rFonts w:eastAsia="Times New Roman"/>
          <w:color w:val="000000"/>
          <w:kern w:val="0"/>
          <w:sz w:val="22"/>
          <w:szCs w:val="22"/>
          <w:lang w:val="en-US" w:eastAsia="en-AU"/>
          <w14:ligatures w14:val="none"/>
        </w:rPr>
        <w:t xml:space="preserve"> </w:t>
      </w:r>
    </w:p>
    <w:p w14:paraId="5899B9CC" w14:textId="4DEF59BF" w:rsidR="00EF0E0E" w:rsidRPr="00880707" w:rsidRDefault="00EF0E0E" w:rsidP="008C316C">
      <w:pPr>
        <w:spacing w:before="120" w:after="0" w:line="240" w:lineRule="auto"/>
        <w:rPr>
          <w:rFonts w:eastAsia="Times New Roman"/>
          <w:b/>
          <w:kern w:val="0"/>
          <w:sz w:val="22"/>
          <w:szCs w:val="22"/>
          <w:lang w:eastAsia="en-AU"/>
          <w14:ligatures w14:val="none"/>
        </w:rPr>
      </w:pPr>
      <w:bookmarkStart w:id="0" w:name="_Hlk79737915"/>
      <w:r w:rsidRPr="00880707">
        <w:rPr>
          <w:rFonts w:eastAsia="Times New Roman"/>
          <w:b/>
          <w:kern w:val="0"/>
          <w:sz w:val="22"/>
          <w:szCs w:val="22"/>
          <w:lang w:eastAsia="en-AU"/>
          <w14:ligatures w14:val="none"/>
        </w:rPr>
        <w:t>Amendments made by this Instrument</w:t>
      </w:r>
      <w:r w:rsidR="00483D54" w:rsidRPr="00880707">
        <w:rPr>
          <w:rFonts w:eastAsia="Times New Roman"/>
          <w:b/>
          <w:kern w:val="0"/>
          <w:sz w:val="22"/>
          <w:szCs w:val="22"/>
          <w:lang w:eastAsia="en-AU"/>
          <w14:ligatures w14:val="none"/>
        </w:rPr>
        <w:t xml:space="preserve"> </w:t>
      </w:r>
    </w:p>
    <w:bookmarkEnd w:id="0"/>
    <w:p w14:paraId="4430AE6E" w14:textId="26B38D27" w:rsidR="008E49CA" w:rsidRPr="00880707" w:rsidRDefault="00155060" w:rsidP="00FA6908">
      <w:pPr>
        <w:pStyle w:val="NormalWeb"/>
        <w:spacing w:before="120" w:beforeAutospacing="0" w:after="0" w:afterAutospacing="0"/>
        <w:jc w:val="both"/>
        <w:rPr>
          <w:sz w:val="22"/>
          <w:szCs w:val="22"/>
        </w:rPr>
      </w:pPr>
      <w:r w:rsidRPr="00880707">
        <w:rPr>
          <w:sz w:val="22"/>
          <w:szCs w:val="22"/>
        </w:rPr>
        <w:t>This i</w:t>
      </w:r>
      <w:r w:rsidR="005471C3" w:rsidRPr="00880707">
        <w:rPr>
          <w:sz w:val="22"/>
          <w:szCs w:val="22"/>
        </w:rPr>
        <w:t xml:space="preserve">nstrument </w:t>
      </w:r>
      <w:r w:rsidRPr="00880707">
        <w:rPr>
          <w:sz w:val="22"/>
          <w:szCs w:val="22"/>
        </w:rPr>
        <w:t>provides for</w:t>
      </w:r>
      <w:r w:rsidR="005471C3" w:rsidRPr="00880707">
        <w:rPr>
          <w:sz w:val="22"/>
          <w:szCs w:val="22"/>
        </w:rPr>
        <w:t xml:space="preserve"> </w:t>
      </w:r>
      <w:r w:rsidR="00285AE9" w:rsidRPr="00880707">
        <w:rPr>
          <w:sz w:val="22"/>
          <w:szCs w:val="22"/>
        </w:rPr>
        <w:t>clari</w:t>
      </w:r>
      <w:r w:rsidR="00E27F12" w:rsidRPr="00880707">
        <w:rPr>
          <w:sz w:val="22"/>
          <w:szCs w:val="22"/>
        </w:rPr>
        <w:t xml:space="preserve">fication </w:t>
      </w:r>
      <w:r w:rsidR="0025182D" w:rsidRPr="00880707">
        <w:rPr>
          <w:sz w:val="22"/>
          <w:szCs w:val="22"/>
        </w:rPr>
        <w:t>to</w:t>
      </w:r>
      <w:r w:rsidR="00E27F12" w:rsidRPr="00880707">
        <w:rPr>
          <w:sz w:val="22"/>
          <w:szCs w:val="22"/>
        </w:rPr>
        <w:t xml:space="preserve"> the meaning of</w:t>
      </w:r>
      <w:r w:rsidR="00285AE9" w:rsidRPr="00880707">
        <w:rPr>
          <w:sz w:val="22"/>
          <w:szCs w:val="22"/>
        </w:rPr>
        <w:t xml:space="preserve"> terms</w:t>
      </w:r>
      <w:r w:rsidRPr="00880707">
        <w:rPr>
          <w:sz w:val="22"/>
          <w:szCs w:val="22"/>
        </w:rPr>
        <w:t>, technical amendments to the definition of</w:t>
      </w:r>
      <w:r w:rsidR="00835940" w:rsidRPr="00880707">
        <w:rPr>
          <w:sz w:val="22"/>
          <w:szCs w:val="22"/>
        </w:rPr>
        <w:t xml:space="preserve"> </w:t>
      </w:r>
      <w:r w:rsidRPr="00880707">
        <w:rPr>
          <w:sz w:val="22"/>
          <w:szCs w:val="22"/>
        </w:rPr>
        <w:t>pharmaceutical benefit</w:t>
      </w:r>
      <w:r w:rsidR="008C6E1F" w:rsidRPr="00880707">
        <w:rPr>
          <w:sz w:val="22"/>
          <w:szCs w:val="22"/>
        </w:rPr>
        <w:t>s</w:t>
      </w:r>
      <w:r w:rsidR="000610BD" w:rsidRPr="00880707">
        <w:rPr>
          <w:sz w:val="22"/>
          <w:szCs w:val="22"/>
        </w:rPr>
        <w:t xml:space="preserve"> covered by the Principal </w:t>
      </w:r>
      <w:r w:rsidR="007357A5" w:rsidRPr="00880707">
        <w:rPr>
          <w:sz w:val="22"/>
          <w:szCs w:val="22"/>
        </w:rPr>
        <w:t>Instrument</w:t>
      </w:r>
      <w:r w:rsidR="00875E79" w:rsidRPr="00880707">
        <w:rPr>
          <w:sz w:val="22"/>
          <w:szCs w:val="22"/>
        </w:rPr>
        <w:t>, updates to references and headings,</w:t>
      </w:r>
      <w:r w:rsidRPr="00880707">
        <w:rPr>
          <w:sz w:val="22"/>
          <w:szCs w:val="22"/>
        </w:rPr>
        <w:t xml:space="preserve"> and the repeal of</w:t>
      </w:r>
      <w:r w:rsidR="00C213A0" w:rsidRPr="00880707">
        <w:rPr>
          <w:sz w:val="22"/>
          <w:szCs w:val="22"/>
        </w:rPr>
        <w:t xml:space="preserve"> a</w:t>
      </w:r>
      <w:r w:rsidRPr="00880707">
        <w:rPr>
          <w:sz w:val="22"/>
          <w:szCs w:val="22"/>
        </w:rPr>
        <w:t xml:space="preserve"> redundant </w:t>
      </w:r>
      <w:r w:rsidR="00E27F12" w:rsidRPr="00880707">
        <w:rPr>
          <w:sz w:val="22"/>
          <w:szCs w:val="22"/>
        </w:rPr>
        <w:t>section</w:t>
      </w:r>
      <w:r w:rsidRPr="00880707">
        <w:rPr>
          <w:sz w:val="22"/>
          <w:szCs w:val="22"/>
        </w:rPr>
        <w:t>.</w:t>
      </w:r>
      <w:r w:rsidR="00FD7E8E" w:rsidRPr="00880707">
        <w:rPr>
          <w:sz w:val="22"/>
          <w:szCs w:val="22"/>
        </w:rPr>
        <w:t xml:space="preserve"> </w:t>
      </w:r>
      <w:r w:rsidR="008E49CA" w:rsidRPr="00880707">
        <w:rPr>
          <w:color w:val="000000"/>
          <w:sz w:val="22"/>
          <w:szCs w:val="22"/>
        </w:rPr>
        <w:t xml:space="preserve">It also provides for the addition of the drug dapagliflozin </w:t>
      </w:r>
      <w:r w:rsidR="00560F80" w:rsidRPr="00880707">
        <w:rPr>
          <w:color w:val="000000"/>
          <w:sz w:val="22"/>
          <w:szCs w:val="22"/>
        </w:rPr>
        <w:t xml:space="preserve">with sitagliptin to the table of listed drugs in Schedule 1 of the Principal </w:t>
      </w:r>
      <w:r w:rsidR="007357A5" w:rsidRPr="00880707">
        <w:rPr>
          <w:color w:val="000000"/>
          <w:sz w:val="22"/>
          <w:szCs w:val="22"/>
        </w:rPr>
        <w:t>Instrument</w:t>
      </w:r>
      <w:r w:rsidR="00560F80" w:rsidRPr="00880707">
        <w:rPr>
          <w:color w:val="000000"/>
          <w:sz w:val="22"/>
          <w:szCs w:val="22"/>
        </w:rPr>
        <w:t xml:space="preserve">. </w:t>
      </w:r>
      <w:r w:rsidR="00964FFE" w:rsidRPr="00880707">
        <w:rPr>
          <w:color w:val="000000"/>
          <w:sz w:val="22"/>
          <w:szCs w:val="22"/>
        </w:rPr>
        <w:t xml:space="preserve">Pharmaceutical benefits having a drug </w:t>
      </w:r>
      <w:r w:rsidR="004C1970" w:rsidRPr="00880707">
        <w:rPr>
          <w:color w:val="000000"/>
          <w:sz w:val="22"/>
          <w:szCs w:val="22"/>
        </w:rPr>
        <w:t>listed in Section 1 of Schedule 1 may be supplied by an approved pharmacist under Continued Dispensing arrangements.</w:t>
      </w:r>
    </w:p>
    <w:p w14:paraId="0367E1B3" w14:textId="6BA24AAE" w:rsidR="00EF0E0E" w:rsidRPr="00880707" w:rsidRDefault="00EF0E0E" w:rsidP="008C316C">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These changes are summarised, by subject matter, in Attachment</w:t>
      </w:r>
      <w:r w:rsidR="009D461A" w:rsidRPr="00880707">
        <w:rPr>
          <w:rFonts w:eastAsia="Times New Roman"/>
          <w:kern w:val="0"/>
          <w:sz w:val="22"/>
          <w:szCs w:val="22"/>
          <w:lang w:eastAsia="en-AU"/>
          <w14:ligatures w14:val="none"/>
        </w:rPr>
        <w:t xml:space="preserve"> A</w:t>
      </w:r>
      <w:r w:rsidRPr="00880707">
        <w:rPr>
          <w:rFonts w:eastAsia="Times New Roman"/>
          <w:kern w:val="0"/>
          <w:sz w:val="22"/>
          <w:szCs w:val="22"/>
          <w:lang w:eastAsia="en-AU"/>
          <w14:ligatures w14:val="none"/>
        </w:rPr>
        <w:t>.</w:t>
      </w:r>
    </w:p>
    <w:p w14:paraId="434A4A79" w14:textId="77777777" w:rsidR="00EF0E0E" w:rsidRPr="00880707" w:rsidRDefault="00EF0E0E" w:rsidP="008C316C">
      <w:pPr>
        <w:spacing w:before="120" w:after="0" w:line="240" w:lineRule="auto"/>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Consultation</w:t>
      </w:r>
    </w:p>
    <w:p w14:paraId="64764BED" w14:textId="682E961D" w:rsidR="00D43975" w:rsidRPr="00880707" w:rsidRDefault="00D43975" w:rsidP="00D43975">
      <w:pPr>
        <w:spacing w:before="120"/>
        <w:jc w:val="both"/>
        <w:rPr>
          <w:sz w:val="22"/>
          <w:szCs w:val="22"/>
          <w:lang w:val="en-US"/>
        </w:rPr>
      </w:pPr>
      <w:bookmarkStart w:id="1" w:name="_Hlk79737994"/>
      <w:r w:rsidRPr="00880707">
        <w:rPr>
          <w:sz w:val="22"/>
          <w:szCs w:val="22"/>
          <w:lang w:val="en-US"/>
        </w:rPr>
        <w:t>This instrument</w:t>
      </w:r>
      <w:r w:rsidR="009C1CED" w:rsidRPr="00880707">
        <w:rPr>
          <w:sz w:val="22"/>
          <w:szCs w:val="22"/>
          <w:lang w:val="en-US"/>
        </w:rPr>
        <w:t xml:space="preserve"> </w:t>
      </w:r>
      <w:r w:rsidRPr="00880707">
        <w:rPr>
          <w:sz w:val="22"/>
          <w:szCs w:val="22"/>
          <w:lang w:val="en-US"/>
        </w:rPr>
        <w:t xml:space="preserve">affects approved pharmacists </w:t>
      </w:r>
      <w:r w:rsidR="00FE36A5" w:rsidRPr="00880707">
        <w:rPr>
          <w:sz w:val="22"/>
          <w:szCs w:val="22"/>
          <w:lang w:val="en-US"/>
        </w:rPr>
        <w:t xml:space="preserve">supplying a pharmaceutical benefit </w:t>
      </w:r>
      <w:r w:rsidRPr="00880707">
        <w:rPr>
          <w:sz w:val="22"/>
          <w:szCs w:val="22"/>
          <w:lang w:val="en-US"/>
        </w:rPr>
        <w:t xml:space="preserve">at or from premises in respect of which the pharmacist is for the time being approved. Prior to </w:t>
      </w:r>
      <w:r w:rsidR="00855478" w:rsidRPr="00880707">
        <w:rPr>
          <w:sz w:val="22"/>
          <w:szCs w:val="22"/>
          <w:lang w:val="en-US"/>
        </w:rPr>
        <w:t xml:space="preserve">the </w:t>
      </w:r>
      <w:r w:rsidRPr="00880707">
        <w:rPr>
          <w:sz w:val="22"/>
          <w:szCs w:val="22"/>
          <w:lang w:val="en-US"/>
        </w:rPr>
        <w:t xml:space="preserve">commencement of the Principal </w:t>
      </w:r>
      <w:r w:rsidR="00F22FD0" w:rsidRPr="00880707">
        <w:rPr>
          <w:sz w:val="22"/>
          <w:szCs w:val="22"/>
          <w:lang w:val="en-US"/>
        </w:rPr>
        <w:t>Instrument</w:t>
      </w:r>
      <w:r w:rsidRPr="00880707">
        <w:rPr>
          <w:sz w:val="22"/>
          <w:szCs w:val="22"/>
          <w:lang w:val="en-US"/>
        </w:rPr>
        <w:t xml:space="preserve">, consultation was undertaken with relevant peak bodies including the </w:t>
      </w:r>
      <w:r w:rsidRPr="00880707">
        <w:rPr>
          <w:color w:val="000000"/>
          <w:sz w:val="22"/>
          <w:szCs w:val="22"/>
        </w:rPr>
        <w:t>Pharmaceutical Society of Australia, Australian Medical Association, Royal Australian College of General Practitioners, Consumers Health Forum, the Australian Federation of AIDS Organisations, and the Pharmacy Guild of Australia.</w:t>
      </w:r>
      <w:r w:rsidRPr="00880707">
        <w:rPr>
          <w:sz w:val="22"/>
          <w:szCs w:val="22"/>
          <w:lang w:val="en-US"/>
        </w:rPr>
        <w:t xml:space="preserve"> The Department</w:t>
      </w:r>
      <w:r w:rsidR="0009696E" w:rsidRPr="00880707">
        <w:rPr>
          <w:sz w:val="22"/>
          <w:szCs w:val="22"/>
          <w:lang w:val="en-US"/>
        </w:rPr>
        <w:t xml:space="preserve"> of Health and Aged Care (the Department)</w:t>
      </w:r>
      <w:r w:rsidRPr="00880707">
        <w:rPr>
          <w:sz w:val="22"/>
          <w:szCs w:val="22"/>
          <w:lang w:val="en-US"/>
        </w:rPr>
        <w:t xml:space="preserve"> also undert</w:t>
      </w:r>
      <w:r w:rsidR="002D47C1" w:rsidRPr="00880707">
        <w:rPr>
          <w:sz w:val="22"/>
          <w:szCs w:val="22"/>
          <w:lang w:val="en-US"/>
        </w:rPr>
        <w:t>ook</w:t>
      </w:r>
      <w:r w:rsidRPr="00880707">
        <w:rPr>
          <w:sz w:val="22"/>
          <w:szCs w:val="22"/>
          <w:lang w:val="en-US"/>
        </w:rPr>
        <w:t xml:space="preserve"> direct consultation with Services </w:t>
      </w:r>
      <w:proofErr w:type="gramStart"/>
      <w:r w:rsidRPr="00880707">
        <w:rPr>
          <w:sz w:val="22"/>
          <w:szCs w:val="22"/>
          <w:lang w:val="en-US"/>
        </w:rPr>
        <w:t>Australia,</w:t>
      </w:r>
      <w:r w:rsidR="00FC2A24" w:rsidRPr="00880707">
        <w:rPr>
          <w:sz w:val="22"/>
          <w:szCs w:val="22"/>
          <w:lang w:val="en-US"/>
        </w:rPr>
        <w:t xml:space="preserve"> </w:t>
      </w:r>
      <w:r w:rsidRPr="00880707">
        <w:rPr>
          <w:sz w:val="22"/>
          <w:szCs w:val="22"/>
          <w:lang w:val="en-US"/>
        </w:rPr>
        <w:t>and</w:t>
      </w:r>
      <w:proofErr w:type="gramEnd"/>
      <w:r w:rsidRPr="00880707">
        <w:rPr>
          <w:sz w:val="22"/>
          <w:szCs w:val="22"/>
          <w:lang w:val="en-US"/>
        </w:rPr>
        <w:t xml:space="preserve"> consulted with state and territory Departments of Health about implementation</w:t>
      </w:r>
      <w:r w:rsidR="00166E16" w:rsidRPr="00880707">
        <w:rPr>
          <w:sz w:val="22"/>
          <w:szCs w:val="22"/>
          <w:lang w:val="en-US"/>
        </w:rPr>
        <w:t xml:space="preserve"> for the Principal Instrument</w:t>
      </w:r>
      <w:r w:rsidRPr="00880707">
        <w:rPr>
          <w:sz w:val="22"/>
          <w:szCs w:val="22"/>
          <w:lang w:val="en-US"/>
        </w:rPr>
        <w:t>.</w:t>
      </w:r>
    </w:p>
    <w:p w14:paraId="294BB1C5" w14:textId="7F522E02" w:rsidR="00D43975" w:rsidRPr="00880707" w:rsidRDefault="00D43975" w:rsidP="00D43975">
      <w:pPr>
        <w:spacing w:before="120"/>
        <w:jc w:val="both"/>
        <w:rPr>
          <w:sz w:val="22"/>
          <w:szCs w:val="22"/>
          <w:lang w:val="en-US"/>
        </w:rPr>
      </w:pPr>
      <w:r w:rsidRPr="00880707">
        <w:rPr>
          <w:sz w:val="22"/>
          <w:szCs w:val="22"/>
        </w:rPr>
        <w:t>It was considered that further consultation for this instrument</w:t>
      </w:r>
      <w:r w:rsidR="009C1CED" w:rsidRPr="00880707">
        <w:rPr>
          <w:sz w:val="22"/>
          <w:szCs w:val="22"/>
        </w:rPr>
        <w:t xml:space="preserve"> </w:t>
      </w:r>
      <w:r w:rsidRPr="00880707">
        <w:rPr>
          <w:sz w:val="22"/>
          <w:szCs w:val="22"/>
        </w:rPr>
        <w:t>was unnecessary due to the nature of the consultation that had already taken place.</w:t>
      </w:r>
    </w:p>
    <w:p w14:paraId="77B1CDA9" w14:textId="77777777" w:rsidR="007C0C45" w:rsidRPr="00880707" w:rsidRDefault="007C0C45">
      <w:pPr>
        <w:rPr>
          <w:rFonts w:eastAsia="Times New Roman"/>
          <w:b/>
          <w:kern w:val="0"/>
          <w:sz w:val="22"/>
          <w:szCs w:val="22"/>
          <w:lang w:eastAsia="en-AU"/>
          <w14:ligatures w14:val="none"/>
        </w:rPr>
      </w:pPr>
      <w:r w:rsidRPr="00880707">
        <w:rPr>
          <w:rFonts w:eastAsia="Times New Roman"/>
          <w:b/>
          <w:kern w:val="0"/>
          <w:sz w:val="22"/>
          <w:szCs w:val="22"/>
          <w:lang w:eastAsia="en-AU"/>
          <w14:ligatures w14:val="none"/>
        </w:rPr>
        <w:br w:type="page"/>
      </w:r>
    </w:p>
    <w:p w14:paraId="0D6977FB" w14:textId="1E63DA13" w:rsidR="00EF0E0E" w:rsidRPr="00880707" w:rsidRDefault="00EF0E0E" w:rsidP="00D822A5">
      <w:pPr>
        <w:widowControl w:val="0"/>
        <w:spacing w:before="120" w:after="0" w:line="240" w:lineRule="auto"/>
        <w:rPr>
          <w:rFonts w:eastAsia="Times New Roman"/>
          <w:b/>
          <w:kern w:val="0"/>
          <w:sz w:val="22"/>
          <w:szCs w:val="22"/>
          <w:lang w:eastAsia="en-AU"/>
          <w14:ligatures w14:val="none"/>
        </w:rPr>
      </w:pPr>
      <w:r w:rsidRPr="00880707">
        <w:rPr>
          <w:rFonts w:eastAsia="Times New Roman"/>
          <w:b/>
          <w:kern w:val="0"/>
          <w:sz w:val="22"/>
          <w:szCs w:val="22"/>
          <w:lang w:eastAsia="en-AU"/>
          <w14:ligatures w14:val="none"/>
        </w:rPr>
        <w:lastRenderedPageBreak/>
        <w:t>General</w:t>
      </w:r>
    </w:p>
    <w:p w14:paraId="222C8F68" w14:textId="130234C0" w:rsidR="00EF0E0E" w:rsidRPr="00880707" w:rsidRDefault="00EF0E0E" w:rsidP="008C316C">
      <w:pPr>
        <w:spacing w:before="120" w:after="0" w:line="240" w:lineRule="auto"/>
        <w:rPr>
          <w:rFonts w:eastAsia="Times New Roman"/>
          <w:kern w:val="0"/>
          <w:sz w:val="22"/>
          <w:szCs w:val="22"/>
          <w:lang w:eastAsia="en-AU"/>
          <w14:ligatures w14:val="none"/>
        </w:rPr>
      </w:pPr>
      <w:bookmarkStart w:id="2" w:name="_Hlk79737982"/>
      <w:bookmarkEnd w:id="1"/>
      <w:r w:rsidRPr="00880707">
        <w:rPr>
          <w:rFonts w:eastAsia="Times New Roman"/>
          <w:kern w:val="0"/>
          <w:sz w:val="22"/>
          <w:szCs w:val="22"/>
          <w:lang w:eastAsia="en-AU"/>
          <w14:ligatures w14:val="none"/>
        </w:rPr>
        <w:t>A provision-by-provision description of this instrument</w:t>
      </w:r>
      <w:r w:rsidR="00BB2B71" w:rsidRPr="00880707">
        <w:rPr>
          <w:rFonts w:eastAsia="Times New Roman"/>
          <w:kern w:val="0"/>
          <w:sz w:val="22"/>
          <w:szCs w:val="22"/>
          <w:lang w:eastAsia="en-AU"/>
          <w14:ligatures w14:val="none"/>
        </w:rPr>
        <w:t xml:space="preserve"> </w:t>
      </w:r>
      <w:r w:rsidRPr="00880707">
        <w:rPr>
          <w:rFonts w:eastAsia="Times New Roman"/>
          <w:kern w:val="0"/>
          <w:sz w:val="22"/>
          <w:szCs w:val="22"/>
          <w:lang w:eastAsia="en-AU"/>
          <w14:ligatures w14:val="none"/>
        </w:rPr>
        <w:t>is contained in Attachment</w:t>
      </w:r>
      <w:r w:rsidR="009E1E55" w:rsidRPr="00880707">
        <w:rPr>
          <w:rFonts w:eastAsia="Times New Roman"/>
          <w:kern w:val="0"/>
          <w:sz w:val="22"/>
          <w:szCs w:val="22"/>
          <w:lang w:eastAsia="en-AU"/>
          <w14:ligatures w14:val="none"/>
        </w:rPr>
        <w:t xml:space="preserve"> A</w:t>
      </w:r>
      <w:r w:rsidRPr="00880707">
        <w:rPr>
          <w:rFonts w:eastAsia="Times New Roman"/>
          <w:kern w:val="0"/>
          <w:sz w:val="22"/>
          <w:szCs w:val="22"/>
          <w:lang w:eastAsia="en-AU"/>
          <w14:ligatures w14:val="none"/>
        </w:rPr>
        <w:t>.</w:t>
      </w:r>
    </w:p>
    <w:p w14:paraId="22865D9A" w14:textId="18DC796D" w:rsidR="00EF0E0E" w:rsidRPr="00880707" w:rsidRDefault="00EF0E0E" w:rsidP="008C316C">
      <w:pPr>
        <w:spacing w:before="120" w:after="0" w:line="240" w:lineRule="auto"/>
        <w:rPr>
          <w:rFonts w:eastAsia="Times New Roman"/>
          <w:kern w:val="0"/>
          <w:sz w:val="22"/>
          <w:szCs w:val="22"/>
          <w:lang w:eastAsia="en-AU"/>
          <w14:ligatures w14:val="none"/>
        </w:rPr>
      </w:pPr>
      <w:r w:rsidRPr="00880707">
        <w:rPr>
          <w:rFonts w:eastAsia="Times New Roman"/>
          <w:kern w:val="0"/>
          <w:sz w:val="22"/>
          <w:szCs w:val="22"/>
          <w:lang w:eastAsia="en-AU"/>
          <w14:ligatures w14:val="none"/>
        </w:rPr>
        <w:t>This instrument</w:t>
      </w:r>
      <w:r w:rsidR="00BB2B71" w:rsidRPr="00880707">
        <w:rPr>
          <w:rFonts w:eastAsia="Times New Roman"/>
          <w:kern w:val="0"/>
          <w:sz w:val="22"/>
          <w:szCs w:val="22"/>
          <w:lang w:eastAsia="en-AU"/>
          <w14:ligatures w14:val="none"/>
        </w:rPr>
        <w:t xml:space="preserve"> </w:t>
      </w:r>
      <w:r w:rsidRPr="00880707">
        <w:rPr>
          <w:rFonts w:eastAsia="Times New Roman"/>
          <w:kern w:val="0"/>
          <w:sz w:val="22"/>
          <w:szCs w:val="22"/>
          <w:lang w:eastAsia="en-AU"/>
          <w14:ligatures w14:val="none"/>
        </w:rPr>
        <w:t xml:space="preserve">commences on </w:t>
      </w:r>
      <w:r w:rsidR="00EC4462" w:rsidRPr="00880707">
        <w:rPr>
          <w:color w:val="000000"/>
          <w:sz w:val="22"/>
          <w:szCs w:val="22"/>
        </w:rPr>
        <w:t>1 November 2024</w:t>
      </w:r>
      <w:r w:rsidRPr="00880707">
        <w:rPr>
          <w:rFonts w:eastAsia="Times New Roman"/>
          <w:kern w:val="0"/>
          <w:sz w:val="22"/>
          <w:szCs w:val="22"/>
          <w:lang w:eastAsia="en-AU"/>
          <w14:ligatures w14:val="none"/>
        </w:rPr>
        <w:t>.</w:t>
      </w:r>
    </w:p>
    <w:bookmarkEnd w:id="2"/>
    <w:p w14:paraId="76DC7DDB" w14:textId="22CD465F" w:rsidR="00FC2A24" w:rsidRPr="00880707" w:rsidRDefault="00EF0E0E" w:rsidP="00E27F12">
      <w:pPr>
        <w:spacing w:before="120" w:after="0" w:line="240" w:lineRule="auto"/>
        <w:rPr>
          <w:rFonts w:eastAsia="Times New Roman"/>
          <w:kern w:val="0"/>
          <w:sz w:val="22"/>
          <w:szCs w:val="22"/>
          <w:lang w:val="en-US" w:eastAsia="en-AU"/>
          <w14:ligatures w14:val="none"/>
        </w:rPr>
      </w:pPr>
      <w:r w:rsidRPr="00880707">
        <w:rPr>
          <w:rFonts w:eastAsia="Times New Roman"/>
          <w:kern w:val="0"/>
          <w:sz w:val="22"/>
          <w:szCs w:val="22"/>
          <w:lang w:val="en-US" w:eastAsia="en-AU"/>
          <w14:ligatures w14:val="none"/>
        </w:rPr>
        <w:t>This instrument</w:t>
      </w:r>
      <w:r w:rsidR="00BB2B71" w:rsidRPr="00880707">
        <w:rPr>
          <w:rFonts w:eastAsia="Times New Roman"/>
          <w:kern w:val="0"/>
          <w:sz w:val="22"/>
          <w:szCs w:val="22"/>
          <w:lang w:val="en-US" w:eastAsia="en-AU"/>
          <w14:ligatures w14:val="none"/>
        </w:rPr>
        <w:t xml:space="preserve"> </w:t>
      </w:r>
      <w:r w:rsidRPr="00880707">
        <w:rPr>
          <w:rFonts w:eastAsia="Times New Roman"/>
          <w:kern w:val="0"/>
          <w:sz w:val="22"/>
          <w:szCs w:val="22"/>
          <w:lang w:val="en-US" w:eastAsia="en-AU"/>
          <w14:ligatures w14:val="none"/>
        </w:rPr>
        <w:t xml:space="preserve">is a legislative instrument for the purposes of the </w:t>
      </w:r>
      <w:r w:rsidRPr="00880707">
        <w:rPr>
          <w:rFonts w:eastAsia="Times New Roman"/>
          <w:i/>
          <w:kern w:val="0"/>
          <w:sz w:val="22"/>
          <w:szCs w:val="22"/>
          <w:lang w:val="en-US" w:eastAsia="en-AU"/>
          <w14:ligatures w14:val="none"/>
        </w:rPr>
        <w:t>Legislation Act 2003</w:t>
      </w:r>
      <w:r w:rsidRPr="00880707">
        <w:rPr>
          <w:rFonts w:eastAsia="Times New Roman"/>
          <w:kern w:val="0"/>
          <w:sz w:val="22"/>
          <w:szCs w:val="22"/>
          <w:lang w:val="en-US" w:eastAsia="en-AU"/>
          <w14:ligatures w14:val="none"/>
        </w:rPr>
        <w:t>.</w:t>
      </w:r>
    </w:p>
    <w:p w14:paraId="535CC2DE" w14:textId="77777777" w:rsidR="00FA6908" w:rsidRPr="00880707" w:rsidRDefault="00FA6908">
      <w:pPr>
        <w:rPr>
          <w:rFonts w:eastAsia="Times New Roman"/>
          <w:b/>
          <w:bCs/>
          <w:kern w:val="0"/>
          <w:u w:val="single"/>
          <w:lang w:eastAsia="en-AU"/>
          <w14:ligatures w14:val="none"/>
        </w:rPr>
      </w:pPr>
      <w:r w:rsidRPr="00880707">
        <w:rPr>
          <w:rFonts w:eastAsia="Times New Roman"/>
          <w:b/>
          <w:bCs/>
          <w:kern w:val="0"/>
          <w:u w:val="single"/>
          <w:lang w:eastAsia="en-AU"/>
          <w14:ligatures w14:val="none"/>
        </w:rPr>
        <w:br w:type="page"/>
      </w:r>
    </w:p>
    <w:p w14:paraId="702E3B02" w14:textId="1BEFA369" w:rsidR="00980BE0" w:rsidRPr="00880707" w:rsidRDefault="00980BE0" w:rsidP="002764B8">
      <w:pPr>
        <w:tabs>
          <w:tab w:val="left" w:pos="6521"/>
        </w:tabs>
        <w:spacing w:after="0" w:line="240" w:lineRule="auto"/>
        <w:ind w:right="91"/>
        <w:jc w:val="right"/>
        <w:rPr>
          <w:rFonts w:eastAsia="Times New Roman"/>
          <w:kern w:val="0"/>
          <w:u w:val="single"/>
          <w:lang w:eastAsia="en-AU"/>
          <w14:ligatures w14:val="none"/>
        </w:rPr>
      </w:pPr>
      <w:r w:rsidRPr="00880707">
        <w:rPr>
          <w:rFonts w:eastAsia="Times New Roman"/>
          <w:b/>
          <w:bCs/>
          <w:kern w:val="0"/>
          <w:u w:val="single"/>
          <w:lang w:eastAsia="en-AU"/>
          <w14:ligatures w14:val="none"/>
        </w:rPr>
        <w:lastRenderedPageBreak/>
        <w:t>ATTACHMENT A</w:t>
      </w:r>
    </w:p>
    <w:p w14:paraId="389AC080" w14:textId="77777777" w:rsidR="00980BE0" w:rsidRPr="00880707" w:rsidRDefault="00980BE0" w:rsidP="002764B8">
      <w:pPr>
        <w:spacing w:after="0" w:line="240" w:lineRule="auto"/>
        <w:ind w:right="91"/>
        <w:jc w:val="right"/>
        <w:rPr>
          <w:rFonts w:eastAsia="Times New Roman"/>
          <w:kern w:val="0"/>
          <w:szCs w:val="20"/>
          <w:lang w:eastAsia="en-AU"/>
          <w14:ligatures w14:val="none"/>
        </w:rPr>
      </w:pPr>
    </w:p>
    <w:p w14:paraId="23D7C33F" w14:textId="42EA304A" w:rsidR="00980BE0" w:rsidRPr="00880707" w:rsidRDefault="00980BE0" w:rsidP="002764B8">
      <w:pPr>
        <w:spacing w:after="0" w:line="240" w:lineRule="auto"/>
        <w:ind w:right="91"/>
        <w:rPr>
          <w:rFonts w:eastAsia="Times New Roman"/>
          <w:b/>
          <w:kern w:val="0"/>
          <w:sz w:val="22"/>
          <w:szCs w:val="22"/>
          <w:lang w:eastAsia="en-AU"/>
          <w14:ligatures w14:val="none"/>
        </w:rPr>
      </w:pPr>
      <w:r w:rsidRPr="00880707">
        <w:rPr>
          <w:rFonts w:eastAsia="Times New Roman"/>
          <w:b/>
          <w:bCs/>
          <w:kern w:val="0"/>
          <w:sz w:val="22"/>
          <w:szCs w:val="22"/>
          <w:u w:val="single"/>
          <w:lang w:eastAsia="en-AU"/>
          <w14:ligatures w14:val="none"/>
        </w:rPr>
        <w:t xml:space="preserve">Details of the </w:t>
      </w:r>
      <w:r w:rsidRPr="00880707">
        <w:rPr>
          <w:rFonts w:eastAsia="Times New Roman"/>
          <w:b/>
          <w:bCs/>
          <w:i/>
          <w:iCs/>
          <w:kern w:val="0"/>
          <w:sz w:val="22"/>
          <w:szCs w:val="22"/>
          <w:u w:val="single"/>
          <w:lang w:eastAsia="en-AU"/>
          <w14:ligatures w14:val="none"/>
        </w:rPr>
        <w:t>National Health (Continued Dispensing) Amendment Determination 2024</w:t>
      </w:r>
      <w:r w:rsidRPr="00880707">
        <w:rPr>
          <w:rFonts w:eastAsia="Times New Roman"/>
          <w:b/>
          <w:i/>
          <w:iCs/>
          <w:kern w:val="0"/>
          <w:sz w:val="22"/>
          <w:szCs w:val="22"/>
          <w:u w:val="single"/>
          <w:lang w:eastAsia="en-AU"/>
          <w14:ligatures w14:val="none"/>
        </w:rPr>
        <w:t xml:space="preserve"> (No.</w:t>
      </w:r>
      <w:r w:rsidR="00BE663F" w:rsidRPr="00880707">
        <w:rPr>
          <w:rFonts w:eastAsia="Times New Roman"/>
          <w:b/>
          <w:i/>
          <w:iCs/>
          <w:kern w:val="0"/>
          <w:sz w:val="22"/>
          <w:szCs w:val="22"/>
          <w:u w:val="single"/>
          <w:lang w:eastAsia="en-AU"/>
          <w14:ligatures w14:val="none"/>
        </w:rPr>
        <w:t xml:space="preserve"> </w:t>
      </w:r>
      <w:r w:rsidR="00F15C97" w:rsidRPr="00880707">
        <w:rPr>
          <w:rFonts w:eastAsia="Times New Roman"/>
          <w:b/>
          <w:i/>
          <w:iCs/>
          <w:kern w:val="0"/>
          <w:sz w:val="22"/>
          <w:szCs w:val="22"/>
          <w:u w:val="single"/>
          <w:lang w:eastAsia="en-AU"/>
          <w14:ligatures w14:val="none"/>
        </w:rPr>
        <w:t>3</w:t>
      </w:r>
      <w:r w:rsidRPr="00880707">
        <w:rPr>
          <w:rFonts w:eastAsia="Times New Roman"/>
          <w:b/>
          <w:i/>
          <w:iCs/>
          <w:kern w:val="0"/>
          <w:sz w:val="22"/>
          <w:szCs w:val="22"/>
          <w:u w:val="single"/>
          <w:lang w:eastAsia="en-AU"/>
          <w14:ligatures w14:val="none"/>
        </w:rPr>
        <w:t>)</w:t>
      </w:r>
    </w:p>
    <w:p w14:paraId="276A0C13" w14:textId="77777777" w:rsidR="00980BE0" w:rsidRPr="00880707" w:rsidRDefault="00980BE0" w:rsidP="002764B8">
      <w:pPr>
        <w:spacing w:after="0" w:line="240" w:lineRule="auto"/>
        <w:ind w:right="91"/>
        <w:rPr>
          <w:rFonts w:eastAsia="Times New Roman"/>
          <w:bCs/>
          <w:kern w:val="0"/>
          <w:sz w:val="22"/>
          <w:szCs w:val="22"/>
          <w:lang w:eastAsia="en-AU"/>
          <w14:ligatures w14:val="none"/>
        </w:rPr>
      </w:pPr>
    </w:p>
    <w:p w14:paraId="2A5DF39E" w14:textId="77777777" w:rsidR="00980BE0" w:rsidRPr="00880707" w:rsidRDefault="00980BE0" w:rsidP="002764B8">
      <w:pPr>
        <w:spacing w:after="0" w:line="240" w:lineRule="auto"/>
        <w:ind w:right="91"/>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Part 1 – Preliminary</w:t>
      </w:r>
    </w:p>
    <w:p w14:paraId="7157CF82" w14:textId="77777777" w:rsidR="00980BE0" w:rsidRPr="00880707" w:rsidRDefault="00980BE0" w:rsidP="002764B8">
      <w:pPr>
        <w:spacing w:after="0" w:line="240" w:lineRule="auto"/>
        <w:ind w:right="91"/>
        <w:rPr>
          <w:rFonts w:eastAsia="Times New Roman"/>
          <w:bCs/>
          <w:kern w:val="0"/>
          <w:sz w:val="22"/>
          <w:szCs w:val="22"/>
          <w:u w:val="single"/>
          <w:lang w:eastAsia="en-AU"/>
          <w14:ligatures w14:val="none"/>
        </w:rPr>
      </w:pPr>
    </w:p>
    <w:p w14:paraId="50C0A9A2" w14:textId="77777777" w:rsidR="00980BE0" w:rsidRPr="00880707" w:rsidRDefault="00980BE0" w:rsidP="002764B8">
      <w:pPr>
        <w:spacing w:after="0" w:line="240" w:lineRule="auto"/>
        <w:ind w:right="91"/>
        <w:rPr>
          <w:rFonts w:eastAsia="Times New Roman"/>
          <w:kern w:val="0"/>
          <w:sz w:val="22"/>
          <w:szCs w:val="22"/>
          <w:lang w:eastAsia="en-AU"/>
          <w14:ligatures w14:val="none"/>
        </w:rPr>
      </w:pPr>
      <w:r w:rsidRPr="00880707">
        <w:rPr>
          <w:rFonts w:eastAsia="Times New Roman"/>
          <w:kern w:val="0"/>
          <w:sz w:val="22"/>
          <w:szCs w:val="22"/>
          <w:u w:val="single"/>
          <w:lang w:eastAsia="en-AU"/>
          <w14:ligatures w14:val="none"/>
        </w:rPr>
        <w:t>Section 1 – Name</w:t>
      </w:r>
    </w:p>
    <w:p w14:paraId="0A388BFD" w14:textId="77777777" w:rsidR="00980BE0" w:rsidRPr="00880707" w:rsidRDefault="00980BE0" w:rsidP="002764B8">
      <w:pPr>
        <w:spacing w:after="0" w:line="240" w:lineRule="auto"/>
        <w:ind w:right="91"/>
        <w:rPr>
          <w:rFonts w:eastAsia="Times New Roman"/>
          <w:kern w:val="0"/>
          <w:sz w:val="22"/>
          <w:szCs w:val="22"/>
          <w:lang w:eastAsia="en-AU"/>
          <w14:ligatures w14:val="none"/>
        </w:rPr>
      </w:pPr>
    </w:p>
    <w:p w14:paraId="365F1E1C" w14:textId="48275389" w:rsidR="00980BE0" w:rsidRPr="00880707" w:rsidRDefault="00980BE0" w:rsidP="002764B8">
      <w:pPr>
        <w:spacing w:after="0" w:line="240" w:lineRule="auto"/>
        <w:ind w:right="91"/>
        <w:rPr>
          <w:rFonts w:eastAsia="Times New Roman"/>
          <w:i/>
          <w:iCs/>
          <w:kern w:val="0"/>
          <w:sz w:val="22"/>
          <w:szCs w:val="22"/>
          <w:lang w:eastAsia="en-AU"/>
          <w14:ligatures w14:val="none"/>
        </w:rPr>
      </w:pPr>
      <w:r w:rsidRPr="00880707">
        <w:rPr>
          <w:rFonts w:eastAsia="Times New Roman"/>
          <w:kern w:val="0"/>
          <w:sz w:val="22"/>
          <w:szCs w:val="22"/>
          <w:lang w:eastAsia="en-AU"/>
          <w14:ligatures w14:val="none"/>
        </w:rPr>
        <w:t>This section provides the title of th</w:t>
      </w:r>
      <w:r w:rsidR="00BC4BCC" w:rsidRPr="00880707">
        <w:rPr>
          <w:rFonts w:eastAsia="Times New Roman"/>
          <w:kern w:val="0"/>
          <w:sz w:val="22"/>
          <w:szCs w:val="22"/>
          <w:lang w:eastAsia="en-AU"/>
          <w14:ligatures w14:val="none"/>
        </w:rPr>
        <w:t>is</w:t>
      </w:r>
      <w:r w:rsidRPr="00880707">
        <w:rPr>
          <w:rFonts w:eastAsia="Times New Roman"/>
          <w:kern w:val="0"/>
          <w:sz w:val="22"/>
          <w:szCs w:val="22"/>
          <w:lang w:eastAsia="en-AU"/>
          <w14:ligatures w14:val="none"/>
        </w:rPr>
        <w:t xml:space="preserve"> instrument is the </w:t>
      </w:r>
      <w:r w:rsidRPr="00880707">
        <w:rPr>
          <w:rFonts w:eastAsia="Times New Roman"/>
          <w:i/>
          <w:iCs/>
          <w:kern w:val="0"/>
          <w:sz w:val="22"/>
          <w:szCs w:val="22"/>
          <w:lang w:eastAsia="en-AU"/>
          <w14:ligatures w14:val="none"/>
        </w:rPr>
        <w:t xml:space="preserve">National Health (Continued Dispensing) Amendment Determination 2024 (No. </w:t>
      </w:r>
      <w:r w:rsidR="006F610B" w:rsidRPr="00880707">
        <w:rPr>
          <w:rFonts w:eastAsia="Times New Roman"/>
          <w:i/>
          <w:iCs/>
          <w:kern w:val="0"/>
          <w:sz w:val="22"/>
          <w:szCs w:val="22"/>
          <w:lang w:eastAsia="en-AU"/>
          <w14:ligatures w14:val="none"/>
        </w:rPr>
        <w:t>3</w:t>
      </w:r>
      <w:r w:rsidRPr="00880707">
        <w:rPr>
          <w:rFonts w:eastAsia="Times New Roman"/>
          <w:i/>
          <w:iCs/>
          <w:kern w:val="0"/>
          <w:sz w:val="22"/>
          <w:szCs w:val="22"/>
          <w:lang w:eastAsia="en-AU"/>
          <w14:ligatures w14:val="none"/>
        </w:rPr>
        <w:t>).</w:t>
      </w:r>
    </w:p>
    <w:p w14:paraId="7A12F0A9" w14:textId="77777777" w:rsidR="00980BE0" w:rsidRPr="00880707" w:rsidRDefault="00980BE0" w:rsidP="002764B8">
      <w:pPr>
        <w:spacing w:after="0" w:line="240" w:lineRule="auto"/>
        <w:ind w:right="91"/>
        <w:rPr>
          <w:rFonts w:eastAsia="Times New Roman"/>
          <w:kern w:val="0"/>
          <w:sz w:val="22"/>
          <w:szCs w:val="22"/>
          <w:lang w:eastAsia="en-AU"/>
          <w14:ligatures w14:val="none"/>
        </w:rPr>
      </w:pPr>
    </w:p>
    <w:p w14:paraId="43A77117" w14:textId="52AC6B96" w:rsidR="00980BE0" w:rsidRPr="00880707" w:rsidRDefault="00980BE0" w:rsidP="002764B8">
      <w:pPr>
        <w:spacing w:after="0" w:line="240" w:lineRule="auto"/>
        <w:ind w:right="91"/>
        <w:rPr>
          <w:rFonts w:eastAsia="Times New Roman"/>
          <w:kern w:val="0"/>
          <w:sz w:val="22"/>
          <w:szCs w:val="22"/>
          <w:lang w:eastAsia="en-AU"/>
          <w14:ligatures w14:val="none"/>
        </w:rPr>
      </w:pPr>
      <w:r w:rsidRPr="00880707">
        <w:rPr>
          <w:rFonts w:eastAsia="Times New Roman"/>
          <w:kern w:val="0"/>
          <w:sz w:val="22"/>
          <w:szCs w:val="22"/>
          <w:lang w:eastAsia="en-AU"/>
          <w14:ligatures w14:val="none"/>
        </w:rPr>
        <w:t>Th</w:t>
      </w:r>
      <w:r w:rsidR="00BC4BCC" w:rsidRPr="00880707">
        <w:rPr>
          <w:rFonts w:eastAsia="Times New Roman"/>
          <w:kern w:val="0"/>
          <w:sz w:val="22"/>
          <w:szCs w:val="22"/>
          <w:lang w:eastAsia="en-AU"/>
          <w14:ligatures w14:val="none"/>
        </w:rPr>
        <w:t>is instrument</w:t>
      </w:r>
      <w:r w:rsidRPr="00880707">
        <w:rPr>
          <w:rFonts w:eastAsia="Times New Roman"/>
          <w:kern w:val="0"/>
          <w:sz w:val="22"/>
          <w:szCs w:val="22"/>
          <w:lang w:eastAsia="en-AU"/>
          <w14:ligatures w14:val="none"/>
        </w:rPr>
        <w:t xml:space="preserve"> can also be cited as PB </w:t>
      </w:r>
      <w:r w:rsidR="00FA6908" w:rsidRPr="00880707">
        <w:rPr>
          <w:rFonts w:eastAsia="Times New Roman"/>
          <w:kern w:val="0"/>
          <w:sz w:val="22"/>
          <w:szCs w:val="22"/>
          <w:lang w:eastAsia="en-AU"/>
          <w14:ligatures w14:val="none"/>
        </w:rPr>
        <w:t xml:space="preserve">114 </w:t>
      </w:r>
      <w:r w:rsidRPr="00880707">
        <w:rPr>
          <w:rFonts w:eastAsia="Times New Roman"/>
          <w:kern w:val="0"/>
          <w:sz w:val="22"/>
          <w:szCs w:val="22"/>
          <w:lang w:eastAsia="en-AU"/>
          <w14:ligatures w14:val="none"/>
        </w:rPr>
        <w:t>of 2024.</w:t>
      </w:r>
    </w:p>
    <w:p w14:paraId="09AA5633" w14:textId="77777777" w:rsidR="00980BE0" w:rsidRPr="00880707" w:rsidRDefault="00980BE0" w:rsidP="002764B8">
      <w:pPr>
        <w:spacing w:after="0" w:line="240" w:lineRule="auto"/>
        <w:ind w:right="91"/>
        <w:rPr>
          <w:rFonts w:eastAsia="Times New Roman"/>
          <w:kern w:val="0"/>
          <w:sz w:val="22"/>
          <w:szCs w:val="22"/>
          <w:lang w:eastAsia="en-AU"/>
          <w14:ligatures w14:val="none"/>
        </w:rPr>
      </w:pPr>
    </w:p>
    <w:p w14:paraId="66B9AA02" w14:textId="77777777" w:rsidR="00980BE0" w:rsidRPr="00880707" w:rsidRDefault="00980BE0" w:rsidP="002764B8">
      <w:pPr>
        <w:spacing w:after="0" w:line="240" w:lineRule="auto"/>
        <w:ind w:right="91"/>
        <w:rPr>
          <w:rFonts w:eastAsia="Times New Roman"/>
          <w:kern w:val="0"/>
          <w:sz w:val="22"/>
          <w:szCs w:val="22"/>
          <w:u w:val="single"/>
          <w:lang w:eastAsia="en-AU"/>
          <w14:ligatures w14:val="none"/>
        </w:rPr>
      </w:pPr>
      <w:r w:rsidRPr="00880707">
        <w:rPr>
          <w:rFonts w:eastAsia="Times New Roman"/>
          <w:kern w:val="0"/>
          <w:sz w:val="22"/>
          <w:szCs w:val="22"/>
          <w:u w:val="single"/>
          <w:lang w:eastAsia="en-AU"/>
          <w14:ligatures w14:val="none"/>
        </w:rPr>
        <w:t>Section 2 – Commencement</w:t>
      </w:r>
    </w:p>
    <w:p w14:paraId="7BBBF380" w14:textId="77777777" w:rsidR="00980BE0" w:rsidRPr="00880707" w:rsidRDefault="00980BE0" w:rsidP="002764B8">
      <w:pPr>
        <w:spacing w:after="0" w:line="240" w:lineRule="auto"/>
        <w:ind w:right="91"/>
        <w:rPr>
          <w:rFonts w:eastAsia="Times New Roman"/>
          <w:kern w:val="0"/>
          <w:sz w:val="22"/>
          <w:szCs w:val="22"/>
          <w:lang w:eastAsia="en-AU"/>
          <w14:ligatures w14:val="none"/>
        </w:rPr>
      </w:pPr>
    </w:p>
    <w:p w14:paraId="234F4B54" w14:textId="50E17B82" w:rsidR="00FA6908" w:rsidRPr="00880707" w:rsidRDefault="00FA6908" w:rsidP="002764B8">
      <w:pPr>
        <w:shd w:val="clear" w:color="auto" w:fill="FFFFFF"/>
        <w:spacing w:after="0" w:line="240" w:lineRule="auto"/>
        <w:rPr>
          <w:color w:val="000000"/>
          <w:sz w:val="22"/>
          <w:szCs w:val="22"/>
        </w:rPr>
      </w:pPr>
      <w:r w:rsidRPr="00880707">
        <w:rPr>
          <w:color w:val="000000"/>
          <w:sz w:val="22"/>
          <w:szCs w:val="22"/>
        </w:rPr>
        <w:t xml:space="preserve">This section provides that </w:t>
      </w:r>
      <w:r w:rsidR="00BC4BCC" w:rsidRPr="00880707">
        <w:rPr>
          <w:color w:val="000000"/>
          <w:sz w:val="22"/>
          <w:szCs w:val="22"/>
        </w:rPr>
        <w:t xml:space="preserve">this instrument </w:t>
      </w:r>
      <w:r w:rsidRPr="00880707">
        <w:rPr>
          <w:color w:val="000000"/>
          <w:sz w:val="22"/>
          <w:szCs w:val="22"/>
        </w:rPr>
        <w:t>commences on 1 November 2024.</w:t>
      </w:r>
    </w:p>
    <w:p w14:paraId="406B9350" w14:textId="77777777" w:rsidR="00D822A5" w:rsidRPr="00880707" w:rsidRDefault="00D822A5" w:rsidP="002764B8">
      <w:pPr>
        <w:shd w:val="clear" w:color="auto" w:fill="FFFFFF"/>
        <w:spacing w:after="0" w:line="240" w:lineRule="auto"/>
        <w:rPr>
          <w:color w:val="000000"/>
          <w:sz w:val="22"/>
          <w:szCs w:val="22"/>
        </w:rPr>
      </w:pPr>
    </w:p>
    <w:p w14:paraId="6B92CC1C" w14:textId="77777777" w:rsidR="00980BE0" w:rsidRPr="00880707" w:rsidRDefault="00980BE0" w:rsidP="002764B8">
      <w:pPr>
        <w:spacing w:after="0" w:line="240" w:lineRule="auto"/>
        <w:ind w:right="91"/>
        <w:rPr>
          <w:rFonts w:eastAsia="Times New Roman"/>
          <w:kern w:val="0"/>
          <w:sz w:val="22"/>
          <w:szCs w:val="22"/>
          <w:lang w:eastAsia="en-AU"/>
          <w14:ligatures w14:val="none"/>
        </w:rPr>
      </w:pPr>
      <w:r w:rsidRPr="00880707">
        <w:rPr>
          <w:rFonts w:eastAsia="Times New Roman"/>
          <w:kern w:val="0"/>
          <w:sz w:val="22"/>
          <w:szCs w:val="22"/>
          <w:u w:val="single"/>
          <w:lang w:eastAsia="en-AU"/>
          <w14:ligatures w14:val="none"/>
        </w:rPr>
        <w:t>Section 3 – Authority</w:t>
      </w:r>
    </w:p>
    <w:p w14:paraId="79AD37E4" w14:textId="77777777" w:rsidR="00980BE0" w:rsidRPr="00880707" w:rsidRDefault="00980BE0" w:rsidP="002764B8">
      <w:pPr>
        <w:spacing w:after="0" w:line="240" w:lineRule="auto"/>
        <w:ind w:right="91"/>
        <w:rPr>
          <w:rFonts w:eastAsia="Times New Roman"/>
          <w:kern w:val="0"/>
          <w:sz w:val="22"/>
          <w:szCs w:val="22"/>
          <w:lang w:eastAsia="en-AU"/>
          <w14:ligatures w14:val="none"/>
        </w:rPr>
      </w:pPr>
    </w:p>
    <w:p w14:paraId="0546316C" w14:textId="798FA2E6" w:rsidR="00980BE0" w:rsidRPr="00880707" w:rsidRDefault="00980BE0" w:rsidP="002764B8">
      <w:pPr>
        <w:spacing w:after="0" w:line="240" w:lineRule="auto"/>
        <w:ind w:right="91"/>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This section provides that </w:t>
      </w:r>
      <w:r w:rsidR="00FF6AEE" w:rsidRPr="00880707">
        <w:rPr>
          <w:rFonts w:eastAsia="Times New Roman"/>
          <w:kern w:val="0"/>
          <w:sz w:val="22"/>
          <w:szCs w:val="22"/>
          <w:lang w:eastAsia="en-AU"/>
          <w14:ligatures w14:val="none"/>
        </w:rPr>
        <w:t>th</w:t>
      </w:r>
      <w:r w:rsidRPr="00880707">
        <w:rPr>
          <w:rFonts w:eastAsia="Times New Roman"/>
          <w:kern w:val="0"/>
          <w:sz w:val="22"/>
          <w:szCs w:val="22"/>
          <w:lang w:eastAsia="en-AU"/>
          <w14:ligatures w14:val="none"/>
        </w:rPr>
        <w:t xml:space="preserve">is </w:t>
      </w:r>
      <w:r w:rsidR="00FF6AEE" w:rsidRPr="00880707">
        <w:rPr>
          <w:rFonts w:eastAsia="Times New Roman"/>
          <w:kern w:val="0"/>
          <w:sz w:val="22"/>
          <w:szCs w:val="22"/>
          <w:lang w:eastAsia="en-AU"/>
          <w14:ligatures w14:val="none"/>
        </w:rPr>
        <w:t xml:space="preserve">instrument is </w:t>
      </w:r>
      <w:r w:rsidRPr="00880707">
        <w:rPr>
          <w:rFonts w:eastAsia="Times New Roman"/>
          <w:kern w:val="0"/>
          <w:sz w:val="22"/>
          <w:szCs w:val="22"/>
          <w:lang w:eastAsia="en-AU"/>
          <w14:ligatures w14:val="none"/>
        </w:rPr>
        <w:t>made under subsection 89</w:t>
      </w:r>
      <w:proofErr w:type="gramStart"/>
      <w:r w:rsidRPr="00880707">
        <w:rPr>
          <w:rFonts w:eastAsia="Times New Roman"/>
          <w:kern w:val="0"/>
          <w:sz w:val="22"/>
          <w:szCs w:val="22"/>
          <w:lang w:eastAsia="en-AU"/>
          <w14:ligatures w14:val="none"/>
        </w:rPr>
        <w:t>A(</w:t>
      </w:r>
      <w:proofErr w:type="gramEnd"/>
      <w:r w:rsidRPr="00880707">
        <w:rPr>
          <w:rFonts w:eastAsia="Times New Roman"/>
          <w:kern w:val="0"/>
          <w:sz w:val="22"/>
          <w:szCs w:val="22"/>
          <w:lang w:eastAsia="en-AU"/>
          <w14:ligatures w14:val="none"/>
        </w:rPr>
        <w:t xml:space="preserve">3) of the </w:t>
      </w:r>
      <w:r w:rsidRPr="00880707">
        <w:rPr>
          <w:rFonts w:eastAsia="Times New Roman"/>
          <w:i/>
          <w:iCs/>
          <w:kern w:val="0"/>
          <w:sz w:val="22"/>
          <w:szCs w:val="22"/>
          <w:lang w:eastAsia="en-AU"/>
          <w14:ligatures w14:val="none"/>
        </w:rPr>
        <w:t>National Health Act 1953</w:t>
      </w:r>
      <w:r w:rsidRPr="00880707">
        <w:rPr>
          <w:rFonts w:eastAsia="Times New Roman"/>
          <w:kern w:val="0"/>
          <w:sz w:val="22"/>
          <w:szCs w:val="22"/>
          <w:lang w:eastAsia="en-AU"/>
          <w14:ligatures w14:val="none"/>
        </w:rPr>
        <w:t xml:space="preserve"> (Act).</w:t>
      </w:r>
    </w:p>
    <w:p w14:paraId="70E2BEFE" w14:textId="77777777" w:rsidR="00980BE0" w:rsidRPr="00880707" w:rsidRDefault="00980BE0" w:rsidP="002764B8">
      <w:pPr>
        <w:spacing w:after="0" w:line="240" w:lineRule="auto"/>
        <w:ind w:right="91"/>
        <w:rPr>
          <w:rFonts w:eastAsia="Times New Roman"/>
          <w:kern w:val="0"/>
          <w:sz w:val="22"/>
          <w:szCs w:val="22"/>
          <w:lang w:eastAsia="en-AU"/>
          <w14:ligatures w14:val="none"/>
        </w:rPr>
      </w:pPr>
    </w:p>
    <w:p w14:paraId="45C61068" w14:textId="77777777" w:rsidR="00980BE0" w:rsidRPr="00880707" w:rsidRDefault="00980BE0" w:rsidP="002764B8">
      <w:pPr>
        <w:tabs>
          <w:tab w:val="left" w:pos="6480"/>
        </w:tabs>
        <w:spacing w:after="0" w:line="240" w:lineRule="auto"/>
        <w:ind w:right="748"/>
        <w:rPr>
          <w:rFonts w:eastAsia="Times New Roman"/>
          <w:kern w:val="0"/>
          <w:sz w:val="22"/>
          <w:szCs w:val="22"/>
          <w:u w:val="single"/>
          <w:lang w:eastAsia="en-AU"/>
          <w14:ligatures w14:val="none"/>
        </w:rPr>
      </w:pPr>
      <w:r w:rsidRPr="00880707">
        <w:rPr>
          <w:rFonts w:eastAsia="Times New Roman"/>
          <w:kern w:val="0"/>
          <w:sz w:val="22"/>
          <w:szCs w:val="22"/>
          <w:u w:val="single"/>
          <w:lang w:eastAsia="en-AU"/>
          <w14:ligatures w14:val="none"/>
        </w:rPr>
        <w:t>Section 4 – Schedules</w:t>
      </w:r>
    </w:p>
    <w:p w14:paraId="5A70429E" w14:textId="77777777" w:rsidR="00980BE0" w:rsidRPr="00880707" w:rsidRDefault="00980BE0" w:rsidP="002764B8">
      <w:pPr>
        <w:spacing w:after="0" w:line="240" w:lineRule="auto"/>
        <w:ind w:right="748"/>
        <w:rPr>
          <w:rFonts w:eastAsia="Times New Roman"/>
          <w:kern w:val="0"/>
          <w:sz w:val="22"/>
          <w:szCs w:val="22"/>
          <w:lang w:eastAsia="en-AU"/>
          <w14:ligatures w14:val="none"/>
        </w:rPr>
      </w:pPr>
    </w:p>
    <w:p w14:paraId="1FB88343" w14:textId="0504519C" w:rsidR="00980BE0" w:rsidRPr="00880707" w:rsidRDefault="00980BE0" w:rsidP="002764B8">
      <w:pPr>
        <w:spacing w:after="0" w:line="240" w:lineRule="auto"/>
        <w:rPr>
          <w:rFonts w:eastAsia="Times New Roman"/>
          <w:kern w:val="0"/>
          <w:sz w:val="22"/>
          <w:szCs w:val="22"/>
          <w:lang w:eastAsia="en-AU"/>
          <w14:ligatures w14:val="none"/>
        </w:rPr>
      </w:pPr>
      <w:r w:rsidRPr="00880707">
        <w:rPr>
          <w:rFonts w:eastAsia="Times New Roman"/>
          <w:kern w:val="0"/>
          <w:sz w:val="22"/>
          <w:szCs w:val="22"/>
          <w:lang w:eastAsia="en-AU"/>
          <w14:ligatures w14:val="none"/>
        </w:rPr>
        <w:t>This section provides that each instrument that is specified in a Schedule to th</w:t>
      </w:r>
      <w:r w:rsidR="00FF6AEE" w:rsidRPr="00880707">
        <w:rPr>
          <w:rFonts w:eastAsia="Times New Roman"/>
          <w:kern w:val="0"/>
          <w:sz w:val="22"/>
          <w:szCs w:val="22"/>
          <w:lang w:eastAsia="en-AU"/>
          <w14:ligatures w14:val="none"/>
        </w:rPr>
        <w:t xml:space="preserve">is instrument </w:t>
      </w:r>
      <w:r w:rsidRPr="00880707">
        <w:rPr>
          <w:rFonts w:eastAsia="Times New Roman"/>
          <w:kern w:val="0"/>
          <w:sz w:val="22"/>
          <w:szCs w:val="22"/>
          <w:lang w:eastAsia="en-AU"/>
          <w14:ligatures w14:val="none"/>
        </w:rPr>
        <w:t xml:space="preserve">is amended or repealed as set out in the applicable items in the Schedule concerned, and any other item in a Schedule has effect according to its terms. The Schedule amends the </w:t>
      </w:r>
      <w:r w:rsidRPr="00880707">
        <w:rPr>
          <w:rFonts w:eastAsia="Times New Roman"/>
          <w:i/>
          <w:iCs/>
          <w:kern w:val="0"/>
          <w:sz w:val="22"/>
          <w:szCs w:val="22"/>
          <w:lang w:eastAsia="en-AU"/>
          <w14:ligatures w14:val="none"/>
        </w:rPr>
        <w:t>National Health (Continued Dispensing) Determination 2022</w:t>
      </w:r>
      <w:r w:rsidRPr="00880707">
        <w:rPr>
          <w:rFonts w:eastAsia="Times New Roman"/>
          <w:kern w:val="0"/>
          <w:sz w:val="22"/>
          <w:szCs w:val="22"/>
          <w:lang w:eastAsia="en-AU"/>
          <w14:ligatures w14:val="none"/>
        </w:rPr>
        <w:t xml:space="preserve"> (Principal Determination).</w:t>
      </w:r>
    </w:p>
    <w:p w14:paraId="578C11FF" w14:textId="77777777" w:rsidR="00D822A5" w:rsidRPr="00880707" w:rsidRDefault="00D822A5" w:rsidP="002764B8">
      <w:pPr>
        <w:spacing w:after="0" w:line="240" w:lineRule="auto"/>
        <w:ind w:right="91"/>
        <w:rPr>
          <w:rFonts w:eastAsia="Times New Roman"/>
          <w:kern w:val="0"/>
          <w:sz w:val="22"/>
          <w:szCs w:val="22"/>
          <w:u w:val="single"/>
          <w:lang w:eastAsia="en-AU"/>
          <w14:ligatures w14:val="none"/>
        </w:rPr>
      </w:pPr>
    </w:p>
    <w:p w14:paraId="04906F58" w14:textId="50D0063C" w:rsidR="00980BE0" w:rsidRPr="00880707" w:rsidRDefault="00980BE0" w:rsidP="002764B8">
      <w:pPr>
        <w:spacing w:after="0" w:line="240" w:lineRule="auto"/>
        <w:ind w:right="91"/>
        <w:rPr>
          <w:rFonts w:eastAsia="Times New Roman"/>
          <w:kern w:val="0"/>
          <w:sz w:val="22"/>
          <w:szCs w:val="22"/>
          <w:u w:val="single"/>
          <w:lang w:eastAsia="en-AU"/>
          <w14:ligatures w14:val="none"/>
        </w:rPr>
      </w:pPr>
      <w:r w:rsidRPr="00880707">
        <w:rPr>
          <w:rFonts w:eastAsia="Times New Roman"/>
          <w:kern w:val="0"/>
          <w:sz w:val="22"/>
          <w:szCs w:val="22"/>
          <w:u w:val="single"/>
          <w:lang w:eastAsia="en-AU"/>
          <w14:ligatures w14:val="none"/>
        </w:rPr>
        <w:t xml:space="preserve">Schedule 1 – Amendments </w:t>
      </w:r>
    </w:p>
    <w:p w14:paraId="340C39D1" w14:textId="77777777" w:rsidR="00980BE0" w:rsidRPr="00880707" w:rsidRDefault="00980BE0" w:rsidP="002764B8">
      <w:pPr>
        <w:spacing w:after="0" w:line="240" w:lineRule="auto"/>
        <w:ind w:right="91"/>
        <w:rPr>
          <w:rFonts w:eastAsia="Times New Roman"/>
          <w:kern w:val="0"/>
          <w:sz w:val="22"/>
          <w:szCs w:val="22"/>
          <w:u w:val="single"/>
          <w:lang w:eastAsia="en-AU"/>
          <w14:ligatures w14:val="none"/>
        </w:rPr>
      </w:pPr>
    </w:p>
    <w:p w14:paraId="5412DF44" w14:textId="77777777" w:rsidR="00980BE0" w:rsidRPr="00880707" w:rsidRDefault="00980BE0" w:rsidP="002764B8">
      <w:pPr>
        <w:spacing w:after="0" w:line="240" w:lineRule="auto"/>
        <w:ind w:right="91"/>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t xml:space="preserve">Item 1 – Subsection 1.05(1) (definition of </w:t>
      </w:r>
      <w:r w:rsidRPr="00880707">
        <w:rPr>
          <w:rFonts w:eastAsia="Times New Roman"/>
          <w:b/>
          <w:bCs/>
          <w:i/>
          <w:iCs/>
          <w:color w:val="262626"/>
          <w:kern w:val="0"/>
          <w:sz w:val="22"/>
          <w:szCs w:val="22"/>
          <w14:ligatures w14:val="none"/>
        </w:rPr>
        <w:t>purposes code</w:t>
      </w:r>
      <w:r w:rsidRPr="00880707">
        <w:rPr>
          <w:rFonts w:eastAsia="Times New Roman"/>
          <w:b/>
          <w:bCs/>
          <w:color w:val="262626"/>
          <w:kern w:val="0"/>
          <w:sz w:val="22"/>
          <w:szCs w:val="22"/>
          <w14:ligatures w14:val="none"/>
        </w:rPr>
        <w:t>)</w:t>
      </w:r>
    </w:p>
    <w:p w14:paraId="315374F4" w14:textId="621CB78D" w:rsidR="00980BE0" w:rsidRPr="00880707" w:rsidRDefault="00980BE0" w:rsidP="002764B8">
      <w:pPr>
        <w:spacing w:after="0" w:line="240" w:lineRule="auto"/>
        <w:ind w:right="91"/>
        <w:rPr>
          <w:rFonts w:eastAsia="Times New Roman"/>
          <w:color w:val="262626"/>
          <w:kern w:val="0"/>
          <w:sz w:val="22"/>
          <w:szCs w:val="22"/>
          <w14:ligatures w14:val="none"/>
        </w:rPr>
      </w:pPr>
      <w:r w:rsidRPr="00880707">
        <w:rPr>
          <w:rFonts w:eastAsia="Times New Roman"/>
          <w:color w:val="262626"/>
          <w:kern w:val="0"/>
          <w:sz w:val="22"/>
          <w:szCs w:val="22"/>
          <w14:ligatures w14:val="none"/>
        </w:rPr>
        <w:t xml:space="preserve">Item 1 amends the definition of ‘purposes code’ in subsection 1.05(1) of the Principal Instrument to update the previous reference to the </w:t>
      </w:r>
      <w:r w:rsidRPr="00880707">
        <w:rPr>
          <w:rFonts w:eastAsia="Times New Roman"/>
          <w:i/>
          <w:iCs/>
          <w:color w:val="262626"/>
          <w:kern w:val="0"/>
          <w:sz w:val="22"/>
          <w:szCs w:val="22"/>
          <w14:ligatures w14:val="none"/>
        </w:rPr>
        <w:t>National Health (Listing of Pharmaceutical Benefits) Instrument 2012</w:t>
      </w:r>
      <w:r w:rsidRPr="00880707">
        <w:rPr>
          <w:rFonts w:eastAsia="Times New Roman"/>
          <w:color w:val="262626"/>
          <w:kern w:val="0"/>
          <w:sz w:val="22"/>
          <w:szCs w:val="22"/>
          <w14:ligatures w14:val="none"/>
        </w:rPr>
        <w:t xml:space="preserve"> (2012 Listing Instrument) with reference to the</w:t>
      </w:r>
      <w:r w:rsidRPr="00880707">
        <w:rPr>
          <w:rFonts w:eastAsia="Times New Roman"/>
          <w:i/>
          <w:iCs/>
          <w:color w:val="262626"/>
          <w:kern w:val="0"/>
          <w:sz w:val="22"/>
          <w:szCs w:val="22"/>
          <w14:ligatures w14:val="none"/>
        </w:rPr>
        <w:t xml:space="preserve"> National Health (Listing of Pharmaceutical Benefits) Instrument 2024 </w:t>
      </w:r>
      <w:r w:rsidRPr="00880707">
        <w:rPr>
          <w:rFonts w:eastAsia="Times New Roman"/>
          <w:color w:val="262626"/>
          <w:kern w:val="0"/>
          <w:sz w:val="22"/>
          <w:szCs w:val="22"/>
          <w14:ligatures w14:val="none"/>
        </w:rPr>
        <w:t>(2024 Listing Instrument)</w:t>
      </w:r>
      <w:r w:rsidRPr="00880707">
        <w:rPr>
          <w:rFonts w:eastAsia="Times New Roman"/>
          <w:i/>
          <w:iCs/>
          <w:color w:val="262626"/>
          <w:kern w:val="0"/>
          <w:sz w:val="22"/>
          <w:szCs w:val="22"/>
          <w14:ligatures w14:val="none"/>
        </w:rPr>
        <w:t>.</w:t>
      </w:r>
    </w:p>
    <w:p w14:paraId="69BA7B72" w14:textId="77777777" w:rsidR="00980BE0" w:rsidRPr="00880707" w:rsidRDefault="00980BE0" w:rsidP="002764B8">
      <w:pPr>
        <w:spacing w:after="0" w:line="240" w:lineRule="auto"/>
        <w:ind w:right="91"/>
        <w:rPr>
          <w:rFonts w:eastAsia="Times New Roman"/>
          <w:color w:val="262626"/>
          <w:kern w:val="0"/>
          <w:sz w:val="22"/>
          <w:szCs w:val="22"/>
          <w14:ligatures w14:val="none"/>
        </w:rPr>
      </w:pPr>
    </w:p>
    <w:p w14:paraId="321EB735" w14:textId="1E8DA751" w:rsidR="00980BE0" w:rsidRPr="00880707" w:rsidRDefault="00980BE0" w:rsidP="002764B8">
      <w:pPr>
        <w:spacing w:after="0" w:line="240" w:lineRule="auto"/>
        <w:ind w:right="91"/>
        <w:rPr>
          <w:rFonts w:eastAsia="Times New Roman"/>
          <w:color w:val="262626"/>
          <w:kern w:val="0"/>
          <w:sz w:val="22"/>
          <w:szCs w:val="22"/>
          <w14:ligatures w14:val="none"/>
        </w:rPr>
      </w:pPr>
      <w:r w:rsidRPr="00880707">
        <w:rPr>
          <w:rFonts w:eastAsia="Times New Roman"/>
          <w:color w:val="262626"/>
          <w:kern w:val="0"/>
          <w:sz w:val="22"/>
          <w:szCs w:val="22"/>
          <w14:ligatures w14:val="none"/>
        </w:rPr>
        <w:t>The 2012 Listing Instrument was replaced by the 2024 Listing Instrument on 1 April 2024.</w:t>
      </w:r>
    </w:p>
    <w:p w14:paraId="5F672A38" w14:textId="77777777" w:rsidR="00980BE0" w:rsidRPr="00880707" w:rsidRDefault="00980BE0" w:rsidP="002764B8">
      <w:pPr>
        <w:spacing w:after="0" w:line="240" w:lineRule="auto"/>
        <w:ind w:right="91"/>
        <w:rPr>
          <w:rFonts w:eastAsia="Times New Roman"/>
          <w:color w:val="262626"/>
          <w:kern w:val="0"/>
          <w:sz w:val="22"/>
          <w:szCs w:val="22"/>
          <w14:ligatures w14:val="none"/>
        </w:rPr>
      </w:pPr>
    </w:p>
    <w:p w14:paraId="13CB8881" w14:textId="77777777" w:rsidR="00980BE0" w:rsidRPr="00880707" w:rsidRDefault="00980BE0" w:rsidP="002764B8">
      <w:pPr>
        <w:spacing w:after="0" w:line="240" w:lineRule="auto"/>
        <w:ind w:right="91"/>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t xml:space="preserve">Item 2 – Subsection 1.05(1) (definition of </w:t>
      </w:r>
      <w:r w:rsidRPr="00880707">
        <w:rPr>
          <w:rFonts w:eastAsia="Times New Roman"/>
          <w:b/>
          <w:bCs/>
          <w:i/>
          <w:iCs/>
          <w:color w:val="262626"/>
          <w:kern w:val="0"/>
          <w:sz w:val="22"/>
          <w:szCs w:val="22"/>
          <w14:ligatures w14:val="none"/>
        </w:rPr>
        <w:t>relevant purpose</w:t>
      </w:r>
      <w:r w:rsidRPr="00880707">
        <w:rPr>
          <w:rFonts w:eastAsia="Times New Roman"/>
          <w:b/>
          <w:bCs/>
          <w:color w:val="262626"/>
          <w:kern w:val="0"/>
          <w:sz w:val="22"/>
          <w:szCs w:val="22"/>
          <w14:ligatures w14:val="none"/>
        </w:rPr>
        <w:t>)</w:t>
      </w:r>
    </w:p>
    <w:p w14:paraId="7CD7CEA3" w14:textId="5FA955EE" w:rsidR="00980BE0" w:rsidRPr="00880707" w:rsidRDefault="00980BE0" w:rsidP="002764B8">
      <w:pPr>
        <w:spacing w:after="0" w:line="240" w:lineRule="auto"/>
        <w:ind w:right="91"/>
        <w:rPr>
          <w:rFonts w:eastAsia="Times New Roman"/>
          <w:color w:val="262626"/>
          <w:kern w:val="0"/>
          <w:sz w:val="22"/>
          <w:szCs w:val="22"/>
          <w14:ligatures w14:val="none"/>
        </w:rPr>
      </w:pPr>
      <w:r w:rsidRPr="00880707">
        <w:rPr>
          <w:rFonts w:eastAsia="Times New Roman"/>
          <w:color w:val="262626"/>
          <w:kern w:val="0"/>
          <w:sz w:val="22"/>
          <w:szCs w:val="22"/>
          <w14:ligatures w14:val="none"/>
        </w:rPr>
        <w:t xml:space="preserve">Item </w:t>
      </w:r>
      <w:r w:rsidR="009819A3" w:rsidRPr="00880707">
        <w:rPr>
          <w:rFonts w:eastAsia="Times New Roman"/>
          <w:color w:val="262626"/>
          <w:kern w:val="0"/>
          <w:sz w:val="22"/>
          <w:szCs w:val="22"/>
          <w14:ligatures w14:val="none"/>
        </w:rPr>
        <w:t xml:space="preserve">2 </w:t>
      </w:r>
      <w:r w:rsidRPr="00880707">
        <w:rPr>
          <w:rFonts w:eastAsia="Times New Roman"/>
          <w:color w:val="262626"/>
          <w:kern w:val="0"/>
          <w:sz w:val="22"/>
          <w:szCs w:val="22"/>
          <w14:ligatures w14:val="none"/>
        </w:rPr>
        <w:t>substitute</w:t>
      </w:r>
      <w:r w:rsidR="009819A3" w:rsidRPr="00880707">
        <w:rPr>
          <w:rFonts w:eastAsia="Times New Roman"/>
          <w:color w:val="262626"/>
          <w:kern w:val="0"/>
          <w:sz w:val="22"/>
          <w:szCs w:val="22"/>
          <w14:ligatures w14:val="none"/>
        </w:rPr>
        <w:t>s</w:t>
      </w:r>
      <w:r w:rsidRPr="00880707">
        <w:rPr>
          <w:rFonts w:eastAsia="Times New Roman"/>
          <w:color w:val="262626"/>
          <w:kern w:val="0"/>
          <w:sz w:val="22"/>
          <w:szCs w:val="22"/>
          <w14:ligatures w14:val="none"/>
        </w:rPr>
        <w:t xml:space="preserve"> reference to Schedule 4 of the 2012 Listing Instrument with reference to Part 1 of Schedule 4 of the 2024 Listing Instrument.  </w:t>
      </w:r>
    </w:p>
    <w:p w14:paraId="7E1F3B06" w14:textId="77777777" w:rsidR="00980BE0" w:rsidRPr="00880707" w:rsidRDefault="00980BE0" w:rsidP="002764B8">
      <w:pPr>
        <w:spacing w:after="0" w:line="240" w:lineRule="auto"/>
        <w:ind w:right="91"/>
        <w:rPr>
          <w:rFonts w:eastAsia="Times New Roman"/>
          <w:color w:val="262626"/>
          <w:kern w:val="0"/>
          <w:sz w:val="22"/>
          <w:szCs w:val="22"/>
          <w14:ligatures w14:val="none"/>
        </w:rPr>
      </w:pPr>
    </w:p>
    <w:p w14:paraId="0F285709" w14:textId="2DAA8DEC" w:rsidR="00980BE0" w:rsidRPr="00880707" w:rsidRDefault="00980BE0" w:rsidP="002764B8">
      <w:pPr>
        <w:spacing w:after="0" w:line="240" w:lineRule="auto"/>
        <w:ind w:right="91"/>
        <w:rPr>
          <w:rFonts w:eastAsia="Times New Roman"/>
          <w:color w:val="262626"/>
          <w:kern w:val="0"/>
          <w:sz w:val="22"/>
          <w:szCs w:val="22"/>
          <w14:ligatures w14:val="none"/>
        </w:rPr>
      </w:pPr>
      <w:r w:rsidRPr="00880707">
        <w:rPr>
          <w:rFonts w:eastAsia="Times New Roman"/>
          <w:color w:val="262626"/>
          <w:kern w:val="0"/>
          <w:sz w:val="22"/>
          <w:szCs w:val="22"/>
          <w14:ligatures w14:val="none"/>
        </w:rPr>
        <w:t>Part 4 of the 2012 Listing Instrument determined, among other things, purposes for which PBS prescribers could write a prescription for the maximum quantity of a pharmaceutical benefit or pharmaceutical item in a benefit that could be supplied to a patient on the one occasion. These purposes are now determined in Part 1 of Schedule 4 of the 2024 Listing Instrument.</w:t>
      </w:r>
    </w:p>
    <w:p w14:paraId="199F9F81" w14:textId="77777777" w:rsidR="00980BE0" w:rsidRPr="00880707" w:rsidRDefault="00980BE0" w:rsidP="002764B8">
      <w:pPr>
        <w:spacing w:after="0" w:line="240" w:lineRule="auto"/>
        <w:ind w:right="91"/>
        <w:rPr>
          <w:rFonts w:eastAsia="Times New Roman"/>
          <w:color w:val="262626"/>
          <w:kern w:val="0"/>
          <w:sz w:val="22"/>
          <w:szCs w:val="22"/>
          <w14:ligatures w14:val="none"/>
        </w:rPr>
      </w:pPr>
    </w:p>
    <w:p w14:paraId="1BB6EA49" w14:textId="77777777" w:rsidR="00980BE0" w:rsidRPr="00880707" w:rsidRDefault="00980BE0" w:rsidP="002764B8">
      <w:pPr>
        <w:spacing w:after="0" w:line="240" w:lineRule="auto"/>
        <w:ind w:right="91"/>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t>Item 3 – At the end of section 1.05</w:t>
      </w:r>
    </w:p>
    <w:p w14:paraId="5346C4DD" w14:textId="45744C83" w:rsidR="00980BE0" w:rsidRPr="00880707" w:rsidRDefault="00980BE0" w:rsidP="002764B8">
      <w:pPr>
        <w:spacing w:after="0" w:line="240" w:lineRule="auto"/>
        <w:ind w:right="91"/>
        <w:rPr>
          <w:rFonts w:eastAsia="Times New Roman"/>
          <w:b/>
          <w:bCs/>
          <w:color w:val="262626"/>
          <w:kern w:val="0"/>
          <w:sz w:val="22"/>
          <w:szCs w:val="22"/>
          <w14:ligatures w14:val="none"/>
        </w:rPr>
      </w:pPr>
      <w:r w:rsidRPr="00880707">
        <w:rPr>
          <w:rFonts w:eastAsia="Times New Roman"/>
          <w:color w:val="262626"/>
          <w:kern w:val="0"/>
          <w:sz w:val="22"/>
          <w:szCs w:val="22"/>
          <w14:ligatures w14:val="none"/>
        </w:rPr>
        <w:t xml:space="preserve">Item 3 adds new subsection 1.05(2), which provides that certain terms in the Principal </w:t>
      </w:r>
      <w:r w:rsidR="00006404" w:rsidRPr="00880707">
        <w:rPr>
          <w:rFonts w:eastAsia="Times New Roman"/>
          <w:color w:val="262626"/>
          <w:kern w:val="0"/>
          <w:sz w:val="22"/>
          <w:szCs w:val="22"/>
          <w14:ligatures w14:val="none"/>
        </w:rPr>
        <w:t xml:space="preserve">Instrument </w:t>
      </w:r>
      <w:r w:rsidRPr="00880707">
        <w:rPr>
          <w:rFonts w:eastAsia="Times New Roman"/>
          <w:color w:val="262626"/>
          <w:kern w:val="0"/>
          <w:sz w:val="22"/>
          <w:szCs w:val="22"/>
          <w14:ligatures w14:val="none"/>
        </w:rPr>
        <w:t xml:space="preserve">are to have the same meaning as they were given in Part VII of the Act. This subsection is added for drafting clarity and does not change the meaning of those terms. </w:t>
      </w:r>
    </w:p>
    <w:p w14:paraId="04773B54" w14:textId="77777777" w:rsidR="00D822A5" w:rsidRPr="00880707" w:rsidRDefault="00D822A5" w:rsidP="002764B8">
      <w:pPr>
        <w:spacing w:after="0" w:line="240" w:lineRule="auto"/>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br w:type="page"/>
      </w:r>
    </w:p>
    <w:p w14:paraId="2E6D900B" w14:textId="318CDFEC" w:rsidR="00980BE0" w:rsidRPr="00880707" w:rsidRDefault="00980BE0" w:rsidP="002764B8">
      <w:pPr>
        <w:spacing w:after="0" w:line="240" w:lineRule="auto"/>
        <w:ind w:right="91"/>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lastRenderedPageBreak/>
        <w:t>Item 4 – Section 2.01</w:t>
      </w:r>
    </w:p>
    <w:p w14:paraId="3C3BC51F" w14:textId="20AB36C4" w:rsidR="00980BE0" w:rsidRPr="00880707" w:rsidRDefault="00980BE0" w:rsidP="002764B8">
      <w:pPr>
        <w:spacing w:after="0" w:line="240" w:lineRule="auto"/>
        <w:rPr>
          <w:rFonts w:eastAsia="Times New Roman"/>
          <w:color w:val="262626"/>
          <w:kern w:val="0"/>
          <w:sz w:val="22"/>
          <w:szCs w:val="22"/>
          <w14:ligatures w14:val="none"/>
        </w:rPr>
      </w:pPr>
      <w:r w:rsidRPr="00880707">
        <w:rPr>
          <w:rFonts w:eastAsia="Times New Roman"/>
          <w:color w:val="262626"/>
          <w:kern w:val="0"/>
          <w:sz w:val="22"/>
          <w:szCs w:val="22"/>
          <w14:ligatures w14:val="none"/>
        </w:rPr>
        <w:t xml:space="preserve">Item 4 substitutes a new section 2.01. Section 2.01 of the Principal </w:t>
      </w:r>
      <w:r w:rsidR="00006404" w:rsidRPr="00880707">
        <w:rPr>
          <w:rFonts w:eastAsia="Times New Roman"/>
          <w:color w:val="262626"/>
          <w:kern w:val="0"/>
          <w:sz w:val="22"/>
          <w:szCs w:val="22"/>
          <w14:ligatures w14:val="none"/>
        </w:rPr>
        <w:t>Instrument</w:t>
      </w:r>
      <w:r w:rsidRPr="00880707">
        <w:rPr>
          <w:rFonts w:eastAsia="Times New Roman"/>
          <w:color w:val="262626"/>
          <w:kern w:val="0"/>
          <w:sz w:val="22"/>
          <w:szCs w:val="22"/>
          <w14:ligatures w14:val="none"/>
        </w:rPr>
        <w:t xml:space="preserve"> determines the pharmaceutical benefits that may, subject to certain conditions, be supplied by an approved pharmacist without a prescription for the purposes of paragraph 89A(3)(a) of the Act.</w:t>
      </w:r>
    </w:p>
    <w:p w14:paraId="7810BDA8" w14:textId="77777777" w:rsidR="00D822A5" w:rsidRPr="00880707" w:rsidRDefault="00D822A5" w:rsidP="002764B8">
      <w:pPr>
        <w:spacing w:after="0" w:line="240" w:lineRule="auto"/>
        <w:rPr>
          <w:rFonts w:eastAsia="Times New Roman"/>
          <w:color w:val="262626"/>
          <w:kern w:val="0"/>
          <w:sz w:val="22"/>
          <w:szCs w:val="22"/>
          <w14:ligatures w14:val="none"/>
        </w:rPr>
      </w:pPr>
    </w:p>
    <w:p w14:paraId="5C0608E8" w14:textId="43B1CBC0" w:rsidR="00980BE0" w:rsidRPr="00880707" w:rsidRDefault="00980BE0" w:rsidP="002764B8">
      <w:pPr>
        <w:spacing w:after="0" w:line="240" w:lineRule="auto"/>
        <w:rPr>
          <w:rFonts w:eastAsia="Times New Roman"/>
          <w:color w:val="262626"/>
          <w:kern w:val="0"/>
          <w:sz w:val="22"/>
          <w:szCs w:val="22"/>
          <w14:ligatures w14:val="none"/>
        </w:rPr>
      </w:pPr>
      <w:r w:rsidRPr="00880707">
        <w:rPr>
          <w:rFonts w:eastAsia="Times New Roman"/>
          <w:color w:val="262626"/>
          <w:kern w:val="0"/>
          <w:sz w:val="22"/>
          <w:szCs w:val="22"/>
          <w14:ligatures w14:val="none"/>
        </w:rPr>
        <w:t xml:space="preserve">Technical amendments have been made in new section 2.01 to more accurately reflect the way that pharmaceutical benefits covered by the Principal </w:t>
      </w:r>
      <w:r w:rsidR="00006404" w:rsidRPr="00880707">
        <w:rPr>
          <w:rFonts w:eastAsia="Times New Roman"/>
          <w:color w:val="262626"/>
          <w:kern w:val="0"/>
          <w:sz w:val="22"/>
          <w:szCs w:val="22"/>
          <w14:ligatures w14:val="none"/>
        </w:rPr>
        <w:t>Instrument</w:t>
      </w:r>
      <w:r w:rsidRPr="00880707">
        <w:rPr>
          <w:rFonts w:eastAsia="Times New Roman"/>
          <w:color w:val="262626"/>
          <w:kern w:val="0"/>
          <w:sz w:val="22"/>
          <w:szCs w:val="22"/>
          <w14:ligatures w14:val="none"/>
        </w:rPr>
        <w:t xml:space="preserve"> are defined for the purposes of the Act. The revised drafting is not intended to alter the operation of the provision.</w:t>
      </w:r>
    </w:p>
    <w:p w14:paraId="07841F50" w14:textId="77777777" w:rsidR="00D822A5" w:rsidRPr="00880707" w:rsidRDefault="00D822A5" w:rsidP="002764B8">
      <w:pPr>
        <w:spacing w:after="0" w:line="240" w:lineRule="auto"/>
        <w:rPr>
          <w:rFonts w:eastAsia="Times New Roman"/>
          <w:color w:val="262626"/>
          <w:kern w:val="0"/>
          <w:sz w:val="22"/>
          <w:szCs w:val="22"/>
          <w14:ligatures w14:val="none"/>
        </w:rPr>
      </w:pPr>
    </w:p>
    <w:p w14:paraId="6E909388" w14:textId="38E80C7D" w:rsidR="00980BE0" w:rsidRPr="00880707" w:rsidRDefault="00980BE0" w:rsidP="002764B8">
      <w:pPr>
        <w:spacing w:after="0" w:line="240" w:lineRule="auto"/>
        <w:rPr>
          <w:rFonts w:eastAsia="Times New Roman"/>
          <w:color w:val="262626"/>
          <w:kern w:val="0"/>
          <w:sz w:val="22"/>
          <w:szCs w:val="22"/>
          <w14:ligatures w14:val="none"/>
        </w:rPr>
      </w:pPr>
      <w:r w:rsidRPr="00880707">
        <w:rPr>
          <w:rFonts w:eastAsia="Times New Roman"/>
          <w:color w:val="262626"/>
          <w:kern w:val="0"/>
          <w:sz w:val="22"/>
          <w:szCs w:val="22"/>
          <w14:ligatures w14:val="none"/>
        </w:rPr>
        <w:t xml:space="preserve">Section 2.01 now provides that it determines each pharmaceutical benefit that has a drug mentioned in an item in Schedule 1 of the Principal </w:t>
      </w:r>
      <w:r w:rsidR="00006404" w:rsidRPr="00880707">
        <w:rPr>
          <w:rFonts w:eastAsia="Times New Roman"/>
          <w:color w:val="262626"/>
          <w:kern w:val="0"/>
          <w:sz w:val="22"/>
          <w:szCs w:val="22"/>
          <w14:ligatures w14:val="none"/>
        </w:rPr>
        <w:t>Instrument</w:t>
      </w:r>
      <w:r w:rsidRPr="00880707">
        <w:rPr>
          <w:rFonts w:eastAsia="Times New Roman"/>
          <w:color w:val="262626"/>
          <w:kern w:val="0"/>
          <w:sz w:val="22"/>
          <w:szCs w:val="22"/>
          <w14:ligatures w14:val="none"/>
        </w:rPr>
        <w:t>. This means that where a drug is mentioned in an item in Schedule 1, any pharmaceutical benefit having that drug is determined for paragraph 89A(3)(a), irrespective of the form, manner of administration or brand.</w:t>
      </w:r>
    </w:p>
    <w:p w14:paraId="6AF8E540" w14:textId="77777777" w:rsidR="00D822A5" w:rsidRPr="00880707" w:rsidRDefault="00D822A5" w:rsidP="002764B8">
      <w:pPr>
        <w:widowControl w:val="0"/>
        <w:spacing w:after="0" w:line="240" w:lineRule="auto"/>
        <w:ind w:right="91"/>
        <w:rPr>
          <w:rFonts w:eastAsia="Times New Roman"/>
          <w:color w:val="262626"/>
          <w:kern w:val="0"/>
          <w:sz w:val="22"/>
          <w:szCs w:val="22"/>
          <w14:ligatures w14:val="none"/>
        </w:rPr>
      </w:pPr>
    </w:p>
    <w:p w14:paraId="1FAFC8B8" w14:textId="40C89B41" w:rsidR="00980BE0" w:rsidRPr="00880707" w:rsidRDefault="00980BE0" w:rsidP="002764B8">
      <w:pPr>
        <w:widowControl w:val="0"/>
        <w:spacing w:after="0" w:line="240" w:lineRule="auto"/>
        <w:ind w:right="91"/>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t xml:space="preserve">Item </w:t>
      </w:r>
      <w:r w:rsidR="008630B3" w:rsidRPr="00880707">
        <w:rPr>
          <w:rFonts w:eastAsia="Times New Roman"/>
          <w:b/>
          <w:bCs/>
          <w:color w:val="262626"/>
          <w:kern w:val="0"/>
          <w:sz w:val="22"/>
          <w:szCs w:val="22"/>
          <w14:ligatures w14:val="none"/>
        </w:rPr>
        <w:t>5</w:t>
      </w:r>
      <w:r w:rsidRPr="00880707">
        <w:rPr>
          <w:rFonts w:eastAsia="Times New Roman"/>
          <w:b/>
          <w:bCs/>
          <w:color w:val="262626"/>
          <w:kern w:val="0"/>
          <w:sz w:val="22"/>
          <w:szCs w:val="22"/>
          <w14:ligatures w14:val="none"/>
        </w:rPr>
        <w:t xml:space="preserve"> – Part </w:t>
      </w:r>
      <w:r w:rsidR="00D822A5" w:rsidRPr="00880707">
        <w:rPr>
          <w:rFonts w:eastAsia="Times New Roman"/>
          <w:b/>
          <w:bCs/>
          <w:color w:val="262626"/>
          <w:kern w:val="0"/>
          <w:sz w:val="22"/>
          <w:szCs w:val="22"/>
          <w14:ligatures w14:val="none"/>
        </w:rPr>
        <w:t>4</w:t>
      </w:r>
    </w:p>
    <w:p w14:paraId="35B4065F" w14:textId="3B6A186A" w:rsidR="00980BE0" w:rsidRPr="00880707" w:rsidRDefault="00980BE0" w:rsidP="002764B8">
      <w:pPr>
        <w:spacing w:after="0" w:line="240" w:lineRule="auto"/>
        <w:rPr>
          <w:rFonts w:eastAsia="Times New Roman"/>
          <w:color w:val="262626"/>
          <w:kern w:val="0"/>
          <w:sz w:val="22"/>
          <w:szCs w:val="22"/>
          <w14:ligatures w14:val="none"/>
        </w:rPr>
      </w:pPr>
      <w:r w:rsidRPr="00880707">
        <w:rPr>
          <w:rFonts w:eastAsia="Times New Roman"/>
          <w:color w:val="262626"/>
          <w:kern w:val="0"/>
          <w:sz w:val="22"/>
          <w:szCs w:val="22"/>
          <w14:ligatures w14:val="none"/>
        </w:rPr>
        <w:t xml:space="preserve">Item </w:t>
      </w:r>
      <w:r w:rsidR="008630B3" w:rsidRPr="00880707">
        <w:rPr>
          <w:rFonts w:eastAsia="Times New Roman"/>
          <w:color w:val="262626"/>
          <w:kern w:val="0"/>
          <w:sz w:val="22"/>
          <w:szCs w:val="22"/>
          <w14:ligatures w14:val="none"/>
        </w:rPr>
        <w:t>5</w:t>
      </w:r>
      <w:r w:rsidRPr="00880707">
        <w:rPr>
          <w:rFonts w:eastAsia="Times New Roman"/>
          <w:color w:val="262626"/>
          <w:kern w:val="0"/>
          <w:sz w:val="22"/>
          <w:szCs w:val="22"/>
          <w14:ligatures w14:val="none"/>
        </w:rPr>
        <w:t xml:space="preserve"> repeals Part 4 of the Principal</w:t>
      </w:r>
      <w:r w:rsidR="00006404" w:rsidRPr="00880707">
        <w:rPr>
          <w:rFonts w:eastAsia="Times New Roman"/>
          <w:color w:val="262626"/>
          <w:kern w:val="0"/>
          <w:sz w:val="22"/>
          <w:szCs w:val="22"/>
          <w14:ligatures w14:val="none"/>
        </w:rPr>
        <w:t xml:space="preserve"> Instrument</w:t>
      </w:r>
      <w:r w:rsidRPr="00880707">
        <w:rPr>
          <w:rFonts w:eastAsia="Times New Roman"/>
          <w:color w:val="262626"/>
          <w:kern w:val="0"/>
          <w:sz w:val="22"/>
          <w:szCs w:val="22"/>
          <w14:ligatures w14:val="none"/>
        </w:rPr>
        <w:t>.</w:t>
      </w:r>
    </w:p>
    <w:p w14:paraId="33FBCB72" w14:textId="77777777" w:rsidR="00D822A5" w:rsidRPr="00880707" w:rsidRDefault="00D822A5" w:rsidP="002764B8">
      <w:pPr>
        <w:spacing w:after="0" w:line="240" w:lineRule="auto"/>
        <w:rPr>
          <w:rFonts w:eastAsia="Times New Roman"/>
          <w:color w:val="262626"/>
          <w:kern w:val="0"/>
          <w:sz w:val="22"/>
          <w:szCs w:val="22"/>
          <w14:ligatures w14:val="none"/>
        </w:rPr>
      </w:pPr>
    </w:p>
    <w:p w14:paraId="566547F2" w14:textId="54529F5B" w:rsidR="00980BE0" w:rsidRPr="00880707" w:rsidRDefault="00980BE0" w:rsidP="002764B8">
      <w:pPr>
        <w:spacing w:after="0" w:line="240" w:lineRule="auto"/>
        <w:rPr>
          <w:rFonts w:eastAsia="Times New Roman"/>
          <w:color w:val="262626"/>
          <w:kern w:val="0"/>
          <w:sz w:val="22"/>
          <w:szCs w:val="22"/>
          <w14:ligatures w14:val="none"/>
        </w:rPr>
      </w:pPr>
      <w:r w:rsidRPr="00880707">
        <w:rPr>
          <w:rFonts w:eastAsia="Times New Roman"/>
          <w:color w:val="262626"/>
          <w:kern w:val="0"/>
          <w:sz w:val="22"/>
          <w:szCs w:val="22"/>
          <w14:ligatures w14:val="none"/>
        </w:rPr>
        <w:t xml:space="preserve">The Principal </w:t>
      </w:r>
      <w:r w:rsidR="00006404" w:rsidRPr="00880707">
        <w:rPr>
          <w:rFonts w:eastAsia="Times New Roman"/>
          <w:color w:val="262626"/>
          <w:kern w:val="0"/>
          <w:sz w:val="22"/>
          <w:szCs w:val="22"/>
          <w14:ligatures w14:val="none"/>
        </w:rPr>
        <w:t xml:space="preserve">Instrument </w:t>
      </w:r>
      <w:r w:rsidRPr="00880707">
        <w:rPr>
          <w:rFonts w:eastAsia="Times New Roman"/>
          <w:color w:val="262626"/>
          <w:kern w:val="0"/>
          <w:sz w:val="22"/>
          <w:szCs w:val="22"/>
          <w14:ligatures w14:val="none"/>
        </w:rPr>
        <w:t xml:space="preserve">repealed the </w:t>
      </w:r>
      <w:r w:rsidRPr="00880707">
        <w:rPr>
          <w:rFonts w:eastAsia="Times New Roman"/>
          <w:i/>
          <w:iCs/>
          <w:color w:val="262626"/>
          <w:kern w:val="0"/>
          <w:sz w:val="22"/>
          <w:szCs w:val="22"/>
          <w14:ligatures w14:val="none"/>
        </w:rPr>
        <w:t>National Health (Continued Dispensing – Emergency Measures) Determination 2020</w:t>
      </w:r>
      <w:r w:rsidRPr="00880707">
        <w:rPr>
          <w:rFonts w:eastAsia="Times New Roman"/>
          <w:color w:val="262626"/>
          <w:kern w:val="0"/>
          <w:sz w:val="22"/>
          <w:szCs w:val="22"/>
          <w14:ligatures w14:val="none"/>
        </w:rPr>
        <w:t xml:space="preserve"> (Emergency Determination) on 1 July 2022. Section 4.01 was an application provision intended to ensure approved pharmacists could continue to submit claims under the </w:t>
      </w:r>
      <w:r w:rsidRPr="00880707">
        <w:rPr>
          <w:rFonts w:eastAsia="Times New Roman"/>
          <w:i/>
          <w:iCs/>
          <w:color w:val="262626"/>
          <w:kern w:val="0"/>
          <w:sz w:val="22"/>
          <w:szCs w:val="22"/>
          <w14:ligatures w14:val="none"/>
        </w:rPr>
        <w:t>National Health (Supply of Pharmaceutical Benefits – Under Co-payment Data and Claims for Payment) Rules 2022</w:t>
      </w:r>
      <w:r w:rsidRPr="00880707">
        <w:rPr>
          <w:rFonts w:eastAsia="Times New Roman"/>
          <w:color w:val="262626"/>
          <w:kern w:val="0"/>
          <w:sz w:val="22"/>
          <w:szCs w:val="22"/>
          <w14:ligatures w14:val="none"/>
        </w:rPr>
        <w:t xml:space="preserve"> for supplies made pursuant to the Emergency Determination on or before 30</w:t>
      </w:r>
      <w:r w:rsidR="00520453" w:rsidRPr="00880707">
        <w:rPr>
          <w:rFonts w:eastAsia="Times New Roman"/>
          <w:color w:val="262626"/>
          <w:kern w:val="0"/>
          <w:sz w:val="22"/>
          <w:szCs w:val="22"/>
          <w14:ligatures w14:val="none"/>
        </w:rPr>
        <w:t> </w:t>
      </w:r>
      <w:r w:rsidRPr="00880707">
        <w:rPr>
          <w:rFonts w:eastAsia="Times New Roman"/>
          <w:color w:val="262626"/>
          <w:kern w:val="0"/>
          <w:sz w:val="22"/>
          <w:szCs w:val="22"/>
          <w14:ligatures w14:val="none"/>
        </w:rPr>
        <w:t>June 2022.</w:t>
      </w:r>
    </w:p>
    <w:p w14:paraId="17B039DA" w14:textId="77777777" w:rsidR="00D822A5" w:rsidRPr="00880707" w:rsidRDefault="00D822A5" w:rsidP="002764B8">
      <w:pPr>
        <w:spacing w:after="0" w:line="240" w:lineRule="auto"/>
        <w:rPr>
          <w:rFonts w:eastAsia="Times New Roman"/>
          <w:color w:val="262626"/>
          <w:kern w:val="0"/>
          <w:sz w:val="22"/>
          <w:szCs w:val="22"/>
          <w14:ligatures w14:val="none"/>
        </w:rPr>
      </w:pPr>
    </w:p>
    <w:p w14:paraId="0685FC2A" w14:textId="60DCF502" w:rsidR="00980BE0" w:rsidRPr="00880707" w:rsidRDefault="00980BE0" w:rsidP="002764B8">
      <w:pPr>
        <w:spacing w:after="0" w:line="240" w:lineRule="auto"/>
        <w:rPr>
          <w:rFonts w:eastAsia="Times New Roman"/>
          <w:color w:val="262626"/>
          <w:kern w:val="0"/>
          <w:sz w:val="22"/>
          <w:szCs w:val="22"/>
          <w14:ligatures w14:val="none"/>
        </w:rPr>
      </w:pPr>
      <w:r w:rsidRPr="00880707">
        <w:rPr>
          <w:rFonts w:eastAsia="Times New Roman"/>
          <w:color w:val="262626"/>
          <w:kern w:val="0"/>
          <w:sz w:val="22"/>
          <w:szCs w:val="22"/>
          <w14:ligatures w14:val="none"/>
        </w:rPr>
        <w:t>Given the time that has elapsed since 1 July 2022, and applicable time limits on submitting claims for payment in relation to supplies of pharmaceutical benefits, Part 4 is redundant and can be repealed.</w:t>
      </w:r>
    </w:p>
    <w:p w14:paraId="71A5980A" w14:textId="77777777" w:rsidR="00D822A5" w:rsidRPr="00880707" w:rsidRDefault="00D822A5" w:rsidP="002764B8">
      <w:pPr>
        <w:spacing w:after="0" w:line="240" w:lineRule="auto"/>
        <w:ind w:right="91"/>
        <w:rPr>
          <w:rFonts w:eastAsia="Times New Roman"/>
          <w:color w:val="262626"/>
          <w:kern w:val="0"/>
          <w:sz w:val="22"/>
          <w:szCs w:val="22"/>
          <w14:ligatures w14:val="none"/>
        </w:rPr>
      </w:pPr>
    </w:p>
    <w:p w14:paraId="419A2E28" w14:textId="5EA817CA" w:rsidR="00681451" w:rsidRPr="00880707" w:rsidRDefault="00980BE0" w:rsidP="002764B8">
      <w:pPr>
        <w:spacing w:after="0" w:line="240" w:lineRule="auto"/>
        <w:ind w:right="91"/>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t xml:space="preserve">Item </w:t>
      </w:r>
      <w:r w:rsidR="00FF1380" w:rsidRPr="00880707">
        <w:rPr>
          <w:rFonts w:eastAsia="Times New Roman"/>
          <w:b/>
          <w:bCs/>
          <w:color w:val="262626"/>
          <w:kern w:val="0"/>
          <w:sz w:val="22"/>
          <w:szCs w:val="22"/>
          <w14:ligatures w14:val="none"/>
        </w:rPr>
        <w:t>6</w:t>
      </w:r>
      <w:r w:rsidRPr="00880707">
        <w:rPr>
          <w:rFonts w:eastAsia="Times New Roman"/>
          <w:b/>
          <w:bCs/>
          <w:color w:val="262626"/>
          <w:kern w:val="0"/>
          <w:sz w:val="22"/>
          <w:szCs w:val="22"/>
          <w14:ligatures w14:val="none"/>
        </w:rPr>
        <w:t xml:space="preserve"> – </w:t>
      </w:r>
      <w:r w:rsidR="00681451" w:rsidRPr="00880707">
        <w:rPr>
          <w:rFonts w:eastAsia="Times New Roman"/>
          <w:b/>
          <w:bCs/>
          <w:color w:val="262626"/>
          <w:kern w:val="0"/>
          <w:sz w:val="22"/>
          <w:szCs w:val="22"/>
          <w14:ligatures w14:val="none"/>
        </w:rPr>
        <w:t>Schedule 1 (heading)</w:t>
      </w:r>
    </w:p>
    <w:p w14:paraId="1B1AA71C" w14:textId="7C9D1181" w:rsidR="006D74EA" w:rsidRPr="00880707" w:rsidRDefault="006D74EA" w:rsidP="002764B8">
      <w:pPr>
        <w:spacing w:after="0" w:line="240" w:lineRule="auto"/>
        <w:ind w:right="91"/>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t xml:space="preserve">Item 8 </w:t>
      </w:r>
      <w:r w:rsidR="00405DB7" w:rsidRPr="00880707">
        <w:rPr>
          <w:rFonts w:eastAsia="Times New Roman"/>
          <w:b/>
          <w:bCs/>
          <w:color w:val="262626"/>
          <w:kern w:val="0"/>
          <w:sz w:val="22"/>
          <w:szCs w:val="22"/>
          <w14:ligatures w14:val="none"/>
        </w:rPr>
        <w:t>–</w:t>
      </w:r>
      <w:r w:rsidRPr="00880707">
        <w:rPr>
          <w:rFonts w:eastAsia="Times New Roman"/>
          <w:b/>
          <w:bCs/>
          <w:color w:val="262626"/>
          <w:kern w:val="0"/>
          <w:sz w:val="22"/>
          <w:szCs w:val="22"/>
          <w14:ligatures w14:val="none"/>
        </w:rPr>
        <w:t xml:space="preserve"> </w:t>
      </w:r>
      <w:r w:rsidR="00C65221" w:rsidRPr="00880707">
        <w:rPr>
          <w:rFonts w:eastAsia="Times New Roman"/>
          <w:b/>
          <w:bCs/>
          <w:color w:val="262626"/>
          <w:kern w:val="0"/>
          <w:sz w:val="22"/>
          <w:szCs w:val="22"/>
          <w14:ligatures w14:val="none"/>
        </w:rPr>
        <w:t xml:space="preserve">Section </w:t>
      </w:r>
      <w:r w:rsidR="00405DB7" w:rsidRPr="00880707">
        <w:rPr>
          <w:rFonts w:eastAsia="Times New Roman"/>
          <w:b/>
          <w:bCs/>
          <w:color w:val="262626"/>
          <w:kern w:val="0"/>
          <w:sz w:val="22"/>
          <w:szCs w:val="22"/>
          <w14:ligatures w14:val="none"/>
        </w:rPr>
        <w:t>1 of Schedule 1</w:t>
      </w:r>
      <w:r w:rsidR="00C65221" w:rsidRPr="00880707">
        <w:rPr>
          <w:rFonts w:eastAsia="Times New Roman"/>
          <w:b/>
          <w:bCs/>
          <w:color w:val="262626"/>
          <w:kern w:val="0"/>
          <w:sz w:val="22"/>
          <w:szCs w:val="22"/>
          <w14:ligatures w14:val="none"/>
        </w:rPr>
        <w:t xml:space="preserve"> (heading)</w:t>
      </w:r>
    </w:p>
    <w:p w14:paraId="0651B8C2" w14:textId="398AC6A6" w:rsidR="00681451" w:rsidRPr="00880707" w:rsidRDefault="0075118D" w:rsidP="002764B8">
      <w:pPr>
        <w:spacing w:after="0" w:line="240" w:lineRule="auto"/>
        <w:ind w:right="91"/>
        <w:rPr>
          <w:rFonts w:eastAsia="Times New Roman"/>
          <w:b/>
          <w:bCs/>
          <w:color w:val="262626"/>
          <w:kern w:val="0"/>
          <w:sz w:val="20"/>
          <w:szCs w:val="20"/>
          <w14:ligatures w14:val="none"/>
        </w:rPr>
      </w:pPr>
      <w:r w:rsidRPr="00880707">
        <w:rPr>
          <w:rFonts w:eastAsia="Times New Roman"/>
          <w:sz w:val="22"/>
          <w:szCs w:val="22"/>
        </w:rPr>
        <w:t>Item</w:t>
      </w:r>
      <w:r w:rsidR="00405DB7" w:rsidRPr="00880707">
        <w:rPr>
          <w:rFonts w:eastAsia="Times New Roman"/>
          <w:sz w:val="22"/>
          <w:szCs w:val="22"/>
        </w:rPr>
        <w:t>s</w:t>
      </w:r>
      <w:r w:rsidRPr="00880707">
        <w:rPr>
          <w:rFonts w:eastAsia="Times New Roman"/>
          <w:sz w:val="22"/>
          <w:szCs w:val="22"/>
        </w:rPr>
        <w:t xml:space="preserve"> 6 </w:t>
      </w:r>
      <w:r w:rsidR="00405DB7" w:rsidRPr="00880707">
        <w:rPr>
          <w:rFonts w:eastAsia="Times New Roman"/>
          <w:sz w:val="22"/>
          <w:szCs w:val="22"/>
        </w:rPr>
        <w:t xml:space="preserve">and 8 </w:t>
      </w:r>
      <w:r w:rsidRPr="00880707">
        <w:rPr>
          <w:rFonts w:eastAsia="Times New Roman"/>
          <w:sz w:val="22"/>
          <w:szCs w:val="22"/>
        </w:rPr>
        <w:t xml:space="preserve">amend the heading of Schedule 1 </w:t>
      </w:r>
      <w:r w:rsidR="00405DB7" w:rsidRPr="00880707">
        <w:rPr>
          <w:rFonts w:eastAsia="Times New Roman"/>
          <w:sz w:val="22"/>
          <w:szCs w:val="22"/>
        </w:rPr>
        <w:t xml:space="preserve">and the </w:t>
      </w:r>
      <w:r w:rsidR="003D220C" w:rsidRPr="00880707">
        <w:rPr>
          <w:rFonts w:eastAsia="Times New Roman"/>
          <w:sz w:val="22"/>
          <w:szCs w:val="22"/>
        </w:rPr>
        <w:t>heading of Item 1 of Schedule 1, respectively</w:t>
      </w:r>
      <w:r w:rsidR="00C65221" w:rsidRPr="00880707">
        <w:rPr>
          <w:rFonts w:eastAsia="Times New Roman"/>
          <w:sz w:val="22"/>
          <w:szCs w:val="22"/>
        </w:rPr>
        <w:t>. The amendments</w:t>
      </w:r>
      <w:r w:rsidRPr="00880707">
        <w:rPr>
          <w:rFonts w:eastAsia="Times New Roman"/>
          <w:sz w:val="22"/>
          <w:szCs w:val="22"/>
        </w:rPr>
        <w:t xml:space="preserve"> make </w:t>
      </w:r>
      <w:r w:rsidR="003D220C" w:rsidRPr="00880707">
        <w:rPr>
          <w:rFonts w:eastAsia="Times New Roman"/>
          <w:sz w:val="22"/>
          <w:szCs w:val="22"/>
        </w:rPr>
        <w:t xml:space="preserve">clear </w:t>
      </w:r>
      <w:r w:rsidRPr="00880707">
        <w:rPr>
          <w:rFonts w:eastAsia="Times New Roman"/>
          <w:sz w:val="22"/>
          <w:szCs w:val="22"/>
        </w:rPr>
        <w:t>that it is any pharmaceutical benefit having a drug listed in an item in the schedule that can be supplied without a prescription</w:t>
      </w:r>
      <w:r w:rsidR="00F45A3D" w:rsidRPr="00880707">
        <w:rPr>
          <w:rFonts w:eastAsia="Times New Roman"/>
          <w:sz w:val="22"/>
          <w:szCs w:val="22"/>
        </w:rPr>
        <w:t xml:space="preserve"> under Continued Dispensing arrangements</w:t>
      </w:r>
      <w:r w:rsidRPr="00880707">
        <w:rPr>
          <w:rFonts w:eastAsia="Times New Roman"/>
          <w:sz w:val="22"/>
          <w:szCs w:val="22"/>
        </w:rPr>
        <w:t xml:space="preserve">. </w:t>
      </w:r>
    </w:p>
    <w:p w14:paraId="632D7CCF" w14:textId="77777777" w:rsidR="00681451" w:rsidRPr="00880707" w:rsidRDefault="00681451" w:rsidP="002764B8">
      <w:pPr>
        <w:spacing w:after="0" w:line="240" w:lineRule="auto"/>
        <w:ind w:right="91"/>
        <w:rPr>
          <w:rFonts w:eastAsia="Times New Roman"/>
          <w:color w:val="262626"/>
          <w:kern w:val="0"/>
          <w:sz w:val="22"/>
          <w:szCs w:val="22"/>
          <w14:ligatures w14:val="none"/>
        </w:rPr>
      </w:pPr>
    </w:p>
    <w:p w14:paraId="68F39891" w14:textId="77777777" w:rsidR="00837AAC" w:rsidRPr="00880707" w:rsidRDefault="00F45A3D" w:rsidP="002764B8">
      <w:pPr>
        <w:spacing w:after="0" w:line="240" w:lineRule="auto"/>
        <w:ind w:right="91"/>
        <w:rPr>
          <w:rFonts w:eastAsia="Times New Roman"/>
          <w:b/>
          <w:bCs/>
        </w:rPr>
      </w:pPr>
      <w:r w:rsidRPr="00880707">
        <w:rPr>
          <w:rFonts w:eastAsia="Times New Roman"/>
          <w:b/>
          <w:bCs/>
          <w:color w:val="262626"/>
          <w:kern w:val="0"/>
          <w:sz w:val="22"/>
          <w:szCs w:val="22"/>
          <w14:ligatures w14:val="none"/>
        </w:rPr>
        <w:t xml:space="preserve">Item 7 - </w:t>
      </w:r>
      <w:r w:rsidR="00837AAC" w:rsidRPr="00880707">
        <w:rPr>
          <w:rFonts w:eastAsia="Times New Roman"/>
          <w:b/>
          <w:bCs/>
        </w:rPr>
        <w:t>Schedule 1 (note to Schedule heading)</w:t>
      </w:r>
    </w:p>
    <w:p w14:paraId="6430EEAE" w14:textId="75150A8B" w:rsidR="00837AAC" w:rsidRPr="00880707" w:rsidRDefault="00837AAC" w:rsidP="002764B8">
      <w:pPr>
        <w:spacing w:after="0" w:line="240" w:lineRule="auto"/>
        <w:rPr>
          <w:rFonts w:eastAsia="Times New Roman"/>
          <w:sz w:val="22"/>
          <w:szCs w:val="22"/>
        </w:rPr>
      </w:pPr>
      <w:r w:rsidRPr="00880707">
        <w:rPr>
          <w:rFonts w:eastAsia="Times New Roman"/>
          <w:sz w:val="22"/>
          <w:szCs w:val="22"/>
        </w:rPr>
        <w:t xml:space="preserve">Item 7 amends the section reference in the note to the heading </w:t>
      </w:r>
      <w:r w:rsidR="0048505D" w:rsidRPr="00880707">
        <w:rPr>
          <w:rFonts w:eastAsia="Times New Roman"/>
          <w:sz w:val="22"/>
          <w:szCs w:val="22"/>
        </w:rPr>
        <w:t xml:space="preserve">to </w:t>
      </w:r>
      <w:r w:rsidRPr="00880707">
        <w:rPr>
          <w:rFonts w:eastAsia="Times New Roman"/>
          <w:sz w:val="22"/>
          <w:szCs w:val="22"/>
        </w:rPr>
        <w:t xml:space="preserve">Schedule </w:t>
      </w:r>
      <w:r w:rsidR="0048505D" w:rsidRPr="00880707">
        <w:rPr>
          <w:rFonts w:eastAsia="Times New Roman"/>
          <w:sz w:val="22"/>
          <w:szCs w:val="22"/>
        </w:rPr>
        <w:t xml:space="preserve">1 </w:t>
      </w:r>
      <w:r w:rsidRPr="00880707">
        <w:rPr>
          <w:rFonts w:eastAsia="Times New Roman"/>
          <w:sz w:val="22"/>
          <w:szCs w:val="22"/>
        </w:rPr>
        <w:t xml:space="preserve">to reflect that </w:t>
      </w:r>
      <w:r w:rsidR="0048505D" w:rsidRPr="00880707">
        <w:rPr>
          <w:rFonts w:eastAsia="Times New Roman"/>
          <w:sz w:val="22"/>
          <w:szCs w:val="22"/>
        </w:rPr>
        <w:t>the s</w:t>
      </w:r>
      <w:r w:rsidRPr="00880707">
        <w:rPr>
          <w:rFonts w:eastAsia="Times New Roman"/>
          <w:sz w:val="22"/>
          <w:szCs w:val="22"/>
        </w:rPr>
        <w:t xml:space="preserve">chedule </w:t>
      </w:r>
      <w:r w:rsidR="0048505D" w:rsidRPr="00880707">
        <w:rPr>
          <w:rFonts w:eastAsia="Times New Roman"/>
          <w:sz w:val="22"/>
          <w:szCs w:val="22"/>
        </w:rPr>
        <w:t xml:space="preserve">is </w:t>
      </w:r>
      <w:r w:rsidRPr="00880707">
        <w:rPr>
          <w:rFonts w:eastAsia="Times New Roman"/>
          <w:sz w:val="22"/>
          <w:szCs w:val="22"/>
        </w:rPr>
        <w:t>made for the purposes of section 2.01 rather than section 3.01.</w:t>
      </w:r>
    </w:p>
    <w:p w14:paraId="67240A88" w14:textId="77777777" w:rsidR="00D822A5" w:rsidRPr="00880707" w:rsidRDefault="00D822A5" w:rsidP="002764B8">
      <w:pPr>
        <w:spacing w:after="0" w:line="240" w:lineRule="auto"/>
        <w:rPr>
          <w:rFonts w:eastAsia="Times New Roman"/>
        </w:rPr>
      </w:pPr>
    </w:p>
    <w:p w14:paraId="5D27844A" w14:textId="47DE15DE" w:rsidR="00980BE0" w:rsidRPr="00880707" w:rsidRDefault="0048505D" w:rsidP="002764B8">
      <w:pPr>
        <w:spacing w:after="0" w:line="240" w:lineRule="auto"/>
        <w:ind w:right="91"/>
        <w:rPr>
          <w:rFonts w:eastAsia="Times New Roman"/>
          <w:b/>
          <w:bCs/>
          <w:color w:val="262626"/>
          <w:kern w:val="0"/>
          <w:sz w:val="22"/>
          <w:szCs w:val="22"/>
          <w14:ligatures w14:val="none"/>
        </w:rPr>
      </w:pPr>
      <w:r w:rsidRPr="00880707">
        <w:rPr>
          <w:rFonts w:eastAsia="Times New Roman"/>
          <w:b/>
          <w:bCs/>
          <w:color w:val="262626"/>
          <w:kern w:val="0"/>
          <w:sz w:val="22"/>
          <w:szCs w:val="22"/>
          <w14:ligatures w14:val="none"/>
        </w:rPr>
        <w:t xml:space="preserve">Item </w:t>
      </w:r>
      <w:r w:rsidR="00670D5B" w:rsidRPr="00880707">
        <w:rPr>
          <w:rFonts w:eastAsia="Times New Roman"/>
          <w:b/>
          <w:bCs/>
          <w:color w:val="262626"/>
          <w:kern w:val="0"/>
          <w:sz w:val="22"/>
          <w:szCs w:val="22"/>
          <w14:ligatures w14:val="none"/>
        </w:rPr>
        <w:t xml:space="preserve">9 - </w:t>
      </w:r>
      <w:r w:rsidR="00183C2D" w:rsidRPr="00880707">
        <w:rPr>
          <w:rFonts w:eastAsia="Times New Roman"/>
          <w:b/>
          <w:bCs/>
          <w:color w:val="262626"/>
          <w:kern w:val="0"/>
          <w:sz w:val="22"/>
          <w:szCs w:val="22"/>
          <w14:ligatures w14:val="none"/>
        </w:rPr>
        <w:t>Section 1 of Schedule 1 (after table item 28)</w:t>
      </w:r>
    </w:p>
    <w:p w14:paraId="2BD87DC1" w14:textId="66D0B145" w:rsidR="00FA6908" w:rsidRPr="00880707" w:rsidRDefault="00980BE0" w:rsidP="002764B8">
      <w:pPr>
        <w:spacing w:after="0" w:line="240" w:lineRule="auto"/>
        <w:rPr>
          <w:sz w:val="22"/>
          <w:szCs w:val="22"/>
        </w:rPr>
      </w:pPr>
      <w:r w:rsidRPr="00880707">
        <w:rPr>
          <w:rFonts w:eastAsia="Times New Roman"/>
          <w:color w:val="262626"/>
          <w:kern w:val="0"/>
          <w:sz w:val="22"/>
          <w:szCs w:val="22"/>
          <w14:ligatures w14:val="none"/>
        </w:rPr>
        <w:t xml:space="preserve">Item </w:t>
      </w:r>
      <w:r w:rsidR="00670D5B" w:rsidRPr="00880707">
        <w:rPr>
          <w:rFonts w:eastAsia="Times New Roman"/>
          <w:color w:val="262626"/>
          <w:kern w:val="0"/>
          <w:sz w:val="22"/>
          <w:szCs w:val="22"/>
          <w14:ligatures w14:val="none"/>
        </w:rPr>
        <w:t xml:space="preserve">9 </w:t>
      </w:r>
      <w:r w:rsidR="00670D5B" w:rsidRPr="00880707">
        <w:rPr>
          <w:sz w:val="22"/>
          <w:szCs w:val="22"/>
        </w:rPr>
        <w:t xml:space="preserve">inserts a new </w:t>
      </w:r>
      <w:r w:rsidR="00FA6908" w:rsidRPr="00880707">
        <w:rPr>
          <w:sz w:val="22"/>
          <w:szCs w:val="22"/>
        </w:rPr>
        <w:t xml:space="preserve">listed drug to the </w:t>
      </w:r>
      <w:r w:rsidR="00766F19" w:rsidRPr="00880707">
        <w:rPr>
          <w:sz w:val="22"/>
          <w:szCs w:val="22"/>
        </w:rPr>
        <w:t xml:space="preserve">table to section 1.  A pharmaceutical benefit that has a drug </w:t>
      </w:r>
      <w:r w:rsidR="00C86C7D" w:rsidRPr="00880707">
        <w:rPr>
          <w:sz w:val="22"/>
          <w:szCs w:val="22"/>
        </w:rPr>
        <w:t xml:space="preserve">included in the table </w:t>
      </w:r>
      <w:r w:rsidR="00FA6908" w:rsidRPr="00880707">
        <w:rPr>
          <w:sz w:val="22"/>
          <w:szCs w:val="22"/>
        </w:rPr>
        <w:t>can be supplied as a Continued Dispensing supply</w:t>
      </w:r>
      <w:r w:rsidR="006E4E1C" w:rsidRPr="00880707">
        <w:rPr>
          <w:sz w:val="22"/>
          <w:szCs w:val="22"/>
        </w:rPr>
        <w:t xml:space="preserve">. </w:t>
      </w:r>
      <w:r w:rsidR="00FA6908" w:rsidRPr="00880707">
        <w:rPr>
          <w:sz w:val="22"/>
          <w:szCs w:val="22"/>
        </w:rPr>
        <w:t>This change is summarised below.</w:t>
      </w:r>
    </w:p>
    <w:p w14:paraId="2D8C3E98" w14:textId="1E84D2F2" w:rsidR="00FA6908" w:rsidRPr="00880707" w:rsidRDefault="00FA6908" w:rsidP="002764B8">
      <w:pPr>
        <w:pStyle w:val="Item"/>
        <w:keepLines w:val="0"/>
        <w:widowControl w:val="0"/>
        <w:spacing w:before="360"/>
        <w:ind w:left="0"/>
        <w:jc w:val="center"/>
        <w:rPr>
          <w:b/>
          <w:sz w:val="24"/>
          <w:szCs w:val="22"/>
        </w:rPr>
      </w:pPr>
      <w:r w:rsidRPr="00880707">
        <w:rPr>
          <w:b/>
          <w:szCs w:val="22"/>
        </w:rPr>
        <w:t xml:space="preserve">SUMMARY OF CHANGES TO THE CONTINUED DISPENSING MEASURE </w:t>
      </w:r>
      <w:r w:rsidRPr="00880707">
        <w:rPr>
          <w:b/>
          <w:szCs w:val="22"/>
        </w:rPr>
        <w:br/>
        <w:t>MADE BY THIS INSTRUMENT</w:t>
      </w:r>
    </w:p>
    <w:p w14:paraId="784A1ED0" w14:textId="77777777" w:rsidR="00FA6908" w:rsidRPr="00880707" w:rsidRDefault="00FA6908" w:rsidP="002764B8">
      <w:pPr>
        <w:widowControl w:val="0"/>
        <w:spacing w:before="360" w:after="0"/>
        <w:rPr>
          <w:b/>
        </w:rPr>
      </w:pPr>
      <w:r w:rsidRPr="00880707">
        <w:rPr>
          <w:b/>
        </w:rPr>
        <w:t>Drug Added</w:t>
      </w:r>
    </w:p>
    <w:tbl>
      <w:tblPr>
        <w:tblStyle w:val="TableGrid"/>
        <w:tblW w:w="2201" w:type="pct"/>
        <w:tblLayout w:type="fixed"/>
        <w:tblLook w:val="04A0" w:firstRow="1" w:lastRow="0" w:firstColumn="1" w:lastColumn="0" w:noHBand="0" w:noVBand="1"/>
      </w:tblPr>
      <w:tblGrid>
        <w:gridCol w:w="3973"/>
      </w:tblGrid>
      <w:tr w:rsidR="00FA6908" w:rsidRPr="00880707" w14:paraId="13D2CAAE" w14:textId="77777777" w:rsidTr="00605406">
        <w:trPr>
          <w:trHeight w:val="15"/>
        </w:trPr>
        <w:tc>
          <w:tcPr>
            <w:tcW w:w="3974" w:type="dxa"/>
          </w:tcPr>
          <w:p w14:paraId="4E8D0A59" w14:textId="77777777" w:rsidR="00FA6908" w:rsidRPr="00880707" w:rsidRDefault="00FA6908" w:rsidP="00605406">
            <w:pPr>
              <w:spacing w:before="60" w:after="60"/>
              <w:ind w:left="-108"/>
              <w:rPr>
                <w:rFonts w:eastAsia="Arial"/>
                <w:sz w:val="22"/>
                <w:szCs w:val="22"/>
                <w:lang w:eastAsia="zh-CN"/>
              </w:rPr>
            </w:pPr>
            <w:r w:rsidRPr="00880707">
              <w:rPr>
                <w:b/>
                <w:i/>
                <w:sz w:val="22"/>
              </w:rPr>
              <w:t>Listed Drug</w:t>
            </w:r>
          </w:p>
        </w:tc>
      </w:tr>
      <w:tr w:rsidR="00FA6908" w:rsidRPr="00880707" w14:paraId="22D8B05B" w14:textId="77777777" w:rsidTr="00605406">
        <w:trPr>
          <w:trHeight w:val="15"/>
        </w:trPr>
        <w:tc>
          <w:tcPr>
            <w:tcW w:w="3974" w:type="dxa"/>
          </w:tcPr>
          <w:p w14:paraId="18B64097" w14:textId="77777777" w:rsidR="00FA6908" w:rsidRPr="00880707" w:rsidRDefault="00FA6908" w:rsidP="00605406">
            <w:pPr>
              <w:widowControl w:val="0"/>
              <w:spacing w:before="60" w:after="60"/>
              <w:ind w:left="-108"/>
              <w:rPr>
                <w:sz w:val="22"/>
                <w:szCs w:val="22"/>
              </w:rPr>
            </w:pPr>
            <w:bookmarkStart w:id="3" w:name="_Hlk180132813"/>
            <w:r w:rsidRPr="00880707">
              <w:rPr>
                <w:sz w:val="22"/>
                <w:szCs w:val="28"/>
              </w:rPr>
              <w:t>Dapagliflozin with sitagliptin</w:t>
            </w:r>
            <w:bookmarkEnd w:id="3"/>
          </w:p>
        </w:tc>
      </w:tr>
    </w:tbl>
    <w:p w14:paraId="589938CA" w14:textId="77777777" w:rsidR="008C316C" w:rsidRPr="00880707" w:rsidRDefault="008C316C">
      <w:r w:rsidRPr="00880707">
        <w:br w:type="page"/>
      </w:r>
    </w:p>
    <w:p w14:paraId="3B06970F" w14:textId="77777777" w:rsidR="00EF0E0E" w:rsidRPr="00880707" w:rsidRDefault="00EF0E0E" w:rsidP="00EF0E0E">
      <w:pPr>
        <w:spacing w:before="240" w:after="0" w:line="240" w:lineRule="auto"/>
        <w:jc w:val="center"/>
        <w:rPr>
          <w:rFonts w:eastAsia="Times New Roman"/>
          <w:b/>
          <w:kern w:val="0"/>
          <w:sz w:val="26"/>
          <w:szCs w:val="26"/>
          <w:lang w:eastAsia="en-AU"/>
          <w14:ligatures w14:val="none"/>
        </w:rPr>
      </w:pPr>
      <w:r w:rsidRPr="00880707">
        <w:rPr>
          <w:rFonts w:eastAsia="Times New Roman"/>
          <w:b/>
          <w:kern w:val="0"/>
          <w:sz w:val="26"/>
          <w:szCs w:val="26"/>
          <w:lang w:eastAsia="en-AU"/>
          <w14:ligatures w14:val="none"/>
        </w:rPr>
        <w:lastRenderedPageBreak/>
        <w:t>Statement of Compatibility with Human Rights</w:t>
      </w:r>
    </w:p>
    <w:p w14:paraId="06DDF7E3" w14:textId="77777777" w:rsidR="00EF0E0E" w:rsidRPr="00880707" w:rsidRDefault="00EF0E0E" w:rsidP="00EF0E0E">
      <w:pPr>
        <w:spacing w:before="120" w:after="0" w:line="240" w:lineRule="auto"/>
        <w:jc w:val="center"/>
        <w:rPr>
          <w:rFonts w:eastAsia="Times New Roman"/>
          <w:i/>
          <w:kern w:val="0"/>
          <w:sz w:val="22"/>
          <w:szCs w:val="22"/>
          <w:lang w:eastAsia="en-AU"/>
          <w14:ligatures w14:val="none"/>
        </w:rPr>
      </w:pPr>
      <w:r w:rsidRPr="00880707">
        <w:rPr>
          <w:rFonts w:eastAsia="Times New Roman"/>
          <w:i/>
          <w:kern w:val="0"/>
          <w:sz w:val="22"/>
          <w:szCs w:val="22"/>
          <w:lang w:eastAsia="en-AU"/>
          <w14:ligatures w14:val="none"/>
        </w:rPr>
        <w:t>Prepared in accordance with Part 3 of the Human Rights (Parliamentary Scrutiny) Act 2011</w:t>
      </w:r>
    </w:p>
    <w:p w14:paraId="0C7B865A" w14:textId="10C23D84" w:rsidR="00EF0E0E" w:rsidRPr="00880707" w:rsidRDefault="00EF0E0E" w:rsidP="00EF0E0E">
      <w:pPr>
        <w:spacing w:before="360" w:after="0" w:line="240" w:lineRule="auto"/>
        <w:jc w:val="center"/>
        <w:rPr>
          <w:rFonts w:eastAsia="Times New Roman"/>
          <w:b/>
          <w:i/>
          <w:kern w:val="0"/>
          <w:sz w:val="22"/>
          <w:szCs w:val="22"/>
          <w:lang w:eastAsia="en-AU"/>
          <w14:ligatures w14:val="none"/>
        </w:rPr>
      </w:pPr>
      <w:r w:rsidRPr="00880707">
        <w:rPr>
          <w:rFonts w:eastAsia="Times New Roman"/>
          <w:b/>
          <w:i/>
          <w:kern w:val="0"/>
          <w:lang w:eastAsia="en-AU"/>
          <w14:ligatures w14:val="none"/>
        </w:rPr>
        <w:t xml:space="preserve">National Health (Continued Dispensing) Amendment Determination 2024 (No. </w:t>
      </w:r>
      <w:r w:rsidR="000068BC" w:rsidRPr="00880707">
        <w:rPr>
          <w:rFonts w:eastAsia="Times New Roman"/>
          <w:b/>
          <w:i/>
          <w:kern w:val="0"/>
          <w:lang w:eastAsia="en-AU"/>
          <w14:ligatures w14:val="none"/>
        </w:rPr>
        <w:t>3</w:t>
      </w:r>
      <w:r w:rsidRPr="00880707">
        <w:rPr>
          <w:rFonts w:eastAsia="Times New Roman"/>
          <w:b/>
          <w:i/>
          <w:kern w:val="0"/>
          <w:lang w:eastAsia="en-AU"/>
          <w14:ligatures w14:val="none"/>
        </w:rPr>
        <w:t>)</w:t>
      </w:r>
    </w:p>
    <w:p w14:paraId="79DDD7B9" w14:textId="2481D6AA" w:rsidR="00EF0E0E" w:rsidRPr="00880707" w:rsidRDefault="00EF0E0E" w:rsidP="00EF0E0E">
      <w:pPr>
        <w:spacing w:before="120" w:after="0" w:line="240" w:lineRule="auto"/>
        <w:jc w:val="center"/>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 xml:space="preserve">(PB </w:t>
      </w:r>
      <w:r w:rsidR="00FA6908" w:rsidRPr="00880707">
        <w:rPr>
          <w:rFonts w:eastAsia="Times New Roman"/>
          <w:b/>
          <w:kern w:val="0"/>
          <w:sz w:val="22"/>
          <w:szCs w:val="22"/>
          <w:lang w:eastAsia="en-AU"/>
          <w14:ligatures w14:val="none"/>
        </w:rPr>
        <w:t>114</w:t>
      </w:r>
      <w:r w:rsidRPr="00880707">
        <w:rPr>
          <w:rFonts w:eastAsia="Times New Roman"/>
          <w:b/>
          <w:kern w:val="0"/>
          <w:sz w:val="22"/>
          <w:szCs w:val="22"/>
          <w:lang w:eastAsia="en-AU"/>
          <w14:ligatures w14:val="none"/>
        </w:rPr>
        <w:t xml:space="preserve"> of 2024)</w:t>
      </w:r>
    </w:p>
    <w:p w14:paraId="4EA9DAC7" w14:textId="77777777" w:rsidR="00EF0E0E" w:rsidRPr="00880707" w:rsidRDefault="00EF0E0E" w:rsidP="00EF0E0E">
      <w:pPr>
        <w:spacing w:before="36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This legislative instrument is compatible with the human rights and freedoms recognised or declared in the international instruments listed in section 3 of the </w:t>
      </w:r>
      <w:r w:rsidRPr="00880707">
        <w:rPr>
          <w:rFonts w:eastAsia="Times New Roman"/>
          <w:i/>
          <w:kern w:val="0"/>
          <w:sz w:val="22"/>
          <w:szCs w:val="22"/>
          <w:lang w:eastAsia="en-AU"/>
          <w14:ligatures w14:val="none"/>
        </w:rPr>
        <w:t>Human Rights (Parliamentary Scrutiny) Act 2011.</w:t>
      </w:r>
    </w:p>
    <w:p w14:paraId="653AE6D2" w14:textId="77777777" w:rsidR="00EF0E0E" w:rsidRPr="00880707" w:rsidRDefault="00EF0E0E" w:rsidP="00EF0E0E">
      <w:pPr>
        <w:spacing w:before="120" w:after="0" w:line="240" w:lineRule="auto"/>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Overview of the Legislative Instrument</w:t>
      </w:r>
    </w:p>
    <w:p w14:paraId="1FB60106" w14:textId="3E5CB87A" w:rsidR="00EF0E0E" w:rsidRPr="00880707" w:rsidRDefault="00EF0E0E" w:rsidP="00EF0E0E">
      <w:pPr>
        <w:spacing w:before="120" w:after="0" w:line="240" w:lineRule="auto"/>
        <w:ind w:right="-164"/>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The </w:t>
      </w:r>
      <w:r w:rsidRPr="00880707">
        <w:rPr>
          <w:rFonts w:eastAsia="Times New Roman"/>
          <w:i/>
          <w:kern w:val="0"/>
          <w:sz w:val="22"/>
          <w:szCs w:val="22"/>
          <w:lang w:eastAsia="en-AU"/>
          <w14:ligatures w14:val="none"/>
        </w:rPr>
        <w:t>National Health (</w:t>
      </w:r>
      <w:r w:rsidRPr="00880707">
        <w:rPr>
          <w:rFonts w:eastAsia="Times New Roman"/>
          <w:bCs/>
          <w:i/>
          <w:kern w:val="0"/>
          <w:sz w:val="22"/>
          <w:szCs w:val="22"/>
          <w:lang w:eastAsia="en-AU"/>
          <w14:ligatures w14:val="none"/>
        </w:rPr>
        <w:t>Continued Dispensing</w:t>
      </w:r>
      <w:r w:rsidRPr="00880707">
        <w:rPr>
          <w:rFonts w:eastAsia="Times New Roman"/>
          <w:i/>
          <w:kern w:val="0"/>
          <w:sz w:val="22"/>
          <w:szCs w:val="22"/>
          <w:lang w:eastAsia="en-AU"/>
          <w14:ligatures w14:val="none"/>
        </w:rPr>
        <w:t xml:space="preserve">) Amendment Determination 2024 (No. </w:t>
      </w:r>
      <w:r w:rsidR="000068BC" w:rsidRPr="00880707">
        <w:rPr>
          <w:rFonts w:eastAsia="Times New Roman"/>
          <w:i/>
          <w:kern w:val="0"/>
          <w:sz w:val="22"/>
          <w:szCs w:val="22"/>
          <w:lang w:eastAsia="en-AU"/>
          <w14:ligatures w14:val="none"/>
        </w:rPr>
        <w:t>3</w:t>
      </w:r>
      <w:r w:rsidRPr="00880707">
        <w:rPr>
          <w:rFonts w:eastAsia="Times New Roman"/>
          <w:i/>
          <w:kern w:val="0"/>
          <w:sz w:val="22"/>
          <w:szCs w:val="22"/>
          <w:lang w:eastAsia="en-AU"/>
          <w14:ligatures w14:val="none"/>
        </w:rPr>
        <w:t xml:space="preserve">) </w:t>
      </w:r>
      <w:bookmarkStart w:id="4" w:name="_Hlk93671560"/>
      <w:r w:rsidRPr="00880707">
        <w:rPr>
          <w:rFonts w:eastAsia="Times New Roman"/>
          <w:kern w:val="0"/>
          <w:sz w:val="22"/>
          <w:szCs w:val="22"/>
          <w:lang w:eastAsia="en-AU"/>
          <w14:ligatures w14:val="none"/>
        </w:rPr>
        <w:t>(the Instrument)</w:t>
      </w:r>
      <w:bookmarkEnd w:id="4"/>
      <w:r w:rsidRPr="00880707">
        <w:rPr>
          <w:rFonts w:eastAsia="Times New Roman"/>
          <w:kern w:val="0"/>
          <w:sz w:val="22"/>
          <w:szCs w:val="22"/>
          <w:lang w:eastAsia="en-AU"/>
          <w14:ligatures w14:val="none"/>
        </w:rPr>
        <w:t xml:space="preserve"> amends the </w:t>
      </w:r>
      <w:r w:rsidRPr="00880707">
        <w:rPr>
          <w:rFonts w:eastAsia="Times New Roman"/>
          <w:i/>
          <w:kern w:val="0"/>
          <w:sz w:val="22"/>
          <w:szCs w:val="22"/>
          <w:lang w:eastAsia="en-AU"/>
          <w14:ligatures w14:val="none"/>
        </w:rPr>
        <w:t>National Health (</w:t>
      </w:r>
      <w:r w:rsidRPr="00880707">
        <w:rPr>
          <w:rFonts w:eastAsia="Times New Roman"/>
          <w:bCs/>
          <w:i/>
          <w:kern w:val="0"/>
          <w:sz w:val="22"/>
          <w:szCs w:val="22"/>
          <w:lang w:eastAsia="en-AU"/>
          <w14:ligatures w14:val="none"/>
        </w:rPr>
        <w:t>Continued Dispensing</w:t>
      </w:r>
      <w:r w:rsidRPr="00880707">
        <w:rPr>
          <w:rFonts w:eastAsia="Times New Roman"/>
          <w:i/>
          <w:kern w:val="0"/>
          <w:sz w:val="22"/>
          <w:szCs w:val="22"/>
          <w:lang w:eastAsia="en-AU"/>
          <w14:ligatures w14:val="none"/>
        </w:rPr>
        <w:t xml:space="preserve">) Determination 2022 </w:t>
      </w:r>
      <w:r w:rsidRPr="00880707">
        <w:rPr>
          <w:rFonts w:eastAsia="Times New Roman"/>
          <w:kern w:val="0"/>
          <w:sz w:val="22"/>
          <w:szCs w:val="22"/>
          <w:lang w:eastAsia="en-AU"/>
          <w14:ligatures w14:val="none"/>
        </w:rPr>
        <w:t>(the Principal Instrument) which</w:t>
      </w:r>
      <w:r w:rsidR="005D3AE3" w:rsidRPr="00880707">
        <w:rPr>
          <w:rFonts w:eastAsia="Times New Roman"/>
          <w:kern w:val="0"/>
          <w:sz w:val="22"/>
          <w:szCs w:val="22"/>
          <w:lang w:eastAsia="en-AU"/>
          <w14:ligatures w14:val="none"/>
        </w:rPr>
        <w:t xml:space="preserve"> </w:t>
      </w:r>
      <w:r w:rsidR="006D601D" w:rsidRPr="00880707">
        <w:rPr>
          <w:rFonts w:eastAsia="Times New Roman"/>
          <w:kern w:val="0"/>
          <w:sz w:val="22"/>
          <w:szCs w:val="22"/>
          <w:lang w:eastAsia="en-AU"/>
          <w14:ligatures w14:val="none"/>
        </w:rPr>
        <w:t xml:space="preserve">lists the </w:t>
      </w:r>
      <w:r w:rsidR="00733C42" w:rsidRPr="00880707">
        <w:rPr>
          <w:rFonts w:eastAsia="Times New Roman"/>
          <w:kern w:val="0"/>
          <w:sz w:val="22"/>
          <w:szCs w:val="22"/>
          <w:lang w:eastAsia="en-AU"/>
          <w14:ligatures w14:val="none"/>
        </w:rPr>
        <w:t xml:space="preserve">pharmaceutical benefits </w:t>
      </w:r>
      <w:r w:rsidR="006D601D" w:rsidRPr="00880707">
        <w:rPr>
          <w:rFonts w:eastAsia="Times New Roman"/>
          <w:kern w:val="0"/>
          <w:sz w:val="22"/>
          <w:szCs w:val="22"/>
          <w:lang w:eastAsia="en-AU"/>
          <w14:ligatures w14:val="none"/>
        </w:rPr>
        <w:t xml:space="preserve">that can be supplied </w:t>
      </w:r>
      <w:r w:rsidRPr="00880707">
        <w:rPr>
          <w:rFonts w:eastAsia="Times New Roman"/>
          <w:kern w:val="0"/>
          <w:sz w:val="22"/>
          <w:szCs w:val="22"/>
          <w:lang w:eastAsia="en-AU"/>
          <w14:ligatures w14:val="none"/>
        </w:rPr>
        <w:t xml:space="preserve">by an approved pharmacist under Part VII of the </w:t>
      </w:r>
      <w:r w:rsidRPr="00880707">
        <w:rPr>
          <w:rFonts w:eastAsia="Times New Roman"/>
          <w:i/>
          <w:kern w:val="0"/>
          <w:sz w:val="22"/>
          <w:szCs w:val="22"/>
          <w:lang w:eastAsia="en-AU"/>
          <w14:ligatures w14:val="none"/>
        </w:rPr>
        <w:t xml:space="preserve">National Health Act 1953 </w:t>
      </w:r>
      <w:r w:rsidRPr="00880707">
        <w:rPr>
          <w:rFonts w:eastAsia="Times New Roman"/>
          <w:kern w:val="0"/>
          <w:sz w:val="22"/>
          <w:szCs w:val="22"/>
          <w:lang w:eastAsia="en-AU"/>
          <w14:ligatures w14:val="none"/>
        </w:rPr>
        <w:t>without a prescription, and the conditions for such a supply (‘Continued Dispensing’).</w:t>
      </w:r>
    </w:p>
    <w:p w14:paraId="24520AE3" w14:textId="70BB70AC" w:rsidR="00EF0E0E" w:rsidRPr="00880707" w:rsidRDefault="00EF0E0E" w:rsidP="00EF0E0E">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Continued Dispensing arrangements enable approved pharmacists to supply pharmaceutical benefits without the presentation of a prescription. The Principal Instrument specifies the pharmaceutical benefits that can be supplied under Continued Dispensing arrangements and the conditions that must be met before an approved pharmacist can make a Continued Dispensing supply, which include that there is an immediate need for the supply and the </w:t>
      </w:r>
      <w:r w:rsidR="00B4422B" w:rsidRPr="00880707">
        <w:rPr>
          <w:rFonts w:eastAsia="Times New Roman"/>
          <w:kern w:val="0"/>
          <w:sz w:val="22"/>
          <w:szCs w:val="22"/>
          <w:lang w:eastAsia="en-AU"/>
          <w14:ligatures w14:val="none"/>
        </w:rPr>
        <w:t>Pharmaceutical Benefits Scheme (</w:t>
      </w:r>
      <w:r w:rsidRPr="00880707">
        <w:rPr>
          <w:rFonts w:eastAsia="Times New Roman"/>
          <w:kern w:val="0"/>
          <w:sz w:val="22"/>
          <w:szCs w:val="22"/>
          <w:lang w:eastAsia="en-AU"/>
          <w14:ligatures w14:val="none"/>
        </w:rPr>
        <w:t>PBS</w:t>
      </w:r>
      <w:r w:rsidR="00B4422B" w:rsidRPr="00880707">
        <w:rPr>
          <w:rFonts w:eastAsia="Times New Roman"/>
          <w:kern w:val="0"/>
          <w:sz w:val="22"/>
          <w:szCs w:val="22"/>
          <w:lang w:eastAsia="en-AU"/>
          <w14:ligatures w14:val="none"/>
        </w:rPr>
        <w:t>)</w:t>
      </w:r>
      <w:r w:rsidRPr="00880707">
        <w:rPr>
          <w:rFonts w:eastAsia="Times New Roman"/>
          <w:kern w:val="0"/>
          <w:sz w:val="22"/>
          <w:szCs w:val="22"/>
          <w:lang w:eastAsia="en-AU"/>
          <w14:ligatures w14:val="none"/>
        </w:rPr>
        <w:t xml:space="preserve"> prescriber cannot be contacted or cannot provide a prescription for the patient electronically. Where an approved pharmacist makes a Continued Dispensing supply, they are required to dispense a maximum quantity of the pharmaceutical benefit. </w:t>
      </w:r>
    </w:p>
    <w:p w14:paraId="7A7879C8" w14:textId="3CEE733D" w:rsidR="00EF0E0E" w:rsidRPr="00880707" w:rsidRDefault="00EF0E0E" w:rsidP="00EF0E0E">
      <w:pPr>
        <w:spacing w:before="120" w:after="0" w:line="240" w:lineRule="auto"/>
        <w:jc w:val="both"/>
        <w:rPr>
          <w:rFonts w:eastAsia="Times New Roman"/>
          <w:b/>
          <w:kern w:val="0"/>
          <w:sz w:val="22"/>
          <w:szCs w:val="22"/>
          <w:lang w:eastAsia="en-AU"/>
          <w14:ligatures w14:val="none"/>
        </w:rPr>
      </w:pPr>
      <w:r w:rsidRPr="00880707">
        <w:rPr>
          <w:rFonts w:eastAsia="Times New Roman"/>
          <w:kern w:val="0"/>
          <w:sz w:val="22"/>
          <w:szCs w:val="22"/>
          <w:lang w:eastAsia="en-AU"/>
          <w14:ligatures w14:val="none"/>
        </w:rPr>
        <w:t>This Instrument</w:t>
      </w:r>
      <w:r w:rsidR="00755806" w:rsidRPr="00880707">
        <w:rPr>
          <w:rFonts w:eastAsia="Times New Roman"/>
          <w:kern w:val="0"/>
          <w:sz w:val="22"/>
          <w:szCs w:val="22"/>
          <w:lang w:eastAsia="en-AU"/>
          <w14:ligatures w14:val="none"/>
        </w:rPr>
        <w:t xml:space="preserve"> </w:t>
      </w:r>
      <w:r w:rsidRPr="00880707">
        <w:rPr>
          <w:rFonts w:eastAsia="Times New Roman"/>
          <w:kern w:val="0"/>
          <w:sz w:val="22"/>
          <w:szCs w:val="22"/>
          <w:lang w:eastAsia="en-AU"/>
          <w14:ligatures w14:val="none"/>
        </w:rPr>
        <w:t xml:space="preserve">provides for amendments to the Principal Instrument to ensure that the Principal Instrument accurately reflects changes to the </w:t>
      </w:r>
      <w:r w:rsidRPr="00880707">
        <w:rPr>
          <w:rFonts w:eastAsia="Times New Roman"/>
          <w:i/>
          <w:kern w:val="0"/>
          <w:sz w:val="22"/>
          <w:szCs w:val="22"/>
          <w:lang w:eastAsia="en-AU"/>
          <w14:ligatures w14:val="none"/>
        </w:rPr>
        <w:t>National Health (Listing of Pharmaceutical Benefits) Instrument 2024</w:t>
      </w:r>
      <w:r w:rsidR="0073266F" w:rsidRPr="00880707">
        <w:rPr>
          <w:rFonts w:eastAsia="Times New Roman"/>
          <w:i/>
          <w:kern w:val="0"/>
          <w:sz w:val="22"/>
          <w:szCs w:val="22"/>
          <w:lang w:eastAsia="en-AU"/>
          <w14:ligatures w14:val="none"/>
        </w:rPr>
        <w:t xml:space="preserve"> </w:t>
      </w:r>
      <w:r w:rsidR="0073266F" w:rsidRPr="00880707">
        <w:rPr>
          <w:rFonts w:eastAsia="Times New Roman"/>
          <w:iCs/>
          <w:kern w:val="0"/>
          <w:sz w:val="22"/>
          <w:szCs w:val="22"/>
          <w:lang w:eastAsia="en-AU"/>
          <w14:ligatures w14:val="none"/>
        </w:rPr>
        <w:t>(the Listing Instrument)</w:t>
      </w:r>
      <w:r w:rsidRPr="00880707">
        <w:rPr>
          <w:rFonts w:eastAsia="Times New Roman"/>
          <w:kern w:val="0"/>
          <w:sz w:val="22"/>
          <w:szCs w:val="22"/>
          <w:lang w:eastAsia="en-AU"/>
          <w14:ligatures w14:val="none"/>
        </w:rPr>
        <w:t>, made under sections 84AF, 84AK, 85, 85A, 88 and 101 of the Act.</w:t>
      </w:r>
      <w:r w:rsidR="00480D43" w:rsidRPr="00880707">
        <w:rPr>
          <w:rFonts w:eastAsia="Times New Roman"/>
          <w:kern w:val="0"/>
          <w:sz w:val="22"/>
          <w:szCs w:val="22"/>
          <w:lang w:eastAsia="en-AU"/>
          <w14:ligatures w14:val="none"/>
        </w:rPr>
        <w:t xml:space="preserve"> </w:t>
      </w:r>
      <w:r w:rsidR="004E71FC" w:rsidRPr="00880707">
        <w:rPr>
          <w:sz w:val="22"/>
          <w:szCs w:val="22"/>
        </w:rPr>
        <w:t xml:space="preserve">The </w:t>
      </w:r>
      <w:r w:rsidR="003C18FA" w:rsidRPr="00880707">
        <w:rPr>
          <w:sz w:val="22"/>
          <w:szCs w:val="22"/>
        </w:rPr>
        <w:t xml:space="preserve">Instrument </w:t>
      </w:r>
      <w:r w:rsidR="004E71FC" w:rsidRPr="00880707">
        <w:rPr>
          <w:rFonts w:eastAsia="Times New Roman"/>
          <w:kern w:val="0"/>
          <w:sz w:val="22"/>
          <w:szCs w:val="22"/>
          <w:lang w:eastAsia="en-AU"/>
          <w14:ligatures w14:val="none"/>
        </w:rPr>
        <w:t>also provides for clarification to the meaning of terms, technical amendments to the definition of pharmaceutical benefits covered by the Principal</w:t>
      </w:r>
      <w:r w:rsidR="003C18FA" w:rsidRPr="00880707">
        <w:rPr>
          <w:rFonts w:eastAsia="Times New Roman"/>
          <w:kern w:val="0"/>
          <w:sz w:val="22"/>
          <w:szCs w:val="22"/>
          <w:lang w:eastAsia="en-AU"/>
          <w14:ligatures w14:val="none"/>
        </w:rPr>
        <w:t xml:space="preserve"> Instrument</w:t>
      </w:r>
      <w:r w:rsidR="004E71FC" w:rsidRPr="00880707">
        <w:rPr>
          <w:rFonts w:eastAsia="Times New Roman"/>
          <w:kern w:val="0"/>
          <w:sz w:val="22"/>
          <w:szCs w:val="22"/>
          <w:lang w:eastAsia="en-AU"/>
          <w14:ligatures w14:val="none"/>
        </w:rPr>
        <w:t>, updates to references and headings, and the repeal of</w:t>
      </w:r>
      <w:r w:rsidR="004E71FC" w:rsidRPr="00880707">
        <w:rPr>
          <w:sz w:val="22"/>
          <w:szCs w:val="22"/>
        </w:rPr>
        <w:t xml:space="preserve"> a</w:t>
      </w:r>
      <w:r w:rsidR="004E71FC" w:rsidRPr="00880707">
        <w:rPr>
          <w:rFonts w:eastAsia="Times New Roman"/>
          <w:kern w:val="0"/>
          <w:sz w:val="22"/>
          <w:szCs w:val="22"/>
          <w:lang w:eastAsia="en-AU"/>
          <w14:ligatures w14:val="none"/>
        </w:rPr>
        <w:t xml:space="preserve"> redundant section.</w:t>
      </w:r>
    </w:p>
    <w:p w14:paraId="7AE4ED42" w14:textId="77777777" w:rsidR="00EF0E0E" w:rsidRPr="00880707" w:rsidRDefault="00EF0E0E" w:rsidP="00EF0E0E">
      <w:pPr>
        <w:spacing w:before="120" w:after="0" w:line="240" w:lineRule="auto"/>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Human rights implications</w:t>
      </w:r>
    </w:p>
    <w:p w14:paraId="3B6EE3B4" w14:textId="54294F5F" w:rsidR="00EF0E0E" w:rsidRPr="00880707" w:rsidRDefault="00EF0E0E" w:rsidP="00EF0E0E">
      <w:pPr>
        <w:spacing w:before="120" w:after="0" w:line="240" w:lineRule="auto"/>
        <w:rPr>
          <w:rFonts w:eastAsia="Times New Roman"/>
          <w:kern w:val="0"/>
          <w:sz w:val="22"/>
          <w:szCs w:val="22"/>
          <w:lang w:eastAsia="en-AU"/>
          <w14:ligatures w14:val="none"/>
        </w:rPr>
      </w:pPr>
      <w:bookmarkStart w:id="5" w:name="_Hlk92365708"/>
      <w:r w:rsidRPr="00880707">
        <w:rPr>
          <w:rFonts w:eastAsia="Times New Roman"/>
          <w:kern w:val="0"/>
          <w:sz w:val="22"/>
          <w:szCs w:val="22"/>
          <w:lang w:eastAsia="en-AU"/>
          <w14:ligatures w14:val="none"/>
        </w:rPr>
        <w:t>This Instrument engages Articles 9 and 12 of the International Covenant on Economic Social and Cultural Rights (ICESCR), specifically the rights to health and social security.</w:t>
      </w:r>
    </w:p>
    <w:p w14:paraId="28224B6E" w14:textId="77777777" w:rsidR="00EF0E0E" w:rsidRPr="00880707" w:rsidRDefault="00EF0E0E" w:rsidP="00EF0E0E">
      <w:pPr>
        <w:spacing w:before="120" w:after="0" w:line="240" w:lineRule="auto"/>
        <w:rPr>
          <w:rFonts w:eastAsia="Times New Roman"/>
          <w:i/>
          <w:iCs/>
          <w:kern w:val="0"/>
          <w:sz w:val="22"/>
          <w:szCs w:val="22"/>
          <w:lang w:eastAsia="en-AU"/>
          <w14:ligatures w14:val="none"/>
        </w:rPr>
      </w:pPr>
      <w:r w:rsidRPr="00880707">
        <w:rPr>
          <w:rFonts w:eastAsia="Times New Roman"/>
          <w:i/>
          <w:iCs/>
          <w:kern w:val="0"/>
          <w:sz w:val="22"/>
          <w:szCs w:val="22"/>
          <w:lang w:eastAsia="en-AU"/>
          <w14:ligatures w14:val="none"/>
        </w:rPr>
        <w:t>The Right to Social Security</w:t>
      </w:r>
    </w:p>
    <w:p w14:paraId="46B48909" w14:textId="77777777" w:rsidR="00EF0E0E" w:rsidRPr="00880707" w:rsidRDefault="00EF0E0E" w:rsidP="00EF0E0E">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880707">
        <w:rPr>
          <w:rFonts w:eastAsia="Times New Roman"/>
          <w:kern w:val="0"/>
          <w:sz w:val="22"/>
          <w:szCs w:val="22"/>
          <w:lang w:eastAsia="en-AU"/>
          <w14:ligatures w14:val="none"/>
        </w:rPr>
        <w:t>in an effort to</w:t>
      </w:r>
      <w:proofErr w:type="gramEnd"/>
      <w:r w:rsidRPr="00880707">
        <w:rPr>
          <w:rFonts w:eastAsia="Times New Roman"/>
          <w:kern w:val="0"/>
          <w:sz w:val="22"/>
          <w:szCs w:val="22"/>
          <w:lang w:eastAsia="en-AU"/>
          <w14:ligatures w14:val="none"/>
        </w:rPr>
        <w:t xml:space="preserve"> satisfy, as a matter of priority, this minimum obligation.</w:t>
      </w:r>
    </w:p>
    <w:p w14:paraId="16FA0274" w14:textId="77777777" w:rsidR="00EF0E0E" w:rsidRPr="00880707" w:rsidRDefault="00EF0E0E" w:rsidP="00EF0E0E">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880707">
        <w:rPr>
          <w:rFonts w:eastAsia="Times New Roman"/>
          <w:kern w:val="0"/>
          <w:sz w:val="22"/>
          <w:szCs w:val="22"/>
          <w:lang w:eastAsia="en-AU"/>
          <w14:ligatures w14:val="none"/>
        </w:rPr>
        <w:t>Government</w:t>
      </w:r>
      <w:proofErr w:type="gramEnd"/>
      <w:r w:rsidRPr="00880707">
        <w:rPr>
          <w:rFonts w:eastAsia="Times New Roman"/>
          <w:kern w:val="0"/>
          <w:sz w:val="22"/>
          <w:szCs w:val="22"/>
          <w:lang w:eastAsia="en-AU"/>
          <w14:ligatures w14:val="none"/>
        </w:rPr>
        <w:t xml:space="preserve"> to re-direct its limited resources in ways that it considers to be more effective at meeting the general health needs of all society, particularly the needs of the more disadvantaged members of society.</w:t>
      </w:r>
    </w:p>
    <w:p w14:paraId="103CCA00" w14:textId="77777777" w:rsidR="00EF0E0E" w:rsidRPr="00880707" w:rsidRDefault="00EF0E0E" w:rsidP="00EF0E0E">
      <w:pPr>
        <w:spacing w:before="120" w:after="0" w:line="240" w:lineRule="auto"/>
        <w:rPr>
          <w:rFonts w:eastAsia="Times New Roman"/>
          <w:i/>
          <w:iCs/>
          <w:kern w:val="0"/>
          <w:sz w:val="22"/>
          <w:szCs w:val="22"/>
          <w:lang w:eastAsia="en-AU"/>
          <w14:ligatures w14:val="none"/>
        </w:rPr>
      </w:pPr>
      <w:r w:rsidRPr="00880707">
        <w:rPr>
          <w:rFonts w:eastAsia="Times New Roman"/>
          <w:i/>
          <w:iCs/>
          <w:kern w:val="0"/>
          <w:sz w:val="22"/>
          <w:szCs w:val="22"/>
          <w:lang w:eastAsia="en-AU"/>
          <w14:ligatures w14:val="none"/>
        </w:rPr>
        <w:t>The Right to Health</w:t>
      </w:r>
    </w:p>
    <w:p w14:paraId="071E1BC6" w14:textId="77777777" w:rsidR="00EF0E0E" w:rsidRPr="00880707" w:rsidRDefault="00EF0E0E" w:rsidP="00EF0E0E">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The right to the enjoyment of the highest attainable standard of physical and mental health is contained in Article 12(1) of the ICESCR. The Committee has stated that the right to health is not a right for each </w:t>
      </w:r>
      <w:r w:rsidRPr="00880707">
        <w:rPr>
          <w:rFonts w:eastAsia="Times New Roman"/>
          <w:kern w:val="0"/>
          <w:sz w:val="22"/>
          <w:szCs w:val="22"/>
          <w:lang w:eastAsia="en-AU"/>
          <w14:ligatures w14:val="none"/>
        </w:rPr>
        <w:lastRenderedPageBreak/>
        <w:t xml:space="preserve">individual to be </w:t>
      </w:r>
      <w:proofErr w:type="gramStart"/>
      <w:r w:rsidRPr="00880707">
        <w:rPr>
          <w:rFonts w:eastAsia="Times New Roman"/>
          <w:kern w:val="0"/>
          <w:sz w:val="22"/>
          <w:szCs w:val="22"/>
          <w:lang w:eastAsia="en-AU"/>
          <w14:ligatures w14:val="none"/>
        </w:rPr>
        <w:t>healthy, but</w:t>
      </w:r>
      <w:proofErr w:type="gramEnd"/>
      <w:r w:rsidRPr="00880707">
        <w:rPr>
          <w:rFonts w:eastAsia="Times New Roman"/>
          <w:kern w:val="0"/>
          <w:sz w:val="22"/>
          <w:szCs w:val="22"/>
          <w:lang w:eastAsia="en-AU"/>
          <w14:ligatures w14:val="none"/>
        </w:rPr>
        <w:t xml:space="preserve"> is a right to a system of health protection which provides equality of opportunity for people to enjoy the highest attainable level of health.</w:t>
      </w:r>
    </w:p>
    <w:p w14:paraId="291C3021" w14:textId="77777777" w:rsidR="00EF0E0E" w:rsidRPr="00880707" w:rsidRDefault="00EF0E0E" w:rsidP="00EF0E0E">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 xml:space="preserve">The Committee reports that the ‘highest attainable standard of health’ </w:t>
      </w:r>
      <w:proofErr w:type="gramStart"/>
      <w:r w:rsidRPr="00880707">
        <w:rPr>
          <w:rFonts w:eastAsia="Times New Roman"/>
          <w:kern w:val="0"/>
          <w:sz w:val="22"/>
          <w:szCs w:val="22"/>
          <w:lang w:eastAsia="en-AU"/>
          <w14:ligatures w14:val="none"/>
        </w:rPr>
        <w:t>takes into account</w:t>
      </w:r>
      <w:proofErr w:type="gramEnd"/>
      <w:r w:rsidRPr="00880707">
        <w:rPr>
          <w:rFonts w:eastAsia="Times New Roman"/>
          <w:kern w:val="0"/>
          <w:sz w:val="22"/>
          <w:szCs w:val="22"/>
          <w:lang w:eastAsia="en-AU"/>
          <w14:ligatures w14:val="none"/>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6ADAF6A" w14:textId="1F6EF82A" w:rsidR="00834166" w:rsidRPr="00880707" w:rsidRDefault="00EF0E0E" w:rsidP="0050087E">
      <w:pPr>
        <w:spacing w:before="120" w:after="0" w:line="240" w:lineRule="auto"/>
        <w:jc w:val="both"/>
        <w:rPr>
          <w:rFonts w:eastAsia="Times New Roman"/>
          <w:b/>
          <w:bCs/>
          <w:kern w:val="0"/>
          <w:sz w:val="22"/>
          <w:szCs w:val="22"/>
          <w:lang w:eastAsia="en-AU"/>
          <w14:ligatures w14:val="none"/>
        </w:rPr>
      </w:pPr>
      <w:bookmarkStart w:id="6" w:name="_Hlk92365851"/>
      <w:bookmarkEnd w:id="5"/>
      <w:r w:rsidRPr="00880707">
        <w:rPr>
          <w:rFonts w:eastAsia="Times New Roman"/>
          <w:b/>
          <w:bCs/>
          <w:kern w:val="0"/>
          <w:sz w:val="22"/>
          <w:szCs w:val="22"/>
          <w:lang w:eastAsia="en-AU"/>
          <w14:ligatures w14:val="none"/>
        </w:rPr>
        <w:t>Analysis</w:t>
      </w:r>
      <w:bookmarkStart w:id="7" w:name="_Hlk95462693"/>
      <w:bookmarkStart w:id="8" w:name="_Hlk113429043"/>
      <w:bookmarkStart w:id="9" w:name="_Hlk90472024"/>
    </w:p>
    <w:p w14:paraId="746977EA" w14:textId="6EED7DB1" w:rsidR="0043492F" w:rsidRPr="00880707" w:rsidRDefault="00EF0E0E" w:rsidP="0043492F">
      <w:pPr>
        <w:spacing w:before="120" w:after="0" w:line="240" w:lineRule="auto"/>
        <w:jc w:val="both"/>
        <w:rPr>
          <w:rFonts w:eastAsia="Times New Roman"/>
          <w:kern w:val="0"/>
          <w:sz w:val="22"/>
          <w:szCs w:val="22"/>
          <w:lang w:eastAsia="en-AU"/>
          <w14:ligatures w14:val="none"/>
        </w:rPr>
      </w:pPr>
      <w:r w:rsidRPr="00880707">
        <w:rPr>
          <w:sz w:val="22"/>
          <w:szCs w:val="22"/>
        </w:rPr>
        <w:t>This Instrument advances the right to health and the right to social security by ensuring that amendments to the Listing Instrument,</w:t>
      </w:r>
      <w:bookmarkStart w:id="10" w:name="_Hlk92366105"/>
      <w:r w:rsidRPr="00880707">
        <w:rPr>
          <w:sz w:val="22"/>
          <w:szCs w:val="22"/>
        </w:rPr>
        <w:t xml:space="preserve"> that </w:t>
      </w:r>
      <w:bookmarkStart w:id="11" w:name="_Hlk90471943"/>
      <w:r w:rsidRPr="00880707">
        <w:rPr>
          <w:sz w:val="22"/>
          <w:szCs w:val="22"/>
        </w:rPr>
        <w:t xml:space="preserve">affect </w:t>
      </w:r>
      <w:bookmarkEnd w:id="10"/>
      <w:r w:rsidRPr="00880707">
        <w:rPr>
          <w:sz w:val="22"/>
          <w:szCs w:val="22"/>
        </w:rPr>
        <w:t xml:space="preserve">the pharmaceutical benefits that may be supplied </w:t>
      </w:r>
      <w:bookmarkEnd w:id="11"/>
      <w:r w:rsidRPr="00880707">
        <w:rPr>
          <w:sz w:val="22"/>
          <w:szCs w:val="22"/>
        </w:rPr>
        <w:t>as a Continued Dispensing supply, are also made in the Principal Instrument</w:t>
      </w:r>
      <w:r w:rsidR="00BC2774" w:rsidRPr="00880707">
        <w:rPr>
          <w:sz w:val="22"/>
          <w:szCs w:val="22"/>
        </w:rPr>
        <w:t>.</w:t>
      </w:r>
      <w:r w:rsidR="006475FE" w:rsidRPr="00880707">
        <w:rPr>
          <w:sz w:val="22"/>
          <w:szCs w:val="22"/>
        </w:rPr>
        <w:t xml:space="preserve"> </w:t>
      </w:r>
      <w:r w:rsidR="0043492F" w:rsidRPr="00880707">
        <w:rPr>
          <w:rFonts w:eastAsia="Times New Roman"/>
          <w:kern w:val="0"/>
          <w:sz w:val="22"/>
          <w:szCs w:val="22"/>
          <w:lang w:eastAsia="en-AU"/>
          <w14:ligatures w14:val="none"/>
        </w:rPr>
        <w:t xml:space="preserve">The Listing Instrument determines the pharmaceutical benefits that are on the PBS through declarations of drugs and medicinal preparations, and determinations of forms, manners of administration and brands.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r w:rsidR="00AF2DDF" w:rsidRPr="00880707">
        <w:rPr>
          <w:rFonts w:eastAsia="Times New Roman"/>
          <w:kern w:val="0"/>
          <w:sz w:val="22"/>
          <w:szCs w:val="22"/>
          <w:lang w:eastAsia="en-AU"/>
          <w14:ligatures w14:val="none"/>
        </w:rPr>
        <w:t xml:space="preserve">The </w:t>
      </w:r>
      <w:r w:rsidR="00104F51" w:rsidRPr="00880707">
        <w:rPr>
          <w:rFonts w:eastAsia="Times New Roman"/>
          <w:kern w:val="0"/>
          <w:sz w:val="22"/>
          <w:szCs w:val="22"/>
          <w:lang w:eastAsia="en-AU"/>
          <w14:ligatures w14:val="none"/>
        </w:rPr>
        <w:t xml:space="preserve">Instrument </w:t>
      </w:r>
      <w:r w:rsidR="0043492F" w:rsidRPr="00880707">
        <w:rPr>
          <w:rFonts w:eastAsia="Times New Roman"/>
          <w:kern w:val="0"/>
          <w:sz w:val="22"/>
          <w:szCs w:val="22"/>
          <w:lang w:eastAsia="en-AU"/>
          <w14:ligatures w14:val="none"/>
        </w:rPr>
        <w:t>continues to provide the option for patients to have subsidised access to eligible PBS medicines through continued dispensing arrangements.</w:t>
      </w:r>
    </w:p>
    <w:p w14:paraId="7B234803" w14:textId="34B86B1C" w:rsidR="00EF0E0E" w:rsidRPr="00880707" w:rsidRDefault="009D39A5">
      <w:pPr>
        <w:pStyle w:val="NormalWeb"/>
        <w:spacing w:before="120" w:beforeAutospacing="0" w:after="0" w:afterAutospacing="0"/>
        <w:jc w:val="both"/>
        <w:rPr>
          <w:sz w:val="22"/>
          <w:szCs w:val="22"/>
        </w:rPr>
      </w:pPr>
      <w:r w:rsidRPr="00880707">
        <w:rPr>
          <w:sz w:val="22"/>
          <w:szCs w:val="22"/>
        </w:rPr>
        <w:t xml:space="preserve">The other proposed amendments are technical in nature and </w:t>
      </w:r>
      <w:r w:rsidR="00C04DB1" w:rsidRPr="00880707">
        <w:rPr>
          <w:sz w:val="22"/>
          <w:szCs w:val="22"/>
        </w:rPr>
        <w:t xml:space="preserve">are compatible with human rights as they </w:t>
      </w:r>
      <w:r w:rsidRPr="00880707">
        <w:rPr>
          <w:sz w:val="22"/>
          <w:szCs w:val="22"/>
        </w:rPr>
        <w:t xml:space="preserve">do not alter </w:t>
      </w:r>
      <w:r w:rsidR="00584CE9" w:rsidRPr="00880707">
        <w:rPr>
          <w:sz w:val="22"/>
          <w:szCs w:val="22"/>
        </w:rPr>
        <w:t>any rights or entitlements under</w:t>
      </w:r>
      <w:r w:rsidR="005D0289" w:rsidRPr="00880707">
        <w:rPr>
          <w:sz w:val="22"/>
          <w:szCs w:val="22"/>
        </w:rPr>
        <w:t xml:space="preserve"> </w:t>
      </w:r>
      <w:r w:rsidR="00584CE9" w:rsidRPr="00880707">
        <w:rPr>
          <w:sz w:val="22"/>
          <w:szCs w:val="22"/>
        </w:rPr>
        <w:t xml:space="preserve">the Principal </w:t>
      </w:r>
      <w:r w:rsidR="00104F51" w:rsidRPr="00880707">
        <w:rPr>
          <w:sz w:val="22"/>
          <w:szCs w:val="22"/>
        </w:rPr>
        <w:t>Instrument</w:t>
      </w:r>
      <w:r w:rsidR="00386F32" w:rsidRPr="00880707">
        <w:rPr>
          <w:sz w:val="22"/>
          <w:szCs w:val="22"/>
        </w:rPr>
        <w:t>.</w:t>
      </w:r>
    </w:p>
    <w:bookmarkEnd w:id="6"/>
    <w:bookmarkEnd w:id="7"/>
    <w:bookmarkEnd w:id="8"/>
    <w:bookmarkEnd w:id="9"/>
    <w:p w14:paraId="010D308E" w14:textId="77777777" w:rsidR="00EF0E0E" w:rsidRPr="00880707" w:rsidRDefault="00EF0E0E" w:rsidP="00EF0E0E">
      <w:pPr>
        <w:spacing w:before="120" w:after="0" w:line="240" w:lineRule="auto"/>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Conclusion</w:t>
      </w:r>
    </w:p>
    <w:p w14:paraId="720C5F4C" w14:textId="77777777" w:rsidR="00EF0E0E" w:rsidRPr="00880707" w:rsidRDefault="00EF0E0E" w:rsidP="00EF0E0E">
      <w:pPr>
        <w:spacing w:before="120" w:after="0" w:line="240" w:lineRule="auto"/>
        <w:jc w:val="both"/>
        <w:rPr>
          <w:rFonts w:eastAsia="Times New Roman"/>
          <w:kern w:val="0"/>
          <w:sz w:val="22"/>
          <w:szCs w:val="22"/>
          <w:lang w:eastAsia="en-AU"/>
          <w14:ligatures w14:val="none"/>
        </w:rPr>
      </w:pPr>
      <w:r w:rsidRPr="00880707">
        <w:rPr>
          <w:rFonts w:eastAsia="Times New Roman"/>
          <w:kern w:val="0"/>
          <w:sz w:val="22"/>
          <w:szCs w:val="22"/>
          <w:lang w:eastAsia="en-AU"/>
          <w14:ligatures w14:val="none"/>
        </w:rPr>
        <w:t>This legislative instrument is compatible with human rights because it advances the protection of human rights.</w:t>
      </w:r>
    </w:p>
    <w:p w14:paraId="5FB0CACA" w14:textId="77777777" w:rsidR="00EF0E0E" w:rsidRPr="00880707" w:rsidRDefault="00EF0E0E" w:rsidP="00EF0E0E">
      <w:pPr>
        <w:spacing w:before="120" w:after="0" w:line="240" w:lineRule="auto"/>
        <w:jc w:val="center"/>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Nikolai Tsyganov</w:t>
      </w:r>
    </w:p>
    <w:p w14:paraId="1C608738" w14:textId="77777777" w:rsidR="00EF0E0E" w:rsidRPr="00880707" w:rsidRDefault="00EF0E0E" w:rsidP="00EF0E0E">
      <w:pPr>
        <w:spacing w:after="0" w:line="240" w:lineRule="auto"/>
        <w:jc w:val="center"/>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Assistant Secretary</w:t>
      </w:r>
    </w:p>
    <w:p w14:paraId="3E302F09" w14:textId="77777777" w:rsidR="00EF0E0E" w:rsidRPr="00880707" w:rsidRDefault="00EF0E0E" w:rsidP="00EF0E0E">
      <w:pPr>
        <w:spacing w:after="0" w:line="240" w:lineRule="auto"/>
        <w:jc w:val="center"/>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Pricing and PBS Policy Branch</w:t>
      </w:r>
    </w:p>
    <w:p w14:paraId="59892EE1" w14:textId="77777777" w:rsidR="00EF0E0E" w:rsidRPr="00880707" w:rsidRDefault="00EF0E0E" w:rsidP="00EF0E0E">
      <w:pPr>
        <w:spacing w:after="0" w:line="240" w:lineRule="auto"/>
        <w:jc w:val="center"/>
        <w:rPr>
          <w:rFonts w:eastAsia="Times New Roman"/>
          <w:b/>
          <w:kern w:val="0"/>
          <w:sz w:val="22"/>
          <w:szCs w:val="22"/>
          <w:lang w:eastAsia="en-AU"/>
          <w14:ligatures w14:val="none"/>
        </w:rPr>
      </w:pPr>
      <w:r w:rsidRPr="00880707">
        <w:rPr>
          <w:rFonts w:eastAsia="Times New Roman"/>
          <w:b/>
          <w:kern w:val="0"/>
          <w:sz w:val="22"/>
          <w:szCs w:val="22"/>
          <w:lang w:eastAsia="en-AU"/>
          <w14:ligatures w14:val="none"/>
        </w:rPr>
        <w:t>Technology Assessment and Access Division</w:t>
      </w:r>
    </w:p>
    <w:p w14:paraId="6442ADA3" w14:textId="24FB6BB0" w:rsidR="00EF0E0E" w:rsidRPr="00D822A5" w:rsidRDefault="00EF0E0E" w:rsidP="00D822A5">
      <w:pPr>
        <w:spacing w:after="0" w:line="240" w:lineRule="auto"/>
        <w:jc w:val="center"/>
        <w:rPr>
          <w:rFonts w:eastAsia="Times New Roman"/>
          <w:kern w:val="0"/>
          <w:sz w:val="22"/>
          <w:szCs w:val="22"/>
          <w:lang w:eastAsia="en-AU"/>
          <w14:ligatures w14:val="none"/>
        </w:rPr>
      </w:pPr>
      <w:r w:rsidRPr="00880707">
        <w:rPr>
          <w:rFonts w:eastAsia="Times New Roman"/>
          <w:b/>
          <w:kern w:val="0"/>
          <w:sz w:val="22"/>
          <w:szCs w:val="22"/>
          <w:lang w:eastAsia="en-AU"/>
          <w14:ligatures w14:val="none"/>
        </w:rPr>
        <w:t>Department of Health and Aged Care</w:t>
      </w:r>
    </w:p>
    <w:sectPr w:rsidR="00EF0E0E" w:rsidRPr="00D822A5" w:rsidSect="002764B8">
      <w:footerReference w:type="default" r:id="rId8"/>
      <w:pgSz w:w="11906" w:h="16838"/>
      <w:pgMar w:top="1440" w:right="1440" w:bottom="851"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2363F" w14:textId="77777777" w:rsidR="004E157C" w:rsidRDefault="004E157C" w:rsidP="00E82BC0">
      <w:pPr>
        <w:spacing w:after="0" w:line="240" w:lineRule="auto"/>
      </w:pPr>
      <w:r>
        <w:separator/>
      </w:r>
    </w:p>
  </w:endnote>
  <w:endnote w:type="continuationSeparator" w:id="0">
    <w:p w14:paraId="62772197" w14:textId="77777777" w:rsidR="004E157C" w:rsidRDefault="004E157C" w:rsidP="00E8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887105"/>
      <w:docPartObj>
        <w:docPartGallery w:val="Page Numbers (Bottom of Page)"/>
        <w:docPartUnique/>
      </w:docPartObj>
    </w:sdtPr>
    <w:sdtEndPr>
      <w:rPr>
        <w:noProof/>
      </w:rPr>
    </w:sdtEndPr>
    <w:sdtContent>
      <w:p w14:paraId="188B2B14" w14:textId="5C3E83DA" w:rsidR="00EB2982" w:rsidRDefault="00EB2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35685" w14:textId="77777777" w:rsidR="00E82BC0" w:rsidRDefault="00E8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FA5DC" w14:textId="77777777" w:rsidR="004E157C" w:rsidRDefault="004E157C" w:rsidP="00E82BC0">
      <w:pPr>
        <w:spacing w:after="0" w:line="240" w:lineRule="auto"/>
      </w:pPr>
      <w:r>
        <w:separator/>
      </w:r>
    </w:p>
  </w:footnote>
  <w:footnote w:type="continuationSeparator" w:id="0">
    <w:p w14:paraId="6DB9710F" w14:textId="77777777" w:rsidR="004E157C" w:rsidRDefault="004E157C" w:rsidP="00E82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46F08"/>
    <w:multiLevelType w:val="hybridMultilevel"/>
    <w:tmpl w:val="BCD82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16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E0"/>
    <w:rsid w:val="000019AF"/>
    <w:rsid w:val="00003809"/>
    <w:rsid w:val="00006404"/>
    <w:rsid w:val="000068BC"/>
    <w:rsid w:val="000100A8"/>
    <w:rsid w:val="00011566"/>
    <w:rsid w:val="00014BAD"/>
    <w:rsid w:val="0002584F"/>
    <w:rsid w:val="0003001C"/>
    <w:rsid w:val="00057D06"/>
    <w:rsid w:val="000610BD"/>
    <w:rsid w:val="00077648"/>
    <w:rsid w:val="00080311"/>
    <w:rsid w:val="000806BA"/>
    <w:rsid w:val="00082668"/>
    <w:rsid w:val="0008782A"/>
    <w:rsid w:val="0009696E"/>
    <w:rsid w:val="00096AA1"/>
    <w:rsid w:val="000B4B08"/>
    <w:rsid w:val="000C2FCF"/>
    <w:rsid w:val="000D2D45"/>
    <w:rsid w:val="000D2E69"/>
    <w:rsid w:val="000F34A1"/>
    <w:rsid w:val="000F6597"/>
    <w:rsid w:val="000F7165"/>
    <w:rsid w:val="0010200E"/>
    <w:rsid w:val="00104F51"/>
    <w:rsid w:val="00106444"/>
    <w:rsid w:val="00117790"/>
    <w:rsid w:val="0011779F"/>
    <w:rsid w:val="0014050E"/>
    <w:rsid w:val="00155060"/>
    <w:rsid w:val="00155C36"/>
    <w:rsid w:val="00156DDF"/>
    <w:rsid w:val="0016222D"/>
    <w:rsid w:val="00166E16"/>
    <w:rsid w:val="00175BBE"/>
    <w:rsid w:val="001763EB"/>
    <w:rsid w:val="00176783"/>
    <w:rsid w:val="00177BFC"/>
    <w:rsid w:val="00183C2D"/>
    <w:rsid w:val="00185185"/>
    <w:rsid w:val="00186C6E"/>
    <w:rsid w:val="00192333"/>
    <w:rsid w:val="001A16F2"/>
    <w:rsid w:val="001A5DD6"/>
    <w:rsid w:val="001B19ED"/>
    <w:rsid w:val="001B23C9"/>
    <w:rsid w:val="001B44EA"/>
    <w:rsid w:val="001B5500"/>
    <w:rsid w:val="001C38AD"/>
    <w:rsid w:val="001D259F"/>
    <w:rsid w:val="001D47CC"/>
    <w:rsid w:val="001D7016"/>
    <w:rsid w:val="001E580D"/>
    <w:rsid w:val="002126C5"/>
    <w:rsid w:val="002227F2"/>
    <w:rsid w:val="002323D1"/>
    <w:rsid w:val="0024390D"/>
    <w:rsid w:val="00247B4E"/>
    <w:rsid w:val="0025182D"/>
    <w:rsid w:val="00270799"/>
    <w:rsid w:val="002764B8"/>
    <w:rsid w:val="00276DA8"/>
    <w:rsid w:val="00280050"/>
    <w:rsid w:val="00281F7F"/>
    <w:rsid w:val="00282569"/>
    <w:rsid w:val="00285AE9"/>
    <w:rsid w:val="00287079"/>
    <w:rsid w:val="002960A3"/>
    <w:rsid w:val="002B0317"/>
    <w:rsid w:val="002B22C7"/>
    <w:rsid w:val="002B2B63"/>
    <w:rsid w:val="002B7EA5"/>
    <w:rsid w:val="002C0427"/>
    <w:rsid w:val="002C6503"/>
    <w:rsid w:val="002C6A38"/>
    <w:rsid w:val="002D47C1"/>
    <w:rsid w:val="002D6DA0"/>
    <w:rsid w:val="002E6D4E"/>
    <w:rsid w:val="002E7F7C"/>
    <w:rsid w:val="002F1E08"/>
    <w:rsid w:val="002F7C80"/>
    <w:rsid w:val="00310ACB"/>
    <w:rsid w:val="0031342A"/>
    <w:rsid w:val="00315350"/>
    <w:rsid w:val="00317EE6"/>
    <w:rsid w:val="00322D29"/>
    <w:rsid w:val="003314E3"/>
    <w:rsid w:val="00337E1B"/>
    <w:rsid w:val="00344FB3"/>
    <w:rsid w:val="0034595D"/>
    <w:rsid w:val="00360308"/>
    <w:rsid w:val="0037257E"/>
    <w:rsid w:val="00372C06"/>
    <w:rsid w:val="00382B13"/>
    <w:rsid w:val="00386F32"/>
    <w:rsid w:val="003B0DD0"/>
    <w:rsid w:val="003C18FA"/>
    <w:rsid w:val="003D1356"/>
    <w:rsid w:val="003D220C"/>
    <w:rsid w:val="003E5939"/>
    <w:rsid w:val="003F1E12"/>
    <w:rsid w:val="003F3574"/>
    <w:rsid w:val="003F38CF"/>
    <w:rsid w:val="00400CDD"/>
    <w:rsid w:val="00405DB7"/>
    <w:rsid w:val="00410481"/>
    <w:rsid w:val="004108AA"/>
    <w:rsid w:val="0041351E"/>
    <w:rsid w:val="00421DCD"/>
    <w:rsid w:val="004264CE"/>
    <w:rsid w:val="00432BD2"/>
    <w:rsid w:val="0043492F"/>
    <w:rsid w:val="004420BB"/>
    <w:rsid w:val="004534EF"/>
    <w:rsid w:val="00457060"/>
    <w:rsid w:val="0047338A"/>
    <w:rsid w:val="00480D43"/>
    <w:rsid w:val="00482D4A"/>
    <w:rsid w:val="00483D54"/>
    <w:rsid w:val="0048505D"/>
    <w:rsid w:val="004860D6"/>
    <w:rsid w:val="004875E6"/>
    <w:rsid w:val="00491D3A"/>
    <w:rsid w:val="00494680"/>
    <w:rsid w:val="004C1970"/>
    <w:rsid w:val="004E157C"/>
    <w:rsid w:val="004E23B2"/>
    <w:rsid w:val="004E62D9"/>
    <w:rsid w:val="004E71FC"/>
    <w:rsid w:val="0050087E"/>
    <w:rsid w:val="00500E31"/>
    <w:rsid w:val="00520453"/>
    <w:rsid w:val="005234CA"/>
    <w:rsid w:val="00525443"/>
    <w:rsid w:val="005471C3"/>
    <w:rsid w:val="00552A30"/>
    <w:rsid w:val="00560F80"/>
    <w:rsid w:val="00572C4B"/>
    <w:rsid w:val="00573BF3"/>
    <w:rsid w:val="00584CE9"/>
    <w:rsid w:val="00594798"/>
    <w:rsid w:val="005A07B0"/>
    <w:rsid w:val="005A15D3"/>
    <w:rsid w:val="005A3295"/>
    <w:rsid w:val="005A6601"/>
    <w:rsid w:val="005B071F"/>
    <w:rsid w:val="005B13C5"/>
    <w:rsid w:val="005B2100"/>
    <w:rsid w:val="005B4D9E"/>
    <w:rsid w:val="005B6C25"/>
    <w:rsid w:val="005C3002"/>
    <w:rsid w:val="005D0289"/>
    <w:rsid w:val="005D364E"/>
    <w:rsid w:val="005D3AE3"/>
    <w:rsid w:val="005E7780"/>
    <w:rsid w:val="005F2F64"/>
    <w:rsid w:val="005F4555"/>
    <w:rsid w:val="005F5286"/>
    <w:rsid w:val="00603659"/>
    <w:rsid w:val="0061577B"/>
    <w:rsid w:val="006210C1"/>
    <w:rsid w:val="006321F8"/>
    <w:rsid w:val="00640544"/>
    <w:rsid w:val="00642A82"/>
    <w:rsid w:val="006475FE"/>
    <w:rsid w:val="00650E19"/>
    <w:rsid w:val="006526B1"/>
    <w:rsid w:val="00655F81"/>
    <w:rsid w:val="006562AA"/>
    <w:rsid w:val="006609EA"/>
    <w:rsid w:val="0066200F"/>
    <w:rsid w:val="006631EA"/>
    <w:rsid w:val="00665783"/>
    <w:rsid w:val="00667AD2"/>
    <w:rsid w:val="00670D5B"/>
    <w:rsid w:val="00681451"/>
    <w:rsid w:val="006845C4"/>
    <w:rsid w:val="0069150C"/>
    <w:rsid w:val="006B321C"/>
    <w:rsid w:val="006C7727"/>
    <w:rsid w:val="006D13A3"/>
    <w:rsid w:val="006D601D"/>
    <w:rsid w:val="006D74EA"/>
    <w:rsid w:val="006E3D76"/>
    <w:rsid w:val="006E4E1C"/>
    <w:rsid w:val="006F58E8"/>
    <w:rsid w:val="006F610B"/>
    <w:rsid w:val="0070445D"/>
    <w:rsid w:val="00705C9F"/>
    <w:rsid w:val="00714B24"/>
    <w:rsid w:val="00717F42"/>
    <w:rsid w:val="00725FF7"/>
    <w:rsid w:val="0073266F"/>
    <w:rsid w:val="00733C42"/>
    <w:rsid w:val="007357A5"/>
    <w:rsid w:val="007361C7"/>
    <w:rsid w:val="00745B3F"/>
    <w:rsid w:val="0075118D"/>
    <w:rsid w:val="00752996"/>
    <w:rsid w:val="00753757"/>
    <w:rsid w:val="00755806"/>
    <w:rsid w:val="0076151C"/>
    <w:rsid w:val="00766F19"/>
    <w:rsid w:val="007766FE"/>
    <w:rsid w:val="007814FE"/>
    <w:rsid w:val="007867F6"/>
    <w:rsid w:val="007A1A05"/>
    <w:rsid w:val="007C0C45"/>
    <w:rsid w:val="007D5105"/>
    <w:rsid w:val="007E418E"/>
    <w:rsid w:val="007F4E77"/>
    <w:rsid w:val="007F53F1"/>
    <w:rsid w:val="00806A5E"/>
    <w:rsid w:val="00834166"/>
    <w:rsid w:val="00835940"/>
    <w:rsid w:val="00837AAC"/>
    <w:rsid w:val="0084575D"/>
    <w:rsid w:val="00855478"/>
    <w:rsid w:val="00860987"/>
    <w:rsid w:val="00861335"/>
    <w:rsid w:val="008630B3"/>
    <w:rsid w:val="008631CD"/>
    <w:rsid w:val="008649DA"/>
    <w:rsid w:val="00867CA2"/>
    <w:rsid w:val="00870D25"/>
    <w:rsid w:val="00875E79"/>
    <w:rsid w:val="00880707"/>
    <w:rsid w:val="00895EFD"/>
    <w:rsid w:val="008A145A"/>
    <w:rsid w:val="008B32D5"/>
    <w:rsid w:val="008B3C6E"/>
    <w:rsid w:val="008C316C"/>
    <w:rsid w:val="008C6E1F"/>
    <w:rsid w:val="008E49CA"/>
    <w:rsid w:val="008E531E"/>
    <w:rsid w:val="009003C1"/>
    <w:rsid w:val="00903EF6"/>
    <w:rsid w:val="009041B1"/>
    <w:rsid w:val="009050A7"/>
    <w:rsid w:val="00912500"/>
    <w:rsid w:val="00930967"/>
    <w:rsid w:val="00933FDE"/>
    <w:rsid w:val="009377AD"/>
    <w:rsid w:val="009462FA"/>
    <w:rsid w:val="00952A19"/>
    <w:rsid w:val="00964C8C"/>
    <w:rsid w:val="00964FFE"/>
    <w:rsid w:val="009717C8"/>
    <w:rsid w:val="00975A52"/>
    <w:rsid w:val="00980BE0"/>
    <w:rsid w:val="009819A3"/>
    <w:rsid w:val="0098457B"/>
    <w:rsid w:val="00985301"/>
    <w:rsid w:val="00987164"/>
    <w:rsid w:val="00987D2C"/>
    <w:rsid w:val="009A5237"/>
    <w:rsid w:val="009B06E7"/>
    <w:rsid w:val="009C1CED"/>
    <w:rsid w:val="009C4310"/>
    <w:rsid w:val="009C46A4"/>
    <w:rsid w:val="009D39A5"/>
    <w:rsid w:val="009D461A"/>
    <w:rsid w:val="009D516D"/>
    <w:rsid w:val="009D6429"/>
    <w:rsid w:val="009E1E55"/>
    <w:rsid w:val="009E4CD3"/>
    <w:rsid w:val="00A000DD"/>
    <w:rsid w:val="00A007FF"/>
    <w:rsid w:val="00A0400F"/>
    <w:rsid w:val="00A0440A"/>
    <w:rsid w:val="00A353C0"/>
    <w:rsid w:val="00A35BA1"/>
    <w:rsid w:val="00A42800"/>
    <w:rsid w:val="00A459DC"/>
    <w:rsid w:val="00A50ED7"/>
    <w:rsid w:val="00A5535C"/>
    <w:rsid w:val="00A57EB2"/>
    <w:rsid w:val="00A61118"/>
    <w:rsid w:val="00A65660"/>
    <w:rsid w:val="00A65944"/>
    <w:rsid w:val="00A75271"/>
    <w:rsid w:val="00A85013"/>
    <w:rsid w:val="00AB0BC5"/>
    <w:rsid w:val="00AD277B"/>
    <w:rsid w:val="00AD625F"/>
    <w:rsid w:val="00AE09A6"/>
    <w:rsid w:val="00AE2A80"/>
    <w:rsid w:val="00AF026F"/>
    <w:rsid w:val="00AF2DDF"/>
    <w:rsid w:val="00B101AC"/>
    <w:rsid w:val="00B16115"/>
    <w:rsid w:val="00B228C3"/>
    <w:rsid w:val="00B23452"/>
    <w:rsid w:val="00B24755"/>
    <w:rsid w:val="00B24FEC"/>
    <w:rsid w:val="00B4422B"/>
    <w:rsid w:val="00B46E54"/>
    <w:rsid w:val="00B546A9"/>
    <w:rsid w:val="00B55CA4"/>
    <w:rsid w:val="00B57918"/>
    <w:rsid w:val="00B64C0D"/>
    <w:rsid w:val="00B83B0A"/>
    <w:rsid w:val="00B85A9E"/>
    <w:rsid w:val="00B87F83"/>
    <w:rsid w:val="00B94383"/>
    <w:rsid w:val="00BB2B71"/>
    <w:rsid w:val="00BC2774"/>
    <w:rsid w:val="00BC4BCC"/>
    <w:rsid w:val="00BD22E7"/>
    <w:rsid w:val="00BE2939"/>
    <w:rsid w:val="00BE663F"/>
    <w:rsid w:val="00BE757A"/>
    <w:rsid w:val="00C041EC"/>
    <w:rsid w:val="00C0482A"/>
    <w:rsid w:val="00C04DB1"/>
    <w:rsid w:val="00C20DBB"/>
    <w:rsid w:val="00C213A0"/>
    <w:rsid w:val="00C21B1C"/>
    <w:rsid w:val="00C261D0"/>
    <w:rsid w:val="00C468E5"/>
    <w:rsid w:val="00C46D51"/>
    <w:rsid w:val="00C57BCA"/>
    <w:rsid w:val="00C60CC4"/>
    <w:rsid w:val="00C63ED7"/>
    <w:rsid w:val="00C64FC6"/>
    <w:rsid w:val="00C65221"/>
    <w:rsid w:val="00C665AD"/>
    <w:rsid w:val="00C7156C"/>
    <w:rsid w:val="00C71DF6"/>
    <w:rsid w:val="00C86C7D"/>
    <w:rsid w:val="00C919B9"/>
    <w:rsid w:val="00C934A3"/>
    <w:rsid w:val="00CA3D31"/>
    <w:rsid w:val="00CC0882"/>
    <w:rsid w:val="00CC4830"/>
    <w:rsid w:val="00CD7286"/>
    <w:rsid w:val="00CE5C73"/>
    <w:rsid w:val="00CF1C8E"/>
    <w:rsid w:val="00D26499"/>
    <w:rsid w:val="00D27EFD"/>
    <w:rsid w:val="00D43975"/>
    <w:rsid w:val="00D45375"/>
    <w:rsid w:val="00D476B8"/>
    <w:rsid w:val="00D5044C"/>
    <w:rsid w:val="00D51881"/>
    <w:rsid w:val="00D54515"/>
    <w:rsid w:val="00D610F4"/>
    <w:rsid w:val="00D822A5"/>
    <w:rsid w:val="00D90026"/>
    <w:rsid w:val="00D93116"/>
    <w:rsid w:val="00D946B0"/>
    <w:rsid w:val="00D9652F"/>
    <w:rsid w:val="00DA0F8E"/>
    <w:rsid w:val="00DA29D3"/>
    <w:rsid w:val="00DA305C"/>
    <w:rsid w:val="00DA31CA"/>
    <w:rsid w:val="00DC72B1"/>
    <w:rsid w:val="00DD0D2F"/>
    <w:rsid w:val="00DF1009"/>
    <w:rsid w:val="00DF77A6"/>
    <w:rsid w:val="00E03CA5"/>
    <w:rsid w:val="00E048BE"/>
    <w:rsid w:val="00E2442E"/>
    <w:rsid w:val="00E27F12"/>
    <w:rsid w:val="00E309E9"/>
    <w:rsid w:val="00E3427E"/>
    <w:rsid w:val="00E365CE"/>
    <w:rsid w:val="00E40A05"/>
    <w:rsid w:val="00E45151"/>
    <w:rsid w:val="00E475AC"/>
    <w:rsid w:val="00E54F82"/>
    <w:rsid w:val="00E551FA"/>
    <w:rsid w:val="00E82BC0"/>
    <w:rsid w:val="00E85F1F"/>
    <w:rsid w:val="00EA75A1"/>
    <w:rsid w:val="00EB0049"/>
    <w:rsid w:val="00EB2982"/>
    <w:rsid w:val="00EC4462"/>
    <w:rsid w:val="00EC69F0"/>
    <w:rsid w:val="00EF0E0E"/>
    <w:rsid w:val="00EF50DB"/>
    <w:rsid w:val="00F032AD"/>
    <w:rsid w:val="00F03F8C"/>
    <w:rsid w:val="00F14D6C"/>
    <w:rsid w:val="00F15C97"/>
    <w:rsid w:val="00F22FD0"/>
    <w:rsid w:val="00F238D1"/>
    <w:rsid w:val="00F44119"/>
    <w:rsid w:val="00F45A3D"/>
    <w:rsid w:val="00F653F2"/>
    <w:rsid w:val="00F71A43"/>
    <w:rsid w:val="00F763BA"/>
    <w:rsid w:val="00F8686C"/>
    <w:rsid w:val="00F93D28"/>
    <w:rsid w:val="00F944D4"/>
    <w:rsid w:val="00FA6908"/>
    <w:rsid w:val="00FA7168"/>
    <w:rsid w:val="00FC2A24"/>
    <w:rsid w:val="00FC2E2F"/>
    <w:rsid w:val="00FD4CBD"/>
    <w:rsid w:val="00FD6310"/>
    <w:rsid w:val="00FD7E8E"/>
    <w:rsid w:val="00FE36A5"/>
    <w:rsid w:val="00FE3E5F"/>
    <w:rsid w:val="00FE5D95"/>
    <w:rsid w:val="00FF1380"/>
    <w:rsid w:val="00FF6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FD88"/>
  <w15:chartTrackingRefBased/>
  <w15:docId w15:val="{F38306E0-942B-4E20-BAA8-C406DA1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D95"/>
    <w:pPr>
      <w:keepNext/>
      <w:keepLines/>
      <w:spacing w:before="240" w:after="0" w:line="240"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B6C25"/>
    <w:pPr>
      <w:keepNext/>
      <w:keepLines/>
      <w:spacing w:before="40" w:after="0"/>
      <w:jc w:val="both"/>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95"/>
    <w:rPr>
      <w:rFonts w:eastAsiaTheme="majorEastAsia" w:cstheme="majorBidi"/>
      <w:b/>
      <w:sz w:val="32"/>
      <w:szCs w:val="32"/>
    </w:rPr>
  </w:style>
  <w:style w:type="character" w:customStyle="1" w:styleId="Heading2Char">
    <w:name w:val="Heading 2 Char"/>
    <w:basedOn w:val="DefaultParagraphFont"/>
    <w:link w:val="Heading2"/>
    <w:uiPriority w:val="9"/>
    <w:rsid w:val="005B6C25"/>
    <w:rPr>
      <w:rFonts w:ascii="Calibri" w:eastAsiaTheme="majorEastAsia" w:hAnsi="Calibri" w:cstheme="majorBidi"/>
      <w:b/>
      <w:sz w:val="26"/>
      <w:szCs w:val="26"/>
    </w:rPr>
  </w:style>
  <w:style w:type="paragraph" w:styleId="Revision">
    <w:name w:val="Revision"/>
    <w:hidden/>
    <w:uiPriority w:val="99"/>
    <w:semiHidden/>
    <w:rsid w:val="00980BE0"/>
    <w:pPr>
      <w:spacing w:after="0" w:line="240" w:lineRule="auto"/>
    </w:pPr>
  </w:style>
  <w:style w:type="character" w:styleId="CommentReference">
    <w:name w:val="annotation reference"/>
    <w:basedOn w:val="DefaultParagraphFont"/>
    <w:unhideWhenUsed/>
    <w:rsid w:val="00DC72B1"/>
    <w:rPr>
      <w:sz w:val="16"/>
      <w:szCs w:val="16"/>
    </w:rPr>
  </w:style>
  <w:style w:type="paragraph" w:styleId="CommentText">
    <w:name w:val="annotation text"/>
    <w:basedOn w:val="Normal"/>
    <w:link w:val="CommentTextChar"/>
    <w:uiPriority w:val="99"/>
    <w:unhideWhenUsed/>
    <w:rsid w:val="00DC72B1"/>
    <w:pPr>
      <w:spacing w:line="240" w:lineRule="auto"/>
    </w:pPr>
    <w:rPr>
      <w:sz w:val="20"/>
      <w:szCs w:val="20"/>
    </w:rPr>
  </w:style>
  <w:style w:type="character" w:customStyle="1" w:styleId="CommentTextChar">
    <w:name w:val="Comment Text Char"/>
    <w:basedOn w:val="DefaultParagraphFont"/>
    <w:link w:val="CommentText"/>
    <w:uiPriority w:val="99"/>
    <w:rsid w:val="00DC72B1"/>
    <w:rPr>
      <w:sz w:val="20"/>
      <w:szCs w:val="20"/>
    </w:rPr>
  </w:style>
  <w:style w:type="paragraph" w:styleId="CommentSubject">
    <w:name w:val="annotation subject"/>
    <w:basedOn w:val="CommentText"/>
    <w:next w:val="CommentText"/>
    <w:link w:val="CommentSubjectChar"/>
    <w:uiPriority w:val="99"/>
    <w:semiHidden/>
    <w:unhideWhenUsed/>
    <w:rsid w:val="00DC72B1"/>
    <w:rPr>
      <w:b/>
      <w:bCs/>
    </w:rPr>
  </w:style>
  <w:style w:type="character" w:customStyle="1" w:styleId="CommentSubjectChar">
    <w:name w:val="Comment Subject Char"/>
    <w:basedOn w:val="CommentTextChar"/>
    <w:link w:val="CommentSubject"/>
    <w:uiPriority w:val="99"/>
    <w:semiHidden/>
    <w:rsid w:val="00DC72B1"/>
    <w:rPr>
      <w:b/>
      <w:bCs/>
      <w:sz w:val="20"/>
      <w:szCs w:val="20"/>
    </w:rPr>
  </w:style>
  <w:style w:type="character" w:styleId="Hyperlink">
    <w:name w:val="Hyperlink"/>
    <w:basedOn w:val="DefaultParagraphFont"/>
    <w:uiPriority w:val="99"/>
    <w:unhideWhenUsed/>
    <w:rsid w:val="00DC72B1"/>
    <w:rPr>
      <w:color w:val="0563C1" w:themeColor="hyperlink"/>
      <w:u w:val="single"/>
    </w:rPr>
  </w:style>
  <w:style w:type="character" w:styleId="UnresolvedMention">
    <w:name w:val="Unresolved Mention"/>
    <w:basedOn w:val="DefaultParagraphFont"/>
    <w:uiPriority w:val="99"/>
    <w:semiHidden/>
    <w:unhideWhenUsed/>
    <w:rsid w:val="00DC72B1"/>
    <w:rPr>
      <w:color w:val="605E5C"/>
      <w:shd w:val="clear" w:color="auto" w:fill="E1DFDD"/>
    </w:rPr>
  </w:style>
  <w:style w:type="table" w:styleId="TableGrid">
    <w:name w:val="Table Grid"/>
    <w:basedOn w:val="TableNormal"/>
    <w:rsid w:val="00EF0E0E"/>
    <w:pPr>
      <w:spacing w:after="0" w:line="240" w:lineRule="auto"/>
    </w:pPr>
    <w:rPr>
      <w:rFonts w:eastAsia="Times New Roman"/>
      <w:kern w:val="0"/>
      <w:sz w:val="20"/>
      <w:szCs w:val="20"/>
      <w:lang w:eastAsia="en-AU"/>
      <w14:ligatures w14:val="none"/>
    </w:rPr>
    <w:tblPr/>
  </w:style>
  <w:style w:type="paragraph" w:styleId="Header">
    <w:name w:val="header"/>
    <w:basedOn w:val="Normal"/>
    <w:link w:val="HeaderChar"/>
    <w:uiPriority w:val="99"/>
    <w:unhideWhenUsed/>
    <w:rsid w:val="00E82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BC0"/>
  </w:style>
  <w:style w:type="paragraph" w:styleId="Footer">
    <w:name w:val="footer"/>
    <w:basedOn w:val="Normal"/>
    <w:link w:val="FooterChar"/>
    <w:uiPriority w:val="99"/>
    <w:unhideWhenUsed/>
    <w:rsid w:val="00E8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BC0"/>
  </w:style>
  <w:style w:type="paragraph" w:styleId="NormalWeb">
    <w:name w:val="Normal (Web)"/>
    <w:basedOn w:val="Normal"/>
    <w:uiPriority w:val="99"/>
    <w:unhideWhenUsed/>
    <w:rsid w:val="00D43975"/>
    <w:pPr>
      <w:spacing w:before="100" w:beforeAutospacing="1" w:after="100" w:afterAutospacing="1" w:line="240" w:lineRule="auto"/>
    </w:pPr>
    <w:rPr>
      <w:rFonts w:eastAsia="Times New Roman"/>
      <w:kern w:val="0"/>
      <w:lang w:eastAsia="en-AU"/>
      <w14:ligatures w14:val="none"/>
    </w:rPr>
  </w:style>
  <w:style w:type="paragraph" w:customStyle="1" w:styleId="Item">
    <w:name w:val="Item"/>
    <w:aliases w:val="i"/>
    <w:basedOn w:val="Normal"/>
    <w:next w:val="Normal"/>
    <w:rsid w:val="00FA6908"/>
    <w:pPr>
      <w:keepLines/>
      <w:spacing w:before="80" w:after="0" w:line="240" w:lineRule="auto"/>
      <w:ind w:left="709"/>
    </w:pPr>
    <w:rPr>
      <w:rFonts w:eastAsia="Times New Roman"/>
      <w:kern w:val="0"/>
      <w:sz w:val="22"/>
      <w:szCs w:val="20"/>
      <w:lang w:eastAsia="en-AU"/>
      <w14:ligatures w14:val="none"/>
    </w:rPr>
  </w:style>
  <w:style w:type="paragraph" w:styleId="ListParagraph">
    <w:name w:val="List Paragraph"/>
    <w:basedOn w:val="Normal"/>
    <w:uiPriority w:val="34"/>
    <w:qFormat/>
    <w:rsid w:val="00642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1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0718-E209-41D5-842D-49253A9B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 Madeleine</dc:creator>
  <cp:keywords/>
  <dc:description/>
  <cp:lastModifiedBy>Diana</cp:lastModifiedBy>
  <cp:revision>8</cp:revision>
  <dcterms:created xsi:type="dcterms:W3CDTF">2024-10-28T03:48:00Z</dcterms:created>
  <dcterms:modified xsi:type="dcterms:W3CDTF">2024-10-30T23:03:00Z</dcterms:modified>
</cp:coreProperties>
</file>