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BB6C5" w14:textId="77777777" w:rsidR="00BA76F4" w:rsidRPr="001957C4" w:rsidRDefault="00BA76F4" w:rsidP="00BA76F4">
      <w:pPr>
        <w:jc w:val="center"/>
        <w:rPr>
          <w:rFonts w:ascii="Times New Roman" w:hAnsi="Times New Roman" w:cs="Times New Roman"/>
          <w:b/>
          <w:sz w:val="24"/>
          <w:szCs w:val="24"/>
          <w:u w:val="single"/>
        </w:rPr>
      </w:pPr>
      <w:r w:rsidRPr="001957C4">
        <w:rPr>
          <w:rFonts w:ascii="Times New Roman" w:hAnsi="Times New Roman" w:cs="Times New Roman"/>
          <w:b/>
          <w:sz w:val="24"/>
          <w:szCs w:val="24"/>
          <w:u w:val="single"/>
        </w:rPr>
        <w:t>EXPLANATORY STATEMENT</w:t>
      </w:r>
    </w:p>
    <w:p w14:paraId="53DF8C77" w14:textId="77777777" w:rsidR="00BA76F4" w:rsidRPr="001957C4" w:rsidRDefault="00BA76F4" w:rsidP="00BA76F4">
      <w:pPr>
        <w:jc w:val="center"/>
        <w:rPr>
          <w:rFonts w:ascii="Times New Roman" w:hAnsi="Times New Roman" w:cs="Times New Roman"/>
          <w:bCs/>
          <w:sz w:val="24"/>
          <w:szCs w:val="24"/>
        </w:rPr>
      </w:pPr>
    </w:p>
    <w:p w14:paraId="421C9675" w14:textId="77777777" w:rsidR="00BA76F4" w:rsidRPr="001957C4" w:rsidRDefault="00BA76F4" w:rsidP="00BA76F4">
      <w:pPr>
        <w:jc w:val="center"/>
        <w:rPr>
          <w:rFonts w:ascii="Times New Roman" w:hAnsi="Times New Roman" w:cs="Times New Roman"/>
          <w:b/>
          <w:sz w:val="24"/>
          <w:szCs w:val="24"/>
        </w:rPr>
      </w:pPr>
      <w:r w:rsidRPr="001957C4">
        <w:rPr>
          <w:rFonts w:ascii="Times New Roman" w:hAnsi="Times New Roman" w:cs="Times New Roman"/>
          <w:b/>
          <w:sz w:val="24"/>
          <w:szCs w:val="24"/>
        </w:rPr>
        <w:t>Issued by the Authority of the Minister for Finance</w:t>
      </w:r>
    </w:p>
    <w:p w14:paraId="5DC4EF8D" w14:textId="77777777" w:rsidR="00BA76F4" w:rsidRPr="001957C4" w:rsidRDefault="00BA76F4" w:rsidP="00BA76F4">
      <w:pPr>
        <w:contextualSpacing/>
        <w:jc w:val="center"/>
        <w:rPr>
          <w:rFonts w:ascii="Times New Roman" w:hAnsi="Times New Roman" w:cs="Times New Roman"/>
          <w:iCs/>
          <w:sz w:val="24"/>
          <w:szCs w:val="24"/>
        </w:rPr>
      </w:pPr>
    </w:p>
    <w:p w14:paraId="6726E763" w14:textId="77777777" w:rsidR="00BA76F4" w:rsidRPr="001957C4" w:rsidRDefault="00BA76F4" w:rsidP="00BA76F4">
      <w:pPr>
        <w:contextualSpacing/>
        <w:jc w:val="center"/>
        <w:rPr>
          <w:rFonts w:ascii="Times New Roman" w:hAnsi="Times New Roman" w:cs="Times New Roman"/>
          <w:i/>
          <w:sz w:val="24"/>
          <w:szCs w:val="24"/>
        </w:rPr>
      </w:pPr>
      <w:r w:rsidRPr="001957C4">
        <w:rPr>
          <w:rFonts w:ascii="Times New Roman" w:hAnsi="Times New Roman" w:cs="Times New Roman"/>
          <w:i/>
          <w:sz w:val="24"/>
          <w:szCs w:val="24"/>
        </w:rPr>
        <w:t>Financial Framework (Supplementary Powers) Act 1997</w:t>
      </w:r>
    </w:p>
    <w:p w14:paraId="5A87A1C5" w14:textId="77777777" w:rsidR="00BA76F4" w:rsidRPr="001957C4" w:rsidRDefault="00BA76F4" w:rsidP="00BA76F4">
      <w:pPr>
        <w:tabs>
          <w:tab w:val="left" w:pos="1701"/>
        </w:tabs>
        <w:contextualSpacing/>
        <w:jc w:val="center"/>
        <w:rPr>
          <w:rFonts w:ascii="Times New Roman" w:hAnsi="Times New Roman" w:cs="Times New Roman"/>
          <w:sz w:val="24"/>
          <w:szCs w:val="24"/>
        </w:rPr>
      </w:pPr>
    </w:p>
    <w:p w14:paraId="2055F67C" w14:textId="77777777" w:rsidR="00BA76F4" w:rsidRPr="001957C4" w:rsidRDefault="00BA76F4" w:rsidP="00BA76F4">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 xml:space="preserve">Financial Framework (Supplementary Powers) Amendment </w:t>
      </w:r>
    </w:p>
    <w:p w14:paraId="1CDDA673" w14:textId="3CD366CE" w:rsidR="00BA76F4" w:rsidRPr="001957C4" w:rsidRDefault="00BA76F4" w:rsidP="00BA76F4">
      <w:pPr>
        <w:tabs>
          <w:tab w:val="left" w:pos="1701"/>
        </w:tabs>
        <w:contextualSpacing/>
        <w:jc w:val="center"/>
        <w:rPr>
          <w:rFonts w:ascii="Times New Roman" w:hAnsi="Times New Roman" w:cs="Times New Roman"/>
          <w:i/>
          <w:sz w:val="24"/>
          <w:szCs w:val="24"/>
        </w:rPr>
      </w:pPr>
      <w:r>
        <w:rPr>
          <w:rFonts w:ascii="Times New Roman" w:hAnsi="Times New Roman" w:cs="Times New Roman"/>
          <w:i/>
          <w:sz w:val="24"/>
          <w:szCs w:val="24"/>
        </w:rPr>
        <w:t>(</w:t>
      </w:r>
      <w:bookmarkStart w:id="0" w:name="_Hlk170197264"/>
      <w:r>
        <w:rPr>
          <w:rFonts w:ascii="Times New Roman" w:hAnsi="Times New Roman" w:cs="Times New Roman"/>
          <w:i/>
          <w:sz w:val="24"/>
          <w:szCs w:val="24"/>
        </w:rPr>
        <w:t xml:space="preserve">Foreign Affairs </w:t>
      </w:r>
      <w:bookmarkEnd w:id="0"/>
      <w:r>
        <w:rPr>
          <w:rFonts w:ascii="Times New Roman" w:hAnsi="Times New Roman" w:cs="Times New Roman"/>
          <w:i/>
          <w:sz w:val="24"/>
          <w:szCs w:val="24"/>
        </w:rPr>
        <w:t>and Trade Measures</w:t>
      </w:r>
      <w:r w:rsidRPr="001957C4">
        <w:rPr>
          <w:rFonts w:ascii="Times New Roman" w:hAnsi="Times New Roman" w:cs="Times New Roman"/>
          <w:i/>
          <w:sz w:val="24"/>
          <w:szCs w:val="24"/>
        </w:rPr>
        <w:t xml:space="preserve"> No. </w:t>
      </w:r>
      <w:r w:rsidR="00534629">
        <w:rPr>
          <w:rFonts w:ascii="Times New Roman" w:hAnsi="Times New Roman" w:cs="Times New Roman"/>
          <w:i/>
          <w:sz w:val="24"/>
          <w:szCs w:val="24"/>
        </w:rPr>
        <w:t>4</w:t>
      </w:r>
      <w:r w:rsidRPr="001957C4">
        <w:rPr>
          <w:rFonts w:ascii="Times New Roman" w:hAnsi="Times New Roman" w:cs="Times New Roman"/>
          <w:i/>
          <w:sz w:val="24"/>
          <w:szCs w:val="24"/>
        </w:rPr>
        <w:t xml:space="preserve">) Regulations </w:t>
      </w:r>
      <w:r w:rsidRPr="00BA0E77">
        <w:rPr>
          <w:rFonts w:ascii="Times New Roman" w:hAnsi="Times New Roman" w:cs="Times New Roman"/>
          <w:i/>
          <w:sz w:val="24"/>
          <w:szCs w:val="24"/>
        </w:rPr>
        <w:t>202</w:t>
      </w:r>
      <w:r>
        <w:rPr>
          <w:rFonts w:ascii="Times New Roman" w:hAnsi="Times New Roman" w:cs="Times New Roman"/>
          <w:i/>
          <w:sz w:val="24"/>
          <w:szCs w:val="24"/>
        </w:rPr>
        <w:t>4</w:t>
      </w:r>
    </w:p>
    <w:p w14:paraId="7E47547A" w14:textId="77777777" w:rsidR="00BA76F4" w:rsidRPr="001957C4" w:rsidRDefault="00BA76F4" w:rsidP="00BA76F4">
      <w:pPr>
        <w:contextualSpacing/>
        <w:rPr>
          <w:rFonts w:ascii="Times New Roman" w:hAnsi="Times New Roman" w:cs="Times New Roman"/>
          <w:iCs/>
          <w:sz w:val="24"/>
          <w:szCs w:val="24"/>
        </w:rPr>
      </w:pPr>
    </w:p>
    <w:p w14:paraId="1180D032" w14:textId="77777777" w:rsidR="00BA76F4" w:rsidRPr="001957C4" w:rsidRDefault="00BA76F4" w:rsidP="00BA76F4">
      <w:pPr>
        <w:contextualSpacing/>
        <w:rPr>
          <w:rFonts w:ascii="Times New Roman" w:hAnsi="Times New Roman" w:cs="Times New Roman"/>
          <w:sz w:val="24"/>
          <w:szCs w:val="24"/>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Act 1997</w:t>
      </w:r>
      <w:r w:rsidRPr="001957C4">
        <w:rPr>
          <w:rFonts w:ascii="Times New Roman" w:hAnsi="Times New Roman" w:cs="Times New Roman"/>
          <w:sz w:val="24"/>
          <w:szCs w:val="24"/>
        </w:rPr>
        <w:t xml:space="preserve"> (the FFSP Act) confers on the Commonwealth, in certain circumstances, powers to </w:t>
      </w:r>
      <w:proofErr w:type="gramStart"/>
      <w:r w:rsidRPr="001957C4">
        <w:rPr>
          <w:rFonts w:ascii="Times New Roman" w:hAnsi="Times New Roman" w:cs="Times New Roman"/>
          <w:sz w:val="24"/>
          <w:szCs w:val="24"/>
        </w:rPr>
        <w:t>make arrangements</w:t>
      </w:r>
      <w:proofErr w:type="gramEnd"/>
      <w:r w:rsidRPr="001957C4">
        <w:rPr>
          <w:rFonts w:ascii="Times New Roman" w:hAnsi="Times New Roman" w:cs="Times New Roman"/>
          <w:sz w:val="24"/>
          <w:szCs w:val="24"/>
        </w:rPr>
        <w:t xml:space="preserve">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1957C4">
        <w:rPr>
          <w:rFonts w:ascii="Times New Roman" w:hAnsi="Times New Roman" w:cs="Times New Roman"/>
          <w:i/>
          <w:sz w:val="24"/>
          <w:szCs w:val="24"/>
        </w:rPr>
        <w:t xml:space="preserve">Financial Framework (Supplementary Powers) Regulations 1997 </w:t>
      </w:r>
      <w:r w:rsidRPr="001957C4">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1957C4">
        <w:rPr>
          <w:rFonts w:ascii="Times New Roman" w:hAnsi="Times New Roman" w:cs="Times New Roman"/>
          <w:sz w:val="24"/>
          <w:szCs w:val="24"/>
        </w:rPr>
        <w:noBreakHyphen/>
        <w:t xml:space="preserve">corporate Commonwealth entities, as defined under section 12 of the </w:t>
      </w:r>
      <w:r w:rsidRPr="001957C4">
        <w:rPr>
          <w:rFonts w:ascii="Times New Roman" w:hAnsi="Times New Roman" w:cs="Times New Roman"/>
          <w:i/>
          <w:sz w:val="24"/>
          <w:szCs w:val="24"/>
        </w:rPr>
        <w:t>Public Governance, Performance and Accountability Act 2013</w:t>
      </w:r>
      <w:r w:rsidRPr="001957C4">
        <w:rPr>
          <w:rFonts w:ascii="Times New Roman" w:hAnsi="Times New Roman" w:cs="Times New Roman"/>
          <w:sz w:val="24"/>
          <w:szCs w:val="24"/>
        </w:rPr>
        <w:t>.</w:t>
      </w:r>
    </w:p>
    <w:p w14:paraId="15BFDC04" w14:textId="77777777" w:rsidR="00BA76F4" w:rsidRPr="001957C4" w:rsidRDefault="00BA76F4" w:rsidP="00BA76F4">
      <w:pPr>
        <w:contextualSpacing/>
        <w:rPr>
          <w:rFonts w:ascii="Times New Roman" w:hAnsi="Times New Roman" w:cs="Times New Roman"/>
          <w:sz w:val="24"/>
          <w:szCs w:val="24"/>
        </w:rPr>
      </w:pPr>
    </w:p>
    <w:p w14:paraId="7C6854B9" w14:textId="77777777" w:rsidR="00BA76F4" w:rsidRPr="001957C4" w:rsidRDefault="00BA76F4" w:rsidP="00BA76F4">
      <w:pPr>
        <w:pStyle w:val="ParaNumbering"/>
        <w:spacing w:after="0"/>
      </w:pPr>
      <w:r w:rsidRPr="001957C4">
        <w:t xml:space="preserve">The Principal Regulations are exempt from sunsetting under section 12 of the </w:t>
      </w:r>
      <w:r w:rsidRPr="001957C4">
        <w:rPr>
          <w:i/>
        </w:rPr>
        <w:t xml:space="preserve">Legislation (Exemptions and Other Matters) Regulation 2015 </w:t>
      </w:r>
      <w:r w:rsidRPr="001957C4">
        <w:t xml:space="preserve">(item 28A). If the Principal Regulations were subject to the sunsetting regime under the </w:t>
      </w:r>
      <w:r w:rsidRPr="001957C4">
        <w:rPr>
          <w:i/>
        </w:rPr>
        <w:t>Legislation Act 2003</w:t>
      </w:r>
      <w:r w:rsidRPr="001957C4">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49874427" w14:textId="77777777" w:rsidR="00BA76F4" w:rsidRPr="001957C4" w:rsidRDefault="00BA76F4" w:rsidP="00BA76F4">
      <w:pPr>
        <w:pStyle w:val="ParaNumbering"/>
        <w:spacing w:after="0"/>
      </w:pPr>
    </w:p>
    <w:p w14:paraId="654E6B40" w14:textId="77777777" w:rsidR="00BA76F4" w:rsidRDefault="00BA76F4" w:rsidP="00BA76F4">
      <w:pPr>
        <w:pStyle w:val="ParaNumbering"/>
        <w:spacing w:after="0" w:line="240" w:lineRule="auto"/>
      </w:pPr>
      <w:r w:rsidRPr="001957C4">
        <w:t xml:space="preserve">Additionally, the Principal Regulations authorise </w:t>
      </w:r>
      <w:proofErr w:type="gramStart"/>
      <w:r w:rsidRPr="001957C4">
        <w:t>a number of</w:t>
      </w:r>
      <w:proofErr w:type="gramEnd"/>
      <w:r w:rsidRPr="001957C4">
        <w:t xml:space="preserve"> activities </w:t>
      </w:r>
      <w:r w:rsidRPr="00F02BD5">
        <w:t>that</w:t>
      </w:r>
      <w:r w:rsidRPr="001957C4">
        <w:t xml:space="preserve">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0C756359" w14:textId="77777777" w:rsidR="00BA76F4" w:rsidRPr="001957C4" w:rsidRDefault="00BA76F4" w:rsidP="00BA76F4">
      <w:pPr>
        <w:pStyle w:val="ParaNumbering"/>
        <w:spacing w:after="0" w:line="240" w:lineRule="auto"/>
      </w:pPr>
    </w:p>
    <w:p w14:paraId="0E7112CB" w14:textId="69101E27" w:rsidR="00BA76F4" w:rsidRPr="001957C4" w:rsidRDefault="00BA76F4" w:rsidP="00BA76F4">
      <w:pPr>
        <w:ind w:right="-45"/>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1957C4">
        <w:rPr>
          <w:rFonts w:ascii="Times New Roman" w:eastAsia="Times New Roman" w:hAnsi="Times New Roman" w:cs="Times New Roman"/>
          <w:sz w:val="24"/>
          <w:szCs w:val="24"/>
        </w:rPr>
        <w:t>B(</w:t>
      </w:r>
      <w:proofErr w:type="gramEnd"/>
      <w:r w:rsidRPr="001957C4">
        <w:rPr>
          <w:rFonts w:ascii="Times New Roman" w:eastAsia="Times New Roman" w:hAnsi="Times New Roman" w:cs="Times New Roman"/>
          <w:sz w:val="24"/>
          <w:szCs w:val="24"/>
        </w:rPr>
        <w:t xml:space="preserve">1) of the </w:t>
      </w:r>
      <w:r w:rsidR="006C2093">
        <w:rPr>
          <w:rFonts w:ascii="Times New Roman" w:eastAsia="Times New Roman" w:hAnsi="Times New Roman" w:cs="Times New Roman"/>
          <w:sz w:val="24"/>
          <w:szCs w:val="24"/>
        </w:rPr>
        <w:t xml:space="preserve">FFSP </w:t>
      </w:r>
      <w:r w:rsidRPr="001957C4">
        <w:rPr>
          <w:rFonts w:ascii="Times New Roman" w:eastAsia="Times New Roman" w:hAnsi="Times New Roman" w:cs="Times New Roman"/>
          <w:sz w:val="24"/>
          <w:szCs w:val="24"/>
        </w:rPr>
        <w:t>Act. Schedule 1AA and Schedule 1AB to the Principal Regulations specify the arrangements, grants and programs.</w:t>
      </w:r>
    </w:p>
    <w:p w14:paraId="22EAB7D6" w14:textId="77777777" w:rsidR="00BA76F4" w:rsidRPr="001957C4" w:rsidRDefault="00BA76F4" w:rsidP="00BA76F4">
      <w:pPr>
        <w:ind w:right="-46"/>
        <w:rPr>
          <w:rFonts w:ascii="Times New Roman" w:eastAsia="Times New Roman" w:hAnsi="Times New Roman" w:cs="Times New Roman"/>
          <w:sz w:val="24"/>
          <w:szCs w:val="24"/>
        </w:rPr>
      </w:pPr>
    </w:p>
    <w:p w14:paraId="219B482A" w14:textId="77777777" w:rsidR="00BA76F4" w:rsidRPr="001957C4" w:rsidRDefault="00BA76F4" w:rsidP="00BA76F4">
      <w:pPr>
        <w:ind w:right="-46"/>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5D2C284E" w14:textId="0679F2C0" w:rsidR="00BA76F4" w:rsidRPr="0024315F" w:rsidRDefault="00BA76F4" w:rsidP="00BA76F4">
      <w:pPr>
        <w:ind w:right="-46"/>
        <w:rPr>
          <w:rFonts w:ascii="Times New Roman" w:hAnsi="Times New Roman" w:cs="Times New Roman"/>
          <w:color w:val="000000" w:themeColor="text1"/>
          <w:sz w:val="24"/>
          <w:szCs w:val="24"/>
        </w:rPr>
      </w:pPr>
      <w:r w:rsidRPr="001957C4">
        <w:rPr>
          <w:rFonts w:ascii="Times New Roman" w:hAnsi="Times New Roman" w:cs="Times New Roman"/>
          <w:sz w:val="24"/>
          <w:szCs w:val="24"/>
        </w:rPr>
        <w:br w:type="column"/>
      </w:r>
      <w:r w:rsidRPr="001957C4">
        <w:rPr>
          <w:rFonts w:ascii="Times New Roman" w:hAnsi="Times New Roman" w:cs="Times New Roman"/>
          <w:sz w:val="24"/>
          <w:szCs w:val="24"/>
        </w:rPr>
        <w:lastRenderedPageBreak/>
        <w:t xml:space="preserve">The </w:t>
      </w:r>
      <w:r w:rsidRPr="001957C4">
        <w:rPr>
          <w:rFonts w:ascii="Times New Roman" w:hAnsi="Times New Roman" w:cs="Times New Roman"/>
          <w:i/>
          <w:sz w:val="24"/>
          <w:szCs w:val="24"/>
        </w:rPr>
        <w:t>Financial Framework (Supplementary Powers) Amendment (</w:t>
      </w:r>
      <w:r>
        <w:rPr>
          <w:rFonts w:ascii="Times New Roman" w:hAnsi="Times New Roman" w:cs="Times New Roman"/>
          <w:i/>
          <w:sz w:val="24"/>
          <w:szCs w:val="24"/>
        </w:rPr>
        <w:t xml:space="preserve">Foreign Affairs and Trade </w:t>
      </w:r>
      <w:r w:rsidRPr="001957C4">
        <w:rPr>
          <w:rFonts w:ascii="Times New Roman" w:hAnsi="Times New Roman" w:cs="Times New Roman"/>
          <w:i/>
          <w:sz w:val="24"/>
          <w:szCs w:val="24"/>
        </w:rPr>
        <w:t xml:space="preserve">Measures No. </w:t>
      </w:r>
      <w:r w:rsidR="00534629">
        <w:rPr>
          <w:rFonts w:ascii="Times New Roman" w:hAnsi="Times New Roman" w:cs="Times New Roman"/>
          <w:i/>
          <w:sz w:val="24"/>
          <w:szCs w:val="24"/>
        </w:rPr>
        <w:t>4</w:t>
      </w:r>
      <w:r w:rsidRPr="001957C4">
        <w:rPr>
          <w:rFonts w:ascii="Times New Roman" w:hAnsi="Times New Roman" w:cs="Times New Roman"/>
          <w:i/>
          <w:sz w:val="24"/>
          <w:szCs w:val="24"/>
        </w:rPr>
        <w:t xml:space="preserve">) </w:t>
      </w:r>
      <w:r w:rsidRPr="00277B9C">
        <w:rPr>
          <w:rFonts w:ascii="Times New Roman" w:hAnsi="Times New Roman" w:cs="Times New Roman"/>
          <w:i/>
          <w:sz w:val="24"/>
          <w:szCs w:val="24"/>
        </w:rPr>
        <w:t xml:space="preserve">Regulations 2024 </w:t>
      </w:r>
      <w:r w:rsidRPr="00277B9C">
        <w:rPr>
          <w:rFonts w:ascii="Times New Roman" w:hAnsi="Times New Roman" w:cs="Times New Roman"/>
          <w:iCs/>
          <w:sz w:val="24"/>
          <w:szCs w:val="24"/>
        </w:rPr>
        <w:t>(</w:t>
      </w:r>
      <w:r w:rsidRPr="00277B9C">
        <w:rPr>
          <w:rFonts w:ascii="Times New Roman" w:hAnsi="Times New Roman" w:cs="Times New Roman"/>
          <w:sz w:val="24"/>
          <w:szCs w:val="24"/>
        </w:rPr>
        <w:t xml:space="preserve">the Regulations) amend Schedule 1AB to the Principal Regulations to establish legislative authority </w:t>
      </w:r>
      <w:r w:rsidRPr="00BA0E77">
        <w:rPr>
          <w:rFonts w:ascii="Times New Roman" w:hAnsi="Times New Roman" w:cs="Times New Roman"/>
          <w:sz w:val="24"/>
          <w:szCs w:val="24"/>
        </w:rPr>
        <w:t xml:space="preserve">for </w:t>
      </w:r>
      <w:r w:rsidR="00926E49">
        <w:rPr>
          <w:rFonts w:ascii="Times New Roman" w:hAnsi="Times New Roman" w:cs="Times New Roman"/>
          <w:bCs/>
          <w:sz w:val="24"/>
          <w:szCs w:val="24"/>
        </w:rPr>
        <w:t>g</w:t>
      </w:r>
      <w:r w:rsidRPr="00BA0E77">
        <w:rPr>
          <w:rFonts w:ascii="Times New Roman" w:hAnsi="Times New Roman" w:cs="Times New Roman"/>
          <w:bCs/>
          <w:sz w:val="24"/>
          <w:szCs w:val="24"/>
        </w:rPr>
        <w:t>overnment</w:t>
      </w:r>
      <w:r>
        <w:rPr>
          <w:rFonts w:ascii="Times New Roman" w:hAnsi="Times New Roman" w:cs="Times New Roman"/>
          <w:bCs/>
          <w:sz w:val="24"/>
          <w:szCs w:val="24"/>
        </w:rPr>
        <w:t xml:space="preserve"> spending on activities</w:t>
      </w:r>
      <w:r w:rsidRPr="00BA0E77">
        <w:rPr>
          <w:rFonts w:ascii="Times New Roman" w:hAnsi="Times New Roman" w:cs="Times New Roman"/>
          <w:bCs/>
          <w:sz w:val="24"/>
          <w:szCs w:val="24"/>
        </w:rPr>
        <w:t xml:space="preserve"> </w:t>
      </w:r>
      <w:r w:rsidR="00926E49">
        <w:rPr>
          <w:rFonts w:ascii="Times New Roman" w:hAnsi="Times New Roman" w:cs="Times New Roman"/>
          <w:bCs/>
          <w:sz w:val="24"/>
          <w:szCs w:val="24"/>
        </w:rPr>
        <w:t xml:space="preserve">to be </w:t>
      </w:r>
      <w:r w:rsidRPr="00BA0E77">
        <w:rPr>
          <w:rFonts w:ascii="Times New Roman" w:hAnsi="Times New Roman" w:cs="Times New Roman"/>
          <w:bCs/>
          <w:sz w:val="24"/>
          <w:szCs w:val="24"/>
        </w:rPr>
        <w:t xml:space="preserve">administered </w:t>
      </w:r>
      <w:r w:rsidRPr="0024315F">
        <w:rPr>
          <w:rFonts w:ascii="Times New Roman" w:hAnsi="Times New Roman" w:cs="Times New Roman"/>
          <w:bCs/>
          <w:sz w:val="24"/>
          <w:szCs w:val="24"/>
        </w:rPr>
        <w:t xml:space="preserve">by </w:t>
      </w:r>
      <w:r w:rsidRPr="0024315F">
        <w:rPr>
          <w:rFonts w:ascii="Times New Roman" w:hAnsi="Times New Roman" w:cs="Times New Roman"/>
          <w:sz w:val="24"/>
          <w:szCs w:val="24"/>
        </w:rPr>
        <w:t xml:space="preserve">the Department of </w:t>
      </w:r>
      <w:r w:rsidRPr="001F1F97">
        <w:rPr>
          <w:rFonts w:ascii="Times New Roman" w:hAnsi="Times New Roman" w:cs="Times New Roman"/>
          <w:sz w:val="24"/>
          <w:szCs w:val="24"/>
        </w:rPr>
        <w:t>Foreign Affairs</w:t>
      </w:r>
      <w:r w:rsidRPr="001F1F97">
        <w:rPr>
          <w:rFonts w:ascii="Times New Roman" w:hAnsi="Times New Roman" w:cs="Times New Roman"/>
          <w:i/>
          <w:iCs/>
          <w:sz w:val="24"/>
          <w:szCs w:val="24"/>
        </w:rPr>
        <w:t xml:space="preserve"> </w:t>
      </w:r>
      <w:r>
        <w:rPr>
          <w:rFonts w:ascii="Times New Roman" w:hAnsi="Times New Roman" w:cs="Times New Roman"/>
          <w:sz w:val="24"/>
          <w:szCs w:val="24"/>
        </w:rPr>
        <w:t>and Trade</w:t>
      </w:r>
      <w:r w:rsidRPr="0024315F">
        <w:rPr>
          <w:rFonts w:ascii="Times New Roman" w:hAnsi="Times New Roman" w:cs="Times New Roman"/>
          <w:color w:val="000000" w:themeColor="text1"/>
          <w:sz w:val="24"/>
          <w:szCs w:val="24"/>
        </w:rPr>
        <w:t>.</w:t>
      </w:r>
    </w:p>
    <w:p w14:paraId="02132942" w14:textId="77777777" w:rsidR="00BA76F4" w:rsidRPr="0024315F" w:rsidRDefault="00BA76F4" w:rsidP="00BA76F4">
      <w:pPr>
        <w:ind w:right="-46"/>
        <w:rPr>
          <w:rFonts w:ascii="Times New Roman" w:hAnsi="Times New Roman" w:cs="Times New Roman"/>
          <w:color w:val="000000" w:themeColor="text1"/>
          <w:sz w:val="24"/>
          <w:szCs w:val="24"/>
        </w:rPr>
      </w:pPr>
    </w:p>
    <w:p w14:paraId="34227230" w14:textId="7358B35D" w:rsidR="00BA76F4" w:rsidRPr="0024315F" w:rsidRDefault="00BA76F4" w:rsidP="00BA76F4">
      <w:pPr>
        <w:ind w:right="-46"/>
        <w:rPr>
          <w:rFonts w:ascii="Times New Roman" w:hAnsi="Times New Roman" w:cs="Times New Roman"/>
          <w:color w:val="000000" w:themeColor="text1"/>
          <w:sz w:val="24"/>
          <w:szCs w:val="24"/>
        </w:rPr>
      </w:pPr>
      <w:r w:rsidRPr="0024315F">
        <w:rPr>
          <w:rFonts w:ascii="Times New Roman" w:hAnsi="Times New Roman" w:cs="Times New Roman"/>
          <w:color w:val="000000" w:themeColor="text1"/>
          <w:sz w:val="24"/>
          <w:szCs w:val="24"/>
        </w:rPr>
        <w:t xml:space="preserve">Funding </w:t>
      </w:r>
      <w:r w:rsidR="003568FA">
        <w:rPr>
          <w:rFonts w:ascii="Times New Roman" w:hAnsi="Times New Roman" w:cs="Times New Roman"/>
          <w:color w:val="000000" w:themeColor="text1"/>
          <w:sz w:val="24"/>
          <w:szCs w:val="24"/>
        </w:rPr>
        <w:t>will be</w:t>
      </w:r>
      <w:r w:rsidR="003568FA" w:rsidRPr="0024315F">
        <w:rPr>
          <w:rFonts w:ascii="Times New Roman" w:hAnsi="Times New Roman" w:cs="Times New Roman"/>
          <w:color w:val="000000" w:themeColor="text1"/>
          <w:sz w:val="24"/>
          <w:szCs w:val="24"/>
        </w:rPr>
        <w:t xml:space="preserve"> </w:t>
      </w:r>
      <w:r w:rsidRPr="0024315F">
        <w:rPr>
          <w:rFonts w:ascii="Times New Roman" w:hAnsi="Times New Roman" w:cs="Times New Roman"/>
          <w:color w:val="000000" w:themeColor="text1"/>
          <w:sz w:val="24"/>
          <w:szCs w:val="24"/>
        </w:rPr>
        <w:t>provided for the:</w:t>
      </w:r>
    </w:p>
    <w:p w14:paraId="28837189" w14:textId="0C30C4B6" w:rsidR="00BA76F4" w:rsidRPr="00CF2C46" w:rsidRDefault="00C92075" w:rsidP="00BA76F4">
      <w:pPr>
        <w:numPr>
          <w:ilvl w:val="0"/>
          <w:numId w:val="1"/>
        </w:numPr>
        <w:ind w:right="-46"/>
        <w:rPr>
          <w:rFonts w:ascii="Times New Roman" w:hAnsi="Times New Roman" w:cs="Times New Roman"/>
          <w:iCs/>
          <w:sz w:val="24"/>
          <w:szCs w:val="24"/>
        </w:rPr>
      </w:pPr>
      <w:r w:rsidRPr="00C92075">
        <w:rPr>
          <w:rFonts w:ascii="Times New Roman" w:hAnsi="Times New Roman" w:cs="Times New Roman"/>
          <w:iCs/>
          <w:sz w:val="24"/>
          <w:szCs w:val="24"/>
        </w:rPr>
        <w:t>Trade Diversification and Free Trade Agreement Modernisation Program</w:t>
      </w:r>
      <w:r w:rsidRPr="00C92075">
        <w:rPr>
          <w:rFonts w:ascii="Times New Roman" w:hAnsi="Times New Roman" w:cs="Times New Roman"/>
          <w:iCs/>
          <w:sz w:val="24"/>
          <w:szCs w:val="24"/>
          <w:lang w:val="en-GB"/>
        </w:rPr>
        <w:t xml:space="preserve"> </w:t>
      </w:r>
      <w:r w:rsidR="00BA76F4" w:rsidRPr="00242C48">
        <w:rPr>
          <w:rFonts w:ascii="Times New Roman" w:hAnsi="Times New Roman" w:cs="Times New Roman"/>
          <w:iCs/>
          <w:sz w:val="24"/>
          <w:szCs w:val="24"/>
          <w:lang w:val="en-GB"/>
        </w:rPr>
        <w:t xml:space="preserve">to </w:t>
      </w:r>
      <w:r w:rsidR="00D06FBC" w:rsidRPr="00D06FBC">
        <w:rPr>
          <w:rFonts w:ascii="Times New Roman" w:hAnsi="Times New Roman" w:cs="Times New Roman"/>
          <w:iCs/>
          <w:sz w:val="24"/>
          <w:szCs w:val="24"/>
        </w:rPr>
        <w:t xml:space="preserve">enable Australian entities, including industry stakeholders and peak bodies, to conduct activities to identify priorities for the modernisation of Australia’s free trade </w:t>
      </w:r>
      <w:r w:rsidR="00D06FBC" w:rsidRPr="00CF2C46">
        <w:rPr>
          <w:rFonts w:ascii="Times New Roman" w:hAnsi="Times New Roman" w:cs="Times New Roman"/>
          <w:iCs/>
          <w:sz w:val="24"/>
          <w:szCs w:val="24"/>
        </w:rPr>
        <w:t>agreement network and progress mutual recognition</w:t>
      </w:r>
      <w:r w:rsidR="006B15D5" w:rsidRPr="00CF2C46">
        <w:rPr>
          <w:rFonts w:ascii="Times New Roman" w:hAnsi="Times New Roman" w:cs="Times New Roman"/>
          <w:iCs/>
          <w:sz w:val="24"/>
          <w:szCs w:val="24"/>
        </w:rPr>
        <w:t xml:space="preserve"> arrangements</w:t>
      </w:r>
      <w:r w:rsidR="00D06FBC" w:rsidRPr="00CF2C46">
        <w:rPr>
          <w:rFonts w:ascii="Times New Roman" w:hAnsi="Times New Roman" w:cs="Times New Roman"/>
          <w:iCs/>
          <w:sz w:val="24"/>
          <w:szCs w:val="24"/>
        </w:rPr>
        <w:t xml:space="preserve"> with other countries </w:t>
      </w:r>
      <w:r w:rsidR="00BA76F4" w:rsidRPr="00CF2C46">
        <w:rPr>
          <w:rFonts w:ascii="Times New Roman" w:hAnsi="Times New Roman" w:cs="Times New Roman"/>
          <w:iCs/>
          <w:sz w:val="24"/>
          <w:szCs w:val="24"/>
        </w:rPr>
        <w:t>(</w:t>
      </w:r>
      <w:r w:rsidR="00C41EDF" w:rsidRPr="00CF2C46">
        <w:rPr>
          <w:rFonts w:ascii="Times New Roman" w:hAnsi="Times New Roman" w:cs="Times New Roman"/>
          <w:iCs/>
          <w:sz w:val="24"/>
          <w:szCs w:val="24"/>
        </w:rPr>
        <w:t xml:space="preserve">$4.4 million </w:t>
      </w:r>
      <w:r w:rsidR="00C6766B" w:rsidRPr="00CF2C46">
        <w:rPr>
          <w:rFonts w:ascii="Times New Roman" w:hAnsi="Times New Roman" w:cs="Times New Roman"/>
          <w:iCs/>
          <w:sz w:val="24"/>
          <w:szCs w:val="24"/>
        </w:rPr>
        <w:t>over two years from 2024-25</w:t>
      </w:r>
      <w:r w:rsidR="00BA76F4" w:rsidRPr="00CF2C46">
        <w:rPr>
          <w:rFonts w:ascii="Times New Roman" w:hAnsi="Times New Roman" w:cs="Times New Roman"/>
          <w:iCs/>
          <w:sz w:val="24"/>
          <w:szCs w:val="24"/>
        </w:rPr>
        <w:t>); and</w:t>
      </w:r>
    </w:p>
    <w:p w14:paraId="55A753EF" w14:textId="28AFF03C" w:rsidR="00BA76F4" w:rsidRPr="00CF2C46" w:rsidRDefault="0085307E" w:rsidP="00BA76F4">
      <w:pPr>
        <w:numPr>
          <w:ilvl w:val="0"/>
          <w:numId w:val="1"/>
        </w:numPr>
        <w:ind w:right="-46"/>
        <w:rPr>
          <w:rFonts w:ascii="Times New Roman" w:hAnsi="Times New Roman" w:cs="Times New Roman"/>
          <w:iCs/>
          <w:sz w:val="24"/>
          <w:szCs w:val="24"/>
        </w:rPr>
      </w:pPr>
      <w:r w:rsidRPr="00CF2C46">
        <w:rPr>
          <w:rFonts w:ascii="Times New Roman" w:hAnsi="Times New Roman" w:cs="Times New Roman"/>
          <w:iCs/>
          <w:sz w:val="24"/>
          <w:szCs w:val="24"/>
        </w:rPr>
        <w:t>Investment Deal Teams Project Development Support Program</w:t>
      </w:r>
      <w:r w:rsidR="00BA76F4" w:rsidRPr="00CF2C46">
        <w:rPr>
          <w:rFonts w:ascii="Times New Roman" w:hAnsi="Times New Roman" w:cs="Times New Roman"/>
          <w:iCs/>
          <w:sz w:val="24"/>
          <w:szCs w:val="24"/>
        </w:rPr>
        <w:t xml:space="preserve"> to </w:t>
      </w:r>
      <w:r w:rsidR="00B60D5F" w:rsidRPr="00CF2C46">
        <w:rPr>
          <w:rFonts w:ascii="Times New Roman" w:hAnsi="Times New Roman" w:cs="Times New Roman"/>
          <w:iCs/>
          <w:sz w:val="24"/>
          <w:szCs w:val="24"/>
        </w:rPr>
        <w:t>facilitate Australian investment in projects located overseas</w:t>
      </w:r>
      <w:r w:rsidR="00BA76F4" w:rsidRPr="00CF2C46">
        <w:rPr>
          <w:rFonts w:ascii="Times New Roman" w:hAnsi="Times New Roman" w:cs="Times New Roman"/>
          <w:iCs/>
          <w:sz w:val="24"/>
          <w:szCs w:val="24"/>
        </w:rPr>
        <w:t xml:space="preserve"> ($</w:t>
      </w:r>
      <w:r w:rsidR="00AC60FD" w:rsidRPr="00CF2C46">
        <w:rPr>
          <w:rFonts w:ascii="Times New Roman" w:hAnsi="Times New Roman" w:cs="Times New Roman"/>
          <w:iCs/>
          <w:sz w:val="24"/>
          <w:szCs w:val="24"/>
        </w:rPr>
        <w:t>48.8</w:t>
      </w:r>
      <w:r w:rsidR="00BA76F4" w:rsidRPr="00CF2C46">
        <w:rPr>
          <w:rFonts w:ascii="Times New Roman" w:hAnsi="Times New Roman" w:cs="Times New Roman"/>
          <w:iCs/>
          <w:sz w:val="24"/>
          <w:szCs w:val="24"/>
        </w:rPr>
        <w:t xml:space="preserve"> million over four years from 202</w:t>
      </w:r>
      <w:r w:rsidR="00137925" w:rsidRPr="00CF2C46">
        <w:rPr>
          <w:rFonts w:ascii="Times New Roman" w:hAnsi="Times New Roman" w:cs="Times New Roman"/>
          <w:iCs/>
          <w:sz w:val="24"/>
          <w:szCs w:val="24"/>
        </w:rPr>
        <w:t>3</w:t>
      </w:r>
      <w:r w:rsidR="00BA76F4" w:rsidRPr="00CF2C46">
        <w:rPr>
          <w:rFonts w:ascii="Times New Roman" w:hAnsi="Times New Roman" w:cs="Times New Roman"/>
          <w:iCs/>
          <w:sz w:val="24"/>
          <w:szCs w:val="24"/>
        </w:rPr>
        <w:t>-2</w:t>
      </w:r>
      <w:r w:rsidR="00137925" w:rsidRPr="00CF2C46">
        <w:rPr>
          <w:rFonts w:ascii="Times New Roman" w:hAnsi="Times New Roman" w:cs="Times New Roman"/>
          <w:iCs/>
          <w:sz w:val="24"/>
          <w:szCs w:val="24"/>
        </w:rPr>
        <w:t>4</w:t>
      </w:r>
      <w:r w:rsidR="00BA76F4" w:rsidRPr="00CF2C46">
        <w:rPr>
          <w:rFonts w:ascii="Times New Roman" w:hAnsi="Times New Roman" w:cs="Times New Roman"/>
          <w:iCs/>
          <w:sz w:val="24"/>
          <w:szCs w:val="24"/>
        </w:rPr>
        <w:t>).</w:t>
      </w:r>
      <w:r w:rsidR="00AC60FD" w:rsidRPr="00CF2C46">
        <w:rPr>
          <w:rFonts w:ascii="Times New Roman" w:hAnsi="Times New Roman" w:cs="Times New Roman"/>
          <w:iCs/>
          <w:sz w:val="24"/>
          <w:szCs w:val="24"/>
        </w:rPr>
        <w:t xml:space="preserve"> </w:t>
      </w:r>
    </w:p>
    <w:p w14:paraId="0F4BD663" w14:textId="77777777" w:rsidR="00BA76F4" w:rsidRDefault="00BA76F4" w:rsidP="00BA76F4">
      <w:pPr>
        <w:ind w:right="-46"/>
        <w:rPr>
          <w:rFonts w:ascii="Times New Roman" w:hAnsi="Times New Roman" w:cs="Times New Roman"/>
          <w:color w:val="000000" w:themeColor="text1"/>
          <w:sz w:val="24"/>
          <w:szCs w:val="24"/>
        </w:rPr>
      </w:pPr>
    </w:p>
    <w:p w14:paraId="6B6C5048" w14:textId="77777777" w:rsidR="00BA76F4" w:rsidRPr="001957C4" w:rsidRDefault="00BA76F4" w:rsidP="00BA76F4">
      <w:pPr>
        <w:ind w:right="-46"/>
        <w:rPr>
          <w:rFonts w:ascii="Times New Roman" w:hAnsi="Times New Roman" w:cs="Times New Roman"/>
          <w:i/>
          <w:sz w:val="24"/>
          <w:szCs w:val="24"/>
        </w:rPr>
      </w:pPr>
      <w:r w:rsidRPr="001957C4">
        <w:rPr>
          <w:rFonts w:ascii="Times New Roman" w:hAnsi="Times New Roman" w:cs="Times New Roman"/>
          <w:sz w:val="24"/>
          <w:szCs w:val="24"/>
        </w:rPr>
        <w:t xml:space="preserve">Details of the Regulations are set out at </w:t>
      </w:r>
      <w:r w:rsidRPr="001957C4">
        <w:rPr>
          <w:rFonts w:ascii="Times New Roman" w:hAnsi="Times New Roman" w:cs="Times New Roman"/>
          <w:sz w:val="24"/>
          <w:szCs w:val="24"/>
          <w:u w:val="single"/>
        </w:rPr>
        <w:t>Attachment A</w:t>
      </w:r>
      <w:r w:rsidRPr="001957C4">
        <w:rPr>
          <w:rFonts w:ascii="Times New Roman" w:hAnsi="Times New Roman" w:cs="Times New Roman"/>
          <w:sz w:val="24"/>
          <w:szCs w:val="24"/>
        </w:rPr>
        <w:t xml:space="preserve">. A Statement of Compatibility with Human Rights is at </w:t>
      </w:r>
      <w:r w:rsidRPr="001957C4">
        <w:rPr>
          <w:rFonts w:ascii="Times New Roman" w:hAnsi="Times New Roman" w:cs="Times New Roman"/>
          <w:sz w:val="24"/>
          <w:szCs w:val="24"/>
          <w:u w:val="single"/>
        </w:rPr>
        <w:t>Attachment B</w:t>
      </w:r>
      <w:r w:rsidRPr="001957C4">
        <w:rPr>
          <w:rFonts w:ascii="Times New Roman" w:hAnsi="Times New Roman" w:cs="Times New Roman"/>
          <w:sz w:val="24"/>
          <w:szCs w:val="24"/>
        </w:rPr>
        <w:t>.</w:t>
      </w:r>
    </w:p>
    <w:p w14:paraId="3550BC77" w14:textId="77777777" w:rsidR="00BA76F4" w:rsidRPr="001957C4" w:rsidRDefault="00BA76F4" w:rsidP="00BA76F4">
      <w:pPr>
        <w:ind w:right="-46"/>
        <w:rPr>
          <w:rFonts w:ascii="Times New Roman" w:hAnsi="Times New Roman" w:cs="Times New Roman"/>
          <w:sz w:val="24"/>
          <w:szCs w:val="24"/>
        </w:rPr>
      </w:pPr>
    </w:p>
    <w:p w14:paraId="755AE0B1" w14:textId="77777777" w:rsidR="00BA76F4" w:rsidRPr="001957C4" w:rsidRDefault="00BA76F4" w:rsidP="00BA76F4">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are a legislative instrument for the purposes of the </w:t>
      </w:r>
      <w:r w:rsidRPr="001957C4">
        <w:rPr>
          <w:rFonts w:ascii="Times New Roman" w:hAnsi="Times New Roman" w:cs="Times New Roman"/>
          <w:i/>
          <w:sz w:val="24"/>
          <w:szCs w:val="24"/>
        </w:rPr>
        <w:t>Legislation Act 2003</w:t>
      </w:r>
      <w:r w:rsidRPr="001957C4">
        <w:rPr>
          <w:rFonts w:ascii="Times New Roman" w:hAnsi="Times New Roman" w:cs="Times New Roman"/>
          <w:sz w:val="24"/>
          <w:szCs w:val="24"/>
        </w:rPr>
        <w:t xml:space="preserve">. </w:t>
      </w:r>
    </w:p>
    <w:p w14:paraId="3A6AE0BC" w14:textId="77777777" w:rsidR="00BA76F4" w:rsidRPr="001957C4" w:rsidRDefault="00BA76F4" w:rsidP="00BA76F4">
      <w:pPr>
        <w:ind w:right="-46"/>
        <w:rPr>
          <w:rFonts w:ascii="Times New Roman" w:hAnsi="Times New Roman" w:cs="Times New Roman"/>
          <w:sz w:val="24"/>
          <w:szCs w:val="24"/>
        </w:rPr>
      </w:pPr>
    </w:p>
    <w:p w14:paraId="313C5EA5" w14:textId="77777777" w:rsidR="00BA76F4" w:rsidRPr="001957C4" w:rsidRDefault="00BA76F4" w:rsidP="00BA76F4">
      <w:pPr>
        <w:ind w:right="-46"/>
        <w:rPr>
          <w:rFonts w:ascii="Times New Roman" w:hAnsi="Times New Roman" w:cs="Times New Roman"/>
          <w:sz w:val="24"/>
          <w:szCs w:val="24"/>
        </w:rPr>
      </w:pPr>
      <w:r w:rsidRPr="001957C4">
        <w:rPr>
          <w:rFonts w:ascii="Times New Roman" w:hAnsi="Times New Roman" w:cs="Times New Roman"/>
          <w:sz w:val="24"/>
          <w:szCs w:val="24"/>
        </w:rPr>
        <w:t>The Regulations commence on the day after registration on the Federal Register of Legislation.</w:t>
      </w:r>
    </w:p>
    <w:p w14:paraId="7407AB51" w14:textId="77777777" w:rsidR="00BA76F4" w:rsidRPr="001957C4" w:rsidRDefault="00BA76F4" w:rsidP="00BA76F4">
      <w:pPr>
        <w:ind w:right="-46"/>
        <w:rPr>
          <w:rFonts w:ascii="Times New Roman" w:hAnsi="Times New Roman" w:cs="Times New Roman"/>
          <w:sz w:val="24"/>
          <w:szCs w:val="24"/>
        </w:rPr>
      </w:pPr>
    </w:p>
    <w:p w14:paraId="65443849" w14:textId="77777777" w:rsidR="00BA76F4" w:rsidRPr="001957C4" w:rsidRDefault="00BA76F4" w:rsidP="00BA76F4">
      <w:pPr>
        <w:rPr>
          <w:rFonts w:ascii="Times New Roman" w:hAnsi="Times New Roman" w:cs="Times New Roman"/>
          <w:b/>
          <w:bCs/>
          <w:sz w:val="24"/>
          <w:szCs w:val="24"/>
        </w:rPr>
      </w:pPr>
      <w:r w:rsidRPr="001957C4">
        <w:rPr>
          <w:rFonts w:ascii="Times New Roman" w:hAnsi="Times New Roman" w:cs="Times New Roman"/>
          <w:b/>
          <w:bCs/>
          <w:sz w:val="24"/>
          <w:szCs w:val="24"/>
        </w:rPr>
        <w:t>Consultation</w:t>
      </w:r>
    </w:p>
    <w:p w14:paraId="05303E16" w14:textId="77777777" w:rsidR="00BA76F4" w:rsidRPr="001957C4" w:rsidRDefault="00BA76F4" w:rsidP="00BA76F4">
      <w:pPr>
        <w:rPr>
          <w:rFonts w:ascii="Times New Roman" w:hAnsi="Times New Roman" w:cs="Times New Roman"/>
          <w:bCs/>
          <w:sz w:val="24"/>
          <w:szCs w:val="24"/>
        </w:rPr>
      </w:pPr>
    </w:p>
    <w:p w14:paraId="26CA853F" w14:textId="4C65DB2A" w:rsidR="00BA76F4" w:rsidRPr="001957C4" w:rsidRDefault="00BA76F4" w:rsidP="00BA76F4">
      <w:pPr>
        <w:rPr>
          <w:rFonts w:ascii="Times New Roman" w:hAnsi="Times New Roman" w:cs="Times New Roman"/>
          <w:sz w:val="24"/>
          <w:szCs w:val="24"/>
        </w:rPr>
      </w:pPr>
      <w:r w:rsidRPr="001957C4">
        <w:rPr>
          <w:rFonts w:ascii="Times New Roman" w:hAnsi="Times New Roman" w:cs="Times New Roman"/>
          <w:sz w:val="24"/>
          <w:szCs w:val="24"/>
        </w:rPr>
        <w:t xml:space="preserve">In accordance with section 17 of the </w:t>
      </w:r>
      <w:r w:rsidRPr="001957C4">
        <w:rPr>
          <w:rFonts w:ascii="Times New Roman" w:hAnsi="Times New Roman" w:cs="Times New Roman"/>
          <w:i/>
          <w:iCs/>
          <w:sz w:val="24"/>
          <w:szCs w:val="24"/>
        </w:rPr>
        <w:t>Legislation Act 2003</w:t>
      </w:r>
      <w:r w:rsidRPr="001957C4">
        <w:rPr>
          <w:rFonts w:ascii="Times New Roman" w:hAnsi="Times New Roman" w:cs="Times New Roman"/>
          <w:sz w:val="24"/>
          <w:szCs w:val="24"/>
        </w:rPr>
        <w:t xml:space="preserve">, consultation has taken place with the </w:t>
      </w:r>
      <w:r w:rsidR="003E6C0B" w:rsidRPr="003E6C0B">
        <w:rPr>
          <w:rFonts w:ascii="Times New Roman" w:hAnsi="Times New Roman" w:cs="Times New Roman"/>
          <w:sz w:val="24"/>
          <w:szCs w:val="24"/>
        </w:rPr>
        <w:t>Department of Foreign Affairs and Trade</w:t>
      </w:r>
      <w:r w:rsidRPr="001957C4">
        <w:rPr>
          <w:rFonts w:ascii="Times New Roman" w:hAnsi="Times New Roman" w:cs="Times New Roman"/>
          <w:sz w:val="24"/>
          <w:szCs w:val="24"/>
        </w:rPr>
        <w:t>.</w:t>
      </w:r>
    </w:p>
    <w:p w14:paraId="42667EA7" w14:textId="77777777" w:rsidR="00BA76F4" w:rsidRPr="001957C4" w:rsidRDefault="00BA76F4" w:rsidP="00BA76F4">
      <w:pPr>
        <w:rPr>
          <w:rFonts w:ascii="Times New Roman" w:hAnsi="Times New Roman" w:cs="Times New Roman"/>
          <w:sz w:val="24"/>
          <w:szCs w:val="24"/>
        </w:rPr>
      </w:pPr>
    </w:p>
    <w:p w14:paraId="7115B26B" w14:textId="77777777" w:rsidR="00BA76F4" w:rsidRPr="001957C4" w:rsidRDefault="00BA76F4" w:rsidP="00BA76F4">
      <w:pPr>
        <w:rPr>
          <w:rFonts w:ascii="Times New Roman" w:hAnsi="Times New Roman" w:cs="Times New Roman"/>
          <w:sz w:val="24"/>
          <w:szCs w:val="24"/>
        </w:rPr>
      </w:pPr>
      <w:r w:rsidRPr="001957C4">
        <w:rPr>
          <w:rFonts w:ascii="Times New Roman" w:hAnsi="Times New Roman" w:cs="Times New Roman"/>
          <w:iCs/>
          <w:sz w:val="24"/>
          <w:szCs w:val="24"/>
        </w:rPr>
        <w:t>A regulat</w:t>
      </w:r>
      <w:r>
        <w:rPr>
          <w:rFonts w:ascii="Times New Roman" w:hAnsi="Times New Roman" w:cs="Times New Roman"/>
          <w:iCs/>
          <w:sz w:val="24"/>
          <w:szCs w:val="24"/>
        </w:rPr>
        <w:t>ory</w:t>
      </w:r>
      <w:r w:rsidRPr="001957C4">
        <w:rPr>
          <w:rFonts w:ascii="Times New Roman" w:hAnsi="Times New Roman" w:cs="Times New Roman"/>
          <w:iCs/>
          <w:sz w:val="24"/>
          <w:szCs w:val="24"/>
        </w:rPr>
        <w:t xml:space="preserve"> impact </w:t>
      </w:r>
      <w:r w:rsidRPr="004D529C">
        <w:rPr>
          <w:rFonts w:ascii="Times New Roman" w:hAnsi="Times New Roman" w:cs="Times New Roman"/>
          <w:iCs/>
          <w:sz w:val="24"/>
          <w:szCs w:val="24"/>
        </w:rPr>
        <w:t xml:space="preserve">analysis </w:t>
      </w:r>
      <w:r w:rsidRPr="001957C4">
        <w:rPr>
          <w:rFonts w:ascii="Times New Roman" w:hAnsi="Times New Roman" w:cs="Times New Roman"/>
          <w:iCs/>
          <w:sz w:val="24"/>
          <w:szCs w:val="24"/>
        </w:rPr>
        <w:t>is not required as the Regulations only apply to non</w:t>
      </w:r>
      <w:r w:rsidRPr="001957C4">
        <w:rPr>
          <w:rFonts w:ascii="Times New Roman" w:hAnsi="Times New Roman" w:cs="Times New Roman"/>
          <w:iCs/>
          <w:sz w:val="24"/>
          <w:szCs w:val="24"/>
        </w:rPr>
        <w:noBreakHyphen/>
        <w:t xml:space="preserve">corporate Commonwealth entities and do not adversely affect the private sector. </w:t>
      </w:r>
    </w:p>
    <w:p w14:paraId="686AA655" w14:textId="77777777" w:rsidR="00BA76F4" w:rsidRPr="001957C4" w:rsidRDefault="00BA76F4" w:rsidP="00BA76F4">
      <w:pPr>
        <w:rPr>
          <w:rFonts w:ascii="Times New Roman" w:hAnsi="Times New Roman" w:cs="Times New Roman"/>
          <w:sz w:val="24"/>
          <w:szCs w:val="24"/>
        </w:rPr>
      </w:pPr>
    </w:p>
    <w:p w14:paraId="5E7C07A2" w14:textId="77777777" w:rsidR="00BA76F4" w:rsidRPr="001957C4" w:rsidRDefault="00BA76F4" w:rsidP="00BA76F4">
      <w:pPr>
        <w:rPr>
          <w:rFonts w:ascii="Times New Roman" w:hAnsi="Times New Roman" w:cs="Times New Roman"/>
          <w:sz w:val="24"/>
          <w:szCs w:val="24"/>
        </w:rPr>
      </w:pPr>
    </w:p>
    <w:p w14:paraId="573DBC40" w14:textId="77777777" w:rsidR="00BA76F4" w:rsidRPr="001957C4" w:rsidRDefault="00BA76F4" w:rsidP="00BA76F4">
      <w:pPr>
        <w:contextualSpacing/>
        <w:rPr>
          <w:rFonts w:ascii="Times New Roman" w:hAnsi="Times New Roman" w:cs="Times New Roman"/>
          <w:color w:val="000000" w:themeColor="text1"/>
          <w:sz w:val="24"/>
          <w:szCs w:val="24"/>
        </w:rPr>
        <w:sectPr w:rsidR="00BA76F4" w:rsidRPr="001957C4">
          <w:headerReference w:type="default" r:id="rId13"/>
          <w:headerReference w:type="first" r:id="rId14"/>
          <w:pgSz w:w="11906" w:h="16838"/>
          <w:pgMar w:top="1418" w:right="1440" w:bottom="1332" w:left="1440" w:header="709" w:footer="709" w:gutter="0"/>
          <w:pgNumType w:start="1"/>
          <w:cols w:space="708"/>
          <w:titlePg/>
          <w:docGrid w:linePitch="360"/>
        </w:sectPr>
      </w:pPr>
    </w:p>
    <w:p w14:paraId="766BBA63" w14:textId="77777777" w:rsidR="00BA76F4" w:rsidRPr="001957C4" w:rsidRDefault="00BA76F4" w:rsidP="00BA76F4">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A</w:t>
      </w:r>
    </w:p>
    <w:p w14:paraId="1DDA71AF" w14:textId="77777777" w:rsidR="00BA76F4" w:rsidRDefault="00BA76F4" w:rsidP="00BA76F4">
      <w:pPr>
        <w:contextualSpacing/>
        <w:rPr>
          <w:rFonts w:ascii="Times New Roman" w:hAnsi="Times New Roman" w:cs="Times New Roman"/>
          <w:b/>
          <w:bCs/>
          <w:color w:val="000000" w:themeColor="text1"/>
          <w:sz w:val="24"/>
          <w:szCs w:val="24"/>
          <w:u w:val="single"/>
        </w:rPr>
      </w:pPr>
    </w:p>
    <w:p w14:paraId="60481B04" w14:textId="77777777" w:rsidR="00BA76F4" w:rsidRPr="001957C4" w:rsidRDefault="00BA76F4" w:rsidP="00BA76F4">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color w:val="000000" w:themeColor="text1"/>
          <w:sz w:val="24"/>
          <w:szCs w:val="24"/>
          <w:u w:val="single"/>
        </w:rPr>
        <w:t xml:space="preserve">Details of the </w:t>
      </w:r>
      <w:r w:rsidRPr="001957C4">
        <w:rPr>
          <w:rFonts w:ascii="Times New Roman" w:hAnsi="Times New Roman" w:cs="Times New Roman"/>
          <w:b/>
          <w:bCs/>
          <w:i/>
          <w:color w:val="000000" w:themeColor="text1"/>
          <w:sz w:val="24"/>
          <w:szCs w:val="24"/>
          <w:u w:val="single"/>
        </w:rPr>
        <w:t xml:space="preserve">Financial Framework (Supplementary Powers) Amendment </w:t>
      </w:r>
    </w:p>
    <w:p w14:paraId="49415D7E" w14:textId="3EBEDB3A" w:rsidR="00BA76F4" w:rsidRPr="001957C4" w:rsidRDefault="00BA76F4" w:rsidP="00BA76F4">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i/>
          <w:color w:val="000000" w:themeColor="text1"/>
          <w:sz w:val="24"/>
          <w:szCs w:val="24"/>
          <w:u w:val="single"/>
        </w:rPr>
        <w:t>(</w:t>
      </w:r>
      <w:r w:rsidRPr="00E12DEC">
        <w:rPr>
          <w:rFonts w:ascii="Times New Roman" w:hAnsi="Times New Roman" w:cs="Times New Roman"/>
          <w:b/>
          <w:bCs/>
          <w:i/>
          <w:color w:val="000000" w:themeColor="text1"/>
          <w:sz w:val="24"/>
          <w:szCs w:val="24"/>
          <w:u w:val="single"/>
        </w:rPr>
        <w:t xml:space="preserve">Foreign Affairs </w:t>
      </w:r>
      <w:r>
        <w:rPr>
          <w:rFonts w:ascii="Times New Roman" w:hAnsi="Times New Roman" w:cs="Times New Roman"/>
          <w:b/>
          <w:bCs/>
          <w:i/>
          <w:color w:val="000000" w:themeColor="text1"/>
          <w:sz w:val="24"/>
          <w:szCs w:val="24"/>
          <w:u w:val="single"/>
        </w:rPr>
        <w:t xml:space="preserve">and Trade </w:t>
      </w:r>
      <w:r w:rsidRPr="0006251E">
        <w:rPr>
          <w:rFonts w:ascii="Times New Roman" w:hAnsi="Times New Roman" w:cs="Times New Roman"/>
          <w:b/>
          <w:bCs/>
          <w:i/>
          <w:color w:val="000000" w:themeColor="text1"/>
          <w:sz w:val="24"/>
          <w:szCs w:val="24"/>
          <w:u w:val="single"/>
        </w:rPr>
        <w:t xml:space="preserve">Measures No. </w:t>
      </w:r>
      <w:r w:rsidR="003B0881">
        <w:rPr>
          <w:rFonts w:ascii="Times New Roman" w:hAnsi="Times New Roman" w:cs="Times New Roman"/>
          <w:b/>
          <w:bCs/>
          <w:i/>
          <w:color w:val="000000" w:themeColor="text1"/>
          <w:sz w:val="24"/>
          <w:szCs w:val="24"/>
          <w:u w:val="single"/>
        </w:rPr>
        <w:t>4</w:t>
      </w:r>
      <w:r w:rsidRPr="001957C4">
        <w:rPr>
          <w:rFonts w:ascii="Times New Roman" w:hAnsi="Times New Roman"/>
          <w:b/>
          <w:i/>
          <w:sz w:val="24"/>
          <w:szCs w:val="24"/>
          <w:u w:val="single"/>
        </w:rPr>
        <w:t>)</w:t>
      </w:r>
      <w:r w:rsidRPr="001957C4">
        <w:rPr>
          <w:rFonts w:ascii="Times New Roman" w:hAnsi="Times New Roman" w:cs="Times New Roman"/>
          <w:b/>
          <w:bCs/>
          <w:i/>
          <w:color w:val="000000" w:themeColor="text1"/>
          <w:sz w:val="24"/>
          <w:szCs w:val="24"/>
          <w:u w:val="single"/>
        </w:rPr>
        <w:t xml:space="preserve"> Regulations 202</w:t>
      </w:r>
      <w:r>
        <w:rPr>
          <w:rFonts w:ascii="Times New Roman" w:hAnsi="Times New Roman" w:cs="Times New Roman"/>
          <w:b/>
          <w:bCs/>
          <w:i/>
          <w:color w:val="000000" w:themeColor="text1"/>
          <w:sz w:val="24"/>
          <w:szCs w:val="24"/>
          <w:u w:val="single"/>
        </w:rPr>
        <w:t>4</w:t>
      </w:r>
    </w:p>
    <w:p w14:paraId="6BAC79F8" w14:textId="77777777" w:rsidR="00BA76F4" w:rsidRPr="001957C4" w:rsidRDefault="00BA76F4" w:rsidP="00BA76F4">
      <w:pPr>
        <w:contextualSpacing/>
        <w:rPr>
          <w:rFonts w:ascii="Times New Roman" w:hAnsi="Times New Roman" w:cs="Times New Roman"/>
          <w:color w:val="000000" w:themeColor="text1"/>
          <w:sz w:val="24"/>
          <w:szCs w:val="24"/>
        </w:rPr>
      </w:pPr>
    </w:p>
    <w:p w14:paraId="52D01F12" w14:textId="77777777" w:rsidR="00BA76F4" w:rsidRPr="001957C4" w:rsidRDefault="00BA76F4" w:rsidP="00BA76F4">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 xml:space="preserve">Section 1 – Name </w:t>
      </w:r>
    </w:p>
    <w:p w14:paraId="1544D8AC" w14:textId="77777777" w:rsidR="00BA76F4" w:rsidRPr="001957C4" w:rsidRDefault="00BA76F4" w:rsidP="00BA76F4">
      <w:pPr>
        <w:contextualSpacing/>
        <w:rPr>
          <w:rFonts w:ascii="Times New Roman" w:hAnsi="Times New Roman" w:cs="Times New Roman"/>
          <w:color w:val="000000" w:themeColor="text1"/>
          <w:sz w:val="24"/>
          <w:szCs w:val="24"/>
        </w:rPr>
      </w:pPr>
    </w:p>
    <w:p w14:paraId="0D38FDE1" w14:textId="33B4A094" w:rsidR="00BA76F4" w:rsidRPr="001957C4" w:rsidRDefault="00BA76F4" w:rsidP="00BA76F4">
      <w:pPr>
        <w:contextualSpacing/>
        <w:rPr>
          <w:rFonts w:ascii="Times New Roman" w:hAnsi="Times New Roman" w:cs="Times New Roman"/>
          <w:bCs/>
          <w:i/>
          <w:sz w:val="24"/>
          <w:szCs w:val="24"/>
        </w:rPr>
      </w:pPr>
      <w:r w:rsidRPr="001957C4">
        <w:rPr>
          <w:rFonts w:ascii="Times New Roman" w:hAnsi="Times New Roman" w:cs="Times New Roman"/>
          <w:color w:val="000000" w:themeColor="text1"/>
          <w:sz w:val="24"/>
          <w:szCs w:val="24"/>
        </w:rPr>
        <w:t xml:space="preserve">This section provides that the title of the Regulations </w:t>
      </w:r>
      <w:r w:rsidRPr="001957C4">
        <w:rPr>
          <w:rFonts w:ascii="Times New Roman" w:hAnsi="Times New Roman" w:cs="Times New Roman"/>
          <w:sz w:val="24"/>
          <w:szCs w:val="24"/>
        </w:rPr>
        <w:t>is</w:t>
      </w:r>
      <w:r w:rsidRPr="001957C4">
        <w:rPr>
          <w:rFonts w:ascii="Times New Roman" w:hAnsi="Times New Roman" w:cs="Times New Roman"/>
          <w:color w:val="000000" w:themeColor="text1"/>
          <w:sz w:val="24"/>
          <w:szCs w:val="24"/>
        </w:rPr>
        <w:t xml:space="preserve"> the </w:t>
      </w:r>
      <w:r w:rsidRPr="001957C4">
        <w:rPr>
          <w:rFonts w:ascii="Times New Roman" w:hAnsi="Times New Roman" w:cs="Times New Roman"/>
          <w:bCs/>
          <w:i/>
          <w:sz w:val="24"/>
          <w:szCs w:val="24"/>
        </w:rPr>
        <w:t xml:space="preserve">Financial Framework (Supplementary Powers) </w:t>
      </w:r>
      <w:r w:rsidRPr="009456E0">
        <w:rPr>
          <w:rFonts w:ascii="Times New Roman" w:hAnsi="Times New Roman" w:cs="Times New Roman"/>
          <w:bCs/>
          <w:i/>
          <w:sz w:val="24"/>
          <w:szCs w:val="24"/>
        </w:rPr>
        <w:t>Amendment (</w:t>
      </w:r>
      <w:r>
        <w:rPr>
          <w:rFonts w:ascii="Times New Roman" w:hAnsi="Times New Roman" w:cs="Times New Roman"/>
          <w:i/>
          <w:sz w:val="24"/>
          <w:szCs w:val="24"/>
        </w:rPr>
        <w:t xml:space="preserve">Foreign Affairs and Trade </w:t>
      </w:r>
      <w:r w:rsidRPr="001957C4">
        <w:rPr>
          <w:rFonts w:ascii="Times New Roman" w:hAnsi="Times New Roman" w:cs="Times New Roman"/>
          <w:i/>
          <w:sz w:val="24"/>
          <w:szCs w:val="24"/>
        </w:rPr>
        <w:t xml:space="preserve">Measures No. </w:t>
      </w:r>
      <w:r w:rsidR="003B0881">
        <w:rPr>
          <w:rFonts w:ascii="Times New Roman" w:hAnsi="Times New Roman" w:cs="Times New Roman"/>
          <w:i/>
          <w:sz w:val="24"/>
          <w:szCs w:val="24"/>
        </w:rPr>
        <w:t>4</w:t>
      </w:r>
      <w:r w:rsidRPr="009456E0">
        <w:rPr>
          <w:rFonts w:ascii="Times New Roman" w:hAnsi="Times New Roman" w:cs="Times New Roman"/>
          <w:bCs/>
          <w:i/>
          <w:sz w:val="24"/>
          <w:szCs w:val="24"/>
        </w:rPr>
        <w:t>) Regulations</w:t>
      </w:r>
      <w:r w:rsidRPr="001957C4">
        <w:rPr>
          <w:rFonts w:ascii="Times New Roman" w:hAnsi="Times New Roman" w:cs="Times New Roman"/>
          <w:bCs/>
          <w:i/>
          <w:sz w:val="24"/>
          <w:szCs w:val="24"/>
        </w:rPr>
        <w:t> 202</w:t>
      </w:r>
      <w:r>
        <w:rPr>
          <w:rFonts w:ascii="Times New Roman" w:hAnsi="Times New Roman" w:cs="Times New Roman"/>
          <w:bCs/>
          <w:i/>
          <w:sz w:val="24"/>
          <w:szCs w:val="24"/>
        </w:rPr>
        <w:t>4</w:t>
      </w:r>
      <w:r w:rsidRPr="001957C4">
        <w:rPr>
          <w:rFonts w:ascii="Times New Roman" w:hAnsi="Times New Roman" w:cs="Times New Roman"/>
          <w:bCs/>
          <w:i/>
          <w:sz w:val="24"/>
          <w:szCs w:val="24"/>
        </w:rPr>
        <w:t>.</w:t>
      </w:r>
    </w:p>
    <w:p w14:paraId="5E70477A" w14:textId="77777777" w:rsidR="00BA76F4" w:rsidRPr="001957C4" w:rsidRDefault="00BA76F4" w:rsidP="00BA76F4">
      <w:pPr>
        <w:rPr>
          <w:rFonts w:ascii="Times New Roman" w:hAnsi="Times New Roman" w:cs="Times New Roman"/>
          <w:sz w:val="24"/>
          <w:szCs w:val="24"/>
        </w:rPr>
      </w:pPr>
    </w:p>
    <w:p w14:paraId="1472E9A4" w14:textId="77777777" w:rsidR="00BA76F4" w:rsidRPr="001957C4" w:rsidRDefault="00BA76F4" w:rsidP="00BA76F4">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 xml:space="preserve">Section 2 – Commencement </w:t>
      </w:r>
    </w:p>
    <w:p w14:paraId="1779F5A6" w14:textId="77777777" w:rsidR="00BA76F4" w:rsidRPr="001957C4" w:rsidRDefault="00BA76F4" w:rsidP="00BA76F4">
      <w:pPr>
        <w:contextualSpacing/>
        <w:rPr>
          <w:rFonts w:ascii="Times New Roman" w:hAnsi="Times New Roman" w:cs="Times New Roman"/>
          <w:color w:val="000000" w:themeColor="text1"/>
          <w:sz w:val="24"/>
          <w:szCs w:val="24"/>
        </w:rPr>
      </w:pPr>
    </w:p>
    <w:p w14:paraId="3CD19634" w14:textId="77777777" w:rsidR="00BA76F4" w:rsidRPr="001957C4" w:rsidRDefault="00BA76F4" w:rsidP="00BA76F4">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4F7C2BDF" w14:textId="77777777" w:rsidR="00BA76F4" w:rsidRPr="001957C4" w:rsidRDefault="00BA76F4" w:rsidP="00BA76F4">
      <w:pPr>
        <w:contextualSpacing/>
        <w:rPr>
          <w:rFonts w:ascii="Times New Roman" w:hAnsi="Times New Roman" w:cs="Times New Roman"/>
          <w:color w:val="000000" w:themeColor="text1"/>
          <w:sz w:val="24"/>
          <w:szCs w:val="24"/>
        </w:rPr>
      </w:pPr>
    </w:p>
    <w:p w14:paraId="69ABE1D3" w14:textId="77777777" w:rsidR="00BA76F4" w:rsidRPr="001957C4" w:rsidRDefault="00BA76F4" w:rsidP="00BA76F4">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3 – Authority</w:t>
      </w:r>
      <w:r w:rsidRPr="001957C4">
        <w:rPr>
          <w:rFonts w:ascii="Times New Roman" w:hAnsi="Times New Roman" w:cs="Times New Roman"/>
          <w:b/>
          <w:i/>
          <w:color w:val="000000" w:themeColor="text1"/>
          <w:sz w:val="24"/>
          <w:szCs w:val="24"/>
        </w:rPr>
        <w:t xml:space="preserve"> </w:t>
      </w:r>
    </w:p>
    <w:p w14:paraId="0203575D" w14:textId="77777777" w:rsidR="00BA76F4" w:rsidRPr="001957C4" w:rsidRDefault="00BA76F4" w:rsidP="00BA76F4">
      <w:pPr>
        <w:contextualSpacing/>
        <w:rPr>
          <w:rFonts w:ascii="Times New Roman" w:hAnsi="Times New Roman" w:cs="Times New Roman"/>
          <w:color w:val="000000" w:themeColor="text1"/>
          <w:sz w:val="24"/>
          <w:szCs w:val="24"/>
        </w:rPr>
      </w:pPr>
    </w:p>
    <w:p w14:paraId="553B39FD" w14:textId="77777777" w:rsidR="00BA76F4" w:rsidRPr="001957C4" w:rsidRDefault="00BA76F4" w:rsidP="00BA76F4">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Regulations are made under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Act 1997</w:t>
      </w:r>
      <w:r w:rsidRPr="001957C4">
        <w:rPr>
          <w:rFonts w:ascii="Times New Roman" w:hAnsi="Times New Roman" w:cs="Times New Roman"/>
          <w:color w:val="000000" w:themeColor="text1"/>
          <w:sz w:val="24"/>
          <w:szCs w:val="24"/>
        </w:rPr>
        <w:t>.</w:t>
      </w:r>
    </w:p>
    <w:p w14:paraId="5C2C8962" w14:textId="77777777" w:rsidR="00BA76F4" w:rsidRPr="001957C4" w:rsidRDefault="00BA76F4" w:rsidP="00BA76F4">
      <w:pPr>
        <w:contextualSpacing/>
        <w:rPr>
          <w:rFonts w:ascii="Times New Roman" w:hAnsi="Times New Roman" w:cs="Times New Roman"/>
          <w:color w:val="000000" w:themeColor="text1"/>
          <w:sz w:val="24"/>
          <w:szCs w:val="24"/>
        </w:rPr>
      </w:pPr>
    </w:p>
    <w:p w14:paraId="339F69B7" w14:textId="77777777" w:rsidR="00BA76F4" w:rsidRPr="001957C4" w:rsidRDefault="00BA76F4" w:rsidP="00BA76F4">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4 – Schedules</w:t>
      </w:r>
      <w:r w:rsidRPr="001957C4">
        <w:rPr>
          <w:rFonts w:ascii="Times New Roman" w:hAnsi="Times New Roman" w:cs="Times New Roman"/>
          <w:b/>
          <w:i/>
          <w:color w:val="000000" w:themeColor="text1"/>
          <w:sz w:val="24"/>
          <w:szCs w:val="24"/>
        </w:rPr>
        <w:t xml:space="preserve"> </w:t>
      </w:r>
    </w:p>
    <w:p w14:paraId="05A767A7" w14:textId="77777777" w:rsidR="00BA76F4" w:rsidRPr="001957C4" w:rsidRDefault="00BA76F4" w:rsidP="00BA76F4">
      <w:pPr>
        <w:contextualSpacing/>
        <w:rPr>
          <w:rFonts w:ascii="Times New Roman" w:hAnsi="Times New Roman" w:cs="Times New Roman"/>
          <w:color w:val="000000" w:themeColor="text1"/>
          <w:sz w:val="24"/>
          <w:szCs w:val="24"/>
        </w:rPr>
      </w:pPr>
    </w:p>
    <w:p w14:paraId="024020CD" w14:textId="77777777" w:rsidR="00BA76F4" w:rsidRPr="001957C4" w:rsidRDefault="00BA76F4" w:rsidP="00BA76F4">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Regulations 1997</w:t>
      </w:r>
      <w:r w:rsidRPr="001957C4">
        <w:rPr>
          <w:rFonts w:ascii="Times New Roman" w:hAnsi="Times New Roman" w:cs="Times New Roman"/>
          <w:color w:val="000000" w:themeColor="text1"/>
          <w:sz w:val="24"/>
          <w:szCs w:val="24"/>
        </w:rPr>
        <w:t xml:space="preserve"> are amended as set out in the Schedule to the Regulations.</w:t>
      </w:r>
    </w:p>
    <w:p w14:paraId="7137159D" w14:textId="77777777" w:rsidR="00BA76F4" w:rsidRPr="001957C4" w:rsidRDefault="00BA76F4" w:rsidP="00BA76F4">
      <w:pPr>
        <w:contextualSpacing/>
        <w:rPr>
          <w:rFonts w:ascii="Times New Roman" w:hAnsi="Times New Roman" w:cs="Times New Roman"/>
          <w:color w:val="000000" w:themeColor="text1"/>
          <w:sz w:val="24"/>
          <w:szCs w:val="24"/>
        </w:rPr>
      </w:pPr>
    </w:p>
    <w:p w14:paraId="69450A44" w14:textId="77777777" w:rsidR="00BA76F4" w:rsidRPr="001957C4" w:rsidRDefault="00BA76F4" w:rsidP="00BA76F4">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Schedule 1 – Amendments</w:t>
      </w:r>
    </w:p>
    <w:p w14:paraId="18A7C891" w14:textId="77777777" w:rsidR="00BA76F4" w:rsidRPr="001957C4" w:rsidRDefault="00BA76F4" w:rsidP="00BA76F4">
      <w:pPr>
        <w:contextualSpacing/>
        <w:rPr>
          <w:rFonts w:ascii="Times New Roman" w:hAnsi="Times New Roman" w:cs="Times New Roman"/>
          <w:b/>
          <w:color w:val="000000" w:themeColor="text1"/>
          <w:sz w:val="24"/>
          <w:szCs w:val="24"/>
        </w:rPr>
      </w:pPr>
    </w:p>
    <w:p w14:paraId="77C631CC" w14:textId="77777777" w:rsidR="00BA76F4" w:rsidRPr="00617868" w:rsidRDefault="00BA76F4" w:rsidP="00BA76F4">
      <w:pPr>
        <w:rPr>
          <w:rFonts w:ascii="Times New Roman" w:hAnsi="Times New Roman" w:cs="Times New Roman"/>
          <w:b/>
          <w:i/>
          <w:color w:val="000000" w:themeColor="text1"/>
          <w:sz w:val="24"/>
          <w:szCs w:val="24"/>
        </w:rPr>
      </w:pPr>
      <w:r w:rsidRPr="001957C4">
        <w:rPr>
          <w:rFonts w:ascii="Times New Roman" w:hAnsi="Times New Roman" w:cs="Times New Roman"/>
          <w:b/>
          <w:i/>
          <w:color w:val="000000" w:themeColor="text1"/>
          <w:sz w:val="24"/>
          <w:szCs w:val="24"/>
        </w:rPr>
        <w:t>Financial Framework (Supplementary Powers) Regulations 1997</w:t>
      </w:r>
    </w:p>
    <w:p w14:paraId="167F34DE" w14:textId="77777777" w:rsidR="003E6C0B" w:rsidRDefault="003E6C0B" w:rsidP="003E6C0B">
      <w:pPr>
        <w:rPr>
          <w:rFonts w:ascii="Times New Roman" w:hAnsi="Times New Roman" w:cs="Times New Roman"/>
          <w:iCs/>
          <w:color w:val="000000" w:themeColor="text1"/>
          <w:sz w:val="24"/>
          <w:szCs w:val="24"/>
        </w:rPr>
      </w:pPr>
    </w:p>
    <w:p w14:paraId="291BE172" w14:textId="77777777" w:rsidR="003E6C0B" w:rsidRDefault="003E6C0B" w:rsidP="003E6C0B">
      <w:pP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The item in Schedule 1 amends</w:t>
      </w:r>
      <w:r w:rsidRPr="000758FE">
        <w:rPr>
          <w:rFonts w:ascii="Times New Roman" w:hAnsi="Times New Roman" w:cs="Times New Roman"/>
          <w:iCs/>
          <w:color w:val="000000" w:themeColor="text1"/>
          <w:sz w:val="24"/>
          <w:szCs w:val="24"/>
        </w:rPr>
        <w:t xml:space="preserve"> Schedule 1AB </w:t>
      </w:r>
      <w:r>
        <w:rPr>
          <w:rFonts w:ascii="Times New Roman" w:hAnsi="Times New Roman" w:cs="Times New Roman"/>
          <w:iCs/>
          <w:color w:val="000000" w:themeColor="text1"/>
          <w:sz w:val="24"/>
          <w:szCs w:val="24"/>
        </w:rPr>
        <w:t xml:space="preserve">to the Principal Regulations </w:t>
      </w:r>
      <w:r w:rsidRPr="000758FE">
        <w:rPr>
          <w:rFonts w:ascii="Times New Roman" w:hAnsi="Times New Roman" w:cs="Times New Roman"/>
          <w:iCs/>
          <w:color w:val="000000" w:themeColor="text1"/>
          <w:sz w:val="24"/>
          <w:szCs w:val="24"/>
        </w:rPr>
        <w:t xml:space="preserve">to establish legislative authority for government spending on </w:t>
      </w:r>
      <w:r>
        <w:rPr>
          <w:rFonts w:ascii="Times New Roman" w:hAnsi="Times New Roman" w:cs="Times New Roman"/>
          <w:iCs/>
          <w:color w:val="000000" w:themeColor="text1"/>
          <w:sz w:val="24"/>
          <w:szCs w:val="24"/>
        </w:rPr>
        <w:t>activities</w:t>
      </w:r>
      <w:r w:rsidRPr="000758FE">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to be </w:t>
      </w:r>
      <w:r w:rsidRPr="000758FE">
        <w:rPr>
          <w:rFonts w:ascii="Times New Roman" w:hAnsi="Times New Roman" w:cs="Times New Roman"/>
          <w:iCs/>
          <w:color w:val="000000" w:themeColor="text1"/>
          <w:sz w:val="24"/>
          <w:szCs w:val="24"/>
        </w:rPr>
        <w:t xml:space="preserve">administered by the </w:t>
      </w:r>
      <w:r w:rsidRPr="001957C4">
        <w:rPr>
          <w:rFonts w:ascii="Times New Roman" w:hAnsi="Times New Roman" w:cs="Times New Roman"/>
          <w:color w:val="000000" w:themeColor="text1"/>
          <w:sz w:val="24"/>
          <w:szCs w:val="24"/>
        </w:rPr>
        <w:t xml:space="preserve">Department of </w:t>
      </w:r>
      <w:r w:rsidRPr="00E12DEC">
        <w:rPr>
          <w:rFonts w:ascii="Times New Roman" w:hAnsi="Times New Roman" w:cs="Times New Roman"/>
          <w:color w:val="000000" w:themeColor="text1"/>
          <w:sz w:val="24"/>
          <w:szCs w:val="24"/>
        </w:rPr>
        <w:t>Foreign Affairs</w:t>
      </w:r>
      <w:r>
        <w:rPr>
          <w:rFonts w:ascii="Times New Roman" w:hAnsi="Times New Roman" w:cs="Times New Roman"/>
          <w:color w:val="000000" w:themeColor="text1"/>
          <w:sz w:val="24"/>
          <w:szCs w:val="24"/>
        </w:rPr>
        <w:t xml:space="preserve"> and Trade</w:t>
      </w:r>
      <w:r w:rsidRPr="009A359C">
        <w:rPr>
          <w:rFonts w:ascii="Times New Roman" w:hAnsi="Times New Roman" w:cs="Times New Roman"/>
          <w:iCs/>
          <w:color w:val="000000" w:themeColor="text1"/>
          <w:sz w:val="24"/>
          <w:szCs w:val="24"/>
        </w:rPr>
        <w:t xml:space="preserve"> </w:t>
      </w:r>
      <w:r w:rsidRPr="001957C4">
        <w:rPr>
          <w:rFonts w:ascii="Times New Roman" w:hAnsi="Times New Roman" w:cs="Times New Roman"/>
          <w:color w:val="000000" w:themeColor="text1"/>
          <w:sz w:val="24"/>
          <w:szCs w:val="24"/>
        </w:rPr>
        <w:t>(the department).</w:t>
      </w:r>
    </w:p>
    <w:p w14:paraId="0971581F" w14:textId="77777777" w:rsidR="00BA76F4" w:rsidRDefault="00BA76F4" w:rsidP="00BA76F4">
      <w:pPr>
        <w:rPr>
          <w:rFonts w:ascii="Times New Roman" w:hAnsi="Times New Roman" w:cs="Times New Roman"/>
          <w:color w:val="000000" w:themeColor="text1"/>
          <w:sz w:val="24"/>
          <w:szCs w:val="24"/>
        </w:rPr>
      </w:pPr>
    </w:p>
    <w:p w14:paraId="5C4E5E39" w14:textId="77777777" w:rsidR="00BA76F4" w:rsidRDefault="00BA76F4" w:rsidP="00BA76F4">
      <w:pPr>
        <w:rPr>
          <w:rFonts w:ascii="Times New Roman" w:hAnsi="Times New Roman" w:cs="Times New Roman"/>
          <w:b/>
          <w:sz w:val="24"/>
          <w:szCs w:val="24"/>
        </w:rPr>
      </w:pPr>
      <w:r>
        <w:rPr>
          <w:rFonts w:ascii="Times New Roman" w:hAnsi="Times New Roman" w:cs="Times New Roman"/>
          <w:b/>
          <w:sz w:val="24"/>
          <w:szCs w:val="24"/>
        </w:rPr>
        <w:t xml:space="preserve">Item 1 </w:t>
      </w:r>
      <w:r w:rsidRPr="00F843E0">
        <w:rPr>
          <w:rFonts w:ascii="Times New Roman" w:hAnsi="Times New Roman" w:cs="Times New Roman"/>
          <w:b/>
          <w:sz w:val="24"/>
          <w:szCs w:val="24"/>
        </w:rPr>
        <w:t xml:space="preserve">– </w:t>
      </w:r>
      <w:r w:rsidRPr="00F25316">
        <w:rPr>
          <w:rFonts w:ascii="Times New Roman" w:hAnsi="Times New Roman" w:cs="Times New Roman"/>
          <w:b/>
          <w:sz w:val="24"/>
          <w:szCs w:val="24"/>
        </w:rPr>
        <w:t>In the appropriate position in Part 4 of Schedule 1AB (table)</w:t>
      </w:r>
    </w:p>
    <w:p w14:paraId="0C37DBCB" w14:textId="77777777" w:rsidR="00BA76F4" w:rsidRPr="003E6C0B" w:rsidRDefault="00BA76F4" w:rsidP="00BA76F4">
      <w:pPr>
        <w:rPr>
          <w:rFonts w:ascii="Times New Roman" w:hAnsi="Times New Roman" w:cs="Times New Roman"/>
          <w:color w:val="000000" w:themeColor="text1"/>
          <w:sz w:val="24"/>
          <w:szCs w:val="24"/>
        </w:rPr>
      </w:pPr>
    </w:p>
    <w:p w14:paraId="093110B9" w14:textId="0DE1F121" w:rsidR="003E6C0B" w:rsidRPr="003E6C0B" w:rsidRDefault="003E6C0B" w:rsidP="00BA76F4">
      <w:pPr>
        <w:rPr>
          <w:rFonts w:ascii="Times New Roman" w:hAnsi="Times New Roman" w:cs="Times New Roman"/>
          <w:color w:val="000000" w:themeColor="text1"/>
          <w:sz w:val="24"/>
          <w:szCs w:val="24"/>
        </w:rPr>
      </w:pPr>
      <w:r w:rsidRPr="003E6C0B">
        <w:rPr>
          <w:rFonts w:ascii="Times New Roman" w:hAnsi="Times New Roman" w:cs="Times New Roman"/>
          <w:color w:val="000000" w:themeColor="text1"/>
          <w:sz w:val="24"/>
          <w:szCs w:val="24"/>
        </w:rPr>
        <w:t>This item adds two new table item</w:t>
      </w:r>
      <w:r>
        <w:rPr>
          <w:rFonts w:ascii="Times New Roman" w:hAnsi="Times New Roman" w:cs="Times New Roman"/>
          <w:color w:val="000000" w:themeColor="text1"/>
          <w:sz w:val="24"/>
          <w:szCs w:val="24"/>
        </w:rPr>
        <w:t>s</w:t>
      </w:r>
      <w:r w:rsidRPr="003E6C0B">
        <w:rPr>
          <w:rFonts w:ascii="Times New Roman" w:hAnsi="Times New Roman" w:cs="Times New Roman"/>
          <w:color w:val="000000" w:themeColor="text1"/>
          <w:sz w:val="24"/>
          <w:szCs w:val="24"/>
        </w:rPr>
        <w:t xml:space="preserve"> to Part 4 of Schedule 1AB.</w:t>
      </w:r>
    </w:p>
    <w:p w14:paraId="03FABBAD" w14:textId="77777777" w:rsidR="003E6C0B" w:rsidRPr="003E6C0B" w:rsidRDefault="003E6C0B" w:rsidP="00BA76F4">
      <w:pPr>
        <w:rPr>
          <w:rFonts w:ascii="Times New Roman" w:hAnsi="Times New Roman" w:cs="Times New Roman"/>
          <w:color w:val="000000" w:themeColor="text1"/>
          <w:sz w:val="24"/>
          <w:szCs w:val="24"/>
        </w:rPr>
      </w:pPr>
    </w:p>
    <w:p w14:paraId="55F7B26B" w14:textId="4095BD20" w:rsidR="00BA76F4" w:rsidRPr="00E27ACA" w:rsidRDefault="00BA76F4" w:rsidP="00BA76F4">
      <w:pPr>
        <w:rPr>
          <w:rFonts w:ascii="Times New Roman" w:hAnsi="Times New Roman" w:cs="Times New Roman"/>
          <w:i/>
          <w:iCs/>
          <w:color w:val="000000" w:themeColor="text1"/>
          <w:sz w:val="24"/>
          <w:szCs w:val="24"/>
          <w:u w:val="single"/>
        </w:rPr>
      </w:pPr>
      <w:r w:rsidRPr="00183F33">
        <w:rPr>
          <w:rFonts w:ascii="Times New Roman" w:hAnsi="Times New Roman" w:cs="Times New Roman"/>
          <w:i/>
          <w:iCs/>
          <w:color w:val="000000" w:themeColor="text1"/>
          <w:sz w:val="24"/>
          <w:szCs w:val="24"/>
          <w:u w:val="single"/>
        </w:rPr>
        <w:t xml:space="preserve">Table item </w:t>
      </w:r>
      <w:r w:rsidR="00577877">
        <w:rPr>
          <w:rFonts w:ascii="Times New Roman" w:hAnsi="Times New Roman" w:cs="Times New Roman"/>
          <w:i/>
          <w:iCs/>
          <w:color w:val="000000" w:themeColor="text1"/>
          <w:sz w:val="24"/>
          <w:szCs w:val="24"/>
          <w:u w:val="single"/>
        </w:rPr>
        <w:t xml:space="preserve">687 </w:t>
      </w:r>
      <w:r>
        <w:rPr>
          <w:rFonts w:ascii="Times New Roman" w:hAnsi="Times New Roman" w:cs="Times New Roman"/>
          <w:i/>
          <w:iCs/>
          <w:color w:val="000000" w:themeColor="text1"/>
          <w:sz w:val="24"/>
          <w:szCs w:val="24"/>
          <w:u w:val="single"/>
        </w:rPr>
        <w:t xml:space="preserve">– </w:t>
      </w:r>
      <w:r w:rsidR="00800C28" w:rsidRPr="00800C28">
        <w:rPr>
          <w:rFonts w:ascii="Times New Roman" w:hAnsi="Times New Roman" w:cs="Times New Roman"/>
          <w:bCs/>
          <w:i/>
          <w:iCs/>
          <w:color w:val="000000" w:themeColor="text1"/>
          <w:sz w:val="24"/>
          <w:szCs w:val="24"/>
          <w:u w:val="single"/>
        </w:rPr>
        <w:t>Trade Diversification and Free Trade Agreement Modernisation Program</w:t>
      </w:r>
    </w:p>
    <w:p w14:paraId="1A848B24" w14:textId="77777777" w:rsidR="00BA76F4" w:rsidRDefault="00BA76F4" w:rsidP="00BA76F4">
      <w:pPr>
        <w:rPr>
          <w:rFonts w:ascii="Times New Roman" w:hAnsi="Times New Roman" w:cs="Times New Roman"/>
          <w:color w:val="000000" w:themeColor="text1"/>
          <w:sz w:val="24"/>
          <w:szCs w:val="24"/>
        </w:rPr>
      </w:pPr>
    </w:p>
    <w:p w14:paraId="27361CD7" w14:textId="54C1F3E3" w:rsidR="00793ABD" w:rsidRDefault="00BA76F4" w:rsidP="00BA76F4">
      <w:pPr>
        <w:rPr>
          <w:rFonts w:ascii="Times New Roman" w:hAnsi="Times New Roman" w:cs="Times New Roman"/>
          <w:bCs/>
          <w:iCs/>
          <w:color w:val="000000" w:themeColor="text1"/>
          <w:sz w:val="24"/>
          <w:szCs w:val="24"/>
        </w:rPr>
      </w:pPr>
      <w:r w:rsidRPr="00AA2113">
        <w:rPr>
          <w:rFonts w:ascii="Times New Roman" w:hAnsi="Times New Roman" w:cs="Times New Roman"/>
          <w:iCs/>
          <w:color w:val="000000" w:themeColor="text1"/>
          <w:sz w:val="24"/>
          <w:szCs w:val="24"/>
        </w:rPr>
        <w:t xml:space="preserve">New </w:t>
      </w:r>
      <w:bookmarkStart w:id="1" w:name="_Hlk139612626"/>
      <w:r w:rsidRPr="00AA2113">
        <w:rPr>
          <w:rFonts w:ascii="Times New Roman" w:hAnsi="Times New Roman" w:cs="Times New Roman"/>
          <w:b/>
          <w:iCs/>
          <w:color w:val="000000" w:themeColor="text1"/>
          <w:sz w:val="24"/>
          <w:szCs w:val="24"/>
        </w:rPr>
        <w:t xml:space="preserve">table item </w:t>
      </w:r>
      <w:r w:rsidR="00577877">
        <w:rPr>
          <w:rFonts w:ascii="Times New Roman" w:hAnsi="Times New Roman" w:cs="Times New Roman"/>
          <w:b/>
          <w:iCs/>
          <w:color w:val="000000" w:themeColor="text1"/>
          <w:sz w:val="24"/>
          <w:szCs w:val="24"/>
        </w:rPr>
        <w:t>687</w:t>
      </w:r>
      <w:r w:rsidR="00577877" w:rsidRPr="00AA2113">
        <w:rPr>
          <w:rFonts w:ascii="Times New Roman" w:hAnsi="Times New Roman" w:cs="Times New Roman"/>
          <w:iCs/>
          <w:color w:val="000000" w:themeColor="text1"/>
          <w:sz w:val="24"/>
          <w:szCs w:val="24"/>
        </w:rPr>
        <w:t xml:space="preserve"> </w:t>
      </w:r>
      <w:r w:rsidRPr="00AA2113">
        <w:rPr>
          <w:rFonts w:ascii="Times New Roman" w:hAnsi="Times New Roman" w:cs="Times New Roman"/>
          <w:iCs/>
          <w:color w:val="000000" w:themeColor="text1"/>
          <w:sz w:val="24"/>
          <w:szCs w:val="24"/>
        </w:rPr>
        <w:t>establishes legislative authority</w:t>
      </w:r>
      <w:r w:rsidRPr="00AA2113">
        <w:rPr>
          <w:rFonts w:ascii="Times New Roman" w:hAnsi="Times New Roman" w:cs="Times New Roman"/>
          <w:bCs/>
          <w:iCs/>
          <w:color w:val="000000" w:themeColor="text1"/>
          <w:sz w:val="24"/>
          <w:szCs w:val="24"/>
        </w:rPr>
        <w:t xml:space="preserve"> </w:t>
      </w:r>
      <w:bookmarkEnd w:id="1"/>
      <w:r w:rsidRPr="00AA2113">
        <w:rPr>
          <w:rFonts w:ascii="Times New Roman" w:hAnsi="Times New Roman" w:cs="Times New Roman"/>
          <w:bCs/>
          <w:iCs/>
          <w:color w:val="000000" w:themeColor="text1"/>
          <w:sz w:val="24"/>
          <w:szCs w:val="24"/>
        </w:rPr>
        <w:t xml:space="preserve">for </w:t>
      </w:r>
      <w:r w:rsidR="00EB40C6">
        <w:rPr>
          <w:rFonts w:ascii="Times New Roman" w:hAnsi="Times New Roman" w:cs="Times New Roman"/>
          <w:bCs/>
          <w:iCs/>
          <w:color w:val="000000" w:themeColor="text1"/>
          <w:sz w:val="24"/>
          <w:szCs w:val="24"/>
        </w:rPr>
        <w:t>g</w:t>
      </w:r>
      <w:r w:rsidRPr="00AA2113">
        <w:rPr>
          <w:rFonts w:ascii="Times New Roman" w:hAnsi="Times New Roman" w:cs="Times New Roman"/>
          <w:bCs/>
          <w:iCs/>
          <w:color w:val="000000" w:themeColor="text1"/>
          <w:sz w:val="24"/>
          <w:szCs w:val="24"/>
        </w:rPr>
        <w:t xml:space="preserve">overnment spending </w:t>
      </w:r>
      <w:r w:rsidR="00AA2113">
        <w:rPr>
          <w:rFonts w:ascii="Times New Roman" w:hAnsi="Times New Roman" w:cs="Times New Roman"/>
          <w:bCs/>
          <w:iCs/>
          <w:color w:val="000000" w:themeColor="text1"/>
          <w:sz w:val="24"/>
          <w:szCs w:val="24"/>
        </w:rPr>
        <w:t>on t</w:t>
      </w:r>
      <w:r w:rsidR="00AA2113" w:rsidRPr="00AA2113">
        <w:rPr>
          <w:rFonts w:ascii="Times New Roman" w:hAnsi="Times New Roman" w:cs="Times New Roman"/>
          <w:bCs/>
          <w:iCs/>
          <w:color w:val="000000" w:themeColor="text1"/>
          <w:sz w:val="24"/>
          <w:szCs w:val="24"/>
        </w:rPr>
        <w:t xml:space="preserve">he </w:t>
      </w:r>
      <w:r w:rsidR="00793ABD" w:rsidRPr="00793ABD">
        <w:rPr>
          <w:rFonts w:ascii="Times New Roman" w:hAnsi="Times New Roman" w:cs="Times New Roman"/>
          <w:bCs/>
          <w:iCs/>
          <w:color w:val="000000" w:themeColor="text1"/>
          <w:sz w:val="24"/>
          <w:szCs w:val="24"/>
        </w:rPr>
        <w:t>Trade Diversification and Free Trade Agreement Modernisation Program</w:t>
      </w:r>
      <w:r w:rsidR="00934CDE">
        <w:rPr>
          <w:rFonts w:ascii="Times New Roman" w:hAnsi="Times New Roman" w:cs="Times New Roman"/>
          <w:bCs/>
          <w:iCs/>
          <w:color w:val="000000" w:themeColor="text1"/>
          <w:sz w:val="24"/>
          <w:szCs w:val="24"/>
        </w:rPr>
        <w:t xml:space="preserve"> (the </w:t>
      </w:r>
      <w:r w:rsidR="003E6C0B">
        <w:rPr>
          <w:rFonts w:ascii="Times New Roman" w:hAnsi="Times New Roman" w:cs="Times New Roman"/>
          <w:bCs/>
          <w:iCs/>
          <w:color w:val="000000" w:themeColor="text1"/>
          <w:sz w:val="24"/>
          <w:szCs w:val="24"/>
        </w:rPr>
        <w:t>P</w:t>
      </w:r>
      <w:r w:rsidR="00934CDE">
        <w:rPr>
          <w:rFonts w:ascii="Times New Roman" w:hAnsi="Times New Roman" w:cs="Times New Roman"/>
          <w:bCs/>
          <w:iCs/>
          <w:color w:val="000000" w:themeColor="text1"/>
          <w:sz w:val="24"/>
          <w:szCs w:val="24"/>
        </w:rPr>
        <w:t>rogram)</w:t>
      </w:r>
      <w:r w:rsidR="00934CDE" w:rsidRPr="00934CDE">
        <w:t xml:space="preserve"> </w:t>
      </w:r>
      <w:r w:rsidR="00934CDE">
        <w:rPr>
          <w:rFonts w:ascii="Times New Roman" w:hAnsi="Times New Roman" w:cs="Times New Roman"/>
          <w:bCs/>
          <w:iCs/>
          <w:color w:val="000000" w:themeColor="text1"/>
          <w:sz w:val="24"/>
          <w:szCs w:val="24"/>
        </w:rPr>
        <w:t>t</w:t>
      </w:r>
      <w:r w:rsidR="00934CDE" w:rsidRPr="00934CDE">
        <w:rPr>
          <w:rFonts w:ascii="Times New Roman" w:hAnsi="Times New Roman" w:cs="Times New Roman"/>
          <w:bCs/>
          <w:iCs/>
          <w:color w:val="000000" w:themeColor="text1"/>
          <w:sz w:val="24"/>
          <w:szCs w:val="24"/>
        </w:rPr>
        <w:t>o enable Australian entities, including industry stakeholders and peak bodies, to conduct activities to identify priorities for the modernisation of Australia’s free trade agreement network and progress mutual recognition</w:t>
      </w:r>
      <w:r w:rsidR="00467867">
        <w:rPr>
          <w:rFonts w:ascii="Times New Roman" w:hAnsi="Times New Roman" w:cs="Times New Roman"/>
          <w:bCs/>
          <w:iCs/>
          <w:color w:val="000000" w:themeColor="text1"/>
          <w:sz w:val="24"/>
          <w:szCs w:val="24"/>
        </w:rPr>
        <w:t xml:space="preserve"> arrangements with</w:t>
      </w:r>
      <w:r w:rsidR="00934CDE" w:rsidRPr="00934CDE">
        <w:rPr>
          <w:rFonts w:ascii="Times New Roman" w:hAnsi="Times New Roman" w:cs="Times New Roman"/>
          <w:bCs/>
          <w:iCs/>
          <w:color w:val="000000" w:themeColor="text1"/>
          <w:sz w:val="24"/>
          <w:szCs w:val="24"/>
        </w:rPr>
        <w:t xml:space="preserve"> other countries.</w:t>
      </w:r>
    </w:p>
    <w:p w14:paraId="40AC0EE2" w14:textId="77777777" w:rsidR="00793ABD" w:rsidRDefault="00793ABD" w:rsidP="00BA76F4">
      <w:pPr>
        <w:rPr>
          <w:rFonts w:ascii="Times New Roman" w:hAnsi="Times New Roman" w:cs="Times New Roman"/>
          <w:bCs/>
          <w:iCs/>
          <w:color w:val="000000" w:themeColor="text1"/>
          <w:sz w:val="24"/>
          <w:szCs w:val="24"/>
        </w:rPr>
      </w:pPr>
    </w:p>
    <w:p w14:paraId="7F1C409E" w14:textId="2FB61FB0" w:rsidR="008416B5" w:rsidRDefault="00D63408" w:rsidP="00BA76F4">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w:t>
      </w:r>
      <w:r w:rsidR="003E6C0B">
        <w:rPr>
          <w:rFonts w:ascii="Times New Roman" w:hAnsi="Times New Roman" w:cs="Times New Roman"/>
          <w:bCs/>
          <w:iCs/>
          <w:color w:val="000000" w:themeColor="text1"/>
          <w:sz w:val="24"/>
          <w:szCs w:val="24"/>
        </w:rPr>
        <w:t>P</w:t>
      </w:r>
      <w:r>
        <w:rPr>
          <w:rFonts w:ascii="Times New Roman" w:hAnsi="Times New Roman" w:cs="Times New Roman"/>
          <w:bCs/>
          <w:iCs/>
          <w:color w:val="000000" w:themeColor="text1"/>
          <w:sz w:val="24"/>
          <w:szCs w:val="24"/>
        </w:rPr>
        <w:t>rogram</w:t>
      </w:r>
      <w:r w:rsidR="00EF5078">
        <w:rPr>
          <w:rFonts w:ascii="Times New Roman" w:hAnsi="Times New Roman" w:cs="Times New Roman"/>
          <w:bCs/>
          <w:iCs/>
          <w:color w:val="000000" w:themeColor="text1"/>
          <w:sz w:val="24"/>
          <w:szCs w:val="24"/>
        </w:rPr>
        <w:t xml:space="preserve"> delivers on the Government</w:t>
      </w:r>
      <w:r w:rsidR="00C7275E">
        <w:rPr>
          <w:rFonts w:ascii="Times New Roman" w:hAnsi="Times New Roman" w:cs="Times New Roman"/>
          <w:bCs/>
          <w:iCs/>
          <w:color w:val="000000" w:themeColor="text1"/>
          <w:sz w:val="24"/>
          <w:szCs w:val="24"/>
        </w:rPr>
        <w:t>’s</w:t>
      </w:r>
      <w:r w:rsidR="00EF5078">
        <w:rPr>
          <w:rFonts w:ascii="Times New Roman" w:hAnsi="Times New Roman" w:cs="Times New Roman"/>
          <w:bCs/>
          <w:iCs/>
          <w:color w:val="000000" w:themeColor="text1"/>
          <w:sz w:val="24"/>
          <w:szCs w:val="24"/>
        </w:rPr>
        <w:t xml:space="preserve"> election commitments </w:t>
      </w:r>
      <w:r w:rsidR="0000267D">
        <w:rPr>
          <w:rFonts w:ascii="Times New Roman" w:hAnsi="Times New Roman" w:cs="Times New Roman"/>
          <w:bCs/>
          <w:iCs/>
          <w:color w:val="000000" w:themeColor="text1"/>
          <w:sz w:val="24"/>
          <w:szCs w:val="24"/>
        </w:rPr>
        <w:t xml:space="preserve">under the </w:t>
      </w:r>
      <w:r w:rsidR="00702342">
        <w:rPr>
          <w:rFonts w:ascii="Times New Roman" w:hAnsi="Times New Roman" w:cs="Times New Roman"/>
          <w:bCs/>
          <w:iCs/>
          <w:color w:val="000000" w:themeColor="text1"/>
          <w:sz w:val="24"/>
          <w:szCs w:val="24"/>
        </w:rPr>
        <w:t>Trade Diversification Plan</w:t>
      </w:r>
      <w:r w:rsidR="00811D16">
        <w:rPr>
          <w:rFonts w:ascii="Times New Roman" w:hAnsi="Times New Roman" w:cs="Times New Roman"/>
          <w:bCs/>
          <w:iCs/>
          <w:color w:val="000000" w:themeColor="text1"/>
          <w:sz w:val="24"/>
          <w:szCs w:val="24"/>
        </w:rPr>
        <w:t xml:space="preserve"> and Deepening Australia’s Engagement with Southeast Asia</w:t>
      </w:r>
      <w:r w:rsidR="00030486">
        <w:rPr>
          <w:rFonts w:ascii="Times New Roman" w:hAnsi="Times New Roman" w:cs="Times New Roman"/>
          <w:bCs/>
          <w:iCs/>
          <w:color w:val="000000" w:themeColor="text1"/>
          <w:sz w:val="24"/>
          <w:szCs w:val="24"/>
        </w:rPr>
        <w:t xml:space="preserve"> to enable the Trade 2040 Taskforce</w:t>
      </w:r>
      <w:r w:rsidR="00B02945">
        <w:rPr>
          <w:rFonts w:ascii="Times New Roman" w:hAnsi="Times New Roman" w:cs="Times New Roman"/>
          <w:bCs/>
          <w:iCs/>
          <w:color w:val="000000" w:themeColor="text1"/>
          <w:sz w:val="24"/>
          <w:szCs w:val="24"/>
        </w:rPr>
        <w:t xml:space="preserve"> (the Taskforce)</w:t>
      </w:r>
      <w:r w:rsidR="00030486">
        <w:rPr>
          <w:rFonts w:ascii="Times New Roman" w:hAnsi="Times New Roman" w:cs="Times New Roman"/>
          <w:bCs/>
          <w:iCs/>
          <w:color w:val="000000" w:themeColor="text1"/>
          <w:sz w:val="24"/>
          <w:szCs w:val="24"/>
        </w:rPr>
        <w:t xml:space="preserve"> to address one of its </w:t>
      </w:r>
      <w:r w:rsidR="009110A0">
        <w:rPr>
          <w:rFonts w:ascii="Times New Roman" w:hAnsi="Times New Roman" w:cs="Times New Roman"/>
          <w:bCs/>
          <w:iCs/>
          <w:color w:val="000000" w:themeColor="text1"/>
          <w:sz w:val="24"/>
          <w:szCs w:val="24"/>
        </w:rPr>
        <w:t>policy mandates that relates to Australia</w:t>
      </w:r>
      <w:r w:rsidR="006E0126">
        <w:rPr>
          <w:rFonts w:ascii="Times New Roman" w:hAnsi="Times New Roman" w:cs="Times New Roman"/>
          <w:bCs/>
          <w:iCs/>
          <w:color w:val="000000" w:themeColor="text1"/>
          <w:sz w:val="24"/>
          <w:szCs w:val="24"/>
        </w:rPr>
        <w:t>’s Free Trade Agreement</w:t>
      </w:r>
      <w:r w:rsidR="00E54FE9">
        <w:rPr>
          <w:rFonts w:ascii="Times New Roman" w:hAnsi="Times New Roman" w:cs="Times New Roman"/>
          <w:bCs/>
          <w:iCs/>
          <w:color w:val="000000" w:themeColor="text1"/>
          <w:sz w:val="24"/>
          <w:szCs w:val="24"/>
        </w:rPr>
        <w:t>s</w:t>
      </w:r>
      <w:r w:rsidR="009F48C5">
        <w:rPr>
          <w:rFonts w:ascii="Times New Roman" w:hAnsi="Times New Roman" w:cs="Times New Roman"/>
          <w:bCs/>
          <w:iCs/>
          <w:color w:val="000000" w:themeColor="text1"/>
          <w:sz w:val="24"/>
          <w:szCs w:val="24"/>
        </w:rPr>
        <w:t>.</w:t>
      </w:r>
      <w:r w:rsidR="00B02945">
        <w:rPr>
          <w:rFonts w:ascii="Times New Roman" w:hAnsi="Times New Roman" w:cs="Times New Roman"/>
          <w:bCs/>
          <w:iCs/>
          <w:color w:val="000000" w:themeColor="text1"/>
          <w:sz w:val="24"/>
          <w:szCs w:val="24"/>
        </w:rPr>
        <w:t xml:space="preserve"> The Taskforce brings together government</w:t>
      </w:r>
      <w:r w:rsidR="00580863">
        <w:rPr>
          <w:rFonts w:ascii="Times New Roman" w:hAnsi="Times New Roman" w:cs="Times New Roman"/>
          <w:bCs/>
          <w:iCs/>
          <w:color w:val="000000" w:themeColor="text1"/>
          <w:sz w:val="24"/>
          <w:szCs w:val="24"/>
        </w:rPr>
        <w:t>,</w:t>
      </w:r>
      <w:r w:rsidR="00B02945">
        <w:rPr>
          <w:rFonts w:ascii="Times New Roman" w:hAnsi="Times New Roman" w:cs="Times New Roman"/>
          <w:bCs/>
          <w:iCs/>
          <w:color w:val="000000" w:themeColor="text1"/>
          <w:sz w:val="24"/>
          <w:szCs w:val="24"/>
        </w:rPr>
        <w:t xml:space="preserve"> industry, </w:t>
      </w:r>
      <w:r w:rsidR="00B02945">
        <w:rPr>
          <w:rFonts w:ascii="Times New Roman" w:hAnsi="Times New Roman" w:cs="Times New Roman"/>
          <w:bCs/>
          <w:iCs/>
          <w:color w:val="000000" w:themeColor="text1"/>
          <w:sz w:val="24"/>
          <w:szCs w:val="24"/>
        </w:rPr>
        <w:lastRenderedPageBreak/>
        <w:t xml:space="preserve">unions and community representatives to </w:t>
      </w:r>
      <w:r w:rsidR="001E1C30">
        <w:rPr>
          <w:rFonts w:ascii="Times New Roman" w:hAnsi="Times New Roman" w:cs="Times New Roman"/>
          <w:bCs/>
          <w:iCs/>
          <w:color w:val="000000" w:themeColor="text1"/>
          <w:sz w:val="24"/>
          <w:szCs w:val="24"/>
        </w:rPr>
        <w:t xml:space="preserve">serve as a key consultation forum to progress the Government’s trade policy agenda. </w:t>
      </w:r>
    </w:p>
    <w:p w14:paraId="4675B422" w14:textId="77777777" w:rsidR="008416B5" w:rsidRDefault="008416B5" w:rsidP="00BA76F4">
      <w:pPr>
        <w:rPr>
          <w:rFonts w:ascii="Times New Roman" w:hAnsi="Times New Roman" w:cs="Times New Roman"/>
          <w:bCs/>
          <w:iCs/>
          <w:color w:val="000000" w:themeColor="text1"/>
          <w:sz w:val="24"/>
          <w:szCs w:val="24"/>
        </w:rPr>
      </w:pPr>
    </w:p>
    <w:p w14:paraId="3DA630D1" w14:textId="43E281A8" w:rsidR="00C7275E" w:rsidRDefault="0066075E" w:rsidP="00BA76F4">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Program</w:t>
      </w:r>
      <w:r w:rsidR="007473BD">
        <w:rPr>
          <w:rFonts w:ascii="Times New Roman" w:hAnsi="Times New Roman" w:cs="Times New Roman"/>
          <w:bCs/>
          <w:iCs/>
          <w:color w:val="000000" w:themeColor="text1"/>
          <w:sz w:val="24"/>
          <w:szCs w:val="24"/>
        </w:rPr>
        <w:t xml:space="preserve"> responds</w:t>
      </w:r>
      <w:r w:rsidR="00D863D7">
        <w:rPr>
          <w:rFonts w:ascii="Times New Roman" w:hAnsi="Times New Roman" w:cs="Times New Roman"/>
          <w:bCs/>
          <w:iCs/>
          <w:color w:val="000000" w:themeColor="text1"/>
          <w:sz w:val="24"/>
          <w:szCs w:val="24"/>
        </w:rPr>
        <w:t xml:space="preserve"> to</w:t>
      </w:r>
      <w:r w:rsidR="007473BD">
        <w:rPr>
          <w:rFonts w:ascii="Times New Roman" w:hAnsi="Times New Roman" w:cs="Times New Roman"/>
          <w:bCs/>
          <w:iCs/>
          <w:color w:val="000000" w:themeColor="text1"/>
          <w:sz w:val="24"/>
          <w:szCs w:val="24"/>
        </w:rPr>
        <w:t xml:space="preserve"> </w:t>
      </w:r>
      <w:r w:rsidR="00365417">
        <w:rPr>
          <w:rFonts w:ascii="Times New Roman" w:hAnsi="Times New Roman" w:cs="Times New Roman"/>
          <w:bCs/>
          <w:iCs/>
          <w:color w:val="000000" w:themeColor="text1"/>
          <w:sz w:val="24"/>
          <w:szCs w:val="24"/>
        </w:rPr>
        <w:t xml:space="preserve">recommendations </w:t>
      </w:r>
      <w:r w:rsidR="00CD32B1">
        <w:rPr>
          <w:rFonts w:ascii="Times New Roman" w:hAnsi="Times New Roman" w:cs="Times New Roman"/>
          <w:bCs/>
          <w:iCs/>
          <w:color w:val="000000" w:themeColor="text1"/>
          <w:sz w:val="24"/>
          <w:szCs w:val="24"/>
        </w:rPr>
        <w:t xml:space="preserve">from the </w:t>
      </w:r>
      <w:r w:rsidR="00CD32B1" w:rsidRPr="00E54F81">
        <w:rPr>
          <w:rFonts w:ascii="Times New Roman" w:hAnsi="Times New Roman" w:cs="Times New Roman"/>
          <w:bCs/>
          <w:i/>
          <w:color w:val="000000" w:themeColor="text1"/>
          <w:sz w:val="24"/>
          <w:szCs w:val="24"/>
        </w:rPr>
        <w:t>Invested: Australia’s Southeast Asia Economic Strategy to 2040</w:t>
      </w:r>
      <w:r w:rsidR="00CD32B1">
        <w:rPr>
          <w:rFonts w:ascii="Times New Roman" w:hAnsi="Times New Roman" w:cs="Times New Roman"/>
          <w:bCs/>
          <w:iCs/>
          <w:color w:val="000000" w:themeColor="text1"/>
          <w:sz w:val="24"/>
          <w:szCs w:val="24"/>
        </w:rPr>
        <w:t xml:space="preserve"> (the Moore Report)</w:t>
      </w:r>
      <w:r w:rsidR="00060C8A">
        <w:rPr>
          <w:rFonts w:ascii="Times New Roman" w:hAnsi="Times New Roman" w:cs="Times New Roman"/>
          <w:bCs/>
          <w:iCs/>
          <w:color w:val="000000" w:themeColor="text1"/>
          <w:sz w:val="24"/>
          <w:szCs w:val="24"/>
        </w:rPr>
        <w:t xml:space="preserve">, </w:t>
      </w:r>
      <w:r w:rsidR="004E79B6">
        <w:rPr>
          <w:rFonts w:ascii="Times New Roman" w:hAnsi="Times New Roman" w:cs="Times New Roman"/>
          <w:bCs/>
          <w:iCs/>
          <w:color w:val="000000" w:themeColor="text1"/>
          <w:sz w:val="24"/>
          <w:szCs w:val="24"/>
        </w:rPr>
        <w:t>developed by Special Envoy</w:t>
      </w:r>
      <w:r w:rsidR="008B2C82">
        <w:rPr>
          <w:rFonts w:ascii="Times New Roman" w:hAnsi="Times New Roman" w:cs="Times New Roman"/>
          <w:bCs/>
          <w:iCs/>
          <w:color w:val="000000" w:themeColor="text1"/>
          <w:sz w:val="24"/>
          <w:szCs w:val="24"/>
        </w:rPr>
        <w:t xml:space="preserve"> for Southeast Asia,</w:t>
      </w:r>
      <w:r w:rsidR="00060C8A">
        <w:rPr>
          <w:rFonts w:ascii="Times New Roman" w:hAnsi="Times New Roman" w:cs="Times New Roman"/>
          <w:bCs/>
          <w:iCs/>
          <w:color w:val="000000" w:themeColor="text1"/>
          <w:sz w:val="24"/>
          <w:szCs w:val="24"/>
        </w:rPr>
        <w:t xml:space="preserve"> </w:t>
      </w:r>
      <w:r w:rsidR="009A093C">
        <w:rPr>
          <w:rFonts w:ascii="Times New Roman" w:hAnsi="Times New Roman" w:cs="Times New Roman"/>
          <w:bCs/>
          <w:iCs/>
          <w:color w:val="000000" w:themeColor="text1"/>
          <w:sz w:val="24"/>
          <w:szCs w:val="24"/>
        </w:rPr>
        <w:t xml:space="preserve">Mr Nicholas Moore AO. </w:t>
      </w:r>
      <w:r w:rsidR="004964C8">
        <w:rPr>
          <w:rFonts w:ascii="Times New Roman" w:hAnsi="Times New Roman" w:cs="Times New Roman"/>
          <w:bCs/>
          <w:iCs/>
          <w:color w:val="000000" w:themeColor="text1"/>
          <w:sz w:val="24"/>
          <w:szCs w:val="24"/>
        </w:rPr>
        <w:t>The Moore Report (</w:t>
      </w:r>
      <w:r w:rsidR="004964C8" w:rsidRPr="00E54F81">
        <w:rPr>
          <w:rFonts w:ascii="Times New Roman" w:hAnsi="Times New Roman" w:cs="Times New Roman"/>
          <w:bCs/>
          <w:iCs/>
          <w:color w:val="000000" w:themeColor="text1"/>
          <w:sz w:val="24"/>
          <w:szCs w:val="24"/>
          <w:u w:val="single"/>
        </w:rPr>
        <w:t>https://www.dfat.gov.au/</w:t>
      </w:r>
      <w:r w:rsidR="004964C8" w:rsidRPr="00E54F81">
        <w:rPr>
          <w:rFonts w:ascii="Times New Roman" w:hAnsi="Times New Roman" w:cs="Times New Roman"/>
          <w:bCs/>
          <w:iCs/>
          <w:color w:val="000000" w:themeColor="text1"/>
          <w:sz w:val="24"/>
          <w:szCs w:val="24"/>
          <w:u w:val="single"/>
        </w:rPr>
        <w:br/>
        <w:t>sites/default/files/invested-southeast-asia-economic-strategy-2040.pdf</w:t>
      </w:r>
      <w:r w:rsidR="004964C8">
        <w:rPr>
          <w:rFonts w:ascii="Times New Roman" w:hAnsi="Times New Roman" w:cs="Times New Roman"/>
          <w:bCs/>
          <w:iCs/>
          <w:color w:val="000000" w:themeColor="text1"/>
          <w:sz w:val="24"/>
          <w:szCs w:val="24"/>
        </w:rPr>
        <w:t xml:space="preserve">) </w:t>
      </w:r>
      <w:r w:rsidR="00305793">
        <w:rPr>
          <w:rFonts w:ascii="Times New Roman" w:hAnsi="Times New Roman" w:cs="Times New Roman"/>
          <w:bCs/>
          <w:iCs/>
          <w:color w:val="000000" w:themeColor="text1"/>
          <w:sz w:val="24"/>
          <w:szCs w:val="24"/>
        </w:rPr>
        <w:t xml:space="preserve">was </w:t>
      </w:r>
      <w:r w:rsidR="001B4219">
        <w:rPr>
          <w:rFonts w:ascii="Times New Roman" w:hAnsi="Times New Roman" w:cs="Times New Roman"/>
          <w:bCs/>
          <w:iCs/>
          <w:color w:val="000000" w:themeColor="text1"/>
          <w:sz w:val="24"/>
          <w:szCs w:val="24"/>
        </w:rPr>
        <w:t>launched in September 2023 a</w:t>
      </w:r>
      <w:r w:rsidR="007F4C30">
        <w:rPr>
          <w:rFonts w:ascii="Times New Roman" w:hAnsi="Times New Roman" w:cs="Times New Roman"/>
          <w:bCs/>
          <w:iCs/>
          <w:color w:val="000000" w:themeColor="text1"/>
          <w:sz w:val="24"/>
          <w:szCs w:val="24"/>
        </w:rPr>
        <w:t xml:space="preserve">nd </w:t>
      </w:r>
      <w:r w:rsidR="003F2EB3" w:rsidRPr="003F2EB3">
        <w:rPr>
          <w:rFonts w:ascii="Times New Roman" w:hAnsi="Times New Roman" w:cs="Times New Roman"/>
          <w:bCs/>
          <w:iCs/>
          <w:color w:val="000000" w:themeColor="text1"/>
          <w:sz w:val="24"/>
          <w:szCs w:val="24"/>
        </w:rPr>
        <w:t xml:space="preserve">sets out a pathway to strengthen Australia’s economic engagement with the region by mapping emerging trade and investment opportunities in Southeast Asia and matching those with Australian capabilities. </w:t>
      </w:r>
    </w:p>
    <w:p w14:paraId="3CD3453C" w14:textId="77777777" w:rsidR="00C7275E" w:rsidRDefault="00C7275E" w:rsidP="00BA76F4">
      <w:pPr>
        <w:rPr>
          <w:rFonts w:ascii="Times New Roman" w:hAnsi="Times New Roman" w:cs="Times New Roman"/>
          <w:bCs/>
          <w:iCs/>
          <w:color w:val="000000" w:themeColor="text1"/>
          <w:sz w:val="24"/>
          <w:szCs w:val="24"/>
        </w:rPr>
      </w:pPr>
    </w:p>
    <w:p w14:paraId="405BBB7B" w14:textId="5D28B38A" w:rsidR="00B063C2" w:rsidRDefault="00F55FB6" w:rsidP="00BA76F4">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Program </w:t>
      </w:r>
      <w:r w:rsidR="009E2AEB">
        <w:rPr>
          <w:rFonts w:ascii="Times New Roman" w:hAnsi="Times New Roman" w:cs="Times New Roman"/>
          <w:bCs/>
          <w:iCs/>
          <w:color w:val="000000" w:themeColor="text1"/>
          <w:sz w:val="24"/>
          <w:szCs w:val="24"/>
        </w:rPr>
        <w:t>consists of</w:t>
      </w:r>
      <w:r w:rsidR="00750DEF">
        <w:rPr>
          <w:rFonts w:ascii="Times New Roman" w:hAnsi="Times New Roman" w:cs="Times New Roman"/>
          <w:bCs/>
          <w:iCs/>
          <w:color w:val="000000" w:themeColor="text1"/>
          <w:sz w:val="24"/>
          <w:szCs w:val="24"/>
        </w:rPr>
        <w:t xml:space="preserve"> two grant programs:</w:t>
      </w:r>
    </w:p>
    <w:p w14:paraId="650AA4C3" w14:textId="13743EEA" w:rsidR="004765F8" w:rsidRDefault="004765F8" w:rsidP="00E54F81">
      <w:pPr>
        <w:pStyle w:val="ListParagraph"/>
        <w:numPr>
          <w:ilvl w:val="0"/>
          <w:numId w:val="27"/>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the </w:t>
      </w:r>
      <w:r w:rsidR="00AA2113" w:rsidRPr="00E54F81">
        <w:rPr>
          <w:rFonts w:ascii="Times New Roman" w:hAnsi="Times New Roman"/>
          <w:bCs/>
          <w:iCs/>
          <w:color w:val="000000" w:themeColor="text1"/>
          <w:sz w:val="24"/>
          <w:szCs w:val="24"/>
        </w:rPr>
        <w:t>Free Trade Agreements Modernisation Grant program to support Australia’s trade and investment exposed</w:t>
      </w:r>
      <w:r w:rsidR="00D97637">
        <w:rPr>
          <w:rFonts w:ascii="Times New Roman" w:hAnsi="Times New Roman"/>
          <w:bCs/>
          <w:iCs/>
          <w:color w:val="000000" w:themeColor="text1"/>
          <w:sz w:val="24"/>
          <w:szCs w:val="24"/>
        </w:rPr>
        <w:t xml:space="preserve"> entities</w:t>
      </w:r>
      <w:r w:rsidR="00AA2113" w:rsidRPr="00E54F81">
        <w:rPr>
          <w:rFonts w:ascii="Times New Roman" w:hAnsi="Times New Roman"/>
          <w:bCs/>
          <w:iCs/>
          <w:color w:val="000000" w:themeColor="text1"/>
          <w:sz w:val="24"/>
          <w:szCs w:val="24"/>
        </w:rPr>
        <w:t xml:space="preserve"> identify priorities for upgrading of Australia’s existing free trade agreements (</w:t>
      </w:r>
      <w:r w:rsidR="00AA2113" w:rsidRPr="00E54F81">
        <w:rPr>
          <w:rFonts w:ascii="Times New Roman" w:hAnsi="Times New Roman"/>
          <w:iCs/>
          <w:color w:val="000000" w:themeColor="text1"/>
          <w:sz w:val="24"/>
          <w:szCs w:val="24"/>
        </w:rPr>
        <w:t>FTAs</w:t>
      </w:r>
      <w:r w:rsidR="00AA2113" w:rsidRPr="00E54F81">
        <w:rPr>
          <w:rFonts w:ascii="Times New Roman" w:hAnsi="Times New Roman"/>
          <w:bCs/>
          <w:iCs/>
          <w:color w:val="000000" w:themeColor="text1"/>
          <w:sz w:val="24"/>
          <w:szCs w:val="24"/>
        </w:rPr>
        <w:t>)</w:t>
      </w:r>
      <w:r>
        <w:rPr>
          <w:rFonts w:ascii="Times New Roman" w:hAnsi="Times New Roman"/>
          <w:bCs/>
          <w:iCs/>
          <w:color w:val="000000" w:themeColor="text1"/>
          <w:sz w:val="24"/>
          <w:szCs w:val="24"/>
        </w:rPr>
        <w:t>;</w:t>
      </w:r>
      <w:r w:rsidR="00AA2113" w:rsidRPr="004F757E">
        <w:rPr>
          <w:rFonts w:ascii="Times New Roman" w:hAnsi="Times New Roman"/>
          <w:bCs/>
          <w:iCs/>
          <w:color w:val="000000" w:themeColor="text1"/>
          <w:sz w:val="24"/>
          <w:szCs w:val="24"/>
        </w:rPr>
        <w:t xml:space="preserve"> and</w:t>
      </w:r>
    </w:p>
    <w:p w14:paraId="69DA9681" w14:textId="6DB2A8AA" w:rsidR="00BA76F4" w:rsidRPr="00E54F81" w:rsidRDefault="00AA2113" w:rsidP="00E54F81">
      <w:pPr>
        <w:pStyle w:val="ListParagraph"/>
        <w:numPr>
          <w:ilvl w:val="0"/>
          <w:numId w:val="27"/>
        </w:numPr>
        <w:spacing w:after="0" w:line="240" w:lineRule="auto"/>
        <w:rPr>
          <w:rFonts w:ascii="Times New Roman" w:hAnsi="Times New Roman"/>
          <w:bCs/>
          <w:iCs/>
          <w:color w:val="000000" w:themeColor="text1"/>
          <w:sz w:val="24"/>
          <w:szCs w:val="24"/>
        </w:rPr>
      </w:pPr>
      <w:r w:rsidRPr="00E54F81">
        <w:rPr>
          <w:rFonts w:ascii="Times New Roman" w:hAnsi="Times New Roman"/>
          <w:bCs/>
          <w:iCs/>
          <w:color w:val="000000" w:themeColor="text1"/>
          <w:sz w:val="24"/>
          <w:szCs w:val="24"/>
        </w:rPr>
        <w:t xml:space="preserve">the </w:t>
      </w:r>
      <w:r w:rsidRPr="00E54F81">
        <w:rPr>
          <w:rFonts w:ascii="Times New Roman" w:hAnsi="Times New Roman"/>
          <w:bCs/>
          <w:iCs/>
          <w:color w:val="000000" w:themeColor="text1"/>
          <w:sz w:val="24"/>
          <w:szCs w:val="24"/>
          <w:lang w:val="en-GB"/>
        </w:rPr>
        <w:t>Southeast Asia Mutual Recognition of Professional Services</w:t>
      </w:r>
      <w:r w:rsidR="000A585B" w:rsidRPr="00E54F81">
        <w:rPr>
          <w:rFonts w:ascii="Times New Roman" w:hAnsi="Times New Roman"/>
          <w:bCs/>
          <w:iCs/>
          <w:color w:val="000000" w:themeColor="text1"/>
          <w:sz w:val="24"/>
          <w:szCs w:val="24"/>
          <w:lang w:val="en-GB"/>
        </w:rPr>
        <w:t xml:space="preserve"> </w:t>
      </w:r>
      <w:r w:rsidRPr="00E54F81">
        <w:rPr>
          <w:rFonts w:ascii="Times New Roman" w:hAnsi="Times New Roman"/>
          <w:bCs/>
          <w:iCs/>
          <w:color w:val="000000" w:themeColor="text1"/>
          <w:sz w:val="24"/>
          <w:szCs w:val="24"/>
          <w:lang w:val="en-GB"/>
        </w:rPr>
        <w:t>Grant program</w:t>
      </w:r>
      <w:r w:rsidRPr="00E54F81">
        <w:rPr>
          <w:rFonts w:ascii="Times New Roman" w:hAnsi="Times New Roman"/>
          <w:bCs/>
          <w:iCs/>
          <w:color w:val="000000" w:themeColor="text1"/>
          <w:sz w:val="24"/>
          <w:szCs w:val="24"/>
        </w:rPr>
        <w:t xml:space="preserve"> to assist accreditation and licensing bodies negotiate mutual recognition arrangements for professional services</w:t>
      </w:r>
      <w:r w:rsidR="00BA76F4" w:rsidRPr="00E54F81">
        <w:rPr>
          <w:rFonts w:ascii="Times New Roman" w:hAnsi="Times New Roman"/>
          <w:iCs/>
          <w:sz w:val="24"/>
          <w:szCs w:val="24"/>
          <w:lang w:val="en-GB"/>
        </w:rPr>
        <w:t>.</w:t>
      </w:r>
      <w:r w:rsidR="00BA76F4" w:rsidRPr="00E54F81">
        <w:rPr>
          <w:rFonts w:ascii="Times New Roman" w:hAnsi="Times New Roman"/>
          <w:bCs/>
          <w:iCs/>
          <w:color w:val="000000" w:themeColor="text1"/>
          <w:sz w:val="24"/>
          <w:szCs w:val="24"/>
        </w:rPr>
        <w:t xml:space="preserve"> </w:t>
      </w:r>
    </w:p>
    <w:p w14:paraId="225B4866" w14:textId="77777777" w:rsidR="00230AE2" w:rsidRDefault="00230AE2" w:rsidP="00BA76F4">
      <w:pPr>
        <w:rPr>
          <w:rFonts w:ascii="Times New Roman" w:hAnsi="Times New Roman" w:cs="Times New Roman"/>
          <w:bCs/>
          <w:iCs/>
          <w:color w:val="000000" w:themeColor="text1"/>
          <w:sz w:val="24"/>
          <w:szCs w:val="24"/>
        </w:rPr>
      </w:pPr>
    </w:p>
    <w:p w14:paraId="1E2092E9" w14:textId="4FCF8BEB" w:rsidR="00F37D31" w:rsidRPr="009D49C1" w:rsidRDefault="00F37D31" w:rsidP="00BA76F4">
      <w:pPr>
        <w:rPr>
          <w:rFonts w:ascii="Times New Roman" w:hAnsi="Times New Roman" w:cs="Times New Roman"/>
          <w:bCs/>
          <w:iCs/>
          <w:color w:val="000000" w:themeColor="text1"/>
          <w:sz w:val="24"/>
          <w:szCs w:val="24"/>
        </w:rPr>
      </w:pPr>
      <w:r w:rsidRPr="00E54F81">
        <w:rPr>
          <w:rFonts w:ascii="Times New Roman" w:hAnsi="Times New Roman" w:cs="Times New Roman"/>
          <w:bCs/>
          <w:i/>
          <w:color w:val="000000" w:themeColor="text1"/>
          <w:sz w:val="24"/>
          <w:szCs w:val="24"/>
        </w:rPr>
        <w:t>Free Trade Agreements Modernisation</w:t>
      </w:r>
      <w:r w:rsidR="008F56E9">
        <w:rPr>
          <w:rFonts w:ascii="Times New Roman" w:hAnsi="Times New Roman" w:cs="Times New Roman"/>
          <w:bCs/>
          <w:i/>
          <w:color w:val="000000" w:themeColor="text1"/>
          <w:sz w:val="24"/>
          <w:szCs w:val="24"/>
        </w:rPr>
        <w:t xml:space="preserve"> (FTAM)</w:t>
      </w:r>
      <w:r w:rsidRPr="00E54F81">
        <w:rPr>
          <w:rFonts w:ascii="Times New Roman" w:hAnsi="Times New Roman" w:cs="Times New Roman"/>
          <w:bCs/>
          <w:i/>
          <w:color w:val="000000" w:themeColor="text1"/>
          <w:sz w:val="24"/>
          <w:szCs w:val="24"/>
        </w:rPr>
        <w:t xml:space="preserve"> Grant program</w:t>
      </w:r>
    </w:p>
    <w:p w14:paraId="5BFB28E0" w14:textId="77777777" w:rsidR="00F37D31" w:rsidRDefault="00F37D31" w:rsidP="00BA76F4">
      <w:pPr>
        <w:rPr>
          <w:rFonts w:ascii="Times New Roman" w:hAnsi="Times New Roman" w:cs="Times New Roman"/>
          <w:bCs/>
          <w:iCs/>
          <w:color w:val="000000" w:themeColor="text1"/>
          <w:sz w:val="24"/>
          <w:szCs w:val="24"/>
        </w:rPr>
      </w:pPr>
    </w:p>
    <w:p w14:paraId="0A5BB82C" w14:textId="7A23A415" w:rsidR="00FD66B0" w:rsidRDefault="009D49C1" w:rsidP="00230AE2">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FTAM</w:t>
      </w:r>
      <w:r w:rsidR="00A95D2D">
        <w:rPr>
          <w:rFonts w:ascii="Times New Roman" w:hAnsi="Times New Roman" w:cs="Times New Roman"/>
          <w:bCs/>
          <w:iCs/>
          <w:color w:val="000000" w:themeColor="text1"/>
          <w:sz w:val="24"/>
          <w:szCs w:val="24"/>
        </w:rPr>
        <w:t xml:space="preserve"> was announced in the 2024-25 Budget and responds to Recommendation </w:t>
      </w:r>
      <w:r w:rsidR="009B108A">
        <w:rPr>
          <w:rFonts w:ascii="Times New Roman" w:hAnsi="Times New Roman" w:cs="Times New Roman"/>
          <w:bCs/>
          <w:iCs/>
          <w:color w:val="000000" w:themeColor="text1"/>
          <w:sz w:val="24"/>
          <w:szCs w:val="24"/>
        </w:rPr>
        <w:t>10 of the Moore Report</w:t>
      </w:r>
      <w:r w:rsidR="008D29F1">
        <w:rPr>
          <w:rFonts w:ascii="Times New Roman" w:hAnsi="Times New Roman" w:cs="Times New Roman"/>
          <w:bCs/>
          <w:iCs/>
          <w:color w:val="000000" w:themeColor="text1"/>
          <w:sz w:val="24"/>
          <w:szCs w:val="24"/>
        </w:rPr>
        <w:t xml:space="preserve"> for the Taskforce, in collaboration with Southeast Asian</w:t>
      </w:r>
      <w:r w:rsidR="00E54FE9">
        <w:rPr>
          <w:rFonts w:ascii="Times New Roman" w:hAnsi="Times New Roman" w:cs="Times New Roman"/>
          <w:bCs/>
          <w:iCs/>
          <w:color w:val="000000" w:themeColor="text1"/>
          <w:sz w:val="24"/>
          <w:szCs w:val="24"/>
        </w:rPr>
        <w:t xml:space="preserve"> partners</w:t>
      </w:r>
      <w:r w:rsidR="008D29F1">
        <w:rPr>
          <w:rFonts w:ascii="Times New Roman" w:hAnsi="Times New Roman" w:cs="Times New Roman"/>
          <w:bCs/>
          <w:iCs/>
          <w:color w:val="000000" w:themeColor="text1"/>
          <w:sz w:val="24"/>
          <w:szCs w:val="24"/>
        </w:rPr>
        <w:t xml:space="preserve">, to review the scope of existing FTAs to determine priorities for agreement upgrade </w:t>
      </w:r>
      <w:r w:rsidR="00303648">
        <w:rPr>
          <w:rFonts w:ascii="Times New Roman" w:hAnsi="Times New Roman" w:cs="Times New Roman"/>
          <w:bCs/>
          <w:iCs/>
          <w:color w:val="000000" w:themeColor="text1"/>
          <w:sz w:val="24"/>
          <w:szCs w:val="24"/>
        </w:rPr>
        <w:t>negotiations</w:t>
      </w:r>
      <w:r w:rsidR="00223956">
        <w:rPr>
          <w:rFonts w:ascii="Times New Roman" w:hAnsi="Times New Roman" w:cs="Times New Roman"/>
          <w:bCs/>
          <w:iCs/>
          <w:color w:val="000000" w:themeColor="text1"/>
          <w:sz w:val="24"/>
          <w:szCs w:val="24"/>
        </w:rPr>
        <w:t>.</w:t>
      </w:r>
    </w:p>
    <w:p w14:paraId="416D741C" w14:textId="77777777" w:rsidR="00FD66B0" w:rsidRDefault="00FD66B0" w:rsidP="00230AE2">
      <w:pPr>
        <w:rPr>
          <w:rFonts w:ascii="Times New Roman" w:hAnsi="Times New Roman" w:cs="Times New Roman"/>
          <w:bCs/>
          <w:iCs/>
          <w:color w:val="000000" w:themeColor="text1"/>
          <w:sz w:val="24"/>
          <w:szCs w:val="24"/>
        </w:rPr>
      </w:pPr>
    </w:p>
    <w:p w14:paraId="542AD451" w14:textId="4CF2CBD1" w:rsidR="00D25498" w:rsidRPr="00A113F9" w:rsidRDefault="00D25498" w:rsidP="00D25498">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FTAM</w:t>
      </w:r>
      <w:r w:rsidRPr="00A113F9">
        <w:rPr>
          <w:rFonts w:ascii="Times New Roman" w:hAnsi="Times New Roman" w:cs="Times New Roman"/>
          <w:bCs/>
          <w:iCs/>
          <w:color w:val="000000" w:themeColor="text1"/>
          <w:sz w:val="24"/>
          <w:szCs w:val="24"/>
        </w:rPr>
        <w:t xml:space="preserve"> is an initiative to support Australian trade-exposed industries, peak bodies and representative organisations identify opportunities for improved utilisation, modernisation and enhancement of </w:t>
      </w:r>
      <w:r>
        <w:rPr>
          <w:rFonts w:ascii="Times New Roman" w:hAnsi="Times New Roman" w:cs="Times New Roman"/>
          <w:bCs/>
          <w:iCs/>
          <w:color w:val="000000" w:themeColor="text1"/>
          <w:sz w:val="24"/>
          <w:szCs w:val="24"/>
        </w:rPr>
        <w:t>Australia’s</w:t>
      </w:r>
      <w:r w:rsidRPr="00A113F9">
        <w:rPr>
          <w:rFonts w:ascii="Times New Roman" w:hAnsi="Times New Roman" w:cs="Times New Roman"/>
          <w:bCs/>
          <w:iCs/>
          <w:color w:val="000000" w:themeColor="text1"/>
          <w:sz w:val="24"/>
          <w:szCs w:val="24"/>
        </w:rPr>
        <w:t xml:space="preserve"> network of FTAs. The </w:t>
      </w:r>
      <w:r w:rsidR="0063069B">
        <w:rPr>
          <w:rFonts w:ascii="Times New Roman" w:hAnsi="Times New Roman" w:cs="Times New Roman"/>
          <w:bCs/>
          <w:iCs/>
          <w:color w:val="000000" w:themeColor="text1"/>
          <w:sz w:val="24"/>
          <w:szCs w:val="24"/>
        </w:rPr>
        <w:t>FTAM</w:t>
      </w:r>
      <w:r w:rsidRPr="00A113F9">
        <w:rPr>
          <w:rFonts w:ascii="Times New Roman" w:hAnsi="Times New Roman" w:cs="Times New Roman"/>
          <w:bCs/>
          <w:iCs/>
          <w:color w:val="000000" w:themeColor="text1"/>
          <w:sz w:val="24"/>
          <w:szCs w:val="24"/>
        </w:rPr>
        <w:t xml:space="preserve"> will feed into and inform the department’s review of Australia’s FTAs in Southeast Asia. The outcomes will assist the Taskforce </w:t>
      </w:r>
      <w:r w:rsidR="00DF45EC">
        <w:rPr>
          <w:rFonts w:ascii="Times New Roman" w:hAnsi="Times New Roman" w:cs="Times New Roman"/>
          <w:bCs/>
          <w:iCs/>
          <w:color w:val="000000" w:themeColor="text1"/>
          <w:sz w:val="24"/>
          <w:szCs w:val="24"/>
        </w:rPr>
        <w:t xml:space="preserve">in </w:t>
      </w:r>
      <w:r w:rsidRPr="00A113F9">
        <w:rPr>
          <w:rFonts w:ascii="Times New Roman" w:hAnsi="Times New Roman" w:cs="Times New Roman"/>
          <w:bCs/>
          <w:iCs/>
          <w:color w:val="000000" w:themeColor="text1"/>
          <w:sz w:val="24"/>
          <w:szCs w:val="24"/>
        </w:rPr>
        <w:t>mak</w:t>
      </w:r>
      <w:r w:rsidR="00DF45EC">
        <w:rPr>
          <w:rFonts w:ascii="Times New Roman" w:hAnsi="Times New Roman" w:cs="Times New Roman"/>
          <w:bCs/>
          <w:iCs/>
          <w:color w:val="000000" w:themeColor="text1"/>
          <w:sz w:val="24"/>
          <w:szCs w:val="24"/>
        </w:rPr>
        <w:t>ing</w:t>
      </w:r>
      <w:r w:rsidRPr="00A113F9">
        <w:rPr>
          <w:rFonts w:ascii="Times New Roman" w:hAnsi="Times New Roman" w:cs="Times New Roman"/>
          <w:bCs/>
          <w:iCs/>
          <w:color w:val="000000" w:themeColor="text1"/>
          <w:sz w:val="24"/>
          <w:szCs w:val="24"/>
        </w:rPr>
        <w:t xml:space="preserve"> recommendations on upgrade negotiation priorities, progressing Recommendation 10, </w:t>
      </w:r>
      <w:r w:rsidR="00461B93">
        <w:rPr>
          <w:rFonts w:ascii="Times New Roman" w:hAnsi="Times New Roman" w:cs="Times New Roman"/>
          <w:bCs/>
          <w:iCs/>
          <w:color w:val="000000" w:themeColor="text1"/>
          <w:sz w:val="24"/>
          <w:szCs w:val="24"/>
        </w:rPr>
        <w:t>and</w:t>
      </w:r>
      <w:r w:rsidRPr="00A113F9">
        <w:rPr>
          <w:rFonts w:ascii="Times New Roman" w:hAnsi="Times New Roman" w:cs="Times New Roman"/>
          <w:bCs/>
          <w:iCs/>
          <w:color w:val="000000" w:themeColor="text1"/>
          <w:sz w:val="24"/>
          <w:szCs w:val="24"/>
        </w:rPr>
        <w:t xml:space="preserve"> reviewing the scope of existing FTAs to determine priorities for agreement upgrade negotiations.</w:t>
      </w:r>
    </w:p>
    <w:p w14:paraId="01FF1D3D" w14:textId="77777777" w:rsidR="001F4CDE" w:rsidRDefault="001F4CDE" w:rsidP="00230AE2">
      <w:pPr>
        <w:rPr>
          <w:rFonts w:ascii="Times New Roman" w:hAnsi="Times New Roman" w:cs="Times New Roman"/>
          <w:bCs/>
          <w:iCs/>
          <w:color w:val="000000" w:themeColor="text1"/>
          <w:sz w:val="24"/>
          <w:szCs w:val="24"/>
        </w:rPr>
      </w:pPr>
    </w:p>
    <w:p w14:paraId="108920CD" w14:textId="13B1EAE9" w:rsidR="00A113F9" w:rsidRPr="00A113F9" w:rsidRDefault="00A113F9" w:rsidP="00A113F9">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The </w:t>
      </w:r>
      <w:r w:rsidR="00E12D76">
        <w:rPr>
          <w:rFonts w:ascii="Times New Roman" w:hAnsi="Times New Roman" w:cs="Times New Roman"/>
          <w:bCs/>
          <w:iCs/>
          <w:color w:val="000000" w:themeColor="text1"/>
          <w:sz w:val="24"/>
          <w:szCs w:val="24"/>
        </w:rPr>
        <w:t xml:space="preserve">FTAM’s </w:t>
      </w:r>
      <w:r w:rsidRPr="00A113F9">
        <w:rPr>
          <w:rFonts w:ascii="Times New Roman" w:hAnsi="Times New Roman" w:cs="Times New Roman"/>
          <w:bCs/>
          <w:iCs/>
          <w:color w:val="000000" w:themeColor="text1"/>
          <w:sz w:val="24"/>
          <w:szCs w:val="24"/>
        </w:rPr>
        <w:t>objectives are</w:t>
      </w:r>
      <w:r w:rsidR="00F15D51">
        <w:rPr>
          <w:rFonts w:ascii="Times New Roman" w:hAnsi="Times New Roman" w:cs="Times New Roman"/>
          <w:bCs/>
          <w:iCs/>
          <w:color w:val="000000" w:themeColor="text1"/>
          <w:sz w:val="24"/>
          <w:szCs w:val="24"/>
        </w:rPr>
        <w:t xml:space="preserve"> to</w:t>
      </w:r>
      <w:r w:rsidRPr="00A113F9">
        <w:rPr>
          <w:rFonts w:ascii="Times New Roman" w:hAnsi="Times New Roman" w:cs="Times New Roman"/>
          <w:bCs/>
          <w:iCs/>
          <w:color w:val="000000" w:themeColor="text1"/>
          <w:sz w:val="24"/>
          <w:szCs w:val="24"/>
        </w:rPr>
        <w:t xml:space="preserve">: </w:t>
      </w:r>
    </w:p>
    <w:p w14:paraId="77BC0D5E" w14:textId="75529F44" w:rsidR="00A113F9" w:rsidRPr="00A113F9" w:rsidRDefault="00A113F9" w:rsidP="00A113F9">
      <w:pPr>
        <w:numPr>
          <w:ilvl w:val="0"/>
          <w:numId w:val="17"/>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inform the Australian government’s Southeast Asian trade and investment agenda to </w:t>
      </w:r>
      <w:proofErr w:type="gramStart"/>
      <w:r w:rsidRPr="00A113F9">
        <w:rPr>
          <w:rFonts w:ascii="Times New Roman" w:hAnsi="Times New Roman" w:cs="Times New Roman"/>
          <w:bCs/>
          <w:iCs/>
          <w:color w:val="000000" w:themeColor="text1"/>
          <w:sz w:val="24"/>
          <w:szCs w:val="24"/>
        </w:rPr>
        <w:t>2040;</w:t>
      </w:r>
      <w:proofErr w:type="gramEnd"/>
    </w:p>
    <w:p w14:paraId="0459D87F" w14:textId="1E23E950" w:rsidR="00A113F9" w:rsidRPr="00A113F9" w:rsidRDefault="00A113F9" w:rsidP="00A113F9">
      <w:pPr>
        <w:numPr>
          <w:ilvl w:val="0"/>
          <w:numId w:val="17"/>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inform how the Australian government prioritises the modernisation and enhancement of Australia’s network of FTAs in Southeast Asia</w:t>
      </w:r>
      <w:r w:rsidR="00F15D51">
        <w:rPr>
          <w:rFonts w:ascii="Times New Roman" w:hAnsi="Times New Roman" w:cs="Times New Roman"/>
          <w:bCs/>
          <w:iCs/>
          <w:color w:val="000000" w:themeColor="text1"/>
          <w:sz w:val="24"/>
          <w:szCs w:val="24"/>
        </w:rPr>
        <w:t>;</w:t>
      </w:r>
      <w:r w:rsidRPr="00A113F9">
        <w:rPr>
          <w:rFonts w:ascii="Times New Roman" w:hAnsi="Times New Roman" w:cs="Times New Roman"/>
          <w:bCs/>
          <w:iCs/>
          <w:color w:val="000000" w:themeColor="text1"/>
          <w:sz w:val="24"/>
          <w:szCs w:val="24"/>
        </w:rPr>
        <w:t xml:space="preserve"> and </w:t>
      </w:r>
    </w:p>
    <w:p w14:paraId="05D331AB" w14:textId="62BA759B" w:rsidR="00A113F9" w:rsidRPr="00A113F9" w:rsidRDefault="00A113F9" w:rsidP="00A113F9">
      <w:pPr>
        <w:numPr>
          <w:ilvl w:val="0"/>
          <w:numId w:val="17"/>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liberalise and facilitate trade and investment and contribute to closer economic integration in the region.  </w:t>
      </w:r>
    </w:p>
    <w:p w14:paraId="19917DF9" w14:textId="77777777" w:rsidR="00CB38D4" w:rsidRDefault="00CB38D4" w:rsidP="00A113F9">
      <w:pPr>
        <w:rPr>
          <w:rFonts w:ascii="Times New Roman" w:hAnsi="Times New Roman" w:cs="Times New Roman"/>
          <w:bCs/>
          <w:iCs/>
          <w:color w:val="000000" w:themeColor="text1"/>
          <w:sz w:val="24"/>
          <w:szCs w:val="24"/>
        </w:rPr>
      </w:pPr>
    </w:p>
    <w:p w14:paraId="12252313" w14:textId="263EA975" w:rsidR="00A113F9" w:rsidRPr="00A113F9" w:rsidRDefault="00A113F9" w:rsidP="00A113F9">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The</w:t>
      </w:r>
      <w:r w:rsidR="00E12D76">
        <w:rPr>
          <w:rFonts w:ascii="Times New Roman" w:hAnsi="Times New Roman" w:cs="Times New Roman"/>
          <w:bCs/>
          <w:iCs/>
          <w:color w:val="000000" w:themeColor="text1"/>
          <w:sz w:val="24"/>
          <w:szCs w:val="24"/>
        </w:rPr>
        <w:t xml:space="preserve"> FTAM</w:t>
      </w:r>
      <w:r w:rsidR="00594303">
        <w:rPr>
          <w:rFonts w:ascii="Times New Roman" w:hAnsi="Times New Roman" w:cs="Times New Roman"/>
          <w:bCs/>
          <w:iCs/>
          <w:color w:val="000000" w:themeColor="text1"/>
          <w:sz w:val="24"/>
          <w:szCs w:val="24"/>
        </w:rPr>
        <w:t>’s</w:t>
      </w:r>
      <w:r w:rsidRPr="00A113F9">
        <w:rPr>
          <w:rFonts w:ascii="Times New Roman" w:hAnsi="Times New Roman" w:cs="Times New Roman"/>
          <w:bCs/>
          <w:iCs/>
          <w:color w:val="000000" w:themeColor="text1"/>
          <w:sz w:val="24"/>
          <w:szCs w:val="24"/>
        </w:rPr>
        <w:t xml:space="preserve"> intended outcomes are to enable Australian trade and investment exposed industries to clearly identify and provide recommendations on:  </w:t>
      </w:r>
    </w:p>
    <w:p w14:paraId="35BF3AFD" w14:textId="4CF7A16E" w:rsidR="00A113F9" w:rsidRPr="00A113F9" w:rsidRDefault="00A113F9" w:rsidP="00A113F9">
      <w:pPr>
        <w:numPr>
          <w:ilvl w:val="0"/>
          <w:numId w:val="18"/>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current or possible impediments, opportunities or areas for further liberalisation, under our existing </w:t>
      </w:r>
      <w:r w:rsidR="00B00722">
        <w:rPr>
          <w:rFonts w:ascii="Times New Roman" w:hAnsi="Times New Roman" w:cs="Times New Roman"/>
          <w:bCs/>
          <w:iCs/>
          <w:color w:val="000000" w:themeColor="text1"/>
          <w:sz w:val="24"/>
          <w:szCs w:val="24"/>
        </w:rPr>
        <w:t>FTAs</w:t>
      </w:r>
      <w:r w:rsidRPr="00A113F9">
        <w:rPr>
          <w:rFonts w:ascii="Times New Roman" w:hAnsi="Times New Roman" w:cs="Times New Roman"/>
          <w:bCs/>
          <w:iCs/>
          <w:color w:val="000000" w:themeColor="text1"/>
          <w:sz w:val="24"/>
          <w:szCs w:val="24"/>
        </w:rPr>
        <w:t xml:space="preserve"> in the Southeast Asia region or as part of future FTAs in the region, not yet in place</w:t>
      </w:r>
      <w:r w:rsidR="00E837CF">
        <w:rPr>
          <w:rFonts w:ascii="Times New Roman" w:hAnsi="Times New Roman" w:cs="Times New Roman"/>
          <w:bCs/>
          <w:iCs/>
          <w:color w:val="000000" w:themeColor="text1"/>
          <w:sz w:val="24"/>
          <w:szCs w:val="24"/>
        </w:rPr>
        <w:t>;</w:t>
      </w:r>
      <w:r w:rsidRPr="00A113F9">
        <w:rPr>
          <w:rFonts w:ascii="Times New Roman" w:hAnsi="Times New Roman" w:cs="Times New Roman"/>
          <w:bCs/>
          <w:iCs/>
          <w:color w:val="000000" w:themeColor="text1"/>
          <w:sz w:val="24"/>
          <w:szCs w:val="24"/>
        </w:rPr>
        <w:t xml:space="preserve"> and   </w:t>
      </w:r>
    </w:p>
    <w:p w14:paraId="0446C066" w14:textId="52F8CE14" w:rsidR="00A113F9" w:rsidRPr="00A113F9" w:rsidRDefault="00A113F9" w:rsidP="00A113F9">
      <w:pPr>
        <w:numPr>
          <w:ilvl w:val="0"/>
          <w:numId w:val="18"/>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opportunities for the inclusion or enhancement and modernisation, in </w:t>
      </w:r>
      <w:r w:rsidR="00B00722">
        <w:rPr>
          <w:rFonts w:ascii="Times New Roman" w:hAnsi="Times New Roman" w:cs="Times New Roman"/>
          <w:bCs/>
          <w:iCs/>
          <w:color w:val="000000" w:themeColor="text1"/>
          <w:sz w:val="24"/>
          <w:szCs w:val="24"/>
        </w:rPr>
        <w:t>Australia</w:t>
      </w:r>
      <w:r w:rsidR="006F1CCC">
        <w:rPr>
          <w:rFonts w:ascii="Times New Roman" w:hAnsi="Times New Roman" w:cs="Times New Roman"/>
          <w:bCs/>
          <w:iCs/>
          <w:color w:val="000000" w:themeColor="text1"/>
          <w:sz w:val="24"/>
          <w:szCs w:val="24"/>
        </w:rPr>
        <w:t>’s</w:t>
      </w:r>
      <w:r w:rsidR="00B00722" w:rsidRPr="00A113F9">
        <w:rPr>
          <w:rFonts w:ascii="Times New Roman" w:hAnsi="Times New Roman" w:cs="Times New Roman"/>
          <w:bCs/>
          <w:iCs/>
          <w:color w:val="000000" w:themeColor="text1"/>
          <w:sz w:val="24"/>
          <w:szCs w:val="24"/>
        </w:rPr>
        <w:t xml:space="preserve"> </w:t>
      </w:r>
      <w:r w:rsidRPr="00A113F9">
        <w:rPr>
          <w:rFonts w:ascii="Times New Roman" w:hAnsi="Times New Roman" w:cs="Times New Roman"/>
          <w:bCs/>
          <w:iCs/>
          <w:color w:val="000000" w:themeColor="text1"/>
          <w:sz w:val="24"/>
          <w:szCs w:val="24"/>
        </w:rPr>
        <w:t xml:space="preserve">FTAs, of new and emerging trade and investment thematic and/or progressive chapters, such as digital economy, green economy, labour, critical minerals, </w:t>
      </w:r>
      <w:r w:rsidRPr="00A113F9">
        <w:rPr>
          <w:rFonts w:ascii="Times New Roman" w:hAnsi="Times New Roman" w:cs="Times New Roman"/>
          <w:bCs/>
          <w:iCs/>
          <w:color w:val="000000" w:themeColor="text1"/>
          <w:sz w:val="24"/>
          <w:szCs w:val="24"/>
        </w:rPr>
        <w:lastRenderedPageBreak/>
        <w:t xml:space="preserve">environmental standard, clean energy, First Nations trade, gender and inclusivity, sustainable agriculture, food security and other areas of interest to industry. </w:t>
      </w:r>
    </w:p>
    <w:p w14:paraId="3BB7C579" w14:textId="77777777" w:rsidR="00CB38D4" w:rsidRDefault="00CB38D4" w:rsidP="00A113F9">
      <w:pPr>
        <w:rPr>
          <w:rFonts w:ascii="Times New Roman" w:hAnsi="Times New Roman" w:cs="Times New Roman"/>
          <w:bCs/>
          <w:iCs/>
          <w:color w:val="000000" w:themeColor="text1"/>
          <w:sz w:val="24"/>
          <w:szCs w:val="24"/>
        </w:rPr>
      </w:pPr>
    </w:p>
    <w:p w14:paraId="294FBD48" w14:textId="64E8C4D4" w:rsidR="00A113F9" w:rsidRDefault="00A113F9" w:rsidP="00A113F9">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To be eligible for funding, proposed grant activities must address the intended outcome of the </w:t>
      </w:r>
      <w:r w:rsidR="006F1CCC">
        <w:rPr>
          <w:rFonts w:ascii="Times New Roman" w:hAnsi="Times New Roman" w:cs="Times New Roman"/>
          <w:bCs/>
          <w:iCs/>
          <w:color w:val="000000" w:themeColor="text1"/>
          <w:sz w:val="24"/>
          <w:szCs w:val="24"/>
        </w:rPr>
        <w:t>FTAM</w:t>
      </w:r>
      <w:r w:rsidR="006F1CCC" w:rsidRPr="00A113F9">
        <w:rPr>
          <w:rFonts w:ascii="Times New Roman" w:hAnsi="Times New Roman" w:cs="Times New Roman"/>
          <w:bCs/>
          <w:iCs/>
          <w:color w:val="000000" w:themeColor="text1"/>
          <w:sz w:val="24"/>
          <w:szCs w:val="24"/>
        </w:rPr>
        <w:t xml:space="preserve"> </w:t>
      </w:r>
      <w:r w:rsidRPr="00A113F9">
        <w:rPr>
          <w:rFonts w:ascii="Times New Roman" w:hAnsi="Times New Roman" w:cs="Times New Roman"/>
          <w:bCs/>
          <w:iCs/>
          <w:color w:val="000000" w:themeColor="text1"/>
          <w:sz w:val="24"/>
          <w:szCs w:val="24"/>
        </w:rPr>
        <w:t>and be undertaken between the agreed start and end dates as specified in the grant agreement. The activity must also result in an informational product for use by government. Organisations will be required to report amounts spent and progress on projects at the mid</w:t>
      </w:r>
      <w:r w:rsidR="00D765EB">
        <w:rPr>
          <w:rFonts w:ascii="Times New Roman" w:hAnsi="Times New Roman" w:cs="Times New Roman"/>
          <w:bCs/>
          <w:iCs/>
          <w:color w:val="000000" w:themeColor="text1"/>
          <w:sz w:val="24"/>
          <w:szCs w:val="24"/>
        </w:rPr>
        <w:noBreakHyphen/>
      </w:r>
      <w:r w:rsidRPr="00A113F9">
        <w:rPr>
          <w:rFonts w:ascii="Times New Roman" w:hAnsi="Times New Roman" w:cs="Times New Roman"/>
          <w:bCs/>
          <w:iCs/>
          <w:color w:val="000000" w:themeColor="text1"/>
          <w:sz w:val="24"/>
          <w:szCs w:val="24"/>
        </w:rPr>
        <w:t xml:space="preserve">way point, on completion and (where required) </w:t>
      </w:r>
      <w:r w:rsidR="00D765EB">
        <w:rPr>
          <w:rFonts w:ascii="Times New Roman" w:hAnsi="Times New Roman" w:cs="Times New Roman"/>
          <w:bCs/>
          <w:iCs/>
          <w:color w:val="000000" w:themeColor="text1"/>
          <w:sz w:val="24"/>
          <w:szCs w:val="24"/>
        </w:rPr>
        <w:t xml:space="preserve">on </w:t>
      </w:r>
      <w:r w:rsidRPr="00A113F9">
        <w:rPr>
          <w:rFonts w:ascii="Times New Roman" w:hAnsi="Times New Roman" w:cs="Times New Roman"/>
          <w:bCs/>
          <w:iCs/>
          <w:color w:val="000000" w:themeColor="text1"/>
          <w:sz w:val="24"/>
          <w:szCs w:val="24"/>
        </w:rPr>
        <w:t>an ad hoc basis.</w:t>
      </w:r>
    </w:p>
    <w:p w14:paraId="68D52F5E" w14:textId="77777777" w:rsidR="00CB38D4" w:rsidRPr="00A113F9" w:rsidRDefault="00CB38D4" w:rsidP="00A113F9">
      <w:pPr>
        <w:rPr>
          <w:rFonts w:ascii="Times New Roman" w:hAnsi="Times New Roman" w:cs="Times New Roman"/>
          <w:bCs/>
          <w:iCs/>
          <w:color w:val="000000" w:themeColor="text1"/>
          <w:sz w:val="24"/>
          <w:szCs w:val="24"/>
        </w:rPr>
      </w:pPr>
    </w:p>
    <w:p w14:paraId="731D3DC8" w14:textId="77777777" w:rsidR="00A113F9" w:rsidRPr="00A113F9" w:rsidRDefault="00A113F9" w:rsidP="00A113F9">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Eligible activities will be set out in the relevant grant agreement, must be related to modernisation or enhancement of Australia’s FTAs and may include:</w:t>
      </w:r>
    </w:p>
    <w:p w14:paraId="43D81E90" w14:textId="5F1177FA" w:rsidR="00A113F9" w:rsidRPr="00A113F9" w:rsidRDefault="00A113F9" w:rsidP="00A113F9">
      <w:pPr>
        <w:numPr>
          <w:ilvl w:val="0"/>
          <w:numId w:val="20"/>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quantitative and qualitative </w:t>
      </w:r>
      <w:proofErr w:type="gramStart"/>
      <w:r w:rsidRPr="00A113F9">
        <w:rPr>
          <w:rFonts w:ascii="Times New Roman" w:hAnsi="Times New Roman" w:cs="Times New Roman"/>
          <w:bCs/>
          <w:iCs/>
          <w:color w:val="000000" w:themeColor="text1"/>
          <w:sz w:val="24"/>
          <w:szCs w:val="24"/>
        </w:rPr>
        <w:t>research</w:t>
      </w:r>
      <w:r w:rsidR="000E3956">
        <w:rPr>
          <w:rFonts w:ascii="Times New Roman" w:hAnsi="Times New Roman" w:cs="Times New Roman"/>
          <w:bCs/>
          <w:iCs/>
          <w:color w:val="000000" w:themeColor="text1"/>
          <w:sz w:val="24"/>
          <w:szCs w:val="24"/>
        </w:rPr>
        <w:t>;</w:t>
      </w:r>
      <w:proofErr w:type="gramEnd"/>
    </w:p>
    <w:p w14:paraId="55194C5C" w14:textId="07E20A8B" w:rsidR="00A113F9" w:rsidRPr="00A113F9" w:rsidRDefault="00A113F9" w:rsidP="00A113F9">
      <w:pPr>
        <w:numPr>
          <w:ilvl w:val="0"/>
          <w:numId w:val="19"/>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forecasting, modelling, statistical analysis and feasibility </w:t>
      </w:r>
      <w:proofErr w:type="gramStart"/>
      <w:r w:rsidRPr="00A113F9">
        <w:rPr>
          <w:rFonts w:ascii="Times New Roman" w:hAnsi="Times New Roman" w:cs="Times New Roman"/>
          <w:bCs/>
          <w:iCs/>
          <w:color w:val="000000" w:themeColor="text1"/>
          <w:sz w:val="24"/>
          <w:szCs w:val="24"/>
        </w:rPr>
        <w:t>studies</w:t>
      </w:r>
      <w:r w:rsidR="000E3956">
        <w:rPr>
          <w:rFonts w:ascii="Times New Roman" w:hAnsi="Times New Roman" w:cs="Times New Roman"/>
          <w:bCs/>
          <w:iCs/>
          <w:color w:val="000000" w:themeColor="text1"/>
          <w:sz w:val="24"/>
          <w:szCs w:val="24"/>
        </w:rPr>
        <w:t>;</w:t>
      </w:r>
      <w:proofErr w:type="gramEnd"/>
    </w:p>
    <w:p w14:paraId="46933B4A" w14:textId="751425B0" w:rsidR="00A113F9" w:rsidRPr="00A113F9" w:rsidRDefault="00A113F9" w:rsidP="00A113F9">
      <w:pPr>
        <w:numPr>
          <w:ilvl w:val="0"/>
          <w:numId w:val="19"/>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competitor, sector or market </w:t>
      </w:r>
      <w:proofErr w:type="gramStart"/>
      <w:r w:rsidRPr="00A113F9">
        <w:rPr>
          <w:rFonts w:ascii="Times New Roman" w:hAnsi="Times New Roman" w:cs="Times New Roman"/>
          <w:bCs/>
          <w:iCs/>
          <w:color w:val="000000" w:themeColor="text1"/>
          <w:sz w:val="24"/>
          <w:szCs w:val="24"/>
        </w:rPr>
        <w:t>analyses</w:t>
      </w:r>
      <w:r w:rsidR="000E3956">
        <w:rPr>
          <w:rFonts w:ascii="Times New Roman" w:hAnsi="Times New Roman" w:cs="Times New Roman"/>
          <w:bCs/>
          <w:iCs/>
          <w:color w:val="000000" w:themeColor="text1"/>
          <w:sz w:val="24"/>
          <w:szCs w:val="24"/>
        </w:rPr>
        <w:t>;</w:t>
      </w:r>
      <w:proofErr w:type="gramEnd"/>
    </w:p>
    <w:p w14:paraId="195665DE" w14:textId="3C0C8F47" w:rsidR="00A113F9" w:rsidRPr="00A113F9" w:rsidRDefault="00A113F9" w:rsidP="00A113F9">
      <w:pPr>
        <w:numPr>
          <w:ilvl w:val="0"/>
          <w:numId w:val="19"/>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stakeholder engagement and activities facilitating stakeholder </w:t>
      </w:r>
      <w:proofErr w:type="gramStart"/>
      <w:r w:rsidRPr="00A113F9">
        <w:rPr>
          <w:rFonts w:ascii="Times New Roman" w:hAnsi="Times New Roman" w:cs="Times New Roman"/>
          <w:bCs/>
          <w:iCs/>
          <w:color w:val="000000" w:themeColor="text1"/>
          <w:sz w:val="24"/>
          <w:szCs w:val="24"/>
        </w:rPr>
        <w:t>engagement</w:t>
      </w:r>
      <w:r w:rsidR="000E3956">
        <w:rPr>
          <w:rFonts w:ascii="Times New Roman" w:hAnsi="Times New Roman" w:cs="Times New Roman"/>
          <w:bCs/>
          <w:iCs/>
          <w:color w:val="000000" w:themeColor="text1"/>
          <w:sz w:val="24"/>
          <w:szCs w:val="24"/>
        </w:rPr>
        <w:t>;</w:t>
      </w:r>
      <w:proofErr w:type="gramEnd"/>
    </w:p>
    <w:p w14:paraId="228EC347" w14:textId="179F798F" w:rsidR="00A113F9" w:rsidRPr="00A113F9" w:rsidRDefault="00A113F9" w:rsidP="00A113F9">
      <w:pPr>
        <w:numPr>
          <w:ilvl w:val="0"/>
          <w:numId w:val="19"/>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developing and drafting strategies to influence further liberalisation of one or many economies towards commercially meaningful, improved market access or regulatory reforms</w:t>
      </w:r>
      <w:r w:rsidR="000E3956">
        <w:rPr>
          <w:rFonts w:ascii="Times New Roman" w:hAnsi="Times New Roman" w:cs="Times New Roman"/>
          <w:bCs/>
          <w:iCs/>
          <w:color w:val="000000" w:themeColor="text1"/>
          <w:sz w:val="24"/>
          <w:szCs w:val="24"/>
        </w:rPr>
        <w:t>; and</w:t>
      </w:r>
    </w:p>
    <w:p w14:paraId="59E63529" w14:textId="77777777" w:rsidR="00A113F9" w:rsidRPr="00A113F9" w:rsidRDefault="00A113F9" w:rsidP="00A113F9">
      <w:pPr>
        <w:numPr>
          <w:ilvl w:val="0"/>
          <w:numId w:val="19"/>
        </w:num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result in an evidence-based informational product including recommendations, and</w:t>
      </w:r>
    </w:p>
    <w:p w14:paraId="3E44ACEA" w14:textId="6F9252D6" w:rsidR="001F4CDE" w:rsidRDefault="00A113F9" w:rsidP="00F36F71">
      <w:pPr>
        <w:ind w:left="720"/>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provide priorities and identification of areas for improved trade and investment liberalisation.</w:t>
      </w:r>
    </w:p>
    <w:p w14:paraId="4D823F4F" w14:textId="77777777" w:rsidR="00776CDD" w:rsidRDefault="00776CDD" w:rsidP="00776CDD">
      <w:pPr>
        <w:rPr>
          <w:rFonts w:ascii="Times New Roman" w:hAnsi="Times New Roman" w:cs="Times New Roman"/>
          <w:bCs/>
          <w:iCs/>
          <w:color w:val="000000" w:themeColor="text1"/>
          <w:sz w:val="24"/>
          <w:szCs w:val="24"/>
        </w:rPr>
      </w:pPr>
    </w:p>
    <w:p w14:paraId="01F3EC90" w14:textId="4DF37C9B" w:rsidR="00776CDD" w:rsidRPr="00A113F9" w:rsidRDefault="00776CDD" w:rsidP="00776CDD">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The grant program will run from 2024-25 to 2025-26, terminating 30 June 2026. </w:t>
      </w:r>
    </w:p>
    <w:p w14:paraId="05C6F5B5" w14:textId="77777777" w:rsidR="00776CDD" w:rsidRDefault="00776CDD" w:rsidP="00776CDD">
      <w:pPr>
        <w:rPr>
          <w:rFonts w:ascii="Times New Roman" w:hAnsi="Times New Roman" w:cs="Times New Roman"/>
          <w:bCs/>
          <w:iCs/>
          <w:color w:val="000000" w:themeColor="text1"/>
          <w:sz w:val="24"/>
          <w:szCs w:val="24"/>
        </w:rPr>
      </w:pPr>
    </w:p>
    <w:p w14:paraId="3CCCC65F" w14:textId="2B374B46" w:rsidR="00776CDD" w:rsidRPr="00A113F9" w:rsidRDefault="00776CDD" w:rsidP="00776CDD">
      <w:pPr>
        <w:rPr>
          <w:rFonts w:ascii="Times New Roman" w:hAnsi="Times New Roman" w:cs="Times New Roman"/>
          <w:bCs/>
          <w:iCs/>
          <w:color w:val="000000" w:themeColor="text1"/>
          <w:sz w:val="24"/>
          <w:szCs w:val="24"/>
        </w:rPr>
      </w:pPr>
      <w:r w:rsidRPr="00A113F9">
        <w:rPr>
          <w:rFonts w:ascii="Times New Roman" w:hAnsi="Times New Roman" w:cs="Times New Roman"/>
          <w:bCs/>
          <w:iCs/>
          <w:color w:val="000000" w:themeColor="text1"/>
          <w:sz w:val="24"/>
          <w:szCs w:val="24"/>
        </w:rPr>
        <w:t xml:space="preserve">Most grant activities will have a co-contribution from the organisation applying. Organisations will be encouraged and are expected to co-fund the grant activities. Grant periods will be between six months and one year. Non-government organisations will receive a one-off, ad-hoc grant to deliver their identified activity in line with the criteria. </w:t>
      </w:r>
    </w:p>
    <w:p w14:paraId="0362203A" w14:textId="77777777" w:rsidR="00230AE2" w:rsidRDefault="00230AE2" w:rsidP="00230AE2">
      <w:pPr>
        <w:rPr>
          <w:rFonts w:ascii="Times New Roman" w:hAnsi="Times New Roman" w:cs="Times New Roman"/>
          <w:bCs/>
          <w:iCs/>
          <w:color w:val="000000" w:themeColor="text1"/>
          <w:sz w:val="24"/>
          <w:szCs w:val="24"/>
        </w:rPr>
      </w:pPr>
    </w:p>
    <w:p w14:paraId="63626A1B" w14:textId="24A0E55B" w:rsidR="001E3D27" w:rsidRPr="00104C4C" w:rsidRDefault="009F7201" w:rsidP="00230AE2">
      <w:pPr>
        <w:rPr>
          <w:rFonts w:ascii="Times New Roman" w:hAnsi="Times New Roman" w:cs="Times New Roman"/>
          <w:bCs/>
          <w:i/>
          <w:color w:val="000000" w:themeColor="text1"/>
          <w:sz w:val="24"/>
          <w:szCs w:val="24"/>
        </w:rPr>
      </w:pPr>
      <w:r w:rsidRPr="00104C4C">
        <w:rPr>
          <w:rFonts w:ascii="Times New Roman" w:hAnsi="Times New Roman" w:cs="Times New Roman"/>
          <w:bCs/>
          <w:i/>
          <w:color w:val="000000" w:themeColor="text1"/>
          <w:sz w:val="24"/>
          <w:szCs w:val="24"/>
        </w:rPr>
        <w:t>Southeast Asia Mutual Recognition of Professional Services (S</w:t>
      </w:r>
      <w:r w:rsidR="006B6638" w:rsidRPr="00104C4C">
        <w:rPr>
          <w:rFonts w:ascii="Times New Roman" w:hAnsi="Times New Roman" w:cs="Times New Roman"/>
          <w:bCs/>
          <w:i/>
          <w:color w:val="000000" w:themeColor="text1"/>
          <w:sz w:val="24"/>
          <w:szCs w:val="24"/>
        </w:rPr>
        <w:t>E</w:t>
      </w:r>
      <w:r w:rsidRPr="00104C4C">
        <w:rPr>
          <w:rFonts w:ascii="Times New Roman" w:hAnsi="Times New Roman" w:cs="Times New Roman"/>
          <w:bCs/>
          <w:i/>
          <w:color w:val="000000" w:themeColor="text1"/>
          <w:sz w:val="24"/>
          <w:szCs w:val="24"/>
        </w:rPr>
        <w:t>AMRPS</w:t>
      </w:r>
      <w:r w:rsidR="006B6638" w:rsidRPr="00104C4C">
        <w:rPr>
          <w:rFonts w:ascii="Times New Roman" w:hAnsi="Times New Roman" w:cs="Times New Roman"/>
          <w:bCs/>
          <w:i/>
          <w:color w:val="000000" w:themeColor="text1"/>
          <w:sz w:val="24"/>
          <w:szCs w:val="24"/>
        </w:rPr>
        <w:t>)</w:t>
      </w:r>
      <w:r w:rsidRPr="00104C4C">
        <w:rPr>
          <w:rFonts w:ascii="Times New Roman" w:hAnsi="Times New Roman" w:cs="Times New Roman"/>
          <w:bCs/>
          <w:i/>
          <w:color w:val="000000" w:themeColor="text1"/>
          <w:sz w:val="24"/>
          <w:szCs w:val="24"/>
        </w:rPr>
        <w:t xml:space="preserve"> Grant program</w:t>
      </w:r>
    </w:p>
    <w:p w14:paraId="2100F0C7" w14:textId="77777777" w:rsidR="001E3D27" w:rsidRPr="00230AE2" w:rsidRDefault="001E3D27" w:rsidP="00230AE2">
      <w:pPr>
        <w:rPr>
          <w:rFonts w:ascii="Times New Roman" w:hAnsi="Times New Roman" w:cs="Times New Roman"/>
          <w:bCs/>
          <w:iCs/>
          <w:color w:val="000000" w:themeColor="text1"/>
          <w:sz w:val="24"/>
          <w:szCs w:val="24"/>
        </w:rPr>
      </w:pPr>
    </w:p>
    <w:p w14:paraId="7A0D14C4" w14:textId="62F669B3" w:rsidR="009475DD" w:rsidRDefault="009475DD" w:rsidP="00230AE2">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SEAMRPS</w:t>
      </w:r>
      <w:r w:rsidR="00692DB8">
        <w:rPr>
          <w:rFonts w:ascii="Times New Roman" w:hAnsi="Times New Roman" w:cs="Times New Roman"/>
          <w:bCs/>
          <w:iCs/>
          <w:color w:val="000000" w:themeColor="text1"/>
          <w:sz w:val="24"/>
          <w:szCs w:val="24"/>
        </w:rPr>
        <w:t xml:space="preserve"> was also announced in the 2024-25 Budget and responds</w:t>
      </w:r>
      <w:r w:rsidR="00D80B05">
        <w:rPr>
          <w:rFonts w:ascii="Times New Roman" w:hAnsi="Times New Roman" w:cs="Times New Roman"/>
          <w:bCs/>
          <w:iCs/>
          <w:color w:val="000000" w:themeColor="text1"/>
          <w:sz w:val="24"/>
          <w:szCs w:val="24"/>
        </w:rPr>
        <w:t xml:space="preserve"> to </w:t>
      </w:r>
      <w:r w:rsidR="007A769B" w:rsidRPr="004B71FC">
        <w:rPr>
          <w:rFonts w:ascii="Times New Roman" w:hAnsi="Times New Roman" w:cs="Times New Roman"/>
          <w:bCs/>
          <w:iCs/>
          <w:color w:val="000000" w:themeColor="text1"/>
          <w:sz w:val="24"/>
          <w:szCs w:val="24"/>
        </w:rPr>
        <w:t xml:space="preserve">Recommendation 68 of the </w:t>
      </w:r>
      <w:r w:rsidR="007A769B" w:rsidRPr="004B71FC">
        <w:rPr>
          <w:rFonts w:ascii="Times New Roman" w:hAnsi="Times New Roman" w:cs="Times New Roman"/>
          <w:iCs/>
          <w:color w:val="000000" w:themeColor="text1"/>
          <w:sz w:val="24"/>
          <w:szCs w:val="24"/>
        </w:rPr>
        <w:t>Moore Report</w:t>
      </w:r>
      <w:r w:rsidR="007A769B" w:rsidRPr="004B71FC">
        <w:rPr>
          <w:rFonts w:ascii="Times New Roman" w:hAnsi="Times New Roman" w:cs="Times New Roman"/>
          <w:bCs/>
          <w:iCs/>
          <w:color w:val="000000" w:themeColor="text1"/>
          <w:sz w:val="24"/>
          <w:szCs w:val="24"/>
        </w:rPr>
        <w:t>, which refers to supporting mutual recognition of professional qualifications, licensing and registration in priority professional services sectors, including through advocacy and grants to professional services bodies.</w:t>
      </w:r>
    </w:p>
    <w:p w14:paraId="008FACE3" w14:textId="77777777" w:rsidR="009475DD" w:rsidRDefault="009475DD" w:rsidP="00230AE2">
      <w:pPr>
        <w:rPr>
          <w:rFonts w:ascii="Times New Roman" w:hAnsi="Times New Roman" w:cs="Times New Roman"/>
          <w:bCs/>
          <w:iCs/>
          <w:color w:val="000000" w:themeColor="text1"/>
          <w:sz w:val="24"/>
          <w:szCs w:val="24"/>
        </w:rPr>
      </w:pPr>
    </w:p>
    <w:p w14:paraId="5931938C" w14:textId="06946CC3" w:rsidR="005F0217" w:rsidRDefault="005F0217" w:rsidP="005F0217">
      <w:pPr>
        <w:rPr>
          <w:rFonts w:ascii="Times New Roman" w:hAnsi="Times New Roman" w:cs="Times New Roman"/>
          <w:bCs/>
          <w:iCs/>
          <w:color w:val="000000" w:themeColor="text1"/>
          <w:sz w:val="24"/>
          <w:szCs w:val="24"/>
        </w:rPr>
      </w:pPr>
      <w:r w:rsidRPr="004B71FC">
        <w:rPr>
          <w:rFonts w:ascii="Times New Roman" w:hAnsi="Times New Roman" w:cs="Times New Roman"/>
          <w:bCs/>
          <w:iCs/>
          <w:color w:val="000000" w:themeColor="text1"/>
          <w:sz w:val="24"/>
          <w:szCs w:val="24"/>
        </w:rPr>
        <w:t xml:space="preserve">The </w:t>
      </w:r>
      <w:r w:rsidR="0040343E">
        <w:rPr>
          <w:rFonts w:ascii="Times New Roman" w:hAnsi="Times New Roman" w:cs="Times New Roman"/>
          <w:bCs/>
          <w:iCs/>
          <w:color w:val="000000" w:themeColor="text1"/>
          <w:sz w:val="24"/>
          <w:szCs w:val="24"/>
        </w:rPr>
        <w:t>SEAMRPS</w:t>
      </w:r>
      <w:r w:rsidRPr="004B71FC">
        <w:rPr>
          <w:rFonts w:ascii="Times New Roman" w:hAnsi="Times New Roman" w:cs="Times New Roman"/>
          <w:bCs/>
          <w:iCs/>
          <w:color w:val="000000" w:themeColor="text1"/>
          <w:sz w:val="24"/>
          <w:szCs w:val="24"/>
        </w:rPr>
        <w:t xml:space="preserve"> is a part of an initiative to support Australian professional services accreditation and licensing bodies negotiate mutual recognition arrangements (MRAs) with their Southeast Asian counterparts. The final design of the grant program will be informed by an independent report to be commissioned by the </w:t>
      </w:r>
      <w:r>
        <w:rPr>
          <w:rFonts w:ascii="Times New Roman" w:hAnsi="Times New Roman" w:cs="Times New Roman"/>
          <w:bCs/>
          <w:iCs/>
          <w:color w:val="000000" w:themeColor="text1"/>
          <w:sz w:val="24"/>
          <w:szCs w:val="24"/>
        </w:rPr>
        <w:t>department</w:t>
      </w:r>
      <w:r w:rsidRPr="004B71FC">
        <w:rPr>
          <w:rFonts w:ascii="Times New Roman" w:hAnsi="Times New Roman" w:cs="Times New Roman"/>
          <w:bCs/>
          <w:iCs/>
          <w:color w:val="000000" w:themeColor="text1"/>
          <w:sz w:val="24"/>
          <w:szCs w:val="24"/>
        </w:rPr>
        <w:t xml:space="preserve"> to investigate and identify which professional service sectors and countries in Southeast Asia are best suited for such MRA engagement and negotiation. </w:t>
      </w:r>
    </w:p>
    <w:p w14:paraId="665354B2" w14:textId="77777777" w:rsidR="005F0217" w:rsidRDefault="005F0217" w:rsidP="005F0217">
      <w:pPr>
        <w:rPr>
          <w:rFonts w:ascii="Times New Roman" w:hAnsi="Times New Roman" w:cs="Times New Roman"/>
          <w:bCs/>
          <w:iCs/>
          <w:color w:val="000000" w:themeColor="text1"/>
          <w:sz w:val="24"/>
          <w:szCs w:val="24"/>
        </w:rPr>
      </w:pPr>
    </w:p>
    <w:p w14:paraId="766DFBD2" w14:textId="50D3E2D0" w:rsidR="00941941" w:rsidRDefault="00230AE2" w:rsidP="00230AE2">
      <w:pPr>
        <w:rPr>
          <w:rFonts w:ascii="Times New Roman" w:hAnsi="Times New Roman" w:cs="Times New Roman"/>
          <w:bCs/>
          <w:iCs/>
          <w:color w:val="000000" w:themeColor="text1"/>
          <w:sz w:val="24"/>
          <w:szCs w:val="24"/>
        </w:rPr>
      </w:pPr>
      <w:r w:rsidRPr="00230AE2">
        <w:rPr>
          <w:rFonts w:ascii="Times New Roman" w:hAnsi="Times New Roman" w:cs="Times New Roman"/>
          <w:bCs/>
          <w:iCs/>
          <w:color w:val="000000" w:themeColor="text1"/>
          <w:sz w:val="24"/>
          <w:szCs w:val="24"/>
        </w:rPr>
        <w:t xml:space="preserve">The </w:t>
      </w:r>
      <w:r w:rsidR="00130BDF">
        <w:rPr>
          <w:rFonts w:ascii="Times New Roman" w:hAnsi="Times New Roman" w:cs="Times New Roman"/>
          <w:bCs/>
          <w:iCs/>
          <w:color w:val="000000" w:themeColor="text1"/>
          <w:sz w:val="24"/>
          <w:szCs w:val="24"/>
        </w:rPr>
        <w:t>SEAMRPS</w:t>
      </w:r>
      <w:r w:rsidR="00941941">
        <w:rPr>
          <w:rFonts w:ascii="Times New Roman" w:hAnsi="Times New Roman" w:cs="Times New Roman"/>
          <w:bCs/>
          <w:iCs/>
          <w:color w:val="000000" w:themeColor="text1"/>
          <w:sz w:val="24"/>
          <w:szCs w:val="24"/>
        </w:rPr>
        <w:t>’ objectives are</w:t>
      </w:r>
      <w:r w:rsidR="003F43DF">
        <w:rPr>
          <w:rFonts w:ascii="Times New Roman" w:hAnsi="Times New Roman" w:cs="Times New Roman"/>
          <w:bCs/>
          <w:iCs/>
          <w:color w:val="000000" w:themeColor="text1"/>
          <w:sz w:val="24"/>
          <w:szCs w:val="24"/>
        </w:rPr>
        <w:t xml:space="preserve"> to</w:t>
      </w:r>
      <w:r w:rsidR="00941941">
        <w:rPr>
          <w:rFonts w:ascii="Times New Roman" w:hAnsi="Times New Roman" w:cs="Times New Roman"/>
          <w:bCs/>
          <w:iCs/>
          <w:color w:val="000000" w:themeColor="text1"/>
          <w:sz w:val="24"/>
          <w:szCs w:val="24"/>
        </w:rPr>
        <w:t>:</w:t>
      </w:r>
    </w:p>
    <w:p w14:paraId="36D40A0A" w14:textId="1798D5A4" w:rsidR="00230AE2" w:rsidRPr="00104C4C" w:rsidRDefault="005A592F" w:rsidP="00104C4C">
      <w:pPr>
        <w:pStyle w:val="ListParagraph"/>
        <w:numPr>
          <w:ilvl w:val="0"/>
          <w:numId w:val="28"/>
        </w:numPr>
        <w:spacing w:after="0" w:line="240" w:lineRule="auto"/>
        <w:rPr>
          <w:rFonts w:ascii="Times New Roman" w:hAnsi="Times New Roman"/>
          <w:bCs/>
          <w:iCs/>
          <w:color w:val="000000" w:themeColor="text1"/>
          <w:sz w:val="24"/>
          <w:szCs w:val="24"/>
        </w:rPr>
      </w:pPr>
      <w:r w:rsidRPr="005A592F">
        <w:rPr>
          <w:rFonts w:ascii="Times New Roman" w:hAnsi="Times New Roman"/>
          <w:bCs/>
          <w:iCs/>
          <w:color w:val="000000" w:themeColor="text1"/>
          <w:sz w:val="24"/>
          <w:szCs w:val="24"/>
        </w:rPr>
        <w:t xml:space="preserve">assist the Taskforce with its aim to deliver targeted policy that can contribute to strengthening Australia’s economic resilience, productivity and global </w:t>
      </w:r>
      <w:proofErr w:type="gramStart"/>
      <w:r w:rsidRPr="005A592F">
        <w:rPr>
          <w:rFonts w:ascii="Times New Roman" w:hAnsi="Times New Roman"/>
          <w:bCs/>
          <w:iCs/>
          <w:color w:val="000000" w:themeColor="text1"/>
          <w:sz w:val="24"/>
          <w:szCs w:val="24"/>
        </w:rPr>
        <w:t>competitiveness</w:t>
      </w:r>
      <w:r w:rsidR="003F43DF">
        <w:rPr>
          <w:rFonts w:ascii="Times New Roman" w:hAnsi="Times New Roman"/>
          <w:bCs/>
          <w:iCs/>
          <w:color w:val="000000" w:themeColor="text1"/>
          <w:sz w:val="24"/>
          <w:szCs w:val="24"/>
        </w:rPr>
        <w:t>;</w:t>
      </w:r>
      <w:proofErr w:type="gramEnd"/>
    </w:p>
    <w:p w14:paraId="3BDE9159" w14:textId="5BA69B97" w:rsidR="004B71FC" w:rsidRPr="00104C4C" w:rsidRDefault="004B71FC" w:rsidP="00104C4C">
      <w:pPr>
        <w:pStyle w:val="ListParagraph"/>
        <w:numPr>
          <w:ilvl w:val="0"/>
          <w:numId w:val="28"/>
        </w:numPr>
        <w:spacing w:after="0" w:line="240" w:lineRule="auto"/>
        <w:rPr>
          <w:rFonts w:ascii="Times New Roman" w:hAnsi="Times New Roman"/>
          <w:bCs/>
          <w:iCs/>
          <w:color w:val="000000" w:themeColor="text1"/>
          <w:sz w:val="24"/>
          <w:szCs w:val="24"/>
        </w:rPr>
      </w:pPr>
      <w:r w:rsidRPr="00104C4C">
        <w:rPr>
          <w:rFonts w:ascii="Times New Roman" w:hAnsi="Times New Roman"/>
          <w:bCs/>
          <w:iCs/>
          <w:color w:val="000000" w:themeColor="text1"/>
          <w:sz w:val="24"/>
          <w:szCs w:val="24"/>
        </w:rPr>
        <w:t>deepen and diversify Australia</w:t>
      </w:r>
      <w:r w:rsidR="002E0BE0" w:rsidRPr="00104C4C">
        <w:rPr>
          <w:rFonts w:ascii="Times New Roman" w:hAnsi="Times New Roman"/>
          <w:bCs/>
          <w:iCs/>
          <w:color w:val="000000" w:themeColor="text1"/>
          <w:sz w:val="24"/>
          <w:szCs w:val="24"/>
        </w:rPr>
        <w:t>’</w:t>
      </w:r>
      <w:r w:rsidRPr="00104C4C">
        <w:rPr>
          <w:rFonts w:ascii="Times New Roman" w:hAnsi="Times New Roman"/>
          <w:bCs/>
          <w:iCs/>
          <w:color w:val="000000" w:themeColor="text1"/>
          <w:sz w:val="24"/>
          <w:szCs w:val="24"/>
        </w:rPr>
        <w:t>s trading relationships, particularly in the Indo-Pacific</w:t>
      </w:r>
      <w:r w:rsidR="003F43DF">
        <w:rPr>
          <w:rFonts w:ascii="Times New Roman" w:hAnsi="Times New Roman"/>
          <w:bCs/>
          <w:iCs/>
          <w:color w:val="000000" w:themeColor="text1"/>
          <w:sz w:val="24"/>
          <w:szCs w:val="24"/>
        </w:rPr>
        <w:t>; and</w:t>
      </w:r>
      <w:r w:rsidRPr="00104C4C">
        <w:rPr>
          <w:rFonts w:ascii="Times New Roman" w:hAnsi="Times New Roman"/>
          <w:bCs/>
          <w:iCs/>
          <w:color w:val="000000" w:themeColor="text1"/>
          <w:sz w:val="24"/>
          <w:szCs w:val="24"/>
        </w:rPr>
        <w:t xml:space="preserve"> </w:t>
      </w:r>
    </w:p>
    <w:p w14:paraId="2F84C7BA" w14:textId="7135F470" w:rsidR="004B71FC" w:rsidRPr="003F43DF" w:rsidRDefault="004B71FC" w:rsidP="003F43DF">
      <w:pPr>
        <w:pStyle w:val="ListParagraph"/>
        <w:numPr>
          <w:ilvl w:val="0"/>
          <w:numId w:val="28"/>
        </w:numPr>
        <w:spacing w:after="0" w:line="240" w:lineRule="auto"/>
        <w:rPr>
          <w:rFonts w:ascii="Times New Roman" w:hAnsi="Times New Roman"/>
          <w:bCs/>
          <w:iCs/>
          <w:color w:val="000000" w:themeColor="text1"/>
          <w:sz w:val="24"/>
          <w:szCs w:val="24"/>
        </w:rPr>
      </w:pPr>
      <w:r w:rsidRPr="003F43DF">
        <w:rPr>
          <w:rFonts w:ascii="Times New Roman" w:hAnsi="Times New Roman"/>
          <w:bCs/>
          <w:iCs/>
          <w:color w:val="000000" w:themeColor="text1"/>
          <w:sz w:val="24"/>
          <w:szCs w:val="24"/>
        </w:rPr>
        <w:lastRenderedPageBreak/>
        <w:t xml:space="preserve">liberalise and facilitate the professional services </w:t>
      </w:r>
      <w:r w:rsidRPr="005B46DB">
        <w:rPr>
          <w:rFonts w:ascii="Times New Roman" w:hAnsi="Times New Roman"/>
          <w:bCs/>
          <w:iCs/>
          <w:color w:val="000000" w:themeColor="text1"/>
          <w:sz w:val="24"/>
          <w:szCs w:val="24"/>
        </w:rPr>
        <w:t xml:space="preserve">trade </w:t>
      </w:r>
      <w:r w:rsidRPr="003E6C0B">
        <w:rPr>
          <w:rFonts w:ascii="Times New Roman" w:hAnsi="Times New Roman"/>
          <w:bCs/>
          <w:iCs/>
          <w:color w:val="000000" w:themeColor="text1"/>
          <w:sz w:val="24"/>
          <w:szCs w:val="24"/>
        </w:rPr>
        <w:t>between Australia and Southeast Asia</w:t>
      </w:r>
      <w:r w:rsidRPr="005B46DB">
        <w:rPr>
          <w:rFonts w:ascii="Times New Roman" w:hAnsi="Times New Roman"/>
          <w:bCs/>
          <w:iCs/>
          <w:color w:val="000000" w:themeColor="text1"/>
          <w:sz w:val="24"/>
          <w:szCs w:val="24"/>
        </w:rPr>
        <w:t xml:space="preserve"> and contribute to closer econo</w:t>
      </w:r>
      <w:r w:rsidRPr="003F43DF">
        <w:rPr>
          <w:rFonts w:ascii="Times New Roman" w:hAnsi="Times New Roman"/>
          <w:bCs/>
          <w:iCs/>
          <w:color w:val="000000" w:themeColor="text1"/>
          <w:sz w:val="24"/>
          <w:szCs w:val="24"/>
        </w:rPr>
        <w:t>mic integration.   </w:t>
      </w:r>
    </w:p>
    <w:p w14:paraId="338DDF0E" w14:textId="77777777" w:rsidR="0040343E" w:rsidRDefault="0040343E" w:rsidP="00BA76F4">
      <w:pPr>
        <w:rPr>
          <w:rFonts w:ascii="Times New Roman" w:hAnsi="Times New Roman" w:cs="Times New Roman"/>
          <w:bCs/>
          <w:iCs/>
          <w:color w:val="000000" w:themeColor="text1"/>
          <w:sz w:val="24"/>
          <w:szCs w:val="24"/>
        </w:rPr>
      </w:pPr>
    </w:p>
    <w:p w14:paraId="35F1CF6D" w14:textId="23465942" w:rsidR="00CE1DD7" w:rsidRDefault="00EE70FB" w:rsidP="00BA76F4">
      <w:pPr>
        <w:rPr>
          <w:rFonts w:ascii="Times New Roman" w:hAnsi="Times New Roman" w:cs="Times New Roman"/>
          <w:bCs/>
          <w:iCs/>
          <w:color w:val="000000" w:themeColor="text1"/>
          <w:sz w:val="24"/>
          <w:szCs w:val="24"/>
        </w:rPr>
      </w:pPr>
      <w:r w:rsidRPr="00EE70FB">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 xml:space="preserve">SEAMRPS’ </w:t>
      </w:r>
      <w:r w:rsidRPr="00EE70FB">
        <w:rPr>
          <w:rFonts w:ascii="Times New Roman" w:hAnsi="Times New Roman" w:cs="Times New Roman"/>
          <w:bCs/>
          <w:iCs/>
          <w:color w:val="000000" w:themeColor="text1"/>
          <w:sz w:val="24"/>
          <w:szCs w:val="24"/>
        </w:rPr>
        <w:t>intended outcome is to enable Australian professional services bodies to negotiate mutual recognition of professional qualifications, licensing and registration with their Southeast Asian counterparts.</w:t>
      </w:r>
    </w:p>
    <w:p w14:paraId="31E5B733" w14:textId="77777777" w:rsidR="00CE1DD7" w:rsidRDefault="00CE1DD7" w:rsidP="00BA76F4">
      <w:pPr>
        <w:rPr>
          <w:rFonts w:ascii="Times New Roman" w:hAnsi="Times New Roman" w:cs="Times New Roman"/>
          <w:bCs/>
          <w:iCs/>
          <w:color w:val="000000" w:themeColor="text1"/>
          <w:sz w:val="24"/>
          <w:szCs w:val="24"/>
        </w:rPr>
      </w:pPr>
    </w:p>
    <w:p w14:paraId="68C727F6" w14:textId="56115BFA" w:rsidR="003C122C" w:rsidRDefault="005C2DCA" w:rsidP="00BA76F4">
      <w:pPr>
        <w:rPr>
          <w:rFonts w:ascii="Times New Roman" w:hAnsi="Times New Roman" w:cs="Times New Roman"/>
          <w:bCs/>
          <w:iCs/>
          <w:color w:val="000000" w:themeColor="text1"/>
          <w:sz w:val="24"/>
          <w:szCs w:val="24"/>
        </w:rPr>
      </w:pPr>
      <w:r w:rsidRPr="00230AE2">
        <w:rPr>
          <w:rFonts w:ascii="Times New Roman" w:hAnsi="Times New Roman" w:cs="Times New Roman"/>
          <w:bCs/>
          <w:iCs/>
          <w:color w:val="000000" w:themeColor="text1"/>
          <w:sz w:val="24"/>
          <w:szCs w:val="24"/>
        </w:rPr>
        <w:t>The grant program</w:t>
      </w:r>
      <w:r w:rsidR="00070648">
        <w:rPr>
          <w:rFonts w:ascii="Times New Roman" w:hAnsi="Times New Roman" w:cs="Times New Roman"/>
          <w:bCs/>
          <w:iCs/>
          <w:color w:val="000000" w:themeColor="text1"/>
          <w:sz w:val="24"/>
          <w:szCs w:val="24"/>
        </w:rPr>
        <w:t xml:space="preserve"> will</w:t>
      </w:r>
      <w:r w:rsidRPr="00230AE2">
        <w:rPr>
          <w:rFonts w:ascii="Times New Roman" w:hAnsi="Times New Roman" w:cs="Times New Roman"/>
          <w:bCs/>
          <w:iCs/>
          <w:color w:val="000000" w:themeColor="text1"/>
          <w:sz w:val="24"/>
          <w:szCs w:val="24"/>
        </w:rPr>
        <w:t xml:space="preserve"> run over two years from 2024-25, terminating</w:t>
      </w:r>
      <w:r w:rsidR="00070648">
        <w:rPr>
          <w:rFonts w:ascii="Times New Roman" w:hAnsi="Times New Roman" w:cs="Times New Roman"/>
          <w:bCs/>
          <w:iCs/>
          <w:color w:val="000000" w:themeColor="text1"/>
          <w:sz w:val="24"/>
          <w:szCs w:val="24"/>
        </w:rPr>
        <w:t xml:space="preserve"> on</w:t>
      </w:r>
      <w:r w:rsidRPr="00230AE2">
        <w:rPr>
          <w:rFonts w:ascii="Times New Roman" w:hAnsi="Times New Roman" w:cs="Times New Roman"/>
          <w:bCs/>
          <w:iCs/>
          <w:color w:val="000000" w:themeColor="text1"/>
          <w:sz w:val="24"/>
          <w:szCs w:val="24"/>
        </w:rPr>
        <w:t xml:space="preserve"> 30 June 2026.</w:t>
      </w:r>
    </w:p>
    <w:p w14:paraId="3BF2FC3B" w14:textId="77777777" w:rsidR="00BA76F4" w:rsidRDefault="00BA76F4" w:rsidP="00BA76F4">
      <w:pPr>
        <w:rPr>
          <w:rFonts w:ascii="Times New Roman" w:hAnsi="Times New Roman" w:cs="Times New Roman"/>
          <w:bCs/>
          <w:iCs/>
          <w:color w:val="000000" w:themeColor="text1"/>
          <w:sz w:val="24"/>
          <w:szCs w:val="24"/>
        </w:rPr>
      </w:pPr>
    </w:p>
    <w:p w14:paraId="73C33793" w14:textId="77777777" w:rsidR="00BA76F4" w:rsidRPr="000D05D2" w:rsidRDefault="00BA76F4" w:rsidP="003374E7">
      <w:pPr>
        <w:keepNext/>
        <w:ind w:right="-45"/>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233801EF" w14:textId="77777777" w:rsidR="00BA76F4" w:rsidRDefault="00BA76F4" w:rsidP="00BA76F4">
      <w:pPr>
        <w:rPr>
          <w:rFonts w:ascii="Times New Roman" w:hAnsi="Times New Roman" w:cs="Times New Roman"/>
          <w:bCs/>
          <w:iCs/>
          <w:color w:val="000000" w:themeColor="text1"/>
          <w:sz w:val="24"/>
          <w:szCs w:val="24"/>
        </w:rPr>
      </w:pPr>
    </w:p>
    <w:p w14:paraId="47ABEAD5" w14:textId="5065AF63" w:rsidR="00B05949" w:rsidRDefault="00205AE0" w:rsidP="00BA76F4">
      <w:pPr>
        <w:rPr>
          <w:rFonts w:ascii="Times New Roman" w:hAnsi="Times New Roman" w:cs="Times New Roman"/>
          <w:bCs/>
          <w:iCs/>
          <w:color w:val="000000" w:themeColor="text1"/>
          <w:sz w:val="24"/>
          <w:szCs w:val="24"/>
          <w:lang w:val="en-US"/>
        </w:rPr>
      </w:pPr>
      <w:r w:rsidRPr="00205AE0">
        <w:rPr>
          <w:rFonts w:ascii="Times New Roman" w:hAnsi="Times New Roman" w:cs="Times New Roman"/>
          <w:bCs/>
          <w:iCs/>
          <w:color w:val="000000" w:themeColor="text1"/>
          <w:sz w:val="24"/>
          <w:szCs w:val="24"/>
          <w:lang w:val="en-US"/>
        </w:rPr>
        <w:t xml:space="preserve">Funding of $4.4 million for </w:t>
      </w:r>
      <w:r w:rsidR="009550F5">
        <w:rPr>
          <w:rFonts w:ascii="Times New Roman" w:hAnsi="Times New Roman" w:cs="Times New Roman"/>
          <w:bCs/>
          <w:iCs/>
          <w:color w:val="000000" w:themeColor="text1"/>
          <w:sz w:val="24"/>
          <w:szCs w:val="24"/>
          <w:lang w:val="en-US"/>
        </w:rPr>
        <w:t xml:space="preserve">the </w:t>
      </w:r>
      <w:r w:rsidR="003E6C0B">
        <w:rPr>
          <w:rFonts w:ascii="Times New Roman" w:hAnsi="Times New Roman" w:cs="Times New Roman"/>
          <w:bCs/>
          <w:iCs/>
          <w:color w:val="000000" w:themeColor="text1"/>
          <w:sz w:val="24"/>
          <w:szCs w:val="24"/>
          <w:lang w:val="en-US"/>
        </w:rPr>
        <w:t>P</w:t>
      </w:r>
      <w:r w:rsidR="009550F5">
        <w:rPr>
          <w:rFonts w:ascii="Times New Roman" w:hAnsi="Times New Roman" w:cs="Times New Roman"/>
          <w:bCs/>
          <w:iCs/>
          <w:color w:val="000000" w:themeColor="text1"/>
          <w:sz w:val="24"/>
          <w:szCs w:val="24"/>
          <w:lang w:val="en-US"/>
        </w:rPr>
        <w:t>rogram</w:t>
      </w:r>
      <w:r w:rsidR="00BA01C6">
        <w:rPr>
          <w:rFonts w:ascii="Times New Roman" w:hAnsi="Times New Roman" w:cs="Times New Roman"/>
          <w:bCs/>
          <w:iCs/>
          <w:color w:val="000000" w:themeColor="text1"/>
          <w:sz w:val="24"/>
          <w:szCs w:val="24"/>
          <w:lang w:val="en-US"/>
        </w:rPr>
        <w:t xml:space="preserve"> was</w:t>
      </w:r>
      <w:r w:rsidR="00FA4BFA">
        <w:rPr>
          <w:rFonts w:ascii="Times New Roman" w:hAnsi="Times New Roman" w:cs="Times New Roman"/>
          <w:bCs/>
          <w:iCs/>
          <w:color w:val="000000" w:themeColor="text1"/>
          <w:sz w:val="24"/>
          <w:szCs w:val="24"/>
          <w:lang w:val="en-US"/>
        </w:rPr>
        <w:t xml:space="preserve"> included</w:t>
      </w:r>
      <w:r w:rsidR="00C10685">
        <w:rPr>
          <w:rFonts w:ascii="Times New Roman" w:hAnsi="Times New Roman" w:cs="Times New Roman"/>
          <w:bCs/>
          <w:iCs/>
          <w:color w:val="000000" w:themeColor="text1"/>
          <w:sz w:val="24"/>
          <w:szCs w:val="24"/>
          <w:lang w:val="en-US"/>
        </w:rPr>
        <w:t xml:space="preserve"> in the 2024-25 Budget</w:t>
      </w:r>
      <w:r w:rsidR="00BA01C6">
        <w:rPr>
          <w:rFonts w:ascii="Times New Roman" w:hAnsi="Times New Roman" w:cs="Times New Roman"/>
          <w:bCs/>
          <w:iCs/>
          <w:color w:val="000000" w:themeColor="text1"/>
          <w:sz w:val="24"/>
          <w:szCs w:val="24"/>
          <w:lang w:val="en-US"/>
        </w:rPr>
        <w:t xml:space="preserve"> </w:t>
      </w:r>
      <w:r w:rsidR="002449D1">
        <w:rPr>
          <w:rFonts w:ascii="Times New Roman" w:hAnsi="Times New Roman" w:cs="Times New Roman"/>
          <w:bCs/>
          <w:iCs/>
          <w:color w:val="000000" w:themeColor="text1"/>
          <w:sz w:val="24"/>
          <w:szCs w:val="24"/>
          <w:lang w:val="en-US"/>
        </w:rPr>
        <w:t>under</w:t>
      </w:r>
      <w:r w:rsidR="00B05949" w:rsidRPr="00205AE0">
        <w:rPr>
          <w:rFonts w:ascii="Times New Roman" w:hAnsi="Times New Roman" w:cs="Times New Roman"/>
          <w:bCs/>
          <w:iCs/>
          <w:color w:val="000000" w:themeColor="text1"/>
          <w:sz w:val="24"/>
          <w:szCs w:val="24"/>
          <w:lang w:val="en-US"/>
        </w:rPr>
        <w:t xml:space="preserve"> the measure </w:t>
      </w:r>
      <w:r w:rsidR="00A760FD">
        <w:rPr>
          <w:rFonts w:ascii="Times New Roman" w:hAnsi="Times New Roman" w:cs="Times New Roman"/>
          <w:bCs/>
          <w:iCs/>
          <w:color w:val="000000" w:themeColor="text1"/>
          <w:sz w:val="24"/>
          <w:szCs w:val="24"/>
          <w:lang w:val="en-US"/>
        </w:rPr>
        <w:t>‘</w:t>
      </w:r>
      <w:r w:rsidR="00B05949" w:rsidRPr="00003A56">
        <w:rPr>
          <w:rFonts w:ascii="Times New Roman" w:hAnsi="Times New Roman" w:cs="Times New Roman"/>
          <w:bCs/>
          <w:color w:val="000000" w:themeColor="text1"/>
          <w:sz w:val="24"/>
          <w:szCs w:val="24"/>
          <w:lang w:val="en-US"/>
        </w:rPr>
        <w:t>Trade and Tourism Strategies – additional funding</w:t>
      </w:r>
      <w:r w:rsidR="00A12F26">
        <w:rPr>
          <w:rFonts w:ascii="Times New Roman" w:hAnsi="Times New Roman" w:cs="Times New Roman"/>
          <w:bCs/>
          <w:color w:val="000000" w:themeColor="text1"/>
          <w:sz w:val="24"/>
          <w:szCs w:val="24"/>
          <w:lang w:val="en-US"/>
        </w:rPr>
        <w:t xml:space="preserve">’ for a period of two years commencing in 2024-25. Details are set out in </w:t>
      </w:r>
      <w:r w:rsidR="00B05949" w:rsidRPr="004F757E">
        <w:rPr>
          <w:rFonts w:ascii="Times New Roman" w:hAnsi="Times New Roman" w:cs="Times New Roman"/>
          <w:bCs/>
          <w:i/>
          <w:color w:val="000000" w:themeColor="text1"/>
          <w:sz w:val="24"/>
          <w:szCs w:val="24"/>
          <w:lang w:val="en-US"/>
        </w:rPr>
        <w:t>Budget 2024-25,</w:t>
      </w:r>
      <w:r w:rsidR="00A21DB3" w:rsidRPr="004F757E">
        <w:rPr>
          <w:rFonts w:ascii="Times New Roman" w:hAnsi="Times New Roman" w:cs="Times New Roman"/>
          <w:bCs/>
          <w:i/>
          <w:color w:val="000000" w:themeColor="text1"/>
          <w:sz w:val="24"/>
          <w:szCs w:val="24"/>
          <w:lang w:val="en-US"/>
        </w:rPr>
        <w:t xml:space="preserve"> Budget Measures,</w:t>
      </w:r>
      <w:r w:rsidR="00B05949" w:rsidRPr="004F757E">
        <w:rPr>
          <w:rFonts w:ascii="Times New Roman" w:hAnsi="Times New Roman" w:cs="Times New Roman"/>
          <w:bCs/>
          <w:i/>
          <w:color w:val="000000" w:themeColor="text1"/>
          <w:sz w:val="24"/>
          <w:szCs w:val="24"/>
          <w:lang w:val="en-US"/>
        </w:rPr>
        <w:t xml:space="preserve"> Budget Paper No. 2</w:t>
      </w:r>
      <w:r w:rsidR="00B05949" w:rsidRPr="00205AE0">
        <w:rPr>
          <w:rFonts w:ascii="Times New Roman" w:hAnsi="Times New Roman" w:cs="Times New Roman"/>
          <w:bCs/>
          <w:iCs/>
          <w:color w:val="000000" w:themeColor="text1"/>
          <w:sz w:val="24"/>
          <w:szCs w:val="24"/>
          <w:lang w:val="en-US"/>
        </w:rPr>
        <w:t xml:space="preserve"> at pages 107-108.</w:t>
      </w:r>
    </w:p>
    <w:p w14:paraId="686A5478" w14:textId="77777777" w:rsidR="00B05949" w:rsidRDefault="00B05949" w:rsidP="00BA76F4">
      <w:pPr>
        <w:rPr>
          <w:rFonts w:ascii="Times New Roman" w:hAnsi="Times New Roman" w:cs="Times New Roman"/>
          <w:bCs/>
          <w:iCs/>
          <w:color w:val="000000" w:themeColor="text1"/>
          <w:sz w:val="24"/>
          <w:szCs w:val="24"/>
          <w:lang w:val="en-US"/>
        </w:rPr>
      </w:pPr>
    </w:p>
    <w:p w14:paraId="67029D30" w14:textId="1E6A931B" w:rsidR="0090426A" w:rsidRDefault="002449D1" w:rsidP="00BA76F4">
      <w:pPr>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Funding </w:t>
      </w:r>
      <w:r w:rsidR="00B413ED">
        <w:rPr>
          <w:rFonts w:ascii="Times New Roman" w:hAnsi="Times New Roman" w:cs="Times New Roman"/>
          <w:bCs/>
          <w:iCs/>
          <w:color w:val="000000" w:themeColor="text1"/>
          <w:sz w:val="24"/>
          <w:szCs w:val="24"/>
          <w:lang w:val="en-US"/>
        </w:rPr>
        <w:t>for this item</w:t>
      </w:r>
      <w:r w:rsidR="006C0B42">
        <w:rPr>
          <w:rFonts w:ascii="Times New Roman" w:hAnsi="Times New Roman" w:cs="Times New Roman"/>
          <w:bCs/>
          <w:iCs/>
          <w:color w:val="000000" w:themeColor="text1"/>
          <w:sz w:val="24"/>
          <w:szCs w:val="24"/>
          <w:lang w:val="en-US"/>
        </w:rPr>
        <w:t xml:space="preserve"> </w:t>
      </w:r>
      <w:r w:rsidR="00F20CFB" w:rsidRPr="00205AE0">
        <w:rPr>
          <w:rFonts w:ascii="Times New Roman" w:hAnsi="Times New Roman" w:cs="Times New Roman"/>
          <w:bCs/>
          <w:iCs/>
          <w:color w:val="000000" w:themeColor="text1"/>
          <w:sz w:val="24"/>
          <w:szCs w:val="24"/>
          <w:lang w:val="en-US"/>
        </w:rPr>
        <w:t>will come from Program 1.1: Foreign Affairs and Trade Operations, which is part of Outcome 1</w:t>
      </w:r>
      <w:r>
        <w:rPr>
          <w:rFonts w:ascii="Times New Roman" w:hAnsi="Times New Roman" w:cs="Times New Roman"/>
          <w:bCs/>
          <w:iCs/>
          <w:color w:val="000000" w:themeColor="text1"/>
          <w:sz w:val="24"/>
          <w:szCs w:val="24"/>
          <w:lang w:val="en-US"/>
        </w:rPr>
        <w:t xml:space="preserve">. </w:t>
      </w:r>
      <w:r w:rsidR="00205AE0" w:rsidRPr="00205AE0">
        <w:rPr>
          <w:rFonts w:ascii="Times New Roman" w:hAnsi="Times New Roman" w:cs="Times New Roman"/>
          <w:bCs/>
          <w:iCs/>
          <w:color w:val="000000" w:themeColor="text1"/>
          <w:sz w:val="24"/>
          <w:szCs w:val="24"/>
          <w:lang w:val="en-US"/>
        </w:rPr>
        <w:t xml:space="preserve">Details are set out in the </w:t>
      </w:r>
      <w:r w:rsidR="00205AE0" w:rsidRPr="00967142">
        <w:rPr>
          <w:rFonts w:ascii="Times New Roman" w:hAnsi="Times New Roman" w:cs="Times New Roman"/>
          <w:bCs/>
          <w:i/>
          <w:color w:val="000000" w:themeColor="text1"/>
          <w:sz w:val="24"/>
          <w:szCs w:val="24"/>
          <w:lang w:val="en-US"/>
        </w:rPr>
        <w:t>Portfolio Budget Statements 2024-25</w:t>
      </w:r>
      <w:r w:rsidR="00205AE0" w:rsidRPr="00205AE0">
        <w:rPr>
          <w:rFonts w:ascii="Times New Roman" w:hAnsi="Times New Roman" w:cs="Times New Roman"/>
          <w:bCs/>
          <w:iCs/>
          <w:color w:val="000000" w:themeColor="text1"/>
          <w:sz w:val="24"/>
          <w:szCs w:val="24"/>
          <w:lang w:val="en-US"/>
        </w:rPr>
        <w:t xml:space="preserve">, </w:t>
      </w:r>
      <w:r w:rsidR="00205AE0" w:rsidRPr="00003A56">
        <w:rPr>
          <w:rFonts w:ascii="Times New Roman" w:hAnsi="Times New Roman" w:cs="Times New Roman"/>
          <w:bCs/>
          <w:i/>
          <w:color w:val="000000" w:themeColor="text1"/>
          <w:sz w:val="24"/>
          <w:szCs w:val="24"/>
          <w:lang w:val="en-US"/>
        </w:rPr>
        <w:t>Budget Related Paper No. 1.8, Foreign Affairs and Trade Portfolio</w:t>
      </w:r>
      <w:r w:rsidR="00205AE0" w:rsidRPr="00205AE0">
        <w:rPr>
          <w:rFonts w:ascii="Times New Roman" w:hAnsi="Times New Roman" w:cs="Times New Roman"/>
          <w:bCs/>
          <w:iCs/>
          <w:color w:val="000000" w:themeColor="text1"/>
          <w:sz w:val="24"/>
          <w:szCs w:val="24"/>
          <w:lang w:val="en-US"/>
        </w:rPr>
        <w:t xml:space="preserve"> at page</w:t>
      </w:r>
      <w:r w:rsidR="00B05949">
        <w:rPr>
          <w:rFonts w:ascii="Times New Roman" w:hAnsi="Times New Roman" w:cs="Times New Roman"/>
          <w:bCs/>
          <w:iCs/>
          <w:color w:val="000000" w:themeColor="text1"/>
          <w:sz w:val="24"/>
          <w:szCs w:val="24"/>
          <w:lang w:val="en-US"/>
        </w:rPr>
        <w:t>s</w:t>
      </w:r>
      <w:r w:rsidR="00205AE0" w:rsidRPr="00205AE0">
        <w:rPr>
          <w:rFonts w:ascii="Times New Roman" w:hAnsi="Times New Roman" w:cs="Times New Roman"/>
          <w:bCs/>
          <w:iCs/>
          <w:color w:val="000000" w:themeColor="text1"/>
          <w:sz w:val="24"/>
          <w:szCs w:val="24"/>
          <w:lang w:val="en-US"/>
        </w:rPr>
        <w:t xml:space="preserve"> 24 and 28. </w:t>
      </w:r>
    </w:p>
    <w:p w14:paraId="4AF52855" w14:textId="67AE26A6" w:rsidR="00444FAD" w:rsidRPr="00144CA7" w:rsidRDefault="00750F01" w:rsidP="00444FAD">
      <w:pPr>
        <w:spacing w:before="240"/>
        <w:rPr>
          <w:rFonts w:ascii="Times New Roman" w:hAnsi="Times New Roman" w:cs="Times New Roman"/>
          <w:sz w:val="24"/>
          <w:szCs w:val="24"/>
        </w:rPr>
      </w:pPr>
      <w:r>
        <w:rPr>
          <w:rFonts w:ascii="Times New Roman" w:hAnsi="Times New Roman" w:cs="Times New Roman"/>
          <w:sz w:val="24"/>
          <w:szCs w:val="24"/>
        </w:rPr>
        <w:t xml:space="preserve">The department will deliver the two </w:t>
      </w:r>
      <w:proofErr w:type="gramStart"/>
      <w:r w:rsidR="00C52CE2">
        <w:rPr>
          <w:rFonts w:ascii="Times New Roman" w:hAnsi="Times New Roman" w:cs="Times New Roman"/>
          <w:sz w:val="24"/>
          <w:szCs w:val="24"/>
        </w:rPr>
        <w:t>grants</w:t>
      </w:r>
      <w:proofErr w:type="gramEnd"/>
      <w:r w:rsidR="00C52CE2">
        <w:rPr>
          <w:rFonts w:ascii="Times New Roman" w:hAnsi="Times New Roman" w:cs="Times New Roman"/>
          <w:sz w:val="24"/>
          <w:szCs w:val="24"/>
        </w:rPr>
        <w:t xml:space="preserve"> </w:t>
      </w:r>
      <w:r>
        <w:rPr>
          <w:rFonts w:ascii="Times New Roman" w:hAnsi="Times New Roman" w:cs="Times New Roman"/>
          <w:sz w:val="24"/>
          <w:szCs w:val="24"/>
        </w:rPr>
        <w:t>programs</w:t>
      </w:r>
      <w:r w:rsidR="00C52CE2">
        <w:rPr>
          <w:rFonts w:ascii="Times New Roman" w:hAnsi="Times New Roman" w:cs="Times New Roman"/>
          <w:sz w:val="24"/>
          <w:szCs w:val="24"/>
        </w:rPr>
        <w:t xml:space="preserve"> to </w:t>
      </w:r>
      <w:r w:rsidR="00444FAD" w:rsidRPr="00144CA7">
        <w:rPr>
          <w:rFonts w:ascii="Times New Roman" w:hAnsi="Times New Roman" w:cs="Times New Roman"/>
          <w:sz w:val="24"/>
          <w:szCs w:val="24"/>
        </w:rPr>
        <w:t xml:space="preserve">select applicants through a competitive grant process </w:t>
      </w:r>
      <w:r w:rsidR="00C52CE2">
        <w:rPr>
          <w:rFonts w:ascii="Times New Roman" w:hAnsi="Times New Roman" w:cs="Times New Roman"/>
          <w:sz w:val="24"/>
          <w:szCs w:val="24"/>
        </w:rPr>
        <w:t>available</w:t>
      </w:r>
      <w:r w:rsidR="00C52CE2" w:rsidRPr="00144CA7">
        <w:rPr>
          <w:rFonts w:ascii="Times New Roman" w:hAnsi="Times New Roman" w:cs="Times New Roman"/>
          <w:sz w:val="24"/>
          <w:szCs w:val="24"/>
        </w:rPr>
        <w:t xml:space="preserve"> </w:t>
      </w:r>
      <w:r w:rsidR="00444FAD" w:rsidRPr="00144CA7">
        <w:rPr>
          <w:rFonts w:ascii="Times New Roman" w:hAnsi="Times New Roman" w:cs="Times New Roman"/>
          <w:sz w:val="24"/>
          <w:szCs w:val="24"/>
        </w:rPr>
        <w:t xml:space="preserve">to applicants based on specialised requirements of the grant activity. The grants will be administered in accordance with the Commonwealth resource management framework, including the </w:t>
      </w:r>
      <w:r w:rsidR="00444FAD" w:rsidRPr="00144CA7">
        <w:rPr>
          <w:rFonts w:ascii="Times New Roman" w:hAnsi="Times New Roman" w:cs="Times New Roman"/>
          <w:i/>
          <w:iCs/>
          <w:sz w:val="24"/>
          <w:szCs w:val="24"/>
        </w:rPr>
        <w:t>Public Governance, Performance</w:t>
      </w:r>
      <w:r w:rsidR="00444FAD" w:rsidRPr="00144CA7">
        <w:rPr>
          <w:rFonts w:ascii="Times New Roman" w:hAnsi="Times New Roman" w:cs="Times New Roman"/>
          <w:sz w:val="24"/>
          <w:szCs w:val="24"/>
        </w:rPr>
        <w:t xml:space="preserve"> </w:t>
      </w:r>
      <w:r w:rsidR="00444FAD" w:rsidRPr="00144CA7">
        <w:rPr>
          <w:rFonts w:ascii="Times New Roman" w:hAnsi="Times New Roman" w:cs="Times New Roman"/>
          <w:i/>
          <w:iCs/>
          <w:sz w:val="24"/>
          <w:szCs w:val="24"/>
        </w:rPr>
        <w:t>and Accountability Act 2013</w:t>
      </w:r>
      <w:r w:rsidR="00F5544C">
        <w:rPr>
          <w:rFonts w:ascii="Times New Roman" w:hAnsi="Times New Roman" w:cs="Times New Roman"/>
          <w:sz w:val="24"/>
          <w:szCs w:val="24"/>
        </w:rPr>
        <w:t xml:space="preserve"> (PGPA Act)</w:t>
      </w:r>
      <w:r w:rsidR="00444FAD" w:rsidRPr="00144CA7">
        <w:rPr>
          <w:rFonts w:ascii="Times New Roman" w:hAnsi="Times New Roman" w:cs="Times New Roman"/>
          <w:i/>
          <w:iCs/>
          <w:sz w:val="24"/>
          <w:szCs w:val="24"/>
        </w:rPr>
        <w:t xml:space="preserve">, </w:t>
      </w:r>
      <w:r w:rsidR="00444FAD" w:rsidRPr="00144CA7">
        <w:rPr>
          <w:rFonts w:ascii="Times New Roman" w:hAnsi="Times New Roman" w:cs="Times New Roman"/>
          <w:sz w:val="24"/>
          <w:szCs w:val="24"/>
        </w:rPr>
        <w:t>the</w:t>
      </w:r>
      <w:r w:rsidR="00444FAD" w:rsidRPr="00144CA7">
        <w:rPr>
          <w:rFonts w:ascii="Times New Roman" w:hAnsi="Times New Roman" w:cs="Times New Roman"/>
          <w:i/>
          <w:iCs/>
          <w:sz w:val="24"/>
          <w:szCs w:val="24"/>
        </w:rPr>
        <w:t xml:space="preserve"> Public Governance, Performance and Accountable Rule 2014 </w:t>
      </w:r>
      <w:r w:rsidR="00F5544C">
        <w:rPr>
          <w:rFonts w:ascii="Times New Roman" w:hAnsi="Times New Roman" w:cs="Times New Roman"/>
          <w:sz w:val="24"/>
          <w:szCs w:val="24"/>
        </w:rPr>
        <w:t xml:space="preserve">(PGPA Rule) </w:t>
      </w:r>
      <w:r w:rsidR="00444FAD" w:rsidRPr="00144CA7">
        <w:rPr>
          <w:rFonts w:ascii="Times New Roman" w:hAnsi="Times New Roman" w:cs="Times New Roman"/>
          <w:sz w:val="24"/>
          <w:szCs w:val="24"/>
        </w:rPr>
        <w:t xml:space="preserve">and the </w:t>
      </w:r>
      <w:r w:rsidR="00444FAD" w:rsidRPr="00144CA7">
        <w:rPr>
          <w:rFonts w:ascii="Times New Roman" w:hAnsi="Times New Roman" w:cs="Times New Roman"/>
          <w:i/>
          <w:iCs/>
          <w:sz w:val="24"/>
          <w:szCs w:val="24"/>
        </w:rPr>
        <w:t xml:space="preserve">Commonwealth Grants Rules and Principles 2024 </w:t>
      </w:r>
      <w:r w:rsidR="00444FAD" w:rsidRPr="00003A56">
        <w:rPr>
          <w:rFonts w:ascii="Times New Roman" w:hAnsi="Times New Roman" w:cs="Times New Roman"/>
          <w:sz w:val="24"/>
          <w:szCs w:val="24"/>
        </w:rPr>
        <w:t>(CGRPs)</w:t>
      </w:r>
      <w:r w:rsidR="00444FAD" w:rsidRPr="00144CA7">
        <w:rPr>
          <w:rFonts w:ascii="Times New Roman" w:hAnsi="Times New Roman" w:cs="Times New Roman"/>
          <w:sz w:val="24"/>
          <w:szCs w:val="24"/>
        </w:rPr>
        <w:t xml:space="preserve">. </w:t>
      </w:r>
    </w:p>
    <w:p w14:paraId="169C4513" w14:textId="77777777" w:rsidR="003374E7" w:rsidRDefault="003374E7" w:rsidP="00444FAD">
      <w:pPr>
        <w:rPr>
          <w:rFonts w:ascii="Times New Roman" w:hAnsi="Times New Roman" w:cs="Times New Roman"/>
          <w:sz w:val="24"/>
          <w:szCs w:val="24"/>
        </w:rPr>
      </w:pPr>
    </w:p>
    <w:p w14:paraId="73BBC7FC" w14:textId="7AD76C86" w:rsidR="00444FAD" w:rsidRPr="00144CA7" w:rsidRDefault="00444FAD" w:rsidP="00444FAD">
      <w:pPr>
        <w:rPr>
          <w:rFonts w:ascii="Times New Roman" w:hAnsi="Times New Roman" w:cs="Times New Roman"/>
          <w:sz w:val="24"/>
          <w:szCs w:val="24"/>
        </w:rPr>
      </w:pPr>
      <w:r w:rsidRPr="00144CA7">
        <w:rPr>
          <w:rFonts w:ascii="Times New Roman" w:hAnsi="Times New Roman" w:cs="Times New Roman"/>
          <w:sz w:val="24"/>
          <w:szCs w:val="24"/>
        </w:rPr>
        <w:t xml:space="preserve">Consistent with the CGRPs, </w:t>
      </w:r>
      <w:r w:rsidR="0090526F">
        <w:rPr>
          <w:rFonts w:ascii="Times New Roman" w:hAnsi="Times New Roman" w:cs="Times New Roman"/>
          <w:sz w:val="24"/>
          <w:szCs w:val="24"/>
        </w:rPr>
        <w:t>the department</w:t>
      </w:r>
      <w:r w:rsidRPr="00144CA7">
        <w:rPr>
          <w:rFonts w:ascii="Times New Roman" w:hAnsi="Times New Roman" w:cs="Times New Roman"/>
          <w:sz w:val="24"/>
          <w:szCs w:val="24"/>
        </w:rPr>
        <w:t xml:space="preserve"> will develop grant opportunity guidelines and </w:t>
      </w:r>
      <w:r w:rsidR="003E6C0B">
        <w:rPr>
          <w:rFonts w:ascii="Times New Roman" w:hAnsi="Times New Roman" w:cs="Times New Roman"/>
          <w:sz w:val="24"/>
          <w:szCs w:val="24"/>
        </w:rPr>
        <w:t xml:space="preserve">will </w:t>
      </w:r>
      <w:r w:rsidRPr="00144CA7">
        <w:rPr>
          <w:rFonts w:ascii="Times New Roman" w:hAnsi="Times New Roman" w:cs="Times New Roman"/>
          <w:sz w:val="24"/>
          <w:szCs w:val="24"/>
        </w:rPr>
        <w:t>have regard to the nine key principles in administering the grant.</w:t>
      </w:r>
      <w:r w:rsidR="0046479E">
        <w:rPr>
          <w:rFonts w:ascii="Times New Roman" w:hAnsi="Times New Roman" w:cs="Times New Roman"/>
          <w:sz w:val="24"/>
          <w:szCs w:val="24"/>
        </w:rPr>
        <w:t xml:space="preserve"> </w:t>
      </w:r>
      <w:r w:rsidRPr="00144CA7">
        <w:rPr>
          <w:rFonts w:ascii="Times New Roman" w:hAnsi="Times New Roman" w:cs="Times New Roman"/>
          <w:sz w:val="24"/>
          <w:szCs w:val="24"/>
        </w:rPr>
        <w:t>Information about the grant</w:t>
      </w:r>
      <w:r w:rsidR="00AD2A36">
        <w:rPr>
          <w:rFonts w:ascii="Times New Roman" w:hAnsi="Times New Roman" w:cs="Times New Roman"/>
          <w:sz w:val="24"/>
          <w:szCs w:val="24"/>
        </w:rPr>
        <w:t>s</w:t>
      </w:r>
      <w:r w:rsidRPr="00144CA7">
        <w:rPr>
          <w:rFonts w:ascii="Times New Roman" w:hAnsi="Times New Roman" w:cs="Times New Roman"/>
          <w:sz w:val="24"/>
          <w:szCs w:val="24"/>
        </w:rPr>
        <w:t xml:space="preserve">, including the grant guidelines, will be made available on the </w:t>
      </w:r>
      <w:proofErr w:type="spellStart"/>
      <w:r w:rsidRPr="00144CA7">
        <w:rPr>
          <w:rFonts w:ascii="Times New Roman" w:hAnsi="Times New Roman" w:cs="Times New Roman"/>
          <w:sz w:val="24"/>
          <w:szCs w:val="24"/>
        </w:rPr>
        <w:t>GrantConnect</w:t>
      </w:r>
      <w:proofErr w:type="spellEnd"/>
      <w:r w:rsidRPr="00144CA7">
        <w:rPr>
          <w:rFonts w:ascii="Times New Roman" w:hAnsi="Times New Roman" w:cs="Times New Roman"/>
          <w:sz w:val="24"/>
          <w:szCs w:val="24"/>
        </w:rPr>
        <w:t xml:space="preserve"> website (</w:t>
      </w:r>
      <w:r w:rsidRPr="00F36F71">
        <w:rPr>
          <w:rFonts w:ascii="Times New Roman" w:hAnsi="Times New Roman" w:cs="Times New Roman"/>
          <w:sz w:val="24"/>
          <w:szCs w:val="24"/>
          <w:u w:val="single"/>
        </w:rPr>
        <w:t>www.grants.gov.au</w:t>
      </w:r>
      <w:r w:rsidRPr="00144CA7">
        <w:rPr>
          <w:rFonts w:ascii="Times New Roman" w:hAnsi="Times New Roman" w:cs="Times New Roman"/>
          <w:sz w:val="24"/>
          <w:szCs w:val="24"/>
        </w:rPr>
        <w:t>) and the grant</w:t>
      </w:r>
      <w:r w:rsidR="00AD2A36">
        <w:rPr>
          <w:rFonts w:ascii="Times New Roman" w:hAnsi="Times New Roman" w:cs="Times New Roman"/>
          <w:sz w:val="24"/>
          <w:szCs w:val="24"/>
        </w:rPr>
        <w:t>s</w:t>
      </w:r>
      <w:r w:rsidRPr="00144CA7">
        <w:rPr>
          <w:rFonts w:ascii="Times New Roman" w:hAnsi="Times New Roman" w:cs="Times New Roman"/>
          <w:sz w:val="24"/>
          <w:szCs w:val="24"/>
        </w:rPr>
        <w:t xml:space="preserve"> will be administered by </w:t>
      </w:r>
      <w:r w:rsidR="0090526F">
        <w:rPr>
          <w:rFonts w:ascii="Times New Roman" w:hAnsi="Times New Roman" w:cs="Times New Roman"/>
          <w:sz w:val="24"/>
          <w:szCs w:val="24"/>
        </w:rPr>
        <w:t>the department</w:t>
      </w:r>
      <w:r w:rsidRPr="00144CA7">
        <w:rPr>
          <w:rFonts w:ascii="Times New Roman" w:hAnsi="Times New Roman" w:cs="Times New Roman"/>
          <w:sz w:val="24"/>
          <w:szCs w:val="24"/>
        </w:rPr>
        <w:t xml:space="preserve"> using </w:t>
      </w:r>
      <w:proofErr w:type="spellStart"/>
      <w:r w:rsidRPr="00144CA7">
        <w:rPr>
          <w:rFonts w:ascii="Times New Roman" w:hAnsi="Times New Roman" w:cs="Times New Roman"/>
          <w:sz w:val="24"/>
          <w:szCs w:val="24"/>
        </w:rPr>
        <w:t>SmartyGrants</w:t>
      </w:r>
      <w:proofErr w:type="spellEnd"/>
      <w:r w:rsidRPr="00144CA7">
        <w:rPr>
          <w:rFonts w:ascii="Times New Roman" w:hAnsi="Times New Roman" w:cs="Times New Roman"/>
          <w:sz w:val="24"/>
          <w:szCs w:val="24"/>
        </w:rPr>
        <w:t>.</w:t>
      </w:r>
    </w:p>
    <w:p w14:paraId="6492B0A1" w14:textId="77777777" w:rsidR="003374E7" w:rsidRDefault="003374E7" w:rsidP="00444FAD">
      <w:pPr>
        <w:rPr>
          <w:rFonts w:ascii="Times New Roman" w:hAnsi="Times New Roman" w:cs="Times New Roman"/>
          <w:sz w:val="24"/>
          <w:szCs w:val="24"/>
        </w:rPr>
      </w:pPr>
    </w:p>
    <w:p w14:paraId="095845DA" w14:textId="379691AA" w:rsidR="00AD2A36" w:rsidRDefault="00EE4A41" w:rsidP="00444FAD">
      <w:pPr>
        <w:rPr>
          <w:rFonts w:ascii="Times New Roman" w:hAnsi="Times New Roman" w:cs="Times New Roman"/>
          <w:sz w:val="24"/>
          <w:szCs w:val="24"/>
        </w:rPr>
      </w:pPr>
      <w:r>
        <w:rPr>
          <w:rFonts w:ascii="Times New Roman" w:hAnsi="Times New Roman" w:cs="Times New Roman"/>
          <w:sz w:val="24"/>
          <w:szCs w:val="24"/>
        </w:rPr>
        <w:t xml:space="preserve">Funding arrangement for the </w:t>
      </w:r>
      <w:proofErr w:type="gramStart"/>
      <w:r w:rsidR="00F02D00">
        <w:rPr>
          <w:rFonts w:ascii="Times New Roman" w:hAnsi="Times New Roman" w:cs="Times New Roman"/>
          <w:sz w:val="24"/>
          <w:szCs w:val="24"/>
        </w:rPr>
        <w:t>grants</w:t>
      </w:r>
      <w:proofErr w:type="gramEnd"/>
      <w:r w:rsidR="00F02D00">
        <w:rPr>
          <w:rFonts w:ascii="Times New Roman" w:hAnsi="Times New Roman" w:cs="Times New Roman"/>
          <w:sz w:val="24"/>
          <w:szCs w:val="24"/>
        </w:rPr>
        <w:t xml:space="preserve"> programs are as follows:</w:t>
      </w:r>
    </w:p>
    <w:p w14:paraId="31C014A2" w14:textId="77777777" w:rsidR="00AD2A36" w:rsidRPr="00003A56" w:rsidRDefault="00AD2A36" w:rsidP="00444FAD">
      <w:pPr>
        <w:rPr>
          <w:rFonts w:ascii="Times New Roman" w:hAnsi="Times New Roman" w:cs="Times New Roman"/>
          <w:sz w:val="24"/>
          <w:szCs w:val="24"/>
        </w:rPr>
      </w:pPr>
    </w:p>
    <w:p w14:paraId="05F3F427" w14:textId="7A831B03" w:rsidR="00444FAD" w:rsidRPr="00144CA7" w:rsidRDefault="005C10D7" w:rsidP="00444FAD">
      <w:pPr>
        <w:rPr>
          <w:rFonts w:ascii="Times New Roman" w:hAnsi="Times New Roman" w:cs="Times New Roman"/>
          <w:i/>
          <w:iCs/>
          <w:sz w:val="24"/>
          <w:szCs w:val="24"/>
        </w:rPr>
      </w:pPr>
      <w:r>
        <w:rPr>
          <w:rFonts w:ascii="Times New Roman" w:hAnsi="Times New Roman" w:cs="Times New Roman"/>
          <w:i/>
          <w:iCs/>
          <w:sz w:val="24"/>
          <w:szCs w:val="24"/>
        </w:rPr>
        <w:t>FTA</w:t>
      </w:r>
      <w:r w:rsidR="0033265E">
        <w:rPr>
          <w:rFonts w:ascii="Times New Roman" w:hAnsi="Times New Roman" w:cs="Times New Roman"/>
          <w:i/>
          <w:iCs/>
          <w:sz w:val="24"/>
          <w:szCs w:val="24"/>
        </w:rPr>
        <w:t>M</w:t>
      </w:r>
      <w:r w:rsidR="00D13D28">
        <w:rPr>
          <w:rFonts w:ascii="Times New Roman" w:hAnsi="Times New Roman" w:cs="Times New Roman"/>
          <w:i/>
          <w:iCs/>
          <w:sz w:val="24"/>
          <w:szCs w:val="24"/>
        </w:rPr>
        <w:t xml:space="preserve"> Grant</w:t>
      </w:r>
      <w:r w:rsidR="0033265E">
        <w:rPr>
          <w:rFonts w:ascii="Times New Roman" w:hAnsi="Times New Roman" w:cs="Times New Roman"/>
          <w:i/>
          <w:iCs/>
          <w:sz w:val="24"/>
          <w:szCs w:val="24"/>
        </w:rPr>
        <w:t xml:space="preserve"> program</w:t>
      </w:r>
    </w:p>
    <w:p w14:paraId="0CA2D1EF" w14:textId="77777777" w:rsidR="003374E7" w:rsidRDefault="003374E7" w:rsidP="00444FAD">
      <w:pPr>
        <w:rPr>
          <w:rFonts w:ascii="Times New Roman" w:hAnsi="Times New Roman" w:cs="Times New Roman"/>
          <w:sz w:val="24"/>
          <w:szCs w:val="24"/>
        </w:rPr>
      </w:pPr>
    </w:p>
    <w:p w14:paraId="7AEA3B54" w14:textId="6A8F0AEB" w:rsidR="00444FAD" w:rsidRPr="00144CA7" w:rsidRDefault="00444FAD" w:rsidP="00444FAD">
      <w:pPr>
        <w:rPr>
          <w:rFonts w:ascii="Times New Roman" w:hAnsi="Times New Roman" w:cs="Times New Roman"/>
          <w:sz w:val="24"/>
          <w:szCs w:val="24"/>
        </w:rPr>
      </w:pPr>
      <w:r w:rsidRPr="00144CA7">
        <w:rPr>
          <w:rFonts w:ascii="Times New Roman" w:hAnsi="Times New Roman" w:cs="Times New Roman"/>
          <w:sz w:val="24"/>
          <w:szCs w:val="24"/>
        </w:rPr>
        <w:t xml:space="preserve">The grant will be open to peak industry bodies, nationally representative organisations and members organisations exposed to trade and outward investment. Applicant organisations must be registered in Australia and have an Australian Business Number. This will ensure the outputs are broadly applicable to Australian trade and investment exposed industries. </w:t>
      </w:r>
    </w:p>
    <w:p w14:paraId="06F30A71" w14:textId="77777777" w:rsidR="00444FAD" w:rsidRDefault="00444FAD" w:rsidP="00444FAD">
      <w:pPr>
        <w:rPr>
          <w:rFonts w:ascii="Times New Roman" w:hAnsi="Times New Roman" w:cs="Times New Roman"/>
          <w:sz w:val="24"/>
          <w:szCs w:val="24"/>
        </w:rPr>
      </w:pPr>
      <w:r w:rsidRPr="00144CA7">
        <w:rPr>
          <w:rFonts w:ascii="Times New Roman" w:hAnsi="Times New Roman" w:cs="Times New Roman"/>
          <w:sz w:val="24"/>
          <w:szCs w:val="24"/>
        </w:rPr>
        <w:t>To be eligible, each funding recipient’s grant activity must produce an evidence-based informational product with recommendations.</w:t>
      </w:r>
    </w:p>
    <w:p w14:paraId="3FF1B772" w14:textId="77777777" w:rsidR="003374E7" w:rsidRPr="00144CA7" w:rsidRDefault="003374E7" w:rsidP="00444FAD">
      <w:pPr>
        <w:rPr>
          <w:rFonts w:ascii="Times New Roman" w:hAnsi="Times New Roman" w:cs="Times New Roman"/>
          <w:sz w:val="24"/>
          <w:szCs w:val="24"/>
        </w:rPr>
      </w:pPr>
    </w:p>
    <w:p w14:paraId="34E44D85" w14:textId="6D49FCA0" w:rsidR="00444FAD" w:rsidRPr="00144CA7" w:rsidRDefault="00444FAD" w:rsidP="00B850FB">
      <w:pPr>
        <w:rPr>
          <w:rFonts w:ascii="Times New Roman" w:hAnsi="Times New Roman" w:cs="Times New Roman"/>
          <w:sz w:val="24"/>
          <w:szCs w:val="24"/>
        </w:rPr>
      </w:pPr>
      <w:r w:rsidRPr="00144CA7">
        <w:rPr>
          <w:rFonts w:ascii="Times New Roman" w:hAnsi="Times New Roman" w:cs="Times New Roman"/>
          <w:sz w:val="24"/>
          <w:szCs w:val="24"/>
        </w:rPr>
        <w:t xml:space="preserve">To apply, grant applicants must address assessment criteria in the application. </w:t>
      </w:r>
      <w:r w:rsidR="001F7651">
        <w:rPr>
          <w:rFonts w:ascii="Times New Roman" w:hAnsi="Times New Roman" w:cs="Times New Roman"/>
          <w:sz w:val="24"/>
          <w:szCs w:val="24"/>
        </w:rPr>
        <w:t>The department will</w:t>
      </w:r>
      <w:r w:rsidRPr="00144CA7">
        <w:rPr>
          <w:rFonts w:ascii="Times New Roman" w:hAnsi="Times New Roman" w:cs="Times New Roman"/>
          <w:sz w:val="24"/>
          <w:szCs w:val="24"/>
        </w:rPr>
        <w:t xml:space="preserve"> assess the applications based on criteri</w:t>
      </w:r>
      <w:r w:rsidR="001F7651">
        <w:rPr>
          <w:rFonts w:ascii="Times New Roman" w:hAnsi="Times New Roman" w:cs="Times New Roman"/>
          <w:sz w:val="24"/>
          <w:szCs w:val="24"/>
        </w:rPr>
        <w:t>a</w:t>
      </w:r>
      <w:r w:rsidRPr="00144CA7">
        <w:rPr>
          <w:rFonts w:ascii="Times New Roman" w:hAnsi="Times New Roman" w:cs="Times New Roman"/>
          <w:sz w:val="24"/>
          <w:szCs w:val="24"/>
        </w:rPr>
        <w:t>, including</w:t>
      </w:r>
      <w:r w:rsidR="00E6517E">
        <w:rPr>
          <w:rFonts w:ascii="Times New Roman" w:hAnsi="Times New Roman" w:cs="Times New Roman"/>
          <w:sz w:val="24"/>
          <w:szCs w:val="24"/>
        </w:rPr>
        <w:t xml:space="preserve"> that the activity must</w:t>
      </w:r>
      <w:r w:rsidRPr="00144CA7">
        <w:rPr>
          <w:rFonts w:ascii="Times New Roman" w:hAnsi="Times New Roman" w:cs="Times New Roman"/>
          <w:sz w:val="24"/>
          <w:szCs w:val="24"/>
        </w:rPr>
        <w:t xml:space="preserve">: </w:t>
      </w:r>
    </w:p>
    <w:p w14:paraId="357EB132" w14:textId="0D9038B8" w:rsidR="00444FAD" w:rsidRPr="001F7651" w:rsidRDefault="00444FAD" w:rsidP="00003A56">
      <w:pPr>
        <w:numPr>
          <w:ilvl w:val="0"/>
          <w:numId w:val="18"/>
        </w:numPr>
        <w:suppressAutoHyphens/>
        <w:spacing w:line="260" w:lineRule="atLeast"/>
        <w:rPr>
          <w:rFonts w:ascii="Times New Roman" w:hAnsi="Times New Roman" w:cs="Times New Roman"/>
          <w:sz w:val="24"/>
          <w:szCs w:val="24"/>
        </w:rPr>
      </w:pPr>
      <w:r w:rsidRPr="001F7651">
        <w:rPr>
          <w:rFonts w:ascii="Times New Roman" w:hAnsi="Times New Roman" w:cs="Times New Roman"/>
          <w:sz w:val="24"/>
          <w:szCs w:val="24"/>
        </w:rPr>
        <w:t xml:space="preserve">relate to at least one of Australia’s in-force FTAs with a Southeast Asian economy or a possible future Australian FTA in the </w:t>
      </w:r>
      <w:proofErr w:type="gramStart"/>
      <w:r w:rsidRPr="001F7651">
        <w:rPr>
          <w:rFonts w:ascii="Times New Roman" w:hAnsi="Times New Roman" w:cs="Times New Roman"/>
          <w:sz w:val="24"/>
          <w:szCs w:val="24"/>
        </w:rPr>
        <w:t>region</w:t>
      </w:r>
      <w:r w:rsidR="00D77619">
        <w:rPr>
          <w:rFonts w:ascii="Times New Roman" w:hAnsi="Times New Roman" w:cs="Times New Roman"/>
          <w:sz w:val="24"/>
          <w:szCs w:val="24"/>
        </w:rPr>
        <w:t>;</w:t>
      </w:r>
      <w:proofErr w:type="gramEnd"/>
    </w:p>
    <w:p w14:paraId="5860A8C0" w14:textId="5CB50A4F" w:rsidR="00444FAD" w:rsidRPr="001F7651" w:rsidRDefault="00444FAD" w:rsidP="00003A56">
      <w:pPr>
        <w:numPr>
          <w:ilvl w:val="0"/>
          <w:numId w:val="18"/>
        </w:numPr>
        <w:suppressAutoHyphens/>
        <w:spacing w:line="260" w:lineRule="atLeast"/>
        <w:rPr>
          <w:rFonts w:ascii="Times New Roman" w:hAnsi="Times New Roman" w:cs="Times New Roman"/>
          <w:sz w:val="24"/>
          <w:szCs w:val="24"/>
        </w:rPr>
      </w:pPr>
      <w:r w:rsidRPr="001F7651">
        <w:rPr>
          <w:rFonts w:ascii="Times New Roman" w:hAnsi="Times New Roman" w:cs="Times New Roman"/>
          <w:sz w:val="24"/>
          <w:szCs w:val="24"/>
        </w:rPr>
        <w:t xml:space="preserve">relate to the export of goods, services, or investment from Australia or new and emerging progressive trade </w:t>
      </w:r>
      <w:proofErr w:type="gramStart"/>
      <w:r w:rsidRPr="001F7651">
        <w:rPr>
          <w:rFonts w:ascii="Times New Roman" w:hAnsi="Times New Roman" w:cs="Times New Roman"/>
          <w:sz w:val="24"/>
          <w:szCs w:val="24"/>
        </w:rPr>
        <w:t>issues</w:t>
      </w:r>
      <w:r w:rsidR="00D77619">
        <w:rPr>
          <w:rFonts w:ascii="Times New Roman" w:hAnsi="Times New Roman" w:cs="Times New Roman"/>
          <w:sz w:val="24"/>
          <w:szCs w:val="24"/>
        </w:rPr>
        <w:t>;</w:t>
      </w:r>
      <w:proofErr w:type="gramEnd"/>
    </w:p>
    <w:p w14:paraId="0F36A292" w14:textId="0A21575F" w:rsidR="00444FAD" w:rsidRPr="001F7651" w:rsidRDefault="00444FAD" w:rsidP="00003A56">
      <w:pPr>
        <w:numPr>
          <w:ilvl w:val="0"/>
          <w:numId w:val="18"/>
        </w:numPr>
        <w:suppressAutoHyphens/>
        <w:spacing w:line="260" w:lineRule="atLeast"/>
        <w:rPr>
          <w:rFonts w:ascii="Times New Roman" w:hAnsi="Times New Roman" w:cs="Times New Roman"/>
          <w:sz w:val="24"/>
          <w:szCs w:val="24"/>
        </w:rPr>
      </w:pPr>
      <w:r w:rsidRPr="001F7651">
        <w:rPr>
          <w:rFonts w:ascii="Times New Roman" w:hAnsi="Times New Roman" w:cs="Times New Roman"/>
          <w:sz w:val="24"/>
          <w:szCs w:val="24"/>
        </w:rPr>
        <w:lastRenderedPageBreak/>
        <w:t>relate to the enhancement or modernisation of FTAs with a view to identifying barriers, opportunities, ways or approaches to increase Australian exports and investment and/or to facilitate trade for Australian businesses</w:t>
      </w:r>
      <w:r w:rsidR="00D77619">
        <w:rPr>
          <w:rFonts w:ascii="Times New Roman" w:hAnsi="Times New Roman" w:cs="Times New Roman"/>
          <w:sz w:val="24"/>
          <w:szCs w:val="24"/>
        </w:rPr>
        <w:t>; and</w:t>
      </w:r>
    </w:p>
    <w:p w14:paraId="3E078631" w14:textId="6E67D75F" w:rsidR="00444FAD" w:rsidRPr="001F7651" w:rsidRDefault="00444FAD" w:rsidP="00003A56">
      <w:pPr>
        <w:numPr>
          <w:ilvl w:val="0"/>
          <w:numId w:val="18"/>
        </w:numPr>
        <w:suppressAutoHyphens/>
        <w:spacing w:line="260" w:lineRule="atLeast"/>
        <w:rPr>
          <w:rFonts w:ascii="Times New Roman" w:hAnsi="Times New Roman" w:cs="Times New Roman"/>
          <w:sz w:val="24"/>
          <w:szCs w:val="24"/>
        </w:rPr>
      </w:pPr>
      <w:r w:rsidRPr="001F7651">
        <w:rPr>
          <w:rFonts w:ascii="Times New Roman" w:hAnsi="Times New Roman" w:cs="Times New Roman"/>
          <w:sz w:val="24"/>
          <w:szCs w:val="24"/>
        </w:rPr>
        <w:t xml:space="preserve">be forward looking and have consideration for the relevance of the activity to at least 2040. </w:t>
      </w:r>
    </w:p>
    <w:p w14:paraId="7BB4E7C8" w14:textId="77777777" w:rsidR="003374E7" w:rsidRDefault="003374E7" w:rsidP="00B850FB">
      <w:pPr>
        <w:rPr>
          <w:rFonts w:ascii="Times New Roman" w:hAnsi="Times New Roman" w:cs="Times New Roman"/>
          <w:sz w:val="24"/>
          <w:szCs w:val="24"/>
        </w:rPr>
      </w:pPr>
    </w:p>
    <w:p w14:paraId="1F97EEEF" w14:textId="02BC7610" w:rsidR="00A33C45" w:rsidRDefault="00444FAD" w:rsidP="00444FAD">
      <w:pPr>
        <w:rPr>
          <w:rFonts w:ascii="Times New Roman" w:hAnsi="Times New Roman" w:cs="Times New Roman"/>
          <w:sz w:val="24"/>
          <w:szCs w:val="24"/>
        </w:rPr>
      </w:pPr>
      <w:r w:rsidRPr="00144CA7">
        <w:rPr>
          <w:rFonts w:ascii="Times New Roman" w:hAnsi="Times New Roman" w:cs="Times New Roman"/>
          <w:sz w:val="24"/>
          <w:szCs w:val="24"/>
        </w:rPr>
        <w:t>A selection panel made up of government officials with expertise in international trade, investment and trade agreements will be established. The panel will consider value for money, capability and capacity to deliver, and price and risk considerations, alongside the proposed grant activities’ alignment with the criteria. The panel will be responsible for reviewing and assessing the eligible applications, shortlist</w:t>
      </w:r>
      <w:r w:rsidR="00667FA9">
        <w:rPr>
          <w:rFonts w:ascii="Times New Roman" w:hAnsi="Times New Roman" w:cs="Times New Roman"/>
          <w:sz w:val="24"/>
          <w:szCs w:val="24"/>
        </w:rPr>
        <w:t>ing</w:t>
      </w:r>
      <w:r w:rsidRPr="00144CA7">
        <w:rPr>
          <w:rFonts w:ascii="Times New Roman" w:hAnsi="Times New Roman" w:cs="Times New Roman"/>
          <w:sz w:val="24"/>
          <w:szCs w:val="24"/>
        </w:rPr>
        <w:t xml:space="preserve"> applicants and mak</w:t>
      </w:r>
      <w:r w:rsidR="00E976F4">
        <w:rPr>
          <w:rFonts w:ascii="Times New Roman" w:hAnsi="Times New Roman" w:cs="Times New Roman"/>
          <w:sz w:val="24"/>
          <w:szCs w:val="24"/>
        </w:rPr>
        <w:t xml:space="preserve">ing </w:t>
      </w:r>
      <w:r w:rsidRPr="00144CA7">
        <w:rPr>
          <w:rFonts w:ascii="Times New Roman" w:hAnsi="Times New Roman" w:cs="Times New Roman"/>
          <w:sz w:val="24"/>
          <w:szCs w:val="24"/>
        </w:rPr>
        <w:t xml:space="preserve">recommendations to the delegate of the Secretary of </w:t>
      </w:r>
      <w:r w:rsidR="00D77619">
        <w:rPr>
          <w:rFonts w:ascii="Times New Roman" w:hAnsi="Times New Roman" w:cs="Times New Roman"/>
          <w:sz w:val="24"/>
          <w:szCs w:val="24"/>
        </w:rPr>
        <w:t>the department</w:t>
      </w:r>
      <w:r w:rsidRPr="00144CA7">
        <w:rPr>
          <w:rFonts w:ascii="Times New Roman" w:hAnsi="Times New Roman" w:cs="Times New Roman"/>
          <w:sz w:val="24"/>
          <w:szCs w:val="24"/>
        </w:rPr>
        <w:t>, who will be responsible for the final decision on the selection of grant recipients and allocation of grants money.</w:t>
      </w:r>
      <w:r w:rsidR="006847EC">
        <w:rPr>
          <w:rFonts w:ascii="Times New Roman" w:hAnsi="Times New Roman" w:cs="Times New Roman"/>
          <w:sz w:val="24"/>
          <w:szCs w:val="24"/>
        </w:rPr>
        <w:t xml:space="preserve"> </w:t>
      </w:r>
    </w:p>
    <w:p w14:paraId="3AAF0961" w14:textId="77777777" w:rsidR="00A33C45" w:rsidRDefault="00A33C45" w:rsidP="00444FAD">
      <w:pPr>
        <w:rPr>
          <w:rFonts w:ascii="Times New Roman" w:hAnsi="Times New Roman" w:cs="Times New Roman"/>
          <w:sz w:val="24"/>
          <w:szCs w:val="24"/>
        </w:rPr>
      </w:pPr>
    </w:p>
    <w:p w14:paraId="41B3E6C2" w14:textId="28BC5BA7" w:rsidR="00444FAD" w:rsidRPr="00144CA7" w:rsidRDefault="006847EC" w:rsidP="00444FAD">
      <w:pPr>
        <w:rPr>
          <w:rFonts w:ascii="Times New Roman" w:hAnsi="Times New Roman" w:cs="Times New Roman"/>
          <w:sz w:val="24"/>
          <w:szCs w:val="24"/>
        </w:rPr>
      </w:pPr>
      <w:r>
        <w:rPr>
          <w:rFonts w:ascii="Times New Roman" w:hAnsi="Times New Roman" w:cs="Times New Roman"/>
          <w:sz w:val="24"/>
          <w:szCs w:val="24"/>
        </w:rPr>
        <w:t>The delegate will be the Senior Executive Service (SES) Band 1</w:t>
      </w:r>
      <w:r w:rsidR="00444FAD" w:rsidRPr="00144CA7">
        <w:rPr>
          <w:rFonts w:ascii="Times New Roman" w:hAnsi="Times New Roman" w:cs="Times New Roman"/>
          <w:sz w:val="24"/>
          <w:szCs w:val="24"/>
        </w:rPr>
        <w:t>, FTA Implementation and Inclusive Trade Branch, Free Trade Agreements and Stakeholder Engagement Division</w:t>
      </w:r>
      <w:r w:rsidR="00215678">
        <w:rPr>
          <w:rFonts w:ascii="Times New Roman" w:hAnsi="Times New Roman" w:cs="Times New Roman"/>
          <w:sz w:val="24"/>
          <w:szCs w:val="24"/>
        </w:rPr>
        <w:t xml:space="preserve"> (or any equivalent successor branch</w:t>
      </w:r>
      <w:r w:rsidR="00224E81">
        <w:rPr>
          <w:rFonts w:ascii="Times New Roman" w:hAnsi="Times New Roman" w:cs="Times New Roman"/>
          <w:sz w:val="24"/>
          <w:szCs w:val="24"/>
        </w:rPr>
        <w:t xml:space="preserve"> or division</w:t>
      </w:r>
      <w:r w:rsidR="00215678">
        <w:rPr>
          <w:rFonts w:ascii="Times New Roman" w:hAnsi="Times New Roman" w:cs="Times New Roman"/>
          <w:sz w:val="24"/>
          <w:szCs w:val="24"/>
        </w:rPr>
        <w:t>)</w:t>
      </w:r>
      <w:r w:rsidR="00444FAD" w:rsidRPr="00144CA7">
        <w:rPr>
          <w:rFonts w:ascii="Times New Roman" w:hAnsi="Times New Roman" w:cs="Times New Roman"/>
          <w:sz w:val="24"/>
          <w:szCs w:val="24"/>
        </w:rPr>
        <w:t xml:space="preserve">, </w:t>
      </w:r>
      <w:r w:rsidR="00F75ED7">
        <w:rPr>
          <w:rFonts w:ascii="Times New Roman" w:hAnsi="Times New Roman" w:cs="Times New Roman"/>
          <w:sz w:val="24"/>
          <w:szCs w:val="24"/>
        </w:rPr>
        <w:t xml:space="preserve">delegated </w:t>
      </w:r>
      <w:r w:rsidR="00444FAD" w:rsidRPr="00144CA7">
        <w:rPr>
          <w:rFonts w:ascii="Times New Roman" w:hAnsi="Times New Roman" w:cs="Times New Roman"/>
          <w:sz w:val="24"/>
          <w:szCs w:val="24"/>
        </w:rPr>
        <w:t xml:space="preserve">under the </w:t>
      </w:r>
      <w:r w:rsidR="00444FAD" w:rsidRPr="00144CA7">
        <w:rPr>
          <w:rFonts w:ascii="Times New Roman" w:hAnsi="Times New Roman" w:cs="Times New Roman"/>
          <w:i/>
          <w:sz w:val="24"/>
          <w:szCs w:val="24"/>
        </w:rPr>
        <w:t>Financial Framework (Supplementary Powers) Act 1997</w:t>
      </w:r>
      <w:r w:rsidR="00444FAD" w:rsidRPr="00144CA7">
        <w:rPr>
          <w:rFonts w:ascii="Times New Roman" w:hAnsi="Times New Roman" w:cs="Times New Roman"/>
          <w:sz w:val="24"/>
          <w:szCs w:val="24"/>
        </w:rPr>
        <w:t xml:space="preserve"> </w:t>
      </w:r>
      <w:r w:rsidR="005F0832">
        <w:rPr>
          <w:rFonts w:ascii="Times New Roman" w:hAnsi="Times New Roman" w:cs="Times New Roman"/>
          <w:sz w:val="24"/>
          <w:szCs w:val="24"/>
        </w:rPr>
        <w:t xml:space="preserve">(FFSP Act) </w:t>
      </w:r>
      <w:r w:rsidR="00F75ED7">
        <w:rPr>
          <w:rFonts w:ascii="Times New Roman" w:hAnsi="Times New Roman" w:cs="Times New Roman"/>
          <w:sz w:val="24"/>
          <w:szCs w:val="24"/>
        </w:rPr>
        <w:t xml:space="preserve">and </w:t>
      </w:r>
      <w:r w:rsidR="00444FAD" w:rsidRPr="00144CA7">
        <w:rPr>
          <w:rFonts w:ascii="Times New Roman" w:hAnsi="Times New Roman" w:cs="Times New Roman"/>
          <w:sz w:val="24"/>
          <w:szCs w:val="24"/>
        </w:rPr>
        <w:t xml:space="preserve">will be responsible for approving Commonwealth funding to grant recipients. The delegate has extensive experience in treaty implementation and international trade. Information about final decisions will be made publicly available on </w:t>
      </w:r>
      <w:proofErr w:type="spellStart"/>
      <w:r w:rsidR="00444FAD" w:rsidRPr="00144CA7">
        <w:rPr>
          <w:rFonts w:ascii="Times New Roman" w:hAnsi="Times New Roman" w:cs="Times New Roman"/>
          <w:sz w:val="24"/>
          <w:szCs w:val="24"/>
        </w:rPr>
        <w:t>GrantConnect</w:t>
      </w:r>
      <w:proofErr w:type="spellEnd"/>
      <w:r w:rsidR="00444FAD" w:rsidRPr="00144CA7">
        <w:rPr>
          <w:rFonts w:ascii="Times New Roman" w:hAnsi="Times New Roman" w:cs="Times New Roman"/>
          <w:sz w:val="24"/>
          <w:szCs w:val="24"/>
        </w:rPr>
        <w:t xml:space="preserve"> within 21 days of the decision. </w:t>
      </w:r>
    </w:p>
    <w:p w14:paraId="2DA87BF7" w14:textId="77777777" w:rsidR="00444FAD" w:rsidRPr="00144CA7" w:rsidRDefault="00444FAD" w:rsidP="00444FAD">
      <w:pPr>
        <w:rPr>
          <w:rFonts w:ascii="Times New Roman" w:hAnsi="Times New Roman" w:cs="Times New Roman"/>
          <w:i/>
          <w:iCs/>
          <w:sz w:val="24"/>
          <w:szCs w:val="24"/>
        </w:rPr>
      </w:pPr>
    </w:p>
    <w:p w14:paraId="33A88441" w14:textId="0AEDD3D6" w:rsidR="00444FAD" w:rsidRPr="00144CA7" w:rsidRDefault="00444FAD" w:rsidP="00444FAD">
      <w:pPr>
        <w:rPr>
          <w:rFonts w:ascii="Times New Roman" w:hAnsi="Times New Roman" w:cs="Times New Roman"/>
          <w:i/>
          <w:iCs/>
          <w:sz w:val="24"/>
          <w:szCs w:val="24"/>
        </w:rPr>
      </w:pPr>
      <w:r w:rsidRPr="00144CA7">
        <w:rPr>
          <w:rFonts w:ascii="Times New Roman" w:hAnsi="Times New Roman" w:cs="Times New Roman"/>
          <w:i/>
          <w:iCs/>
          <w:sz w:val="24"/>
          <w:szCs w:val="24"/>
        </w:rPr>
        <w:t xml:space="preserve">SEAMRPS Grant </w:t>
      </w:r>
      <w:r w:rsidR="00606C88">
        <w:rPr>
          <w:rFonts w:ascii="Times New Roman" w:hAnsi="Times New Roman" w:cs="Times New Roman"/>
          <w:i/>
          <w:iCs/>
          <w:sz w:val="24"/>
          <w:szCs w:val="24"/>
        </w:rPr>
        <w:t>p</w:t>
      </w:r>
      <w:r w:rsidRPr="00144CA7">
        <w:rPr>
          <w:rFonts w:ascii="Times New Roman" w:hAnsi="Times New Roman" w:cs="Times New Roman"/>
          <w:i/>
          <w:iCs/>
          <w:sz w:val="24"/>
          <w:szCs w:val="24"/>
        </w:rPr>
        <w:t>rogram</w:t>
      </w:r>
    </w:p>
    <w:p w14:paraId="258A8228" w14:textId="77777777" w:rsidR="00144CA7" w:rsidRDefault="00144CA7" w:rsidP="00444FAD">
      <w:pPr>
        <w:rPr>
          <w:rFonts w:ascii="Times New Roman" w:hAnsi="Times New Roman" w:cs="Times New Roman"/>
          <w:sz w:val="24"/>
          <w:szCs w:val="24"/>
        </w:rPr>
      </w:pPr>
    </w:p>
    <w:p w14:paraId="3F58CBA5" w14:textId="538BAD81" w:rsidR="00444FAD" w:rsidRDefault="00275811" w:rsidP="00444FAD">
      <w:pPr>
        <w:rPr>
          <w:rFonts w:ascii="Times New Roman" w:hAnsi="Times New Roman" w:cs="Times New Roman"/>
          <w:sz w:val="24"/>
          <w:szCs w:val="24"/>
        </w:rPr>
      </w:pPr>
      <w:r>
        <w:rPr>
          <w:rFonts w:ascii="Times New Roman" w:hAnsi="Times New Roman" w:cs="Times New Roman"/>
          <w:sz w:val="24"/>
          <w:szCs w:val="24"/>
        </w:rPr>
        <w:t>The department will</w:t>
      </w:r>
      <w:r w:rsidR="00444FAD" w:rsidRPr="00144CA7">
        <w:rPr>
          <w:rFonts w:ascii="Times New Roman" w:hAnsi="Times New Roman" w:cs="Times New Roman"/>
          <w:sz w:val="24"/>
          <w:szCs w:val="24"/>
        </w:rPr>
        <w:t xml:space="preserve"> only accept applications from Australian professional service accreditation and licensing bodies. Applicants also must be Australian citizens. To apply, grant recipients must address weighted assessment criteria in the application, which is yet to be determined but will be finalised along with the final design of the program. </w:t>
      </w:r>
    </w:p>
    <w:p w14:paraId="75E8E1C0" w14:textId="77777777" w:rsidR="00144CA7" w:rsidRPr="00144CA7" w:rsidRDefault="00144CA7" w:rsidP="00444FAD">
      <w:pPr>
        <w:rPr>
          <w:rFonts w:ascii="Times New Roman" w:hAnsi="Times New Roman" w:cs="Times New Roman"/>
          <w:sz w:val="24"/>
          <w:szCs w:val="24"/>
        </w:rPr>
      </w:pPr>
    </w:p>
    <w:p w14:paraId="4C8943F2" w14:textId="6BA283A4" w:rsidR="00444FAD" w:rsidRDefault="00444FAD" w:rsidP="00444FAD">
      <w:pPr>
        <w:rPr>
          <w:rFonts w:ascii="Times New Roman" w:hAnsi="Times New Roman" w:cs="Times New Roman"/>
          <w:sz w:val="24"/>
          <w:szCs w:val="24"/>
        </w:rPr>
      </w:pPr>
      <w:r w:rsidRPr="36CF5BFA">
        <w:rPr>
          <w:rFonts w:ascii="Times New Roman" w:hAnsi="Times New Roman" w:cs="Times New Roman"/>
          <w:sz w:val="24"/>
          <w:szCs w:val="24"/>
        </w:rPr>
        <w:t xml:space="preserve">A selection panel made up of officials from </w:t>
      </w:r>
      <w:r w:rsidR="00FD75B4" w:rsidRPr="36CF5BFA">
        <w:rPr>
          <w:rFonts w:ascii="Times New Roman" w:hAnsi="Times New Roman" w:cs="Times New Roman"/>
          <w:sz w:val="24"/>
          <w:szCs w:val="24"/>
        </w:rPr>
        <w:t>the department</w:t>
      </w:r>
      <w:r w:rsidRPr="36CF5BFA">
        <w:rPr>
          <w:rFonts w:ascii="Times New Roman" w:hAnsi="Times New Roman" w:cs="Times New Roman"/>
          <w:sz w:val="24"/>
          <w:szCs w:val="24"/>
        </w:rPr>
        <w:t xml:space="preserve"> with expertise in trade services and MRAs will be </w:t>
      </w:r>
      <w:r w:rsidRPr="00C136DC">
        <w:rPr>
          <w:rFonts w:ascii="Times New Roman" w:hAnsi="Times New Roman" w:cs="Times New Roman"/>
          <w:sz w:val="24"/>
          <w:szCs w:val="24"/>
        </w:rPr>
        <w:t xml:space="preserve">established. The panel will consider value for money, including capability and capacity to deliver, and price and risk considerations, alongside the actual proposed grant activities’ alignment with criteria. The panel will review the eligible applications and make recommendations to the delegate of the Secretary of </w:t>
      </w:r>
      <w:r w:rsidR="00FD75B4" w:rsidRPr="00C136DC">
        <w:rPr>
          <w:rFonts w:ascii="Times New Roman" w:hAnsi="Times New Roman" w:cs="Times New Roman"/>
          <w:sz w:val="24"/>
          <w:szCs w:val="24"/>
        </w:rPr>
        <w:t>the department</w:t>
      </w:r>
      <w:r w:rsidRPr="00C136DC">
        <w:rPr>
          <w:rFonts w:ascii="Times New Roman" w:hAnsi="Times New Roman" w:cs="Times New Roman"/>
          <w:sz w:val="24"/>
          <w:szCs w:val="24"/>
        </w:rPr>
        <w:t xml:space="preserve">, who will be responsible for the final decision on the allocation of grants. </w:t>
      </w:r>
      <w:r w:rsidR="000C1F7F" w:rsidRPr="00C136DC">
        <w:rPr>
          <w:rFonts w:ascii="Times New Roman" w:hAnsi="Times New Roman" w:cs="Times New Roman"/>
          <w:sz w:val="24"/>
          <w:szCs w:val="24"/>
        </w:rPr>
        <w:t>The delegate will be the SES Band 1,</w:t>
      </w:r>
      <w:r w:rsidR="00301369" w:rsidRPr="00C136DC">
        <w:rPr>
          <w:rFonts w:ascii="Times New Roman" w:hAnsi="Times New Roman" w:cs="Times New Roman"/>
          <w:sz w:val="24"/>
          <w:szCs w:val="24"/>
        </w:rPr>
        <w:t xml:space="preserve"> FTA Services, Mobility and Coordination Branch</w:t>
      </w:r>
      <w:r w:rsidR="000C1F7F" w:rsidRPr="00C136DC">
        <w:rPr>
          <w:rFonts w:ascii="Times New Roman" w:hAnsi="Times New Roman" w:cs="Times New Roman"/>
          <w:sz w:val="24"/>
          <w:szCs w:val="24"/>
        </w:rPr>
        <w:t>, Free Trade Agreements and Stakeholder Engagement Division, delegated under the</w:t>
      </w:r>
      <w:r w:rsidR="00552083" w:rsidRPr="00C136DC">
        <w:rPr>
          <w:rFonts w:ascii="Times New Roman" w:hAnsi="Times New Roman" w:cs="Times New Roman"/>
          <w:sz w:val="24"/>
          <w:szCs w:val="24"/>
        </w:rPr>
        <w:t xml:space="preserve"> FFSP Act</w:t>
      </w:r>
      <w:r w:rsidR="000C1F7F" w:rsidRPr="00C136DC">
        <w:rPr>
          <w:rFonts w:ascii="Times New Roman" w:hAnsi="Times New Roman" w:cs="Times New Roman"/>
          <w:sz w:val="24"/>
          <w:szCs w:val="24"/>
        </w:rPr>
        <w:t xml:space="preserve"> and will be responsible for approving Commonwealth funding to grant recipients. The delegate has extensive experience in treaty implementation and international trade. </w:t>
      </w:r>
      <w:r w:rsidRPr="00C136DC">
        <w:rPr>
          <w:rFonts w:ascii="Times New Roman" w:hAnsi="Times New Roman" w:cs="Times New Roman"/>
          <w:sz w:val="24"/>
          <w:szCs w:val="24"/>
        </w:rPr>
        <w:t xml:space="preserve">Information about final decisions will be made publicly available on </w:t>
      </w:r>
      <w:proofErr w:type="spellStart"/>
      <w:r w:rsidRPr="00C136DC">
        <w:rPr>
          <w:rFonts w:ascii="Times New Roman" w:hAnsi="Times New Roman" w:cs="Times New Roman"/>
          <w:sz w:val="24"/>
          <w:szCs w:val="24"/>
        </w:rPr>
        <w:t>GrantConnect</w:t>
      </w:r>
      <w:proofErr w:type="spellEnd"/>
      <w:r w:rsidRPr="00C136DC">
        <w:rPr>
          <w:rFonts w:ascii="Times New Roman" w:hAnsi="Times New Roman" w:cs="Times New Roman"/>
          <w:sz w:val="24"/>
          <w:szCs w:val="24"/>
        </w:rPr>
        <w:t xml:space="preserve"> within 21 days of the decision.</w:t>
      </w:r>
      <w:r w:rsidRPr="36CF5BFA">
        <w:rPr>
          <w:rFonts w:ascii="Times New Roman" w:hAnsi="Times New Roman" w:cs="Times New Roman"/>
          <w:sz w:val="24"/>
          <w:szCs w:val="24"/>
        </w:rPr>
        <w:t>  </w:t>
      </w:r>
    </w:p>
    <w:p w14:paraId="0D35A087" w14:textId="77777777" w:rsidR="00144CA7" w:rsidRPr="00144CA7" w:rsidRDefault="00144CA7" w:rsidP="00444FAD">
      <w:pPr>
        <w:rPr>
          <w:rFonts w:ascii="Times New Roman" w:hAnsi="Times New Roman" w:cs="Times New Roman"/>
          <w:sz w:val="24"/>
          <w:szCs w:val="24"/>
        </w:rPr>
      </w:pPr>
    </w:p>
    <w:p w14:paraId="7FCDE72C" w14:textId="1D40A01D" w:rsidR="006A5D54" w:rsidRDefault="009E6481" w:rsidP="006A5D54">
      <w:pPr>
        <w:rPr>
          <w:rFonts w:ascii="Times New Roman" w:hAnsi="Times New Roman" w:cs="Times New Roman"/>
          <w:bCs/>
          <w:iCs/>
          <w:color w:val="000000" w:themeColor="text1"/>
          <w:sz w:val="24"/>
          <w:szCs w:val="24"/>
        </w:rPr>
      </w:pPr>
      <w:r>
        <w:rPr>
          <w:rFonts w:ascii="Times New Roman" w:hAnsi="Times New Roman" w:cs="Times New Roman"/>
          <w:sz w:val="24"/>
          <w:szCs w:val="24"/>
        </w:rPr>
        <w:t>Funding</w:t>
      </w:r>
      <w:r w:rsidR="006A5D54" w:rsidRPr="006A5D54">
        <w:rPr>
          <w:rFonts w:ascii="Times New Roman" w:hAnsi="Times New Roman" w:cs="Times New Roman"/>
          <w:bCs/>
          <w:iCs/>
          <w:color w:val="000000" w:themeColor="text1"/>
          <w:sz w:val="24"/>
          <w:szCs w:val="24"/>
        </w:rPr>
        <w:t xml:space="preserve"> decisions made in connection with the </w:t>
      </w:r>
      <w:r w:rsidR="0021345E">
        <w:rPr>
          <w:rFonts w:ascii="Times New Roman" w:hAnsi="Times New Roman" w:cs="Times New Roman"/>
          <w:bCs/>
          <w:iCs/>
          <w:color w:val="000000" w:themeColor="text1"/>
          <w:sz w:val="24"/>
          <w:szCs w:val="24"/>
        </w:rPr>
        <w:t>two grants</w:t>
      </w:r>
      <w:r w:rsidR="006A5D54" w:rsidRPr="006A5D54">
        <w:rPr>
          <w:rFonts w:ascii="Times New Roman" w:hAnsi="Times New Roman" w:cs="Times New Roman"/>
          <w:bCs/>
          <w:iCs/>
          <w:color w:val="000000" w:themeColor="text1"/>
          <w:sz w:val="24"/>
          <w:szCs w:val="24"/>
        </w:rPr>
        <w:t xml:space="preserve"> program</w:t>
      </w:r>
      <w:r w:rsidR="0021345E">
        <w:rPr>
          <w:rFonts w:ascii="Times New Roman" w:hAnsi="Times New Roman" w:cs="Times New Roman"/>
          <w:bCs/>
          <w:iCs/>
          <w:color w:val="000000" w:themeColor="text1"/>
          <w:sz w:val="24"/>
          <w:szCs w:val="24"/>
        </w:rPr>
        <w:t>s</w:t>
      </w:r>
      <w:r w:rsidR="006A5D54" w:rsidRPr="006A5D54">
        <w:rPr>
          <w:rFonts w:ascii="Times New Roman" w:hAnsi="Times New Roman" w:cs="Times New Roman"/>
          <w:bCs/>
          <w:iCs/>
          <w:color w:val="000000" w:themeColor="text1"/>
          <w:sz w:val="24"/>
          <w:szCs w:val="24"/>
        </w:rPr>
        <w:t xml:space="preserve"> are not considered suitable for independent merits review, as these decisions relate to the allocation of a finite resource, from which all potential claims for a share of the resource cannot be met. In addition, any funding that has already been allocated would be affected if the original decisions were overturned. The Administrative Review Council</w:t>
      </w:r>
      <w:r w:rsidR="0021345E">
        <w:rPr>
          <w:rFonts w:ascii="Times New Roman" w:hAnsi="Times New Roman" w:cs="Times New Roman"/>
          <w:bCs/>
          <w:iCs/>
          <w:color w:val="000000" w:themeColor="text1"/>
          <w:sz w:val="24"/>
          <w:szCs w:val="24"/>
        </w:rPr>
        <w:t xml:space="preserve"> (ARC)</w:t>
      </w:r>
      <w:r w:rsidR="006A5D54" w:rsidRPr="006A5D54">
        <w:rPr>
          <w:rFonts w:ascii="Times New Roman" w:hAnsi="Times New Roman" w:cs="Times New Roman"/>
          <w:bCs/>
          <w:iCs/>
          <w:color w:val="000000" w:themeColor="text1"/>
          <w:sz w:val="24"/>
          <w:szCs w:val="24"/>
        </w:rPr>
        <w:t xml:space="preserve"> has recognised that it is justifiable to exclude merits review in relation to decisions of this nature (see paragraphs 4.11 to 4.19 of the guide, </w:t>
      </w:r>
      <w:r w:rsidR="007E0C09">
        <w:rPr>
          <w:rFonts w:ascii="Times New Roman" w:hAnsi="Times New Roman" w:cs="Times New Roman"/>
          <w:bCs/>
          <w:i/>
          <w:iCs/>
          <w:color w:val="000000" w:themeColor="text1"/>
          <w:sz w:val="24"/>
          <w:szCs w:val="24"/>
        </w:rPr>
        <w:t>W</w:t>
      </w:r>
      <w:r w:rsidR="006A5D54" w:rsidRPr="006A5D54">
        <w:rPr>
          <w:rFonts w:ascii="Times New Roman" w:hAnsi="Times New Roman" w:cs="Times New Roman"/>
          <w:bCs/>
          <w:i/>
          <w:iCs/>
          <w:color w:val="000000" w:themeColor="text1"/>
          <w:sz w:val="24"/>
          <w:szCs w:val="24"/>
        </w:rPr>
        <w:t>hat decisions should be subject to merit review?</w:t>
      </w:r>
      <w:r w:rsidR="009C61CF" w:rsidRPr="003E6C0B">
        <w:rPr>
          <w:rFonts w:ascii="Times New Roman" w:hAnsi="Times New Roman" w:cs="Times New Roman"/>
          <w:bCs/>
          <w:color w:val="000000" w:themeColor="text1"/>
          <w:sz w:val="24"/>
          <w:szCs w:val="24"/>
        </w:rPr>
        <w:t xml:space="preserve"> </w:t>
      </w:r>
      <w:r w:rsidR="009C61CF">
        <w:rPr>
          <w:rFonts w:ascii="Times New Roman" w:hAnsi="Times New Roman" w:cs="Times New Roman"/>
          <w:bCs/>
          <w:color w:val="000000" w:themeColor="text1"/>
          <w:sz w:val="24"/>
          <w:szCs w:val="24"/>
        </w:rPr>
        <w:t>(ARC guide)</w:t>
      </w:r>
      <w:r w:rsidR="006A5D54" w:rsidRPr="006A5D54">
        <w:rPr>
          <w:rFonts w:ascii="Times New Roman" w:hAnsi="Times New Roman" w:cs="Times New Roman"/>
          <w:bCs/>
          <w:iCs/>
          <w:color w:val="000000" w:themeColor="text1"/>
          <w:sz w:val="24"/>
          <w:szCs w:val="24"/>
        </w:rPr>
        <w:t xml:space="preserve">). </w:t>
      </w:r>
    </w:p>
    <w:p w14:paraId="4CCCC4DE" w14:textId="77777777" w:rsidR="00144CA7" w:rsidRPr="006A5D54" w:rsidRDefault="00144CA7" w:rsidP="006A5D54">
      <w:pPr>
        <w:rPr>
          <w:rFonts w:ascii="Times New Roman" w:hAnsi="Times New Roman" w:cs="Times New Roman"/>
          <w:bCs/>
          <w:iCs/>
          <w:color w:val="000000" w:themeColor="text1"/>
          <w:sz w:val="24"/>
          <w:szCs w:val="24"/>
        </w:rPr>
      </w:pPr>
    </w:p>
    <w:p w14:paraId="192A7900" w14:textId="3863DBDA" w:rsidR="006A5D54" w:rsidRDefault="006A5D54" w:rsidP="006A5D54">
      <w:p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lastRenderedPageBreak/>
        <w:t xml:space="preserve">The remaking of a grant decision after entry into a contractual arrangement with a successful applicant is complex, impractical, and could result in delays to the development of products and services from one or more grant recipients. </w:t>
      </w:r>
    </w:p>
    <w:p w14:paraId="6FF4A925" w14:textId="77777777" w:rsidR="00144CA7" w:rsidRPr="006A5D54" w:rsidRDefault="00144CA7" w:rsidP="006A5D54">
      <w:pPr>
        <w:rPr>
          <w:rFonts w:ascii="Times New Roman" w:hAnsi="Times New Roman" w:cs="Times New Roman"/>
          <w:bCs/>
          <w:iCs/>
          <w:color w:val="000000" w:themeColor="text1"/>
          <w:sz w:val="24"/>
          <w:szCs w:val="24"/>
        </w:rPr>
      </w:pPr>
    </w:p>
    <w:p w14:paraId="0D70ABC7" w14:textId="0E921341" w:rsidR="006A5D54" w:rsidRPr="006A5D54" w:rsidRDefault="006A5D54" w:rsidP="006A5D54">
      <w:p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t>While the decisions are not considered suitable for independent merits review, the grant criteria outlined in the grant</w:t>
      </w:r>
      <w:r w:rsidR="00476F24">
        <w:rPr>
          <w:rFonts w:ascii="Times New Roman" w:hAnsi="Times New Roman" w:cs="Times New Roman"/>
          <w:bCs/>
          <w:iCs/>
          <w:color w:val="000000" w:themeColor="text1"/>
          <w:sz w:val="24"/>
          <w:szCs w:val="24"/>
        </w:rPr>
        <w:t xml:space="preserve"> opportunity</w:t>
      </w:r>
      <w:r w:rsidRPr="006A5D54">
        <w:rPr>
          <w:rFonts w:ascii="Times New Roman" w:hAnsi="Times New Roman" w:cs="Times New Roman"/>
          <w:bCs/>
          <w:iCs/>
          <w:color w:val="000000" w:themeColor="text1"/>
          <w:sz w:val="24"/>
          <w:szCs w:val="24"/>
        </w:rPr>
        <w:t xml:space="preserve"> guidelines and the use of a mixed panel are efforts to ensure the processes for allocating funds are fair and transparent</w:t>
      </w:r>
      <w:r w:rsidR="00A76C69">
        <w:rPr>
          <w:rFonts w:ascii="Times New Roman" w:hAnsi="Times New Roman" w:cs="Times New Roman"/>
          <w:bCs/>
          <w:iCs/>
          <w:color w:val="000000" w:themeColor="text1"/>
          <w:sz w:val="24"/>
          <w:szCs w:val="24"/>
        </w:rPr>
        <w:t>,</w:t>
      </w:r>
      <w:r w:rsidRPr="006A5D54">
        <w:rPr>
          <w:rFonts w:ascii="Times New Roman" w:hAnsi="Times New Roman" w:cs="Times New Roman"/>
          <w:bCs/>
          <w:iCs/>
          <w:color w:val="000000" w:themeColor="text1"/>
          <w:sz w:val="24"/>
          <w:szCs w:val="24"/>
        </w:rPr>
        <w:t xml:space="preserve"> the criteri</w:t>
      </w:r>
      <w:r w:rsidR="001812E3">
        <w:rPr>
          <w:rFonts w:ascii="Times New Roman" w:hAnsi="Times New Roman" w:cs="Times New Roman"/>
          <w:bCs/>
          <w:iCs/>
          <w:color w:val="000000" w:themeColor="text1"/>
          <w:sz w:val="24"/>
          <w:szCs w:val="24"/>
        </w:rPr>
        <w:t>a</w:t>
      </w:r>
      <w:r w:rsidRPr="006A5D54">
        <w:rPr>
          <w:rFonts w:ascii="Times New Roman" w:hAnsi="Times New Roman" w:cs="Times New Roman"/>
          <w:bCs/>
          <w:iCs/>
          <w:color w:val="000000" w:themeColor="text1"/>
          <w:sz w:val="24"/>
          <w:szCs w:val="24"/>
        </w:rPr>
        <w:t xml:space="preserve"> for funding </w:t>
      </w:r>
      <w:r w:rsidR="001812E3">
        <w:rPr>
          <w:rFonts w:ascii="Times New Roman" w:hAnsi="Times New Roman" w:cs="Times New Roman"/>
          <w:bCs/>
          <w:iCs/>
          <w:color w:val="000000" w:themeColor="text1"/>
          <w:sz w:val="24"/>
          <w:szCs w:val="24"/>
        </w:rPr>
        <w:t>are</w:t>
      </w:r>
      <w:r w:rsidRPr="006A5D54">
        <w:rPr>
          <w:rFonts w:ascii="Times New Roman" w:hAnsi="Times New Roman" w:cs="Times New Roman"/>
          <w:bCs/>
          <w:iCs/>
          <w:color w:val="000000" w:themeColor="text1"/>
          <w:sz w:val="24"/>
          <w:szCs w:val="24"/>
        </w:rPr>
        <w:t xml:space="preserve"> made clear</w:t>
      </w:r>
      <w:r w:rsidR="00A76C69">
        <w:rPr>
          <w:rFonts w:ascii="Times New Roman" w:hAnsi="Times New Roman" w:cs="Times New Roman"/>
          <w:bCs/>
          <w:iCs/>
          <w:color w:val="000000" w:themeColor="text1"/>
          <w:sz w:val="24"/>
          <w:szCs w:val="24"/>
        </w:rPr>
        <w:t>,</w:t>
      </w:r>
      <w:r w:rsidRPr="006A5D54">
        <w:rPr>
          <w:rFonts w:ascii="Times New Roman" w:hAnsi="Times New Roman" w:cs="Times New Roman"/>
          <w:bCs/>
          <w:iCs/>
          <w:color w:val="000000" w:themeColor="text1"/>
          <w:sz w:val="24"/>
          <w:szCs w:val="24"/>
        </w:rPr>
        <w:t xml:space="preserve"> and decisions are made objectively. </w:t>
      </w:r>
      <w:r w:rsidR="007E0C09">
        <w:rPr>
          <w:rFonts w:ascii="Times New Roman" w:hAnsi="Times New Roman" w:cs="Times New Roman"/>
          <w:bCs/>
          <w:iCs/>
          <w:color w:val="000000" w:themeColor="text1"/>
          <w:sz w:val="24"/>
          <w:szCs w:val="24"/>
        </w:rPr>
        <w:t>The department</w:t>
      </w:r>
      <w:r w:rsidRPr="006A5D54">
        <w:rPr>
          <w:rFonts w:ascii="Times New Roman" w:hAnsi="Times New Roman" w:cs="Times New Roman"/>
          <w:bCs/>
          <w:iCs/>
          <w:color w:val="000000" w:themeColor="text1"/>
          <w:sz w:val="24"/>
          <w:szCs w:val="24"/>
        </w:rPr>
        <w:t xml:space="preserve"> is the most appropriate organisation to administer grants specifically relating to FTAs and to assess and analyse the validity and appropriateness of potential recommendations. The overall process is informed by the verification of claims in </w:t>
      </w:r>
      <w:r w:rsidR="006B3860">
        <w:rPr>
          <w:rFonts w:ascii="Times New Roman" w:hAnsi="Times New Roman" w:cs="Times New Roman"/>
          <w:bCs/>
          <w:iCs/>
          <w:color w:val="000000" w:themeColor="text1"/>
          <w:sz w:val="24"/>
          <w:szCs w:val="24"/>
        </w:rPr>
        <w:t>the department’s</w:t>
      </w:r>
      <w:r w:rsidRPr="006A5D54">
        <w:rPr>
          <w:rFonts w:ascii="Times New Roman" w:hAnsi="Times New Roman" w:cs="Times New Roman"/>
          <w:bCs/>
          <w:iCs/>
          <w:color w:val="000000" w:themeColor="text1"/>
          <w:sz w:val="24"/>
          <w:szCs w:val="24"/>
        </w:rPr>
        <w:t xml:space="preserve"> project proposal, consideration of suitability of the applicants and development of a multi-stage assessment and selection methodology.</w:t>
      </w:r>
    </w:p>
    <w:p w14:paraId="65DD5E1A" w14:textId="77777777" w:rsidR="006A5D54" w:rsidRPr="006A5D54" w:rsidRDefault="006A5D54" w:rsidP="006A5D54">
      <w:pPr>
        <w:rPr>
          <w:rFonts w:ascii="Times New Roman" w:hAnsi="Times New Roman" w:cs="Times New Roman"/>
          <w:bCs/>
          <w:iCs/>
          <w:color w:val="000000" w:themeColor="text1"/>
          <w:sz w:val="24"/>
          <w:szCs w:val="24"/>
        </w:rPr>
      </w:pPr>
    </w:p>
    <w:p w14:paraId="7CF776EC" w14:textId="5DA2A63B" w:rsidR="006A5D54" w:rsidRPr="006A5D54" w:rsidRDefault="006A5D54" w:rsidP="006A5D54">
      <w:p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t xml:space="preserve">The review and audit process undertaken by the </w:t>
      </w:r>
      <w:r w:rsidR="00DB6A89">
        <w:rPr>
          <w:rFonts w:ascii="Times New Roman" w:hAnsi="Times New Roman" w:cs="Times New Roman"/>
          <w:bCs/>
          <w:iCs/>
          <w:color w:val="000000" w:themeColor="text1"/>
          <w:sz w:val="24"/>
          <w:szCs w:val="24"/>
        </w:rPr>
        <w:t>Australian National Audit Office (</w:t>
      </w:r>
      <w:r w:rsidRPr="006A5D54">
        <w:rPr>
          <w:rFonts w:ascii="Times New Roman" w:hAnsi="Times New Roman" w:cs="Times New Roman"/>
          <w:bCs/>
          <w:iCs/>
          <w:color w:val="000000" w:themeColor="text1"/>
          <w:sz w:val="24"/>
          <w:szCs w:val="24"/>
        </w:rPr>
        <w:t>ANAO</w:t>
      </w:r>
      <w:r w:rsidR="00DB6A89">
        <w:rPr>
          <w:rFonts w:ascii="Times New Roman" w:hAnsi="Times New Roman" w:cs="Times New Roman"/>
          <w:bCs/>
          <w:iCs/>
          <w:color w:val="000000" w:themeColor="text1"/>
          <w:sz w:val="24"/>
          <w:szCs w:val="24"/>
        </w:rPr>
        <w:t>)</w:t>
      </w:r>
      <w:r w:rsidR="00A21785">
        <w:rPr>
          <w:rFonts w:ascii="Times New Roman" w:hAnsi="Times New Roman" w:cs="Times New Roman"/>
          <w:bCs/>
          <w:iCs/>
          <w:color w:val="000000" w:themeColor="text1"/>
          <w:sz w:val="24"/>
          <w:szCs w:val="24"/>
        </w:rPr>
        <w:t xml:space="preserve"> </w:t>
      </w:r>
      <w:r w:rsidRPr="006A5D54">
        <w:rPr>
          <w:rFonts w:ascii="Times New Roman" w:hAnsi="Times New Roman" w:cs="Times New Roman"/>
          <w:bCs/>
          <w:iCs/>
          <w:color w:val="000000" w:themeColor="text1"/>
          <w:sz w:val="24"/>
          <w:szCs w:val="24"/>
        </w:rPr>
        <w:t>also provides a mechanism to review Australian Government spending decisions and report any concerns to the Parliament. These requirements and mechanisms help to ensure the proper use of Commonwealth resources and appropriate transparency around decisions relating to the making, varying or administering of arrangements to spend relevant money.</w:t>
      </w:r>
    </w:p>
    <w:p w14:paraId="16D9FED6" w14:textId="77777777" w:rsidR="00A35B9C" w:rsidRDefault="00A35B9C" w:rsidP="006A5D54">
      <w:pPr>
        <w:rPr>
          <w:rFonts w:ascii="Times New Roman" w:hAnsi="Times New Roman" w:cs="Times New Roman"/>
          <w:bCs/>
          <w:iCs/>
          <w:color w:val="000000" w:themeColor="text1"/>
          <w:sz w:val="24"/>
          <w:szCs w:val="24"/>
        </w:rPr>
      </w:pPr>
    </w:p>
    <w:p w14:paraId="0392BC98" w14:textId="56B89592" w:rsidR="006A5D54" w:rsidRPr="006A5D54" w:rsidRDefault="006A5D54" w:rsidP="006A5D54">
      <w:p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t xml:space="preserve">The Government has, </w:t>
      </w:r>
      <w:proofErr w:type="gramStart"/>
      <w:r w:rsidRPr="006A5D54">
        <w:rPr>
          <w:rFonts w:ascii="Times New Roman" w:hAnsi="Times New Roman" w:cs="Times New Roman"/>
          <w:bCs/>
          <w:iCs/>
          <w:color w:val="000000" w:themeColor="text1"/>
          <w:sz w:val="24"/>
          <w:szCs w:val="24"/>
        </w:rPr>
        <w:t>in the course of</w:t>
      </w:r>
      <w:proofErr w:type="gramEnd"/>
      <w:r w:rsidRPr="006A5D54">
        <w:rPr>
          <w:rFonts w:ascii="Times New Roman" w:hAnsi="Times New Roman" w:cs="Times New Roman"/>
          <w:bCs/>
          <w:iCs/>
          <w:color w:val="000000" w:themeColor="text1"/>
          <w:sz w:val="24"/>
          <w:szCs w:val="24"/>
        </w:rPr>
        <w:t xml:space="preserve"> its usual business, and through targeted stakeholder engagement sessions, consult</w:t>
      </w:r>
      <w:r w:rsidR="002D7C44">
        <w:rPr>
          <w:rFonts w:ascii="Times New Roman" w:hAnsi="Times New Roman" w:cs="Times New Roman"/>
          <w:bCs/>
          <w:iCs/>
          <w:color w:val="000000" w:themeColor="text1"/>
          <w:sz w:val="24"/>
          <w:szCs w:val="24"/>
        </w:rPr>
        <w:t>ed</w:t>
      </w:r>
      <w:r w:rsidRPr="006A5D54">
        <w:rPr>
          <w:rFonts w:ascii="Times New Roman" w:hAnsi="Times New Roman" w:cs="Times New Roman"/>
          <w:bCs/>
          <w:iCs/>
          <w:color w:val="000000" w:themeColor="text1"/>
          <w:sz w:val="24"/>
          <w:szCs w:val="24"/>
        </w:rPr>
        <w:t xml:space="preserve"> with industry, trade-exposed stakeholders, unions, peak bodies, community groups and state and territory governments, among others, on:</w:t>
      </w:r>
    </w:p>
    <w:p w14:paraId="2F59C81F" w14:textId="4DB1955E" w:rsidR="006A5D54" w:rsidRPr="006A5D54" w:rsidRDefault="006A5D54" w:rsidP="006A5D54">
      <w:pPr>
        <w:numPr>
          <w:ilvl w:val="0"/>
          <w:numId w:val="22"/>
        </w:num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t xml:space="preserve">whether Australia’s network of FTAs </w:t>
      </w:r>
      <w:proofErr w:type="gramStart"/>
      <w:r w:rsidRPr="006A5D54">
        <w:rPr>
          <w:rFonts w:ascii="Times New Roman" w:hAnsi="Times New Roman" w:cs="Times New Roman"/>
          <w:bCs/>
          <w:iCs/>
          <w:color w:val="000000" w:themeColor="text1"/>
          <w:sz w:val="24"/>
          <w:szCs w:val="24"/>
        </w:rPr>
        <w:t>are</w:t>
      </w:r>
      <w:proofErr w:type="gramEnd"/>
      <w:r w:rsidRPr="006A5D54">
        <w:rPr>
          <w:rFonts w:ascii="Times New Roman" w:hAnsi="Times New Roman" w:cs="Times New Roman"/>
          <w:bCs/>
          <w:iCs/>
          <w:color w:val="000000" w:themeColor="text1"/>
          <w:sz w:val="24"/>
          <w:szCs w:val="24"/>
        </w:rPr>
        <w:t xml:space="preserve"> fit for purpose and how </w:t>
      </w:r>
      <w:r w:rsidR="00210464">
        <w:rPr>
          <w:rFonts w:ascii="Times New Roman" w:hAnsi="Times New Roman" w:cs="Times New Roman"/>
          <w:bCs/>
          <w:iCs/>
          <w:color w:val="000000" w:themeColor="text1"/>
          <w:sz w:val="24"/>
          <w:szCs w:val="24"/>
        </w:rPr>
        <w:t>Australia’s</w:t>
      </w:r>
      <w:r w:rsidR="00210464" w:rsidRPr="006A5D54">
        <w:rPr>
          <w:rFonts w:ascii="Times New Roman" w:hAnsi="Times New Roman" w:cs="Times New Roman"/>
          <w:bCs/>
          <w:iCs/>
          <w:color w:val="000000" w:themeColor="text1"/>
          <w:sz w:val="24"/>
          <w:szCs w:val="24"/>
        </w:rPr>
        <w:t xml:space="preserve"> </w:t>
      </w:r>
      <w:r w:rsidRPr="006A5D54">
        <w:rPr>
          <w:rFonts w:ascii="Times New Roman" w:hAnsi="Times New Roman" w:cs="Times New Roman"/>
          <w:bCs/>
          <w:iCs/>
          <w:color w:val="000000" w:themeColor="text1"/>
          <w:sz w:val="24"/>
          <w:szCs w:val="24"/>
        </w:rPr>
        <w:t>FTAs could be enhanced; and</w:t>
      </w:r>
    </w:p>
    <w:p w14:paraId="225F09E1" w14:textId="77777777" w:rsidR="006A5D54" w:rsidRPr="006A5D54" w:rsidRDefault="006A5D54" w:rsidP="006A5D54">
      <w:pPr>
        <w:numPr>
          <w:ilvl w:val="0"/>
          <w:numId w:val="22"/>
        </w:num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t xml:space="preserve">Australia’s professional services and mutual recognition commitments and how those commitments could be enhanced.  </w:t>
      </w:r>
    </w:p>
    <w:p w14:paraId="110236C8" w14:textId="77777777" w:rsidR="00A35B9C" w:rsidRDefault="00A35B9C" w:rsidP="006A5D54">
      <w:pPr>
        <w:rPr>
          <w:rFonts w:ascii="Times New Roman" w:hAnsi="Times New Roman" w:cs="Times New Roman"/>
          <w:bCs/>
          <w:i/>
          <w:iCs/>
          <w:color w:val="000000" w:themeColor="text1"/>
          <w:sz w:val="24"/>
          <w:szCs w:val="24"/>
        </w:rPr>
      </w:pPr>
    </w:p>
    <w:p w14:paraId="418920EE" w14:textId="15583CAA" w:rsidR="006A5D54" w:rsidRPr="006A5D54" w:rsidRDefault="002E0F96" w:rsidP="00026982">
      <w:pPr>
        <w:keepNext/>
        <w:rPr>
          <w:rFonts w:ascii="Times New Roman" w:hAnsi="Times New Roman" w:cs="Times New Roman"/>
          <w:bCs/>
          <w:i/>
          <w:iCs/>
          <w:color w:val="000000" w:themeColor="text1"/>
          <w:sz w:val="24"/>
          <w:szCs w:val="24"/>
        </w:rPr>
      </w:pPr>
      <w:r>
        <w:rPr>
          <w:rFonts w:ascii="Times New Roman" w:hAnsi="Times New Roman" w:cs="Times New Roman"/>
          <w:bCs/>
          <w:color w:val="000000" w:themeColor="text1"/>
          <w:sz w:val="24"/>
          <w:szCs w:val="24"/>
        </w:rPr>
        <w:t>Under the FTAM</w:t>
      </w:r>
      <w:r w:rsidR="005727F0">
        <w:rPr>
          <w:rFonts w:ascii="Times New Roman" w:hAnsi="Times New Roman" w:cs="Times New Roman"/>
          <w:bCs/>
          <w:color w:val="000000" w:themeColor="text1"/>
          <w:sz w:val="24"/>
          <w:szCs w:val="24"/>
        </w:rPr>
        <w:t xml:space="preserve"> </w:t>
      </w:r>
      <w:r w:rsidR="009B6980">
        <w:rPr>
          <w:rFonts w:ascii="Times New Roman" w:hAnsi="Times New Roman" w:cs="Times New Roman"/>
          <w:bCs/>
          <w:color w:val="000000" w:themeColor="text1"/>
          <w:sz w:val="24"/>
          <w:szCs w:val="24"/>
        </w:rPr>
        <w:t>g</w:t>
      </w:r>
      <w:r>
        <w:rPr>
          <w:rFonts w:ascii="Times New Roman" w:hAnsi="Times New Roman" w:cs="Times New Roman"/>
          <w:bCs/>
          <w:color w:val="000000" w:themeColor="text1"/>
          <w:sz w:val="24"/>
          <w:szCs w:val="24"/>
        </w:rPr>
        <w:t>rant program</w:t>
      </w:r>
      <w:r w:rsidR="006A5D54" w:rsidRPr="006A5D54">
        <w:rPr>
          <w:rFonts w:ascii="Times New Roman" w:hAnsi="Times New Roman" w:cs="Times New Roman"/>
          <w:bCs/>
          <w:color w:val="000000" w:themeColor="text1"/>
          <w:sz w:val="24"/>
          <w:szCs w:val="24"/>
        </w:rPr>
        <w:t xml:space="preserve">, </w:t>
      </w:r>
      <w:r w:rsidR="00FE3121" w:rsidRPr="00FE3121">
        <w:rPr>
          <w:rFonts w:ascii="Times New Roman" w:hAnsi="Times New Roman" w:cs="Times New Roman"/>
          <w:bCs/>
          <w:color w:val="000000" w:themeColor="text1"/>
          <w:sz w:val="24"/>
          <w:szCs w:val="24"/>
        </w:rPr>
        <w:t xml:space="preserve">the Moore Report </w:t>
      </w:r>
      <w:r w:rsidR="006A5D54" w:rsidRPr="006A5D54">
        <w:rPr>
          <w:rFonts w:ascii="Times New Roman" w:hAnsi="Times New Roman" w:cs="Times New Roman"/>
          <w:bCs/>
          <w:color w:val="000000" w:themeColor="text1"/>
          <w:sz w:val="24"/>
          <w:szCs w:val="24"/>
        </w:rPr>
        <w:t>was</w:t>
      </w:r>
      <w:r w:rsidR="006A5D54" w:rsidRPr="006A5D54">
        <w:rPr>
          <w:rFonts w:ascii="Times New Roman" w:hAnsi="Times New Roman" w:cs="Times New Roman"/>
          <w:bCs/>
          <w:iCs/>
          <w:color w:val="000000" w:themeColor="text1"/>
          <w:sz w:val="24"/>
          <w:szCs w:val="24"/>
        </w:rPr>
        <w:t xml:space="preserve"> guided by extensive stakeholder engagement across Australia as well as a variety of submissions including from individuals and organisations with international trade and investment expertise, ultimately informing the recommendation to </w:t>
      </w:r>
      <w:r w:rsidR="00E720AE">
        <w:rPr>
          <w:rFonts w:ascii="Times New Roman" w:hAnsi="Times New Roman" w:cs="Times New Roman"/>
          <w:bCs/>
          <w:iCs/>
          <w:color w:val="000000" w:themeColor="text1"/>
          <w:sz w:val="24"/>
          <w:szCs w:val="24"/>
        </w:rPr>
        <w:t xml:space="preserve">identify opportunities to </w:t>
      </w:r>
      <w:r w:rsidR="006A5D54" w:rsidRPr="006A5D54">
        <w:rPr>
          <w:rFonts w:ascii="Times New Roman" w:hAnsi="Times New Roman" w:cs="Times New Roman"/>
          <w:bCs/>
          <w:iCs/>
          <w:color w:val="000000" w:themeColor="text1"/>
          <w:sz w:val="24"/>
          <w:szCs w:val="24"/>
        </w:rPr>
        <w:t xml:space="preserve">modernise and enhance Australia’s FTAs in Southeast Asia. </w:t>
      </w:r>
    </w:p>
    <w:p w14:paraId="08051BD8" w14:textId="77777777" w:rsidR="00A35B9C" w:rsidRDefault="00A35B9C" w:rsidP="006A5D54">
      <w:pPr>
        <w:rPr>
          <w:rFonts w:ascii="Times New Roman" w:hAnsi="Times New Roman" w:cs="Times New Roman"/>
          <w:bCs/>
          <w:iCs/>
          <w:color w:val="000000" w:themeColor="text1"/>
          <w:sz w:val="24"/>
          <w:szCs w:val="24"/>
        </w:rPr>
      </w:pPr>
    </w:p>
    <w:p w14:paraId="44C12007" w14:textId="0C602883" w:rsidR="006A5D54" w:rsidRDefault="000913F1" w:rsidP="006A5D54">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department</w:t>
      </w:r>
      <w:r w:rsidR="006A5D54" w:rsidRPr="006A5D54">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will </w:t>
      </w:r>
      <w:r w:rsidR="006A5D54" w:rsidRPr="006A5D54">
        <w:rPr>
          <w:rFonts w:ascii="Times New Roman" w:hAnsi="Times New Roman" w:cs="Times New Roman"/>
          <w:bCs/>
          <w:iCs/>
          <w:color w:val="000000" w:themeColor="text1"/>
          <w:sz w:val="24"/>
          <w:szCs w:val="24"/>
        </w:rPr>
        <w:t xml:space="preserve">also conduct stakeholder outreach approximately three months ahead of the grants program being published, to inform how best to shape the grant opportunity and to gauge the kinds of activities that would be most beneficial for the government’s </w:t>
      </w:r>
      <w:r w:rsidR="00410B5E">
        <w:rPr>
          <w:rFonts w:ascii="Times New Roman" w:hAnsi="Times New Roman" w:cs="Times New Roman"/>
          <w:bCs/>
          <w:iCs/>
          <w:color w:val="000000" w:themeColor="text1"/>
          <w:sz w:val="24"/>
          <w:szCs w:val="24"/>
        </w:rPr>
        <w:t>T</w:t>
      </w:r>
      <w:r w:rsidR="006A5D54" w:rsidRPr="006A5D54">
        <w:rPr>
          <w:rFonts w:ascii="Times New Roman" w:hAnsi="Times New Roman" w:cs="Times New Roman"/>
          <w:bCs/>
          <w:iCs/>
          <w:color w:val="000000" w:themeColor="text1"/>
          <w:sz w:val="24"/>
          <w:szCs w:val="24"/>
        </w:rPr>
        <w:t xml:space="preserve">rade </w:t>
      </w:r>
      <w:r w:rsidR="00410B5E">
        <w:rPr>
          <w:rFonts w:ascii="Times New Roman" w:hAnsi="Times New Roman" w:cs="Times New Roman"/>
          <w:bCs/>
          <w:iCs/>
          <w:color w:val="000000" w:themeColor="text1"/>
          <w:sz w:val="24"/>
          <w:szCs w:val="24"/>
        </w:rPr>
        <w:t>A</w:t>
      </w:r>
      <w:r w:rsidR="006A5D54" w:rsidRPr="006A5D54">
        <w:rPr>
          <w:rFonts w:ascii="Times New Roman" w:hAnsi="Times New Roman" w:cs="Times New Roman"/>
          <w:bCs/>
          <w:iCs/>
          <w:color w:val="000000" w:themeColor="text1"/>
          <w:sz w:val="24"/>
          <w:szCs w:val="24"/>
        </w:rPr>
        <w:t xml:space="preserve">genda to 2040. The consultations will specifically target stakeholders likely to be affected by the grants program and will be carried out across states and territories.  </w:t>
      </w:r>
    </w:p>
    <w:p w14:paraId="1517C82F" w14:textId="77777777" w:rsidR="002F50A3" w:rsidRPr="006A5D54" w:rsidRDefault="002F50A3" w:rsidP="006A5D54">
      <w:pPr>
        <w:rPr>
          <w:rFonts w:ascii="Times New Roman" w:hAnsi="Times New Roman" w:cs="Times New Roman"/>
          <w:bCs/>
          <w:iCs/>
          <w:color w:val="000000" w:themeColor="text1"/>
          <w:sz w:val="24"/>
          <w:szCs w:val="24"/>
        </w:rPr>
      </w:pPr>
    </w:p>
    <w:p w14:paraId="3FF69704" w14:textId="79C560CA" w:rsidR="006A5D54" w:rsidRDefault="002F50A3" w:rsidP="006A5D54">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department</w:t>
      </w:r>
      <w:r w:rsidR="006A5D54" w:rsidRPr="006A5D54">
        <w:rPr>
          <w:rFonts w:ascii="Times New Roman" w:hAnsi="Times New Roman" w:cs="Times New Roman"/>
          <w:bCs/>
          <w:iCs/>
          <w:color w:val="000000" w:themeColor="text1"/>
          <w:sz w:val="24"/>
          <w:szCs w:val="24"/>
        </w:rPr>
        <w:t xml:space="preserve"> is in regular contact with whole-of-government stakeholders who contribute to the department’s ongoing awareness of areas for potential modernisation and enhancement in Australia’s network of FTAs, as well as identifying industries and sectors who would benefit from consultation and any subsequent modernisation. </w:t>
      </w:r>
    </w:p>
    <w:p w14:paraId="3A149003" w14:textId="77777777" w:rsidR="002F50A3" w:rsidRPr="006A5D54" w:rsidRDefault="002F50A3" w:rsidP="006A5D54">
      <w:pPr>
        <w:rPr>
          <w:rFonts w:ascii="Times New Roman" w:hAnsi="Times New Roman" w:cs="Times New Roman"/>
          <w:bCs/>
          <w:iCs/>
          <w:color w:val="000000" w:themeColor="text1"/>
          <w:sz w:val="24"/>
          <w:szCs w:val="24"/>
        </w:rPr>
      </w:pPr>
    </w:p>
    <w:p w14:paraId="720C528F" w14:textId="4869444F" w:rsidR="006A5D54" w:rsidRPr="006A5D54" w:rsidRDefault="006A5D54" w:rsidP="006A5D54">
      <w:pPr>
        <w:rPr>
          <w:rFonts w:ascii="Times New Roman" w:hAnsi="Times New Roman" w:cs="Times New Roman"/>
          <w:bCs/>
          <w:iCs/>
          <w:color w:val="000000" w:themeColor="text1"/>
          <w:sz w:val="24"/>
          <w:szCs w:val="24"/>
        </w:rPr>
      </w:pPr>
      <w:r w:rsidRPr="006A5D54">
        <w:rPr>
          <w:rFonts w:ascii="Times New Roman" w:hAnsi="Times New Roman" w:cs="Times New Roman"/>
          <w:bCs/>
          <w:iCs/>
          <w:color w:val="000000" w:themeColor="text1"/>
          <w:sz w:val="24"/>
          <w:szCs w:val="24"/>
        </w:rPr>
        <w:t xml:space="preserve">In parallel </w:t>
      </w:r>
      <w:r w:rsidR="005650B9">
        <w:rPr>
          <w:rFonts w:ascii="Times New Roman" w:hAnsi="Times New Roman" w:cs="Times New Roman"/>
          <w:bCs/>
          <w:iCs/>
          <w:color w:val="000000" w:themeColor="text1"/>
          <w:sz w:val="24"/>
          <w:szCs w:val="24"/>
        </w:rPr>
        <w:t>with</w:t>
      </w:r>
      <w:r w:rsidRPr="006A5D54">
        <w:rPr>
          <w:rFonts w:ascii="Times New Roman" w:hAnsi="Times New Roman" w:cs="Times New Roman"/>
          <w:bCs/>
          <w:iCs/>
          <w:color w:val="000000" w:themeColor="text1"/>
          <w:sz w:val="24"/>
          <w:szCs w:val="24"/>
        </w:rPr>
        <w:t xml:space="preserve"> the grants program, the </w:t>
      </w:r>
      <w:r w:rsidR="00C56906">
        <w:rPr>
          <w:rFonts w:ascii="Times New Roman" w:hAnsi="Times New Roman" w:cs="Times New Roman"/>
          <w:bCs/>
          <w:iCs/>
          <w:color w:val="000000" w:themeColor="text1"/>
          <w:sz w:val="24"/>
          <w:szCs w:val="24"/>
        </w:rPr>
        <w:t>d</w:t>
      </w:r>
      <w:r w:rsidRPr="006A5D54">
        <w:rPr>
          <w:rFonts w:ascii="Times New Roman" w:hAnsi="Times New Roman" w:cs="Times New Roman"/>
          <w:bCs/>
          <w:iCs/>
          <w:color w:val="000000" w:themeColor="text1"/>
          <w:sz w:val="24"/>
          <w:szCs w:val="24"/>
        </w:rPr>
        <w:t xml:space="preserve">epartment is conducting a comprehensive review of Australia’s FTAs with Southeast Asia, which will involve consultation with the diplomatic network, partner governments, FTA chapter subject matter experts, and a call for submissions from the public on where the government’s efforts should be focused regarding the modernisation of our FTAs. This review process will inform </w:t>
      </w:r>
      <w:r w:rsidR="002F50A3">
        <w:rPr>
          <w:rFonts w:ascii="Times New Roman" w:hAnsi="Times New Roman" w:cs="Times New Roman"/>
          <w:bCs/>
          <w:iCs/>
          <w:color w:val="000000" w:themeColor="text1"/>
          <w:sz w:val="24"/>
          <w:szCs w:val="24"/>
        </w:rPr>
        <w:t>the department</w:t>
      </w:r>
      <w:r w:rsidRPr="006A5D54">
        <w:rPr>
          <w:rFonts w:ascii="Times New Roman" w:hAnsi="Times New Roman" w:cs="Times New Roman"/>
          <w:bCs/>
          <w:iCs/>
          <w:color w:val="000000" w:themeColor="text1"/>
          <w:sz w:val="24"/>
          <w:szCs w:val="24"/>
        </w:rPr>
        <w:t xml:space="preserve">’s approach to the </w:t>
      </w:r>
      <w:r w:rsidRPr="006A5D54">
        <w:rPr>
          <w:rFonts w:ascii="Times New Roman" w:hAnsi="Times New Roman" w:cs="Times New Roman"/>
          <w:bCs/>
          <w:iCs/>
          <w:color w:val="000000" w:themeColor="text1"/>
          <w:sz w:val="24"/>
          <w:szCs w:val="24"/>
        </w:rPr>
        <w:lastRenderedPageBreak/>
        <w:t>grants program, particularly the second round of grants, which is expected to open in July</w:t>
      </w:r>
      <w:r w:rsidR="00C56906">
        <w:rPr>
          <w:rFonts w:ascii="Times New Roman" w:hAnsi="Times New Roman" w:cs="Times New Roman"/>
          <w:bCs/>
          <w:iCs/>
          <w:color w:val="000000" w:themeColor="text1"/>
          <w:sz w:val="24"/>
          <w:szCs w:val="24"/>
        </w:rPr>
        <w:t> </w:t>
      </w:r>
      <w:r w:rsidRPr="006A5D54">
        <w:rPr>
          <w:rFonts w:ascii="Times New Roman" w:hAnsi="Times New Roman" w:cs="Times New Roman"/>
          <w:bCs/>
          <w:iCs/>
          <w:color w:val="000000" w:themeColor="text1"/>
          <w:sz w:val="24"/>
          <w:szCs w:val="24"/>
        </w:rPr>
        <w:t xml:space="preserve">2025. </w:t>
      </w:r>
    </w:p>
    <w:p w14:paraId="5DC83D8B" w14:textId="77777777" w:rsidR="006A5D54" w:rsidRPr="006A5D54" w:rsidRDefault="006A5D54" w:rsidP="006A5D54">
      <w:pPr>
        <w:rPr>
          <w:rFonts w:ascii="Times New Roman" w:hAnsi="Times New Roman" w:cs="Times New Roman"/>
          <w:bCs/>
          <w:i/>
          <w:iCs/>
          <w:color w:val="000000" w:themeColor="text1"/>
          <w:sz w:val="24"/>
          <w:szCs w:val="24"/>
        </w:rPr>
      </w:pPr>
    </w:p>
    <w:p w14:paraId="604ABA62" w14:textId="0AD67F17" w:rsidR="006A5D54" w:rsidRPr="006A5D54" w:rsidRDefault="00C40E68" w:rsidP="006A5D54">
      <w:pPr>
        <w:rPr>
          <w:rFonts w:ascii="Times New Roman" w:hAnsi="Times New Roman" w:cs="Times New Roman"/>
          <w:bCs/>
          <w:i/>
          <w:iCs/>
          <w:color w:val="000000" w:themeColor="text1"/>
          <w:sz w:val="24"/>
          <w:szCs w:val="24"/>
        </w:rPr>
      </w:pPr>
      <w:r>
        <w:rPr>
          <w:rFonts w:ascii="Times New Roman" w:hAnsi="Times New Roman" w:cs="Times New Roman"/>
          <w:bCs/>
          <w:color w:val="000000" w:themeColor="text1"/>
          <w:sz w:val="24"/>
          <w:szCs w:val="24"/>
        </w:rPr>
        <w:t xml:space="preserve">Under </w:t>
      </w:r>
      <w:r w:rsidR="00600893">
        <w:rPr>
          <w:rFonts w:ascii="Times New Roman" w:hAnsi="Times New Roman" w:cs="Times New Roman"/>
          <w:bCs/>
          <w:color w:val="000000" w:themeColor="text1"/>
          <w:sz w:val="24"/>
          <w:szCs w:val="24"/>
        </w:rPr>
        <w:t xml:space="preserve">the </w:t>
      </w:r>
      <w:r w:rsidR="00277203" w:rsidRPr="006A5D54">
        <w:rPr>
          <w:rFonts w:ascii="Times New Roman" w:hAnsi="Times New Roman" w:cs="Times New Roman"/>
          <w:bCs/>
          <w:color w:val="000000" w:themeColor="text1"/>
          <w:sz w:val="24"/>
          <w:szCs w:val="24"/>
        </w:rPr>
        <w:t xml:space="preserve">SEAMRPS </w:t>
      </w:r>
      <w:r w:rsidR="009B6980">
        <w:rPr>
          <w:rFonts w:ascii="Times New Roman" w:hAnsi="Times New Roman" w:cs="Times New Roman"/>
          <w:bCs/>
          <w:color w:val="000000" w:themeColor="text1"/>
          <w:sz w:val="24"/>
          <w:szCs w:val="24"/>
        </w:rPr>
        <w:t>g</w:t>
      </w:r>
      <w:r w:rsidR="00A23A80">
        <w:rPr>
          <w:rFonts w:ascii="Times New Roman" w:hAnsi="Times New Roman" w:cs="Times New Roman"/>
          <w:bCs/>
          <w:color w:val="000000" w:themeColor="text1"/>
          <w:sz w:val="24"/>
          <w:szCs w:val="24"/>
        </w:rPr>
        <w:t xml:space="preserve">rant </w:t>
      </w:r>
      <w:r w:rsidR="00600893">
        <w:rPr>
          <w:rFonts w:ascii="Times New Roman" w:hAnsi="Times New Roman" w:cs="Times New Roman"/>
          <w:bCs/>
          <w:color w:val="000000" w:themeColor="text1"/>
          <w:sz w:val="24"/>
          <w:szCs w:val="24"/>
        </w:rPr>
        <w:t>p</w:t>
      </w:r>
      <w:r w:rsidR="00277203" w:rsidRPr="006A5D54">
        <w:rPr>
          <w:rFonts w:ascii="Times New Roman" w:hAnsi="Times New Roman" w:cs="Times New Roman"/>
          <w:bCs/>
          <w:color w:val="000000" w:themeColor="text1"/>
          <w:sz w:val="24"/>
          <w:szCs w:val="24"/>
        </w:rPr>
        <w:t>rogram</w:t>
      </w:r>
      <w:r w:rsidR="00277203">
        <w:rPr>
          <w:rFonts w:ascii="Times New Roman" w:hAnsi="Times New Roman" w:cs="Times New Roman"/>
          <w:bCs/>
          <w:i/>
          <w:iCs/>
          <w:color w:val="000000" w:themeColor="text1"/>
          <w:sz w:val="24"/>
          <w:szCs w:val="24"/>
        </w:rPr>
        <w:t xml:space="preserve">, </w:t>
      </w:r>
      <w:r w:rsidR="00277203">
        <w:rPr>
          <w:rFonts w:ascii="Times New Roman" w:hAnsi="Times New Roman" w:cs="Times New Roman"/>
          <w:bCs/>
          <w:color w:val="000000" w:themeColor="text1"/>
          <w:sz w:val="24"/>
          <w:szCs w:val="24"/>
        </w:rPr>
        <w:t>t</w:t>
      </w:r>
      <w:r w:rsidR="006A5D54" w:rsidRPr="006A5D54">
        <w:rPr>
          <w:rFonts w:ascii="Times New Roman" w:hAnsi="Times New Roman" w:cs="Times New Roman"/>
          <w:bCs/>
          <w:iCs/>
          <w:color w:val="000000" w:themeColor="text1"/>
          <w:sz w:val="24"/>
          <w:szCs w:val="24"/>
        </w:rPr>
        <w:t xml:space="preserve">hrough the course of regular engagement with Australia’s professional service bodies, </w:t>
      </w:r>
      <w:r w:rsidR="00600893">
        <w:rPr>
          <w:rFonts w:ascii="Times New Roman" w:hAnsi="Times New Roman" w:cs="Times New Roman"/>
          <w:bCs/>
          <w:iCs/>
          <w:color w:val="000000" w:themeColor="text1"/>
          <w:sz w:val="24"/>
          <w:szCs w:val="24"/>
        </w:rPr>
        <w:t>the department</w:t>
      </w:r>
      <w:r w:rsidR="006A5D54" w:rsidRPr="006A5D54">
        <w:rPr>
          <w:rFonts w:ascii="Times New Roman" w:hAnsi="Times New Roman" w:cs="Times New Roman"/>
          <w:bCs/>
          <w:iCs/>
          <w:color w:val="000000" w:themeColor="text1"/>
          <w:sz w:val="24"/>
          <w:szCs w:val="24"/>
        </w:rPr>
        <w:t xml:space="preserve"> will discuss the grant program to inform how best to shape the grant opportunity and to gauge the kinds of activities that would be most beneficial to undertake. </w:t>
      </w:r>
      <w:r w:rsidR="00C56906">
        <w:rPr>
          <w:rFonts w:ascii="Times New Roman" w:hAnsi="Times New Roman" w:cs="Times New Roman"/>
          <w:bCs/>
          <w:iCs/>
          <w:color w:val="000000" w:themeColor="text1"/>
          <w:sz w:val="24"/>
          <w:szCs w:val="24"/>
        </w:rPr>
        <w:t>The department</w:t>
      </w:r>
      <w:r w:rsidR="006A5D54" w:rsidRPr="006A5D54">
        <w:rPr>
          <w:rFonts w:ascii="Times New Roman" w:hAnsi="Times New Roman" w:cs="Times New Roman"/>
          <w:bCs/>
          <w:iCs/>
          <w:color w:val="000000" w:themeColor="text1"/>
          <w:sz w:val="24"/>
          <w:szCs w:val="24"/>
        </w:rPr>
        <w:t xml:space="preserve"> will also commission an independent report in 2024 to investigate and identify the opportunities for mutual recognition of Australian professional services in Southeast Asia which will assist in the final design of the grant program. </w:t>
      </w:r>
    </w:p>
    <w:p w14:paraId="0725C598" w14:textId="77777777" w:rsidR="00BA76F4" w:rsidRDefault="00BA76F4" w:rsidP="00BA76F4">
      <w:pPr>
        <w:rPr>
          <w:rFonts w:ascii="Times New Roman" w:hAnsi="Times New Roman" w:cs="Times New Roman"/>
          <w:iCs/>
          <w:color w:val="000000" w:themeColor="text1"/>
          <w:sz w:val="24"/>
          <w:szCs w:val="24"/>
          <w:highlight w:val="yellow"/>
        </w:rPr>
      </w:pPr>
    </w:p>
    <w:p w14:paraId="4F1A1955" w14:textId="77777777" w:rsidR="00BA76F4" w:rsidRPr="00DC51F2" w:rsidRDefault="00BA76F4" w:rsidP="00BA76F4">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5A0CD254" w14:textId="77777777" w:rsidR="00306B4B" w:rsidRDefault="00306B4B" w:rsidP="008F4027">
      <w:pPr>
        <w:pStyle w:val="NumberLevel2"/>
        <w:numPr>
          <w:ilvl w:val="0"/>
          <w:numId w:val="0"/>
        </w:numPr>
        <w:spacing w:before="0" w:after="0"/>
        <w:rPr>
          <w:rFonts w:ascii="Times New Roman" w:hAnsi="Times New Roman" w:cs="Times New Roman"/>
          <w:sz w:val="24"/>
          <w:szCs w:val="24"/>
        </w:rPr>
      </w:pPr>
    </w:p>
    <w:p w14:paraId="2C6F90A6" w14:textId="6E839464" w:rsidR="00B11834" w:rsidRPr="00C8768B" w:rsidRDefault="00B11834" w:rsidP="00143162">
      <w:pPr>
        <w:pStyle w:val="NumberLevel2"/>
        <w:numPr>
          <w:ilvl w:val="0"/>
          <w:numId w:val="0"/>
        </w:numPr>
        <w:spacing w:before="0" w:after="0"/>
        <w:rPr>
          <w:rFonts w:ascii="Times New Roman" w:hAnsi="Times New Roman" w:cs="Times New Roman"/>
          <w:sz w:val="24"/>
          <w:szCs w:val="24"/>
        </w:rPr>
      </w:pPr>
      <w:r w:rsidRPr="00C8768B">
        <w:rPr>
          <w:rFonts w:ascii="Times New Roman" w:hAnsi="Times New Roman" w:cs="Times New Roman"/>
          <w:sz w:val="24"/>
          <w:szCs w:val="24"/>
        </w:rPr>
        <w:t xml:space="preserve">Noting that it is not a comprehensive statement of relevant constitutional considerations, the objective of the item references the following powers </w:t>
      </w:r>
      <w:r w:rsidR="008F4027">
        <w:rPr>
          <w:rFonts w:ascii="Times New Roman" w:hAnsi="Times New Roman" w:cs="Times New Roman"/>
          <w:sz w:val="24"/>
          <w:szCs w:val="24"/>
        </w:rPr>
        <w:t>of</w:t>
      </w:r>
      <w:r w:rsidR="008F4027" w:rsidRPr="00C8768B">
        <w:rPr>
          <w:rFonts w:ascii="Times New Roman" w:hAnsi="Times New Roman" w:cs="Times New Roman"/>
          <w:sz w:val="24"/>
          <w:szCs w:val="24"/>
        </w:rPr>
        <w:t xml:space="preserve"> </w:t>
      </w:r>
      <w:r w:rsidRPr="00C8768B">
        <w:rPr>
          <w:rFonts w:ascii="Times New Roman" w:hAnsi="Times New Roman" w:cs="Times New Roman"/>
          <w:sz w:val="24"/>
          <w:szCs w:val="24"/>
        </w:rPr>
        <w:t>the Constitution:</w:t>
      </w:r>
    </w:p>
    <w:p w14:paraId="4F0D068C" w14:textId="6DDD1A77" w:rsidR="00B11834" w:rsidRPr="00C8768B" w:rsidRDefault="008F4027" w:rsidP="00143162">
      <w:pPr>
        <w:pStyle w:val="ListParagraph"/>
        <w:numPr>
          <w:ilvl w:val="0"/>
          <w:numId w:val="24"/>
        </w:numPr>
        <w:suppressAutoHyphens/>
        <w:spacing w:after="0" w:line="260" w:lineRule="atLeast"/>
        <w:ind w:firstLineChars="200" w:firstLine="480"/>
        <w:contextualSpacing/>
        <w:rPr>
          <w:rFonts w:ascii="Times New Roman" w:hAnsi="Times New Roman"/>
          <w:sz w:val="24"/>
          <w:szCs w:val="24"/>
        </w:rPr>
      </w:pPr>
      <w:r>
        <w:rPr>
          <w:rFonts w:ascii="Times New Roman" w:hAnsi="Times New Roman"/>
          <w:sz w:val="24"/>
          <w:szCs w:val="24"/>
        </w:rPr>
        <w:t>the t</w:t>
      </w:r>
      <w:r w:rsidR="00B11834" w:rsidRPr="00C8768B">
        <w:rPr>
          <w:rFonts w:ascii="Times New Roman" w:hAnsi="Times New Roman"/>
          <w:sz w:val="24"/>
          <w:szCs w:val="24"/>
        </w:rPr>
        <w:t>rade and commerce power (s</w:t>
      </w:r>
      <w:r w:rsidR="00E80BBE">
        <w:rPr>
          <w:rFonts w:ascii="Times New Roman" w:hAnsi="Times New Roman"/>
          <w:sz w:val="24"/>
          <w:szCs w:val="24"/>
        </w:rPr>
        <w:t xml:space="preserve">ection </w:t>
      </w:r>
      <w:r w:rsidR="00B11834" w:rsidRPr="00C8768B">
        <w:rPr>
          <w:rFonts w:ascii="Times New Roman" w:hAnsi="Times New Roman"/>
          <w:sz w:val="24"/>
          <w:szCs w:val="24"/>
        </w:rPr>
        <w:t>51(</w:t>
      </w:r>
      <w:proofErr w:type="spellStart"/>
      <w:r w:rsidR="00B11834" w:rsidRPr="00C8768B">
        <w:rPr>
          <w:rFonts w:ascii="Times New Roman" w:hAnsi="Times New Roman"/>
          <w:sz w:val="24"/>
          <w:szCs w:val="24"/>
        </w:rPr>
        <w:t>i</w:t>
      </w:r>
      <w:proofErr w:type="spellEnd"/>
      <w:r w:rsidR="00B11834" w:rsidRPr="00C8768B">
        <w:rPr>
          <w:rFonts w:ascii="Times New Roman" w:hAnsi="Times New Roman"/>
          <w:sz w:val="24"/>
          <w:szCs w:val="24"/>
        </w:rPr>
        <w:t>))</w:t>
      </w:r>
      <w:r>
        <w:rPr>
          <w:rFonts w:ascii="Times New Roman" w:hAnsi="Times New Roman"/>
          <w:sz w:val="24"/>
          <w:szCs w:val="24"/>
        </w:rPr>
        <w:t>; and</w:t>
      </w:r>
    </w:p>
    <w:p w14:paraId="41C10552" w14:textId="6CBA6AA7" w:rsidR="00B11834" w:rsidRPr="00C8768B" w:rsidRDefault="008F4027" w:rsidP="00143162">
      <w:pPr>
        <w:pStyle w:val="ListParagraph"/>
        <w:numPr>
          <w:ilvl w:val="0"/>
          <w:numId w:val="24"/>
        </w:numPr>
        <w:suppressAutoHyphens/>
        <w:spacing w:after="0" w:line="260" w:lineRule="atLeast"/>
        <w:ind w:firstLineChars="200" w:firstLine="480"/>
        <w:contextualSpacing/>
        <w:rPr>
          <w:rFonts w:ascii="Times New Roman" w:hAnsi="Times New Roman"/>
          <w:sz w:val="24"/>
          <w:szCs w:val="24"/>
        </w:rPr>
      </w:pPr>
      <w:r>
        <w:rPr>
          <w:rFonts w:ascii="Times New Roman" w:hAnsi="Times New Roman"/>
          <w:sz w:val="24"/>
          <w:szCs w:val="24"/>
        </w:rPr>
        <w:t>the e</w:t>
      </w:r>
      <w:r w:rsidR="00B11834" w:rsidRPr="00C8768B">
        <w:rPr>
          <w:rFonts w:ascii="Times New Roman" w:hAnsi="Times New Roman"/>
          <w:sz w:val="24"/>
          <w:szCs w:val="24"/>
        </w:rPr>
        <w:t>xternal affairs power (s</w:t>
      </w:r>
      <w:r w:rsidR="00E80BBE">
        <w:rPr>
          <w:rFonts w:ascii="Times New Roman" w:hAnsi="Times New Roman"/>
          <w:sz w:val="24"/>
          <w:szCs w:val="24"/>
        </w:rPr>
        <w:t xml:space="preserve">ection </w:t>
      </w:r>
      <w:r w:rsidR="00B11834" w:rsidRPr="00C8768B">
        <w:rPr>
          <w:rFonts w:ascii="Times New Roman" w:hAnsi="Times New Roman"/>
          <w:sz w:val="24"/>
          <w:szCs w:val="24"/>
        </w:rPr>
        <w:t>51(xxix))</w:t>
      </w:r>
      <w:r>
        <w:rPr>
          <w:rFonts w:ascii="Times New Roman" w:hAnsi="Times New Roman"/>
          <w:sz w:val="24"/>
          <w:szCs w:val="24"/>
        </w:rPr>
        <w:t>.</w:t>
      </w:r>
    </w:p>
    <w:p w14:paraId="0B8B4C98" w14:textId="2CAFE040" w:rsidR="00B11834" w:rsidRPr="00E80BBE" w:rsidRDefault="00B11834" w:rsidP="00B11834">
      <w:pPr>
        <w:spacing w:before="240"/>
        <w:rPr>
          <w:rFonts w:ascii="Times New Roman" w:hAnsi="Times New Roman" w:cs="Times New Roman"/>
          <w:i/>
          <w:iCs/>
          <w:sz w:val="24"/>
          <w:szCs w:val="24"/>
        </w:rPr>
      </w:pPr>
      <w:r w:rsidRPr="00E80BBE">
        <w:rPr>
          <w:rFonts w:ascii="Times New Roman" w:hAnsi="Times New Roman" w:cs="Times New Roman"/>
          <w:i/>
          <w:iCs/>
          <w:sz w:val="24"/>
          <w:szCs w:val="24"/>
        </w:rPr>
        <w:t>Trade and commerce power</w:t>
      </w:r>
    </w:p>
    <w:p w14:paraId="5FD03E5F" w14:textId="77777777" w:rsidR="00C8768B" w:rsidRPr="00C8768B" w:rsidRDefault="00C8768B" w:rsidP="00B11834">
      <w:pPr>
        <w:rPr>
          <w:rFonts w:ascii="Times New Roman" w:hAnsi="Times New Roman" w:cs="Times New Roman"/>
          <w:sz w:val="24"/>
          <w:szCs w:val="24"/>
        </w:rPr>
      </w:pPr>
    </w:p>
    <w:p w14:paraId="7A061831" w14:textId="7CC9ABC9" w:rsidR="00B11834" w:rsidRPr="00C8768B" w:rsidRDefault="00B11834" w:rsidP="00B11834">
      <w:pPr>
        <w:rPr>
          <w:rFonts w:ascii="Times New Roman" w:hAnsi="Times New Roman" w:cs="Times New Roman"/>
          <w:sz w:val="24"/>
          <w:szCs w:val="24"/>
        </w:rPr>
      </w:pPr>
      <w:r w:rsidRPr="00C8768B">
        <w:rPr>
          <w:rFonts w:ascii="Times New Roman" w:hAnsi="Times New Roman" w:cs="Times New Roman"/>
          <w:sz w:val="24"/>
          <w:szCs w:val="24"/>
        </w:rPr>
        <w:t>Section 51(</w:t>
      </w:r>
      <w:proofErr w:type="spellStart"/>
      <w:r w:rsidRPr="00C8768B">
        <w:rPr>
          <w:rFonts w:ascii="Times New Roman" w:hAnsi="Times New Roman" w:cs="Times New Roman"/>
          <w:sz w:val="24"/>
          <w:szCs w:val="24"/>
        </w:rPr>
        <w:t>i</w:t>
      </w:r>
      <w:proofErr w:type="spellEnd"/>
      <w:r w:rsidRPr="00C8768B">
        <w:rPr>
          <w:rFonts w:ascii="Times New Roman" w:hAnsi="Times New Roman" w:cs="Times New Roman"/>
          <w:sz w:val="24"/>
          <w:szCs w:val="24"/>
        </w:rPr>
        <w:t xml:space="preserve">) of the Constitution empowers the Parliament to make laws with respect to ‘trade and commerce with other countries, and among the </w:t>
      </w:r>
      <w:proofErr w:type="gramStart"/>
      <w:r w:rsidRPr="00C8768B">
        <w:rPr>
          <w:rFonts w:ascii="Times New Roman" w:hAnsi="Times New Roman" w:cs="Times New Roman"/>
          <w:sz w:val="24"/>
          <w:szCs w:val="24"/>
        </w:rPr>
        <w:t>states’</w:t>
      </w:r>
      <w:proofErr w:type="gramEnd"/>
      <w:r w:rsidRPr="00C8768B">
        <w:rPr>
          <w:rFonts w:ascii="Times New Roman" w:hAnsi="Times New Roman" w:cs="Times New Roman"/>
          <w:sz w:val="24"/>
          <w:szCs w:val="24"/>
        </w:rPr>
        <w:t xml:space="preserve">. </w:t>
      </w:r>
    </w:p>
    <w:p w14:paraId="56C989BF" w14:textId="77777777" w:rsidR="00A35B9C" w:rsidRDefault="00A35B9C" w:rsidP="00B11834">
      <w:pPr>
        <w:rPr>
          <w:rFonts w:ascii="Times New Roman" w:hAnsi="Times New Roman" w:cs="Times New Roman"/>
          <w:sz w:val="24"/>
          <w:szCs w:val="24"/>
        </w:rPr>
      </w:pPr>
    </w:p>
    <w:p w14:paraId="56DAF9C0" w14:textId="469A8580" w:rsidR="00B11834" w:rsidRPr="00C8768B" w:rsidRDefault="00B11834" w:rsidP="00B11834">
      <w:pPr>
        <w:rPr>
          <w:rFonts w:ascii="Times New Roman" w:hAnsi="Times New Roman" w:cs="Times New Roman"/>
          <w:sz w:val="24"/>
          <w:szCs w:val="24"/>
        </w:rPr>
      </w:pPr>
      <w:r w:rsidRPr="00C8768B">
        <w:rPr>
          <w:rFonts w:ascii="Times New Roman" w:hAnsi="Times New Roman" w:cs="Times New Roman"/>
          <w:sz w:val="24"/>
          <w:szCs w:val="24"/>
        </w:rPr>
        <w:t>The spending for the two grants programs will support laws that protect or foster trade externally or within the states. The FTA</w:t>
      </w:r>
      <w:r w:rsidR="0070385C">
        <w:rPr>
          <w:rFonts w:ascii="Times New Roman" w:hAnsi="Times New Roman" w:cs="Times New Roman"/>
          <w:sz w:val="24"/>
          <w:szCs w:val="24"/>
        </w:rPr>
        <w:t>M</w:t>
      </w:r>
      <w:r w:rsidRPr="00C8768B">
        <w:rPr>
          <w:rFonts w:ascii="Times New Roman" w:hAnsi="Times New Roman" w:cs="Times New Roman"/>
          <w:sz w:val="24"/>
          <w:szCs w:val="24"/>
        </w:rPr>
        <w:t xml:space="preserve"> Grant program will provide funding to Australian entities, including industry stakeholders and peak bodies, to enable them to conduct activities to identify priorities for the modernisation of Australia’s free trade agreement network. The SE</w:t>
      </w:r>
      <w:r w:rsidR="004D588A">
        <w:rPr>
          <w:rFonts w:ascii="Times New Roman" w:hAnsi="Times New Roman" w:cs="Times New Roman"/>
          <w:sz w:val="24"/>
          <w:szCs w:val="24"/>
        </w:rPr>
        <w:t>A</w:t>
      </w:r>
      <w:r w:rsidRPr="00C8768B">
        <w:rPr>
          <w:rFonts w:ascii="Times New Roman" w:hAnsi="Times New Roman" w:cs="Times New Roman"/>
          <w:sz w:val="24"/>
          <w:szCs w:val="24"/>
        </w:rPr>
        <w:t>MRPS Grant program will provide funding for accreditation and licencing bodies to facilitate and streamline the two-way movement of professionals between Australia and Southeast Asian countries. These are intended to foster and encourage international trade and commerce.</w:t>
      </w:r>
    </w:p>
    <w:p w14:paraId="345C3048" w14:textId="77777777" w:rsidR="00C8768B" w:rsidRPr="00C8768B" w:rsidRDefault="00C8768B" w:rsidP="00B11834">
      <w:pPr>
        <w:rPr>
          <w:rFonts w:ascii="Times New Roman" w:hAnsi="Times New Roman" w:cs="Times New Roman"/>
          <w:sz w:val="24"/>
          <w:szCs w:val="24"/>
          <w:u w:val="single"/>
        </w:rPr>
      </w:pPr>
    </w:p>
    <w:p w14:paraId="29AC0E99" w14:textId="40891C75" w:rsidR="00B11834" w:rsidRPr="00E80BBE" w:rsidRDefault="00B11834" w:rsidP="00B11834">
      <w:pPr>
        <w:rPr>
          <w:rFonts w:ascii="Times New Roman" w:hAnsi="Times New Roman" w:cs="Times New Roman"/>
          <w:i/>
          <w:iCs/>
          <w:sz w:val="24"/>
          <w:szCs w:val="24"/>
        </w:rPr>
      </w:pPr>
      <w:r w:rsidRPr="00E80BBE">
        <w:rPr>
          <w:rFonts w:ascii="Times New Roman" w:hAnsi="Times New Roman" w:cs="Times New Roman"/>
          <w:i/>
          <w:iCs/>
          <w:sz w:val="24"/>
          <w:szCs w:val="24"/>
        </w:rPr>
        <w:t>External affairs power</w:t>
      </w:r>
    </w:p>
    <w:p w14:paraId="6E8E092C" w14:textId="77777777" w:rsidR="00C8768B" w:rsidRPr="00C8768B" w:rsidRDefault="00C8768B" w:rsidP="00B11834">
      <w:pPr>
        <w:rPr>
          <w:rFonts w:ascii="Times New Roman" w:hAnsi="Times New Roman" w:cs="Times New Roman"/>
          <w:sz w:val="24"/>
          <w:szCs w:val="24"/>
        </w:rPr>
      </w:pPr>
    </w:p>
    <w:p w14:paraId="68B4192A" w14:textId="4C6A9EA5" w:rsidR="0037348A" w:rsidRDefault="00B11834" w:rsidP="00B11834">
      <w:pPr>
        <w:rPr>
          <w:rFonts w:ascii="Times New Roman" w:hAnsi="Times New Roman" w:cs="Times New Roman"/>
          <w:sz w:val="24"/>
          <w:szCs w:val="24"/>
        </w:rPr>
      </w:pPr>
      <w:r w:rsidRPr="00C8768B">
        <w:rPr>
          <w:rFonts w:ascii="Times New Roman" w:hAnsi="Times New Roman" w:cs="Times New Roman"/>
          <w:sz w:val="24"/>
          <w:szCs w:val="24"/>
        </w:rPr>
        <w:t xml:space="preserve">Section 51(xxix) of the Constitution empowers the Parliament to make laws with respect to ‘external </w:t>
      </w:r>
      <w:proofErr w:type="gramStart"/>
      <w:r w:rsidRPr="00C8768B">
        <w:rPr>
          <w:rFonts w:ascii="Times New Roman" w:hAnsi="Times New Roman" w:cs="Times New Roman"/>
          <w:sz w:val="24"/>
          <w:szCs w:val="24"/>
        </w:rPr>
        <w:t>affairs’</w:t>
      </w:r>
      <w:proofErr w:type="gramEnd"/>
      <w:r w:rsidRPr="00C8768B">
        <w:rPr>
          <w:rFonts w:ascii="Times New Roman" w:hAnsi="Times New Roman" w:cs="Times New Roman"/>
          <w:sz w:val="24"/>
          <w:szCs w:val="24"/>
        </w:rPr>
        <w:t xml:space="preserve">. The external affairs power supports legislation with respect to matters concerning Australia’s relations with other nations. </w:t>
      </w:r>
    </w:p>
    <w:p w14:paraId="7D3D715D" w14:textId="77777777" w:rsidR="0037348A" w:rsidRDefault="0037348A" w:rsidP="00B11834">
      <w:pPr>
        <w:rPr>
          <w:rFonts w:ascii="Times New Roman" w:hAnsi="Times New Roman" w:cs="Times New Roman"/>
          <w:sz w:val="24"/>
          <w:szCs w:val="24"/>
        </w:rPr>
      </w:pPr>
    </w:p>
    <w:p w14:paraId="72CC1B2D" w14:textId="31550D90" w:rsidR="00B11834" w:rsidRDefault="00B11834" w:rsidP="00B11834">
      <w:pPr>
        <w:rPr>
          <w:rFonts w:ascii="Times New Roman" w:hAnsi="Times New Roman" w:cs="Times New Roman"/>
          <w:sz w:val="24"/>
          <w:szCs w:val="24"/>
        </w:rPr>
      </w:pPr>
      <w:r w:rsidRPr="00C8768B">
        <w:rPr>
          <w:rFonts w:ascii="Times New Roman" w:hAnsi="Times New Roman" w:cs="Times New Roman"/>
          <w:sz w:val="24"/>
          <w:szCs w:val="24"/>
        </w:rPr>
        <w:t>The FTA</w:t>
      </w:r>
      <w:r w:rsidR="0037348A">
        <w:rPr>
          <w:rFonts w:ascii="Times New Roman" w:hAnsi="Times New Roman" w:cs="Times New Roman"/>
          <w:sz w:val="24"/>
          <w:szCs w:val="24"/>
        </w:rPr>
        <w:t>M</w:t>
      </w:r>
      <w:r w:rsidRPr="00C8768B">
        <w:rPr>
          <w:rFonts w:ascii="Times New Roman" w:hAnsi="Times New Roman" w:cs="Times New Roman"/>
          <w:sz w:val="24"/>
          <w:szCs w:val="24"/>
        </w:rPr>
        <w:t xml:space="preserve"> Grant program will enhance Australia’s network of FTAs in Southeast Asia, promoting Australia’s relationship with Southeast Asian nations. Enhancing FTAs in Southeast Asia will better liberalise and facilitate trade and </w:t>
      </w:r>
      <w:proofErr w:type="gramStart"/>
      <w:r w:rsidRPr="00C8768B">
        <w:rPr>
          <w:rFonts w:ascii="Times New Roman" w:hAnsi="Times New Roman" w:cs="Times New Roman"/>
          <w:sz w:val="24"/>
          <w:szCs w:val="24"/>
        </w:rPr>
        <w:t>investment, and</w:t>
      </w:r>
      <w:proofErr w:type="gramEnd"/>
      <w:r w:rsidRPr="00C8768B">
        <w:rPr>
          <w:rFonts w:ascii="Times New Roman" w:hAnsi="Times New Roman" w:cs="Times New Roman"/>
          <w:sz w:val="24"/>
          <w:szCs w:val="24"/>
        </w:rPr>
        <w:t xml:space="preserve"> contribute to closer economic integration in the region.</w:t>
      </w:r>
    </w:p>
    <w:p w14:paraId="424E55CA" w14:textId="77777777" w:rsidR="002908A8" w:rsidRPr="00C8768B" w:rsidRDefault="002908A8" w:rsidP="00B11834">
      <w:pPr>
        <w:rPr>
          <w:rFonts w:ascii="Times New Roman" w:hAnsi="Times New Roman" w:cs="Times New Roman"/>
          <w:sz w:val="24"/>
          <w:szCs w:val="24"/>
        </w:rPr>
      </w:pPr>
    </w:p>
    <w:p w14:paraId="1B3B8A55" w14:textId="39FC9394" w:rsidR="00B11834" w:rsidRPr="00C8768B" w:rsidRDefault="00B11834" w:rsidP="00B11834">
      <w:pPr>
        <w:rPr>
          <w:rFonts w:ascii="Times New Roman" w:hAnsi="Times New Roman" w:cs="Times New Roman"/>
          <w:sz w:val="24"/>
          <w:szCs w:val="24"/>
        </w:rPr>
      </w:pPr>
      <w:r w:rsidRPr="00C8768B">
        <w:rPr>
          <w:rFonts w:ascii="Times New Roman" w:hAnsi="Times New Roman" w:cs="Times New Roman"/>
          <w:sz w:val="24"/>
          <w:szCs w:val="24"/>
        </w:rPr>
        <w:t>The SE</w:t>
      </w:r>
      <w:r w:rsidR="004D588A">
        <w:rPr>
          <w:rFonts w:ascii="Times New Roman" w:hAnsi="Times New Roman" w:cs="Times New Roman"/>
          <w:sz w:val="24"/>
          <w:szCs w:val="24"/>
        </w:rPr>
        <w:t>A</w:t>
      </w:r>
      <w:r w:rsidRPr="00C8768B">
        <w:rPr>
          <w:rFonts w:ascii="Times New Roman" w:hAnsi="Times New Roman" w:cs="Times New Roman"/>
          <w:sz w:val="24"/>
          <w:szCs w:val="24"/>
        </w:rPr>
        <w:t>MRPS Grant program aims to promote international trade and commerce between Australia and Southeast Asian nations. Australia’s international trade and investment relationship with other nations underpins Australia’s economic relations with other nations. The bilateral FTA and trading blocs with Indonesia for example promotes Australia’s bilateral economic relationship with Indonesia more broadly.</w:t>
      </w:r>
    </w:p>
    <w:p w14:paraId="5762E0AE" w14:textId="77777777" w:rsidR="00C8768B" w:rsidRPr="00C8768B" w:rsidRDefault="00C8768B" w:rsidP="00B11834">
      <w:pPr>
        <w:rPr>
          <w:rFonts w:ascii="Times New Roman" w:hAnsi="Times New Roman" w:cs="Times New Roman"/>
          <w:sz w:val="24"/>
          <w:szCs w:val="24"/>
        </w:rPr>
      </w:pPr>
    </w:p>
    <w:p w14:paraId="78CA2005" w14:textId="77777777" w:rsidR="00B76A4E" w:rsidRDefault="00B11834" w:rsidP="00B11834">
      <w:pPr>
        <w:rPr>
          <w:rFonts w:ascii="Times New Roman" w:hAnsi="Times New Roman" w:cs="Times New Roman"/>
          <w:sz w:val="24"/>
          <w:szCs w:val="24"/>
        </w:rPr>
      </w:pPr>
      <w:r w:rsidRPr="00C8768B">
        <w:rPr>
          <w:rFonts w:ascii="Times New Roman" w:hAnsi="Times New Roman" w:cs="Times New Roman"/>
          <w:sz w:val="24"/>
          <w:szCs w:val="24"/>
        </w:rPr>
        <w:lastRenderedPageBreak/>
        <w:t xml:space="preserve">The external affairs power supports legislation with respect to matters outside the geographical limits of Australia. </w:t>
      </w:r>
    </w:p>
    <w:p w14:paraId="7E972FFB" w14:textId="77777777" w:rsidR="00B76A4E" w:rsidRDefault="00B76A4E" w:rsidP="00B11834">
      <w:pPr>
        <w:rPr>
          <w:rFonts w:ascii="Times New Roman" w:hAnsi="Times New Roman" w:cs="Times New Roman"/>
          <w:sz w:val="24"/>
          <w:szCs w:val="24"/>
        </w:rPr>
      </w:pPr>
    </w:p>
    <w:p w14:paraId="52F3753E" w14:textId="3FE10EE3" w:rsidR="00A60004" w:rsidRDefault="00B11834" w:rsidP="00BA76F4">
      <w:pPr>
        <w:rPr>
          <w:rFonts w:ascii="Times New Roman" w:eastAsia="Times New Roman" w:hAnsi="Times New Roman" w:cs="Times New Roman"/>
          <w:color w:val="000000" w:themeColor="text1"/>
          <w:sz w:val="24"/>
          <w:szCs w:val="24"/>
          <w:lang w:eastAsia="en-AU"/>
        </w:rPr>
      </w:pPr>
      <w:r w:rsidRPr="00C8768B">
        <w:rPr>
          <w:rFonts w:ascii="Times New Roman" w:hAnsi="Times New Roman" w:cs="Times New Roman"/>
          <w:sz w:val="24"/>
          <w:szCs w:val="24"/>
        </w:rPr>
        <w:t>The FTAM Grant program and the SE</w:t>
      </w:r>
      <w:r w:rsidR="00DC6866">
        <w:rPr>
          <w:rFonts w:ascii="Times New Roman" w:hAnsi="Times New Roman" w:cs="Times New Roman"/>
          <w:sz w:val="24"/>
          <w:szCs w:val="24"/>
        </w:rPr>
        <w:t>A</w:t>
      </w:r>
      <w:r w:rsidRPr="00C8768B">
        <w:rPr>
          <w:rFonts w:ascii="Times New Roman" w:hAnsi="Times New Roman" w:cs="Times New Roman"/>
          <w:sz w:val="24"/>
          <w:szCs w:val="24"/>
        </w:rPr>
        <w:t>MRPS Grant program are both concerned with matters of international trade outside the geographical limits of Australia. FTAs are trade treaties with trading partners located outside of geographic confines of Australia. Additionally, to be eligible for the FTA</w:t>
      </w:r>
      <w:r w:rsidR="00B76A4E">
        <w:rPr>
          <w:rFonts w:ascii="Times New Roman" w:hAnsi="Times New Roman" w:cs="Times New Roman"/>
          <w:sz w:val="24"/>
          <w:szCs w:val="24"/>
        </w:rPr>
        <w:t>M</w:t>
      </w:r>
      <w:r w:rsidRPr="00C8768B">
        <w:rPr>
          <w:rFonts w:ascii="Times New Roman" w:hAnsi="Times New Roman" w:cs="Times New Roman"/>
          <w:sz w:val="24"/>
          <w:szCs w:val="24"/>
        </w:rPr>
        <w:t xml:space="preserve"> Grant program, funding recipient’s grant activity must relate to at least one of Australia’s in</w:t>
      </w:r>
      <w:r w:rsidR="007A7B05">
        <w:rPr>
          <w:rFonts w:ascii="Times New Roman" w:hAnsi="Times New Roman" w:cs="Times New Roman"/>
          <w:sz w:val="24"/>
          <w:szCs w:val="24"/>
        </w:rPr>
        <w:noBreakHyphen/>
      </w:r>
      <w:r w:rsidRPr="00C8768B">
        <w:rPr>
          <w:rFonts w:ascii="Times New Roman" w:hAnsi="Times New Roman" w:cs="Times New Roman"/>
          <w:sz w:val="24"/>
          <w:szCs w:val="24"/>
        </w:rPr>
        <w:t>force FTAs with a Southeast Asian economy or a possible future Australian FTA in the region. The S</w:t>
      </w:r>
      <w:r w:rsidRPr="00C8768B">
        <w:rPr>
          <w:rFonts w:ascii="Times New Roman" w:eastAsia="Times New Roman" w:hAnsi="Times New Roman" w:cs="Times New Roman"/>
          <w:color w:val="000000" w:themeColor="text1"/>
          <w:sz w:val="24"/>
          <w:szCs w:val="24"/>
          <w:lang w:eastAsia="en-AU"/>
        </w:rPr>
        <w:t xml:space="preserve">EAMRPS Grant </w:t>
      </w:r>
      <w:r w:rsidR="00694608">
        <w:rPr>
          <w:rFonts w:ascii="Times New Roman" w:eastAsia="Times New Roman" w:hAnsi="Times New Roman" w:cs="Times New Roman"/>
          <w:color w:val="000000" w:themeColor="text1"/>
          <w:sz w:val="24"/>
          <w:szCs w:val="24"/>
          <w:lang w:eastAsia="en-AU"/>
        </w:rPr>
        <w:t>p</w:t>
      </w:r>
      <w:r w:rsidRPr="00C8768B">
        <w:rPr>
          <w:rFonts w:ascii="Times New Roman" w:eastAsia="Times New Roman" w:hAnsi="Times New Roman" w:cs="Times New Roman"/>
          <w:color w:val="000000" w:themeColor="text1"/>
          <w:sz w:val="24"/>
          <w:szCs w:val="24"/>
          <w:lang w:eastAsia="en-AU"/>
        </w:rPr>
        <w:t>rogram is also part of an initiative to support Australian professional services accreditation and licensing bodies negotiate MRAs with their Southeast Asian counterparts.</w:t>
      </w:r>
    </w:p>
    <w:p w14:paraId="3DAABF2D" w14:textId="77777777" w:rsidR="003E6C0B" w:rsidRPr="003E6C0B" w:rsidRDefault="003E6C0B" w:rsidP="00BA76F4">
      <w:pPr>
        <w:rPr>
          <w:rFonts w:ascii="Times New Roman" w:hAnsi="Times New Roman" w:cs="Times New Roman"/>
          <w:color w:val="000000" w:themeColor="text1"/>
          <w:sz w:val="24"/>
          <w:szCs w:val="24"/>
          <w:highlight w:val="yellow"/>
          <w:u w:val="single"/>
        </w:rPr>
      </w:pPr>
    </w:p>
    <w:p w14:paraId="497D1C76" w14:textId="30FD876E" w:rsidR="00BA76F4" w:rsidRPr="00D3503B" w:rsidRDefault="00BA76F4" w:rsidP="00BA76F4">
      <w:pPr>
        <w:rPr>
          <w:rFonts w:ascii="Times New Roman" w:hAnsi="Times New Roman" w:cs="Times New Roman"/>
          <w:i/>
          <w:iCs/>
          <w:color w:val="000000" w:themeColor="text1"/>
          <w:sz w:val="24"/>
          <w:szCs w:val="24"/>
          <w:u w:val="single"/>
          <w:lang w:val="en-GB"/>
        </w:rPr>
      </w:pPr>
      <w:r w:rsidRPr="007922F2">
        <w:rPr>
          <w:rFonts w:ascii="Times New Roman" w:hAnsi="Times New Roman" w:cs="Times New Roman"/>
          <w:i/>
          <w:iCs/>
          <w:color w:val="000000" w:themeColor="text1"/>
          <w:sz w:val="24"/>
          <w:szCs w:val="24"/>
          <w:u w:val="single"/>
        </w:rPr>
        <w:t xml:space="preserve">Table </w:t>
      </w:r>
      <w:r w:rsidRPr="00D3503B">
        <w:rPr>
          <w:rFonts w:ascii="Times New Roman" w:hAnsi="Times New Roman" w:cs="Times New Roman"/>
          <w:i/>
          <w:iCs/>
          <w:color w:val="000000" w:themeColor="text1"/>
          <w:sz w:val="24"/>
          <w:szCs w:val="24"/>
          <w:u w:val="single"/>
        </w:rPr>
        <w:t xml:space="preserve">item </w:t>
      </w:r>
      <w:r w:rsidR="00294CAC">
        <w:rPr>
          <w:rFonts w:ascii="Times New Roman" w:hAnsi="Times New Roman" w:cs="Times New Roman"/>
          <w:i/>
          <w:iCs/>
          <w:color w:val="000000" w:themeColor="text1"/>
          <w:sz w:val="24"/>
          <w:szCs w:val="24"/>
          <w:u w:val="single"/>
        </w:rPr>
        <w:t>688</w:t>
      </w:r>
      <w:r w:rsidR="00294CAC" w:rsidRPr="00D3503B">
        <w:rPr>
          <w:rFonts w:ascii="Times New Roman" w:hAnsi="Times New Roman" w:cs="Times New Roman"/>
          <w:i/>
          <w:iCs/>
          <w:color w:val="000000" w:themeColor="text1"/>
          <w:sz w:val="24"/>
          <w:szCs w:val="24"/>
          <w:u w:val="single"/>
        </w:rPr>
        <w:t xml:space="preserve"> </w:t>
      </w:r>
      <w:r w:rsidRPr="00D3503B">
        <w:rPr>
          <w:rFonts w:ascii="Times New Roman" w:hAnsi="Times New Roman" w:cs="Times New Roman"/>
          <w:i/>
          <w:iCs/>
          <w:color w:val="000000" w:themeColor="text1"/>
          <w:sz w:val="24"/>
          <w:szCs w:val="24"/>
          <w:u w:val="single"/>
        </w:rPr>
        <w:t xml:space="preserve">– </w:t>
      </w:r>
      <w:r w:rsidR="001E368F" w:rsidRPr="001E368F">
        <w:rPr>
          <w:rFonts w:ascii="Times New Roman" w:hAnsi="Times New Roman" w:cs="Times New Roman"/>
          <w:i/>
          <w:iCs/>
          <w:color w:val="000000" w:themeColor="text1"/>
          <w:sz w:val="24"/>
          <w:szCs w:val="24"/>
          <w:u w:val="single"/>
        </w:rPr>
        <w:t>Investment Deal Teams Project Development Support Program</w:t>
      </w:r>
    </w:p>
    <w:p w14:paraId="5FB9AA84" w14:textId="77777777" w:rsidR="00BA76F4" w:rsidRPr="00D3503B" w:rsidRDefault="00BA76F4" w:rsidP="00BA76F4">
      <w:pPr>
        <w:rPr>
          <w:rFonts w:ascii="Times New Roman" w:hAnsi="Times New Roman" w:cs="Times New Roman"/>
          <w:color w:val="000000" w:themeColor="text1"/>
          <w:sz w:val="24"/>
          <w:szCs w:val="24"/>
        </w:rPr>
      </w:pPr>
    </w:p>
    <w:p w14:paraId="7C89E7FE" w14:textId="6FBB76AB" w:rsidR="002F37C4" w:rsidRDefault="00BA76F4" w:rsidP="00EE3C5C">
      <w:pPr>
        <w:keepNext/>
        <w:rPr>
          <w:rFonts w:ascii="Times New Roman" w:hAnsi="Times New Roman" w:cs="Times New Roman"/>
          <w:bCs/>
          <w:iCs/>
          <w:color w:val="000000" w:themeColor="text1"/>
          <w:sz w:val="24"/>
          <w:szCs w:val="24"/>
          <w:lang w:val="en-GB"/>
        </w:rPr>
      </w:pPr>
      <w:r w:rsidRPr="009F75AE">
        <w:rPr>
          <w:rFonts w:ascii="Times New Roman" w:hAnsi="Times New Roman" w:cs="Times New Roman"/>
          <w:iCs/>
          <w:color w:val="000000" w:themeColor="text1"/>
          <w:sz w:val="24"/>
          <w:szCs w:val="24"/>
        </w:rPr>
        <w:t xml:space="preserve">New </w:t>
      </w:r>
      <w:r w:rsidRPr="009F75AE">
        <w:rPr>
          <w:rFonts w:ascii="Times New Roman" w:hAnsi="Times New Roman" w:cs="Times New Roman"/>
          <w:b/>
          <w:iCs/>
          <w:color w:val="000000" w:themeColor="text1"/>
          <w:sz w:val="24"/>
          <w:szCs w:val="24"/>
        </w:rPr>
        <w:t xml:space="preserve">table item </w:t>
      </w:r>
      <w:r w:rsidR="00294CAC">
        <w:rPr>
          <w:rFonts w:ascii="Times New Roman" w:hAnsi="Times New Roman" w:cs="Times New Roman"/>
          <w:b/>
          <w:iCs/>
          <w:color w:val="000000" w:themeColor="text1"/>
          <w:sz w:val="24"/>
          <w:szCs w:val="24"/>
        </w:rPr>
        <w:t>688</w:t>
      </w:r>
      <w:r w:rsidR="00294CAC" w:rsidRPr="009F75AE">
        <w:rPr>
          <w:rFonts w:ascii="Times New Roman" w:hAnsi="Times New Roman" w:cs="Times New Roman"/>
          <w:iCs/>
          <w:color w:val="000000" w:themeColor="text1"/>
          <w:sz w:val="24"/>
          <w:szCs w:val="24"/>
        </w:rPr>
        <w:t xml:space="preserve"> </w:t>
      </w:r>
      <w:r w:rsidRPr="009F75AE">
        <w:rPr>
          <w:rFonts w:ascii="Times New Roman" w:hAnsi="Times New Roman" w:cs="Times New Roman"/>
          <w:iCs/>
          <w:color w:val="000000" w:themeColor="text1"/>
          <w:sz w:val="24"/>
          <w:szCs w:val="24"/>
        </w:rPr>
        <w:t>establishes legislative authority</w:t>
      </w:r>
      <w:r w:rsidRPr="009F75AE">
        <w:rPr>
          <w:rFonts w:ascii="Times New Roman" w:hAnsi="Times New Roman" w:cs="Times New Roman"/>
          <w:bCs/>
          <w:iCs/>
          <w:color w:val="000000" w:themeColor="text1"/>
          <w:sz w:val="24"/>
          <w:szCs w:val="24"/>
        </w:rPr>
        <w:t xml:space="preserve"> for </w:t>
      </w:r>
      <w:r w:rsidR="00611E02">
        <w:rPr>
          <w:rFonts w:ascii="Times New Roman" w:hAnsi="Times New Roman" w:cs="Times New Roman"/>
          <w:bCs/>
          <w:iCs/>
          <w:color w:val="000000" w:themeColor="text1"/>
          <w:sz w:val="24"/>
          <w:szCs w:val="24"/>
        </w:rPr>
        <w:t>g</w:t>
      </w:r>
      <w:r w:rsidRPr="009F75AE">
        <w:rPr>
          <w:rFonts w:ascii="Times New Roman" w:hAnsi="Times New Roman" w:cs="Times New Roman"/>
          <w:bCs/>
          <w:iCs/>
          <w:color w:val="000000" w:themeColor="text1"/>
          <w:sz w:val="24"/>
          <w:szCs w:val="24"/>
        </w:rPr>
        <w:t xml:space="preserve">overnment spending </w:t>
      </w:r>
      <w:r w:rsidR="002F37C4">
        <w:rPr>
          <w:rFonts w:ascii="Times New Roman" w:hAnsi="Times New Roman" w:cs="Times New Roman"/>
          <w:bCs/>
          <w:iCs/>
          <w:color w:val="000000" w:themeColor="text1"/>
          <w:sz w:val="24"/>
          <w:szCs w:val="24"/>
          <w:lang w:val="en-GB"/>
        </w:rPr>
        <w:t>on the</w:t>
      </w:r>
      <w:r w:rsidR="002F37C4" w:rsidRPr="002F37C4">
        <w:t xml:space="preserve"> </w:t>
      </w:r>
      <w:r w:rsidR="002F37C4" w:rsidRPr="002F37C4">
        <w:rPr>
          <w:rFonts w:ascii="Times New Roman" w:hAnsi="Times New Roman" w:cs="Times New Roman"/>
          <w:bCs/>
          <w:iCs/>
          <w:color w:val="000000" w:themeColor="text1"/>
          <w:sz w:val="24"/>
          <w:szCs w:val="24"/>
          <w:lang w:val="en-GB"/>
        </w:rPr>
        <w:t>Investment Deal Teams Project Development Support Program</w:t>
      </w:r>
      <w:r w:rsidR="002F37C4">
        <w:rPr>
          <w:rFonts w:ascii="Times New Roman" w:hAnsi="Times New Roman" w:cs="Times New Roman"/>
          <w:bCs/>
          <w:iCs/>
          <w:color w:val="000000" w:themeColor="text1"/>
          <w:sz w:val="24"/>
          <w:szCs w:val="24"/>
          <w:lang w:val="en-GB"/>
        </w:rPr>
        <w:t xml:space="preserve"> (the program)</w:t>
      </w:r>
      <w:r w:rsidR="008854F6">
        <w:rPr>
          <w:rFonts w:ascii="Times New Roman" w:hAnsi="Times New Roman" w:cs="Times New Roman"/>
          <w:bCs/>
          <w:iCs/>
          <w:color w:val="000000" w:themeColor="text1"/>
          <w:sz w:val="24"/>
          <w:szCs w:val="24"/>
          <w:lang w:val="en-GB"/>
        </w:rPr>
        <w:t xml:space="preserve"> to facilitate</w:t>
      </w:r>
      <w:r w:rsidR="009E364E">
        <w:rPr>
          <w:rFonts w:ascii="Times New Roman" w:hAnsi="Times New Roman" w:cs="Times New Roman"/>
          <w:bCs/>
          <w:iCs/>
          <w:color w:val="000000" w:themeColor="text1"/>
          <w:sz w:val="24"/>
          <w:szCs w:val="24"/>
          <w:lang w:val="en-GB"/>
        </w:rPr>
        <w:t xml:space="preserve"> Australia</w:t>
      </w:r>
      <w:r w:rsidR="00144BFC">
        <w:rPr>
          <w:rFonts w:ascii="Times New Roman" w:hAnsi="Times New Roman" w:cs="Times New Roman"/>
          <w:bCs/>
          <w:iCs/>
          <w:color w:val="000000" w:themeColor="text1"/>
          <w:sz w:val="24"/>
          <w:szCs w:val="24"/>
          <w:lang w:val="en-GB"/>
        </w:rPr>
        <w:t>n</w:t>
      </w:r>
      <w:r w:rsidR="009E364E">
        <w:rPr>
          <w:rFonts w:ascii="Times New Roman" w:hAnsi="Times New Roman" w:cs="Times New Roman"/>
          <w:bCs/>
          <w:iCs/>
          <w:color w:val="000000" w:themeColor="text1"/>
          <w:sz w:val="24"/>
          <w:szCs w:val="24"/>
          <w:lang w:val="en-GB"/>
        </w:rPr>
        <w:t xml:space="preserve"> investment in projects</w:t>
      </w:r>
      <w:r w:rsidR="005820DB">
        <w:rPr>
          <w:rFonts w:ascii="Times New Roman" w:hAnsi="Times New Roman" w:cs="Times New Roman"/>
          <w:bCs/>
          <w:iCs/>
          <w:color w:val="000000" w:themeColor="text1"/>
          <w:sz w:val="24"/>
          <w:szCs w:val="24"/>
          <w:lang w:val="en-GB"/>
        </w:rPr>
        <w:t xml:space="preserve"> located overseas</w:t>
      </w:r>
      <w:r w:rsidR="00B57D23">
        <w:rPr>
          <w:rFonts w:ascii="Times New Roman" w:hAnsi="Times New Roman" w:cs="Times New Roman"/>
          <w:bCs/>
          <w:iCs/>
          <w:color w:val="000000" w:themeColor="text1"/>
          <w:sz w:val="24"/>
          <w:szCs w:val="24"/>
          <w:lang w:val="en-GB"/>
        </w:rPr>
        <w:t>.</w:t>
      </w:r>
    </w:p>
    <w:p w14:paraId="470E2D0C" w14:textId="77777777" w:rsidR="002F37C4" w:rsidRDefault="002F37C4" w:rsidP="00BA76F4">
      <w:pPr>
        <w:rPr>
          <w:rFonts w:ascii="Times New Roman" w:hAnsi="Times New Roman" w:cs="Times New Roman"/>
          <w:bCs/>
          <w:iCs/>
          <w:color w:val="000000" w:themeColor="text1"/>
          <w:sz w:val="24"/>
          <w:szCs w:val="24"/>
          <w:lang w:val="en-GB"/>
        </w:rPr>
      </w:pPr>
    </w:p>
    <w:p w14:paraId="46918D89" w14:textId="564EFEF7" w:rsidR="00C0094E" w:rsidRDefault="00C0094E" w:rsidP="00C0094E">
      <w:pPr>
        <w:rPr>
          <w:rFonts w:ascii="Times New Roman" w:hAnsi="Times New Roman" w:cs="Times New Roman"/>
          <w:bCs/>
          <w:iCs/>
          <w:color w:val="000000" w:themeColor="text1"/>
          <w:sz w:val="24"/>
          <w:szCs w:val="24"/>
          <w:lang w:val="en-GB"/>
        </w:rPr>
      </w:pPr>
      <w:r>
        <w:rPr>
          <w:rFonts w:ascii="Times New Roman" w:hAnsi="Times New Roman" w:cs="Times New Roman"/>
          <w:bCs/>
          <w:iCs/>
          <w:color w:val="000000" w:themeColor="text1"/>
          <w:sz w:val="24"/>
          <w:szCs w:val="24"/>
          <w:lang w:val="en-GB"/>
        </w:rPr>
        <w:t xml:space="preserve">The program forms part of the broader $70.2 million Investment Deal Teams initiative, announced </w:t>
      </w:r>
      <w:r w:rsidR="00444141">
        <w:rPr>
          <w:rFonts w:ascii="Times New Roman" w:hAnsi="Times New Roman" w:cs="Times New Roman"/>
          <w:bCs/>
          <w:iCs/>
          <w:color w:val="000000" w:themeColor="text1"/>
          <w:sz w:val="24"/>
          <w:szCs w:val="24"/>
          <w:lang w:val="en-GB"/>
        </w:rPr>
        <w:t xml:space="preserve">on 6 September 2023 </w:t>
      </w:r>
      <w:r>
        <w:rPr>
          <w:rFonts w:ascii="Times New Roman" w:hAnsi="Times New Roman" w:cs="Times New Roman"/>
          <w:bCs/>
          <w:iCs/>
          <w:color w:val="000000" w:themeColor="text1"/>
          <w:sz w:val="24"/>
          <w:szCs w:val="24"/>
          <w:lang w:val="en-GB"/>
        </w:rPr>
        <w:t xml:space="preserve">by the Prime Minister, </w:t>
      </w:r>
      <w:r w:rsidR="003E6C0B">
        <w:rPr>
          <w:rFonts w:ascii="Times New Roman" w:hAnsi="Times New Roman" w:cs="Times New Roman"/>
          <w:bCs/>
          <w:iCs/>
          <w:color w:val="000000" w:themeColor="text1"/>
          <w:sz w:val="24"/>
          <w:szCs w:val="24"/>
          <w:lang w:val="en-GB"/>
        </w:rPr>
        <w:t xml:space="preserve">the </w:t>
      </w:r>
      <w:r w:rsidRPr="00693E99">
        <w:rPr>
          <w:rFonts w:ascii="Times New Roman" w:hAnsi="Times New Roman" w:cs="Times New Roman"/>
          <w:bCs/>
          <w:iCs/>
          <w:color w:val="000000" w:themeColor="text1"/>
          <w:sz w:val="24"/>
          <w:szCs w:val="24"/>
          <w:lang w:val="en-GB"/>
        </w:rPr>
        <w:t>Minister for Foreign Affairs</w:t>
      </w:r>
      <w:r>
        <w:rPr>
          <w:rFonts w:ascii="Times New Roman" w:hAnsi="Times New Roman" w:cs="Times New Roman"/>
          <w:bCs/>
          <w:iCs/>
          <w:color w:val="000000" w:themeColor="text1"/>
          <w:sz w:val="24"/>
          <w:szCs w:val="24"/>
          <w:lang w:val="en-GB"/>
        </w:rPr>
        <w:t xml:space="preserve">, </w:t>
      </w:r>
      <w:r w:rsidRPr="00693E99">
        <w:rPr>
          <w:rFonts w:ascii="Times New Roman" w:hAnsi="Times New Roman" w:cs="Times New Roman"/>
          <w:bCs/>
          <w:iCs/>
          <w:color w:val="000000" w:themeColor="text1"/>
          <w:sz w:val="24"/>
          <w:szCs w:val="24"/>
          <w:lang w:val="en-GB"/>
        </w:rPr>
        <w:t>Treasurer</w:t>
      </w:r>
      <w:r>
        <w:rPr>
          <w:rFonts w:ascii="Times New Roman" w:hAnsi="Times New Roman" w:cs="Times New Roman"/>
          <w:bCs/>
          <w:iCs/>
          <w:color w:val="000000" w:themeColor="text1"/>
          <w:sz w:val="24"/>
          <w:szCs w:val="24"/>
          <w:lang w:val="en-GB"/>
        </w:rPr>
        <w:t xml:space="preserve"> and </w:t>
      </w:r>
      <w:r w:rsidR="003E6C0B">
        <w:rPr>
          <w:rFonts w:ascii="Times New Roman" w:hAnsi="Times New Roman" w:cs="Times New Roman"/>
          <w:bCs/>
          <w:iCs/>
          <w:color w:val="000000" w:themeColor="text1"/>
          <w:sz w:val="24"/>
          <w:szCs w:val="24"/>
          <w:lang w:val="en-GB"/>
        </w:rPr>
        <w:t xml:space="preserve">the </w:t>
      </w:r>
      <w:r w:rsidRPr="00693E99">
        <w:rPr>
          <w:rFonts w:ascii="Times New Roman" w:hAnsi="Times New Roman" w:cs="Times New Roman"/>
          <w:bCs/>
          <w:iCs/>
          <w:color w:val="000000" w:themeColor="text1"/>
          <w:sz w:val="24"/>
          <w:szCs w:val="24"/>
          <w:lang w:val="en-GB"/>
        </w:rPr>
        <w:t>Minister for Trade and Tourism</w:t>
      </w:r>
      <w:r>
        <w:rPr>
          <w:rFonts w:ascii="Times New Roman" w:hAnsi="Times New Roman" w:cs="Times New Roman"/>
          <w:bCs/>
          <w:iCs/>
          <w:color w:val="000000" w:themeColor="text1"/>
          <w:sz w:val="24"/>
          <w:szCs w:val="24"/>
          <w:lang w:val="en-GB"/>
        </w:rPr>
        <w:t xml:space="preserve"> as an initial response to the Moore report. The media release is available at </w:t>
      </w:r>
      <w:r w:rsidRPr="00C0094E">
        <w:rPr>
          <w:rFonts w:ascii="Times New Roman" w:hAnsi="Times New Roman" w:cs="Times New Roman"/>
          <w:bCs/>
          <w:iCs/>
          <w:color w:val="000000" w:themeColor="text1"/>
          <w:sz w:val="24"/>
          <w:szCs w:val="24"/>
          <w:u w:val="single"/>
          <w:lang w:val="en-GB"/>
        </w:rPr>
        <w:t>www.pm.gov.au/media/invested-southeast-asia</w:t>
      </w:r>
      <w:r>
        <w:rPr>
          <w:rFonts w:ascii="Times New Roman" w:hAnsi="Times New Roman" w:cs="Times New Roman"/>
          <w:bCs/>
          <w:iCs/>
          <w:color w:val="000000" w:themeColor="text1"/>
          <w:sz w:val="24"/>
          <w:szCs w:val="24"/>
          <w:lang w:val="en-GB"/>
        </w:rPr>
        <w:t>.</w:t>
      </w:r>
    </w:p>
    <w:p w14:paraId="58EFA9E5" w14:textId="77777777" w:rsidR="00C0094E" w:rsidRDefault="00C0094E" w:rsidP="00C0094E">
      <w:pPr>
        <w:rPr>
          <w:rFonts w:ascii="Times New Roman" w:hAnsi="Times New Roman" w:cs="Times New Roman"/>
          <w:bCs/>
          <w:iCs/>
          <w:color w:val="000000" w:themeColor="text1"/>
          <w:sz w:val="24"/>
          <w:szCs w:val="24"/>
          <w:lang w:val="en-GB"/>
        </w:rPr>
      </w:pPr>
    </w:p>
    <w:p w14:paraId="7D5589F5" w14:textId="77777777" w:rsidR="00C0094E" w:rsidRDefault="00C0094E" w:rsidP="00C0094E">
      <w:pPr>
        <w:rPr>
          <w:rFonts w:ascii="Times New Roman" w:hAnsi="Times New Roman" w:cs="Times New Roman"/>
          <w:bCs/>
          <w:iCs/>
          <w:color w:val="000000" w:themeColor="text1"/>
          <w:sz w:val="24"/>
          <w:szCs w:val="24"/>
          <w:lang w:val="en-GB"/>
        </w:rPr>
      </w:pPr>
      <w:r w:rsidRPr="004B75EC">
        <w:rPr>
          <w:rFonts w:ascii="Times New Roman" w:hAnsi="Times New Roman" w:cs="Times New Roman"/>
          <w:bCs/>
          <w:iCs/>
          <w:color w:val="000000" w:themeColor="text1"/>
          <w:sz w:val="24"/>
          <w:szCs w:val="24"/>
          <w:lang w:val="en-GB"/>
        </w:rPr>
        <w:t>The overarching objective of the Investment Deal Teams initiative is to increase Australian investment in Southeast Asia. Investment Deal Teams have been established across Southeast Asia comprising</w:t>
      </w:r>
      <w:r>
        <w:rPr>
          <w:rFonts w:ascii="Times New Roman" w:hAnsi="Times New Roman" w:cs="Times New Roman"/>
          <w:bCs/>
          <w:iCs/>
          <w:color w:val="000000" w:themeColor="text1"/>
          <w:sz w:val="24"/>
          <w:szCs w:val="24"/>
          <w:lang w:val="en-GB"/>
        </w:rPr>
        <w:t xml:space="preserve"> staff from the</w:t>
      </w:r>
      <w:r w:rsidRPr="004B75EC">
        <w:rPr>
          <w:rFonts w:ascii="Times New Roman" w:hAnsi="Times New Roman" w:cs="Times New Roman"/>
          <w:bCs/>
          <w:iCs/>
          <w:color w:val="000000" w:themeColor="text1"/>
          <w:sz w:val="24"/>
          <w:szCs w:val="24"/>
          <w:lang w:val="en-GB"/>
        </w:rPr>
        <w:t xml:space="preserve"> </w:t>
      </w:r>
      <w:r>
        <w:rPr>
          <w:rFonts w:ascii="Times New Roman" w:hAnsi="Times New Roman" w:cs="Times New Roman"/>
          <w:bCs/>
          <w:iCs/>
          <w:color w:val="000000" w:themeColor="text1"/>
          <w:sz w:val="24"/>
          <w:szCs w:val="24"/>
          <w:lang w:val="en-GB"/>
        </w:rPr>
        <w:t>d</w:t>
      </w:r>
      <w:r w:rsidRPr="004B75EC">
        <w:rPr>
          <w:rFonts w:ascii="Times New Roman" w:hAnsi="Times New Roman" w:cs="Times New Roman"/>
          <w:bCs/>
          <w:iCs/>
          <w:color w:val="000000" w:themeColor="text1"/>
          <w:sz w:val="24"/>
          <w:szCs w:val="24"/>
          <w:lang w:val="en-GB"/>
        </w:rPr>
        <w:t xml:space="preserve">epartment, Austrade and Export Finance Agency (EFA). Each agency has posted staff to hubs in Ho Chi Minh City, Jakarta and Singapore. </w:t>
      </w:r>
      <w:r>
        <w:rPr>
          <w:rFonts w:ascii="Times New Roman" w:hAnsi="Times New Roman" w:cs="Times New Roman"/>
          <w:bCs/>
          <w:iCs/>
          <w:color w:val="000000" w:themeColor="text1"/>
          <w:sz w:val="24"/>
          <w:szCs w:val="24"/>
          <w:lang w:val="en-GB"/>
        </w:rPr>
        <w:t>The department</w:t>
      </w:r>
      <w:r w:rsidRPr="004B75EC">
        <w:rPr>
          <w:rFonts w:ascii="Times New Roman" w:hAnsi="Times New Roman" w:cs="Times New Roman"/>
          <w:bCs/>
          <w:iCs/>
          <w:color w:val="000000" w:themeColor="text1"/>
          <w:sz w:val="24"/>
          <w:szCs w:val="24"/>
          <w:lang w:val="en-GB"/>
        </w:rPr>
        <w:t xml:space="preserve"> has also posted </w:t>
      </w:r>
      <w:r>
        <w:rPr>
          <w:rFonts w:ascii="Times New Roman" w:hAnsi="Times New Roman" w:cs="Times New Roman"/>
          <w:bCs/>
          <w:iCs/>
          <w:color w:val="000000" w:themeColor="text1"/>
          <w:sz w:val="24"/>
          <w:szCs w:val="24"/>
          <w:lang w:val="en-GB"/>
        </w:rPr>
        <w:t xml:space="preserve">staff </w:t>
      </w:r>
      <w:r w:rsidRPr="004B75EC">
        <w:rPr>
          <w:rFonts w:ascii="Times New Roman" w:hAnsi="Times New Roman" w:cs="Times New Roman"/>
          <w:bCs/>
          <w:iCs/>
          <w:color w:val="000000" w:themeColor="text1"/>
          <w:sz w:val="24"/>
          <w:szCs w:val="24"/>
          <w:lang w:val="en-GB"/>
        </w:rPr>
        <w:t>to “spoke” offices in Bandar Seri Begawan, Bangkok, Hanoi, Kuala Lumpur, Manila and Phnom Penh.</w:t>
      </w:r>
    </w:p>
    <w:p w14:paraId="476A7AB8" w14:textId="77777777" w:rsidR="00FC3982" w:rsidRPr="004B75EC" w:rsidRDefault="00FC3982" w:rsidP="004B75EC">
      <w:pPr>
        <w:rPr>
          <w:rFonts w:ascii="Times New Roman" w:hAnsi="Times New Roman" w:cs="Times New Roman"/>
          <w:bCs/>
          <w:iCs/>
          <w:color w:val="000000" w:themeColor="text1"/>
          <w:sz w:val="24"/>
          <w:szCs w:val="24"/>
          <w:lang w:val="en-GB"/>
        </w:rPr>
      </w:pPr>
    </w:p>
    <w:p w14:paraId="7F4B6291" w14:textId="1E7E1377" w:rsidR="00E803BE" w:rsidRDefault="004B75EC" w:rsidP="00BA76F4">
      <w:pPr>
        <w:rPr>
          <w:rFonts w:ascii="Times New Roman" w:hAnsi="Times New Roman" w:cs="Times New Roman"/>
          <w:bCs/>
          <w:iCs/>
          <w:color w:val="000000" w:themeColor="text1"/>
          <w:sz w:val="24"/>
          <w:szCs w:val="24"/>
          <w:lang w:val="en-GB"/>
        </w:rPr>
      </w:pPr>
      <w:r w:rsidRPr="004B75EC">
        <w:rPr>
          <w:rFonts w:ascii="Times New Roman" w:hAnsi="Times New Roman" w:cs="Times New Roman"/>
          <w:bCs/>
          <w:iCs/>
          <w:color w:val="000000" w:themeColor="text1"/>
          <w:sz w:val="24"/>
          <w:szCs w:val="24"/>
          <w:lang w:val="en-GB"/>
        </w:rPr>
        <w:t xml:space="preserve">The </w:t>
      </w:r>
      <w:r w:rsidR="00502D6F">
        <w:rPr>
          <w:rFonts w:ascii="Times New Roman" w:hAnsi="Times New Roman" w:cs="Times New Roman"/>
          <w:bCs/>
          <w:iCs/>
          <w:color w:val="000000" w:themeColor="text1"/>
          <w:sz w:val="24"/>
          <w:szCs w:val="24"/>
          <w:lang w:val="en-GB"/>
        </w:rPr>
        <w:t xml:space="preserve">Investment </w:t>
      </w:r>
      <w:r w:rsidRPr="004B75EC">
        <w:rPr>
          <w:rFonts w:ascii="Times New Roman" w:hAnsi="Times New Roman" w:cs="Times New Roman"/>
          <w:bCs/>
          <w:iCs/>
          <w:color w:val="000000" w:themeColor="text1"/>
          <w:sz w:val="24"/>
          <w:szCs w:val="24"/>
          <w:lang w:val="en-GB"/>
        </w:rPr>
        <w:t xml:space="preserve">Deal Teams are working with government and businesses across Australia and Southeast Asia to identify potential investment opportunities and support Australian institutional and corporate investors to assess and pursue these opportunities. The support </w:t>
      </w:r>
      <w:r w:rsidR="00E95EDC">
        <w:rPr>
          <w:rFonts w:ascii="Times New Roman" w:hAnsi="Times New Roman" w:cs="Times New Roman"/>
          <w:bCs/>
          <w:iCs/>
          <w:color w:val="000000" w:themeColor="text1"/>
          <w:sz w:val="24"/>
          <w:szCs w:val="24"/>
          <w:lang w:val="en-GB"/>
        </w:rPr>
        <w:t xml:space="preserve">the </w:t>
      </w:r>
      <w:r w:rsidR="00A93313">
        <w:rPr>
          <w:rFonts w:ascii="Times New Roman" w:hAnsi="Times New Roman" w:cs="Times New Roman"/>
          <w:bCs/>
          <w:iCs/>
          <w:color w:val="000000" w:themeColor="text1"/>
          <w:sz w:val="24"/>
          <w:szCs w:val="24"/>
          <w:lang w:val="en-GB"/>
        </w:rPr>
        <w:t xml:space="preserve">Investment </w:t>
      </w:r>
      <w:r w:rsidRPr="004B75EC">
        <w:rPr>
          <w:rFonts w:ascii="Times New Roman" w:hAnsi="Times New Roman" w:cs="Times New Roman"/>
          <w:bCs/>
          <w:iCs/>
          <w:color w:val="000000" w:themeColor="text1"/>
          <w:sz w:val="24"/>
          <w:szCs w:val="24"/>
          <w:lang w:val="en-GB"/>
        </w:rPr>
        <w:t>Deal Teams provide</w:t>
      </w:r>
      <w:r w:rsidR="003E6C0B">
        <w:rPr>
          <w:rFonts w:ascii="Times New Roman" w:hAnsi="Times New Roman" w:cs="Times New Roman"/>
          <w:bCs/>
          <w:iCs/>
          <w:color w:val="000000" w:themeColor="text1"/>
          <w:sz w:val="24"/>
          <w:szCs w:val="24"/>
          <w:lang w:val="en-GB"/>
        </w:rPr>
        <w:t>s</w:t>
      </w:r>
      <w:r w:rsidRPr="004B75EC">
        <w:rPr>
          <w:rFonts w:ascii="Times New Roman" w:hAnsi="Times New Roman" w:cs="Times New Roman"/>
          <w:bCs/>
          <w:iCs/>
          <w:color w:val="000000" w:themeColor="text1"/>
          <w:sz w:val="24"/>
          <w:szCs w:val="24"/>
          <w:lang w:val="en-GB"/>
        </w:rPr>
        <w:t xml:space="preserve"> to potential Australian investors includes market intelligence, general advice, including on regulatory processes, liaising with host governments, and helping identify local commercial partners.</w:t>
      </w:r>
    </w:p>
    <w:p w14:paraId="123A1404" w14:textId="77777777" w:rsidR="00E803BE" w:rsidRDefault="00E803BE" w:rsidP="00BA76F4">
      <w:pPr>
        <w:rPr>
          <w:rFonts w:ascii="Times New Roman" w:hAnsi="Times New Roman" w:cs="Times New Roman"/>
          <w:bCs/>
          <w:iCs/>
          <w:color w:val="000000" w:themeColor="text1"/>
          <w:sz w:val="24"/>
          <w:szCs w:val="24"/>
          <w:lang w:val="en-GB"/>
        </w:rPr>
      </w:pPr>
    </w:p>
    <w:p w14:paraId="62561F27" w14:textId="0FA26605" w:rsidR="00BA76F4" w:rsidRPr="0062771E" w:rsidRDefault="00013615" w:rsidP="008101C9">
      <w:pPr>
        <w:rPr>
          <w:rFonts w:ascii="Times New Roman" w:hAnsi="Times New Roman" w:cs="Times New Roman"/>
          <w:iCs/>
          <w:sz w:val="24"/>
          <w:szCs w:val="24"/>
        </w:rPr>
      </w:pPr>
      <w:r>
        <w:rPr>
          <w:rFonts w:ascii="Times New Roman" w:hAnsi="Times New Roman" w:cs="Times New Roman"/>
          <w:bCs/>
          <w:iCs/>
          <w:color w:val="000000" w:themeColor="text1"/>
          <w:sz w:val="24"/>
          <w:szCs w:val="24"/>
          <w:lang w:val="en-GB"/>
        </w:rPr>
        <w:t>The program</w:t>
      </w:r>
      <w:r w:rsidR="00222929">
        <w:rPr>
          <w:rFonts w:ascii="Times New Roman" w:hAnsi="Times New Roman" w:cs="Times New Roman"/>
          <w:bCs/>
          <w:iCs/>
          <w:color w:val="000000" w:themeColor="text1"/>
          <w:sz w:val="24"/>
          <w:szCs w:val="24"/>
          <w:lang w:val="en-GB"/>
        </w:rPr>
        <w:t xml:space="preserve"> </w:t>
      </w:r>
      <w:r w:rsidR="00AA7236">
        <w:rPr>
          <w:rFonts w:ascii="Times New Roman" w:hAnsi="Times New Roman" w:cs="Times New Roman"/>
          <w:bCs/>
          <w:iCs/>
          <w:color w:val="000000" w:themeColor="text1"/>
          <w:sz w:val="24"/>
          <w:szCs w:val="24"/>
          <w:lang w:val="en-GB"/>
        </w:rPr>
        <w:t>will be provided with $20.9 million over four years</w:t>
      </w:r>
      <w:r w:rsidR="002D7989">
        <w:rPr>
          <w:rFonts w:ascii="Times New Roman" w:hAnsi="Times New Roman" w:cs="Times New Roman"/>
          <w:bCs/>
          <w:iCs/>
          <w:color w:val="000000" w:themeColor="text1"/>
          <w:sz w:val="24"/>
          <w:szCs w:val="24"/>
          <w:lang w:val="en-GB"/>
        </w:rPr>
        <w:t xml:space="preserve"> from 2023-24</w:t>
      </w:r>
      <w:r w:rsidR="00DE76B7">
        <w:rPr>
          <w:rFonts w:ascii="Times New Roman" w:hAnsi="Times New Roman" w:cs="Times New Roman"/>
          <w:bCs/>
          <w:iCs/>
          <w:color w:val="000000" w:themeColor="text1"/>
          <w:sz w:val="24"/>
          <w:szCs w:val="24"/>
          <w:lang w:val="en-GB"/>
        </w:rPr>
        <w:t xml:space="preserve">. This will </w:t>
      </w:r>
      <w:r w:rsidR="004254E9" w:rsidRPr="004254E9">
        <w:rPr>
          <w:rFonts w:ascii="Times New Roman" w:hAnsi="Times New Roman" w:cs="Times New Roman"/>
          <w:bCs/>
          <w:iCs/>
          <w:color w:val="000000" w:themeColor="text1"/>
          <w:sz w:val="24"/>
          <w:szCs w:val="24"/>
          <w:lang w:val="en-GB"/>
        </w:rPr>
        <w:t>facilita</w:t>
      </w:r>
      <w:r w:rsidR="00DE76B7">
        <w:rPr>
          <w:rFonts w:ascii="Times New Roman" w:hAnsi="Times New Roman" w:cs="Times New Roman"/>
          <w:bCs/>
          <w:iCs/>
          <w:color w:val="000000" w:themeColor="text1"/>
          <w:sz w:val="24"/>
          <w:szCs w:val="24"/>
          <w:lang w:val="en-GB"/>
        </w:rPr>
        <w:t>te</w:t>
      </w:r>
      <w:r w:rsidR="004254E9" w:rsidRPr="004254E9">
        <w:rPr>
          <w:rFonts w:ascii="Times New Roman" w:hAnsi="Times New Roman" w:cs="Times New Roman"/>
          <w:bCs/>
          <w:iCs/>
          <w:color w:val="000000" w:themeColor="text1"/>
          <w:sz w:val="24"/>
          <w:szCs w:val="24"/>
          <w:lang w:val="en-GB"/>
        </w:rPr>
        <w:t xml:space="preserve"> Australian investment in projects located overseas by informing and supporting</w:t>
      </w:r>
      <w:r w:rsidR="004254E9">
        <w:rPr>
          <w:rFonts w:ascii="Times New Roman" w:hAnsi="Times New Roman" w:cs="Times New Roman"/>
          <w:bCs/>
          <w:iCs/>
          <w:color w:val="000000" w:themeColor="text1"/>
          <w:sz w:val="24"/>
          <w:szCs w:val="24"/>
          <w:lang w:val="en-GB"/>
        </w:rPr>
        <w:t xml:space="preserve"> </w:t>
      </w:r>
      <w:r w:rsidR="004254E9" w:rsidRPr="004254E9">
        <w:rPr>
          <w:rFonts w:ascii="Times New Roman" w:hAnsi="Times New Roman" w:cs="Times New Roman"/>
          <w:bCs/>
          <w:iCs/>
          <w:color w:val="000000" w:themeColor="text1"/>
          <w:sz w:val="24"/>
          <w:szCs w:val="24"/>
          <w:lang w:val="en-GB"/>
        </w:rPr>
        <w:t>proponents of projects located overseas which have the potential for Australian investment and</w:t>
      </w:r>
      <w:r w:rsidR="004254E9">
        <w:rPr>
          <w:rFonts w:ascii="Times New Roman" w:hAnsi="Times New Roman" w:cs="Times New Roman"/>
          <w:bCs/>
          <w:iCs/>
          <w:color w:val="000000" w:themeColor="text1"/>
          <w:sz w:val="24"/>
          <w:szCs w:val="24"/>
          <w:lang w:val="en-GB"/>
        </w:rPr>
        <w:t xml:space="preserve"> </w:t>
      </w:r>
      <w:r w:rsidR="004254E9" w:rsidRPr="004254E9">
        <w:rPr>
          <w:rFonts w:ascii="Times New Roman" w:hAnsi="Times New Roman" w:cs="Times New Roman"/>
          <w:bCs/>
          <w:iCs/>
          <w:color w:val="000000" w:themeColor="text1"/>
          <w:sz w:val="24"/>
          <w:szCs w:val="24"/>
          <w:lang w:val="en-GB"/>
        </w:rPr>
        <w:t>Australian investors in relation to investment opportunities located overseas.</w:t>
      </w:r>
    </w:p>
    <w:p w14:paraId="1E2D0C01" w14:textId="77777777" w:rsidR="00217B63" w:rsidRDefault="00217B63" w:rsidP="008E6BF3">
      <w:pPr>
        <w:rPr>
          <w:rFonts w:ascii="Times New Roman" w:hAnsi="Times New Roman" w:cs="Times New Roman"/>
          <w:iCs/>
          <w:sz w:val="24"/>
          <w:szCs w:val="24"/>
          <w:lang w:val="en-GB"/>
        </w:rPr>
      </w:pPr>
    </w:p>
    <w:p w14:paraId="1BF10F05" w14:textId="04838626" w:rsidR="00C01D0A" w:rsidRPr="008E6BF3" w:rsidRDefault="00C52853" w:rsidP="008E6BF3">
      <w:pPr>
        <w:rPr>
          <w:rFonts w:ascii="Times New Roman" w:hAnsi="Times New Roman" w:cs="Times New Roman"/>
          <w:iCs/>
          <w:sz w:val="24"/>
          <w:szCs w:val="24"/>
          <w:lang w:val="en-GB"/>
        </w:rPr>
      </w:pPr>
      <w:r w:rsidRPr="00C52853">
        <w:rPr>
          <w:rFonts w:ascii="Times New Roman" w:hAnsi="Times New Roman" w:cs="Times New Roman"/>
          <w:iCs/>
          <w:sz w:val="24"/>
          <w:szCs w:val="24"/>
          <w:lang w:val="en-GB"/>
        </w:rPr>
        <w:t>The program will support the</w:t>
      </w:r>
      <w:r>
        <w:rPr>
          <w:rFonts w:ascii="Times New Roman" w:hAnsi="Times New Roman" w:cs="Times New Roman"/>
          <w:iCs/>
          <w:sz w:val="24"/>
          <w:szCs w:val="24"/>
          <w:lang w:val="en-GB"/>
        </w:rPr>
        <w:t xml:space="preserve"> Investment</w:t>
      </w:r>
      <w:r w:rsidRPr="00C52853">
        <w:rPr>
          <w:rFonts w:ascii="Times New Roman" w:hAnsi="Times New Roman" w:cs="Times New Roman"/>
          <w:iCs/>
          <w:sz w:val="24"/>
          <w:szCs w:val="24"/>
          <w:lang w:val="en-GB"/>
        </w:rPr>
        <w:t xml:space="preserve"> Deal Teams to develop the pipeline of potential investment-ready projects for Australian business consideration. The program will be delivered by a managing contractor who will procure projects to facilitate Australian investment. Projects could include feasibility studies; commercial and legal advice; and advice to ensure compliance with gender, disability and social inclusion approaches and environmental safeguards. </w:t>
      </w:r>
    </w:p>
    <w:p w14:paraId="5D3AB81F" w14:textId="77777777" w:rsidR="009403C6" w:rsidRDefault="009403C6" w:rsidP="008E6BF3">
      <w:pPr>
        <w:rPr>
          <w:rFonts w:ascii="Times New Roman" w:hAnsi="Times New Roman" w:cs="Times New Roman"/>
          <w:iCs/>
          <w:sz w:val="24"/>
          <w:szCs w:val="24"/>
          <w:lang w:val="en-GB"/>
        </w:rPr>
      </w:pPr>
    </w:p>
    <w:p w14:paraId="0B298F3E" w14:textId="77777777" w:rsidR="007942C5" w:rsidRDefault="007942C5" w:rsidP="007942C5">
      <w:pPr>
        <w:rPr>
          <w:rFonts w:ascii="Times New Roman" w:hAnsi="Times New Roman" w:cs="Times New Roman"/>
          <w:iCs/>
          <w:sz w:val="24"/>
          <w:szCs w:val="24"/>
          <w:lang w:val="en-GB"/>
        </w:rPr>
      </w:pPr>
      <w:r w:rsidRPr="007C7D24">
        <w:rPr>
          <w:rFonts w:ascii="Times New Roman" w:hAnsi="Times New Roman" w:cs="Times New Roman"/>
          <w:iCs/>
          <w:sz w:val="24"/>
          <w:szCs w:val="24"/>
          <w:lang w:val="en-GB"/>
        </w:rPr>
        <w:lastRenderedPageBreak/>
        <w:t xml:space="preserve">The department will also receive $27.7 million from the Investment Deal Teams initiative for staff costs including </w:t>
      </w:r>
      <w:r>
        <w:rPr>
          <w:rFonts w:ascii="Times New Roman" w:hAnsi="Times New Roman" w:cs="Times New Roman"/>
          <w:iCs/>
          <w:sz w:val="24"/>
          <w:szCs w:val="24"/>
          <w:lang w:val="en-GB"/>
        </w:rPr>
        <w:t>the deployment of staff</w:t>
      </w:r>
      <w:r w:rsidRPr="007C7D24">
        <w:rPr>
          <w:rFonts w:ascii="Times New Roman" w:hAnsi="Times New Roman" w:cs="Times New Roman"/>
          <w:iCs/>
          <w:sz w:val="24"/>
          <w:szCs w:val="24"/>
          <w:lang w:val="en-GB"/>
        </w:rPr>
        <w:t xml:space="preserve"> to nine Southeast Asian posts and to lead coordination and provide policy advice across deals team network.</w:t>
      </w:r>
    </w:p>
    <w:p w14:paraId="1296B612" w14:textId="77777777" w:rsidR="00BA76F4" w:rsidRDefault="00BA76F4" w:rsidP="00BA76F4">
      <w:pPr>
        <w:rPr>
          <w:rFonts w:ascii="Times New Roman" w:hAnsi="Times New Roman" w:cs="Times New Roman"/>
          <w:iCs/>
          <w:sz w:val="24"/>
          <w:szCs w:val="24"/>
        </w:rPr>
      </w:pPr>
    </w:p>
    <w:p w14:paraId="3AD39B3E" w14:textId="77777777" w:rsidR="00BA76F4" w:rsidRPr="005E6E97" w:rsidRDefault="00BA76F4" w:rsidP="00EE3C5C">
      <w:pPr>
        <w:keepNext/>
        <w:rPr>
          <w:rFonts w:ascii="Times New Roman" w:hAnsi="Times New Roman" w:cs="Times New Roman"/>
          <w:bCs/>
          <w:i/>
          <w:sz w:val="24"/>
          <w:szCs w:val="24"/>
          <w:u w:val="single"/>
          <w:lang w:val="en-US"/>
        </w:rPr>
      </w:pPr>
      <w:r w:rsidRPr="005E6E97">
        <w:rPr>
          <w:rFonts w:ascii="Times New Roman" w:hAnsi="Times New Roman" w:cs="Times New Roman"/>
          <w:bCs/>
          <w:i/>
          <w:sz w:val="24"/>
          <w:szCs w:val="24"/>
          <w:u w:val="single"/>
          <w:lang w:val="en-US"/>
        </w:rPr>
        <w:t>Funding amount and arrangements, merits review and consultation</w:t>
      </w:r>
    </w:p>
    <w:p w14:paraId="62F77708" w14:textId="77777777" w:rsidR="00BA76F4" w:rsidRDefault="00BA76F4" w:rsidP="00EE3C5C">
      <w:pPr>
        <w:keepNext/>
        <w:rPr>
          <w:rFonts w:ascii="Times New Roman" w:hAnsi="Times New Roman" w:cs="Times New Roman"/>
          <w:iCs/>
          <w:sz w:val="24"/>
          <w:szCs w:val="24"/>
        </w:rPr>
      </w:pPr>
    </w:p>
    <w:p w14:paraId="500A244C" w14:textId="091A6D57" w:rsidR="00EB4EC4" w:rsidRDefault="00EB4EC4" w:rsidP="00EB4EC4">
      <w:pPr>
        <w:rPr>
          <w:rFonts w:ascii="Times New Roman" w:hAnsi="Times New Roman" w:cs="Times New Roman"/>
          <w:bCs/>
          <w:iCs/>
          <w:color w:val="000000" w:themeColor="text1"/>
          <w:sz w:val="24"/>
          <w:szCs w:val="24"/>
          <w:lang w:val="en-US"/>
        </w:rPr>
      </w:pPr>
      <w:r w:rsidRPr="00EB4EC4">
        <w:rPr>
          <w:rFonts w:ascii="Times New Roman" w:hAnsi="Times New Roman" w:cs="Times New Roman"/>
          <w:bCs/>
          <w:iCs/>
          <w:color w:val="000000" w:themeColor="text1"/>
          <w:sz w:val="24"/>
          <w:szCs w:val="24"/>
          <w:lang w:val="en-US"/>
        </w:rPr>
        <w:t>Funding of $70.2 million for the Investment Deal Teams was included in the 2023</w:t>
      </w:r>
      <w:r w:rsidR="0095024C">
        <w:rPr>
          <w:rFonts w:ascii="Times New Roman" w:hAnsi="Times New Roman" w:cs="Times New Roman"/>
          <w:bCs/>
          <w:iCs/>
          <w:color w:val="000000" w:themeColor="text1"/>
          <w:sz w:val="24"/>
          <w:szCs w:val="24"/>
          <w:lang w:val="en-US"/>
        </w:rPr>
        <w:noBreakHyphen/>
      </w:r>
      <w:r w:rsidRPr="00EB4EC4">
        <w:rPr>
          <w:rFonts w:ascii="Times New Roman" w:hAnsi="Times New Roman" w:cs="Times New Roman"/>
          <w:bCs/>
          <w:iCs/>
          <w:color w:val="000000" w:themeColor="text1"/>
          <w:sz w:val="24"/>
          <w:szCs w:val="24"/>
          <w:lang w:val="en-US"/>
        </w:rPr>
        <w:t>24 Mid</w:t>
      </w:r>
      <w:r w:rsidR="00A45D83">
        <w:rPr>
          <w:rFonts w:ascii="Times New Roman" w:hAnsi="Times New Roman" w:cs="Times New Roman"/>
          <w:bCs/>
          <w:iCs/>
          <w:color w:val="000000" w:themeColor="text1"/>
          <w:sz w:val="24"/>
          <w:szCs w:val="24"/>
          <w:lang w:val="en-US"/>
        </w:rPr>
        <w:noBreakHyphen/>
      </w:r>
      <w:r w:rsidRPr="00EB4EC4">
        <w:rPr>
          <w:rFonts w:ascii="Times New Roman" w:hAnsi="Times New Roman" w:cs="Times New Roman"/>
          <w:bCs/>
          <w:iCs/>
          <w:color w:val="000000" w:themeColor="text1"/>
          <w:sz w:val="24"/>
          <w:szCs w:val="24"/>
          <w:lang w:val="en-US"/>
        </w:rPr>
        <w:t>Year Economic and Fiscal Outlook</w:t>
      </w:r>
      <w:r w:rsidR="009B4F55">
        <w:rPr>
          <w:rFonts w:ascii="Times New Roman" w:hAnsi="Times New Roman" w:cs="Times New Roman"/>
          <w:bCs/>
          <w:iCs/>
          <w:color w:val="000000" w:themeColor="text1"/>
          <w:sz w:val="24"/>
          <w:szCs w:val="24"/>
          <w:lang w:val="en-US"/>
        </w:rPr>
        <w:t xml:space="preserve"> under the measure ‘Southeast Asia Economic Strategy to 2040’ for a period of </w:t>
      </w:r>
      <w:r w:rsidR="00DE187F">
        <w:rPr>
          <w:rFonts w:ascii="Times New Roman" w:hAnsi="Times New Roman" w:cs="Times New Roman"/>
          <w:bCs/>
          <w:iCs/>
          <w:color w:val="000000" w:themeColor="text1"/>
          <w:sz w:val="24"/>
          <w:szCs w:val="24"/>
          <w:lang w:val="en-US"/>
        </w:rPr>
        <w:t>four years commencing in 2023-24. Details are set out in</w:t>
      </w:r>
      <w:r w:rsidR="00DA7AED">
        <w:rPr>
          <w:rFonts w:ascii="Times New Roman" w:hAnsi="Times New Roman" w:cs="Times New Roman"/>
          <w:bCs/>
          <w:iCs/>
          <w:color w:val="000000" w:themeColor="text1"/>
          <w:sz w:val="24"/>
          <w:szCs w:val="24"/>
          <w:lang w:val="en-US"/>
        </w:rPr>
        <w:t xml:space="preserve"> </w:t>
      </w:r>
      <w:r w:rsidR="00DA7AED" w:rsidRPr="004F757E">
        <w:rPr>
          <w:rFonts w:ascii="Times New Roman" w:hAnsi="Times New Roman" w:cs="Times New Roman"/>
          <w:bCs/>
          <w:i/>
          <w:color w:val="000000" w:themeColor="text1"/>
          <w:sz w:val="24"/>
          <w:szCs w:val="24"/>
          <w:lang w:val="en-US"/>
        </w:rPr>
        <w:t>Budget 2023-24, Mid-Year Economic and Fiscal Outlook 2023-24</w:t>
      </w:r>
      <w:r w:rsidR="004A6BC1" w:rsidRPr="004F757E">
        <w:rPr>
          <w:rFonts w:ascii="Times New Roman" w:hAnsi="Times New Roman" w:cs="Times New Roman"/>
          <w:bCs/>
          <w:i/>
          <w:color w:val="000000" w:themeColor="text1"/>
          <w:sz w:val="24"/>
          <w:szCs w:val="24"/>
          <w:lang w:val="en-US"/>
        </w:rPr>
        <w:t>, Appendix A: Policy decisions taken since the 2023-24 Budget</w:t>
      </w:r>
      <w:r w:rsidR="00DE187F">
        <w:rPr>
          <w:rFonts w:ascii="Times New Roman" w:hAnsi="Times New Roman" w:cs="Times New Roman"/>
          <w:bCs/>
          <w:iCs/>
          <w:color w:val="000000" w:themeColor="text1"/>
          <w:sz w:val="24"/>
          <w:szCs w:val="24"/>
          <w:lang w:val="en-US"/>
        </w:rPr>
        <w:t xml:space="preserve"> at page 252.</w:t>
      </w:r>
    </w:p>
    <w:p w14:paraId="77D00CC4" w14:textId="77777777" w:rsidR="00B648DB" w:rsidRPr="00EB4EC4" w:rsidRDefault="00B648DB" w:rsidP="00EB4EC4">
      <w:pPr>
        <w:rPr>
          <w:rFonts w:ascii="Times New Roman" w:hAnsi="Times New Roman" w:cs="Times New Roman"/>
          <w:bCs/>
          <w:iCs/>
          <w:color w:val="000000" w:themeColor="text1"/>
          <w:sz w:val="24"/>
          <w:szCs w:val="24"/>
          <w:lang w:val="en-US"/>
        </w:rPr>
      </w:pPr>
    </w:p>
    <w:p w14:paraId="46567044" w14:textId="7509D1F8" w:rsidR="00BA76F4" w:rsidRPr="007C4D77" w:rsidRDefault="00EB4EC4" w:rsidP="00BA76F4">
      <w:pPr>
        <w:rPr>
          <w:rFonts w:ascii="Times New Roman" w:hAnsi="Times New Roman" w:cs="Times New Roman"/>
          <w:bCs/>
          <w:iCs/>
          <w:color w:val="000000" w:themeColor="text1"/>
          <w:sz w:val="24"/>
          <w:szCs w:val="24"/>
          <w:lang w:val="en-GB"/>
        </w:rPr>
      </w:pPr>
      <w:r w:rsidRPr="00EB4EC4">
        <w:rPr>
          <w:rFonts w:ascii="Times New Roman" w:hAnsi="Times New Roman" w:cs="Times New Roman"/>
          <w:bCs/>
          <w:iCs/>
          <w:color w:val="000000" w:themeColor="text1"/>
          <w:sz w:val="24"/>
          <w:szCs w:val="24"/>
          <w:lang w:val="en-US"/>
        </w:rPr>
        <w:t>Funding</w:t>
      </w:r>
      <w:r w:rsidR="004A6BC1">
        <w:rPr>
          <w:rFonts w:ascii="Times New Roman" w:hAnsi="Times New Roman" w:cs="Times New Roman"/>
          <w:bCs/>
          <w:iCs/>
          <w:color w:val="000000" w:themeColor="text1"/>
          <w:sz w:val="24"/>
          <w:szCs w:val="24"/>
          <w:lang w:val="en-US"/>
        </w:rPr>
        <w:t xml:space="preserve"> of $48</w:t>
      </w:r>
      <w:r w:rsidR="00E26962">
        <w:rPr>
          <w:rFonts w:ascii="Times New Roman" w:hAnsi="Times New Roman" w:cs="Times New Roman"/>
          <w:bCs/>
          <w:iCs/>
          <w:color w:val="000000" w:themeColor="text1"/>
          <w:sz w:val="24"/>
          <w:szCs w:val="24"/>
          <w:lang w:val="en-US"/>
        </w:rPr>
        <w:t>.8 million over four years from 2023-24</w:t>
      </w:r>
      <w:r w:rsidRPr="00EB4EC4">
        <w:rPr>
          <w:rFonts w:ascii="Times New Roman" w:hAnsi="Times New Roman" w:cs="Times New Roman"/>
          <w:bCs/>
          <w:iCs/>
          <w:color w:val="000000" w:themeColor="text1"/>
          <w:sz w:val="24"/>
          <w:szCs w:val="24"/>
          <w:lang w:val="en-US"/>
        </w:rPr>
        <w:t xml:space="preserve"> for this item will come from Program</w:t>
      </w:r>
      <w:r w:rsidR="00E5272F">
        <w:rPr>
          <w:rFonts w:ascii="Times New Roman" w:hAnsi="Times New Roman" w:cs="Times New Roman"/>
          <w:bCs/>
          <w:iCs/>
          <w:color w:val="000000" w:themeColor="text1"/>
          <w:sz w:val="24"/>
          <w:szCs w:val="24"/>
          <w:lang w:val="en-US"/>
        </w:rPr>
        <w:t> </w:t>
      </w:r>
      <w:r w:rsidRPr="00EB4EC4">
        <w:rPr>
          <w:rFonts w:ascii="Times New Roman" w:hAnsi="Times New Roman" w:cs="Times New Roman"/>
          <w:bCs/>
          <w:iCs/>
          <w:color w:val="000000" w:themeColor="text1"/>
          <w:sz w:val="24"/>
          <w:szCs w:val="24"/>
          <w:lang w:val="en-US"/>
        </w:rPr>
        <w:t>1.1: the Southeast Asia Economic Strategy to 2040</w:t>
      </w:r>
      <w:r w:rsidR="00E5272F">
        <w:rPr>
          <w:rFonts w:ascii="Times New Roman" w:hAnsi="Times New Roman" w:cs="Times New Roman"/>
          <w:bCs/>
          <w:iCs/>
          <w:color w:val="000000" w:themeColor="text1"/>
          <w:sz w:val="24"/>
          <w:szCs w:val="24"/>
          <w:lang w:val="en-US"/>
        </w:rPr>
        <w:t>,</w:t>
      </w:r>
      <w:r w:rsidRPr="00EB4EC4">
        <w:rPr>
          <w:rFonts w:ascii="Times New Roman" w:hAnsi="Times New Roman" w:cs="Times New Roman"/>
          <w:bCs/>
          <w:iCs/>
          <w:color w:val="000000" w:themeColor="text1"/>
          <w:sz w:val="24"/>
          <w:szCs w:val="24"/>
          <w:lang w:val="en-US"/>
        </w:rPr>
        <w:t xml:space="preserve"> which is part of Outcome 1. Details are set out in the </w:t>
      </w:r>
      <w:r w:rsidR="002B36F5" w:rsidRPr="007D1D3F">
        <w:rPr>
          <w:rFonts w:ascii="Times New Roman" w:hAnsi="Times New Roman" w:cs="Times New Roman"/>
          <w:bCs/>
          <w:i/>
          <w:color w:val="000000" w:themeColor="text1"/>
          <w:sz w:val="24"/>
          <w:szCs w:val="24"/>
          <w:lang w:val="en-US"/>
        </w:rPr>
        <w:t xml:space="preserve">Portfolio </w:t>
      </w:r>
      <w:r w:rsidRPr="00EB4EC4">
        <w:rPr>
          <w:rFonts w:ascii="Times New Roman" w:hAnsi="Times New Roman" w:cs="Times New Roman"/>
          <w:bCs/>
          <w:i/>
          <w:color w:val="000000" w:themeColor="text1"/>
          <w:sz w:val="24"/>
          <w:szCs w:val="24"/>
          <w:lang w:val="en-US"/>
        </w:rPr>
        <w:t>Additional Estimates Statements 2023-24</w:t>
      </w:r>
      <w:r w:rsidRPr="00EB4EC4">
        <w:rPr>
          <w:rFonts w:ascii="Times New Roman" w:hAnsi="Times New Roman" w:cs="Times New Roman"/>
          <w:bCs/>
          <w:iCs/>
          <w:color w:val="000000" w:themeColor="text1"/>
          <w:sz w:val="24"/>
          <w:szCs w:val="24"/>
          <w:lang w:val="en-US"/>
        </w:rPr>
        <w:t>,</w:t>
      </w:r>
      <w:r w:rsidR="00F07D93">
        <w:rPr>
          <w:rFonts w:ascii="Times New Roman" w:hAnsi="Times New Roman" w:cs="Times New Roman"/>
          <w:bCs/>
          <w:iCs/>
          <w:color w:val="000000" w:themeColor="text1"/>
          <w:sz w:val="24"/>
          <w:szCs w:val="24"/>
          <w:lang w:val="en-US"/>
        </w:rPr>
        <w:t xml:space="preserve"> </w:t>
      </w:r>
      <w:r w:rsidR="00F07D93" w:rsidRPr="004F757E">
        <w:rPr>
          <w:rFonts w:ascii="Times New Roman" w:hAnsi="Times New Roman" w:cs="Times New Roman"/>
          <w:bCs/>
          <w:i/>
          <w:color w:val="000000" w:themeColor="text1"/>
          <w:sz w:val="24"/>
          <w:szCs w:val="24"/>
          <w:lang w:val="en-US"/>
        </w:rPr>
        <w:t>Foreign Affairs and Trade Portfolio</w:t>
      </w:r>
      <w:r w:rsidR="00F07D93">
        <w:rPr>
          <w:rFonts w:ascii="Times New Roman" w:hAnsi="Times New Roman" w:cs="Times New Roman"/>
          <w:bCs/>
          <w:iCs/>
          <w:color w:val="000000" w:themeColor="text1"/>
          <w:sz w:val="24"/>
          <w:szCs w:val="24"/>
          <w:lang w:val="en-US"/>
        </w:rPr>
        <w:t xml:space="preserve"> at</w:t>
      </w:r>
      <w:r w:rsidRPr="00EB4EC4">
        <w:rPr>
          <w:rFonts w:ascii="Times New Roman" w:hAnsi="Times New Roman" w:cs="Times New Roman"/>
          <w:bCs/>
          <w:iCs/>
          <w:color w:val="000000" w:themeColor="text1"/>
          <w:sz w:val="24"/>
          <w:szCs w:val="24"/>
          <w:lang w:val="en-US"/>
        </w:rPr>
        <w:t xml:space="preserve"> pages 11, 17, 18, 19 and 29.</w:t>
      </w:r>
      <w:r w:rsidRPr="00EB4EC4">
        <w:rPr>
          <w:rFonts w:ascii="Times New Roman" w:hAnsi="Times New Roman" w:cs="Times New Roman"/>
          <w:bCs/>
          <w:iCs/>
          <w:color w:val="000000" w:themeColor="text1"/>
          <w:sz w:val="24"/>
          <w:szCs w:val="24"/>
          <w:lang w:val="en-GB"/>
        </w:rPr>
        <w:t xml:space="preserve"> </w:t>
      </w:r>
    </w:p>
    <w:p w14:paraId="5A1A6FB4" w14:textId="5B708B66" w:rsidR="00B648DB" w:rsidRPr="00C4628B" w:rsidRDefault="00B648DB" w:rsidP="00B648DB">
      <w:pPr>
        <w:spacing w:before="240"/>
        <w:rPr>
          <w:rFonts w:ascii="Times New Roman" w:eastAsia="Times New Roman" w:hAnsi="Times New Roman" w:cs="Times New Roman"/>
          <w:sz w:val="24"/>
          <w:szCs w:val="24"/>
          <w:lang w:eastAsia="en-AU"/>
        </w:rPr>
      </w:pPr>
      <w:r w:rsidRPr="00C4628B">
        <w:rPr>
          <w:rFonts w:ascii="Times New Roman" w:eastAsia="Times New Roman" w:hAnsi="Times New Roman" w:cs="Times New Roman"/>
          <w:sz w:val="24"/>
          <w:szCs w:val="24"/>
          <w:lang w:eastAsia="en-AU"/>
        </w:rPr>
        <w:t>The program will be delivered by a contractor engaged through a two-step open procurement process. This approach is commensurate with the scope, scale and risk of the procurement. The procurement will</w:t>
      </w:r>
      <w:r w:rsidR="00A12DC1">
        <w:rPr>
          <w:rFonts w:ascii="Times New Roman" w:eastAsia="Times New Roman" w:hAnsi="Times New Roman" w:cs="Times New Roman"/>
          <w:sz w:val="24"/>
          <w:szCs w:val="24"/>
          <w:lang w:eastAsia="en-AU"/>
        </w:rPr>
        <w:t xml:space="preserve"> be conducted in accordance with the Commonwealth </w:t>
      </w:r>
      <w:r w:rsidR="00AC7E64">
        <w:rPr>
          <w:rFonts w:ascii="Times New Roman" w:eastAsia="Times New Roman" w:hAnsi="Times New Roman" w:cs="Times New Roman"/>
          <w:sz w:val="24"/>
          <w:szCs w:val="24"/>
          <w:lang w:eastAsia="en-AU"/>
        </w:rPr>
        <w:t xml:space="preserve">resource management framework, including the PGPA Act, the PGPA </w:t>
      </w:r>
      <w:r w:rsidR="003433C8">
        <w:rPr>
          <w:rFonts w:ascii="Times New Roman" w:eastAsia="Times New Roman" w:hAnsi="Times New Roman" w:cs="Times New Roman"/>
          <w:sz w:val="24"/>
          <w:szCs w:val="24"/>
          <w:lang w:eastAsia="en-AU"/>
        </w:rPr>
        <w:t xml:space="preserve">Rule </w:t>
      </w:r>
      <w:r w:rsidR="00AC7E64">
        <w:rPr>
          <w:rFonts w:ascii="Times New Roman" w:eastAsia="Times New Roman" w:hAnsi="Times New Roman" w:cs="Times New Roman"/>
          <w:sz w:val="24"/>
          <w:szCs w:val="24"/>
          <w:lang w:eastAsia="en-AU"/>
        </w:rPr>
        <w:t xml:space="preserve">and </w:t>
      </w:r>
      <w:r w:rsidRPr="00C4628B">
        <w:rPr>
          <w:rFonts w:ascii="Times New Roman" w:hAnsi="Times New Roman" w:cs="Times New Roman"/>
          <w:sz w:val="24"/>
          <w:szCs w:val="24"/>
          <w:lang w:eastAsia="en-AU"/>
        </w:rPr>
        <w:t xml:space="preserve">the </w:t>
      </w:r>
      <w:r w:rsidRPr="00C4628B">
        <w:rPr>
          <w:rFonts w:ascii="Times New Roman" w:hAnsi="Times New Roman" w:cs="Times New Roman"/>
          <w:i/>
          <w:iCs/>
          <w:sz w:val="24"/>
          <w:szCs w:val="24"/>
          <w:lang w:eastAsia="en-AU"/>
        </w:rPr>
        <w:t>Commonwealth Procurement Rules</w:t>
      </w:r>
      <w:r w:rsidRPr="00C4628B">
        <w:rPr>
          <w:rFonts w:ascii="Times New Roman" w:hAnsi="Times New Roman" w:cs="Times New Roman"/>
          <w:sz w:val="24"/>
          <w:szCs w:val="24"/>
          <w:lang w:eastAsia="en-AU"/>
        </w:rPr>
        <w:t xml:space="preserve"> (CPRs)</w:t>
      </w:r>
      <w:r w:rsidRPr="00C4628B">
        <w:rPr>
          <w:rFonts w:ascii="Times New Roman" w:eastAsia="Times New Roman" w:hAnsi="Times New Roman" w:cs="Times New Roman"/>
          <w:sz w:val="24"/>
          <w:szCs w:val="24"/>
          <w:lang w:eastAsia="en-AU"/>
        </w:rPr>
        <w:t xml:space="preserve">.  </w:t>
      </w:r>
    </w:p>
    <w:p w14:paraId="433C30B8" w14:textId="2E0E071A" w:rsidR="00B648DB" w:rsidRPr="00C4628B" w:rsidRDefault="00B648DB" w:rsidP="00B648DB">
      <w:pPr>
        <w:spacing w:before="240"/>
        <w:rPr>
          <w:rFonts w:ascii="Times New Roman" w:hAnsi="Times New Roman" w:cs="Times New Roman"/>
          <w:sz w:val="24"/>
          <w:szCs w:val="24"/>
          <w:lang w:eastAsia="en-AU"/>
        </w:rPr>
      </w:pPr>
      <w:r w:rsidRPr="00C4628B">
        <w:rPr>
          <w:rFonts w:ascii="Times New Roman" w:hAnsi="Times New Roman" w:cs="Times New Roman"/>
          <w:sz w:val="24"/>
          <w:szCs w:val="24"/>
          <w:lang w:eastAsia="en-AU"/>
        </w:rPr>
        <w:t xml:space="preserve">To ensure a wide-ranging supplier response, notice of the procurement will be published on relevant </w:t>
      </w:r>
      <w:r w:rsidR="00A016D4" w:rsidRPr="00C4628B">
        <w:rPr>
          <w:rFonts w:ascii="Times New Roman" w:hAnsi="Times New Roman" w:cs="Times New Roman"/>
          <w:sz w:val="24"/>
          <w:szCs w:val="24"/>
          <w:lang w:eastAsia="en-AU"/>
        </w:rPr>
        <w:t>departmental</w:t>
      </w:r>
      <w:r w:rsidRPr="00C4628B">
        <w:rPr>
          <w:rFonts w:ascii="Times New Roman" w:hAnsi="Times New Roman" w:cs="Times New Roman"/>
          <w:sz w:val="24"/>
          <w:szCs w:val="24"/>
          <w:lang w:eastAsia="en-AU"/>
        </w:rPr>
        <w:t xml:space="preserve"> procurement pages</w:t>
      </w:r>
      <w:r w:rsidR="0082425D">
        <w:rPr>
          <w:rFonts w:ascii="Times New Roman" w:hAnsi="Times New Roman" w:cs="Times New Roman"/>
          <w:sz w:val="24"/>
          <w:szCs w:val="24"/>
          <w:lang w:eastAsia="en-AU"/>
        </w:rPr>
        <w:t xml:space="preserve"> </w:t>
      </w:r>
      <w:r w:rsidR="000C0CAE" w:rsidRPr="000C0CAE">
        <w:rPr>
          <w:rFonts w:ascii="Times New Roman" w:hAnsi="Times New Roman" w:cs="Times New Roman"/>
          <w:sz w:val="24"/>
          <w:szCs w:val="24"/>
          <w:lang w:eastAsia="en-AU"/>
        </w:rPr>
        <w:t xml:space="preserve">and </w:t>
      </w:r>
      <w:r w:rsidR="001A2834" w:rsidRPr="000C0CAE">
        <w:rPr>
          <w:rFonts w:ascii="Times New Roman" w:hAnsi="Times New Roman" w:cs="Times New Roman"/>
          <w:sz w:val="24"/>
          <w:szCs w:val="24"/>
          <w:lang w:eastAsia="en-AU"/>
        </w:rPr>
        <w:t>the</w:t>
      </w:r>
      <w:r w:rsidR="0082425D" w:rsidRPr="000C0CAE">
        <w:rPr>
          <w:rFonts w:ascii="Times New Roman" w:hAnsi="Times New Roman" w:cs="Times New Roman"/>
          <w:sz w:val="24"/>
          <w:szCs w:val="24"/>
          <w:lang w:eastAsia="en-AU"/>
        </w:rPr>
        <w:t xml:space="preserve"> </w:t>
      </w:r>
      <w:proofErr w:type="spellStart"/>
      <w:r w:rsidR="0082425D" w:rsidRPr="000C0CAE">
        <w:rPr>
          <w:rFonts w:ascii="Times New Roman" w:hAnsi="Times New Roman" w:cs="Times New Roman"/>
          <w:sz w:val="24"/>
          <w:szCs w:val="24"/>
          <w:lang w:eastAsia="en-AU"/>
        </w:rPr>
        <w:t>Aus</w:t>
      </w:r>
      <w:r w:rsidR="001A2834" w:rsidRPr="000C0CAE">
        <w:rPr>
          <w:rFonts w:ascii="Times New Roman" w:hAnsi="Times New Roman" w:cs="Times New Roman"/>
          <w:sz w:val="24"/>
          <w:szCs w:val="24"/>
          <w:lang w:eastAsia="en-AU"/>
        </w:rPr>
        <w:t>T</w:t>
      </w:r>
      <w:r w:rsidR="0082425D" w:rsidRPr="000C0CAE">
        <w:rPr>
          <w:rFonts w:ascii="Times New Roman" w:hAnsi="Times New Roman" w:cs="Times New Roman"/>
          <w:sz w:val="24"/>
          <w:szCs w:val="24"/>
          <w:lang w:eastAsia="en-AU"/>
        </w:rPr>
        <w:t>ender</w:t>
      </w:r>
      <w:proofErr w:type="spellEnd"/>
      <w:r w:rsidR="00661B45" w:rsidRPr="000C0CAE">
        <w:rPr>
          <w:rFonts w:ascii="Times New Roman" w:hAnsi="Times New Roman" w:cs="Times New Roman"/>
          <w:sz w:val="24"/>
          <w:szCs w:val="24"/>
          <w:lang w:eastAsia="en-AU"/>
        </w:rPr>
        <w:t xml:space="preserve"> website</w:t>
      </w:r>
      <w:r w:rsidRPr="000C0CAE">
        <w:rPr>
          <w:rFonts w:ascii="Times New Roman" w:hAnsi="Times New Roman" w:cs="Times New Roman"/>
          <w:sz w:val="24"/>
          <w:szCs w:val="24"/>
          <w:lang w:eastAsia="en-AU"/>
        </w:rPr>
        <w:t xml:space="preserve"> </w:t>
      </w:r>
      <w:r w:rsidR="00EB6601">
        <w:rPr>
          <w:rFonts w:ascii="Times New Roman" w:hAnsi="Times New Roman" w:cs="Times New Roman"/>
          <w:sz w:val="24"/>
          <w:szCs w:val="24"/>
          <w:lang w:eastAsia="en-AU"/>
        </w:rPr>
        <w:t>(</w:t>
      </w:r>
      <w:r w:rsidR="00AE570D" w:rsidRPr="003E6C0B">
        <w:rPr>
          <w:rFonts w:ascii="Times New Roman" w:hAnsi="Times New Roman" w:cs="Times New Roman"/>
          <w:sz w:val="24"/>
          <w:szCs w:val="24"/>
          <w:u w:val="single"/>
          <w:lang w:eastAsia="en-AU"/>
        </w:rPr>
        <w:t>www.</w:t>
      </w:r>
      <w:r w:rsidR="00EB6601" w:rsidRPr="003E6C0B">
        <w:rPr>
          <w:rFonts w:ascii="Times New Roman" w:hAnsi="Times New Roman" w:cs="Times New Roman"/>
          <w:sz w:val="24"/>
          <w:szCs w:val="24"/>
          <w:u w:val="single"/>
          <w:lang w:eastAsia="en-AU"/>
        </w:rPr>
        <w:t>tenders.gov.au</w:t>
      </w:r>
      <w:r w:rsidR="00EB6601">
        <w:rPr>
          <w:rFonts w:ascii="Times New Roman" w:hAnsi="Times New Roman" w:cs="Times New Roman"/>
          <w:sz w:val="24"/>
          <w:szCs w:val="24"/>
          <w:lang w:eastAsia="en-AU"/>
        </w:rPr>
        <w:t xml:space="preserve">) </w:t>
      </w:r>
      <w:r w:rsidR="000C0CAE" w:rsidRPr="000C0CAE">
        <w:rPr>
          <w:rFonts w:ascii="Times New Roman" w:hAnsi="Times New Roman" w:cs="Times New Roman"/>
          <w:sz w:val="24"/>
          <w:szCs w:val="24"/>
          <w:lang w:eastAsia="en-AU"/>
        </w:rPr>
        <w:t>a</w:t>
      </w:r>
      <w:r w:rsidRPr="000C0CAE">
        <w:rPr>
          <w:rFonts w:ascii="Times New Roman" w:hAnsi="Times New Roman" w:cs="Times New Roman"/>
          <w:sz w:val="24"/>
          <w:szCs w:val="24"/>
          <w:lang w:eastAsia="en-AU"/>
        </w:rPr>
        <w:t>nd advertised through appropriate media. A Statement of Requirement for potential suppliers</w:t>
      </w:r>
      <w:r w:rsidRPr="00C4628B">
        <w:rPr>
          <w:rFonts w:ascii="Times New Roman" w:hAnsi="Times New Roman" w:cs="Times New Roman"/>
          <w:sz w:val="24"/>
          <w:szCs w:val="24"/>
          <w:lang w:eastAsia="en-AU"/>
        </w:rPr>
        <w:t xml:space="preserve"> will be drafted in consultation with partner agencies and posts and </w:t>
      </w:r>
      <w:r w:rsidR="00A016D4" w:rsidRPr="00C4628B">
        <w:rPr>
          <w:rFonts w:ascii="Times New Roman" w:hAnsi="Times New Roman" w:cs="Times New Roman"/>
          <w:sz w:val="24"/>
          <w:szCs w:val="24"/>
          <w:lang w:eastAsia="en-AU"/>
        </w:rPr>
        <w:t>departmental</w:t>
      </w:r>
      <w:r w:rsidRPr="00C4628B">
        <w:rPr>
          <w:rFonts w:ascii="Times New Roman" w:hAnsi="Times New Roman" w:cs="Times New Roman"/>
          <w:sz w:val="24"/>
          <w:szCs w:val="24"/>
          <w:lang w:eastAsia="en-AU"/>
        </w:rPr>
        <w:t xml:space="preserve"> program specialists. Following a Request for Expression of Interest process, short-listed suppliers will be asked to tender for the project. </w:t>
      </w:r>
    </w:p>
    <w:p w14:paraId="7725E4FF" w14:textId="16679770" w:rsidR="00B648DB" w:rsidRPr="00C4628B" w:rsidRDefault="00B648DB" w:rsidP="00B648DB">
      <w:pPr>
        <w:spacing w:before="240"/>
        <w:rPr>
          <w:rFonts w:ascii="Times New Roman" w:hAnsi="Times New Roman" w:cs="Times New Roman"/>
          <w:sz w:val="24"/>
          <w:szCs w:val="24"/>
          <w:lang w:eastAsia="en-AU"/>
        </w:rPr>
      </w:pPr>
      <w:r w:rsidRPr="00C4628B">
        <w:rPr>
          <w:rFonts w:ascii="Times New Roman" w:hAnsi="Times New Roman" w:cs="Times New Roman"/>
          <w:sz w:val="24"/>
          <w:szCs w:val="24"/>
          <w:lang w:eastAsia="en-AU"/>
        </w:rPr>
        <w:t>An Evaluation Committee</w:t>
      </w:r>
      <w:r w:rsidR="00D52434">
        <w:rPr>
          <w:rFonts w:ascii="Times New Roman" w:hAnsi="Times New Roman" w:cs="Times New Roman"/>
          <w:sz w:val="24"/>
          <w:szCs w:val="24"/>
          <w:lang w:eastAsia="en-AU"/>
        </w:rPr>
        <w:t>,</w:t>
      </w:r>
      <w:r w:rsidRPr="00C4628B">
        <w:rPr>
          <w:rFonts w:ascii="Times New Roman" w:hAnsi="Times New Roman" w:cs="Times New Roman"/>
          <w:sz w:val="24"/>
          <w:szCs w:val="24"/>
          <w:lang w:eastAsia="en-AU"/>
        </w:rPr>
        <w:t xml:space="preserve"> comprising members with relevant knowledge and programming experience and approved at </w:t>
      </w:r>
      <w:r w:rsidR="008B685C">
        <w:rPr>
          <w:rFonts w:ascii="Times New Roman" w:hAnsi="Times New Roman" w:cs="Times New Roman"/>
          <w:sz w:val="24"/>
          <w:szCs w:val="24"/>
          <w:lang w:eastAsia="en-AU"/>
        </w:rPr>
        <w:t xml:space="preserve">the </w:t>
      </w:r>
      <w:r w:rsidRPr="00C4628B">
        <w:rPr>
          <w:rFonts w:ascii="Times New Roman" w:hAnsi="Times New Roman" w:cs="Times New Roman"/>
          <w:sz w:val="24"/>
          <w:szCs w:val="24"/>
          <w:lang w:eastAsia="en-AU"/>
        </w:rPr>
        <w:t>Assistant Secretary level</w:t>
      </w:r>
      <w:r w:rsidR="00D52434">
        <w:rPr>
          <w:rFonts w:ascii="Times New Roman" w:hAnsi="Times New Roman" w:cs="Times New Roman"/>
          <w:sz w:val="24"/>
          <w:szCs w:val="24"/>
          <w:lang w:eastAsia="en-AU"/>
        </w:rPr>
        <w:t>,</w:t>
      </w:r>
      <w:r w:rsidRPr="00C4628B">
        <w:rPr>
          <w:rFonts w:ascii="Times New Roman" w:hAnsi="Times New Roman" w:cs="Times New Roman"/>
          <w:sz w:val="24"/>
          <w:szCs w:val="24"/>
          <w:lang w:eastAsia="en-AU"/>
        </w:rPr>
        <w:t xml:space="preserve"> will make recommendations on appropriate supplier. The Committee will include members such as representatives of the </w:t>
      </w:r>
      <w:r w:rsidRPr="00C4628B">
        <w:rPr>
          <w:rFonts w:ascii="Times New Roman" w:hAnsi="Times New Roman" w:cs="Times New Roman"/>
          <w:sz w:val="24"/>
          <w:szCs w:val="24"/>
          <w:lang w:val="en-GB"/>
        </w:rPr>
        <w:t xml:space="preserve">Export Finance and Strategic Investment Branch, the Connectivity and Infrastructure Policy Branch and the Southeast Asia Development Policy and Programs Branch. </w:t>
      </w:r>
      <w:r w:rsidRPr="00C4628B">
        <w:rPr>
          <w:rFonts w:ascii="Times New Roman" w:hAnsi="Times New Roman" w:cs="Times New Roman"/>
          <w:sz w:val="24"/>
          <w:szCs w:val="24"/>
          <w:lang w:eastAsia="en-AU"/>
        </w:rPr>
        <w:t xml:space="preserve">All members will make </w:t>
      </w:r>
      <w:r w:rsidR="00863AC5">
        <w:rPr>
          <w:rFonts w:ascii="Times New Roman" w:hAnsi="Times New Roman" w:cs="Times New Roman"/>
          <w:sz w:val="24"/>
          <w:szCs w:val="24"/>
          <w:lang w:eastAsia="en-AU"/>
        </w:rPr>
        <w:t>c</w:t>
      </w:r>
      <w:r w:rsidRPr="00C4628B">
        <w:rPr>
          <w:rFonts w:ascii="Times New Roman" w:hAnsi="Times New Roman" w:cs="Times New Roman"/>
          <w:sz w:val="24"/>
          <w:szCs w:val="24"/>
          <w:lang w:eastAsia="en-AU"/>
        </w:rPr>
        <w:t xml:space="preserve">onflict of </w:t>
      </w:r>
      <w:r w:rsidR="00863AC5">
        <w:rPr>
          <w:rFonts w:ascii="Times New Roman" w:hAnsi="Times New Roman" w:cs="Times New Roman"/>
          <w:sz w:val="24"/>
          <w:szCs w:val="24"/>
          <w:lang w:eastAsia="en-AU"/>
        </w:rPr>
        <w:t>i</w:t>
      </w:r>
      <w:r w:rsidRPr="00C4628B">
        <w:rPr>
          <w:rFonts w:ascii="Times New Roman" w:hAnsi="Times New Roman" w:cs="Times New Roman"/>
          <w:sz w:val="24"/>
          <w:szCs w:val="24"/>
          <w:lang w:eastAsia="en-AU"/>
        </w:rPr>
        <w:t>nterest declarations as a condition of membership.</w:t>
      </w:r>
    </w:p>
    <w:p w14:paraId="087109B7" w14:textId="46AD7ACF" w:rsidR="001E1756" w:rsidRPr="00C4628B" w:rsidRDefault="001E1756" w:rsidP="001E1756">
      <w:pPr>
        <w:spacing w:before="240"/>
        <w:rPr>
          <w:rFonts w:ascii="Times New Roman" w:hAnsi="Times New Roman" w:cs="Times New Roman"/>
          <w:sz w:val="24"/>
          <w:szCs w:val="24"/>
          <w:lang w:eastAsia="en-AU"/>
        </w:rPr>
      </w:pPr>
      <w:r w:rsidRPr="001E1756">
        <w:rPr>
          <w:rFonts w:ascii="Times New Roman" w:hAnsi="Times New Roman" w:cs="Times New Roman"/>
          <w:sz w:val="24"/>
          <w:szCs w:val="24"/>
          <w:lang w:eastAsia="en-AU"/>
        </w:rPr>
        <w:t>The Office of Southeast Asia’s First Assistant Secretary, Strategy and Development Division will be responsible for the final decision on the procurement. This delegate will have the necessary qualifications and experience to make the procurement decisions.</w:t>
      </w:r>
      <w:r>
        <w:rPr>
          <w:rFonts w:ascii="Times New Roman" w:hAnsi="Times New Roman" w:cs="Times New Roman"/>
          <w:sz w:val="24"/>
          <w:szCs w:val="24"/>
          <w:lang w:eastAsia="en-AU"/>
        </w:rPr>
        <w:t xml:space="preserve"> </w:t>
      </w:r>
    </w:p>
    <w:p w14:paraId="456BAE6B" w14:textId="4053F18E" w:rsidR="00B648DB" w:rsidRPr="00C4628B" w:rsidRDefault="00B648DB" w:rsidP="00B648DB">
      <w:pPr>
        <w:spacing w:before="240"/>
        <w:rPr>
          <w:rFonts w:ascii="Times New Roman" w:eastAsia="Calibri" w:hAnsi="Times New Roman" w:cs="Times New Roman"/>
          <w:sz w:val="24"/>
          <w:szCs w:val="24"/>
          <w:lang w:val="en-GB"/>
        </w:rPr>
      </w:pPr>
      <w:r w:rsidRPr="00C4628B">
        <w:rPr>
          <w:rFonts w:ascii="Times New Roman" w:eastAsia="Calibri" w:hAnsi="Times New Roman" w:cs="Times New Roman"/>
          <w:sz w:val="24"/>
          <w:szCs w:val="24"/>
          <w:lang w:val="en-GB"/>
        </w:rPr>
        <w:t xml:space="preserve">Procurement decisions made in connection with the </w:t>
      </w:r>
      <w:r w:rsidRPr="00C4628B">
        <w:rPr>
          <w:rFonts w:ascii="Times New Roman" w:eastAsia="Times New Roman" w:hAnsi="Times New Roman" w:cs="Times New Roman"/>
          <w:sz w:val="24"/>
          <w:szCs w:val="24"/>
          <w:lang w:eastAsia="en-AU"/>
        </w:rPr>
        <w:t xml:space="preserve">program </w:t>
      </w:r>
      <w:r w:rsidRPr="00C4628B">
        <w:rPr>
          <w:rFonts w:ascii="Times New Roman" w:eastAsia="Calibri" w:hAnsi="Times New Roman" w:cs="Times New Roman"/>
          <w:sz w:val="24"/>
          <w:szCs w:val="24"/>
          <w:lang w:val="en-GB"/>
        </w:rPr>
        <w:t xml:space="preserve">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w:t>
      </w:r>
      <w:r w:rsidR="00C96FE7">
        <w:rPr>
          <w:rFonts w:ascii="Times New Roman" w:eastAsia="Calibri" w:hAnsi="Times New Roman" w:cs="Times New Roman"/>
          <w:sz w:val="24"/>
          <w:szCs w:val="24"/>
          <w:lang w:val="en-GB"/>
        </w:rPr>
        <w:t>ARC</w:t>
      </w:r>
      <w:r w:rsidRPr="00C4628B">
        <w:rPr>
          <w:rFonts w:ascii="Times New Roman" w:eastAsia="Calibri" w:hAnsi="Times New Roman" w:cs="Times New Roman"/>
          <w:sz w:val="24"/>
          <w:szCs w:val="24"/>
          <w:lang w:val="en-GB"/>
        </w:rPr>
        <w:t xml:space="preserve"> has recognised that it is justifiable to exclude merits review in relation to decisions of this nature (see paragraphs 4.11 to 4.19 of the </w:t>
      </w:r>
      <w:r w:rsidR="00C96FE7">
        <w:rPr>
          <w:rFonts w:ascii="Times New Roman" w:eastAsia="Calibri" w:hAnsi="Times New Roman" w:cs="Times New Roman"/>
          <w:sz w:val="24"/>
          <w:szCs w:val="24"/>
          <w:lang w:val="en-GB"/>
        </w:rPr>
        <w:t xml:space="preserve">ARC </w:t>
      </w:r>
      <w:r w:rsidRPr="00C4628B">
        <w:rPr>
          <w:rFonts w:ascii="Times New Roman" w:eastAsia="Calibri" w:hAnsi="Times New Roman" w:cs="Times New Roman"/>
          <w:sz w:val="24"/>
          <w:szCs w:val="24"/>
          <w:lang w:val="en-GB"/>
        </w:rPr>
        <w:t xml:space="preserve">guide). </w:t>
      </w:r>
    </w:p>
    <w:p w14:paraId="23C553D3" w14:textId="273FD680" w:rsidR="00B648DB" w:rsidRPr="00C4628B" w:rsidRDefault="00B648DB" w:rsidP="00B648DB">
      <w:pPr>
        <w:spacing w:before="240"/>
        <w:rPr>
          <w:rFonts w:ascii="Times New Roman" w:eastAsia="Calibri" w:hAnsi="Times New Roman" w:cs="Times New Roman"/>
          <w:sz w:val="24"/>
          <w:szCs w:val="24"/>
          <w:lang w:val="en-GB"/>
        </w:rPr>
      </w:pPr>
      <w:r w:rsidRPr="00C4628B">
        <w:rPr>
          <w:rFonts w:ascii="Times New Roman" w:eastAsia="Calibri" w:hAnsi="Times New Roman" w:cs="Times New Roman"/>
          <w:sz w:val="24"/>
          <w:szCs w:val="24"/>
          <w:lang w:val="en-GB"/>
        </w:rPr>
        <w:t xml:space="preserve">The remaking of a procurement decision after entry into a contractual arrangement with a successful provider is legally complex, impractical, and could result in delays to providing services to platform users. The </w:t>
      </w:r>
      <w:r w:rsidRPr="00C4628B">
        <w:rPr>
          <w:rFonts w:ascii="Times New Roman" w:eastAsia="Calibri" w:hAnsi="Times New Roman" w:cs="Times New Roman"/>
          <w:i/>
          <w:iCs/>
          <w:sz w:val="24"/>
          <w:szCs w:val="24"/>
          <w:lang w:val="en-GB"/>
        </w:rPr>
        <w:t>Government Procurement (Judicial Review) Act 2018</w:t>
      </w:r>
      <w:r w:rsidRPr="00C4628B">
        <w:rPr>
          <w:rFonts w:ascii="Times New Roman" w:eastAsia="Calibri" w:hAnsi="Times New Roman" w:cs="Times New Roman"/>
          <w:sz w:val="24"/>
          <w:szCs w:val="24"/>
          <w:lang w:val="en-GB"/>
        </w:rPr>
        <w:t xml:space="preserve"> </w:t>
      </w:r>
      <w:r w:rsidR="00ED6F76" w:rsidRPr="00C4628B">
        <w:rPr>
          <w:rFonts w:ascii="Times New Roman" w:eastAsia="Calibri" w:hAnsi="Times New Roman" w:cs="Times New Roman"/>
          <w:sz w:val="24"/>
          <w:szCs w:val="24"/>
          <w:lang w:val="en-GB"/>
        </w:rPr>
        <w:t xml:space="preserve">(GPJR) </w:t>
      </w:r>
      <w:r w:rsidRPr="00C4628B">
        <w:rPr>
          <w:rFonts w:ascii="Times New Roman" w:eastAsia="Calibri" w:hAnsi="Times New Roman" w:cs="Times New Roman"/>
          <w:sz w:val="24"/>
          <w:szCs w:val="24"/>
          <w:lang w:val="en-GB"/>
        </w:rPr>
        <w:lastRenderedPageBreak/>
        <w:t>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r w:rsidR="00786199" w:rsidRPr="00C4628B">
        <w:rPr>
          <w:rFonts w:ascii="Times New Roman" w:eastAsia="Calibri" w:hAnsi="Times New Roman" w:cs="Times New Roman"/>
          <w:sz w:val="24"/>
          <w:szCs w:val="24"/>
          <w:lang w:val="en-GB"/>
        </w:rPr>
        <w:t xml:space="preserve"> and where the parties are unable to resolve the tenderer’s concerns through the complaints handling process</w:t>
      </w:r>
      <w:r w:rsidRPr="00C4628B">
        <w:rPr>
          <w:rFonts w:ascii="Times New Roman" w:eastAsia="Calibri" w:hAnsi="Times New Roman" w:cs="Times New Roman"/>
          <w:sz w:val="24"/>
          <w:szCs w:val="24"/>
          <w:lang w:val="en-GB"/>
        </w:rPr>
        <w:t>.</w:t>
      </w:r>
      <w:r w:rsidR="00786199" w:rsidRPr="00C4628B">
        <w:rPr>
          <w:rFonts w:ascii="Times New Roman" w:eastAsia="Calibri" w:hAnsi="Times New Roman" w:cs="Times New Roman"/>
          <w:sz w:val="24"/>
          <w:szCs w:val="24"/>
          <w:lang w:val="en-GB"/>
        </w:rPr>
        <w:t xml:space="preserve"> </w:t>
      </w:r>
      <w:r w:rsidRPr="00C4628B">
        <w:rPr>
          <w:rFonts w:ascii="Times New Roman" w:eastAsia="Calibri" w:hAnsi="Times New Roman" w:cs="Times New Roman"/>
          <w:sz w:val="24"/>
          <w:szCs w:val="24"/>
          <w:lang w:val="en-GB"/>
        </w:rPr>
        <w:t xml:space="preserve">The GPJR applies to any procurement decisions made under the instrument, where such decisions are ‘covered procurements’ within the meaning of section 5 of the </w:t>
      </w:r>
      <w:r w:rsidR="00786199" w:rsidRPr="00C4628B">
        <w:rPr>
          <w:rFonts w:ascii="Times New Roman" w:eastAsia="Calibri" w:hAnsi="Times New Roman" w:cs="Times New Roman"/>
          <w:sz w:val="24"/>
          <w:szCs w:val="24"/>
          <w:lang w:val="en-GB"/>
        </w:rPr>
        <w:t>GPRJ</w:t>
      </w:r>
      <w:r w:rsidRPr="00C4628B">
        <w:rPr>
          <w:rFonts w:ascii="Times New Roman" w:eastAsia="Calibri" w:hAnsi="Times New Roman" w:cs="Times New Roman"/>
          <w:sz w:val="24"/>
          <w:szCs w:val="24"/>
          <w:lang w:val="en-GB"/>
        </w:rPr>
        <w:t xml:space="preserve">. </w:t>
      </w:r>
    </w:p>
    <w:p w14:paraId="40980CA2" w14:textId="41F340EF" w:rsidR="00B648DB" w:rsidRPr="00C4628B" w:rsidRDefault="00961874" w:rsidP="00B648DB">
      <w:pPr>
        <w:spacing w:before="240"/>
        <w:rPr>
          <w:rFonts w:ascii="Times New Roman" w:hAnsi="Times New Roman" w:cs="Times New Roman"/>
        </w:rPr>
      </w:pPr>
      <w:r w:rsidRPr="00C4628B">
        <w:rPr>
          <w:rFonts w:ascii="Times New Roman" w:eastAsia="Calibri" w:hAnsi="Times New Roman" w:cs="Times New Roman"/>
          <w:sz w:val="24"/>
          <w:szCs w:val="24"/>
          <w:lang w:val="en-GB"/>
        </w:rPr>
        <w:t>The department</w:t>
      </w:r>
      <w:r w:rsidR="00B648DB" w:rsidRPr="00C4628B">
        <w:rPr>
          <w:rFonts w:ascii="Times New Roman" w:eastAsia="Calibri" w:hAnsi="Times New Roman" w:cs="Times New Roman"/>
          <w:sz w:val="24"/>
          <w:szCs w:val="24"/>
          <w:lang w:val="en-GB"/>
        </w:rPr>
        <w:t xml:space="preserve"> has a Complaints Handling Policy (available at </w:t>
      </w:r>
      <w:r w:rsidR="00B648DB" w:rsidRPr="00C4628B">
        <w:rPr>
          <w:rFonts w:ascii="Times New Roman" w:eastAsia="Calibri" w:hAnsi="Times New Roman" w:cs="Times New Roman"/>
          <w:sz w:val="24"/>
          <w:szCs w:val="24"/>
          <w:u w:val="single"/>
          <w:lang w:val="en-GB"/>
        </w:rPr>
        <w:t>www.dfat.gov.au/about-us/publications/complaint-handling-procedures-procurement</w:t>
      </w:r>
      <w:r w:rsidR="00B648DB" w:rsidRPr="00C4628B">
        <w:rPr>
          <w:rFonts w:ascii="Times New Roman" w:eastAsia="Calibri" w:hAnsi="Times New Roman" w:cs="Times New Roman"/>
          <w:sz w:val="24"/>
          <w:szCs w:val="24"/>
          <w:lang w:val="en-GB"/>
        </w:rPr>
        <w:t xml:space="preserve">) that sets out the process for responding to any procurement complaints received. This includes investigations to resolve the complaint by reaching a fair and independent view on the issues raised by the complainant. If the department finds a complaint has merit and the complainant has been inconvenienced or disadvantaged through their interactions with the department, an apology or other form of suitable remedy such as providing additional information, changing or reconsidering a decision or expediting action may be appropriate. If the complainant is still not satisfied with the response, they may seek an internal review of how the complaint was managed. If the complainant is still dissatisfied, the option to seek independent review is available from the Commonwealth Ombudsman or the Federal Court. In this case, all information about the complaint and proposed resolution must be provided by the department, when requested. </w:t>
      </w:r>
    </w:p>
    <w:p w14:paraId="6A3EB6F4" w14:textId="5F249761" w:rsidR="00B648DB" w:rsidRPr="00C4628B" w:rsidRDefault="00B648DB" w:rsidP="00B648DB">
      <w:pPr>
        <w:spacing w:before="240"/>
        <w:rPr>
          <w:rFonts w:ascii="Times New Roman" w:hAnsi="Times New Roman" w:cs="Times New Roman"/>
        </w:rPr>
      </w:pPr>
      <w:r w:rsidRPr="00C4628B">
        <w:rPr>
          <w:rFonts w:ascii="Times New Roman" w:eastAsia="Calibri" w:hAnsi="Times New Roman" w:cs="Times New Roman"/>
          <w:sz w:val="24"/>
          <w:szCs w:val="24"/>
          <w:lang w:val="en-GB"/>
        </w:rPr>
        <w:t xml:space="preserve">The review and audit process undertaken by the </w:t>
      </w:r>
      <w:r w:rsidR="009A54F2">
        <w:rPr>
          <w:rFonts w:ascii="Times New Roman" w:eastAsia="Calibri" w:hAnsi="Times New Roman" w:cs="Times New Roman"/>
          <w:sz w:val="24"/>
          <w:szCs w:val="24"/>
          <w:lang w:val="en-GB"/>
        </w:rPr>
        <w:t>ANAO</w:t>
      </w:r>
      <w:r w:rsidRPr="00C4628B">
        <w:rPr>
          <w:rFonts w:ascii="Times New Roman" w:eastAsia="Calibri" w:hAnsi="Times New Roman" w:cs="Times New Roman"/>
          <w:sz w:val="24"/>
          <w:szCs w:val="24"/>
          <w:lang w:val="en-GB"/>
        </w:rPr>
        <w:t xml:space="preserve"> also provides a mechanism to review the department’s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329E1271" w14:textId="64E46CB6" w:rsidR="003E522A" w:rsidRPr="00C4628B" w:rsidRDefault="003E522A" w:rsidP="003E522A">
      <w:pPr>
        <w:tabs>
          <w:tab w:val="left" w:pos="1985"/>
        </w:tabs>
        <w:spacing w:before="240"/>
        <w:rPr>
          <w:rFonts w:ascii="Times New Roman" w:eastAsia="Calibri" w:hAnsi="Times New Roman" w:cs="Times New Roman"/>
          <w:sz w:val="24"/>
          <w:szCs w:val="24"/>
          <w:lang w:val="en-GB"/>
        </w:rPr>
      </w:pPr>
      <w:r w:rsidRPr="00C4628B">
        <w:rPr>
          <w:rFonts w:ascii="Times New Roman" w:eastAsia="Calibri" w:hAnsi="Times New Roman" w:cs="Times New Roman"/>
          <w:sz w:val="24"/>
          <w:szCs w:val="24"/>
          <w:lang w:val="en-GB"/>
        </w:rPr>
        <w:t xml:space="preserve">In </w:t>
      </w:r>
      <w:r>
        <w:rPr>
          <w:rFonts w:ascii="Times New Roman" w:eastAsia="Calibri" w:hAnsi="Times New Roman" w:cs="Times New Roman"/>
          <w:sz w:val="24"/>
          <w:szCs w:val="24"/>
          <w:lang w:val="en-GB"/>
        </w:rPr>
        <w:t xml:space="preserve">developing the Moore report </w:t>
      </w:r>
      <w:r w:rsidRPr="00C4628B">
        <w:rPr>
          <w:rFonts w:ascii="Times New Roman" w:eastAsia="Calibri" w:hAnsi="Times New Roman" w:cs="Times New Roman"/>
          <w:sz w:val="24"/>
          <w:szCs w:val="24"/>
          <w:lang w:val="en-GB"/>
        </w:rPr>
        <w:t xml:space="preserve">that included the recommendation on Investment Deal Teams, the </w:t>
      </w:r>
      <w:r w:rsidRPr="00632828">
        <w:rPr>
          <w:rFonts w:ascii="Times New Roman" w:eastAsia="Calibri" w:hAnsi="Times New Roman" w:cs="Times New Roman"/>
          <w:sz w:val="24"/>
          <w:szCs w:val="24"/>
          <w:lang w:val="en-GB"/>
        </w:rPr>
        <w:t>Special Envoy</w:t>
      </w:r>
      <w:r w:rsidRPr="00C4628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visited Southeast Asia and </w:t>
      </w:r>
      <w:r w:rsidRPr="00C4628B">
        <w:rPr>
          <w:rFonts w:ascii="Times New Roman" w:eastAsia="Calibri" w:hAnsi="Times New Roman" w:cs="Times New Roman"/>
          <w:sz w:val="24"/>
          <w:szCs w:val="24"/>
          <w:lang w:val="en-GB"/>
        </w:rPr>
        <w:t xml:space="preserve">consulted widely across the federal government, state and territory governments, Southeast Asian governments, Think Tanks, Australian and Southeast Asian businesses and investors. The </w:t>
      </w:r>
      <w:r w:rsidRPr="000D7678">
        <w:rPr>
          <w:rFonts w:ascii="Times New Roman" w:eastAsia="Calibri" w:hAnsi="Times New Roman" w:cs="Times New Roman"/>
          <w:sz w:val="24"/>
          <w:szCs w:val="24"/>
          <w:lang w:val="en-GB"/>
        </w:rPr>
        <w:t xml:space="preserve">Special Envoy </w:t>
      </w:r>
      <w:r>
        <w:rPr>
          <w:rFonts w:ascii="Times New Roman" w:eastAsia="Calibri" w:hAnsi="Times New Roman" w:cs="Times New Roman"/>
          <w:sz w:val="24"/>
          <w:szCs w:val="24"/>
          <w:lang w:val="en-GB"/>
        </w:rPr>
        <w:t>engaged</w:t>
      </w:r>
      <w:r w:rsidRPr="00C4628B">
        <w:rPr>
          <w:rFonts w:ascii="Times New Roman" w:eastAsia="Calibri" w:hAnsi="Times New Roman" w:cs="Times New Roman"/>
          <w:sz w:val="24"/>
          <w:szCs w:val="24"/>
          <w:lang w:val="en-GB"/>
        </w:rPr>
        <w:t xml:space="preserve"> with over 750 individuals from over 350 organisations</w:t>
      </w:r>
      <w:r>
        <w:rPr>
          <w:rFonts w:ascii="Times New Roman" w:eastAsia="Calibri" w:hAnsi="Times New Roman" w:cs="Times New Roman"/>
          <w:sz w:val="24"/>
          <w:szCs w:val="24"/>
          <w:lang w:val="en-GB"/>
        </w:rPr>
        <w:t xml:space="preserve"> and</w:t>
      </w:r>
      <w:r w:rsidRPr="00C4628B">
        <w:rPr>
          <w:rFonts w:ascii="Times New Roman" w:eastAsia="Calibri" w:hAnsi="Times New Roman" w:cs="Times New Roman"/>
          <w:sz w:val="24"/>
          <w:szCs w:val="24"/>
          <w:lang w:val="en-GB"/>
        </w:rPr>
        <w:t xml:space="preserve"> received over 200 submissions. There </w:t>
      </w:r>
      <w:r w:rsidR="00705594">
        <w:rPr>
          <w:rFonts w:ascii="Times New Roman" w:eastAsia="Calibri" w:hAnsi="Times New Roman" w:cs="Times New Roman"/>
          <w:sz w:val="24"/>
          <w:szCs w:val="24"/>
          <w:lang w:val="en-GB"/>
        </w:rPr>
        <w:t>are</w:t>
      </w:r>
      <w:r w:rsidR="00705594" w:rsidRPr="00C4628B">
        <w:rPr>
          <w:rFonts w:ascii="Times New Roman" w:eastAsia="Calibri" w:hAnsi="Times New Roman" w:cs="Times New Roman"/>
          <w:sz w:val="24"/>
          <w:szCs w:val="24"/>
          <w:lang w:val="en-GB"/>
        </w:rPr>
        <w:t xml:space="preserve"> </w:t>
      </w:r>
      <w:r w:rsidRPr="00C4628B">
        <w:rPr>
          <w:rFonts w:ascii="Times New Roman" w:eastAsia="Calibri" w:hAnsi="Times New Roman" w:cs="Times New Roman"/>
          <w:sz w:val="24"/>
          <w:szCs w:val="24"/>
          <w:lang w:val="en-GB"/>
        </w:rPr>
        <w:t>further detail</w:t>
      </w:r>
      <w:r w:rsidR="00705594">
        <w:rPr>
          <w:rFonts w:ascii="Times New Roman" w:eastAsia="Calibri" w:hAnsi="Times New Roman" w:cs="Times New Roman"/>
          <w:sz w:val="24"/>
          <w:szCs w:val="24"/>
          <w:lang w:val="en-GB"/>
        </w:rPr>
        <w:t>s</w:t>
      </w:r>
      <w:r w:rsidRPr="00C4628B">
        <w:rPr>
          <w:rFonts w:ascii="Times New Roman" w:eastAsia="Calibri" w:hAnsi="Times New Roman" w:cs="Times New Roman"/>
          <w:sz w:val="24"/>
          <w:szCs w:val="24"/>
          <w:lang w:val="en-GB"/>
        </w:rPr>
        <w:t xml:space="preserve"> on the consultation</w:t>
      </w:r>
      <w:r w:rsidR="00705594">
        <w:rPr>
          <w:rFonts w:ascii="Times New Roman" w:eastAsia="Calibri" w:hAnsi="Times New Roman" w:cs="Times New Roman"/>
          <w:sz w:val="24"/>
          <w:szCs w:val="24"/>
          <w:lang w:val="en-GB"/>
        </w:rPr>
        <w:t>,</w:t>
      </w:r>
      <w:r w:rsidRPr="00C4628B">
        <w:rPr>
          <w:rFonts w:ascii="Times New Roman" w:eastAsia="Calibri" w:hAnsi="Times New Roman" w:cs="Times New Roman"/>
          <w:sz w:val="24"/>
          <w:szCs w:val="24"/>
          <w:lang w:val="en-GB"/>
        </w:rPr>
        <w:t xml:space="preserve"> including a list of all the individuals and organisations consulted</w:t>
      </w:r>
      <w:r w:rsidR="00705594">
        <w:rPr>
          <w:rFonts w:ascii="Times New Roman" w:eastAsia="Calibri" w:hAnsi="Times New Roman" w:cs="Times New Roman"/>
          <w:sz w:val="24"/>
          <w:szCs w:val="24"/>
          <w:lang w:val="en-GB"/>
        </w:rPr>
        <w:t>,</w:t>
      </w:r>
      <w:r w:rsidRPr="00C4628B">
        <w:rPr>
          <w:rFonts w:ascii="Times New Roman" w:eastAsia="Calibri" w:hAnsi="Times New Roman" w:cs="Times New Roman"/>
          <w:sz w:val="24"/>
          <w:szCs w:val="24"/>
          <w:lang w:val="en-GB"/>
        </w:rPr>
        <w:t xml:space="preserve"> in Appendix </w:t>
      </w:r>
      <w:r w:rsidRPr="009672FC">
        <w:rPr>
          <w:rFonts w:ascii="Times New Roman" w:eastAsia="Calibri" w:hAnsi="Times New Roman" w:cs="Times New Roman"/>
          <w:sz w:val="24"/>
          <w:szCs w:val="24"/>
          <w:lang w:val="en-GB"/>
        </w:rPr>
        <w:t>D</w:t>
      </w:r>
      <w:r>
        <w:rPr>
          <w:rFonts w:ascii="Times New Roman" w:eastAsia="Calibri" w:hAnsi="Times New Roman" w:cs="Times New Roman"/>
          <w:sz w:val="24"/>
          <w:szCs w:val="24"/>
          <w:lang w:val="en-GB"/>
        </w:rPr>
        <w:t xml:space="preserve"> of</w:t>
      </w:r>
      <w:r w:rsidRPr="009672FC">
        <w:rPr>
          <w:rFonts w:ascii="Times New Roman" w:eastAsia="Calibri" w:hAnsi="Times New Roman" w:cs="Times New Roman"/>
          <w:sz w:val="24"/>
          <w:szCs w:val="24"/>
          <w:lang w:val="en-GB"/>
        </w:rPr>
        <w:t xml:space="preserve"> </w:t>
      </w:r>
      <w:r w:rsidRPr="004F757E">
        <w:rPr>
          <w:rFonts w:ascii="Times New Roman" w:eastAsia="Calibri" w:hAnsi="Times New Roman" w:cs="Times New Roman"/>
          <w:sz w:val="24"/>
          <w:szCs w:val="24"/>
          <w:lang w:val="en-GB"/>
        </w:rPr>
        <w:t>the Moore report</w:t>
      </w:r>
      <w:r>
        <w:rPr>
          <w:rFonts w:ascii="Times New Roman" w:eastAsia="Calibri" w:hAnsi="Times New Roman" w:cs="Times New Roman"/>
          <w:sz w:val="24"/>
          <w:szCs w:val="24"/>
          <w:lang w:val="en-GB"/>
        </w:rPr>
        <w:t xml:space="preserve"> </w:t>
      </w:r>
      <w:r w:rsidRPr="00C4628B">
        <w:rPr>
          <w:rFonts w:ascii="Times New Roman" w:eastAsia="Calibri" w:hAnsi="Times New Roman" w:cs="Times New Roman"/>
          <w:sz w:val="24"/>
          <w:szCs w:val="24"/>
          <w:lang w:val="en-GB"/>
        </w:rPr>
        <w:t xml:space="preserve">at </w:t>
      </w:r>
      <w:r w:rsidRPr="00C4628B">
        <w:rPr>
          <w:rFonts w:ascii="Times New Roman" w:eastAsia="Calibri" w:hAnsi="Times New Roman" w:cs="Times New Roman"/>
          <w:sz w:val="24"/>
          <w:szCs w:val="24"/>
          <w:u w:val="single"/>
          <w:lang w:val="en-GB"/>
        </w:rPr>
        <w:t>www.dfat.gov.au/countries-economies-and-regions/southeast-asia/invested-australias-southeast-asia-economic-strategy-2040</w:t>
      </w:r>
      <w:r w:rsidRPr="00C4628B">
        <w:rPr>
          <w:rFonts w:ascii="Times New Roman" w:eastAsia="Calibri" w:hAnsi="Times New Roman" w:cs="Times New Roman"/>
          <w:sz w:val="24"/>
          <w:szCs w:val="24"/>
          <w:lang w:val="en-GB"/>
        </w:rPr>
        <w:t>.</w:t>
      </w:r>
    </w:p>
    <w:p w14:paraId="42105C61" w14:textId="2DE4CC78" w:rsidR="00B648DB" w:rsidRPr="00C4628B" w:rsidRDefault="00704FC9" w:rsidP="00B648DB">
      <w:pPr>
        <w:spacing w:before="240"/>
        <w:rPr>
          <w:rFonts w:ascii="Times New Roman" w:hAnsi="Times New Roman" w:cs="Times New Roman"/>
        </w:rPr>
      </w:pPr>
      <w:r>
        <w:rPr>
          <w:rFonts w:ascii="Times New Roman" w:eastAsia="Calibri" w:hAnsi="Times New Roman" w:cs="Times New Roman"/>
          <w:sz w:val="24"/>
          <w:szCs w:val="24"/>
          <w:lang w:val="en-GB"/>
        </w:rPr>
        <w:t>The</w:t>
      </w:r>
      <w:r w:rsidRPr="00C4628B">
        <w:rPr>
          <w:rFonts w:ascii="Times New Roman" w:eastAsia="Calibri" w:hAnsi="Times New Roman" w:cs="Times New Roman"/>
          <w:sz w:val="24"/>
          <w:szCs w:val="24"/>
          <w:lang w:val="en-GB"/>
        </w:rPr>
        <w:t xml:space="preserve"> </w:t>
      </w:r>
      <w:r w:rsidR="00B648DB" w:rsidRPr="00C4628B">
        <w:rPr>
          <w:rFonts w:ascii="Times New Roman" w:eastAsia="Calibri" w:hAnsi="Times New Roman" w:cs="Times New Roman"/>
          <w:sz w:val="24"/>
          <w:szCs w:val="24"/>
          <w:lang w:val="en-GB"/>
        </w:rPr>
        <w:t>Investment Deal Teams initiative was positively received by a range of interlocutors from business, think</w:t>
      </w:r>
      <w:r w:rsidR="00777600">
        <w:rPr>
          <w:rFonts w:ascii="Times New Roman" w:eastAsia="Calibri" w:hAnsi="Times New Roman" w:cs="Times New Roman"/>
          <w:sz w:val="24"/>
          <w:szCs w:val="24"/>
          <w:lang w:val="en-GB"/>
        </w:rPr>
        <w:t xml:space="preserve"> </w:t>
      </w:r>
      <w:r w:rsidR="00B648DB" w:rsidRPr="00C4628B">
        <w:rPr>
          <w:rFonts w:ascii="Times New Roman" w:eastAsia="Calibri" w:hAnsi="Times New Roman" w:cs="Times New Roman"/>
          <w:sz w:val="24"/>
          <w:szCs w:val="24"/>
          <w:lang w:val="en-GB"/>
        </w:rPr>
        <w:t xml:space="preserve">tanks and governments. Immediately prior to the launch of the strategy and the announcement of </w:t>
      </w:r>
      <w:r>
        <w:rPr>
          <w:rFonts w:ascii="Times New Roman" w:eastAsia="Calibri" w:hAnsi="Times New Roman" w:cs="Times New Roman"/>
          <w:sz w:val="24"/>
          <w:szCs w:val="24"/>
          <w:lang w:val="en-GB"/>
        </w:rPr>
        <w:t>the</w:t>
      </w:r>
      <w:r w:rsidRPr="00C4628B">
        <w:rPr>
          <w:rFonts w:ascii="Times New Roman" w:eastAsia="Calibri" w:hAnsi="Times New Roman" w:cs="Times New Roman"/>
          <w:sz w:val="24"/>
          <w:szCs w:val="24"/>
          <w:lang w:val="en-GB"/>
        </w:rPr>
        <w:t xml:space="preserve"> </w:t>
      </w:r>
      <w:r w:rsidR="00B648DB" w:rsidRPr="00C4628B">
        <w:rPr>
          <w:rFonts w:ascii="Times New Roman" w:eastAsia="Calibri" w:hAnsi="Times New Roman" w:cs="Times New Roman"/>
          <w:sz w:val="24"/>
          <w:szCs w:val="24"/>
          <w:lang w:val="en-GB"/>
        </w:rPr>
        <w:t xml:space="preserve">initiative, the Special Envoy and senior </w:t>
      </w:r>
      <w:r w:rsidR="00D3750E">
        <w:rPr>
          <w:rFonts w:ascii="Times New Roman" w:eastAsia="Calibri" w:hAnsi="Times New Roman" w:cs="Times New Roman"/>
          <w:sz w:val="24"/>
          <w:szCs w:val="24"/>
          <w:lang w:val="en-GB"/>
        </w:rPr>
        <w:t>departmental</w:t>
      </w:r>
      <w:r w:rsidR="00B648DB" w:rsidRPr="00C4628B">
        <w:rPr>
          <w:rFonts w:ascii="Times New Roman" w:eastAsia="Calibri" w:hAnsi="Times New Roman" w:cs="Times New Roman"/>
          <w:sz w:val="24"/>
          <w:szCs w:val="24"/>
          <w:lang w:val="en-GB"/>
        </w:rPr>
        <w:t xml:space="preserve"> staff briefed Southeast Asian (except Myanmar) Heads of Missions</w:t>
      </w:r>
      <w:r w:rsidR="00410385">
        <w:rPr>
          <w:rFonts w:ascii="Times New Roman" w:eastAsia="Calibri" w:hAnsi="Times New Roman" w:cs="Times New Roman"/>
          <w:sz w:val="24"/>
          <w:szCs w:val="24"/>
          <w:lang w:val="en-GB"/>
        </w:rPr>
        <w:t xml:space="preserve"> or their </w:t>
      </w:r>
      <w:r w:rsidR="00B648DB" w:rsidRPr="00C4628B">
        <w:rPr>
          <w:rFonts w:ascii="Times New Roman" w:eastAsia="Calibri" w:hAnsi="Times New Roman" w:cs="Times New Roman"/>
          <w:sz w:val="24"/>
          <w:szCs w:val="24"/>
          <w:lang w:val="en-GB"/>
        </w:rPr>
        <w:t>representatives.</w:t>
      </w:r>
    </w:p>
    <w:p w14:paraId="08B4D24E" w14:textId="77777777" w:rsidR="00B648DB" w:rsidRPr="00C4628B" w:rsidRDefault="00B648DB" w:rsidP="00B648DB">
      <w:pPr>
        <w:tabs>
          <w:tab w:val="left" w:pos="1985"/>
        </w:tabs>
        <w:spacing w:before="240"/>
        <w:rPr>
          <w:rFonts w:ascii="Times New Roman" w:eastAsia="Times New Roman" w:hAnsi="Times New Roman" w:cs="Times New Roman"/>
          <w:sz w:val="24"/>
          <w:szCs w:val="24"/>
        </w:rPr>
      </w:pPr>
      <w:r w:rsidRPr="00C4628B">
        <w:rPr>
          <w:rFonts w:ascii="Times New Roman" w:eastAsia="Times New Roman" w:hAnsi="Times New Roman" w:cs="Times New Roman"/>
          <w:sz w:val="24"/>
          <w:szCs w:val="24"/>
        </w:rPr>
        <w:t>Consultation on implementation is ongoing, including through domestic campaigns, business and investment missions and with the support of Business Champions, one for each Southeast Asian country (excluding Myanmar).</w:t>
      </w:r>
    </w:p>
    <w:p w14:paraId="55A2C778" w14:textId="1D642527" w:rsidR="00BA76F4" w:rsidRPr="00C4628B" w:rsidRDefault="004065D2" w:rsidP="004F757E">
      <w:pPr>
        <w:tabs>
          <w:tab w:val="left" w:pos="1985"/>
        </w:tabs>
        <w:spacing w:before="240"/>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T</w:t>
      </w:r>
      <w:r w:rsidR="00D3750E">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department</w:t>
      </w:r>
      <w:r w:rsidR="00B648DB" w:rsidRPr="00C4628B">
        <w:rPr>
          <w:rFonts w:ascii="Times New Roman" w:eastAsia="Times New Roman" w:hAnsi="Times New Roman" w:cs="Times New Roman"/>
          <w:sz w:val="24"/>
          <w:szCs w:val="24"/>
        </w:rPr>
        <w:t xml:space="preserve"> is also in close and regular consultation with agencies across multiple levels on overall implementation of the Moore report, including Austrade, EFA, </w:t>
      </w:r>
      <w:r w:rsidR="00803D15">
        <w:rPr>
          <w:rFonts w:ascii="Times New Roman" w:eastAsia="Times New Roman" w:hAnsi="Times New Roman" w:cs="Times New Roman"/>
          <w:sz w:val="24"/>
          <w:szCs w:val="24"/>
        </w:rPr>
        <w:t xml:space="preserve">the Department of the </w:t>
      </w:r>
      <w:r w:rsidR="00B648DB" w:rsidRPr="00C4628B">
        <w:rPr>
          <w:rFonts w:ascii="Times New Roman" w:eastAsia="Times New Roman" w:hAnsi="Times New Roman" w:cs="Times New Roman"/>
          <w:sz w:val="24"/>
          <w:szCs w:val="24"/>
        </w:rPr>
        <w:t xml:space="preserve">Treasury, </w:t>
      </w:r>
      <w:r w:rsidR="00F14D98">
        <w:rPr>
          <w:rFonts w:ascii="Times New Roman" w:eastAsia="Times New Roman" w:hAnsi="Times New Roman" w:cs="Times New Roman"/>
          <w:sz w:val="24"/>
          <w:szCs w:val="24"/>
        </w:rPr>
        <w:t xml:space="preserve">the </w:t>
      </w:r>
      <w:r w:rsidR="00B648DB" w:rsidRPr="00C4628B">
        <w:rPr>
          <w:rFonts w:ascii="Times New Roman" w:eastAsia="Times New Roman" w:hAnsi="Times New Roman" w:cs="Times New Roman"/>
          <w:sz w:val="24"/>
          <w:szCs w:val="24"/>
        </w:rPr>
        <w:t>Department of Industry Science and Resources,</w:t>
      </w:r>
      <w:r w:rsidR="00F14D98">
        <w:rPr>
          <w:rFonts w:ascii="Times New Roman" w:eastAsia="Times New Roman" w:hAnsi="Times New Roman" w:cs="Times New Roman"/>
          <w:sz w:val="24"/>
          <w:szCs w:val="24"/>
        </w:rPr>
        <w:t xml:space="preserve"> and the</w:t>
      </w:r>
      <w:r w:rsidR="00B648DB" w:rsidRPr="00C4628B">
        <w:rPr>
          <w:rFonts w:ascii="Times New Roman" w:eastAsia="Times New Roman" w:hAnsi="Times New Roman" w:cs="Times New Roman"/>
          <w:sz w:val="24"/>
          <w:szCs w:val="24"/>
        </w:rPr>
        <w:t xml:space="preserve"> Department of Agriculture</w:t>
      </w:r>
      <w:r w:rsidR="00F14D98">
        <w:rPr>
          <w:rFonts w:ascii="Times New Roman" w:eastAsia="Times New Roman" w:hAnsi="Times New Roman" w:cs="Times New Roman"/>
          <w:sz w:val="24"/>
          <w:szCs w:val="24"/>
        </w:rPr>
        <w:t>, Fisheries and Forestry</w:t>
      </w:r>
      <w:r w:rsidR="00B648DB" w:rsidRPr="00C4628B">
        <w:rPr>
          <w:rFonts w:ascii="Times New Roman" w:eastAsia="Times New Roman" w:hAnsi="Times New Roman" w:cs="Times New Roman"/>
          <w:sz w:val="24"/>
          <w:szCs w:val="24"/>
        </w:rPr>
        <w:t>.</w:t>
      </w:r>
    </w:p>
    <w:p w14:paraId="6E58BCC1" w14:textId="77777777" w:rsidR="00BA76F4" w:rsidRPr="00986585" w:rsidRDefault="00BA76F4" w:rsidP="00BA76F4">
      <w:pPr>
        <w:rPr>
          <w:rFonts w:ascii="Times New Roman" w:hAnsi="Times New Roman" w:cs="Times New Roman"/>
          <w:bCs/>
          <w:iCs/>
          <w:color w:val="000000" w:themeColor="text1"/>
          <w:sz w:val="24"/>
          <w:szCs w:val="24"/>
          <w:lang w:val="en-GB"/>
        </w:rPr>
      </w:pPr>
    </w:p>
    <w:p w14:paraId="5D4E3CCF" w14:textId="77777777" w:rsidR="00BA76F4" w:rsidRPr="000650CE" w:rsidRDefault="00BA76F4" w:rsidP="00BE79C0">
      <w:pPr>
        <w:keepNext/>
        <w:keepLines/>
        <w:rPr>
          <w:rFonts w:ascii="Times New Roman" w:hAnsi="Times New Roman" w:cs="Times New Roman"/>
          <w:i/>
          <w:sz w:val="24"/>
          <w:szCs w:val="24"/>
          <w:u w:val="single"/>
        </w:rPr>
      </w:pPr>
      <w:r>
        <w:rPr>
          <w:rFonts w:ascii="Times New Roman" w:hAnsi="Times New Roman" w:cs="Times New Roman"/>
          <w:i/>
          <w:sz w:val="24"/>
          <w:szCs w:val="24"/>
          <w:u w:val="single"/>
        </w:rPr>
        <w:lastRenderedPageBreak/>
        <w:t>C</w:t>
      </w:r>
      <w:r w:rsidRPr="000650CE">
        <w:rPr>
          <w:rFonts w:ascii="Times New Roman" w:hAnsi="Times New Roman" w:cs="Times New Roman"/>
          <w:i/>
          <w:sz w:val="24"/>
          <w:szCs w:val="24"/>
          <w:u w:val="single"/>
        </w:rPr>
        <w:t>onstitutional considerations</w:t>
      </w:r>
    </w:p>
    <w:p w14:paraId="1D7FC56A" w14:textId="77777777" w:rsidR="00BA76F4" w:rsidRPr="00E12DEC" w:rsidRDefault="00BA76F4" w:rsidP="00BE79C0">
      <w:pPr>
        <w:keepNext/>
        <w:keepLines/>
        <w:rPr>
          <w:rFonts w:ascii="Times New Roman" w:hAnsi="Times New Roman" w:cs="Times New Roman"/>
          <w:iCs/>
          <w:color w:val="000000" w:themeColor="text1"/>
          <w:sz w:val="24"/>
          <w:szCs w:val="24"/>
          <w:highlight w:val="yellow"/>
        </w:rPr>
      </w:pPr>
    </w:p>
    <w:p w14:paraId="22339A9C" w14:textId="25F20B1B" w:rsidR="00AF3BDE" w:rsidRPr="00AF3BDE" w:rsidRDefault="00AF3BDE" w:rsidP="00BE79C0">
      <w:pPr>
        <w:keepLines/>
        <w:rPr>
          <w:rFonts w:ascii="Times New Roman" w:hAnsi="Times New Roman" w:cs="Times New Roman"/>
          <w:iCs/>
          <w:color w:val="000000" w:themeColor="text1"/>
          <w:sz w:val="24"/>
          <w:szCs w:val="24"/>
        </w:rPr>
      </w:pPr>
      <w:r w:rsidRPr="00AF3BDE">
        <w:rPr>
          <w:rFonts w:ascii="Times New Roman" w:hAnsi="Times New Roman" w:cs="Times New Roman"/>
          <w:iCs/>
          <w:color w:val="000000" w:themeColor="text1"/>
          <w:sz w:val="24"/>
          <w:szCs w:val="24"/>
        </w:rPr>
        <w:t>Noting that it is not a comprehensive statement of relevant constitutional considerations, the objective of the item references the external affairs power (s</w:t>
      </w:r>
      <w:r>
        <w:rPr>
          <w:rFonts w:ascii="Times New Roman" w:hAnsi="Times New Roman" w:cs="Times New Roman"/>
          <w:iCs/>
          <w:color w:val="000000" w:themeColor="text1"/>
          <w:sz w:val="24"/>
          <w:szCs w:val="24"/>
        </w:rPr>
        <w:t>ection</w:t>
      </w:r>
      <w:r w:rsidRPr="00AF3BDE">
        <w:rPr>
          <w:rFonts w:ascii="Times New Roman" w:hAnsi="Times New Roman" w:cs="Times New Roman"/>
          <w:iCs/>
          <w:color w:val="000000" w:themeColor="text1"/>
          <w:sz w:val="24"/>
          <w:szCs w:val="24"/>
        </w:rPr>
        <w:t xml:space="preserve"> 51(xxix)</w:t>
      </w:r>
      <w:r w:rsidR="00243AE7">
        <w:rPr>
          <w:rFonts w:ascii="Times New Roman" w:hAnsi="Times New Roman" w:cs="Times New Roman"/>
          <w:iCs/>
          <w:color w:val="000000" w:themeColor="text1"/>
          <w:sz w:val="24"/>
          <w:szCs w:val="24"/>
        </w:rPr>
        <w:t>)</w:t>
      </w:r>
      <w:r w:rsidRPr="00AF3BDE">
        <w:rPr>
          <w:rFonts w:ascii="Times New Roman" w:hAnsi="Times New Roman" w:cs="Times New Roman"/>
          <w:iCs/>
          <w:color w:val="000000" w:themeColor="text1"/>
          <w:sz w:val="24"/>
          <w:szCs w:val="24"/>
        </w:rPr>
        <w:t xml:space="preserve"> of the Constitution.</w:t>
      </w:r>
    </w:p>
    <w:p w14:paraId="0471E366" w14:textId="77777777" w:rsidR="00AF3BDE" w:rsidRDefault="00AF3BDE" w:rsidP="00BE79C0">
      <w:pPr>
        <w:rPr>
          <w:rFonts w:ascii="Times New Roman" w:hAnsi="Times New Roman" w:cs="Times New Roman"/>
          <w:iCs/>
          <w:color w:val="000000" w:themeColor="text1"/>
          <w:sz w:val="24"/>
          <w:szCs w:val="24"/>
          <w:u w:val="single"/>
        </w:rPr>
      </w:pPr>
    </w:p>
    <w:p w14:paraId="2DE27461" w14:textId="061B2A79" w:rsidR="00AF3BDE" w:rsidRPr="00AF3BDE" w:rsidRDefault="00AF3BDE" w:rsidP="00BE79C0">
      <w:pPr>
        <w:keepNext/>
        <w:rPr>
          <w:rFonts w:ascii="Times New Roman" w:hAnsi="Times New Roman" w:cs="Times New Roman"/>
          <w:i/>
          <w:color w:val="000000" w:themeColor="text1"/>
          <w:sz w:val="24"/>
          <w:szCs w:val="24"/>
        </w:rPr>
      </w:pPr>
      <w:r w:rsidRPr="00AF3BDE">
        <w:rPr>
          <w:rFonts w:ascii="Times New Roman" w:hAnsi="Times New Roman" w:cs="Times New Roman"/>
          <w:i/>
          <w:color w:val="000000" w:themeColor="text1"/>
          <w:sz w:val="24"/>
          <w:szCs w:val="24"/>
        </w:rPr>
        <w:t>External affairs power</w:t>
      </w:r>
    </w:p>
    <w:p w14:paraId="4F68A56E" w14:textId="77777777" w:rsidR="00AF3BDE" w:rsidRDefault="00AF3BDE" w:rsidP="00BE79C0">
      <w:pPr>
        <w:keepNext/>
        <w:rPr>
          <w:rFonts w:ascii="Times New Roman" w:hAnsi="Times New Roman" w:cs="Times New Roman"/>
          <w:iCs/>
          <w:color w:val="000000" w:themeColor="text1"/>
          <w:sz w:val="24"/>
          <w:szCs w:val="24"/>
        </w:rPr>
      </w:pPr>
    </w:p>
    <w:p w14:paraId="6397801B" w14:textId="44ECE70D" w:rsidR="00AF3BDE" w:rsidRDefault="00AF3BDE" w:rsidP="00BE79C0">
      <w:pPr>
        <w:rPr>
          <w:rFonts w:ascii="Times New Roman" w:hAnsi="Times New Roman" w:cs="Times New Roman"/>
          <w:iCs/>
          <w:color w:val="000000" w:themeColor="text1"/>
          <w:sz w:val="24"/>
          <w:szCs w:val="24"/>
        </w:rPr>
      </w:pPr>
      <w:r w:rsidRPr="00AF3BDE">
        <w:rPr>
          <w:rFonts w:ascii="Times New Roman" w:hAnsi="Times New Roman" w:cs="Times New Roman"/>
          <w:iCs/>
          <w:color w:val="000000" w:themeColor="text1"/>
          <w:sz w:val="24"/>
          <w:szCs w:val="24"/>
        </w:rPr>
        <w:t xml:space="preserve">Section 51(xxix) of the Constitution empowers the Parliament to make laws with respect to ‘external </w:t>
      </w:r>
      <w:proofErr w:type="gramStart"/>
      <w:r w:rsidRPr="00AF3BDE">
        <w:rPr>
          <w:rFonts w:ascii="Times New Roman" w:hAnsi="Times New Roman" w:cs="Times New Roman"/>
          <w:iCs/>
          <w:color w:val="000000" w:themeColor="text1"/>
          <w:sz w:val="24"/>
          <w:szCs w:val="24"/>
        </w:rPr>
        <w:t>affairs’</w:t>
      </w:r>
      <w:proofErr w:type="gramEnd"/>
      <w:r w:rsidRPr="00AF3BDE">
        <w:rPr>
          <w:rFonts w:ascii="Times New Roman" w:hAnsi="Times New Roman" w:cs="Times New Roman"/>
          <w:iCs/>
          <w:color w:val="000000" w:themeColor="text1"/>
          <w:sz w:val="24"/>
          <w:szCs w:val="24"/>
        </w:rPr>
        <w:t>. The external affairs power supports legislation with respect to matters or things outside the geographical limits of Australia. The external affairs power also supports legislation with respect to matters concerning Australia’s relations with other nations.</w:t>
      </w:r>
    </w:p>
    <w:p w14:paraId="11740B99" w14:textId="77777777" w:rsidR="00AF3BDE" w:rsidRPr="00AF3BDE" w:rsidRDefault="00AF3BDE" w:rsidP="00BE79C0">
      <w:pPr>
        <w:rPr>
          <w:rFonts w:ascii="Times New Roman" w:hAnsi="Times New Roman" w:cs="Times New Roman"/>
          <w:iCs/>
          <w:color w:val="000000" w:themeColor="text1"/>
          <w:sz w:val="24"/>
          <w:szCs w:val="24"/>
        </w:rPr>
      </w:pPr>
    </w:p>
    <w:p w14:paraId="461A87F7" w14:textId="51A0DEA7" w:rsidR="00AF3BDE" w:rsidRDefault="00AF3BDE" w:rsidP="00BE79C0">
      <w:pPr>
        <w:rPr>
          <w:rFonts w:ascii="Times New Roman" w:hAnsi="Times New Roman" w:cs="Times New Roman"/>
          <w:iCs/>
          <w:color w:val="000000" w:themeColor="text1"/>
          <w:sz w:val="24"/>
          <w:szCs w:val="24"/>
        </w:rPr>
      </w:pPr>
      <w:r w:rsidRPr="00AF3BDE">
        <w:rPr>
          <w:rFonts w:ascii="Times New Roman" w:hAnsi="Times New Roman" w:cs="Times New Roman"/>
          <w:iCs/>
          <w:color w:val="000000" w:themeColor="text1"/>
          <w:sz w:val="24"/>
          <w:szCs w:val="24"/>
        </w:rPr>
        <w:t>The program will support Investment Deal Teams to identify potential investment opportunities in Southeast Asia, support Southeast Asian proponents to ready their projects for consideration by Australian investors and to support Australian institutional and corporate investors to assess and pursue these investment opportunities in Southeast Asia.</w:t>
      </w:r>
    </w:p>
    <w:p w14:paraId="58801686" w14:textId="77777777" w:rsidR="00AF3BDE" w:rsidRPr="00AF3BDE" w:rsidRDefault="00AF3BDE" w:rsidP="00BE79C0">
      <w:pPr>
        <w:rPr>
          <w:rFonts w:ascii="Times New Roman" w:hAnsi="Times New Roman" w:cs="Times New Roman"/>
          <w:iCs/>
          <w:color w:val="000000" w:themeColor="text1"/>
          <w:sz w:val="24"/>
          <w:szCs w:val="24"/>
        </w:rPr>
      </w:pPr>
    </w:p>
    <w:p w14:paraId="2A66F40B" w14:textId="77777777" w:rsidR="00BC022D" w:rsidRDefault="00AF3BDE" w:rsidP="00BE79C0">
      <w:pPr>
        <w:rPr>
          <w:rFonts w:ascii="Times New Roman" w:hAnsi="Times New Roman" w:cs="Times New Roman"/>
          <w:iCs/>
          <w:color w:val="000000" w:themeColor="text1"/>
          <w:sz w:val="24"/>
          <w:szCs w:val="24"/>
        </w:rPr>
        <w:sectPr w:rsidR="00BC022D">
          <w:headerReference w:type="default" r:id="rId15"/>
          <w:headerReference w:type="first" r:id="rId16"/>
          <w:pgSz w:w="11906" w:h="16838"/>
          <w:pgMar w:top="1440" w:right="1440" w:bottom="1440" w:left="1440" w:header="708" w:footer="708" w:gutter="0"/>
          <w:pgNumType w:start="1"/>
          <w:cols w:space="708"/>
          <w:titlePg/>
          <w:docGrid w:linePitch="360"/>
        </w:sectPr>
      </w:pPr>
      <w:r w:rsidRPr="00AF3BDE">
        <w:rPr>
          <w:rFonts w:ascii="Times New Roman" w:hAnsi="Times New Roman" w:cs="Times New Roman"/>
          <w:iCs/>
          <w:color w:val="000000" w:themeColor="text1"/>
          <w:sz w:val="24"/>
          <w:szCs w:val="24"/>
        </w:rPr>
        <w:t>The program will involve activities either conducted in Southeast Asian countries, or for the purpose of facilitating Australian investment in Southeast Asia.</w:t>
      </w:r>
    </w:p>
    <w:p w14:paraId="06C819C1" w14:textId="77777777" w:rsidR="00BA76F4" w:rsidRPr="001957C4" w:rsidRDefault="00BA76F4" w:rsidP="00BA76F4">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B</w:t>
      </w:r>
    </w:p>
    <w:p w14:paraId="4590A454" w14:textId="77777777" w:rsidR="00BA76F4" w:rsidRPr="001957C4" w:rsidRDefault="00BA76F4" w:rsidP="00BA76F4">
      <w:pPr>
        <w:contextualSpacing/>
        <w:jc w:val="right"/>
        <w:rPr>
          <w:rFonts w:ascii="Times New Roman" w:eastAsia="Times New Roman" w:hAnsi="Times New Roman" w:cs="Times New Roman"/>
          <w:bCs/>
          <w:sz w:val="24"/>
          <w:szCs w:val="24"/>
        </w:rPr>
      </w:pPr>
    </w:p>
    <w:p w14:paraId="58FD1297" w14:textId="77777777" w:rsidR="00BA76F4" w:rsidRPr="001957C4" w:rsidRDefault="00BA76F4" w:rsidP="00BA76F4">
      <w:pPr>
        <w:contextualSpacing/>
        <w:jc w:val="center"/>
        <w:rPr>
          <w:rFonts w:ascii="Times New Roman" w:eastAsia="Times New Roman" w:hAnsi="Times New Roman" w:cs="Times New Roman"/>
          <w:b/>
          <w:bCs/>
          <w:sz w:val="24"/>
          <w:szCs w:val="24"/>
        </w:rPr>
      </w:pPr>
      <w:r w:rsidRPr="001957C4">
        <w:rPr>
          <w:rFonts w:ascii="Times New Roman" w:eastAsia="Times New Roman" w:hAnsi="Times New Roman" w:cs="Times New Roman"/>
          <w:b/>
          <w:bCs/>
          <w:sz w:val="24"/>
          <w:szCs w:val="24"/>
        </w:rPr>
        <w:t>Statement of Compatibility with Human Rights</w:t>
      </w:r>
    </w:p>
    <w:p w14:paraId="7FBF1028" w14:textId="77777777" w:rsidR="00BA76F4" w:rsidRPr="001957C4" w:rsidRDefault="00BA76F4" w:rsidP="00BA76F4">
      <w:pPr>
        <w:contextualSpacing/>
        <w:jc w:val="center"/>
        <w:rPr>
          <w:rFonts w:ascii="Times New Roman" w:eastAsia="Times New Roman" w:hAnsi="Times New Roman" w:cs="Times New Roman"/>
          <w:b/>
          <w:bCs/>
          <w:sz w:val="24"/>
          <w:szCs w:val="24"/>
        </w:rPr>
      </w:pPr>
    </w:p>
    <w:p w14:paraId="5FDBBE8C" w14:textId="77777777" w:rsidR="00BA76F4" w:rsidRPr="001957C4" w:rsidRDefault="00BA76F4" w:rsidP="00BA76F4">
      <w:pPr>
        <w:pStyle w:val="paranumbering0"/>
        <w:spacing w:before="0" w:beforeAutospacing="0" w:after="0" w:afterAutospacing="0"/>
        <w:contextualSpacing/>
        <w:jc w:val="center"/>
      </w:pPr>
      <w:r w:rsidRPr="001957C4">
        <w:t xml:space="preserve">Prepared in accordance with Part 3 of the </w:t>
      </w:r>
      <w:r w:rsidRPr="001957C4">
        <w:rPr>
          <w:i/>
        </w:rPr>
        <w:t>Human Rights (Parliamentary Scrutiny) Act 2011</w:t>
      </w:r>
    </w:p>
    <w:p w14:paraId="0C29EFFB" w14:textId="77777777" w:rsidR="00BA76F4" w:rsidRPr="001957C4" w:rsidRDefault="00BA76F4" w:rsidP="00BA76F4">
      <w:pPr>
        <w:pStyle w:val="paranumbering0"/>
        <w:spacing w:before="0" w:beforeAutospacing="0" w:after="0" w:afterAutospacing="0"/>
        <w:contextualSpacing/>
      </w:pPr>
    </w:p>
    <w:p w14:paraId="3FE831F9" w14:textId="5F4AF297" w:rsidR="00BA76F4" w:rsidRPr="001957C4" w:rsidRDefault="00BA76F4" w:rsidP="00BA76F4">
      <w:pPr>
        <w:pStyle w:val="paranumbering0"/>
        <w:spacing w:before="0" w:beforeAutospacing="0" w:after="0" w:afterAutospacing="0"/>
        <w:contextualSpacing/>
        <w:rPr>
          <w:b/>
          <w:i/>
        </w:rPr>
      </w:pPr>
      <w:r w:rsidRPr="001957C4">
        <w:rPr>
          <w:b/>
          <w:i/>
        </w:rPr>
        <w:t xml:space="preserve">Financial Framework (Supplementary Powers) </w:t>
      </w:r>
      <w:r w:rsidRPr="00846AB6">
        <w:rPr>
          <w:b/>
          <w:i/>
        </w:rPr>
        <w:t xml:space="preserve">Amendment </w:t>
      </w:r>
      <w:r w:rsidRPr="00846AB6">
        <w:rPr>
          <w:b/>
          <w:i/>
          <w:iCs/>
        </w:rPr>
        <w:t>(</w:t>
      </w:r>
      <w:r w:rsidRPr="00E12DEC">
        <w:rPr>
          <w:b/>
          <w:i/>
          <w:iCs/>
        </w:rPr>
        <w:t xml:space="preserve">Foreign Affairs </w:t>
      </w:r>
      <w:r>
        <w:rPr>
          <w:b/>
          <w:i/>
          <w:iCs/>
        </w:rPr>
        <w:t xml:space="preserve">and Trade </w:t>
      </w:r>
      <w:r w:rsidRPr="0006251E">
        <w:rPr>
          <w:b/>
          <w:i/>
          <w:iCs/>
        </w:rPr>
        <w:t xml:space="preserve">Measures No. </w:t>
      </w:r>
      <w:r w:rsidR="00BE79C0">
        <w:rPr>
          <w:b/>
          <w:i/>
          <w:iCs/>
        </w:rPr>
        <w:t>4</w:t>
      </w:r>
      <w:r w:rsidRPr="00846AB6">
        <w:rPr>
          <w:b/>
          <w:i/>
          <w:iCs/>
        </w:rPr>
        <w:t>)</w:t>
      </w:r>
      <w:r w:rsidRPr="001957C4">
        <w:rPr>
          <w:b/>
          <w:i/>
          <w:iCs/>
        </w:rPr>
        <w:t xml:space="preserve"> </w:t>
      </w:r>
      <w:r w:rsidRPr="001957C4">
        <w:rPr>
          <w:b/>
          <w:i/>
        </w:rPr>
        <w:t>Regulations 202</w:t>
      </w:r>
      <w:r>
        <w:rPr>
          <w:b/>
          <w:i/>
        </w:rPr>
        <w:t>4</w:t>
      </w:r>
    </w:p>
    <w:p w14:paraId="49D1E35D" w14:textId="77777777" w:rsidR="00BA76F4" w:rsidRPr="001957C4" w:rsidRDefault="00BA76F4" w:rsidP="00BA76F4">
      <w:pPr>
        <w:pStyle w:val="paranumbering0"/>
        <w:spacing w:before="0" w:beforeAutospacing="0" w:after="0" w:afterAutospacing="0"/>
        <w:contextualSpacing/>
      </w:pPr>
    </w:p>
    <w:p w14:paraId="140C52AF" w14:textId="77777777" w:rsidR="00BA76F4" w:rsidRPr="001957C4" w:rsidRDefault="00BA76F4" w:rsidP="00BA76F4">
      <w:pPr>
        <w:pStyle w:val="paranumbering0"/>
        <w:spacing w:before="0" w:beforeAutospacing="0" w:after="0" w:afterAutospacing="0"/>
        <w:contextualSpacing/>
      </w:pPr>
      <w:r w:rsidRPr="001957C4">
        <w:t xml:space="preserve">This disallowable legislative instrument is compatible with the human rights and freedoms recognised or declared in the international instruments listed in section 3 of the </w:t>
      </w:r>
      <w:r w:rsidRPr="001957C4">
        <w:rPr>
          <w:i/>
        </w:rPr>
        <w:t>Human Rights (Parliamentary Scrutiny) Act 2011.</w:t>
      </w:r>
    </w:p>
    <w:p w14:paraId="37CCCCA1" w14:textId="77777777" w:rsidR="00BA76F4" w:rsidRPr="001957C4" w:rsidRDefault="00BA76F4" w:rsidP="00BA76F4">
      <w:pPr>
        <w:pStyle w:val="paranumbering0"/>
        <w:spacing w:before="0" w:beforeAutospacing="0" w:after="0" w:afterAutospacing="0"/>
        <w:contextualSpacing/>
      </w:pPr>
    </w:p>
    <w:p w14:paraId="46D31A26" w14:textId="77777777" w:rsidR="00BA76F4" w:rsidRPr="001957C4" w:rsidRDefault="00BA76F4" w:rsidP="00BA76F4">
      <w:pPr>
        <w:pStyle w:val="paranumbering0"/>
        <w:spacing w:before="0" w:beforeAutospacing="0" w:after="0" w:afterAutospacing="0"/>
        <w:contextualSpacing/>
        <w:rPr>
          <w:b/>
        </w:rPr>
      </w:pPr>
      <w:r w:rsidRPr="001957C4">
        <w:rPr>
          <w:b/>
        </w:rPr>
        <w:t>Overview of the legislative instrument</w:t>
      </w:r>
    </w:p>
    <w:p w14:paraId="2B9EFF98" w14:textId="77777777" w:rsidR="00BA76F4" w:rsidRPr="001957C4" w:rsidRDefault="00BA76F4" w:rsidP="00BA76F4">
      <w:pPr>
        <w:pStyle w:val="paranumbering0"/>
        <w:spacing w:before="0" w:beforeAutospacing="0" w:after="0" w:afterAutospacing="0"/>
        <w:contextualSpacing/>
      </w:pPr>
    </w:p>
    <w:p w14:paraId="0DC03141" w14:textId="75B9E436" w:rsidR="00BA76F4" w:rsidRPr="001957C4" w:rsidRDefault="00BA76F4" w:rsidP="00BA76F4">
      <w:pPr>
        <w:pStyle w:val="paranumbering0"/>
        <w:spacing w:before="0" w:beforeAutospacing="0" w:after="0" w:afterAutospacing="0"/>
        <w:contextualSpacing/>
      </w:pPr>
      <w:r w:rsidRPr="001957C4">
        <w:t xml:space="preserve">Section 32B of the </w:t>
      </w:r>
      <w:r w:rsidRPr="001957C4">
        <w:rPr>
          <w:i/>
        </w:rPr>
        <w:t>Financial Framework (Supplementary Powers) Act 1997</w:t>
      </w:r>
      <w:r w:rsidRPr="001957C4">
        <w:t xml:space="preserve"> (the FFSP Act) authorises the Commonwealth to make, vary and administer arrangements and grants specified in the </w:t>
      </w:r>
      <w:r w:rsidRPr="001957C4">
        <w:rPr>
          <w:i/>
        </w:rPr>
        <w:t xml:space="preserve">Financial Framework (Supplementary Powers) Regulations 1997 </w:t>
      </w:r>
      <w:r w:rsidRPr="001957C4">
        <w:t>(the </w:t>
      </w:r>
      <w:r w:rsidR="003E6C0B">
        <w:t xml:space="preserve">Principal </w:t>
      </w:r>
      <w:r w:rsidRPr="001957C4">
        <w:t>Regulations) and to make, vary and administer arrangements and grants for the purposes of programs specified in the Regulations. Schedule 1AA and Schedule 1AB to the</w:t>
      </w:r>
      <w:r w:rsidR="003E6C0B">
        <w:t xml:space="preserve"> Principal</w:t>
      </w:r>
      <w:r w:rsidRPr="001957C4">
        <w:t xml:space="preserve"> Regulations specify the arrangements, grants and programs. The powers in the FFSP Act to make, vary or administer arrangements or grants may be exercised on behalf of the Commonwealth by Ministers and the accountable authorities of non</w:t>
      </w:r>
      <w:r w:rsidRPr="001957C4">
        <w:noBreakHyphen/>
        <w:t xml:space="preserve">corporate Commonwealth entities, as defined under section 12 of the </w:t>
      </w:r>
      <w:r w:rsidRPr="001957C4">
        <w:rPr>
          <w:i/>
        </w:rPr>
        <w:t>Public Governance, Performance and Accountability Act 2013</w:t>
      </w:r>
      <w:r w:rsidRPr="001957C4">
        <w:t>.</w:t>
      </w:r>
    </w:p>
    <w:p w14:paraId="212E4596" w14:textId="77777777" w:rsidR="00BA76F4" w:rsidRPr="001957C4" w:rsidRDefault="00BA76F4" w:rsidP="00BA76F4">
      <w:pPr>
        <w:rPr>
          <w:rFonts w:ascii="Times New Roman" w:hAnsi="Times New Roman" w:cs="Times New Roman"/>
          <w:sz w:val="24"/>
          <w:szCs w:val="24"/>
        </w:rPr>
      </w:pPr>
    </w:p>
    <w:p w14:paraId="07303D19" w14:textId="6FD90529" w:rsidR="00BA76F4" w:rsidRDefault="00BA76F4" w:rsidP="00BA76F4">
      <w:pPr>
        <w:ind w:right="-46"/>
        <w:rPr>
          <w:rFonts w:ascii="Times New Roman" w:hAnsi="Times New Roman" w:cs="Times New Roman"/>
          <w:bCs/>
          <w:sz w:val="24"/>
          <w:szCs w:val="24"/>
          <w:highlight w:val="yellow"/>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Amendment (</w:t>
      </w:r>
      <w:r>
        <w:rPr>
          <w:rFonts w:ascii="Times New Roman" w:hAnsi="Times New Roman" w:cs="Times New Roman"/>
          <w:i/>
          <w:sz w:val="24"/>
          <w:szCs w:val="24"/>
        </w:rPr>
        <w:t xml:space="preserve">Foreign Affairs and Trade </w:t>
      </w:r>
      <w:r w:rsidRPr="001957C4">
        <w:rPr>
          <w:rFonts w:ascii="Times New Roman" w:hAnsi="Times New Roman" w:cs="Times New Roman"/>
          <w:i/>
          <w:sz w:val="24"/>
          <w:szCs w:val="24"/>
        </w:rPr>
        <w:t xml:space="preserve">Measures No. </w:t>
      </w:r>
      <w:r w:rsidR="00861783">
        <w:rPr>
          <w:rFonts w:ascii="Times New Roman" w:hAnsi="Times New Roman" w:cs="Times New Roman"/>
          <w:i/>
          <w:sz w:val="24"/>
          <w:szCs w:val="24"/>
        </w:rPr>
        <w:t>4</w:t>
      </w:r>
      <w:r w:rsidRPr="001957C4">
        <w:rPr>
          <w:rFonts w:ascii="Times New Roman" w:hAnsi="Times New Roman" w:cs="Times New Roman"/>
          <w:i/>
          <w:sz w:val="24"/>
          <w:szCs w:val="24"/>
        </w:rPr>
        <w:t>) Regulations 202</w:t>
      </w:r>
      <w:r>
        <w:rPr>
          <w:rFonts w:ascii="Times New Roman" w:hAnsi="Times New Roman" w:cs="Times New Roman"/>
          <w:i/>
          <w:sz w:val="24"/>
          <w:szCs w:val="24"/>
        </w:rPr>
        <w:t>4</w:t>
      </w:r>
      <w:r w:rsidRPr="001957C4">
        <w:rPr>
          <w:rFonts w:ascii="Times New Roman" w:hAnsi="Times New Roman" w:cs="Times New Roman"/>
          <w:i/>
          <w:sz w:val="24"/>
          <w:szCs w:val="24"/>
        </w:rPr>
        <w:t xml:space="preserve"> </w:t>
      </w:r>
      <w:r w:rsidRPr="001957C4">
        <w:rPr>
          <w:rFonts w:ascii="Times New Roman" w:hAnsi="Times New Roman" w:cs="Times New Roman"/>
          <w:iCs/>
          <w:sz w:val="24"/>
          <w:szCs w:val="24"/>
        </w:rPr>
        <w:t>(the Regulations</w:t>
      </w:r>
      <w:r w:rsidRPr="001957C4">
        <w:rPr>
          <w:rFonts w:ascii="Times New Roman" w:hAnsi="Times New Roman" w:cs="Times New Roman"/>
          <w:sz w:val="24"/>
          <w:szCs w:val="24"/>
        </w:rPr>
        <w:t xml:space="preserve">) </w:t>
      </w:r>
      <w:r w:rsidRPr="00846AB6">
        <w:rPr>
          <w:rFonts w:ascii="Times New Roman" w:hAnsi="Times New Roman" w:cs="Times New Roman"/>
          <w:sz w:val="24"/>
          <w:szCs w:val="24"/>
        </w:rPr>
        <w:t xml:space="preserve">amend Schedule 1AB to the </w:t>
      </w:r>
      <w:r w:rsidR="003E6C0B">
        <w:rPr>
          <w:rFonts w:ascii="Times New Roman" w:hAnsi="Times New Roman" w:cs="Times New Roman"/>
          <w:sz w:val="24"/>
          <w:szCs w:val="24"/>
        </w:rPr>
        <w:t>Principal</w:t>
      </w:r>
      <w:r w:rsidR="003E6C0B" w:rsidRPr="00846AB6">
        <w:rPr>
          <w:rFonts w:ascii="Times New Roman" w:hAnsi="Times New Roman" w:cs="Times New Roman"/>
          <w:sz w:val="24"/>
          <w:szCs w:val="24"/>
        </w:rPr>
        <w:t xml:space="preserve"> </w:t>
      </w:r>
      <w:r w:rsidRPr="00846AB6">
        <w:rPr>
          <w:rFonts w:ascii="Times New Roman" w:hAnsi="Times New Roman" w:cs="Times New Roman"/>
          <w:sz w:val="24"/>
          <w:szCs w:val="24"/>
        </w:rPr>
        <w:t xml:space="preserve">Regulations to establish legislative authority for </w:t>
      </w:r>
      <w:r>
        <w:rPr>
          <w:rFonts w:ascii="Times New Roman" w:hAnsi="Times New Roman" w:cs="Times New Roman"/>
          <w:bCs/>
          <w:sz w:val="24"/>
          <w:szCs w:val="24"/>
        </w:rPr>
        <w:t>G</w:t>
      </w:r>
      <w:r w:rsidRPr="00816D64">
        <w:rPr>
          <w:rFonts w:ascii="Times New Roman" w:hAnsi="Times New Roman" w:cs="Times New Roman"/>
          <w:bCs/>
          <w:sz w:val="24"/>
          <w:szCs w:val="24"/>
        </w:rPr>
        <w:t xml:space="preserve">overnment </w:t>
      </w:r>
      <w:r w:rsidRPr="002D6C64">
        <w:rPr>
          <w:rFonts w:ascii="Times New Roman" w:hAnsi="Times New Roman" w:cs="Times New Roman"/>
          <w:bCs/>
          <w:sz w:val="24"/>
          <w:szCs w:val="24"/>
        </w:rPr>
        <w:t xml:space="preserve">spending on activities </w:t>
      </w:r>
      <w:r w:rsidR="003E6C0B">
        <w:rPr>
          <w:rFonts w:ascii="Times New Roman" w:hAnsi="Times New Roman" w:cs="Times New Roman"/>
          <w:bCs/>
          <w:sz w:val="24"/>
          <w:szCs w:val="24"/>
        </w:rPr>
        <w:t xml:space="preserve">to be </w:t>
      </w:r>
      <w:r w:rsidRPr="002D6C64">
        <w:rPr>
          <w:rFonts w:ascii="Times New Roman" w:hAnsi="Times New Roman" w:cs="Times New Roman"/>
          <w:bCs/>
          <w:sz w:val="24"/>
          <w:szCs w:val="24"/>
        </w:rPr>
        <w:t xml:space="preserve">administered by the Department of </w:t>
      </w:r>
      <w:r w:rsidRPr="00E12DEC">
        <w:rPr>
          <w:rFonts w:ascii="Times New Roman" w:hAnsi="Times New Roman" w:cs="Times New Roman"/>
          <w:iCs/>
          <w:sz w:val="24"/>
          <w:szCs w:val="24"/>
        </w:rPr>
        <w:t>Foreign Affairs</w:t>
      </w:r>
      <w:r w:rsidR="001F2E36">
        <w:rPr>
          <w:rFonts w:ascii="Times New Roman" w:hAnsi="Times New Roman" w:cs="Times New Roman"/>
          <w:iCs/>
          <w:sz w:val="24"/>
          <w:szCs w:val="24"/>
        </w:rPr>
        <w:t xml:space="preserve"> and Trade</w:t>
      </w:r>
      <w:r w:rsidRPr="002D6C64">
        <w:rPr>
          <w:rFonts w:ascii="Times New Roman" w:hAnsi="Times New Roman" w:cs="Times New Roman"/>
          <w:bCs/>
          <w:sz w:val="24"/>
          <w:szCs w:val="24"/>
        </w:rPr>
        <w:t>.</w:t>
      </w:r>
    </w:p>
    <w:p w14:paraId="60A4A4FF" w14:textId="77777777" w:rsidR="00BA76F4" w:rsidRDefault="00BA76F4" w:rsidP="00BA76F4">
      <w:pPr>
        <w:ind w:right="-46"/>
        <w:rPr>
          <w:rFonts w:ascii="Times New Roman" w:hAnsi="Times New Roman" w:cs="Times New Roman"/>
          <w:bCs/>
          <w:sz w:val="24"/>
          <w:szCs w:val="24"/>
          <w:highlight w:val="yellow"/>
        </w:rPr>
      </w:pPr>
    </w:p>
    <w:p w14:paraId="275ABE54" w14:textId="77777777" w:rsidR="00BA76F4" w:rsidRPr="00E8390A" w:rsidRDefault="00BA76F4" w:rsidP="00BA76F4">
      <w:pPr>
        <w:ind w:right="-46"/>
        <w:rPr>
          <w:rFonts w:ascii="Times New Roman" w:hAnsi="Times New Roman" w:cs="Times New Roman"/>
          <w:bCs/>
          <w:iCs/>
          <w:sz w:val="24"/>
          <w:szCs w:val="24"/>
        </w:rPr>
      </w:pPr>
      <w:r w:rsidRPr="00E8390A">
        <w:rPr>
          <w:rFonts w:ascii="Times New Roman" w:hAnsi="Times New Roman" w:cs="Times New Roman"/>
          <w:bCs/>
          <w:iCs/>
          <w:sz w:val="24"/>
          <w:szCs w:val="24"/>
        </w:rPr>
        <w:t xml:space="preserve">This disallowable legislative instrument </w:t>
      </w:r>
      <w:r>
        <w:rPr>
          <w:rFonts w:ascii="Times New Roman" w:hAnsi="Times New Roman" w:cs="Times New Roman"/>
          <w:bCs/>
          <w:iCs/>
          <w:sz w:val="24"/>
          <w:szCs w:val="24"/>
        </w:rPr>
        <w:t>inserts</w:t>
      </w:r>
      <w:r w:rsidRPr="00E8390A">
        <w:rPr>
          <w:rFonts w:ascii="Times New Roman" w:hAnsi="Times New Roman" w:cs="Times New Roman"/>
          <w:bCs/>
          <w:iCs/>
          <w:sz w:val="24"/>
          <w:szCs w:val="24"/>
        </w:rPr>
        <w:t xml:space="preserve"> the following </w:t>
      </w:r>
      <w:r>
        <w:rPr>
          <w:rFonts w:ascii="Times New Roman" w:hAnsi="Times New Roman" w:cs="Times New Roman"/>
          <w:bCs/>
          <w:iCs/>
          <w:sz w:val="24"/>
          <w:szCs w:val="24"/>
        </w:rPr>
        <w:t>items</w:t>
      </w:r>
      <w:r w:rsidRPr="00E8390A">
        <w:rPr>
          <w:rFonts w:ascii="Times New Roman" w:hAnsi="Times New Roman" w:cs="Times New Roman"/>
          <w:bCs/>
          <w:iCs/>
          <w:sz w:val="24"/>
          <w:szCs w:val="24"/>
        </w:rPr>
        <w:t xml:space="preserve"> </w:t>
      </w:r>
      <w:r>
        <w:rPr>
          <w:rFonts w:ascii="Times New Roman" w:hAnsi="Times New Roman" w:cs="Times New Roman"/>
          <w:bCs/>
          <w:iCs/>
          <w:sz w:val="24"/>
          <w:szCs w:val="24"/>
        </w:rPr>
        <w:t>in</w:t>
      </w:r>
      <w:r w:rsidRPr="00E8390A">
        <w:rPr>
          <w:rFonts w:ascii="Times New Roman" w:hAnsi="Times New Roman" w:cs="Times New Roman"/>
          <w:bCs/>
          <w:iCs/>
          <w:sz w:val="24"/>
          <w:szCs w:val="24"/>
        </w:rPr>
        <w:t>to Part 4 of Schedule</w:t>
      </w:r>
      <w:r>
        <w:rPr>
          <w:rFonts w:ascii="Times New Roman" w:hAnsi="Times New Roman" w:cs="Times New Roman"/>
          <w:bCs/>
          <w:iCs/>
          <w:sz w:val="24"/>
          <w:szCs w:val="24"/>
        </w:rPr>
        <w:t> </w:t>
      </w:r>
      <w:r w:rsidRPr="00E8390A">
        <w:rPr>
          <w:rFonts w:ascii="Times New Roman" w:hAnsi="Times New Roman" w:cs="Times New Roman"/>
          <w:bCs/>
          <w:iCs/>
          <w:sz w:val="24"/>
          <w:szCs w:val="24"/>
        </w:rPr>
        <w:t>1AB:</w:t>
      </w:r>
    </w:p>
    <w:p w14:paraId="5F446160" w14:textId="779F9E68" w:rsidR="00BA76F4" w:rsidRPr="009E42AC" w:rsidRDefault="00BA76F4" w:rsidP="00BA76F4">
      <w:pPr>
        <w:numPr>
          <w:ilvl w:val="0"/>
          <w:numId w:val="2"/>
        </w:numPr>
        <w:ind w:right="-46"/>
        <w:rPr>
          <w:rFonts w:ascii="Times New Roman" w:hAnsi="Times New Roman" w:cs="Times New Roman"/>
          <w:bCs/>
          <w:sz w:val="24"/>
          <w:szCs w:val="24"/>
        </w:rPr>
      </w:pPr>
      <w:r w:rsidRPr="009E42AC">
        <w:rPr>
          <w:rFonts w:ascii="Times New Roman" w:hAnsi="Times New Roman" w:cs="Times New Roman"/>
          <w:bCs/>
          <w:iCs/>
          <w:sz w:val="24"/>
          <w:szCs w:val="24"/>
        </w:rPr>
        <w:t xml:space="preserve">table item </w:t>
      </w:r>
      <w:r w:rsidR="00E565AA">
        <w:rPr>
          <w:rFonts w:ascii="Times New Roman" w:hAnsi="Times New Roman" w:cs="Times New Roman"/>
          <w:bCs/>
          <w:iCs/>
          <w:sz w:val="24"/>
          <w:szCs w:val="24"/>
        </w:rPr>
        <w:t>687</w:t>
      </w:r>
      <w:r w:rsidR="00E565AA" w:rsidRPr="009E42AC">
        <w:rPr>
          <w:rFonts w:ascii="Times New Roman" w:hAnsi="Times New Roman" w:cs="Times New Roman"/>
          <w:bCs/>
          <w:iCs/>
          <w:sz w:val="24"/>
          <w:szCs w:val="24"/>
        </w:rPr>
        <w:t xml:space="preserve"> </w:t>
      </w:r>
      <w:r w:rsidRPr="009E42AC">
        <w:rPr>
          <w:rFonts w:ascii="Times New Roman" w:hAnsi="Times New Roman" w:cs="Times New Roman"/>
          <w:bCs/>
          <w:iCs/>
          <w:sz w:val="24"/>
          <w:szCs w:val="24"/>
        </w:rPr>
        <w:t>‘</w:t>
      </w:r>
      <w:bookmarkStart w:id="2" w:name="_Hlk176530430"/>
      <w:r w:rsidR="00E207E7" w:rsidRPr="00E207E7">
        <w:rPr>
          <w:rFonts w:ascii="Times New Roman" w:hAnsi="Times New Roman" w:cs="Times New Roman"/>
          <w:bCs/>
          <w:sz w:val="24"/>
          <w:szCs w:val="24"/>
        </w:rPr>
        <w:t>Trade Diversification and Free Trade Agreement Modernisation Program</w:t>
      </w:r>
      <w:bookmarkEnd w:id="2"/>
      <w:r w:rsidRPr="009E42AC">
        <w:rPr>
          <w:rFonts w:ascii="Times New Roman" w:hAnsi="Times New Roman" w:cs="Times New Roman"/>
          <w:bCs/>
          <w:sz w:val="24"/>
          <w:szCs w:val="24"/>
        </w:rPr>
        <w:t>’; and</w:t>
      </w:r>
    </w:p>
    <w:p w14:paraId="5D5876F1" w14:textId="587246E1" w:rsidR="00BA76F4" w:rsidRPr="009E42AC" w:rsidRDefault="00BA76F4" w:rsidP="00BA76F4">
      <w:pPr>
        <w:numPr>
          <w:ilvl w:val="0"/>
          <w:numId w:val="2"/>
        </w:numPr>
        <w:ind w:right="-46"/>
        <w:rPr>
          <w:rFonts w:ascii="Times New Roman" w:hAnsi="Times New Roman" w:cs="Times New Roman"/>
          <w:bCs/>
          <w:sz w:val="24"/>
          <w:szCs w:val="24"/>
        </w:rPr>
      </w:pPr>
      <w:r w:rsidRPr="009E42AC">
        <w:rPr>
          <w:rFonts w:ascii="Times New Roman" w:hAnsi="Times New Roman" w:cs="Times New Roman"/>
          <w:bCs/>
          <w:iCs/>
          <w:sz w:val="24"/>
          <w:szCs w:val="24"/>
        </w:rPr>
        <w:t xml:space="preserve">table item </w:t>
      </w:r>
      <w:r w:rsidR="00E565AA">
        <w:rPr>
          <w:rFonts w:ascii="Times New Roman" w:hAnsi="Times New Roman" w:cs="Times New Roman"/>
          <w:bCs/>
          <w:iCs/>
          <w:sz w:val="24"/>
          <w:szCs w:val="24"/>
        </w:rPr>
        <w:t>688</w:t>
      </w:r>
      <w:r w:rsidR="00E565AA" w:rsidRPr="009E42AC">
        <w:rPr>
          <w:rFonts w:ascii="Times New Roman" w:hAnsi="Times New Roman" w:cs="Times New Roman"/>
          <w:bCs/>
          <w:iCs/>
          <w:sz w:val="24"/>
          <w:szCs w:val="24"/>
        </w:rPr>
        <w:t xml:space="preserve"> </w:t>
      </w:r>
      <w:r w:rsidRPr="009E42AC">
        <w:rPr>
          <w:rFonts w:ascii="Times New Roman" w:hAnsi="Times New Roman" w:cs="Times New Roman"/>
          <w:bCs/>
          <w:iCs/>
          <w:sz w:val="24"/>
          <w:szCs w:val="24"/>
        </w:rPr>
        <w:t>‘</w:t>
      </w:r>
      <w:r w:rsidR="00D90EDC" w:rsidRPr="00D90EDC">
        <w:rPr>
          <w:rFonts w:ascii="Times New Roman" w:hAnsi="Times New Roman" w:cs="Times New Roman"/>
          <w:bCs/>
          <w:sz w:val="24"/>
          <w:szCs w:val="24"/>
        </w:rPr>
        <w:t>Investment Deal Teams Project Development Support Program</w:t>
      </w:r>
      <w:r w:rsidR="00FF074C">
        <w:rPr>
          <w:rFonts w:ascii="Times New Roman" w:hAnsi="Times New Roman" w:cs="Times New Roman"/>
          <w:bCs/>
          <w:sz w:val="24"/>
          <w:szCs w:val="24"/>
          <w:lang w:val="en-GB"/>
        </w:rPr>
        <w:t>’</w:t>
      </w:r>
      <w:r w:rsidRPr="009E42AC">
        <w:rPr>
          <w:rFonts w:ascii="Times New Roman" w:hAnsi="Times New Roman" w:cs="Times New Roman"/>
          <w:bCs/>
          <w:iCs/>
          <w:sz w:val="24"/>
          <w:szCs w:val="24"/>
        </w:rPr>
        <w:t>.</w:t>
      </w:r>
    </w:p>
    <w:p w14:paraId="25D7D7F0" w14:textId="77777777" w:rsidR="00BA76F4" w:rsidRPr="009E42AC" w:rsidRDefault="00BA76F4" w:rsidP="00BA76F4">
      <w:pPr>
        <w:ind w:right="-46"/>
        <w:rPr>
          <w:rFonts w:ascii="Times New Roman" w:hAnsi="Times New Roman" w:cs="Times New Roman"/>
          <w:bCs/>
          <w:sz w:val="24"/>
          <w:szCs w:val="24"/>
        </w:rPr>
      </w:pPr>
    </w:p>
    <w:p w14:paraId="6483EA9A" w14:textId="6FCF2D5B" w:rsidR="00BA76F4" w:rsidRPr="009E42AC" w:rsidRDefault="004F7F23" w:rsidP="00BA76F4">
      <w:pPr>
        <w:ind w:right="-46"/>
        <w:rPr>
          <w:rFonts w:ascii="Times New Roman" w:hAnsi="Times New Roman" w:cs="Times New Roman"/>
          <w:bCs/>
          <w:i/>
          <w:iCs/>
          <w:sz w:val="24"/>
          <w:szCs w:val="24"/>
          <w:u w:val="single"/>
        </w:rPr>
      </w:pPr>
      <w:r>
        <w:rPr>
          <w:rFonts w:ascii="Times New Roman" w:hAnsi="Times New Roman" w:cs="Times New Roman"/>
          <w:bCs/>
          <w:i/>
          <w:iCs/>
          <w:sz w:val="24"/>
          <w:szCs w:val="24"/>
          <w:u w:val="single"/>
        </w:rPr>
        <w:t>T</w:t>
      </w:r>
      <w:r w:rsidR="00BA76F4" w:rsidRPr="009E42AC">
        <w:rPr>
          <w:rFonts w:ascii="Times New Roman" w:hAnsi="Times New Roman" w:cs="Times New Roman"/>
          <w:bCs/>
          <w:i/>
          <w:iCs/>
          <w:sz w:val="24"/>
          <w:szCs w:val="24"/>
          <w:u w:val="single"/>
        </w:rPr>
        <w:t xml:space="preserve">able item </w:t>
      </w:r>
      <w:r w:rsidR="00E565AA" w:rsidRPr="003E6C0B">
        <w:rPr>
          <w:rFonts w:ascii="Times New Roman" w:hAnsi="Times New Roman" w:cs="Times New Roman"/>
          <w:bCs/>
          <w:i/>
          <w:sz w:val="24"/>
          <w:szCs w:val="24"/>
          <w:u w:val="single"/>
        </w:rPr>
        <w:t>687</w:t>
      </w:r>
      <w:r w:rsidR="00E565AA" w:rsidRPr="009E42AC">
        <w:rPr>
          <w:rFonts w:ascii="Times New Roman" w:hAnsi="Times New Roman" w:cs="Times New Roman"/>
          <w:bCs/>
          <w:iCs/>
          <w:sz w:val="24"/>
          <w:szCs w:val="24"/>
          <w:u w:val="single"/>
        </w:rPr>
        <w:t xml:space="preserve"> </w:t>
      </w:r>
      <w:r w:rsidR="00BA76F4" w:rsidRPr="009E42AC">
        <w:rPr>
          <w:rFonts w:ascii="Times New Roman" w:hAnsi="Times New Roman" w:cs="Times New Roman"/>
          <w:bCs/>
          <w:i/>
          <w:iCs/>
          <w:sz w:val="24"/>
          <w:szCs w:val="24"/>
          <w:u w:val="single"/>
        </w:rPr>
        <w:t xml:space="preserve">– </w:t>
      </w:r>
      <w:r w:rsidR="00E207E7" w:rsidRPr="00E207E7">
        <w:rPr>
          <w:rFonts w:ascii="Times New Roman" w:hAnsi="Times New Roman" w:cs="Times New Roman"/>
          <w:bCs/>
          <w:i/>
          <w:iCs/>
          <w:color w:val="000000" w:themeColor="text1"/>
          <w:sz w:val="24"/>
          <w:szCs w:val="24"/>
          <w:u w:val="single"/>
        </w:rPr>
        <w:t>Trade Diversification and Free Trade Agreement Modernisation Program</w:t>
      </w:r>
    </w:p>
    <w:p w14:paraId="33CBFCAC" w14:textId="77777777" w:rsidR="00BA76F4" w:rsidRPr="009E42AC" w:rsidRDefault="00BA76F4" w:rsidP="00BA76F4">
      <w:pPr>
        <w:ind w:right="-46"/>
        <w:rPr>
          <w:rFonts w:ascii="Times New Roman" w:hAnsi="Times New Roman" w:cs="Times New Roman"/>
          <w:bCs/>
          <w:iCs/>
          <w:sz w:val="24"/>
          <w:szCs w:val="24"/>
        </w:rPr>
      </w:pPr>
    </w:p>
    <w:p w14:paraId="20A96A71" w14:textId="70076BC6" w:rsidR="001C583A" w:rsidRDefault="003E6C0B" w:rsidP="00BA76F4">
      <w:pPr>
        <w:ind w:right="-46"/>
        <w:rPr>
          <w:rFonts w:ascii="Times New Roman" w:eastAsia="Calibri" w:hAnsi="Times New Roman" w:cs="Times New Roman"/>
          <w:bCs/>
          <w:sz w:val="24"/>
          <w:szCs w:val="24"/>
        </w:rPr>
      </w:pPr>
      <w:r w:rsidRPr="003E6C0B">
        <w:rPr>
          <w:rFonts w:ascii="Times New Roman" w:hAnsi="Times New Roman" w:cs="Times New Roman"/>
          <w:bCs/>
          <w:iCs/>
          <w:sz w:val="24"/>
          <w:szCs w:val="24"/>
        </w:rPr>
        <w:t>T</w:t>
      </w:r>
      <w:r w:rsidR="00BA76F4" w:rsidRPr="003E6C0B">
        <w:rPr>
          <w:rFonts w:ascii="Times New Roman" w:hAnsi="Times New Roman" w:cs="Times New Roman"/>
          <w:bCs/>
          <w:iCs/>
          <w:sz w:val="24"/>
          <w:szCs w:val="24"/>
        </w:rPr>
        <w:t xml:space="preserve">able item </w:t>
      </w:r>
      <w:r w:rsidR="00E565AA" w:rsidRPr="003E6C0B">
        <w:rPr>
          <w:rFonts w:ascii="Times New Roman" w:hAnsi="Times New Roman" w:cs="Times New Roman"/>
          <w:bCs/>
          <w:iCs/>
          <w:sz w:val="24"/>
          <w:szCs w:val="24"/>
        </w:rPr>
        <w:t>687</w:t>
      </w:r>
      <w:r w:rsidR="00E565AA" w:rsidRPr="009E42AC">
        <w:rPr>
          <w:rFonts w:ascii="Times New Roman" w:hAnsi="Times New Roman" w:cs="Times New Roman"/>
          <w:b/>
          <w:bCs/>
          <w:iCs/>
          <w:sz w:val="24"/>
          <w:szCs w:val="24"/>
        </w:rPr>
        <w:t xml:space="preserve"> </w:t>
      </w:r>
      <w:r w:rsidR="00BA76F4" w:rsidRPr="009E42AC">
        <w:rPr>
          <w:rFonts w:ascii="Times New Roman" w:hAnsi="Times New Roman" w:cs="Times New Roman"/>
          <w:bCs/>
          <w:iCs/>
          <w:sz w:val="24"/>
          <w:szCs w:val="24"/>
        </w:rPr>
        <w:t xml:space="preserve">establishes legislative authority </w:t>
      </w:r>
      <w:r w:rsidR="003461B5" w:rsidRPr="00151EDC">
        <w:rPr>
          <w:rFonts w:ascii="Times New Roman" w:eastAsia="Calibri" w:hAnsi="Times New Roman" w:cs="Times New Roman"/>
          <w:bCs/>
          <w:sz w:val="24"/>
          <w:szCs w:val="24"/>
        </w:rPr>
        <w:t xml:space="preserve">for government spending </w:t>
      </w:r>
      <w:r w:rsidR="00044160" w:rsidRPr="00044160">
        <w:rPr>
          <w:rFonts w:ascii="Times New Roman" w:eastAsia="Calibri" w:hAnsi="Times New Roman" w:cs="Times New Roman"/>
          <w:bCs/>
          <w:sz w:val="24"/>
          <w:szCs w:val="24"/>
        </w:rPr>
        <w:t xml:space="preserve">on the Trade Diversification and Free Trade Agreement Modernisation Program (the Program) to enable Australian entities, including industry stakeholders and peak bodies, to conduct activities to identify priorities for the modernisation of Australia’s free trade agreement network and progress mutual recognition </w:t>
      </w:r>
      <w:r w:rsidR="00A403BE">
        <w:rPr>
          <w:rFonts w:ascii="Times New Roman" w:eastAsia="Calibri" w:hAnsi="Times New Roman" w:cs="Times New Roman"/>
          <w:bCs/>
          <w:sz w:val="24"/>
          <w:szCs w:val="24"/>
        </w:rPr>
        <w:t>arrangements</w:t>
      </w:r>
      <w:r w:rsidR="00044160" w:rsidRPr="00044160">
        <w:rPr>
          <w:rFonts w:ascii="Times New Roman" w:eastAsia="Calibri" w:hAnsi="Times New Roman" w:cs="Times New Roman"/>
          <w:bCs/>
          <w:sz w:val="24"/>
          <w:szCs w:val="24"/>
        </w:rPr>
        <w:t xml:space="preserve"> with other countries</w:t>
      </w:r>
      <w:r w:rsidR="00714C21">
        <w:rPr>
          <w:rFonts w:ascii="Times New Roman" w:eastAsia="Calibri" w:hAnsi="Times New Roman" w:cs="Times New Roman"/>
          <w:bCs/>
          <w:sz w:val="24"/>
          <w:szCs w:val="24"/>
        </w:rPr>
        <w:t xml:space="preserve">, </w:t>
      </w:r>
      <w:r w:rsidR="00384755" w:rsidRPr="00384755">
        <w:rPr>
          <w:rFonts w:ascii="Times New Roman" w:eastAsia="Calibri" w:hAnsi="Times New Roman" w:cs="Times New Roman"/>
          <w:bCs/>
          <w:sz w:val="24"/>
          <w:szCs w:val="24"/>
        </w:rPr>
        <w:t>as well as broader activities to develop trade and investment policy including two grant programs.</w:t>
      </w:r>
    </w:p>
    <w:p w14:paraId="56F9A0BF" w14:textId="77777777" w:rsidR="00D73D7C" w:rsidRDefault="00D73D7C" w:rsidP="00BA76F4">
      <w:pPr>
        <w:ind w:right="-46"/>
        <w:rPr>
          <w:rFonts w:ascii="Times New Roman" w:eastAsia="Calibri" w:hAnsi="Times New Roman" w:cs="Times New Roman"/>
          <w:bCs/>
          <w:sz w:val="24"/>
          <w:szCs w:val="24"/>
        </w:rPr>
      </w:pPr>
    </w:p>
    <w:p w14:paraId="6B6EF7E8" w14:textId="18FF07CC" w:rsidR="009554E9" w:rsidDel="00CD3FA8" w:rsidRDefault="009554E9" w:rsidP="00BA76F4">
      <w:pPr>
        <w:ind w:right="-46"/>
        <w:rPr>
          <w:rFonts w:ascii="Times New Roman" w:hAnsi="Times New Roman" w:cs="Times New Roman"/>
          <w:bCs/>
          <w:iCs/>
          <w:color w:val="000000" w:themeColor="text1"/>
          <w:sz w:val="24"/>
          <w:szCs w:val="24"/>
        </w:rPr>
      </w:pPr>
      <w:r w:rsidDel="00CD3FA8">
        <w:rPr>
          <w:rFonts w:ascii="Times New Roman" w:hAnsi="Times New Roman" w:cs="Times New Roman"/>
          <w:bCs/>
          <w:iCs/>
          <w:color w:val="000000" w:themeColor="text1"/>
          <w:sz w:val="24"/>
          <w:szCs w:val="24"/>
        </w:rPr>
        <w:t>The Program comp</w:t>
      </w:r>
      <w:r w:rsidR="00FE25D9" w:rsidDel="00CD3FA8">
        <w:rPr>
          <w:rFonts w:ascii="Times New Roman" w:hAnsi="Times New Roman" w:cs="Times New Roman"/>
          <w:bCs/>
          <w:iCs/>
          <w:color w:val="000000" w:themeColor="text1"/>
          <w:sz w:val="24"/>
          <w:szCs w:val="24"/>
        </w:rPr>
        <w:t xml:space="preserve">rises two </w:t>
      </w:r>
      <w:proofErr w:type="gramStart"/>
      <w:r w:rsidR="00FE25D9" w:rsidDel="00CD3FA8">
        <w:rPr>
          <w:rFonts w:ascii="Times New Roman" w:hAnsi="Times New Roman" w:cs="Times New Roman"/>
          <w:bCs/>
          <w:iCs/>
          <w:color w:val="000000" w:themeColor="text1"/>
          <w:sz w:val="24"/>
          <w:szCs w:val="24"/>
        </w:rPr>
        <w:t>grants</w:t>
      </w:r>
      <w:proofErr w:type="gramEnd"/>
      <w:r w:rsidR="00FE25D9" w:rsidDel="00CD3FA8">
        <w:rPr>
          <w:rFonts w:ascii="Times New Roman" w:hAnsi="Times New Roman" w:cs="Times New Roman"/>
          <w:bCs/>
          <w:iCs/>
          <w:color w:val="000000" w:themeColor="text1"/>
          <w:sz w:val="24"/>
          <w:szCs w:val="24"/>
        </w:rPr>
        <w:t xml:space="preserve"> programs: the </w:t>
      </w:r>
      <w:r w:rsidR="00FE25D9" w:rsidRPr="00FE25D9" w:rsidDel="00CD3FA8">
        <w:rPr>
          <w:rFonts w:ascii="Times New Roman" w:hAnsi="Times New Roman" w:cs="Times New Roman"/>
          <w:bCs/>
          <w:iCs/>
          <w:color w:val="000000" w:themeColor="text1"/>
          <w:sz w:val="24"/>
          <w:szCs w:val="24"/>
        </w:rPr>
        <w:t>Free Trade Agreements Modernisation</w:t>
      </w:r>
      <w:r w:rsidR="00FE25D9" w:rsidDel="00CD3FA8">
        <w:rPr>
          <w:rFonts w:ascii="Times New Roman" w:hAnsi="Times New Roman" w:cs="Times New Roman"/>
          <w:bCs/>
          <w:iCs/>
          <w:color w:val="000000" w:themeColor="text1"/>
          <w:sz w:val="24"/>
          <w:szCs w:val="24"/>
        </w:rPr>
        <w:t xml:space="preserve"> (FTAM)</w:t>
      </w:r>
      <w:r w:rsidR="00FE25D9" w:rsidRPr="00FE25D9" w:rsidDel="00CD3FA8">
        <w:rPr>
          <w:rFonts w:ascii="Times New Roman" w:hAnsi="Times New Roman" w:cs="Times New Roman"/>
          <w:bCs/>
          <w:iCs/>
          <w:color w:val="000000" w:themeColor="text1"/>
          <w:sz w:val="24"/>
          <w:szCs w:val="24"/>
        </w:rPr>
        <w:t xml:space="preserve"> Grant</w:t>
      </w:r>
      <w:r w:rsidR="00FE25D9" w:rsidDel="00CD3FA8">
        <w:rPr>
          <w:rFonts w:ascii="Times New Roman" w:hAnsi="Times New Roman" w:cs="Times New Roman"/>
          <w:bCs/>
          <w:iCs/>
          <w:color w:val="000000" w:themeColor="text1"/>
          <w:sz w:val="24"/>
          <w:szCs w:val="24"/>
        </w:rPr>
        <w:t xml:space="preserve"> program, and t</w:t>
      </w:r>
      <w:r w:rsidR="00FE25D9" w:rsidRPr="00FE25D9" w:rsidDel="00CD3FA8">
        <w:rPr>
          <w:rFonts w:ascii="Times New Roman" w:hAnsi="Times New Roman" w:cs="Times New Roman"/>
          <w:bCs/>
          <w:iCs/>
          <w:color w:val="000000" w:themeColor="text1"/>
          <w:sz w:val="24"/>
          <w:szCs w:val="24"/>
        </w:rPr>
        <w:t>he Southeast Asia Mutual Recognition of Professional Services (SEAMRPS) Grant program</w:t>
      </w:r>
      <w:r w:rsidR="00FE25D9" w:rsidDel="00CD3FA8">
        <w:rPr>
          <w:rFonts w:ascii="Times New Roman" w:hAnsi="Times New Roman" w:cs="Times New Roman"/>
          <w:bCs/>
          <w:iCs/>
          <w:color w:val="000000" w:themeColor="text1"/>
          <w:sz w:val="24"/>
          <w:szCs w:val="24"/>
        </w:rPr>
        <w:t>.</w:t>
      </w:r>
    </w:p>
    <w:p w14:paraId="62C8D95A" w14:textId="77777777" w:rsidR="009554E9" w:rsidRDefault="009554E9" w:rsidP="00BA76F4">
      <w:pPr>
        <w:ind w:right="-46"/>
        <w:rPr>
          <w:rFonts w:ascii="Times New Roman" w:hAnsi="Times New Roman" w:cs="Times New Roman"/>
          <w:bCs/>
          <w:iCs/>
          <w:color w:val="000000" w:themeColor="text1"/>
          <w:sz w:val="24"/>
          <w:szCs w:val="24"/>
        </w:rPr>
      </w:pPr>
    </w:p>
    <w:p w14:paraId="5B9377E6" w14:textId="29A247BC" w:rsidR="00AF2E59" w:rsidRDefault="00AF2E59" w:rsidP="00AF2E59">
      <w:pPr>
        <w:rPr>
          <w:rFonts w:ascii="Times New Roman" w:eastAsia="Calibri" w:hAnsi="Times New Roman" w:cs="Times New Roman"/>
          <w:bCs/>
          <w:sz w:val="24"/>
          <w:szCs w:val="24"/>
        </w:rPr>
      </w:pPr>
      <w:r w:rsidRPr="00151EDC">
        <w:rPr>
          <w:rFonts w:ascii="Times New Roman" w:eastAsia="Calibri" w:hAnsi="Times New Roman" w:cs="Times New Roman"/>
          <w:bCs/>
          <w:sz w:val="24"/>
          <w:szCs w:val="24"/>
        </w:rPr>
        <w:lastRenderedPageBreak/>
        <w:t xml:space="preserve">The </w:t>
      </w:r>
      <w:r w:rsidR="00FE25D9">
        <w:rPr>
          <w:rFonts w:ascii="Times New Roman" w:eastAsia="Calibri" w:hAnsi="Times New Roman" w:cs="Times New Roman"/>
          <w:bCs/>
          <w:sz w:val="24"/>
          <w:szCs w:val="24"/>
        </w:rPr>
        <w:t>FTAM</w:t>
      </w:r>
      <w:r w:rsidRPr="00151EDC">
        <w:rPr>
          <w:rFonts w:ascii="Times New Roman" w:eastAsia="Calibri" w:hAnsi="Times New Roman" w:cs="Times New Roman"/>
          <w:bCs/>
          <w:sz w:val="24"/>
          <w:szCs w:val="24"/>
        </w:rPr>
        <w:t xml:space="preserve"> Grant program </w:t>
      </w:r>
      <w:r>
        <w:rPr>
          <w:rFonts w:ascii="Times New Roman" w:eastAsia="Calibri" w:hAnsi="Times New Roman" w:cs="Times New Roman"/>
          <w:bCs/>
          <w:sz w:val="24"/>
          <w:szCs w:val="24"/>
        </w:rPr>
        <w:t>would</w:t>
      </w:r>
      <w:r w:rsidRPr="00151EDC">
        <w:rPr>
          <w:rFonts w:ascii="Times New Roman" w:eastAsia="Calibri" w:hAnsi="Times New Roman" w:cs="Times New Roman"/>
          <w:bCs/>
          <w:sz w:val="24"/>
          <w:szCs w:val="24"/>
        </w:rPr>
        <w:t xml:space="preserve"> support Australia’s trade and investment exposed industries </w:t>
      </w:r>
      <w:r>
        <w:rPr>
          <w:rFonts w:ascii="Times New Roman" w:eastAsia="Calibri" w:hAnsi="Times New Roman" w:cs="Times New Roman"/>
          <w:bCs/>
          <w:sz w:val="24"/>
          <w:szCs w:val="24"/>
        </w:rPr>
        <w:t xml:space="preserve">and </w:t>
      </w:r>
      <w:r w:rsidRPr="00151EDC">
        <w:rPr>
          <w:rFonts w:ascii="Times New Roman" w:eastAsia="Calibri" w:hAnsi="Times New Roman" w:cs="Times New Roman"/>
          <w:bCs/>
          <w:sz w:val="24"/>
          <w:szCs w:val="24"/>
        </w:rPr>
        <w:t>identify priorities for upgrading Australia’s existing free trade agreements</w:t>
      </w:r>
      <w:r>
        <w:rPr>
          <w:rFonts w:ascii="Times New Roman" w:eastAsia="Calibri" w:hAnsi="Times New Roman" w:cs="Times New Roman"/>
          <w:bCs/>
          <w:sz w:val="24"/>
          <w:szCs w:val="24"/>
        </w:rPr>
        <w:t>. It</w:t>
      </w:r>
      <w:r w:rsidRPr="008309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would</w:t>
      </w:r>
      <w:r w:rsidRPr="00830977">
        <w:rPr>
          <w:rFonts w:ascii="Times New Roman" w:eastAsia="Calibri" w:hAnsi="Times New Roman" w:cs="Times New Roman"/>
          <w:bCs/>
          <w:sz w:val="24"/>
          <w:szCs w:val="24"/>
        </w:rPr>
        <w:t xml:space="preserve"> provide funding to Australian entities, including industry stakeholders and peak bodies, to enable them to conduct activities to identify priorities for the modernisation of Australia’s free trade agreement network. This is intended to foster and encourage international trade and commerce. </w:t>
      </w:r>
    </w:p>
    <w:p w14:paraId="436B9FBA" w14:textId="77777777" w:rsidR="00AF2E59" w:rsidRDefault="00AF2E59" w:rsidP="00AF2E59">
      <w:pPr>
        <w:rPr>
          <w:rFonts w:ascii="Times New Roman" w:eastAsia="Calibri" w:hAnsi="Times New Roman" w:cs="Times New Roman"/>
          <w:bCs/>
          <w:sz w:val="24"/>
          <w:szCs w:val="24"/>
        </w:rPr>
      </w:pPr>
    </w:p>
    <w:p w14:paraId="2D88B7FB" w14:textId="08F1DD89" w:rsidR="00AF2E59" w:rsidRPr="00386305" w:rsidRDefault="00AF2E59" w:rsidP="00AF2E59">
      <w:pPr>
        <w:rPr>
          <w:rFonts w:ascii="Times New Roman" w:eastAsia="Calibri" w:hAnsi="Times New Roman" w:cs="Times New Roman"/>
          <w:bCs/>
          <w:sz w:val="24"/>
          <w:szCs w:val="24"/>
        </w:rPr>
      </w:pPr>
      <w:r>
        <w:rPr>
          <w:rFonts w:ascii="Times New Roman" w:eastAsia="Calibri" w:hAnsi="Times New Roman" w:cs="Times New Roman"/>
          <w:bCs/>
          <w:sz w:val="24"/>
          <w:szCs w:val="24"/>
        </w:rPr>
        <w:t>T</w:t>
      </w:r>
      <w:r w:rsidRPr="00151EDC">
        <w:rPr>
          <w:rFonts w:ascii="Times New Roman" w:eastAsia="Calibri" w:hAnsi="Times New Roman" w:cs="Times New Roman"/>
          <w:bCs/>
          <w:sz w:val="24"/>
          <w:szCs w:val="24"/>
        </w:rPr>
        <w:t xml:space="preserve">he </w:t>
      </w:r>
      <w:r w:rsidRPr="00830977">
        <w:rPr>
          <w:rFonts w:ascii="Times New Roman" w:eastAsia="Calibri" w:hAnsi="Times New Roman" w:cs="Times New Roman"/>
          <w:bCs/>
          <w:sz w:val="24"/>
          <w:szCs w:val="24"/>
        </w:rPr>
        <w:t>SE</w:t>
      </w:r>
      <w:r>
        <w:rPr>
          <w:rFonts w:ascii="Times New Roman" w:eastAsia="Calibri" w:hAnsi="Times New Roman" w:cs="Times New Roman"/>
          <w:bCs/>
          <w:sz w:val="24"/>
          <w:szCs w:val="24"/>
        </w:rPr>
        <w:t>A</w:t>
      </w:r>
      <w:r w:rsidRPr="00830977">
        <w:rPr>
          <w:rFonts w:ascii="Times New Roman" w:eastAsia="Calibri" w:hAnsi="Times New Roman" w:cs="Times New Roman"/>
          <w:bCs/>
          <w:sz w:val="24"/>
          <w:szCs w:val="24"/>
        </w:rPr>
        <w:t xml:space="preserve">MRPS </w:t>
      </w:r>
      <w:r w:rsidRPr="00151EDC">
        <w:rPr>
          <w:rFonts w:ascii="Times New Roman" w:eastAsia="Calibri" w:hAnsi="Times New Roman" w:cs="Times New Roman"/>
          <w:bCs/>
          <w:sz w:val="24"/>
          <w:szCs w:val="24"/>
          <w:lang w:val="en-GB"/>
        </w:rPr>
        <w:t>Grant program</w:t>
      </w:r>
      <w:r w:rsidRPr="00151ED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would</w:t>
      </w:r>
      <w:r w:rsidRPr="00151EDC">
        <w:rPr>
          <w:rFonts w:ascii="Times New Roman" w:eastAsia="Calibri" w:hAnsi="Times New Roman" w:cs="Times New Roman"/>
          <w:bCs/>
          <w:sz w:val="24"/>
          <w:szCs w:val="24"/>
        </w:rPr>
        <w:t xml:space="preserve"> assist accreditation and licensing bodies negotiate mutual recognition arrangements for professional services</w:t>
      </w:r>
      <w:r>
        <w:rPr>
          <w:rFonts w:ascii="Times New Roman" w:eastAsia="Calibri" w:hAnsi="Times New Roman" w:cs="Times New Roman"/>
          <w:bCs/>
          <w:sz w:val="24"/>
          <w:szCs w:val="24"/>
        </w:rPr>
        <w:t>. Funding to these</w:t>
      </w:r>
      <w:r w:rsidRPr="00830977">
        <w:rPr>
          <w:rFonts w:ascii="Times New Roman" w:eastAsia="Calibri" w:hAnsi="Times New Roman" w:cs="Times New Roman"/>
          <w:bCs/>
          <w:sz w:val="24"/>
          <w:szCs w:val="24"/>
        </w:rPr>
        <w:t xml:space="preserve"> bodies </w:t>
      </w:r>
      <w:r>
        <w:rPr>
          <w:rFonts w:ascii="Times New Roman" w:eastAsia="Calibri" w:hAnsi="Times New Roman" w:cs="Times New Roman"/>
          <w:bCs/>
          <w:sz w:val="24"/>
          <w:szCs w:val="24"/>
        </w:rPr>
        <w:t>would</w:t>
      </w:r>
      <w:r w:rsidRPr="00830977">
        <w:rPr>
          <w:rFonts w:ascii="Times New Roman" w:eastAsia="Calibri" w:hAnsi="Times New Roman" w:cs="Times New Roman"/>
          <w:bCs/>
          <w:sz w:val="24"/>
          <w:szCs w:val="24"/>
        </w:rPr>
        <w:t xml:space="preserve"> facilitate and streamline the two-way movement of professionals between Australia and Southeast Asian countries. This is intended to foster and encourage international trade and commerce.</w:t>
      </w:r>
      <w:r>
        <w:rPr>
          <w:rFonts w:ascii="Times New Roman" w:eastAsia="Calibri" w:hAnsi="Times New Roman" w:cs="Times New Roman"/>
          <w:bCs/>
          <w:sz w:val="24"/>
          <w:szCs w:val="24"/>
        </w:rPr>
        <w:t xml:space="preserve"> </w:t>
      </w:r>
      <w:r w:rsidRPr="00386305">
        <w:rPr>
          <w:rFonts w:ascii="Times New Roman" w:eastAsia="Calibri" w:hAnsi="Times New Roman" w:cs="Times New Roman"/>
          <w:bCs/>
          <w:sz w:val="24"/>
          <w:szCs w:val="24"/>
        </w:rPr>
        <w:t>The intended outcome of th</w:t>
      </w:r>
      <w:r>
        <w:rPr>
          <w:rFonts w:ascii="Times New Roman" w:eastAsia="Calibri" w:hAnsi="Times New Roman" w:cs="Times New Roman"/>
          <w:bCs/>
          <w:sz w:val="24"/>
          <w:szCs w:val="24"/>
        </w:rPr>
        <w:t>is grants</w:t>
      </w:r>
      <w:r w:rsidRPr="00386305">
        <w:rPr>
          <w:rFonts w:ascii="Times New Roman" w:eastAsia="Calibri" w:hAnsi="Times New Roman" w:cs="Times New Roman"/>
          <w:bCs/>
          <w:sz w:val="24"/>
          <w:szCs w:val="24"/>
        </w:rPr>
        <w:t xml:space="preserve"> program is to enable Australian professional services bodies to negotiate mutual recognition of professional qualifications, licensing and registration with their Southeast Asian counterparts.</w:t>
      </w:r>
    </w:p>
    <w:p w14:paraId="752B747D" w14:textId="77777777" w:rsidR="00F51EDE" w:rsidRDefault="00F51EDE" w:rsidP="00BA76F4">
      <w:pPr>
        <w:rPr>
          <w:rFonts w:ascii="Times New Roman" w:eastAsia="Calibri" w:hAnsi="Times New Roman" w:cs="Times New Roman"/>
          <w:bCs/>
          <w:sz w:val="24"/>
          <w:szCs w:val="24"/>
        </w:rPr>
      </w:pPr>
    </w:p>
    <w:p w14:paraId="5EF1BD4F" w14:textId="05C47ACE" w:rsidR="00BA76F4" w:rsidRPr="00B3253A" w:rsidRDefault="00F51EDE" w:rsidP="00BA76F4">
      <w:pPr>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Funding of $4.4 million</w:t>
      </w:r>
      <w:r w:rsidR="00F346E1">
        <w:rPr>
          <w:rFonts w:ascii="Times New Roman" w:eastAsia="Calibri" w:hAnsi="Times New Roman" w:cs="Times New Roman"/>
          <w:bCs/>
          <w:sz w:val="24"/>
          <w:szCs w:val="24"/>
        </w:rPr>
        <w:t xml:space="preserve"> over two years from 2024-25</w:t>
      </w:r>
      <w:r>
        <w:rPr>
          <w:rFonts w:ascii="Times New Roman" w:eastAsia="Calibri" w:hAnsi="Times New Roman" w:cs="Times New Roman"/>
          <w:bCs/>
          <w:sz w:val="24"/>
          <w:szCs w:val="24"/>
        </w:rPr>
        <w:t xml:space="preserve"> is available for the </w:t>
      </w:r>
      <w:r w:rsidR="00A0747B">
        <w:rPr>
          <w:rFonts w:ascii="Times New Roman" w:eastAsia="Calibri" w:hAnsi="Times New Roman" w:cs="Times New Roman"/>
          <w:bCs/>
          <w:sz w:val="24"/>
          <w:szCs w:val="24"/>
        </w:rPr>
        <w:t xml:space="preserve">Grant </w:t>
      </w:r>
      <w:r>
        <w:rPr>
          <w:rFonts w:ascii="Times New Roman" w:eastAsia="Calibri" w:hAnsi="Times New Roman" w:cs="Times New Roman"/>
          <w:bCs/>
          <w:sz w:val="24"/>
          <w:szCs w:val="24"/>
        </w:rPr>
        <w:t>programs</w:t>
      </w:r>
      <w:r w:rsidRPr="0062024C">
        <w:rPr>
          <w:rFonts w:ascii="Times New Roman" w:hAnsi="Times New Roman" w:cs="Times New Roman"/>
          <w:bCs/>
          <w:iCs/>
          <w:color w:val="000000" w:themeColor="text1"/>
          <w:sz w:val="24"/>
          <w:szCs w:val="24"/>
        </w:rPr>
        <w:t>.</w:t>
      </w:r>
    </w:p>
    <w:p w14:paraId="7AF8788E" w14:textId="77777777" w:rsidR="00BA76F4" w:rsidRDefault="00BA76F4" w:rsidP="00E71370">
      <w:pPr>
        <w:ind w:right="-46"/>
        <w:rPr>
          <w:rFonts w:ascii="Times New Roman" w:hAnsi="Times New Roman" w:cs="Times New Roman"/>
          <w:b/>
          <w:bCs/>
          <w:iCs/>
          <w:sz w:val="24"/>
          <w:szCs w:val="24"/>
        </w:rPr>
      </w:pPr>
    </w:p>
    <w:p w14:paraId="12C2FAF7" w14:textId="4FFC3EF9" w:rsidR="00BA76F4" w:rsidRPr="00425220" w:rsidRDefault="00BA76F4" w:rsidP="00E71370">
      <w:pPr>
        <w:ind w:right="-46"/>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68FA5AC5" w14:textId="77777777" w:rsidR="0013206D" w:rsidRDefault="0013206D" w:rsidP="003E6C0B">
      <w:pPr>
        <w:rPr>
          <w:rFonts w:ascii="Times New Roman" w:hAnsi="Times New Roman" w:cs="Times New Roman"/>
          <w:sz w:val="24"/>
          <w:szCs w:val="24"/>
        </w:rPr>
      </w:pPr>
    </w:p>
    <w:p w14:paraId="786EC5E1" w14:textId="5DA7EDE7" w:rsidR="003E6C0B" w:rsidRDefault="00425220" w:rsidP="003E6C0B">
      <w:pPr>
        <w:rPr>
          <w:rFonts w:ascii="Times New Roman" w:hAnsi="Times New Roman" w:cs="Times New Roman"/>
          <w:sz w:val="24"/>
          <w:szCs w:val="24"/>
        </w:rPr>
      </w:pPr>
      <w:r w:rsidRPr="00425220">
        <w:rPr>
          <w:rFonts w:ascii="Times New Roman" w:hAnsi="Times New Roman" w:cs="Times New Roman"/>
          <w:sz w:val="24"/>
          <w:szCs w:val="24"/>
        </w:rPr>
        <w:t>The exact trade and investment related topics that the grant activities will provide information or make recommendations on under the FTAM and SEAMRPS</w:t>
      </w:r>
      <w:r w:rsidR="00561A22">
        <w:rPr>
          <w:rFonts w:ascii="Times New Roman" w:hAnsi="Times New Roman" w:cs="Times New Roman"/>
          <w:sz w:val="24"/>
          <w:szCs w:val="24"/>
        </w:rPr>
        <w:t xml:space="preserve"> Grant</w:t>
      </w:r>
      <w:r w:rsidRPr="00425220">
        <w:rPr>
          <w:rFonts w:ascii="Times New Roman" w:hAnsi="Times New Roman" w:cs="Times New Roman"/>
          <w:sz w:val="24"/>
          <w:szCs w:val="24"/>
        </w:rPr>
        <w:t xml:space="preserve"> </w:t>
      </w:r>
      <w:r w:rsidR="004A06F7">
        <w:rPr>
          <w:rFonts w:ascii="Times New Roman" w:hAnsi="Times New Roman" w:cs="Times New Roman"/>
          <w:sz w:val="24"/>
          <w:szCs w:val="24"/>
        </w:rPr>
        <w:t>p</w:t>
      </w:r>
      <w:r w:rsidRPr="00425220">
        <w:rPr>
          <w:rFonts w:ascii="Times New Roman" w:hAnsi="Times New Roman" w:cs="Times New Roman"/>
          <w:sz w:val="24"/>
          <w:szCs w:val="24"/>
        </w:rPr>
        <w:t xml:space="preserve">rograms are not finalised. The exact rights that would be engaged and the </w:t>
      </w:r>
      <w:proofErr w:type="gramStart"/>
      <w:r w:rsidRPr="00425220">
        <w:rPr>
          <w:rFonts w:ascii="Times New Roman" w:hAnsi="Times New Roman" w:cs="Times New Roman"/>
          <w:sz w:val="24"/>
          <w:szCs w:val="24"/>
        </w:rPr>
        <w:t>manner in which</w:t>
      </w:r>
      <w:proofErr w:type="gramEnd"/>
      <w:r w:rsidRPr="00425220">
        <w:rPr>
          <w:rFonts w:ascii="Times New Roman" w:hAnsi="Times New Roman" w:cs="Times New Roman"/>
          <w:sz w:val="24"/>
          <w:szCs w:val="24"/>
        </w:rPr>
        <w:t xml:space="preserve"> they would be engaged, will depend on the final activities that are undertaken, as well as whether any of the information and recommendations provided by the grantees are taken up by government for implementation. </w:t>
      </w:r>
    </w:p>
    <w:p w14:paraId="5AFB4391" w14:textId="77777777" w:rsidR="003E6C0B" w:rsidRDefault="003E6C0B" w:rsidP="003E6C0B">
      <w:pPr>
        <w:rPr>
          <w:rFonts w:ascii="Times New Roman" w:hAnsi="Times New Roman" w:cs="Times New Roman"/>
          <w:sz w:val="24"/>
          <w:szCs w:val="24"/>
        </w:rPr>
      </w:pPr>
    </w:p>
    <w:p w14:paraId="5FD9504F" w14:textId="6E424500" w:rsidR="00425220" w:rsidRDefault="003E6C0B" w:rsidP="003E6C0B">
      <w:pPr>
        <w:rPr>
          <w:rFonts w:ascii="Times New Roman" w:hAnsi="Times New Roman" w:cs="Times New Roman"/>
          <w:sz w:val="24"/>
          <w:szCs w:val="24"/>
        </w:rPr>
      </w:pPr>
      <w:r>
        <w:rPr>
          <w:rFonts w:ascii="Times New Roman" w:hAnsi="Times New Roman" w:cs="Times New Roman"/>
          <w:sz w:val="24"/>
          <w:szCs w:val="24"/>
        </w:rPr>
        <w:t>Table item 687 may engage the following rights:</w:t>
      </w:r>
      <w:r w:rsidR="00731F46">
        <w:rPr>
          <w:rFonts w:ascii="Times New Roman" w:hAnsi="Times New Roman" w:cs="Times New Roman"/>
          <w:sz w:val="24"/>
          <w:szCs w:val="24"/>
        </w:rPr>
        <w:t xml:space="preserve"> </w:t>
      </w:r>
    </w:p>
    <w:p w14:paraId="171B2A82" w14:textId="699661DC" w:rsidR="005E5897" w:rsidRPr="00D96F04" w:rsidRDefault="005E5897" w:rsidP="005E5897">
      <w:pPr>
        <w:numPr>
          <w:ilvl w:val="0"/>
          <w:numId w:val="25"/>
        </w:numPr>
        <w:ind w:right="-46"/>
        <w:rPr>
          <w:rFonts w:ascii="Times New Roman" w:hAnsi="Times New Roman" w:cs="Times New Roman"/>
          <w:bCs/>
          <w:iCs/>
          <w:sz w:val="24"/>
          <w:szCs w:val="24"/>
        </w:rPr>
      </w:pPr>
      <w:r w:rsidRPr="00D96F04">
        <w:rPr>
          <w:rFonts w:ascii="Times New Roman" w:hAnsi="Times New Roman" w:cs="Times New Roman"/>
          <w:bCs/>
          <w:iCs/>
          <w:sz w:val="24"/>
          <w:szCs w:val="24"/>
        </w:rPr>
        <w:t>the right to self-determination</w:t>
      </w:r>
      <w:r w:rsidR="00282DB4">
        <w:rPr>
          <w:rFonts w:ascii="Times New Roman" w:hAnsi="Times New Roman" w:cs="Times New Roman"/>
          <w:bCs/>
          <w:iCs/>
          <w:sz w:val="24"/>
          <w:szCs w:val="24"/>
        </w:rPr>
        <w:t xml:space="preserve"> – A</w:t>
      </w:r>
      <w:r w:rsidRPr="00D96F04">
        <w:rPr>
          <w:rFonts w:ascii="Times New Roman" w:hAnsi="Times New Roman" w:cs="Times New Roman"/>
          <w:bCs/>
          <w:iCs/>
          <w:sz w:val="24"/>
          <w:szCs w:val="24"/>
        </w:rPr>
        <w:t xml:space="preserve">rticle 1 of the </w:t>
      </w:r>
      <w:r w:rsidRPr="00D96F04">
        <w:rPr>
          <w:rFonts w:ascii="Times New Roman" w:hAnsi="Times New Roman" w:cs="Times New Roman"/>
          <w:bCs/>
          <w:i/>
          <w:iCs/>
          <w:sz w:val="24"/>
          <w:szCs w:val="24"/>
        </w:rPr>
        <w:t xml:space="preserve">International Covenant on Civil and Political Rights </w:t>
      </w:r>
      <w:r w:rsidRPr="00D96F04">
        <w:rPr>
          <w:rFonts w:ascii="Times New Roman" w:hAnsi="Times New Roman" w:cs="Times New Roman"/>
          <w:bCs/>
          <w:iCs/>
          <w:sz w:val="24"/>
          <w:szCs w:val="24"/>
        </w:rPr>
        <w:t>(ICCPR)</w:t>
      </w:r>
      <w:r w:rsidR="003E6C0B">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D96F04">
        <w:rPr>
          <w:rFonts w:ascii="Times New Roman" w:hAnsi="Times New Roman" w:cs="Times New Roman"/>
          <w:bCs/>
          <w:iCs/>
          <w:sz w:val="24"/>
          <w:szCs w:val="24"/>
        </w:rPr>
        <w:t xml:space="preserve">Article 1 of the </w:t>
      </w:r>
      <w:r w:rsidR="00090D21" w:rsidRPr="004F757E">
        <w:rPr>
          <w:rFonts w:ascii="Times New Roman" w:hAnsi="Times New Roman" w:cs="Times New Roman"/>
          <w:bCs/>
          <w:i/>
          <w:sz w:val="24"/>
          <w:szCs w:val="24"/>
        </w:rPr>
        <w:t>Covenant on Economic, Social and Cultural Rights</w:t>
      </w:r>
      <w:r w:rsidR="00090D21" w:rsidRPr="00090D21">
        <w:rPr>
          <w:rFonts w:ascii="Times New Roman" w:hAnsi="Times New Roman" w:cs="Times New Roman"/>
          <w:bCs/>
          <w:iCs/>
          <w:sz w:val="24"/>
          <w:szCs w:val="24"/>
        </w:rPr>
        <w:t xml:space="preserve"> </w:t>
      </w:r>
      <w:r w:rsidR="00090D21">
        <w:rPr>
          <w:rFonts w:ascii="Times New Roman" w:hAnsi="Times New Roman" w:cs="Times New Roman"/>
          <w:bCs/>
          <w:iCs/>
          <w:sz w:val="24"/>
          <w:szCs w:val="24"/>
        </w:rPr>
        <w:t>(</w:t>
      </w:r>
      <w:r w:rsidRPr="00D96F04">
        <w:rPr>
          <w:rFonts w:ascii="Times New Roman" w:hAnsi="Times New Roman" w:cs="Times New Roman"/>
          <w:bCs/>
          <w:iCs/>
          <w:sz w:val="24"/>
          <w:szCs w:val="24"/>
        </w:rPr>
        <w:t>ICESCR</w:t>
      </w:r>
      <w:r w:rsidR="00090D21">
        <w:rPr>
          <w:rFonts w:ascii="Times New Roman" w:hAnsi="Times New Roman" w:cs="Times New Roman"/>
          <w:bCs/>
          <w:iCs/>
          <w:sz w:val="24"/>
          <w:szCs w:val="24"/>
        </w:rPr>
        <w:t>)</w:t>
      </w:r>
      <w:r w:rsidR="0083013D">
        <w:rPr>
          <w:rFonts w:ascii="Times New Roman" w:hAnsi="Times New Roman" w:cs="Times New Roman"/>
          <w:bCs/>
          <w:iCs/>
          <w:sz w:val="24"/>
          <w:szCs w:val="24"/>
        </w:rPr>
        <w:t xml:space="preserve"> and</w:t>
      </w:r>
      <w:r w:rsidRPr="00D96F04">
        <w:rPr>
          <w:rFonts w:ascii="Times New Roman" w:hAnsi="Times New Roman" w:cs="Times New Roman"/>
          <w:bCs/>
          <w:iCs/>
          <w:sz w:val="24"/>
          <w:szCs w:val="24"/>
        </w:rPr>
        <w:t xml:space="preserve"> Article 3 of the </w:t>
      </w:r>
      <w:r w:rsidR="00004A6E" w:rsidRPr="004F757E">
        <w:rPr>
          <w:rFonts w:ascii="Times New Roman" w:hAnsi="Times New Roman" w:cs="Times New Roman"/>
          <w:bCs/>
          <w:i/>
          <w:sz w:val="24"/>
          <w:szCs w:val="24"/>
        </w:rPr>
        <w:t>United Nations</w:t>
      </w:r>
      <w:r w:rsidR="00004A6E">
        <w:rPr>
          <w:rFonts w:ascii="Times New Roman" w:hAnsi="Times New Roman" w:cs="Times New Roman"/>
          <w:bCs/>
          <w:iCs/>
          <w:sz w:val="24"/>
          <w:szCs w:val="24"/>
        </w:rPr>
        <w:t xml:space="preserve"> </w:t>
      </w:r>
      <w:r w:rsidRPr="00D96F04">
        <w:rPr>
          <w:rFonts w:ascii="Times New Roman" w:hAnsi="Times New Roman" w:cs="Times New Roman"/>
          <w:bCs/>
          <w:i/>
          <w:iCs/>
          <w:sz w:val="24"/>
          <w:szCs w:val="24"/>
        </w:rPr>
        <w:t>Declaration on the Rights of Indigenous Peoples</w:t>
      </w:r>
      <w:r w:rsidRPr="00D96F04">
        <w:rPr>
          <w:rFonts w:ascii="Times New Roman" w:hAnsi="Times New Roman" w:cs="Times New Roman"/>
          <w:bCs/>
          <w:iCs/>
          <w:sz w:val="24"/>
          <w:szCs w:val="24"/>
        </w:rPr>
        <w:t xml:space="preserve"> (DRIP</w:t>
      </w:r>
      <w:proofErr w:type="gramStart"/>
      <w:r w:rsidRPr="00D96F04">
        <w:rPr>
          <w:rFonts w:ascii="Times New Roman" w:hAnsi="Times New Roman" w:cs="Times New Roman"/>
          <w:bCs/>
          <w:iCs/>
          <w:sz w:val="24"/>
          <w:szCs w:val="24"/>
        </w:rPr>
        <w:t>)</w:t>
      </w:r>
      <w:r w:rsidR="00206A8A">
        <w:rPr>
          <w:rFonts w:ascii="Times New Roman" w:hAnsi="Times New Roman" w:cs="Times New Roman"/>
          <w:bCs/>
          <w:iCs/>
          <w:sz w:val="24"/>
          <w:szCs w:val="24"/>
        </w:rPr>
        <w:t>;</w:t>
      </w:r>
      <w:proofErr w:type="gramEnd"/>
    </w:p>
    <w:p w14:paraId="72B43FF0" w14:textId="1626AF70" w:rsidR="005E5897" w:rsidRPr="00D96F04" w:rsidRDefault="005E5897" w:rsidP="005E5897">
      <w:pPr>
        <w:numPr>
          <w:ilvl w:val="0"/>
          <w:numId w:val="25"/>
        </w:numPr>
        <w:ind w:right="-46"/>
        <w:rPr>
          <w:rFonts w:ascii="Times New Roman" w:hAnsi="Times New Roman" w:cs="Times New Roman"/>
          <w:bCs/>
          <w:iCs/>
          <w:sz w:val="24"/>
          <w:szCs w:val="24"/>
        </w:rPr>
      </w:pPr>
      <w:r w:rsidRPr="00D96F04">
        <w:rPr>
          <w:rFonts w:ascii="Times New Roman" w:hAnsi="Times New Roman" w:cs="Times New Roman"/>
          <w:bCs/>
          <w:iCs/>
          <w:sz w:val="24"/>
          <w:szCs w:val="24"/>
        </w:rPr>
        <w:t>the right to work and rights at work</w:t>
      </w:r>
      <w:r w:rsidR="00206A8A">
        <w:rPr>
          <w:rFonts w:ascii="Times New Roman" w:hAnsi="Times New Roman" w:cs="Times New Roman"/>
          <w:bCs/>
          <w:iCs/>
          <w:sz w:val="24"/>
          <w:szCs w:val="24"/>
        </w:rPr>
        <w:t xml:space="preserve"> – A</w:t>
      </w:r>
      <w:r w:rsidRPr="00D96F04">
        <w:rPr>
          <w:rFonts w:ascii="Times New Roman" w:hAnsi="Times New Roman" w:cs="Times New Roman"/>
          <w:bCs/>
          <w:iCs/>
          <w:sz w:val="24"/>
          <w:szCs w:val="24"/>
        </w:rPr>
        <w:t>rticles 6</w:t>
      </w:r>
      <w:r w:rsidR="00A107DC">
        <w:rPr>
          <w:rFonts w:ascii="Times New Roman" w:hAnsi="Times New Roman" w:cs="Times New Roman"/>
          <w:bCs/>
          <w:iCs/>
          <w:sz w:val="24"/>
          <w:szCs w:val="24"/>
        </w:rPr>
        <w:t xml:space="preserve"> and</w:t>
      </w:r>
      <w:r w:rsidRPr="00D96F04">
        <w:rPr>
          <w:rFonts w:ascii="Times New Roman" w:hAnsi="Times New Roman" w:cs="Times New Roman"/>
          <w:bCs/>
          <w:iCs/>
          <w:sz w:val="24"/>
          <w:szCs w:val="24"/>
        </w:rPr>
        <w:t xml:space="preserve">7 of the ICESCR, </w:t>
      </w:r>
      <w:r>
        <w:rPr>
          <w:rFonts w:ascii="Times New Roman" w:hAnsi="Times New Roman" w:cs="Times New Roman"/>
          <w:bCs/>
          <w:iCs/>
          <w:sz w:val="24"/>
          <w:szCs w:val="24"/>
        </w:rPr>
        <w:t>and</w:t>
      </w:r>
      <w:r w:rsidRPr="00D96F04">
        <w:rPr>
          <w:rFonts w:ascii="Times New Roman" w:hAnsi="Times New Roman" w:cs="Times New Roman"/>
          <w:bCs/>
          <w:iCs/>
          <w:sz w:val="24"/>
          <w:szCs w:val="24"/>
        </w:rPr>
        <w:t xml:space="preserve"> Articles 8 and 22 of the </w:t>
      </w:r>
      <w:proofErr w:type="gramStart"/>
      <w:r w:rsidRPr="00D96F04">
        <w:rPr>
          <w:rFonts w:ascii="Times New Roman" w:hAnsi="Times New Roman" w:cs="Times New Roman"/>
          <w:bCs/>
          <w:iCs/>
          <w:sz w:val="24"/>
          <w:szCs w:val="24"/>
        </w:rPr>
        <w:t>ICCPR</w:t>
      </w:r>
      <w:r w:rsidR="00785E49">
        <w:rPr>
          <w:rFonts w:ascii="Times New Roman" w:hAnsi="Times New Roman" w:cs="Times New Roman"/>
          <w:bCs/>
          <w:iCs/>
          <w:sz w:val="24"/>
          <w:szCs w:val="24"/>
        </w:rPr>
        <w:t>;</w:t>
      </w:r>
      <w:proofErr w:type="gramEnd"/>
      <w:r w:rsidR="00785E49">
        <w:rPr>
          <w:rFonts w:ascii="Times New Roman" w:hAnsi="Times New Roman" w:cs="Times New Roman"/>
          <w:bCs/>
          <w:iCs/>
          <w:sz w:val="24"/>
          <w:szCs w:val="24"/>
        </w:rPr>
        <w:t xml:space="preserve"> </w:t>
      </w:r>
    </w:p>
    <w:p w14:paraId="7A6CEADA" w14:textId="0E5E922F" w:rsidR="005E5897" w:rsidRPr="00796A28" w:rsidRDefault="005E5897" w:rsidP="005E5897">
      <w:pPr>
        <w:numPr>
          <w:ilvl w:val="0"/>
          <w:numId w:val="25"/>
        </w:numPr>
        <w:ind w:right="-46"/>
        <w:rPr>
          <w:rFonts w:ascii="Times New Roman" w:hAnsi="Times New Roman" w:cs="Times New Roman"/>
          <w:bCs/>
          <w:iCs/>
          <w:sz w:val="24"/>
          <w:szCs w:val="24"/>
        </w:rPr>
      </w:pPr>
      <w:r w:rsidRPr="00D96F04">
        <w:rPr>
          <w:rFonts w:ascii="Times New Roman" w:hAnsi="Times New Roman" w:cs="Times New Roman"/>
          <w:bCs/>
          <w:iCs/>
          <w:sz w:val="24"/>
          <w:szCs w:val="24"/>
        </w:rPr>
        <w:t>the rights of people with disability</w:t>
      </w:r>
      <w:r w:rsidR="00785E49">
        <w:rPr>
          <w:rFonts w:ascii="Times New Roman" w:hAnsi="Times New Roman" w:cs="Times New Roman"/>
          <w:bCs/>
          <w:iCs/>
          <w:sz w:val="24"/>
          <w:szCs w:val="24"/>
        </w:rPr>
        <w:t xml:space="preserve"> – A</w:t>
      </w:r>
      <w:r w:rsidRPr="00D96F04">
        <w:rPr>
          <w:rFonts w:ascii="Times New Roman" w:hAnsi="Times New Roman" w:cs="Times New Roman"/>
          <w:bCs/>
          <w:iCs/>
          <w:sz w:val="24"/>
          <w:szCs w:val="24"/>
        </w:rPr>
        <w:t xml:space="preserve">rticle 27 of the </w:t>
      </w:r>
      <w:r w:rsidRPr="00D96F04">
        <w:rPr>
          <w:rFonts w:ascii="Times New Roman" w:hAnsi="Times New Roman" w:cs="Times New Roman"/>
          <w:bCs/>
          <w:i/>
          <w:iCs/>
          <w:sz w:val="24"/>
          <w:szCs w:val="24"/>
        </w:rPr>
        <w:t xml:space="preserve">Convention on the Rights of Persons with Disabilities </w:t>
      </w:r>
      <w:r w:rsidRPr="00D96F04">
        <w:rPr>
          <w:rFonts w:ascii="Times New Roman" w:hAnsi="Times New Roman" w:cs="Times New Roman"/>
          <w:bCs/>
          <w:iCs/>
          <w:sz w:val="24"/>
          <w:szCs w:val="24"/>
        </w:rPr>
        <w:t>(</w:t>
      </w:r>
      <w:r w:rsidRPr="00796A28">
        <w:rPr>
          <w:rFonts w:ascii="Times New Roman" w:hAnsi="Times New Roman" w:cs="Times New Roman"/>
          <w:bCs/>
          <w:iCs/>
          <w:sz w:val="24"/>
          <w:szCs w:val="24"/>
        </w:rPr>
        <w:t>CRPD)</w:t>
      </w:r>
      <w:r w:rsidR="003E6C0B">
        <w:rPr>
          <w:rFonts w:ascii="Times New Roman" w:hAnsi="Times New Roman" w:cs="Times New Roman"/>
          <w:bCs/>
          <w:iCs/>
          <w:sz w:val="24"/>
          <w:szCs w:val="24"/>
        </w:rPr>
        <w:t>,</w:t>
      </w:r>
      <w:r w:rsidR="00785E49" w:rsidRPr="00796A28">
        <w:rPr>
          <w:rFonts w:ascii="Times New Roman" w:hAnsi="Times New Roman" w:cs="Times New Roman"/>
          <w:bCs/>
          <w:iCs/>
          <w:sz w:val="24"/>
          <w:szCs w:val="24"/>
        </w:rPr>
        <w:t xml:space="preserve"> read with Article 4; and</w:t>
      </w:r>
    </w:p>
    <w:p w14:paraId="2A968179" w14:textId="7A9F1383" w:rsidR="005E5897" w:rsidRPr="00796A28" w:rsidRDefault="005E5897" w:rsidP="005E5897">
      <w:pPr>
        <w:numPr>
          <w:ilvl w:val="0"/>
          <w:numId w:val="25"/>
        </w:numPr>
        <w:ind w:right="-46"/>
        <w:rPr>
          <w:rFonts w:ascii="Times New Roman" w:hAnsi="Times New Roman" w:cs="Times New Roman"/>
          <w:bCs/>
          <w:iCs/>
          <w:sz w:val="24"/>
          <w:szCs w:val="24"/>
        </w:rPr>
      </w:pPr>
      <w:r w:rsidRPr="00796A28">
        <w:rPr>
          <w:rFonts w:ascii="Times New Roman" w:hAnsi="Times New Roman" w:cs="Times New Roman"/>
          <w:bCs/>
          <w:iCs/>
          <w:sz w:val="24"/>
          <w:szCs w:val="24"/>
        </w:rPr>
        <w:t>the right of equality and non-discrimination</w:t>
      </w:r>
      <w:r w:rsidR="005D7C88" w:rsidRPr="00796A28">
        <w:rPr>
          <w:rFonts w:ascii="Times New Roman" w:hAnsi="Times New Roman" w:cs="Times New Roman"/>
          <w:bCs/>
          <w:iCs/>
          <w:sz w:val="24"/>
          <w:szCs w:val="24"/>
        </w:rPr>
        <w:t xml:space="preserve"> – A</w:t>
      </w:r>
      <w:r w:rsidRPr="00796A28">
        <w:rPr>
          <w:rFonts w:ascii="Times New Roman" w:hAnsi="Times New Roman" w:cs="Times New Roman"/>
          <w:bCs/>
          <w:iCs/>
          <w:sz w:val="24"/>
          <w:szCs w:val="24"/>
        </w:rPr>
        <w:t xml:space="preserve">rticles 3, 11 and 13 of the </w:t>
      </w:r>
      <w:r w:rsidRPr="00796A28">
        <w:rPr>
          <w:rFonts w:ascii="Times New Roman" w:hAnsi="Times New Roman" w:cs="Times New Roman"/>
          <w:bCs/>
          <w:i/>
          <w:iCs/>
          <w:sz w:val="24"/>
          <w:szCs w:val="24"/>
        </w:rPr>
        <w:t xml:space="preserve">Convention on the Elimination of All Forms of Discrimination </w:t>
      </w:r>
      <w:r w:rsidR="005D7C88" w:rsidRPr="00796A28">
        <w:rPr>
          <w:rFonts w:ascii="Times New Roman" w:hAnsi="Times New Roman" w:cs="Times New Roman"/>
          <w:bCs/>
          <w:i/>
          <w:iCs/>
          <w:sz w:val="24"/>
          <w:szCs w:val="24"/>
        </w:rPr>
        <w:t>a</w:t>
      </w:r>
      <w:r w:rsidRPr="00796A28">
        <w:rPr>
          <w:rFonts w:ascii="Times New Roman" w:hAnsi="Times New Roman" w:cs="Times New Roman"/>
          <w:bCs/>
          <w:i/>
          <w:iCs/>
          <w:sz w:val="24"/>
          <w:szCs w:val="24"/>
        </w:rPr>
        <w:t xml:space="preserve">gainst Women </w:t>
      </w:r>
      <w:r w:rsidRPr="00796A28">
        <w:rPr>
          <w:rFonts w:ascii="Times New Roman" w:hAnsi="Times New Roman" w:cs="Times New Roman"/>
          <w:bCs/>
          <w:iCs/>
          <w:sz w:val="24"/>
          <w:szCs w:val="24"/>
        </w:rPr>
        <w:t>(CEDAW)</w:t>
      </w:r>
      <w:r w:rsidR="003E6C0B">
        <w:rPr>
          <w:rFonts w:ascii="Times New Roman" w:hAnsi="Times New Roman" w:cs="Times New Roman"/>
          <w:bCs/>
          <w:iCs/>
          <w:sz w:val="24"/>
          <w:szCs w:val="24"/>
        </w:rPr>
        <w:t>,</w:t>
      </w:r>
      <w:r w:rsidR="005D7C88" w:rsidRPr="00796A28">
        <w:rPr>
          <w:rFonts w:ascii="Times New Roman" w:hAnsi="Times New Roman" w:cs="Times New Roman"/>
          <w:bCs/>
          <w:iCs/>
          <w:sz w:val="24"/>
          <w:szCs w:val="24"/>
        </w:rPr>
        <w:t xml:space="preserve"> read with Article 2.</w:t>
      </w:r>
    </w:p>
    <w:p w14:paraId="5649B854" w14:textId="77777777" w:rsidR="00B254F6" w:rsidRDefault="00B254F6" w:rsidP="00B254F6">
      <w:pPr>
        <w:ind w:right="-46"/>
        <w:rPr>
          <w:rFonts w:ascii="Times New Roman" w:hAnsi="Times New Roman" w:cs="Times New Roman"/>
          <w:bCs/>
          <w:i/>
          <w:iCs/>
          <w:sz w:val="24"/>
          <w:szCs w:val="24"/>
        </w:rPr>
      </w:pPr>
    </w:p>
    <w:p w14:paraId="653143C8" w14:textId="77777777" w:rsidR="00B254F6" w:rsidRPr="009A5579" w:rsidRDefault="00B254F6" w:rsidP="002B1BB6">
      <w:pPr>
        <w:keepNext/>
        <w:ind w:right="-45"/>
        <w:rPr>
          <w:rFonts w:ascii="Times New Roman" w:hAnsi="Times New Roman" w:cs="Times New Roman"/>
          <w:bCs/>
          <w:i/>
          <w:iCs/>
          <w:sz w:val="24"/>
          <w:szCs w:val="24"/>
          <w:u w:val="single"/>
        </w:rPr>
      </w:pPr>
      <w:r>
        <w:rPr>
          <w:rFonts w:ascii="Times New Roman" w:hAnsi="Times New Roman" w:cs="Times New Roman"/>
          <w:bCs/>
          <w:i/>
          <w:iCs/>
          <w:sz w:val="24"/>
          <w:szCs w:val="24"/>
          <w:u w:val="single"/>
        </w:rPr>
        <w:t>Right to s</w:t>
      </w:r>
      <w:r w:rsidRPr="00D96F04">
        <w:rPr>
          <w:rFonts w:ascii="Times New Roman" w:hAnsi="Times New Roman" w:cs="Times New Roman"/>
          <w:bCs/>
          <w:i/>
          <w:iCs/>
          <w:sz w:val="24"/>
          <w:szCs w:val="24"/>
          <w:u w:val="single"/>
        </w:rPr>
        <w:t xml:space="preserve">elf-determination </w:t>
      </w:r>
    </w:p>
    <w:p w14:paraId="6E7CA102" w14:textId="77777777" w:rsidR="00B254F6" w:rsidRDefault="00B254F6" w:rsidP="00FB7800">
      <w:pPr>
        <w:ind w:right="-46"/>
        <w:rPr>
          <w:rFonts w:ascii="Times New Roman" w:hAnsi="Times New Roman" w:cs="Times New Roman"/>
          <w:bCs/>
          <w:iCs/>
          <w:sz w:val="24"/>
          <w:szCs w:val="24"/>
        </w:rPr>
      </w:pPr>
    </w:p>
    <w:p w14:paraId="7D07E77A" w14:textId="6045407F" w:rsidR="00FB7800" w:rsidRDefault="00FB7800" w:rsidP="00FB7800">
      <w:pPr>
        <w:pStyle w:val="NormalWeb"/>
        <w:spacing w:before="0" w:beforeAutospacing="0" w:after="0" w:afterAutospacing="0"/>
        <w:rPr>
          <w:rFonts w:ascii="Calibri" w:hAnsi="Calibri" w:cs="Calibri"/>
          <w:color w:val="000000"/>
        </w:rPr>
      </w:pPr>
      <w:r>
        <w:rPr>
          <w:color w:val="000000"/>
        </w:rPr>
        <w:t>Article 2 of the ICESCR requires that each State Party to undertake to take steps to the maximum of its available resources to realise the rights recognised, particularly through legislative measures.</w:t>
      </w:r>
    </w:p>
    <w:p w14:paraId="334823CA" w14:textId="75CA2844" w:rsidR="00FB7800" w:rsidRDefault="00FB7800" w:rsidP="00FB7800">
      <w:pPr>
        <w:pStyle w:val="NormalWeb"/>
        <w:spacing w:before="0" w:beforeAutospacing="0" w:after="0" w:afterAutospacing="0"/>
        <w:rPr>
          <w:rFonts w:ascii="Calibri" w:hAnsi="Calibri" w:cs="Calibri"/>
          <w:color w:val="000000"/>
        </w:rPr>
      </w:pPr>
    </w:p>
    <w:p w14:paraId="7191C895" w14:textId="77777777" w:rsidR="00FB7800" w:rsidRDefault="00FB7800" w:rsidP="00FB7800">
      <w:pPr>
        <w:pStyle w:val="NormalWeb"/>
        <w:spacing w:before="0" w:beforeAutospacing="0" w:after="0" w:afterAutospacing="0"/>
        <w:rPr>
          <w:color w:val="000000"/>
        </w:rPr>
      </w:pPr>
      <w:r>
        <w:rPr>
          <w:color w:val="000000"/>
        </w:rPr>
        <w:t>The right to self-determination is contained in Article 1 of the ICCPR and Article 1 of the ICESCR.</w:t>
      </w:r>
    </w:p>
    <w:p w14:paraId="459AD41C" w14:textId="700A31D9" w:rsidR="00B254F6" w:rsidRPr="0099453B" w:rsidRDefault="00B254F6" w:rsidP="00A17BA0">
      <w:pPr>
        <w:pStyle w:val="NormalWeb"/>
        <w:spacing w:before="0" w:beforeAutospacing="0" w:after="0" w:afterAutospacing="0"/>
        <w:rPr>
          <w:color w:val="000000"/>
        </w:rPr>
      </w:pPr>
    </w:p>
    <w:p w14:paraId="7F2FA6D8" w14:textId="5D1AD1B1" w:rsidR="00B254F6" w:rsidRPr="0099453B" w:rsidRDefault="00B254F6" w:rsidP="00B254F6">
      <w:pPr>
        <w:ind w:right="-46"/>
        <w:rPr>
          <w:rFonts w:ascii="Times New Roman" w:hAnsi="Times New Roman" w:cs="Times New Roman"/>
          <w:color w:val="000000"/>
          <w:sz w:val="24"/>
          <w:szCs w:val="24"/>
        </w:rPr>
      </w:pPr>
      <w:r w:rsidRPr="0099453B">
        <w:rPr>
          <w:rFonts w:ascii="Times New Roman" w:hAnsi="Times New Roman" w:cs="Times New Roman"/>
          <w:color w:val="000000"/>
          <w:sz w:val="24"/>
          <w:szCs w:val="24"/>
        </w:rPr>
        <w:lastRenderedPageBreak/>
        <w:t xml:space="preserve">Article 1 of the ICCPR </w:t>
      </w:r>
      <w:r w:rsidR="00E71D81" w:rsidRPr="0099453B">
        <w:rPr>
          <w:rFonts w:ascii="Times New Roman" w:hAnsi="Times New Roman" w:cs="Times New Roman"/>
          <w:color w:val="000000"/>
          <w:sz w:val="24"/>
          <w:szCs w:val="24"/>
        </w:rPr>
        <w:t xml:space="preserve">and ICESCR </w:t>
      </w:r>
      <w:r w:rsidR="00082185" w:rsidRPr="0099453B">
        <w:rPr>
          <w:rFonts w:ascii="Times New Roman" w:hAnsi="Times New Roman" w:cs="Times New Roman"/>
          <w:color w:val="000000"/>
          <w:sz w:val="24"/>
          <w:szCs w:val="24"/>
        </w:rPr>
        <w:t xml:space="preserve">states the entitlement of peoples to have control over their destiny and to be treated respectfully. This includes being free to </w:t>
      </w:r>
      <w:r w:rsidR="00E81C33" w:rsidRPr="0099453B">
        <w:rPr>
          <w:rFonts w:ascii="Times New Roman" w:hAnsi="Times New Roman" w:cs="Times New Roman"/>
          <w:color w:val="000000"/>
          <w:sz w:val="24"/>
          <w:szCs w:val="24"/>
        </w:rPr>
        <w:t>pursue their economic, social and cultural development.</w:t>
      </w:r>
    </w:p>
    <w:p w14:paraId="613F2BCB" w14:textId="77777777" w:rsidR="003E522A" w:rsidRPr="0099453B" w:rsidRDefault="003E522A" w:rsidP="00B254F6">
      <w:pPr>
        <w:ind w:right="-46"/>
        <w:rPr>
          <w:rFonts w:ascii="Times New Roman" w:hAnsi="Times New Roman" w:cs="Times New Roman"/>
          <w:bCs/>
          <w:iCs/>
          <w:sz w:val="24"/>
          <w:szCs w:val="24"/>
        </w:rPr>
      </w:pPr>
    </w:p>
    <w:p w14:paraId="1A17399C" w14:textId="41C3F00D" w:rsidR="00B254F6" w:rsidRDefault="00B254F6" w:rsidP="00B254F6">
      <w:pPr>
        <w:ind w:right="-46"/>
        <w:rPr>
          <w:rFonts w:ascii="Times New Roman" w:hAnsi="Times New Roman" w:cs="Times New Roman"/>
          <w:bCs/>
          <w:iCs/>
          <w:sz w:val="24"/>
          <w:szCs w:val="24"/>
        </w:rPr>
      </w:pPr>
      <w:r w:rsidRPr="0099453B">
        <w:rPr>
          <w:rFonts w:ascii="Times New Roman" w:hAnsi="Times New Roman" w:cs="Times New Roman"/>
          <w:bCs/>
          <w:iCs/>
          <w:sz w:val="24"/>
          <w:szCs w:val="24"/>
        </w:rPr>
        <w:t>Article 3 of the DRIP states that</w:t>
      </w:r>
      <w:r w:rsidR="00E81C33" w:rsidRPr="0099453B">
        <w:rPr>
          <w:rFonts w:ascii="Times New Roman" w:hAnsi="Times New Roman" w:cs="Times New Roman"/>
          <w:bCs/>
          <w:iCs/>
          <w:sz w:val="24"/>
          <w:szCs w:val="24"/>
        </w:rPr>
        <w:t xml:space="preserve"> </w:t>
      </w:r>
      <w:r w:rsidR="00A17BA0" w:rsidRPr="0099453B">
        <w:rPr>
          <w:rFonts w:ascii="Times New Roman" w:hAnsi="Times New Roman" w:cs="Times New Roman"/>
          <w:bCs/>
          <w:iCs/>
          <w:sz w:val="24"/>
          <w:szCs w:val="24"/>
        </w:rPr>
        <w:t xml:space="preserve">indigenous peoples have the right of self-determination. By virtue of that </w:t>
      </w:r>
      <w:proofErr w:type="gramStart"/>
      <w:r w:rsidR="00A17BA0" w:rsidRPr="0099453B">
        <w:rPr>
          <w:rFonts w:ascii="Times New Roman" w:hAnsi="Times New Roman" w:cs="Times New Roman"/>
          <w:bCs/>
          <w:iCs/>
          <w:sz w:val="24"/>
          <w:szCs w:val="24"/>
        </w:rPr>
        <w:t>right</w:t>
      </w:r>
      <w:proofErr w:type="gramEnd"/>
      <w:r w:rsidR="00A17BA0" w:rsidRPr="0099453B">
        <w:rPr>
          <w:rFonts w:ascii="Times New Roman" w:hAnsi="Times New Roman" w:cs="Times New Roman"/>
          <w:bCs/>
          <w:iCs/>
          <w:sz w:val="24"/>
          <w:szCs w:val="24"/>
        </w:rPr>
        <w:t xml:space="preserve"> they freely determine their political status and freely pursue their economic, social and cultural development.</w:t>
      </w:r>
    </w:p>
    <w:p w14:paraId="44C57C58" w14:textId="77777777" w:rsidR="0099453B" w:rsidRPr="0099453B" w:rsidRDefault="0099453B" w:rsidP="00B254F6">
      <w:pPr>
        <w:ind w:right="-46"/>
        <w:rPr>
          <w:rFonts w:ascii="Times New Roman" w:hAnsi="Times New Roman" w:cs="Times New Roman"/>
          <w:bCs/>
          <w:iCs/>
          <w:sz w:val="24"/>
          <w:szCs w:val="24"/>
        </w:rPr>
      </w:pPr>
    </w:p>
    <w:p w14:paraId="0809E626" w14:textId="590C4FFE" w:rsidR="00B254F6" w:rsidRDefault="00B254F6" w:rsidP="00B254F6">
      <w:pPr>
        <w:ind w:right="-46"/>
        <w:rPr>
          <w:rFonts w:ascii="Times New Roman" w:hAnsi="Times New Roman" w:cs="Times New Roman"/>
          <w:bCs/>
          <w:iCs/>
          <w:sz w:val="24"/>
          <w:szCs w:val="24"/>
        </w:rPr>
      </w:pPr>
      <w:r w:rsidRPr="00D96F04">
        <w:rPr>
          <w:rFonts w:ascii="Times New Roman" w:hAnsi="Times New Roman" w:cs="Times New Roman"/>
          <w:bCs/>
          <w:iCs/>
          <w:sz w:val="24"/>
          <w:szCs w:val="24"/>
        </w:rPr>
        <w:t xml:space="preserve">While there is no universally accepted agreement as to the content of the right to </w:t>
      </w:r>
      <w:r w:rsidR="000B0B1F">
        <w:rPr>
          <w:rFonts w:ascii="Times New Roman" w:hAnsi="Times New Roman" w:cs="Times New Roman"/>
          <w:bCs/>
          <w:iCs/>
          <w:sz w:val="24"/>
          <w:szCs w:val="24"/>
        </w:rPr>
        <w:br/>
      </w:r>
      <w:r w:rsidRPr="00D96F04">
        <w:rPr>
          <w:rFonts w:ascii="Times New Roman" w:hAnsi="Times New Roman" w:cs="Times New Roman"/>
          <w:bCs/>
          <w:iCs/>
          <w:sz w:val="24"/>
          <w:szCs w:val="24"/>
        </w:rPr>
        <w:t>self-determination, it is agreed that at a minimum, it entails the entitlement of peoples to have control over their destiny and to be treated respectfully. This includes peoples being free to pursue their economic, social and cultural development.</w:t>
      </w:r>
    </w:p>
    <w:p w14:paraId="7ECEF66D" w14:textId="77777777" w:rsidR="00B254F6" w:rsidRPr="00D96F04" w:rsidRDefault="00B254F6" w:rsidP="00B254F6">
      <w:pPr>
        <w:ind w:right="-46"/>
        <w:rPr>
          <w:rFonts w:ascii="Times New Roman" w:hAnsi="Times New Roman" w:cs="Times New Roman"/>
          <w:bCs/>
          <w:iCs/>
          <w:sz w:val="24"/>
          <w:szCs w:val="24"/>
        </w:rPr>
      </w:pPr>
    </w:p>
    <w:p w14:paraId="1C45BF5C" w14:textId="77777777" w:rsidR="00EF3455" w:rsidRDefault="00B254F6" w:rsidP="00EF3455">
      <w:pPr>
        <w:rPr>
          <w:rFonts w:ascii="Times New Roman" w:hAnsi="Times New Roman" w:cs="Times New Roman"/>
          <w:bCs/>
          <w:iCs/>
          <w:sz w:val="24"/>
          <w:szCs w:val="24"/>
        </w:rPr>
      </w:pPr>
      <w:r w:rsidRPr="00D96F04">
        <w:rPr>
          <w:rFonts w:ascii="Times New Roman" w:hAnsi="Times New Roman" w:cs="Times New Roman"/>
          <w:bCs/>
          <w:iCs/>
          <w:sz w:val="24"/>
          <w:szCs w:val="24"/>
        </w:rPr>
        <w:t xml:space="preserve">The ICCPR identifies, by virtue of the right of self-determination, that all peoples can ‘freely determine their political status and freely pursue their economic… development’. First Nations economic inclusion is becoming a standard part of Australia’s FTA agenda and addressing First Nations inclusion in trade and investment has the potential to be raised by grant recipients. </w:t>
      </w:r>
    </w:p>
    <w:p w14:paraId="4E147D42" w14:textId="77777777" w:rsidR="00EF3455" w:rsidRDefault="00EF3455" w:rsidP="00EF3455">
      <w:pPr>
        <w:rPr>
          <w:sz w:val="24"/>
          <w:szCs w:val="24"/>
        </w:rPr>
      </w:pPr>
    </w:p>
    <w:p w14:paraId="7972157C" w14:textId="68EB4B1D" w:rsidR="00EF3455" w:rsidRDefault="00EF3455" w:rsidP="00EF3455">
      <w:pPr>
        <w:rPr>
          <w:rFonts w:ascii="Times New Roman" w:hAnsi="Times New Roman" w:cs="Times New Roman"/>
          <w:sz w:val="24"/>
          <w:szCs w:val="24"/>
        </w:rPr>
      </w:pPr>
      <w:r w:rsidRPr="00EF3455">
        <w:rPr>
          <w:rFonts w:ascii="Times New Roman" w:hAnsi="Times New Roman" w:cs="Times New Roman"/>
          <w:sz w:val="24"/>
          <w:szCs w:val="24"/>
        </w:rPr>
        <w:t xml:space="preserve">The FTAM and SEAMRPS </w:t>
      </w:r>
      <w:r w:rsidR="00BB5D53">
        <w:rPr>
          <w:rFonts w:ascii="Times New Roman" w:hAnsi="Times New Roman" w:cs="Times New Roman"/>
          <w:sz w:val="24"/>
          <w:szCs w:val="24"/>
        </w:rPr>
        <w:t xml:space="preserve">Grant </w:t>
      </w:r>
      <w:r w:rsidR="00025531">
        <w:rPr>
          <w:rFonts w:ascii="Times New Roman" w:hAnsi="Times New Roman" w:cs="Times New Roman"/>
          <w:sz w:val="24"/>
          <w:szCs w:val="24"/>
        </w:rPr>
        <w:t>p</w:t>
      </w:r>
      <w:r w:rsidRPr="00EF3455">
        <w:rPr>
          <w:rFonts w:ascii="Times New Roman" w:hAnsi="Times New Roman" w:cs="Times New Roman"/>
          <w:sz w:val="24"/>
          <w:szCs w:val="24"/>
        </w:rPr>
        <w:t>rograms could support the right to self-determination as some grantees may provide information and recommendations that seek to promote First Nations economic, social and cultural development through Australia’s FTAs in Southeast Asia. Grantees will have the opportunity to determine their proposed grant activities under the four criteria of the FTAM</w:t>
      </w:r>
      <w:r w:rsidR="00BB5D53">
        <w:rPr>
          <w:rFonts w:ascii="Times New Roman" w:hAnsi="Times New Roman" w:cs="Times New Roman"/>
          <w:sz w:val="24"/>
          <w:szCs w:val="24"/>
        </w:rPr>
        <w:t xml:space="preserve"> Grant</w:t>
      </w:r>
      <w:r w:rsidRPr="00EF3455">
        <w:rPr>
          <w:rFonts w:ascii="Times New Roman" w:hAnsi="Times New Roman" w:cs="Times New Roman"/>
          <w:sz w:val="24"/>
          <w:szCs w:val="24"/>
        </w:rPr>
        <w:t xml:space="preserve"> </w:t>
      </w:r>
      <w:r w:rsidR="008A5F4D">
        <w:rPr>
          <w:rFonts w:ascii="Times New Roman" w:hAnsi="Times New Roman" w:cs="Times New Roman"/>
          <w:sz w:val="24"/>
          <w:szCs w:val="24"/>
        </w:rPr>
        <w:t>p</w:t>
      </w:r>
      <w:r w:rsidRPr="00EF3455">
        <w:rPr>
          <w:rFonts w:ascii="Times New Roman" w:hAnsi="Times New Roman" w:cs="Times New Roman"/>
          <w:sz w:val="24"/>
          <w:szCs w:val="24"/>
        </w:rPr>
        <w:t xml:space="preserve">rogram. Under the SEAMRPS Grant program, Australian professional services accreditation and licensing bodies will have the ability negotiate MRAs with their Southeast Asian counterparts. </w:t>
      </w:r>
    </w:p>
    <w:p w14:paraId="6B353409" w14:textId="77777777" w:rsidR="00EF3455" w:rsidRPr="00EF3455" w:rsidRDefault="00EF3455" w:rsidP="00EF3455">
      <w:pPr>
        <w:rPr>
          <w:rFonts w:ascii="Times New Roman" w:hAnsi="Times New Roman" w:cs="Times New Roman"/>
          <w:sz w:val="24"/>
          <w:szCs w:val="24"/>
        </w:rPr>
      </w:pPr>
    </w:p>
    <w:p w14:paraId="28AF4157" w14:textId="69ABA9B2" w:rsidR="00EF3455" w:rsidRDefault="00EF3455" w:rsidP="00EF3455">
      <w:pPr>
        <w:rPr>
          <w:rFonts w:ascii="Times New Roman" w:hAnsi="Times New Roman" w:cs="Times New Roman"/>
          <w:sz w:val="24"/>
          <w:szCs w:val="24"/>
        </w:rPr>
      </w:pPr>
      <w:r w:rsidRPr="00EF3455">
        <w:rPr>
          <w:rFonts w:ascii="Times New Roman" w:hAnsi="Times New Roman" w:cs="Times New Roman"/>
          <w:sz w:val="24"/>
          <w:szCs w:val="24"/>
        </w:rPr>
        <w:t>An inclusive First Nations trade and investment agenda has the potential to deliver economic growth and economic prosperity for First Nation</w:t>
      </w:r>
      <w:r w:rsidR="003C15D3">
        <w:rPr>
          <w:rFonts w:ascii="Times New Roman" w:hAnsi="Times New Roman" w:cs="Times New Roman"/>
          <w:sz w:val="24"/>
          <w:szCs w:val="24"/>
        </w:rPr>
        <w:t>s</w:t>
      </w:r>
      <w:r w:rsidRPr="00EF3455">
        <w:rPr>
          <w:rFonts w:ascii="Times New Roman" w:hAnsi="Times New Roman" w:cs="Times New Roman"/>
          <w:sz w:val="24"/>
          <w:szCs w:val="24"/>
        </w:rPr>
        <w:t xml:space="preserve"> businesses and their communities. It also has the potential to elevate and reaffirm First Nations perspectives in climate change, sustainable development, traditional knowledge, and protecting the integrity of First Nations arts and cultural products. The grant opportunity criteria will be designed with consideration for enabling activities that focus on inclusive trade. As these activities could enable First Nations peoples to advocate for upgrades that improve their economic, social and cultural development, they will be promoting the right to self-determination.   </w:t>
      </w:r>
    </w:p>
    <w:p w14:paraId="6AEBA24D" w14:textId="77777777" w:rsidR="00EF3455" w:rsidRPr="00EF3455" w:rsidRDefault="00EF3455" w:rsidP="00EF3455">
      <w:pPr>
        <w:rPr>
          <w:rFonts w:ascii="Times New Roman" w:hAnsi="Times New Roman" w:cs="Times New Roman"/>
          <w:sz w:val="24"/>
          <w:szCs w:val="24"/>
        </w:rPr>
      </w:pPr>
    </w:p>
    <w:p w14:paraId="666A73DB" w14:textId="77777777" w:rsidR="00EF3455" w:rsidRDefault="00EF3455" w:rsidP="00EF3455">
      <w:pPr>
        <w:rPr>
          <w:rFonts w:ascii="Times New Roman" w:hAnsi="Times New Roman" w:cs="Times New Roman"/>
          <w:sz w:val="24"/>
          <w:szCs w:val="24"/>
        </w:rPr>
      </w:pPr>
      <w:r w:rsidRPr="00EF3455">
        <w:rPr>
          <w:rFonts w:ascii="Times New Roman" w:hAnsi="Times New Roman" w:cs="Times New Roman"/>
          <w:sz w:val="24"/>
          <w:szCs w:val="24"/>
        </w:rPr>
        <w:t xml:space="preserve">As an example, the Australia-United Kingdom Free Trade Agreement (A-UKFTA) contains commitments to implement reciprocal arrangements to provide for royalties to be paid to Australian artists where their artworks are resold in the UK – benefiting First Nations artists. The agreement also contains commitments that provide recognition of the importance of genetic resources, traditional knowledge and traditional cultural expression, including a commitment that the UK work with Australia at the World Intellectual Property Organization at the United Nations to progress a multilateral solution to the protection of Indigenous traditional knowledge. </w:t>
      </w:r>
    </w:p>
    <w:p w14:paraId="1F2F8D28" w14:textId="77777777" w:rsidR="00EF3455" w:rsidRPr="00EF3455" w:rsidRDefault="00EF3455" w:rsidP="00EF3455">
      <w:pPr>
        <w:rPr>
          <w:rFonts w:ascii="Times New Roman" w:hAnsi="Times New Roman" w:cs="Times New Roman"/>
          <w:sz w:val="24"/>
          <w:szCs w:val="24"/>
        </w:rPr>
      </w:pPr>
    </w:p>
    <w:p w14:paraId="1CEB7CD1" w14:textId="77777777" w:rsidR="00EF3455" w:rsidRDefault="00EF3455" w:rsidP="00EF3455">
      <w:pPr>
        <w:rPr>
          <w:rFonts w:ascii="Times New Roman" w:hAnsi="Times New Roman" w:cs="Times New Roman"/>
          <w:sz w:val="24"/>
          <w:szCs w:val="24"/>
        </w:rPr>
      </w:pPr>
      <w:r w:rsidRPr="00EF3455">
        <w:rPr>
          <w:rFonts w:ascii="Times New Roman" w:hAnsi="Times New Roman" w:cs="Times New Roman"/>
          <w:sz w:val="24"/>
          <w:szCs w:val="24"/>
        </w:rPr>
        <w:t xml:space="preserve">Grant recipients through their activities could provide information on or recommend commitments of this sort be considered by Government for inclusion in Australia’s FTAs with Southeast Asian countries. </w:t>
      </w:r>
    </w:p>
    <w:p w14:paraId="42261B8C" w14:textId="77777777" w:rsidR="00EF3455" w:rsidRPr="00EF3455" w:rsidRDefault="00EF3455" w:rsidP="00EF3455">
      <w:pPr>
        <w:rPr>
          <w:rFonts w:ascii="Times New Roman" w:hAnsi="Times New Roman" w:cs="Times New Roman"/>
          <w:sz w:val="24"/>
          <w:szCs w:val="24"/>
        </w:rPr>
      </w:pPr>
    </w:p>
    <w:p w14:paraId="323317D0" w14:textId="77777777" w:rsidR="00B254F6" w:rsidRDefault="00B254F6" w:rsidP="00B254F6">
      <w:pPr>
        <w:ind w:right="-46"/>
        <w:rPr>
          <w:rFonts w:ascii="Times New Roman" w:hAnsi="Times New Roman" w:cs="Times New Roman"/>
          <w:bCs/>
          <w:i/>
          <w:iCs/>
          <w:sz w:val="24"/>
          <w:szCs w:val="24"/>
        </w:rPr>
      </w:pPr>
    </w:p>
    <w:p w14:paraId="4E8E39FA" w14:textId="057160B3" w:rsidR="00B254F6" w:rsidRPr="00924A14" w:rsidRDefault="00B254F6" w:rsidP="00B254F6">
      <w:pPr>
        <w:ind w:right="-46"/>
        <w:rPr>
          <w:rFonts w:ascii="Times New Roman" w:hAnsi="Times New Roman" w:cs="Times New Roman"/>
          <w:bCs/>
          <w:i/>
          <w:iCs/>
          <w:sz w:val="24"/>
          <w:szCs w:val="24"/>
          <w:u w:val="single"/>
        </w:rPr>
      </w:pPr>
      <w:r w:rsidRPr="00D96F04">
        <w:rPr>
          <w:rFonts w:ascii="Times New Roman" w:hAnsi="Times New Roman" w:cs="Times New Roman"/>
          <w:bCs/>
          <w:i/>
          <w:iCs/>
          <w:sz w:val="24"/>
          <w:szCs w:val="24"/>
          <w:u w:val="single"/>
        </w:rPr>
        <w:lastRenderedPageBreak/>
        <w:t>Right to work and rights at work</w:t>
      </w:r>
    </w:p>
    <w:p w14:paraId="67BB08C1" w14:textId="0EF68718" w:rsidR="00082185" w:rsidRPr="00082185" w:rsidRDefault="00082185" w:rsidP="00082185">
      <w:pPr>
        <w:pStyle w:val="NormalWeb"/>
        <w:rPr>
          <w:color w:val="000000"/>
        </w:rPr>
      </w:pPr>
      <w:r w:rsidRPr="00082185">
        <w:rPr>
          <w:color w:val="000000"/>
        </w:rPr>
        <w:t xml:space="preserve">Article 2 of the ICESCR requires that each State Party to the </w:t>
      </w:r>
      <w:r w:rsidR="008D3723">
        <w:rPr>
          <w:color w:val="000000"/>
        </w:rPr>
        <w:t>ICESCR</w:t>
      </w:r>
      <w:r w:rsidR="008D3723" w:rsidRPr="00082185">
        <w:rPr>
          <w:color w:val="000000"/>
        </w:rPr>
        <w:t xml:space="preserve"> </w:t>
      </w:r>
      <w:r w:rsidRPr="00082185">
        <w:rPr>
          <w:color w:val="000000"/>
        </w:rPr>
        <w:t xml:space="preserve">undertakes to take steps to the maximum of its available resources, especially economic and technical, to realise the rights recognised in the </w:t>
      </w:r>
      <w:r w:rsidR="008D3723">
        <w:rPr>
          <w:color w:val="000000"/>
        </w:rPr>
        <w:t>ICESCR</w:t>
      </w:r>
      <w:r w:rsidRPr="00082185">
        <w:rPr>
          <w:color w:val="000000"/>
        </w:rPr>
        <w:t>, particularly through legislative measures.</w:t>
      </w:r>
    </w:p>
    <w:p w14:paraId="0D4BD01F" w14:textId="77777777" w:rsidR="00082185" w:rsidRPr="00082185" w:rsidRDefault="00082185" w:rsidP="00082185">
      <w:pPr>
        <w:pStyle w:val="NormalWeb"/>
        <w:rPr>
          <w:color w:val="000000"/>
        </w:rPr>
      </w:pPr>
      <w:r w:rsidRPr="00082185">
        <w:rPr>
          <w:color w:val="000000"/>
        </w:rPr>
        <w:t>Article 6 of ICESCR conveys that States Parties will recognise the right to work, which includes the right of everyone to the opportunity to gain their living by work which is freely chosen or accepted and will take appropriate steps to safeguard this right. The right to work also provides that the labour market is open to everyone without discrimination (including that work be physically accessible for people with disability).</w:t>
      </w:r>
    </w:p>
    <w:p w14:paraId="3EC9E84C" w14:textId="77777777" w:rsidR="00FB7800" w:rsidRDefault="00FB7800" w:rsidP="00FB7800">
      <w:pPr>
        <w:pStyle w:val="NormalWeb"/>
        <w:spacing w:before="0" w:beforeAutospacing="0" w:after="0" w:afterAutospacing="0"/>
        <w:rPr>
          <w:rFonts w:ascii="Calibri" w:hAnsi="Calibri" w:cs="Calibri"/>
          <w:color w:val="000000"/>
        </w:rPr>
      </w:pPr>
      <w:r>
        <w:rPr>
          <w:color w:val="000000"/>
        </w:rPr>
        <w:t>Article 7 of the ICESCR recognises the right of everyone to just, favourable and safe conditions of work, including fair wages, equal pay and conditions for women and men and periodic paid holidays.</w:t>
      </w:r>
    </w:p>
    <w:p w14:paraId="08D622FA" w14:textId="77777777" w:rsidR="00B254F6" w:rsidRDefault="00B254F6" w:rsidP="00B254F6">
      <w:pPr>
        <w:ind w:right="-46"/>
        <w:rPr>
          <w:rFonts w:ascii="Times New Roman" w:hAnsi="Times New Roman" w:cs="Times New Roman"/>
          <w:bCs/>
          <w:iCs/>
          <w:sz w:val="24"/>
          <w:szCs w:val="24"/>
        </w:rPr>
      </w:pPr>
    </w:p>
    <w:p w14:paraId="1A08886B" w14:textId="77777777" w:rsidR="00B254F6" w:rsidRDefault="00B254F6" w:rsidP="00B254F6">
      <w:pPr>
        <w:ind w:right="-46"/>
        <w:rPr>
          <w:rFonts w:ascii="Times New Roman" w:hAnsi="Times New Roman" w:cs="Times New Roman"/>
          <w:bCs/>
          <w:iCs/>
          <w:sz w:val="24"/>
          <w:szCs w:val="24"/>
        </w:rPr>
      </w:pPr>
      <w:r w:rsidRPr="00D96F04">
        <w:rPr>
          <w:rFonts w:ascii="Times New Roman" w:hAnsi="Times New Roman" w:cs="Times New Roman"/>
          <w:bCs/>
          <w:iCs/>
          <w:sz w:val="24"/>
          <w:szCs w:val="24"/>
        </w:rPr>
        <w:t>The right to work includes the right of everyone to the opportunity to gain his or her living by work which he or she freely chooses or accepts. Rights in work include the enjoyment of just and favourable conditions of work and to form and join trade unions.</w:t>
      </w:r>
    </w:p>
    <w:p w14:paraId="5466422B" w14:textId="77777777" w:rsidR="00B254F6" w:rsidRPr="00D96F04" w:rsidRDefault="00B254F6" w:rsidP="00B254F6">
      <w:pPr>
        <w:ind w:right="-46"/>
        <w:rPr>
          <w:rFonts w:ascii="Times New Roman" w:hAnsi="Times New Roman" w:cs="Times New Roman"/>
          <w:bCs/>
          <w:iCs/>
          <w:sz w:val="24"/>
          <w:szCs w:val="24"/>
        </w:rPr>
      </w:pPr>
    </w:p>
    <w:p w14:paraId="1198A970" w14:textId="40D7F511" w:rsidR="003E17C5" w:rsidRPr="003E17C5" w:rsidRDefault="00B254F6" w:rsidP="003E17C5">
      <w:pPr>
        <w:rPr>
          <w:rFonts w:ascii="Calibri" w:eastAsia="Calibri" w:hAnsi="Calibri" w:cs="Calibri"/>
          <w:sz w:val="24"/>
          <w:szCs w:val="24"/>
        </w:rPr>
      </w:pPr>
      <w:r w:rsidRPr="00D96F04">
        <w:rPr>
          <w:rFonts w:ascii="Times New Roman" w:hAnsi="Times New Roman" w:cs="Times New Roman"/>
          <w:bCs/>
          <w:iCs/>
          <w:sz w:val="24"/>
          <w:szCs w:val="24"/>
        </w:rPr>
        <w:t>The ICESCR recogni</w:t>
      </w:r>
      <w:r>
        <w:rPr>
          <w:rFonts w:ascii="Times New Roman" w:hAnsi="Times New Roman" w:cs="Times New Roman"/>
          <w:bCs/>
          <w:iCs/>
          <w:sz w:val="24"/>
          <w:szCs w:val="24"/>
        </w:rPr>
        <w:t>s</w:t>
      </w:r>
      <w:r w:rsidRPr="00D96F04">
        <w:rPr>
          <w:rFonts w:ascii="Times New Roman" w:hAnsi="Times New Roman" w:cs="Times New Roman"/>
          <w:bCs/>
          <w:iCs/>
          <w:sz w:val="24"/>
          <w:szCs w:val="24"/>
        </w:rPr>
        <w:t xml:space="preserve">es the ‘right of everyone to the enjoyment of just and favourable conditions of work…’. Labour is an increasingly prevalent topic in Australia’s trade agreements and has the potential to be raised by grant recipients. </w:t>
      </w:r>
      <w:r w:rsidR="003E17C5" w:rsidRPr="003E17C5">
        <w:rPr>
          <w:rFonts w:ascii="Times New Roman" w:eastAsia="Calibri" w:hAnsi="Times New Roman" w:cs="Times New Roman"/>
          <w:sz w:val="24"/>
          <w:szCs w:val="24"/>
        </w:rPr>
        <w:t xml:space="preserve">Supporting grant activities that seek to provide information or make recommendations on the regulation of labour in international trade would contribute to labour rights being engaged with and promoted as part of Australia’s network of FTAs. This in turn means that the grant programs could increase the ability of persons in Australia and abroad, to enjoy just and favourable working conditions. </w:t>
      </w:r>
    </w:p>
    <w:p w14:paraId="1DE21528" w14:textId="77777777" w:rsidR="003E17C5" w:rsidRDefault="003E17C5" w:rsidP="003E17C5">
      <w:pPr>
        <w:rPr>
          <w:rFonts w:ascii="Times New Roman" w:hAnsi="Times New Roman" w:cs="Times New Roman"/>
          <w:sz w:val="24"/>
          <w:szCs w:val="24"/>
        </w:rPr>
      </w:pPr>
    </w:p>
    <w:p w14:paraId="28A8E882" w14:textId="658D1BCE" w:rsidR="003E17C5" w:rsidRPr="003E17C5" w:rsidRDefault="003E17C5" w:rsidP="003E17C5">
      <w:pPr>
        <w:rPr>
          <w:rFonts w:ascii="Times New Roman" w:hAnsi="Times New Roman" w:cs="Times New Roman"/>
          <w:sz w:val="24"/>
          <w:szCs w:val="24"/>
        </w:rPr>
      </w:pPr>
      <w:r w:rsidRPr="003E17C5">
        <w:rPr>
          <w:rFonts w:ascii="Times New Roman" w:hAnsi="Times New Roman" w:cs="Times New Roman"/>
          <w:sz w:val="24"/>
          <w:szCs w:val="24"/>
        </w:rPr>
        <w:t>As an example, the A-UKFTA contains a labour chapter. The Chapter affirms the parties’ obligations as members of the International Labour Organisation</w:t>
      </w:r>
      <w:r w:rsidR="003B26E4">
        <w:rPr>
          <w:rFonts w:ascii="Times New Roman" w:hAnsi="Times New Roman" w:cs="Times New Roman"/>
          <w:sz w:val="24"/>
          <w:szCs w:val="24"/>
        </w:rPr>
        <w:t xml:space="preserve"> (ILO)</w:t>
      </w:r>
      <w:r w:rsidRPr="003E17C5">
        <w:rPr>
          <w:rFonts w:ascii="Times New Roman" w:hAnsi="Times New Roman" w:cs="Times New Roman"/>
          <w:sz w:val="24"/>
          <w:szCs w:val="24"/>
        </w:rPr>
        <w:t xml:space="preserve">. The chapter requires parties adopt and maintain laws and regulations consistent with a range of rights under the ILO Declaration, and to enforce labour laws through a sustained and recurring course of action or inaction in a manner affecting trade or investment between the Parties. The ILO Declaration affirms the obligations and commitments that are inherent in membership of the ILO, namely: </w:t>
      </w:r>
    </w:p>
    <w:p w14:paraId="72EC8D41" w14:textId="77777777" w:rsidR="003E17C5" w:rsidRPr="003E17C5" w:rsidRDefault="003E17C5" w:rsidP="003E17C5">
      <w:pPr>
        <w:pStyle w:val="ListParagraph"/>
        <w:numPr>
          <w:ilvl w:val="0"/>
          <w:numId w:val="29"/>
        </w:numPr>
        <w:suppressAutoHyphens/>
        <w:spacing w:before="120" w:after="60" w:line="260" w:lineRule="atLeast"/>
        <w:contextualSpacing/>
        <w:rPr>
          <w:rFonts w:ascii="Times New Roman" w:hAnsi="Times New Roman"/>
          <w:sz w:val="24"/>
          <w:szCs w:val="24"/>
        </w:rPr>
      </w:pPr>
      <w:r w:rsidRPr="003E17C5">
        <w:rPr>
          <w:rFonts w:ascii="Times New Roman" w:hAnsi="Times New Roman"/>
          <w:sz w:val="24"/>
          <w:szCs w:val="24"/>
        </w:rPr>
        <w:t xml:space="preserve">freedom of association and the effective recognition of the right to collective </w:t>
      </w:r>
      <w:proofErr w:type="gramStart"/>
      <w:r w:rsidRPr="003E17C5">
        <w:rPr>
          <w:rFonts w:ascii="Times New Roman" w:hAnsi="Times New Roman"/>
          <w:sz w:val="24"/>
          <w:szCs w:val="24"/>
        </w:rPr>
        <w:t>bargaining;</w:t>
      </w:r>
      <w:proofErr w:type="gramEnd"/>
    </w:p>
    <w:p w14:paraId="77F3E222" w14:textId="77777777" w:rsidR="003E17C5" w:rsidRPr="003E17C5" w:rsidRDefault="003E17C5" w:rsidP="003E17C5">
      <w:pPr>
        <w:pStyle w:val="ListParagraph"/>
        <w:numPr>
          <w:ilvl w:val="0"/>
          <w:numId w:val="29"/>
        </w:numPr>
        <w:suppressAutoHyphens/>
        <w:spacing w:before="120" w:after="60" w:line="260" w:lineRule="atLeast"/>
        <w:contextualSpacing/>
        <w:rPr>
          <w:rFonts w:ascii="Times New Roman" w:hAnsi="Times New Roman"/>
          <w:sz w:val="24"/>
          <w:szCs w:val="24"/>
        </w:rPr>
      </w:pPr>
      <w:r w:rsidRPr="003E17C5">
        <w:rPr>
          <w:rFonts w:ascii="Times New Roman" w:hAnsi="Times New Roman"/>
          <w:sz w:val="24"/>
          <w:szCs w:val="24"/>
        </w:rPr>
        <w:t xml:space="preserve">the elimination of all forms of forced or compulsory </w:t>
      </w:r>
      <w:proofErr w:type="gramStart"/>
      <w:r w:rsidRPr="003E17C5">
        <w:rPr>
          <w:rFonts w:ascii="Times New Roman" w:hAnsi="Times New Roman"/>
          <w:sz w:val="24"/>
          <w:szCs w:val="24"/>
        </w:rPr>
        <w:t>labour;</w:t>
      </w:r>
      <w:proofErr w:type="gramEnd"/>
    </w:p>
    <w:p w14:paraId="6237255D" w14:textId="77777777" w:rsidR="003E17C5" w:rsidRPr="003E17C5" w:rsidRDefault="003E17C5" w:rsidP="003E17C5">
      <w:pPr>
        <w:pStyle w:val="ListParagraph"/>
        <w:numPr>
          <w:ilvl w:val="0"/>
          <w:numId w:val="29"/>
        </w:numPr>
        <w:suppressAutoHyphens/>
        <w:spacing w:before="120" w:after="60" w:line="260" w:lineRule="atLeast"/>
        <w:contextualSpacing/>
        <w:rPr>
          <w:rFonts w:ascii="Times New Roman" w:hAnsi="Times New Roman"/>
          <w:sz w:val="24"/>
          <w:szCs w:val="24"/>
        </w:rPr>
      </w:pPr>
      <w:r w:rsidRPr="003E17C5">
        <w:rPr>
          <w:rFonts w:ascii="Times New Roman" w:hAnsi="Times New Roman"/>
          <w:sz w:val="24"/>
          <w:szCs w:val="24"/>
        </w:rPr>
        <w:t xml:space="preserve">the effective abolition of child </w:t>
      </w:r>
      <w:proofErr w:type="gramStart"/>
      <w:r w:rsidRPr="003E17C5">
        <w:rPr>
          <w:rFonts w:ascii="Times New Roman" w:hAnsi="Times New Roman"/>
          <w:sz w:val="24"/>
          <w:szCs w:val="24"/>
        </w:rPr>
        <w:t>labour;</w:t>
      </w:r>
      <w:proofErr w:type="gramEnd"/>
    </w:p>
    <w:p w14:paraId="78A15A17" w14:textId="77777777" w:rsidR="003E17C5" w:rsidRPr="003E17C5" w:rsidRDefault="003E17C5" w:rsidP="003E17C5">
      <w:pPr>
        <w:pStyle w:val="ListParagraph"/>
        <w:numPr>
          <w:ilvl w:val="0"/>
          <w:numId w:val="29"/>
        </w:numPr>
        <w:suppressAutoHyphens/>
        <w:spacing w:before="120" w:after="60" w:line="260" w:lineRule="atLeast"/>
        <w:contextualSpacing/>
        <w:rPr>
          <w:rFonts w:ascii="Times New Roman" w:hAnsi="Times New Roman"/>
          <w:sz w:val="24"/>
          <w:szCs w:val="24"/>
        </w:rPr>
      </w:pPr>
      <w:r w:rsidRPr="003E17C5">
        <w:rPr>
          <w:rFonts w:ascii="Times New Roman" w:hAnsi="Times New Roman"/>
          <w:sz w:val="24"/>
          <w:szCs w:val="24"/>
        </w:rPr>
        <w:t>the elimination of discrimination in respect of employment and occupation; and</w:t>
      </w:r>
    </w:p>
    <w:p w14:paraId="610A277A" w14:textId="77777777" w:rsidR="003E17C5" w:rsidRPr="003E17C5" w:rsidRDefault="003E17C5" w:rsidP="003E17C5">
      <w:pPr>
        <w:pStyle w:val="ListParagraph"/>
        <w:numPr>
          <w:ilvl w:val="0"/>
          <w:numId w:val="29"/>
        </w:numPr>
        <w:suppressAutoHyphens/>
        <w:spacing w:before="120" w:after="60" w:line="260" w:lineRule="atLeast"/>
        <w:contextualSpacing/>
        <w:rPr>
          <w:rFonts w:ascii="Times New Roman" w:hAnsi="Times New Roman"/>
          <w:sz w:val="24"/>
          <w:szCs w:val="24"/>
        </w:rPr>
      </w:pPr>
      <w:r w:rsidRPr="003E17C5">
        <w:rPr>
          <w:rFonts w:ascii="Times New Roman" w:hAnsi="Times New Roman"/>
          <w:sz w:val="24"/>
          <w:szCs w:val="24"/>
        </w:rPr>
        <w:t>a safe and healthy working environment.</w:t>
      </w:r>
    </w:p>
    <w:p w14:paraId="5D996EBA" w14:textId="22A967D5" w:rsidR="003E17C5" w:rsidRPr="003E17C5" w:rsidRDefault="003E17C5" w:rsidP="003E17C5">
      <w:pPr>
        <w:spacing w:before="240"/>
        <w:rPr>
          <w:rFonts w:ascii="Times New Roman" w:hAnsi="Times New Roman" w:cs="Times New Roman"/>
          <w:sz w:val="24"/>
          <w:szCs w:val="24"/>
        </w:rPr>
      </w:pPr>
      <w:r w:rsidRPr="003E17C5">
        <w:rPr>
          <w:rFonts w:ascii="Times New Roman" w:hAnsi="Times New Roman" w:cs="Times New Roman"/>
          <w:sz w:val="24"/>
          <w:szCs w:val="24"/>
        </w:rPr>
        <w:t xml:space="preserve">Grant recipients through their activities could provide information on or recommend commitments </w:t>
      </w:r>
      <w:proofErr w:type="gramStart"/>
      <w:r w:rsidRPr="003E17C5">
        <w:rPr>
          <w:rFonts w:ascii="Times New Roman" w:hAnsi="Times New Roman" w:cs="Times New Roman"/>
          <w:sz w:val="24"/>
          <w:szCs w:val="24"/>
        </w:rPr>
        <w:t>similar to</w:t>
      </w:r>
      <w:proofErr w:type="gramEnd"/>
      <w:r w:rsidRPr="003E17C5">
        <w:rPr>
          <w:rFonts w:ascii="Times New Roman" w:hAnsi="Times New Roman" w:cs="Times New Roman"/>
          <w:sz w:val="24"/>
          <w:szCs w:val="24"/>
        </w:rPr>
        <w:t xml:space="preserve"> those in the A-UKFTA be considered by </w:t>
      </w:r>
      <w:r w:rsidR="00532B23">
        <w:rPr>
          <w:rFonts w:ascii="Times New Roman" w:hAnsi="Times New Roman" w:cs="Times New Roman"/>
          <w:sz w:val="24"/>
          <w:szCs w:val="24"/>
        </w:rPr>
        <w:t>g</w:t>
      </w:r>
      <w:r w:rsidRPr="003E17C5">
        <w:rPr>
          <w:rFonts w:ascii="Times New Roman" w:hAnsi="Times New Roman" w:cs="Times New Roman"/>
          <w:sz w:val="24"/>
          <w:szCs w:val="24"/>
        </w:rPr>
        <w:t xml:space="preserve">overnment for inclusion in Australia’s FTAs with Southeast Asian countries. </w:t>
      </w:r>
    </w:p>
    <w:p w14:paraId="4FBC6C3C" w14:textId="77777777" w:rsidR="00B254F6" w:rsidRDefault="00B254F6" w:rsidP="00B254F6">
      <w:pPr>
        <w:ind w:right="-46"/>
        <w:rPr>
          <w:rFonts w:ascii="Times New Roman" w:hAnsi="Times New Roman" w:cs="Times New Roman"/>
          <w:bCs/>
          <w:i/>
          <w:iCs/>
          <w:sz w:val="24"/>
          <w:szCs w:val="24"/>
        </w:rPr>
      </w:pPr>
    </w:p>
    <w:p w14:paraId="0A912A1E" w14:textId="77777777" w:rsidR="00B254F6" w:rsidRPr="009A5579" w:rsidRDefault="00B254F6" w:rsidP="00887595">
      <w:pPr>
        <w:keepNext/>
        <w:ind w:right="-45"/>
        <w:rPr>
          <w:rFonts w:ascii="Times New Roman" w:hAnsi="Times New Roman" w:cs="Times New Roman"/>
          <w:bCs/>
          <w:i/>
          <w:iCs/>
          <w:sz w:val="24"/>
          <w:szCs w:val="24"/>
          <w:u w:val="single"/>
        </w:rPr>
      </w:pPr>
      <w:r w:rsidRPr="00D96F04">
        <w:rPr>
          <w:rFonts w:ascii="Times New Roman" w:hAnsi="Times New Roman" w:cs="Times New Roman"/>
          <w:bCs/>
          <w:i/>
          <w:iCs/>
          <w:sz w:val="24"/>
          <w:szCs w:val="24"/>
          <w:u w:val="single"/>
        </w:rPr>
        <w:lastRenderedPageBreak/>
        <w:t>Rights of people with disability</w:t>
      </w:r>
    </w:p>
    <w:p w14:paraId="31FDA8BB" w14:textId="77777777" w:rsidR="00B254F6" w:rsidRDefault="00B254F6" w:rsidP="00887595">
      <w:pPr>
        <w:keepNext/>
        <w:ind w:right="-45"/>
        <w:rPr>
          <w:rFonts w:ascii="Times New Roman" w:hAnsi="Times New Roman" w:cs="Times New Roman"/>
          <w:bCs/>
          <w:iCs/>
          <w:sz w:val="24"/>
          <w:szCs w:val="24"/>
        </w:rPr>
      </w:pPr>
    </w:p>
    <w:p w14:paraId="7E1BF8FB" w14:textId="77777777" w:rsidR="00785B24" w:rsidRDefault="00785B24" w:rsidP="00B254F6">
      <w:pPr>
        <w:ind w:right="-46"/>
        <w:rPr>
          <w:rFonts w:ascii="Times New Roman" w:hAnsi="Times New Roman" w:cs="Times New Roman"/>
          <w:bCs/>
          <w:iCs/>
          <w:sz w:val="24"/>
          <w:szCs w:val="24"/>
        </w:rPr>
      </w:pPr>
      <w:r w:rsidRPr="00785B24">
        <w:rPr>
          <w:rFonts w:ascii="Times New Roman" w:hAnsi="Times New Roman" w:cs="Times New Roman"/>
          <w:bCs/>
          <w:iCs/>
          <w:sz w:val="24"/>
          <w:szCs w:val="24"/>
        </w:rPr>
        <w:t xml:space="preserve">Article 4 of the CRPD requires the States Parties to ensure and promote the full realisation of all human rights and fundamental freedoms for all persons with disability without discrimination of any kind </w:t>
      </w:r>
      <w:proofErr w:type="gramStart"/>
      <w:r w:rsidRPr="00785B24">
        <w:rPr>
          <w:rFonts w:ascii="Times New Roman" w:hAnsi="Times New Roman" w:cs="Times New Roman"/>
          <w:bCs/>
          <w:iCs/>
          <w:sz w:val="24"/>
          <w:szCs w:val="24"/>
        </w:rPr>
        <w:t>on the basis of</w:t>
      </w:r>
      <w:proofErr w:type="gramEnd"/>
      <w:r w:rsidRPr="00785B24">
        <w:rPr>
          <w:rFonts w:ascii="Times New Roman" w:hAnsi="Times New Roman" w:cs="Times New Roman"/>
          <w:bCs/>
          <w:iCs/>
          <w:sz w:val="24"/>
          <w:szCs w:val="24"/>
        </w:rPr>
        <w:t> disability.</w:t>
      </w:r>
    </w:p>
    <w:p w14:paraId="5950BCF4" w14:textId="77777777" w:rsidR="00785B24" w:rsidRDefault="00785B24" w:rsidP="00B254F6">
      <w:pPr>
        <w:ind w:right="-46"/>
        <w:rPr>
          <w:rFonts w:ascii="Times New Roman" w:hAnsi="Times New Roman" w:cs="Times New Roman"/>
          <w:bCs/>
          <w:iCs/>
          <w:sz w:val="24"/>
          <w:szCs w:val="24"/>
        </w:rPr>
      </w:pPr>
    </w:p>
    <w:p w14:paraId="40882C25" w14:textId="7C0AD070" w:rsidR="00606C66" w:rsidRDefault="00606C66" w:rsidP="00B254F6">
      <w:pPr>
        <w:ind w:right="-46"/>
        <w:rPr>
          <w:rFonts w:ascii="Times New Roman" w:hAnsi="Times New Roman" w:cs="Times New Roman"/>
          <w:bCs/>
          <w:iCs/>
          <w:sz w:val="24"/>
          <w:szCs w:val="24"/>
        </w:rPr>
      </w:pPr>
      <w:r w:rsidRPr="00606C66">
        <w:rPr>
          <w:rFonts w:ascii="Times New Roman" w:hAnsi="Times New Roman" w:cs="Times New Roman"/>
          <w:bCs/>
          <w:iCs/>
          <w:sz w:val="24"/>
          <w:szCs w:val="24"/>
        </w:rPr>
        <w:t>Article 27 (1) of the CRPD</w:t>
      </w:r>
      <w:r w:rsidRPr="00606C66">
        <w:rPr>
          <w:rFonts w:ascii="Times New Roman" w:hAnsi="Times New Roman" w:cs="Times New Roman"/>
          <w:b/>
          <w:bCs/>
          <w:iCs/>
          <w:sz w:val="24"/>
          <w:szCs w:val="24"/>
        </w:rPr>
        <w:t> </w:t>
      </w:r>
      <w:r w:rsidRPr="00606C66">
        <w:rPr>
          <w:rFonts w:ascii="Times New Roman" w:hAnsi="Times New Roman" w:cs="Times New Roman"/>
          <w:bCs/>
          <w:iCs/>
          <w:sz w:val="24"/>
          <w:szCs w:val="24"/>
        </w:rPr>
        <w:t xml:space="preserve">requires States Parties to recognise the right of persons with disabilities to </w:t>
      </w:r>
      <w:proofErr w:type="gramStart"/>
      <w:r w:rsidRPr="00606C66">
        <w:rPr>
          <w:rFonts w:ascii="Times New Roman" w:hAnsi="Times New Roman" w:cs="Times New Roman"/>
          <w:bCs/>
          <w:iCs/>
          <w:sz w:val="24"/>
          <w:szCs w:val="24"/>
        </w:rPr>
        <w:t>work,</w:t>
      </w:r>
      <w:proofErr w:type="gramEnd"/>
      <w:r w:rsidRPr="00606C66">
        <w:rPr>
          <w:rFonts w:ascii="Times New Roman" w:hAnsi="Times New Roman" w:cs="Times New Roman"/>
          <w:bCs/>
          <w:iCs/>
          <w:sz w:val="24"/>
          <w:szCs w:val="24"/>
        </w:rPr>
        <w:t xml:space="preserve"> on an equal basis with others</w:t>
      </w:r>
    </w:p>
    <w:p w14:paraId="15D6F960" w14:textId="77777777" w:rsidR="00606C66" w:rsidRDefault="00606C66" w:rsidP="00B254F6">
      <w:pPr>
        <w:ind w:right="-46"/>
        <w:rPr>
          <w:rFonts w:ascii="Times New Roman" w:hAnsi="Times New Roman" w:cs="Times New Roman"/>
          <w:bCs/>
          <w:iCs/>
          <w:sz w:val="24"/>
          <w:szCs w:val="24"/>
        </w:rPr>
      </w:pPr>
    </w:p>
    <w:p w14:paraId="6B3EE1C7" w14:textId="479925EC" w:rsidR="00B254F6" w:rsidRPr="00D96F04" w:rsidRDefault="00B254F6" w:rsidP="00B254F6">
      <w:pPr>
        <w:ind w:right="-46"/>
        <w:rPr>
          <w:rFonts w:ascii="Times New Roman" w:hAnsi="Times New Roman" w:cs="Times New Roman"/>
          <w:bCs/>
          <w:iCs/>
          <w:sz w:val="24"/>
          <w:szCs w:val="24"/>
        </w:rPr>
      </w:pPr>
      <w:r w:rsidRPr="00D96F04">
        <w:rPr>
          <w:rFonts w:ascii="Times New Roman" w:hAnsi="Times New Roman" w:cs="Times New Roman"/>
          <w:bCs/>
          <w:iCs/>
          <w:sz w:val="24"/>
          <w:szCs w:val="24"/>
        </w:rPr>
        <w:t>The CRPD recognises the barriers that people with a disability may face in realising their rights. The rights under all human rights treaties apply to everyone, including people with disability. However, the CRPD applies human rights specifically to the context of people with disability.</w:t>
      </w:r>
    </w:p>
    <w:p w14:paraId="666872F2" w14:textId="77777777" w:rsidR="00B254F6" w:rsidRDefault="00B254F6" w:rsidP="00B254F6">
      <w:pPr>
        <w:ind w:right="-46"/>
        <w:rPr>
          <w:rFonts w:ascii="Times New Roman" w:hAnsi="Times New Roman" w:cs="Times New Roman"/>
          <w:bCs/>
          <w:iCs/>
          <w:sz w:val="24"/>
          <w:szCs w:val="24"/>
        </w:rPr>
      </w:pPr>
    </w:p>
    <w:p w14:paraId="500E9E3B" w14:textId="6644DC10" w:rsidR="00B254F6" w:rsidRPr="00D96F04" w:rsidRDefault="00E81C33" w:rsidP="00B254F6">
      <w:pPr>
        <w:ind w:right="-46"/>
        <w:rPr>
          <w:rFonts w:ascii="Times New Roman" w:hAnsi="Times New Roman" w:cs="Times New Roman"/>
          <w:bCs/>
          <w:iCs/>
          <w:sz w:val="24"/>
          <w:szCs w:val="24"/>
        </w:rPr>
      </w:pPr>
      <w:r>
        <w:rPr>
          <w:rFonts w:ascii="Times New Roman" w:hAnsi="Times New Roman" w:cs="Times New Roman"/>
          <w:bCs/>
          <w:iCs/>
          <w:sz w:val="24"/>
          <w:szCs w:val="24"/>
        </w:rPr>
        <w:t>Article 27 of the</w:t>
      </w:r>
      <w:r w:rsidR="00B254F6" w:rsidRPr="00D96F04">
        <w:rPr>
          <w:rFonts w:ascii="Times New Roman" w:hAnsi="Times New Roman" w:cs="Times New Roman"/>
          <w:bCs/>
          <w:iCs/>
          <w:sz w:val="24"/>
          <w:szCs w:val="24"/>
        </w:rPr>
        <w:t xml:space="preserve"> CRPD recogni</w:t>
      </w:r>
      <w:r w:rsidR="00B254F6">
        <w:rPr>
          <w:rFonts w:ascii="Times New Roman" w:hAnsi="Times New Roman" w:cs="Times New Roman"/>
          <w:bCs/>
          <w:iCs/>
          <w:sz w:val="24"/>
          <w:szCs w:val="24"/>
        </w:rPr>
        <w:t>s</w:t>
      </w:r>
      <w:r w:rsidR="00B254F6" w:rsidRPr="00D96F04">
        <w:rPr>
          <w:rFonts w:ascii="Times New Roman" w:hAnsi="Times New Roman" w:cs="Times New Roman"/>
          <w:bCs/>
          <w:iCs/>
          <w:sz w:val="24"/>
          <w:szCs w:val="24"/>
        </w:rPr>
        <w:t xml:space="preserve">es the ‘right of persons with disabilities to </w:t>
      </w:r>
      <w:proofErr w:type="gramStart"/>
      <w:r w:rsidR="00B254F6" w:rsidRPr="00D96F04">
        <w:rPr>
          <w:rFonts w:ascii="Times New Roman" w:hAnsi="Times New Roman" w:cs="Times New Roman"/>
          <w:bCs/>
          <w:iCs/>
          <w:sz w:val="24"/>
          <w:szCs w:val="24"/>
        </w:rPr>
        <w:t>work,</w:t>
      </w:r>
      <w:proofErr w:type="gramEnd"/>
      <w:r w:rsidR="00B254F6" w:rsidRPr="00D96F04">
        <w:rPr>
          <w:rFonts w:ascii="Times New Roman" w:hAnsi="Times New Roman" w:cs="Times New Roman"/>
          <w:bCs/>
          <w:iCs/>
          <w:sz w:val="24"/>
          <w:szCs w:val="24"/>
        </w:rPr>
        <w:t xml:space="preserve"> on an equal basis with others…’ and ‘gain a living by work freely chosen or accepted…’. Inclusivity is an increasingly prevalent topic in Australia’s trade agreements and has the potential to be raised by grant recipients. Inclusion of persons with disabilities in trade agreements is part of broader efforts in Australia to ensure FTAs benefit all peoples. The grant opportunity criteria will be designed with consideration for enabling activities that focus on inclusive trade. If disability inclusion is raised as a grant activity, it would promote economic participation of persons with disabilities and the right of persons with disabilities to work on an equal basis with others. </w:t>
      </w:r>
    </w:p>
    <w:p w14:paraId="5BD921FC" w14:textId="77777777" w:rsidR="00B254F6" w:rsidRDefault="00B254F6" w:rsidP="00B254F6">
      <w:pPr>
        <w:ind w:right="-46"/>
        <w:rPr>
          <w:rFonts w:ascii="Times New Roman" w:hAnsi="Times New Roman" w:cs="Times New Roman"/>
          <w:bCs/>
          <w:i/>
          <w:iCs/>
          <w:sz w:val="24"/>
          <w:szCs w:val="24"/>
        </w:rPr>
      </w:pPr>
    </w:p>
    <w:p w14:paraId="33F9B79C" w14:textId="77777777" w:rsidR="00B254F6" w:rsidRDefault="00B254F6" w:rsidP="00B254F6">
      <w:pPr>
        <w:ind w:right="-46"/>
        <w:rPr>
          <w:rFonts w:ascii="Times New Roman" w:hAnsi="Times New Roman" w:cs="Times New Roman"/>
          <w:bCs/>
          <w:i/>
          <w:iCs/>
          <w:sz w:val="24"/>
          <w:szCs w:val="24"/>
          <w:u w:val="single"/>
        </w:rPr>
      </w:pPr>
      <w:r w:rsidRPr="00D96F04">
        <w:rPr>
          <w:rFonts w:ascii="Times New Roman" w:hAnsi="Times New Roman" w:cs="Times New Roman"/>
          <w:bCs/>
          <w:i/>
          <w:iCs/>
          <w:sz w:val="24"/>
          <w:szCs w:val="24"/>
          <w:u w:val="single"/>
        </w:rPr>
        <w:t>Rights of equality and non-discrimination</w:t>
      </w:r>
    </w:p>
    <w:p w14:paraId="7FEB9367" w14:textId="4B14F7D1" w:rsidR="00C339B1" w:rsidRDefault="00C339B1" w:rsidP="00B254F6">
      <w:pPr>
        <w:ind w:right="-46"/>
        <w:rPr>
          <w:rFonts w:ascii="Times New Roman" w:hAnsi="Times New Roman" w:cs="Times New Roman"/>
          <w:bCs/>
          <w:iCs/>
          <w:sz w:val="24"/>
          <w:szCs w:val="24"/>
        </w:rPr>
      </w:pPr>
    </w:p>
    <w:p w14:paraId="5B21486E" w14:textId="4B2A1091" w:rsidR="00B254F6" w:rsidRPr="006007DF" w:rsidRDefault="00B254F6" w:rsidP="00B254F6">
      <w:pPr>
        <w:ind w:right="-46"/>
        <w:rPr>
          <w:rFonts w:ascii="Times New Roman" w:hAnsi="Times New Roman" w:cs="Times New Roman"/>
          <w:bCs/>
          <w:iCs/>
          <w:sz w:val="24"/>
          <w:szCs w:val="24"/>
        </w:rPr>
      </w:pPr>
      <w:r w:rsidRPr="006007DF">
        <w:rPr>
          <w:rFonts w:ascii="Times New Roman" w:hAnsi="Times New Roman" w:cs="Times New Roman"/>
          <w:bCs/>
          <w:iCs/>
          <w:sz w:val="24"/>
          <w:szCs w:val="24"/>
        </w:rPr>
        <w:t xml:space="preserve">Article 3 </w:t>
      </w:r>
      <w:r w:rsidR="00A17BA0" w:rsidRPr="006007DF">
        <w:rPr>
          <w:rFonts w:ascii="Times New Roman" w:hAnsi="Times New Roman" w:cs="Times New Roman"/>
          <w:bCs/>
          <w:iCs/>
          <w:sz w:val="24"/>
          <w:szCs w:val="24"/>
        </w:rPr>
        <w:t>of the CEDAW</w:t>
      </w:r>
      <w:r w:rsidR="00935651" w:rsidRPr="006007DF">
        <w:rPr>
          <w:rFonts w:ascii="Times New Roman" w:hAnsi="Times New Roman" w:cs="Times New Roman"/>
          <w:bCs/>
          <w:iCs/>
          <w:sz w:val="24"/>
          <w:szCs w:val="24"/>
        </w:rPr>
        <w:t xml:space="preserve"> </w:t>
      </w:r>
      <w:r w:rsidRPr="006007DF">
        <w:rPr>
          <w:rFonts w:ascii="Times New Roman" w:hAnsi="Times New Roman" w:cs="Times New Roman"/>
          <w:bCs/>
          <w:iCs/>
          <w:sz w:val="24"/>
          <w:szCs w:val="24"/>
        </w:rPr>
        <w:t>states</w:t>
      </w:r>
      <w:r w:rsidR="00E71D81" w:rsidRPr="006007DF">
        <w:rPr>
          <w:rFonts w:ascii="Times New Roman" w:hAnsi="Times New Roman" w:cs="Times New Roman"/>
          <w:bCs/>
          <w:iCs/>
          <w:sz w:val="24"/>
          <w:szCs w:val="24"/>
        </w:rPr>
        <w:t xml:space="preserve"> that States Parties shall take in all fields, </w:t>
      </w:r>
      <w:proofErr w:type="gramStart"/>
      <w:r w:rsidR="00E71D81" w:rsidRPr="006007DF">
        <w:rPr>
          <w:rFonts w:ascii="Times New Roman" w:hAnsi="Times New Roman" w:cs="Times New Roman"/>
          <w:bCs/>
          <w:iCs/>
          <w:sz w:val="24"/>
          <w:szCs w:val="24"/>
        </w:rPr>
        <w:t>in particular in</w:t>
      </w:r>
      <w:proofErr w:type="gramEnd"/>
      <w:r w:rsidR="00E71D81" w:rsidRPr="006007DF">
        <w:rPr>
          <w:rFonts w:ascii="Times New Roman" w:hAnsi="Times New Roman" w:cs="Times New Roman"/>
          <w:bCs/>
          <w:iCs/>
          <w:sz w:val="24"/>
          <w:szCs w:val="24"/>
        </w:rPr>
        <w:t xml:space="preserve"> the political, social, economic and cultural fields, all appropriate measures, including legislation, to ensure the full development and advancement of </w:t>
      </w:r>
      <w:r w:rsidR="00282718" w:rsidRPr="006007DF">
        <w:rPr>
          <w:rFonts w:ascii="Times New Roman" w:hAnsi="Times New Roman" w:cs="Times New Roman"/>
          <w:bCs/>
          <w:iCs/>
          <w:sz w:val="24"/>
          <w:szCs w:val="24"/>
        </w:rPr>
        <w:t>women,</w:t>
      </w:r>
      <w:r w:rsidR="00E71D81" w:rsidRPr="006007DF">
        <w:rPr>
          <w:rFonts w:ascii="Times New Roman" w:hAnsi="Times New Roman" w:cs="Times New Roman"/>
          <w:bCs/>
          <w:iCs/>
          <w:sz w:val="24"/>
          <w:szCs w:val="24"/>
        </w:rPr>
        <w:t xml:space="preserve"> for the purpose of guaranteeing them the exercise and enjoyment of human rights and fundamental freedoms on a basis of equality with men.</w:t>
      </w:r>
    </w:p>
    <w:p w14:paraId="26E4842C" w14:textId="08D1252D" w:rsidR="00B254F6" w:rsidRPr="006007DF" w:rsidRDefault="00B254F6" w:rsidP="00B254F6">
      <w:pPr>
        <w:ind w:right="-46"/>
        <w:rPr>
          <w:rFonts w:ascii="Times New Roman" w:hAnsi="Times New Roman" w:cs="Times New Roman"/>
          <w:bCs/>
          <w:iCs/>
          <w:sz w:val="24"/>
          <w:szCs w:val="24"/>
        </w:rPr>
      </w:pPr>
    </w:p>
    <w:p w14:paraId="27AF4827" w14:textId="204EF874" w:rsidR="00B254F6" w:rsidRPr="006007DF" w:rsidRDefault="00B254F6" w:rsidP="00B254F6">
      <w:pPr>
        <w:ind w:right="-46"/>
        <w:rPr>
          <w:rFonts w:ascii="Times New Roman" w:hAnsi="Times New Roman" w:cs="Times New Roman"/>
          <w:bCs/>
          <w:iCs/>
          <w:sz w:val="24"/>
          <w:szCs w:val="24"/>
        </w:rPr>
      </w:pPr>
      <w:r w:rsidRPr="006007DF">
        <w:rPr>
          <w:rFonts w:ascii="Times New Roman" w:hAnsi="Times New Roman" w:cs="Times New Roman"/>
          <w:bCs/>
          <w:iCs/>
          <w:sz w:val="24"/>
          <w:szCs w:val="24"/>
        </w:rPr>
        <w:t>Article 11</w:t>
      </w:r>
      <w:r w:rsidR="00567E4B">
        <w:rPr>
          <w:rFonts w:ascii="Times New Roman" w:hAnsi="Times New Roman" w:cs="Times New Roman"/>
          <w:bCs/>
          <w:iCs/>
          <w:sz w:val="24"/>
          <w:szCs w:val="24"/>
        </w:rPr>
        <w:t xml:space="preserve"> </w:t>
      </w:r>
      <w:r w:rsidR="00936D41">
        <w:rPr>
          <w:rFonts w:ascii="Times New Roman" w:hAnsi="Times New Roman" w:cs="Times New Roman"/>
          <w:bCs/>
          <w:iCs/>
          <w:sz w:val="24"/>
          <w:szCs w:val="24"/>
        </w:rPr>
        <w:t>of the CEDAW</w:t>
      </w:r>
      <w:r w:rsidRPr="006007DF">
        <w:rPr>
          <w:rFonts w:ascii="Times New Roman" w:hAnsi="Times New Roman" w:cs="Times New Roman"/>
          <w:bCs/>
          <w:iCs/>
          <w:sz w:val="24"/>
          <w:szCs w:val="24"/>
        </w:rPr>
        <w:t xml:space="preserve"> states</w:t>
      </w:r>
      <w:r w:rsidR="00E71D81" w:rsidRPr="006007DF">
        <w:rPr>
          <w:rFonts w:ascii="Times New Roman" w:hAnsi="Times New Roman" w:cs="Times New Roman"/>
          <w:bCs/>
          <w:iCs/>
          <w:sz w:val="24"/>
          <w:szCs w:val="24"/>
        </w:rPr>
        <w:t xml:space="preserve"> that States Parties shall take all appropriate measures to eliminate discrimination against women in the field of employment </w:t>
      </w:r>
      <w:proofErr w:type="gramStart"/>
      <w:r w:rsidR="00E71D81" w:rsidRPr="006007DF">
        <w:rPr>
          <w:rFonts w:ascii="Times New Roman" w:hAnsi="Times New Roman" w:cs="Times New Roman"/>
          <w:bCs/>
          <w:iCs/>
          <w:sz w:val="24"/>
          <w:szCs w:val="24"/>
        </w:rPr>
        <w:t>in order to</w:t>
      </w:r>
      <w:proofErr w:type="gramEnd"/>
      <w:r w:rsidR="00E71D81" w:rsidRPr="006007DF">
        <w:rPr>
          <w:rFonts w:ascii="Times New Roman" w:hAnsi="Times New Roman" w:cs="Times New Roman"/>
          <w:bCs/>
          <w:iCs/>
          <w:sz w:val="24"/>
          <w:szCs w:val="24"/>
        </w:rPr>
        <w:t xml:space="preserve"> ensure, on a basis of equality of men and women, the same rights.</w:t>
      </w:r>
      <w:r w:rsidR="00082185" w:rsidRPr="006007DF">
        <w:rPr>
          <w:rFonts w:ascii="Times New Roman" w:hAnsi="Times New Roman" w:cs="Times New Roman"/>
          <w:bCs/>
          <w:iCs/>
          <w:sz w:val="24"/>
          <w:szCs w:val="24"/>
        </w:rPr>
        <w:t xml:space="preserve"> Including, employment opportunities</w:t>
      </w:r>
      <w:r w:rsidR="00672C69">
        <w:rPr>
          <w:rFonts w:ascii="Times New Roman" w:hAnsi="Times New Roman" w:cs="Times New Roman"/>
          <w:bCs/>
          <w:iCs/>
          <w:sz w:val="24"/>
          <w:szCs w:val="24"/>
        </w:rPr>
        <w:t>,</w:t>
      </w:r>
      <w:r w:rsidR="00082185" w:rsidRPr="006007DF">
        <w:rPr>
          <w:rFonts w:ascii="Times New Roman" w:hAnsi="Times New Roman" w:cs="Times New Roman"/>
          <w:bCs/>
          <w:iCs/>
          <w:sz w:val="24"/>
          <w:szCs w:val="24"/>
        </w:rPr>
        <w:t xml:space="preserve"> free choice of profession and employment, promotion, job security, and all benefits and conditions of service and the right to receive vocational training and retraining.</w:t>
      </w:r>
    </w:p>
    <w:p w14:paraId="0A6FD48A" w14:textId="069383F8" w:rsidR="00B254F6" w:rsidRPr="006007DF" w:rsidRDefault="00B254F6" w:rsidP="00B254F6">
      <w:pPr>
        <w:ind w:right="-46"/>
        <w:rPr>
          <w:rFonts w:ascii="Times New Roman" w:hAnsi="Times New Roman" w:cs="Times New Roman"/>
          <w:bCs/>
          <w:iCs/>
          <w:sz w:val="24"/>
          <w:szCs w:val="24"/>
        </w:rPr>
      </w:pPr>
    </w:p>
    <w:p w14:paraId="5B04006D" w14:textId="6C1D7DDE" w:rsidR="00B254F6" w:rsidRDefault="00B254F6" w:rsidP="00B254F6">
      <w:pPr>
        <w:ind w:right="-46"/>
        <w:rPr>
          <w:rFonts w:ascii="Times New Roman" w:hAnsi="Times New Roman" w:cs="Times New Roman"/>
          <w:bCs/>
          <w:iCs/>
          <w:sz w:val="24"/>
          <w:szCs w:val="24"/>
        </w:rPr>
      </w:pPr>
      <w:r w:rsidRPr="006007DF">
        <w:rPr>
          <w:rFonts w:ascii="Times New Roman" w:hAnsi="Times New Roman" w:cs="Times New Roman"/>
          <w:bCs/>
          <w:iCs/>
          <w:sz w:val="24"/>
          <w:szCs w:val="24"/>
        </w:rPr>
        <w:t>Article 13</w:t>
      </w:r>
      <w:r w:rsidR="00567E4B">
        <w:rPr>
          <w:rFonts w:ascii="Times New Roman" w:hAnsi="Times New Roman" w:cs="Times New Roman"/>
          <w:bCs/>
          <w:iCs/>
          <w:sz w:val="24"/>
          <w:szCs w:val="24"/>
        </w:rPr>
        <w:t xml:space="preserve"> of the CEDAW</w:t>
      </w:r>
      <w:r w:rsidRPr="006007DF">
        <w:rPr>
          <w:rFonts w:ascii="Times New Roman" w:hAnsi="Times New Roman" w:cs="Times New Roman"/>
          <w:bCs/>
          <w:iCs/>
          <w:sz w:val="24"/>
          <w:szCs w:val="24"/>
        </w:rPr>
        <w:t xml:space="preserve"> states</w:t>
      </w:r>
      <w:r w:rsidR="00E71D81" w:rsidRPr="006007DF">
        <w:rPr>
          <w:rFonts w:ascii="Times New Roman" w:hAnsi="Times New Roman" w:cs="Times New Roman"/>
          <w:bCs/>
          <w:iCs/>
          <w:sz w:val="24"/>
          <w:szCs w:val="24"/>
        </w:rPr>
        <w:t xml:space="preserve"> that States Parties shall take all appropriate measures to eliminate discrimination against women in other areas of economic and social life </w:t>
      </w:r>
      <w:proofErr w:type="gramStart"/>
      <w:r w:rsidR="00E71D81" w:rsidRPr="006007DF">
        <w:rPr>
          <w:rFonts w:ascii="Times New Roman" w:hAnsi="Times New Roman" w:cs="Times New Roman"/>
          <w:bCs/>
          <w:iCs/>
          <w:sz w:val="24"/>
          <w:szCs w:val="24"/>
        </w:rPr>
        <w:t>in order to</w:t>
      </w:r>
      <w:proofErr w:type="gramEnd"/>
      <w:r w:rsidR="00E71D81" w:rsidRPr="006007DF">
        <w:rPr>
          <w:rFonts w:ascii="Times New Roman" w:hAnsi="Times New Roman" w:cs="Times New Roman"/>
          <w:bCs/>
          <w:iCs/>
          <w:sz w:val="24"/>
          <w:szCs w:val="24"/>
        </w:rPr>
        <w:t xml:space="preserve"> ensure, on a basis of equality of men and women, the same rights</w:t>
      </w:r>
      <w:r w:rsidR="00282718" w:rsidRPr="006007DF">
        <w:rPr>
          <w:rFonts w:ascii="Times New Roman" w:hAnsi="Times New Roman" w:cs="Times New Roman"/>
          <w:bCs/>
          <w:iCs/>
          <w:sz w:val="24"/>
          <w:szCs w:val="24"/>
        </w:rPr>
        <w:t>.</w:t>
      </w:r>
    </w:p>
    <w:p w14:paraId="7ECABC6B" w14:textId="77777777" w:rsidR="00346CF6" w:rsidRPr="006007DF" w:rsidRDefault="00346CF6" w:rsidP="00B254F6">
      <w:pPr>
        <w:ind w:right="-46"/>
        <w:rPr>
          <w:rFonts w:ascii="Times New Roman" w:hAnsi="Times New Roman" w:cs="Times New Roman"/>
          <w:bCs/>
          <w:iCs/>
          <w:sz w:val="24"/>
          <w:szCs w:val="24"/>
        </w:rPr>
      </w:pPr>
    </w:p>
    <w:p w14:paraId="43912ED6" w14:textId="77777777" w:rsidR="00B254F6" w:rsidRPr="006007DF" w:rsidRDefault="00B254F6" w:rsidP="00B254F6">
      <w:pPr>
        <w:ind w:right="-46"/>
        <w:rPr>
          <w:rFonts w:ascii="Times New Roman" w:hAnsi="Times New Roman" w:cs="Times New Roman"/>
          <w:bCs/>
          <w:iCs/>
          <w:sz w:val="24"/>
          <w:szCs w:val="24"/>
        </w:rPr>
      </w:pPr>
      <w:r w:rsidRPr="006007DF">
        <w:rPr>
          <w:rFonts w:ascii="Times New Roman" w:hAnsi="Times New Roman" w:cs="Times New Roman"/>
          <w:bCs/>
          <w:iCs/>
          <w:sz w:val="24"/>
          <w:szCs w:val="24"/>
        </w:rPr>
        <w:t>Equality affirms that all human beings are born free and equal. Equality presupposes that all individuals have the same rights and deserve the same level of respect. All people have the right to be treated equally. This means that laws, policies and programs should not be discriminatory, and that public authorities should not apply or enforce laws, policies and programs in a discriminatory or arbitrary manner.</w:t>
      </w:r>
    </w:p>
    <w:p w14:paraId="33BEAE65" w14:textId="77777777" w:rsidR="00B254F6" w:rsidRPr="006007DF" w:rsidRDefault="00B254F6" w:rsidP="00B254F6">
      <w:pPr>
        <w:ind w:right="-46"/>
        <w:rPr>
          <w:rFonts w:ascii="Times New Roman" w:hAnsi="Times New Roman" w:cs="Times New Roman"/>
          <w:bCs/>
          <w:iCs/>
          <w:sz w:val="24"/>
          <w:szCs w:val="24"/>
        </w:rPr>
      </w:pPr>
    </w:p>
    <w:p w14:paraId="35352CB0" w14:textId="7DC3D824" w:rsidR="00B254F6" w:rsidRPr="00D96F04" w:rsidRDefault="00B254F6" w:rsidP="00B254F6">
      <w:pPr>
        <w:ind w:right="-46"/>
        <w:rPr>
          <w:rFonts w:ascii="Times New Roman" w:hAnsi="Times New Roman" w:cs="Times New Roman"/>
          <w:bCs/>
          <w:iCs/>
          <w:sz w:val="24"/>
          <w:szCs w:val="24"/>
        </w:rPr>
      </w:pPr>
      <w:r w:rsidRPr="006007DF">
        <w:rPr>
          <w:rFonts w:ascii="Times New Roman" w:hAnsi="Times New Roman" w:cs="Times New Roman"/>
          <w:bCs/>
          <w:iCs/>
          <w:sz w:val="24"/>
          <w:szCs w:val="24"/>
        </w:rPr>
        <w:t xml:space="preserve">The CEDAW requires Parties ‘take appropriate measures… to ensure the full development and advancement of women’ in ‘political, social and economic’ fields, and ‘eliminate other </w:t>
      </w:r>
      <w:r w:rsidRPr="006007DF">
        <w:rPr>
          <w:rFonts w:ascii="Times New Roman" w:hAnsi="Times New Roman" w:cs="Times New Roman"/>
          <w:bCs/>
          <w:iCs/>
          <w:sz w:val="24"/>
          <w:szCs w:val="24"/>
        </w:rPr>
        <w:lastRenderedPageBreak/>
        <w:t>areas of discrimination against women in areas of economic and social life’. Inclusivity is an increasingly prevalent topic in Australia’s trade agreements and has the potential to be raised by grant recipients. Inclusion of women in trade agreements is part of an effort in Australia to ensure FTAs benefit all peoples. The grant opportunity criteria will be designed with consideration for enabling activities that focus on inclusive trade. If inclusion of women is raised in the context of the grant activities, it would promote the development and advancement of women and eliminate discrimination.</w:t>
      </w:r>
      <w:r w:rsidRPr="00D96F04">
        <w:rPr>
          <w:rFonts w:ascii="Times New Roman" w:hAnsi="Times New Roman" w:cs="Times New Roman"/>
          <w:bCs/>
          <w:iCs/>
          <w:sz w:val="24"/>
          <w:szCs w:val="24"/>
        </w:rPr>
        <w:t xml:space="preserve"> </w:t>
      </w:r>
    </w:p>
    <w:p w14:paraId="5400272A" w14:textId="77777777" w:rsidR="00B254F6" w:rsidRDefault="00B254F6" w:rsidP="00B254F6">
      <w:pPr>
        <w:ind w:right="-46"/>
        <w:rPr>
          <w:rFonts w:ascii="Times New Roman" w:hAnsi="Times New Roman" w:cs="Times New Roman"/>
          <w:b/>
          <w:bCs/>
          <w:iCs/>
          <w:sz w:val="24"/>
          <w:szCs w:val="24"/>
        </w:rPr>
      </w:pPr>
    </w:p>
    <w:p w14:paraId="57558743" w14:textId="10F99141" w:rsidR="00BA76F4" w:rsidRDefault="00B254F6" w:rsidP="004D237D">
      <w:pPr>
        <w:ind w:right="-46"/>
        <w:rPr>
          <w:rFonts w:ascii="Times New Roman" w:hAnsi="Times New Roman" w:cs="Times New Roman"/>
          <w:bCs/>
          <w:iCs/>
          <w:sz w:val="24"/>
          <w:szCs w:val="24"/>
        </w:rPr>
      </w:pPr>
      <w:r w:rsidRPr="00D96F04">
        <w:rPr>
          <w:rFonts w:ascii="Times New Roman" w:hAnsi="Times New Roman" w:cs="Times New Roman"/>
          <w:bCs/>
          <w:iCs/>
          <w:sz w:val="24"/>
          <w:szCs w:val="24"/>
        </w:rPr>
        <w:t>T</w:t>
      </w:r>
      <w:r>
        <w:rPr>
          <w:rFonts w:ascii="Times New Roman" w:hAnsi="Times New Roman" w:cs="Times New Roman"/>
          <w:bCs/>
          <w:iCs/>
          <w:sz w:val="24"/>
          <w:szCs w:val="24"/>
        </w:rPr>
        <w:t>able item</w:t>
      </w:r>
      <w:r w:rsidR="008B0D31">
        <w:rPr>
          <w:rFonts w:ascii="Times New Roman" w:hAnsi="Times New Roman" w:cs="Times New Roman"/>
          <w:bCs/>
          <w:iCs/>
          <w:sz w:val="24"/>
          <w:szCs w:val="24"/>
        </w:rPr>
        <w:t xml:space="preserve"> </w:t>
      </w:r>
      <w:r w:rsidR="00346CF6">
        <w:rPr>
          <w:rFonts w:ascii="Times New Roman" w:hAnsi="Times New Roman" w:cs="Times New Roman"/>
          <w:bCs/>
          <w:iCs/>
          <w:sz w:val="24"/>
          <w:szCs w:val="24"/>
        </w:rPr>
        <w:t>687</w:t>
      </w:r>
      <w:r w:rsidR="00346CF6" w:rsidRPr="00D96F04">
        <w:rPr>
          <w:rFonts w:ascii="Times New Roman" w:hAnsi="Times New Roman" w:cs="Times New Roman"/>
          <w:bCs/>
          <w:iCs/>
          <w:sz w:val="24"/>
          <w:szCs w:val="24"/>
        </w:rPr>
        <w:t xml:space="preserve"> </w:t>
      </w:r>
      <w:r w:rsidRPr="00D96F04">
        <w:rPr>
          <w:rFonts w:ascii="Times New Roman" w:hAnsi="Times New Roman" w:cs="Times New Roman"/>
          <w:bCs/>
          <w:iCs/>
          <w:sz w:val="24"/>
          <w:szCs w:val="24"/>
        </w:rPr>
        <w:t>is compatible with human rights. To the extent the instrument may interact with human rights, it do</w:t>
      </w:r>
      <w:r>
        <w:rPr>
          <w:rFonts w:ascii="Times New Roman" w:hAnsi="Times New Roman" w:cs="Times New Roman"/>
          <w:bCs/>
          <w:iCs/>
          <w:sz w:val="24"/>
          <w:szCs w:val="24"/>
        </w:rPr>
        <w:t>es</w:t>
      </w:r>
      <w:r w:rsidRPr="00D96F04">
        <w:rPr>
          <w:rFonts w:ascii="Times New Roman" w:hAnsi="Times New Roman" w:cs="Times New Roman"/>
          <w:bCs/>
          <w:iCs/>
          <w:sz w:val="24"/>
          <w:szCs w:val="24"/>
        </w:rPr>
        <w:t xml:space="preserve"> so in a way that would promote or positively affect human rights.</w:t>
      </w:r>
    </w:p>
    <w:p w14:paraId="0A2BAA95" w14:textId="77777777" w:rsidR="004D237D" w:rsidRDefault="004D237D" w:rsidP="004D237D">
      <w:pPr>
        <w:ind w:right="-46"/>
        <w:rPr>
          <w:rFonts w:ascii="Times New Roman" w:hAnsi="Times New Roman" w:cs="Times New Roman"/>
          <w:bCs/>
          <w:iCs/>
          <w:sz w:val="24"/>
          <w:szCs w:val="24"/>
        </w:rPr>
      </w:pPr>
    </w:p>
    <w:p w14:paraId="0733074F" w14:textId="0C8981EC" w:rsidR="00BA76F4" w:rsidRPr="00F550BD" w:rsidRDefault="00BA76F4" w:rsidP="00BA76F4">
      <w:pPr>
        <w:ind w:right="-46"/>
        <w:rPr>
          <w:rFonts w:ascii="Times New Roman" w:hAnsi="Times New Roman" w:cs="Times New Roman"/>
          <w:bCs/>
          <w:i/>
          <w:iCs/>
          <w:sz w:val="24"/>
          <w:szCs w:val="24"/>
          <w:highlight w:val="yellow"/>
          <w:u w:val="single"/>
        </w:rPr>
      </w:pPr>
      <w:r w:rsidRPr="00F550BD">
        <w:rPr>
          <w:rFonts w:ascii="Times New Roman" w:hAnsi="Times New Roman" w:cs="Times New Roman"/>
          <w:bCs/>
          <w:i/>
          <w:iCs/>
          <w:sz w:val="24"/>
          <w:szCs w:val="24"/>
          <w:u w:val="single"/>
        </w:rPr>
        <w:t xml:space="preserve">New table </w:t>
      </w:r>
      <w:r w:rsidRPr="009E42AC">
        <w:rPr>
          <w:rFonts w:ascii="Times New Roman" w:hAnsi="Times New Roman" w:cs="Times New Roman"/>
          <w:bCs/>
          <w:i/>
          <w:iCs/>
          <w:sz w:val="24"/>
          <w:szCs w:val="24"/>
          <w:u w:val="single"/>
        </w:rPr>
        <w:t xml:space="preserve">item </w:t>
      </w:r>
      <w:r w:rsidR="00346CF6">
        <w:rPr>
          <w:rFonts w:ascii="Times New Roman" w:hAnsi="Times New Roman" w:cs="Times New Roman"/>
          <w:bCs/>
          <w:i/>
          <w:sz w:val="24"/>
          <w:szCs w:val="24"/>
          <w:u w:val="single"/>
        </w:rPr>
        <w:t>688</w:t>
      </w:r>
      <w:r w:rsidR="00346CF6" w:rsidRPr="009E42AC">
        <w:rPr>
          <w:rFonts w:ascii="Times New Roman" w:hAnsi="Times New Roman" w:cs="Times New Roman"/>
          <w:bCs/>
          <w:iCs/>
          <w:sz w:val="24"/>
          <w:szCs w:val="24"/>
          <w:u w:val="single"/>
        </w:rPr>
        <w:t xml:space="preserve"> </w:t>
      </w:r>
      <w:r w:rsidRPr="009E42AC">
        <w:rPr>
          <w:rFonts w:ascii="Times New Roman" w:hAnsi="Times New Roman" w:cs="Times New Roman"/>
          <w:bCs/>
          <w:i/>
          <w:iCs/>
          <w:sz w:val="24"/>
          <w:szCs w:val="24"/>
          <w:u w:val="single"/>
        </w:rPr>
        <w:t xml:space="preserve">– </w:t>
      </w:r>
      <w:r w:rsidR="00B3759A" w:rsidRPr="00B3759A">
        <w:rPr>
          <w:rFonts w:ascii="Times New Roman" w:hAnsi="Times New Roman" w:cs="Times New Roman"/>
          <w:bCs/>
          <w:i/>
          <w:iCs/>
          <w:sz w:val="24"/>
          <w:szCs w:val="24"/>
          <w:u w:val="single"/>
        </w:rPr>
        <w:t>Investment Deal Teams Project Development Support Program</w:t>
      </w:r>
    </w:p>
    <w:p w14:paraId="4BAC1FBD" w14:textId="77777777" w:rsidR="00BA76F4" w:rsidRDefault="00BA76F4" w:rsidP="00BA76F4">
      <w:pPr>
        <w:tabs>
          <w:tab w:val="left" w:pos="5260"/>
        </w:tabs>
        <w:ind w:right="-46"/>
        <w:rPr>
          <w:rFonts w:ascii="Times New Roman" w:hAnsi="Times New Roman" w:cs="Times New Roman"/>
          <w:bCs/>
          <w:sz w:val="24"/>
          <w:szCs w:val="24"/>
        </w:rPr>
      </w:pPr>
    </w:p>
    <w:p w14:paraId="1860CA99" w14:textId="3B87C0DC" w:rsidR="00E53BC9" w:rsidRPr="00E53BC9" w:rsidRDefault="003C273D" w:rsidP="00E53BC9">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906EF2">
        <w:rPr>
          <w:rFonts w:ascii="Times New Roman" w:eastAsia="Times New Roman" w:hAnsi="Times New Roman" w:cs="Times New Roman"/>
          <w:sz w:val="24"/>
          <w:szCs w:val="24"/>
          <w:lang w:eastAsia="en-AU"/>
        </w:rPr>
        <w:t xml:space="preserve">able item </w:t>
      </w:r>
      <w:r w:rsidR="00346CF6">
        <w:rPr>
          <w:rFonts w:ascii="Times New Roman" w:eastAsia="Times New Roman" w:hAnsi="Times New Roman" w:cs="Times New Roman"/>
          <w:sz w:val="24"/>
          <w:szCs w:val="24"/>
          <w:lang w:eastAsia="en-AU"/>
        </w:rPr>
        <w:t xml:space="preserve">688 </w:t>
      </w:r>
      <w:r>
        <w:rPr>
          <w:rFonts w:ascii="Times New Roman" w:eastAsia="Times New Roman" w:hAnsi="Times New Roman" w:cs="Times New Roman"/>
          <w:sz w:val="24"/>
          <w:szCs w:val="24"/>
          <w:lang w:eastAsia="en-AU"/>
        </w:rPr>
        <w:t>establishes</w:t>
      </w:r>
      <w:r w:rsidRPr="00906EF2">
        <w:rPr>
          <w:rFonts w:ascii="Times New Roman" w:eastAsia="Times New Roman" w:hAnsi="Times New Roman" w:cs="Times New Roman"/>
          <w:sz w:val="24"/>
          <w:szCs w:val="24"/>
          <w:lang w:eastAsia="en-AU"/>
        </w:rPr>
        <w:t xml:space="preserve"> </w:t>
      </w:r>
      <w:r w:rsidR="00906EF2" w:rsidRPr="00906EF2">
        <w:rPr>
          <w:rFonts w:ascii="Times New Roman" w:eastAsia="Times New Roman" w:hAnsi="Times New Roman" w:cs="Times New Roman"/>
          <w:sz w:val="24"/>
          <w:szCs w:val="24"/>
          <w:lang w:eastAsia="en-AU"/>
        </w:rPr>
        <w:t xml:space="preserve">legislative authority for government spending </w:t>
      </w:r>
      <w:r w:rsidR="00E53BC9" w:rsidRPr="00E53BC9">
        <w:rPr>
          <w:rFonts w:ascii="Times New Roman" w:eastAsia="Times New Roman" w:hAnsi="Times New Roman" w:cs="Times New Roman"/>
          <w:sz w:val="24"/>
          <w:szCs w:val="24"/>
          <w:lang w:eastAsia="en-AU"/>
        </w:rPr>
        <w:t xml:space="preserve">on the Investment Deal Teams Project Development Support Program (the program) to facilitate Australia investment in projects located overseas, particularly in the Southeast Asia region. </w:t>
      </w:r>
    </w:p>
    <w:p w14:paraId="54490022" w14:textId="77777777" w:rsidR="00E53BC9" w:rsidRPr="00E53BC9" w:rsidRDefault="00E53BC9" w:rsidP="00E53BC9">
      <w:pPr>
        <w:rPr>
          <w:rFonts w:ascii="Times New Roman" w:eastAsia="Times New Roman" w:hAnsi="Times New Roman" w:cs="Times New Roman"/>
          <w:sz w:val="24"/>
          <w:szCs w:val="24"/>
          <w:lang w:eastAsia="en-AU"/>
        </w:rPr>
      </w:pPr>
    </w:p>
    <w:p w14:paraId="6941F1A0" w14:textId="647638BD" w:rsidR="00906EF2" w:rsidRPr="00906EF2" w:rsidRDefault="00E53BC9" w:rsidP="00E53BC9">
      <w:pPr>
        <w:rPr>
          <w:rFonts w:ascii="Times New Roman" w:eastAsia="Times New Roman" w:hAnsi="Times New Roman" w:cs="Times New Roman"/>
          <w:sz w:val="24"/>
          <w:szCs w:val="24"/>
          <w:lang w:eastAsia="en-AU"/>
        </w:rPr>
      </w:pPr>
      <w:r w:rsidRPr="00E53BC9">
        <w:rPr>
          <w:rFonts w:ascii="Times New Roman" w:eastAsia="Times New Roman" w:hAnsi="Times New Roman" w:cs="Times New Roman"/>
          <w:sz w:val="24"/>
          <w:szCs w:val="24"/>
          <w:lang w:eastAsia="en-AU"/>
        </w:rPr>
        <w:t>The program forms part of the broader $70.2 million Investment Deal Teams initiative</w:t>
      </w:r>
      <w:r w:rsidR="00910ABD">
        <w:rPr>
          <w:rFonts w:ascii="Times New Roman" w:eastAsia="Times New Roman" w:hAnsi="Times New Roman" w:cs="Times New Roman"/>
          <w:sz w:val="24"/>
          <w:szCs w:val="24"/>
          <w:lang w:eastAsia="en-AU"/>
        </w:rPr>
        <w:t xml:space="preserve"> </w:t>
      </w:r>
      <w:r w:rsidRPr="00E53BC9">
        <w:rPr>
          <w:rFonts w:ascii="Times New Roman" w:eastAsia="Times New Roman" w:hAnsi="Times New Roman" w:cs="Times New Roman"/>
          <w:sz w:val="24"/>
          <w:szCs w:val="24"/>
          <w:lang w:eastAsia="en-AU"/>
        </w:rPr>
        <w:t xml:space="preserve">in respond to the Government’s implementation of Recommendation 45 of the </w:t>
      </w:r>
      <w:r w:rsidRPr="004F757E">
        <w:rPr>
          <w:rFonts w:ascii="Times New Roman" w:eastAsia="Times New Roman" w:hAnsi="Times New Roman" w:cs="Times New Roman"/>
          <w:i/>
          <w:iCs/>
          <w:sz w:val="24"/>
          <w:szCs w:val="24"/>
          <w:lang w:eastAsia="en-AU"/>
        </w:rPr>
        <w:t>Invested: Southeast Asia Economic Strategy to 2040</w:t>
      </w:r>
      <w:r w:rsidRPr="00E53BC9">
        <w:rPr>
          <w:rFonts w:ascii="Times New Roman" w:eastAsia="Times New Roman" w:hAnsi="Times New Roman" w:cs="Times New Roman"/>
          <w:sz w:val="24"/>
          <w:szCs w:val="24"/>
          <w:lang w:eastAsia="en-AU"/>
        </w:rPr>
        <w:t xml:space="preserve"> (the Moore report)</w:t>
      </w:r>
      <w:r w:rsidR="00544038">
        <w:rPr>
          <w:rFonts w:ascii="Times New Roman" w:eastAsia="Times New Roman" w:hAnsi="Times New Roman" w:cs="Times New Roman"/>
          <w:sz w:val="24"/>
          <w:szCs w:val="24"/>
          <w:lang w:eastAsia="en-AU"/>
        </w:rPr>
        <w:t>.</w:t>
      </w:r>
    </w:p>
    <w:p w14:paraId="178B30DD" w14:textId="77777777" w:rsidR="00906EF2" w:rsidRPr="00906EF2" w:rsidRDefault="00906EF2" w:rsidP="00906EF2">
      <w:pPr>
        <w:ind w:left="360"/>
        <w:rPr>
          <w:rFonts w:ascii="Times New Roman" w:eastAsia="Times New Roman" w:hAnsi="Times New Roman" w:cs="Times New Roman"/>
          <w:sz w:val="24"/>
          <w:szCs w:val="24"/>
          <w:lang w:eastAsia="en-AU"/>
        </w:rPr>
      </w:pPr>
    </w:p>
    <w:p w14:paraId="51DE43DC" w14:textId="6087F527" w:rsidR="00906EF2" w:rsidRPr="00906EF2" w:rsidRDefault="00906EF2" w:rsidP="00906EF2">
      <w:pPr>
        <w:rPr>
          <w:rFonts w:ascii="Times New Roman" w:eastAsia="Times New Roman" w:hAnsi="Times New Roman" w:cs="Times New Roman"/>
          <w:sz w:val="24"/>
          <w:szCs w:val="24"/>
          <w:lang w:eastAsia="en-AU"/>
        </w:rPr>
      </w:pPr>
      <w:r w:rsidRPr="00906EF2">
        <w:rPr>
          <w:rFonts w:ascii="Times New Roman" w:eastAsia="Times New Roman" w:hAnsi="Times New Roman" w:cs="Times New Roman"/>
          <w:sz w:val="24"/>
          <w:szCs w:val="24"/>
          <w:lang w:eastAsia="en-AU"/>
        </w:rPr>
        <w:t xml:space="preserve">The objective of the </w:t>
      </w:r>
      <w:r w:rsidR="00E932B3">
        <w:rPr>
          <w:rFonts w:ascii="Times New Roman" w:eastAsia="Times New Roman" w:hAnsi="Times New Roman" w:cs="Times New Roman"/>
          <w:sz w:val="24"/>
          <w:szCs w:val="24"/>
          <w:lang w:eastAsia="en-AU"/>
        </w:rPr>
        <w:t>I</w:t>
      </w:r>
      <w:r w:rsidRPr="00906EF2">
        <w:rPr>
          <w:rFonts w:ascii="Times New Roman" w:eastAsia="Times New Roman" w:hAnsi="Times New Roman" w:cs="Times New Roman"/>
          <w:sz w:val="24"/>
          <w:szCs w:val="24"/>
          <w:lang w:eastAsia="en-AU"/>
        </w:rPr>
        <w:t xml:space="preserve">nvestment </w:t>
      </w:r>
      <w:r w:rsidR="00E932B3">
        <w:rPr>
          <w:rFonts w:ascii="Times New Roman" w:eastAsia="Times New Roman" w:hAnsi="Times New Roman" w:cs="Times New Roman"/>
          <w:sz w:val="24"/>
          <w:szCs w:val="24"/>
          <w:lang w:eastAsia="en-AU"/>
        </w:rPr>
        <w:t>D</w:t>
      </w:r>
      <w:r w:rsidRPr="00906EF2">
        <w:rPr>
          <w:rFonts w:ascii="Times New Roman" w:eastAsia="Times New Roman" w:hAnsi="Times New Roman" w:cs="Times New Roman"/>
          <w:sz w:val="24"/>
          <w:szCs w:val="24"/>
          <w:lang w:eastAsia="en-AU"/>
        </w:rPr>
        <w:t xml:space="preserve">eal </w:t>
      </w:r>
      <w:r w:rsidR="00E932B3">
        <w:rPr>
          <w:rFonts w:ascii="Times New Roman" w:eastAsia="Times New Roman" w:hAnsi="Times New Roman" w:cs="Times New Roman"/>
          <w:sz w:val="24"/>
          <w:szCs w:val="24"/>
          <w:lang w:eastAsia="en-AU"/>
        </w:rPr>
        <w:t>T</w:t>
      </w:r>
      <w:r w:rsidRPr="00906EF2">
        <w:rPr>
          <w:rFonts w:ascii="Times New Roman" w:eastAsia="Times New Roman" w:hAnsi="Times New Roman" w:cs="Times New Roman"/>
          <w:sz w:val="24"/>
          <w:szCs w:val="24"/>
          <w:lang w:eastAsia="en-AU"/>
        </w:rPr>
        <w:t xml:space="preserve">eams is to increase Australian investment in Southeast Asia. </w:t>
      </w:r>
      <w:r w:rsidR="00DA22D6">
        <w:rPr>
          <w:rFonts w:ascii="Times New Roman" w:eastAsia="Times New Roman" w:hAnsi="Times New Roman" w:cs="Times New Roman"/>
          <w:sz w:val="24"/>
          <w:szCs w:val="24"/>
          <w:lang w:eastAsia="en-AU"/>
        </w:rPr>
        <w:t xml:space="preserve">The Investment </w:t>
      </w:r>
      <w:r w:rsidRPr="00906EF2">
        <w:rPr>
          <w:rFonts w:ascii="Times New Roman" w:eastAsia="Times New Roman" w:hAnsi="Times New Roman" w:cs="Times New Roman"/>
          <w:sz w:val="24"/>
          <w:szCs w:val="24"/>
          <w:lang w:eastAsia="en-AU"/>
        </w:rPr>
        <w:t xml:space="preserve">Deal </w:t>
      </w:r>
      <w:r w:rsidR="00E932B3">
        <w:rPr>
          <w:rFonts w:ascii="Times New Roman" w:eastAsia="Times New Roman" w:hAnsi="Times New Roman" w:cs="Times New Roman"/>
          <w:sz w:val="24"/>
          <w:szCs w:val="24"/>
          <w:lang w:eastAsia="en-AU"/>
        </w:rPr>
        <w:t>T</w:t>
      </w:r>
      <w:r w:rsidRPr="00906EF2">
        <w:rPr>
          <w:rFonts w:ascii="Times New Roman" w:eastAsia="Times New Roman" w:hAnsi="Times New Roman" w:cs="Times New Roman"/>
          <w:sz w:val="24"/>
          <w:szCs w:val="24"/>
          <w:lang w:eastAsia="en-AU"/>
        </w:rPr>
        <w:t xml:space="preserve">eams would work with government and businesses across Australia and Southeast Asia to identify potential investment opportunities and support Australian institutional and corporate investors to assess and pursue these investment opportunities. </w:t>
      </w:r>
    </w:p>
    <w:p w14:paraId="56DE23E4" w14:textId="77777777" w:rsidR="00906EF2" w:rsidRPr="00906EF2" w:rsidRDefault="00906EF2" w:rsidP="004F757E">
      <w:pPr>
        <w:rPr>
          <w:rFonts w:ascii="Times New Roman" w:eastAsia="Times New Roman" w:hAnsi="Times New Roman" w:cs="Times New Roman"/>
          <w:sz w:val="24"/>
          <w:szCs w:val="24"/>
          <w:lang w:eastAsia="en-AU"/>
        </w:rPr>
      </w:pPr>
    </w:p>
    <w:p w14:paraId="73E58B4B" w14:textId="77777777" w:rsidR="003E148F" w:rsidRPr="003E148F" w:rsidRDefault="003E148F" w:rsidP="004F757E">
      <w:pPr>
        <w:rPr>
          <w:rFonts w:ascii="Times New Roman" w:eastAsia="Times New Roman" w:hAnsi="Times New Roman" w:cs="Times New Roman"/>
          <w:sz w:val="24"/>
          <w:szCs w:val="24"/>
          <w:lang w:eastAsia="en-AU"/>
        </w:rPr>
      </w:pPr>
      <w:r w:rsidRPr="003E148F">
        <w:rPr>
          <w:rFonts w:ascii="Times New Roman" w:eastAsia="Times New Roman" w:hAnsi="Times New Roman" w:cs="Times New Roman"/>
          <w:sz w:val="24"/>
          <w:szCs w:val="24"/>
          <w:lang w:eastAsia="en-AU"/>
        </w:rPr>
        <w:t>The program will be provided with $20.9 million over four years from 2023-24 to support the facilitation of Australian investment in projects located overseas by informing and supporting proponents of projects located overseas which have the potential for Australian investment and Australian investors in relation to investment opportunities located overseas.</w:t>
      </w:r>
    </w:p>
    <w:p w14:paraId="481DAEA9" w14:textId="77777777" w:rsidR="003E148F" w:rsidRPr="003E148F" w:rsidRDefault="003E148F" w:rsidP="004F757E">
      <w:pPr>
        <w:rPr>
          <w:rFonts w:ascii="Times New Roman" w:eastAsia="Times New Roman" w:hAnsi="Times New Roman" w:cs="Times New Roman"/>
          <w:sz w:val="24"/>
          <w:szCs w:val="24"/>
          <w:lang w:eastAsia="en-AU"/>
        </w:rPr>
      </w:pPr>
    </w:p>
    <w:p w14:paraId="46F6A216" w14:textId="78110BE3" w:rsidR="00906EF2" w:rsidRPr="00906EF2" w:rsidRDefault="003E148F" w:rsidP="004F757E">
      <w:pPr>
        <w:rPr>
          <w:rFonts w:ascii="Times New Roman" w:eastAsia="Times New Roman" w:hAnsi="Times New Roman" w:cs="Times New Roman"/>
          <w:sz w:val="24"/>
          <w:szCs w:val="24"/>
          <w:lang w:eastAsia="en-AU"/>
        </w:rPr>
      </w:pPr>
      <w:r w:rsidRPr="003E148F">
        <w:rPr>
          <w:rFonts w:ascii="Times New Roman" w:eastAsia="Times New Roman" w:hAnsi="Times New Roman" w:cs="Times New Roman"/>
          <w:sz w:val="24"/>
          <w:szCs w:val="24"/>
          <w:lang w:eastAsia="en-AU"/>
        </w:rPr>
        <w:t>The program will support the Investment Deal Teams to develop the pipeline of potential investment-ready projects for Australian business consideration. The program will be delivered by a managing contractor who will procure projects to facilitate Australian investment. Projects could include feasibility studies</w:t>
      </w:r>
      <w:r w:rsidR="005A0E37">
        <w:rPr>
          <w:rFonts w:ascii="Times New Roman" w:eastAsia="Times New Roman" w:hAnsi="Times New Roman" w:cs="Times New Roman"/>
          <w:sz w:val="24"/>
          <w:szCs w:val="24"/>
          <w:lang w:eastAsia="en-AU"/>
        </w:rPr>
        <w:t>,</w:t>
      </w:r>
      <w:r w:rsidRPr="003E148F">
        <w:rPr>
          <w:rFonts w:ascii="Times New Roman" w:eastAsia="Times New Roman" w:hAnsi="Times New Roman" w:cs="Times New Roman"/>
          <w:sz w:val="24"/>
          <w:szCs w:val="24"/>
          <w:lang w:eastAsia="en-AU"/>
        </w:rPr>
        <w:t xml:space="preserve"> commercial and legal advice</w:t>
      </w:r>
      <w:r w:rsidR="005A0E37">
        <w:rPr>
          <w:rFonts w:ascii="Times New Roman" w:eastAsia="Times New Roman" w:hAnsi="Times New Roman" w:cs="Times New Roman"/>
          <w:sz w:val="24"/>
          <w:szCs w:val="24"/>
          <w:lang w:eastAsia="en-AU"/>
        </w:rPr>
        <w:t>,</w:t>
      </w:r>
      <w:r w:rsidRPr="003E148F">
        <w:rPr>
          <w:rFonts w:ascii="Times New Roman" w:eastAsia="Times New Roman" w:hAnsi="Times New Roman" w:cs="Times New Roman"/>
          <w:sz w:val="24"/>
          <w:szCs w:val="24"/>
          <w:lang w:eastAsia="en-AU"/>
        </w:rPr>
        <w:t xml:space="preserve"> and advice to ensure compliance with gender, disability and social inclusion approaches and environmental safeguards. </w:t>
      </w:r>
    </w:p>
    <w:p w14:paraId="0B8BD2F7" w14:textId="77777777" w:rsidR="00BA76F4" w:rsidRPr="004F757E" w:rsidRDefault="00BA76F4" w:rsidP="004F757E">
      <w:pPr>
        <w:rPr>
          <w:rFonts w:ascii="Times New Roman" w:eastAsia="Times New Roman" w:hAnsi="Times New Roman" w:cs="Times New Roman"/>
          <w:sz w:val="24"/>
          <w:szCs w:val="24"/>
          <w:lang w:eastAsia="en-AU"/>
        </w:rPr>
      </w:pPr>
    </w:p>
    <w:p w14:paraId="0E28FCDD" w14:textId="77777777" w:rsidR="00BA76F4" w:rsidRPr="00F550BD" w:rsidRDefault="00BA76F4" w:rsidP="00BA76F4">
      <w:pPr>
        <w:ind w:right="-46"/>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5579676D" w14:textId="77777777" w:rsidR="00BA76F4" w:rsidRDefault="00BA76F4" w:rsidP="00BA76F4">
      <w:pPr>
        <w:tabs>
          <w:tab w:val="left" w:pos="5260"/>
        </w:tabs>
        <w:ind w:right="-46"/>
        <w:rPr>
          <w:rFonts w:ascii="Times New Roman" w:hAnsi="Times New Roman" w:cs="Times New Roman"/>
          <w:bCs/>
          <w:sz w:val="24"/>
          <w:szCs w:val="24"/>
        </w:rPr>
      </w:pPr>
    </w:p>
    <w:p w14:paraId="7AA6F52E" w14:textId="74CA6CC2" w:rsidR="0036272E" w:rsidRPr="00D96F04" w:rsidRDefault="00D07541" w:rsidP="00D07541">
      <w:pPr>
        <w:tabs>
          <w:tab w:val="left" w:pos="5260"/>
        </w:tabs>
        <w:ind w:right="-46"/>
        <w:rPr>
          <w:rFonts w:ascii="Times New Roman" w:hAnsi="Times New Roman" w:cs="Times New Roman"/>
          <w:bCs/>
          <w:iCs/>
          <w:sz w:val="24"/>
          <w:szCs w:val="24"/>
        </w:rPr>
      </w:pPr>
      <w:r>
        <w:rPr>
          <w:rFonts w:ascii="Times New Roman" w:hAnsi="Times New Roman" w:cs="Times New Roman"/>
          <w:bCs/>
          <w:sz w:val="24"/>
          <w:szCs w:val="24"/>
        </w:rPr>
        <w:t>T</w:t>
      </w:r>
      <w:r w:rsidR="004B2AC2" w:rsidRPr="004B2AC2">
        <w:rPr>
          <w:rFonts w:ascii="Times New Roman" w:hAnsi="Times New Roman" w:cs="Times New Roman"/>
          <w:bCs/>
          <w:sz w:val="24"/>
          <w:szCs w:val="24"/>
        </w:rPr>
        <w:t>able item</w:t>
      </w:r>
      <w:r>
        <w:rPr>
          <w:rFonts w:ascii="Times New Roman" w:hAnsi="Times New Roman" w:cs="Times New Roman"/>
          <w:bCs/>
          <w:sz w:val="24"/>
          <w:szCs w:val="24"/>
        </w:rPr>
        <w:t xml:space="preserve"> 688</w:t>
      </w:r>
      <w:r w:rsidR="004B2AC2" w:rsidRPr="004B2AC2">
        <w:rPr>
          <w:rFonts w:ascii="Times New Roman" w:hAnsi="Times New Roman" w:cs="Times New Roman"/>
          <w:bCs/>
          <w:sz w:val="24"/>
          <w:szCs w:val="24"/>
        </w:rPr>
        <w:t xml:space="preserve"> engages the following rights:</w:t>
      </w:r>
    </w:p>
    <w:p w14:paraId="7218E888" w14:textId="2654B770" w:rsidR="0036272E" w:rsidRPr="00A43674" w:rsidRDefault="0036272E" w:rsidP="0036272E">
      <w:pPr>
        <w:numPr>
          <w:ilvl w:val="0"/>
          <w:numId w:val="25"/>
        </w:numPr>
        <w:ind w:right="-46"/>
        <w:rPr>
          <w:rFonts w:ascii="Times New Roman" w:hAnsi="Times New Roman" w:cs="Times New Roman"/>
          <w:bCs/>
          <w:iCs/>
          <w:sz w:val="24"/>
          <w:szCs w:val="24"/>
        </w:rPr>
      </w:pPr>
      <w:r w:rsidRPr="00CE07E9">
        <w:rPr>
          <w:rFonts w:ascii="Times New Roman" w:hAnsi="Times New Roman" w:cs="Times New Roman"/>
          <w:bCs/>
          <w:iCs/>
          <w:sz w:val="24"/>
          <w:szCs w:val="24"/>
        </w:rPr>
        <w:t>the right to work and rights at work</w:t>
      </w:r>
      <w:r w:rsidR="00F70546">
        <w:rPr>
          <w:rFonts w:ascii="Times New Roman" w:hAnsi="Times New Roman" w:cs="Times New Roman"/>
          <w:bCs/>
          <w:iCs/>
          <w:sz w:val="24"/>
          <w:szCs w:val="24"/>
        </w:rPr>
        <w:t xml:space="preserve"> – A</w:t>
      </w:r>
      <w:r w:rsidRPr="00CE07E9">
        <w:rPr>
          <w:rFonts w:ascii="Times New Roman" w:hAnsi="Times New Roman" w:cs="Times New Roman"/>
          <w:bCs/>
          <w:sz w:val="24"/>
          <w:szCs w:val="24"/>
        </w:rPr>
        <w:t xml:space="preserve">rticle 6 of the </w:t>
      </w:r>
      <w:r w:rsidRPr="00CE07E9">
        <w:rPr>
          <w:rFonts w:ascii="Times New Roman" w:hAnsi="Times New Roman" w:cs="Times New Roman"/>
          <w:iCs/>
          <w:sz w:val="24"/>
          <w:szCs w:val="24"/>
        </w:rPr>
        <w:t>ICESCR</w:t>
      </w:r>
      <w:r w:rsidRPr="00CE07E9">
        <w:rPr>
          <w:rFonts w:ascii="Times New Roman" w:hAnsi="Times New Roman" w:cs="Times New Roman"/>
          <w:bCs/>
          <w:iCs/>
          <w:sz w:val="24"/>
          <w:szCs w:val="24"/>
        </w:rPr>
        <w:t xml:space="preserve">, read with Article 1 of the </w:t>
      </w:r>
      <w:r w:rsidRPr="00CE07E9">
        <w:rPr>
          <w:rFonts w:ascii="Times New Roman" w:hAnsi="Times New Roman" w:cs="Times New Roman"/>
          <w:bCs/>
          <w:sz w:val="24"/>
          <w:szCs w:val="24"/>
        </w:rPr>
        <w:t>International Labour Organization’s Convention concerning Employment Policy</w:t>
      </w:r>
      <w:r w:rsidRPr="00CE07E9">
        <w:rPr>
          <w:rFonts w:ascii="Times New Roman" w:hAnsi="Times New Roman" w:cs="Times New Roman"/>
          <w:bCs/>
          <w:iCs/>
          <w:sz w:val="24"/>
          <w:szCs w:val="24"/>
        </w:rPr>
        <w:t xml:space="preserve"> (</w:t>
      </w:r>
      <w:r w:rsidRPr="00CE07E9">
        <w:rPr>
          <w:rFonts w:ascii="Times New Roman" w:hAnsi="Times New Roman" w:cs="Times New Roman"/>
          <w:iCs/>
          <w:sz w:val="24"/>
          <w:szCs w:val="24"/>
        </w:rPr>
        <w:t>ILO Convention 122</w:t>
      </w:r>
      <w:r w:rsidRPr="00CE07E9">
        <w:rPr>
          <w:rFonts w:ascii="Times New Roman" w:hAnsi="Times New Roman" w:cs="Times New Roman"/>
          <w:bCs/>
          <w:iCs/>
          <w:sz w:val="24"/>
          <w:szCs w:val="24"/>
        </w:rPr>
        <w:t xml:space="preserve">); </w:t>
      </w:r>
      <w:r w:rsidR="003E7902">
        <w:rPr>
          <w:rFonts w:ascii="Times New Roman" w:hAnsi="Times New Roman" w:cs="Times New Roman"/>
          <w:bCs/>
          <w:iCs/>
          <w:sz w:val="24"/>
          <w:szCs w:val="24"/>
        </w:rPr>
        <w:t>and</w:t>
      </w:r>
    </w:p>
    <w:p w14:paraId="6006A9A4" w14:textId="09BB0771" w:rsidR="0036272E" w:rsidRPr="005A0E37" w:rsidRDefault="0036272E" w:rsidP="00887595">
      <w:pPr>
        <w:numPr>
          <w:ilvl w:val="0"/>
          <w:numId w:val="25"/>
        </w:numPr>
        <w:ind w:right="-46"/>
        <w:rPr>
          <w:rFonts w:ascii="Times New Roman" w:hAnsi="Times New Roman" w:cs="Times New Roman"/>
          <w:bCs/>
          <w:i/>
          <w:iCs/>
          <w:sz w:val="24"/>
          <w:szCs w:val="24"/>
        </w:rPr>
      </w:pPr>
      <w:r w:rsidRPr="005F221B">
        <w:rPr>
          <w:rFonts w:ascii="Times New Roman" w:hAnsi="Times New Roman" w:cs="Times New Roman"/>
          <w:bCs/>
          <w:iCs/>
          <w:sz w:val="24"/>
          <w:szCs w:val="24"/>
        </w:rPr>
        <w:t>the right to equality and non-discrimination</w:t>
      </w:r>
      <w:r w:rsidR="00F70546">
        <w:rPr>
          <w:rFonts w:ascii="Times New Roman" w:hAnsi="Times New Roman" w:cs="Times New Roman"/>
          <w:bCs/>
          <w:iCs/>
          <w:sz w:val="24"/>
          <w:szCs w:val="24"/>
        </w:rPr>
        <w:t xml:space="preserve"> – A</w:t>
      </w:r>
      <w:r w:rsidRPr="005F221B">
        <w:rPr>
          <w:rFonts w:ascii="Times New Roman" w:hAnsi="Times New Roman" w:cs="Times New Roman"/>
          <w:bCs/>
          <w:iCs/>
          <w:sz w:val="24"/>
          <w:szCs w:val="24"/>
        </w:rPr>
        <w:t>rticle 2 of the ICESCR</w:t>
      </w:r>
      <w:r w:rsidR="00642FFF">
        <w:rPr>
          <w:rFonts w:ascii="Times New Roman" w:hAnsi="Times New Roman" w:cs="Times New Roman"/>
          <w:bCs/>
          <w:iCs/>
          <w:sz w:val="24"/>
          <w:szCs w:val="24"/>
        </w:rPr>
        <w:t>,</w:t>
      </w:r>
      <w:r w:rsidRPr="005F221B">
        <w:rPr>
          <w:rFonts w:ascii="Times New Roman" w:hAnsi="Times New Roman" w:cs="Times New Roman"/>
          <w:bCs/>
          <w:iCs/>
          <w:sz w:val="24"/>
          <w:szCs w:val="24"/>
        </w:rPr>
        <w:t xml:space="preserve"> Article 26 of the </w:t>
      </w:r>
      <w:r w:rsidRPr="005F221B">
        <w:rPr>
          <w:rFonts w:ascii="Times New Roman" w:hAnsi="Times New Roman" w:cs="Times New Roman"/>
          <w:iCs/>
          <w:sz w:val="24"/>
          <w:szCs w:val="24"/>
        </w:rPr>
        <w:t>ICCPR</w:t>
      </w:r>
      <w:r w:rsidR="00642FFF">
        <w:rPr>
          <w:rFonts w:ascii="Times New Roman" w:hAnsi="Times New Roman" w:cs="Times New Roman"/>
          <w:bCs/>
          <w:iCs/>
          <w:sz w:val="24"/>
          <w:szCs w:val="24"/>
        </w:rPr>
        <w:t>,</w:t>
      </w:r>
      <w:r w:rsidRPr="005F221B">
        <w:rPr>
          <w:rFonts w:ascii="Times New Roman" w:hAnsi="Times New Roman" w:cs="Times New Roman"/>
          <w:bCs/>
          <w:iCs/>
          <w:sz w:val="24"/>
          <w:szCs w:val="24"/>
        </w:rPr>
        <w:t xml:space="preserve"> Articles 2,</w:t>
      </w:r>
      <w:r w:rsidR="00295BE8">
        <w:rPr>
          <w:rFonts w:ascii="Times New Roman" w:hAnsi="Times New Roman" w:cs="Times New Roman"/>
          <w:bCs/>
          <w:iCs/>
          <w:sz w:val="24"/>
          <w:szCs w:val="24"/>
        </w:rPr>
        <w:t xml:space="preserve"> </w:t>
      </w:r>
      <w:r w:rsidRPr="005F221B">
        <w:rPr>
          <w:rFonts w:ascii="Times New Roman" w:hAnsi="Times New Roman" w:cs="Times New Roman"/>
          <w:bCs/>
          <w:iCs/>
          <w:sz w:val="24"/>
          <w:szCs w:val="24"/>
        </w:rPr>
        <w:t>3 and 4 of the</w:t>
      </w:r>
      <w:r w:rsidRPr="005F221B">
        <w:rPr>
          <w:rFonts w:ascii="Times New Roman" w:hAnsi="Times New Roman" w:cs="Times New Roman"/>
          <w:bCs/>
          <w:sz w:val="24"/>
          <w:szCs w:val="24"/>
        </w:rPr>
        <w:t xml:space="preserve"> </w:t>
      </w:r>
      <w:r w:rsidRPr="005F221B">
        <w:rPr>
          <w:rFonts w:ascii="Times New Roman" w:hAnsi="Times New Roman" w:cs="Times New Roman"/>
          <w:iCs/>
          <w:sz w:val="24"/>
          <w:szCs w:val="24"/>
        </w:rPr>
        <w:t>CEDAW</w:t>
      </w:r>
      <w:r w:rsidRPr="005F221B">
        <w:rPr>
          <w:rFonts w:ascii="Times New Roman" w:hAnsi="Times New Roman" w:cs="Times New Roman"/>
          <w:bCs/>
          <w:iCs/>
          <w:sz w:val="24"/>
          <w:szCs w:val="24"/>
        </w:rPr>
        <w:t xml:space="preserve"> and Articles 1, 2 and 5 of the </w:t>
      </w:r>
      <w:r w:rsidRPr="005F221B">
        <w:rPr>
          <w:rFonts w:ascii="Times New Roman" w:hAnsi="Times New Roman" w:cs="Times New Roman"/>
          <w:iCs/>
          <w:sz w:val="24"/>
          <w:szCs w:val="24"/>
        </w:rPr>
        <w:t>CERD</w:t>
      </w:r>
      <w:r w:rsidR="003E7902">
        <w:rPr>
          <w:rFonts w:ascii="Times New Roman" w:hAnsi="Times New Roman" w:cs="Times New Roman"/>
          <w:iCs/>
          <w:sz w:val="24"/>
          <w:szCs w:val="24"/>
        </w:rPr>
        <w:t>.</w:t>
      </w:r>
    </w:p>
    <w:p w14:paraId="2EA2F47F" w14:textId="77777777" w:rsidR="004B2AC2" w:rsidRDefault="004B2AC2" w:rsidP="00BA76F4">
      <w:pPr>
        <w:tabs>
          <w:tab w:val="left" w:pos="5260"/>
        </w:tabs>
        <w:ind w:right="-46"/>
        <w:rPr>
          <w:rFonts w:ascii="Times New Roman" w:hAnsi="Times New Roman" w:cs="Times New Roman"/>
          <w:bCs/>
          <w:sz w:val="24"/>
          <w:szCs w:val="24"/>
        </w:rPr>
      </w:pPr>
    </w:p>
    <w:p w14:paraId="682172B4" w14:textId="77777777" w:rsidR="00146633" w:rsidRPr="00146633" w:rsidRDefault="00146633" w:rsidP="006007DF">
      <w:pPr>
        <w:keepNext/>
        <w:tabs>
          <w:tab w:val="left" w:pos="5260"/>
        </w:tabs>
        <w:ind w:right="-45"/>
        <w:rPr>
          <w:rFonts w:ascii="Times New Roman" w:hAnsi="Times New Roman" w:cs="Times New Roman"/>
          <w:bCs/>
          <w:i/>
          <w:iCs/>
          <w:sz w:val="24"/>
          <w:szCs w:val="24"/>
          <w:u w:val="single"/>
        </w:rPr>
      </w:pPr>
      <w:r w:rsidRPr="00146633">
        <w:rPr>
          <w:rFonts w:ascii="Times New Roman" w:hAnsi="Times New Roman" w:cs="Times New Roman"/>
          <w:bCs/>
          <w:i/>
          <w:iCs/>
          <w:sz w:val="24"/>
          <w:szCs w:val="24"/>
          <w:u w:val="single"/>
        </w:rPr>
        <w:lastRenderedPageBreak/>
        <w:t>Right to work and the rights at work</w:t>
      </w:r>
    </w:p>
    <w:p w14:paraId="3D5E2CD5" w14:textId="77777777" w:rsidR="002E13D4" w:rsidRDefault="002E13D4" w:rsidP="006007DF">
      <w:pPr>
        <w:keepNext/>
        <w:tabs>
          <w:tab w:val="left" w:pos="5260"/>
        </w:tabs>
        <w:ind w:right="-45"/>
        <w:rPr>
          <w:rFonts w:ascii="Times New Roman" w:hAnsi="Times New Roman" w:cs="Times New Roman"/>
          <w:bCs/>
          <w:sz w:val="24"/>
          <w:szCs w:val="24"/>
        </w:rPr>
      </w:pPr>
    </w:p>
    <w:p w14:paraId="0253DDE2" w14:textId="0D1A2901" w:rsidR="0057556A" w:rsidRPr="00C52AA7" w:rsidRDefault="0057556A" w:rsidP="0057556A">
      <w:pPr>
        <w:tabs>
          <w:tab w:val="left" w:pos="5260"/>
        </w:tabs>
        <w:ind w:right="-46"/>
        <w:rPr>
          <w:rFonts w:ascii="Times New Roman" w:hAnsi="Times New Roman" w:cs="Times New Roman"/>
          <w:bCs/>
          <w:sz w:val="24"/>
          <w:szCs w:val="24"/>
        </w:rPr>
      </w:pPr>
      <w:r w:rsidRPr="00C52AA7">
        <w:rPr>
          <w:rFonts w:ascii="Times New Roman" w:hAnsi="Times New Roman" w:cs="Times New Roman"/>
          <w:bCs/>
          <w:sz w:val="24"/>
          <w:szCs w:val="24"/>
        </w:rPr>
        <w:t xml:space="preserve">Article 6 of ICESCR </w:t>
      </w:r>
      <w:r>
        <w:rPr>
          <w:rFonts w:ascii="Times New Roman" w:hAnsi="Times New Roman" w:cs="Times New Roman"/>
          <w:bCs/>
          <w:sz w:val="24"/>
          <w:szCs w:val="24"/>
        </w:rPr>
        <w:t>state</w:t>
      </w:r>
      <w:r w:rsidRPr="00C52AA7">
        <w:rPr>
          <w:rFonts w:ascii="Times New Roman" w:hAnsi="Times New Roman" w:cs="Times New Roman"/>
          <w:bCs/>
          <w:sz w:val="24"/>
          <w:szCs w:val="24"/>
        </w:rPr>
        <w:t>s that State</w:t>
      </w:r>
      <w:r w:rsidR="00295BE8">
        <w:rPr>
          <w:rFonts w:ascii="Times New Roman" w:hAnsi="Times New Roman" w:cs="Times New Roman"/>
          <w:bCs/>
          <w:sz w:val="24"/>
          <w:szCs w:val="24"/>
        </w:rPr>
        <w:t>s</w:t>
      </w:r>
      <w:r w:rsidRPr="00C52AA7">
        <w:rPr>
          <w:rFonts w:ascii="Times New Roman" w:hAnsi="Times New Roman" w:cs="Times New Roman"/>
          <w:bCs/>
          <w:sz w:val="24"/>
          <w:szCs w:val="24"/>
        </w:rPr>
        <w:t xml:space="preserve"> Parties will recognise the right to work, which includes the right of everyone to the opportunity to gain their living by work which is freely chosen or </w:t>
      </w:r>
      <w:proofErr w:type="gramStart"/>
      <w:r w:rsidRPr="00C52AA7">
        <w:rPr>
          <w:rFonts w:ascii="Times New Roman" w:hAnsi="Times New Roman" w:cs="Times New Roman"/>
          <w:bCs/>
          <w:sz w:val="24"/>
          <w:szCs w:val="24"/>
        </w:rPr>
        <w:t>accepted, and</w:t>
      </w:r>
      <w:proofErr w:type="gramEnd"/>
      <w:r w:rsidRPr="00C52AA7">
        <w:rPr>
          <w:rFonts w:ascii="Times New Roman" w:hAnsi="Times New Roman" w:cs="Times New Roman"/>
          <w:bCs/>
          <w:sz w:val="24"/>
          <w:szCs w:val="24"/>
        </w:rPr>
        <w:t xml:space="preserve"> will take appropriate steps to safeguard this right. The right to work also provides that the labour market is open to everyone without discrimination (including that work be physically accessible for people with disability). </w:t>
      </w:r>
    </w:p>
    <w:p w14:paraId="6673CB84" w14:textId="77777777" w:rsidR="0057556A" w:rsidRPr="00C52AA7" w:rsidRDefault="0057556A" w:rsidP="0057556A">
      <w:pPr>
        <w:tabs>
          <w:tab w:val="left" w:pos="5260"/>
        </w:tabs>
        <w:ind w:right="-46"/>
        <w:rPr>
          <w:rFonts w:ascii="Times New Roman" w:hAnsi="Times New Roman" w:cs="Times New Roman"/>
          <w:bCs/>
          <w:sz w:val="24"/>
          <w:szCs w:val="24"/>
        </w:rPr>
      </w:pPr>
    </w:p>
    <w:p w14:paraId="03536B70" w14:textId="77777777" w:rsidR="0057556A" w:rsidRDefault="0057556A" w:rsidP="0057556A">
      <w:pPr>
        <w:tabs>
          <w:tab w:val="left" w:pos="5260"/>
        </w:tabs>
        <w:ind w:right="-46"/>
        <w:rPr>
          <w:rFonts w:ascii="Times New Roman" w:hAnsi="Times New Roman" w:cs="Times New Roman"/>
          <w:bCs/>
          <w:sz w:val="24"/>
          <w:szCs w:val="24"/>
        </w:rPr>
      </w:pPr>
      <w:r w:rsidRPr="00C52AA7">
        <w:rPr>
          <w:rFonts w:ascii="Times New Roman" w:hAnsi="Times New Roman" w:cs="Times New Roman"/>
          <w:bCs/>
          <w:sz w:val="24"/>
          <w:szCs w:val="24"/>
        </w:rPr>
        <w:t xml:space="preserve">Article 1 of the ILO Convention 122 provides that ‘each Member shall declare and pursue, as a major goal, an active policy designed to promote full, productive and freely chosen employment’. </w:t>
      </w:r>
    </w:p>
    <w:p w14:paraId="4D2AE9B0" w14:textId="77777777" w:rsidR="0057556A" w:rsidRDefault="0057556A" w:rsidP="006007DF">
      <w:pPr>
        <w:keepNext/>
        <w:tabs>
          <w:tab w:val="left" w:pos="5260"/>
        </w:tabs>
        <w:ind w:right="-45"/>
        <w:rPr>
          <w:rFonts w:ascii="Times New Roman" w:hAnsi="Times New Roman" w:cs="Times New Roman"/>
          <w:bCs/>
          <w:sz w:val="24"/>
          <w:szCs w:val="24"/>
        </w:rPr>
      </w:pPr>
    </w:p>
    <w:p w14:paraId="663A59A0" w14:textId="7708177F" w:rsidR="00146633" w:rsidRPr="00146633" w:rsidRDefault="00146633" w:rsidP="00146633">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Southeast Asia is a centre of </w:t>
      </w:r>
      <w:r w:rsidR="007C0714">
        <w:rPr>
          <w:rFonts w:ascii="Times New Roman" w:hAnsi="Times New Roman" w:cs="Times New Roman"/>
          <w:bCs/>
          <w:sz w:val="24"/>
          <w:szCs w:val="24"/>
        </w:rPr>
        <w:t>economic</w:t>
      </w:r>
      <w:r w:rsidRPr="00146633">
        <w:rPr>
          <w:rFonts w:ascii="Times New Roman" w:hAnsi="Times New Roman" w:cs="Times New Roman"/>
          <w:bCs/>
          <w:sz w:val="24"/>
          <w:szCs w:val="24"/>
        </w:rPr>
        <w:t xml:space="preserve"> activity and business, and one of the fastest-growing regions in the world. The region will see one of the most dramatic economic transformations of the 21st century. Population growth, increasing large and affluent middle classes, and urbanisation trends will create growing demand for greater investment and a wider range of goods, services and skills. Greater integration with the dynamic markets of Southeast Asia will ultimately help deliver business development opportunities and jobs for Australians. </w:t>
      </w:r>
    </w:p>
    <w:p w14:paraId="1B1CD9DB" w14:textId="77777777" w:rsidR="002E13D4" w:rsidRPr="00146633" w:rsidRDefault="002E13D4" w:rsidP="00146633">
      <w:pPr>
        <w:tabs>
          <w:tab w:val="left" w:pos="5260"/>
        </w:tabs>
        <w:ind w:right="-46"/>
        <w:rPr>
          <w:rFonts w:ascii="Times New Roman" w:hAnsi="Times New Roman" w:cs="Times New Roman"/>
          <w:bCs/>
          <w:sz w:val="24"/>
          <w:szCs w:val="24"/>
        </w:rPr>
      </w:pPr>
    </w:p>
    <w:p w14:paraId="3106F3C3" w14:textId="67193D56" w:rsidR="00146633" w:rsidRPr="00146633" w:rsidRDefault="00146633" w:rsidP="00146633">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Australian businesses are underrepresented in Southeast Asia. </w:t>
      </w:r>
      <w:r w:rsidR="001B2B32">
        <w:rPr>
          <w:rFonts w:ascii="Times New Roman" w:hAnsi="Times New Roman" w:cs="Times New Roman"/>
          <w:bCs/>
          <w:sz w:val="24"/>
          <w:szCs w:val="24"/>
        </w:rPr>
        <w:t>Table item 688</w:t>
      </w:r>
      <w:r w:rsidRPr="00146633">
        <w:rPr>
          <w:rFonts w:ascii="Times New Roman" w:hAnsi="Times New Roman" w:cs="Times New Roman"/>
          <w:bCs/>
          <w:sz w:val="24"/>
          <w:szCs w:val="24"/>
        </w:rPr>
        <w:t xml:space="preserve"> engages with the right to work by increasing the opportunities for Australian businesses to enter or expand their operations in Southeast Asia. The develop</w:t>
      </w:r>
      <w:r w:rsidR="000876D2">
        <w:rPr>
          <w:rFonts w:ascii="Times New Roman" w:hAnsi="Times New Roman" w:cs="Times New Roman"/>
          <w:bCs/>
          <w:sz w:val="24"/>
          <w:szCs w:val="24"/>
        </w:rPr>
        <w:t>ment</w:t>
      </w:r>
      <w:r w:rsidRPr="00146633">
        <w:rPr>
          <w:rFonts w:ascii="Times New Roman" w:hAnsi="Times New Roman" w:cs="Times New Roman"/>
          <w:bCs/>
          <w:sz w:val="24"/>
          <w:szCs w:val="24"/>
        </w:rPr>
        <w:t xml:space="preserve"> and expansion of Australian businesses helps create new jobs that will </w:t>
      </w:r>
      <w:r w:rsidR="000876D2">
        <w:rPr>
          <w:rFonts w:ascii="Times New Roman" w:hAnsi="Times New Roman" w:cs="Times New Roman"/>
          <w:bCs/>
          <w:sz w:val="24"/>
          <w:szCs w:val="24"/>
        </w:rPr>
        <w:t>assist</w:t>
      </w:r>
      <w:r w:rsidRPr="00146633">
        <w:rPr>
          <w:rFonts w:ascii="Times New Roman" w:hAnsi="Times New Roman" w:cs="Times New Roman"/>
          <w:bCs/>
          <w:sz w:val="24"/>
          <w:szCs w:val="24"/>
        </w:rPr>
        <w:t xml:space="preserve"> people in Australia and Southeast Asia</w:t>
      </w:r>
      <w:r w:rsidR="000876D2">
        <w:rPr>
          <w:rFonts w:ascii="Times New Roman" w:hAnsi="Times New Roman" w:cs="Times New Roman"/>
          <w:bCs/>
          <w:sz w:val="24"/>
          <w:szCs w:val="24"/>
        </w:rPr>
        <w:t xml:space="preserve"> to access the right to work</w:t>
      </w:r>
      <w:r w:rsidRPr="00146633">
        <w:rPr>
          <w:rFonts w:ascii="Times New Roman" w:hAnsi="Times New Roman" w:cs="Times New Roman"/>
          <w:bCs/>
          <w:sz w:val="24"/>
          <w:szCs w:val="24"/>
        </w:rPr>
        <w:t>.</w:t>
      </w:r>
    </w:p>
    <w:p w14:paraId="39B2E05C" w14:textId="77777777" w:rsidR="002E13D4" w:rsidRDefault="002E13D4" w:rsidP="00146633">
      <w:pPr>
        <w:tabs>
          <w:tab w:val="left" w:pos="5260"/>
        </w:tabs>
        <w:ind w:right="-46"/>
        <w:rPr>
          <w:rFonts w:ascii="Times New Roman" w:hAnsi="Times New Roman" w:cs="Times New Roman"/>
          <w:bCs/>
          <w:i/>
          <w:iCs/>
          <w:sz w:val="24"/>
          <w:szCs w:val="24"/>
        </w:rPr>
      </w:pPr>
    </w:p>
    <w:p w14:paraId="72C24299" w14:textId="7DFBA341" w:rsidR="00146633" w:rsidRPr="00146633" w:rsidRDefault="00146633" w:rsidP="00146633">
      <w:pPr>
        <w:tabs>
          <w:tab w:val="left" w:pos="5260"/>
        </w:tabs>
        <w:ind w:right="-46"/>
        <w:rPr>
          <w:rFonts w:ascii="Times New Roman" w:hAnsi="Times New Roman" w:cs="Times New Roman"/>
          <w:bCs/>
          <w:i/>
          <w:iCs/>
          <w:sz w:val="24"/>
          <w:szCs w:val="24"/>
          <w:u w:val="single"/>
        </w:rPr>
      </w:pPr>
      <w:r w:rsidRPr="00146633">
        <w:rPr>
          <w:rFonts w:ascii="Times New Roman" w:hAnsi="Times New Roman" w:cs="Times New Roman"/>
          <w:bCs/>
          <w:i/>
          <w:iCs/>
          <w:sz w:val="24"/>
          <w:szCs w:val="24"/>
          <w:u w:val="single"/>
        </w:rPr>
        <w:t>Right to equality and non-discrimination</w:t>
      </w:r>
    </w:p>
    <w:p w14:paraId="65F2E58F" w14:textId="77777777" w:rsidR="002E13D4" w:rsidRDefault="002E13D4" w:rsidP="00146633">
      <w:pPr>
        <w:tabs>
          <w:tab w:val="left" w:pos="5260"/>
        </w:tabs>
        <w:ind w:right="-46"/>
        <w:rPr>
          <w:rFonts w:ascii="Times New Roman" w:hAnsi="Times New Roman" w:cs="Times New Roman"/>
          <w:bCs/>
          <w:sz w:val="24"/>
          <w:szCs w:val="24"/>
        </w:rPr>
      </w:pPr>
    </w:p>
    <w:p w14:paraId="647033B6" w14:textId="4E52EA6D" w:rsidR="002C29C0" w:rsidRDefault="002C29C0" w:rsidP="002C29C0">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Article 2(2) of the ICESCR and </w:t>
      </w:r>
      <w:r w:rsidR="00E651EA">
        <w:rPr>
          <w:rFonts w:ascii="Times New Roman" w:hAnsi="Times New Roman" w:cs="Times New Roman"/>
          <w:bCs/>
          <w:sz w:val="24"/>
          <w:szCs w:val="24"/>
        </w:rPr>
        <w:t>A</w:t>
      </w:r>
      <w:r w:rsidRPr="00146633">
        <w:rPr>
          <w:rFonts w:ascii="Times New Roman" w:hAnsi="Times New Roman" w:cs="Times New Roman"/>
          <w:bCs/>
          <w:sz w:val="24"/>
          <w:szCs w:val="24"/>
        </w:rPr>
        <w:t xml:space="preserve">rticle 26 of the ICCPR </w:t>
      </w:r>
      <w:r>
        <w:rPr>
          <w:rFonts w:ascii="Times New Roman" w:hAnsi="Times New Roman" w:cs="Times New Roman"/>
          <w:bCs/>
          <w:sz w:val="24"/>
          <w:szCs w:val="24"/>
        </w:rPr>
        <w:t>state that rights will be exercised without discrimination of any kind on any ground including race, colour, sex</w:t>
      </w:r>
      <w:r w:rsidRPr="00146633">
        <w:rPr>
          <w:rFonts w:ascii="Times New Roman" w:hAnsi="Times New Roman" w:cs="Times New Roman"/>
          <w:bCs/>
          <w:sz w:val="24"/>
          <w:szCs w:val="24"/>
        </w:rPr>
        <w:t xml:space="preserve"> </w:t>
      </w:r>
      <w:r>
        <w:rPr>
          <w:rFonts w:ascii="Times New Roman" w:hAnsi="Times New Roman" w:cs="Times New Roman"/>
          <w:bCs/>
          <w:sz w:val="24"/>
          <w:szCs w:val="24"/>
        </w:rPr>
        <w:t xml:space="preserve">and other status. </w:t>
      </w:r>
      <w:r w:rsidRPr="00146633">
        <w:rPr>
          <w:rFonts w:ascii="Times New Roman" w:hAnsi="Times New Roman" w:cs="Times New Roman"/>
          <w:bCs/>
          <w:sz w:val="24"/>
          <w:szCs w:val="24"/>
        </w:rPr>
        <w:t xml:space="preserve">Equality affirms that all human beings are born free and equal. Equality presupposes that all individuals have the same rights and deserve the same level of respect. All people have the right to be treated equally. </w:t>
      </w:r>
    </w:p>
    <w:p w14:paraId="52054B5D" w14:textId="77777777" w:rsidR="002C29C0" w:rsidRDefault="002C29C0" w:rsidP="002C29C0">
      <w:pPr>
        <w:tabs>
          <w:tab w:val="left" w:pos="5260"/>
        </w:tabs>
        <w:ind w:right="-46"/>
        <w:rPr>
          <w:rFonts w:ascii="Times New Roman" w:hAnsi="Times New Roman" w:cs="Times New Roman"/>
          <w:bCs/>
          <w:sz w:val="24"/>
          <w:szCs w:val="24"/>
        </w:rPr>
      </w:pPr>
    </w:p>
    <w:p w14:paraId="0EBD0652" w14:textId="77777777" w:rsidR="00146633" w:rsidRDefault="00146633" w:rsidP="00146633">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Non-discrimination is an integral part of the principle of equality. It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 </w:t>
      </w:r>
    </w:p>
    <w:p w14:paraId="1E28A3CB" w14:textId="77777777" w:rsidR="00410777" w:rsidRDefault="00410777" w:rsidP="00146633">
      <w:pPr>
        <w:tabs>
          <w:tab w:val="left" w:pos="5260"/>
        </w:tabs>
        <w:ind w:right="-46"/>
        <w:rPr>
          <w:rFonts w:ascii="Times New Roman" w:hAnsi="Times New Roman" w:cs="Times New Roman"/>
          <w:bCs/>
          <w:sz w:val="24"/>
          <w:szCs w:val="24"/>
        </w:rPr>
      </w:pPr>
    </w:p>
    <w:p w14:paraId="2EC8F5A7" w14:textId="1B4A6FDC" w:rsidR="00410777" w:rsidRPr="00146633" w:rsidRDefault="00410777" w:rsidP="00887595">
      <w:pPr>
        <w:pStyle w:val="Heading4"/>
        <w:keepNext w:val="0"/>
        <w:keepLines w:val="0"/>
        <w:rPr>
          <w:rFonts w:ascii="Times New Roman" w:hAnsi="Times New Roman" w:cs="Times New Roman"/>
          <w:bCs/>
          <w:sz w:val="24"/>
          <w:szCs w:val="24"/>
        </w:rPr>
      </w:pPr>
      <w:r w:rsidRPr="00E46458">
        <w:rPr>
          <w:rFonts w:ascii="Times New Roman" w:eastAsiaTheme="minorHAnsi" w:hAnsi="Times New Roman" w:cs="Times New Roman"/>
          <w:bCs/>
          <w:i w:val="0"/>
          <w:iCs w:val="0"/>
          <w:color w:val="auto"/>
          <w:sz w:val="24"/>
          <w:szCs w:val="24"/>
        </w:rPr>
        <w:t xml:space="preserve">Article 2 </w:t>
      </w:r>
      <w:r>
        <w:rPr>
          <w:rFonts w:ascii="Times New Roman" w:eastAsiaTheme="minorHAnsi" w:hAnsi="Times New Roman" w:cs="Times New Roman"/>
          <w:bCs/>
          <w:i w:val="0"/>
          <w:iCs w:val="0"/>
          <w:color w:val="auto"/>
          <w:sz w:val="24"/>
          <w:szCs w:val="24"/>
        </w:rPr>
        <w:t xml:space="preserve">of CEDAW </w:t>
      </w:r>
      <w:r w:rsidRPr="00BE055F">
        <w:rPr>
          <w:rFonts w:ascii="Times New Roman" w:eastAsiaTheme="minorHAnsi" w:hAnsi="Times New Roman" w:cs="Times New Roman"/>
          <w:bCs/>
          <w:i w:val="0"/>
          <w:iCs w:val="0"/>
          <w:color w:val="auto"/>
          <w:sz w:val="24"/>
          <w:szCs w:val="24"/>
        </w:rPr>
        <w:t>condemn</w:t>
      </w:r>
      <w:r>
        <w:rPr>
          <w:rFonts w:ascii="Times New Roman" w:eastAsiaTheme="minorHAnsi" w:hAnsi="Times New Roman" w:cs="Times New Roman"/>
          <w:bCs/>
          <w:i w:val="0"/>
          <w:iCs w:val="0"/>
          <w:color w:val="auto"/>
          <w:sz w:val="24"/>
          <w:szCs w:val="24"/>
        </w:rPr>
        <w:t>s</w:t>
      </w:r>
      <w:r w:rsidRPr="00BE055F">
        <w:rPr>
          <w:rFonts w:ascii="Times New Roman" w:eastAsiaTheme="minorHAnsi" w:hAnsi="Times New Roman" w:cs="Times New Roman"/>
          <w:bCs/>
          <w:i w:val="0"/>
          <w:iCs w:val="0"/>
          <w:color w:val="auto"/>
          <w:sz w:val="24"/>
          <w:szCs w:val="24"/>
        </w:rPr>
        <w:t xml:space="preserve"> discrimination against women in all its forms</w:t>
      </w:r>
      <w:r>
        <w:rPr>
          <w:rFonts w:ascii="Times New Roman" w:eastAsiaTheme="minorHAnsi" w:hAnsi="Times New Roman" w:cs="Times New Roman"/>
          <w:bCs/>
          <w:i w:val="0"/>
          <w:iCs w:val="0"/>
          <w:color w:val="auto"/>
          <w:sz w:val="24"/>
          <w:szCs w:val="24"/>
        </w:rPr>
        <w:t xml:space="preserve"> and requires states </w:t>
      </w:r>
      <w:r w:rsidRPr="00BE055F">
        <w:rPr>
          <w:rFonts w:ascii="Times New Roman" w:eastAsiaTheme="minorHAnsi" w:hAnsi="Times New Roman" w:cs="Times New Roman"/>
          <w:bCs/>
          <w:i w:val="0"/>
          <w:iCs w:val="0"/>
          <w:color w:val="auto"/>
          <w:sz w:val="24"/>
          <w:szCs w:val="24"/>
        </w:rPr>
        <w:t>to pursue by all appropriate means and without delay a policy of eliminating discrimination against women</w:t>
      </w:r>
      <w:r>
        <w:rPr>
          <w:rFonts w:ascii="Times New Roman" w:eastAsiaTheme="minorHAnsi" w:hAnsi="Times New Roman" w:cs="Times New Roman"/>
          <w:bCs/>
          <w:i w:val="0"/>
          <w:iCs w:val="0"/>
          <w:color w:val="auto"/>
          <w:sz w:val="24"/>
          <w:szCs w:val="24"/>
        </w:rPr>
        <w:t>. Article 3</w:t>
      </w:r>
      <w:r w:rsidR="00B777AC">
        <w:rPr>
          <w:rFonts w:ascii="Times New Roman" w:eastAsiaTheme="minorHAnsi" w:hAnsi="Times New Roman" w:cs="Times New Roman"/>
          <w:bCs/>
          <w:i w:val="0"/>
          <w:iCs w:val="0"/>
          <w:color w:val="auto"/>
          <w:sz w:val="24"/>
          <w:szCs w:val="24"/>
        </w:rPr>
        <w:t xml:space="preserve"> of the CEDAW</w:t>
      </w:r>
      <w:r>
        <w:rPr>
          <w:rFonts w:ascii="Times New Roman" w:eastAsiaTheme="minorHAnsi" w:hAnsi="Times New Roman" w:cs="Times New Roman"/>
          <w:bCs/>
          <w:i w:val="0"/>
          <w:iCs w:val="0"/>
          <w:color w:val="auto"/>
          <w:sz w:val="24"/>
          <w:szCs w:val="24"/>
        </w:rPr>
        <w:t xml:space="preserve"> requires states to take all appropriate measures</w:t>
      </w:r>
      <w:r w:rsidRPr="00D5557D">
        <w:rPr>
          <w:rFonts w:ascii="Times New Roman" w:eastAsiaTheme="minorHAnsi" w:hAnsi="Times New Roman" w:cs="Times New Roman"/>
          <w:bCs/>
          <w:i w:val="0"/>
          <w:iCs w:val="0"/>
          <w:color w:val="auto"/>
          <w:sz w:val="24"/>
          <w:szCs w:val="24"/>
        </w:rPr>
        <w:t xml:space="preserve">, </w:t>
      </w:r>
      <w:proofErr w:type="gramStart"/>
      <w:r w:rsidRPr="00D5557D">
        <w:rPr>
          <w:rFonts w:ascii="Times New Roman" w:eastAsiaTheme="minorHAnsi" w:hAnsi="Times New Roman" w:cs="Times New Roman"/>
          <w:bCs/>
          <w:i w:val="0"/>
          <w:iCs w:val="0"/>
          <w:color w:val="auto"/>
          <w:sz w:val="24"/>
          <w:szCs w:val="24"/>
        </w:rPr>
        <w:t>in particular in</w:t>
      </w:r>
      <w:proofErr w:type="gramEnd"/>
      <w:r w:rsidRPr="00D5557D">
        <w:rPr>
          <w:rFonts w:ascii="Times New Roman" w:eastAsiaTheme="minorHAnsi" w:hAnsi="Times New Roman" w:cs="Times New Roman"/>
          <w:bCs/>
          <w:i w:val="0"/>
          <w:iCs w:val="0"/>
          <w:color w:val="auto"/>
          <w:sz w:val="24"/>
          <w:szCs w:val="24"/>
        </w:rPr>
        <w:t xml:space="preserve"> the political, social, economic and cultural fields, to ensure the full development and advancement of women</w:t>
      </w:r>
      <w:r>
        <w:rPr>
          <w:rFonts w:ascii="Times New Roman" w:eastAsiaTheme="minorHAnsi" w:hAnsi="Times New Roman" w:cs="Times New Roman"/>
          <w:bCs/>
          <w:i w:val="0"/>
          <w:iCs w:val="0"/>
          <w:color w:val="auto"/>
          <w:sz w:val="24"/>
          <w:szCs w:val="24"/>
        </w:rPr>
        <w:t>. Article 4</w:t>
      </w:r>
      <w:r w:rsidR="00B777AC">
        <w:rPr>
          <w:rFonts w:ascii="Times New Roman" w:eastAsiaTheme="minorHAnsi" w:hAnsi="Times New Roman" w:cs="Times New Roman"/>
          <w:bCs/>
          <w:i w:val="0"/>
          <w:iCs w:val="0"/>
          <w:color w:val="auto"/>
          <w:sz w:val="24"/>
          <w:szCs w:val="24"/>
        </w:rPr>
        <w:t xml:space="preserve"> of the CEDAW</w:t>
      </w:r>
      <w:r>
        <w:rPr>
          <w:rFonts w:ascii="Times New Roman" w:eastAsiaTheme="minorHAnsi" w:hAnsi="Times New Roman" w:cs="Times New Roman"/>
          <w:bCs/>
          <w:i w:val="0"/>
          <w:iCs w:val="0"/>
          <w:color w:val="auto"/>
          <w:sz w:val="24"/>
          <w:szCs w:val="24"/>
        </w:rPr>
        <w:t xml:space="preserve"> states that </w:t>
      </w:r>
      <w:r w:rsidRPr="00AB2464">
        <w:rPr>
          <w:rFonts w:ascii="Times New Roman" w:eastAsiaTheme="minorHAnsi" w:hAnsi="Times New Roman" w:cs="Times New Roman"/>
          <w:bCs/>
          <w:i w:val="0"/>
          <w:iCs w:val="0"/>
          <w:color w:val="auto"/>
          <w:sz w:val="24"/>
          <w:szCs w:val="24"/>
        </w:rPr>
        <w:t>temporary special measures aimed at accelerating de facto equality between men and women shall not be considered discrimination</w:t>
      </w:r>
      <w:r>
        <w:rPr>
          <w:rFonts w:ascii="Times New Roman" w:eastAsiaTheme="minorHAnsi" w:hAnsi="Times New Roman" w:cs="Times New Roman"/>
          <w:bCs/>
          <w:i w:val="0"/>
          <w:iCs w:val="0"/>
          <w:color w:val="auto"/>
          <w:sz w:val="24"/>
          <w:szCs w:val="24"/>
        </w:rPr>
        <w:t>.</w:t>
      </w:r>
    </w:p>
    <w:p w14:paraId="0394C950" w14:textId="77777777" w:rsidR="002E13D4" w:rsidRDefault="002E13D4" w:rsidP="00146633">
      <w:pPr>
        <w:tabs>
          <w:tab w:val="left" w:pos="5260"/>
        </w:tabs>
        <w:ind w:right="-46"/>
        <w:rPr>
          <w:rFonts w:ascii="Times New Roman" w:hAnsi="Times New Roman" w:cs="Times New Roman"/>
          <w:bCs/>
          <w:sz w:val="24"/>
          <w:szCs w:val="24"/>
        </w:rPr>
      </w:pPr>
    </w:p>
    <w:p w14:paraId="04A82D4B" w14:textId="00254DC6" w:rsidR="00146633" w:rsidRPr="00146633" w:rsidRDefault="00273D85" w:rsidP="00146633">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w:t>
      </w:r>
      <w:r w:rsidR="002664C3">
        <w:rPr>
          <w:rFonts w:ascii="Times New Roman" w:hAnsi="Times New Roman" w:cs="Times New Roman"/>
          <w:bCs/>
          <w:sz w:val="24"/>
          <w:szCs w:val="24"/>
        </w:rPr>
        <w:t xml:space="preserve">able </w:t>
      </w:r>
      <w:r w:rsidR="00146633" w:rsidRPr="00146633">
        <w:rPr>
          <w:rFonts w:ascii="Times New Roman" w:hAnsi="Times New Roman" w:cs="Times New Roman"/>
          <w:bCs/>
          <w:sz w:val="24"/>
          <w:szCs w:val="24"/>
        </w:rPr>
        <w:t>item</w:t>
      </w:r>
      <w:r>
        <w:rPr>
          <w:rFonts w:ascii="Times New Roman" w:hAnsi="Times New Roman" w:cs="Times New Roman"/>
          <w:bCs/>
          <w:sz w:val="24"/>
          <w:szCs w:val="24"/>
        </w:rPr>
        <w:t xml:space="preserve"> 688</w:t>
      </w:r>
      <w:r w:rsidR="00146633" w:rsidRPr="00146633">
        <w:rPr>
          <w:rFonts w:ascii="Times New Roman" w:hAnsi="Times New Roman" w:cs="Times New Roman"/>
          <w:bCs/>
          <w:sz w:val="24"/>
          <w:szCs w:val="24"/>
        </w:rPr>
        <w:t xml:space="preserve"> engages the right to equality and non-discrimination because the design of the P</w:t>
      </w:r>
      <w:r w:rsidR="00433DFA">
        <w:rPr>
          <w:rFonts w:ascii="Times New Roman" w:hAnsi="Times New Roman" w:cs="Times New Roman"/>
          <w:bCs/>
          <w:sz w:val="24"/>
          <w:szCs w:val="24"/>
        </w:rPr>
        <w:t xml:space="preserve">roject </w:t>
      </w:r>
      <w:r w:rsidR="00146633" w:rsidRPr="00146633">
        <w:rPr>
          <w:rFonts w:ascii="Times New Roman" w:hAnsi="Times New Roman" w:cs="Times New Roman"/>
          <w:bCs/>
          <w:sz w:val="24"/>
          <w:szCs w:val="24"/>
        </w:rPr>
        <w:t>D</w:t>
      </w:r>
      <w:r w:rsidR="00433DFA">
        <w:rPr>
          <w:rFonts w:ascii="Times New Roman" w:hAnsi="Times New Roman" w:cs="Times New Roman"/>
          <w:bCs/>
          <w:sz w:val="24"/>
          <w:szCs w:val="24"/>
        </w:rPr>
        <w:t xml:space="preserve">evelopment </w:t>
      </w:r>
      <w:r w:rsidR="00146633" w:rsidRPr="00146633">
        <w:rPr>
          <w:rFonts w:ascii="Times New Roman" w:hAnsi="Times New Roman" w:cs="Times New Roman"/>
          <w:bCs/>
          <w:sz w:val="24"/>
          <w:szCs w:val="24"/>
        </w:rPr>
        <w:t>S</w:t>
      </w:r>
      <w:r w:rsidR="00433DFA">
        <w:rPr>
          <w:rFonts w:ascii="Times New Roman" w:hAnsi="Times New Roman" w:cs="Times New Roman"/>
          <w:bCs/>
          <w:sz w:val="24"/>
          <w:szCs w:val="24"/>
        </w:rPr>
        <w:t>upport</w:t>
      </w:r>
      <w:r w:rsidR="00146633" w:rsidRPr="00146633">
        <w:rPr>
          <w:rFonts w:ascii="Times New Roman" w:hAnsi="Times New Roman" w:cs="Times New Roman"/>
          <w:bCs/>
          <w:sz w:val="24"/>
          <w:szCs w:val="24"/>
        </w:rPr>
        <w:t xml:space="preserve"> will ensure the program provides specific support for women </w:t>
      </w:r>
      <w:r w:rsidR="00146633" w:rsidRPr="00146633">
        <w:rPr>
          <w:rFonts w:ascii="Times New Roman" w:hAnsi="Times New Roman" w:cs="Times New Roman"/>
          <w:bCs/>
          <w:sz w:val="24"/>
          <w:szCs w:val="24"/>
        </w:rPr>
        <w:lastRenderedPageBreak/>
        <w:t xml:space="preserve">and First Nations businesses. </w:t>
      </w:r>
      <w:r w:rsidR="00002806" w:rsidRPr="00146633">
        <w:rPr>
          <w:rFonts w:ascii="Times New Roman" w:hAnsi="Times New Roman" w:cs="Times New Roman"/>
          <w:bCs/>
          <w:sz w:val="24"/>
          <w:szCs w:val="24"/>
        </w:rPr>
        <w:t>The P</w:t>
      </w:r>
      <w:r w:rsidR="00751B84">
        <w:rPr>
          <w:rFonts w:ascii="Times New Roman" w:hAnsi="Times New Roman" w:cs="Times New Roman"/>
          <w:bCs/>
          <w:sz w:val="24"/>
          <w:szCs w:val="24"/>
        </w:rPr>
        <w:t xml:space="preserve">roject </w:t>
      </w:r>
      <w:r w:rsidR="00002806" w:rsidRPr="00146633">
        <w:rPr>
          <w:rFonts w:ascii="Times New Roman" w:hAnsi="Times New Roman" w:cs="Times New Roman"/>
          <w:bCs/>
          <w:sz w:val="24"/>
          <w:szCs w:val="24"/>
        </w:rPr>
        <w:t>D</w:t>
      </w:r>
      <w:r w:rsidR="00751B84">
        <w:rPr>
          <w:rFonts w:ascii="Times New Roman" w:hAnsi="Times New Roman" w:cs="Times New Roman"/>
          <w:bCs/>
          <w:sz w:val="24"/>
          <w:szCs w:val="24"/>
        </w:rPr>
        <w:t xml:space="preserve">evelopment </w:t>
      </w:r>
      <w:r w:rsidR="00002806" w:rsidRPr="00146633">
        <w:rPr>
          <w:rFonts w:ascii="Times New Roman" w:hAnsi="Times New Roman" w:cs="Times New Roman"/>
          <w:bCs/>
          <w:sz w:val="24"/>
          <w:szCs w:val="24"/>
        </w:rPr>
        <w:t>S</w:t>
      </w:r>
      <w:r w:rsidR="00751B84">
        <w:rPr>
          <w:rFonts w:ascii="Times New Roman" w:hAnsi="Times New Roman" w:cs="Times New Roman"/>
          <w:bCs/>
          <w:sz w:val="24"/>
          <w:szCs w:val="24"/>
        </w:rPr>
        <w:t>upport</w:t>
      </w:r>
      <w:r w:rsidR="00002806" w:rsidRPr="00146633">
        <w:rPr>
          <w:rFonts w:ascii="Times New Roman" w:hAnsi="Times New Roman" w:cs="Times New Roman"/>
          <w:bCs/>
          <w:sz w:val="24"/>
          <w:szCs w:val="24"/>
        </w:rPr>
        <w:t xml:space="preserve"> will include specific measures to</w:t>
      </w:r>
      <w:r w:rsidR="00002806">
        <w:rPr>
          <w:rFonts w:ascii="Times New Roman" w:hAnsi="Times New Roman" w:cs="Times New Roman"/>
          <w:bCs/>
          <w:sz w:val="24"/>
          <w:szCs w:val="24"/>
        </w:rPr>
        <w:t xml:space="preserve"> e</w:t>
      </w:r>
      <w:r w:rsidR="00002806" w:rsidRPr="00146633">
        <w:rPr>
          <w:rFonts w:ascii="Times New Roman" w:hAnsi="Times New Roman" w:cs="Times New Roman"/>
          <w:bCs/>
          <w:sz w:val="24"/>
          <w:szCs w:val="24"/>
        </w:rPr>
        <w:t xml:space="preserve">nsure </w:t>
      </w:r>
      <w:r w:rsidR="00002806">
        <w:rPr>
          <w:rFonts w:ascii="Times New Roman" w:hAnsi="Times New Roman" w:cs="Times New Roman"/>
          <w:bCs/>
          <w:sz w:val="24"/>
          <w:szCs w:val="24"/>
        </w:rPr>
        <w:t>First Nations or women-led</w:t>
      </w:r>
      <w:r w:rsidR="00002806" w:rsidRPr="00146633">
        <w:rPr>
          <w:rFonts w:ascii="Times New Roman" w:hAnsi="Times New Roman" w:cs="Times New Roman"/>
          <w:bCs/>
          <w:sz w:val="24"/>
          <w:szCs w:val="24"/>
        </w:rPr>
        <w:t xml:space="preserve"> businesses can overcome barriers to accessing business development opportunities through the </w:t>
      </w:r>
      <w:r w:rsidR="00002806">
        <w:rPr>
          <w:rFonts w:ascii="Times New Roman" w:hAnsi="Times New Roman" w:cs="Times New Roman"/>
          <w:bCs/>
          <w:sz w:val="24"/>
          <w:szCs w:val="24"/>
        </w:rPr>
        <w:t>program</w:t>
      </w:r>
      <w:r w:rsidR="00146633" w:rsidRPr="00146633">
        <w:rPr>
          <w:rFonts w:ascii="Times New Roman" w:hAnsi="Times New Roman" w:cs="Times New Roman"/>
          <w:bCs/>
          <w:sz w:val="24"/>
          <w:szCs w:val="24"/>
        </w:rPr>
        <w:t xml:space="preserve">. </w:t>
      </w:r>
    </w:p>
    <w:p w14:paraId="57F5648A" w14:textId="77777777" w:rsidR="002E13D4" w:rsidRDefault="002E13D4" w:rsidP="00146633">
      <w:pPr>
        <w:tabs>
          <w:tab w:val="left" w:pos="5260"/>
        </w:tabs>
        <w:ind w:right="-46"/>
        <w:rPr>
          <w:rFonts w:ascii="Times New Roman" w:hAnsi="Times New Roman" w:cs="Times New Roman"/>
          <w:bCs/>
          <w:sz w:val="24"/>
          <w:szCs w:val="24"/>
        </w:rPr>
      </w:pPr>
    </w:p>
    <w:p w14:paraId="42DE3DE2" w14:textId="6261AB4C" w:rsidR="00146633" w:rsidRPr="00146633" w:rsidRDefault="00146633" w:rsidP="00146633">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Article 1(4) of the CERD allows States to adopt special measures for the sole purpose of securing adequate advancement of certain racial or ethnic groups </w:t>
      </w:r>
      <w:proofErr w:type="gramStart"/>
      <w:r w:rsidRPr="00146633">
        <w:rPr>
          <w:rFonts w:ascii="Times New Roman" w:hAnsi="Times New Roman" w:cs="Times New Roman"/>
          <w:bCs/>
          <w:sz w:val="24"/>
          <w:szCs w:val="24"/>
        </w:rPr>
        <w:t>as long as</w:t>
      </w:r>
      <w:proofErr w:type="gramEnd"/>
      <w:r w:rsidRPr="00146633">
        <w:rPr>
          <w:rFonts w:ascii="Times New Roman" w:hAnsi="Times New Roman" w:cs="Times New Roman"/>
          <w:bCs/>
          <w:sz w:val="24"/>
          <w:szCs w:val="24"/>
        </w:rPr>
        <w:t xml:space="preserve"> this does not lead to the maintenance of separate rights after these objectives have been achieved. Such measures are not deemed to be racial discrimination. </w:t>
      </w:r>
    </w:p>
    <w:p w14:paraId="493CB65C" w14:textId="77777777" w:rsidR="002E13D4" w:rsidRDefault="002E13D4" w:rsidP="00146633">
      <w:pPr>
        <w:tabs>
          <w:tab w:val="left" w:pos="5260"/>
        </w:tabs>
        <w:ind w:right="-46"/>
        <w:rPr>
          <w:rFonts w:ascii="Times New Roman" w:hAnsi="Times New Roman" w:cs="Times New Roman"/>
          <w:bCs/>
          <w:sz w:val="24"/>
          <w:szCs w:val="24"/>
        </w:rPr>
      </w:pPr>
    </w:p>
    <w:p w14:paraId="1F793A9E" w14:textId="5F838B05" w:rsidR="008E36D4" w:rsidRPr="00146633" w:rsidRDefault="008E36D4" w:rsidP="008E36D4">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The program will engage Article 1(4) of the CERD by developing specific measures </w:t>
      </w:r>
      <w:r>
        <w:rPr>
          <w:rFonts w:ascii="Times New Roman" w:hAnsi="Times New Roman" w:cs="Times New Roman"/>
          <w:bCs/>
          <w:sz w:val="24"/>
          <w:szCs w:val="24"/>
        </w:rPr>
        <w:t>as part of the program design</w:t>
      </w:r>
      <w:r w:rsidRPr="00146633">
        <w:rPr>
          <w:rFonts w:ascii="Times New Roman" w:hAnsi="Times New Roman" w:cs="Times New Roman"/>
          <w:bCs/>
          <w:sz w:val="24"/>
          <w:szCs w:val="24"/>
        </w:rPr>
        <w:t xml:space="preserve"> to ensure First Nations </w:t>
      </w:r>
      <w:proofErr w:type="gramStart"/>
      <w:r w:rsidRPr="00146633">
        <w:rPr>
          <w:rFonts w:ascii="Times New Roman" w:hAnsi="Times New Roman" w:cs="Times New Roman"/>
          <w:bCs/>
          <w:sz w:val="24"/>
          <w:szCs w:val="24"/>
        </w:rPr>
        <w:t>business people</w:t>
      </w:r>
      <w:proofErr w:type="gramEnd"/>
      <w:r w:rsidRPr="00146633">
        <w:rPr>
          <w:rFonts w:ascii="Times New Roman" w:hAnsi="Times New Roman" w:cs="Times New Roman"/>
          <w:bCs/>
          <w:sz w:val="24"/>
          <w:szCs w:val="24"/>
        </w:rPr>
        <w:t xml:space="preserve"> can benefit alongside </w:t>
      </w:r>
      <w:r w:rsidR="00A72EE7">
        <w:rPr>
          <w:rFonts w:ascii="Times New Roman" w:hAnsi="Times New Roman" w:cs="Times New Roman"/>
          <w:bCs/>
          <w:sz w:val="24"/>
          <w:szCs w:val="24"/>
        </w:rPr>
        <w:br/>
      </w:r>
      <w:r w:rsidRPr="00146633">
        <w:rPr>
          <w:rFonts w:ascii="Times New Roman" w:hAnsi="Times New Roman" w:cs="Times New Roman"/>
          <w:bCs/>
          <w:sz w:val="24"/>
          <w:szCs w:val="24"/>
        </w:rPr>
        <w:t>non-Indigenous led businesses from the support on offer under the initiative.</w:t>
      </w:r>
    </w:p>
    <w:p w14:paraId="08CA8EFA" w14:textId="77777777" w:rsidR="008E36D4" w:rsidRDefault="008E36D4" w:rsidP="008E36D4">
      <w:pPr>
        <w:tabs>
          <w:tab w:val="left" w:pos="5260"/>
        </w:tabs>
        <w:ind w:right="-46"/>
        <w:rPr>
          <w:rFonts w:ascii="Times New Roman" w:hAnsi="Times New Roman" w:cs="Times New Roman"/>
          <w:bCs/>
          <w:sz w:val="24"/>
          <w:szCs w:val="24"/>
        </w:rPr>
      </w:pPr>
    </w:p>
    <w:p w14:paraId="5DDBBC8C" w14:textId="77777777" w:rsidR="008E36D4" w:rsidRPr="00146633" w:rsidRDefault="008E36D4" w:rsidP="008E36D4">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 xml:space="preserve">To the extent that the </w:t>
      </w:r>
      <w:r>
        <w:rPr>
          <w:rFonts w:ascii="Times New Roman" w:hAnsi="Times New Roman" w:cs="Times New Roman"/>
          <w:bCs/>
          <w:sz w:val="24"/>
          <w:szCs w:val="24"/>
        </w:rPr>
        <w:t>program</w:t>
      </w:r>
      <w:r w:rsidRPr="00146633">
        <w:rPr>
          <w:rFonts w:ascii="Times New Roman" w:hAnsi="Times New Roman" w:cs="Times New Roman"/>
          <w:bCs/>
          <w:sz w:val="24"/>
          <w:szCs w:val="24"/>
        </w:rPr>
        <w:t xml:space="preserve"> limits the right to equality and non-discrimination in that it is </w:t>
      </w:r>
      <w:r>
        <w:rPr>
          <w:rFonts w:ascii="Times New Roman" w:hAnsi="Times New Roman" w:cs="Times New Roman"/>
          <w:bCs/>
          <w:sz w:val="24"/>
          <w:szCs w:val="24"/>
        </w:rPr>
        <w:t xml:space="preserve">has specific opportunities for First Nations participation, </w:t>
      </w:r>
      <w:r w:rsidRPr="00146633">
        <w:rPr>
          <w:rFonts w:ascii="Times New Roman" w:hAnsi="Times New Roman" w:cs="Times New Roman"/>
          <w:bCs/>
          <w:sz w:val="24"/>
          <w:szCs w:val="24"/>
        </w:rPr>
        <w:t xml:space="preserve">this is reasonable and proportionate to achieving the legitimate purposes of providing opportunities which may otherwise have been </w:t>
      </w:r>
      <w:r>
        <w:rPr>
          <w:rFonts w:ascii="Times New Roman" w:hAnsi="Times New Roman" w:cs="Times New Roman"/>
          <w:bCs/>
          <w:sz w:val="24"/>
          <w:szCs w:val="24"/>
        </w:rPr>
        <w:t>less accessible to this group</w:t>
      </w:r>
      <w:r w:rsidRPr="00146633">
        <w:rPr>
          <w:rFonts w:ascii="Times New Roman" w:hAnsi="Times New Roman" w:cs="Times New Roman"/>
          <w:bCs/>
          <w:sz w:val="24"/>
          <w:szCs w:val="24"/>
        </w:rPr>
        <w:t>.</w:t>
      </w:r>
    </w:p>
    <w:p w14:paraId="76DB59A9" w14:textId="77777777" w:rsidR="00146633" w:rsidRDefault="00146633" w:rsidP="00146633">
      <w:pPr>
        <w:tabs>
          <w:tab w:val="left" w:pos="5260"/>
        </w:tabs>
        <w:ind w:right="-46"/>
        <w:rPr>
          <w:rFonts w:ascii="Times New Roman" w:hAnsi="Times New Roman" w:cs="Times New Roman"/>
          <w:b/>
          <w:bCs/>
          <w:sz w:val="24"/>
          <w:szCs w:val="24"/>
        </w:rPr>
      </w:pPr>
    </w:p>
    <w:p w14:paraId="611D1E1C" w14:textId="5DE49F6F" w:rsidR="00146633" w:rsidRDefault="00146633" w:rsidP="00BA76F4">
      <w:pPr>
        <w:tabs>
          <w:tab w:val="left" w:pos="5260"/>
        </w:tabs>
        <w:ind w:right="-46"/>
        <w:rPr>
          <w:rFonts w:ascii="Times New Roman" w:hAnsi="Times New Roman" w:cs="Times New Roman"/>
          <w:bCs/>
          <w:sz w:val="24"/>
          <w:szCs w:val="24"/>
        </w:rPr>
      </w:pPr>
      <w:r w:rsidRPr="00146633">
        <w:rPr>
          <w:rFonts w:ascii="Times New Roman" w:hAnsi="Times New Roman" w:cs="Times New Roman"/>
          <w:bCs/>
          <w:sz w:val="24"/>
          <w:szCs w:val="24"/>
        </w:rPr>
        <w:t>Table item</w:t>
      </w:r>
      <w:r w:rsidR="00A72EE7">
        <w:rPr>
          <w:rFonts w:ascii="Times New Roman" w:hAnsi="Times New Roman" w:cs="Times New Roman"/>
          <w:bCs/>
          <w:sz w:val="24"/>
          <w:szCs w:val="24"/>
        </w:rPr>
        <w:t xml:space="preserve"> 688</w:t>
      </w:r>
      <w:r w:rsidRPr="00146633">
        <w:rPr>
          <w:rFonts w:ascii="Times New Roman" w:hAnsi="Times New Roman" w:cs="Times New Roman"/>
          <w:bCs/>
          <w:sz w:val="24"/>
          <w:szCs w:val="24"/>
        </w:rPr>
        <w:t xml:space="preserve"> is compatible with human rights because it promotes the protection of human rights and, to the extent that it may limit human rights, those limitations are reasonable, necessary and proportionate.</w:t>
      </w:r>
    </w:p>
    <w:p w14:paraId="621AB558" w14:textId="77777777" w:rsidR="00D96F04" w:rsidRDefault="00D96F04" w:rsidP="00BA76F4">
      <w:pPr>
        <w:ind w:right="-46"/>
        <w:rPr>
          <w:rFonts w:ascii="Times New Roman" w:hAnsi="Times New Roman" w:cs="Times New Roman"/>
          <w:b/>
          <w:bCs/>
          <w:sz w:val="24"/>
          <w:szCs w:val="24"/>
        </w:rPr>
      </w:pPr>
    </w:p>
    <w:p w14:paraId="2010D683" w14:textId="2D2E3E59" w:rsidR="00BA76F4" w:rsidRDefault="00BA76F4" w:rsidP="00BA76F4">
      <w:pPr>
        <w:ind w:right="-46"/>
        <w:rPr>
          <w:rFonts w:ascii="Times New Roman" w:hAnsi="Times New Roman" w:cs="Times New Roman"/>
          <w:b/>
          <w:bCs/>
          <w:sz w:val="24"/>
          <w:szCs w:val="24"/>
        </w:rPr>
      </w:pPr>
      <w:r w:rsidRPr="0010227F">
        <w:rPr>
          <w:rFonts w:ascii="Times New Roman" w:hAnsi="Times New Roman" w:cs="Times New Roman"/>
          <w:b/>
          <w:bCs/>
          <w:sz w:val="24"/>
          <w:szCs w:val="24"/>
        </w:rPr>
        <w:t>Conclusion</w:t>
      </w:r>
    </w:p>
    <w:p w14:paraId="41022C9E" w14:textId="77777777" w:rsidR="00BA76F4" w:rsidRPr="0010227F" w:rsidRDefault="00BA76F4" w:rsidP="00BA76F4">
      <w:pPr>
        <w:ind w:right="-46"/>
        <w:rPr>
          <w:rFonts w:ascii="Times New Roman" w:hAnsi="Times New Roman" w:cs="Times New Roman"/>
          <w:b/>
          <w:bCs/>
          <w:sz w:val="24"/>
          <w:szCs w:val="24"/>
        </w:rPr>
      </w:pPr>
    </w:p>
    <w:p w14:paraId="0B7678C0" w14:textId="272D0F8C" w:rsidR="00BA76F4" w:rsidRPr="00F03930" w:rsidRDefault="00BA76F4" w:rsidP="00BA76F4">
      <w:pPr>
        <w:ind w:right="-46"/>
        <w:rPr>
          <w:rFonts w:ascii="Times New Roman" w:hAnsi="Times New Roman" w:cs="Times New Roman"/>
          <w:bCs/>
          <w:sz w:val="24"/>
          <w:szCs w:val="24"/>
        </w:rPr>
      </w:pPr>
      <w:r w:rsidRPr="00F03930">
        <w:rPr>
          <w:rFonts w:ascii="Times New Roman" w:hAnsi="Times New Roman" w:cs="Times New Roman"/>
          <w:sz w:val="24"/>
          <w:szCs w:val="24"/>
        </w:rPr>
        <w:t xml:space="preserve">This disallowable legislative instrument is compatible </w:t>
      </w:r>
      <w:r w:rsidRPr="00F03930">
        <w:rPr>
          <w:rFonts w:ascii="Times New Roman" w:hAnsi="Times New Roman" w:cs="Times New Roman"/>
          <w:bCs/>
          <w:sz w:val="24"/>
          <w:szCs w:val="24"/>
        </w:rPr>
        <w:t>with human rights as it promotes the protection of human rights</w:t>
      </w:r>
      <w:r w:rsidR="00053953">
        <w:rPr>
          <w:rFonts w:ascii="Times New Roman" w:hAnsi="Times New Roman" w:cs="Times New Roman"/>
          <w:bCs/>
          <w:sz w:val="24"/>
          <w:szCs w:val="24"/>
        </w:rPr>
        <w:t>.</w:t>
      </w:r>
    </w:p>
    <w:p w14:paraId="5B031EF0" w14:textId="77777777" w:rsidR="00BA76F4" w:rsidRDefault="00BA76F4" w:rsidP="00BA76F4">
      <w:pPr>
        <w:ind w:right="-46"/>
        <w:rPr>
          <w:rFonts w:ascii="Times New Roman" w:hAnsi="Times New Roman" w:cs="Times New Roman"/>
          <w:color w:val="000000" w:themeColor="text1"/>
          <w:sz w:val="24"/>
          <w:szCs w:val="24"/>
        </w:rPr>
      </w:pPr>
    </w:p>
    <w:p w14:paraId="21C6B814" w14:textId="77777777" w:rsidR="00BA76F4" w:rsidRDefault="00BA76F4" w:rsidP="00BA76F4">
      <w:pPr>
        <w:ind w:right="-46"/>
        <w:rPr>
          <w:rFonts w:ascii="Times New Roman" w:hAnsi="Times New Roman" w:cs="Times New Roman"/>
          <w:color w:val="000000" w:themeColor="text1"/>
          <w:sz w:val="24"/>
          <w:szCs w:val="24"/>
        </w:rPr>
      </w:pPr>
    </w:p>
    <w:p w14:paraId="2410C60A" w14:textId="77777777" w:rsidR="00A15F7F" w:rsidRPr="001957C4" w:rsidRDefault="00A15F7F" w:rsidP="00BA76F4">
      <w:pPr>
        <w:ind w:right="-46"/>
        <w:rPr>
          <w:rFonts w:ascii="Times New Roman" w:hAnsi="Times New Roman" w:cs="Times New Roman"/>
          <w:color w:val="000000" w:themeColor="text1"/>
          <w:sz w:val="24"/>
          <w:szCs w:val="24"/>
        </w:rPr>
      </w:pPr>
    </w:p>
    <w:p w14:paraId="5F909767" w14:textId="77777777" w:rsidR="00BA76F4" w:rsidRPr="001957C4" w:rsidRDefault="00BA76F4" w:rsidP="00BA76F4">
      <w:pPr>
        <w:ind w:right="-46"/>
        <w:rPr>
          <w:rFonts w:ascii="Times New Roman" w:hAnsi="Times New Roman" w:cs="Times New Roman"/>
          <w:color w:val="000000" w:themeColor="text1"/>
          <w:sz w:val="24"/>
          <w:szCs w:val="24"/>
        </w:rPr>
      </w:pPr>
    </w:p>
    <w:p w14:paraId="490D36D7" w14:textId="77777777" w:rsidR="00BA76F4" w:rsidRPr="001957C4" w:rsidRDefault="00BA76F4" w:rsidP="00BA76F4">
      <w:pPr>
        <w:pStyle w:val="paranumbering0"/>
        <w:spacing w:before="0" w:beforeAutospacing="0" w:after="0" w:afterAutospacing="0"/>
        <w:contextualSpacing/>
        <w:jc w:val="center"/>
        <w:rPr>
          <w:b/>
        </w:rPr>
      </w:pPr>
      <w:r w:rsidRPr="001957C4">
        <w:rPr>
          <w:b/>
        </w:rPr>
        <w:t>Senator the Hon Katy Gallagher</w:t>
      </w:r>
    </w:p>
    <w:p w14:paraId="1AFDA994" w14:textId="77777777" w:rsidR="00BA76F4" w:rsidRPr="0026506D" w:rsidRDefault="00BA76F4" w:rsidP="00BA76F4">
      <w:pPr>
        <w:contextualSpacing/>
        <w:jc w:val="center"/>
        <w:rPr>
          <w:rFonts w:ascii="Times New Roman" w:hAnsi="Times New Roman" w:cs="Times New Roman"/>
          <w:b/>
          <w:sz w:val="24"/>
          <w:szCs w:val="24"/>
          <w:lang w:eastAsia="en-AU"/>
        </w:rPr>
      </w:pPr>
      <w:r w:rsidRPr="001957C4">
        <w:rPr>
          <w:rFonts w:ascii="Times New Roman" w:hAnsi="Times New Roman" w:cs="Times New Roman"/>
          <w:b/>
          <w:sz w:val="24"/>
          <w:szCs w:val="24"/>
        </w:rPr>
        <w:t>Minister for Finance</w:t>
      </w:r>
    </w:p>
    <w:sectPr w:rsidR="00BA76F4" w:rsidRPr="0026506D">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DB717" w14:textId="77777777" w:rsidR="00B40A35" w:rsidRDefault="00B40A35">
      <w:r>
        <w:separator/>
      </w:r>
    </w:p>
  </w:endnote>
  <w:endnote w:type="continuationSeparator" w:id="0">
    <w:p w14:paraId="57433106" w14:textId="77777777" w:rsidR="00B40A35" w:rsidRDefault="00B40A35">
      <w:r>
        <w:continuationSeparator/>
      </w:r>
    </w:p>
  </w:endnote>
  <w:endnote w:type="continuationNotice" w:id="1">
    <w:p w14:paraId="2777EA9F" w14:textId="77777777" w:rsidR="00B40A35" w:rsidRDefault="00B4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DC954" w14:textId="77777777" w:rsidR="00B40A35" w:rsidRDefault="00B40A35">
      <w:r>
        <w:separator/>
      </w:r>
    </w:p>
  </w:footnote>
  <w:footnote w:type="continuationSeparator" w:id="0">
    <w:p w14:paraId="798A1B08" w14:textId="77777777" w:rsidR="00B40A35" w:rsidRDefault="00B40A35">
      <w:r>
        <w:continuationSeparator/>
      </w:r>
    </w:p>
  </w:footnote>
  <w:footnote w:type="continuationNotice" w:id="1">
    <w:p w14:paraId="0FABC611" w14:textId="77777777" w:rsidR="00B40A35" w:rsidRDefault="00B40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285211"/>
      <w:docPartObj>
        <w:docPartGallery w:val="Page Numbers (Top of Page)"/>
        <w:docPartUnique/>
      </w:docPartObj>
    </w:sdtPr>
    <w:sdtEndPr>
      <w:rPr>
        <w:noProof/>
      </w:rPr>
    </w:sdtEndPr>
    <w:sdtContent>
      <w:p w14:paraId="21F7609B" w14:textId="46345452" w:rsidR="00AE539F" w:rsidRDefault="00AE53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544ECE" w14:textId="77777777" w:rsidR="00BA76F4" w:rsidRDefault="00BA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9D93" w14:textId="77777777" w:rsidR="00BA76F4" w:rsidRDefault="00BA76F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61669"/>
      <w:docPartObj>
        <w:docPartGallery w:val="Page Numbers (Top of Page)"/>
        <w:docPartUnique/>
      </w:docPartObj>
    </w:sdtPr>
    <w:sdtEndPr>
      <w:rPr>
        <w:noProof/>
      </w:rPr>
    </w:sdtEndPr>
    <w:sdtContent>
      <w:p w14:paraId="3E9B2F74" w14:textId="1D8B5D15" w:rsidR="00AE539F" w:rsidRDefault="00AE53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CD011C" w14:textId="77777777" w:rsidR="00BA76F4" w:rsidRDefault="00BA76F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7C55" w14:textId="77777777" w:rsidR="00BA76F4" w:rsidRPr="00BF74FB" w:rsidRDefault="00BA7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228"/>
    <w:multiLevelType w:val="multilevel"/>
    <w:tmpl w:val="0B9C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E7328"/>
    <w:multiLevelType w:val="hybridMultilevel"/>
    <w:tmpl w:val="15245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25673"/>
    <w:multiLevelType w:val="multilevel"/>
    <w:tmpl w:val="9EE0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86F37"/>
    <w:multiLevelType w:val="hybridMultilevel"/>
    <w:tmpl w:val="A5D4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D744C"/>
    <w:multiLevelType w:val="hybridMultilevel"/>
    <w:tmpl w:val="95427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A59D6"/>
    <w:multiLevelType w:val="hybridMultilevel"/>
    <w:tmpl w:val="23B2A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D226B44"/>
    <w:multiLevelType w:val="hybridMultilevel"/>
    <w:tmpl w:val="D02A7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75553"/>
    <w:multiLevelType w:val="multilevel"/>
    <w:tmpl w:val="37CC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932DE"/>
    <w:multiLevelType w:val="hybridMultilevel"/>
    <w:tmpl w:val="82CC605C"/>
    <w:lvl w:ilvl="0" w:tplc="2B942DA0">
      <w:start w:val="1"/>
      <w:numFmt w:val="bullet"/>
      <w:lvlText w:val=""/>
      <w:lvlJc w:val="left"/>
      <w:pPr>
        <w:ind w:left="720" w:hanging="360"/>
      </w:pPr>
      <w:rPr>
        <w:rFonts w:ascii="Symbol" w:hAnsi="Symbol" w:hint="default"/>
      </w:rPr>
    </w:lvl>
    <w:lvl w:ilvl="1" w:tplc="C966DE0C">
      <w:start w:val="1"/>
      <w:numFmt w:val="bullet"/>
      <w:lvlText w:val="o"/>
      <w:lvlJc w:val="left"/>
      <w:pPr>
        <w:ind w:left="1440" w:hanging="360"/>
      </w:pPr>
      <w:rPr>
        <w:rFonts w:ascii="Courier New" w:hAnsi="Courier New" w:cs="Times New Roman" w:hint="default"/>
      </w:rPr>
    </w:lvl>
    <w:lvl w:ilvl="2" w:tplc="2FE0F85A">
      <w:start w:val="1"/>
      <w:numFmt w:val="bullet"/>
      <w:lvlText w:val=""/>
      <w:lvlJc w:val="left"/>
      <w:pPr>
        <w:ind w:left="2160" w:hanging="360"/>
      </w:pPr>
      <w:rPr>
        <w:rFonts w:ascii="Wingdings" w:hAnsi="Wingdings" w:hint="default"/>
      </w:rPr>
    </w:lvl>
    <w:lvl w:ilvl="3" w:tplc="3EF6C32A">
      <w:start w:val="1"/>
      <w:numFmt w:val="bullet"/>
      <w:lvlText w:val=""/>
      <w:lvlJc w:val="left"/>
      <w:pPr>
        <w:ind w:left="2880" w:hanging="360"/>
      </w:pPr>
      <w:rPr>
        <w:rFonts w:ascii="Symbol" w:hAnsi="Symbol" w:hint="default"/>
      </w:rPr>
    </w:lvl>
    <w:lvl w:ilvl="4" w:tplc="B65ED2A8">
      <w:start w:val="1"/>
      <w:numFmt w:val="bullet"/>
      <w:lvlText w:val="o"/>
      <w:lvlJc w:val="left"/>
      <w:pPr>
        <w:ind w:left="3600" w:hanging="360"/>
      </w:pPr>
      <w:rPr>
        <w:rFonts w:ascii="Courier New" w:hAnsi="Courier New" w:cs="Times New Roman" w:hint="default"/>
      </w:rPr>
    </w:lvl>
    <w:lvl w:ilvl="5" w:tplc="1F3E1796">
      <w:start w:val="1"/>
      <w:numFmt w:val="bullet"/>
      <w:lvlText w:val=""/>
      <w:lvlJc w:val="left"/>
      <w:pPr>
        <w:ind w:left="4320" w:hanging="360"/>
      </w:pPr>
      <w:rPr>
        <w:rFonts w:ascii="Wingdings" w:hAnsi="Wingdings" w:hint="default"/>
      </w:rPr>
    </w:lvl>
    <w:lvl w:ilvl="6" w:tplc="422C1D80">
      <w:start w:val="1"/>
      <w:numFmt w:val="bullet"/>
      <w:lvlText w:val=""/>
      <w:lvlJc w:val="left"/>
      <w:pPr>
        <w:ind w:left="5040" w:hanging="360"/>
      </w:pPr>
      <w:rPr>
        <w:rFonts w:ascii="Symbol" w:hAnsi="Symbol" w:hint="default"/>
      </w:rPr>
    </w:lvl>
    <w:lvl w:ilvl="7" w:tplc="14F8B144">
      <w:start w:val="1"/>
      <w:numFmt w:val="bullet"/>
      <w:lvlText w:val="o"/>
      <w:lvlJc w:val="left"/>
      <w:pPr>
        <w:ind w:left="5760" w:hanging="360"/>
      </w:pPr>
      <w:rPr>
        <w:rFonts w:ascii="Courier New" w:hAnsi="Courier New" w:cs="Times New Roman" w:hint="default"/>
      </w:rPr>
    </w:lvl>
    <w:lvl w:ilvl="8" w:tplc="1F767C6C">
      <w:start w:val="1"/>
      <w:numFmt w:val="bullet"/>
      <w:lvlText w:val=""/>
      <w:lvlJc w:val="left"/>
      <w:pPr>
        <w:ind w:left="6480" w:hanging="360"/>
      </w:pPr>
      <w:rPr>
        <w:rFonts w:ascii="Wingdings" w:hAnsi="Wingdings" w:hint="default"/>
      </w:rPr>
    </w:lvl>
  </w:abstractNum>
  <w:abstractNum w:abstractNumId="10" w15:restartNumberingAfterBreak="0">
    <w:nsid w:val="26106F2B"/>
    <w:multiLevelType w:val="multilevel"/>
    <w:tmpl w:val="278C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84298"/>
    <w:multiLevelType w:val="multilevel"/>
    <w:tmpl w:val="2BF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25534"/>
    <w:multiLevelType w:val="multilevel"/>
    <w:tmpl w:val="EC1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4632AC"/>
    <w:multiLevelType w:val="multilevel"/>
    <w:tmpl w:val="73E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13032"/>
    <w:multiLevelType w:val="hybridMultilevel"/>
    <w:tmpl w:val="62CA3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C711E6"/>
    <w:multiLevelType w:val="hybridMultilevel"/>
    <w:tmpl w:val="EA1E1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6562352"/>
    <w:multiLevelType w:val="multilevel"/>
    <w:tmpl w:val="988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AB41DB"/>
    <w:multiLevelType w:val="hybridMultilevel"/>
    <w:tmpl w:val="754EB19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8" w15:restartNumberingAfterBreak="0">
    <w:nsid w:val="494517D4"/>
    <w:multiLevelType w:val="hybridMultilevel"/>
    <w:tmpl w:val="976A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F1913"/>
    <w:multiLevelType w:val="hybridMultilevel"/>
    <w:tmpl w:val="3056D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EA3F60"/>
    <w:multiLevelType w:val="multilevel"/>
    <w:tmpl w:val="33F4A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D6363D"/>
    <w:multiLevelType w:val="hybridMultilevel"/>
    <w:tmpl w:val="22463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D50540"/>
    <w:multiLevelType w:val="multilevel"/>
    <w:tmpl w:val="505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D09A4"/>
    <w:multiLevelType w:val="hybridMultilevel"/>
    <w:tmpl w:val="291EE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90E043B"/>
    <w:multiLevelType w:val="multilevel"/>
    <w:tmpl w:val="D90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924B98"/>
    <w:multiLevelType w:val="hybridMultilevel"/>
    <w:tmpl w:val="77A46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950C3D"/>
    <w:multiLevelType w:val="hybridMultilevel"/>
    <w:tmpl w:val="1CB81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8F05A0"/>
    <w:multiLevelType w:val="multilevel"/>
    <w:tmpl w:val="E56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5FAEFD"/>
    <w:multiLevelType w:val="hybridMultilevel"/>
    <w:tmpl w:val="9F144EB0"/>
    <w:lvl w:ilvl="0" w:tplc="4D1A508C">
      <w:start w:val="1"/>
      <w:numFmt w:val="bullet"/>
      <w:lvlText w:val=""/>
      <w:lvlJc w:val="left"/>
      <w:pPr>
        <w:ind w:left="0" w:hanging="360"/>
      </w:pPr>
      <w:rPr>
        <w:rFonts w:ascii="Symbol" w:hAnsi="Symbol" w:hint="default"/>
      </w:rPr>
    </w:lvl>
    <w:lvl w:ilvl="1" w:tplc="671C0BB6">
      <w:start w:val="1"/>
      <w:numFmt w:val="bullet"/>
      <w:lvlText w:val="o"/>
      <w:lvlJc w:val="left"/>
      <w:pPr>
        <w:ind w:left="720" w:hanging="360"/>
      </w:pPr>
      <w:rPr>
        <w:rFonts w:ascii="Courier New" w:hAnsi="Courier New" w:hint="default"/>
      </w:rPr>
    </w:lvl>
    <w:lvl w:ilvl="2" w:tplc="7FAC831E">
      <w:start w:val="1"/>
      <w:numFmt w:val="bullet"/>
      <w:lvlText w:val=""/>
      <w:lvlJc w:val="left"/>
      <w:pPr>
        <w:ind w:left="1440" w:hanging="360"/>
      </w:pPr>
      <w:rPr>
        <w:rFonts w:ascii="Wingdings" w:hAnsi="Wingdings" w:hint="default"/>
      </w:rPr>
    </w:lvl>
    <w:lvl w:ilvl="3" w:tplc="9D0C43CA">
      <w:start w:val="1"/>
      <w:numFmt w:val="bullet"/>
      <w:lvlText w:val=""/>
      <w:lvlJc w:val="left"/>
      <w:pPr>
        <w:ind w:left="2160" w:hanging="360"/>
      </w:pPr>
      <w:rPr>
        <w:rFonts w:ascii="Symbol" w:hAnsi="Symbol" w:hint="default"/>
      </w:rPr>
    </w:lvl>
    <w:lvl w:ilvl="4" w:tplc="286C43E6">
      <w:start w:val="1"/>
      <w:numFmt w:val="bullet"/>
      <w:lvlText w:val="o"/>
      <w:lvlJc w:val="left"/>
      <w:pPr>
        <w:ind w:left="2880" w:hanging="360"/>
      </w:pPr>
      <w:rPr>
        <w:rFonts w:ascii="Courier New" w:hAnsi="Courier New" w:hint="default"/>
      </w:rPr>
    </w:lvl>
    <w:lvl w:ilvl="5" w:tplc="3BAA6972">
      <w:start w:val="1"/>
      <w:numFmt w:val="bullet"/>
      <w:lvlText w:val=""/>
      <w:lvlJc w:val="left"/>
      <w:pPr>
        <w:ind w:left="3600" w:hanging="360"/>
      </w:pPr>
      <w:rPr>
        <w:rFonts w:ascii="Wingdings" w:hAnsi="Wingdings" w:hint="default"/>
      </w:rPr>
    </w:lvl>
    <w:lvl w:ilvl="6" w:tplc="B98A7A7E">
      <w:start w:val="1"/>
      <w:numFmt w:val="bullet"/>
      <w:lvlText w:val=""/>
      <w:lvlJc w:val="left"/>
      <w:pPr>
        <w:ind w:left="4320" w:hanging="360"/>
      </w:pPr>
      <w:rPr>
        <w:rFonts w:ascii="Symbol" w:hAnsi="Symbol" w:hint="default"/>
      </w:rPr>
    </w:lvl>
    <w:lvl w:ilvl="7" w:tplc="BA2CAE02">
      <w:start w:val="1"/>
      <w:numFmt w:val="bullet"/>
      <w:lvlText w:val="o"/>
      <w:lvlJc w:val="left"/>
      <w:pPr>
        <w:ind w:left="5040" w:hanging="360"/>
      </w:pPr>
      <w:rPr>
        <w:rFonts w:ascii="Courier New" w:hAnsi="Courier New" w:hint="default"/>
      </w:rPr>
    </w:lvl>
    <w:lvl w:ilvl="8" w:tplc="1EDC6994">
      <w:start w:val="1"/>
      <w:numFmt w:val="bullet"/>
      <w:lvlText w:val=""/>
      <w:lvlJc w:val="left"/>
      <w:pPr>
        <w:ind w:left="5760" w:hanging="360"/>
      </w:pPr>
      <w:rPr>
        <w:rFonts w:ascii="Wingdings" w:hAnsi="Wingdings" w:hint="default"/>
      </w:rPr>
    </w:lvl>
  </w:abstractNum>
  <w:num w:numId="1" w16cid:durableId="1972588240">
    <w:abstractNumId w:val="21"/>
  </w:num>
  <w:num w:numId="2" w16cid:durableId="1319383612">
    <w:abstractNumId w:val="14"/>
  </w:num>
  <w:num w:numId="3" w16cid:durableId="1918785726">
    <w:abstractNumId w:val="25"/>
  </w:num>
  <w:num w:numId="4" w16cid:durableId="1078329863">
    <w:abstractNumId w:val="8"/>
  </w:num>
  <w:num w:numId="5" w16cid:durableId="1809931150">
    <w:abstractNumId w:val="12"/>
  </w:num>
  <w:num w:numId="6" w16cid:durableId="362681422">
    <w:abstractNumId w:val="11"/>
  </w:num>
  <w:num w:numId="7" w16cid:durableId="606885551">
    <w:abstractNumId w:val="26"/>
  </w:num>
  <w:num w:numId="8" w16cid:durableId="1366365881">
    <w:abstractNumId w:val="10"/>
  </w:num>
  <w:num w:numId="9" w16cid:durableId="1997488540">
    <w:abstractNumId w:val="13"/>
  </w:num>
  <w:num w:numId="10" w16cid:durableId="1236166372">
    <w:abstractNumId w:val="16"/>
  </w:num>
  <w:num w:numId="11" w16cid:durableId="154761338">
    <w:abstractNumId w:val="2"/>
  </w:num>
  <w:num w:numId="12" w16cid:durableId="922103261">
    <w:abstractNumId w:val="0"/>
  </w:num>
  <w:num w:numId="13" w16cid:durableId="951008872">
    <w:abstractNumId w:val="28"/>
  </w:num>
  <w:num w:numId="14" w16cid:durableId="1783378730">
    <w:abstractNumId w:val="18"/>
  </w:num>
  <w:num w:numId="15" w16cid:durableId="154493724">
    <w:abstractNumId w:val="23"/>
  </w:num>
  <w:num w:numId="16" w16cid:durableId="1709719728">
    <w:abstractNumId w:val="5"/>
  </w:num>
  <w:num w:numId="17" w16cid:durableId="541330784">
    <w:abstractNumId w:val="24"/>
  </w:num>
  <w:num w:numId="18" w16cid:durableId="629242299">
    <w:abstractNumId w:val="15"/>
  </w:num>
  <w:num w:numId="19" w16cid:durableId="2045015880">
    <w:abstractNumId w:val="22"/>
  </w:num>
  <w:num w:numId="20" w16cid:durableId="1007562121">
    <w:abstractNumId w:val="4"/>
  </w:num>
  <w:num w:numId="21" w16cid:durableId="1138063456">
    <w:abstractNumId w:val="20"/>
  </w:num>
  <w:num w:numId="22" w16cid:durableId="1579486521">
    <w:abstractNumId w:val="17"/>
  </w:num>
  <w:num w:numId="23" w16cid:durableId="1199929308">
    <w:abstractNumId w:val="6"/>
  </w:num>
  <w:num w:numId="24" w16cid:durableId="1320311198">
    <w:abstractNumId w:val="29"/>
  </w:num>
  <w:num w:numId="25" w16cid:durableId="1754469735">
    <w:abstractNumId w:val="9"/>
  </w:num>
  <w:num w:numId="26" w16cid:durableId="718940553">
    <w:abstractNumId w:val="7"/>
  </w:num>
  <w:num w:numId="27" w16cid:durableId="616764783">
    <w:abstractNumId w:val="3"/>
  </w:num>
  <w:num w:numId="28" w16cid:durableId="976298894">
    <w:abstractNumId w:val="19"/>
  </w:num>
  <w:num w:numId="29" w16cid:durableId="1807699556">
    <w:abstractNumId w:val="27"/>
  </w:num>
  <w:num w:numId="30" w16cid:durableId="181582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F4"/>
    <w:rsid w:val="0000267D"/>
    <w:rsid w:val="00002806"/>
    <w:rsid w:val="000031BC"/>
    <w:rsid w:val="00003A56"/>
    <w:rsid w:val="00004A6E"/>
    <w:rsid w:val="000057A0"/>
    <w:rsid w:val="00013615"/>
    <w:rsid w:val="000168F9"/>
    <w:rsid w:val="00020223"/>
    <w:rsid w:val="00024C31"/>
    <w:rsid w:val="00025531"/>
    <w:rsid w:val="00026982"/>
    <w:rsid w:val="00026F23"/>
    <w:rsid w:val="00030486"/>
    <w:rsid w:val="00031345"/>
    <w:rsid w:val="000356D1"/>
    <w:rsid w:val="00036227"/>
    <w:rsid w:val="000433C3"/>
    <w:rsid w:val="00043CCC"/>
    <w:rsid w:val="00044160"/>
    <w:rsid w:val="00044CC1"/>
    <w:rsid w:val="00050530"/>
    <w:rsid w:val="0005334D"/>
    <w:rsid w:val="00053953"/>
    <w:rsid w:val="00053AB8"/>
    <w:rsid w:val="00053CFC"/>
    <w:rsid w:val="00054DE7"/>
    <w:rsid w:val="00055531"/>
    <w:rsid w:val="00060C8A"/>
    <w:rsid w:val="0006289B"/>
    <w:rsid w:val="0006533D"/>
    <w:rsid w:val="00070648"/>
    <w:rsid w:val="00082185"/>
    <w:rsid w:val="00082ACD"/>
    <w:rsid w:val="00084CCD"/>
    <w:rsid w:val="000876D2"/>
    <w:rsid w:val="00090D21"/>
    <w:rsid w:val="00090E23"/>
    <w:rsid w:val="000913F1"/>
    <w:rsid w:val="00091F57"/>
    <w:rsid w:val="000932EA"/>
    <w:rsid w:val="000A585B"/>
    <w:rsid w:val="000B0B1F"/>
    <w:rsid w:val="000C0C3D"/>
    <w:rsid w:val="000C0CAE"/>
    <w:rsid w:val="000C1F1B"/>
    <w:rsid w:val="000C1F7F"/>
    <w:rsid w:val="000D36E2"/>
    <w:rsid w:val="000D44A9"/>
    <w:rsid w:val="000D7ADE"/>
    <w:rsid w:val="000E032A"/>
    <w:rsid w:val="000E3956"/>
    <w:rsid w:val="000E479F"/>
    <w:rsid w:val="000E4882"/>
    <w:rsid w:val="000E771F"/>
    <w:rsid w:val="000F40B7"/>
    <w:rsid w:val="000F6968"/>
    <w:rsid w:val="000F70F1"/>
    <w:rsid w:val="000F7971"/>
    <w:rsid w:val="000F79A9"/>
    <w:rsid w:val="00104C4C"/>
    <w:rsid w:val="00120EAD"/>
    <w:rsid w:val="00123DC2"/>
    <w:rsid w:val="00130BDF"/>
    <w:rsid w:val="0013206D"/>
    <w:rsid w:val="00132D1A"/>
    <w:rsid w:val="00135C73"/>
    <w:rsid w:val="00137925"/>
    <w:rsid w:val="00141D81"/>
    <w:rsid w:val="0014227E"/>
    <w:rsid w:val="0014276D"/>
    <w:rsid w:val="00143162"/>
    <w:rsid w:val="00144BFC"/>
    <w:rsid w:val="00144CA7"/>
    <w:rsid w:val="00146180"/>
    <w:rsid w:val="00146633"/>
    <w:rsid w:val="001474B9"/>
    <w:rsid w:val="00147C38"/>
    <w:rsid w:val="0015226D"/>
    <w:rsid w:val="001571CF"/>
    <w:rsid w:val="00161534"/>
    <w:rsid w:val="00164F40"/>
    <w:rsid w:val="001757FF"/>
    <w:rsid w:val="00176536"/>
    <w:rsid w:val="00180400"/>
    <w:rsid w:val="0018053B"/>
    <w:rsid w:val="001812E3"/>
    <w:rsid w:val="001853D3"/>
    <w:rsid w:val="0019030D"/>
    <w:rsid w:val="001920D3"/>
    <w:rsid w:val="00192804"/>
    <w:rsid w:val="001A2834"/>
    <w:rsid w:val="001A28F4"/>
    <w:rsid w:val="001B2B32"/>
    <w:rsid w:val="001B3B06"/>
    <w:rsid w:val="001B4219"/>
    <w:rsid w:val="001C3200"/>
    <w:rsid w:val="001C4FD9"/>
    <w:rsid w:val="001C583A"/>
    <w:rsid w:val="001E1756"/>
    <w:rsid w:val="001E1C30"/>
    <w:rsid w:val="001E368F"/>
    <w:rsid w:val="001E3D27"/>
    <w:rsid w:val="001E6C7E"/>
    <w:rsid w:val="001F2E36"/>
    <w:rsid w:val="001F4CDE"/>
    <w:rsid w:val="001F6FC6"/>
    <w:rsid w:val="001F721C"/>
    <w:rsid w:val="001F7651"/>
    <w:rsid w:val="00205AE0"/>
    <w:rsid w:val="00206A8A"/>
    <w:rsid w:val="00210464"/>
    <w:rsid w:val="0021345E"/>
    <w:rsid w:val="00215678"/>
    <w:rsid w:val="00217B63"/>
    <w:rsid w:val="0022083A"/>
    <w:rsid w:val="00222929"/>
    <w:rsid w:val="00223956"/>
    <w:rsid w:val="00224E81"/>
    <w:rsid w:val="00230AE2"/>
    <w:rsid w:val="00236C20"/>
    <w:rsid w:val="00237644"/>
    <w:rsid w:val="00242A0F"/>
    <w:rsid w:val="00243AE7"/>
    <w:rsid w:val="002449D1"/>
    <w:rsid w:val="002476AE"/>
    <w:rsid w:val="00262D60"/>
    <w:rsid w:val="00262E3B"/>
    <w:rsid w:val="002664C3"/>
    <w:rsid w:val="00270160"/>
    <w:rsid w:val="00270595"/>
    <w:rsid w:val="00273D85"/>
    <w:rsid w:val="002748AC"/>
    <w:rsid w:val="002756FA"/>
    <w:rsid w:val="00275811"/>
    <w:rsid w:val="00277203"/>
    <w:rsid w:val="00277D81"/>
    <w:rsid w:val="002818DE"/>
    <w:rsid w:val="00282718"/>
    <w:rsid w:val="00282DB4"/>
    <w:rsid w:val="002908A8"/>
    <w:rsid w:val="00294CAC"/>
    <w:rsid w:val="00295BE8"/>
    <w:rsid w:val="002967B1"/>
    <w:rsid w:val="002A14A4"/>
    <w:rsid w:val="002A2070"/>
    <w:rsid w:val="002A359B"/>
    <w:rsid w:val="002A5241"/>
    <w:rsid w:val="002B1BB6"/>
    <w:rsid w:val="002B20BE"/>
    <w:rsid w:val="002B36F5"/>
    <w:rsid w:val="002B3C8D"/>
    <w:rsid w:val="002C1D28"/>
    <w:rsid w:val="002C29C0"/>
    <w:rsid w:val="002C3099"/>
    <w:rsid w:val="002C3AC1"/>
    <w:rsid w:val="002D0374"/>
    <w:rsid w:val="002D3288"/>
    <w:rsid w:val="002D6D3D"/>
    <w:rsid w:val="002D7989"/>
    <w:rsid w:val="002D7C44"/>
    <w:rsid w:val="002E0BE0"/>
    <w:rsid w:val="002E0F96"/>
    <w:rsid w:val="002E13D4"/>
    <w:rsid w:val="002E3841"/>
    <w:rsid w:val="002E67D4"/>
    <w:rsid w:val="002E7FBA"/>
    <w:rsid w:val="002F37BD"/>
    <w:rsid w:val="002F37C4"/>
    <w:rsid w:val="002F45D8"/>
    <w:rsid w:val="002F50A3"/>
    <w:rsid w:val="002F64F2"/>
    <w:rsid w:val="00301369"/>
    <w:rsid w:val="00303648"/>
    <w:rsid w:val="00305793"/>
    <w:rsid w:val="00306B4B"/>
    <w:rsid w:val="00320048"/>
    <w:rsid w:val="0033011A"/>
    <w:rsid w:val="0033247B"/>
    <w:rsid w:val="0033265E"/>
    <w:rsid w:val="00332FB0"/>
    <w:rsid w:val="00333ED3"/>
    <w:rsid w:val="003374E7"/>
    <w:rsid w:val="003433C8"/>
    <w:rsid w:val="00345BFB"/>
    <w:rsid w:val="003461B5"/>
    <w:rsid w:val="00346CF6"/>
    <w:rsid w:val="00354B61"/>
    <w:rsid w:val="00355788"/>
    <w:rsid w:val="003568FA"/>
    <w:rsid w:val="00356B04"/>
    <w:rsid w:val="0036272E"/>
    <w:rsid w:val="00365417"/>
    <w:rsid w:val="0037348A"/>
    <w:rsid w:val="0037411B"/>
    <w:rsid w:val="003753C3"/>
    <w:rsid w:val="003762DE"/>
    <w:rsid w:val="00377473"/>
    <w:rsid w:val="0038049B"/>
    <w:rsid w:val="00384755"/>
    <w:rsid w:val="00384BB0"/>
    <w:rsid w:val="00392B32"/>
    <w:rsid w:val="0039454D"/>
    <w:rsid w:val="00394810"/>
    <w:rsid w:val="003A0A92"/>
    <w:rsid w:val="003A3E3E"/>
    <w:rsid w:val="003A5B74"/>
    <w:rsid w:val="003A67B3"/>
    <w:rsid w:val="003B0881"/>
    <w:rsid w:val="003B26E4"/>
    <w:rsid w:val="003B48DC"/>
    <w:rsid w:val="003C122C"/>
    <w:rsid w:val="003C15D3"/>
    <w:rsid w:val="003C18DA"/>
    <w:rsid w:val="003C273D"/>
    <w:rsid w:val="003C4C17"/>
    <w:rsid w:val="003C5FD7"/>
    <w:rsid w:val="003E0415"/>
    <w:rsid w:val="003E148F"/>
    <w:rsid w:val="003E17C5"/>
    <w:rsid w:val="003E3EFB"/>
    <w:rsid w:val="003E4244"/>
    <w:rsid w:val="003E522A"/>
    <w:rsid w:val="003E55E3"/>
    <w:rsid w:val="003E6C0B"/>
    <w:rsid w:val="003E7902"/>
    <w:rsid w:val="003F0D75"/>
    <w:rsid w:val="003F2EB3"/>
    <w:rsid w:val="003F3E97"/>
    <w:rsid w:val="003F43DF"/>
    <w:rsid w:val="0040027D"/>
    <w:rsid w:val="0040065E"/>
    <w:rsid w:val="0040201A"/>
    <w:rsid w:val="0040343E"/>
    <w:rsid w:val="004065D2"/>
    <w:rsid w:val="00410385"/>
    <w:rsid w:val="0041062E"/>
    <w:rsid w:val="00410777"/>
    <w:rsid w:val="00410B5E"/>
    <w:rsid w:val="00411401"/>
    <w:rsid w:val="00411763"/>
    <w:rsid w:val="004167DD"/>
    <w:rsid w:val="004237C0"/>
    <w:rsid w:val="00425220"/>
    <w:rsid w:val="004254E9"/>
    <w:rsid w:val="00433DFA"/>
    <w:rsid w:val="0043665C"/>
    <w:rsid w:val="00441E74"/>
    <w:rsid w:val="00444141"/>
    <w:rsid w:val="00444FAD"/>
    <w:rsid w:val="00454B45"/>
    <w:rsid w:val="00460714"/>
    <w:rsid w:val="00461B93"/>
    <w:rsid w:val="004629A3"/>
    <w:rsid w:val="00462C7B"/>
    <w:rsid w:val="0046479E"/>
    <w:rsid w:val="004654D8"/>
    <w:rsid w:val="00467867"/>
    <w:rsid w:val="00473603"/>
    <w:rsid w:val="00475D57"/>
    <w:rsid w:val="004765F8"/>
    <w:rsid w:val="00476F24"/>
    <w:rsid w:val="00481651"/>
    <w:rsid w:val="0049037D"/>
    <w:rsid w:val="004930CA"/>
    <w:rsid w:val="004940D7"/>
    <w:rsid w:val="00496137"/>
    <w:rsid w:val="004964C8"/>
    <w:rsid w:val="00496B84"/>
    <w:rsid w:val="004A06F7"/>
    <w:rsid w:val="004A6BC1"/>
    <w:rsid w:val="004B0024"/>
    <w:rsid w:val="004B2AC2"/>
    <w:rsid w:val="004B71FC"/>
    <w:rsid w:val="004B75EC"/>
    <w:rsid w:val="004B7AEB"/>
    <w:rsid w:val="004D237D"/>
    <w:rsid w:val="004D307F"/>
    <w:rsid w:val="004D588A"/>
    <w:rsid w:val="004D7317"/>
    <w:rsid w:val="004E21EE"/>
    <w:rsid w:val="004E353E"/>
    <w:rsid w:val="004E59C8"/>
    <w:rsid w:val="004E6D7F"/>
    <w:rsid w:val="004E79B6"/>
    <w:rsid w:val="004F62F1"/>
    <w:rsid w:val="004F757E"/>
    <w:rsid w:val="004F7F23"/>
    <w:rsid w:val="00501197"/>
    <w:rsid w:val="00502D6F"/>
    <w:rsid w:val="00505D11"/>
    <w:rsid w:val="005071B5"/>
    <w:rsid w:val="005100D8"/>
    <w:rsid w:val="005118D1"/>
    <w:rsid w:val="00517794"/>
    <w:rsid w:val="00521026"/>
    <w:rsid w:val="00522339"/>
    <w:rsid w:val="0052486B"/>
    <w:rsid w:val="005262EE"/>
    <w:rsid w:val="00530473"/>
    <w:rsid w:val="00532B23"/>
    <w:rsid w:val="00534629"/>
    <w:rsid w:val="00544038"/>
    <w:rsid w:val="005468AB"/>
    <w:rsid w:val="00551B0C"/>
    <w:rsid w:val="00552083"/>
    <w:rsid w:val="00561A22"/>
    <w:rsid w:val="005650B9"/>
    <w:rsid w:val="005669BD"/>
    <w:rsid w:val="00567E4B"/>
    <w:rsid w:val="005727F0"/>
    <w:rsid w:val="005728CD"/>
    <w:rsid w:val="00573FE4"/>
    <w:rsid w:val="0057556A"/>
    <w:rsid w:val="00577877"/>
    <w:rsid w:val="00580711"/>
    <w:rsid w:val="00580863"/>
    <w:rsid w:val="005820DB"/>
    <w:rsid w:val="00585360"/>
    <w:rsid w:val="005872E3"/>
    <w:rsid w:val="00587CDB"/>
    <w:rsid w:val="005913F9"/>
    <w:rsid w:val="00591B33"/>
    <w:rsid w:val="00592653"/>
    <w:rsid w:val="00594303"/>
    <w:rsid w:val="005A0E37"/>
    <w:rsid w:val="005A592F"/>
    <w:rsid w:val="005B46DB"/>
    <w:rsid w:val="005C0448"/>
    <w:rsid w:val="005C10D7"/>
    <w:rsid w:val="005C2DCA"/>
    <w:rsid w:val="005C7749"/>
    <w:rsid w:val="005D0A8A"/>
    <w:rsid w:val="005D7C88"/>
    <w:rsid w:val="005E228D"/>
    <w:rsid w:val="005E4E3B"/>
    <w:rsid w:val="005E5897"/>
    <w:rsid w:val="005F0217"/>
    <w:rsid w:val="005F0832"/>
    <w:rsid w:val="005F4B67"/>
    <w:rsid w:val="006007DF"/>
    <w:rsid w:val="00600893"/>
    <w:rsid w:val="00606C66"/>
    <w:rsid w:val="00606C88"/>
    <w:rsid w:val="00611E02"/>
    <w:rsid w:val="00624D5A"/>
    <w:rsid w:val="006251BF"/>
    <w:rsid w:val="00630100"/>
    <w:rsid w:val="0063069B"/>
    <w:rsid w:val="00634C5D"/>
    <w:rsid w:val="00642FFF"/>
    <w:rsid w:val="00655482"/>
    <w:rsid w:val="00655A14"/>
    <w:rsid w:val="0066075E"/>
    <w:rsid w:val="00661B45"/>
    <w:rsid w:val="00662CB5"/>
    <w:rsid w:val="006646F2"/>
    <w:rsid w:val="00665B39"/>
    <w:rsid w:val="00667FA9"/>
    <w:rsid w:val="00672C69"/>
    <w:rsid w:val="00676AA5"/>
    <w:rsid w:val="00680CFD"/>
    <w:rsid w:val="006847EC"/>
    <w:rsid w:val="00685E0A"/>
    <w:rsid w:val="00691713"/>
    <w:rsid w:val="006927F3"/>
    <w:rsid w:val="00692DB8"/>
    <w:rsid w:val="00694608"/>
    <w:rsid w:val="006A20E7"/>
    <w:rsid w:val="006A2D3C"/>
    <w:rsid w:val="006A5D54"/>
    <w:rsid w:val="006A7CD5"/>
    <w:rsid w:val="006B15D5"/>
    <w:rsid w:val="006B1FC9"/>
    <w:rsid w:val="006B3860"/>
    <w:rsid w:val="006B4397"/>
    <w:rsid w:val="006B569A"/>
    <w:rsid w:val="006B6638"/>
    <w:rsid w:val="006B6F95"/>
    <w:rsid w:val="006C0B42"/>
    <w:rsid w:val="006C2093"/>
    <w:rsid w:val="006C47CA"/>
    <w:rsid w:val="006C5A3F"/>
    <w:rsid w:val="006D0712"/>
    <w:rsid w:val="006D3B9E"/>
    <w:rsid w:val="006E0126"/>
    <w:rsid w:val="006E3EB9"/>
    <w:rsid w:val="006F1CCC"/>
    <w:rsid w:val="00702342"/>
    <w:rsid w:val="0070385C"/>
    <w:rsid w:val="00704FC9"/>
    <w:rsid w:val="00705594"/>
    <w:rsid w:val="0071000C"/>
    <w:rsid w:val="00711537"/>
    <w:rsid w:val="00712BF7"/>
    <w:rsid w:val="00714C21"/>
    <w:rsid w:val="00715142"/>
    <w:rsid w:val="00725EE7"/>
    <w:rsid w:val="00727163"/>
    <w:rsid w:val="00731F46"/>
    <w:rsid w:val="00732044"/>
    <w:rsid w:val="00744B4E"/>
    <w:rsid w:val="007455BB"/>
    <w:rsid w:val="00745781"/>
    <w:rsid w:val="007473BD"/>
    <w:rsid w:val="00750DEF"/>
    <w:rsid w:val="00750F01"/>
    <w:rsid w:val="00751B84"/>
    <w:rsid w:val="00754E44"/>
    <w:rsid w:val="0076124E"/>
    <w:rsid w:val="00761965"/>
    <w:rsid w:val="00763517"/>
    <w:rsid w:val="00774CA6"/>
    <w:rsid w:val="00776CDD"/>
    <w:rsid w:val="00777600"/>
    <w:rsid w:val="00784620"/>
    <w:rsid w:val="00784FDC"/>
    <w:rsid w:val="00785B24"/>
    <w:rsid w:val="00785E49"/>
    <w:rsid w:val="00786199"/>
    <w:rsid w:val="00793ABD"/>
    <w:rsid w:val="007942C5"/>
    <w:rsid w:val="00796A28"/>
    <w:rsid w:val="007A769B"/>
    <w:rsid w:val="007A7B05"/>
    <w:rsid w:val="007B0F2B"/>
    <w:rsid w:val="007B3242"/>
    <w:rsid w:val="007B361A"/>
    <w:rsid w:val="007B3ABC"/>
    <w:rsid w:val="007C0714"/>
    <w:rsid w:val="007C3F9A"/>
    <w:rsid w:val="007C4D77"/>
    <w:rsid w:val="007C6490"/>
    <w:rsid w:val="007D011D"/>
    <w:rsid w:val="007D1D3F"/>
    <w:rsid w:val="007E0C09"/>
    <w:rsid w:val="007E2B22"/>
    <w:rsid w:val="007F1FD7"/>
    <w:rsid w:val="007F4C30"/>
    <w:rsid w:val="00800C28"/>
    <w:rsid w:val="00803D15"/>
    <w:rsid w:val="00804E47"/>
    <w:rsid w:val="008101C9"/>
    <w:rsid w:val="008117E5"/>
    <w:rsid w:val="00811D16"/>
    <w:rsid w:val="00815734"/>
    <w:rsid w:val="008224FB"/>
    <w:rsid w:val="0082425D"/>
    <w:rsid w:val="0082536E"/>
    <w:rsid w:val="0083013D"/>
    <w:rsid w:val="0083393D"/>
    <w:rsid w:val="00837BF9"/>
    <w:rsid w:val="008416B5"/>
    <w:rsid w:val="0085307E"/>
    <w:rsid w:val="00854598"/>
    <w:rsid w:val="00855AD6"/>
    <w:rsid w:val="00856D87"/>
    <w:rsid w:val="00860B2B"/>
    <w:rsid w:val="00861783"/>
    <w:rsid w:val="00863AC5"/>
    <w:rsid w:val="0086772E"/>
    <w:rsid w:val="0086782D"/>
    <w:rsid w:val="0087158E"/>
    <w:rsid w:val="00872E03"/>
    <w:rsid w:val="00874646"/>
    <w:rsid w:val="008854F6"/>
    <w:rsid w:val="00887595"/>
    <w:rsid w:val="0089026C"/>
    <w:rsid w:val="008A3C35"/>
    <w:rsid w:val="008A5DA4"/>
    <w:rsid w:val="008A5F4D"/>
    <w:rsid w:val="008B0D31"/>
    <w:rsid w:val="008B1DB0"/>
    <w:rsid w:val="008B2C82"/>
    <w:rsid w:val="008B685C"/>
    <w:rsid w:val="008C0831"/>
    <w:rsid w:val="008C0D98"/>
    <w:rsid w:val="008C33AC"/>
    <w:rsid w:val="008C4E4E"/>
    <w:rsid w:val="008C549E"/>
    <w:rsid w:val="008D1BA0"/>
    <w:rsid w:val="008D29F1"/>
    <w:rsid w:val="008D3723"/>
    <w:rsid w:val="008E1AD4"/>
    <w:rsid w:val="008E203E"/>
    <w:rsid w:val="008E2CB2"/>
    <w:rsid w:val="008E36D4"/>
    <w:rsid w:val="008E6BF3"/>
    <w:rsid w:val="008F4027"/>
    <w:rsid w:val="008F56E9"/>
    <w:rsid w:val="0090426A"/>
    <w:rsid w:val="0090526F"/>
    <w:rsid w:val="00906CE8"/>
    <w:rsid w:val="00906EF2"/>
    <w:rsid w:val="00910ABD"/>
    <w:rsid w:val="009110A0"/>
    <w:rsid w:val="00914E67"/>
    <w:rsid w:val="00924701"/>
    <w:rsid w:val="00924A14"/>
    <w:rsid w:val="00926E49"/>
    <w:rsid w:val="00934CDE"/>
    <w:rsid w:val="00935651"/>
    <w:rsid w:val="00936D41"/>
    <w:rsid w:val="00937FF2"/>
    <w:rsid w:val="009403C6"/>
    <w:rsid w:val="00941941"/>
    <w:rsid w:val="00943998"/>
    <w:rsid w:val="00946EBD"/>
    <w:rsid w:val="009475DD"/>
    <w:rsid w:val="0095024C"/>
    <w:rsid w:val="00951A17"/>
    <w:rsid w:val="00953DC6"/>
    <w:rsid w:val="009550F5"/>
    <w:rsid w:val="009554E9"/>
    <w:rsid w:val="00955EFB"/>
    <w:rsid w:val="0095760A"/>
    <w:rsid w:val="00957836"/>
    <w:rsid w:val="00961874"/>
    <w:rsid w:val="00961902"/>
    <w:rsid w:val="009625F7"/>
    <w:rsid w:val="00964242"/>
    <w:rsid w:val="009646F8"/>
    <w:rsid w:val="00967142"/>
    <w:rsid w:val="009672FC"/>
    <w:rsid w:val="00971626"/>
    <w:rsid w:val="00975912"/>
    <w:rsid w:val="00975EA7"/>
    <w:rsid w:val="00990ABF"/>
    <w:rsid w:val="0099453B"/>
    <w:rsid w:val="00995813"/>
    <w:rsid w:val="009978A1"/>
    <w:rsid w:val="009A093C"/>
    <w:rsid w:val="009A2BBD"/>
    <w:rsid w:val="009A3A1F"/>
    <w:rsid w:val="009A54F2"/>
    <w:rsid w:val="009A5579"/>
    <w:rsid w:val="009A75DE"/>
    <w:rsid w:val="009B108A"/>
    <w:rsid w:val="009B1F82"/>
    <w:rsid w:val="009B31FA"/>
    <w:rsid w:val="009B4F55"/>
    <w:rsid w:val="009B6980"/>
    <w:rsid w:val="009B7FD7"/>
    <w:rsid w:val="009C61CF"/>
    <w:rsid w:val="009D1DF9"/>
    <w:rsid w:val="009D311D"/>
    <w:rsid w:val="009D4777"/>
    <w:rsid w:val="009D49C1"/>
    <w:rsid w:val="009E2AEB"/>
    <w:rsid w:val="009E364E"/>
    <w:rsid w:val="009E42AC"/>
    <w:rsid w:val="009E4AE4"/>
    <w:rsid w:val="009E4B55"/>
    <w:rsid w:val="009E6481"/>
    <w:rsid w:val="009E6EF4"/>
    <w:rsid w:val="009F48C5"/>
    <w:rsid w:val="009F7201"/>
    <w:rsid w:val="009F73A0"/>
    <w:rsid w:val="009F75AE"/>
    <w:rsid w:val="00A00699"/>
    <w:rsid w:val="00A016D4"/>
    <w:rsid w:val="00A030D8"/>
    <w:rsid w:val="00A0747B"/>
    <w:rsid w:val="00A107DC"/>
    <w:rsid w:val="00A113F9"/>
    <w:rsid w:val="00A12DC1"/>
    <w:rsid w:val="00A12F25"/>
    <w:rsid w:val="00A12F26"/>
    <w:rsid w:val="00A15F7F"/>
    <w:rsid w:val="00A17BA0"/>
    <w:rsid w:val="00A21785"/>
    <w:rsid w:val="00A21DB3"/>
    <w:rsid w:val="00A23A80"/>
    <w:rsid w:val="00A272B1"/>
    <w:rsid w:val="00A27968"/>
    <w:rsid w:val="00A3242F"/>
    <w:rsid w:val="00A33C45"/>
    <w:rsid w:val="00A35B9C"/>
    <w:rsid w:val="00A403BE"/>
    <w:rsid w:val="00A4052A"/>
    <w:rsid w:val="00A414E3"/>
    <w:rsid w:val="00A43A3A"/>
    <w:rsid w:val="00A45D83"/>
    <w:rsid w:val="00A538EC"/>
    <w:rsid w:val="00A56176"/>
    <w:rsid w:val="00A564A5"/>
    <w:rsid w:val="00A60004"/>
    <w:rsid w:val="00A72EE7"/>
    <w:rsid w:val="00A7304E"/>
    <w:rsid w:val="00A7335A"/>
    <w:rsid w:val="00A75543"/>
    <w:rsid w:val="00A760FD"/>
    <w:rsid w:val="00A76C69"/>
    <w:rsid w:val="00A84A26"/>
    <w:rsid w:val="00A91E27"/>
    <w:rsid w:val="00A93313"/>
    <w:rsid w:val="00A95D2D"/>
    <w:rsid w:val="00A9669E"/>
    <w:rsid w:val="00AA2113"/>
    <w:rsid w:val="00AA54E0"/>
    <w:rsid w:val="00AA7236"/>
    <w:rsid w:val="00AB2ECD"/>
    <w:rsid w:val="00AB5E2B"/>
    <w:rsid w:val="00AB5FC6"/>
    <w:rsid w:val="00AB7484"/>
    <w:rsid w:val="00AC60FD"/>
    <w:rsid w:val="00AC7E64"/>
    <w:rsid w:val="00AD00EF"/>
    <w:rsid w:val="00AD18F8"/>
    <w:rsid w:val="00AD2A36"/>
    <w:rsid w:val="00AD43CA"/>
    <w:rsid w:val="00AE33EB"/>
    <w:rsid w:val="00AE3E66"/>
    <w:rsid w:val="00AE539F"/>
    <w:rsid w:val="00AE570D"/>
    <w:rsid w:val="00AE69A5"/>
    <w:rsid w:val="00AE78BA"/>
    <w:rsid w:val="00AE794A"/>
    <w:rsid w:val="00AF175D"/>
    <w:rsid w:val="00AF2E59"/>
    <w:rsid w:val="00AF3BDE"/>
    <w:rsid w:val="00AF6E8B"/>
    <w:rsid w:val="00B00722"/>
    <w:rsid w:val="00B02945"/>
    <w:rsid w:val="00B05949"/>
    <w:rsid w:val="00B063C2"/>
    <w:rsid w:val="00B11834"/>
    <w:rsid w:val="00B1781D"/>
    <w:rsid w:val="00B24840"/>
    <w:rsid w:val="00B254F6"/>
    <w:rsid w:val="00B2758A"/>
    <w:rsid w:val="00B31E1A"/>
    <w:rsid w:val="00B3251F"/>
    <w:rsid w:val="00B32E4E"/>
    <w:rsid w:val="00B3759A"/>
    <w:rsid w:val="00B40A35"/>
    <w:rsid w:val="00B413ED"/>
    <w:rsid w:val="00B57D23"/>
    <w:rsid w:val="00B60D5F"/>
    <w:rsid w:val="00B61828"/>
    <w:rsid w:val="00B648DB"/>
    <w:rsid w:val="00B6743D"/>
    <w:rsid w:val="00B756EF"/>
    <w:rsid w:val="00B76A4E"/>
    <w:rsid w:val="00B777AC"/>
    <w:rsid w:val="00B82224"/>
    <w:rsid w:val="00B82E6B"/>
    <w:rsid w:val="00B850FB"/>
    <w:rsid w:val="00B94EFB"/>
    <w:rsid w:val="00B95EDD"/>
    <w:rsid w:val="00B96989"/>
    <w:rsid w:val="00BA01C6"/>
    <w:rsid w:val="00BA23AF"/>
    <w:rsid w:val="00BA2E5D"/>
    <w:rsid w:val="00BA76F4"/>
    <w:rsid w:val="00BB2FEB"/>
    <w:rsid w:val="00BB47D9"/>
    <w:rsid w:val="00BB4B9F"/>
    <w:rsid w:val="00BB5BE4"/>
    <w:rsid w:val="00BB5D53"/>
    <w:rsid w:val="00BB7EA7"/>
    <w:rsid w:val="00BC022D"/>
    <w:rsid w:val="00BC1376"/>
    <w:rsid w:val="00BC24BC"/>
    <w:rsid w:val="00BC2D73"/>
    <w:rsid w:val="00BD19DE"/>
    <w:rsid w:val="00BD1F98"/>
    <w:rsid w:val="00BD27AD"/>
    <w:rsid w:val="00BD58C1"/>
    <w:rsid w:val="00BD67CC"/>
    <w:rsid w:val="00BE0121"/>
    <w:rsid w:val="00BE1575"/>
    <w:rsid w:val="00BE1744"/>
    <w:rsid w:val="00BE2D80"/>
    <w:rsid w:val="00BE4164"/>
    <w:rsid w:val="00BE79C0"/>
    <w:rsid w:val="00BE7F69"/>
    <w:rsid w:val="00BF1474"/>
    <w:rsid w:val="00C0094E"/>
    <w:rsid w:val="00C01309"/>
    <w:rsid w:val="00C01A61"/>
    <w:rsid w:val="00C01D0A"/>
    <w:rsid w:val="00C0313E"/>
    <w:rsid w:val="00C07ED9"/>
    <w:rsid w:val="00C10685"/>
    <w:rsid w:val="00C136DC"/>
    <w:rsid w:val="00C14619"/>
    <w:rsid w:val="00C16754"/>
    <w:rsid w:val="00C17CE8"/>
    <w:rsid w:val="00C22AD9"/>
    <w:rsid w:val="00C32BC5"/>
    <w:rsid w:val="00C339B1"/>
    <w:rsid w:val="00C40E68"/>
    <w:rsid w:val="00C41EDF"/>
    <w:rsid w:val="00C4628B"/>
    <w:rsid w:val="00C506EB"/>
    <w:rsid w:val="00C51BCD"/>
    <w:rsid w:val="00C52853"/>
    <w:rsid w:val="00C52CE2"/>
    <w:rsid w:val="00C541CF"/>
    <w:rsid w:val="00C56906"/>
    <w:rsid w:val="00C56E08"/>
    <w:rsid w:val="00C6213C"/>
    <w:rsid w:val="00C658D0"/>
    <w:rsid w:val="00C6766B"/>
    <w:rsid w:val="00C70011"/>
    <w:rsid w:val="00C7275E"/>
    <w:rsid w:val="00C73FCC"/>
    <w:rsid w:val="00C747FA"/>
    <w:rsid w:val="00C77C12"/>
    <w:rsid w:val="00C822C6"/>
    <w:rsid w:val="00C834C2"/>
    <w:rsid w:val="00C83898"/>
    <w:rsid w:val="00C867E0"/>
    <w:rsid w:val="00C8768B"/>
    <w:rsid w:val="00C9186B"/>
    <w:rsid w:val="00C92075"/>
    <w:rsid w:val="00C9220F"/>
    <w:rsid w:val="00C966BB"/>
    <w:rsid w:val="00C96FE7"/>
    <w:rsid w:val="00CA5897"/>
    <w:rsid w:val="00CB1E01"/>
    <w:rsid w:val="00CB2CA7"/>
    <w:rsid w:val="00CB38D4"/>
    <w:rsid w:val="00CC69E7"/>
    <w:rsid w:val="00CD0F82"/>
    <w:rsid w:val="00CD32B1"/>
    <w:rsid w:val="00CD3AB4"/>
    <w:rsid w:val="00CD3FA8"/>
    <w:rsid w:val="00CD56DC"/>
    <w:rsid w:val="00CD6A4F"/>
    <w:rsid w:val="00CE1DD7"/>
    <w:rsid w:val="00CE32E6"/>
    <w:rsid w:val="00CE52EB"/>
    <w:rsid w:val="00CF2C46"/>
    <w:rsid w:val="00CF4E00"/>
    <w:rsid w:val="00D029D8"/>
    <w:rsid w:val="00D02CD7"/>
    <w:rsid w:val="00D06FBC"/>
    <w:rsid w:val="00D07541"/>
    <w:rsid w:val="00D116B9"/>
    <w:rsid w:val="00D12AB2"/>
    <w:rsid w:val="00D13D28"/>
    <w:rsid w:val="00D25498"/>
    <w:rsid w:val="00D3503B"/>
    <w:rsid w:val="00D3750E"/>
    <w:rsid w:val="00D4235D"/>
    <w:rsid w:val="00D475F8"/>
    <w:rsid w:val="00D52434"/>
    <w:rsid w:val="00D557B6"/>
    <w:rsid w:val="00D57FD9"/>
    <w:rsid w:val="00D63408"/>
    <w:rsid w:val="00D72790"/>
    <w:rsid w:val="00D73D7C"/>
    <w:rsid w:val="00D74CFC"/>
    <w:rsid w:val="00D75D19"/>
    <w:rsid w:val="00D765EB"/>
    <w:rsid w:val="00D77619"/>
    <w:rsid w:val="00D80B05"/>
    <w:rsid w:val="00D82358"/>
    <w:rsid w:val="00D836A0"/>
    <w:rsid w:val="00D855DC"/>
    <w:rsid w:val="00D863D7"/>
    <w:rsid w:val="00D8743C"/>
    <w:rsid w:val="00D90D84"/>
    <w:rsid w:val="00D90EDC"/>
    <w:rsid w:val="00D91AA0"/>
    <w:rsid w:val="00D92894"/>
    <w:rsid w:val="00D96F04"/>
    <w:rsid w:val="00D97637"/>
    <w:rsid w:val="00DA22D6"/>
    <w:rsid w:val="00DA3C14"/>
    <w:rsid w:val="00DA6790"/>
    <w:rsid w:val="00DA7AED"/>
    <w:rsid w:val="00DB26FC"/>
    <w:rsid w:val="00DB3CE7"/>
    <w:rsid w:val="00DB6A89"/>
    <w:rsid w:val="00DC0EA8"/>
    <w:rsid w:val="00DC1762"/>
    <w:rsid w:val="00DC2B9D"/>
    <w:rsid w:val="00DC385C"/>
    <w:rsid w:val="00DC40F3"/>
    <w:rsid w:val="00DC6866"/>
    <w:rsid w:val="00DE0357"/>
    <w:rsid w:val="00DE08B1"/>
    <w:rsid w:val="00DE187F"/>
    <w:rsid w:val="00DE438E"/>
    <w:rsid w:val="00DE4BF9"/>
    <w:rsid w:val="00DE4C87"/>
    <w:rsid w:val="00DE76B7"/>
    <w:rsid w:val="00DF170C"/>
    <w:rsid w:val="00DF3E75"/>
    <w:rsid w:val="00DF41F0"/>
    <w:rsid w:val="00DF45EC"/>
    <w:rsid w:val="00DF6B71"/>
    <w:rsid w:val="00E01F6C"/>
    <w:rsid w:val="00E031F4"/>
    <w:rsid w:val="00E1041C"/>
    <w:rsid w:val="00E12D76"/>
    <w:rsid w:val="00E13548"/>
    <w:rsid w:val="00E207E7"/>
    <w:rsid w:val="00E24611"/>
    <w:rsid w:val="00E26962"/>
    <w:rsid w:val="00E3093E"/>
    <w:rsid w:val="00E31CD6"/>
    <w:rsid w:val="00E3410E"/>
    <w:rsid w:val="00E36259"/>
    <w:rsid w:val="00E40D61"/>
    <w:rsid w:val="00E425A1"/>
    <w:rsid w:val="00E452E8"/>
    <w:rsid w:val="00E47FE9"/>
    <w:rsid w:val="00E5272F"/>
    <w:rsid w:val="00E53BC9"/>
    <w:rsid w:val="00E54AD7"/>
    <w:rsid w:val="00E54F81"/>
    <w:rsid w:val="00E54FE9"/>
    <w:rsid w:val="00E565AA"/>
    <w:rsid w:val="00E57B36"/>
    <w:rsid w:val="00E60EEA"/>
    <w:rsid w:val="00E6517E"/>
    <w:rsid w:val="00E651EA"/>
    <w:rsid w:val="00E66337"/>
    <w:rsid w:val="00E66528"/>
    <w:rsid w:val="00E6654F"/>
    <w:rsid w:val="00E66FDE"/>
    <w:rsid w:val="00E70A12"/>
    <w:rsid w:val="00E70B6B"/>
    <w:rsid w:val="00E71370"/>
    <w:rsid w:val="00E71B42"/>
    <w:rsid w:val="00E71D81"/>
    <w:rsid w:val="00E720AE"/>
    <w:rsid w:val="00E803BE"/>
    <w:rsid w:val="00E80BBE"/>
    <w:rsid w:val="00E817B8"/>
    <w:rsid w:val="00E81C33"/>
    <w:rsid w:val="00E837CF"/>
    <w:rsid w:val="00E932B3"/>
    <w:rsid w:val="00E95030"/>
    <w:rsid w:val="00E95EDC"/>
    <w:rsid w:val="00E976F4"/>
    <w:rsid w:val="00EA15CB"/>
    <w:rsid w:val="00EA4B97"/>
    <w:rsid w:val="00EB05FE"/>
    <w:rsid w:val="00EB2232"/>
    <w:rsid w:val="00EB2575"/>
    <w:rsid w:val="00EB2924"/>
    <w:rsid w:val="00EB40C6"/>
    <w:rsid w:val="00EB4EC4"/>
    <w:rsid w:val="00EB6601"/>
    <w:rsid w:val="00EB7952"/>
    <w:rsid w:val="00ED593D"/>
    <w:rsid w:val="00ED6F76"/>
    <w:rsid w:val="00ED77D8"/>
    <w:rsid w:val="00EE07F1"/>
    <w:rsid w:val="00EE2661"/>
    <w:rsid w:val="00EE3829"/>
    <w:rsid w:val="00EE3C5C"/>
    <w:rsid w:val="00EE4A41"/>
    <w:rsid w:val="00EE6C49"/>
    <w:rsid w:val="00EE70FB"/>
    <w:rsid w:val="00EF2EFC"/>
    <w:rsid w:val="00EF3455"/>
    <w:rsid w:val="00EF5078"/>
    <w:rsid w:val="00EF78B8"/>
    <w:rsid w:val="00F02D00"/>
    <w:rsid w:val="00F07D93"/>
    <w:rsid w:val="00F1425A"/>
    <w:rsid w:val="00F14D98"/>
    <w:rsid w:val="00F15D51"/>
    <w:rsid w:val="00F20CFB"/>
    <w:rsid w:val="00F31BAA"/>
    <w:rsid w:val="00F3458C"/>
    <w:rsid w:val="00F346E1"/>
    <w:rsid w:val="00F36F71"/>
    <w:rsid w:val="00F37D31"/>
    <w:rsid w:val="00F4288F"/>
    <w:rsid w:val="00F51EDE"/>
    <w:rsid w:val="00F5544C"/>
    <w:rsid w:val="00F55FB6"/>
    <w:rsid w:val="00F57AB2"/>
    <w:rsid w:val="00F62524"/>
    <w:rsid w:val="00F70546"/>
    <w:rsid w:val="00F73D81"/>
    <w:rsid w:val="00F753D5"/>
    <w:rsid w:val="00F75ED7"/>
    <w:rsid w:val="00F76B05"/>
    <w:rsid w:val="00F77829"/>
    <w:rsid w:val="00F86C9C"/>
    <w:rsid w:val="00F91F8C"/>
    <w:rsid w:val="00F97065"/>
    <w:rsid w:val="00FA3D5A"/>
    <w:rsid w:val="00FA4BFA"/>
    <w:rsid w:val="00FA517F"/>
    <w:rsid w:val="00FA5884"/>
    <w:rsid w:val="00FA7CCF"/>
    <w:rsid w:val="00FB1D7A"/>
    <w:rsid w:val="00FB7800"/>
    <w:rsid w:val="00FC0667"/>
    <w:rsid w:val="00FC3982"/>
    <w:rsid w:val="00FD1843"/>
    <w:rsid w:val="00FD4A1A"/>
    <w:rsid w:val="00FD6540"/>
    <w:rsid w:val="00FD66B0"/>
    <w:rsid w:val="00FD6BF1"/>
    <w:rsid w:val="00FD75B4"/>
    <w:rsid w:val="00FE25D9"/>
    <w:rsid w:val="00FE3121"/>
    <w:rsid w:val="00FF074C"/>
    <w:rsid w:val="1BDD3677"/>
    <w:rsid w:val="1D5F4631"/>
    <w:rsid w:val="36CF5BFA"/>
    <w:rsid w:val="6754645A"/>
    <w:rsid w:val="75322177"/>
    <w:rsid w:val="7598B20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8A8E"/>
  <w15:chartTrackingRefBased/>
  <w15:docId w15:val="{8BA5F51A-02B4-4740-B5AC-14125676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F4"/>
    <w:pPr>
      <w:spacing w:after="0" w:line="240" w:lineRule="auto"/>
    </w:pPr>
    <w:rPr>
      <w:kern w:val="0"/>
      <w14:ligatures w14:val="none"/>
    </w:rPr>
  </w:style>
  <w:style w:type="paragraph" w:styleId="Heading1">
    <w:name w:val="heading 1"/>
    <w:basedOn w:val="Normal"/>
    <w:next w:val="Normal"/>
    <w:link w:val="Heading1Char"/>
    <w:uiPriority w:val="9"/>
    <w:qFormat/>
    <w:rsid w:val="00B1183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4107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 Numbering"/>
    <w:basedOn w:val="Normal"/>
    <w:rsid w:val="00BA76F4"/>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A76F4"/>
    <w:pPr>
      <w:tabs>
        <w:tab w:val="center" w:pos="4513"/>
        <w:tab w:val="right" w:pos="9026"/>
      </w:tabs>
    </w:pPr>
  </w:style>
  <w:style w:type="character" w:customStyle="1" w:styleId="HeaderChar">
    <w:name w:val="Header Char"/>
    <w:basedOn w:val="DefaultParagraphFont"/>
    <w:link w:val="Header"/>
    <w:uiPriority w:val="99"/>
    <w:rsid w:val="00BA76F4"/>
    <w:rPr>
      <w:kern w:val="0"/>
      <w14:ligatures w14:val="none"/>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BA76F4"/>
    <w:pPr>
      <w:spacing w:after="200" w:line="276" w:lineRule="auto"/>
    </w:pPr>
    <w:rPr>
      <w:rFonts w:ascii="Arial" w:eastAsia="Calibri" w:hAnsi="Arial" w:cs="Times New Roman"/>
    </w:rPr>
  </w:style>
  <w:style w:type="character" w:styleId="Hyperlink">
    <w:name w:val="Hyperlink"/>
    <w:basedOn w:val="DefaultParagraphFont"/>
    <w:unhideWhenUsed/>
    <w:rsid w:val="00BA76F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BA76F4"/>
    <w:rPr>
      <w:rFonts w:ascii="Arial" w:eastAsia="Calibri" w:hAnsi="Arial" w:cs="Times New Roman"/>
      <w:kern w:val="0"/>
      <w14:ligatures w14:val="none"/>
    </w:rPr>
  </w:style>
  <w:style w:type="paragraph" w:customStyle="1" w:styleId="paranumbering0">
    <w:name w:val="paranumbering"/>
    <w:basedOn w:val="Normal"/>
    <w:uiPriority w:val="99"/>
    <w:rsid w:val="00BA76F4"/>
    <w:pPr>
      <w:spacing w:before="100" w:beforeAutospacing="1" w:after="100" w:afterAutospacing="1"/>
    </w:pPr>
    <w:rPr>
      <w:rFonts w:ascii="Times New Roman" w:hAnsi="Times New Roman" w:cs="Times New Roman"/>
      <w:sz w:val="24"/>
      <w:szCs w:val="24"/>
      <w:lang w:eastAsia="en-AU"/>
    </w:rPr>
  </w:style>
  <w:style w:type="character" w:styleId="CommentReference">
    <w:name w:val="annotation reference"/>
    <w:basedOn w:val="DefaultParagraphFont"/>
    <w:uiPriority w:val="99"/>
    <w:unhideWhenUsed/>
    <w:rsid w:val="00BA76F4"/>
    <w:rPr>
      <w:sz w:val="16"/>
      <w:szCs w:val="16"/>
    </w:rPr>
  </w:style>
  <w:style w:type="paragraph" w:styleId="CommentText">
    <w:name w:val="annotation text"/>
    <w:basedOn w:val="Normal"/>
    <w:link w:val="CommentTextChar"/>
    <w:uiPriority w:val="99"/>
    <w:unhideWhenUsed/>
    <w:rsid w:val="00BA76F4"/>
    <w:rPr>
      <w:sz w:val="20"/>
      <w:szCs w:val="20"/>
    </w:rPr>
  </w:style>
  <w:style w:type="character" w:customStyle="1" w:styleId="CommentTextChar">
    <w:name w:val="Comment Text Char"/>
    <w:basedOn w:val="DefaultParagraphFont"/>
    <w:link w:val="CommentText"/>
    <w:uiPriority w:val="99"/>
    <w:rsid w:val="00BA76F4"/>
    <w:rPr>
      <w:kern w:val="0"/>
      <w:sz w:val="20"/>
      <w:szCs w:val="20"/>
      <w14:ligatures w14:val="none"/>
    </w:rPr>
  </w:style>
  <w:style w:type="paragraph" w:styleId="Footer">
    <w:name w:val="footer"/>
    <w:basedOn w:val="Normal"/>
    <w:link w:val="FooterChar"/>
    <w:uiPriority w:val="99"/>
    <w:unhideWhenUsed/>
    <w:rsid w:val="0043665C"/>
    <w:pPr>
      <w:tabs>
        <w:tab w:val="center" w:pos="4513"/>
        <w:tab w:val="right" w:pos="9026"/>
      </w:tabs>
    </w:pPr>
  </w:style>
  <w:style w:type="character" w:customStyle="1" w:styleId="FooterChar">
    <w:name w:val="Footer Char"/>
    <w:basedOn w:val="DefaultParagraphFont"/>
    <w:link w:val="Footer"/>
    <w:uiPriority w:val="99"/>
    <w:rsid w:val="0043665C"/>
    <w:rPr>
      <w:kern w:val="0"/>
      <w14:ligatures w14:val="none"/>
    </w:rPr>
  </w:style>
  <w:style w:type="character" w:styleId="UnresolvedMention">
    <w:name w:val="Unresolved Mention"/>
    <w:basedOn w:val="DefaultParagraphFont"/>
    <w:uiPriority w:val="99"/>
    <w:semiHidden/>
    <w:unhideWhenUsed/>
    <w:rsid w:val="006A5D54"/>
    <w:rPr>
      <w:color w:val="605E5C"/>
      <w:shd w:val="clear" w:color="auto" w:fill="E1DFDD"/>
    </w:rPr>
  </w:style>
  <w:style w:type="character" w:customStyle="1" w:styleId="Heading1Char">
    <w:name w:val="Heading 1 Char"/>
    <w:basedOn w:val="DefaultParagraphFont"/>
    <w:link w:val="Heading1"/>
    <w:uiPriority w:val="9"/>
    <w:rsid w:val="00B11834"/>
    <w:rPr>
      <w:rFonts w:asciiTheme="majorHAnsi" w:eastAsiaTheme="majorEastAsia" w:hAnsiTheme="majorHAnsi" w:cstheme="majorBidi"/>
      <w:color w:val="2F5496" w:themeColor="accent1" w:themeShade="BF"/>
      <w:kern w:val="0"/>
      <w:sz w:val="32"/>
      <w:szCs w:val="32"/>
      <w14:ligatures w14:val="none"/>
    </w:rPr>
  </w:style>
  <w:style w:type="paragraph" w:customStyle="1" w:styleId="NumberLevel1">
    <w:name w:val="Number Level 1"/>
    <w:aliases w:val="N1,hea Level 1,Numberanswer Level 1,N,indentl 1,Number leg2 1,answerer Level 1,Level 1,leg5er Level 1,We woulNumber Level 1"/>
    <w:basedOn w:val="Normal"/>
    <w:uiPriority w:val="1"/>
    <w:qFormat/>
    <w:rsid w:val="00B11834"/>
    <w:pPr>
      <w:numPr>
        <w:numId w:val="23"/>
      </w:numPr>
      <w:spacing w:before="140" w:after="140" w:line="280" w:lineRule="atLeast"/>
    </w:pPr>
    <w:rPr>
      <w:rFonts w:ascii="Arial" w:eastAsia="Times New Roman" w:hAnsi="Arial" w:cs="Arial"/>
      <w:lang w:eastAsia="en-AU"/>
    </w:rPr>
  </w:style>
  <w:style w:type="paragraph" w:customStyle="1" w:styleId="NumberLevel2">
    <w:name w:val="Number Level 2"/>
    <w:aliases w:val="N2,authorising the Number Level 2"/>
    <w:basedOn w:val="Normal"/>
    <w:uiPriority w:val="1"/>
    <w:qFormat/>
    <w:rsid w:val="00B11834"/>
    <w:pPr>
      <w:numPr>
        <w:ilvl w:val="1"/>
        <w:numId w:val="23"/>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B11834"/>
    <w:pPr>
      <w:numPr>
        <w:ilvl w:val="2"/>
        <w:numId w:val="23"/>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B11834"/>
    <w:pPr>
      <w:numPr>
        <w:ilvl w:val="3"/>
        <w:numId w:val="23"/>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B11834"/>
    <w:pPr>
      <w:numPr>
        <w:ilvl w:val="4"/>
        <w:numId w:val="23"/>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semiHidden/>
    <w:rsid w:val="00B11834"/>
    <w:pPr>
      <w:numPr>
        <w:ilvl w:val="5"/>
      </w:numPr>
    </w:pPr>
  </w:style>
  <w:style w:type="paragraph" w:customStyle="1" w:styleId="NumberLevel7">
    <w:name w:val="Number Level 7"/>
    <w:aliases w:val="N7"/>
    <w:basedOn w:val="NumberLevel6"/>
    <w:uiPriority w:val="1"/>
    <w:semiHidden/>
    <w:rsid w:val="00B11834"/>
    <w:pPr>
      <w:numPr>
        <w:ilvl w:val="6"/>
      </w:numPr>
    </w:pPr>
  </w:style>
  <w:style w:type="paragraph" w:customStyle="1" w:styleId="NumberLevel8">
    <w:name w:val="Number Level 8"/>
    <w:aliases w:val="N8"/>
    <w:basedOn w:val="NumberLevel7"/>
    <w:uiPriority w:val="1"/>
    <w:semiHidden/>
    <w:rsid w:val="00B11834"/>
    <w:pPr>
      <w:numPr>
        <w:ilvl w:val="7"/>
      </w:numPr>
    </w:pPr>
  </w:style>
  <w:style w:type="paragraph" w:customStyle="1" w:styleId="NumberLevel9">
    <w:name w:val="Number Level 9"/>
    <w:aliases w:val="N9"/>
    <w:basedOn w:val="NumberLevel8"/>
    <w:uiPriority w:val="1"/>
    <w:semiHidden/>
    <w:rsid w:val="00B11834"/>
    <w:pPr>
      <w:numPr>
        <w:ilvl w:val="8"/>
      </w:numPr>
    </w:pPr>
  </w:style>
  <w:style w:type="character" w:styleId="FollowedHyperlink">
    <w:name w:val="FollowedHyperlink"/>
    <w:basedOn w:val="DefaultParagraphFont"/>
    <w:uiPriority w:val="99"/>
    <w:semiHidden/>
    <w:unhideWhenUsed/>
    <w:rsid w:val="00C1675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B1DB0"/>
    <w:rPr>
      <w:b/>
      <w:bCs/>
    </w:rPr>
  </w:style>
  <w:style w:type="character" w:customStyle="1" w:styleId="CommentSubjectChar">
    <w:name w:val="Comment Subject Char"/>
    <w:basedOn w:val="CommentTextChar"/>
    <w:link w:val="CommentSubject"/>
    <w:uiPriority w:val="99"/>
    <w:semiHidden/>
    <w:rsid w:val="008B1DB0"/>
    <w:rPr>
      <w:b/>
      <w:bCs/>
      <w:kern w:val="0"/>
      <w:sz w:val="20"/>
      <w:szCs w:val="20"/>
      <w14:ligatures w14:val="none"/>
    </w:rPr>
  </w:style>
  <w:style w:type="paragraph" w:styleId="Revision">
    <w:name w:val="Revision"/>
    <w:hidden/>
    <w:uiPriority w:val="99"/>
    <w:semiHidden/>
    <w:rsid w:val="00665B39"/>
    <w:pPr>
      <w:spacing w:after="0" w:line="240" w:lineRule="auto"/>
    </w:pPr>
    <w:rPr>
      <w:kern w:val="0"/>
      <w14:ligatures w14:val="none"/>
    </w:rPr>
  </w:style>
  <w:style w:type="character" w:styleId="Mention">
    <w:name w:val="Mention"/>
    <w:basedOn w:val="DefaultParagraphFont"/>
    <w:uiPriority w:val="99"/>
    <w:unhideWhenUsed/>
    <w:rsid w:val="00854598"/>
    <w:rPr>
      <w:color w:val="2B579A"/>
      <w:shd w:val="clear" w:color="auto" w:fill="E6E6E6"/>
    </w:rPr>
  </w:style>
  <w:style w:type="paragraph" w:styleId="NormalWeb">
    <w:name w:val="Normal (Web)"/>
    <w:basedOn w:val="Normal"/>
    <w:uiPriority w:val="99"/>
    <w:semiHidden/>
    <w:unhideWhenUsed/>
    <w:rsid w:val="00FB780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410777"/>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2539">
      <w:bodyDiv w:val="1"/>
      <w:marLeft w:val="0"/>
      <w:marRight w:val="0"/>
      <w:marTop w:val="0"/>
      <w:marBottom w:val="0"/>
      <w:divBdr>
        <w:top w:val="none" w:sz="0" w:space="0" w:color="auto"/>
        <w:left w:val="none" w:sz="0" w:space="0" w:color="auto"/>
        <w:bottom w:val="none" w:sz="0" w:space="0" w:color="auto"/>
        <w:right w:val="none" w:sz="0" w:space="0" w:color="auto"/>
      </w:divBdr>
    </w:div>
    <w:div w:id="249700208">
      <w:bodyDiv w:val="1"/>
      <w:marLeft w:val="0"/>
      <w:marRight w:val="0"/>
      <w:marTop w:val="0"/>
      <w:marBottom w:val="0"/>
      <w:divBdr>
        <w:top w:val="none" w:sz="0" w:space="0" w:color="auto"/>
        <w:left w:val="none" w:sz="0" w:space="0" w:color="auto"/>
        <w:bottom w:val="none" w:sz="0" w:space="0" w:color="auto"/>
        <w:right w:val="none" w:sz="0" w:space="0" w:color="auto"/>
      </w:divBdr>
    </w:div>
    <w:div w:id="618802028">
      <w:bodyDiv w:val="1"/>
      <w:marLeft w:val="0"/>
      <w:marRight w:val="0"/>
      <w:marTop w:val="0"/>
      <w:marBottom w:val="0"/>
      <w:divBdr>
        <w:top w:val="none" w:sz="0" w:space="0" w:color="auto"/>
        <w:left w:val="none" w:sz="0" w:space="0" w:color="auto"/>
        <w:bottom w:val="none" w:sz="0" w:space="0" w:color="auto"/>
        <w:right w:val="none" w:sz="0" w:space="0" w:color="auto"/>
      </w:divBdr>
    </w:div>
    <w:div w:id="800417514">
      <w:bodyDiv w:val="1"/>
      <w:marLeft w:val="0"/>
      <w:marRight w:val="0"/>
      <w:marTop w:val="0"/>
      <w:marBottom w:val="0"/>
      <w:divBdr>
        <w:top w:val="none" w:sz="0" w:space="0" w:color="auto"/>
        <w:left w:val="none" w:sz="0" w:space="0" w:color="auto"/>
        <w:bottom w:val="none" w:sz="0" w:space="0" w:color="auto"/>
        <w:right w:val="none" w:sz="0" w:space="0" w:color="auto"/>
      </w:divBdr>
    </w:div>
    <w:div w:id="1446382227">
      <w:bodyDiv w:val="1"/>
      <w:marLeft w:val="0"/>
      <w:marRight w:val="0"/>
      <w:marTop w:val="0"/>
      <w:marBottom w:val="0"/>
      <w:divBdr>
        <w:top w:val="none" w:sz="0" w:space="0" w:color="auto"/>
        <w:left w:val="none" w:sz="0" w:space="0" w:color="auto"/>
        <w:bottom w:val="none" w:sz="0" w:space="0" w:color="auto"/>
        <w:right w:val="none" w:sz="0" w:space="0" w:color="auto"/>
      </w:divBdr>
    </w:div>
    <w:div w:id="1866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FIN34055-1565050583-63111</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https://financegovau.sharepoint.com/sites/M365_DoF_50034055/_layouts/15/DocIdRedir.aspx?ID=FIN34055-1565050583-63111</Url>
      <Description>FIN34055-1565050583-63111</Description>
    </_dlc_DocIdUrl>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2</Value>
      <Value>1</Value>
    </TaxCatchAll>
    <lcf76f155ced4ddcb4097134ff3c332f xmlns="8abf5d54-4bdc-4565-aaac-ea38afe0c75a">
      <Terms xmlns="http://schemas.microsoft.com/office/infopath/2007/PartnerControls"/>
    </lcf76f155ced4ddcb4097134ff3c332f>
    <Original_x0020_Date_x0020_Created xmlns="a334ba3b-e131-42d3-95f3-2728f5a41884" xsi:nil="true"/>
  </documentManagement>
</p:properti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8542-9747-4B23-BBDB-4BA675ED7F17}">
  <ds:schemaRefs>
    <ds:schemaRef ds:uri="http://schemas.microsoft.com/sharepoint/v3/contenttype/forms"/>
  </ds:schemaRefs>
</ds:datastoreItem>
</file>

<file path=customXml/itemProps2.xml><?xml version="1.0" encoding="utf-8"?>
<ds:datastoreItem xmlns:ds="http://schemas.openxmlformats.org/officeDocument/2006/customXml" ds:itemID="{E07E2288-73ED-4624-AA11-6BECF3EE954B}">
  <ds:schemaRefs>
    <ds:schemaRef ds:uri="http://schemas.microsoft.com/sharepoint/events"/>
  </ds:schemaRefs>
</ds:datastoreItem>
</file>

<file path=customXml/itemProps3.xml><?xml version="1.0" encoding="utf-8"?>
<ds:datastoreItem xmlns:ds="http://schemas.openxmlformats.org/officeDocument/2006/customXml" ds:itemID="{8BD656DE-99C8-4A99-937D-0D35EBB0F6DF}">
  <ds:schemaRefs>
    <ds:schemaRef ds:uri="http://schemas.microsoft.com/office/2006/metadata/properties"/>
    <ds:schemaRef ds:uri="http://schemas.microsoft.com/office/infopath/2007/PartnerControls"/>
    <ds:schemaRef ds:uri="6a7e9632-768a-49bf-85ac-c69233ab2a52"/>
    <ds:schemaRef ds:uri="a334ba3b-e131-42d3-95f3-2728f5a41884"/>
    <ds:schemaRef ds:uri="8abf5d54-4bdc-4565-aaac-ea38afe0c75a"/>
  </ds:schemaRefs>
</ds:datastoreItem>
</file>

<file path=customXml/itemProps4.xml><?xml version="1.0" encoding="utf-8"?>
<ds:datastoreItem xmlns:ds="http://schemas.openxmlformats.org/officeDocument/2006/customXml" ds:itemID="{858F7336-65E5-4613-826B-47CE9D72A018}">
  <ds:schemaRefs>
    <ds:schemaRef ds:uri="Microsoft.SharePoint.Taxonomy.ContentTypeSync"/>
  </ds:schemaRefs>
</ds:datastoreItem>
</file>

<file path=customXml/itemProps5.xml><?xml version="1.0" encoding="utf-8"?>
<ds:datastoreItem xmlns:ds="http://schemas.openxmlformats.org/officeDocument/2006/customXml" ds:itemID="{3A4A6B3D-5422-4F6F-A019-F42CC47E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706EFA-809A-4498-9310-E73501BA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8626</Words>
  <Characters>50812</Characters>
  <Application>Microsoft Office Word</Application>
  <DocSecurity>0</DocSecurity>
  <Lines>958</Lines>
  <Paragraphs>273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59165</CharactersWithSpaces>
  <SharedDoc>false</SharedDoc>
  <HLinks>
    <vt:vector size="12" baseType="variant">
      <vt:variant>
        <vt:i4>786465</vt:i4>
      </vt:variant>
      <vt:variant>
        <vt:i4>3</vt:i4>
      </vt:variant>
      <vt:variant>
        <vt:i4>0</vt:i4>
      </vt:variant>
      <vt:variant>
        <vt:i4>5</vt:i4>
      </vt:variant>
      <vt:variant>
        <vt:lpwstr>mailto:radomir.kipic@dfat.gov.au</vt:lpwstr>
      </vt:variant>
      <vt:variant>
        <vt:lpwstr/>
      </vt:variant>
      <vt:variant>
        <vt:i4>786465</vt:i4>
      </vt:variant>
      <vt:variant>
        <vt:i4>0</vt:i4>
      </vt:variant>
      <vt:variant>
        <vt:i4>0</vt:i4>
      </vt:variant>
      <vt:variant>
        <vt:i4>5</vt:i4>
      </vt:variant>
      <vt:variant>
        <vt:lpwstr>mailto:radomir.kipic@dfat.gov.au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Dilanga De Silva</dc:creator>
  <cp:keywords>[SEC=OFFICIAL]</cp:keywords>
  <dc:description/>
  <cp:lastModifiedBy>Jafra, Oliwia</cp:lastModifiedBy>
  <cp:revision>43</cp:revision>
  <dcterms:created xsi:type="dcterms:W3CDTF">2024-09-26T06:24:00Z</dcterms:created>
  <dcterms:modified xsi:type="dcterms:W3CDTF">2024-10-24T03:02:00Z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v=2022.1;a=SHA256;h=42358AD25B2A7DAA00D419664D5711FFB1D0DF7A81DDD78BECCA47D630612112</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2024-07-05T03:25:47Z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1EB60E2D29059119264B06E479352A21561CD074</vt:lpwstr>
  </property>
  <property fmtid="{D5CDD505-2E9C-101B-9397-08002B2CF9AE}" pid="14" name="PM_DisplayValueSecClassificationWithQualifier">
    <vt:lpwstr>OFFICIAL</vt:lpwstr>
  </property>
  <property fmtid="{D5CDD505-2E9C-101B-9397-08002B2CF9AE}" pid="15" name="PM_Originating_FileId">
    <vt:lpwstr>6AA28DB6AC8A4C03AD29910FC1C9E225</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B19F69F99B62F8CAE645BB03E5A78E9F4096CD9CB5CB7F3371CC1C294E39CE42</vt:lpwstr>
  </property>
  <property fmtid="{D5CDD505-2E9C-101B-9397-08002B2CF9AE}" pid="21" name="PM_OriginatorDomainName_SHA256">
    <vt:lpwstr>325440F6CA31C4C3BCE4433552DC42928CAAD3E2731ABE35FDE729ECEB763AF0</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69D51EF638A828D91ADC17C45F3C808B</vt:lpwstr>
  </property>
  <property fmtid="{D5CDD505-2E9C-101B-9397-08002B2CF9AE}" pid="25" name="PM_Hash_Salt">
    <vt:lpwstr>7F47E34D18A68ECB7EA1FBD8E92DF303</vt:lpwstr>
  </property>
  <property fmtid="{D5CDD505-2E9C-101B-9397-08002B2CF9AE}" pid="26" name="PM_Hash_SHA1">
    <vt:lpwstr>239239AF658F52E62105519F920119673C25B82D</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TaxKeyword">
    <vt:lpwstr>15;#[SEC=OFFICIAL]|07351cc0-de73-4913-be2f-56f124cbf8bb</vt:lpwstr>
  </property>
  <property fmtid="{D5CDD505-2E9C-101B-9397-08002B2CF9AE}" pid="30" name="MediaServiceImageTags">
    <vt:lpwstr/>
  </property>
  <property fmtid="{D5CDD505-2E9C-101B-9397-08002B2CF9AE}" pid="31" name="ContentTypeId">
    <vt:lpwstr>0x010100B7B479F47583304BA8B631462CC772D70002F43F407794FC478C48E13B67456D59</vt:lpwstr>
  </property>
  <property fmtid="{D5CDD505-2E9C-101B-9397-08002B2CF9AE}" pid="32" name="About Entity">
    <vt:lpwstr>2;#Department of Finance|fd660e8f-8f31-49bd-92a3-d31d4da31afe</vt:lpwstr>
  </property>
  <property fmtid="{D5CDD505-2E9C-101B-9397-08002B2CF9AE}" pid="33" name="Initiating Entity">
    <vt:lpwstr>2;#Department of Finance|fd660e8f-8f31-49bd-92a3-d31d4da31afe</vt:lpwstr>
  </property>
  <property fmtid="{D5CDD505-2E9C-101B-9397-08002B2CF9AE}" pid="34" name="Organisation Unit">
    <vt:lpwstr>1;#Financial Framework Supplementary Powers|379d9d29-c01c-4de9-a4ea-4a1c8eabf1a8</vt:lpwstr>
  </property>
  <property fmtid="{D5CDD505-2E9C-101B-9397-08002B2CF9AE}" pid="35" name="Function_x0020_and_x0020_Activity">
    <vt:lpwstr/>
  </property>
  <property fmtid="{D5CDD505-2E9C-101B-9397-08002B2CF9AE}" pid="36" name="MSIP_Label_87d6481e-ccdd-4ab6-8b26-05a0df5699e7_SetDate">
    <vt:lpwstr>2024-07-05T03:25:47Z</vt:lpwstr>
  </property>
  <property fmtid="{D5CDD505-2E9C-101B-9397-08002B2CF9AE}" pid="37" name="MSIP_Label_87d6481e-ccdd-4ab6-8b26-05a0df5699e7_Method">
    <vt:lpwstr>Privileged</vt:lpwstr>
  </property>
  <property fmtid="{D5CDD505-2E9C-101B-9397-08002B2CF9AE}" pid="38" name="MSIP_Label_87d6481e-ccdd-4ab6-8b26-05a0df5699e7_Name">
    <vt:lpwstr>OFFICIAL</vt:lpwstr>
  </property>
  <property fmtid="{D5CDD505-2E9C-101B-9397-08002B2CF9AE}" pid="39" name="MSIP_Label_87d6481e-ccdd-4ab6-8b26-05a0df5699e7_SiteId">
    <vt:lpwstr>08954cee-4782-4ff6-9ad5-1997dccef4b0</vt:lpwstr>
  </property>
  <property fmtid="{D5CDD505-2E9C-101B-9397-08002B2CF9AE}" pid="40" name="MSIP_Label_87d6481e-ccdd-4ab6-8b26-05a0df5699e7_Enabled">
    <vt:lpwstr>true</vt:lpwstr>
  </property>
  <property fmtid="{D5CDD505-2E9C-101B-9397-08002B2CF9AE}" pid="41" name="MSIP_Label_87d6481e-ccdd-4ab6-8b26-05a0df5699e7_ContentBits">
    <vt:lpwstr>0</vt:lpwstr>
  </property>
  <property fmtid="{D5CDD505-2E9C-101B-9397-08002B2CF9AE}" pid="42" name="MSIP_Label_87d6481e-ccdd-4ab6-8b26-05a0df5699e7_ActionId">
    <vt:lpwstr>e8be55c466f34dcc8200947b8c554c8a</vt:lpwstr>
  </property>
  <property fmtid="{D5CDD505-2E9C-101B-9397-08002B2CF9AE}" pid="43" name="Function and Activity">
    <vt:lpwstr/>
  </property>
  <property fmtid="{D5CDD505-2E9C-101B-9397-08002B2CF9AE}" pid="44" name="_dlc_DocIdItemGuid">
    <vt:lpwstr>255998af-349a-4b08-82ff-689148bcbc0e</vt:lpwstr>
  </property>
  <property fmtid="{D5CDD505-2E9C-101B-9397-08002B2CF9AE}" pid="45" name="Organisation_x0020_Unit">
    <vt:lpwstr>1;#Financial Framework Supplementary Powers|379d9d29-c01c-4de9-a4ea-4a1c8eabf1a8</vt:lpwstr>
  </property>
  <property fmtid="{D5CDD505-2E9C-101B-9397-08002B2CF9AE}" pid="46" name="About_x0020_Entity">
    <vt:lpwstr>2;#Department of Finance|fd660e8f-8f31-49bd-92a3-d31d4da31afe</vt:lpwstr>
  </property>
  <property fmtid="{D5CDD505-2E9C-101B-9397-08002B2CF9AE}" pid="47" name="Initiating_x0020_Entity">
    <vt:lpwstr>2;#Department of Finance|fd660e8f-8f31-49bd-92a3-d31d4da31afe</vt:lpwstr>
  </property>
</Properties>
</file>