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1634" w14:textId="77777777" w:rsidR="001E51F5" w:rsidRPr="00D11572" w:rsidRDefault="001E51F5" w:rsidP="007D2FAE">
      <w:pPr>
        <w:spacing w:after="0" w:line="240" w:lineRule="auto"/>
        <w:jc w:val="center"/>
        <w:rPr>
          <w:rFonts w:eastAsia="Times New Roman"/>
          <w:b/>
          <w:u w:val="single"/>
          <w:lang w:eastAsia="en-AU"/>
        </w:rPr>
      </w:pPr>
      <w:r w:rsidRPr="00D11572">
        <w:rPr>
          <w:rFonts w:eastAsia="Times New Roman"/>
          <w:b/>
          <w:u w:val="single"/>
          <w:lang w:eastAsia="en-AU"/>
        </w:rPr>
        <w:t>EXPLANATORY STATEMENT</w:t>
      </w:r>
    </w:p>
    <w:p w14:paraId="211EA175" w14:textId="77777777" w:rsidR="001E51F5" w:rsidRPr="009E6639" w:rsidRDefault="001E51F5" w:rsidP="00A30D8E">
      <w:pPr>
        <w:autoSpaceDE w:val="0"/>
        <w:autoSpaceDN w:val="0"/>
        <w:adjustRightInd w:val="0"/>
        <w:spacing w:after="0" w:line="240" w:lineRule="auto"/>
        <w:rPr>
          <w:rFonts w:eastAsia="Times New Roman"/>
          <w:bCs/>
          <w:lang w:eastAsia="en-AU"/>
        </w:rPr>
      </w:pPr>
    </w:p>
    <w:p w14:paraId="2F24D3CE" w14:textId="77777777" w:rsidR="001E51F5" w:rsidRPr="00D11572" w:rsidRDefault="001E51F5" w:rsidP="007D2FAE">
      <w:pPr>
        <w:spacing w:after="0" w:line="240" w:lineRule="auto"/>
        <w:jc w:val="center"/>
        <w:rPr>
          <w:rFonts w:eastAsia="Times New Roman"/>
          <w:u w:val="single"/>
          <w:lang w:eastAsia="en-AU"/>
        </w:rPr>
      </w:pPr>
      <w:r w:rsidRPr="00D11572">
        <w:rPr>
          <w:rFonts w:eastAsia="Times New Roman"/>
          <w:i/>
          <w:lang w:eastAsia="en-AU"/>
        </w:rPr>
        <w:t>Therapeutic Goods Act 1989</w:t>
      </w:r>
    </w:p>
    <w:p w14:paraId="32DE588F" w14:textId="77777777" w:rsidR="001E51F5" w:rsidRPr="009E6639" w:rsidRDefault="001E51F5" w:rsidP="00A30D8E">
      <w:pPr>
        <w:autoSpaceDE w:val="0"/>
        <w:autoSpaceDN w:val="0"/>
        <w:adjustRightInd w:val="0"/>
        <w:spacing w:after="0" w:line="240" w:lineRule="auto"/>
        <w:rPr>
          <w:rFonts w:eastAsia="Times New Roman"/>
          <w:lang w:eastAsia="en-AU"/>
        </w:rPr>
      </w:pPr>
    </w:p>
    <w:p w14:paraId="16F82DCF" w14:textId="4E2723D7" w:rsidR="001E51F5" w:rsidRPr="00D11572" w:rsidRDefault="007F2274" w:rsidP="007D2FAE">
      <w:pPr>
        <w:spacing w:after="0" w:line="240" w:lineRule="auto"/>
        <w:jc w:val="center"/>
        <w:rPr>
          <w:rFonts w:eastAsia="Times New Roman"/>
          <w:i/>
          <w:lang w:eastAsia="en-AU"/>
        </w:rPr>
      </w:pPr>
      <w:r w:rsidRPr="00D11572">
        <w:rPr>
          <w:rFonts w:eastAsia="Times New Roman"/>
          <w:i/>
          <w:lang w:eastAsia="en-AU"/>
        </w:rPr>
        <w:t>Therapeutic Goods (Medical Devices—Information that Must Accompany Application for Inclusion) Amendment</w:t>
      </w:r>
      <w:r w:rsidR="00C06DFE" w:rsidRPr="00D11572">
        <w:rPr>
          <w:rFonts w:eastAsia="Times New Roman"/>
          <w:i/>
          <w:lang w:eastAsia="en-AU"/>
        </w:rPr>
        <w:t xml:space="preserve"> </w:t>
      </w:r>
      <w:r w:rsidR="001A65B1" w:rsidRPr="00D11572">
        <w:rPr>
          <w:rFonts w:eastAsia="Times New Roman"/>
          <w:bCs/>
          <w:i/>
          <w:lang w:eastAsia="en-AU"/>
        </w:rPr>
        <w:t>Determination</w:t>
      </w:r>
      <w:r w:rsidR="00CF11C2">
        <w:rPr>
          <w:rFonts w:eastAsia="Times New Roman"/>
          <w:bCs/>
          <w:i/>
          <w:lang w:eastAsia="en-AU"/>
        </w:rPr>
        <w:t xml:space="preserve"> (No. 2)</w:t>
      </w:r>
      <w:r w:rsidR="001A65B1" w:rsidRPr="009E6639">
        <w:rPr>
          <w:rFonts w:eastAsia="Times New Roman"/>
          <w:i/>
          <w:lang w:eastAsia="en-AU"/>
        </w:rPr>
        <w:t xml:space="preserve"> </w:t>
      </w:r>
      <w:r w:rsidR="00CA2BF2" w:rsidRPr="00D11572">
        <w:rPr>
          <w:rFonts w:eastAsia="Times New Roman"/>
          <w:i/>
          <w:lang w:eastAsia="en-AU"/>
        </w:rPr>
        <w:t>202</w:t>
      </w:r>
      <w:r w:rsidR="00EF46F8" w:rsidRPr="00D11572">
        <w:rPr>
          <w:rFonts w:eastAsia="Times New Roman"/>
          <w:i/>
          <w:lang w:eastAsia="en-AU"/>
        </w:rPr>
        <w:t>4</w:t>
      </w:r>
    </w:p>
    <w:p w14:paraId="4A021918" w14:textId="77777777" w:rsidR="001E51F5" w:rsidRPr="00D11572" w:rsidRDefault="001E51F5" w:rsidP="00A30D8E">
      <w:pPr>
        <w:autoSpaceDE w:val="0"/>
        <w:autoSpaceDN w:val="0"/>
        <w:adjustRightInd w:val="0"/>
        <w:spacing w:after="0" w:line="240" w:lineRule="auto"/>
        <w:rPr>
          <w:rFonts w:eastAsia="Times New Roman"/>
          <w:lang w:eastAsia="en-AU"/>
        </w:rPr>
      </w:pPr>
    </w:p>
    <w:p w14:paraId="4D897EB7" w14:textId="6C141D1F" w:rsidR="001E51F5" w:rsidRPr="00D11572" w:rsidRDefault="001E51F5" w:rsidP="007D2FAE">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lang w:eastAsia="en-AU"/>
        </w:rPr>
        <w:t>Therapeutic Goods Act 1989</w:t>
      </w:r>
      <w:r w:rsidRPr="00D11572">
        <w:rPr>
          <w:rFonts w:eastAsia="Times New Roman"/>
          <w:lang w:eastAsia="en-AU"/>
        </w:rPr>
        <w:t xml:space="preserve"> (“the Act”) provides for the establishment and maintenance of a national system of controls for the quality, safety, efficacy </w:t>
      </w:r>
      <w:r w:rsidR="0010031D" w:rsidRPr="00D11572">
        <w:rPr>
          <w:rFonts w:eastAsia="Times New Roman"/>
          <w:lang w:eastAsia="en-AU"/>
        </w:rPr>
        <w:t xml:space="preserve">or performance, </w:t>
      </w:r>
      <w:r w:rsidRPr="00D11572">
        <w:rPr>
          <w:rFonts w:eastAsia="Times New Roman"/>
          <w:lang w:eastAsia="en-AU"/>
        </w:rPr>
        <w:t>and timely availability of therapeutic goods that are used in, or exported from, Australia. The Act is administered by the Therapeutic Goods Administration (“the TGA”) within the Australian Government Department of Health</w:t>
      </w:r>
      <w:r w:rsidR="004E54A9" w:rsidRPr="00D11572">
        <w:rPr>
          <w:rFonts w:eastAsia="Times New Roman"/>
          <w:lang w:eastAsia="en-AU"/>
        </w:rPr>
        <w:t xml:space="preserve"> and Aged Care</w:t>
      </w:r>
      <w:r w:rsidR="0010031D" w:rsidRPr="00D11572">
        <w:rPr>
          <w:rFonts w:eastAsia="Times New Roman"/>
          <w:lang w:eastAsia="en-AU"/>
        </w:rPr>
        <w:t>.</w:t>
      </w:r>
    </w:p>
    <w:p w14:paraId="2ECF19E2" w14:textId="5DF5F3BF" w:rsidR="001E51F5" w:rsidRPr="00D11572" w:rsidRDefault="001E51F5" w:rsidP="007D2FAE">
      <w:pPr>
        <w:autoSpaceDE w:val="0"/>
        <w:autoSpaceDN w:val="0"/>
        <w:adjustRightInd w:val="0"/>
        <w:spacing w:after="0" w:line="240" w:lineRule="auto"/>
        <w:rPr>
          <w:rFonts w:eastAsia="Times New Roman"/>
          <w:lang w:eastAsia="en-AU"/>
        </w:rPr>
      </w:pPr>
    </w:p>
    <w:p w14:paraId="36463924" w14:textId="1359043C" w:rsidR="00F734C2" w:rsidRDefault="000F38EB" w:rsidP="007D2FAE">
      <w:pPr>
        <w:autoSpaceDE w:val="0"/>
        <w:autoSpaceDN w:val="0"/>
        <w:adjustRightInd w:val="0"/>
        <w:spacing w:after="0" w:line="240" w:lineRule="auto"/>
        <w:rPr>
          <w:rFonts w:eastAsia="Times New Roman"/>
          <w:lang w:eastAsia="en-AU"/>
        </w:rPr>
      </w:pPr>
      <w:r w:rsidRPr="00D11572">
        <w:rPr>
          <w:rFonts w:eastAsia="Times New Roman"/>
          <w:lang w:eastAsia="en-AU"/>
        </w:rPr>
        <w:t xml:space="preserve">Section 41FDB of the Act sets out preliminary assessment requirements in relation to an application to the Secretary for a kind of medical device to be included in the </w:t>
      </w:r>
      <w:r w:rsidR="001760F0" w:rsidRPr="00D11572">
        <w:rPr>
          <w:rFonts w:eastAsia="Times New Roman"/>
          <w:lang w:eastAsia="en-AU"/>
        </w:rPr>
        <w:t xml:space="preserve">Australian </w:t>
      </w:r>
      <w:r w:rsidRPr="00D11572">
        <w:rPr>
          <w:rFonts w:eastAsia="Times New Roman"/>
          <w:lang w:eastAsia="en-AU"/>
        </w:rPr>
        <w:t>Register</w:t>
      </w:r>
      <w:r w:rsidR="001760F0" w:rsidRPr="00D11572">
        <w:rPr>
          <w:rFonts w:eastAsia="Times New Roman"/>
          <w:lang w:eastAsia="en-AU"/>
        </w:rPr>
        <w:t xml:space="preserve"> of Therapeutic Goods (“the Register”)</w:t>
      </w:r>
      <w:r w:rsidRPr="00D11572">
        <w:rPr>
          <w:rFonts w:eastAsia="Times New Roman"/>
          <w:lang w:eastAsia="en-AU"/>
        </w:rPr>
        <w:t>.</w:t>
      </w:r>
      <w:r w:rsidR="00F734C2">
        <w:rPr>
          <w:rFonts w:eastAsia="Times New Roman"/>
          <w:lang w:eastAsia="en-AU"/>
        </w:rPr>
        <w:t xml:space="preserve"> Relevantly, paragraph 41FDB(2)(d) provides that such an application must be accompanied by information that is of a kind determined under subsection (7) and is in a form determined under subsection (8).</w:t>
      </w:r>
    </w:p>
    <w:p w14:paraId="384AA16F" w14:textId="0E9EFFC1" w:rsidR="0091430D" w:rsidRPr="00D11572" w:rsidRDefault="0091430D" w:rsidP="007D2FAE">
      <w:pPr>
        <w:autoSpaceDE w:val="0"/>
        <w:autoSpaceDN w:val="0"/>
        <w:adjustRightInd w:val="0"/>
        <w:spacing w:after="0" w:line="240" w:lineRule="auto"/>
        <w:rPr>
          <w:rFonts w:eastAsia="Times New Roman"/>
          <w:lang w:eastAsia="en-AU"/>
        </w:rPr>
      </w:pPr>
    </w:p>
    <w:p w14:paraId="221FE2FD" w14:textId="400BFC2A" w:rsidR="0091430D" w:rsidRDefault="0091430D" w:rsidP="007D2FAE">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iCs/>
          <w:lang w:eastAsia="en-AU"/>
        </w:rPr>
        <w:t>Therapeutic Goods (Medical Devices—Information that Must Accompany Application for Inclusion) Determination 2018</w:t>
      </w:r>
      <w:r w:rsidRPr="00D11572">
        <w:rPr>
          <w:rFonts w:eastAsia="Times New Roman"/>
          <w:lang w:eastAsia="en-AU"/>
        </w:rPr>
        <w:t xml:space="preserve"> (“</w:t>
      </w:r>
      <w:r w:rsidR="001760F0" w:rsidRPr="00D11572">
        <w:rPr>
          <w:rFonts w:eastAsia="Times New Roman"/>
          <w:lang w:eastAsia="en-AU"/>
        </w:rPr>
        <w:t xml:space="preserve">the </w:t>
      </w:r>
      <w:r w:rsidRPr="00D11572">
        <w:rPr>
          <w:rFonts w:eastAsia="Times New Roman"/>
          <w:lang w:eastAsia="en-AU"/>
        </w:rPr>
        <w:t xml:space="preserve">Principal Determination”) </w:t>
      </w:r>
      <w:r w:rsidR="001760F0" w:rsidRPr="00D11572">
        <w:rPr>
          <w:rFonts w:eastAsia="Times New Roman"/>
          <w:lang w:eastAsia="en-AU"/>
        </w:rPr>
        <w:t xml:space="preserve">is </w:t>
      </w:r>
      <w:r w:rsidR="00503DFF">
        <w:rPr>
          <w:rFonts w:eastAsia="Times New Roman"/>
          <w:lang w:eastAsia="en-AU"/>
        </w:rPr>
        <w:t xml:space="preserve">a legislative instrument </w:t>
      </w:r>
      <w:r w:rsidRPr="00D11572">
        <w:rPr>
          <w:rFonts w:eastAsia="Times New Roman"/>
          <w:lang w:eastAsia="en-AU"/>
        </w:rPr>
        <w:t>made under</w:t>
      </w:r>
      <w:r w:rsidR="00F7394F" w:rsidRPr="00D11572">
        <w:rPr>
          <w:rFonts w:eastAsia="Times New Roman"/>
          <w:lang w:eastAsia="en-AU"/>
        </w:rPr>
        <w:t xml:space="preserve"> subsections 41FDB(7) and </w:t>
      </w:r>
      <w:r w:rsidRPr="00D11572">
        <w:rPr>
          <w:rFonts w:eastAsia="Times New Roman"/>
          <w:lang w:eastAsia="en-AU"/>
        </w:rPr>
        <w:t xml:space="preserve">(8) of the Act. </w:t>
      </w:r>
      <w:r w:rsidR="00503DFF">
        <w:rPr>
          <w:rFonts w:eastAsia="Times New Roman"/>
          <w:lang w:eastAsia="en-AU"/>
        </w:rPr>
        <w:t>It</w:t>
      </w:r>
      <w:r w:rsidRPr="00D11572">
        <w:rPr>
          <w:rFonts w:eastAsia="Times New Roman"/>
          <w:lang w:eastAsia="en-AU"/>
        </w:rPr>
        <w:t xml:space="preserve"> determines the kind </w:t>
      </w:r>
      <w:r w:rsidR="001C6B64">
        <w:rPr>
          <w:rFonts w:eastAsia="Times New Roman"/>
          <w:lang w:eastAsia="en-AU"/>
        </w:rPr>
        <w:t xml:space="preserve">of information, </w:t>
      </w:r>
      <w:r w:rsidRPr="00D11572">
        <w:rPr>
          <w:rFonts w:eastAsia="Times New Roman"/>
          <w:lang w:eastAsia="en-AU"/>
        </w:rPr>
        <w:t>and</w:t>
      </w:r>
      <w:r w:rsidR="001C6B64">
        <w:rPr>
          <w:rFonts w:eastAsia="Times New Roman"/>
          <w:lang w:eastAsia="en-AU"/>
        </w:rPr>
        <w:t xml:space="preserve"> the</w:t>
      </w:r>
      <w:r w:rsidRPr="00D11572">
        <w:rPr>
          <w:rFonts w:eastAsia="Times New Roman"/>
          <w:lang w:eastAsia="en-AU"/>
        </w:rPr>
        <w:t xml:space="preserve"> form of information</w:t>
      </w:r>
      <w:r w:rsidR="001C6B64">
        <w:rPr>
          <w:rFonts w:eastAsia="Times New Roman"/>
          <w:lang w:eastAsia="en-AU"/>
        </w:rPr>
        <w:t>,</w:t>
      </w:r>
      <w:r w:rsidRPr="00D11572">
        <w:rPr>
          <w:rFonts w:eastAsia="Times New Roman"/>
          <w:lang w:eastAsia="en-AU"/>
        </w:rPr>
        <w:t xml:space="preserve"> that must accompany an application for </w:t>
      </w:r>
      <w:r w:rsidR="00503DFF">
        <w:rPr>
          <w:rFonts w:eastAsia="Times New Roman"/>
          <w:lang w:eastAsia="en-AU"/>
        </w:rPr>
        <w:t>a</w:t>
      </w:r>
      <w:r w:rsidRPr="00D11572">
        <w:rPr>
          <w:rFonts w:eastAsia="Times New Roman"/>
          <w:lang w:eastAsia="en-AU"/>
        </w:rPr>
        <w:t xml:space="preserve"> </w:t>
      </w:r>
      <w:r w:rsidR="00515A33">
        <w:rPr>
          <w:rFonts w:eastAsia="Times New Roman"/>
          <w:lang w:eastAsia="en-AU"/>
        </w:rPr>
        <w:t xml:space="preserve">kind of </w:t>
      </w:r>
      <w:r w:rsidRPr="00D11572">
        <w:rPr>
          <w:rFonts w:eastAsia="Times New Roman"/>
          <w:lang w:eastAsia="en-AU"/>
        </w:rPr>
        <w:t>medical device to be included in the Register</w:t>
      </w:r>
      <w:r w:rsidR="00503DFF">
        <w:rPr>
          <w:rFonts w:eastAsia="Times New Roman"/>
          <w:lang w:eastAsia="en-AU"/>
        </w:rPr>
        <w:t xml:space="preserve"> (“application for inclusion”)</w:t>
      </w:r>
      <w:r w:rsidRPr="00D11572">
        <w:rPr>
          <w:rFonts w:eastAsia="Times New Roman"/>
          <w:lang w:eastAsia="en-AU"/>
        </w:rPr>
        <w:t>.</w:t>
      </w:r>
    </w:p>
    <w:p w14:paraId="2DDF7FB6" w14:textId="0E4D07A3" w:rsidR="00F734C2" w:rsidRDefault="00F734C2" w:rsidP="007D2FAE">
      <w:pPr>
        <w:autoSpaceDE w:val="0"/>
        <w:autoSpaceDN w:val="0"/>
        <w:adjustRightInd w:val="0"/>
        <w:spacing w:after="0" w:line="240" w:lineRule="auto"/>
        <w:rPr>
          <w:rFonts w:eastAsia="Times New Roman"/>
          <w:lang w:eastAsia="en-AU"/>
        </w:rPr>
      </w:pPr>
    </w:p>
    <w:p w14:paraId="63CF636C" w14:textId="6B0D03B0" w:rsidR="00F761D5" w:rsidRDefault="00A35F10" w:rsidP="00075ECA">
      <w:pPr>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lang w:eastAsia="en-AU"/>
        </w:rPr>
        <w:t xml:space="preserve">Therapeutic Goods (Medical Devices—Information that Must Accompany Application for Inclusion) Amendment </w:t>
      </w:r>
      <w:r w:rsidRPr="00D11572">
        <w:rPr>
          <w:rFonts w:eastAsia="Times New Roman"/>
          <w:bCs/>
          <w:i/>
          <w:lang w:eastAsia="en-AU"/>
        </w:rPr>
        <w:t>Determination</w:t>
      </w:r>
      <w:r>
        <w:rPr>
          <w:rFonts w:eastAsia="Times New Roman"/>
          <w:bCs/>
          <w:i/>
          <w:lang w:eastAsia="en-AU"/>
        </w:rPr>
        <w:t xml:space="preserve"> (No. 2)</w:t>
      </w:r>
      <w:r w:rsidRPr="0027534D">
        <w:rPr>
          <w:rFonts w:eastAsia="Times New Roman"/>
          <w:i/>
          <w:lang w:eastAsia="en-AU"/>
        </w:rPr>
        <w:t xml:space="preserve"> </w:t>
      </w:r>
      <w:r w:rsidRPr="00D11572">
        <w:rPr>
          <w:rFonts w:eastAsia="Times New Roman"/>
          <w:i/>
          <w:lang w:eastAsia="en-AU"/>
        </w:rPr>
        <w:t xml:space="preserve">2024 </w:t>
      </w:r>
      <w:r w:rsidRPr="00D11572">
        <w:rPr>
          <w:rFonts w:eastAsia="Times New Roman"/>
          <w:lang w:eastAsia="en-AU"/>
        </w:rPr>
        <w:t>(“the Amendment Determination”) is made under subsection 41FDB(7) of the Act</w:t>
      </w:r>
      <w:r>
        <w:rPr>
          <w:rFonts w:eastAsia="Times New Roman"/>
          <w:lang w:eastAsia="en-AU"/>
        </w:rPr>
        <w:t>.</w:t>
      </w:r>
      <w:r w:rsidR="00BA06C3">
        <w:rPr>
          <w:rFonts w:eastAsia="Times New Roman"/>
          <w:lang w:eastAsia="en-AU"/>
        </w:rPr>
        <w:t xml:space="preserve"> </w:t>
      </w:r>
      <w:r w:rsidR="00F761D5">
        <w:rPr>
          <w:rFonts w:eastAsia="Times New Roman"/>
          <w:lang w:eastAsia="en-AU"/>
        </w:rPr>
        <w:t>It makes a small number of amendments to the Principal Determination, which are broadly intended to:</w:t>
      </w:r>
    </w:p>
    <w:p w14:paraId="2F76F994" w14:textId="24020CE2" w:rsidR="00F761D5" w:rsidRDefault="00F761D5" w:rsidP="00F761D5">
      <w:pPr>
        <w:pStyle w:val="ListParagraph"/>
        <w:numPr>
          <w:ilvl w:val="0"/>
          <w:numId w:val="41"/>
        </w:numPr>
        <w:spacing w:before="20" w:after="0" w:line="240" w:lineRule="auto"/>
        <w:ind w:left="714" w:hanging="357"/>
        <w:contextualSpacing w:val="0"/>
        <w:rPr>
          <w:rFonts w:eastAsia="Times New Roman"/>
          <w:lang w:eastAsia="en-AU"/>
        </w:rPr>
      </w:pPr>
      <w:r>
        <w:rPr>
          <w:rFonts w:eastAsia="Times New Roman"/>
          <w:lang w:eastAsia="en-AU"/>
        </w:rPr>
        <w:t xml:space="preserve">update the kind of information that must accompany an application for inclusion of a Class IIa or Class III medical device, if the applicant seeks to rely on conformity assessment documents that are issued by the </w:t>
      </w:r>
      <w:r w:rsidRPr="00DA3EC9">
        <w:rPr>
          <w:rFonts w:eastAsia="Times New Roman"/>
          <w:lang w:eastAsia="en-AU"/>
        </w:rPr>
        <w:t>United States Food and Drug Administration (“the US FDA</w:t>
      </w:r>
      <w:r>
        <w:rPr>
          <w:rFonts w:eastAsia="Times New Roman"/>
          <w:lang w:eastAsia="en-AU"/>
        </w:rPr>
        <w:t>”)</w:t>
      </w:r>
      <w:r w:rsidRPr="00DA3EC9">
        <w:rPr>
          <w:rFonts w:eastAsia="Times New Roman"/>
          <w:lang w:eastAsia="en-AU"/>
        </w:rPr>
        <w:t>; and</w:t>
      </w:r>
    </w:p>
    <w:p w14:paraId="40D493A5" w14:textId="61BEA16D" w:rsidR="00E56119" w:rsidRPr="00E44E33" w:rsidRDefault="00515A33" w:rsidP="00924B11">
      <w:pPr>
        <w:pStyle w:val="ListParagraph"/>
        <w:numPr>
          <w:ilvl w:val="0"/>
          <w:numId w:val="41"/>
        </w:numPr>
        <w:spacing w:before="20" w:after="0" w:line="240" w:lineRule="auto"/>
        <w:ind w:left="714" w:hanging="357"/>
        <w:contextualSpacing w:val="0"/>
        <w:rPr>
          <w:rFonts w:eastAsia="Times New Roman"/>
          <w:lang w:eastAsia="en-AU"/>
        </w:rPr>
      </w:pPr>
      <w:r>
        <w:rPr>
          <w:rFonts w:eastAsia="Times New Roman"/>
          <w:lang w:eastAsia="en-AU"/>
        </w:rPr>
        <w:t>make two minor corrections to the Principal Determination.</w:t>
      </w:r>
    </w:p>
    <w:p w14:paraId="497B2B9C" w14:textId="77777777" w:rsidR="00E56119" w:rsidRDefault="00E56119" w:rsidP="007D2FAE">
      <w:pPr>
        <w:autoSpaceDE w:val="0"/>
        <w:autoSpaceDN w:val="0"/>
        <w:adjustRightInd w:val="0"/>
        <w:spacing w:after="0" w:line="240" w:lineRule="auto"/>
        <w:rPr>
          <w:rFonts w:eastAsia="Times New Roman"/>
          <w:lang w:eastAsia="en-AU"/>
        </w:rPr>
      </w:pPr>
    </w:p>
    <w:p w14:paraId="306B8072" w14:textId="485C3C5B" w:rsidR="00F734C2" w:rsidRPr="00A30D8E" w:rsidRDefault="00F734C2" w:rsidP="007D2FAE">
      <w:pPr>
        <w:autoSpaceDE w:val="0"/>
        <w:autoSpaceDN w:val="0"/>
        <w:adjustRightInd w:val="0"/>
        <w:spacing w:after="0" w:line="240" w:lineRule="auto"/>
        <w:rPr>
          <w:rFonts w:eastAsia="Times New Roman"/>
          <w:b/>
          <w:bCs/>
          <w:lang w:eastAsia="en-AU"/>
        </w:rPr>
      </w:pPr>
      <w:r>
        <w:rPr>
          <w:rFonts w:eastAsia="Times New Roman"/>
          <w:b/>
          <w:bCs/>
          <w:lang w:eastAsia="en-AU"/>
        </w:rPr>
        <w:t>Background</w:t>
      </w:r>
    </w:p>
    <w:p w14:paraId="6A84D9CF" w14:textId="77777777" w:rsidR="006F1FEC" w:rsidRDefault="006F1FEC" w:rsidP="006F1FEC">
      <w:pPr>
        <w:autoSpaceDE w:val="0"/>
        <w:autoSpaceDN w:val="0"/>
        <w:adjustRightInd w:val="0"/>
        <w:spacing w:after="0" w:line="240" w:lineRule="auto"/>
        <w:rPr>
          <w:rFonts w:eastAsia="Times New Roman"/>
          <w:lang w:eastAsia="en-AU"/>
        </w:rPr>
      </w:pPr>
    </w:p>
    <w:p w14:paraId="3C352D42" w14:textId="472E6226" w:rsidR="005A5E23" w:rsidRDefault="000C355D" w:rsidP="00EE66DA">
      <w:pPr>
        <w:autoSpaceDE w:val="0"/>
        <w:autoSpaceDN w:val="0"/>
        <w:adjustRightInd w:val="0"/>
        <w:spacing w:after="0" w:line="240" w:lineRule="auto"/>
        <w:rPr>
          <w:rFonts w:eastAsia="Times New Roman"/>
          <w:lang w:eastAsia="en-AU"/>
        </w:rPr>
      </w:pPr>
      <w:r>
        <w:rPr>
          <w:rFonts w:eastAsia="Times New Roman"/>
          <w:lang w:eastAsia="en-AU"/>
        </w:rPr>
        <w:t xml:space="preserve">The Principal Determination requires </w:t>
      </w:r>
      <w:r w:rsidR="00BC2747">
        <w:rPr>
          <w:rFonts w:eastAsia="Times New Roman"/>
          <w:lang w:eastAsia="en-AU"/>
        </w:rPr>
        <w:t xml:space="preserve">an application for inclusion of a </w:t>
      </w:r>
      <w:r w:rsidR="00515A33">
        <w:rPr>
          <w:rFonts w:eastAsia="Times New Roman"/>
          <w:lang w:eastAsia="en-AU"/>
        </w:rPr>
        <w:t xml:space="preserve">kind of </w:t>
      </w:r>
      <w:r w:rsidR="00BC2747">
        <w:rPr>
          <w:rFonts w:eastAsia="Times New Roman"/>
          <w:lang w:eastAsia="en-AU"/>
        </w:rPr>
        <w:t xml:space="preserve">medical device in the Register </w:t>
      </w:r>
      <w:r>
        <w:rPr>
          <w:rFonts w:eastAsia="Times New Roman"/>
          <w:lang w:eastAsia="en-AU"/>
        </w:rPr>
        <w:t xml:space="preserve">to be accompanied by </w:t>
      </w:r>
      <w:r w:rsidR="00BC2747">
        <w:rPr>
          <w:rFonts w:eastAsia="Times New Roman"/>
          <w:lang w:eastAsia="en-AU"/>
        </w:rPr>
        <w:t xml:space="preserve">conformity assessment </w:t>
      </w:r>
      <w:r>
        <w:rPr>
          <w:rFonts w:eastAsia="Times New Roman"/>
          <w:lang w:eastAsia="en-AU"/>
        </w:rPr>
        <w:t xml:space="preserve">documents </w:t>
      </w:r>
      <w:r w:rsidR="00BC2747">
        <w:rPr>
          <w:rFonts w:eastAsia="Times New Roman"/>
          <w:lang w:eastAsia="en-AU"/>
        </w:rPr>
        <w:t xml:space="preserve">which </w:t>
      </w:r>
      <w:r>
        <w:rPr>
          <w:rFonts w:eastAsia="Times New Roman"/>
          <w:lang w:eastAsia="en-AU"/>
        </w:rPr>
        <w:t>demonstrat</w:t>
      </w:r>
      <w:r w:rsidR="00BC2747">
        <w:rPr>
          <w:rFonts w:eastAsia="Times New Roman"/>
          <w:lang w:eastAsia="en-AU"/>
        </w:rPr>
        <w:t>e</w:t>
      </w:r>
      <w:r>
        <w:rPr>
          <w:rFonts w:eastAsia="Times New Roman"/>
          <w:lang w:eastAsia="en-AU"/>
        </w:rPr>
        <w:t xml:space="preserve"> that </w:t>
      </w:r>
      <w:r w:rsidR="00BC2747">
        <w:rPr>
          <w:rFonts w:eastAsia="Times New Roman"/>
          <w:lang w:eastAsia="en-AU"/>
        </w:rPr>
        <w:t xml:space="preserve">the manufacturer has applied </w:t>
      </w:r>
      <w:r>
        <w:rPr>
          <w:rFonts w:eastAsia="Times New Roman"/>
          <w:lang w:eastAsia="en-AU"/>
        </w:rPr>
        <w:t xml:space="preserve">appropriate conformity assessment procedures to its quality management system and to the particular kind of medical device. </w:t>
      </w:r>
      <w:r w:rsidR="005A5E23">
        <w:rPr>
          <w:rFonts w:eastAsia="Times New Roman"/>
          <w:lang w:eastAsia="en-AU"/>
        </w:rPr>
        <w:t>If an application for inclusion is not accompanied by the</w:t>
      </w:r>
      <w:r w:rsidR="001C6B64">
        <w:rPr>
          <w:rFonts w:eastAsia="Times New Roman"/>
          <w:lang w:eastAsia="en-AU"/>
        </w:rPr>
        <w:t xml:space="preserve"> kind of</w:t>
      </w:r>
      <w:r w:rsidR="005A5E23">
        <w:rPr>
          <w:rFonts w:eastAsia="Times New Roman"/>
          <w:lang w:eastAsia="en-AU"/>
        </w:rPr>
        <w:t xml:space="preserve"> </w:t>
      </w:r>
      <w:r w:rsidR="006B6291">
        <w:rPr>
          <w:rFonts w:eastAsia="Times New Roman"/>
          <w:lang w:eastAsia="en-AU"/>
        </w:rPr>
        <w:t>information</w:t>
      </w:r>
      <w:r w:rsidR="005A5E23">
        <w:rPr>
          <w:rFonts w:eastAsia="Times New Roman"/>
          <w:lang w:eastAsia="en-AU"/>
        </w:rPr>
        <w:t xml:space="preserve"> prescribed in the Principal Determination, the application will not pass preliminary assessment, and the Secretary must refuse the application (subsection 41FDB of the </w:t>
      </w:r>
      <w:r w:rsidR="0055374C">
        <w:rPr>
          <w:rFonts w:eastAsia="Times New Roman"/>
          <w:lang w:eastAsia="en-AU"/>
        </w:rPr>
        <w:t>A</w:t>
      </w:r>
      <w:r w:rsidR="005A5E23">
        <w:rPr>
          <w:rFonts w:eastAsia="Times New Roman"/>
          <w:lang w:eastAsia="en-AU"/>
        </w:rPr>
        <w:t>ct refers).</w:t>
      </w:r>
    </w:p>
    <w:p w14:paraId="303D53BB" w14:textId="77777777" w:rsidR="005A5E23" w:rsidRDefault="005A5E23" w:rsidP="00EE66DA">
      <w:pPr>
        <w:autoSpaceDE w:val="0"/>
        <w:autoSpaceDN w:val="0"/>
        <w:adjustRightInd w:val="0"/>
        <w:spacing w:after="0" w:line="240" w:lineRule="auto"/>
        <w:rPr>
          <w:rFonts w:eastAsia="Times New Roman"/>
          <w:lang w:eastAsia="en-AU"/>
        </w:rPr>
      </w:pPr>
    </w:p>
    <w:p w14:paraId="01078696" w14:textId="28B0624F" w:rsidR="00EE66DA" w:rsidRDefault="006B6291" w:rsidP="00EE66DA">
      <w:pPr>
        <w:autoSpaceDE w:val="0"/>
        <w:autoSpaceDN w:val="0"/>
        <w:adjustRightInd w:val="0"/>
        <w:spacing w:after="0" w:line="240" w:lineRule="auto"/>
        <w:rPr>
          <w:rFonts w:eastAsia="Times New Roman"/>
          <w:lang w:eastAsia="en-AU"/>
        </w:rPr>
      </w:pPr>
      <w:r>
        <w:rPr>
          <w:rFonts w:eastAsia="Times New Roman"/>
          <w:lang w:eastAsia="en-AU"/>
        </w:rPr>
        <w:t xml:space="preserve">Section 5 of the Principal Determination prescribes the kind of information that must accompany an application for inclusion of a medical device that is not an in-vitro diagnostic (IVD) medical device. </w:t>
      </w:r>
      <w:r w:rsidR="00BC2747">
        <w:rPr>
          <w:rFonts w:eastAsia="Times New Roman"/>
          <w:lang w:eastAsia="en-AU"/>
        </w:rPr>
        <w:t>Relevantly</w:t>
      </w:r>
      <w:r w:rsidR="00EE66DA">
        <w:rPr>
          <w:rFonts w:eastAsia="Times New Roman"/>
          <w:lang w:eastAsia="en-AU"/>
        </w:rPr>
        <w:t>:</w:t>
      </w:r>
    </w:p>
    <w:p w14:paraId="0D313FAC" w14:textId="629152C2" w:rsidR="006B6291" w:rsidRDefault="00EE66DA" w:rsidP="00E56119">
      <w:pPr>
        <w:pStyle w:val="ListParagraph"/>
        <w:numPr>
          <w:ilvl w:val="0"/>
          <w:numId w:val="33"/>
        </w:numPr>
        <w:autoSpaceDE w:val="0"/>
        <w:autoSpaceDN w:val="0"/>
        <w:adjustRightInd w:val="0"/>
        <w:spacing w:before="20" w:after="0" w:line="240" w:lineRule="auto"/>
        <w:ind w:left="714" w:hanging="357"/>
        <w:contextualSpacing w:val="0"/>
        <w:rPr>
          <w:rFonts w:eastAsia="Times New Roman"/>
          <w:lang w:eastAsia="en-AU"/>
        </w:rPr>
      </w:pPr>
      <w:r>
        <w:rPr>
          <w:rFonts w:eastAsia="Times New Roman"/>
          <w:lang w:eastAsia="en-AU"/>
        </w:rPr>
        <w:t>subsection 5(3)</w:t>
      </w:r>
      <w:r w:rsidR="006B6291">
        <w:rPr>
          <w:rFonts w:eastAsia="Times New Roman"/>
          <w:lang w:eastAsia="en-AU"/>
        </w:rPr>
        <w:t xml:space="preserve"> prescribes the kind of information that must accompany an application for inclusion of a Class IIa medical device</w:t>
      </w:r>
      <w:r w:rsidR="00235E58">
        <w:rPr>
          <w:rFonts w:eastAsia="Times New Roman"/>
          <w:lang w:eastAsia="en-AU"/>
        </w:rPr>
        <w:t xml:space="preserve">—being the conformity assessment </w:t>
      </w:r>
      <w:r w:rsidR="00235E58">
        <w:rPr>
          <w:rFonts w:eastAsia="Times New Roman"/>
          <w:lang w:eastAsia="en-AU"/>
        </w:rPr>
        <w:lastRenderedPageBreak/>
        <w:t>documents that are specified by an item in the table in Part 2 of Schedule 1 to the Principal Determination</w:t>
      </w:r>
      <w:r w:rsidR="006B6291">
        <w:rPr>
          <w:rFonts w:eastAsia="Times New Roman"/>
          <w:lang w:eastAsia="en-AU"/>
        </w:rPr>
        <w:t>; and</w:t>
      </w:r>
    </w:p>
    <w:p w14:paraId="64017D10" w14:textId="782EE37E" w:rsidR="00A9507A" w:rsidRPr="00235E58" w:rsidRDefault="00EE66DA" w:rsidP="00235E58">
      <w:pPr>
        <w:pStyle w:val="ListParagraph"/>
        <w:numPr>
          <w:ilvl w:val="0"/>
          <w:numId w:val="33"/>
        </w:numPr>
        <w:autoSpaceDE w:val="0"/>
        <w:autoSpaceDN w:val="0"/>
        <w:adjustRightInd w:val="0"/>
        <w:spacing w:before="20" w:after="0" w:line="240" w:lineRule="auto"/>
        <w:ind w:left="714" w:hanging="357"/>
        <w:contextualSpacing w:val="0"/>
        <w:rPr>
          <w:rFonts w:eastAsia="Times New Roman"/>
          <w:lang w:eastAsia="en-AU"/>
        </w:rPr>
      </w:pPr>
      <w:r>
        <w:rPr>
          <w:rFonts w:eastAsia="Times New Roman"/>
          <w:lang w:eastAsia="en-AU"/>
        </w:rPr>
        <w:t>subsection 5(7)</w:t>
      </w:r>
      <w:r w:rsidR="006B6291">
        <w:rPr>
          <w:rFonts w:eastAsia="Times New Roman"/>
          <w:lang w:eastAsia="en-AU"/>
        </w:rPr>
        <w:t xml:space="preserve"> prescribes </w:t>
      </w:r>
      <w:r>
        <w:rPr>
          <w:rFonts w:eastAsia="Times New Roman"/>
          <w:lang w:eastAsia="en-AU"/>
        </w:rPr>
        <w:t>the kind of information that must accompany an application for inclusion of a Class III medical device</w:t>
      </w:r>
      <w:r w:rsidR="00235E58">
        <w:rPr>
          <w:rFonts w:eastAsia="Times New Roman"/>
          <w:lang w:eastAsia="en-AU"/>
        </w:rPr>
        <w:t>—being the conformity assessment documents that are specified by an item in the table in Part 4 of Schedule 1 to the Principal Determination</w:t>
      </w:r>
      <w:r>
        <w:rPr>
          <w:rFonts w:eastAsia="Times New Roman"/>
          <w:lang w:eastAsia="en-AU"/>
        </w:rPr>
        <w:t>.</w:t>
      </w:r>
    </w:p>
    <w:p w14:paraId="6577926A" w14:textId="77777777" w:rsidR="006B6291" w:rsidRDefault="006B6291" w:rsidP="00A9507A">
      <w:pPr>
        <w:autoSpaceDE w:val="0"/>
        <w:autoSpaceDN w:val="0"/>
        <w:adjustRightInd w:val="0"/>
        <w:spacing w:after="0" w:line="240" w:lineRule="auto"/>
        <w:rPr>
          <w:rFonts w:eastAsia="Times New Roman"/>
          <w:lang w:eastAsia="en-AU"/>
        </w:rPr>
      </w:pPr>
    </w:p>
    <w:p w14:paraId="06C46261" w14:textId="62DF83D4" w:rsidR="00B05666" w:rsidRDefault="00F21E7A" w:rsidP="00A9507A">
      <w:pPr>
        <w:autoSpaceDE w:val="0"/>
        <w:autoSpaceDN w:val="0"/>
        <w:adjustRightInd w:val="0"/>
        <w:spacing w:after="0" w:line="240" w:lineRule="auto"/>
        <w:rPr>
          <w:rFonts w:eastAsia="Times New Roman"/>
          <w:lang w:eastAsia="en-AU"/>
        </w:rPr>
      </w:pPr>
      <w:r>
        <w:rPr>
          <w:rFonts w:eastAsia="Times New Roman"/>
          <w:lang w:eastAsia="en-AU"/>
        </w:rPr>
        <w:t>T</w:t>
      </w:r>
      <w:r w:rsidR="00F56E4E">
        <w:rPr>
          <w:rFonts w:eastAsia="Times New Roman"/>
          <w:lang w:eastAsia="en-AU"/>
        </w:rPr>
        <w:t xml:space="preserve">he tables in Schedules 1 and 2 set out the information that must accompany an application for inclusion. </w:t>
      </w:r>
      <w:r w:rsidR="008049F3">
        <w:rPr>
          <w:rFonts w:eastAsia="Times New Roman"/>
          <w:lang w:eastAsia="en-AU"/>
        </w:rPr>
        <w:t xml:space="preserve">For each of the </w:t>
      </w:r>
      <w:r w:rsidR="00B05666">
        <w:rPr>
          <w:rFonts w:eastAsia="Times New Roman"/>
          <w:lang w:eastAsia="en-AU"/>
        </w:rPr>
        <w:t>tables in Schedule</w:t>
      </w:r>
      <w:r w:rsidR="00F56E4E">
        <w:rPr>
          <w:rFonts w:eastAsia="Times New Roman"/>
          <w:lang w:eastAsia="en-AU"/>
        </w:rPr>
        <w:t>s</w:t>
      </w:r>
      <w:r w:rsidR="00B05666">
        <w:rPr>
          <w:rFonts w:eastAsia="Times New Roman"/>
          <w:lang w:eastAsia="en-AU"/>
        </w:rPr>
        <w:t xml:space="preserve"> 1 </w:t>
      </w:r>
      <w:r w:rsidR="00F56E4E">
        <w:rPr>
          <w:rFonts w:eastAsia="Times New Roman"/>
          <w:lang w:eastAsia="en-AU"/>
        </w:rPr>
        <w:t xml:space="preserve">and 2 </w:t>
      </w:r>
      <w:r w:rsidR="00B05666">
        <w:rPr>
          <w:rFonts w:eastAsia="Times New Roman"/>
          <w:lang w:eastAsia="en-AU"/>
        </w:rPr>
        <w:t>to the Principal Determination</w:t>
      </w:r>
      <w:r w:rsidR="008049F3">
        <w:rPr>
          <w:rFonts w:eastAsia="Times New Roman"/>
          <w:lang w:eastAsia="en-AU"/>
        </w:rPr>
        <w:t xml:space="preserve">, </w:t>
      </w:r>
      <w:r w:rsidR="000C5B98">
        <w:rPr>
          <w:rFonts w:eastAsia="Times New Roman"/>
          <w:lang w:eastAsia="en-AU"/>
        </w:rPr>
        <w:t xml:space="preserve">each item sets out conformity assessment documents, relating to the manufacturer’s </w:t>
      </w:r>
      <w:r w:rsidR="00BB57A7">
        <w:rPr>
          <w:rFonts w:eastAsia="Times New Roman"/>
          <w:lang w:eastAsia="en-AU"/>
        </w:rPr>
        <w:t>quality management system</w:t>
      </w:r>
      <w:r w:rsidR="000C5B98">
        <w:rPr>
          <w:rFonts w:eastAsia="Times New Roman"/>
          <w:lang w:eastAsia="en-AU"/>
        </w:rPr>
        <w:t xml:space="preserve"> and to product assessment</w:t>
      </w:r>
      <w:r>
        <w:rPr>
          <w:rFonts w:eastAsia="Times New Roman"/>
          <w:lang w:eastAsia="en-AU"/>
        </w:rPr>
        <w:t xml:space="preserve"> (if any)</w:t>
      </w:r>
      <w:r w:rsidR="000C5B98">
        <w:rPr>
          <w:rFonts w:eastAsia="Times New Roman"/>
          <w:lang w:eastAsia="en-AU"/>
        </w:rPr>
        <w:t xml:space="preserve">, issued by a particular regulatory body that an applicant may seek to rely on to support their application. </w:t>
      </w:r>
      <w:r w:rsidR="00B05666">
        <w:rPr>
          <w:rFonts w:eastAsia="Times New Roman"/>
          <w:lang w:eastAsia="en-AU"/>
        </w:rPr>
        <w:t>A number of these pathways specify conformity assessment documents that are issued by comparable overseas regulators, such as the US FDA. This reflects that</w:t>
      </w:r>
      <w:r w:rsidR="00B932CA">
        <w:rPr>
          <w:rFonts w:eastAsia="Times New Roman"/>
          <w:lang w:eastAsia="en-AU"/>
        </w:rPr>
        <w:t xml:space="preserve"> for certain kinds of devices, the TGA will consider evidence from a comparable </w:t>
      </w:r>
      <w:r w:rsidR="000C5B98">
        <w:rPr>
          <w:rFonts w:eastAsia="Times New Roman"/>
          <w:lang w:eastAsia="en-AU"/>
        </w:rPr>
        <w:t xml:space="preserve">overseas </w:t>
      </w:r>
      <w:r w:rsidR="00B05666">
        <w:rPr>
          <w:rFonts w:eastAsia="Times New Roman"/>
          <w:lang w:eastAsia="en-AU"/>
        </w:rPr>
        <w:t>regulator</w:t>
      </w:r>
      <w:r w:rsidR="003E2FA4">
        <w:rPr>
          <w:rFonts w:eastAsia="Times New Roman"/>
          <w:lang w:eastAsia="en-AU"/>
        </w:rPr>
        <w:t xml:space="preserve"> </w:t>
      </w:r>
      <w:r w:rsidR="00B932CA">
        <w:rPr>
          <w:rFonts w:eastAsia="Times New Roman"/>
          <w:lang w:eastAsia="en-AU"/>
        </w:rPr>
        <w:t>in support of an application for inclusion. This reduces regulatory burden for applicants who can rely on overseas conformity assessment documents in support of their application, and do not need to apply for Australian conformity assessment documents.</w:t>
      </w:r>
    </w:p>
    <w:p w14:paraId="6ACA8D47" w14:textId="77777777" w:rsidR="00B05666" w:rsidRDefault="00B05666" w:rsidP="00A9507A">
      <w:pPr>
        <w:autoSpaceDE w:val="0"/>
        <w:autoSpaceDN w:val="0"/>
        <w:adjustRightInd w:val="0"/>
        <w:spacing w:after="0" w:line="240" w:lineRule="auto"/>
        <w:rPr>
          <w:rFonts w:eastAsia="Times New Roman"/>
          <w:lang w:eastAsia="en-AU"/>
        </w:rPr>
      </w:pPr>
    </w:p>
    <w:p w14:paraId="3FA436D7" w14:textId="29AFCFB4" w:rsidR="00235E58" w:rsidRPr="00235E58" w:rsidRDefault="00235E58" w:rsidP="00A9507A">
      <w:pPr>
        <w:autoSpaceDE w:val="0"/>
        <w:autoSpaceDN w:val="0"/>
        <w:adjustRightInd w:val="0"/>
        <w:spacing w:after="0" w:line="240" w:lineRule="auto"/>
        <w:rPr>
          <w:rFonts w:eastAsia="Times New Roman"/>
          <w:b/>
          <w:bCs/>
          <w:lang w:eastAsia="en-AU"/>
        </w:rPr>
      </w:pPr>
      <w:r>
        <w:rPr>
          <w:rFonts w:eastAsia="Times New Roman"/>
          <w:b/>
          <w:bCs/>
          <w:lang w:eastAsia="en-AU"/>
        </w:rPr>
        <w:t>Purpose</w:t>
      </w:r>
    </w:p>
    <w:p w14:paraId="75281A2F" w14:textId="77777777" w:rsidR="00235E58" w:rsidRDefault="00235E58" w:rsidP="00A9507A">
      <w:pPr>
        <w:autoSpaceDE w:val="0"/>
        <w:autoSpaceDN w:val="0"/>
        <w:adjustRightInd w:val="0"/>
        <w:spacing w:after="0" w:line="240" w:lineRule="auto"/>
        <w:rPr>
          <w:rFonts w:eastAsia="Times New Roman"/>
          <w:lang w:eastAsia="en-AU"/>
        </w:rPr>
      </w:pPr>
    </w:p>
    <w:p w14:paraId="4271868B" w14:textId="07114316" w:rsidR="00D50DEC" w:rsidRDefault="00405848" w:rsidP="00A9507A">
      <w:pPr>
        <w:autoSpaceDE w:val="0"/>
        <w:autoSpaceDN w:val="0"/>
        <w:adjustRightInd w:val="0"/>
        <w:spacing w:after="0" w:line="240" w:lineRule="auto"/>
        <w:rPr>
          <w:rFonts w:eastAsia="Times New Roman"/>
          <w:lang w:eastAsia="en-AU"/>
        </w:rPr>
      </w:pPr>
      <w:r>
        <w:rPr>
          <w:rFonts w:eastAsia="Times New Roman"/>
          <w:lang w:eastAsia="en-AU"/>
        </w:rPr>
        <w:t>The</w:t>
      </w:r>
      <w:r w:rsidR="005F6198">
        <w:rPr>
          <w:rFonts w:eastAsia="Times New Roman"/>
          <w:lang w:eastAsia="en-AU"/>
        </w:rPr>
        <w:t xml:space="preserve"> </w:t>
      </w:r>
      <w:r>
        <w:rPr>
          <w:rFonts w:eastAsia="Times New Roman"/>
          <w:lang w:eastAsia="en-AU"/>
        </w:rPr>
        <w:t xml:space="preserve">principal purpose of the </w:t>
      </w:r>
      <w:r w:rsidR="005F6198">
        <w:rPr>
          <w:rFonts w:eastAsia="Times New Roman"/>
          <w:lang w:eastAsia="en-AU"/>
        </w:rPr>
        <w:t xml:space="preserve">Amendment Determination </w:t>
      </w:r>
      <w:r>
        <w:rPr>
          <w:rFonts w:eastAsia="Times New Roman"/>
          <w:lang w:eastAsia="en-AU"/>
        </w:rPr>
        <w:t xml:space="preserve">is to </w:t>
      </w:r>
      <w:r w:rsidR="00433863">
        <w:rPr>
          <w:rFonts w:eastAsia="Times New Roman"/>
          <w:lang w:eastAsia="en-AU"/>
        </w:rPr>
        <w:t xml:space="preserve">reduce regulatory burden for persons </w:t>
      </w:r>
      <w:r>
        <w:rPr>
          <w:rFonts w:eastAsia="Times New Roman"/>
          <w:lang w:eastAsia="en-AU"/>
        </w:rPr>
        <w:t>applying</w:t>
      </w:r>
      <w:r w:rsidR="00433863">
        <w:rPr>
          <w:rFonts w:eastAsia="Times New Roman"/>
          <w:lang w:eastAsia="en-AU"/>
        </w:rPr>
        <w:t xml:space="preserve"> for inclusion in the Register of a Class IIa medical device that the US FDA has exempted from the requirements in section 510(k) of the </w:t>
      </w:r>
      <w:r w:rsidR="00433863">
        <w:rPr>
          <w:rFonts w:eastAsia="Times New Roman"/>
          <w:i/>
          <w:iCs/>
          <w:lang w:eastAsia="en-AU"/>
        </w:rPr>
        <w:t>Federal Food, Drug and Cosmetic Act</w:t>
      </w:r>
      <w:r w:rsidR="00433863">
        <w:rPr>
          <w:rFonts w:eastAsia="Times New Roman"/>
          <w:lang w:eastAsia="en-AU"/>
        </w:rPr>
        <w:t xml:space="preserve"> of the United States (“the US FDC Act”). </w:t>
      </w:r>
      <w:r>
        <w:rPr>
          <w:rFonts w:eastAsia="Times New Roman"/>
          <w:lang w:eastAsia="en-AU"/>
        </w:rPr>
        <w:t>The Amendment Determination amends Part 2 of Schedule 1 to the Principal Determination to make it clear that</w:t>
      </w:r>
      <w:r w:rsidR="002644B8">
        <w:rPr>
          <w:rFonts w:eastAsia="Times New Roman"/>
          <w:lang w:eastAsia="en-AU"/>
        </w:rPr>
        <w:t xml:space="preserve"> </w:t>
      </w:r>
      <w:r w:rsidR="00433863">
        <w:rPr>
          <w:rFonts w:eastAsia="Times New Roman"/>
          <w:lang w:eastAsia="en-AU"/>
        </w:rPr>
        <w:t xml:space="preserve">an application for inclusion of such a device in the Register only needs to be accompanied by a Medical Device Single Audit Program (“MDSAP”) certificate issued by </w:t>
      </w:r>
      <w:r w:rsidR="004918D4">
        <w:rPr>
          <w:rFonts w:eastAsia="Times New Roman"/>
          <w:lang w:eastAsia="en-AU"/>
        </w:rPr>
        <w:t>a recognised auditing organisation</w:t>
      </w:r>
      <w:r w:rsidR="00433863">
        <w:rPr>
          <w:rFonts w:eastAsia="Times New Roman"/>
          <w:lang w:eastAsia="en-AU"/>
        </w:rPr>
        <w:t xml:space="preserve">. This reflects that, in such cases, conformity assessment documents </w:t>
      </w:r>
      <w:r w:rsidR="00B932CA">
        <w:rPr>
          <w:rFonts w:eastAsia="Times New Roman"/>
          <w:lang w:eastAsia="en-AU"/>
        </w:rPr>
        <w:t xml:space="preserve">issued by the </w:t>
      </w:r>
      <w:r w:rsidR="008B072D">
        <w:rPr>
          <w:rFonts w:eastAsia="Times New Roman"/>
          <w:lang w:eastAsia="en-AU"/>
        </w:rPr>
        <w:t xml:space="preserve">US </w:t>
      </w:r>
      <w:r w:rsidR="00B932CA">
        <w:rPr>
          <w:rFonts w:eastAsia="Times New Roman"/>
          <w:lang w:eastAsia="en-AU"/>
        </w:rPr>
        <w:t xml:space="preserve">FDA </w:t>
      </w:r>
      <w:r w:rsidR="00433863">
        <w:rPr>
          <w:rFonts w:eastAsia="Times New Roman"/>
          <w:lang w:eastAsia="en-AU"/>
        </w:rPr>
        <w:t xml:space="preserve">relating to product assessment are not available to the applicant. </w:t>
      </w:r>
    </w:p>
    <w:p w14:paraId="6C9E90E0" w14:textId="77777777" w:rsidR="00D50DEC" w:rsidRDefault="00D50DEC" w:rsidP="00A9507A">
      <w:pPr>
        <w:autoSpaceDE w:val="0"/>
        <w:autoSpaceDN w:val="0"/>
        <w:adjustRightInd w:val="0"/>
        <w:spacing w:after="0" w:line="240" w:lineRule="auto"/>
        <w:rPr>
          <w:rFonts w:eastAsia="Times New Roman"/>
          <w:lang w:eastAsia="en-AU"/>
        </w:rPr>
      </w:pPr>
    </w:p>
    <w:p w14:paraId="7D4892EE" w14:textId="184365A1" w:rsidR="00433863" w:rsidRDefault="00B932CA" w:rsidP="00A9507A">
      <w:pPr>
        <w:autoSpaceDE w:val="0"/>
        <w:autoSpaceDN w:val="0"/>
        <w:adjustRightInd w:val="0"/>
        <w:spacing w:after="0" w:line="240" w:lineRule="auto"/>
        <w:rPr>
          <w:rFonts w:eastAsia="Times New Roman"/>
          <w:lang w:eastAsia="en-AU"/>
        </w:rPr>
      </w:pPr>
      <w:r>
        <w:rPr>
          <w:rFonts w:eastAsia="Times New Roman"/>
          <w:lang w:eastAsia="en-AU"/>
        </w:rPr>
        <w:t>Applications for inclusion of medical devices that are not exempt from the requirements in section 510(k) of the</w:t>
      </w:r>
      <w:r w:rsidR="00433863">
        <w:rPr>
          <w:rFonts w:eastAsia="Times New Roman"/>
          <w:lang w:eastAsia="en-AU"/>
        </w:rPr>
        <w:t xml:space="preserve"> </w:t>
      </w:r>
      <w:r>
        <w:rPr>
          <w:rFonts w:eastAsia="Times New Roman"/>
          <w:lang w:eastAsia="en-AU"/>
        </w:rPr>
        <w:t>US FDC Act</w:t>
      </w:r>
      <w:r w:rsidR="00433863">
        <w:rPr>
          <w:rFonts w:eastAsia="Times New Roman"/>
          <w:lang w:eastAsia="en-AU"/>
        </w:rPr>
        <w:t xml:space="preserve"> </w:t>
      </w:r>
      <w:r>
        <w:rPr>
          <w:rFonts w:eastAsia="Times New Roman"/>
          <w:lang w:eastAsia="en-AU"/>
        </w:rPr>
        <w:t xml:space="preserve">are still required to be supported by either </w:t>
      </w:r>
      <w:r w:rsidRPr="00404989">
        <w:t>a determination of substantial equivalence made with respect to a notification submitted under section 510(k) of the US FDC Act</w:t>
      </w:r>
      <w:r>
        <w:t xml:space="preserve"> or </w:t>
      </w:r>
      <w:r w:rsidRPr="00404989">
        <w:t>an order granting a request for classification under section 513 of the US FDC Act (a De Novo classification request)</w:t>
      </w:r>
      <w:r>
        <w:t>.</w:t>
      </w:r>
    </w:p>
    <w:p w14:paraId="14AC7151" w14:textId="77777777" w:rsidR="00433863" w:rsidRDefault="00433863" w:rsidP="00A9507A">
      <w:pPr>
        <w:autoSpaceDE w:val="0"/>
        <w:autoSpaceDN w:val="0"/>
        <w:adjustRightInd w:val="0"/>
        <w:spacing w:after="0" w:line="240" w:lineRule="auto"/>
        <w:rPr>
          <w:rFonts w:eastAsia="Times New Roman"/>
          <w:lang w:eastAsia="en-AU"/>
        </w:rPr>
      </w:pPr>
    </w:p>
    <w:p w14:paraId="5B8A8B75" w14:textId="1554A7B8" w:rsidR="00433863" w:rsidRDefault="0011303B" w:rsidP="00433863">
      <w:pPr>
        <w:autoSpaceDE w:val="0"/>
        <w:autoSpaceDN w:val="0"/>
        <w:adjustRightInd w:val="0"/>
        <w:spacing w:after="0" w:line="240" w:lineRule="auto"/>
        <w:rPr>
          <w:rFonts w:eastAsia="Times New Roman"/>
          <w:lang w:eastAsia="en-AU"/>
        </w:rPr>
      </w:pPr>
      <w:r>
        <w:rPr>
          <w:rFonts w:eastAsia="Times New Roman"/>
          <w:lang w:eastAsia="en-AU"/>
        </w:rPr>
        <w:t xml:space="preserve">The Amendment Determination also </w:t>
      </w:r>
      <w:r w:rsidR="00433863">
        <w:rPr>
          <w:rFonts w:eastAsia="Times New Roman"/>
          <w:lang w:eastAsia="en-AU"/>
        </w:rPr>
        <w:t xml:space="preserve">provides improved flexibility for persons who, when applying for the inclusion in the Register of a Class III medical device, seek to rely on conformity assessment documents issued by the US FDA. It does so by amending Part 4 of Schedule 1 to the Principal Determination to broaden the range of US FDA conformity assessment documents relating to product assessment that an applicant may rely on to support their application for inclusion. The effect of this amendment is that, where an applicant seeks to rely on a MDSAP certificate issued by </w:t>
      </w:r>
      <w:r w:rsidR="004918D4">
        <w:rPr>
          <w:rFonts w:eastAsia="Times New Roman"/>
          <w:lang w:eastAsia="en-AU"/>
        </w:rPr>
        <w:t>a recognised auditing organisation</w:t>
      </w:r>
      <w:r w:rsidR="00B932CA">
        <w:rPr>
          <w:rFonts w:eastAsia="Times New Roman"/>
          <w:lang w:eastAsia="en-AU"/>
        </w:rPr>
        <w:t xml:space="preserve"> </w:t>
      </w:r>
      <w:r w:rsidR="00433863">
        <w:rPr>
          <w:rFonts w:eastAsia="Times New Roman"/>
          <w:lang w:eastAsia="en-AU"/>
        </w:rPr>
        <w:t>to demonstrate that the appropriate conformity assessment procedures have been applied to the manufacturer’s quality management system</w:t>
      </w:r>
      <w:r w:rsidR="00B932CA">
        <w:rPr>
          <w:rFonts w:eastAsia="Times New Roman"/>
          <w:lang w:eastAsia="en-AU"/>
        </w:rPr>
        <w:t xml:space="preserve">, </w:t>
      </w:r>
      <w:r w:rsidR="00433863">
        <w:rPr>
          <w:rFonts w:eastAsia="Times New Roman"/>
          <w:lang w:eastAsia="en-AU"/>
        </w:rPr>
        <w:t>the applicant must also submit either of the following:</w:t>
      </w:r>
    </w:p>
    <w:p w14:paraId="6D14F6EB" w14:textId="77777777" w:rsidR="00433863" w:rsidRDefault="00433863" w:rsidP="00433863">
      <w:pPr>
        <w:pStyle w:val="ListParagraph"/>
        <w:numPr>
          <w:ilvl w:val="0"/>
          <w:numId w:val="44"/>
        </w:numPr>
        <w:autoSpaceDE w:val="0"/>
        <w:autoSpaceDN w:val="0"/>
        <w:adjustRightInd w:val="0"/>
        <w:spacing w:before="20" w:after="0" w:line="240" w:lineRule="auto"/>
        <w:ind w:left="777" w:hanging="357"/>
        <w:contextualSpacing w:val="0"/>
        <w:rPr>
          <w:rFonts w:eastAsia="Times New Roman"/>
          <w:lang w:eastAsia="en-AU"/>
        </w:rPr>
      </w:pPr>
      <w:r>
        <w:rPr>
          <w:rFonts w:eastAsia="Times New Roman"/>
          <w:lang w:eastAsia="en-AU"/>
        </w:rPr>
        <w:t>an order approving an application for premarket approval under section 515 of the US FDC Act; or</w:t>
      </w:r>
    </w:p>
    <w:p w14:paraId="3E044309" w14:textId="67F25DBA" w:rsidR="00433863" w:rsidRPr="00433863" w:rsidRDefault="00433863" w:rsidP="00433863">
      <w:pPr>
        <w:pStyle w:val="ListParagraph"/>
        <w:numPr>
          <w:ilvl w:val="0"/>
          <w:numId w:val="44"/>
        </w:numPr>
        <w:autoSpaceDE w:val="0"/>
        <w:autoSpaceDN w:val="0"/>
        <w:adjustRightInd w:val="0"/>
        <w:spacing w:before="20" w:after="0" w:line="240" w:lineRule="auto"/>
        <w:ind w:left="777" w:hanging="357"/>
        <w:contextualSpacing w:val="0"/>
        <w:rPr>
          <w:rFonts w:eastAsia="Times New Roman"/>
          <w:lang w:eastAsia="en-AU"/>
        </w:rPr>
      </w:pPr>
      <w:r w:rsidRPr="00433863">
        <w:rPr>
          <w:rFonts w:eastAsia="Times New Roman"/>
          <w:lang w:eastAsia="en-AU"/>
        </w:rPr>
        <w:lastRenderedPageBreak/>
        <w:t>a determination of substantial equivalence made with respect to a notification submitted under section 510(k) of the US FDC Act</w:t>
      </w:r>
      <w:r w:rsidR="00070771">
        <w:rPr>
          <w:rFonts w:eastAsia="Times New Roman"/>
          <w:lang w:eastAsia="en-AU"/>
        </w:rPr>
        <w:t>.</w:t>
      </w:r>
    </w:p>
    <w:p w14:paraId="593C2C90" w14:textId="77777777" w:rsidR="004918D4" w:rsidRDefault="004918D4" w:rsidP="00A9507A">
      <w:pPr>
        <w:autoSpaceDE w:val="0"/>
        <w:autoSpaceDN w:val="0"/>
        <w:adjustRightInd w:val="0"/>
        <w:spacing w:after="0" w:line="240" w:lineRule="auto"/>
        <w:rPr>
          <w:rFonts w:eastAsia="Times New Roman"/>
          <w:lang w:eastAsia="en-AU"/>
        </w:rPr>
      </w:pPr>
    </w:p>
    <w:p w14:paraId="6030739B" w14:textId="0BDA8565" w:rsidR="00433863" w:rsidRDefault="00A639D7" w:rsidP="00A9507A">
      <w:pPr>
        <w:autoSpaceDE w:val="0"/>
        <w:autoSpaceDN w:val="0"/>
        <w:adjustRightInd w:val="0"/>
        <w:spacing w:after="0" w:line="240" w:lineRule="auto"/>
        <w:rPr>
          <w:rFonts w:eastAsia="Times New Roman"/>
          <w:lang w:eastAsia="en-AU"/>
        </w:rPr>
      </w:pPr>
      <w:r>
        <w:rPr>
          <w:rFonts w:eastAsia="Times New Roman"/>
          <w:lang w:eastAsia="en-AU"/>
        </w:rPr>
        <w:t xml:space="preserve">That is, instead of submitting an order approving an application for premarket approval under section 515, an applicant could instead provide </w:t>
      </w:r>
      <w:r w:rsidRPr="00E64075">
        <w:t>a determination of substantial equivalence made with respect to a notification submitted under section 510(k)</w:t>
      </w:r>
      <w:r>
        <w:t>.</w:t>
      </w:r>
    </w:p>
    <w:p w14:paraId="00A30CC2" w14:textId="77777777" w:rsidR="00A639D7" w:rsidRDefault="00A639D7" w:rsidP="00A9507A">
      <w:pPr>
        <w:autoSpaceDE w:val="0"/>
        <w:autoSpaceDN w:val="0"/>
        <w:adjustRightInd w:val="0"/>
        <w:spacing w:after="0" w:line="240" w:lineRule="auto"/>
        <w:rPr>
          <w:rFonts w:eastAsia="Times New Roman"/>
          <w:lang w:eastAsia="en-AU"/>
        </w:rPr>
      </w:pPr>
    </w:p>
    <w:p w14:paraId="7804B815" w14:textId="0E6C7538" w:rsidR="00B9131E" w:rsidRDefault="003E2FA4" w:rsidP="00A9507A">
      <w:pPr>
        <w:autoSpaceDE w:val="0"/>
        <w:autoSpaceDN w:val="0"/>
        <w:adjustRightInd w:val="0"/>
        <w:spacing w:after="0" w:line="240" w:lineRule="auto"/>
        <w:rPr>
          <w:rFonts w:eastAsia="Times New Roman"/>
          <w:lang w:eastAsia="en-AU"/>
        </w:rPr>
      </w:pPr>
      <w:r>
        <w:rPr>
          <w:rFonts w:eastAsia="Times New Roman"/>
          <w:lang w:eastAsia="en-AU"/>
        </w:rPr>
        <w:t xml:space="preserve">Finally, the Amendment Determination </w:t>
      </w:r>
      <w:r w:rsidR="007B20C6">
        <w:rPr>
          <w:rFonts w:eastAsia="Times New Roman"/>
          <w:lang w:eastAsia="en-AU"/>
        </w:rPr>
        <w:t>makes a small number of amendments to section 5 of the Principal Determination</w:t>
      </w:r>
      <w:r w:rsidR="0074303D">
        <w:rPr>
          <w:rFonts w:eastAsia="Times New Roman"/>
          <w:lang w:eastAsia="en-AU"/>
        </w:rPr>
        <w:t>. The purpose of these amendments is</w:t>
      </w:r>
      <w:r w:rsidR="007B20C6">
        <w:rPr>
          <w:rFonts w:eastAsia="Times New Roman"/>
          <w:lang w:eastAsia="en-AU"/>
        </w:rPr>
        <w:t xml:space="preserve"> to </w:t>
      </w:r>
      <w:r w:rsidR="00A639D7">
        <w:rPr>
          <w:rFonts w:eastAsia="Times New Roman"/>
          <w:lang w:eastAsia="en-AU"/>
        </w:rPr>
        <w:t xml:space="preserve">make </w:t>
      </w:r>
      <w:r w:rsidR="007B20C6">
        <w:rPr>
          <w:rFonts w:eastAsia="Times New Roman"/>
          <w:lang w:eastAsia="en-AU"/>
        </w:rPr>
        <w:t xml:space="preserve">two minor </w:t>
      </w:r>
      <w:r w:rsidR="00A639D7">
        <w:rPr>
          <w:rFonts w:eastAsia="Times New Roman"/>
          <w:lang w:eastAsia="en-AU"/>
        </w:rPr>
        <w:t>corrections</w:t>
      </w:r>
      <w:r w:rsidR="007B20C6">
        <w:rPr>
          <w:rFonts w:eastAsia="Times New Roman"/>
          <w:lang w:eastAsia="en-AU"/>
        </w:rPr>
        <w:t xml:space="preserve"> </w:t>
      </w:r>
      <w:r w:rsidR="00A639D7">
        <w:rPr>
          <w:rFonts w:eastAsia="Times New Roman"/>
          <w:lang w:eastAsia="en-AU"/>
        </w:rPr>
        <w:t>to</w:t>
      </w:r>
      <w:r w:rsidR="0074303D">
        <w:rPr>
          <w:rFonts w:eastAsia="Times New Roman"/>
          <w:lang w:eastAsia="en-AU"/>
        </w:rPr>
        <w:t xml:space="preserve"> the Principal Determination</w:t>
      </w:r>
      <w:r w:rsidR="007B20C6">
        <w:rPr>
          <w:rFonts w:eastAsia="Times New Roman"/>
          <w:lang w:eastAsia="en-AU"/>
        </w:rPr>
        <w:t xml:space="preserve">. </w:t>
      </w:r>
      <w:r w:rsidR="0074303D">
        <w:rPr>
          <w:rFonts w:eastAsia="Times New Roman"/>
          <w:lang w:eastAsia="en-AU"/>
        </w:rPr>
        <w:t>Specifically</w:t>
      </w:r>
      <w:r w:rsidR="007B20C6">
        <w:rPr>
          <w:rFonts w:eastAsia="Times New Roman"/>
          <w:lang w:eastAsia="en-AU"/>
        </w:rPr>
        <w:t xml:space="preserve">, </w:t>
      </w:r>
      <w:r w:rsidR="0074303D">
        <w:rPr>
          <w:rFonts w:eastAsia="Times New Roman"/>
          <w:lang w:eastAsia="en-AU"/>
        </w:rPr>
        <w:t>the Amendment Determination</w:t>
      </w:r>
      <w:r w:rsidR="007B20C6">
        <w:rPr>
          <w:rFonts w:eastAsia="Times New Roman"/>
          <w:lang w:eastAsia="en-AU"/>
        </w:rPr>
        <w:t xml:space="preserve"> insert</w:t>
      </w:r>
      <w:r w:rsidR="0074303D">
        <w:rPr>
          <w:rFonts w:eastAsia="Times New Roman"/>
          <w:lang w:eastAsia="en-AU"/>
        </w:rPr>
        <w:t>s</w:t>
      </w:r>
      <w:r w:rsidR="007B20C6">
        <w:rPr>
          <w:rFonts w:eastAsia="Times New Roman"/>
          <w:lang w:eastAsia="en-AU"/>
        </w:rPr>
        <w:t xml:space="preserve"> the heading “Class</w:t>
      </w:r>
      <w:r w:rsidR="0074303D">
        <w:rPr>
          <w:rFonts w:eastAsia="Times New Roman"/>
          <w:lang w:eastAsia="en-AU"/>
        </w:rPr>
        <w:t> </w:t>
      </w:r>
      <w:r w:rsidR="007B20C6">
        <w:rPr>
          <w:rFonts w:eastAsia="Times New Roman"/>
          <w:lang w:eastAsia="en-AU"/>
        </w:rPr>
        <w:t>III medical devices” before subsection 5(7)</w:t>
      </w:r>
      <w:r w:rsidR="0074303D">
        <w:rPr>
          <w:rFonts w:eastAsia="Times New Roman"/>
          <w:lang w:eastAsia="en-AU"/>
        </w:rPr>
        <w:t xml:space="preserve"> of the Principal Determination</w:t>
      </w:r>
      <w:r w:rsidR="007B20C6">
        <w:rPr>
          <w:rFonts w:eastAsia="Times New Roman"/>
          <w:lang w:eastAsia="en-AU"/>
        </w:rPr>
        <w:t xml:space="preserve"> and</w:t>
      </w:r>
      <w:r w:rsidR="0074303D">
        <w:rPr>
          <w:rFonts w:eastAsia="Times New Roman"/>
          <w:lang w:eastAsia="en-AU"/>
        </w:rPr>
        <w:t xml:space="preserve"> </w:t>
      </w:r>
      <w:r w:rsidR="007B20C6">
        <w:rPr>
          <w:rFonts w:eastAsia="Times New Roman"/>
          <w:lang w:eastAsia="en-AU"/>
        </w:rPr>
        <w:t>omit</w:t>
      </w:r>
      <w:r w:rsidR="0074303D">
        <w:rPr>
          <w:rFonts w:eastAsia="Times New Roman"/>
          <w:lang w:eastAsia="en-AU"/>
        </w:rPr>
        <w:t>s</w:t>
      </w:r>
      <w:r w:rsidR="007B20C6">
        <w:rPr>
          <w:rFonts w:eastAsia="Times New Roman"/>
          <w:lang w:eastAsia="en-AU"/>
        </w:rPr>
        <w:t xml:space="preserve"> the reference </w:t>
      </w:r>
      <w:r w:rsidR="007E41F5">
        <w:rPr>
          <w:rFonts w:eastAsia="Times New Roman"/>
          <w:lang w:eastAsia="en-AU"/>
        </w:rPr>
        <w:t>in paragraph</w:t>
      </w:r>
      <w:r w:rsidR="0074303D">
        <w:rPr>
          <w:rFonts w:eastAsia="Times New Roman"/>
          <w:lang w:eastAsia="en-AU"/>
        </w:rPr>
        <w:t xml:space="preserve"> </w:t>
      </w:r>
      <w:r w:rsidR="007E41F5">
        <w:rPr>
          <w:rFonts w:eastAsia="Times New Roman"/>
          <w:lang w:eastAsia="en-AU"/>
        </w:rPr>
        <w:t xml:space="preserve">5(7)(a) </w:t>
      </w:r>
      <w:r w:rsidR="007B20C6">
        <w:rPr>
          <w:rFonts w:eastAsia="Times New Roman"/>
          <w:lang w:eastAsia="en-AU"/>
        </w:rPr>
        <w:t>to</w:t>
      </w:r>
      <w:r w:rsidR="007E41F5">
        <w:rPr>
          <w:rFonts w:eastAsia="Times New Roman"/>
          <w:lang w:eastAsia="en-AU"/>
        </w:rPr>
        <w:t xml:space="preserve"> the now</w:t>
      </w:r>
      <w:r w:rsidR="00A639D7">
        <w:rPr>
          <w:rFonts w:eastAsia="Times New Roman"/>
          <w:lang w:eastAsia="en-AU"/>
        </w:rPr>
        <w:t>-</w:t>
      </w:r>
      <w:r w:rsidR="007E41F5">
        <w:rPr>
          <w:rFonts w:eastAsia="Times New Roman"/>
          <w:lang w:eastAsia="en-AU"/>
        </w:rPr>
        <w:t>repealed</w:t>
      </w:r>
      <w:r w:rsidR="007B20C6">
        <w:rPr>
          <w:rFonts w:eastAsia="Times New Roman"/>
          <w:lang w:eastAsia="en-AU"/>
        </w:rPr>
        <w:t xml:space="preserve"> Division 1</w:t>
      </w:r>
      <w:r w:rsidR="007E41F5">
        <w:rPr>
          <w:rFonts w:eastAsia="Times New Roman"/>
          <w:lang w:eastAsia="en-AU"/>
        </w:rPr>
        <w:t xml:space="preserve"> of Part 4 of Schedule 1 to the Principal Determination.</w:t>
      </w:r>
    </w:p>
    <w:p w14:paraId="1784231D" w14:textId="77777777" w:rsidR="001C6B64" w:rsidRDefault="001C6B64" w:rsidP="00A9507A">
      <w:pPr>
        <w:autoSpaceDE w:val="0"/>
        <w:autoSpaceDN w:val="0"/>
        <w:adjustRightInd w:val="0"/>
        <w:spacing w:after="0" w:line="240" w:lineRule="auto"/>
        <w:rPr>
          <w:rFonts w:eastAsia="Times New Roman"/>
          <w:lang w:eastAsia="en-AU"/>
        </w:rPr>
      </w:pPr>
    </w:p>
    <w:p w14:paraId="6088C56A" w14:textId="7BADD853" w:rsidR="008E7425" w:rsidRPr="008E7425" w:rsidRDefault="008E7425" w:rsidP="0055667B">
      <w:pPr>
        <w:keepNext/>
        <w:spacing w:after="0" w:line="240" w:lineRule="auto"/>
        <w:rPr>
          <w:rFonts w:eastAsia="Times New Roman"/>
          <w:b/>
          <w:bCs/>
          <w:lang w:eastAsia="en-AU"/>
        </w:rPr>
      </w:pPr>
      <w:r>
        <w:rPr>
          <w:rFonts w:eastAsia="Times New Roman"/>
          <w:b/>
          <w:bCs/>
          <w:lang w:eastAsia="en-AU"/>
        </w:rPr>
        <w:t>Incorporation by reference</w:t>
      </w:r>
    </w:p>
    <w:p w14:paraId="13D0294B" w14:textId="77777777" w:rsidR="00C75D3A" w:rsidRPr="00D11572" w:rsidRDefault="00C75D3A" w:rsidP="0055667B">
      <w:pPr>
        <w:keepNext/>
        <w:autoSpaceDE w:val="0"/>
        <w:autoSpaceDN w:val="0"/>
        <w:adjustRightInd w:val="0"/>
        <w:spacing w:after="0" w:line="240" w:lineRule="auto"/>
        <w:rPr>
          <w:rFonts w:eastAsia="Times New Roman"/>
          <w:lang w:eastAsia="en-AU"/>
        </w:rPr>
      </w:pPr>
      <w:bookmarkStart w:id="0" w:name="_Hlk79495887"/>
    </w:p>
    <w:p w14:paraId="58A59825" w14:textId="574534D6" w:rsidR="00C75D3A" w:rsidRDefault="00C75D3A" w:rsidP="0055667B">
      <w:pPr>
        <w:keepNext/>
        <w:spacing w:after="0" w:line="240" w:lineRule="auto"/>
      </w:pPr>
      <w:r>
        <w:t xml:space="preserve">The Amendment Determination </w:t>
      </w:r>
      <w:r w:rsidR="0055667B">
        <w:t>does not incorporate or prescribe any matters by reference to the provisions of the US FDC Act. Instead, references to</w:t>
      </w:r>
      <w:r w:rsidR="002064F4">
        <w:t xml:space="preserve"> sections 510(k) and 515 </w:t>
      </w:r>
      <w:r w:rsidR="0055667B">
        <w:t>of the US</w:t>
      </w:r>
      <w:r w:rsidR="002064F4">
        <w:t> </w:t>
      </w:r>
      <w:r w:rsidR="0055667B">
        <w:t>FDC Act are simply</w:t>
      </w:r>
      <w:r w:rsidR="002064F4">
        <w:t xml:space="preserve"> references</w:t>
      </w:r>
      <w:r w:rsidR="0055667B">
        <w:t xml:space="preserve"> to the fact of whether certain regulatory decisions have been made by the US FDA </w:t>
      </w:r>
      <w:r w:rsidR="00334782">
        <w:t xml:space="preserve">in accordance with </w:t>
      </w:r>
      <w:r w:rsidR="002064F4">
        <w:t>those provisions</w:t>
      </w:r>
      <w:r w:rsidR="00334782">
        <w:t>.</w:t>
      </w:r>
      <w:r w:rsidR="00AB4C0D">
        <w:t xml:space="preserve"> </w:t>
      </w:r>
      <w:r w:rsidR="00F05A59">
        <w:t xml:space="preserve"> </w:t>
      </w:r>
    </w:p>
    <w:bookmarkEnd w:id="0"/>
    <w:p w14:paraId="25576345" w14:textId="77777777" w:rsidR="00221BA4" w:rsidRPr="00221BA4" w:rsidRDefault="00221BA4" w:rsidP="00334782">
      <w:pPr>
        <w:spacing w:after="0" w:line="240" w:lineRule="auto"/>
        <w:rPr>
          <w:rFonts w:eastAsia="Times New Roman"/>
          <w:b/>
          <w:bCs/>
          <w:lang w:eastAsia="en-AU"/>
        </w:rPr>
      </w:pPr>
    </w:p>
    <w:p w14:paraId="1F2283C3" w14:textId="21B349C4" w:rsidR="00B83BD5" w:rsidRDefault="001E51F5" w:rsidP="005E327E">
      <w:pPr>
        <w:spacing w:after="0" w:line="240" w:lineRule="auto"/>
        <w:rPr>
          <w:rFonts w:eastAsia="Times New Roman"/>
          <w:b/>
          <w:bCs/>
          <w:lang w:eastAsia="en-AU"/>
        </w:rPr>
      </w:pPr>
      <w:r w:rsidRPr="00221BA4">
        <w:rPr>
          <w:rFonts w:eastAsia="Times New Roman"/>
          <w:b/>
          <w:bCs/>
          <w:lang w:eastAsia="en-AU"/>
        </w:rPr>
        <w:t>Consultatio</w:t>
      </w:r>
      <w:r w:rsidR="00221BA4" w:rsidRPr="00221BA4">
        <w:rPr>
          <w:rFonts w:eastAsia="Times New Roman"/>
          <w:b/>
          <w:bCs/>
          <w:lang w:eastAsia="en-AU"/>
        </w:rPr>
        <w:t>n</w:t>
      </w:r>
    </w:p>
    <w:p w14:paraId="765F25DD" w14:textId="77777777" w:rsidR="005E327E" w:rsidRPr="00221BA4" w:rsidRDefault="005E327E" w:rsidP="005E327E">
      <w:pPr>
        <w:spacing w:after="0" w:line="240" w:lineRule="auto"/>
        <w:rPr>
          <w:rFonts w:eastAsia="Times New Roman"/>
          <w:b/>
          <w:bCs/>
          <w:lang w:eastAsia="en-AU"/>
        </w:rPr>
      </w:pPr>
    </w:p>
    <w:p w14:paraId="6464E170" w14:textId="1FCEFE5E" w:rsidR="00F05A59" w:rsidRDefault="00AB4C0D" w:rsidP="00F05A59">
      <w:pPr>
        <w:keepNext/>
        <w:spacing w:after="0" w:line="240" w:lineRule="auto"/>
      </w:pPr>
      <w:r>
        <w:rPr>
          <w:rFonts w:eastAsia="Times New Roman"/>
          <w:bCs/>
          <w:lang w:eastAsia="en-AU"/>
        </w:rPr>
        <w:t xml:space="preserve">Between August and September 2024, the TGA engaged in targeted consultation with </w:t>
      </w:r>
      <w:r w:rsidR="006B5F7B">
        <w:rPr>
          <w:rFonts w:eastAsia="Times New Roman"/>
          <w:bCs/>
          <w:lang w:eastAsia="en-AU"/>
        </w:rPr>
        <w:t xml:space="preserve">17 </w:t>
      </w:r>
      <w:r>
        <w:rPr>
          <w:rFonts w:eastAsia="Times New Roman"/>
          <w:bCs/>
          <w:lang w:eastAsia="en-AU"/>
        </w:rPr>
        <w:t xml:space="preserve">industry participants about the proposed amendment to Part 2 of Schedule 1 to the Principal Determination. </w:t>
      </w:r>
      <w:r w:rsidR="006B5F7B">
        <w:t>The TGA received 5 responses in total—from Zimmer Biomet Australia, Becton Dickinson Australia, Stryker, Medtronic, and a representative of the Medical Technology Association of Australia—each of which was broadly supportive of the proposal</w:t>
      </w:r>
      <w:r w:rsidR="00F05A59">
        <w:t xml:space="preserve">. </w:t>
      </w:r>
    </w:p>
    <w:p w14:paraId="73940A98" w14:textId="77777777" w:rsidR="00B322C1" w:rsidRDefault="00B322C1" w:rsidP="005E327E">
      <w:pPr>
        <w:spacing w:after="0" w:line="240" w:lineRule="auto"/>
        <w:rPr>
          <w:rFonts w:eastAsia="Times New Roman"/>
          <w:bCs/>
          <w:lang w:eastAsia="en-AU"/>
        </w:rPr>
      </w:pPr>
    </w:p>
    <w:p w14:paraId="21B667FA" w14:textId="306A4716" w:rsidR="00A639D7" w:rsidRDefault="002033C1" w:rsidP="005E327E">
      <w:pPr>
        <w:spacing w:after="0" w:line="240" w:lineRule="auto"/>
        <w:rPr>
          <w:rFonts w:eastAsia="Times New Roman"/>
          <w:bCs/>
          <w:lang w:eastAsia="en-AU"/>
        </w:rPr>
      </w:pPr>
      <w:r>
        <w:rPr>
          <w:rFonts w:eastAsia="Times New Roman"/>
          <w:bCs/>
          <w:lang w:eastAsia="en-AU"/>
        </w:rPr>
        <w:t xml:space="preserve">The amendment to Part 4 of Schedule 1 to the Principal Determination was inadvertently omitted from the </w:t>
      </w:r>
      <w:r w:rsidR="00A639D7">
        <w:rPr>
          <w:i/>
          <w:iCs/>
          <w:color w:val="000000"/>
        </w:rPr>
        <w:t xml:space="preserve">Therapeutic Goods (Medical Devices—Information that Must Accompany Application for Inclusion) Amendment Determination 2024 </w:t>
      </w:r>
      <w:r w:rsidR="00A639D7" w:rsidRPr="00BB57A7">
        <w:rPr>
          <w:color w:val="000000"/>
        </w:rPr>
        <w:t>(</w:t>
      </w:r>
      <w:r>
        <w:rPr>
          <w:rFonts w:eastAsia="Times New Roman"/>
          <w:bCs/>
          <w:lang w:eastAsia="en-AU"/>
        </w:rPr>
        <w:t>July 2024 Instrument</w:t>
      </w:r>
      <w:r w:rsidR="00A639D7">
        <w:rPr>
          <w:rFonts w:eastAsia="Times New Roman"/>
          <w:bCs/>
          <w:lang w:eastAsia="en-AU"/>
        </w:rPr>
        <w:t>)</w:t>
      </w:r>
      <w:r>
        <w:rPr>
          <w:rFonts w:eastAsia="Times New Roman"/>
          <w:bCs/>
          <w:lang w:eastAsia="en-AU"/>
        </w:rPr>
        <w:t xml:space="preserve">. Consultation </w:t>
      </w:r>
      <w:r w:rsidR="00A639D7">
        <w:rPr>
          <w:rFonts w:eastAsia="Times New Roman"/>
          <w:bCs/>
          <w:lang w:eastAsia="en-AU"/>
        </w:rPr>
        <w:t xml:space="preserve">on this amendment was undertaken as part of the TGA’s consultation on the amendments proposed to the application audit framework in the </w:t>
      </w:r>
      <w:r w:rsidR="00A639D7" w:rsidRPr="00BB57A7">
        <w:rPr>
          <w:color w:val="000000"/>
        </w:rPr>
        <w:t>July 2024 Instrument</w:t>
      </w:r>
      <w:r w:rsidR="00070771">
        <w:rPr>
          <w:color w:val="000000"/>
        </w:rPr>
        <w:t>.</w:t>
      </w:r>
    </w:p>
    <w:p w14:paraId="0D349D73" w14:textId="77777777" w:rsidR="00A639D7" w:rsidRDefault="00A639D7" w:rsidP="005E327E">
      <w:pPr>
        <w:spacing w:after="0" w:line="240" w:lineRule="auto"/>
        <w:rPr>
          <w:rFonts w:eastAsia="Times New Roman"/>
          <w:bCs/>
          <w:lang w:eastAsia="en-AU"/>
        </w:rPr>
      </w:pPr>
    </w:p>
    <w:p w14:paraId="1E0F60B1" w14:textId="294668F1" w:rsidR="002033C1" w:rsidRDefault="00472D7D" w:rsidP="005E327E">
      <w:pPr>
        <w:spacing w:after="0" w:line="240" w:lineRule="auto"/>
        <w:rPr>
          <w:rFonts w:eastAsia="Times New Roman"/>
          <w:bCs/>
          <w:lang w:eastAsia="en-AU"/>
        </w:rPr>
      </w:pPr>
      <w:r>
        <w:rPr>
          <w:rFonts w:eastAsia="Times New Roman"/>
          <w:bCs/>
          <w:lang w:eastAsia="en-AU"/>
        </w:rPr>
        <w:t>No consultation was undertaken in relation to the minor, editorial amendments that are made by the Amendment Instrument, as these are intended simply to improve the readability of the Principal Determination.</w:t>
      </w:r>
    </w:p>
    <w:p w14:paraId="1E270615" w14:textId="77777777" w:rsidR="008D418C" w:rsidRDefault="008D418C" w:rsidP="005E327E">
      <w:pPr>
        <w:spacing w:after="0" w:line="240" w:lineRule="auto"/>
        <w:rPr>
          <w:rFonts w:eastAsia="Times New Roman"/>
          <w:bCs/>
          <w:lang w:eastAsia="en-AU"/>
        </w:rPr>
      </w:pPr>
    </w:p>
    <w:p w14:paraId="425B43AA" w14:textId="1AECB031" w:rsidR="008D418C" w:rsidRPr="00D30FC6" w:rsidRDefault="008D418C" w:rsidP="00BB57A7">
      <w:pPr>
        <w:keepNext/>
        <w:spacing w:after="0" w:line="240" w:lineRule="auto"/>
        <w:rPr>
          <w:rFonts w:eastAsia="Times New Roman"/>
          <w:b/>
          <w:lang w:eastAsia="en-AU"/>
        </w:rPr>
      </w:pPr>
      <w:r>
        <w:rPr>
          <w:rFonts w:eastAsia="Times New Roman"/>
          <w:b/>
          <w:lang w:eastAsia="en-AU"/>
        </w:rPr>
        <w:t>Other details</w:t>
      </w:r>
    </w:p>
    <w:p w14:paraId="73D5BEDC" w14:textId="77777777" w:rsidR="00472D7D" w:rsidRDefault="00472D7D" w:rsidP="00BB57A7">
      <w:pPr>
        <w:keepNext/>
        <w:spacing w:after="0" w:line="240" w:lineRule="auto"/>
        <w:rPr>
          <w:rFonts w:eastAsia="Times New Roman"/>
          <w:lang w:eastAsia="en-AU"/>
        </w:rPr>
      </w:pPr>
    </w:p>
    <w:p w14:paraId="2FED7328" w14:textId="784E6DC3" w:rsidR="00911889" w:rsidRDefault="00911889" w:rsidP="00472D7D">
      <w:pPr>
        <w:spacing w:after="0" w:line="240" w:lineRule="auto"/>
        <w:rPr>
          <w:rFonts w:eastAsia="Times New Roman"/>
          <w:lang w:eastAsia="en-AU"/>
        </w:rPr>
      </w:pPr>
      <w:r w:rsidRPr="00D11572">
        <w:rPr>
          <w:rFonts w:eastAsia="Times New Roman"/>
          <w:lang w:eastAsia="en-AU"/>
        </w:rPr>
        <w:t xml:space="preserve">Details of the Amendment Determination are set out in </w:t>
      </w:r>
      <w:r w:rsidRPr="00D11572">
        <w:rPr>
          <w:rFonts w:eastAsia="Times New Roman"/>
          <w:b/>
          <w:lang w:eastAsia="en-AU"/>
        </w:rPr>
        <w:t>Attachment A</w:t>
      </w:r>
      <w:r w:rsidRPr="00D11572">
        <w:rPr>
          <w:rFonts w:eastAsia="Times New Roman"/>
          <w:lang w:eastAsia="en-AU"/>
        </w:rPr>
        <w:t>.</w:t>
      </w:r>
    </w:p>
    <w:p w14:paraId="5D0E39AB" w14:textId="7B89FFAE" w:rsidR="008D418C" w:rsidRDefault="008D418C" w:rsidP="00472D7D">
      <w:pPr>
        <w:spacing w:after="0" w:line="240" w:lineRule="auto"/>
        <w:rPr>
          <w:rFonts w:eastAsia="Times New Roman"/>
          <w:lang w:eastAsia="en-AU"/>
        </w:rPr>
      </w:pPr>
    </w:p>
    <w:p w14:paraId="4C644D5A" w14:textId="430793CA" w:rsidR="00F726FA" w:rsidRDefault="00B02708" w:rsidP="00472D7D">
      <w:pPr>
        <w:spacing w:after="0" w:line="240" w:lineRule="auto"/>
        <w:rPr>
          <w:rFonts w:eastAsia="Times New Roman"/>
          <w:lang w:eastAsia="en-AU"/>
        </w:rPr>
      </w:pPr>
      <w:r>
        <w:rPr>
          <w:rFonts w:eastAsia="Times New Roman"/>
          <w:lang w:eastAsia="en-AU"/>
        </w:rPr>
        <w:t xml:space="preserve">In 2023, </w:t>
      </w:r>
      <w:r w:rsidR="00F726FA">
        <w:rPr>
          <w:rFonts w:eastAsia="Times New Roman"/>
          <w:lang w:eastAsia="en-AU"/>
        </w:rPr>
        <w:t xml:space="preserve">the Office of Impact Analysis (“OIA”) advised that an impact analysis was not required for the TGA’s proposed reforms to the application audit framework for medical devices, including </w:t>
      </w:r>
      <w:r w:rsidR="00205327">
        <w:rPr>
          <w:rFonts w:eastAsia="Times New Roman"/>
          <w:lang w:eastAsia="en-AU"/>
        </w:rPr>
        <w:t xml:space="preserve">in relation to </w:t>
      </w:r>
      <w:r w:rsidR="00F726FA">
        <w:rPr>
          <w:rFonts w:eastAsia="Times New Roman"/>
          <w:lang w:eastAsia="en-AU"/>
        </w:rPr>
        <w:t>the proposed amendment to Part 4 of Schedule 1 to the Principal Determination (OIA23-04966).</w:t>
      </w:r>
    </w:p>
    <w:p w14:paraId="5088D959" w14:textId="77777777" w:rsidR="00F726FA" w:rsidRDefault="00F726FA" w:rsidP="00472D7D">
      <w:pPr>
        <w:spacing w:after="0" w:line="240" w:lineRule="auto"/>
        <w:rPr>
          <w:rFonts w:eastAsia="Times New Roman"/>
          <w:lang w:eastAsia="en-AU"/>
        </w:rPr>
      </w:pPr>
    </w:p>
    <w:p w14:paraId="46FB3BA9" w14:textId="2B96CC5A" w:rsidR="00B02708" w:rsidRDefault="004918D4" w:rsidP="00472D7D">
      <w:pPr>
        <w:spacing w:after="0" w:line="240" w:lineRule="auto"/>
        <w:rPr>
          <w:rFonts w:eastAsia="Times New Roman"/>
          <w:lang w:eastAsia="en-AU"/>
        </w:rPr>
      </w:pPr>
      <w:r>
        <w:rPr>
          <w:rFonts w:eastAsia="Times New Roman"/>
          <w:lang w:eastAsia="en-AU"/>
        </w:rPr>
        <w:lastRenderedPageBreak/>
        <w:t xml:space="preserve">The TGA did not engage with the OIA in relation to the amendment to Part 2 of Schedule 1 to the Principal Determination, as this amendment is de-regulatory in nature. </w:t>
      </w:r>
      <w:r w:rsidR="005441A9">
        <w:rPr>
          <w:rFonts w:eastAsia="Times New Roman"/>
          <w:lang w:eastAsia="en-AU"/>
        </w:rPr>
        <w:t xml:space="preserve">The amendments to section 5 of the Principal Determination </w:t>
      </w:r>
      <w:r w:rsidR="000C405C">
        <w:rPr>
          <w:rFonts w:eastAsia="Times New Roman"/>
          <w:lang w:eastAsia="en-AU"/>
        </w:rPr>
        <w:t xml:space="preserve">are </w:t>
      </w:r>
      <w:r w:rsidR="0009548F">
        <w:rPr>
          <w:rFonts w:eastAsia="Times New Roman"/>
          <w:lang w:eastAsia="en-AU"/>
        </w:rPr>
        <w:t xml:space="preserve">minor and machinery as they simply make editorial corrections. </w:t>
      </w:r>
    </w:p>
    <w:p w14:paraId="5C28F9BA" w14:textId="77777777" w:rsidR="00B02708" w:rsidRDefault="00B02708" w:rsidP="00472D7D">
      <w:pPr>
        <w:spacing w:after="0" w:line="240" w:lineRule="auto"/>
        <w:rPr>
          <w:rFonts w:eastAsia="Times New Roman"/>
          <w:lang w:eastAsia="en-AU"/>
        </w:rPr>
      </w:pPr>
    </w:p>
    <w:p w14:paraId="529220D3" w14:textId="510B8372" w:rsidR="001E51F5" w:rsidRDefault="001E51F5" w:rsidP="00472D7D">
      <w:pPr>
        <w:spacing w:after="0" w:line="240" w:lineRule="auto"/>
        <w:rPr>
          <w:rFonts w:eastAsia="Times New Roman"/>
          <w:lang w:eastAsia="en-AU"/>
        </w:rPr>
      </w:pPr>
      <w:r w:rsidRPr="00D11572">
        <w:rPr>
          <w:rFonts w:eastAsia="Times New Roman"/>
          <w:lang w:eastAsia="en-AU"/>
        </w:rPr>
        <w:t xml:space="preserve">The Amendment </w:t>
      </w:r>
      <w:r w:rsidR="00D12E65" w:rsidRPr="00D11572">
        <w:rPr>
          <w:rFonts w:eastAsia="Times New Roman"/>
          <w:lang w:eastAsia="en-AU"/>
        </w:rPr>
        <w:t>Determination</w:t>
      </w:r>
      <w:r w:rsidRPr="00D11572">
        <w:rPr>
          <w:rFonts w:eastAsia="Times New Roman"/>
          <w:lang w:eastAsia="en-AU"/>
        </w:rPr>
        <w:t xml:space="preserve"> is compatible with </w:t>
      </w:r>
      <w:r w:rsidR="004B33DC" w:rsidRPr="00D11572">
        <w:rPr>
          <w:rFonts w:eastAsia="Times New Roman"/>
          <w:lang w:eastAsia="en-AU"/>
        </w:rPr>
        <w:t xml:space="preserve">the </w:t>
      </w:r>
      <w:r w:rsidRPr="00D11572">
        <w:rPr>
          <w:rFonts w:eastAsia="Times New Roman"/>
          <w:lang w:eastAsia="en-AU"/>
        </w:rPr>
        <w:t xml:space="preserve">human rights and freedoms </w:t>
      </w:r>
      <w:r w:rsidR="00811E9D">
        <w:rPr>
          <w:rFonts w:eastAsia="Times New Roman"/>
          <w:lang w:eastAsia="en-AU"/>
        </w:rPr>
        <w:t xml:space="preserve">that are </w:t>
      </w:r>
      <w:r w:rsidRPr="00D11572">
        <w:rPr>
          <w:rFonts w:eastAsia="Times New Roman"/>
          <w:lang w:eastAsia="en-AU"/>
        </w:rPr>
        <w:t xml:space="preserve">recognised or declared under section 3 of the </w:t>
      </w:r>
      <w:r w:rsidRPr="00D11572">
        <w:rPr>
          <w:rFonts w:eastAsia="Times New Roman"/>
          <w:i/>
          <w:lang w:eastAsia="en-AU"/>
        </w:rPr>
        <w:t>Human Rights (Parliamentary Scrutiny) Act</w:t>
      </w:r>
      <w:r w:rsidR="00811E9D">
        <w:rPr>
          <w:rFonts w:eastAsia="Times New Roman"/>
          <w:i/>
          <w:lang w:eastAsia="en-AU"/>
        </w:rPr>
        <w:t> </w:t>
      </w:r>
      <w:r w:rsidRPr="00D11572">
        <w:rPr>
          <w:rFonts w:eastAsia="Times New Roman"/>
          <w:i/>
          <w:lang w:eastAsia="en-AU"/>
        </w:rPr>
        <w:t>2011</w:t>
      </w:r>
      <w:r w:rsidRPr="00D11572">
        <w:rPr>
          <w:rFonts w:eastAsia="Times New Roman"/>
          <w:lang w:eastAsia="en-AU"/>
        </w:rPr>
        <w:t xml:space="preserve">. A full statement of compatibility is set out in </w:t>
      </w:r>
      <w:r w:rsidRPr="00D11572">
        <w:rPr>
          <w:rFonts w:eastAsia="Times New Roman"/>
          <w:b/>
          <w:lang w:eastAsia="en-AU"/>
        </w:rPr>
        <w:t>Attachment B</w:t>
      </w:r>
      <w:r w:rsidRPr="00D11572">
        <w:rPr>
          <w:rFonts w:eastAsia="Times New Roman"/>
          <w:lang w:eastAsia="en-AU"/>
        </w:rPr>
        <w:t>.</w:t>
      </w:r>
    </w:p>
    <w:p w14:paraId="16CA23F7" w14:textId="77777777" w:rsidR="00E271D9" w:rsidRPr="00D11572" w:rsidRDefault="00E271D9" w:rsidP="00472D7D">
      <w:pPr>
        <w:spacing w:after="0" w:line="240" w:lineRule="auto"/>
        <w:rPr>
          <w:rFonts w:eastAsia="Times New Roman"/>
          <w:lang w:eastAsia="en-AU"/>
        </w:rPr>
      </w:pPr>
    </w:p>
    <w:p w14:paraId="5743D71D" w14:textId="44918E12" w:rsidR="001E51F5" w:rsidRPr="00D11572" w:rsidRDefault="001E51F5" w:rsidP="00472D7D">
      <w:pPr>
        <w:spacing w:after="0"/>
        <w:rPr>
          <w:rFonts w:eastAsia="Times New Roman"/>
          <w:lang w:eastAsia="en-AU"/>
        </w:rPr>
      </w:pPr>
      <w:r w:rsidRPr="00D11572">
        <w:rPr>
          <w:rFonts w:eastAsia="Times New Roman"/>
          <w:lang w:eastAsia="en-AU"/>
        </w:rPr>
        <w:t xml:space="preserve">The Amendment </w:t>
      </w:r>
      <w:r w:rsidR="00103A0E" w:rsidRPr="00D11572">
        <w:rPr>
          <w:rFonts w:eastAsia="Times New Roman"/>
          <w:lang w:eastAsia="en-AU"/>
        </w:rPr>
        <w:t>Determination</w:t>
      </w:r>
      <w:r w:rsidRPr="00D11572">
        <w:rPr>
          <w:rFonts w:eastAsia="Times New Roman"/>
          <w:lang w:eastAsia="en-AU"/>
        </w:rPr>
        <w:t xml:space="preserve"> is a disallowable legislative instrument for the purposes of the </w:t>
      </w:r>
      <w:r w:rsidRPr="00D11572">
        <w:rPr>
          <w:rFonts w:eastAsia="Times New Roman"/>
          <w:i/>
          <w:lang w:eastAsia="en-AU"/>
        </w:rPr>
        <w:t>Legislation Act</w:t>
      </w:r>
      <w:r w:rsidR="00E81D7C" w:rsidRPr="00D11572">
        <w:rPr>
          <w:rFonts w:eastAsia="Times New Roman"/>
          <w:i/>
          <w:lang w:eastAsia="en-AU"/>
        </w:rPr>
        <w:t xml:space="preserve"> 2003</w:t>
      </w:r>
      <w:r w:rsidR="00BB57A7">
        <w:rPr>
          <w:rFonts w:eastAsia="Times New Roman"/>
          <w:iCs/>
          <w:lang w:eastAsia="en-AU"/>
        </w:rPr>
        <w:t xml:space="preserve"> and commences the day after registration on the Federal Register of Legislation.</w:t>
      </w:r>
      <w:r w:rsidRPr="00D11572">
        <w:rPr>
          <w:rFonts w:eastAsia="Times New Roman"/>
          <w:b/>
          <w:bCs/>
          <w:lang w:eastAsia="en-AU"/>
        </w:rPr>
        <w:br w:type="page"/>
      </w:r>
    </w:p>
    <w:p w14:paraId="60A063A0" w14:textId="77777777" w:rsidR="001E51F5" w:rsidRPr="00D11572" w:rsidRDefault="001E51F5" w:rsidP="00B478DD">
      <w:pPr>
        <w:spacing w:after="0" w:line="240" w:lineRule="auto"/>
        <w:jc w:val="right"/>
        <w:rPr>
          <w:rFonts w:eastAsia="Times New Roman"/>
          <w:b/>
          <w:bCs/>
          <w:lang w:eastAsia="en-AU"/>
        </w:rPr>
      </w:pPr>
      <w:r w:rsidRPr="00D11572">
        <w:rPr>
          <w:rFonts w:eastAsia="Times New Roman"/>
          <w:b/>
          <w:bCs/>
          <w:lang w:eastAsia="en-AU"/>
        </w:rPr>
        <w:lastRenderedPageBreak/>
        <w:t>Attachment A</w:t>
      </w:r>
    </w:p>
    <w:p w14:paraId="041AE724" w14:textId="77777777" w:rsidR="001E51F5" w:rsidRPr="009E6639" w:rsidRDefault="001E51F5" w:rsidP="00B478DD">
      <w:pPr>
        <w:spacing w:after="0" w:line="240" w:lineRule="auto"/>
        <w:rPr>
          <w:rFonts w:eastAsia="Times New Roman"/>
          <w:lang w:eastAsia="en-AU"/>
        </w:rPr>
      </w:pPr>
    </w:p>
    <w:p w14:paraId="172206C7" w14:textId="6FE174BD" w:rsidR="001E51F5" w:rsidRPr="00D11572" w:rsidRDefault="001E51F5" w:rsidP="00B478DD">
      <w:pPr>
        <w:spacing w:after="0" w:line="240" w:lineRule="auto"/>
        <w:rPr>
          <w:rFonts w:eastAsia="Times New Roman"/>
          <w:b/>
          <w:bCs/>
          <w:i/>
          <w:lang w:eastAsia="en-AU"/>
        </w:rPr>
      </w:pPr>
      <w:r w:rsidRPr="00D11572">
        <w:rPr>
          <w:rFonts w:eastAsia="Times New Roman"/>
          <w:b/>
          <w:bCs/>
          <w:lang w:eastAsia="en-AU"/>
        </w:rPr>
        <w:t xml:space="preserve">Details of the </w:t>
      </w:r>
      <w:r w:rsidR="00D475CB" w:rsidRPr="00D11572">
        <w:rPr>
          <w:rFonts w:eastAsia="Times New Roman"/>
          <w:b/>
          <w:bCs/>
          <w:i/>
          <w:lang w:eastAsia="en-AU"/>
        </w:rPr>
        <w:t>Therapeutic Goods (Medical Devices—Information that Must Accompany Application for Inclusion) Amendment</w:t>
      </w:r>
      <w:r w:rsidR="006D3704" w:rsidRPr="00D11572">
        <w:rPr>
          <w:rFonts w:eastAsia="Times New Roman"/>
          <w:b/>
          <w:bCs/>
          <w:i/>
          <w:lang w:eastAsia="en-AU"/>
        </w:rPr>
        <w:t xml:space="preserve"> </w:t>
      </w:r>
      <w:r w:rsidR="001A65B1" w:rsidRPr="00D11572">
        <w:rPr>
          <w:rFonts w:eastAsia="Times New Roman"/>
          <w:b/>
          <w:bCs/>
          <w:i/>
          <w:lang w:eastAsia="en-AU"/>
        </w:rPr>
        <w:t xml:space="preserve">Determination </w:t>
      </w:r>
      <w:r w:rsidR="00092DE9">
        <w:rPr>
          <w:rFonts w:eastAsia="Times New Roman"/>
          <w:b/>
          <w:bCs/>
          <w:i/>
          <w:lang w:eastAsia="en-AU"/>
        </w:rPr>
        <w:t>(No.</w:t>
      </w:r>
      <w:r w:rsidR="00960236">
        <w:rPr>
          <w:rFonts w:eastAsia="Times New Roman"/>
          <w:b/>
          <w:bCs/>
          <w:i/>
          <w:lang w:eastAsia="en-AU"/>
        </w:rPr>
        <w:t> </w:t>
      </w:r>
      <w:r w:rsidR="00092DE9">
        <w:rPr>
          <w:rFonts w:eastAsia="Times New Roman"/>
          <w:b/>
          <w:bCs/>
          <w:i/>
          <w:lang w:eastAsia="en-AU"/>
        </w:rPr>
        <w:t xml:space="preserve">2) </w:t>
      </w:r>
      <w:r w:rsidR="00CF0D1D" w:rsidRPr="00D11572">
        <w:rPr>
          <w:rFonts w:eastAsia="Times New Roman"/>
          <w:b/>
          <w:bCs/>
          <w:i/>
          <w:lang w:eastAsia="en-AU"/>
        </w:rPr>
        <w:t>202</w:t>
      </w:r>
      <w:r w:rsidR="00705153">
        <w:rPr>
          <w:rFonts w:eastAsia="Times New Roman"/>
          <w:b/>
          <w:bCs/>
          <w:i/>
          <w:lang w:eastAsia="en-AU"/>
        </w:rPr>
        <w:t>4</w:t>
      </w:r>
    </w:p>
    <w:p w14:paraId="0F6ACAB3" w14:textId="77777777" w:rsidR="001E51F5" w:rsidRPr="009E6639" w:rsidRDefault="001E51F5" w:rsidP="00B478DD">
      <w:pPr>
        <w:spacing w:after="0" w:line="240" w:lineRule="auto"/>
        <w:rPr>
          <w:rFonts w:eastAsia="Times New Roman"/>
          <w:iCs/>
          <w:lang w:eastAsia="en-AU"/>
        </w:rPr>
      </w:pPr>
    </w:p>
    <w:p w14:paraId="0EEEF6AB" w14:textId="77777777" w:rsidR="001E51F5" w:rsidRPr="00D11572" w:rsidRDefault="001E51F5" w:rsidP="00B478DD">
      <w:pPr>
        <w:spacing w:after="0" w:line="240" w:lineRule="auto"/>
        <w:rPr>
          <w:rFonts w:eastAsia="Times New Roman"/>
          <w:b/>
          <w:bCs/>
          <w:lang w:eastAsia="en-AU"/>
        </w:rPr>
      </w:pPr>
      <w:r w:rsidRPr="00D11572">
        <w:rPr>
          <w:rFonts w:eastAsia="Times New Roman"/>
          <w:b/>
          <w:bCs/>
          <w:lang w:eastAsia="en-AU"/>
        </w:rPr>
        <w:t>Section 1 – Name</w:t>
      </w:r>
    </w:p>
    <w:p w14:paraId="3B325AF8" w14:textId="77777777" w:rsidR="00B478DD" w:rsidRDefault="00B478DD" w:rsidP="00B478DD">
      <w:pPr>
        <w:spacing w:after="0" w:line="240" w:lineRule="auto"/>
        <w:rPr>
          <w:rFonts w:eastAsia="Times New Roman"/>
          <w:lang w:eastAsia="en-AU"/>
        </w:rPr>
      </w:pPr>
    </w:p>
    <w:p w14:paraId="584B847E" w14:textId="5C9AD6E1" w:rsidR="001E51F5" w:rsidRPr="00D11572" w:rsidRDefault="001E51F5" w:rsidP="00B478DD">
      <w:pPr>
        <w:spacing w:after="0" w:line="240" w:lineRule="auto"/>
        <w:rPr>
          <w:rFonts w:eastAsia="Times New Roman"/>
          <w:lang w:eastAsia="en-AU"/>
        </w:rPr>
      </w:pPr>
      <w:r w:rsidRPr="00D11572">
        <w:rPr>
          <w:rFonts w:eastAsia="Times New Roman"/>
          <w:lang w:eastAsia="en-AU"/>
        </w:rPr>
        <w:t xml:space="preserve">This section provides that the name of the instrument is the </w:t>
      </w:r>
      <w:bookmarkStart w:id="1" w:name="_Hlk86311533"/>
      <w:r w:rsidR="00D475CB" w:rsidRPr="00D11572">
        <w:rPr>
          <w:rFonts w:eastAsia="Times New Roman"/>
          <w:bCs/>
          <w:i/>
          <w:lang w:eastAsia="en-AU"/>
        </w:rPr>
        <w:t>Therapeutic Goods (Medical Devices—Information that Must Accompany Application for Inclusion) Amendment</w:t>
      </w:r>
      <w:r w:rsidR="006D3704" w:rsidRPr="00D11572">
        <w:rPr>
          <w:rFonts w:eastAsia="Times New Roman"/>
          <w:bCs/>
          <w:i/>
          <w:lang w:eastAsia="en-AU"/>
        </w:rPr>
        <w:t xml:space="preserve"> </w:t>
      </w:r>
      <w:r w:rsidR="001A65B1" w:rsidRPr="00D11572">
        <w:rPr>
          <w:rFonts w:eastAsia="Times New Roman"/>
          <w:bCs/>
          <w:i/>
          <w:lang w:eastAsia="en-AU"/>
        </w:rPr>
        <w:t>Determination</w:t>
      </w:r>
      <w:r w:rsidR="00C12185">
        <w:rPr>
          <w:rFonts w:eastAsia="Times New Roman"/>
          <w:bCs/>
          <w:i/>
          <w:lang w:eastAsia="en-AU"/>
        </w:rPr>
        <w:t xml:space="preserve"> (No.</w:t>
      </w:r>
      <w:r w:rsidR="00960236">
        <w:rPr>
          <w:rFonts w:eastAsia="Times New Roman"/>
          <w:bCs/>
          <w:i/>
          <w:lang w:eastAsia="en-AU"/>
        </w:rPr>
        <w:t> </w:t>
      </w:r>
      <w:r w:rsidR="00C12185">
        <w:rPr>
          <w:rFonts w:eastAsia="Times New Roman"/>
          <w:bCs/>
          <w:i/>
          <w:lang w:eastAsia="en-AU"/>
        </w:rPr>
        <w:t>2)</w:t>
      </w:r>
      <w:r w:rsidR="001A65B1" w:rsidRPr="00D11572">
        <w:rPr>
          <w:rFonts w:eastAsia="Times New Roman"/>
          <w:bCs/>
          <w:i/>
          <w:lang w:eastAsia="en-AU"/>
        </w:rPr>
        <w:t xml:space="preserve"> </w:t>
      </w:r>
      <w:r w:rsidR="00D475CB" w:rsidRPr="00D11572">
        <w:rPr>
          <w:rFonts w:eastAsia="Times New Roman"/>
          <w:bCs/>
          <w:i/>
          <w:lang w:eastAsia="en-AU"/>
        </w:rPr>
        <w:t>202</w:t>
      </w:r>
      <w:r w:rsidR="00705153">
        <w:rPr>
          <w:rFonts w:eastAsia="Times New Roman"/>
          <w:bCs/>
          <w:i/>
          <w:lang w:eastAsia="en-AU"/>
        </w:rPr>
        <w:t>4</w:t>
      </w:r>
      <w:r w:rsidR="00D475CB" w:rsidRPr="00D11572">
        <w:rPr>
          <w:rFonts w:eastAsia="Times New Roman"/>
          <w:bCs/>
          <w:i/>
          <w:lang w:eastAsia="en-AU"/>
        </w:rPr>
        <w:t xml:space="preserve"> </w:t>
      </w:r>
      <w:bookmarkEnd w:id="1"/>
      <w:r w:rsidRPr="00D11572">
        <w:rPr>
          <w:rFonts w:eastAsia="Times New Roman"/>
          <w:lang w:eastAsia="en-AU"/>
        </w:rPr>
        <w:t xml:space="preserve">(“the Amendment </w:t>
      </w:r>
      <w:r w:rsidR="00E81D7C" w:rsidRPr="00D11572">
        <w:rPr>
          <w:rFonts w:eastAsia="Times New Roman"/>
          <w:lang w:eastAsia="en-AU"/>
        </w:rPr>
        <w:t>Determination</w:t>
      </w:r>
      <w:r w:rsidRPr="00D11572">
        <w:rPr>
          <w:rFonts w:eastAsia="Times New Roman"/>
          <w:lang w:eastAsia="en-AU"/>
        </w:rPr>
        <w:t>”).</w:t>
      </w:r>
    </w:p>
    <w:p w14:paraId="6426C471" w14:textId="77777777" w:rsidR="001E51F5" w:rsidRPr="00D11572" w:rsidRDefault="001E51F5" w:rsidP="00B478DD">
      <w:pPr>
        <w:spacing w:after="0" w:line="240" w:lineRule="auto"/>
        <w:rPr>
          <w:rFonts w:eastAsia="Times New Roman"/>
          <w:bCs/>
          <w:lang w:eastAsia="en-AU"/>
        </w:rPr>
      </w:pPr>
    </w:p>
    <w:p w14:paraId="3E4B1338" w14:textId="77777777" w:rsidR="001E51F5" w:rsidRPr="00D11572" w:rsidRDefault="001E51F5" w:rsidP="00B478DD">
      <w:pPr>
        <w:spacing w:after="0" w:line="240" w:lineRule="auto"/>
        <w:rPr>
          <w:rFonts w:eastAsia="Times New Roman"/>
          <w:b/>
          <w:bCs/>
          <w:lang w:eastAsia="en-AU"/>
        </w:rPr>
      </w:pPr>
      <w:r w:rsidRPr="00D11572">
        <w:rPr>
          <w:rFonts w:eastAsia="Times New Roman"/>
          <w:b/>
          <w:bCs/>
          <w:lang w:eastAsia="en-AU"/>
        </w:rPr>
        <w:t>Section 2 – Commencement</w:t>
      </w:r>
    </w:p>
    <w:p w14:paraId="25937EE8" w14:textId="77777777" w:rsidR="00B478DD" w:rsidRDefault="00B478DD" w:rsidP="00B478DD">
      <w:pPr>
        <w:spacing w:after="0" w:line="240" w:lineRule="auto"/>
        <w:rPr>
          <w:rFonts w:eastAsia="Times New Roman"/>
          <w:bCs/>
          <w:lang w:eastAsia="en-AU"/>
        </w:rPr>
      </w:pPr>
    </w:p>
    <w:p w14:paraId="39056D3B" w14:textId="1D01A880" w:rsidR="00484F7C" w:rsidRDefault="001E51F5" w:rsidP="00B478DD">
      <w:pPr>
        <w:spacing w:after="0" w:line="240" w:lineRule="auto"/>
        <w:rPr>
          <w:rFonts w:eastAsia="Times New Roman"/>
          <w:bCs/>
          <w:lang w:eastAsia="en-AU"/>
        </w:rPr>
      </w:pPr>
      <w:r w:rsidRPr="00D11572">
        <w:rPr>
          <w:rFonts w:eastAsia="Times New Roman"/>
          <w:bCs/>
          <w:lang w:eastAsia="en-AU"/>
        </w:rPr>
        <w:t xml:space="preserve">This section provides </w:t>
      </w:r>
      <w:r w:rsidR="00484F7C">
        <w:rPr>
          <w:rFonts w:eastAsia="Times New Roman"/>
          <w:bCs/>
          <w:lang w:eastAsia="en-AU"/>
        </w:rPr>
        <w:t>that</w:t>
      </w:r>
      <w:r w:rsidR="002770DB">
        <w:rPr>
          <w:rFonts w:eastAsia="Times New Roman"/>
          <w:bCs/>
          <w:lang w:eastAsia="en-AU"/>
        </w:rPr>
        <w:t xml:space="preserve"> the Amendment Determination commences the day after registration on the Federal Register of Legislation.</w:t>
      </w:r>
    </w:p>
    <w:p w14:paraId="19F7A87B" w14:textId="77777777" w:rsidR="001E51F5" w:rsidRPr="00D11572" w:rsidRDefault="001E51F5" w:rsidP="00B478DD">
      <w:pPr>
        <w:spacing w:after="0" w:line="240" w:lineRule="auto"/>
        <w:rPr>
          <w:rFonts w:eastAsia="Times New Roman"/>
          <w:bCs/>
          <w:lang w:eastAsia="en-AU"/>
        </w:rPr>
      </w:pPr>
    </w:p>
    <w:p w14:paraId="4D0734CC" w14:textId="77777777" w:rsidR="001E51F5" w:rsidRPr="00D11572" w:rsidRDefault="001E51F5" w:rsidP="00B478DD">
      <w:pPr>
        <w:spacing w:after="0" w:line="240" w:lineRule="auto"/>
        <w:rPr>
          <w:rFonts w:eastAsia="Times New Roman"/>
          <w:b/>
          <w:bCs/>
          <w:lang w:eastAsia="en-AU"/>
        </w:rPr>
      </w:pPr>
      <w:r w:rsidRPr="00D11572">
        <w:rPr>
          <w:rFonts w:eastAsia="Times New Roman"/>
          <w:b/>
          <w:bCs/>
          <w:lang w:eastAsia="en-AU"/>
        </w:rPr>
        <w:t>Section 3 – Authority</w:t>
      </w:r>
    </w:p>
    <w:p w14:paraId="2FD77AA1" w14:textId="77777777" w:rsidR="00B478DD" w:rsidRDefault="00B478DD" w:rsidP="00B478DD">
      <w:pPr>
        <w:spacing w:after="0" w:line="240" w:lineRule="auto"/>
        <w:rPr>
          <w:rFonts w:eastAsia="Times New Roman"/>
          <w:bCs/>
          <w:lang w:eastAsia="en-AU"/>
        </w:rPr>
      </w:pPr>
    </w:p>
    <w:p w14:paraId="073AA88B" w14:textId="6487265C" w:rsidR="001E51F5" w:rsidRDefault="001E51F5" w:rsidP="00B478DD">
      <w:pPr>
        <w:spacing w:after="0" w:line="240" w:lineRule="auto"/>
        <w:rPr>
          <w:rFonts w:eastAsia="Times New Roman"/>
          <w:bCs/>
          <w:iCs/>
          <w:lang w:eastAsia="en-AU"/>
        </w:rPr>
      </w:pPr>
      <w:r w:rsidRPr="00D11572">
        <w:rPr>
          <w:rFonts w:eastAsia="Times New Roman"/>
          <w:bCs/>
          <w:lang w:eastAsia="en-AU"/>
        </w:rPr>
        <w:t xml:space="preserve">This section provides that the legislative authority for making the Amendment </w:t>
      </w:r>
      <w:r w:rsidR="00E81D7C" w:rsidRPr="00D11572">
        <w:rPr>
          <w:rFonts w:eastAsia="Times New Roman"/>
          <w:bCs/>
          <w:lang w:eastAsia="en-AU"/>
        </w:rPr>
        <w:t>Determination</w:t>
      </w:r>
      <w:r w:rsidRPr="00D11572">
        <w:rPr>
          <w:rFonts w:eastAsia="Times New Roman"/>
          <w:bCs/>
          <w:lang w:eastAsia="en-AU"/>
        </w:rPr>
        <w:t xml:space="preserve"> is </w:t>
      </w:r>
      <w:r w:rsidR="00AB3017" w:rsidRPr="00D11572">
        <w:rPr>
          <w:rFonts w:eastAsia="Times New Roman"/>
          <w:bCs/>
          <w:lang w:eastAsia="en-AU"/>
        </w:rPr>
        <w:t>sub</w:t>
      </w:r>
      <w:r w:rsidRPr="00D11572">
        <w:rPr>
          <w:rFonts w:eastAsia="Times New Roman"/>
          <w:bCs/>
          <w:lang w:eastAsia="en-AU"/>
        </w:rPr>
        <w:t xml:space="preserve">section </w:t>
      </w:r>
      <w:r w:rsidR="00AB3017" w:rsidRPr="00D11572">
        <w:rPr>
          <w:rFonts w:eastAsia="Times New Roman"/>
          <w:bCs/>
          <w:lang w:eastAsia="en-AU"/>
        </w:rPr>
        <w:t>41FDB(7)</w:t>
      </w:r>
      <w:r w:rsidRPr="00D11572">
        <w:rPr>
          <w:rFonts w:eastAsia="Times New Roman"/>
          <w:bCs/>
          <w:lang w:eastAsia="en-AU"/>
        </w:rPr>
        <w:t xml:space="preserve"> of the </w:t>
      </w:r>
      <w:r w:rsidRPr="00D11572">
        <w:rPr>
          <w:rFonts w:eastAsia="Times New Roman"/>
          <w:bCs/>
          <w:i/>
          <w:lang w:eastAsia="en-AU"/>
        </w:rPr>
        <w:t xml:space="preserve">Therapeutic Goods Act 1989 </w:t>
      </w:r>
      <w:r w:rsidRPr="00D11572">
        <w:rPr>
          <w:rFonts w:eastAsia="Times New Roman"/>
          <w:bCs/>
          <w:lang w:eastAsia="en-AU"/>
        </w:rPr>
        <w:t>(“the Act”)</w:t>
      </w:r>
      <w:r w:rsidRPr="00D11572">
        <w:rPr>
          <w:rFonts w:eastAsia="Times New Roman"/>
          <w:bCs/>
          <w:i/>
          <w:lang w:eastAsia="en-AU"/>
        </w:rPr>
        <w:t>.</w:t>
      </w:r>
    </w:p>
    <w:p w14:paraId="046A3661" w14:textId="77777777" w:rsidR="00F10C75" w:rsidRPr="00F10C75" w:rsidRDefault="00F10C75" w:rsidP="00B478DD">
      <w:pPr>
        <w:spacing w:after="0" w:line="240" w:lineRule="auto"/>
        <w:rPr>
          <w:rFonts w:eastAsia="Times New Roman"/>
          <w:bCs/>
          <w:iCs/>
          <w:lang w:eastAsia="en-AU"/>
        </w:rPr>
      </w:pPr>
    </w:p>
    <w:p w14:paraId="43FBAF91" w14:textId="00B1D87B" w:rsidR="001E51F5" w:rsidRPr="00D11572" w:rsidRDefault="001E51F5" w:rsidP="00B478DD">
      <w:pPr>
        <w:spacing w:after="0" w:line="240" w:lineRule="auto"/>
        <w:rPr>
          <w:rFonts w:eastAsia="Times New Roman"/>
          <w:bCs/>
          <w:lang w:eastAsia="en-AU"/>
        </w:rPr>
      </w:pPr>
      <w:r w:rsidRPr="00D11572">
        <w:rPr>
          <w:rFonts w:eastAsia="Times New Roman"/>
          <w:bCs/>
          <w:lang w:eastAsia="en-AU"/>
        </w:rPr>
        <w:t xml:space="preserve">Subsection 33(3) of the </w:t>
      </w:r>
      <w:r w:rsidRPr="00D11572">
        <w:rPr>
          <w:rFonts w:eastAsia="Times New Roman"/>
          <w:bCs/>
          <w:i/>
          <w:lang w:eastAsia="en-AU"/>
        </w:rPr>
        <w:t>Acts Interpretation Act 1901</w:t>
      </w:r>
      <w:r w:rsidRPr="00D11572">
        <w:rPr>
          <w:rFonts w:eastAsia="Times New Roman"/>
          <w:bCs/>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2C46E1">
        <w:rPr>
          <w:rFonts w:eastAsia="Times New Roman"/>
          <w:bCs/>
          <w:lang w:eastAsia="en-AU"/>
        </w:rPr>
        <w:t>The Amendment Determination</w:t>
      </w:r>
      <w:r w:rsidRPr="00D11572">
        <w:rPr>
          <w:rFonts w:eastAsia="Times New Roman"/>
          <w:bCs/>
          <w:lang w:eastAsia="en-AU"/>
        </w:rPr>
        <w:t xml:space="preserve"> is made in accordance with that provision.</w:t>
      </w:r>
    </w:p>
    <w:p w14:paraId="298B35C1" w14:textId="77777777" w:rsidR="001E51F5" w:rsidRPr="00D11572" w:rsidRDefault="001E51F5" w:rsidP="00B478DD">
      <w:pPr>
        <w:spacing w:after="0" w:line="240" w:lineRule="auto"/>
        <w:rPr>
          <w:rFonts w:eastAsia="Times New Roman"/>
          <w:bCs/>
          <w:lang w:eastAsia="en-AU"/>
        </w:rPr>
      </w:pPr>
    </w:p>
    <w:p w14:paraId="5C99EC0D" w14:textId="77777777" w:rsidR="001E51F5" w:rsidRPr="00D11572" w:rsidRDefault="001E51F5" w:rsidP="00B478DD">
      <w:pPr>
        <w:spacing w:after="0" w:line="240" w:lineRule="auto"/>
        <w:rPr>
          <w:rFonts w:eastAsia="Times New Roman"/>
          <w:b/>
          <w:bCs/>
          <w:lang w:eastAsia="en-AU"/>
        </w:rPr>
      </w:pPr>
      <w:r w:rsidRPr="00D11572">
        <w:rPr>
          <w:rFonts w:eastAsia="Times New Roman"/>
          <w:b/>
          <w:bCs/>
          <w:lang w:eastAsia="en-AU"/>
        </w:rPr>
        <w:t>Section 4 – Schedules</w:t>
      </w:r>
    </w:p>
    <w:p w14:paraId="18019EBE" w14:textId="54788F3F" w:rsidR="001E51F5" w:rsidRPr="00D11572" w:rsidRDefault="001E51F5" w:rsidP="00B478DD">
      <w:pPr>
        <w:spacing w:after="0" w:line="240" w:lineRule="auto"/>
        <w:rPr>
          <w:rFonts w:eastAsia="Times New Roman"/>
          <w:bCs/>
          <w:lang w:eastAsia="en-AU"/>
        </w:rPr>
      </w:pPr>
    </w:p>
    <w:p w14:paraId="1133A7B5" w14:textId="77777777" w:rsidR="001E51F5" w:rsidRPr="00D11572" w:rsidRDefault="001E51F5" w:rsidP="00B478DD">
      <w:pPr>
        <w:spacing w:after="0" w:line="240" w:lineRule="auto"/>
        <w:rPr>
          <w:rFonts w:eastAsia="Times New Roman"/>
          <w:bCs/>
          <w:lang w:eastAsia="en-AU"/>
        </w:rPr>
      </w:pPr>
      <w:r w:rsidRPr="00D11572">
        <w:rPr>
          <w:rFonts w:eastAsia="Times New Roman"/>
          <w:bCs/>
          <w:lang w:eastAsia="en-AU"/>
        </w:rPr>
        <w:t xml:space="preserve">This section provides that each instrument that is specified in a Schedule to the Amendment </w:t>
      </w:r>
      <w:r w:rsidR="00E81D7C" w:rsidRPr="00D11572">
        <w:rPr>
          <w:rFonts w:eastAsia="Times New Roman"/>
          <w:bCs/>
          <w:lang w:eastAsia="en-AU"/>
        </w:rPr>
        <w:t>Determination</w:t>
      </w:r>
      <w:r w:rsidRPr="00D11572">
        <w:rPr>
          <w:rFonts w:eastAsia="Times New Roman"/>
          <w:bCs/>
          <w:lang w:eastAsia="en-AU"/>
        </w:rPr>
        <w:t xml:space="preserve"> is amended or repealed as set out in the applicable items in the Schedule concerned, and any other item in a Schedule to the Amendment </w:t>
      </w:r>
      <w:r w:rsidR="00E81D7C" w:rsidRPr="00D11572">
        <w:rPr>
          <w:rFonts w:eastAsia="Times New Roman"/>
          <w:bCs/>
          <w:lang w:eastAsia="en-AU"/>
        </w:rPr>
        <w:t>Determination</w:t>
      </w:r>
      <w:r w:rsidRPr="00D11572">
        <w:rPr>
          <w:rFonts w:eastAsia="Times New Roman"/>
          <w:bCs/>
          <w:lang w:eastAsia="en-AU"/>
        </w:rPr>
        <w:t xml:space="preserve"> has effect according to its terms.</w:t>
      </w:r>
    </w:p>
    <w:p w14:paraId="05B58594" w14:textId="77777777" w:rsidR="001E51F5" w:rsidRPr="00D11572" w:rsidRDefault="001E51F5" w:rsidP="00B478DD">
      <w:pPr>
        <w:spacing w:after="0" w:line="240" w:lineRule="auto"/>
        <w:rPr>
          <w:rFonts w:eastAsia="Times New Roman"/>
          <w:bCs/>
          <w:lang w:eastAsia="en-AU"/>
        </w:rPr>
      </w:pPr>
    </w:p>
    <w:p w14:paraId="1FD2226F" w14:textId="77777777" w:rsidR="001E51F5" w:rsidRPr="00D11572" w:rsidRDefault="001E51F5" w:rsidP="00B478DD">
      <w:pPr>
        <w:spacing w:after="0" w:line="240" w:lineRule="auto"/>
        <w:rPr>
          <w:rFonts w:eastAsia="Times New Roman"/>
          <w:b/>
          <w:bCs/>
          <w:lang w:eastAsia="en-AU"/>
        </w:rPr>
      </w:pPr>
      <w:r w:rsidRPr="00D11572">
        <w:rPr>
          <w:rFonts w:eastAsia="Times New Roman"/>
          <w:b/>
          <w:bCs/>
          <w:lang w:eastAsia="en-AU"/>
        </w:rPr>
        <w:t>Schedule 1 – Amendments</w:t>
      </w:r>
    </w:p>
    <w:p w14:paraId="5B7FC17B" w14:textId="25F3D344" w:rsidR="001E51F5" w:rsidRPr="00D11572" w:rsidRDefault="001E51F5" w:rsidP="00B478DD">
      <w:pPr>
        <w:spacing w:after="0" w:line="240" w:lineRule="auto"/>
        <w:rPr>
          <w:rFonts w:eastAsia="Times New Roman"/>
          <w:bCs/>
          <w:lang w:eastAsia="en-AU"/>
        </w:rPr>
      </w:pPr>
    </w:p>
    <w:p w14:paraId="4F2E7E9F" w14:textId="7E39110A" w:rsidR="00F964B7" w:rsidRPr="00D11572" w:rsidRDefault="00F964B7" w:rsidP="00B478DD">
      <w:pPr>
        <w:spacing w:after="0" w:line="240" w:lineRule="auto"/>
        <w:rPr>
          <w:rFonts w:eastAsia="Times New Roman"/>
          <w:bCs/>
          <w:lang w:val="en-US" w:eastAsia="en-AU"/>
        </w:rPr>
      </w:pPr>
      <w:r w:rsidRPr="00D11572">
        <w:rPr>
          <w:rFonts w:eastAsia="Times New Roman"/>
          <w:bCs/>
          <w:lang w:eastAsia="en-AU"/>
        </w:rPr>
        <w:t>This Schedule amends the</w:t>
      </w:r>
      <w:r w:rsidRPr="00D11572">
        <w:rPr>
          <w:rFonts w:eastAsia="Times New Roman"/>
          <w:i/>
          <w:iCs/>
          <w:lang w:eastAsia="en-AU"/>
        </w:rPr>
        <w:t xml:space="preserve"> </w:t>
      </w:r>
      <w:r w:rsidRPr="00D11572">
        <w:rPr>
          <w:rFonts w:eastAsia="Times New Roman"/>
          <w:bCs/>
          <w:i/>
          <w:iCs/>
          <w:lang w:eastAsia="en-AU"/>
        </w:rPr>
        <w:t>Therapeutic Goods (Medical Devices—Information that Must Accompany Application for Inclusion) Determination 2018</w:t>
      </w:r>
      <w:r w:rsidRPr="00D11572">
        <w:rPr>
          <w:rFonts w:eastAsia="Times New Roman"/>
          <w:bCs/>
          <w:lang w:eastAsia="en-AU"/>
        </w:rPr>
        <w:t xml:space="preserve"> (“the Principal Determination”).</w:t>
      </w:r>
    </w:p>
    <w:p w14:paraId="45BC8C07" w14:textId="37125E59" w:rsidR="00F964B7" w:rsidRDefault="00F964B7" w:rsidP="00B478DD">
      <w:pPr>
        <w:spacing w:after="0" w:line="240" w:lineRule="auto"/>
        <w:rPr>
          <w:rFonts w:eastAsia="Times New Roman"/>
          <w:bCs/>
          <w:lang w:eastAsia="en-AU"/>
        </w:rPr>
      </w:pPr>
    </w:p>
    <w:p w14:paraId="3E2111E0" w14:textId="2FAF2F94" w:rsidR="002A4566" w:rsidRDefault="002A4566" w:rsidP="00B478DD">
      <w:pPr>
        <w:spacing w:after="0" w:line="240" w:lineRule="auto"/>
        <w:rPr>
          <w:rFonts w:eastAsia="Times New Roman"/>
          <w:b/>
          <w:lang w:eastAsia="en-AU"/>
        </w:rPr>
      </w:pPr>
      <w:r>
        <w:rPr>
          <w:rFonts w:eastAsia="Times New Roman"/>
          <w:b/>
          <w:lang w:eastAsia="en-AU"/>
        </w:rPr>
        <w:t xml:space="preserve">Item 1 – </w:t>
      </w:r>
      <w:r w:rsidR="00F64C1E" w:rsidRPr="00F64C1E">
        <w:rPr>
          <w:rFonts w:eastAsia="Times New Roman"/>
          <w:b/>
          <w:lang w:eastAsia="en-AU"/>
        </w:rPr>
        <w:t>Before subsection 5(7)</w:t>
      </w:r>
    </w:p>
    <w:p w14:paraId="7E1E26A1" w14:textId="5EDEF97B" w:rsidR="0065185E" w:rsidRDefault="0065185E" w:rsidP="00B478DD">
      <w:pPr>
        <w:spacing w:after="0" w:line="240" w:lineRule="auto"/>
        <w:rPr>
          <w:rFonts w:eastAsia="Times New Roman"/>
          <w:bCs/>
          <w:lang w:eastAsia="en-AU"/>
        </w:rPr>
      </w:pPr>
    </w:p>
    <w:p w14:paraId="75589393" w14:textId="4C3A9C35" w:rsidR="002C46E1" w:rsidRDefault="002A4566" w:rsidP="00B478DD">
      <w:pPr>
        <w:spacing w:after="0" w:line="240" w:lineRule="auto"/>
        <w:rPr>
          <w:rFonts w:eastAsia="Times New Roman"/>
          <w:bCs/>
          <w:lang w:eastAsia="en-AU"/>
        </w:rPr>
      </w:pPr>
      <w:r>
        <w:rPr>
          <w:rFonts w:eastAsia="Times New Roman"/>
          <w:bCs/>
          <w:lang w:eastAsia="en-AU"/>
        </w:rPr>
        <w:t xml:space="preserve">This item amends </w:t>
      </w:r>
      <w:r w:rsidR="00E30BBA">
        <w:rPr>
          <w:rFonts w:eastAsia="Times New Roman"/>
          <w:bCs/>
          <w:lang w:eastAsia="en-AU"/>
        </w:rPr>
        <w:t>subsection 5(7)</w:t>
      </w:r>
      <w:r w:rsidRPr="00D11572">
        <w:rPr>
          <w:rFonts w:eastAsia="Times New Roman"/>
          <w:bCs/>
          <w:lang w:eastAsia="en-AU"/>
        </w:rPr>
        <w:t xml:space="preserve"> of the Principal Determination to </w:t>
      </w:r>
      <w:r w:rsidR="00E30BBA">
        <w:rPr>
          <w:rFonts w:eastAsia="Times New Roman"/>
          <w:bCs/>
          <w:lang w:eastAsia="en-AU"/>
        </w:rPr>
        <w:t xml:space="preserve">insert </w:t>
      </w:r>
      <w:r w:rsidR="002770DB">
        <w:rPr>
          <w:rFonts w:eastAsia="Times New Roman"/>
          <w:bCs/>
          <w:lang w:eastAsia="en-AU"/>
        </w:rPr>
        <w:t xml:space="preserve">a </w:t>
      </w:r>
      <w:r w:rsidR="00E30BBA">
        <w:rPr>
          <w:rFonts w:eastAsia="Times New Roman"/>
          <w:bCs/>
          <w:lang w:eastAsia="en-AU"/>
        </w:rPr>
        <w:t>subsection heading</w:t>
      </w:r>
      <w:r w:rsidR="002C46E1">
        <w:rPr>
          <w:rFonts w:eastAsia="Times New Roman"/>
          <w:bCs/>
          <w:lang w:eastAsia="en-AU"/>
        </w:rPr>
        <w:t xml:space="preserve"> “</w:t>
      </w:r>
      <w:r w:rsidR="002C46E1">
        <w:rPr>
          <w:rFonts w:eastAsia="Times New Roman"/>
          <w:bCs/>
          <w:i/>
          <w:iCs/>
          <w:lang w:eastAsia="en-AU"/>
        </w:rPr>
        <w:t>Class III medical devices</w:t>
      </w:r>
      <w:r w:rsidR="002C46E1">
        <w:rPr>
          <w:rFonts w:eastAsia="Times New Roman"/>
          <w:bCs/>
          <w:lang w:eastAsia="en-AU"/>
        </w:rPr>
        <w:t xml:space="preserve">”. This heading was inadvertently repealed by the </w:t>
      </w:r>
      <w:r w:rsidR="002C46E1">
        <w:rPr>
          <w:rFonts w:eastAsia="Times New Roman"/>
          <w:bCs/>
          <w:i/>
          <w:iCs/>
          <w:lang w:eastAsia="en-AU"/>
        </w:rPr>
        <w:t xml:space="preserve">Therapeutic Goods </w:t>
      </w:r>
      <w:r w:rsidR="002770DB">
        <w:rPr>
          <w:rFonts w:eastAsia="Times New Roman"/>
          <w:bCs/>
          <w:i/>
          <w:iCs/>
          <w:lang w:eastAsia="en-AU"/>
        </w:rPr>
        <w:t>(</w:t>
      </w:r>
      <w:r w:rsidR="002C46E1" w:rsidRPr="00D11572">
        <w:rPr>
          <w:rFonts w:eastAsia="Times New Roman"/>
          <w:bCs/>
          <w:i/>
          <w:iCs/>
          <w:lang w:eastAsia="en-AU"/>
        </w:rPr>
        <w:t xml:space="preserve">Medical Devices—Information that Must Accompany Application for Inclusion) </w:t>
      </w:r>
      <w:r w:rsidR="002C46E1">
        <w:rPr>
          <w:rFonts w:eastAsia="Times New Roman"/>
          <w:bCs/>
          <w:i/>
          <w:iCs/>
          <w:lang w:eastAsia="en-AU"/>
        </w:rPr>
        <w:t xml:space="preserve">Amendment </w:t>
      </w:r>
      <w:r w:rsidR="002C46E1" w:rsidRPr="00D11572">
        <w:rPr>
          <w:rFonts w:eastAsia="Times New Roman"/>
          <w:bCs/>
          <w:i/>
          <w:iCs/>
          <w:lang w:eastAsia="en-AU"/>
        </w:rPr>
        <w:t>Determination 20</w:t>
      </w:r>
      <w:r w:rsidR="002C46E1">
        <w:rPr>
          <w:rFonts w:eastAsia="Times New Roman"/>
          <w:bCs/>
          <w:i/>
          <w:iCs/>
          <w:lang w:eastAsia="en-AU"/>
        </w:rPr>
        <w:t>24</w:t>
      </w:r>
      <w:r w:rsidR="002C46E1">
        <w:rPr>
          <w:rFonts w:eastAsia="Times New Roman"/>
          <w:bCs/>
          <w:lang w:eastAsia="en-AU"/>
        </w:rPr>
        <w:t xml:space="preserve"> (“the July 2024 Instrument”).</w:t>
      </w:r>
    </w:p>
    <w:p w14:paraId="3DF2D7B0" w14:textId="77777777" w:rsidR="002A4566" w:rsidRDefault="002A4566" w:rsidP="00B478DD">
      <w:pPr>
        <w:spacing w:after="0" w:line="240" w:lineRule="auto"/>
        <w:rPr>
          <w:rFonts w:eastAsia="Times New Roman"/>
          <w:b/>
          <w:lang w:eastAsia="en-AU"/>
        </w:rPr>
      </w:pPr>
    </w:p>
    <w:p w14:paraId="6BA9F4FA" w14:textId="05D8865F" w:rsidR="001912F5" w:rsidRDefault="00705153" w:rsidP="002C46E1">
      <w:pPr>
        <w:keepNext/>
        <w:spacing w:after="0" w:line="240" w:lineRule="auto"/>
        <w:rPr>
          <w:rFonts w:eastAsia="Times New Roman"/>
          <w:b/>
          <w:lang w:eastAsia="en-AU"/>
        </w:rPr>
      </w:pPr>
      <w:r w:rsidRPr="00705153">
        <w:rPr>
          <w:rFonts w:eastAsia="Times New Roman"/>
          <w:b/>
          <w:lang w:eastAsia="en-AU"/>
        </w:rPr>
        <w:t xml:space="preserve">Item </w:t>
      </w:r>
      <w:r w:rsidR="002A4566">
        <w:rPr>
          <w:rFonts w:eastAsia="Times New Roman"/>
          <w:b/>
          <w:lang w:eastAsia="en-AU"/>
        </w:rPr>
        <w:t>2</w:t>
      </w:r>
      <w:r w:rsidRPr="00705153">
        <w:rPr>
          <w:rFonts w:eastAsia="Times New Roman"/>
          <w:b/>
          <w:lang w:eastAsia="en-AU"/>
        </w:rPr>
        <w:t xml:space="preserve"> – </w:t>
      </w:r>
      <w:r w:rsidR="001912F5">
        <w:rPr>
          <w:rFonts w:eastAsia="Times New Roman"/>
          <w:b/>
          <w:lang w:eastAsia="en-AU"/>
        </w:rPr>
        <w:t>Paragraph 5(7)(a)</w:t>
      </w:r>
    </w:p>
    <w:p w14:paraId="6FAD4A80" w14:textId="77777777" w:rsidR="002C46E1" w:rsidRDefault="002C46E1" w:rsidP="002C46E1">
      <w:pPr>
        <w:keepNext/>
        <w:spacing w:after="0" w:line="240" w:lineRule="auto"/>
        <w:rPr>
          <w:rFonts w:eastAsia="Times New Roman"/>
          <w:bCs/>
          <w:lang w:eastAsia="en-AU"/>
        </w:rPr>
      </w:pPr>
    </w:p>
    <w:p w14:paraId="2DAC77F3" w14:textId="2ABFEEB0" w:rsidR="00A42E7C" w:rsidRDefault="00CE2103" w:rsidP="00096012">
      <w:pPr>
        <w:spacing w:after="0" w:line="240" w:lineRule="auto"/>
        <w:rPr>
          <w:rFonts w:eastAsia="Times New Roman"/>
          <w:bCs/>
          <w:lang w:eastAsia="en-AU"/>
        </w:rPr>
      </w:pPr>
      <w:r>
        <w:rPr>
          <w:rFonts w:eastAsia="Times New Roman"/>
          <w:bCs/>
          <w:lang w:eastAsia="en-AU"/>
        </w:rPr>
        <w:t>This item amends paragraph 5(7)(a) of the Principal Determination to omit the reference to Division 1 of Part 4 of Schedule 1</w:t>
      </w:r>
      <w:r w:rsidR="00A42E7C">
        <w:rPr>
          <w:rFonts w:eastAsia="Times New Roman"/>
          <w:bCs/>
          <w:lang w:eastAsia="en-AU"/>
        </w:rPr>
        <w:t xml:space="preserve">. This reference is redundant as the effect of the </w:t>
      </w:r>
      <w:r w:rsidR="002770DB">
        <w:rPr>
          <w:rFonts w:eastAsia="Times New Roman"/>
          <w:bCs/>
          <w:lang w:eastAsia="en-AU"/>
        </w:rPr>
        <w:t xml:space="preserve">relevant </w:t>
      </w:r>
      <w:r w:rsidR="002770DB">
        <w:rPr>
          <w:rFonts w:eastAsia="Times New Roman"/>
          <w:bCs/>
          <w:lang w:eastAsia="en-AU"/>
        </w:rPr>
        <w:lastRenderedPageBreak/>
        <w:t xml:space="preserve">amendment in the </w:t>
      </w:r>
      <w:r w:rsidR="00A42E7C">
        <w:rPr>
          <w:rFonts w:eastAsia="Times New Roman"/>
          <w:bCs/>
          <w:lang w:eastAsia="en-AU"/>
        </w:rPr>
        <w:t xml:space="preserve">July 2024 Instrument </w:t>
      </w:r>
      <w:r w:rsidR="002770DB">
        <w:rPr>
          <w:rFonts w:eastAsia="Times New Roman"/>
          <w:bCs/>
          <w:lang w:eastAsia="en-AU"/>
        </w:rPr>
        <w:t xml:space="preserve">was </w:t>
      </w:r>
      <w:r w:rsidR="00A42E7C">
        <w:rPr>
          <w:rFonts w:eastAsia="Times New Roman"/>
          <w:bCs/>
          <w:lang w:eastAsia="en-AU"/>
        </w:rPr>
        <w:t xml:space="preserve">that Part 4 of Schedule 1 to the Principal Determination no longer contains Divisions. </w:t>
      </w:r>
    </w:p>
    <w:p w14:paraId="6D8128FE" w14:textId="77777777" w:rsidR="001912F5" w:rsidRDefault="001912F5" w:rsidP="00B478DD">
      <w:pPr>
        <w:spacing w:after="0" w:line="240" w:lineRule="auto"/>
        <w:rPr>
          <w:rFonts w:eastAsia="Times New Roman"/>
          <w:b/>
          <w:lang w:eastAsia="en-AU"/>
        </w:rPr>
      </w:pPr>
    </w:p>
    <w:p w14:paraId="369D1844" w14:textId="2195D8A9" w:rsidR="001912F5" w:rsidRDefault="001912F5" w:rsidP="00B478DD">
      <w:pPr>
        <w:spacing w:after="0" w:line="240" w:lineRule="auto"/>
        <w:rPr>
          <w:rFonts w:eastAsia="Times New Roman"/>
          <w:b/>
          <w:lang w:eastAsia="en-AU"/>
        </w:rPr>
      </w:pPr>
      <w:r>
        <w:rPr>
          <w:rFonts w:eastAsia="Times New Roman"/>
          <w:b/>
          <w:lang w:eastAsia="en-AU"/>
        </w:rPr>
        <w:t xml:space="preserve">Item </w:t>
      </w:r>
      <w:r w:rsidR="004D25A4">
        <w:rPr>
          <w:rFonts w:eastAsia="Times New Roman"/>
          <w:b/>
          <w:lang w:eastAsia="en-AU"/>
        </w:rPr>
        <w:t>3</w:t>
      </w:r>
      <w:r>
        <w:rPr>
          <w:rFonts w:eastAsia="Times New Roman"/>
          <w:b/>
          <w:lang w:eastAsia="en-AU"/>
        </w:rPr>
        <w:t xml:space="preserve"> – Part 2 of Schedule 1 (cell at table item 8, column 4)</w:t>
      </w:r>
    </w:p>
    <w:p w14:paraId="56E2B0FF" w14:textId="77777777" w:rsidR="00A42E7C" w:rsidRDefault="00A42E7C" w:rsidP="00B478DD">
      <w:pPr>
        <w:spacing w:after="0" w:line="240" w:lineRule="auto"/>
        <w:rPr>
          <w:rFonts w:eastAsia="Times New Roman"/>
          <w:bCs/>
          <w:lang w:eastAsia="en-AU"/>
        </w:rPr>
      </w:pPr>
    </w:p>
    <w:p w14:paraId="54F4EEE0" w14:textId="673F2EFA" w:rsidR="00F57388" w:rsidRDefault="00817CF6" w:rsidP="00B478DD">
      <w:pPr>
        <w:spacing w:after="0" w:line="240" w:lineRule="auto"/>
        <w:rPr>
          <w:rFonts w:eastAsia="Times New Roman"/>
          <w:bCs/>
          <w:lang w:eastAsia="en-AU"/>
        </w:rPr>
      </w:pPr>
      <w:r>
        <w:rPr>
          <w:rFonts w:eastAsia="Times New Roman"/>
          <w:bCs/>
          <w:lang w:eastAsia="en-AU"/>
        </w:rPr>
        <w:t xml:space="preserve">This item </w:t>
      </w:r>
      <w:r w:rsidR="00F57388">
        <w:rPr>
          <w:rFonts w:eastAsia="Times New Roman"/>
          <w:bCs/>
          <w:lang w:eastAsia="en-AU"/>
        </w:rPr>
        <w:t>updates the requirements for Class IIa medical devi</w:t>
      </w:r>
      <w:r w:rsidR="002C4ED3">
        <w:rPr>
          <w:rFonts w:eastAsia="Times New Roman"/>
          <w:bCs/>
          <w:lang w:eastAsia="en-AU"/>
        </w:rPr>
        <w:t>c</w:t>
      </w:r>
      <w:r w:rsidR="00F57388">
        <w:rPr>
          <w:rFonts w:eastAsia="Times New Roman"/>
          <w:bCs/>
          <w:lang w:eastAsia="en-AU"/>
        </w:rPr>
        <w:t>e</w:t>
      </w:r>
      <w:r w:rsidR="002C4ED3">
        <w:rPr>
          <w:rFonts w:eastAsia="Times New Roman"/>
          <w:bCs/>
          <w:lang w:eastAsia="en-AU"/>
        </w:rPr>
        <w:t>s</w:t>
      </w:r>
      <w:r w:rsidR="00F57388">
        <w:rPr>
          <w:rFonts w:eastAsia="Times New Roman"/>
          <w:bCs/>
          <w:lang w:eastAsia="en-AU"/>
        </w:rPr>
        <w:t xml:space="preserve"> where an application for inclusion of the device in the Australian Register of Therapeutic Goods (“the Register”) is supported by conformity assessment documents from the United States Food and Drug Administration (“the US FDA”). It does so by amending</w:t>
      </w:r>
      <w:r w:rsidR="009C3396">
        <w:rPr>
          <w:rFonts w:eastAsia="Times New Roman"/>
          <w:bCs/>
          <w:lang w:eastAsia="en-AU"/>
        </w:rPr>
        <w:t xml:space="preserve"> column 4 of</w:t>
      </w:r>
      <w:r w:rsidR="00F57388">
        <w:rPr>
          <w:rFonts w:eastAsia="Times New Roman"/>
          <w:bCs/>
          <w:lang w:eastAsia="en-AU"/>
        </w:rPr>
        <w:t xml:space="preserve"> table item 8 in Part 2 of Schedule 1 to the Principal Determination.</w:t>
      </w:r>
    </w:p>
    <w:p w14:paraId="156975A4" w14:textId="77777777" w:rsidR="00817CF6" w:rsidRDefault="00817CF6" w:rsidP="00B478DD">
      <w:pPr>
        <w:spacing w:after="0" w:line="240" w:lineRule="auto"/>
        <w:rPr>
          <w:rFonts w:eastAsia="Times New Roman"/>
          <w:bCs/>
          <w:lang w:eastAsia="en-AU"/>
        </w:rPr>
      </w:pPr>
    </w:p>
    <w:p w14:paraId="2C006149" w14:textId="4BD506BE" w:rsidR="002C4ED3" w:rsidRDefault="002770DB" w:rsidP="00B478DD">
      <w:pPr>
        <w:spacing w:after="0" w:line="240" w:lineRule="auto"/>
        <w:rPr>
          <w:rFonts w:eastAsia="Times New Roman"/>
          <w:bCs/>
          <w:lang w:eastAsia="en-AU"/>
        </w:rPr>
      </w:pPr>
      <w:r>
        <w:rPr>
          <w:rFonts w:eastAsia="Times New Roman"/>
          <w:bCs/>
          <w:lang w:eastAsia="en-AU"/>
        </w:rPr>
        <w:t>In complying with the requirements of</w:t>
      </w:r>
      <w:r w:rsidR="002C4ED3">
        <w:rPr>
          <w:rFonts w:eastAsia="Times New Roman"/>
          <w:bCs/>
          <w:lang w:eastAsia="en-AU"/>
        </w:rPr>
        <w:t xml:space="preserve"> table item 8, an application for the inclusion of a Class</w:t>
      </w:r>
      <w:r w:rsidR="00D50DEC">
        <w:rPr>
          <w:rFonts w:eastAsia="Times New Roman"/>
          <w:bCs/>
          <w:lang w:eastAsia="en-AU"/>
        </w:rPr>
        <w:t> </w:t>
      </w:r>
      <w:r w:rsidR="002C4ED3">
        <w:rPr>
          <w:rFonts w:eastAsia="Times New Roman"/>
          <w:bCs/>
          <w:lang w:eastAsia="en-AU"/>
        </w:rPr>
        <w:t xml:space="preserve">IIa medical device </w:t>
      </w:r>
      <w:r>
        <w:rPr>
          <w:rFonts w:eastAsia="Times New Roman"/>
          <w:bCs/>
          <w:lang w:eastAsia="en-AU"/>
        </w:rPr>
        <w:t xml:space="preserve">in the Register </w:t>
      </w:r>
      <w:r w:rsidR="002C4ED3">
        <w:rPr>
          <w:rFonts w:eastAsia="Times New Roman"/>
          <w:bCs/>
          <w:lang w:eastAsia="en-AU"/>
        </w:rPr>
        <w:t>must be accompanied by the following conformity assessment documents:</w:t>
      </w:r>
    </w:p>
    <w:p w14:paraId="78933221" w14:textId="4E72BF56" w:rsidR="00F57388" w:rsidRDefault="002C4ED3" w:rsidP="00C42BC6">
      <w:pPr>
        <w:pStyle w:val="ListParagraph"/>
        <w:numPr>
          <w:ilvl w:val="0"/>
          <w:numId w:val="47"/>
        </w:numPr>
        <w:spacing w:before="20" w:after="0" w:line="240" w:lineRule="auto"/>
        <w:ind w:hanging="357"/>
        <w:contextualSpacing w:val="0"/>
        <w:rPr>
          <w:rFonts w:eastAsia="Times New Roman"/>
          <w:bCs/>
          <w:lang w:eastAsia="en-AU"/>
        </w:rPr>
      </w:pPr>
      <w:r>
        <w:rPr>
          <w:rFonts w:eastAsia="Times New Roman"/>
          <w:bCs/>
          <w:lang w:eastAsia="en-AU"/>
        </w:rPr>
        <w:t>in relation to the manufacturer’s quality management system—</w:t>
      </w:r>
      <w:r w:rsidR="00C42BC6">
        <w:rPr>
          <w:rFonts w:eastAsia="Times New Roman"/>
          <w:bCs/>
          <w:lang w:eastAsia="en-AU"/>
        </w:rPr>
        <w:t xml:space="preserve">a Medical Device Single Audit Program (“MDSAP”) certificate issued by </w:t>
      </w:r>
      <w:r w:rsidR="004918D4">
        <w:rPr>
          <w:rFonts w:eastAsia="Times New Roman"/>
          <w:bCs/>
          <w:lang w:eastAsia="en-AU"/>
        </w:rPr>
        <w:t>a recognised auditing organisation</w:t>
      </w:r>
      <w:r w:rsidR="00C42BC6">
        <w:rPr>
          <w:rFonts w:eastAsia="Times New Roman"/>
          <w:bCs/>
          <w:lang w:eastAsia="en-AU"/>
        </w:rPr>
        <w:t>; and</w:t>
      </w:r>
    </w:p>
    <w:p w14:paraId="4BE50116" w14:textId="443DA51B" w:rsidR="00C42BC6" w:rsidRDefault="002C4ED3" w:rsidP="00C42BC6">
      <w:pPr>
        <w:pStyle w:val="ListParagraph"/>
        <w:numPr>
          <w:ilvl w:val="0"/>
          <w:numId w:val="47"/>
        </w:numPr>
        <w:spacing w:before="20" w:after="0" w:line="240" w:lineRule="auto"/>
        <w:ind w:hanging="357"/>
        <w:contextualSpacing w:val="0"/>
        <w:rPr>
          <w:rFonts w:eastAsia="Times New Roman"/>
          <w:bCs/>
          <w:lang w:eastAsia="en-AU"/>
        </w:rPr>
      </w:pPr>
      <w:r>
        <w:rPr>
          <w:rFonts w:eastAsia="Times New Roman"/>
          <w:bCs/>
          <w:lang w:eastAsia="en-AU"/>
        </w:rPr>
        <w:t>in relation to product assessment—</w:t>
      </w:r>
      <w:r w:rsidR="00C42BC6">
        <w:rPr>
          <w:rFonts w:eastAsia="Times New Roman"/>
          <w:bCs/>
          <w:lang w:eastAsia="en-AU"/>
        </w:rPr>
        <w:t>either of the following:</w:t>
      </w:r>
    </w:p>
    <w:p w14:paraId="212B7C5C" w14:textId="6D6F30ED" w:rsidR="00C42BC6" w:rsidRPr="00C42BC6" w:rsidRDefault="00C42BC6" w:rsidP="00C42BC6">
      <w:pPr>
        <w:pStyle w:val="ListParagraph"/>
        <w:numPr>
          <w:ilvl w:val="1"/>
          <w:numId w:val="47"/>
        </w:numPr>
        <w:spacing w:before="20" w:after="0" w:line="240" w:lineRule="auto"/>
        <w:ind w:hanging="357"/>
        <w:contextualSpacing w:val="0"/>
        <w:rPr>
          <w:rFonts w:eastAsia="Times New Roman"/>
          <w:bCs/>
          <w:lang w:eastAsia="en-AU"/>
        </w:rPr>
      </w:pPr>
      <w:r>
        <w:rPr>
          <w:rFonts w:eastAsia="Times New Roman"/>
          <w:bCs/>
          <w:lang w:eastAsia="en-AU"/>
        </w:rPr>
        <w:t xml:space="preserve">a determination of substantial equivalence made with respect to a notification submitted under section 510(k) of the </w:t>
      </w:r>
      <w:r>
        <w:rPr>
          <w:rFonts w:eastAsia="Times New Roman"/>
          <w:i/>
          <w:iCs/>
          <w:lang w:eastAsia="en-AU"/>
        </w:rPr>
        <w:t>Federal Food, Drug and Cosmetic Act</w:t>
      </w:r>
      <w:r>
        <w:rPr>
          <w:rFonts w:eastAsia="Times New Roman"/>
          <w:lang w:eastAsia="en-AU"/>
        </w:rPr>
        <w:t xml:space="preserve"> of the United States (“the US FDC Act”); or</w:t>
      </w:r>
    </w:p>
    <w:p w14:paraId="3FB79B8E" w14:textId="1C8C1D12" w:rsidR="00C42BC6" w:rsidRPr="00F57388" w:rsidRDefault="00C42BC6" w:rsidP="00C42BC6">
      <w:pPr>
        <w:pStyle w:val="ListParagraph"/>
        <w:numPr>
          <w:ilvl w:val="1"/>
          <w:numId w:val="47"/>
        </w:numPr>
        <w:spacing w:before="20" w:after="0" w:line="240" w:lineRule="auto"/>
        <w:ind w:hanging="357"/>
        <w:contextualSpacing w:val="0"/>
        <w:rPr>
          <w:rFonts w:eastAsia="Times New Roman"/>
          <w:bCs/>
          <w:lang w:eastAsia="en-AU"/>
        </w:rPr>
      </w:pPr>
      <w:r>
        <w:rPr>
          <w:rFonts w:eastAsia="Times New Roman"/>
          <w:lang w:eastAsia="en-AU"/>
        </w:rPr>
        <w:t>an order granting a request for classification under section 513 of the US FDC Act (i.e., a De Novo classification request).</w:t>
      </w:r>
    </w:p>
    <w:p w14:paraId="1154AF78" w14:textId="77777777" w:rsidR="00C42BC6" w:rsidRDefault="00C42BC6" w:rsidP="00C42BC6">
      <w:pPr>
        <w:spacing w:after="0" w:line="240" w:lineRule="auto"/>
        <w:rPr>
          <w:rFonts w:eastAsia="Times New Roman"/>
          <w:bCs/>
          <w:lang w:eastAsia="en-AU"/>
        </w:rPr>
      </w:pPr>
    </w:p>
    <w:p w14:paraId="16742B7C" w14:textId="57948C0C" w:rsidR="00C242AF" w:rsidRDefault="00C242AF" w:rsidP="00E2212A">
      <w:pPr>
        <w:spacing w:after="0" w:line="240" w:lineRule="auto"/>
        <w:rPr>
          <w:rFonts w:eastAsia="Times New Roman"/>
          <w:bCs/>
          <w:lang w:eastAsia="en-AU"/>
        </w:rPr>
      </w:pPr>
      <w:r>
        <w:rPr>
          <w:rFonts w:eastAsia="Times New Roman"/>
          <w:bCs/>
          <w:lang w:eastAsia="en-AU"/>
        </w:rPr>
        <w:t>A notification submitted by a person under section 510(k) of the US FD</w:t>
      </w:r>
      <w:r w:rsidR="009E61AF">
        <w:rPr>
          <w:rFonts w:eastAsia="Times New Roman"/>
          <w:bCs/>
          <w:lang w:eastAsia="en-AU"/>
        </w:rPr>
        <w:t>C</w:t>
      </w:r>
      <w:r>
        <w:rPr>
          <w:rFonts w:eastAsia="Times New Roman"/>
          <w:bCs/>
          <w:lang w:eastAsia="en-AU"/>
        </w:rPr>
        <w:t xml:space="preserve"> Act is essentially a premarket submission to the US FDA that the device to be marketed is substantially equivalent (in terms of safety and efficacy) to a device that is already lawfully marketed in the United States. Howev</w:t>
      </w:r>
      <w:r w:rsidR="009E61AF">
        <w:rPr>
          <w:rFonts w:eastAsia="Times New Roman"/>
          <w:bCs/>
          <w:lang w:eastAsia="en-AU"/>
        </w:rPr>
        <w:t xml:space="preserve">er, the US FDA may exempt certain kinds of medical devices (including medical devices that are regulated as Class IIa medical devices in Australia) from the notification requirements in section 510(k) of the US FDC Act, on the basis that this is not required to provide reasonable assurance as to the safety or </w:t>
      </w:r>
      <w:r w:rsidR="00435F2E">
        <w:rPr>
          <w:rFonts w:eastAsia="Times New Roman"/>
          <w:bCs/>
          <w:lang w:eastAsia="en-AU"/>
        </w:rPr>
        <w:t xml:space="preserve">performance </w:t>
      </w:r>
      <w:r w:rsidR="009E61AF">
        <w:rPr>
          <w:rFonts w:eastAsia="Times New Roman"/>
          <w:bCs/>
          <w:lang w:eastAsia="en-AU"/>
        </w:rPr>
        <w:t xml:space="preserve">of the device. </w:t>
      </w:r>
    </w:p>
    <w:p w14:paraId="15002765" w14:textId="77777777" w:rsidR="00C242AF" w:rsidRDefault="00C242AF" w:rsidP="00E2212A">
      <w:pPr>
        <w:spacing w:after="0" w:line="240" w:lineRule="auto"/>
        <w:rPr>
          <w:rFonts w:eastAsia="Times New Roman"/>
          <w:bCs/>
          <w:lang w:eastAsia="en-AU"/>
        </w:rPr>
      </w:pPr>
    </w:p>
    <w:p w14:paraId="5875AD5C" w14:textId="0ADDC154" w:rsidR="009E61AF" w:rsidRDefault="004E5BC0" w:rsidP="00E2212A">
      <w:pPr>
        <w:spacing w:after="0" w:line="240" w:lineRule="auto"/>
        <w:rPr>
          <w:rFonts w:eastAsia="Times New Roman"/>
          <w:bCs/>
          <w:lang w:eastAsia="en-AU"/>
        </w:rPr>
      </w:pPr>
      <w:r>
        <w:rPr>
          <w:rFonts w:eastAsia="Times New Roman"/>
          <w:bCs/>
          <w:lang w:eastAsia="en-AU"/>
        </w:rPr>
        <w:t>The relevant</w:t>
      </w:r>
      <w:r w:rsidR="009E61AF">
        <w:rPr>
          <w:rFonts w:eastAsia="Times New Roman"/>
          <w:bCs/>
          <w:lang w:eastAsia="en-AU"/>
        </w:rPr>
        <w:t xml:space="preserve"> effect of a Class IIa medical device being exempt from the requirements in section 510(k) of the US FDC Act is that no conformity assessment documents in relation to product assessment are issued by the US FDA in respect of that device. </w:t>
      </w:r>
      <w:r w:rsidR="00435F2E">
        <w:rPr>
          <w:rFonts w:eastAsia="Times New Roman"/>
          <w:bCs/>
          <w:lang w:eastAsia="en-AU"/>
        </w:rPr>
        <w:t>Therefore, p</w:t>
      </w:r>
      <w:r w:rsidR="009E61AF">
        <w:rPr>
          <w:rFonts w:eastAsia="Times New Roman"/>
          <w:bCs/>
          <w:lang w:eastAsia="en-AU"/>
        </w:rPr>
        <w:t>ersons wishing to apply for inclusion of such a device in the Register</w:t>
      </w:r>
      <w:r w:rsidR="00435F2E">
        <w:rPr>
          <w:rFonts w:eastAsia="Times New Roman"/>
          <w:bCs/>
          <w:lang w:eastAsia="en-AU"/>
        </w:rPr>
        <w:t xml:space="preserve"> </w:t>
      </w:r>
      <w:r w:rsidR="009E61AF">
        <w:rPr>
          <w:rFonts w:eastAsia="Times New Roman"/>
          <w:bCs/>
          <w:lang w:eastAsia="en-AU"/>
        </w:rPr>
        <w:t>are unable to provide the TGA with all the conformity assessment documents that are specified in table item 8 in Part 2 of Schedule 1 to the Principal Determination.</w:t>
      </w:r>
    </w:p>
    <w:p w14:paraId="4FD78ABA" w14:textId="77777777" w:rsidR="009E61AF" w:rsidRDefault="009E61AF" w:rsidP="00E2212A">
      <w:pPr>
        <w:spacing w:after="0" w:line="240" w:lineRule="auto"/>
        <w:rPr>
          <w:rFonts w:eastAsia="Times New Roman"/>
          <w:bCs/>
          <w:lang w:eastAsia="en-AU"/>
        </w:rPr>
      </w:pPr>
    </w:p>
    <w:p w14:paraId="51B0B92B" w14:textId="2323197D" w:rsidR="007E7B2B" w:rsidRPr="00C42BC6" w:rsidRDefault="007E7B2B" w:rsidP="007E7B2B">
      <w:pPr>
        <w:spacing w:after="0" w:line="240" w:lineRule="auto"/>
        <w:rPr>
          <w:rFonts w:eastAsia="Times New Roman"/>
          <w:bCs/>
          <w:lang w:eastAsia="en-AU"/>
        </w:rPr>
      </w:pPr>
      <w:r>
        <w:rPr>
          <w:rFonts w:eastAsia="Times New Roman"/>
          <w:lang w:eastAsia="en-AU"/>
        </w:rPr>
        <w:t xml:space="preserve">The amendment made by this item clarifies </w:t>
      </w:r>
      <w:r w:rsidR="00435F2E">
        <w:rPr>
          <w:rFonts w:eastAsia="Times New Roman"/>
          <w:lang w:eastAsia="en-AU"/>
        </w:rPr>
        <w:t>that the documents specified in column 4 of item 8 in Part 2 of Schedule 1 are only required for medical devices that are not exempted by the US FDA from section 510(k) requirements. Therefore</w:t>
      </w:r>
      <w:r>
        <w:rPr>
          <w:rFonts w:eastAsia="Times New Roman"/>
          <w:lang w:eastAsia="en-AU"/>
        </w:rPr>
        <w:t xml:space="preserve">, where the application for inclusion relates to a Class IIa medical device that has been exempted from the requirements in section 510(k) of the US FDC Act, the application need not be accompanied by a conformity assessment document relating to product assessment. In such cases, the </w:t>
      </w:r>
      <w:r w:rsidR="00EB4A2D">
        <w:rPr>
          <w:rFonts w:eastAsia="Times New Roman"/>
          <w:lang w:eastAsia="en-AU"/>
        </w:rPr>
        <w:t>application only needs to be accompanied by a</w:t>
      </w:r>
      <w:r w:rsidR="005C552C">
        <w:rPr>
          <w:rFonts w:eastAsia="Times New Roman"/>
          <w:lang w:eastAsia="en-AU"/>
        </w:rPr>
        <w:t xml:space="preserve"> </w:t>
      </w:r>
      <w:r w:rsidR="00435F2E">
        <w:rPr>
          <w:rFonts w:eastAsia="Times New Roman"/>
          <w:lang w:eastAsia="en-AU"/>
        </w:rPr>
        <w:t xml:space="preserve">MDSAP certificate issued by </w:t>
      </w:r>
      <w:r w:rsidR="004918D4">
        <w:rPr>
          <w:rFonts w:eastAsia="Times New Roman"/>
          <w:lang w:eastAsia="en-AU"/>
        </w:rPr>
        <w:t>a recognised auditing organisation</w:t>
      </w:r>
      <w:r w:rsidR="00435F2E">
        <w:rPr>
          <w:rFonts w:eastAsia="Times New Roman"/>
          <w:lang w:eastAsia="en-AU"/>
        </w:rPr>
        <w:t xml:space="preserve"> as a </w:t>
      </w:r>
      <w:r w:rsidR="005C552C">
        <w:rPr>
          <w:rFonts w:eastAsia="Times New Roman"/>
          <w:lang w:eastAsia="en-AU"/>
        </w:rPr>
        <w:t>conformity assessment document relating to the manufacturer’s quality management system</w:t>
      </w:r>
      <w:r w:rsidR="00435F2E">
        <w:rPr>
          <w:rFonts w:eastAsia="Times New Roman"/>
          <w:lang w:eastAsia="en-AU"/>
        </w:rPr>
        <w:t xml:space="preserve">. </w:t>
      </w:r>
    </w:p>
    <w:p w14:paraId="0E109CEE" w14:textId="77777777" w:rsidR="001912F5" w:rsidRDefault="001912F5" w:rsidP="00B478DD">
      <w:pPr>
        <w:spacing w:after="0" w:line="240" w:lineRule="auto"/>
        <w:rPr>
          <w:rFonts w:eastAsia="Times New Roman"/>
          <w:b/>
          <w:lang w:eastAsia="en-AU"/>
        </w:rPr>
      </w:pPr>
    </w:p>
    <w:p w14:paraId="11DC81B3" w14:textId="0A9B1683" w:rsidR="00B55238" w:rsidRDefault="001912F5" w:rsidP="009E61AF">
      <w:pPr>
        <w:keepNext/>
        <w:spacing w:after="0" w:line="240" w:lineRule="auto"/>
        <w:rPr>
          <w:rFonts w:eastAsia="Times New Roman"/>
          <w:b/>
          <w:lang w:eastAsia="en-AU"/>
        </w:rPr>
      </w:pPr>
      <w:r>
        <w:rPr>
          <w:rFonts w:eastAsia="Times New Roman"/>
          <w:b/>
          <w:lang w:eastAsia="en-AU"/>
        </w:rPr>
        <w:lastRenderedPageBreak/>
        <w:t xml:space="preserve">Item </w:t>
      </w:r>
      <w:r w:rsidR="004D25A4">
        <w:rPr>
          <w:rFonts w:eastAsia="Times New Roman"/>
          <w:b/>
          <w:lang w:eastAsia="en-AU"/>
        </w:rPr>
        <w:t>4</w:t>
      </w:r>
      <w:r>
        <w:rPr>
          <w:rFonts w:eastAsia="Times New Roman"/>
          <w:b/>
          <w:lang w:eastAsia="en-AU"/>
        </w:rPr>
        <w:t xml:space="preserve"> – </w:t>
      </w:r>
      <w:r w:rsidR="00B55238" w:rsidRPr="00B55238">
        <w:rPr>
          <w:rFonts w:eastAsia="Times New Roman"/>
          <w:b/>
          <w:lang w:eastAsia="en-AU"/>
        </w:rPr>
        <w:t>Part 4 of Schedule 1 (cell at table item 11, column 4)</w:t>
      </w:r>
    </w:p>
    <w:p w14:paraId="62C6345E" w14:textId="5D278F07" w:rsidR="002B392D" w:rsidRDefault="002B392D" w:rsidP="009E61AF">
      <w:pPr>
        <w:keepNext/>
        <w:spacing w:after="0" w:line="240" w:lineRule="auto"/>
        <w:rPr>
          <w:rFonts w:eastAsia="Times New Roman"/>
          <w:bCs/>
          <w:lang w:eastAsia="en-AU"/>
        </w:rPr>
      </w:pPr>
    </w:p>
    <w:p w14:paraId="2F7B19F3" w14:textId="72D8C824" w:rsidR="00305DDE" w:rsidRDefault="00705153" w:rsidP="009E61AF">
      <w:pPr>
        <w:keepNext/>
        <w:spacing w:after="0" w:line="240" w:lineRule="auto"/>
        <w:rPr>
          <w:rFonts w:eastAsia="Times New Roman"/>
          <w:bCs/>
          <w:lang w:eastAsia="en-AU"/>
        </w:rPr>
      </w:pPr>
      <w:r>
        <w:rPr>
          <w:rFonts w:eastAsia="Times New Roman"/>
          <w:bCs/>
          <w:lang w:eastAsia="en-AU"/>
        </w:rPr>
        <w:t xml:space="preserve">This item </w:t>
      </w:r>
      <w:r w:rsidR="00305DDE">
        <w:rPr>
          <w:rFonts w:eastAsia="Times New Roman"/>
          <w:bCs/>
          <w:lang w:eastAsia="en-AU"/>
        </w:rPr>
        <w:t>amends table item 11 in Part 4 of Schedule 1 to the Principal Determination</w:t>
      </w:r>
      <w:r w:rsidR="004E18C5">
        <w:rPr>
          <w:rFonts w:eastAsia="Times New Roman"/>
          <w:bCs/>
          <w:lang w:eastAsia="en-AU"/>
        </w:rPr>
        <w:t>, which specifies the requirements for Class III medical devices where an application for inclusion of the device in the Register is supported by conformity assessment documents from the US FDA.</w:t>
      </w:r>
      <w:r w:rsidR="00305DDE">
        <w:rPr>
          <w:rFonts w:eastAsia="Times New Roman"/>
          <w:bCs/>
          <w:lang w:eastAsia="en-AU"/>
        </w:rPr>
        <w:t xml:space="preserve"> </w:t>
      </w:r>
      <w:r w:rsidR="004E18C5">
        <w:rPr>
          <w:rFonts w:eastAsia="Times New Roman"/>
          <w:bCs/>
          <w:lang w:eastAsia="en-AU"/>
        </w:rPr>
        <w:t xml:space="preserve">The purpose of this amendment is to effectively broaden the range of conformity assessment documents </w:t>
      </w:r>
      <w:r w:rsidR="00F7236A">
        <w:rPr>
          <w:rFonts w:eastAsia="Times New Roman"/>
          <w:bCs/>
          <w:lang w:eastAsia="en-AU"/>
        </w:rPr>
        <w:t>relating</w:t>
      </w:r>
      <w:r w:rsidR="004E18C5">
        <w:rPr>
          <w:rFonts w:eastAsia="Times New Roman"/>
          <w:bCs/>
          <w:lang w:eastAsia="en-AU"/>
        </w:rPr>
        <w:t xml:space="preserve"> to product assessment that an applicant may submit to the TGA in support of their application. </w:t>
      </w:r>
    </w:p>
    <w:p w14:paraId="318D3665" w14:textId="77777777" w:rsidR="00305DDE" w:rsidRDefault="00305DDE" w:rsidP="00B478DD">
      <w:pPr>
        <w:spacing w:after="0" w:line="240" w:lineRule="auto"/>
        <w:rPr>
          <w:rFonts w:eastAsia="Times New Roman"/>
          <w:bCs/>
          <w:lang w:eastAsia="en-AU"/>
        </w:rPr>
      </w:pPr>
    </w:p>
    <w:p w14:paraId="282EDD67" w14:textId="3BD908CF" w:rsidR="00D814F8" w:rsidRDefault="00435F2E" w:rsidP="00B478DD">
      <w:pPr>
        <w:spacing w:after="0" w:line="240" w:lineRule="auto"/>
        <w:rPr>
          <w:rFonts w:eastAsia="Times New Roman"/>
          <w:bCs/>
          <w:lang w:eastAsia="en-AU"/>
        </w:rPr>
      </w:pPr>
      <w:r>
        <w:rPr>
          <w:rFonts w:eastAsia="Times New Roman"/>
          <w:bCs/>
          <w:lang w:eastAsia="en-AU"/>
        </w:rPr>
        <w:t xml:space="preserve">In complying with the requirements in </w:t>
      </w:r>
      <w:r w:rsidR="00D814F8">
        <w:rPr>
          <w:rFonts w:eastAsia="Times New Roman"/>
          <w:bCs/>
          <w:lang w:eastAsia="en-AU"/>
        </w:rPr>
        <w:t>table item 11, an application for inclusion in the Register of a Class III medical device must be accompanied by the following conformity assessment documents:</w:t>
      </w:r>
    </w:p>
    <w:p w14:paraId="3E80F318" w14:textId="4B8ED7FC" w:rsidR="00D814F8" w:rsidRDefault="00D814F8" w:rsidP="00D814F8">
      <w:pPr>
        <w:pStyle w:val="ListParagraph"/>
        <w:numPr>
          <w:ilvl w:val="0"/>
          <w:numId w:val="30"/>
        </w:numPr>
        <w:autoSpaceDE w:val="0"/>
        <w:autoSpaceDN w:val="0"/>
        <w:adjustRightInd w:val="0"/>
        <w:spacing w:before="20" w:after="0" w:line="240" w:lineRule="auto"/>
        <w:contextualSpacing w:val="0"/>
        <w:rPr>
          <w:rFonts w:eastAsia="Times New Roman"/>
          <w:lang w:eastAsia="en-AU"/>
        </w:rPr>
      </w:pPr>
      <w:r>
        <w:rPr>
          <w:rFonts w:eastAsia="Times New Roman"/>
          <w:lang w:eastAsia="en-AU"/>
        </w:rPr>
        <w:t xml:space="preserve">in relation to the manufacturer’s quality management system—a MDSAP certificate issued by </w:t>
      </w:r>
      <w:r w:rsidR="004918D4">
        <w:rPr>
          <w:rFonts w:eastAsia="Times New Roman"/>
          <w:lang w:eastAsia="en-AU"/>
        </w:rPr>
        <w:t>a recognised auditing organisation</w:t>
      </w:r>
      <w:r>
        <w:rPr>
          <w:rFonts w:eastAsia="Times New Roman"/>
          <w:lang w:eastAsia="en-AU"/>
        </w:rPr>
        <w:t>; and</w:t>
      </w:r>
    </w:p>
    <w:p w14:paraId="73FAB62F" w14:textId="49A8596B" w:rsidR="00D814F8" w:rsidRDefault="00D814F8" w:rsidP="00D814F8">
      <w:pPr>
        <w:pStyle w:val="ListParagraph"/>
        <w:numPr>
          <w:ilvl w:val="0"/>
          <w:numId w:val="30"/>
        </w:numPr>
        <w:autoSpaceDE w:val="0"/>
        <w:autoSpaceDN w:val="0"/>
        <w:adjustRightInd w:val="0"/>
        <w:spacing w:before="20" w:after="0" w:line="240" w:lineRule="auto"/>
        <w:contextualSpacing w:val="0"/>
        <w:rPr>
          <w:rFonts w:eastAsia="Times New Roman"/>
          <w:lang w:eastAsia="en-AU"/>
        </w:rPr>
      </w:pPr>
      <w:r>
        <w:rPr>
          <w:rFonts w:eastAsia="Times New Roman"/>
          <w:lang w:eastAsia="en-AU"/>
        </w:rPr>
        <w:t>in relation to product assessment—an order approving an application for premarket approval under section 515 of the US FDC Act.</w:t>
      </w:r>
    </w:p>
    <w:p w14:paraId="2F6540CB" w14:textId="77777777" w:rsidR="00D814F8" w:rsidRDefault="00D814F8" w:rsidP="00B478DD">
      <w:pPr>
        <w:spacing w:after="0" w:line="240" w:lineRule="auto"/>
        <w:rPr>
          <w:rFonts w:eastAsia="Times New Roman"/>
          <w:bCs/>
          <w:lang w:eastAsia="en-AU"/>
        </w:rPr>
      </w:pPr>
    </w:p>
    <w:p w14:paraId="2D301B84" w14:textId="137EC72B" w:rsidR="005E32E8" w:rsidRDefault="00F7236A" w:rsidP="00B478DD">
      <w:pPr>
        <w:spacing w:after="0" w:line="240" w:lineRule="auto"/>
        <w:rPr>
          <w:rFonts w:eastAsia="Times New Roman"/>
          <w:lang w:eastAsia="en-AU"/>
        </w:rPr>
      </w:pPr>
      <w:r>
        <w:rPr>
          <w:rFonts w:eastAsia="Times New Roman"/>
          <w:bCs/>
          <w:lang w:eastAsia="en-AU"/>
        </w:rPr>
        <w:t xml:space="preserve">This item amends </w:t>
      </w:r>
      <w:r w:rsidR="00442F66">
        <w:rPr>
          <w:rFonts w:eastAsia="Times New Roman"/>
          <w:bCs/>
          <w:lang w:eastAsia="en-AU"/>
        </w:rPr>
        <w:t xml:space="preserve">the cell at </w:t>
      </w:r>
      <w:r>
        <w:rPr>
          <w:rFonts w:eastAsia="Times New Roman"/>
          <w:bCs/>
          <w:lang w:eastAsia="en-AU"/>
        </w:rPr>
        <w:t xml:space="preserve">column 4 of table item 11 to </w:t>
      </w:r>
      <w:r w:rsidR="00442F66">
        <w:rPr>
          <w:rFonts w:eastAsia="Times New Roman"/>
          <w:bCs/>
          <w:lang w:eastAsia="en-AU"/>
        </w:rPr>
        <w:t xml:space="preserve">specify a </w:t>
      </w:r>
      <w:r w:rsidR="003F436F">
        <w:rPr>
          <w:rFonts w:eastAsia="Times New Roman"/>
          <w:bCs/>
          <w:lang w:eastAsia="en-AU"/>
        </w:rPr>
        <w:t>determination of substantial equivalence made with respect to a notification submitted under section 510(k) of the US FDC Act.</w:t>
      </w:r>
      <w:r w:rsidR="0072758B">
        <w:rPr>
          <w:rFonts w:eastAsia="Times New Roman"/>
          <w:bCs/>
          <w:lang w:eastAsia="en-AU"/>
        </w:rPr>
        <w:t xml:space="preserve"> </w:t>
      </w:r>
      <w:r w:rsidR="00D50DEC">
        <w:rPr>
          <w:rFonts w:eastAsia="Times New Roman"/>
          <w:bCs/>
          <w:lang w:eastAsia="en-AU"/>
        </w:rPr>
        <w:t xml:space="preserve">Such a determination is an alternative to an order approving an application for premarket approval under section 515 of the US FDC Act, and </w:t>
      </w:r>
      <w:r w:rsidR="000F0F34">
        <w:rPr>
          <w:rFonts w:eastAsia="Times New Roman"/>
          <w:bCs/>
          <w:lang w:eastAsia="en-AU"/>
        </w:rPr>
        <w:t xml:space="preserve">represents a decision of the US FDA that the relevant device meets </w:t>
      </w:r>
      <w:r w:rsidR="000F0F34">
        <w:rPr>
          <w:rFonts w:eastAsia="Times New Roman"/>
          <w:lang w:eastAsia="en-AU"/>
        </w:rPr>
        <w:t>minimum benchmarks for safety and performance.</w:t>
      </w:r>
    </w:p>
    <w:p w14:paraId="5BF98D24" w14:textId="77777777" w:rsidR="00BE0CCD" w:rsidRDefault="00BE0CCD" w:rsidP="00B478DD">
      <w:pPr>
        <w:spacing w:after="0" w:line="240" w:lineRule="auto"/>
        <w:rPr>
          <w:rFonts w:eastAsia="Times New Roman"/>
          <w:bCs/>
          <w:lang w:eastAsia="en-AU"/>
        </w:rPr>
      </w:pPr>
    </w:p>
    <w:p w14:paraId="270B3D61" w14:textId="5AC706EA" w:rsidR="008C6090" w:rsidRPr="00D11572" w:rsidRDefault="006656EF" w:rsidP="00E12602">
      <w:pPr>
        <w:rPr>
          <w:rFonts w:eastAsia="Times New Roman"/>
          <w:bCs/>
          <w:lang w:eastAsia="en-AU"/>
        </w:rPr>
      </w:pPr>
      <w:r w:rsidRPr="00D11572">
        <w:rPr>
          <w:rFonts w:eastAsia="Times New Roman"/>
          <w:bCs/>
          <w:lang w:eastAsia="en-AU"/>
        </w:rPr>
        <w:br w:type="page"/>
      </w:r>
    </w:p>
    <w:p w14:paraId="37F9969A" w14:textId="77777777" w:rsidR="001E51F5" w:rsidRPr="00D11572" w:rsidRDefault="001E51F5" w:rsidP="00096012">
      <w:pPr>
        <w:spacing w:after="0" w:line="240" w:lineRule="auto"/>
        <w:jc w:val="right"/>
        <w:rPr>
          <w:rFonts w:eastAsia="Times New Roman"/>
          <w:b/>
          <w:bCs/>
          <w:lang w:eastAsia="en-AU"/>
        </w:rPr>
      </w:pPr>
      <w:r w:rsidRPr="00D11572">
        <w:rPr>
          <w:rFonts w:eastAsia="Times New Roman"/>
          <w:b/>
          <w:bCs/>
          <w:lang w:eastAsia="en-AU"/>
        </w:rPr>
        <w:lastRenderedPageBreak/>
        <w:t>Attachment B</w:t>
      </w:r>
    </w:p>
    <w:p w14:paraId="6DFB059A" w14:textId="77777777" w:rsidR="001E51F5" w:rsidRDefault="001E51F5" w:rsidP="00096012">
      <w:pPr>
        <w:spacing w:after="0" w:line="240" w:lineRule="auto"/>
        <w:jc w:val="center"/>
        <w:rPr>
          <w:rFonts w:eastAsia="Times New Roman"/>
          <w:b/>
          <w:lang w:eastAsia="en-AU"/>
        </w:rPr>
      </w:pPr>
      <w:r w:rsidRPr="00D11572">
        <w:rPr>
          <w:rFonts w:eastAsia="Times New Roman"/>
          <w:b/>
          <w:lang w:eastAsia="en-AU"/>
        </w:rPr>
        <w:t>Statement of Compatibility with Human Rights</w:t>
      </w:r>
    </w:p>
    <w:p w14:paraId="709565D4" w14:textId="77777777" w:rsidR="00096012" w:rsidRPr="00D11572" w:rsidRDefault="00096012" w:rsidP="00096012">
      <w:pPr>
        <w:spacing w:after="0" w:line="240" w:lineRule="auto"/>
        <w:jc w:val="center"/>
        <w:rPr>
          <w:rFonts w:eastAsia="Times New Roman"/>
          <w:b/>
          <w:lang w:val="en-US" w:eastAsia="en-AU"/>
        </w:rPr>
      </w:pPr>
    </w:p>
    <w:p w14:paraId="37AECE6B" w14:textId="77777777" w:rsidR="001E51F5" w:rsidRPr="00D11572" w:rsidRDefault="001E51F5" w:rsidP="00096012">
      <w:pPr>
        <w:spacing w:after="0" w:line="240" w:lineRule="auto"/>
        <w:ind w:right="-142"/>
        <w:jc w:val="center"/>
        <w:rPr>
          <w:rFonts w:eastAsia="Times New Roman"/>
          <w:i/>
          <w:lang w:eastAsia="en-AU"/>
        </w:rPr>
      </w:pPr>
      <w:r w:rsidRPr="00D11572">
        <w:rPr>
          <w:rFonts w:eastAsia="Times New Roman"/>
          <w:iCs/>
          <w:lang w:eastAsia="en-AU"/>
        </w:rPr>
        <w:t xml:space="preserve">Prepared in accordance with Part 3 of the </w:t>
      </w:r>
      <w:r w:rsidRPr="00D11572">
        <w:rPr>
          <w:rFonts w:eastAsia="Times New Roman"/>
          <w:i/>
          <w:iCs/>
          <w:lang w:eastAsia="en-AU"/>
        </w:rPr>
        <w:t>Human Rights (Parliamentary Scrutiny) Act 2011</w:t>
      </w:r>
    </w:p>
    <w:p w14:paraId="4831AB73" w14:textId="0832807D" w:rsidR="001E51F5" w:rsidRDefault="001E51F5" w:rsidP="00096012">
      <w:pPr>
        <w:spacing w:after="0" w:line="240" w:lineRule="auto"/>
        <w:jc w:val="center"/>
        <w:rPr>
          <w:rFonts w:eastAsia="Times New Roman"/>
          <w:lang w:val="en-US" w:eastAsia="en-AU"/>
        </w:rPr>
      </w:pPr>
    </w:p>
    <w:p w14:paraId="5957BB20" w14:textId="75C6ECCB" w:rsidR="001E51F5" w:rsidRPr="00D11572" w:rsidRDefault="00D42E3C" w:rsidP="00096012">
      <w:pPr>
        <w:spacing w:after="0" w:line="240" w:lineRule="auto"/>
        <w:jc w:val="center"/>
        <w:rPr>
          <w:rFonts w:eastAsia="Times New Roman"/>
          <w:lang w:eastAsia="en-AU"/>
        </w:rPr>
      </w:pPr>
      <w:r w:rsidRPr="00D11572">
        <w:rPr>
          <w:rFonts w:eastAsia="Times New Roman"/>
          <w:b/>
          <w:bCs/>
          <w:i/>
          <w:lang w:eastAsia="en-AU"/>
        </w:rPr>
        <w:t xml:space="preserve">Therapeutic Goods (Medical Devices—Information that Must Accompany Application for Inclusion) Amendment Determination </w:t>
      </w:r>
      <w:r w:rsidR="006F3AD6">
        <w:rPr>
          <w:rFonts w:eastAsia="Times New Roman"/>
          <w:b/>
          <w:bCs/>
          <w:i/>
          <w:lang w:eastAsia="en-AU"/>
        </w:rPr>
        <w:t xml:space="preserve">(No. 2) </w:t>
      </w:r>
      <w:r w:rsidRPr="00D11572">
        <w:rPr>
          <w:rFonts w:eastAsia="Times New Roman"/>
          <w:b/>
          <w:bCs/>
          <w:i/>
          <w:lang w:eastAsia="en-AU"/>
        </w:rPr>
        <w:t>202</w:t>
      </w:r>
      <w:r w:rsidR="0033062F">
        <w:rPr>
          <w:rFonts w:eastAsia="Times New Roman"/>
          <w:b/>
          <w:bCs/>
          <w:i/>
          <w:lang w:eastAsia="en-AU"/>
        </w:rPr>
        <w:t>4</w:t>
      </w:r>
    </w:p>
    <w:p w14:paraId="0A16E374" w14:textId="0A5A2E01" w:rsidR="00D42E3C" w:rsidRDefault="00D42E3C" w:rsidP="00096012">
      <w:pPr>
        <w:spacing w:after="0" w:line="240" w:lineRule="auto"/>
        <w:rPr>
          <w:rFonts w:eastAsia="Times New Roman"/>
          <w:lang w:eastAsia="en-AU"/>
        </w:rPr>
      </w:pPr>
    </w:p>
    <w:p w14:paraId="15B29345" w14:textId="506692B4" w:rsidR="001E51F5" w:rsidRPr="00D11572" w:rsidRDefault="001E51F5" w:rsidP="00096012">
      <w:pPr>
        <w:spacing w:after="0" w:line="240" w:lineRule="auto"/>
        <w:rPr>
          <w:rFonts w:eastAsia="Times New Roman"/>
          <w:lang w:eastAsia="en-AU"/>
        </w:rPr>
      </w:pPr>
      <w:r w:rsidRPr="00D11572">
        <w:rPr>
          <w:rFonts w:eastAsia="Times New Roman"/>
          <w:lang w:eastAsia="en-AU"/>
        </w:rPr>
        <w:t xml:space="preserve">This disallowable legislative instrument is compatible with the human rights and freedoms recognised or declared in the international instruments listed in section 3 of the </w:t>
      </w:r>
      <w:r w:rsidRPr="00D11572">
        <w:rPr>
          <w:rFonts w:eastAsia="Times New Roman"/>
          <w:i/>
          <w:lang w:eastAsia="en-AU"/>
        </w:rPr>
        <w:t>Human Rights (Parliamentary Scrutiny) Act 2011</w:t>
      </w:r>
      <w:r w:rsidRPr="00D11572">
        <w:rPr>
          <w:rFonts w:eastAsia="Times New Roman"/>
          <w:lang w:eastAsia="en-AU"/>
        </w:rPr>
        <w:t>.</w:t>
      </w:r>
    </w:p>
    <w:p w14:paraId="7EC86CF8" w14:textId="77777777" w:rsidR="001E51F5" w:rsidRPr="00D11572" w:rsidRDefault="001E51F5" w:rsidP="00096012">
      <w:pPr>
        <w:spacing w:after="0" w:line="240" w:lineRule="auto"/>
        <w:rPr>
          <w:rFonts w:eastAsia="Times New Roman"/>
          <w:lang w:eastAsia="en-AU"/>
        </w:rPr>
      </w:pPr>
    </w:p>
    <w:p w14:paraId="6A095B0E" w14:textId="77777777" w:rsidR="001E51F5" w:rsidRPr="00D11572" w:rsidRDefault="001E51F5" w:rsidP="00096012">
      <w:pPr>
        <w:spacing w:after="0" w:line="240" w:lineRule="auto"/>
        <w:rPr>
          <w:rFonts w:eastAsia="Times New Roman"/>
          <w:b/>
          <w:lang w:eastAsia="en-AU"/>
        </w:rPr>
      </w:pPr>
      <w:r w:rsidRPr="00D11572">
        <w:rPr>
          <w:rFonts w:eastAsia="Times New Roman"/>
          <w:b/>
          <w:lang w:eastAsia="en-AU"/>
        </w:rPr>
        <w:t>Overview of legislative instrument</w:t>
      </w:r>
    </w:p>
    <w:p w14:paraId="6D54C0B3" w14:textId="77777777" w:rsidR="004918D4" w:rsidRDefault="004918D4" w:rsidP="004918D4">
      <w:pPr>
        <w:autoSpaceDE w:val="0"/>
        <w:autoSpaceDN w:val="0"/>
        <w:adjustRightInd w:val="0"/>
        <w:spacing w:after="0" w:line="240" w:lineRule="auto"/>
        <w:rPr>
          <w:rFonts w:eastAsia="Times New Roman"/>
          <w:lang w:eastAsia="en-AU"/>
        </w:rPr>
      </w:pPr>
    </w:p>
    <w:p w14:paraId="2ADADF90" w14:textId="26DC5279" w:rsidR="004918D4" w:rsidRDefault="004918D4" w:rsidP="004918D4">
      <w:pPr>
        <w:autoSpaceDE w:val="0"/>
        <w:autoSpaceDN w:val="0"/>
        <w:adjustRightInd w:val="0"/>
        <w:spacing w:after="0" w:line="240" w:lineRule="auto"/>
        <w:rPr>
          <w:rFonts w:eastAsia="Times New Roman"/>
          <w:lang w:eastAsia="en-AU"/>
        </w:rPr>
      </w:pPr>
      <w:r w:rsidRPr="00D11572">
        <w:rPr>
          <w:rFonts w:eastAsia="Times New Roman"/>
          <w:lang w:eastAsia="en-AU"/>
        </w:rPr>
        <w:t xml:space="preserve">Section 41FDB of the </w:t>
      </w:r>
      <w:r>
        <w:rPr>
          <w:rFonts w:eastAsia="Times New Roman"/>
          <w:i/>
          <w:iCs/>
          <w:lang w:eastAsia="en-AU"/>
        </w:rPr>
        <w:t xml:space="preserve">Therapeutic Goods Act 1989 </w:t>
      </w:r>
      <w:r>
        <w:rPr>
          <w:rFonts w:eastAsia="Times New Roman"/>
          <w:lang w:eastAsia="en-AU"/>
        </w:rPr>
        <w:t xml:space="preserve">(“the </w:t>
      </w:r>
      <w:r w:rsidRPr="00D11572">
        <w:rPr>
          <w:rFonts w:eastAsia="Times New Roman"/>
          <w:lang w:eastAsia="en-AU"/>
        </w:rPr>
        <w:t>Act</w:t>
      </w:r>
      <w:r>
        <w:rPr>
          <w:rFonts w:eastAsia="Times New Roman"/>
          <w:lang w:eastAsia="en-AU"/>
        </w:rPr>
        <w:t>”)</w:t>
      </w:r>
      <w:r w:rsidRPr="00D11572">
        <w:rPr>
          <w:rFonts w:eastAsia="Times New Roman"/>
          <w:lang w:eastAsia="en-AU"/>
        </w:rPr>
        <w:t xml:space="preserve"> sets out preliminary assessment requirements in relation to an application to the Secretary for a kind of medical device to be included in the Australian Register of Therapeutic Goods (“the Register”).</w:t>
      </w:r>
      <w:r>
        <w:rPr>
          <w:rFonts w:eastAsia="Times New Roman"/>
          <w:lang w:eastAsia="en-AU"/>
        </w:rPr>
        <w:t xml:space="preserve"> Relevantly, paragraph 41FDB(2)(d) provides that such an application must be accompanied by information that is of a kind determined under subsection (7) and is in a form determined under subsection (8).</w:t>
      </w:r>
    </w:p>
    <w:p w14:paraId="29BF6EC1" w14:textId="77777777" w:rsidR="004918D4" w:rsidRPr="00D11572" w:rsidRDefault="004918D4" w:rsidP="004918D4">
      <w:pPr>
        <w:autoSpaceDE w:val="0"/>
        <w:autoSpaceDN w:val="0"/>
        <w:adjustRightInd w:val="0"/>
        <w:spacing w:after="0" w:line="240" w:lineRule="auto"/>
        <w:rPr>
          <w:rFonts w:eastAsia="Times New Roman"/>
          <w:lang w:eastAsia="en-AU"/>
        </w:rPr>
      </w:pPr>
    </w:p>
    <w:p w14:paraId="3008BAFB" w14:textId="77777777" w:rsidR="004918D4" w:rsidRDefault="004918D4" w:rsidP="004918D4">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iCs/>
          <w:lang w:eastAsia="en-AU"/>
        </w:rPr>
        <w:t>Therapeutic Goods (Medical Devices—Information that Must Accompany Application for Inclusion) Determination 2018</w:t>
      </w:r>
      <w:r w:rsidRPr="00D11572">
        <w:rPr>
          <w:rFonts w:eastAsia="Times New Roman"/>
          <w:lang w:eastAsia="en-AU"/>
        </w:rPr>
        <w:t xml:space="preserve"> (“the Principal Determination”) is </w:t>
      </w:r>
      <w:r>
        <w:rPr>
          <w:rFonts w:eastAsia="Times New Roman"/>
          <w:lang w:eastAsia="en-AU"/>
        </w:rPr>
        <w:t xml:space="preserve">a legislative instrument </w:t>
      </w:r>
      <w:r w:rsidRPr="00D11572">
        <w:rPr>
          <w:rFonts w:eastAsia="Times New Roman"/>
          <w:lang w:eastAsia="en-AU"/>
        </w:rPr>
        <w:t xml:space="preserve">made under subsections 41FDB(7) and (8) of the Act. </w:t>
      </w:r>
      <w:r>
        <w:rPr>
          <w:rFonts w:eastAsia="Times New Roman"/>
          <w:lang w:eastAsia="en-AU"/>
        </w:rPr>
        <w:t>It</w:t>
      </w:r>
      <w:r w:rsidRPr="00D11572">
        <w:rPr>
          <w:rFonts w:eastAsia="Times New Roman"/>
          <w:lang w:eastAsia="en-AU"/>
        </w:rPr>
        <w:t xml:space="preserve"> determines the kind </w:t>
      </w:r>
      <w:r>
        <w:rPr>
          <w:rFonts w:eastAsia="Times New Roman"/>
          <w:lang w:eastAsia="en-AU"/>
        </w:rPr>
        <w:t xml:space="preserve">of information, </w:t>
      </w:r>
      <w:r w:rsidRPr="00D11572">
        <w:rPr>
          <w:rFonts w:eastAsia="Times New Roman"/>
          <w:lang w:eastAsia="en-AU"/>
        </w:rPr>
        <w:t>and</w:t>
      </w:r>
      <w:r>
        <w:rPr>
          <w:rFonts w:eastAsia="Times New Roman"/>
          <w:lang w:eastAsia="en-AU"/>
        </w:rPr>
        <w:t xml:space="preserve"> the</w:t>
      </w:r>
      <w:r w:rsidRPr="00D11572">
        <w:rPr>
          <w:rFonts w:eastAsia="Times New Roman"/>
          <w:lang w:eastAsia="en-AU"/>
        </w:rPr>
        <w:t xml:space="preserve"> form of information</w:t>
      </w:r>
      <w:r>
        <w:rPr>
          <w:rFonts w:eastAsia="Times New Roman"/>
          <w:lang w:eastAsia="en-AU"/>
        </w:rPr>
        <w:t>,</w:t>
      </w:r>
      <w:r w:rsidRPr="00D11572">
        <w:rPr>
          <w:rFonts w:eastAsia="Times New Roman"/>
          <w:lang w:eastAsia="en-AU"/>
        </w:rPr>
        <w:t xml:space="preserve"> that must accompany an application for </w:t>
      </w:r>
      <w:r>
        <w:rPr>
          <w:rFonts w:eastAsia="Times New Roman"/>
          <w:lang w:eastAsia="en-AU"/>
        </w:rPr>
        <w:t>a</w:t>
      </w:r>
      <w:r w:rsidRPr="00D11572">
        <w:rPr>
          <w:rFonts w:eastAsia="Times New Roman"/>
          <w:lang w:eastAsia="en-AU"/>
        </w:rPr>
        <w:t xml:space="preserve"> </w:t>
      </w:r>
      <w:r>
        <w:rPr>
          <w:rFonts w:eastAsia="Times New Roman"/>
          <w:lang w:eastAsia="en-AU"/>
        </w:rPr>
        <w:t xml:space="preserve">kind of </w:t>
      </w:r>
      <w:r w:rsidRPr="00D11572">
        <w:rPr>
          <w:rFonts w:eastAsia="Times New Roman"/>
          <w:lang w:eastAsia="en-AU"/>
        </w:rPr>
        <w:t>medical device to be included in the Register</w:t>
      </w:r>
      <w:r>
        <w:rPr>
          <w:rFonts w:eastAsia="Times New Roman"/>
          <w:lang w:eastAsia="en-AU"/>
        </w:rPr>
        <w:t xml:space="preserve"> (“application for inclusion”)</w:t>
      </w:r>
      <w:r w:rsidRPr="00D11572">
        <w:rPr>
          <w:rFonts w:eastAsia="Times New Roman"/>
          <w:lang w:eastAsia="en-AU"/>
        </w:rPr>
        <w:t>.</w:t>
      </w:r>
    </w:p>
    <w:p w14:paraId="59F9F2FE" w14:textId="77777777" w:rsidR="004918D4" w:rsidRDefault="004918D4" w:rsidP="004918D4">
      <w:pPr>
        <w:autoSpaceDE w:val="0"/>
        <w:autoSpaceDN w:val="0"/>
        <w:adjustRightInd w:val="0"/>
        <w:spacing w:after="0" w:line="240" w:lineRule="auto"/>
        <w:rPr>
          <w:rFonts w:eastAsia="Times New Roman"/>
          <w:lang w:eastAsia="en-AU"/>
        </w:rPr>
      </w:pPr>
    </w:p>
    <w:p w14:paraId="64EBE2DF" w14:textId="77777777" w:rsidR="004918D4" w:rsidRDefault="004918D4" w:rsidP="004918D4">
      <w:pPr>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lang w:eastAsia="en-AU"/>
        </w:rPr>
        <w:t xml:space="preserve">Therapeutic Goods (Medical Devices—Information that Must Accompany Application for Inclusion) Amendment </w:t>
      </w:r>
      <w:r w:rsidRPr="00D11572">
        <w:rPr>
          <w:rFonts w:eastAsia="Times New Roman"/>
          <w:bCs/>
          <w:i/>
          <w:lang w:eastAsia="en-AU"/>
        </w:rPr>
        <w:t>Determination</w:t>
      </w:r>
      <w:r>
        <w:rPr>
          <w:rFonts w:eastAsia="Times New Roman"/>
          <w:bCs/>
          <w:i/>
          <w:lang w:eastAsia="en-AU"/>
        </w:rPr>
        <w:t xml:space="preserve"> (No. 2)</w:t>
      </w:r>
      <w:r w:rsidRPr="0027534D">
        <w:rPr>
          <w:rFonts w:eastAsia="Times New Roman"/>
          <w:i/>
          <w:lang w:eastAsia="en-AU"/>
        </w:rPr>
        <w:t xml:space="preserve"> </w:t>
      </w:r>
      <w:r w:rsidRPr="00D11572">
        <w:rPr>
          <w:rFonts w:eastAsia="Times New Roman"/>
          <w:i/>
          <w:lang w:eastAsia="en-AU"/>
        </w:rPr>
        <w:t xml:space="preserve">2024 </w:t>
      </w:r>
      <w:r w:rsidRPr="00D11572">
        <w:rPr>
          <w:rFonts w:eastAsia="Times New Roman"/>
          <w:lang w:eastAsia="en-AU"/>
        </w:rPr>
        <w:t>(“the Amendment Determination”) is made under subsection 41FDB(7) of the Act</w:t>
      </w:r>
      <w:r>
        <w:rPr>
          <w:rFonts w:eastAsia="Times New Roman"/>
          <w:lang w:eastAsia="en-AU"/>
        </w:rPr>
        <w:t>. It makes a small number of amendments to the Principal Determination, which are broadly intended to:</w:t>
      </w:r>
    </w:p>
    <w:p w14:paraId="486B74BB" w14:textId="77777777" w:rsidR="004918D4" w:rsidRDefault="004918D4" w:rsidP="004918D4">
      <w:pPr>
        <w:pStyle w:val="ListParagraph"/>
        <w:numPr>
          <w:ilvl w:val="0"/>
          <w:numId w:val="41"/>
        </w:numPr>
        <w:spacing w:before="20" w:after="0" w:line="240" w:lineRule="auto"/>
        <w:ind w:left="714" w:hanging="357"/>
        <w:contextualSpacing w:val="0"/>
        <w:rPr>
          <w:rFonts w:eastAsia="Times New Roman"/>
          <w:lang w:eastAsia="en-AU"/>
        </w:rPr>
      </w:pPr>
      <w:r>
        <w:rPr>
          <w:rFonts w:eastAsia="Times New Roman"/>
          <w:lang w:eastAsia="en-AU"/>
        </w:rPr>
        <w:t xml:space="preserve">update the kind of information that must accompany an application for inclusion of a Class IIa or Class III medical device, if the applicant seeks to rely on conformity assessment documents that are issued by the </w:t>
      </w:r>
      <w:r w:rsidRPr="00DA3EC9">
        <w:rPr>
          <w:rFonts w:eastAsia="Times New Roman"/>
          <w:lang w:eastAsia="en-AU"/>
        </w:rPr>
        <w:t>United States Food and Drug Administration (“the US FDA</w:t>
      </w:r>
      <w:r>
        <w:rPr>
          <w:rFonts w:eastAsia="Times New Roman"/>
          <w:lang w:eastAsia="en-AU"/>
        </w:rPr>
        <w:t>”)</w:t>
      </w:r>
      <w:r w:rsidRPr="00DA3EC9">
        <w:rPr>
          <w:rFonts w:eastAsia="Times New Roman"/>
          <w:lang w:eastAsia="en-AU"/>
        </w:rPr>
        <w:t>; and</w:t>
      </w:r>
    </w:p>
    <w:p w14:paraId="5D69FD1A" w14:textId="77777777" w:rsidR="004918D4" w:rsidRPr="00E44E33" w:rsidRDefault="004918D4" w:rsidP="004918D4">
      <w:pPr>
        <w:pStyle w:val="ListParagraph"/>
        <w:numPr>
          <w:ilvl w:val="0"/>
          <w:numId w:val="41"/>
        </w:numPr>
        <w:spacing w:before="20" w:after="0" w:line="240" w:lineRule="auto"/>
        <w:ind w:left="714" w:hanging="357"/>
        <w:contextualSpacing w:val="0"/>
        <w:rPr>
          <w:rFonts w:eastAsia="Times New Roman"/>
          <w:lang w:eastAsia="en-AU"/>
        </w:rPr>
      </w:pPr>
      <w:r>
        <w:rPr>
          <w:rFonts w:eastAsia="Times New Roman"/>
          <w:lang w:eastAsia="en-AU"/>
        </w:rPr>
        <w:t>make two minor corrections to the Principal Determination.</w:t>
      </w:r>
    </w:p>
    <w:p w14:paraId="7D762480" w14:textId="77777777" w:rsidR="00B952F9" w:rsidRDefault="00B952F9" w:rsidP="00096012">
      <w:pPr>
        <w:autoSpaceDE w:val="0"/>
        <w:autoSpaceDN w:val="0"/>
        <w:adjustRightInd w:val="0"/>
        <w:spacing w:after="0" w:line="240" w:lineRule="auto"/>
        <w:rPr>
          <w:rFonts w:eastAsia="Times New Roman"/>
          <w:lang w:eastAsia="en-AU"/>
        </w:rPr>
      </w:pPr>
    </w:p>
    <w:p w14:paraId="4AA5627D" w14:textId="77777777" w:rsidR="004918D4" w:rsidRPr="00A30D8E" w:rsidRDefault="004918D4" w:rsidP="004918D4">
      <w:pPr>
        <w:autoSpaceDE w:val="0"/>
        <w:autoSpaceDN w:val="0"/>
        <w:adjustRightInd w:val="0"/>
        <w:spacing w:after="0" w:line="240" w:lineRule="auto"/>
        <w:rPr>
          <w:rFonts w:eastAsia="Times New Roman"/>
          <w:b/>
          <w:bCs/>
          <w:lang w:eastAsia="en-AU"/>
        </w:rPr>
      </w:pPr>
      <w:r>
        <w:rPr>
          <w:rFonts w:eastAsia="Times New Roman"/>
          <w:b/>
          <w:bCs/>
          <w:lang w:eastAsia="en-AU"/>
        </w:rPr>
        <w:t>Background</w:t>
      </w:r>
    </w:p>
    <w:p w14:paraId="45C03D09" w14:textId="77777777" w:rsidR="004918D4" w:rsidRDefault="004918D4" w:rsidP="004918D4">
      <w:pPr>
        <w:autoSpaceDE w:val="0"/>
        <w:autoSpaceDN w:val="0"/>
        <w:adjustRightInd w:val="0"/>
        <w:spacing w:after="0" w:line="240" w:lineRule="auto"/>
        <w:rPr>
          <w:rFonts w:eastAsia="Times New Roman"/>
          <w:lang w:eastAsia="en-AU"/>
        </w:rPr>
      </w:pPr>
    </w:p>
    <w:p w14:paraId="7AF2641F"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The Principal Determination requires an application for inclusion of a kind of medical device in the Register to be accompanied by conformity assessment documents which demonstrate that the manufacturer has applied appropriate conformity assessment procedures to its quality management system and to the particular kind of medical device. If an application for inclusion is not accompanied by the kind of information prescribed in the Principal Determination, the application will not pass preliminary assessment, and the Secretary must refuse the application (subsection 41FDB of the Act refers).</w:t>
      </w:r>
    </w:p>
    <w:p w14:paraId="3FF80202" w14:textId="77777777" w:rsidR="004918D4" w:rsidRDefault="004918D4" w:rsidP="004918D4">
      <w:pPr>
        <w:autoSpaceDE w:val="0"/>
        <w:autoSpaceDN w:val="0"/>
        <w:adjustRightInd w:val="0"/>
        <w:spacing w:after="0" w:line="240" w:lineRule="auto"/>
        <w:rPr>
          <w:rFonts w:eastAsia="Times New Roman"/>
          <w:lang w:eastAsia="en-AU"/>
        </w:rPr>
      </w:pPr>
    </w:p>
    <w:p w14:paraId="2871CD3C"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Section 5 of the Principal Determination prescribes the kind of information that must accompany an application for inclusion of a medical device that is not an in-vitro diagnostic (IVD) medical device. Relevantly:</w:t>
      </w:r>
    </w:p>
    <w:p w14:paraId="30DB4DB7" w14:textId="77777777" w:rsidR="004918D4" w:rsidRDefault="004918D4" w:rsidP="004918D4">
      <w:pPr>
        <w:pStyle w:val="ListParagraph"/>
        <w:numPr>
          <w:ilvl w:val="0"/>
          <w:numId w:val="33"/>
        </w:numPr>
        <w:autoSpaceDE w:val="0"/>
        <w:autoSpaceDN w:val="0"/>
        <w:adjustRightInd w:val="0"/>
        <w:spacing w:before="20" w:after="0" w:line="240" w:lineRule="auto"/>
        <w:ind w:left="714" w:hanging="357"/>
        <w:contextualSpacing w:val="0"/>
        <w:rPr>
          <w:rFonts w:eastAsia="Times New Roman"/>
          <w:lang w:eastAsia="en-AU"/>
        </w:rPr>
      </w:pPr>
      <w:r>
        <w:rPr>
          <w:rFonts w:eastAsia="Times New Roman"/>
          <w:lang w:eastAsia="en-AU"/>
        </w:rPr>
        <w:lastRenderedPageBreak/>
        <w:t>subsection 5(3) prescribes the kind of information that must accompany an application for inclusion of a Class IIa medical device—being the conformity assessment documents that are specified by an item in the table in Part 2 of Schedule 1 to the Principal Determination; and</w:t>
      </w:r>
    </w:p>
    <w:p w14:paraId="684133EE" w14:textId="77777777" w:rsidR="004918D4" w:rsidRPr="00235E58" w:rsidRDefault="004918D4" w:rsidP="004918D4">
      <w:pPr>
        <w:pStyle w:val="ListParagraph"/>
        <w:numPr>
          <w:ilvl w:val="0"/>
          <w:numId w:val="33"/>
        </w:numPr>
        <w:autoSpaceDE w:val="0"/>
        <w:autoSpaceDN w:val="0"/>
        <w:adjustRightInd w:val="0"/>
        <w:spacing w:before="20" w:after="0" w:line="240" w:lineRule="auto"/>
        <w:ind w:left="714" w:hanging="357"/>
        <w:contextualSpacing w:val="0"/>
        <w:rPr>
          <w:rFonts w:eastAsia="Times New Roman"/>
          <w:lang w:eastAsia="en-AU"/>
        </w:rPr>
      </w:pPr>
      <w:r>
        <w:rPr>
          <w:rFonts w:eastAsia="Times New Roman"/>
          <w:lang w:eastAsia="en-AU"/>
        </w:rPr>
        <w:t>subsection 5(7) prescribes the kind of information that must accompany an application for inclusion of a Class III medical device—being the conformity assessment documents that are specified by an item in the table in Part 4 of Schedule 1 to the Principal Determination.</w:t>
      </w:r>
    </w:p>
    <w:p w14:paraId="2872121F" w14:textId="77777777" w:rsidR="004918D4" w:rsidRDefault="004918D4" w:rsidP="004918D4">
      <w:pPr>
        <w:autoSpaceDE w:val="0"/>
        <w:autoSpaceDN w:val="0"/>
        <w:adjustRightInd w:val="0"/>
        <w:spacing w:after="0" w:line="240" w:lineRule="auto"/>
        <w:rPr>
          <w:rFonts w:eastAsia="Times New Roman"/>
          <w:lang w:eastAsia="en-AU"/>
        </w:rPr>
      </w:pPr>
    </w:p>
    <w:p w14:paraId="3B2DEEE0"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The tables in Schedules 1 and 2 set out the information that must accompany an application for inclusion. For each of the tables in Schedules 1 and 2 to the Principal Determination, each item sets out conformity assessment documents, relating to the manufacturer’s quality management system and to product assessment (if any), issued by a particular regulatory body that an applicant may seek to rely on to support their application. A number of these pathways specify conformity assessment documents that are issued by comparable overseas regulators, such as the US FDA. This reflects that for certain kinds of devices, the TGA will consider evidence from a comparable overseas regulator in support of an application for inclusion. This reduces regulatory burden for applicants who can rely on overseas conformity assessment documents in support of their application, and do not need to apply for Australian conformity assessment documents.</w:t>
      </w:r>
    </w:p>
    <w:p w14:paraId="6C31E961" w14:textId="77777777" w:rsidR="004918D4" w:rsidRDefault="004918D4" w:rsidP="004918D4">
      <w:pPr>
        <w:autoSpaceDE w:val="0"/>
        <w:autoSpaceDN w:val="0"/>
        <w:adjustRightInd w:val="0"/>
        <w:spacing w:after="0" w:line="240" w:lineRule="auto"/>
        <w:rPr>
          <w:rFonts w:eastAsia="Times New Roman"/>
          <w:lang w:eastAsia="en-AU"/>
        </w:rPr>
      </w:pPr>
    </w:p>
    <w:p w14:paraId="51D31E8E" w14:textId="77777777" w:rsidR="004918D4" w:rsidRPr="00235E58" w:rsidRDefault="004918D4" w:rsidP="004918D4">
      <w:pPr>
        <w:autoSpaceDE w:val="0"/>
        <w:autoSpaceDN w:val="0"/>
        <w:adjustRightInd w:val="0"/>
        <w:spacing w:after="0" w:line="240" w:lineRule="auto"/>
        <w:rPr>
          <w:rFonts w:eastAsia="Times New Roman"/>
          <w:b/>
          <w:bCs/>
          <w:lang w:eastAsia="en-AU"/>
        </w:rPr>
      </w:pPr>
      <w:r>
        <w:rPr>
          <w:rFonts w:eastAsia="Times New Roman"/>
          <w:b/>
          <w:bCs/>
          <w:lang w:eastAsia="en-AU"/>
        </w:rPr>
        <w:t>Purpose</w:t>
      </w:r>
    </w:p>
    <w:p w14:paraId="2B481237" w14:textId="77777777" w:rsidR="004918D4" w:rsidRDefault="004918D4" w:rsidP="004918D4">
      <w:pPr>
        <w:autoSpaceDE w:val="0"/>
        <w:autoSpaceDN w:val="0"/>
        <w:adjustRightInd w:val="0"/>
        <w:spacing w:after="0" w:line="240" w:lineRule="auto"/>
        <w:rPr>
          <w:rFonts w:eastAsia="Times New Roman"/>
          <w:lang w:eastAsia="en-AU"/>
        </w:rPr>
      </w:pPr>
    </w:p>
    <w:p w14:paraId="06EF9FA6" w14:textId="035CD74B"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 xml:space="preserve">The principal purpose of the Amendment Determination is to reduce regulatory burden for persons applying for inclusion in the Register of a Class IIa medical device that the US FDA has exempted from the requirements in section 510(k) of the </w:t>
      </w:r>
      <w:r>
        <w:rPr>
          <w:rFonts w:eastAsia="Times New Roman"/>
          <w:i/>
          <w:iCs/>
          <w:lang w:eastAsia="en-AU"/>
        </w:rPr>
        <w:t>Federal Food, Drug and Cosmetic Act</w:t>
      </w:r>
      <w:r>
        <w:rPr>
          <w:rFonts w:eastAsia="Times New Roman"/>
          <w:lang w:eastAsia="en-AU"/>
        </w:rPr>
        <w:t xml:space="preserve"> of the United States (“the US FDC Act”). The Amendment Determination amends Part 2 of Schedule 1 to the Principal Determination to make it clear that an application for inclusion of such a device in the Register only needs to be accompanied by a Medical Device Single Audit Program (“MDSAP”) certificate issued by a recognised auditing organisation. This reflects that, in such cases, conformity assessment documents issued by the</w:t>
      </w:r>
      <w:r w:rsidR="000D6F40">
        <w:rPr>
          <w:rFonts w:eastAsia="Times New Roman"/>
          <w:lang w:eastAsia="en-AU"/>
        </w:rPr>
        <w:t xml:space="preserve"> US</w:t>
      </w:r>
      <w:r>
        <w:rPr>
          <w:rFonts w:eastAsia="Times New Roman"/>
          <w:lang w:eastAsia="en-AU"/>
        </w:rPr>
        <w:t xml:space="preserve"> FDA relating to product assessment are not available to the applicant. </w:t>
      </w:r>
    </w:p>
    <w:p w14:paraId="31CC6AB6" w14:textId="77777777" w:rsidR="004918D4" w:rsidRDefault="004918D4" w:rsidP="004918D4">
      <w:pPr>
        <w:autoSpaceDE w:val="0"/>
        <w:autoSpaceDN w:val="0"/>
        <w:adjustRightInd w:val="0"/>
        <w:spacing w:after="0" w:line="240" w:lineRule="auto"/>
        <w:rPr>
          <w:rFonts w:eastAsia="Times New Roman"/>
          <w:lang w:eastAsia="en-AU"/>
        </w:rPr>
      </w:pPr>
    </w:p>
    <w:p w14:paraId="0A26A5EE"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 xml:space="preserve">Applications for inclusion of medical devices that are not exempt from the requirements in section 510(k) of the US FDC Act are still required to be supported by either </w:t>
      </w:r>
      <w:r w:rsidRPr="00404989">
        <w:t>a determination of substantial equivalence made with respect to a notification submitted under section 510(k) of the US FDC Act</w:t>
      </w:r>
      <w:r>
        <w:t xml:space="preserve"> or </w:t>
      </w:r>
      <w:r w:rsidRPr="00404989">
        <w:t>an order granting a request for classification under section 513 of the US FDC Act (a De Novo classification request)</w:t>
      </w:r>
      <w:r>
        <w:t>.</w:t>
      </w:r>
    </w:p>
    <w:p w14:paraId="07B85ED3" w14:textId="77777777" w:rsidR="004918D4" w:rsidRDefault="004918D4" w:rsidP="004918D4">
      <w:pPr>
        <w:autoSpaceDE w:val="0"/>
        <w:autoSpaceDN w:val="0"/>
        <w:adjustRightInd w:val="0"/>
        <w:spacing w:after="0" w:line="240" w:lineRule="auto"/>
        <w:rPr>
          <w:rFonts w:eastAsia="Times New Roman"/>
          <w:lang w:eastAsia="en-AU"/>
        </w:rPr>
      </w:pPr>
    </w:p>
    <w:p w14:paraId="471A8371"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The Amendment Determination also provides improved flexibility for persons who, when applying for the inclusion in the Register of a Class III medical device, seek to rely on conformity assessment documents issued by the US FDA. It does so by amending Part 4 of Schedule 1 to the Principal Determination to broaden the range of US FDA conformity assessment documents relating to product assessment that an applicant may rely on to support their application for inclusion. The effect of this amendment is that, where an applicant seeks to rely on a MDSAP certificate issued by a recognised auditing organisation to demonstrate that the appropriate conformity assessment procedures have been applied to the manufacturer’s quality management system, the applicant must also submit either of the following:</w:t>
      </w:r>
    </w:p>
    <w:p w14:paraId="5F316821" w14:textId="77777777" w:rsidR="004918D4" w:rsidRDefault="004918D4" w:rsidP="004918D4">
      <w:pPr>
        <w:pStyle w:val="ListParagraph"/>
        <w:numPr>
          <w:ilvl w:val="0"/>
          <w:numId w:val="44"/>
        </w:numPr>
        <w:autoSpaceDE w:val="0"/>
        <w:autoSpaceDN w:val="0"/>
        <w:adjustRightInd w:val="0"/>
        <w:spacing w:before="20" w:after="0" w:line="240" w:lineRule="auto"/>
        <w:ind w:left="777" w:hanging="357"/>
        <w:contextualSpacing w:val="0"/>
        <w:rPr>
          <w:rFonts w:eastAsia="Times New Roman"/>
          <w:lang w:eastAsia="en-AU"/>
        </w:rPr>
      </w:pPr>
      <w:r>
        <w:rPr>
          <w:rFonts w:eastAsia="Times New Roman"/>
          <w:lang w:eastAsia="en-AU"/>
        </w:rPr>
        <w:lastRenderedPageBreak/>
        <w:t>an order approving an application for premarket approval under section 515 of the US FDC Act; or</w:t>
      </w:r>
    </w:p>
    <w:p w14:paraId="0574B147" w14:textId="77777777" w:rsidR="004918D4" w:rsidRPr="00433863" w:rsidRDefault="004918D4" w:rsidP="004918D4">
      <w:pPr>
        <w:pStyle w:val="ListParagraph"/>
        <w:numPr>
          <w:ilvl w:val="0"/>
          <w:numId w:val="44"/>
        </w:numPr>
        <w:autoSpaceDE w:val="0"/>
        <w:autoSpaceDN w:val="0"/>
        <w:adjustRightInd w:val="0"/>
        <w:spacing w:before="20" w:after="0" w:line="240" w:lineRule="auto"/>
        <w:ind w:left="777" w:hanging="357"/>
        <w:contextualSpacing w:val="0"/>
        <w:rPr>
          <w:rFonts w:eastAsia="Times New Roman"/>
          <w:lang w:eastAsia="en-AU"/>
        </w:rPr>
      </w:pPr>
      <w:r w:rsidRPr="00433863">
        <w:rPr>
          <w:rFonts w:eastAsia="Times New Roman"/>
          <w:lang w:eastAsia="en-AU"/>
        </w:rPr>
        <w:t>a determination of substantial equivalence made with respect to a notification submitted under section 510(k) of the US FDC Act</w:t>
      </w:r>
      <w:r>
        <w:rPr>
          <w:rFonts w:eastAsia="Times New Roman"/>
          <w:lang w:eastAsia="en-AU"/>
        </w:rPr>
        <w:t>.</w:t>
      </w:r>
    </w:p>
    <w:p w14:paraId="68C1AADC" w14:textId="77777777" w:rsidR="004918D4" w:rsidRDefault="004918D4" w:rsidP="004918D4">
      <w:pPr>
        <w:autoSpaceDE w:val="0"/>
        <w:autoSpaceDN w:val="0"/>
        <w:adjustRightInd w:val="0"/>
        <w:spacing w:after="0" w:line="240" w:lineRule="auto"/>
        <w:rPr>
          <w:rFonts w:eastAsia="Times New Roman"/>
          <w:lang w:eastAsia="en-AU"/>
        </w:rPr>
      </w:pPr>
    </w:p>
    <w:p w14:paraId="68C4B15B"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 xml:space="preserve">That is, instead of submitting an order approving an application for premarket approval under section 515, an applicant could instead provide </w:t>
      </w:r>
      <w:r w:rsidRPr="00E64075">
        <w:t>a determination of substantial equivalence made with respect to a notification submitted under section 510(k)</w:t>
      </w:r>
      <w:r>
        <w:t>.</w:t>
      </w:r>
    </w:p>
    <w:p w14:paraId="5CD4DE6D" w14:textId="77777777" w:rsidR="004918D4" w:rsidRDefault="004918D4" w:rsidP="004918D4">
      <w:pPr>
        <w:autoSpaceDE w:val="0"/>
        <w:autoSpaceDN w:val="0"/>
        <w:adjustRightInd w:val="0"/>
        <w:spacing w:after="0" w:line="240" w:lineRule="auto"/>
        <w:rPr>
          <w:rFonts w:eastAsia="Times New Roman"/>
          <w:lang w:eastAsia="en-AU"/>
        </w:rPr>
      </w:pPr>
    </w:p>
    <w:p w14:paraId="6D65EACA" w14:textId="77777777" w:rsidR="004918D4" w:rsidRDefault="004918D4" w:rsidP="004918D4">
      <w:pPr>
        <w:autoSpaceDE w:val="0"/>
        <w:autoSpaceDN w:val="0"/>
        <w:adjustRightInd w:val="0"/>
        <w:spacing w:after="0" w:line="240" w:lineRule="auto"/>
        <w:rPr>
          <w:rFonts w:eastAsia="Times New Roman"/>
          <w:lang w:eastAsia="en-AU"/>
        </w:rPr>
      </w:pPr>
      <w:r>
        <w:rPr>
          <w:rFonts w:eastAsia="Times New Roman"/>
          <w:lang w:eastAsia="en-AU"/>
        </w:rPr>
        <w:t>Finally, the Amendment Determination makes a small number of amendments to section 5 of the Principal Determination. The purpose of these amendments is to make two minor corrections to the Principal Determination. Specifically, the Amendment Determination inserts the heading “Class III medical devices” before subsection 5(7) of the Principal Determination and omits the reference in paragraph 5(7)(a) to the now-repealed Division 1 of Part 4 of Schedule 1 to the Principal Determination.</w:t>
      </w:r>
    </w:p>
    <w:p w14:paraId="3F3F30A7" w14:textId="77777777" w:rsidR="004918D4" w:rsidRPr="00D11572" w:rsidRDefault="004918D4" w:rsidP="00096012">
      <w:pPr>
        <w:autoSpaceDE w:val="0"/>
        <w:autoSpaceDN w:val="0"/>
        <w:adjustRightInd w:val="0"/>
        <w:spacing w:after="0" w:line="240" w:lineRule="auto"/>
        <w:rPr>
          <w:rFonts w:eastAsia="Times New Roman"/>
          <w:lang w:eastAsia="en-AU"/>
        </w:rPr>
      </w:pPr>
    </w:p>
    <w:p w14:paraId="40A631ED" w14:textId="77777777" w:rsidR="001E51F5" w:rsidRPr="00D11572" w:rsidRDefault="001E51F5" w:rsidP="00096012">
      <w:pPr>
        <w:keepNext/>
        <w:spacing w:after="0" w:line="240" w:lineRule="auto"/>
        <w:rPr>
          <w:rFonts w:eastAsia="Times New Roman"/>
          <w:b/>
          <w:lang w:eastAsia="en-AU"/>
        </w:rPr>
      </w:pPr>
      <w:r w:rsidRPr="00D11572">
        <w:rPr>
          <w:rFonts w:eastAsia="Times New Roman"/>
          <w:b/>
          <w:lang w:eastAsia="en-AU"/>
        </w:rPr>
        <w:t>Human rights implications</w:t>
      </w:r>
    </w:p>
    <w:p w14:paraId="21E17AC4" w14:textId="77777777" w:rsidR="00E47491" w:rsidRDefault="00E47491" w:rsidP="00096012">
      <w:pPr>
        <w:spacing w:after="0" w:line="240" w:lineRule="auto"/>
        <w:rPr>
          <w:rFonts w:eastAsia="Times New Roman"/>
          <w:lang w:eastAsia="en-AU"/>
        </w:rPr>
      </w:pPr>
    </w:p>
    <w:p w14:paraId="6726DBB2" w14:textId="7260BB7C" w:rsidR="004918D4" w:rsidRDefault="006A252B" w:rsidP="00096012">
      <w:pPr>
        <w:spacing w:after="0" w:line="240" w:lineRule="auto"/>
        <w:rPr>
          <w:rFonts w:eastAsia="Times New Roman"/>
          <w:lang w:eastAsia="en-AU"/>
        </w:rPr>
      </w:pPr>
      <w:r>
        <w:rPr>
          <w:rFonts w:eastAsia="Times New Roman"/>
          <w:lang w:eastAsia="en-AU"/>
        </w:rPr>
        <w:t>The Amendment Determination engages the right to health in Article 12 of the International Covenant on Economic, Social and Cultural Rights (“the ICESCR”). Article 12 of the ICESCR promotes the right of all individuals to enjoy the highest attainable standards of physical and mental health.</w:t>
      </w:r>
    </w:p>
    <w:p w14:paraId="5E2EB0EE" w14:textId="77777777" w:rsidR="006A252B" w:rsidRDefault="006A252B" w:rsidP="00096012">
      <w:pPr>
        <w:spacing w:after="0" w:line="240" w:lineRule="auto"/>
        <w:rPr>
          <w:rFonts w:eastAsia="Times New Roman"/>
          <w:lang w:eastAsia="en-AU"/>
        </w:rPr>
      </w:pPr>
    </w:p>
    <w:p w14:paraId="09E5C1F4" w14:textId="6BBB3EE4" w:rsidR="006A252B" w:rsidRPr="00D11572" w:rsidRDefault="006A252B" w:rsidP="006A252B">
      <w:pPr>
        <w:spacing w:after="0" w:line="240" w:lineRule="auto"/>
        <w:rPr>
          <w:rFonts w:eastAsia="Times New Roman"/>
          <w:i/>
          <w:lang w:eastAsia="en-AU"/>
        </w:rPr>
      </w:pPr>
      <w:r w:rsidRPr="00D11572">
        <w:rPr>
          <w:rFonts w:eastAsia="Times New Roman"/>
          <w:lang w:eastAsia="en-AU"/>
        </w:rPr>
        <w:t xml:space="preserve">In </w:t>
      </w:r>
      <w:r w:rsidRPr="00D11572">
        <w:rPr>
          <w:rFonts w:eastAsia="Times New Roman"/>
          <w:i/>
          <w:lang w:eastAsia="en-AU"/>
        </w:rPr>
        <w:t>General Comment No. 14: The Right to the Highest Attainable Standard of Health (Art.</w:t>
      </w:r>
      <w:r>
        <w:rPr>
          <w:rFonts w:eastAsia="Times New Roman"/>
          <w:i/>
          <w:lang w:eastAsia="en-AU"/>
        </w:rPr>
        <w:t> </w:t>
      </w:r>
      <w:r w:rsidRPr="00D11572">
        <w:rPr>
          <w:rFonts w:eastAsia="Times New Roman"/>
          <w:i/>
          <w:lang w:eastAsia="en-AU"/>
        </w:rPr>
        <w:t>12)</w:t>
      </w:r>
      <w:r w:rsidRPr="00D11572">
        <w:rPr>
          <w:rFonts w:eastAsia="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4E4E6251" w14:textId="77777777" w:rsidR="006A252B" w:rsidRPr="00D11572" w:rsidRDefault="006A252B" w:rsidP="006A252B">
      <w:pPr>
        <w:spacing w:after="0" w:line="240" w:lineRule="auto"/>
        <w:rPr>
          <w:rFonts w:eastAsia="Times New Roman"/>
          <w:lang w:eastAsia="en-AU"/>
        </w:rPr>
      </w:pPr>
    </w:p>
    <w:p w14:paraId="301E8B81" w14:textId="57BAB0D7" w:rsidR="006A252B" w:rsidRDefault="006A252B" w:rsidP="006A252B">
      <w:pPr>
        <w:spacing w:after="0" w:line="240" w:lineRule="auto"/>
        <w:rPr>
          <w:rFonts w:eastAsia="Times New Roman"/>
          <w:lang w:eastAsia="en-AU"/>
        </w:rPr>
      </w:pPr>
      <w:r>
        <w:rPr>
          <w:rFonts w:eastAsia="Times New Roman"/>
          <w:lang w:eastAsia="en-AU"/>
        </w:rPr>
        <w:t>The Amendment Determination</w:t>
      </w:r>
      <w:r w:rsidRPr="00D11572">
        <w:rPr>
          <w:rFonts w:eastAsia="Times New Roman"/>
          <w:lang w:eastAsia="en-AU"/>
        </w:rPr>
        <w:t xml:space="preserve"> takes positive steps to promote the right to health by enhancing flexibility in relation to the kinds of documentary evidence that may accompany an application for inclusion of the relevant kinds of medical devices in the Register, to demonstrate the safety and quality of the manufacturing processes used to manufacture such products.</w:t>
      </w:r>
      <w:r>
        <w:rPr>
          <w:rFonts w:eastAsia="Times New Roman"/>
          <w:lang w:eastAsia="en-AU"/>
        </w:rPr>
        <w:t xml:space="preserve"> The effect of the Amendment Determination will be to enable the TGA to process such applications in a more efficient and timely manner, and reduce regulatory burden for medical device sponsors and manufacturers by supporting enhanced international cooperation.</w:t>
      </w:r>
    </w:p>
    <w:p w14:paraId="1EDA91AE" w14:textId="77777777" w:rsidR="006A252B" w:rsidRDefault="006A252B" w:rsidP="006A252B">
      <w:pPr>
        <w:spacing w:after="0" w:line="240" w:lineRule="auto"/>
        <w:rPr>
          <w:rFonts w:eastAsia="Times New Roman"/>
          <w:lang w:eastAsia="en-AU"/>
        </w:rPr>
      </w:pPr>
    </w:p>
    <w:p w14:paraId="6A45B3E0" w14:textId="4213946E" w:rsidR="004918D4" w:rsidRPr="00D11572" w:rsidRDefault="006A252B" w:rsidP="006A252B">
      <w:pPr>
        <w:spacing w:after="0" w:line="240" w:lineRule="auto"/>
        <w:rPr>
          <w:rFonts w:eastAsia="Times New Roman"/>
          <w:lang w:eastAsia="en-AU"/>
        </w:rPr>
      </w:pPr>
      <w:r>
        <w:rPr>
          <w:rFonts w:eastAsia="Times New Roman"/>
          <w:lang w:eastAsia="en-AU"/>
        </w:rPr>
        <w:t>The information will also assist in ensuring the safety and satisfactory performance of these medical devices, as well as their timely availability in Australia. By providing more options for the type of conformity assessment document that may be submitted with an application for inclusion, the amendments will reduce delays in access to medical devices for Australian patients and health practitioners.</w:t>
      </w:r>
    </w:p>
    <w:p w14:paraId="3E66D263" w14:textId="77777777" w:rsidR="006A252B" w:rsidRDefault="006A252B" w:rsidP="00096012">
      <w:pPr>
        <w:keepNext/>
        <w:spacing w:after="0" w:line="240" w:lineRule="auto"/>
        <w:rPr>
          <w:rFonts w:eastAsia="Times New Roman"/>
          <w:b/>
          <w:lang w:eastAsia="en-AU"/>
        </w:rPr>
      </w:pPr>
    </w:p>
    <w:p w14:paraId="622F7D8E" w14:textId="7D97AA22" w:rsidR="001E51F5" w:rsidRPr="00D11572" w:rsidRDefault="001E51F5" w:rsidP="00096012">
      <w:pPr>
        <w:keepNext/>
        <w:spacing w:after="0" w:line="240" w:lineRule="auto"/>
        <w:rPr>
          <w:rFonts w:eastAsia="Times New Roman"/>
          <w:b/>
          <w:lang w:eastAsia="en-AU"/>
        </w:rPr>
      </w:pPr>
      <w:r w:rsidRPr="00D11572">
        <w:rPr>
          <w:rFonts w:eastAsia="Times New Roman"/>
          <w:b/>
          <w:lang w:eastAsia="en-AU"/>
        </w:rPr>
        <w:t>Conclusion</w:t>
      </w:r>
    </w:p>
    <w:p w14:paraId="55800DF0" w14:textId="77777777" w:rsidR="004918D4" w:rsidRDefault="004918D4" w:rsidP="00096012">
      <w:pPr>
        <w:spacing w:after="0" w:line="240" w:lineRule="auto"/>
        <w:rPr>
          <w:rFonts w:eastAsia="Times New Roman"/>
          <w:lang w:eastAsia="en-AU"/>
        </w:rPr>
      </w:pPr>
    </w:p>
    <w:p w14:paraId="71826330" w14:textId="0F128B8B" w:rsidR="0048520F" w:rsidRPr="00D11572" w:rsidRDefault="001E51F5" w:rsidP="00096012">
      <w:pPr>
        <w:spacing w:after="0" w:line="240" w:lineRule="auto"/>
        <w:rPr>
          <w:rFonts w:eastAsia="Times New Roman"/>
          <w:lang w:eastAsia="en-AU"/>
        </w:rPr>
      </w:pPr>
      <w:r w:rsidRPr="00D11572">
        <w:rPr>
          <w:rFonts w:eastAsia="Times New Roman"/>
          <w:lang w:eastAsia="en-AU"/>
        </w:rPr>
        <w:t>This legislative instrument is compatible with human rights because it promotes the right to health in Article 12 of the ICESCR and otherwise does not raise any other human rights issues.</w:t>
      </w:r>
    </w:p>
    <w:sectPr w:rsidR="0048520F" w:rsidRPr="00D11572"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B1C1" w14:textId="77777777" w:rsidR="00DD7CFB" w:rsidRDefault="00DD7CFB">
      <w:pPr>
        <w:spacing w:after="0" w:line="240" w:lineRule="auto"/>
      </w:pPr>
      <w:r>
        <w:separator/>
      </w:r>
    </w:p>
  </w:endnote>
  <w:endnote w:type="continuationSeparator" w:id="0">
    <w:p w14:paraId="60D130A7" w14:textId="77777777" w:rsidR="00DD7CFB" w:rsidRDefault="00DD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24A69885" w14:textId="76B190C6" w:rsidR="002F252C" w:rsidRPr="00BF658A" w:rsidRDefault="002F252C">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627599">
          <w:rPr>
            <w:noProof/>
            <w:sz w:val="22"/>
            <w:szCs w:val="22"/>
          </w:rPr>
          <w:t>10</w:t>
        </w:r>
        <w:r w:rsidRPr="00BF658A">
          <w:rPr>
            <w:noProof/>
            <w:sz w:val="22"/>
            <w:szCs w:val="22"/>
          </w:rPr>
          <w:fldChar w:fldCharType="end"/>
        </w:r>
      </w:p>
    </w:sdtContent>
  </w:sdt>
  <w:p w14:paraId="2635F345" w14:textId="77777777" w:rsidR="002F252C" w:rsidRPr="00877529" w:rsidRDefault="002F252C"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0F17" w14:textId="77777777" w:rsidR="002F252C" w:rsidRDefault="002F252C"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D385" w14:textId="77777777" w:rsidR="00DD7CFB" w:rsidRDefault="00DD7CFB">
      <w:pPr>
        <w:spacing w:after="0" w:line="240" w:lineRule="auto"/>
      </w:pPr>
      <w:r>
        <w:separator/>
      </w:r>
    </w:p>
  </w:footnote>
  <w:footnote w:type="continuationSeparator" w:id="0">
    <w:p w14:paraId="16CC3A28" w14:textId="77777777" w:rsidR="00DD7CFB" w:rsidRDefault="00DD7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DFD6" w14:textId="77777777" w:rsidR="002F252C" w:rsidRDefault="002F252C"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5CA05" w14:textId="77777777" w:rsidR="002F252C" w:rsidRDefault="002F2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D37" w14:textId="77777777" w:rsidR="002F252C" w:rsidRDefault="002F252C"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40B"/>
    <w:multiLevelType w:val="hybridMultilevel"/>
    <w:tmpl w:val="2BA01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11146"/>
    <w:multiLevelType w:val="hybridMultilevel"/>
    <w:tmpl w:val="99C8F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22843"/>
    <w:multiLevelType w:val="hybridMultilevel"/>
    <w:tmpl w:val="B7CCA4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8C63AF8"/>
    <w:multiLevelType w:val="hybridMultilevel"/>
    <w:tmpl w:val="AEB838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313530"/>
    <w:multiLevelType w:val="hybridMultilevel"/>
    <w:tmpl w:val="45A2D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67DD4"/>
    <w:multiLevelType w:val="hybridMultilevel"/>
    <w:tmpl w:val="A732D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A11999"/>
    <w:multiLevelType w:val="hybridMultilevel"/>
    <w:tmpl w:val="6B74A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0260B"/>
    <w:multiLevelType w:val="hybridMultilevel"/>
    <w:tmpl w:val="07326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925C88"/>
    <w:multiLevelType w:val="hybridMultilevel"/>
    <w:tmpl w:val="543265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8684F"/>
    <w:multiLevelType w:val="hybridMultilevel"/>
    <w:tmpl w:val="D7D8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380887"/>
    <w:multiLevelType w:val="hybridMultilevel"/>
    <w:tmpl w:val="A83C8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708F1"/>
    <w:multiLevelType w:val="hybridMultilevel"/>
    <w:tmpl w:val="E48C5F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E6117F"/>
    <w:multiLevelType w:val="hybridMultilevel"/>
    <w:tmpl w:val="E64EF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5C09B7"/>
    <w:multiLevelType w:val="hybridMultilevel"/>
    <w:tmpl w:val="C9CAD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B43F8C"/>
    <w:multiLevelType w:val="hybridMultilevel"/>
    <w:tmpl w:val="1ECCE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54154B"/>
    <w:multiLevelType w:val="hybridMultilevel"/>
    <w:tmpl w:val="4ACCF71C"/>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7" w15:restartNumberingAfterBreak="0">
    <w:nsid w:val="31DA26AD"/>
    <w:multiLevelType w:val="hybridMultilevel"/>
    <w:tmpl w:val="ED60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7D014C"/>
    <w:multiLevelType w:val="hybridMultilevel"/>
    <w:tmpl w:val="DE40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7E1388"/>
    <w:multiLevelType w:val="hybridMultilevel"/>
    <w:tmpl w:val="0A6E836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5B65324"/>
    <w:multiLevelType w:val="hybridMultilevel"/>
    <w:tmpl w:val="8F285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37583B"/>
    <w:multiLevelType w:val="hybridMultilevel"/>
    <w:tmpl w:val="44388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C49EB"/>
    <w:multiLevelType w:val="hybridMultilevel"/>
    <w:tmpl w:val="1F8C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886020"/>
    <w:multiLevelType w:val="hybridMultilevel"/>
    <w:tmpl w:val="086A338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2A745D"/>
    <w:multiLevelType w:val="hybridMultilevel"/>
    <w:tmpl w:val="AE08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1912DE"/>
    <w:multiLevelType w:val="hybridMultilevel"/>
    <w:tmpl w:val="20C20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AA0424"/>
    <w:multiLevelType w:val="hybridMultilevel"/>
    <w:tmpl w:val="0F02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9964FD"/>
    <w:multiLevelType w:val="hybridMultilevel"/>
    <w:tmpl w:val="3938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316261"/>
    <w:multiLevelType w:val="hybridMultilevel"/>
    <w:tmpl w:val="E48C5F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BB0B62"/>
    <w:multiLevelType w:val="hybridMultilevel"/>
    <w:tmpl w:val="A5344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B2254"/>
    <w:multiLevelType w:val="hybridMultilevel"/>
    <w:tmpl w:val="44E09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0A1985"/>
    <w:multiLevelType w:val="hybridMultilevel"/>
    <w:tmpl w:val="AEB83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445F3B"/>
    <w:multiLevelType w:val="hybridMultilevel"/>
    <w:tmpl w:val="347C08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4E0320B"/>
    <w:multiLevelType w:val="multilevel"/>
    <w:tmpl w:val="FD74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D2F0C"/>
    <w:multiLevelType w:val="hybridMultilevel"/>
    <w:tmpl w:val="FC9C7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493BEC"/>
    <w:multiLevelType w:val="hybridMultilevel"/>
    <w:tmpl w:val="2B0C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9A551D"/>
    <w:multiLevelType w:val="hybridMultilevel"/>
    <w:tmpl w:val="E750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251746"/>
    <w:multiLevelType w:val="hybridMultilevel"/>
    <w:tmpl w:val="31A87E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3BA064B"/>
    <w:multiLevelType w:val="hybridMultilevel"/>
    <w:tmpl w:val="24D6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3E78E2"/>
    <w:multiLevelType w:val="hybridMultilevel"/>
    <w:tmpl w:val="9B4AE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97616C"/>
    <w:multiLevelType w:val="hybridMultilevel"/>
    <w:tmpl w:val="4A2260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78094B84"/>
    <w:multiLevelType w:val="hybridMultilevel"/>
    <w:tmpl w:val="8CB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5F2914"/>
    <w:multiLevelType w:val="hybridMultilevel"/>
    <w:tmpl w:val="49C0B04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3F2EEB"/>
    <w:multiLevelType w:val="hybridMultilevel"/>
    <w:tmpl w:val="3DF8C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811C2E"/>
    <w:multiLevelType w:val="hybridMultilevel"/>
    <w:tmpl w:val="A9D01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9419218">
    <w:abstractNumId w:val="36"/>
  </w:num>
  <w:num w:numId="2" w16cid:durableId="734742435">
    <w:abstractNumId w:val="12"/>
  </w:num>
  <w:num w:numId="3" w16cid:durableId="722757329">
    <w:abstractNumId w:val="35"/>
  </w:num>
  <w:num w:numId="4" w16cid:durableId="1008946201">
    <w:abstractNumId w:val="18"/>
  </w:num>
  <w:num w:numId="5" w16cid:durableId="1276256192">
    <w:abstractNumId w:val="11"/>
  </w:num>
  <w:num w:numId="6" w16cid:durableId="881985568">
    <w:abstractNumId w:val="28"/>
  </w:num>
  <w:num w:numId="7" w16cid:durableId="1897400032">
    <w:abstractNumId w:val="8"/>
  </w:num>
  <w:num w:numId="8" w16cid:durableId="849370715">
    <w:abstractNumId w:val="23"/>
  </w:num>
  <w:num w:numId="9" w16cid:durableId="1450660498">
    <w:abstractNumId w:val="44"/>
  </w:num>
  <w:num w:numId="10" w16cid:durableId="1494685936">
    <w:abstractNumId w:val="3"/>
  </w:num>
  <w:num w:numId="11" w16cid:durableId="1030108519">
    <w:abstractNumId w:val="26"/>
  </w:num>
  <w:num w:numId="12" w16cid:durableId="1948731093">
    <w:abstractNumId w:val="22"/>
  </w:num>
  <w:num w:numId="13" w16cid:durableId="801774460">
    <w:abstractNumId w:val="31"/>
  </w:num>
  <w:num w:numId="14" w16cid:durableId="59787618">
    <w:abstractNumId w:val="5"/>
  </w:num>
  <w:num w:numId="15" w16cid:durableId="1091661418">
    <w:abstractNumId w:val="10"/>
  </w:num>
  <w:num w:numId="16" w16cid:durableId="1787849083">
    <w:abstractNumId w:val="29"/>
  </w:num>
  <w:num w:numId="17" w16cid:durableId="871263239">
    <w:abstractNumId w:val="7"/>
  </w:num>
  <w:num w:numId="18" w16cid:durableId="1367755409">
    <w:abstractNumId w:val="32"/>
  </w:num>
  <w:num w:numId="19" w16cid:durableId="2119595694">
    <w:abstractNumId w:val="21"/>
  </w:num>
  <w:num w:numId="20" w16cid:durableId="1564364209">
    <w:abstractNumId w:val="25"/>
  </w:num>
  <w:num w:numId="21" w16cid:durableId="477577773">
    <w:abstractNumId w:val="39"/>
  </w:num>
  <w:num w:numId="22" w16cid:durableId="1900818145">
    <w:abstractNumId w:val="13"/>
  </w:num>
  <w:num w:numId="23" w16cid:durableId="1252272405">
    <w:abstractNumId w:val="33"/>
  </w:num>
  <w:num w:numId="24" w16cid:durableId="1488015845">
    <w:abstractNumId w:val="4"/>
  </w:num>
  <w:num w:numId="25" w16cid:durableId="1429735952">
    <w:abstractNumId w:val="15"/>
  </w:num>
  <w:num w:numId="26" w16cid:durableId="1492868734">
    <w:abstractNumId w:val="34"/>
  </w:num>
  <w:num w:numId="27" w16cid:durableId="1497112957">
    <w:abstractNumId w:val="41"/>
  </w:num>
  <w:num w:numId="28" w16cid:durableId="244456877">
    <w:abstractNumId w:val="14"/>
  </w:num>
  <w:num w:numId="29" w16cid:durableId="1305348818">
    <w:abstractNumId w:val="24"/>
  </w:num>
  <w:num w:numId="30" w16cid:durableId="910120401">
    <w:abstractNumId w:val="38"/>
  </w:num>
  <w:num w:numId="31" w16cid:durableId="590624446">
    <w:abstractNumId w:val="27"/>
  </w:num>
  <w:num w:numId="32" w16cid:durableId="1416785460">
    <w:abstractNumId w:val="0"/>
  </w:num>
  <w:num w:numId="33" w16cid:durableId="282225635">
    <w:abstractNumId w:val="20"/>
  </w:num>
  <w:num w:numId="34" w16cid:durableId="593363761">
    <w:abstractNumId w:val="9"/>
  </w:num>
  <w:num w:numId="35" w16cid:durableId="1820732598">
    <w:abstractNumId w:val="1"/>
  </w:num>
  <w:num w:numId="36" w16cid:durableId="997269675">
    <w:abstractNumId w:val="37"/>
  </w:num>
  <w:num w:numId="37" w16cid:durableId="1316180646">
    <w:abstractNumId w:val="45"/>
  </w:num>
  <w:num w:numId="38" w16cid:durableId="396444568">
    <w:abstractNumId w:val="40"/>
  </w:num>
  <w:num w:numId="39" w16cid:durableId="2027175129">
    <w:abstractNumId w:val="2"/>
  </w:num>
  <w:num w:numId="40" w16cid:durableId="382489402">
    <w:abstractNumId w:val="17"/>
  </w:num>
  <w:num w:numId="41" w16cid:durableId="1365130269">
    <w:abstractNumId w:val="30"/>
  </w:num>
  <w:num w:numId="42" w16cid:durableId="375857143">
    <w:abstractNumId w:val="46"/>
  </w:num>
  <w:num w:numId="43" w16cid:durableId="157426442">
    <w:abstractNumId w:val="43"/>
  </w:num>
  <w:num w:numId="44" w16cid:durableId="513881541">
    <w:abstractNumId w:val="42"/>
  </w:num>
  <w:num w:numId="45" w16cid:durableId="1887141796">
    <w:abstractNumId w:val="6"/>
  </w:num>
  <w:num w:numId="46" w16cid:durableId="1293436573">
    <w:abstractNumId w:val="16"/>
  </w:num>
  <w:num w:numId="47" w16cid:durableId="16125161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853"/>
    <w:rsid w:val="00001D50"/>
    <w:rsid w:val="000071E9"/>
    <w:rsid w:val="000147F8"/>
    <w:rsid w:val="00015646"/>
    <w:rsid w:val="0001622B"/>
    <w:rsid w:val="00016D5E"/>
    <w:rsid w:val="00017A98"/>
    <w:rsid w:val="000211F5"/>
    <w:rsid w:val="000244AC"/>
    <w:rsid w:val="00024D38"/>
    <w:rsid w:val="00026FBB"/>
    <w:rsid w:val="00027463"/>
    <w:rsid w:val="00030B36"/>
    <w:rsid w:val="00032E46"/>
    <w:rsid w:val="0004006E"/>
    <w:rsid w:val="000429EC"/>
    <w:rsid w:val="0004561D"/>
    <w:rsid w:val="00050390"/>
    <w:rsid w:val="00052D17"/>
    <w:rsid w:val="00056AC7"/>
    <w:rsid w:val="00057DF8"/>
    <w:rsid w:val="0006049D"/>
    <w:rsid w:val="00061986"/>
    <w:rsid w:val="00070771"/>
    <w:rsid w:val="000722DC"/>
    <w:rsid w:val="00075858"/>
    <w:rsid w:val="00075ECA"/>
    <w:rsid w:val="0007764C"/>
    <w:rsid w:val="0008582F"/>
    <w:rsid w:val="0009067C"/>
    <w:rsid w:val="00092DE9"/>
    <w:rsid w:val="00093F8B"/>
    <w:rsid w:val="00095457"/>
    <w:rsid w:val="0009548F"/>
    <w:rsid w:val="00095954"/>
    <w:rsid w:val="00096012"/>
    <w:rsid w:val="000A497F"/>
    <w:rsid w:val="000A6A48"/>
    <w:rsid w:val="000A6A8C"/>
    <w:rsid w:val="000B3E20"/>
    <w:rsid w:val="000C355D"/>
    <w:rsid w:val="000C405C"/>
    <w:rsid w:val="000C5B98"/>
    <w:rsid w:val="000C7B46"/>
    <w:rsid w:val="000C7ED8"/>
    <w:rsid w:val="000D6D2B"/>
    <w:rsid w:val="000D6F40"/>
    <w:rsid w:val="000E0361"/>
    <w:rsid w:val="000E1D95"/>
    <w:rsid w:val="000E28D3"/>
    <w:rsid w:val="000E3FE9"/>
    <w:rsid w:val="000E533B"/>
    <w:rsid w:val="000E73BD"/>
    <w:rsid w:val="000F0F34"/>
    <w:rsid w:val="000F2A63"/>
    <w:rsid w:val="000F38EB"/>
    <w:rsid w:val="000F51B5"/>
    <w:rsid w:val="000F6491"/>
    <w:rsid w:val="0010031D"/>
    <w:rsid w:val="00103086"/>
    <w:rsid w:val="00103649"/>
    <w:rsid w:val="00103A0E"/>
    <w:rsid w:val="00106D30"/>
    <w:rsid w:val="00110AD9"/>
    <w:rsid w:val="00112A71"/>
    <w:rsid w:val="0011303B"/>
    <w:rsid w:val="00114141"/>
    <w:rsid w:val="00125CB9"/>
    <w:rsid w:val="00133D92"/>
    <w:rsid w:val="00137696"/>
    <w:rsid w:val="00141061"/>
    <w:rsid w:val="00143DA1"/>
    <w:rsid w:val="001445DE"/>
    <w:rsid w:val="001475CE"/>
    <w:rsid w:val="001535EC"/>
    <w:rsid w:val="0015368D"/>
    <w:rsid w:val="00166430"/>
    <w:rsid w:val="0016645D"/>
    <w:rsid w:val="00170E0D"/>
    <w:rsid w:val="00173AE3"/>
    <w:rsid w:val="001760F0"/>
    <w:rsid w:val="001762C6"/>
    <w:rsid w:val="00182073"/>
    <w:rsid w:val="001825C3"/>
    <w:rsid w:val="001834E1"/>
    <w:rsid w:val="00185258"/>
    <w:rsid w:val="001873E8"/>
    <w:rsid w:val="00187951"/>
    <w:rsid w:val="001912F5"/>
    <w:rsid w:val="00192279"/>
    <w:rsid w:val="001932BB"/>
    <w:rsid w:val="00194FCA"/>
    <w:rsid w:val="001A1272"/>
    <w:rsid w:val="001A65B1"/>
    <w:rsid w:val="001B02FC"/>
    <w:rsid w:val="001B0EB8"/>
    <w:rsid w:val="001B1E13"/>
    <w:rsid w:val="001B5AD0"/>
    <w:rsid w:val="001C2BEE"/>
    <w:rsid w:val="001C5975"/>
    <w:rsid w:val="001C6721"/>
    <w:rsid w:val="001C6B64"/>
    <w:rsid w:val="001C7068"/>
    <w:rsid w:val="001D0125"/>
    <w:rsid w:val="001D280F"/>
    <w:rsid w:val="001D7D3D"/>
    <w:rsid w:val="001D7FA3"/>
    <w:rsid w:val="001E2F1D"/>
    <w:rsid w:val="001E3F16"/>
    <w:rsid w:val="001E51F5"/>
    <w:rsid w:val="001E5D6E"/>
    <w:rsid w:val="001E637C"/>
    <w:rsid w:val="001E74AD"/>
    <w:rsid w:val="001F24AA"/>
    <w:rsid w:val="001F35EA"/>
    <w:rsid w:val="001F6A14"/>
    <w:rsid w:val="00201750"/>
    <w:rsid w:val="002033C1"/>
    <w:rsid w:val="00205327"/>
    <w:rsid w:val="002064F4"/>
    <w:rsid w:val="00207407"/>
    <w:rsid w:val="002133C1"/>
    <w:rsid w:val="002137CB"/>
    <w:rsid w:val="002151C1"/>
    <w:rsid w:val="00217073"/>
    <w:rsid w:val="00220824"/>
    <w:rsid w:val="00221BA4"/>
    <w:rsid w:val="0022262B"/>
    <w:rsid w:val="00222A27"/>
    <w:rsid w:val="00223AB0"/>
    <w:rsid w:val="00225970"/>
    <w:rsid w:val="00235D13"/>
    <w:rsid w:val="00235E58"/>
    <w:rsid w:val="00243199"/>
    <w:rsid w:val="002442FB"/>
    <w:rsid w:val="002471AC"/>
    <w:rsid w:val="00247480"/>
    <w:rsid w:val="0024775A"/>
    <w:rsid w:val="00247761"/>
    <w:rsid w:val="0025038A"/>
    <w:rsid w:val="0025227E"/>
    <w:rsid w:val="00254E72"/>
    <w:rsid w:val="00255A72"/>
    <w:rsid w:val="002644B8"/>
    <w:rsid w:val="00264A5C"/>
    <w:rsid w:val="002654C2"/>
    <w:rsid w:val="0026718D"/>
    <w:rsid w:val="002675D2"/>
    <w:rsid w:val="00271766"/>
    <w:rsid w:val="00273E5F"/>
    <w:rsid w:val="00274E3F"/>
    <w:rsid w:val="0027501E"/>
    <w:rsid w:val="0027534D"/>
    <w:rsid w:val="002770DB"/>
    <w:rsid w:val="00280050"/>
    <w:rsid w:val="00287448"/>
    <w:rsid w:val="002877E5"/>
    <w:rsid w:val="0029364D"/>
    <w:rsid w:val="002A2472"/>
    <w:rsid w:val="002A4566"/>
    <w:rsid w:val="002B392D"/>
    <w:rsid w:val="002B60E0"/>
    <w:rsid w:val="002B650B"/>
    <w:rsid w:val="002C0205"/>
    <w:rsid w:val="002C2133"/>
    <w:rsid w:val="002C46E1"/>
    <w:rsid w:val="002C4ED3"/>
    <w:rsid w:val="002D168C"/>
    <w:rsid w:val="002E3F85"/>
    <w:rsid w:val="002E7F12"/>
    <w:rsid w:val="002F13A1"/>
    <w:rsid w:val="002F252C"/>
    <w:rsid w:val="00304DE4"/>
    <w:rsid w:val="00305DDE"/>
    <w:rsid w:val="003064CC"/>
    <w:rsid w:val="00307BAF"/>
    <w:rsid w:val="00310965"/>
    <w:rsid w:val="0031629D"/>
    <w:rsid w:val="003304A4"/>
    <w:rsid w:val="0033062F"/>
    <w:rsid w:val="00334782"/>
    <w:rsid w:val="00335670"/>
    <w:rsid w:val="003367ED"/>
    <w:rsid w:val="00342B6B"/>
    <w:rsid w:val="0034334F"/>
    <w:rsid w:val="003460A8"/>
    <w:rsid w:val="00346D3D"/>
    <w:rsid w:val="0035032F"/>
    <w:rsid w:val="003524E9"/>
    <w:rsid w:val="003566FB"/>
    <w:rsid w:val="00360865"/>
    <w:rsid w:val="003620C4"/>
    <w:rsid w:val="0036272B"/>
    <w:rsid w:val="00364C69"/>
    <w:rsid w:val="00367033"/>
    <w:rsid w:val="00367060"/>
    <w:rsid w:val="003674D0"/>
    <w:rsid w:val="0036782C"/>
    <w:rsid w:val="003700A3"/>
    <w:rsid w:val="0037120F"/>
    <w:rsid w:val="00372EAF"/>
    <w:rsid w:val="00374344"/>
    <w:rsid w:val="00374496"/>
    <w:rsid w:val="00375F1F"/>
    <w:rsid w:val="00377890"/>
    <w:rsid w:val="00392271"/>
    <w:rsid w:val="003931AA"/>
    <w:rsid w:val="0039340E"/>
    <w:rsid w:val="0039368C"/>
    <w:rsid w:val="003973AB"/>
    <w:rsid w:val="003B04D6"/>
    <w:rsid w:val="003B6BD6"/>
    <w:rsid w:val="003B773D"/>
    <w:rsid w:val="003C0D65"/>
    <w:rsid w:val="003C36B4"/>
    <w:rsid w:val="003C56F8"/>
    <w:rsid w:val="003C68A3"/>
    <w:rsid w:val="003C6F22"/>
    <w:rsid w:val="003C76A8"/>
    <w:rsid w:val="003D07BD"/>
    <w:rsid w:val="003D10AA"/>
    <w:rsid w:val="003D3C6C"/>
    <w:rsid w:val="003D4304"/>
    <w:rsid w:val="003E2FA4"/>
    <w:rsid w:val="003E562D"/>
    <w:rsid w:val="003E6382"/>
    <w:rsid w:val="003F40CF"/>
    <w:rsid w:val="003F436F"/>
    <w:rsid w:val="003F459E"/>
    <w:rsid w:val="003F623D"/>
    <w:rsid w:val="00400CA1"/>
    <w:rsid w:val="00400F31"/>
    <w:rsid w:val="00405848"/>
    <w:rsid w:val="00406113"/>
    <w:rsid w:val="004078A3"/>
    <w:rsid w:val="00414BE4"/>
    <w:rsid w:val="00420B4E"/>
    <w:rsid w:val="00423D5D"/>
    <w:rsid w:val="00425B51"/>
    <w:rsid w:val="00425BCD"/>
    <w:rsid w:val="00427E57"/>
    <w:rsid w:val="00432A58"/>
    <w:rsid w:val="00433863"/>
    <w:rsid w:val="00435F2E"/>
    <w:rsid w:val="00437D6F"/>
    <w:rsid w:val="00440E27"/>
    <w:rsid w:val="00441219"/>
    <w:rsid w:val="004417BE"/>
    <w:rsid w:val="00441EBB"/>
    <w:rsid w:val="00442F66"/>
    <w:rsid w:val="00443BD5"/>
    <w:rsid w:val="00447245"/>
    <w:rsid w:val="00451047"/>
    <w:rsid w:val="004521BA"/>
    <w:rsid w:val="00452C85"/>
    <w:rsid w:val="0045720B"/>
    <w:rsid w:val="00461CBD"/>
    <w:rsid w:val="00462626"/>
    <w:rsid w:val="00463ACD"/>
    <w:rsid w:val="00464FC6"/>
    <w:rsid w:val="00467DD5"/>
    <w:rsid w:val="004726A8"/>
    <w:rsid w:val="00472D7D"/>
    <w:rsid w:val="0047635C"/>
    <w:rsid w:val="004836C5"/>
    <w:rsid w:val="00483B17"/>
    <w:rsid w:val="00484C58"/>
    <w:rsid w:val="00484D44"/>
    <w:rsid w:val="00484F7C"/>
    <w:rsid w:val="0048520F"/>
    <w:rsid w:val="00486B98"/>
    <w:rsid w:val="004875B7"/>
    <w:rsid w:val="004909A6"/>
    <w:rsid w:val="004918D4"/>
    <w:rsid w:val="0049782D"/>
    <w:rsid w:val="004A00C1"/>
    <w:rsid w:val="004A1224"/>
    <w:rsid w:val="004A2291"/>
    <w:rsid w:val="004A3196"/>
    <w:rsid w:val="004A67CB"/>
    <w:rsid w:val="004B29A6"/>
    <w:rsid w:val="004B33DC"/>
    <w:rsid w:val="004B5595"/>
    <w:rsid w:val="004C7BCE"/>
    <w:rsid w:val="004D25A4"/>
    <w:rsid w:val="004D4129"/>
    <w:rsid w:val="004D6345"/>
    <w:rsid w:val="004D63BD"/>
    <w:rsid w:val="004E0D07"/>
    <w:rsid w:val="004E18C5"/>
    <w:rsid w:val="004E54A9"/>
    <w:rsid w:val="004E5BC0"/>
    <w:rsid w:val="004E684A"/>
    <w:rsid w:val="00503DFF"/>
    <w:rsid w:val="00505E4C"/>
    <w:rsid w:val="00506E8A"/>
    <w:rsid w:val="0051143F"/>
    <w:rsid w:val="005145AD"/>
    <w:rsid w:val="00515A33"/>
    <w:rsid w:val="00516D16"/>
    <w:rsid w:val="00520250"/>
    <w:rsid w:val="00524F3D"/>
    <w:rsid w:val="00527C9A"/>
    <w:rsid w:val="00530393"/>
    <w:rsid w:val="005308CD"/>
    <w:rsid w:val="00530CAD"/>
    <w:rsid w:val="0053519F"/>
    <w:rsid w:val="0054399A"/>
    <w:rsid w:val="00543FD7"/>
    <w:rsid w:val="005441A9"/>
    <w:rsid w:val="00550BB2"/>
    <w:rsid w:val="00552232"/>
    <w:rsid w:val="0055374C"/>
    <w:rsid w:val="00554215"/>
    <w:rsid w:val="005561A1"/>
    <w:rsid w:val="0055667B"/>
    <w:rsid w:val="00567F04"/>
    <w:rsid w:val="00570321"/>
    <w:rsid w:val="00573284"/>
    <w:rsid w:val="00580194"/>
    <w:rsid w:val="00582925"/>
    <w:rsid w:val="00591627"/>
    <w:rsid w:val="005934B4"/>
    <w:rsid w:val="00593743"/>
    <w:rsid w:val="005939ED"/>
    <w:rsid w:val="00596677"/>
    <w:rsid w:val="00597A8E"/>
    <w:rsid w:val="005A4E18"/>
    <w:rsid w:val="005A5E23"/>
    <w:rsid w:val="005A6C94"/>
    <w:rsid w:val="005B16F6"/>
    <w:rsid w:val="005B4179"/>
    <w:rsid w:val="005B5FF4"/>
    <w:rsid w:val="005C1AAB"/>
    <w:rsid w:val="005C2A09"/>
    <w:rsid w:val="005C552C"/>
    <w:rsid w:val="005C6E1B"/>
    <w:rsid w:val="005D6C50"/>
    <w:rsid w:val="005E1C23"/>
    <w:rsid w:val="005E2299"/>
    <w:rsid w:val="005E327E"/>
    <w:rsid w:val="005E32E8"/>
    <w:rsid w:val="005F26C2"/>
    <w:rsid w:val="005F5AC4"/>
    <w:rsid w:val="005F6198"/>
    <w:rsid w:val="00600A78"/>
    <w:rsid w:val="00604E90"/>
    <w:rsid w:val="006137B1"/>
    <w:rsid w:val="00616F35"/>
    <w:rsid w:val="0061712B"/>
    <w:rsid w:val="00620F0E"/>
    <w:rsid w:val="00627599"/>
    <w:rsid w:val="00627BB6"/>
    <w:rsid w:val="006361E9"/>
    <w:rsid w:val="006427D6"/>
    <w:rsid w:val="006431B9"/>
    <w:rsid w:val="00643F01"/>
    <w:rsid w:val="0064515C"/>
    <w:rsid w:val="0065185E"/>
    <w:rsid w:val="0065459A"/>
    <w:rsid w:val="006569DD"/>
    <w:rsid w:val="00663CFA"/>
    <w:rsid w:val="00664C87"/>
    <w:rsid w:val="006656EF"/>
    <w:rsid w:val="00666679"/>
    <w:rsid w:val="006674C9"/>
    <w:rsid w:val="00667B4D"/>
    <w:rsid w:val="0067122D"/>
    <w:rsid w:val="00671861"/>
    <w:rsid w:val="00680DD3"/>
    <w:rsid w:val="00683911"/>
    <w:rsid w:val="00683BE0"/>
    <w:rsid w:val="00685056"/>
    <w:rsid w:val="00685658"/>
    <w:rsid w:val="00685C58"/>
    <w:rsid w:val="00686504"/>
    <w:rsid w:val="006910A9"/>
    <w:rsid w:val="00694DCC"/>
    <w:rsid w:val="00696E3E"/>
    <w:rsid w:val="006A19BF"/>
    <w:rsid w:val="006A252B"/>
    <w:rsid w:val="006A2633"/>
    <w:rsid w:val="006A27F6"/>
    <w:rsid w:val="006A3852"/>
    <w:rsid w:val="006A46FB"/>
    <w:rsid w:val="006A4AD7"/>
    <w:rsid w:val="006A69D0"/>
    <w:rsid w:val="006B236D"/>
    <w:rsid w:val="006B2884"/>
    <w:rsid w:val="006B3BFD"/>
    <w:rsid w:val="006B5F7B"/>
    <w:rsid w:val="006B6291"/>
    <w:rsid w:val="006C1A32"/>
    <w:rsid w:val="006C1D2D"/>
    <w:rsid w:val="006C2D2C"/>
    <w:rsid w:val="006C3BC0"/>
    <w:rsid w:val="006D3704"/>
    <w:rsid w:val="006D5901"/>
    <w:rsid w:val="006E0B9B"/>
    <w:rsid w:val="006E108D"/>
    <w:rsid w:val="006E1236"/>
    <w:rsid w:val="006E31AB"/>
    <w:rsid w:val="006E40E2"/>
    <w:rsid w:val="006E5EEE"/>
    <w:rsid w:val="006F1FEC"/>
    <w:rsid w:val="006F292B"/>
    <w:rsid w:val="006F3AD6"/>
    <w:rsid w:val="006F455F"/>
    <w:rsid w:val="006F7543"/>
    <w:rsid w:val="00700E84"/>
    <w:rsid w:val="00705153"/>
    <w:rsid w:val="007059E2"/>
    <w:rsid w:val="0071317E"/>
    <w:rsid w:val="00720B09"/>
    <w:rsid w:val="007211CE"/>
    <w:rsid w:val="00722EE0"/>
    <w:rsid w:val="0072758B"/>
    <w:rsid w:val="0074022F"/>
    <w:rsid w:val="0074303D"/>
    <w:rsid w:val="00743324"/>
    <w:rsid w:val="007436F9"/>
    <w:rsid w:val="007440EC"/>
    <w:rsid w:val="00746C4C"/>
    <w:rsid w:val="007505F0"/>
    <w:rsid w:val="00751077"/>
    <w:rsid w:val="00766566"/>
    <w:rsid w:val="00767E61"/>
    <w:rsid w:val="00777C42"/>
    <w:rsid w:val="00782756"/>
    <w:rsid w:val="007832C3"/>
    <w:rsid w:val="007839DC"/>
    <w:rsid w:val="00786218"/>
    <w:rsid w:val="00790927"/>
    <w:rsid w:val="00794162"/>
    <w:rsid w:val="0079655B"/>
    <w:rsid w:val="00796818"/>
    <w:rsid w:val="00796FFE"/>
    <w:rsid w:val="00797053"/>
    <w:rsid w:val="007A15B4"/>
    <w:rsid w:val="007A16F7"/>
    <w:rsid w:val="007A508D"/>
    <w:rsid w:val="007A587B"/>
    <w:rsid w:val="007A5892"/>
    <w:rsid w:val="007A5BFA"/>
    <w:rsid w:val="007B0399"/>
    <w:rsid w:val="007B1C63"/>
    <w:rsid w:val="007B20C6"/>
    <w:rsid w:val="007B2379"/>
    <w:rsid w:val="007B30C7"/>
    <w:rsid w:val="007B758D"/>
    <w:rsid w:val="007C1A12"/>
    <w:rsid w:val="007C231E"/>
    <w:rsid w:val="007C434A"/>
    <w:rsid w:val="007C4935"/>
    <w:rsid w:val="007C65B6"/>
    <w:rsid w:val="007D2F1E"/>
    <w:rsid w:val="007D2FAE"/>
    <w:rsid w:val="007D5BD6"/>
    <w:rsid w:val="007E41F5"/>
    <w:rsid w:val="007E513E"/>
    <w:rsid w:val="007E7B2B"/>
    <w:rsid w:val="007F2274"/>
    <w:rsid w:val="008039D9"/>
    <w:rsid w:val="008049F3"/>
    <w:rsid w:val="008056CA"/>
    <w:rsid w:val="00811186"/>
    <w:rsid w:val="0081149F"/>
    <w:rsid w:val="00811E9D"/>
    <w:rsid w:val="008121EF"/>
    <w:rsid w:val="0081565D"/>
    <w:rsid w:val="00816345"/>
    <w:rsid w:val="00817568"/>
    <w:rsid w:val="008175EF"/>
    <w:rsid w:val="00817CF6"/>
    <w:rsid w:val="00821A6E"/>
    <w:rsid w:val="00821B98"/>
    <w:rsid w:val="00830601"/>
    <w:rsid w:val="00833006"/>
    <w:rsid w:val="00836203"/>
    <w:rsid w:val="00843E69"/>
    <w:rsid w:val="008471F1"/>
    <w:rsid w:val="00847B51"/>
    <w:rsid w:val="00850D88"/>
    <w:rsid w:val="00850DFF"/>
    <w:rsid w:val="00851842"/>
    <w:rsid w:val="008600C6"/>
    <w:rsid w:val="0086160E"/>
    <w:rsid w:val="00861CE8"/>
    <w:rsid w:val="00862B17"/>
    <w:rsid w:val="00866859"/>
    <w:rsid w:val="0087527E"/>
    <w:rsid w:val="0087698E"/>
    <w:rsid w:val="00876C93"/>
    <w:rsid w:val="00884FAC"/>
    <w:rsid w:val="00890E7D"/>
    <w:rsid w:val="008911A3"/>
    <w:rsid w:val="008925C6"/>
    <w:rsid w:val="0089471D"/>
    <w:rsid w:val="00894B88"/>
    <w:rsid w:val="00895EB3"/>
    <w:rsid w:val="00897D90"/>
    <w:rsid w:val="008A08A2"/>
    <w:rsid w:val="008A122F"/>
    <w:rsid w:val="008A648E"/>
    <w:rsid w:val="008A76D9"/>
    <w:rsid w:val="008B072D"/>
    <w:rsid w:val="008C5EEB"/>
    <w:rsid w:val="008C6090"/>
    <w:rsid w:val="008C775E"/>
    <w:rsid w:val="008D1B3B"/>
    <w:rsid w:val="008D28FD"/>
    <w:rsid w:val="008D418C"/>
    <w:rsid w:val="008D600A"/>
    <w:rsid w:val="008E00FF"/>
    <w:rsid w:val="008E3639"/>
    <w:rsid w:val="008E47B2"/>
    <w:rsid w:val="008E7425"/>
    <w:rsid w:val="008E7DC2"/>
    <w:rsid w:val="008F24D6"/>
    <w:rsid w:val="008F5647"/>
    <w:rsid w:val="008F591F"/>
    <w:rsid w:val="0090094B"/>
    <w:rsid w:val="0090113D"/>
    <w:rsid w:val="009021F4"/>
    <w:rsid w:val="00905226"/>
    <w:rsid w:val="00911889"/>
    <w:rsid w:val="009119EA"/>
    <w:rsid w:val="00913053"/>
    <w:rsid w:val="0091430D"/>
    <w:rsid w:val="009144FA"/>
    <w:rsid w:val="0091649D"/>
    <w:rsid w:val="00916D18"/>
    <w:rsid w:val="009238B6"/>
    <w:rsid w:val="00924FA0"/>
    <w:rsid w:val="00925699"/>
    <w:rsid w:val="00930099"/>
    <w:rsid w:val="00931474"/>
    <w:rsid w:val="00936A2A"/>
    <w:rsid w:val="009374C4"/>
    <w:rsid w:val="009376BB"/>
    <w:rsid w:val="009433F9"/>
    <w:rsid w:val="0094362D"/>
    <w:rsid w:val="00947A26"/>
    <w:rsid w:val="00953828"/>
    <w:rsid w:val="00953CA8"/>
    <w:rsid w:val="00955D48"/>
    <w:rsid w:val="00955DF1"/>
    <w:rsid w:val="00957610"/>
    <w:rsid w:val="0095795E"/>
    <w:rsid w:val="00960236"/>
    <w:rsid w:val="00970B8B"/>
    <w:rsid w:val="00972275"/>
    <w:rsid w:val="00974BA7"/>
    <w:rsid w:val="00987E6C"/>
    <w:rsid w:val="00991C21"/>
    <w:rsid w:val="0099312A"/>
    <w:rsid w:val="00996764"/>
    <w:rsid w:val="009A1101"/>
    <w:rsid w:val="009A37D7"/>
    <w:rsid w:val="009B27E4"/>
    <w:rsid w:val="009B3821"/>
    <w:rsid w:val="009B5B00"/>
    <w:rsid w:val="009C2950"/>
    <w:rsid w:val="009C3396"/>
    <w:rsid w:val="009C3BEA"/>
    <w:rsid w:val="009C4BAA"/>
    <w:rsid w:val="009C5011"/>
    <w:rsid w:val="009C70F9"/>
    <w:rsid w:val="009D336F"/>
    <w:rsid w:val="009D440B"/>
    <w:rsid w:val="009D7084"/>
    <w:rsid w:val="009D7E19"/>
    <w:rsid w:val="009E4732"/>
    <w:rsid w:val="009E58AD"/>
    <w:rsid w:val="009E61AF"/>
    <w:rsid w:val="009E6639"/>
    <w:rsid w:val="009E6C70"/>
    <w:rsid w:val="009F1911"/>
    <w:rsid w:val="009F1DD4"/>
    <w:rsid w:val="009F7505"/>
    <w:rsid w:val="00A01391"/>
    <w:rsid w:val="00A02824"/>
    <w:rsid w:val="00A04417"/>
    <w:rsid w:val="00A118AE"/>
    <w:rsid w:val="00A1477C"/>
    <w:rsid w:val="00A20C06"/>
    <w:rsid w:val="00A2504F"/>
    <w:rsid w:val="00A25ED7"/>
    <w:rsid w:val="00A30D8E"/>
    <w:rsid w:val="00A32C45"/>
    <w:rsid w:val="00A3471C"/>
    <w:rsid w:val="00A35E5C"/>
    <w:rsid w:val="00A35F10"/>
    <w:rsid w:val="00A409B9"/>
    <w:rsid w:val="00A40E6A"/>
    <w:rsid w:val="00A42E7C"/>
    <w:rsid w:val="00A45F9E"/>
    <w:rsid w:val="00A50C70"/>
    <w:rsid w:val="00A560B9"/>
    <w:rsid w:val="00A56784"/>
    <w:rsid w:val="00A60037"/>
    <w:rsid w:val="00A6046E"/>
    <w:rsid w:val="00A61E15"/>
    <w:rsid w:val="00A639D7"/>
    <w:rsid w:val="00A64F70"/>
    <w:rsid w:val="00A73968"/>
    <w:rsid w:val="00A80462"/>
    <w:rsid w:val="00A81460"/>
    <w:rsid w:val="00A844F5"/>
    <w:rsid w:val="00A84B1D"/>
    <w:rsid w:val="00A90448"/>
    <w:rsid w:val="00A93F60"/>
    <w:rsid w:val="00A9507A"/>
    <w:rsid w:val="00A95FDF"/>
    <w:rsid w:val="00A97C54"/>
    <w:rsid w:val="00AA0C9E"/>
    <w:rsid w:val="00AA4A37"/>
    <w:rsid w:val="00AA69A5"/>
    <w:rsid w:val="00AA70D7"/>
    <w:rsid w:val="00AA7C67"/>
    <w:rsid w:val="00AB0218"/>
    <w:rsid w:val="00AB3017"/>
    <w:rsid w:val="00AB4485"/>
    <w:rsid w:val="00AB4C0D"/>
    <w:rsid w:val="00AB5351"/>
    <w:rsid w:val="00AC41AA"/>
    <w:rsid w:val="00AC4F1C"/>
    <w:rsid w:val="00AD0307"/>
    <w:rsid w:val="00AD0852"/>
    <w:rsid w:val="00AD40BA"/>
    <w:rsid w:val="00AD41A2"/>
    <w:rsid w:val="00AF0E8B"/>
    <w:rsid w:val="00AF49A5"/>
    <w:rsid w:val="00B02708"/>
    <w:rsid w:val="00B031A8"/>
    <w:rsid w:val="00B04EF8"/>
    <w:rsid w:val="00B05308"/>
    <w:rsid w:val="00B05666"/>
    <w:rsid w:val="00B06715"/>
    <w:rsid w:val="00B0785A"/>
    <w:rsid w:val="00B12C23"/>
    <w:rsid w:val="00B211DA"/>
    <w:rsid w:val="00B22A73"/>
    <w:rsid w:val="00B2663D"/>
    <w:rsid w:val="00B3004F"/>
    <w:rsid w:val="00B320A3"/>
    <w:rsid w:val="00B322C1"/>
    <w:rsid w:val="00B33330"/>
    <w:rsid w:val="00B34A82"/>
    <w:rsid w:val="00B36FAA"/>
    <w:rsid w:val="00B42CAE"/>
    <w:rsid w:val="00B43204"/>
    <w:rsid w:val="00B44D27"/>
    <w:rsid w:val="00B478DD"/>
    <w:rsid w:val="00B47E1A"/>
    <w:rsid w:val="00B50E03"/>
    <w:rsid w:val="00B527C1"/>
    <w:rsid w:val="00B5330F"/>
    <w:rsid w:val="00B53724"/>
    <w:rsid w:val="00B5474B"/>
    <w:rsid w:val="00B55238"/>
    <w:rsid w:val="00B60802"/>
    <w:rsid w:val="00B6399A"/>
    <w:rsid w:val="00B70609"/>
    <w:rsid w:val="00B70BA8"/>
    <w:rsid w:val="00B715DF"/>
    <w:rsid w:val="00B73277"/>
    <w:rsid w:val="00B7352E"/>
    <w:rsid w:val="00B76B99"/>
    <w:rsid w:val="00B771B9"/>
    <w:rsid w:val="00B83BD5"/>
    <w:rsid w:val="00B9131E"/>
    <w:rsid w:val="00B932CA"/>
    <w:rsid w:val="00B93508"/>
    <w:rsid w:val="00B93DFD"/>
    <w:rsid w:val="00B9414F"/>
    <w:rsid w:val="00B952F9"/>
    <w:rsid w:val="00BA06C3"/>
    <w:rsid w:val="00BA0713"/>
    <w:rsid w:val="00BA0D4F"/>
    <w:rsid w:val="00BA2183"/>
    <w:rsid w:val="00BA31E2"/>
    <w:rsid w:val="00BB27D0"/>
    <w:rsid w:val="00BB3C81"/>
    <w:rsid w:val="00BB4D14"/>
    <w:rsid w:val="00BB57A7"/>
    <w:rsid w:val="00BC2747"/>
    <w:rsid w:val="00BC7A3D"/>
    <w:rsid w:val="00BD33A7"/>
    <w:rsid w:val="00BD3678"/>
    <w:rsid w:val="00BD5944"/>
    <w:rsid w:val="00BE0CCD"/>
    <w:rsid w:val="00BE1890"/>
    <w:rsid w:val="00BE3861"/>
    <w:rsid w:val="00BF03D4"/>
    <w:rsid w:val="00BF212C"/>
    <w:rsid w:val="00BF3279"/>
    <w:rsid w:val="00BF6E1C"/>
    <w:rsid w:val="00C06DFE"/>
    <w:rsid w:val="00C070E7"/>
    <w:rsid w:val="00C07751"/>
    <w:rsid w:val="00C07B31"/>
    <w:rsid w:val="00C12185"/>
    <w:rsid w:val="00C15214"/>
    <w:rsid w:val="00C16F4C"/>
    <w:rsid w:val="00C242AF"/>
    <w:rsid w:val="00C2476C"/>
    <w:rsid w:val="00C24838"/>
    <w:rsid w:val="00C260E3"/>
    <w:rsid w:val="00C26A74"/>
    <w:rsid w:val="00C27057"/>
    <w:rsid w:val="00C2755F"/>
    <w:rsid w:val="00C30AA2"/>
    <w:rsid w:val="00C3233D"/>
    <w:rsid w:val="00C33A0C"/>
    <w:rsid w:val="00C34A5A"/>
    <w:rsid w:val="00C36221"/>
    <w:rsid w:val="00C42BC6"/>
    <w:rsid w:val="00C43CDC"/>
    <w:rsid w:val="00C45394"/>
    <w:rsid w:val="00C460DD"/>
    <w:rsid w:val="00C51EA0"/>
    <w:rsid w:val="00C5331B"/>
    <w:rsid w:val="00C542E4"/>
    <w:rsid w:val="00C54A16"/>
    <w:rsid w:val="00C55E2D"/>
    <w:rsid w:val="00C62256"/>
    <w:rsid w:val="00C626A1"/>
    <w:rsid w:val="00C629A9"/>
    <w:rsid w:val="00C630D5"/>
    <w:rsid w:val="00C636AF"/>
    <w:rsid w:val="00C63D81"/>
    <w:rsid w:val="00C713D7"/>
    <w:rsid w:val="00C71A57"/>
    <w:rsid w:val="00C72299"/>
    <w:rsid w:val="00C72826"/>
    <w:rsid w:val="00C75AB3"/>
    <w:rsid w:val="00C75C51"/>
    <w:rsid w:val="00C75D3A"/>
    <w:rsid w:val="00C80DB1"/>
    <w:rsid w:val="00C82D29"/>
    <w:rsid w:val="00C853A9"/>
    <w:rsid w:val="00C8665E"/>
    <w:rsid w:val="00C86DA5"/>
    <w:rsid w:val="00C8733B"/>
    <w:rsid w:val="00C91615"/>
    <w:rsid w:val="00C92B1B"/>
    <w:rsid w:val="00C9410C"/>
    <w:rsid w:val="00C94EED"/>
    <w:rsid w:val="00CA2BF2"/>
    <w:rsid w:val="00CA3768"/>
    <w:rsid w:val="00CA58A1"/>
    <w:rsid w:val="00CB0DC2"/>
    <w:rsid w:val="00CB3E7D"/>
    <w:rsid w:val="00CB5021"/>
    <w:rsid w:val="00CB51A2"/>
    <w:rsid w:val="00CC2EF0"/>
    <w:rsid w:val="00CD1B43"/>
    <w:rsid w:val="00CD37CF"/>
    <w:rsid w:val="00CE105B"/>
    <w:rsid w:val="00CE2103"/>
    <w:rsid w:val="00CF0D1D"/>
    <w:rsid w:val="00CF11C2"/>
    <w:rsid w:val="00CF3BB4"/>
    <w:rsid w:val="00CF4574"/>
    <w:rsid w:val="00CF4844"/>
    <w:rsid w:val="00CF5C94"/>
    <w:rsid w:val="00D00192"/>
    <w:rsid w:val="00D005B1"/>
    <w:rsid w:val="00D011ED"/>
    <w:rsid w:val="00D04A94"/>
    <w:rsid w:val="00D10FC1"/>
    <w:rsid w:val="00D11572"/>
    <w:rsid w:val="00D11770"/>
    <w:rsid w:val="00D12E65"/>
    <w:rsid w:val="00D13852"/>
    <w:rsid w:val="00D15892"/>
    <w:rsid w:val="00D15BE6"/>
    <w:rsid w:val="00D20D47"/>
    <w:rsid w:val="00D23AF2"/>
    <w:rsid w:val="00D23E9C"/>
    <w:rsid w:val="00D26771"/>
    <w:rsid w:val="00D305E4"/>
    <w:rsid w:val="00D30B54"/>
    <w:rsid w:val="00D30FC6"/>
    <w:rsid w:val="00D3216F"/>
    <w:rsid w:val="00D36D53"/>
    <w:rsid w:val="00D37032"/>
    <w:rsid w:val="00D40307"/>
    <w:rsid w:val="00D4096A"/>
    <w:rsid w:val="00D409EC"/>
    <w:rsid w:val="00D40D96"/>
    <w:rsid w:val="00D418D6"/>
    <w:rsid w:val="00D41D41"/>
    <w:rsid w:val="00D41E74"/>
    <w:rsid w:val="00D42DCB"/>
    <w:rsid w:val="00D42E3C"/>
    <w:rsid w:val="00D4311F"/>
    <w:rsid w:val="00D438C2"/>
    <w:rsid w:val="00D475CB"/>
    <w:rsid w:val="00D50DEC"/>
    <w:rsid w:val="00D55AFD"/>
    <w:rsid w:val="00D60855"/>
    <w:rsid w:val="00D6400A"/>
    <w:rsid w:val="00D7396A"/>
    <w:rsid w:val="00D814F8"/>
    <w:rsid w:val="00D82BE1"/>
    <w:rsid w:val="00D84BED"/>
    <w:rsid w:val="00D949B6"/>
    <w:rsid w:val="00D95494"/>
    <w:rsid w:val="00D96BCB"/>
    <w:rsid w:val="00DA3494"/>
    <w:rsid w:val="00DA3EC9"/>
    <w:rsid w:val="00DA5497"/>
    <w:rsid w:val="00DA68FE"/>
    <w:rsid w:val="00DA78E7"/>
    <w:rsid w:val="00DB135A"/>
    <w:rsid w:val="00DB2F71"/>
    <w:rsid w:val="00DB36C7"/>
    <w:rsid w:val="00DB4162"/>
    <w:rsid w:val="00DC0CF9"/>
    <w:rsid w:val="00DC1AAD"/>
    <w:rsid w:val="00DC577F"/>
    <w:rsid w:val="00DC5E2E"/>
    <w:rsid w:val="00DC6BAF"/>
    <w:rsid w:val="00DC7918"/>
    <w:rsid w:val="00DD0423"/>
    <w:rsid w:val="00DD6370"/>
    <w:rsid w:val="00DD6BCC"/>
    <w:rsid w:val="00DD71DA"/>
    <w:rsid w:val="00DD7CFB"/>
    <w:rsid w:val="00DE768D"/>
    <w:rsid w:val="00DF0F43"/>
    <w:rsid w:val="00DF363E"/>
    <w:rsid w:val="00DF3CD4"/>
    <w:rsid w:val="00E002AF"/>
    <w:rsid w:val="00E12602"/>
    <w:rsid w:val="00E14E30"/>
    <w:rsid w:val="00E20AE9"/>
    <w:rsid w:val="00E2101E"/>
    <w:rsid w:val="00E2212A"/>
    <w:rsid w:val="00E252C3"/>
    <w:rsid w:val="00E25883"/>
    <w:rsid w:val="00E27039"/>
    <w:rsid w:val="00E271D9"/>
    <w:rsid w:val="00E30BBA"/>
    <w:rsid w:val="00E32DC6"/>
    <w:rsid w:val="00E41552"/>
    <w:rsid w:val="00E44E33"/>
    <w:rsid w:val="00E46193"/>
    <w:rsid w:val="00E47491"/>
    <w:rsid w:val="00E508A1"/>
    <w:rsid w:val="00E517B4"/>
    <w:rsid w:val="00E527E6"/>
    <w:rsid w:val="00E52BC5"/>
    <w:rsid w:val="00E56119"/>
    <w:rsid w:val="00E60F74"/>
    <w:rsid w:val="00E67073"/>
    <w:rsid w:val="00E7444B"/>
    <w:rsid w:val="00E81D7C"/>
    <w:rsid w:val="00E82A77"/>
    <w:rsid w:val="00E84A14"/>
    <w:rsid w:val="00E90BF7"/>
    <w:rsid w:val="00E95480"/>
    <w:rsid w:val="00EA155C"/>
    <w:rsid w:val="00EB2079"/>
    <w:rsid w:val="00EB4A2D"/>
    <w:rsid w:val="00EC047D"/>
    <w:rsid w:val="00EC3BAF"/>
    <w:rsid w:val="00EC579D"/>
    <w:rsid w:val="00EC5847"/>
    <w:rsid w:val="00ED5F6D"/>
    <w:rsid w:val="00EE2A41"/>
    <w:rsid w:val="00EE51C0"/>
    <w:rsid w:val="00EE66DA"/>
    <w:rsid w:val="00EF1727"/>
    <w:rsid w:val="00EF1984"/>
    <w:rsid w:val="00EF2F1E"/>
    <w:rsid w:val="00EF46F8"/>
    <w:rsid w:val="00F02F48"/>
    <w:rsid w:val="00F039B9"/>
    <w:rsid w:val="00F05A59"/>
    <w:rsid w:val="00F10C75"/>
    <w:rsid w:val="00F135AD"/>
    <w:rsid w:val="00F14517"/>
    <w:rsid w:val="00F14D6C"/>
    <w:rsid w:val="00F204CA"/>
    <w:rsid w:val="00F21B46"/>
    <w:rsid w:val="00F21E7A"/>
    <w:rsid w:val="00F312E1"/>
    <w:rsid w:val="00F31611"/>
    <w:rsid w:val="00F322AB"/>
    <w:rsid w:val="00F429D8"/>
    <w:rsid w:val="00F42F77"/>
    <w:rsid w:val="00F4469E"/>
    <w:rsid w:val="00F459FD"/>
    <w:rsid w:val="00F46F0B"/>
    <w:rsid w:val="00F51B3E"/>
    <w:rsid w:val="00F5575B"/>
    <w:rsid w:val="00F56E4E"/>
    <w:rsid w:val="00F57388"/>
    <w:rsid w:val="00F57C82"/>
    <w:rsid w:val="00F61EF1"/>
    <w:rsid w:val="00F62F0C"/>
    <w:rsid w:val="00F64C1E"/>
    <w:rsid w:val="00F65566"/>
    <w:rsid w:val="00F65658"/>
    <w:rsid w:val="00F71744"/>
    <w:rsid w:val="00F7191C"/>
    <w:rsid w:val="00F7236A"/>
    <w:rsid w:val="00F726FA"/>
    <w:rsid w:val="00F734C2"/>
    <w:rsid w:val="00F7394F"/>
    <w:rsid w:val="00F759C1"/>
    <w:rsid w:val="00F76041"/>
    <w:rsid w:val="00F761D5"/>
    <w:rsid w:val="00F8317B"/>
    <w:rsid w:val="00F8387D"/>
    <w:rsid w:val="00F84265"/>
    <w:rsid w:val="00F855EA"/>
    <w:rsid w:val="00F85ABF"/>
    <w:rsid w:val="00F85EA5"/>
    <w:rsid w:val="00F90827"/>
    <w:rsid w:val="00F91DCB"/>
    <w:rsid w:val="00F95299"/>
    <w:rsid w:val="00F964B7"/>
    <w:rsid w:val="00F96B4F"/>
    <w:rsid w:val="00F97094"/>
    <w:rsid w:val="00F972D9"/>
    <w:rsid w:val="00FA1A49"/>
    <w:rsid w:val="00FA34E7"/>
    <w:rsid w:val="00FA50DC"/>
    <w:rsid w:val="00FB0542"/>
    <w:rsid w:val="00FB3D54"/>
    <w:rsid w:val="00FC28EC"/>
    <w:rsid w:val="00FC3A4D"/>
    <w:rsid w:val="00FC4BB1"/>
    <w:rsid w:val="00FC6778"/>
    <w:rsid w:val="00FC6A0B"/>
    <w:rsid w:val="00FC6DE0"/>
    <w:rsid w:val="00FD351F"/>
    <w:rsid w:val="00FE3AE6"/>
    <w:rsid w:val="00FE4BFB"/>
    <w:rsid w:val="00FE515A"/>
    <w:rsid w:val="00FE5BFF"/>
    <w:rsid w:val="00FF0C46"/>
    <w:rsid w:val="00FF2AA5"/>
    <w:rsid w:val="00FF6298"/>
    <w:rsid w:val="00FF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3A3D"/>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character" w:styleId="Hyperlink">
    <w:name w:val="Hyperlink"/>
    <w:basedOn w:val="DefaultParagraphFont"/>
    <w:uiPriority w:val="99"/>
    <w:unhideWhenUsed/>
    <w:rsid w:val="00E47491"/>
    <w:rPr>
      <w:color w:val="0563C1" w:themeColor="hyperlink"/>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D23E9C"/>
    <w:pPr>
      <w:ind w:left="720"/>
      <w:contextualSpacing/>
    </w:pPr>
  </w:style>
  <w:style w:type="paragraph" w:customStyle="1" w:styleId="paragraph">
    <w:name w:val="paragraph"/>
    <w:basedOn w:val="Normal"/>
    <w:rsid w:val="00DB4162"/>
    <w:pPr>
      <w:spacing w:before="100" w:beforeAutospacing="1" w:after="100" w:afterAutospacing="1" w:line="240" w:lineRule="auto"/>
    </w:pPr>
    <w:rPr>
      <w:rFonts w:eastAsia="Times New Roman"/>
      <w:lang w:eastAsia="en-AU"/>
    </w:rPr>
  </w:style>
  <w:style w:type="character" w:styleId="UnresolvedMention">
    <w:name w:val="Unresolved Mention"/>
    <w:basedOn w:val="DefaultParagraphFont"/>
    <w:uiPriority w:val="99"/>
    <w:semiHidden/>
    <w:unhideWhenUsed/>
    <w:rsid w:val="003D10AA"/>
    <w:rPr>
      <w:color w:val="605E5C"/>
      <w:shd w:val="clear" w:color="auto" w:fill="E1DFDD"/>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BA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3897">
      <w:bodyDiv w:val="1"/>
      <w:marLeft w:val="0"/>
      <w:marRight w:val="0"/>
      <w:marTop w:val="0"/>
      <w:marBottom w:val="0"/>
      <w:divBdr>
        <w:top w:val="none" w:sz="0" w:space="0" w:color="auto"/>
        <w:left w:val="none" w:sz="0" w:space="0" w:color="auto"/>
        <w:bottom w:val="none" w:sz="0" w:space="0" w:color="auto"/>
        <w:right w:val="none" w:sz="0" w:space="0" w:color="auto"/>
      </w:divBdr>
      <w:divsChild>
        <w:div w:id="966395892">
          <w:marLeft w:val="0"/>
          <w:marRight w:val="0"/>
          <w:marTop w:val="0"/>
          <w:marBottom w:val="0"/>
          <w:divBdr>
            <w:top w:val="none" w:sz="0" w:space="0" w:color="auto"/>
            <w:left w:val="none" w:sz="0" w:space="0" w:color="auto"/>
            <w:bottom w:val="none" w:sz="0" w:space="0" w:color="auto"/>
            <w:right w:val="none" w:sz="0" w:space="0" w:color="auto"/>
          </w:divBdr>
          <w:divsChild>
            <w:div w:id="17825870">
              <w:marLeft w:val="0"/>
              <w:marRight w:val="0"/>
              <w:marTop w:val="0"/>
              <w:marBottom w:val="0"/>
              <w:divBdr>
                <w:top w:val="none" w:sz="0" w:space="0" w:color="auto"/>
                <w:left w:val="none" w:sz="0" w:space="0" w:color="auto"/>
                <w:bottom w:val="none" w:sz="0" w:space="0" w:color="auto"/>
                <w:right w:val="none" w:sz="0" w:space="0" w:color="auto"/>
              </w:divBdr>
              <w:divsChild>
                <w:div w:id="1688561735">
                  <w:marLeft w:val="0"/>
                  <w:marRight w:val="0"/>
                  <w:marTop w:val="0"/>
                  <w:marBottom w:val="0"/>
                  <w:divBdr>
                    <w:top w:val="none" w:sz="0" w:space="0" w:color="auto"/>
                    <w:left w:val="none" w:sz="0" w:space="0" w:color="auto"/>
                    <w:bottom w:val="none" w:sz="0" w:space="0" w:color="auto"/>
                    <w:right w:val="none" w:sz="0" w:space="0" w:color="auto"/>
                  </w:divBdr>
                  <w:divsChild>
                    <w:div w:id="718163439">
                      <w:marLeft w:val="0"/>
                      <w:marRight w:val="0"/>
                      <w:marTop w:val="0"/>
                      <w:marBottom w:val="0"/>
                      <w:divBdr>
                        <w:top w:val="none" w:sz="0" w:space="0" w:color="auto"/>
                        <w:left w:val="none" w:sz="0" w:space="0" w:color="auto"/>
                        <w:bottom w:val="none" w:sz="0" w:space="0" w:color="auto"/>
                        <w:right w:val="none" w:sz="0" w:space="0" w:color="auto"/>
                      </w:divBdr>
                      <w:divsChild>
                        <w:div w:id="1622223953">
                          <w:marLeft w:val="0"/>
                          <w:marRight w:val="0"/>
                          <w:marTop w:val="0"/>
                          <w:marBottom w:val="0"/>
                          <w:divBdr>
                            <w:top w:val="none" w:sz="0" w:space="0" w:color="auto"/>
                            <w:left w:val="none" w:sz="0" w:space="0" w:color="auto"/>
                            <w:bottom w:val="none" w:sz="0" w:space="0" w:color="auto"/>
                            <w:right w:val="none" w:sz="0" w:space="0" w:color="auto"/>
                          </w:divBdr>
                          <w:divsChild>
                            <w:div w:id="1301612243">
                              <w:marLeft w:val="0"/>
                              <w:marRight w:val="0"/>
                              <w:marTop w:val="0"/>
                              <w:marBottom w:val="0"/>
                              <w:divBdr>
                                <w:top w:val="none" w:sz="0" w:space="0" w:color="auto"/>
                                <w:left w:val="none" w:sz="0" w:space="0" w:color="auto"/>
                                <w:bottom w:val="none" w:sz="0" w:space="0" w:color="auto"/>
                                <w:right w:val="none" w:sz="0" w:space="0" w:color="auto"/>
                              </w:divBdr>
                              <w:divsChild>
                                <w:div w:id="1844202560">
                                  <w:marLeft w:val="0"/>
                                  <w:marRight w:val="0"/>
                                  <w:marTop w:val="0"/>
                                  <w:marBottom w:val="0"/>
                                  <w:divBdr>
                                    <w:top w:val="none" w:sz="0" w:space="0" w:color="auto"/>
                                    <w:left w:val="none" w:sz="0" w:space="0" w:color="auto"/>
                                    <w:bottom w:val="none" w:sz="0" w:space="0" w:color="auto"/>
                                    <w:right w:val="none" w:sz="0" w:space="0" w:color="auto"/>
                                  </w:divBdr>
                                  <w:divsChild>
                                    <w:div w:id="218980758">
                                      <w:marLeft w:val="0"/>
                                      <w:marRight w:val="0"/>
                                      <w:marTop w:val="0"/>
                                      <w:marBottom w:val="0"/>
                                      <w:divBdr>
                                        <w:top w:val="none" w:sz="0" w:space="0" w:color="auto"/>
                                        <w:left w:val="none" w:sz="0" w:space="0" w:color="auto"/>
                                        <w:bottom w:val="none" w:sz="0" w:space="0" w:color="auto"/>
                                        <w:right w:val="none" w:sz="0" w:space="0" w:color="auto"/>
                                      </w:divBdr>
                                      <w:divsChild>
                                        <w:div w:id="1223635618">
                                          <w:marLeft w:val="0"/>
                                          <w:marRight w:val="0"/>
                                          <w:marTop w:val="0"/>
                                          <w:marBottom w:val="0"/>
                                          <w:divBdr>
                                            <w:top w:val="none" w:sz="0" w:space="0" w:color="auto"/>
                                            <w:left w:val="none" w:sz="0" w:space="0" w:color="auto"/>
                                            <w:bottom w:val="none" w:sz="0" w:space="0" w:color="auto"/>
                                            <w:right w:val="none" w:sz="0" w:space="0" w:color="auto"/>
                                          </w:divBdr>
                                          <w:divsChild>
                                            <w:div w:id="383454000">
                                              <w:marLeft w:val="0"/>
                                              <w:marRight w:val="0"/>
                                              <w:marTop w:val="0"/>
                                              <w:marBottom w:val="0"/>
                                              <w:divBdr>
                                                <w:top w:val="none" w:sz="0" w:space="0" w:color="auto"/>
                                                <w:left w:val="none" w:sz="0" w:space="0" w:color="auto"/>
                                                <w:bottom w:val="none" w:sz="0" w:space="0" w:color="auto"/>
                                                <w:right w:val="none" w:sz="0" w:space="0" w:color="auto"/>
                                              </w:divBdr>
                                              <w:divsChild>
                                                <w:div w:id="1419332037">
                                                  <w:marLeft w:val="0"/>
                                                  <w:marRight w:val="0"/>
                                                  <w:marTop w:val="0"/>
                                                  <w:marBottom w:val="0"/>
                                                  <w:divBdr>
                                                    <w:top w:val="none" w:sz="0" w:space="0" w:color="auto"/>
                                                    <w:left w:val="none" w:sz="0" w:space="0" w:color="auto"/>
                                                    <w:bottom w:val="none" w:sz="0" w:space="0" w:color="auto"/>
                                                    <w:right w:val="none" w:sz="0" w:space="0" w:color="auto"/>
                                                  </w:divBdr>
                                                  <w:divsChild>
                                                    <w:div w:id="1594707615">
                                                      <w:marLeft w:val="0"/>
                                                      <w:marRight w:val="0"/>
                                                      <w:marTop w:val="0"/>
                                                      <w:marBottom w:val="0"/>
                                                      <w:divBdr>
                                                        <w:top w:val="none" w:sz="0" w:space="0" w:color="auto"/>
                                                        <w:left w:val="none" w:sz="0" w:space="0" w:color="auto"/>
                                                        <w:bottom w:val="none" w:sz="0" w:space="0" w:color="auto"/>
                                                        <w:right w:val="none" w:sz="0" w:space="0" w:color="auto"/>
                                                      </w:divBdr>
                                                      <w:divsChild>
                                                        <w:div w:id="11757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3086815">
      <w:bodyDiv w:val="1"/>
      <w:marLeft w:val="0"/>
      <w:marRight w:val="0"/>
      <w:marTop w:val="0"/>
      <w:marBottom w:val="0"/>
      <w:divBdr>
        <w:top w:val="none" w:sz="0" w:space="0" w:color="auto"/>
        <w:left w:val="none" w:sz="0" w:space="0" w:color="auto"/>
        <w:bottom w:val="none" w:sz="0" w:space="0" w:color="auto"/>
        <w:right w:val="none" w:sz="0" w:space="0" w:color="auto"/>
      </w:divBdr>
      <w:divsChild>
        <w:div w:id="1231650202">
          <w:marLeft w:val="0"/>
          <w:marRight w:val="0"/>
          <w:marTop w:val="0"/>
          <w:marBottom w:val="0"/>
          <w:divBdr>
            <w:top w:val="none" w:sz="0" w:space="0" w:color="auto"/>
            <w:left w:val="none" w:sz="0" w:space="0" w:color="auto"/>
            <w:bottom w:val="none" w:sz="0" w:space="0" w:color="auto"/>
            <w:right w:val="none" w:sz="0" w:space="0" w:color="auto"/>
          </w:divBdr>
          <w:divsChild>
            <w:div w:id="1901019659">
              <w:marLeft w:val="0"/>
              <w:marRight w:val="0"/>
              <w:marTop w:val="0"/>
              <w:marBottom w:val="0"/>
              <w:divBdr>
                <w:top w:val="none" w:sz="0" w:space="0" w:color="auto"/>
                <w:left w:val="none" w:sz="0" w:space="0" w:color="auto"/>
                <w:bottom w:val="none" w:sz="0" w:space="0" w:color="auto"/>
                <w:right w:val="none" w:sz="0" w:space="0" w:color="auto"/>
              </w:divBdr>
              <w:divsChild>
                <w:div w:id="2007974553">
                  <w:marLeft w:val="0"/>
                  <w:marRight w:val="0"/>
                  <w:marTop w:val="0"/>
                  <w:marBottom w:val="0"/>
                  <w:divBdr>
                    <w:top w:val="none" w:sz="0" w:space="0" w:color="auto"/>
                    <w:left w:val="none" w:sz="0" w:space="0" w:color="auto"/>
                    <w:bottom w:val="none" w:sz="0" w:space="0" w:color="auto"/>
                    <w:right w:val="none" w:sz="0" w:space="0" w:color="auto"/>
                  </w:divBdr>
                  <w:divsChild>
                    <w:div w:id="923490934">
                      <w:marLeft w:val="0"/>
                      <w:marRight w:val="0"/>
                      <w:marTop w:val="0"/>
                      <w:marBottom w:val="0"/>
                      <w:divBdr>
                        <w:top w:val="none" w:sz="0" w:space="0" w:color="auto"/>
                        <w:left w:val="none" w:sz="0" w:space="0" w:color="auto"/>
                        <w:bottom w:val="none" w:sz="0" w:space="0" w:color="auto"/>
                        <w:right w:val="none" w:sz="0" w:space="0" w:color="auto"/>
                      </w:divBdr>
                      <w:divsChild>
                        <w:div w:id="2019189615">
                          <w:marLeft w:val="0"/>
                          <w:marRight w:val="0"/>
                          <w:marTop w:val="0"/>
                          <w:marBottom w:val="0"/>
                          <w:divBdr>
                            <w:top w:val="none" w:sz="0" w:space="0" w:color="auto"/>
                            <w:left w:val="none" w:sz="0" w:space="0" w:color="auto"/>
                            <w:bottom w:val="none" w:sz="0" w:space="0" w:color="auto"/>
                            <w:right w:val="none" w:sz="0" w:space="0" w:color="auto"/>
                          </w:divBdr>
                          <w:divsChild>
                            <w:div w:id="351076635">
                              <w:marLeft w:val="0"/>
                              <w:marRight w:val="0"/>
                              <w:marTop w:val="0"/>
                              <w:marBottom w:val="0"/>
                              <w:divBdr>
                                <w:top w:val="none" w:sz="0" w:space="0" w:color="auto"/>
                                <w:left w:val="none" w:sz="0" w:space="0" w:color="auto"/>
                                <w:bottom w:val="none" w:sz="0" w:space="0" w:color="auto"/>
                                <w:right w:val="none" w:sz="0" w:space="0" w:color="auto"/>
                              </w:divBdr>
                              <w:divsChild>
                                <w:div w:id="282347465">
                                  <w:marLeft w:val="0"/>
                                  <w:marRight w:val="0"/>
                                  <w:marTop w:val="0"/>
                                  <w:marBottom w:val="0"/>
                                  <w:divBdr>
                                    <w:top w:val="none" w:sz="0" w:space="0" w:color="auto"/>
                                    <w:left w:val="none" w:sz="0" w:space="0" w:color="auto"/>
                                    <w:bottom w:val="none" w:sz="0" w:space="0" w:color="auto"/>
                                    <w:right w:val="none" w:sz="0" w:space="0" w:color="auto"/>
                                  </w:divBdr>
                                  <w:divsChild>
                                    <w:div w:id="759832188">
                                      <w:marLeft w:val="0"/>
                                      <w:marRight w:val="0"/>
                                      <w:marTop w:val="0"/>
                                      <w:marBottom w:val="0"/>
                                      <w:divBdr>
                                        <w:top w:val="none" w:sz="0" w:space="0" w:color="auto"/>
                                        <w:left w:val="none" w:sz="0" w:space="0" w:color="auto"/>
                                        <w:bottom w:val="none" w:sz="0" w:space="0" w:color="auto"/>
                                        <w:right w:val="none" w:sz="0" w:space="0" w:color="auto"/>
                                      </w:divBdr>
                                      <w:divsChild>
                                        <w:div w:id="610359643">
                                          <w:marLeft w:val="0"/>
                                          <w:marRight w:val="0"/>
                                          <w:marTop w:val="0"/>
                                          <w:marBottom w:val="0"/>
                                          <w:divBdr>
                                            <w:top w:val="none" w:sz="0" w:space="0" w:color="auto"/>
                                            <w:left w:val="none" w:sz="0" w:space="0" w:color="auto"/>
                                            <w:bottom w:val="none" w:sz="0" w:space="0" w:color="auto"/>
                                            <w:right w:val="none" w:sz="0" w:space="0" w:color="auto"/>
                                          </w:divBdr>
                                          <w:divsChild>
                                            <w:div w:id="1890411281">
                                              <w:marLeft w:val="0"/>
                                              <w:marRight w:val="0"/>
                                              <w:marTop w:val="0"/>
                                              <w:marBottom w:val="0"/>
                                              <w:divBdr>
                                                <w:top w:val="none" w:sz="0" w:space="0" w:color="auto"/>
                                                <w:left w:val="none" w:sz="0" w:space="0" w:color="auto"/>
                                                <w:bottom w:val="none" w:sz="0" w:space="0" w:color="auto"/>
                                                <w:right w:val="none" w:sz="0" w:space="0" w:color="auto"/>
                                              </w:divBdr>
                                              <w:divsChild>
                                                <w:div w:id="684094842">
                                                  <w:marLeft w:val="0"/>
                                                  <w:marRight w:val="0"/>
                                                  <w:marTop w:val="0"/>
                                                  <w:marBottom w:val="0"/>
                                                  <w:divBdr>
                                                    <w:top w:val="none" w:sz="0" w:space="0" w:color="auto"/>
                                                    <w:left w:val="none" w:sz="0" w:space="0" w:color="auto"/>
                                                    <w:bottom w:val="none" w:sz="0" w:space="0" w:color="auto"/>
                                                    <w:right w:val="none" w:sz="0" w:space="0" w:color="auto"/>
                                                  </w:divBdr>
                                                  <w:divsChild>
                                                    <w:div w:id="1649631373">
                                                      <w:marLeft w:val="0"/>
                                                      <w:marRight w:val="0"/>
                                                      <w:marTop w:val="0"/>
                                                      <w:marBottom w:val="0"/>
                                                      <w:divBdr>
                                                        <w:top w:val="none" w:sz="0" w:space="0" w:color="auto"/>
                                                        <w:left w:val="none" w:sz="0" w:space="0" w:color="auto"/>
                                                        <w:bottom w:val="none" w:sz="0" w:space="0" w:color="auto"/>
                                                        <w:right w:val="none" w:sz="0" w:space="0" w:color="auto"/>
                                                      </w:divBdr>
                                                      <w:divsChild>
                                                        <w:div w:id="14733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8755271">
      <w:bodyDiv w:val="1"/>
      <w:marLeft w:val="0"/>
      <w:marRight w:val="0"/>
      <w:marTop w:val="0"/>
      <w:marBottom w:val="0"/>
      <w:divBdr>
        <w:top w:val="none" w:sz="0" w:space="0" w:color="auto"/>
        <w:left w:val="none" w:sz="0" w:space="0" w:color="auto"/>
        <w:bottom w:val="none" w:sz="0" w:space="0" w:color="auto"/>
        <w:right w:val="none" w:sz="0" w:space="0" w:color="auto"/>
      </w:divBdr>
    </w:div>
    <w:div w:id="871267981">
      <w:bodyDiv w:val="1"/>
      <w:marLeft w:val="0"/>
      <w:marRight w:val="0"/>
      <w:marTop w:val="0"/>
      <w:marBottom w:val="0"/>
      <w:divBdr>
        <w:top w:val="none" w:sz="0" w:space="0" w:color="auto"/>
        <w:left w:val="none" w:sz="0" w:space="0" w:color="auto"/>
        <w:bottom w:val="none" w:sz="0" w:space="0" w:color="auto"/>
        <w:right w:val="none" w:sz="0" w:space="0" w:color="auto"/>
      </w:divBdr>
    </w:div>
    <w:div w:id="910888794">
      <w:bodyDiv w:val="1"/>
      <w:marLeft w:val="0"/>
      <w:marRight w:val="0"/>
      <w:marTop w:val="0"/>
      <w:marBottom w:val="0"/>
      <w:divBdr>
        <w:top w:val="none" w:sz="0" w:space="0" w:color="auto"/>
        <w:left w:val="none" w:sz="0" w:space="0" w:color="auto"/>
        <w:bottom w:val="none" w:sz="0" w:space="0" w:color="auto"/>
        <w:right w:val="none" w:sz="0" w:space="0" w:color="auto"/>
      </w:divBdr>
    </w:div>
    <w:div w:id="987169483">
      <w:bodyDiv w:val="1"/>
      <w:marLeft w:val="0"/>
      <w:marRight w:val="0"/>
      <w:marTop w:val="0"/>
      <w:marBottom w:val="0"/>
      <w:divBdr>
        <w:top w:val="none" w:sz="0" w:space="0" w:color="auto"/>
        <w:left w:val="none" w:sz="0" w:space="0" w:color="auto"/>
        <w:bottom w:val="none" w:sz="0" w:space="0" w:color="auto"/>
        <w:right w:val="none" w:sz="0" w:space="0" w:color="auto"/>
      </w:divBdr>
    </w:div>
    <w:div w:id="1049187850">
      <w:bodyDiv w:val="1"/>
      <w:marLeft w:val="0"/>
      <w:marRight w:val="0"/>
      <w:marTop w:val="0"/>
      <w:marBottom w:val="0"/>
      <w:divBdr>
        <w:top w:val="none" w:sz="0" w:space="0" w:color="auto"/>
        <w:left w:val="none" w:sz="0" w:space="0" w:color="auto"/>
        <w:bottom w:val="none" w:sz="0" w:space="0" w:color="auto"/>
        <w:right w:val="none" w:sz="0" w:space="0" w:color="auto"/>
      </w:divBdr>
      <w:divsChild>
        <w:div w:id="1738555648">
          <w:marLeft w:val="0"/>
          <w:marRight w:val="0"/>
          <w:marTop w:val="0"/>
          <w:marBottom w:val="0"/>
          <w:divBdr>
            <w:top w:val="none" w:sz="0" w:space="0" w:color="auto"/>
            <w:left w:val="none" w:sz="0" w:space="0" w:color="auto"/>
            <w:bottom w:val="none" w:sz="0" w:space="0" w:color="auto"/>
            <w:right w:val="none" w:sz="0" w:space="0" w:color="auto"/>
          </w:divBdr>
          <w:divsChild>
            <w:div w:id="331418327">
              <w:marLeft w:val="0"/>
              <w:marRight w:val="0"/>
              <w:marTop w:val="0"/>
              <w:marBottom w:val="0"/>
              <w:divBdr>
                <w:top w:val="none" w:sz="0" w:space="0" w:color="auto"/>
                <w:left w:val="none" w:sz="0" w:space="0" w:color="auto"/>
                <w:bottom w:val="none" w:sz="0" w:space="0" w:color="auto"/>
                <w:right w:val="none" w:sz="0" w:space="0" w:color="auto"/>
              </w:divBdr>
              <w:divsChild>
                <w:div w:id="61216256">
                  <w:marLeft w:val="0"/>
                  <w:marRight w:val="0"/>
                  <w:marTop w:val="0"/>
                  <w:marBottom w:val="0"/>
                  <w:divBdr>
                    <w:top w:val="none" w:sz="0" w:space="0" w:color="auto"/>
                    <w:left w:val="none" w:sz="0" w:space="0" w:color="auto"/>
                    <w:bottom w:val="none" w:sz="0" w:space="0" w:color="auto"/>
                    <w:right w:val="none" w:sz="0" w:space="0" w:color="auto"/>
                  </w:divBdr>
                  <w:divsChild>
                    <w:div w:id="2052420272">
                      <w:marLeft w:val="0"/>
                      <w:marRight w:val="0"/>
                      <w:marTop w:val="0"/>
                      <w:marBottom w:val="0"/>
                      <w:divBdr>
                        <w:top w:val="none" w:sz="0" w:space="0" w:color="auto"/>
                        <w:left w:val="none" w:sz="0" w:space="0" w:color="auto"/>
                        <w:bottom w:val="none" w:sz="0" w:space="0" w:color="auto"/>
                        <w:right w:val="none" w:sz="0" w:space="0" w:color="auto"/>
                      </w:divBdr>
                      <w:divsChild>
                        <w:div w:id="1288004882">
                          <w:marLeft w:val="0"/>
                          <w:marRight w:val="0"/>
                          <w:marTop w:val="0"/>
                          <w:marBottom w:val="0"/>
                          <w:divBdr>
                            <w:top w:val="none" w:sz="0" w:space="0" w:color="auto"/>
                            <w:left w:val="none" w:sz="0" w:space="0" w:color="auto"/>
                            <w:bottom w:val="none" w:sz="0" w:space="0" w:color="auto"/>
                            <w:right w:val="none" w:sz="0" w:space="0" w:color="auto"/>
                          </w:divBdr>
                          <w:divsChild>
                            <w:div w:id="471866879">
                              <w:marLeft w:val="0"/>
                              <w:marRight w:val="0"/>
                              <w:marTop w:val="0"/>
                              <w:marBottom w:val="0"/>
                              <w:divBdr>
                                <w:top w:val="none" w:sz="0" w:space="0" w:color="auto"/>
                                <w:left w:val="none" w:sz="0" w:space="0" w:color="auto"/>
                                <w:bottom w:val="none" w:sz="0" w:space="0" w:color="auto"/>
                                <w:right w:val="none" w:sz="0" w:space="0" w:color="auto"/>
                              </w:divBdr>
                              <w:divsChild>
                                <w:div w:id="1262033058">
                                  <w:marLeft w:val="0"/>
                                  <w:marRight w:val="0"/>
                                  <w:marTop w:val="0"/>
                                  <w:marBottom w:val="0"/>
                                  <w:divBdr>
                                    <w:top w:val="none" w:sz="0" w:space="0" w:color="auto"/>
                                    <w:left w:val="none" w:sz="0" w:space="0" w:color="auto"/>
                                    <w:bottom w:val="none" w:sz="0" w:space="0" w:color="auto"/>
                                    <w:right w:val="none" w:sz="0" w:space="0" w:color="auto"/>
                                  </w:divBdr>
                                  <w:divsChild>
                                    <w:div w:id="716470706">
                                      <w:marLeft w:val="0"/>
                                      <w:marRight w:val="0"/>
                                      <w:marTop w:val="0"/>
                                      <w:marBottom w:val="0"/>
                                      <w:divBdr>
                                        <w:top w:val="none" w:sz="0" w:space="0" w:color="auto"/>
                                        <w:left w:val="none" w:sz="0" w:space="0" w:color="auto"/>
                                        <w:bottom w:val="none" w:sz="0" w:space="0" w:color="auto"/>
                                        <w:right w:val="none" w:sz="0" w:space="0" w:color="auto"/>
                                      </w:divBdr>
                                      <w:divsChild>
                                        <w:div w:id="1302036023">
                                          <w:marLeft w:val="0"/>
                                          <w:marRight w:val="0"/>
                                          <w:marTop w:val="0"/>
                                          <w:marBottom w:val="0"/>
                                          <w:divBdr>
                                            <w:top w:val="none" w:sz="0" w:space="0" w:color="auto"/>
                                            <w:left w:val="none" w:sz="0" w:space="0" w:color="auto"/>
                                            <w:bottom w:val="none" w:sz="0" w:space="0" w:color="auto"/>
                                            <w:right w:val="none" w:sz="0" w:space="0" w:color="auto"/>
                                          </w:divBdr>
                                          <w:divsChild>
                                            <w:div w:id="1515992173">
                                              <w:marLeft w:val="0"/>
                                              <w:marRight w:val="0"/>
                                              <w:marTop w:val="0"/>
                                              <w:marBottom w:val="0"/>
                                              <w:divBdr>
                                                <w:top w:val="none" w:sz="0" w:space="0" w:color="auto"/>
                                                <w:left w:val="none" w:sz="0" w:space="0" w:color="auto"/>
                                                <w:bottom w:val="none" w:sz="0" w:space="0" w:color="auto"/>
                                                <w:right w:val="none" w:sz="0" w:space="0" w:color="auto"/>
                                              </w:divBdr>
                                              <w:divsChild>
                                                <w:div w:id="407264872">
                                                  <w:marLeft w:val="0"/>
                                                  <w:marRight w:val="0"/>
                                                  <w:marTop w:val="0"/>
                                                  <w:marBottom w:val="0"/>
                                                  <w:divBdr>
                                                    <w:top w:val="none" w:sz="0" w:space="0" w:color="auto"/>
                                                    <w:left w:val="none" w:sz="0" w:space="0" w:color="auto"/>
                                                    <w:bottom w:val="none" w:sz="0" w:space="0" w:color="auto"/>
                                                    <w:right w:val="none" w:sz="0" w:space="0" w:color="auto"/>
                                                  </w:divBdr>
                                                  <w:divsChild>
                                                    <w:div w:id="1856797175">
                                                      <w:marLeft w:val="0"/>
                                                      <w:marRight w:val="0"/>
                                                      <w:marTop w:val="0"/>
                                                      <w:marBottom w:val="0"/>
                                                      <w:divBdr>
                                                        <w:top w:val="none" w:sz="0" w:space="0" w:color="auto"/>
                                                        <w:left w:val="none" w:sz="0" w:space="0" w:color="auto"/>
                                                        <w:bottom w:val="none" w:sz="0" w:space="0" w:color="auto"/>
                                                        <w:right w:val="none" w:sz="0" w:space="0" w:color="auto"/>
                                                      </w:divBdr>
                                                      <w:divsChild>
                                                        <w:div w:id="82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135606">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9651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152F-97AC-42D4-A7FB-6A6C4329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3933</Words>
  <Characters>22422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NEWMAN, Trent</cp:lastModifiedBy>
  <cp:revision>2</cp:revision>
  <cp:lastPrinted>2021-07-29T04:32:00Z</cp:lastPrinted>
  <dcterms:created xsi:type="dcterms:W3CDTF">2024-10-18T00:20:00Z</dcterms:created>
  <dcterms:modified xsi:type="dcterms:W3CDTF">2024-10-18T00:20:00Z</dcterms:modified>
</cp:coreProperties>
</file>