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8F1A91" w:rsidRDefault="00FC6D88" w:rsidP="00E2168B">
      <w:pPr>
        <w:spacing w:before="280" w:after="240"/>
        <w:rPr>
          <w:b/>
          <w:sz w:val="32"/>
          <w:szCs w:val="32"/>
        </w:rPr>
      </w:pPr>
      <w:r w:rsidRPr="008F1A91">
        <w:rPr>
          <w:noProof/>
        </w:rPr>
        <w:drawing>
          <wp:anchor distT="0" distB="0" distL="114300" distR="114300" simplePos="0" relativeHeight="251657728"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8F1A91" w:rsidRDefault="00955175" w:rsidP="00955175">
      <w:pPr>
        <w:pStyle w:val="LI-Title"/>
        <w:pBdr>
          <w:top w:val="none" w:sz="0" w:space="0" w:color="auto"/>
        </w:pBdr>
        <w:jc w:val="center"/>
      </w:pPr>
    </w:p>
    <w:p w14:paraId="5B8D4084" w14:textId="77777777" w:rsidR="00955175" w:rsidRPr="008F1A91" w:rsidRDefault="00955175" w:rsidP="00955175">
      <w:pPr>
        <w:pStyle w:val="LI-Title"/>
        <w:pBdr>
          <w:top w:val="none" w:sz="0" w:space="0" w:color="auto"/>
        </w:pBdr>
        <w:jc w:val="center"/>
      </w:pPr>
      <w:r w:rsidRPr="008F1A91">
        <w:t>Explanatory Statement</w:t>
      </w:r>
    </w:p>
    <w:p w14:paraId="54F0DD85" w14:textId="77777777" w:rsidR="00955175" w:rsidRPr="008F1A91" w:rsidRDefault="00955175" w:rsidP="00955175">
      <w:pPr>
        <w:rPr>
          <w:lang w:eastAsia="en-AU"/>
        </w:rPr>
      </w:pPr>
    </w:p>
    <w:p w14:paraId="376F21CA" w14:textId="4FBDB1DE" w:rsidR="00C4170B" w:rsidRPr="008F1A91" w:rsidRDefault="00B53C59" w:rsidP="00C4170B">
      <w:pPr>
        <w:jc w:val="center"/>
        <w:rPr>
          <w:b/>
          <w:i/>
          <w:sz w:val="28"/>
          <w:szCs w:val="28"/>
          <w:lang w:eastAsia="en-AU"/>
        </w:rPr>
      </w:pPr>
      <w:r w:rsidRPr="008F1A91">
        <w:rPr>
          <w:b/>
          <w:i/>
          <w:sz w:val="28"/>
          <w:szCs w:val="28"/>
          <w:lang w:eastAsia="en-AU"/>
        </w:rPr>
        <w:t>ASIC Corporations (Amendment) Instrument 2024/806</w:t>
      </w:r>
    </w:p>
    <w:p w14:paraId="3D70207E" w14:textId="754F608B" w:rsidR="00863657" w:rsidRPr="008F1A91" w:rsidRDefault="00F800C9" w:rsidP="00F800C9">
      <w:pPr>
        <w:pStyle w:val="LI-BodyTextParaa"/>
        <w:ind w:left="0" w:firstLine="0"/>
      </w:pPr>
      <w:r w:rsidRPr="008F1A91">
        <w:t>This is the Explanatory Statement for</w:t>
      </w:r>
      <w:r w:rsidR="00B53C59" w:rsidRPr="008F1A91">
        <w:t xml:space="preserve"> </w:t>
      </w:r>
      <w:r w:rsidR="00B53C59" w:rsidRPr="008F1A91">
        <w:rPr>
          <w:i/>
          <w:iCs/>
        </w:rPr>
        <w:t>ASIC Corporations (Amendment) Instrument 2024/806</w:t>
      </w:r>
      <w:r w:rsidR="00B53C59" w:rsidRPr="008F1A91">
        <w:t>.</w:t>
      </w:r>
      <w:r w:rsidRPr="008F1A91">
        <w:t xml:space="preserve"> </w:t>
      </w:r>
    </w:p>
    <w:p w14:paraId="119B6103" w14:textId="77777777" w:rsidR="00F800C9" w:rsidRPr="008F1A91" w:rsidRDefault="00863657" w:rsidP="00F800C9">
      <w:pPr>
        <w:pStyle w:val="LI-BodyTextParaa"/>
        <w:ind w:left="0" w:firstLine="0"/>
      </w:pPr>
      <w:r w:rsidRPr="008F1A91">
        <w:t>Th</w:t>
      </w:r>
      <w:r w:rsidR="00F800C9" w:rsidRPr="008F1A91">
        <w:t>e</w:t>
      </w:r>
      <w:r w:rsidRPr="008F1A91">
        <w:t xml:space="preserve"> </w:t>
      </w:r>
      <w:r w:rsidR="00F800C9" w:rsidRPr="008F1A91">
        <w:t>Explanatory Statement is approved by the Australian Securities and Investments Commission (</w:t>
      </w:r>
      <w:r w:rsidR="00F800C9" w:rsidRPr="008F1A91">
        <w:rPr>
          <w:b/>
          <w:i/>
        </w:rPr>
        <w:t>ASIC</w:t>
      </w:r>
      <w:r w:rsidR="00F800C9" w:rsidRPr="008F1A91">
        <w:t>).</w:t>
      </w:r>
    </w:p>
    <w:p w14:paraId="10E55E66" w14:textId="77777777" w:rsidR="00F800C9" w:rsidRPr="008F1A91" w:rsidRDefault="005D1FEA" w:rsidP="006D6079">
      <w:pPr>
        <w:pStyle w:val="LI-BodyTextNumbered"/>
        <w:keepNext/>
        <w:ind w:left="0" w:firstLine="0"/>
        <w:rPr>
          <w:b/>
        </w:rPr>
      </w:pPr>
      <w:r w:rsidRPr="008F1A91">
        <w:rPr>
          <w:b/>
        </w:rPr>
        <w:t>Summary</w:t>
      </w:r>
    </w:p>
    <w:p w14:paraId="1CD2A744" w14:textId="5CB5EB51" w:rsidR="00791A24" w:rsidRPr="008F1A91" w:rsidRDefault="00F800C9" w:rsidP="00E97ADE">
      <w:pPr>
        <w:pStyle w:val="LI-BodyTextParaa"/>
        <w:ind w:left="567"/>
      </w:pPr>
      <w:r w:rsidRPr="008F1A91">
        <w:t>1</w:t>
      </w:r>
      <w:r w:rsidR="005D1FEA" w:rsidRPr="008F1A91">
        <w:t>.</w:t>
      </w:r>
      <w:r w:rsidRPr="008F1A91">
        <w:tab/>
      </w:r>
      <w:r w:rsidR="002451BE" w:rsidRPr="008F1A91">
        <w:t>The</w:t>
      </w:r>
      <w:r w:rsidR="00E97ADE" w:rsidRPr="008F1A91">
        <w:t xml:space="preserve"> instrument </w:t>
      </w:r>
      <w:r w:rsidR="003A2F9C" w:rsidRPr="008F1A91">
        <w:t>amends</w:t>
      </w:r>
      <w:r w:rsidR="000527D7" w:rsidRPr="008F1A91">
        <w:t xml:space="preserve"> </w:t>
      </w:r>
      <w:r w:rsidR="000527D7" w:rsidRPr="008F1A91">
        <w:rPr>
          <w:i/>
          <w:iCs/>
        </w:rPr>
        <w:t>ASIC Corporations (Externally-Administered Bodies) Instrument 2015/251</w:t>
      </w:r>
      <w:r w:rsidR="000527D7" w:rsidRPr="008F1A91">
        <w:t xml:space="preserve"> </w:t>
      </w:r>
      <w:r w:rsidR="00E91134" w:rsidRPr="008F1A91">
        <w:t>(</w:t>
      </w:r>
      <w:r w:rsidR="00E91134" w:rsidRPr="008F1A91">
        <w:rPr>
          <w:b/>
          <w:bCs/>
          <w:i/>
          <w:iCs/>
        </w:rPr>
        <w:t>Externally-Administered Bodies Instrument</w:t>
      </w:r>
      <w:r w:rsidR="00E91134" w:rsidRPr="008F1A91">
        <w:t xml:space="preserve">) </w:t>
      </w:r>
      <w:r w:rsidR="000527D7" w:rsidRPr="008F1A91">
        <w:t>and</w:t>
      </w:r>
      <w:r w:rsidR="004D44E7" w:rsidRPr="008F1A91">
        <w:t xml:space="preserve"> </w:t>
      </w:r>
      <w:r w:rsidR="004D44E7" w:rsidRPr="008F1A91">
        <w:rPr>
          <w:i/>
          <w:iCs/>
        </w:rPr>
        <w:t xml:space="preserve">ASIC Corporations (Group Purchasing Bodies) Instrument 2018/751 </w:t>
      </w:r>
      <w:r w:rsidR="00E91134" w:rsidRPr="008F1A91">
        <w:t>(</w:t>
      </w:r>
      <w:r w:rsidR="00E91134" w:rsidRPr="008F1A91">
        <w:rPr>
          <w:b/>
          <w:bCs/>
          <w:i/>
          <w:iCs/>
        </w:rPr>
        <w:t>Group Purchasing Bodies Instrument</w:t>
      </w:r>
      <w:r w:rsidR="00E91134" w:rsidRPr="008F1A91">
        <w:t xml:space="preserve">) </w:t>
      </w:r>
      <w:r w:rsidR="003A2F9C" w:rsidRPr="008F1A91">
        <w:t xml:space="preserve">to take account of the establishment of the </w:t>
      </w:r>
      <w:r w:rsidR="00546788" w:rsidRPr="008F1A91">
        <w:t xml:space="preserve">Administrative Review Tribunal </w:t>
      </w:r>
      <w:r w:rsidR="005B08F2" w:rsidRPr="008F1A91">
        <w:t>(</w:t>
      </w:r>
      <w:r w:rsidR="005B08F2" w:rsidRPr="008F1A91">
        <w:rPr>
          <w:b/>
          <w:bCs/>
          <w:i/>
          <w:iCs/>
        </w:rPr>
        <w:t>ART</w:t>
      </w:r>
      <w:r w:rsidR="005B08F2" w:rsidRPr="008F1A91">
        <w:t xml:space="preserve">) </w:t>
      </w:r>
      <w:r w:rsidR="0017267E" w:rsidRPr="008F1A91">
        <w:t xml:space="preserve">by the </w:t>
      </w:r>
      <w:r w:rsidR="0017267E" w:rsidRPr="008F1A91">
        <w:rPr>
          <w:i/>
          <w:iCs/>
        </w:rPr>
        <w:t>Administrative Review Tribunal Act 2024</w:t>
      </w:r>
      <w:r w:rsidR="0017267E" w:rsidRPr="008F1A91">
        <w:t xml:space="preserve"> (</w:t>
      </w:r>
      <w:r w:rsidR="0017267E" w:rsidRPr="008F1A91">
        <w:rPr>
          <w:b/>
          <w:bCs/>
          <w:i/>
          <w:iCs/>
        </w:rPr>
        <w:t>ART Act</w:t>
      </w:r>
      <w:r w:rsidR="0017267E" w:rsidRPr="008F1A91">
        <w:t xml:space="preserve">) and the abolition of the </w:t>
      </w:r>
      <w:r w:rsidR="004D44E7" w:rsidRPr="008F1A91">
        <w:t xml:space="preserve">Administrative Appeals Tribunal </w:t>
      </w:r>
      <w:r w:rsidR="005B08F2" w:rsidRPr="008F1A91">
        <w:t>(</w:t>
      </w:r>
      <w:r w:rsidR="005B08F2" w:rsidRPr="008F1A91">
        <w:rPr>
          <w:b/>
          <w:bCs/>
          <w:i/>
          <w:iCs/>
        </w:rPr>
        <w:t>AAT</w:t>
      </w:r>
      <w:r w:rsidR="005B08F2" w:rsidRPr="008F1A91">
        <w:t xml:space="preserve">) </w:t>
      </w:r>
      <w:r w:rsidR="004D44E7" w:rsidRPr="008F1A91">
        <w:t xml:space="preserve">by </w:t>
      </w:r>
      <w:r w:rsidR="00553EBA" w:rsidRPr="008F1A91">
        <w:t xml:space="preserve">the </w:t>
      </w:r>
      <w:r w:rsidR="004A7CBF" w:rsidRPr="008F1A91">
        <w:rPr>
          <w:rStyle w:val="normaltextrun"/>
          <w:i/>
          <w:iCs/>
          <w:color w:val="000000"/>
          <w:shd w:val="clear" w:color="auto" w:fill="FFFFFF"/>
        </w:rPr>
        <w:t>Administrative Review Tribunal (Consequential and Transitional Provisions No. 1) Act 2024</w:t>
      </w:r>
      <w:r w:rsidR="00543804" w:rsidRPr="008F1A91">
        <w:rPr>
          <w:rStyle w:val="normaltextrun"/>
          <w:i/>
          <w:iCs/>
          <w:color w:val="000000"/>
          <w:shd w:val="clear" w:color="auto" w:fill="FFFFFF"/>
        </w:rPr>
        <w:t xml:space="preserve"> </w:t>
      </w:r>
      <w:r w:rsidR="00543804" w:rsidRPr="008F1A91">
        <w:rPr>
          <w:rStyle w:val="normaltextrun"/>
          <w:color w:val="000000"/>
          <w:shd w:val="clear" w:color="auto" w:fill="FFFFFF"/>
        </w:rPr>
        <w:t>(</w:t>
      </w:r>
      <w:r w:rsidR="00543804" w:rsidRPr="008F1A91">
        <w:rPr>
          <w:rStyle w:val="normaltextrun"/>
          <w:b/>
          <w:bCs/>
          <w:i/>
          <w:iCs/>
          <w:color w:val="000000"/>
          <w:shd w:val="clear" w:color="auto" w:fill="FFFFFF"/>
        </w:rPr>
        <w:t>ART Consequential and Transitional Provisions Act</w:t>
      </w:r>
      <w:r w:rsidR="00543804" w:rsidRPr="008F1A91">
        <w:rPr>
          <w:rStyle w:val="normaltextrun"/>
          <w:color w:val="000000"/>
          <w:shd w:val="clear" w:color="auto" w:fill="FFFFFF"/>
        </w:rPr>
        <w:t>)</w:t>
      </w:r>
      <w:r w:rsidR="00E97ADE" w:rsidRPr="008F1A91">
        <w:t xml:space="preserve">. </w:t>
      </w:r>
    </w:p>
    <w:p w14:paraId="59A63C44" w14:textId="13902B1D" w:rsidR="005D1FEA" w:rsidRPr="008F1A91" w:rsidRDefault="005D1FEA" w:rsidP="00E97ADE">
      <w:pPr>
        <w:pStyle w:val="LI-BodyTextParaa"/>
        <w:ind w:left="567"/>
        <w:rPr>
          <w:b/>
        </w:rPr>
      </w:pPr>
      <w:r w:rsidRPr="008F1A91">
        <w:rPr>
          <w:b/>
        </w:rPr>
        <w:t>Purpose of the instrument</w:t>
      </w:r>
    </w:p>
    <w:p w14:paraId="5962D771" w14:textId="74FBDC9B" w:rsidR="005D1FEA" w:rsidRPr="00FE2FB8" w:rsidRDefault="00863657" w:rsidP="005D1FEA">
      <w:pPr>
        <w:pStyle w:val="LI-BodyTextParaa"/>
        <w:ind w:left="567"/>
        <w:rPr>
          <w:bCs/>
        </w:rPr>
      </w:pPr>
      <w:r w:rsidRPr="008F1A91">
        <w:t>2</w:t>
      </w:r>
      <w:r w:rsidR="00F03BB5" w:rsidRPr="008F1A91">
        <w:t>.</w:t>
      </w:r>
      <w:r w:rsidR="005D1FEA" w:rsidRPr="008F1A91">
        <w:tab/>
      </w:r>
      <w:r w:rsidR="000023E2" w:rsidRPr="008F1A91">
        <w:t xml:space="preserve">The instrument </w:t>
      </w:r>
      <w:r w:rsidR="00C36F90" w:rsidRPr="008F1A91">
        <w:t>omits</w:t>
      </w:r>
      <w:r w:rsidR="000023E2" w:rsidRPr="008F1A91">
        <w:t xml:space="preserve"> references </w:t>
      </w:r>
      <w:r w:rsidR="00C36F90" w:rsidRPr="008F1A91">
        <w:t>to</w:t>
      </w:r>
      <w:r w:rsidR="000023E2" w:rsidRPr="008F1A91">
        <w:t xml:space="preserve"> the AAT </w:t>
      </w:r>
      <w:r w:rsidR="00F27CCD" w:rsidRPr="008F1A91">
        <w:t>in</w:t>
      </w:r>
      <w:r w:rsidR="00116BC7" w:rsidRPr="008F1A91">
        <w:t xml:space="preserve"> th</w:t>
      </w:r>
      <w:bookmarkStart w:id="0" w:name="_Hlk178930843"/>
      <w:r w:rsidR="00116BC7" w:rsidRPr="008F1A91">
        <w:t>e</w:t>
      </w:r>
      <w:r w:rsidR="00F27CCD" w:rsidRPr="008F1A91">
        <w:t xml:space="preserve"> </w:t>
      </w:r>
      <w:proofErr w:type="gramStart"/>
      <w:r w:rsidR="00116BC7" w:rsidRPr="008F1A91">
        <w:t>Externally-Administered</w:t>
      </w:r>
      <w:proofErr w:type="gramEnd"/>
      <w:r w:rsidR="00116BC7" w:rsidRPr="008F1A91">
        <w:t xml:space="preserve"> Bodies Instrument and the Group Purchasing Bodies Instrument</w:t>
      </w:r>
      <w:bookmarkEnd w:id="0"/>
      <w:r w:rsidR="00C36F90" w:rsidRPr="008F1A91">
        <w:t xml:space="preserve"> and replaces those with references to the ART</w:t>
      </w:r>
      <w:r w:rsidR="00116BC7" w:rsidRPr="008F1A91">
        <w:t>,</w:t>
      </w:r>
      <w:r w:rsidR="000023E2" w:rsidRPr="008F1A91">
        <w:t xml:space="preserve"> coinciding with the abolition of the AAT and the commencement of the ART on 14 October 2024</w:t>
      </w:r>
      <w:r w:rsidR="000023E2" w:rsidRPr="000023E2">
        <w:t xml:space="preserve">, </w:t>
      </w:r>
    </w:p>
    <w:p w14:paraId="3FEFE29E" w14:textId="77777777" w:rsidR="009A3F74" w:rsidRDefault="009A3F74" w:rsidP="006D6079">
      <w:pPr>
        <w:pStyle w:val="LI-BodyTextNumbered"/>
        <w:keepNext/>
        <w:ind w:left="0" w:firstLine="0"/>
        <w:rPr>
          <w:b/>
        </w:rPr>
      </w:pPr>
      <w:bookmarkStart w:id="1" w:name="_Hlk534291624"/>
      <w:r>
        <w:rPr>
          <w:b/>
        </w:rPr>
        <w:t>Consultation</w:t>
      </w:r>
    </w:p>
    <w:p w14:paraId="70D595B2" w14:textId="7D4B0B75" w:rsidR="009A3F74" w:rsidRPr="00FE2FB8" w:rsidRDefault="00863657" w:rsidP="009A3F74">
      <w:pPr>
        <w:pStyle w:val="LI-BodyTextParaa"/>
        <w:ind w:left="567"/>
        <w:rPr>
          <w:bCs/>
        </w:rPr>
      </w:pPr>
      <w:r>
        <w:t>3</w:t>
      </w:r>
      <w:r w:rsidR="009A3F74">
        <w:t>.</w:t>
      </w:r>
      <w:r w:rsidR="009A3F74">
        <w:tab/>
      </w:r>
      <w:r w:rsidR="008635A8">
        <w:t xml:space="preserve">Consultation </w:t>
      </w:r>
      <w:r w:rsidR="008635A8">
        <w:rPr>
          <w:rStyle w:val="normaltextrun"/>
          <w:color w:val="000000"/>
          <w:shd w:val="clear" w:color="auto" w:fill="FFFFFF"/>
        </w:rPr>
        <w:t>in relation to this instrument was not undertaken by ASIC as the instrument only makes amendments of a minor or machinery nature</w:t>
      </w:r>
      <w:r w:rsidR="006232BA">
        <w:rPr>
          <w:rStyle w:val="normaltextrun"/>
          <w:color w:val="000000"/>
          <w:shd w:val="clear" w:color="auto" w:fill="FFFFFF"/>
        </w:rPr>
        <w:t xml:space="preserve"> that are consequential on the </w:t>
      </w:r>
      <w:r w:rsidR="00543804">
        <w:rPr>
          <w:rStyle w:val="normaltextrun"/>
          <w:color w:val="000000"/>
          <w:shd w:val="clear" w:color="auto" w:fill="FFFFFF"/>
        </w:rPr>
        <w:t>commencement</w:t>
      </w:r>
      <w:r w:rsidR="006232BA">
        <w:rPr>
          <w:rStyle w:val="normaltextrun"/>
          <w:color w:val="000000"/>
          <w:shd w:val="clear" w:color="auto" w:fill="FFFFFF"/>
        </w:rPr>
        <w:t xml:space="preserve"> of the </w:t>
      </w:r>
      <w:r w:rsidR="00543804">
        <w:rPr>
          <w:rStyle w:val="normaltextrun"/>
          <w:color w:val="000000"/>
          <w:shd w:val="clear" w:color="auto" w:fill="FFFFFF"/>
        </w:rPr>
        <w:t>ART Act</w:t>
      </w:r>
      <w:r w:rsidR="008635A8">
        <w:rPr>
          <w:rStyle w:val="normaltextrun"/>
          <w:color w:val="000000"/>
          <w:shd w:val="clear" w:color="auto" w:fill="FFFFFF"/>
        </w:rPr>
        <w:t>.</w:t>
      </w:r>
    </w:p>
    <w:p w14:paraId="4CDCC6BF" w14:textId="77777777" w:rsidR="005D1FEA" w:rsidRDefault="005D1FEA" w:rsidP="006D6079">
      <w:pPr>
        <w:pStyle w:val="LI-BodyTextNumbered"/>
        <w:keepNext/>
        <w:ind w:left="0" w:firstLine="0"/>
        <w:rPr>
          <w:b/>
        </w:rPr>
      </w:pPr>
      <w:r>
        <w:rPr>
          <w:b/>
        </w:rPr>
        <w:t>Operation of the instrument</w:t>
      </w:r>
    </w:p>
    <w:p w14:paraId="4CC17B9B" w14:textId="6AA7EA66" w:rsidR="00474B52" w:rsidRDefault="00863657" w:rsidP="005D1FEA">
      <w:pPr>
        <w:pStyle w:val="LI-BodyTextParaa"/>
        <w:ind w:left="567"/>
        <w:rPr>
          <w:i/>
        </w:rPr>
      </w:pPr>
      <w:r>
        <w:t>4</w:t>
      </w:r>
      <w:r w:rsidR="005D1FEA">
        <w:t>.</w:t>
      </w:r>
      <w:r w:rsidR="005D1FEA">
        <w:tab/>
      </w:r>
      <w:r w:rsidR="002451BE">
        <w:t xml:space="preserve">Section 2 of the instrument provides that it commences on 14 October 2024. This coincides with the date that the AAT is </w:t>
      </w:r>
      <w:proofErr w:type="gramStart"/>
      <w:r w:rsidR="002451BE">
        <w:t>abolished</w:t>
      </w:r>
      <w:proofErr w:type="gramEnd"/>
      <w:r w:rsidR="002451BE">
        <w:t xml:space="preserve"> and the ART commences. </w:t>
      </w:r>
      <w:r w:rsidR="00474B52">
        <w:rPr>
          <w:i/>
        </w:rPr>
        <w:t xml:space="preserve"> </w:t>
      </w:r>
    </w:p>
    <w:p w14:paraId="35AFCA91" w14:textId="74F3901E" w:rsidR="00D20A4B" w:rsidRDefault="00863657" w:rsidP="005D1FEA">
      <w:pPr>
        <w:pStyle w:val="LI-BodyTextParaa"/>
        <w:ind w:left="567"/>
      </w:pPr>
      <w:r>
        <w:t>5</w:t>
      </w:r>
      <w:r w:rsidR="00474B52" w:rsidRPr="00474B52">
        <w:t>.</w:t>
      </w:r>
      <w:r w:rsidR="00474B52">
        <w:rPr>
          <w:i/>
        </w:rPr>
        <w:tab/>
      </w:r>
      <w:r w:rsidR="002451BE">
        <w:rPr>
          <w:iCs/>
        </w:rPr>
        <w:t xml:space="preserve">Items 1 </w:t>
      </w:r>
      <w:r w:rsidR="00C36F90">
        <w:rPr>
          <w:iCs/>
        </w:rPr>
        <w:t>to 3</w:t>
      </w:r>
      <w:r w:rsidR="002451BE">
        <w:rPr>
          <w:iCs/>
        </w:rPr>
        <w:t xml:space="preserve"> of Schedule 1 to the instrument amend </w:t>
      </w:r>
      <w:r w:rsidR="00C36F90">
        <w:rPr>
          <w:iCs/>
        </w:rPr>
        <w:t xml:space="preserve">the </w:t>
      </w:r>
      <w:proofErr w:type="gramStart"/>
      <w:r w:rsidR="00C36F90" w:rsidRPr="00116BC7">
        <w:t>Externally-Administered</w:t>
      </w:r>
      <w:proofErr w:type="gramEnd"/>
      <w:r w:rsidR="00C36F90" w:rsidRPr="00116BC7">
        <w:t xml:space="preserve"> Bodies Instrument</w:t>
      </w:r>
      <w:r w:rsidR="00C36F90">
        <w:t xml:space="preserve"> to omit references to the </w:t>
      </w:r>
      <w:r w:rsidR="00C36F90" w:rsidRPr="00C36F90">
        <w:rPr>
          <w:i/>
          <w:iCs/>
        </w:rPr>
        <w:t xml:space="preserve">Administrative Appeals Tribunal Act </w:t>
      </w:r>
      <w:r w:rsidR="00C36F90" w:rsidRPr="00C36F90">
        <w:rPr>
          <w:i/>
          <w:iCs/>
        </w:rPr>
        <w:lastRenderedPageBreak/>
        <w:t xml:space="preserve">1975 </w:t>
      </w:r>
      <w:r w:rsidR="00C36F90">
        <w:t xml:space="preserve">and the Administrative Appeals Tribunal and replace those with references to the </w:t>
      </w:r>
      <w:r w:rsidR="00C36F90" w:rsidRPr="006A5D1B">
        <w:rPr>
          <w:i/>
          <w:iCs/>
        </w:rPr>
        <w:t>Administrative Review Tribunal Act 2024</w:t>
      </w:r>
      <w:r w:rsidR="00C36F90">
        <w:t xml:space="preserve"> and the Administrative Review Tribunal.</w:t>
      </w:r>
    </w:p>
    <w:p w14:paraId="33FAEDAD" w14:textId="7FCB2F72" w:rsidR="00474B52" w:rsidRPr="00C36F90" w:rsidRDefault="00E20CE0" w:rsidP="00C36F90">
      <w:pPr>
        <w:pStyle w:val="LI-BodyTextParaa"/>
        <w:ind w:left="567"/>
      </w:pPr>
      <w:r>
        <w:t>6</w:t>
      </w:r>
      <w:r w:rsidR="00C36F90" w:rsidRPr="00474B52">
        <w:t>.</w:t>
      </w:r>
      <w:r w:rsidR="00C36F90">
        <w:rPr>
          <w:i/>
        </w:rPr>
        <w:tab/>
      </w:r>
      <w:r w:rsidR="00C36F90">
        <w:rPr>
          <w:iCs/>
        </w:rPr>
        <w:t xml:space="preserve">Items 4 and 5 of Schedule 1 to the instrument amend the </w:t>
      </w:r>
      <w:r w:rsidR="00C36F90" w:rsidRPr="00116BC7">
        <w:t>Group Purchasing Bodies Instrument</w:t>
      </w:r>
      <w:r w:rsidR="00C36F90">
        <w:t xml:space="preserve"> to omit references to the </w:t>
      </w:r>
      <w:r w:rsidR="00C36F90" w:rsidRPr="00C36F90">
        <w:rPr>
          <w:i/>
          <w:iCs/>
        </w:rPr>
        <w:t xml:space="preserve">Administrative Appeals Tribunal Act 1975 </w:t>
      </w:r>
      <w:r w:rsidR="00C36F90">
        <w:t xml:space="preserve">and the Administrative Appeals Tribunal and replace those with references to the </w:t>
      </w:r>
      <w:r w:rsidR="00C36F90" w:rsidRPr="006A5D1B">
        <w:rPr>
          <w:i/>
          <w:iCs/>
        </w:rPr>
        <w:t>Administrative Review Tribunal Act 2024</w:t>
      </w:r>
      <w:r w:rsidR="00C36F90">
        <w:t xml:space="preserve"> and the Administrative Review Tribunal.</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6E0E4259" w14:textId="5290E7FE" w:rsidR="002451BE" w:rsidRDefault="00E20CE0" w:rsidP="001E7E2B">
      <w:pPr>
        <w:pStyle w:val="LI-BodyTextParaa"/>
        <w:ind w:left="567"/>
      </w:pPr>
      <w:r>
        <w:t>7</w:t>
      </w:r>
      <w:r w:rsidR="00C52E7C">
        <w:t>.</w:t>
      </w:r>
      <w:r w:rsidR="00C52E7C">
        <w:tab/>
      </w:r>
      <w:r w:rsidR="002451BE">
        <w:rPr>
          <w:rStyle w:val="normaltextrun"/>
          <w:color w:val="000000"/>
          <w:shd w:val="clear" w:color="auto" w:fill="FFFFFF"/>
        </w:rPr>
        <w:t>The instrument makes amendments to legislative instruments that are designed to ensure consistent application with primary legislation and apply in a way consistent with the intended policy and the enabling provisions in primary legislation.</w:t>
      </w:r>
      <w:r w:rsidR="002451BE">
        <w:t xml:space="preserve"> </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1D375D98" w14:textId="353A4D13" w:rsidR="00F61A66" w:rsidRDefault="00E20CE0" w:rsidP="00F61A66">
      <w:pPr>
        <w:pStyle w:val="LI-BodyTextParaa"/>
        <w:ind w:left="567"/>
      </w:pPr>
      <w:r>
        <w:t>8</w:t>
      </w:r>
      <w:r w:rsidR="00F61A66" w:rsidRPr="006D6079">
        <w:t>.</w:t>
      </w:r>
      <w:r w:rsidR="00F61A66" w:rsidRPr="006D6079">
        <w:tab/>
      </w:r>
      <w:r w:rsidR="00B12867" w:rsidRPr="00E46C34">
        <w:t xml:space="preserve">The duration of the amendments made by the </w:t>
      </w:r>
      <w:r w:rsidR="000F07B4" w:rsidRPr="00E46C34">
        <w:t>instrument will coincide with the duration</w:t>
      </w:r>
      <w:r w:rsidR="00E46C34">
        <w:t>s</w:t>
      </w:r>
      <w:r w:rsidR="000F07B4" w:rsidRPr="00E46C34">
        <w:t xml:space="preserve"> of the </w:t>
      </w:r>
      <w:proofErr w:type="gramStart"/>
      <w:r w:rsidR="000F07B4" w:rsidRPr="00E46C34">
        <w:t>Externally-Administered</w:t>
      </w:r>
      <w:proofErr w:type="gramEnd"/>
      <w:r w:rsidR="000F07B4" w:rsidRPr="00E46C34">
        <w:t xml:space="preserve"> Bodies Instrument and the Group Purchasing Bodies Instrument, which are due to sunset on </w:t>
      </w:r>
      <w:r w:rsidR="005E0C97">
        <w:t xml:space="preserve">1 October 2025 and </w:t>
      </w:r>
      <w:r w:rsidR="007C0CF8" w:rsidRPr="00E46C34">
        <w:t>1 October 2028 respectively.</w:t>
      </w:r>
    </w:p>
    <w:bookmarkEnd w:id="1"/>
    <w:p w14:paraId="6E228E05" w14:textId="77777777" w:rsidR="00F03BB5" w:rsidRDefault="00474B52" w:rsidP="006D6079">
      <w:pPr>
        <w:pStyle w:val="LI-BodyTextNumbered"/>
        <w:keepNext/>
        <w:ind w:left="0" w:firstLine="0"/>
        <w:rPr>
          <w:b/>
        </w:rPr>
      </w:pPr>
      <w:r>
        <w:rPr>
          <w:b/>
        </w:rPr>
        <w:t>Legislative authority</w:t>
      </w:r>
    </w:p>
    <w:p w14:paraId="3EAF355A" w14:textId="0CAC0C6A" w:rsidR="009A3F74" w:rsidRDefault="00E20CE0" w:rsidP="00F03BB5">
      <w:pPr>
        <w:pStyle w:val="LI-BodyTextParaa"/>
        <w:ind w:left="567"/>
        <w:rPr>
          <w:color w:val="000000"/>
        </w:rPr>
      </w:pPr>
      <w:r>
        <w:t>9</w:t>
      </w:r>
      <w:r w:rsidR="00F03BB5">
        <w:t>.</w:t>
      </w:r>
      <w:r w:rsidR="00F03BB5">
        <w:tab/>
      </w:r>
      <w:r w:rsidR="000367D2">
        <w:t xml:space="preserve">The instrument is made under </w:t>
      </w:r>
      <w:r w:rsidR="00A9263F">
        <w:t>250PAA, 341,</w:t>
      </w:r>
      <w:r w:rsidR="00A9263F">
        <w:rPr>
          <w:color w:val="000000"/>
        </w:rPr>
        <w:t xml:space="preserve"> 341A, 601QA, 926A, 951B, 992B and 1217 of the </w:t>
      </w:r>
      <w:r w:rsidR="00A9263F" w:rsidRPr="00C36F90">
        <w:rPr>
          <w:i/>
          <w:iCs/>
          <w:color w:val="000000"/>
        </w:rPr>
        <w:t>Corporations Act 2001</w:t>
      </w:r>
      <w:r w:rsidR="00A9263F">
        <w:rPr>
          <w:color w:val="000000"/>
        </w:rPr>
        <w:t>.</w:t>
      </w:r>
    </w:p>
    <w:p w14:paraId="1C2325CD" w14:textId="72234C10" w:rsidR="002078EC" w:rsidRDefault="00E20CE0" w:rsidP="00F03BB5">
      <w:pPr>
        <w:pStyle w:val="LI-BodyTextParaa"/>
        <w:ind w:left="567"/>
        <w:rPr>
          <w:color w:val="000000"/>
        </w:rPr>
      </w:pPr>
      <w:r>
        <w:t>10</w:t>
      </w:r>
      <w:r w:rsidR="002078EC">
        <w:t>.</w:t>
      </w:r>
      <w:r w:rsidR="002078EC">
        <w:tab/>
        <w:t>To make an order under section 341 or 341A, ASIC must be satisfied that complying with the relevant requirements of Parts 2M.2, 2M.3 and 2M.4 of the Act would make the financial report</w:t>
      </w:r>
      <w:r w:rsidR="00F62A8C">
        <w:t>, sustainability report</w:t>
      </w:r>
      <w:r w:rsidR="002078EC">
        <w:t xml:space="preserve"> or other reports misleading, or be inappropriate in the circumstances or impose unreasonable burdens.</w:t>
      </w:r>
    </w:p>
    <w:p w14:paraId="1977FB3E" w14:textId="19236AA2" w:rsidR="00C36F90" w:rsidRDefault="009A022D" w:rsidP="00F03BB5">
      <w:pPr>
        <w:pStyle w:val="LI-BodyTextParaa"/>
        <w:ind w:left="567"/>
        <w:rPr>
          <w:rStyle w:val="normaltextrun"/>
          <w:color w:val="000000"/>
          <w:shd w:val="clear" w:color="auto" w:fill="FFFFFF"/>
        </w:rPr>
      </w:pPr>
      <w:r>
        <w:rPr>
          <w:rStyle w:val="normaltextrun"/>
          <w:color w:val="000000"/>
          <w:shd w:val="clear" w:color="auto" w:fill="FFFFFF"/>
        </w:rPr>
        <w:t>1</w:t>
      </w:r>
      <w:r w:rsidR="00E20CE0">
        <w:rPr>
          <w:rStyle w:val="normaltextrun"/>
          <w:color w:val="000000"/>
          <w:shd w:val="clear" w:color="auto" w:fill="FFFFFF"/>
        </w:rPr>
        <w:t>1</w:t>
      </w:r>
      <w:r w:rsidR="00C36F90">
        <w:rPr>
          <w:rStyle w:val="normaltextrun"/>
          <w:color w:val="000000"/>
          <w:shd w:val="clear" w:color="auto" w:fill="FFFFFF"/>
        </w:rPr>
        <w:t>.</w:t>
      </w:r>
      <w:r w:rsidR="00C36F90">
        <w:rPr>
          <w:rStyle w:val="normaltextrun"/>
          <w:color w:val="000000"/>
          <w:shd w:val="clear" w:color="auto" w:fill="FFFFFF"/>
        </w:rPr>
        <w:tab/>
        <w:t xml:space="preserve">Under subsection 33(3) of the </w:t>
      </w:r>
      <w:r w:rsidR="00C36F90">
        <w:rPr>
          <w:rStyle w:val="normaltextrun"/>
          <w:i/>
          <w:iCs/>
          <w:color w:val="000000"/>
          <w:shd w:val="clear" w:color="auto" w:fill="FFFFFF"/>
        </w:rPr>
        <w:t>Acts Interpretation Act 1901</w:t>
      </w:r>
      <w:r w:rsidR="00C36F90">
        <w:rPr>
          <w:rStyle w:val="normaltextrun"/>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0BFD309" w14:textId="709FA70D" w:rsidR="009666FC" w:rsidRDefault="009666FC" w:rsidP="00F03BB5">
      <w:pPr>
        <w:pStyle w:val="LI-BodyTextParaa"/>
        <w:ind w:left="567"/>
      </w:pPr>
      <w:r>
        <w:rPr>
          <w:rStyle w:val="normaltextrun"/>
          <w:color w:val="000000"/>
          <w:shd w:val="clear" w:color="auto" w:fill="FFFFFF"/>
        </w:rPr>
        <w:t>1</w:t>
      </w:r>
      <w:r w:rsidR="00E20CE0">
        <w:rPr>
          <w:rStyle w:val="normaltextrun"/>
          <w:color w:val="000000"/>
          <w:shd w:val="clear" w:color="auto" w:fill="FFFFFF"/>
        </w:rPr>
        <w:t>2</w:t>
      </w:r>
      <w:r>
        <w:rPr>
          <w:rStyle w:val="normaltextrun"/>
          <w:color w:val="000000"/>
          <w:shd w:val="clear" w:color="auto" w:fill="FFFFFF"/>
        </w:rPr>
        <w:t>.</w:t>
      </w:r>
      <w:r>
        <w:rPr>
          <w:rStyle w:val="normaltextrun"/>
          <w:color w:val="000000"/>
          <w:shd w:val="clear" w:color="auto" w:fill="FFFFFF"/>
        </w:rPr>
        <w:tab/>
        <w:t xml:space="preserve">Section 13(1) of the ART Act provides that a legislative instrument may provide for an application to be made to the ART for review of a decision made under the instrument. </w:t>
      </w:r>
    </w:p>
    <w:p w14:paraId="7D3AA32E" w14:textId="094F7FF5" w:rsidR="00435EEF" w:rsidRDefault="00946759" w:rsidP="00435EEF">
      <w:pPr>
        <w:pStyle w:val="LI-BodyTextParaa"/>
        <w:ind w:left="567"/>
      </w:pPr>
      <w:r>
        <w:t>1</w:t>
      </w:r>
      <w:r w:rsidR="00E20CE0">
        <w:t>3</w:t>
      </w:r>
      <w:r>
        <w:t>.</w:t>
      </w:r>
      <w:r>
        <w:tab/>
      </w:r>
      <w:r w:rsidR="00A9263F">
        <w:t xml:space="preserve">The instrument is a </w:t>
      </w:r>
      <w:r w:rsidRPr="00A9263F">
        <w:rPr>
          <w:iCs/>
        </w:rPr>
        <w:t>disallowable legislative instrument.</w:t>
      </w:r>
      <w:r>
        <w:rPr>
          <w:i/>
        </w:rPr>
        <w:t xml:space="preserve"> </w:t>
      </w:r>
    </w:p>
    <w:p w14:paraId="4D930F2D" w14:textId="77777777" w:rsidR="00EA17A6" w:rsidRPr="00EA17A6" w:rsidRDefault="00EA17A6" w:rsidP="006D6079">
      <w:pPr>
        <w:pStyle w:val="LI-BodyTextNumbered"/>
        <w:keepNext/>
        <w:ind w:left="0" w:firstLine="0"/>
        <w:rPr>
          <w:b/>
        </w:rPr>
      </w:pPr>
      <w:r w:rsidRPr="00EA17A6">
        <w:rPr>
          <w:b/>
        </w:rPr>
        <w:lastRenderedPageBreak/>
        <w:t xml:space="preserve">Statement of Compatibility with Human Rights  </w:t>
      </w:r>
    </w:p>
    <w:p w14:paraId="1DBA07BE" w14:textId="1116AF37" w:rsidR="00223DCF" w:rsidRPr="00EA17A6" w:rsidRDefault="00223DCF" w:rsidP="00435EEF">
      <w:pPr>
        <w:pStyle w:val="LI-BodyTextParaa"/>
        <w:ind w:left="567"/>
      </w:pPr>
      <w:r w:rsidRPr="00EA17A6">
        <w:t>1</w:t>
      </w:r>
      <w:r w:rsidR="00E20CE0">
        <w:t>4</w:t>
      </w:r>
      <w:r w:rsidRPr="00EA17A6">
        <w:t>.</w:t>
      </w:r>
      <w:r w:rsidRPr="00EA17A6">
        <w:tab/>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245C54D6" w:rsidR="00223DCF" w:rsidRPr="00EA17A6" w:rsidRDefault="0014299B" w:rsidP="00223DCF">
      <w:pPr>
        <w:pStyle w:val="LI-BodyTextNumbered"/>
        <w:ind w:left="0" w:firstLine="0"/>
        <w:rPr>
          <w:b/>
          <w:i/>
        </w:rPr>
      </w:pPr>
      <w:r w:rsidRPr="0014299B">
        <w:rPr>
          <w:b/>
          <w:i/>
        </w:rPr>
        <w:t>ASIC Corporations (Amendment) Instrument 2024/806</w:t>
      </w:r>
    </w:p>
    <w:p w14:paraId="0AD76C9D" w14:textId="77777777" w:rsidR="00223DCF" w:rsidRPr="00EA17A6" w:rsidRDefault="00223DCF" w:rsidP="001872DC">
      <w:pPr>
        <w:pStyle w:val="LI-BodyTextNumbered"/>
        <w:ind w:left="567"/>
        <w:rPr>
          <w:u w:val="single"/>
        </w:rPr>
      </w:pPr>
      <w:r w:rsidRPr="00EA17A6">
        <w:rPr>
          <w:u w:val="single"/>
        </w:rPr>
        <w:t>Overview</w:t>
      </w:r>
    </w:p>
    <w:p w14:paraId="36B8DE46" w14:textId="6D94D7BA" w:rsidR="002451BE" w:rsidRPr="00746662" w:rsidRDefault="002451BE" w:rsidP="00746662">
      <w:pPr>
        <w:pStyle w:val="ListParagraph"/>
        <w:numPr>
          <w:ilvl w:val="0"/>
          <w:numId w:val="15"/>
        </w:numPr>
        <w:spacing w:before="240" w:line="240" w:lineRule="auto"/>
        <w:ind w:left="567" w:hanging="567"/>
      </w:pPr>
      <w:bookmarkStart w:id="4" w:name="_Hlk534286807"/>
      <w:bookmarkEnd w:id="2"/>
      <w:r>
        <w:t>The</w:t>
      </w:r>
      <w:r w:rsidRPr="00E97ADE">
        <w:t xml:space="preserve"> instrument </w:t>
      </w:r>
      <w:r>
        <w:t>amends</w:t>
      </w:r>
      <w:r w:rsidRPr="000527D7">
        <w:t xml:space="preserve"> </w:t>
      </w:r>
      <w:r w:rsidRPr="002451BE">
        <w:rPr>
          <w:i/>
          <w:iCs/>
        </w:rPr>
        <w:t>ASIC Corporations (Externally-Administered Bodies) Instrument 2015/251</w:t>
      </w:r>
      <w:r>
        <w:t xml:space="preserve"> and</w:t>
      </w:r>
      <w:r w:rsidRPr="004D44E7">
        <w:t xml:space="preserve"> </w:t>
      </w:r>
      <w:r w:rsidRPr="002451BE">
        <w:rPr>
          <w:i/>
          <w:iCs/>
        </w:rPr>
        <w:t xml:space="preserve">ASIC Corporations (Group Purchasing Bodies) Instrument 2018/751 </w:t>
      </w:r>
      <w:r>
        <w:t>to take account of the establishment of the Administrative Review Tribunal (</w:t>
      </w:r>
      <w:r w:rsidRPr="002451BE">
        <w:rPr>
          <w:b/>
          <w:bCs/>
          <w:i/>
          <w:iCs/>
        </w:rPr>
        <w:t>ART</w:t>
      </w:r>
      <w:r>
        <w:t>) by the</w:t>
      </w:r>
      <w:r w:rsidRPr="00E97ADE">
        <w:t xml:space="preserve"> </w:t>
      </w:r>
      <w:r w:rsidRPr="002451BE">
        <w:rPr>
          <w:i/>
          <w:iCs/>
        </w:rPr>
        <w:t>Administrative Review Tribunal Act 2024</w:t>
      </w:r>
      <w:r w:rsidRPr="00E97ADE">
        <w:t xml:space="preserve"> (</w:t>
      </w:r>
      <w:r w:rsidRPr="002451BE">
        <w:rPr>
          <w:b/>
          <w:bCs/>
          <w:i/>
          <w:iCs/>
        </w:rPr>
        <w:t>ART Act</w:t>
      </w:r>
      <w:r w:rsidRPr="00E97ADE">
        <w:t xml:space="preserve">) </w:t>
      </w:r>
      <w:r>
        <w:t>and the abolition of the Administrative Appeals Tribunal (</w:t>
      </w:r>
      <w:r w:rsidRPr="002451BE">
        <w:rPr>
          <w:b/>
          <w:bCs/>
          <w:i/>
          <w:iCs/>
        </w:rPr>
        <w:t>AAT</w:t>
      </w:r>
      <w:r>
        <w:t xml:space="preserve">) by the </w:t>
      </w:r>
      <w:r w:rsidRPr="002451BE">
        <w:rPr>
          <w:rStyle w:val="normaltextrun"/>
          <w:i/>
          <w:iCs/>
          <w:color w:val="000000"/>
          <w:shd w:val="clear" w:color="auto" w:fill="FFFFFF"/>
        </w:rPr>
        <w:t xml:space="preserve">Administrative Review Tribunal (Consequential and Transitional Provisions No. 1) Act 2024 </w:t>
      </w:r>
      <w:r w:rsidRPr="002451BE">
        <w:rPr>
          <w:rStyle w:val="normaltextrun"/>
          <w:color w:val="000000"/>
          <w:shd w:val="clear" w:color="auto" w:fill="FFFFFF"/>
        </w:rPr>
        <w:t>(</w:t>
      </w:r>
      <w:r w:rsidRPr="002451BE">
        <w:rPr>
          <w:rStyle w:val="normaltextrun"/>
          <w:b/>
          <w:bCs/>
          <w:i/>
          <w:iCs/>
          <w:color w:val="000000"/>
          <w:shd w:val="clear" w:color="auto" w:fill="FFFFFF"/>
        </w:rPr>
        <w:t>ART Consequential and Transitional Provisions Act</w:t>
      </w:r>
      <w:r w:rsidRPr="002451BE">
        <w:rPr>
          <w:rStyle w:val="normaltextrun"/>
          <w:color w:val="000000"/>
          <w:shd w:val="clear" w:color="auto" w:fill="FFFFFF"/>
        </w:rPr>
        <w:t>)</w:t>
      </w:r>
      <w:r w:rsidRPr="00E97ADE">
        <w:t xml:space="preserve">. </w:t>
      </w:r>
    </w:p>
    <w:p w14:paraId="79BCB1A5" w14:textId="1A652E96" w:rsidR="001872DC" w:rsidRPr="002451BE" w:rsidRDefault="001872DC" w:rsidP="002451BE">
      <w:pPr>
        <w:spacing w:before="240" w:line="240" w:lineRule="auto"/>
        <w:rPr>
          <w:u w:val="single"/>
        </w:rPr>
      </w:pPr>
      <w:r w:rsidRPr="002451BE">
        <w:rPr>
          <w:u w:val="single"/>
        </w:rPr>
        <w:t>Assessment of human rights implications</w:t>
      </w:r>
    </w:p>
    <w:p w14:paraId="56F8130E" w14:textId="660FC95C" w:rsidR="00946759" w:rsidRPr="00EA17A6" w:rsidRDefault="00CB2D96" w:rsidP="00D306F8">
      <w:pPr>
        <w:pStyle w:val="LI-BodyTextNumbered"/>
        <w:ind w:left="567"/>
      </w:pPr>
      <w:r w:rsidRPr="00EA17A6">
        <w:t>2</w:t>
      </w:r>
      <w:r w:rsidR="001872DC" w:rsidRPr="00EA17A6">
        <w:t>.</w:t>
      </w:r>
      <w:r w:rsidR="001872DC" w:rsidRPr="00EA17A6">
        <w:tab/>
      </w:r>
      <w:bookmarkEnd w:id="4"/>
      <w:r w:rsidR="001872DC" w:rsidRPr="00EA17A6">
        <w:t xml:space="preserve">This instrument </w:t>
      </w:r>
      <w:r w:rsidR="00D306F8" w:rsidRPr="00EA17A6">
        <w:t>does not engage any of the applicable rights or freedoms</w:t>
      </w:r>
      <w:r w:rsidR="0014299B">
        <w:t>.</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E521" w14:textId="77777777" w:rsidR="00A559B3" w:rsidRDefault="00A559B3" w:rsidP="00715914">
      <w:pPr>
        <w:spacing w:line="240" w:lineRule="auto"/>
      </w:pPr>
      <w:r>
        <w:separator/>
      </w:r>
    </w:p>
  </w:endnote>
  <w:endnote w:type="continuationSeparator" w:id="0">
    <w:p w14:paraId="738D9810" w14:textId="77777777" w:rsidR="00A559B3" w:rsidRDefault="00A559B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FB1F" w14:textId="77777777" w:rsidR="00A559B3" w:rsidRDefault="00A559B3" w:rsidP="00715914">
      <w:pPr>
        <w:spacing w:line="240" w:lineRule="auto"/>
      </w:pPr>
      <w:r>
        <w:separator/>
      </w:r>
    </w:p>
  </w:footnote>
  <w:footnote w:type="continuationSeparator" w:id="0">
    <w:p w14:paraId="1AE5F566" w14:textId="77777777" w:rsidR="00A559B3" w:rsidRDefault="00A559B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146143"/>
    <w:multiLevelType w:val="hybridMultilevel"/>
    <w:tmpl w:val="D78A6C96"/>
    <w:lvl w:ilvl="0" w:tplc="B546E5AE">
      <w:start w:val="1"/>
      <w:numFmt w:val="decimal"/>
      <w:lvlText w:val="%1."/>
      <w:lvlJc w:val="left"/>
      <w:pPr>
        <w:ind w:left="930" w:hanging="570"/>
      </w:pPr>
      <w:rPr>
        <w:rFonts w:eastAsia="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3"/>
  </w:num>
  <w:num w:numId="12" w16cid:durableId="1380130046">
    <w:abstractNumId w:val="10"/>
  </w:num>
  <w:num w:numId="13" w16cid:durableId="1614940614">
    <w:abstractNumId w:val="11"/>
  </w:num>
  <w:num w:numId="14" w16cid:durableId="1573616542">
    <w:abstractNumId w:val="14"/>
  </w:num>
  <w:num w:numId="15" w16cid:durableId="234246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3E2"/>
    <w:rsid w:val="00004470"/>
    <w:rsid w:val="00005446"/>
    <w:rsid w:val="000136AF"/>
    <w:rsid w:val="00013B8D"/>
    <w:rsid w:val="00015719"/>
    <w:rsid w:val="00023D53"/>
    <w:rsid w:val="000367D2"/>
    <w:rsid w:val="000437C1"/>
    <w:rsid w:val="000527D7"/>
    <w:rsid w:val="0005365D"/>
    <w:rsid w:val="000614BF"/>
    <w:rsid w:val="0006250C"/>
    <w:rsid w:val="00081794"/>
    <w:rsid w:val="00084FF4"/>
    <w:rsid w:val="000A142F"/>
    <w:rsid w:val="000A6C39"/>
    <w:rsid w:val="000B58FA"/>
    <w:rsid w:val="000C55A0"/>
    <w:rsid w:val="000D041F"/>
    <w:rsid w:val="000D05EF"/>
    <w:rsid w:val="000E2261"/>
    <w:rsid w:val="000E3C2E"/>
    <w:rsid w:val="000F07B4"/>
    <w:rsid w:val="000F21C1"/>
    <w:rsid w:val="00102CA6"/>
    <w:rsid w:val="0010745C"/>
    <w:rsid w:val="00116BC7"/>
    <w:rsid w:val="00125141"/>
    <w:rsid w:val="00132CEB"/>
    <w:rsid w:val="0014299B"/>
    <w:rsid w:val="00142B62"/>
    <w:rsid w:val="00153B32"/>
    <w:rsid w:val="00157B8B"/>
    <w:rsid w:val="001624E1"/>
    <w:rsid w:val="00166C2F"/>
    <w:rsid w:val="00171A6E"/>
    <w:rsid w:val="0017267E"/>
    <w:rsid w:val="001809D7"/>
    <w:rsid w:val="001863C3"/>
    <w:rsid w:val="0018659E"/>
    <w:rsid w:val="001872DC"/>
    <w:rsid w:val="001939E1"/>
    <w:rsid w:val="00194C3E"/>
    <w:rsid w:val="00195382"/>
    <w:rsid w:val="00195BD4"/>
    <w:rsid w:val="001C61C5"/>
    <w:rsid w:val="001C69C4"/>
    <w:rsid w:val="001D37EF"/>
    <w:rsid w:val="001E3590"/>
    <w:rsid w:val="001E7407"/>
    <w:rsid w:val="001E77ED"/>
    <w:rsid w:val="001E7E2B"/>
    <w:rsid w:val="001F02B1"/>
    <w:rsid w:val="001F5D5E"/>
    <w:rsid w:val="001F6219"/>
    <w:rsid w:val="001F6CD4"/>
    <w:rsid w:val="00206C4D"/>
    <w:rsid w:val="002078EC"/>
    <w:rsid w:val="0021053C"/>
    <w:rsid w:val="00215AF1"/>
    <w:rsid w:val="0022087F"/>
    <w:rsid w:val="00220A36"/>
    <w:rsid w:val="00223DCF"/>
    <w:rsid w:val="002321E8"/>
    <w:rsid w:val="00236EEC"/>
    <w:rsid w:val="0024010F"/>
    <w:rsid w:val="00240749"/>
    <w:rsid w:val="00243018"/>
    <w:rsid w:val="00243EC0"/>
    <w:rsid w:val="00244742"/>
    <w:rsid w:val="002451BE"/>
    <w:rsid w:val="002564A4"/>
    <w:rsid w:val="0026736C"/>
    <w:rsid w:val="00281308"/>
    <w:rsid w:val="00281813"/>
    <w:rsid w:val="00284719"/>
    <w:rsid w:val="00297ECB"/>
    <w:rsid w:val="002A7328"/>
    <w:rsid w:val="002A7BCF"/>
    <w:rsid w:val="002B19F3"/>
    <w:rsid w:val="002B1A91"/>
    <w:rsid w:val="002B4A0D"/>
    <w:rsid w:val="002C7B6F"/>
    <w:rsid w:val="002D043A"/>
    <w:rsid w:val="002D6224"/>
    <w:rsid w:val="002E3F4B"/>
    <w:rsid w:val="00304F8B"/>
    <w:rsid w:val="00327DDF"/>
    <w:rsid w:val="003354D2"/>
    <w:rsid w:val="00335BC6"/>
    <w:rsid w:val="003415D3"/>
    <w:rsid w:val="00344701"/>
    <w:rsid w:val="003528DA"/>
    <w:rsid w:val="00352B0F"/>
    <w:rsid w:val="00356690"/>
    <w:rsid w:val="00357DD0"/>
    <w:rsid w:val="00360459"/>
    <w:rsid w:val="00365497"/>
    <w:rsid w:val="00387A96"/>
    <w:rsid w:val="003A2178"/>
    <w:rsid w:val="003A2A48"/>
    <w:rsid w:val="003A2F9C"/>
    <w:rsid w:val="003B28C3"/>
    <w:rsid w:val="003B732F"/>
    <w:rsid w:val="003C6231"/>
    <w:rsid w:val="003D0BFE"/>
    <w:rsid w:val="003D5700"/>
    <w:rsid w:val="003E0F99"/>
    <w:rsid w:val="003E341B"/>
    <w:rsid w:val="003F3EFD"/>
    <w:rsid w:val="0040053F"/>
    <w:rsid w:val="004116CD"/>
    <w:rsid w:val="004144EC"/>
    <w:rsid w:val="00417EB9"/>
    <w:rsid w:val="00424CA9"/>
    <w:rsid w:val="00426EC7"/>
    <w:rsid w:val="00431E9B"/>
    <w:rsid w:val="00435EEF"/>
    <w:rsid w:val="004379E3"/>
    <w:rsid w:val="0044015E"/>
    <w:rsid w:val="0044291A"/>
    <w:rsid w:val="00444ABD"/>
    <w:rsid w:val="00447DB4"/>
    <w:rsid w:val="0045007F"/>
    <w:rsid w:val="00460F1D"/>
    <w:rsid w:val="00465DC1"/>
    <w:rsid w:val="00467661"/>
    <w:rsid w:val="004705B7"/>
    <w:rsid w:val="00472DBE"/>
    <w:rsid w:val="00474A19"/>
    <w:rsid w:val="00474B52"/>
    <w:rsid w:val="00481C24"/>
    <w:rsid w:val="00481F6A"/>
    <w:rsid w:val="004823C0"/>
    <w:rsid w:val="0048276B"/>
    <w:rsid w:val="00495D4D"/>
    <w:rsid w:val="00496B5F"/>
    <w:rsid w:val="00496F97"/>
    <w:rsid w:val="004A44FC"/>
    <w:rsid w:val="004A7CBF"/>
    <w:rsid w:val="004B5B44"/>
    <w:rsid w:val="004C1CB1"/>
    <w:rsid w:val="004D44E7"/>
    <w:rsid w:val="004D7E7F"/>
    <w:rsid w:val="004E063A"/>
    <w:rsid w:val="004E7BEC"/>
    <w:rsid w:val="0050044F"/>
    <w:rsid w:val="00505D3D"/>
    <w:rsid w:val="00506AF6"/>
    <w:rsid w:val="00507335"/>
    <w:rsid w:val="00516B8D"/>
    <w:rsid w:val="00517E56"/>
    <w:rsid w:val="00532049"/>
    <w:rsid w:val="005356A7"/>
    <w:rsid w:val="00536184"/>
    <w:rsid w:val="00537FBC"/>
    <w:rsid w:val="00543804"/>
    <w:rsid w:val="00546788"/>
    <w:rsid w:val="00553EBA"/>
    <w:rsid w:val="005574D1"/>
    <w:rsid w:val="00561ABB"/>
    <w:rsid w:val="005657FE"/>
    <w:rsid w:val="00572BB1"/>
    <w:rsid w:val="0057670F"/>
    <w:rsid w:val="00584811"/>
    <w:rsid w:val="00585784"/>
    <w:rsid w:val="00593AA6"/>
    <w:rsid w:val="00594161"/>
    <w:rsid w:val="00594749"/>
    <w:rsid w:val="005B08F2"/>
    <w:rsid w:val="005B4067"/>
    <w:rsid w:val="005B780C"/>
    <w:rsid w:val="005C3F41"/>
    <w:rsid w:val="005D0489"/>
    <w:rsid w:val="005D1770"/>
    <w:rsid w:val="005D1FEA"/>
    <w:rsid w:val="005D2D09"/>
    <w:rsid w:val="005D3D41"/>
    <w:rsid w:val="005E0C97"/>
    <w:rsid w:val="005E4810"/>
    <w:rsid w:val="005F1DB6"/>
    <w:rsid w:val="005F4140"/>
    <w:rsid w:val="005F65CD"/>
    <w:rsid w:val="00600219"/>
    <w:rsid w:val="00601955"/>
    <w:rsid w:val="00603DC4"/>
    <w:rsid w:val="00607A71"/>
    <w:rsid w:val="00610709"/>
    <w:rsid w:val="006117CB"/>
    <w:rsid w:val="00620076"/>
    <w:rsid w:val="006232BA"/>
    <w:rsid w:val="00634044"/>
    <w:rsid w:val="00640161"/>
    <w:rsid w:val="00652769"/>
    <w:rsid w:val="0065542F"/>
    <w:rsid w:val="006554FF"/>
    <w:rsid w:val="00655621"/>
    <w:rsid w:val="00670752"/>
    <w:rsid w:val="00670EA1"/>
    <w:rsid w:val="00677CC2"/>
    <w:rsid w:val="006905DE"/>
    <w:rsid w:val="0069207B"/>
    <w:rsid w:val="00693F29"/>
    <w:rsid w:val="006B5789"/>
    <w:rsid w:val="006C30C5"/>
    <w:rsid w:val="006C48FA"/>
    <w:rsid w:val="006C7F8C"/>
    <w:rsid w:val="006D6079"/>
    <w:rsid w:val="006E5320"/>
    <w:rsid w:val="006E6246"/>
    <w:rsid w:val="006F318F"/>
    <w:rsid w:val="006F4226"/>
    <w:rsid w:val="0070017E"/>
    <w:rsid w:val="00700B2C"/>
    <w:rsid w:val="00702EFD"/>
    <w:rsid w:val="007050A2"/>
    <w:rsid w:val="00713084"/>
    <w:rsid w:val="0071399B"/>
    <w:rsid w:val="00714F20"/>
    <w:rsid w:val="0071590F"/>
    <w:rsid w:val="00715914"/>
    <w:rsid w:val="00731E00"/>
    <w:rsid w:val="00741EE8"/>
    <w:rsid w:val="007440B7"/>
    <w:rsid w:val="00746662"/>
    <w:rsid w:val="007500C8"/>
    <w:rsid w:val="00756272"/>
    <w:rsid w:val="00765001"/>
    <w:rsid w:val="007662B5"/>
    <w:rsid w:val="0076681A"/>
    <w:rsid w:val="007715C9"/>
    <w:rsid w:val="00771613"/>
    <w:rsid w:val="00774EDD"/>
    <w:rsid w:val="0077506D"/>
    <w:rsid w:val="007757EC"/>
    <w:rsid w:val="00783E89"/>
    <w:rsid w:val="007842CE"/>
    <w:rsid w:val="00785A9E"/>
    <w:rsid w:val="00791A24"/>
    <w:rsid w:val="00793915"/>
    <w:rsid w:val="007B4C4F"/>
    <w:rsid w:val="007C0CF8"/>
    <w:rsid w:val="007C2253"/>
    <w:rsid w:val="007D230B"/>
    <w:rsid w:val="007E163D"/>
    <w:rsid w:val="007E667A"/>
    <w:rsid w:val="007F28C9"/>
    <w:rsid w:val="0080312D"/>
    <w:rsid w:val="00803587"/>
    <w:rsid w:val="008117E9"/>
    <w:rsid w:val="00824498"/>
    <w:rsid w:val="008346A0"/>
    <w:rsid w:val="00835179"/>
    <w:rsid w:val="008356AC"/>
    <w:rsid w:val="00840442"/>
    <w:rsid w:val="008527C0"/>
    <w:rsid w:val="00856A31"/>
    <w:rsid w:val="00860B58"/>
    <w:rsid w:val="008635A8"/>
    <w:rsid w:val="00863657"/>
    <w:rsid w:val="00867B37"/>
    <w:rsid w:val="008718DD"/>
    <w:rsid w:val="008754D0"/>
    <w:rsid w:val="008855C9"/>
    <w:rsid w:val="00886456"/>
    <w:rsid w:val="008945E0"/>
    <w:rsid w:val="0089527F"/>
    <w:rsid w:val="008A362B"/>
    <w:rsid w:val="008A46E1"/>
    <w:rsid w:val="008A4F43"/>
    <w:rsid w:val="008B2706"/>
    <w:rsid w:val="008C0F29"/>
    <w:rsid w:val="008D0B74"/>
    <w:rsid w:val="008D0EE0"/>
    <w:rsid w:val="008D3422"/>
    <w:rsid w:val="008E6067"/>
    <w:rsid w:val="008F1A91"/>
    <w:rsid w:val="008F54E7"/>
    <w:rsid w:val="009016BE"/>
    <w:rsid w:val="00903422"/>
    <w:rsid w:val="00912A58"/>
    <w:rsid w:val="009157B9"/>
    <w:rsid w:val="00915DF9"/>
    <w:rsid w:val="009254C3"/>
    <w:rsid w:val="00926940"/>
    <w:rsid w:val="00930A0A"/>
    <w:rsid w:val="00932377"/>
    <w:rsid w:val="009460DC"/>
    <w:rsid w:val="00946759"/>
    <w:rsid w:val="00947D5A"/>
    <w:rsid w:val="009532A5"/>
    <w:rsid w:val="00955175"/>
    <w:rsid w:val="0095528E"/>
    <w:rsid w:val="009666FC"/>
    <w:rsid w:val="0096753E"/>
    <w:rsid w:val="00982242"/>
    <w:rsid w:val="009868E9"/>
    <w:rsid w:val="009944E6"/>
    <w:rsid w:val="009A022D"/>
    <w:rsid w:val="009A2319"/>
    <w:rsid w:val="009A3A6F"/>
    <w:rsid w:val="009A3F74"/>
    <w:rsid w:val="009A49C9"/>
    <w:rsid w:val="009C2791"/>
    <w:rsid w:val="009D1818"/>
    <w:rsid w:val="009D195A"/>
    <w:rsid w:val="009D7993"/>
    <w:rsid w:val="009E5CFC"/>
    <w:rsid w:val="009E75A7"/>
    <w:rsid w:val="00A03AF1"/>
    <w:rsid w:val="00A079CB"/>
    <w:rsid w:val="00A12128"/>
    <w:rsid w:val="00A12F48"/>
    <w:rsid w:val="00A14F6A"/>
    <w:rsid w:val="00A15512"/>
    <w:rsid w:val="00A22C98"/>
    <w:rsid w:val="00A231E2"/>
    <w:rsid w:val="00A33D55"/>
    <w:rsid w:val="00A34412"/>
    <w:rsid w:val="00A40424"/>
    <w:rsid w:val="00A44C99"/>
    <w:rsid w:val="00A52B0F"/>
    <w:rsid w:val="00A559B3"/>
    <w:rsid w:val="00A5632E"/>
    <w:rsid w:val="00A64912"/>
    <w:rsid w:val="00A70A74"/>
    <w:rsid w:val="00A91966"/>
    <w:rsid w:val="00A9263F"/>
    <w:rsid w:val="00AA66AC"/>
    <w:rsid w:val="00AB1DE8"/>
    <w:rsid w:val="00AB69D9"/>
    <w:rsid w:val="00AC0886"/>
    <w:rsid w:val="00AD02B8"/>
    <w:rsid w:val="00AD1F73"/>
    <w:rsid w:val="00AD5315"/>
    <w:rsid w:val="00AD5641"/>
    <w:rsid w:val="00AD57D1"/>
    <w:rsid w:val="00AD7889"/>
    <w:rsid w:val="00AE12DE"/>
    <w:rsid w:val="00AE787B"/>
    <w:rsid w:val="00AF021B"/>
    <w:rsid w:val="00AF06CF"/>
    <w:rsid w:val="00B04305"/>
    <w:rsid w:val="00B07CDB"/>
    <w:rsid w:val="00B12867"/>
    <w:rsid w:val="00B16A31"/>
    <w:rsid w:val="00B17DFD"/>
    <w:rsid w:val="00B2799D"/>
    <w:rsid w:val="00B308FE"/>
    <w:rsid w:val="00B33709"/>
    <w:rsid w:val="00B33B3C"/>
    <w:rsid w:val="00B33BD1"/>
    <w:rsid w:val="00B436FB"/>
    <w:rsid w:val="00B50ADC"/>
    <w:rsid w:val="00B53C59"/>
    <w:rsid w:val="00B566B1"/>
    <w:rsid w:val="00B577C8"/>
    <w:rsid w:val="00B63834"/>
    <w:rsid w:val="00B72734"/>
    <w:rsid w:val="00B80199"/>
    <w:rsid w:val="00B82D81"/>
    <w:rsid w:val="00B83204"/>
    <w:rsid w:val="00B9126E"/>
    <w:rsid w:val="00BA220B"/>
    <w:rsid w:val="00BA3A57"/>
    <w:rsid w:val="00BB4DB6"/>
    <w:rsid w:val="00BB4E1A"/>
    <w:rsid w:val="00BB5C17"/>
    <w:rsid w:val="00BC015E"/>
    <w:rsid w:val="00BC7183"/>
    <w:rsid w:val="00BC76AC"/>
    <w:rsid w:val="00BD0ECB"/>
    <w:rsid w:val="00BE12BE"/>
    <w:rsid w:val="00BE2155"/>
    <w:rsid w:val="00BE2213"/>
    <w:rsid w:val="00BE6EF9"/>
    <w:rsid w:val="00BE719A"/>
    <w:rsid w:val="00BE720A"/>
    <w:rsid w:val="00BF0D73"/>
    <w:rsid w:val="00BF2465"/>
    <w:rsid w:val="00BF75C9"/>
    <w:rsid w:val="00C0544A"/>
    <w:rsid w:val="00C06AC9"/>
    <w:rsid w:val="00C11452"/>
    <w:rsid w:val="00C17457"/>
    <w:rsid w:val="00C25E7F"/>
    <w:rsid w:val="00C2746F"/>
    <w:rsid w:val="00C324A0"/>
    <w:rsid w:val="00C3300F"/>
    <w:rsid w:val="00C34E77"/>
    <w:rsid w:val="00C35875"/>
    <w:rsid w:val="00C35DAF"/>
    <w:rsid w:val="00C36F90"/>
    <w:rsid w:val="00C4170B"/>
    <w:rsid w:val="00C42BF8"/>
    <w:rsid w:val="00C45171"/>
    <w:rsid w:val="00C47D01"/>
    <w:rsid w:val="00C50043"/>
    <w:rsid w:val="00C50B97"/>
    <w:rsid w:val="00C52E7C"/>
    <w:rsid w:val="00C6434E"/>
    <w:rsid w:val="00C70CA8"/>
    <w:rsid w:val="00C7573B"/>
    <w:rsid w:val="00C7761F"/>
    <w:rsid w:val="00C86B32"/>
    <w:rsid w:val="00C93C03"/>
    <w:rsid w:val="00CA344A"/>
    <w:rsid w:val="00CA66DC"/>
    <w:rsid w:val="00CB2C8E"/>
    <w:rsid w:val="00CB2D96"/>
    <w:rsid w:val="00CB602E"/>
    <w:rsid w:val="00CC3AEC"/>
    <w:rsid w:val="00CD2E90"/>
    <w:rsid w:val="00CE0149"/>
    <w:rsid w:val="00CE051D"/>
    <w:rsid w:val="00CE1335"/>
    <w:rsid w:val="00CE3D2A"/>
    <w:rsid w:val="00CE493D"/>
    <w:rsid w:val="00CE541A"/>
    <w:rsid w:val="00CE6D42"/>
    <w:rsid w:val="00CF07FA"/>
    <w:rsid w:val="00CF0BB2"/>
    <w:rsid w:val="00CF3EE8"/>
    <w:rsid w:val="00CF5313"/>
    <w:rsid w:val="00D050E6"/>
    <w:rsid w:val="00D13441"/>
    <w:rsid w:val="00D150E7"/>
    <w:rsid w:val="00D20A4B"/>
    <w:rsid w:val="00D306F8"/>
    <w:rsid w:val="00D32F65"/>
    <w:rsid w:val="00D341C4"/>
    <w:rsid w:val="00D41A47"/>
    <w:rsid w:val="00D442A2"/>
    <w:rsid w:val="00D52DC2"/>
    <w:rsid w:val="00D53BCC"/>
    <w:rsid w:val="00D648BB"/>
    <w:rsid w:val="00D702DE"/>
    <w:rsid w:val="00D70DFB"/>
    <w:rsid w:val="00D732EC"/>
    <w:rsid w:val="00D73C22"/>
    <w:rsid w:val="00D766DF"/>
    <w:rsid w:val="00DA186E"/>
    <w:rsid w:val="00DA4116"/>
    <w:rsid w:val="00DB251C"/>
    <w:rsid w:val="00DB38AD"/>
    <w:rsid w:val="00DB4630"/>
    <w:rsid w:val="00DB51FD"/>
    <w:rsid w:val="00DC1135"/>
    <w:rsid w:val="00DC4445"/>
    <w:rsid w:val="00DC4F88"/>
    <w:rsid w:val="00DE0A85"/>
    <w:rsid w:val="00DE79F9"/>
    <w:rsid w:val="00E05704"/>
    <w:rsid w:val="00E06CC3"/>
    <w:rsid w:val="00E11E44"/>
    <w:rsid w:val="00E13AFA"/>
    <w:rsid w:val="00E20CE0"/>
    <w:rsid w:val="00E2168B"/>
    <w:rsid w:val="00E21F03"/>
    <w:rsid w:val="00E338EF"/>
    <w:rsid w:val="00E40FF8"/>
    <w:rsid w:val="00E46C34"/>
    <w:rsid w:val="00E544BB"/>
    <w:rsid w:val="00E578EC"/>
    <w:rsid w:val="00E60423"/>
    <w:rsid w:val="00E649D7"/>
    <w:rsid w:val="00E662CB"/>
    <w:rsid w:val="00E74DC7"/>
    <w:rsid w:val="00E8075A"/>
    <w:rsid w:val="00E818A6"/>
    <w:rsid w:val="00E85A91"/>
    <w:rsid w:val="00E87718"/>
    <w:rsid w:val="00E91134"/>
    <w:rsid w:val="00E94D5E"/>
    <w:rsid w:val="00E97ADE"/>
    <w:rsid w:val="00EA0BF6"/>
    <w:rsid w:val="00EA17A6"/>
    <w:rsid w:val="00EA7100"/>
    <w:rsid w:val="00EA7F9F"/>
    <w:rsid w:val="00EB0E70"/>
    <w:rsid w:val="00EB1274"/>
    <w:rsid w:val="00EC4757"/>
    <w:rsid w:val="00EC7EDB"/>
    <w:rsid w:val="00ED14FB"/>
    <w:rsid w:val="00ED2BB6"/>
    <w:rsid w:val="00ED34E1"/>
    <w:rsid w:val="00ED3B8D"/>
    <w:rsid w:val="00ED796D"/>
    <w:rsid w:val="00EF15D3"/>
    <w:rsid w:val="00EF2E3A"/>
    <w:rsid w:val="00F02EF9"/>
    <w:rsid w:val="00F03BB5"/>
    <w:rsid w:val="00F047D8"/>
    <w:rsid w:val="00F072A7"/>
    <w:rsid w:val="00F078DC"/>
    <w:rsid w:val="00F11B3A"/>
    <w:rsid w:val="00F14593"/>
    <w:rsid w:val="00F171A1"/>
    <w:rsid w:val="00F27CCD"/>
    <w:rsid w:val="00F32BA8"/>
    <w:rsid w:val="00F349F1"/>
    <w:rsid w:val="00F4215A"/>
    <w:rsid w:val="00F4350D"/>
    <w:rsid w:val="00F45C97"/>
    <w:rsid w:val="00F46947"/>
    <w:rsid w:val="00F50532"/>
    <w:rsid w:val="00F52CA6"/>
    <w:rsid w:val="00F567F7"/>
    <w:rsid w:val="00F61A66"/>
    <w:rsid w:val="00F61B09"/>
    <w:rsid w:val="00F62036"/>
    <w:rsid w:val="00F62A8C"/>
    <w:rsid w:val="00F65B52"/>
    <w:rsid w:val="00F67BCA"/>
    <w:rsid w:val="00F73BD6"/>
    <w:rsid w:val="00F800C9"/>
    <w:rsid w:val="00F83989"/>
    <w:rsid w:val="00F85099"/>
    <w:rsid w:val="00F87E83"/>
    <w:rsid w:val="00F9379C"/>
    <w:rsid w:val="00F9632C"/>
    <w:rsid w:val="00FA13A8"/>
    <w:rsid w:val="00FA1E52"/>
    <w:rsid w:val="00FA31DE"/>
    <w:rsid w:val="00FA7D17"/>
    <w:rsid w:val="00FC3EB8"/>
    <w:rsid w:val="00FC6D88"/>
    <w:rsid w:val="00FC7D25"/>
    <w:rsid w:val="00FD13CC"/>
    <w:rsid w:val="00FD2E53"/>
    <w:rsid w:val="00FE2FB8"/>
    <w:rsid w:val="00FE4688"/>
    <w:rsid w:val="00FE72D6"/>
    <w:rsid w:val="00FE79D0"/>
    <w:rsid w:val="00FF38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03A39DB"/>
  <w15:chartTrackingRefBased/>
  <w15:docId w15:val="{ACABBCC2-DCBB-4D2A-8496-CD3B77F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customStyle="1" w:styleId="normaltextrun">
    <w:name w:val="normaltextrun"/>
    <w:basedOn w:val="DefaultParagraphFont"/>
    <w:rsid w:val="008635A8"/>
  </w:style>
  <w:style w:type="paragraph" w:styleId="ListParagraph">
    <w:name w:val="List Paragraph"/>
    <w:basedOn w:val="Normal"/>
    <w:uiPriority w:val="34"/>
    <w:qFormat/>
    <w:rsid w:val="00245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26" ma:contentTypeDescription="Create a new document." ma:contentTypeScope="" ma:versionID="496babfa9fda4422f36a26e5f38d5dea">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94a0415fdd354fc9c05211b186ddfda3"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ECMSP13CreatedBy" minOccurs="0"/>
                <xsd:element ref="ns3:ECMSP13ModifiedBy" minOccurs="0"/>
                <xsd:element ref="ns3:ECMSP13DocumentID" minOccurs="0"/>
                <xsd:element ref="ns3:ECMSP13Security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CreatedBy" ma:index="11" nillable="true" ma:displayName="ECM SP13 Created By" ma:internalName="ECMSP13CreatedBy">
      <xsd:simpleType>
        <xsd:restriction base="dms:Text"/>
      </xsd:simpleType>
    </xsd:element>
    <xsd:element name="ECMSP13ModifiedBy" ma:index="12" nillable="true" ma:displayName="ECM SP13 Modified By" ma:internalName="ECMSP13ModifiedBy">
      <xsd:simpleType>
        <xsd:restriction base="dms:Text"/>
      </xsd:simpleType>
    </xsd:element>
    <xsd:element name="ECMSP13DocumentID" ma:index="13" nillable="true" ma:displayName="ECM SP13 Document ID" ma:internalName="ECMSP13DocumentID">
      <xsd:simpleType>
        <xsd:restriction base="dms:Text"/>
      </xsd:simpleType>
    </xsd:element>
    <xsd:element name="ECMSP13SecurityClassification" ma:index="14" nillable="true" ma:displayName="ECM SP13 Security Classification" ma:internalName="ECMSP13SecurityClassification">
      <xsd:simpleType>
        <xsd:restriction base="dms:Text"/>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000853-1726373233-1648</_dlc_DocId>
    <_dlc_DocIdUrl xmlns="eb44715b-cd74-4c79-92c4-f0e9f1a86440">
      <Url>https://asiclink.sharepoint.com/teams/000853/_layouts/15/DocIdRedir.aspx?ID=000853-1726373233-1648</Url>
      <Description>000853-1726373233-1648</Description>
    </_dlc_DocIdUrl>
    <ECMSP13DocumentID xmlns="eb44715b-cd74-4c79-92c4-f0e9f1a86440" xsi:nil="true"/>
    <ECMSP13CreatedBy xmlns="eb44715b-cd74-4c79-92c4-f0e9f1a86440" xsi:nil="true"/>
    <ECMSP13ModifiedBy xmlns="eb44715b-cd74-4c79-92c4-f0e9f1a86440" xsi:nil="true"/>
    <ECMSP13SecurityClassification xmlns="eb44715b-cd74-4c79-92c4-f0e9f1a86440" xsi:nil="true"/>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2.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3.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4.xml><?xml version="1.0" encoding="utf-8"?>
<ds:datastoreItem xmlns:ds="http://schemas.openxmlformats.org/officeDocument/2006/customXml" ds:itemID="{1FD6F097-3F98-4493-B52F-9711BC45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A954CD4F-4ADE-45EC-8760-0728E2692B40}">
  <ds:schemaRefs>
    <ds:schemaRef ds:uri="eb44715b-cd74-4c79-92c4-f0e9f1a86440"/>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b2b92ca-6ed0-4085-802d-4c686a2e8c3f"/>
    <ds:schemaRef ds:uri="http://purl.org/dc/terms/"/>
  </ds:schemaRefs>
</ds:datastoreItem>
</file>

<file path=customXml/itemProps7.xml><?xml version="1.0" encoding="utf-8"?>
<ds:datastoreItem xmlns:ds="http://schemas.openxmlformats.org/officeDocument/2006/customXml" ds:itemID="{FD751942-C67F-4D0C-9A01-EDA69EE9D21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121</TotalTime>
  <Pages>4</Pages>
  <Words>797</Words>
  <Characters>4546</Characters>
  <Application>Microsoft Office Word</Application>
  <DocSecurity>0</DocSecurity>
  <PresentationFormat/>
  <Lines>37</Lines>
  <Paragraphs>10</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34</cp:revision>
  <cp:lastPrinted>2019-01-03T02:56:00Z</cp:lastPrinted>
  <dcterms:created xsi:type="dcterms:W3CDTF">2024-10-04T00:13:00Z</dcterms:created>
  <dcterms:modified xsi:type="dcterms:W3CDTF">2024-10-07T04:49:00Z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7;#Sensitive|19fd2cb8-3e97-4464-ae71-8c2c2095d028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62de55b1-605d-4ed6-a099-121fdb5f6b4e</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0x010100B5F685A1365F544391EF8C813B164F3A006A0666AD55E74A4AA7B2AAEA6C351A600062FB3D9270BF5A428E87561F54151E3E</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