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ECE79" w14:textId="77777777" w:rsidR="004A7D98" w:rsidRDefault="004A7D98" w:rsidP="004A7D98">
      <w:pPr>
        <w:pStyle w:val="Heading1"/>
        <w:spacing w:after="240"/>
        <w:jc w:val="center"/>
        <w:rPr>
          <w:u w:val="single"/>
        </w:rPr>
      </w:pPr>
      <w:bookmarkStart w:id="0" w:name="_Int_sWsn5F51"/>
      <w:bookmarkStart w:id="1" w:name="OLE_LINK1"/>
      <w:bookmarkStart w:id="2" w:name="OLE_LINK2"/>
      <w:r w:rsidRPr="38419276">
        <w:rPr>
          <w:u w:val="single"/>
        </w:rPr>
        <w:t>EXPLANATORY STATEMENT</w:t>
      </w:r>
      <w:bookmarkEnd w:id="0"/>
    </w:p>
    <w:p w14:paraId="2843EE58" w14:textId="77777777" w:rsidR="004A7D98" w:rsidRDefault="004A7D98" w:rsidP="004A7D98">
      <w:pPr>
        <w:pStyle w:val="Heading2"/>
        <w:spacing w:after="240"/>
        <w:jc w:val="center"/>
        <w:rPr>
          <w:b w:val="0"/>
          <w:u w:val="single"/>
        </w:rPr>
      </w:pPr>
      <w:r>
        <w:rPr>
          <w:b w:val="0"/>
          <w:u w:val="single"/>
        </w:rPr>
        <w:t>Issued by authority of the Minister for Climate Change and Energy</w:t>
      </w:r>
    </w:p>
    <w:p w14:paraId="511B7F82" w14:textId="77777777" w:rsidR="004A7D98" w:rsidRDefault="004A7D98" w:rsidP="004A7D98">
      <w:pPr>
        <w:spacing w:before="240" w:after="240"/>
        <w:jc w:val="center"/>
        <w:rPr>
          <w:i/>
        </w:rPr>
      </w:pPr>
      <w:r>
        <w:rPr>
          <w:i/>
          <w:iCs/>
        </w:rPr>
        <w:t>Australian Renewable Energy Agency Act 2011</w:t>
      </w:r>
    </w:p>
    <w:p w14:paraId="26F77A64" w14:textId="77777777" w:rsidR="004A7D98" w:rsidRDefault="004A7D98" w:rsidP="004A7D98">
      <w:pPr>
        <w:spacing w:before="240" w:after="240"/>
        <w:jc w:val="center"/>
        <w:rPr>
          <w:i/>
        </w:rPr>
      </w:pPr>
      <w:r>
        <w:rPr>
          <w:i/>
        </w:rPr>
        <w:t>Australian Renewable Energy Agency (General Funding Strategy) Approval 2024</w:t>
      </w:r>
    </w:p>
    <w:p w14:paraId="7F1F11D6" w14:textId="77777777" w:rsidR="004A7D98" w:rsidRDefault="004A7D98" w:rsidP="004A7D98">
      <w:pPr>
        <w:spacing w:after="240"/>
      </w:pPr>
      <w:r>
        <w:t xml:space="preserve">Section 19 of the </w:t>
      </w:r>
      <w:r w:rsidRPr="2E0C0287">
        <w:rPr>
          <w:i/>
          <w:iCs/>
        </w:rPr>
        <w:t>Australian Renewable Energy Agency Act 2011</w:t>
      </w:r>
      <w:r>
        <w:t xml:space="preserve"> (the Act) provides that the Board of the Australian Renewable Energy Agency (ARENA) must, for each financial year, develop a General Funding Strategy (GFS) for the provision of financial assistance by ARENA under the Act. A GFS must relate to the financial year for which the strategy is developed and the next two financial years and must set out ARENA’s principal objectives and priorities for the provision of financial assistance during this time period. Each GFS must be developed during the financial year previous to that in which it commences.</w:t>
      </w:r>
    </w:p>
    <w:p w14:paraId="65FC31D4" w14:textId="77777777" w:rsidR="004A7D98" w:rsidRPr="008D2F14" w:rsidRDefault="004A7D98" w:rsidP="004A7D98">
      <w:pPr>
        <w:spacing w:after="240"/>
        <w:rPr>
          <w:iCs/>
        </w:rPr>
      </w:pPr>
      <w:r>
        <w:rPr>
          <w:iCs/>
        </w:rPr>
        <w:t xml:space="preserve">Section 20(1) of the Act provides that, as soon as practicable after developing a GFS for a financial year, the Board must give a copy to the Minister for approval. </w:t>
      </w:r>
      <w:r>
        <w:t xml:space="preserve">The </w:t>
      </w:r>
      <w:r>
        <w:rPr>
          <w:i/>
        </w:rPr>
        <w:t>Australian Renewable Energy Agency (General Funding Strategy) Approval 2024</w:t>
      </w:r>
      <w:r>
        <w:t xml:space="preserve"> (the Approval) provides for the Minister’s approval of ARENA’s GFS for the 2024/25 – 2026/27 financial years.</w:t>
      </w:r>
    </w:p>
    <w:p w14:paraId="17109239" w14:textId="77777777" w:rsidR="004A7D98" w:rsidRDefault="004A7D98" w:rsidP="004A7D98">
      <w:pPr>
        <w:spacing w:before="282"/>
        <w:ind w:right="432"/>
        <w:textAlignment w:val="baseline"/>
        <w:rPr>
          <w:rFonts w:eastAsia="Arial"/>
        </w:rPr>
      </w:pPr>
      <w:r>
        <w:t>The GFS for the 2024/25 - 2026/27 financial years has been drafted to reflect the Government’s priorities in the net zero transformation. ARENA’s main objectives, to improve the competitiveness of renewable energy technologies, increase the supply of renewable energy in Australia and facilitate the achievement of Australia’s greenhouse gas emissions targets, remain the primary focus of the GFS.</w:t>
      </w:r>
      <w:r w:rsidRPr="38419276">
        <w:rPr>
          <w:rFonts w:eastAsiaTheme="minorEastAsia"/>
          <w:i/>
          <w:iCs/>
          <w:lang w:eastAsia="en-US"/>
        </w:rPr>
        <w:t xml:space="preserve"> </w:t>
      </w:r>
      <w:r w:rsidRPr="38419276">
        <w:rPr>
          <w:rFonts w:eastAsia="Arial"/>
        </w:rPr>
        <w:t xml:space="preserve">It also includes the delivery of additional funding as allocated for the Government’s Future Made in Australia vision and other, targeted programs that ARENA has been tasked to administer. </w:t>
      </w:r>
    </w:p>
    <w:p w14:paraId="71C64003" w14:textId="77777777" w:rsidR="004A7D98" w:rsidRDefault="004A7D98" w:rsidP="004A7D98">
      <w:pPr>
        <w:spacing w:after="240"/>
      </w:pPr>
      <w:r>
        <w:t xml:space="preserve">Under subsection 20(2) of the Act this instrument is not subject to the disallowance process set out in section 42 of the </w:t>
      </w:r>
      <w:r w:rsidRPr="2CC8DFEB">
        <w:rPr>
          <w:i/>
          <w:iCs/>
        </w:rPr>
        <w:t>Legislation Act 2003</w:t>
      </w:r>
      <w:r>
        <w:t xml:space="preserve">. The nature of the GFS is not such that it imposes obligations on third parties, but is a policy and strategy document to guide the independent performance of ARENA’s functions under the Act. Subsection 20(2) of the Act also reflects both the independence of ARENA in developing the GFS and the similarities of the GFS to government directions to statutory bodies that are also not subject to disallowance. As the provision of assistance by ARENA must be in accordance with the GFS under section 10 of the Act, disallowance of some or all of the strategy could impede the ability for ARENA to independently perform its statutory functions. </w:t>
      </w:r>
    </w:p>
    <w:p w14:paraId="5D92B2D7" w14:textId="77777777" w:rsidR="004A7D98" w:rsidRDefault="004A7D98" w:rsidP="004A7D98">
      <w:pPr>
        <w:pStyle w:val="Bullet"/>
        <w:numPr>
          <w:ilvl w:val="0"/>
          <w:numId w:val="0"/>
        </w:numPr>
        <w:tabs>
          <w:tab w:val="left" w:pos="720"/>
        </w:tabs>
        <w:spacing w:before="200" w:after="200"/>
      </w:pPr>
      <w:r>
        <w:t>As the Minister’s role is to approve the GFS as developed by ARENA, separate consultation on that approval was not necessary as this was conducted by ARENA. ARENA has taken relevant stakeholder views into account in developing the GFS.</w:t>
      </w:r>
    </w:p>
    <w:p w14:paraId="5FE3D6C4" w14:textId="77777777" w:rsidR="004A7D98" w:rsidRDefault="004A7D98" w:rsidP="004A7D98">
      <w:pPr>
        <w:pStyle w:val="Bullet"/>
        <w:numPr>
          <w:ilvl w:val="0"/>
          <w:numId w:val="0"/>
        </w:numPr>
        <w:tabs>
          <w:tab w:val="left" w:pos="720"/>
        </w:tabs>
        <w:spacing w:before="200" w:after="200"/>
      </w:pPr>
      <w:r>
        <w:t xml:space="preserve">Details of the instrument are outlined in </w:t>
      </w:r>
      <w:r>
        <w:rPr>
          <w:b/>
          <w:bCs/>
          <w:u w:val="single"/>
        </w:rPr>
        <w:t>Attachment A</w:t>
      </w:r>
      <w:r>
        <w:t xml:space="preserve">. As the Approval is exempt from disallowance, a Statement of Compatibility with Human Rights is not required in accordance with paragraph 15J(2)(f) of the </w:t>
      </w:r>
      <w:r>
        <w:rPr>
          <w:i/>
          <w:iCs/>
        </w:rPr>
        <w:t>Legislation Act 2003</w:t>
      </w:r>
      <w:r>
        <w:t xml:space="preserve"> and subsection 9(1) of the </w:t>
      </w:r>
      <w:r>
        <w:rPr>
          <w:i/>
          <w:iCs/>
        </w:rPr>
        <w:t>Human Rights (Parliamentary Scrutiny) Act 2011</w:t>
      </w:r>
      <w:r>
        <w:t>.</w:t>
      </w:r>
    </w:p>
    <w:bookmarkEnd w:id="1"/>
    <w:bookmarkEnd w:id="2"/>
    <w:p w14:paraId="42B3164A" w14:textId="77777777" w:rsidR="004A7D98" w:rsidRDefault="004A7D98" w:rsidP="004A7D98">
      <w:pPr>
        <w:tabs>
          <w:tab w:val="right" w:pos="9072"/>
        </w:tabs>
        <w:spacing w:after="240"/>
        <w:ind w:right="91"/>
        <w:jc w:val="right"/>
        <w:rPr>
          <w:b/>
          <w:u w:val="single"/>
        </w:rPr>
      </w:pPr>
      <w:r>
        <w:rPr>
          <w:b/>
          <w:u w:val="single"/>
        </w:rPr>
        <w:t> </w:t>
      </w:r>
    </w:p>
    <w:p w14:paraId="6B6ADCBD" w14:textId="77777777" w:rsidR="004A7D98" w:rsidRDefault="004A7D98" w:rsidP="004A7D98">
      <w:pPr>
        <w:tabs>
          <w:tab w:val="right" w:pos="9072"/>
        </w:tabs>
        <w:spacing w:after="240"/>
        <w:ind w:right="91"/>
        <w:jc w:val="right"/>
        <w:rPr>
          <w:b/>
          <w:u w:val="single"/>
        </w:rPr>
      </w:pPr>
      <w:r>
        <w:rPr>
          <w:b/>
          <w:u w:val="single"/>
        </w:rPr>
        <w:lastRenderedPageBreak/>
        <w:t>ATTACHMENT A</w:t>
      </w:r>
    </w:p>
    <w:p w14:paraId="7DA31FEA" w14:textId="77777777" w:rsidR="004A7D98" w:rsidRDefault="004A7D98" w:rsidP="004A7D98">
      <w:pPr>
        <w:keepNext/>
        <w:spacing w:after="240"/>
        <w:jc w:val="center"/>
        <w:outlineLvl w:val="1"/>
        <w:rPr>
          <w:b/>
          <w:i/>
          <w:u w:val="single"/>
        </w:rPr>
      </w:pPr>
      <w:r>
        <w:rPr>
          <w:b/>
        </w:rPr>
        <w:t xml:space="preserve">Details of the </w:t>
      </w:r>
      <w:r>
        <w:rPr>
          <w:b/>
          <w:i/>
        </w:rPr>
        <w:t>Australian Renewable Energy Agency (General Funding Strategy) Approval 2024</w:t>
      </w:r>
    </w:p>
    <w:p w14:paraId="760C4B84" w14:textId="77777777" w:rsidR="004A7D98" w:rsidRDefault="004A7D98" w:rsidP="004A7D98">
      <w:pPr>
        <w:spacing w:after="240"/>
        <w:ind w:right="91"/>
      </w:pPr>
      <w:r>
        <w:rPr>
          <w:u w:val="single"/>
        </w:rPr>
        <w:t xml:space="preserve">Section 1 – Name </w:t>
      </w:r>
    </w:p>
    <w:p w14:paraId="50B9FC5D" w14:textId="77777777" w:rsidR="004A7D98" w:rsidRDefault="004A7D98" w:rsidP="004A7D98">
      <w:pPr>
        <w:spacing w:after="240"/>
        <w:ind w:right="91"/>
      </w:pPr>
      <w:r>
        <w:t xml:space="preserve">Section 1 provides that the title of the instrument is the </w:t>
      </w:r>
      <w:r>
        <w:rPr>
          <w:i/>
        </w:rPr>
        <w:t>Australian Renewable Energy Agency (General Funding Strategy) Approval 2024</w:t>
      </w:r>
      <w:r>
        <w:t>.</w:t>
      </w:r>
    </w:p>
    <w:p w14:paraId="0A136DE8" w14:textId="77777777" w:rsidR="004A7D98" w:rsidRDefault="004A7D98" w:rsidP="004A7D98">
      <w:pPr>
        <w:spacing w:after="240"/>
        <w:ind w:right="91"/>
        <w:rPr>
          <w:u w:val="single"/>
        </w:rPr>
      </w:pPr>
      <w:r>
        <w:rPr>
          <w:u w:val="single"/>
        </w:rPr>
        <w:t>Section 2 – Commencement</w:t>
      </w:r>
    </w:p>
    <w:p w14:paraId="266C02E6" w14:textId="77777777" w:rsidR="004A7D98" w:rsidRDefault="004A7D98" w:rsidP="004A7D98">
      <w:pPr>
        <w:spacing w:after="240"/>
        <w:ind w:right="91"/>
      </w:pPr>
      <w:r>
        <w:t>Section 2 provides that the instrument commences from the time it was made by the Minister. This follows the requirements of subsections 20(2) and 21(1) of the Act.</w:t>
      </w:r>
    </w:p>
    <w:p w14:paraId="18B7EC14" w14:textId="77777777" w:rsidR="004A7D98" w:rsidRDefault="004A7D98" w:rsidP="004A7D98">
      <w:pPr>
        <w:spacing w:after="240"/>
        <w:ind w:right="91"/>
      </w:pPr>
      <w:r>
        <w:rPr>
          <w:u w:val="single"/>
        </w:rPr>
        <w:t>Section 3 – Authority</w:t>
      </w:r>
    </w:p>
    <w:p w14:paraId="62E8696B" w14:textId="77777777" w:rsidR="004A7D98" w:rsidRDefault="004A7D98" w:rsidP="004A7D98">
      <w:pPr>
        <w:spacing w:after="240"/>
        <w:ind w:right="91"/>
        <w:rPr>
          <w:i/>
        </w:rPr>
      </w:pPr>
      <w:r>
        <w:t xml:space="preserve">Section 3 provides that the Approval is made under subsection 20(2) the </w:t>
      </w:r>
      <w:r>
        <w:rPr>
          <w:i/>
          <w:iCs/>
        </w:rPr>
        <w:t>Australian Renewable Energy Agency Act 2011</w:t>
      </w:r>
      <w:r>
        <w:rPr>
          <w:iCs/>
        </w:rPr>
        <w:t>.</w:t>
      </w:r>
    </w:p>
    <w:p w14:paraId="092129E2" w14:textId="77777777" w:rsidR="004A7D98" w:rsidRDefault="004A7D98" w:rsidP="004A7D98">
      <w:pPr>
        <w:spacing w:after="240"/>
        <w:ind w:right="91"/>
        <w:rPr>
          <w:u w:val="single"/>
        </w:rPr>
      </w:pPr>
      <w:r>
        <w:rPr>
          <w:u w:val="single"/>
        </w:rPr>
        <w:t>Section 4 – Definitions</w:t>
      </w:r>
    </w:p>
    <w:p w14:paraId="585067D1" w14:textId="77777777" w:rsidR="004A7D98" w:rsidRDefault="004A7D98" w:rsidP="004A7D98">
      <w:pPr>
        <w:spacing w:after="240"/>
      </w:pPr>
      <w:r>
        <w:t xml:space="preserve">Section 4 provides that the term “Act” in the instrument refers to the </w:t>
      </w:r>
      <w:r>
        <w:rPr>
          <w:i/>
          <w:iCs/>
        </w:rPr>
        <w:t>Australian Renewable Energy Agency Act 2011</w:t>
      </w:r>
      <w:r>
        <w:t>.</w:t>
      </w:r>
    </w:p>
    <w:p w14:paraId="1FAB96EB" w14:textId="77777777" w:rsidR="004A7D98" w:rsidRDefault="004A7D98" w:rsidP="004A7D98">
      <w:pPr>
        <w:spacing w:after="240"/>
        <w:ind w:right="91"/>
        <w:rPr>
          <w:u w:val="single"/>
        </w:rPr>
      </w:pPr>
      <w:r>
        <w:rPr>
          <w:u w:val="single"/>
        </w:rPr>
        <w:t>Section 5 – Schedules</w:t>
      </w:r>
    </w:p>
    <w:p w14:paraId="14C96E9F" w14:textId="77777777" w:rsidR="004A7D98" w:rsidRDefault="004A7D98" w:rsidP="004A7D98">
      <w:pPr>
        <w:spacing w:after="240"/>
      </w:pPr>
      <w:r>
        <w:t xml:space="preserve">Section 5 provides for the operation of the Schedules to amend or repeal instruments. Schedule 2 has the effect of repealing the previous GFS (the </w:t>
      </w:r>
      <w:r>
        <w:rPr>
          <w:i/>
        </w:rPr>
        <w:t>Australian Renewable Energy Agency (General Funding Strategy) Approval 2023</w:t>
      </w:r>
      <w:r>
        <w:t xml:space="preserve">). The power to do this derives from subsection 33(3) of the </w:t>
      </w:r>
      <w:r>
        <w:rPr>
          <w:i/>
        </w:rPr>
        <w:t>Acts Interpretation Act 1901</w:t>
      </w:r>
      <w:r>
        <w:rPr>
          <w:rStyle w:val="FootnoteReference"/>
        </w:rPr>
        <w:footnoteReference w:id="1"/>
      </w:r>
      <w:r>
        <w:t xml:space="preserve"> read in conjunction with subsection 21(2) of the Act.</w:t>
      </w:r>
    </w:p>
    <w:p w14:paraId="0EA5748D" w14:textId="77777777" w:rsidR="004A7D98" w:rsidRDefault="004A7D98" w:rsidP="004A7D98">
      <w:pPr>
        <w:spacing w:after="240"/>
        <w:ind w:right="91"/>
        <w:rPr>
          <w:u w:val="single"/>
        </w:rPr>
      </w:pPr>
      <w:r>
        <w:rPr>
          <w:u w:val="single"/>
        </w:rPr>
        <w:t>Section 6 – Approval of General Funding Strategy</w:t>
      </w:r>
    </w:p>
    <w:p w14:paraId="7C74EDD5" w14:textId="77777777" w:rsidR="004A7D98" w:rsidRDefault="004A7D98" w:rsidP="004A7D98">
      <w:pPr>
        <w:spacing w:after="240"/>
      </w:pPr>
      <w:r>
        <w:t>Section 6 provides that, by signing the Approval, the Minister thereby approves and makes the GFS for the 2024/25 – 2026/27 financial years (at Schedule 1 of the Approval). The power to do this derives from subsection 20(2) of the Act.</w:t>
      </w:r>
    </w:p>
    <w:p w14:paraId="2CD4EF74" w14:textId="77777777" w:rsidR="004A7D98" w:rsidRDefault="004A7D98" w:rsidP="004A7D98">
      <w:pPr>
        <w:spacing w:after="240"/>
      </w:pPr>
      <w:r>
        <w:t>Subsection 19(2) of the Act requires a GFS to be developed during the financial year previous to that in which it commences. The GFS for the 2024/25 – 2026/27 financial years was developed by the Board in the 2023/24 financial year, in line with subsection 19(2).</w:t>
      </w:r>
      <w:bookmarkStart w:id="3" w:name="_Toc12291988"/>
    </w:p>
    <w:p w14:paraId="7FF2FE58" w14:textId="77777777" w:rsidR="004A7D98" w:rsidRDefault="004A7D98" w:rsidP="004A7D98">
      <w:pPr>
        <w:spacing w:after="0"/>
        <w:rPr>
          <w:u w:val="single"/>
        </w:rPr>
      </w:pPr>
      <w:r>
        <w:rPr>
          <w:u w:val="single"/>
        </w:rPr>
        <w:br w:type="page"/>
      </w:r>
    </w:p>
    <w:p w14:paraId="28146191" w14:textId="77777777" w:rsidR="004A7D98" w:rsidRDefault="004A7D98" w:rsidP="004A7D98">
      <w:pPr>
        <w:spacing w:after="240"/>
        <w:ind w:right="91"/>
        <w:rPr>
          <w:u w:val="single"/>
        </w:rPr>
      </w:pPr>
      <w:r>
        <w:rPr>
          <w:u w:val="single"/>
        </w:rPr>
        <w:lastRenderedPageBreak/>
        <w:t xml:space="preserve">Schedule 1—General Funding Strategy 2024/25 – 2026/27 </w:t>
      </w:r>
      <w:bookmarkEnd w:id="3"/>
    </w:p>
    <w:p w14:paraId="30EFCB39" w14:textId="77777777" w:rsidR="004A7D98" w:rsidRDefault="004A7D98" w:rsidP="004A7D98">
      <w:pPr>
        <w:spacing w:line="240" w:lineRule="auto"/>
        <w:contextualSpacing/>
      </w:pPr>
      <w:r>
        <w:t>Schedule 1 provides the detail of the GFS developed by ARENA. It includes the context of the strategy and summary of overall strategy in clause 1. Clause 2 draws on ARENA’s objectives pursuant to the Act in describing its vision, mission and purpose. Clause 3 outlines the guiding principles to identify and review the strategic priorities and lists the priorities for the relevant years. In addition, it notes ARENA’s delivery of targeted Budget programs, alongside its baseline funding.</w:t>
      </w:r>
    </w:p>
    <w:p w14:paraId="7A54117C" w14:textId="77777777" w:rsidR="004A7D98" w:rsidRDefault="004A7D98" w:rsidP="004A7D98">
      <w:pPr>
        <w:spacing w:line="240" w:lineRule="auto"/>
        <w:contextualSpacing/>
      </w:pPr>
    </w:p>
    <w:p w14:paraId="062FC2B4" w14:textId="77777777" w:rsidR="004A7D98" w:rsidRDefault="004A7D98" w:rsidP="004A7D98">
      <w:pPr>
        <w:spacing w:after="240"/>
      </w:pPr>
      <w:r>
        <w:t>Clause 1 also clarifies the relationship with the corporate plan</w:t>
      </w:r>
      <w:r>
        <w:rPr>
          <w:rStyle w:val="FootnoteReference"/>
        </w:rPr>
        <w:footnoteReference w:id="2"/>
      </w:r>
      <w:r>
        <w:t xml:space="preserve"> and investment plan</w:t>
      </w:r>
      <w:r>
        <w:rPr>
          <w:rStyle w:val="FootnoteReference"/>
        </w:rPr>
        <w:footnoteReference w:id="3"/>
      </w:r>
      <w:r>
        <w:t xml:space="preserve"> and performance reporting. References to the corporate plan and investment plan are provided for context only and do not constitute part of the instrument.</w:t>
      </w:r>
    </w:p>
    <w:p w14:paraId="714D2238" w14:textId="77777777" w:rsidR="004A7D98" w:rsidRDefault="004A7D98" w:rsidP="004A7D98">
      <w:pPr>
        <w:spacing w:after="240"/>
        <w:ind w:right="91"/>
        <w:rPr>
          <w:u w:val="single"/>
        </w:rPr>
      </w:pPr>
      <w:r>
        <w:rPr>
          <w:u w:val="single"/>
        </w:rPr>
        <w:t xml:space="preserve">Schedule 2—Repeals </w:t>
      </w:r>
    </w:p>
    <w:p w14:paraId="3726AC57" w14:textId="77777777" w:rsidR="004A7D98" w:rsidRDefault="004A7D98" w:rsidP="004A7D98">
      <w:pPr>
        <w:spacing w:after="240"/>
      </w:pPr>
      <w:r>
        <w:t xml:space="preserve">Schedule 2 repeals the previous GFS instrument, the </w:t>
      </w:r>
      <w:r>
        <w:rPr>
          <w:i/>
        </w:rPr>
        <w:t>Australian Renewable Energy Agency (General Funding Strategy) Approval 2023.</w:t>
      </w:r>
    </w:p>
    <w:p w14:paraId="61AE51F5" w14:textId="77777777" w:rsidR="004A7D98" w:rsidRDefault="004A7D98" w:rsidP="004A7D98"/>
    <w:p w14:paraId="778B015D" w14:textId="77777777" w:rsidR="004A7D98" w:rsidRDefault="004A7D98" w:rsidP="004A7D98">
      <w:pPr>
        <w:spacing w:after="0" w:line="240" w:lineRule="auto"/>
      </w:pPr>
    </w:p>
    <w:p w14:paraId="2AC03310" w14:textId="77777777" w:rsidR="004A7D98" w:rsidRPr="008D2F14" w:rsidRDefault="004A7D98" w:rsidP="004A7D98"/>
    <w:p w14:paraId="4E8E18DA" w14:textId="77777777" w:rsidR="00227A84" w:rsidRPr="004A7D98" w:rsidRDefault="00227A84" w:rsidP="004A7D98"/>
    <w:sectPr w:rsidR="00227A84" w:rsidRPr="004A7D98" w:rsidSect="00FA4CF0">
      <w:headerReference w:type="even" r:id="rId7"/>
      <w:footerReference w:type="even" r:id="rId8"/>
      <w:footerReference w:type="default" r:id="rId9"/>
      <w:footerReference w:type="first" r:id="rId10"/>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801AA" w14:textId="77777777" w:rsidR="003024E9" w:rsidRDefault="003024E9">
      <w:pPr>
        <w:spacing w:after="0" w:line="240" w:lineRule="auto"/>
      </w:pPr>
      <w:r>
        <w:separator/>
      </w:r>
    </w:p>
  </w:endnote>
  <w:endnote w:type="continuationSeparator" w:id="0">
    <w:p w14:paraId="4AC14DC6" w14:textId="77777777" w:rsidR="003024E9" w:rsidRDefault="0030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3C894" w14:textId="46EC4F40" w:rsidR="00151F4A" w:rsidRDefault="00151F4A">
    <w:pPr>
      <w:pStyle w:val="Footer"/>
    </w:pPr>
    <w:r>
      <w:rPr>
        <w:noProof/>
      </w:rPr>
      <mc:AlternateContent>
        <mc:Choice Requires="wps">
          <w:drawing>
            <wp:anchor distT="0" distB="0" distL="0" distR="0" simplePos="0" relativeHeight="251662336" behindDoc="0" locked="0" layoutInCell="1" allowOverlap="1" wp14:anchorId="72A920CA" wp14:editId="0C39AF81">
              <wp:simplePos x="635" y="635"/>
              <wp:positionH relativeFrom="page">
                <wp:align>center</wp:align>
              </wp:positionH>
              <wp:positionV relativeFrom="page">
                <wp:align>bottom</wp:align>
              </wp:positionV>
              <wp:extent cx="551815" cy="404495"/>
              <wp:effectExtent l="0" t="0" r="635" b="0"/>
              <wp:wrapNone/>
              <wp:docPr id="2122504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89DEDE" w14:textId="3937D605" w:rsidR="00151F4A" w:rsidRPr="00151F4A" w:rsidRDefault="00151F4A" w:rsidP="00151F4A">
                          <w:pPr>
                            <w:spacing w:after="0"/>
                            <w:rPr>
                              <w:rFonts w:ascii="Calibri" w:hAnsi="Calibri" w:cs="Calibri"/>
                              <w:noProof/>
                              <w:color w:val="FF0000"/>
                            </w:rPr>
                          </w:pPr>
                          <w:r w:rsidRPr="00151F4A">
                            <w:rPr>
                              <w:rFonts w:ascii="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920CA"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989DEDE" w14:textId="3937D605" w:rsidR="00151F4A" w:rsidRPr="00151F4A" w:rsidRDefault="00151F4A" w:rsidP="00151F4A">
                    <w:pPr>
                      <w:spacing w:after="0"/>
                      <w:rPr>
                        <w:rFonts w:ascii="Calibri" w:hAnsi="Calibri" w:cs="Calibri"/>
                        <w:noProof/>
                        <w:color w:val="FF0000"/>
                      </w:rPr>
                    </w:pPr>
                    <w:r w:rsidRPr="00151F4A">
                      <w:rPr>
                        <w:rFonts w:ascii="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98157" w14:textId="377ABF9A" w:rsidR="00E57B6C" w:rsidRDefault="00E57B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38B21" w14:textId="4856145E" w:rsidR="00D171D9" w:rsidRPr="0081478F" w:rsidRDefault="003F4BF0" w:rsidP="00D171D9">
    <w:pPr>
      <w:pBdr>
        <w:top w:val="single" w:sz="4" w:space="1" w:color="auto"/>
      </w:pBdr>
      <w:tabs>
        <w:tab w:val="center" w:pos="4513"/>
        <w:tab w:val="right" w:pos="9026"/>
      </w:tabs>
      <w:spacing w:after="0" w:line="240" w:lineRule="auto"/>
      <w:jc w:val="center"/>
      <w:rPr>
        <w:rFonts w:eastAsiaTheme="minorHAnsi"/>
        <w:color w:val="000000" w:themeColor="text1"/>
        <w:sz w:val="20"/>
      </w:rPr>
    </w:pPr>
    <w:r w:rsidRPr="0081478F">
      <w:rPr>
        <w:rFonts w:eastAsiaTheme="minorHAnsi"/>
        <w:color w:val="000000" w:themeColor="text1"/>
        <w:sz w:val="20"/>
      </w:rPr>
      <w:t xml:space="preserve">Parliament House Canberra ACT 2600 Telephone </w:t>
    </w:r>
    <w:r w:rsidR="005D47B3" w:rsidRPr="00D606EC">
      <w:rPr>
        <w:rFonts w:eastAsiaTheme="minorHAnsi"/>
        <w:color w:val="000000" w:themeColor="text1"/>
        <w:sz w:val="20"/>
      </w:rPr>
      <w:t xml:space="preserve">(02) </w:t>
    </w:r>
    <w:r w:rsidR="00D606EC" w:rsidRPr="00D606EC">
      <w:rPr>
        <w:rFonts w:eastAsiaTheme="minorHAnsi"/>
        <w:color w:val="000000" w:themeColor="text1"/>
        <w:sz w:val="20"/>
      </w:rPr>
      <w:t>6277</w:t>
    </w:r>
    <w:r w:rsidR="00D606EC">
      <w:rPr>
        <w:rFonts w:eastAsiaTheme="minorHAnsi"/>
        <w:color w:val="000000" w:themeColor="text1"/>
        <w:sz w:val="20"/>
      </w:rPr>
      <w:t xml:space="preserve"> 7120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093B1" w14:textId="77777777" w:rsidR="003024E9" w:rsidRDefault="003024E9">
      <w:pPr>
        <w:spacing w:after="0" w:line="240" w:lineRule="auto"/>
      </w:pPr>
      <w:r>
        <w:separator/>
      </w:r>
    </w:p>
  </w:footnote>
  <w:footnote w:type="continuationSeparator" w:id="0">
    <w:p w14:paraId="5400A910" w14:textId="77777777" w:rsidR="003024E9" w:rsidRDefault="003024E9">
      <w:pPr>
        <w:spacing w:after="0" w:line="240" w:lineRule="auto"/>
      </w:pPr>
      <w:r>
        <w:continuationSeparator/>
      </w:r>
    </w:p>
  </w:footnote>
  <w:footnote w:id="1">
    <w:p w14:paraId="2A73C468" w14:textId="77777777" w:rsidR="004A7D98" w:rsidRDefault="004A7D98" w:rsidP="004A7D98">
      <w:pPr>
        <w:pStyle w:val="FootnoteText"/>
      </w:pPr>
      <w:r>
        <w:rPr>
          <w:rStyle w:val="FootnoteReference"/>
        </w:rPr>
        <w:footnoteRef/>
      </w:r>
      <w:r>
        <w:t xml:space="preserve"> 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footnote>
  <w:footnote w:id="2">
    <w:p w14:paraId="36428A38" w14:textId="28751679" w:rsidR="004A7D98" w:rsidRDefault="004A7D98" w:rsidP="004A7D98">
      <w:pPr>
        <w:pStyle w:val="FootnoteText"/>
      </w:pPr>
      <w:r>
        <w:rPr>
          <w:rStyle w:val="FootnoteReference"/>
        </w:rPr>
        <w:footnoteRef/>
      </w:r>
      <w:r>
        <w:t xml:space="preserve"> For context, ARENA’s corporate plan is available at: </w:t>
      </w:r>
      <w:r w:rsidRPr="00B60AD3">
        <w:t>https://arena.gov.au/about/publications/corporate-plan/</w:t>
      </w:r>
      <w:r>
        <w:t xml:space="preserve"> </w:t>
      </w:r>
    </w:p>
  </w:footnote>
  <w:footnote w:id="3">
    <w:p w14:paraId="31BD6847" w14:textId="4BF650BD" w:rsidR="004A7D98" w:rsidRDefault="004A7D98" w:rsidP="004A7D98">
      <w:pPr>
        <w:pStyle w:val="FootnoteText"/>
      </w:pPr>
      <w:r>
        <w:rPr>
          <w:rStyle w:val="FootnoteReference"/>
        </w:rPr>
        <w:footnoteRef/>
      </w:r>
      <w:r>
        <w:t xml:space="preserve"> For context, ARENA’s investment plan is available at: </w:t>
      </w:r>
      <w:r w:rsidR="00B60AD3" w:rsidRPr="00B60AD3">
        <w:t>https://arena.gov.au/about/publications/funding-investment-plan/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92D0" w14:textId="63D1954A" w:rsidR="00E57B6C" w:rsidRDefault="00151F4A" w:rsidP="00E45765">
    <w:pPr>
      <w:pStyle w:val="Classification"/>
    </w:pPr>
    <w:r>
      <w:rPr>
        <w:noProof/>
      </w:rPr>
      <mc:AlternateContent>
        <mc:Choice Requires="wps">
          <w:drawing>
            <wp:anchor distT="0" distB="0" distL="0" distR="0" simplePos="0" relativeHeight="251659264" behindDoc="0" locked="0" layoutInCell="1" allowOverlap="1" wp14:anchorId="7A5929FF" wp14:editId="061C4FF5">
              <wp:simplePos x="635" y="635"/>
              <wp:positionH relativeFrom="page">
                <wp:align>center</wp:align>
              </wp:positionH>
              <wp:positionV relativeFrom="page">
                <wp:align>top</wp:align>
              </wp:positionV>
              <wp:extent cx="551815" cy="404495"/>
              <wp:effectExtent l="0" t="0" r="635" b="14605"/>
              <wp:wrapNone/>
              <wp:docPr id="19734078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D95DA7" w14:textId="04EA9D13" w:rsidR="00151F4A" w:rsidRPr="00151F4A" w:rsidRDefault="00151F4A" w:rsidP="00151F4A">
                          <w:pPr>
                            <w:spacing w:after="0"/>
                            <w:rPr>
                              <w:rFonts w:ascii="Calibri" w:hAnsi="Calibri" w:cs="Calibri"/>
                              <w:noProof/>
                              <w:color w:val="FF0000"/>
                            </w:rPr>
                          </w:pPr>
                          <w:r w:rsidRPr="00151F4A">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929F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3D95DA7" w14:textId="04EA9D13" w:rsidR="00151F4A" w:rsidRPr="00151F4A" w:rsidRDefault="00151F4A" w:rsidP="00151F4A">
                    <w:pPr>
                      <w:spacing w:after="0"/>
                      <w:rPr>
                        <w:rFonts w:ascii="Calibri" w:hAnsi="Calibri" w:cs="Calibri"/>
                        <w:noProof/>
                        <w:color w:val="FF0000"/>
                      </w:rPr>
                    </w:pPr>
                    <w:r w:rsidRPr="00151F4A">
                      <w:rPr>
                        <w:rFonts w:ascii="Calibri" w:hAnsi="Calibri" w:cs="Calibri"/>
                        <w:noProof/>
                        <w:color w:val="FF0000"/>
                      </w:rPr>
                      <w:t>OFFICIAL</w:t>
                    </w:r>
                  </w:p>
                </w:txbxContent>
              </v:textbox>
              <w10:wrap anchorx="page" anchory="page"/>
            </v:shape>
          </w:pict>
        </mc:Fallback>
      </mc:AlternateContent>
    </w:r>
    <w:fldSimple w:instr=" DOCPROPERTY SecurityClassification \* MERGEFORMAT ">
      <w:r w:rsidR="000E619E">
        <w:rPr>
          <w:b/>
          <w:bCs/>
          <w:lang w:val="en-US"/>
        </w:rPr>
        <w:t xml:space="preserve">OFFICIAL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401369129">
    <w:abstractNumId w:val="6"/>
  </w:num>
  <w:num w:numId="2" w16cid:durableId="1064065873">
    <w:abstractNumId w:val="0"/>
  </w:num>
  <w:num w:numId="3" w16cid:durableId="824972321">
    <w:abstractNumId w:val="3"/>
  </w:num>
  <w:num w:numId="4" w16cid:durableId="1633897554">
    <w:abstractNumId w:val="2"/>
  </w:num>
  <w:num w:numId="5" w16cid:durableId="240726438">
    <w:abstractNumId w:val="4"/>
  </w:num>
  <w:num w:numId="6" w16cid:durableId="1662077317">
    <w:abstractNumId w:val="1"/>
  </w:num>
  <w:num w:numId="7" w16cid:durableId="136394135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E0187E"/>
    <w:rsid w:val="00000BB3"/>
    <w:rsid w:val="00004AEE"/>
    <w:rsid w:val="00005CAA"/>
    <w:rsid w:val="00010210"/>
    <w:rsid w:val="00011D63"/>
    <w:rsid w:val="00012D66"/>
    <w:rsid w:val="000134A6"/>
    <w:rsid w:val="00015ADA"/>
    <w:rsid w:val="00020C99"/>
    <w:rsid w:val="00020E2B"/>
    <w:rsid w:val="0002707B"/>
    <w:rsid w:val="0005148E"/>
    <w:rsid w:val="000633CD"/>
    <w:rsid w:val="00072C5A"/>
    <w:rsid w:val="000759E5"/>
    <w:rsid w:val="000818B0"/>
    <w:rsid w:val="00084AC6"/>
    <w:rsid w:val="000905ED"/>
    <w:rsid w:val="000907DB"/>
    <w:rsid w:val="00091608"/>
    <w:rsid w:val="0009333C"/>
    <w:rsid w:val="0009704F"/>
    <w:rsid w:val="000A0F11"/>
    <w:rsid w:val="000A125A"/>
    <w:rsid w:val="000A57CD"/>
    <w:rsid w:val="000A76A9"/>
    <w:rsid w:val="000B2CE7"/>
    <w:rsid w:val="000B3758"/>
    <w:rsid w:val="000B7681"/>
    <w:rsid w:val="000B7B42"/>
    <w:rsid w:val="000C02B7"/>
    <w:rsid w:val="000C0C9F"/>
    <w:rsid w:val="000C227A"/>
    <w:rsid w:val="000C5100"/>
    <w:rsid w:val="000C5342"/>
    <w:rsid w:val="000C706A"/>
    <w:rsid w:val="000D2887"/>
    <w:rsid w:val="000D6D63"/>
    <w:rsid w:val="000E0081"/>
    <w:rsid w:val="000E07CF"/>
    <w:rsid w:val="000E31C1"/>
    <w:rsid w:val="000E619E"/>
    <w:rsid w:val="000E6A2D"/>
    <w:rsid w:val="000F1845"/>
    <w:rsid w:val="000F2CF2"/>
    <w:rsid w:val="00100BEF"/>
    <w:rsid w:val="00111326"/>
    <w:rsid w:val="0011498E"/>
    <w:rsid w:val="00117A45"/>
    <w:rsid w:val="001224AE"/>
    <w:rsid w:val="001243DB"/>
    <w:rsid w:val="00132158"/>
    <w:rsid w:val="001337D4"/>
    <w:rsid w:val="001339D9"/>
    <w:rsid w:val="00140C29"/>
    <w:rsid w:val="001429DA"/>
    <w:rsid w:val="001459F7"/>
    <w:rsid w:val="001476F6"/>
    <w:rsid w:val="00147C12"/>
    <w:rsid w:val="00151F4A"/>
    <w:rsid w:val="001527A1"/>
    <w:rsid w:val="001530DC"/>
    <w:rsid w:val="00154989"/>
    <w:rsid w:val="00155A9F"/>
    <w:rsid w:val="00156039"/>
    <w:rsid w:val="00160262"/>
    <w:rsid w:val="001638CF"/>
    <w:rsid w:val="0016780A"/>
    <w:rsid w:val="001713FA"/>
    <w:rsid w:val="00173EBF"/>
    <w:rsid w:val="00175ED3"/>
    <w:rsid w:val="0017635A"/>
    <w:rsid w:val="001842A2"/>
    <w:rsid w:val="00187FA8"/>
    <w:rsid w:val="00192F5E"/>
    <w:rsid w:val="00197772"/>
    <w:rsid w:val="001A51C8"/>
    <w:rsid w:val="001B4CA8"/>
    <w:rsid w:val="001B53D3"/>
    <w:rsid w:val="001B5EA1"/>
    <w:rsid w:val="001B7508"/>
    <w:rsid w:val="001C4F3D"/>
    <w:rsid w:val="001D0CDC"/>
    <w:rsid w:val="001D1D82"/>
    <w:rsid w:val="001E1182"/>
    <w:rsid w:val="00200154"/>
    <w:rsid w:val="00202C90"/>
    <w:rsid w:val="00212E44"/>
    <w:rsid w:val="00213DE8"/>
    <w:rsid w:val="00216118"/>
    <w:rsid w:val="002209AB"/>
    <w:rsid w:val="002251E3"/>
    <w:rsid w:val="00227A84"/>
    <w:rsid w:val="00227A95"/>
    <w:rsid w:val="002316BD"/>
    <w:rsid w:val="00242FAE"/>
    <w:rsid w:val="00243725"/>
    <w:rsid w:val="00243874"/>
    <w:rsid w:val="002473FC"/>
    <w:rsid w:val="00252E3C"/>
    <w:rsid w:val="00262198"/>
    <w:rsid w:val="00266E54"/>
    <w:rsid w:val="00282066"/>
    <w:rsid w:val="00285F1B"/>
    <w:rsid w:val="00292B81"/>
    <w:rsid w:val="002A2F9C"/>
    <w:rsid w:val="002B18AE"/>
    <w:rsid w:val="002B2C44"/>
    <w:rsid w:val="002C1C93"/>
    <w:rsid w:val="002C5066"/>
    <w:rsid w:val="002C5813"/>
    <w:rsid w:val="002D221C"/>
    <w:rsid w:val="002D4AAC"/>
    <w:rsid w:val="002E4176"/>
    <w:rsid w:val="002F045A"/>
    <w:rsid w:val="0030039D"/>
    <w:rsid w:val="00300816"/>
    <w:rsid w:val="003024E9"/>
    <w:rsid w:val="0030326F"/>
    <w:rsid w:val="00310701"/>
    <w:rsid w:val="0031196E"/>
    <w:rsid w:val="00315137"/>
    <w:rsid w:val="00315980"/>
    <w:rsid w:val="00316F7F"/>
    <w:rsid w:val="003218E8"/>
    <w:rsid w:val="00325E34"/>
    <w:rsid w:val="00330DCE"/>
    <w:rsid w:val="00331E11"/>
    <w:rsid w:val="00334761"/>
    <w:rsid w:val="003358FF"/>
    <w:rsid w:val="00337EBC"/>
    <w:rsid w:val="0034063F"/>
    <w:rsid w:val="00341DCD"/>
    <w:rsid w:val="0034563E"/>
    <w:rsid w:val="003518D6"/>
    <w:rsid w:val="003538D3"/>
    <w:rsid w:val="0035460C"/>
    <w:rsid w:val="0035504D"/>
    <w:rsid w:val="003556BD"/>
    <w:rsid w:val="00365147"/>
    <w:rsid w:val="00366556"/>
    <w:rsid w:val="0037016E"/>
    <w:rsid w:val="00372908"/>
    <w:rsid w:val="00377620"/>
    <w:rsid w:val="00383020"/>
    <w:rsid w:val="003833F9"/>
    <w:rsid w:val="00384EED"/>
    <w:rsid w:val="00394D7E"/>
    <w:rsid w:val="003975FD"/>
    <w:rsid w:val="003B057D"/>
    <w:rsid w:val="003B32D7"/>
    <w:rsid w:val="003B60CC"/>
    <w:rsid w:val="003C1B25"/>
    <w:rsid w:val="003C2443"/>
    <w:rsid w:val="003C5DA3"/>
    <w:rsid w:val="003D0A4F"/>
    <w:rsid w:val="003D4BCD"/>
    <w:rsid w:val="003D6470"/>
    <w:rsid w:val="003D6C2B"/>
    <w:rsid w:val="003E01D8"/>
    <w:rsid w:val="003E2100"/>
    <w:rsid w:val="003F37CF"/>
    <w:rsid w:val="003F3C54"/>
    <w:rsid w:val="003F4BF0"/>
    <w:rsid w:val="003F6F5B"/>
    <w:rsid w:val="0040342D"/>
    <w:rsid w:val="0041192D"/>
    <w:rsid w:val="0041267D"/>
    <w:rsid w:val="00413EE1"/>
    <w:rsid w:val="0042128E"/>
    <w:rsid w:val="00424BCB"/>
    <w:rsid w:val="00432B60"/>
    <w:rsid w:val="00440698"/>
    <w:rsid w:val="004443C2"/>
    <w:rsid w:val="004540E2"/>
    <w:rsid w:val="00454454"/>
    <w:rsid w:val="0045548D"/>
    <w:rsid w:val="004660DB"/>
    <w:rsid w:val="00467924"/>
    <w:rsid w:val="004712A5"/>
    <w:rsid w:val="0047266F"/>
    <w:rsid w:val="00473FF1"/>
    <w:rsid w:val="00476D6B"/>
    <w:rsid w:val="00492C16"/>
    <w:rsid w:val="004A0678"/>
    <w:rsid w:val="004A48A3"/>
    <w:rsid w:val="004A75DC"/>
    <w:rsid w:val="004A7D98"/>
    <w:rsid w:val="004B0D92"/>
    <w:rsid w:val="004B0EC0"/>
    <w:rsid w:val="004B2DC8"/>
    <w:rsid w:val="004B66F1"/>
    <w:rsid w:val="004C3325"/>
    <w:rsid w:val="004C3EA0"/>
    <w:rsid w:val="004C642B"/>
    <w:rsid w:val="004D634E"/>
    <w:rsid w:val="004D74E9"/>
    <w:rsid w:val="004D7B4E"/>
    <w:rsid w:val="004E5456"/>
    <w:rsid w:val="004F7169"/>
    <w:rsid w:val="00500D66"/>
    <w:rsid w:val="00500FE8"/>
    <w:rsid w:val="00504532"/>
    <w:rsid w:val="0050471B"/>
    <w:rsid w:val="00512107"/>
    <w:rsid w:val="00514C8E"/>
    <w:rsid w:val="005264EC"/>
    <w:rsid w:val="005308AC"/>
    <w:rsid w:val="00531DBF"/>
    <w:rsid w:val="005364BD"/>
    <w:rsid w:val="00537BD7"/>
    <w:rsid w:val="00545759"/>
    <w:rsid w:val="00545BE0"/>
    <w:rsid w:val="00546930"/>
    <w:rsid w:val="00553C0B"/>
    <w:rsid w:val="00554C6A"/>
    <w:rsid w:val="00562E85"/>
    <w:rsid w:val="0056332F"/>
    <w:rsid w:val="005719B3"/>
    <w:rsid w:val="0057295E"/>
    <w:rsid w:val="00581C39"/>
    <w:rsid w:val="005903B6"/>
    <w:rsid w:val="005A0247"/>
    <w:rsid w:val="005A1025"/>
    <w:rsid w:val="005A126E"/>
    <w:rsid w:val="005A17C9"/>
    <w:rsid w:val="005A452F"/>
    <w:rsid w:val="005B140D"/>
    <w:rsid w:val="005C1FEA"/>
    <w:rsid w:val="005C3495"/>
    <w:rsid w:val="005D1B51"/>
    <w:rsid w:val="005D47B3"/>
    <w:rsid w:val="005E14F8"/>
    <w:rsid w:val="005E3DFC"/>
    <w:rsid w:val="005E5942"/>
    <w:rsid w:val="005E60AF"/>
    <w:rsid w:val="005E73AE"/>
    <w:rsid w:val="005F1DEA"/>
    <w:rsid w:val="005F2927"/>
    <w:rsid w:val="00607FC9"/>
    <w:rsid w:val="00622FE1"/>
    <w:rsid w:val="0062521C"/>
    <w:rsid w:val="00630A2B"/>
    <w:rsid w:val="00632DC7"/>
    <w:rsid w:val="006357FB"/>
    <w:rsid w:val="006405B4"/>
    <w:rsid w:val="006406FC"/>
    <w:rsid w:val="00640E57"/>
    <w:rsid w:val="00646122"/>
    <w:rsid w:val="00653E16"/>
    <w:rsid w:val="00657220"/>
    <w:rsid w:val="00657362"/>
    <w:rsid w:val="0066104B"/>
    <w:rsid w:val="006655EE"/>
    <w:rsid w:val="00667C10"/>
    <w:rsid w:val="00667EF4"/>
    <w:rsid w:val="0067627E"/>
    <w:rsid w:val="00676FCA"/>
    <w:rsid w:val="00677177"/>
    <w:rsid w:val="0068612E"/>
    <w:rsid w:val="00687C92"/>
    <w:rsid w:val="0069252D"/>
    <w:rsid w:val="0069534E"/>
    <w:rsid w:val="0069669C"/>
    <w:rsid w:val="006A1200"/>
    <w:rsid w:val="006A4F4E"/>
    <w:rsid w:val="006A6C23"/>
    <w:rsid w:val="006B14DB"/>
    <w:rsid w:val="006B21C4"/>
    <w:rsid w:val="006C4A1A"/>
    <w:rsid w:val="006C67AB"/>
    <w:rsid w:val="006D0393"/>
    <w:rsid w:val="006D1A83"/>
    <w:rsid w:val="006D5047"/>
    <w:rsid w:val="006E1CFE"/>
    <w:rsid w:val="006F10C4"/>
    <w:rsid w:val="006F40E9"/>
    <w:rsid w:val="006F498A"/>
    <w:rsid w:val="006F5603"/>
    <w:rsid w:val="006F573F"/>
    <w:rsid w:val="006F7B87"/>
    <w:rsid w:val="00700CE3"/>
    <w:rsid w:val="00701400"/>
    <w:rsid w:val="007037CF"/>
    <w:rsid w:val="007167C0"/>
    <w:rsid w:val="00720481"/>
    <w:rsid w:val="00724029"/>
    <w:rsid w:val="00733193"/>
    <w:rsid w:val="00736EB9"/>
    <w:rsid w:val="00744DDA"/>
    <w:rsid w:val="00745E03"/>
    <w:rsid w:val="00750FC6"/>
    <w:rsid w:val="0075732A"/>
    <w:rsid w:val="007600F8"/>
    <w:rsid w:val="007601F4"/>
    <w:rsid w:val="00760262"/>
    <w:rsid w:val="0076310C"/>
    <w:rsid w:val="007655A0"/>
    <w:rsid w:val="0076744F"/>
    <w:rsid w:val="007674A2"/>
    <w:rsid w:val="00767BCE"/>
    <w:rsid w:val="00767EFC"/>
    <w:rsid w:val="007707DE"/>
    <w:rsid w:val="00770B5D"/>
    <w:rsid w:val="00771276"/>
    <w:rsid w:val="0077189D"/>
    <w:rsid w:val="007752F1"/>
    <w:rsid w:val="00776768"/>
    <w:rsid w:val="0078187A"/>
    <w:rsid w:val="00794ED8"/>
    <w:rsid w:val="007A2573"/>
    <w:rsid w:val="007B106C"/>
    <w:rsid w:val="007B1A4E"/>
    <w:rsid w:val="007B3D05"/>
    <w:rsid w:val="007B5503"/>
    <w:rsid w:val="007C179C"/>
    <w:rsid w:val="007C6BB3"/>
    <w:rsid w:val="007D14B4"/>
    <w:rsid w:val="007D3AD7"/>
    <w:rsid w:val="007E1BA1"/>
    <w:rsid w:val="007E24F6"/>
    <w:rsid w:val="00800F64"/>
    <w:rsid w:val="00801050"/>
    <w:rsid w:val="00802785"/>
    <w:rsid w:val="00802F0B"/>
    <w:rsid w:val="00810A67"/>
    <w:rsid w:val="008118F3"/>
    <w:rsid w:val="0081478F"/>
    <w:rsid w:val="008149C2"/>
    <w:rsid w:val="00833CF7"/>
    <w:rsid w:val="00834CDE"/>
    <w:rsid w:val="00842464"/>
    <w:rsid w:val="00845601"/>
    <w:rsid w:val="00855C5C"/>
    <w:rsid w:val="00861A2D"/>
    <w:rsid w:val="0086228C"/>
    <w:rsid w:val="00872775"/>
    <w:rsid w:val="00890DB7"/>
    <w:rsid w:val="008A24E0"/>
    <w:rsid w:val="008A3C96"/>
    <w:rsid w:val="008B4019"/>
    <w:rsid w:val="008B65C9"/>
    <w:rsid w:val="008C1BF8"/>
    <w:rsid w:val="008C2D4A"/>
    <w:rsid w:val="008C4F7D"/>
    <w:rsid w:val="008C72D3"/>
    <w:rsid w:val="008D23B9"/>
    <w:rsid w:val="008D2F14"/>
    <w:rsid w:val="008D3900"/>
    <w:rsid w:val="008D403E"/>
    <w:rsid w:val="008D6E1D"/>
    <w:rsid w:val="008F39B4"/>
    <w:rsid w:val="008F4162"/>
    <w:rsid w:val="008F7FD3"/>
    <w:rsid w:val="00900067"/>
    <w:rsid w:val="00903E02"/>
    <w:rsid w:val="0090669A"/>
    <w:rsid w:val="00913175"/>
    <w:rsid w:val="00916EDB"/>
    <w:rsid w:val="00920449"/>
    <w:rsid w:val="00920521"/>
    <w:rsid w:val="00920861"/>
    <w:rsid w:val="00922B13"/>
    <w:rsid w:val="009242EF"/>
    <w:rsid w:val="00932291"/>
    <w:rsid w:val="00932861"/>
    <w:rsid w:val="0093408E"/>
    <w:rsid w:val="009344D3"/>
    <w:rsid w:val="00935EF8"/>
    <w:rsid w:val="0094041C"/>
    <w:rsid w:val="009509E7"/>
    <w:rsid w:val="00952DDF"/>
    <w:rsid w:val="00963B6A"/>
    <w:rsid w:val="00970950"/>
    <w:rsid w:val="00970C77"/>
    <w:rsid w:val="009812D4"/>
    <w:rsid w:val="00987AC0"/>
    <w:rsid w:val="009920D8"/>
    <w:rsid w:val="00992857"/>
    <w:rsid w:val="0099508F"/>
    <w:rsid w:val="0099677D"/>
    <w:rsid w:val="009B38BE"/>
    <w:rsid w:val="009C3D0F"/>
    <w:rsid w:val="009E1B19"/>
    <w:rsid w:val="009E3D20"/>
    <w:rsid w:val="009F35E2"/>
    <w:rsid w:val="009F65F9"/>
    <w:rsid w:val="009F68BA"/>
    <w:rsid w:val="00A06277"/>
    <w:rsid w:val="00A079DC"/>
    <w:rsid w:val="00A07FD6"/>
    <w:rsid w:val="00A111C2"/>
    <w:rsid w:val="00A24812"/>
    <w:rsid w:val="00A338E7"/>
    <w:rsid w:val="00A346F5"/>
    <w:rsid w:val="00A35CAA"/>
    <w:rsid w:val="00A36E7F"/>
    <w:rsid w:val="00A41BBE"/>
    <w:rsid w:val="00A41E65"/>
    <w:rsid w:val="00A42D22"/>
    <w:rsid w:val="00A43E0A"/>
    <w:rsid w:val="00A530C7"/>
    <w:rsid w:val="00A55EA5"/>
    <w:rsid w:val="00A55F5B"/>
    <w:rsid w:val="00A60185"/>
    <w:rsid w:val="00A661EA"/>
    <w:rsid w:val="00A67864"/>
    <w:rsid w:val="00A830E5"/>
    <w:rsid w:val="00A87135"/>
    <w:rsid w:val="00A92DCB"/>
    <w:rsid w:val="00A93280"/>
    <w:rsid w:val="00A951EA"/>
    <w:rsid w:val="00AA2548"/>
    <w:rsid w:val="00AA58C4"/>
    <w:rsid w:val="00AA7003"/>
    <w:rsid w:val="00AB11C8"/>
    <w:rsid w:val="00AB1BE1"/>
    <w:rsid w:val="00AB653A"/>
    <w:rsid w:val="00AB6BBB"/>
    <w:rsid w:val="00AC08A8"/>
    <w:rsid w:val="00AC53CD"/>
    <w:rsid w:val="00AD56C8"/>
    <w:rsid w:val="00AD58F2"/>
    <w:rsid w:val="00AD6418"/>
    <w:rsid w:val="00AD7682"/>
    <w:rsid w:val="00B02975"/>
    <w:rsid w:val="00B0512A"/>
    <w:rsid w:val="00B0529F"/>
    <w:rsid w:val="00B1418B"/>
    <w:rsid w:val="00B21195"/>
    <w:rsid w:val="00B24B22"/>
    <w:rsid w:val="00B25310"/>
    <w:rsid w:val="00B32F8F"/>
    <w:rsid w:val="00B3492A"/>
    <w:rsid w:val="00B356C4"/>
    <w:rsid w:val="00B41BA3"/>
    <w:rsid w:val="00B54DE9"/>
    <w:rsid w:val="00B553EC"/>
    <w:rsid w:val="00B55E3F"/>
    <w:rsid w:val="00B60AD3"/>
    <w:rsid w:val="00B928A0"/>
    <w:rsid w:val="00B93CCD"/>
    <w:rsid w:val="00B93DD0"/>
    <w:rsid w:val="00B97732"/>
    <w:rsid w:val="00BA0A51"/>
    <w:rsid w:val="00BA39E5"/>
    <w:rsid w:val="00BA3AC3"/>
    <w:rsid w:val="00BA4306"/>
    <w:rsid w:val="00BA65A8"/>
    <w:rsid w:val="00BA6D19"/>
    <w:rsid w:val="00BA7461"/>
    <w:rsid w:val="00BA7DA9"/>
    <w:rsid w:val="00BB1EE9"/>
    <w:rsid w:val="00BB6882"/>
    <w:rsid w:val="00BB6FB0"/>
    <w:rsid w:val="00BC4215"/>
    <w:rsid w:val="00BC6701"/>
    <w:rsid w:val="00BD1A6F"/>
    <w:rsid w:val="00BD3B80"/>
    <w:rsid w:val="00BD4A37"/>
    <w:rsid w:val="00BE6D3C"/>
    <w:rsid w:val="00BE7852"/>
    <w:rsid w:val="00BF29DD"/>
    <w:rsid w:val="00BF7CEE"/>
    <w:rsid w:val="00C03880"/>
    <w:rsid w:val="00C07445"/>
    <w:rsid w:val="00C135CF"/>
    <w:rsid w:val="00C2683F"/>
    <w:rsid w:val="00C3184D"/>
    <w:rsid w:val="00C37D8A"/>
    <w:rsid w:val="00C45822"/>
    <w:rsid w:val="00C4714E"/>
    <w:rsid w:val="00C51CCA"/>
    <w:rsid w:val="00C5504F"/>
    <w:rsid w:val="00C57B55"/>
    <w:rsid w:val="00C63376"/>
    <w:rsid w:val="00C73E7F"/>
    <w:rsid w:val="00C74F97"/>
    <w:rsid w:val="00C8276E"/>
    <w:rsid w:val="00C842AC"/>
    <w:rsid w:val="00C919DA"/>
    <w:rsid w:val="00C91FC1"/>
    <w:rsid w:val="00C96688"/>
    <w:rsid w:val="00CA0723"/>
    <w:rsid w:val="00CA781E"/>
    <w:rsid w:val="00CB1690"/>
    <w:rsid w:val="00CB3E98"/>
    <w:rsid w:val="00CB7445"/>
    <w:rsid w:val="00CC4365"/>
    <w:rsid w:val="00CD11B0"/>
    <w:rsid w:val="00CE71C2"/>
    <w:rsid w:val="00CF0759"/>
    <w:rsid w:val="00CF42D5"/>
    <w:rsid w:val="00CF4EDA"/>
    <w:rsid w:val="00D021CB"/>
    <w:rsid w:val="00D076FE"/>
    <w:rsid w:val="00D10F1A"/>
    <w:rsid w:val="00D116F8"/>
    <w:rsid w:val="00D171D9"/>
    <w:rsid w:val="00D17596"/>
    <w:rsid w:val="00D21D98"/>
    <w:rsid w:val="00D22640"/>
    <w:rsid w:val="00D26D3A"/>
    <w:rsid w:val="00D31DB8"/>
    <w:rsid w:val="00D3217C"/>
    <w:rsid w:val="00D40068"/>
    <w:rsid w:val="00D45EE3"/>
    <w:rsid w:val="00D50618"/>
    <w:rsid w:val="00D509E9"/>
    <w:rsid w:val="00D53B1C"/>
    <w:rsid w:val="00D606EC"/>
    <w:rsid w:val="00D7489A"/>
    <w:rsid w:val="00D93A22"/>
    <w:rsid w:val="00D93B44"/>
    <w:rsid w:val="00DA1B12"/>
    <w:rsid w:val="00DA37F6"/>
    <w:rsid w:val="00DA54C9"/>
    <w:rsid w:val="00DA6739"/>
    <w:rsid w:val="00DA6CAE"/>
    <w:rsid w:val="00DA714D"/>
    <w:rsid w:val="00DB1A9E"/>
    <w:rsid w:val="00DB31D6"/>
    <w:rsid w:val="00DB4005"/>
    <w:rsid w:val="00DB54BA"/>
    <w:rsid w:val="00DC34EB"/>
    <w:rsid w:val="00DD01FF"/>
    <w:rsid w:val="00DD4A79"/>
    <w:rsid w:val="00DE4CF3"/>
    <w:rsid w:val="00DE7178"/>
    <w:rsid w:val="00DF1E5B"/>
    <w:rsid w:val="00DF2275"/>
    <w:rsid w:val="00DF2A0F"/>
    <w:rsid w:val="00DF3F5E"/>
    <w:rsid w:val="00DF5653"/>
    <w:rsid w:val="00E0187E"/>
    <w:rsid w:val="00E0596E"/>
    <w:rsid w:val="00E06F66"/>
    <w:rsid w:val="00E12424"/>
    <w:rsid w:val="00E23D1A"/>
    <w:rsid w:val="00E316D6"/>
    <w:rsid w:val="00E33070"/>
    <w:rsid w:val="00E332E8"/>
    <w:rsid w:val="00E356E5"/>
    <w:rsid w:val="00E36F81"/>
    <w:rsid w:val="00E40AF8"/>
    <w:rsid w:val="00E45765"/>
    <w:rsid w:val="00E471B4"/>
    <w:rsid w:val="00E5098C"/>
    <w:rsid w:val="00E539AE"/>
    <w:rsid w:val="00E56EA5"/>
    <w:rsid w:val="00E57B6C"/>
    <w:rsid w:val="00E60213"/>
    <w:rsid w:val="00E658E8"/>
    <w:rsid w:val="00E661B2"/>
    <w:rsid w:val="00E74D29"/>
    <w:rsid w:val="00E83C74"/>
    <w:rsid w:val="00E83CEE"/>
    <w:rsid w:val="00E91F18"/>
    <w:rsid w:val="00E9226D"/>
    <w:rsid w:val="00E97EBD"/>
    <w:rsid w:val="00EA416C"/>
    <w:rsid w:val="00EA5941"/>
    <w:rsid w:val="00EB60CE"/>
    <w:rsid w:val="00EB7D53"/>
    <w:rsid w:val="00EC1D7B"/>
    <w:rsid w:val="00EC35DF"/>
    <w:rsid w:val="00ED083E"/>
    <w:rsid w:val="00ED7059"/>
    <w:rsid w:val="00EE2D6E"/>
    <w:rsid w:val="00EE3146"/>
    <w:rsid w:val="00EF1426"/>
    <w:rsid w:val="00EF50BB"/>
    <w:rsid w:val="00EF53FF"/>
    <w:rsid w:val="00F00192"/>
    <w:rsid w:val="00F01DF6"/>
    <w:rsid w:val="00F0340D"/>
    <w:rsid w:val="00F059A6"/>
    <w:rsid w:val="00F13624"/>
    <w:rsid w:val="00F16825"/>
    <w:rsid w:val="00F23756"/>
    <w:rsid w:val="00F2523A"/>
    <w:rsid w:val="00F25FFA"/>
    <w:rsid w:val="00F310D2"/>
    <w:rsid w:val="00F36F3D"/>
    <w:rsid w:val="00F43D09"/>
    <w:rsid w:val="00F477BD"/>
    <w:rsid w:val="00F53491"/>
    <w:rsid w:val="00F61DE4"/>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B24A4"/>
    <w:rsid w:val="00FB7289"/>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0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rsid w:val="00A60185"/>
  </w:style>
  <w:style w:type="paragraph" w:styleId="Footer">
    <w:name w:val="footer"/>
    <w:basedOn w:val="Normal"/>
    <w:link w:val="FooterChar"/>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tabs>
        <w:tab w:val="num" w:pos="360"/>
      </w:tabs>
      <w:ind w:left="0" w:firstLine="0"/>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3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BasicParagraph">
    <w:name w:val="[Basic Paragraph]"/>
    <w:basedOn w:val="Normal"/>
    <w:uiPriority w:val="99"/>
    <w:rsid w:val="00CB3E98"/>
    <w:pPr>
      <w:autoSpaceDE w:val="0"/>
      <w:autoSpaceDN w:val="0"/>
      <w:adjustRightInd w:val="0"/>
      <w:spacing w:after="0" w:line="288" w:lineRule="auto"/>
      <w:textAlignment w:val="center"/>
    </w:pPr>
    <w:rPr>
      <w:rFonts w:eastAsia="Times New Roman" w:cs="Arial"/>
      <w:color w:val="000000"/>
      <w:sz w:val="20"/>
      <w:szCs w:val="20"/>
      <w:lang w:val="en-GB"/>
    </w:rPr>
  </w:style>
  <w:style w:type="paragraph" w:styleId="NormalWeb">
    <w:name w:val="Normal (Web)"/>
    <w:basedOn w:val="Normal"/>
    <w:rsid w:val="00CB3E98"/>
    <w:pPr>
      <w:spacing w:before="100" w:beforeAutospacing="1" w:after="100" w:afterAutospacing="1" w:line="240" w:lineRule="auto"/>
    </w:pPr>
    <w:rPr>
      <w:rFonts w:eastAsia="Times New Roman"/>
    </w:rPr>
  </w:style>
  <w:style w:type="character" w:styleId="PlaceholderText">
    <w:name w:val="Placeholder Text"/>
    <w:basedOn w:val="DefaultParagraphFont"/>
    <w:uiPriority w:val="99"/>
    <w:semiHidden/>
    <w:rsid w:val="008F7FD3"/>
    <w:rPr>
      <w:color w:val="808080"/>
    </w:rPr>
  </w:style>
  <w:style w:type="character" w:customStyle="1" w:styleId="Advice">
    <w:name w:val="*Advice"/>
    <w:basedOn w:val="DefaultParagraphFont"/>
    <w:uiPriority w:val="1"/>
    <w:qFormat/>
    <w:rsid w:val="00366556"/>
    <w:rPr>
      <w:color w:val="FF0000"/>
    </w:rPr>
  </w:style>
  <w:style w:type="character" w:styleId="Hyperlink">
    <w:name w:val="Hyperlink"/>
    <w:basedOn w:val="DefaultParagraphFont"/>
    <w:uiPriority w:val="99"/>
    <w:unhideWhenUsed/>
    <w:rsid w:val="003F4BF0"/>
    <w:rPr>
      <w:color w:val="0000FF" w:themeColor="hyperlink"/>
      <w:u w:val="single"/>
    </w:rPr>
  </w:style>
  <w:style w:type="paragraph" w:customStyle="1" w:styleId="Bullet">
    <w:name w:val="Bullet"/>
    <w:basedOn w:val="Normal"/>
    <w:link w:val="BulletChar"/>
    <w:rsid w:val="003F4BF0"/>
    <w:pPr>
      <w:numPr>
        <w:numId w:val="7"/>
      </w:numPr>
      <w:spacing w:before="240" w:after="120" w:line="240" w:lineRule="auto"/>
    </w:pPr>
    <w:rPr>
      <w:rFonts w:eastAsia="Times New Roman"/>
      <w:szCs w:val="23"/>
    </w:rPr>
  </w:style>
  <w:style w:type="character" w:customStyle="1" w:styleId="BulletChar">
    <w:name w:val="Bullet Char"/>
    <w:basedOn w:val="DefaultParagraphFont"/>
    <w:link w:val="Bullet"/>
    <w:rsid w:val="003F4BF0"/>
    <w:rPr>
      <w:rFonts w:eastAsia="Times New Roman"/>
      <w:szCs w:val="23"/>
    </w:rPr>
  </w:style>
  <w:style w:type="paragraph" w:customStyle="1" w:styleId="Dash">
    <w:name w:val="Dash"/>
    <w:basedOn w:val="Normal"/>
    <w:rsid w:val="003F4BF0"/>
    <w:pPr>
      <w:numPr>
        <w:ilvl w:val="1"/>
        <w:numId w:val="7"/>
      </w:numPr>
      <w:tabs>
        <w:tab w:val="clear" w:pos="1134"/>
        <w:tab w:val="num" w:pos="360"/>
      </w:tabs>
      <w:spacing w:before="240" w:after="120" w:line="240" w:lineRule="auto"/>
      <w:ind w:left="0" w:firstLine="0"/>
    </w:pPr>
    <w:rPr>
      <w:rFonts w:eastAsia="Times New Roman"/>
      <w:szCs w:val="23"/>
    </w:rPr>
  </w:style>
  <w:style w:type="paragraph" w:customStyle="1" w:styleId="DoubleDot">
    <w:name w:val="Double Dot"/>
    <w:basedOn w:val="Normal"/>
    <w:rsid w:val="003F4BF0"/>
    <w:pPr>
      <w:numPr>
        <w:ilvl w:val="2"/>
        <w:numId w:val="7"/>
      </w:numPr>
      <w:tabs>
        <w:tab w:val="clear" w:pos="1701"/>
        <w:tab w:val="num" w:pos="360"/>
      </w:tabs>
      <w:spacing w:before="240" w:after="120" w:line="240" w:lineRule="auto"/>
      <w:ind w:left="0" w:firstLine="0"/>
    </w:pPr>
    <w:rPr>
      <w:rFonts w:eastAsia="Times New Roman"/>
      <w:szCs w:val="23"/>
    </w:rPr>
  </w:style>
  <w:style w:type="paragraph" w:styleId="FootnoteText">
    <w:name w:val="footnote text"/>
    <w:basedOn w:val="Normal"/>
    <w:link w:val="FootnoteTextChar"/>
    <w:uiPriority w:val="99"/>
    <w:semiHidden/>
    <w:unhideWhenUsed/>
    <w:rsid w:val="003F4BF0"/>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3F4BF0"/>
    <w:rPr>
      <w:rFonts w:eastAsia="Times New Roman"/>
      <w:sz w:val="20"/>
      <w:szCs w:val="20"/>
    </w:rPr>
  </w:style>
  <w:style w:type="character" w:styleId="FootnoteReference">
    <w:name w:val="footnote reference"/>
    <w:basedOn w:val="DefaultParagraphFont"/>
    <w:uiPriority w:val="99"/>
    <w:semiHidden/>
    <w:unhideWhenUsed/>
    <w:rsid w:val="003F4BF0"/>
    <w:rPr>
      <w:vertAlign w:val="superscript"/>
    </w:rPr>
  </w:style>
  <w:style w:type="character" w:customStyle="1" w:styleId="ui-provider">
    <w:name w:val="ui-provider"/>
    <w:basedOn w:val="DefaultParagraphFont"/>
    <w:rsid w:val="003F4BF0"/>
  </w:style>
  <w:style w:type="character" w:styleId="CommentReference">
    <w:name w:val="annotation reference"/>
    <w:basedOn w:val="DefaultParagraphFont"/>
    <w:uiPriority w:val="99"/>
    <w:semiHidden/>
    <w:unhideWhenUsed/>
    <w:rsid w:val="000A76A9"/>
    <w:rPr>
      <w:sz w:val="16"/>
      <w:szCs w:val="16"/>
    </w:rPr>
  </w:style>
  <w:style w:type="paragraph" w:styleId="CommentText">
    <w:name w:val="annotation text"/>
    <w:basedOn w:val="Normal"/>
    <w:link w:val="CommentTextChar"/>
    <w:uiPriority w:val="99"/>
    <w:unhideWhenUsed/>
    <w:rsid w:val="000A76A9"/>
    <w:pPr>
      <w:spacing w:line="240" w:lineRule="auto"/>
    </w:pPr>
    <w:rPr>
      <w:sz w:val="20"/>
      <w:szCs w:val="20"/>
    </w:rPr>
  </w:style>
  <w:style w:type="character" w:customStyle="1" w:styleId="CommentTextChar">
    <w:name w:val="Comment Text Char"/>
    <w:basedOn w:val="DefaultParagraphFont"/>
    <w:link w:val="CommentText"/>
    <w:uiPriority w:val="99"/>
    <w:rsid w:val="000A76A9"/>
    <w:rPr>
      <w:sz w:val="20"/>
      <w:szCs w:val="20"/>
    </w:rPr>
  </w:style>
  <w:style w:type="paragraph" w:styleId="CommentSubject">
    <w:name w:val="annotation subject"/>
    <w:basedOn w:val="CommentText"/>
    <w:next w:val="CommentText"/>
    <w:link w:val="CommentSubjectChar"/>
    <w:uiPriority w:val="99"/>
    <w:semiHidden/>
    <w:unhideWhenUsed/>
    <w:rsid w:val="000A76A9"/>
    <w:rPr>
      <w:b/>
      <w:bCs/>
    </w:rPr>
  </w:style>
  <w:style w:type="character" w:customStyle="1" w:styleId="CommentSubjectChar">
    <w:name w:val="Comment Subject Char"/>
    <w:basedOn w:val="CommentTextChar"/>
    <w:link w:val="CommentSubject"/>
    <w:uiPriority w:val="99"/>
    <w:semiHidden/>
    <w:rsid w:val="000A76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9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a1c6b2-52d5-49b7-9598-2998b6301fb2}"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2024-10-02T23:51:00Z</dcterms:created>
  <dcterms:modified xsi:type="dcterms:W3CDTF">2024-10-04T02:23:00Z</dcterms:modified>
</cp:coreProperties>
</file>