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B20907" w14:textId="77777777" w:rsidR="00C3542D" w:rsidRPr="007E3E8C" w:rsidRDefault="009A11A1" w:rsidP="00C3542D">
      <w:pPr>
        <w:jc w:val="center"/>
        <w:rPr>
          <w:b/>
          <w:u w:val="single"/>
        </w:rPr>
      </w:pPr>
      <w:r w:rsidRPr="007E3E8C">
        <w:rPr>
          <w:b/>
          <w:u w:val="single"/>
        </w:rPr>
        <w:t>EXPLANATORY STATEMENT</w:t>
      </w:r>
    </w:p>
    <w:p w14:paraId="6B110564" w14:textId="77777777" w:rsidR="00C3542D" w:rsidRPr="007E3E8C" w:rsidRDefault="00C3542D" w:rsidP="00DF3DCF">
      <w:pPr>
        <w:autoSpaceDE w:val="0"/>
        <w:autoSpaceDN w:val="0"/>
        <w:adjustRightInd w:val="0"/>
        <w:spacing w:before="120" w:after="80"/>
        <w:jc w:val="center"/>
        <w:rPr>
          <w:bCs/>
        </w:rPr>
      </w:pPr>
    </w:p>
    <w:p w14:paraId="0708C1D8" w14:textId="2E2B64C1" w:rsidR="00B670A6" w:rsidRPr="007E3E8C" w:rsidRDefault="00B670A6" w:rsidP="00B670A6">
      <w:pPr>
        <w:jc w:val="center"/>
        <w:rPr>
          <w:u w:val="single"/>
        </w:rPr>
      </w:pPr>
      <w:r w:rsidRPr="007E3E8C">
        <w:rPr>
          <w:u w:val="single"/>
        </w:rPr>
        <w:t>Issued by the authority of th</w:t>
      </w:r>
      <w:r w:rsidRPr="001A23EE">
        <w:rPr>
          <w:u w:val="single"/>
        </w:rPr>
        <w:t xml:space="preserve">e </w:t>
      </w:r>
      <w:r w:rsidR="007871DF" w:rsidRPr="001A23EE">
        <w:rPr>
          <w:szCs w:val="22"/>
          <w:u w:val="single"/>
        </w:rPr>
        <w:t>Assistant Minister for Climate Change and Energy</w:t>
      </w:r>
    </w:p>
    <w:p w14:paraId="76014053" w14:textId="77777777" w:rsidR="00C3542D" w:rsidRPr="007E3E8C" w:rsidRDefault="00C3542D" w:rsidP="00DF3DCF">
      <w:pPr>
        <w:autoSpaceDE w:val="0"/>
        <w:autoSpaceDN w:val="0"/>
        <w:adjustRightInd w:val="0"/>
        <w:spacing w:before="120" w:after="80"/>
        <w:jc w:val="center"/>
        <w:rPr>
          <w:bCs/>
        </w:rPr>
      </w:pPr>
    </w:p>
    <w:p w14:paraId="290DAD96" w14:textId="77777777" w:rsidR="009A11A1" w:rsidRPr="007E3E8C" w:rsidRDefault="009A11A1" w:rsidP="009A11A1">
      <w:pPr>
        <w:autoSpaceDE w:val="0"/>
        <w:autoSpaceDN w:val="0"/>
        <w:adjustRightInd w:val="0"/>
        <w:spacing w:before="120" w:after="80"/>
        <w:jc w:val="center"/>
        <w:rPr>
          <w:bCs/>
          <w:i/>
        </w:rPr>
      </w:pPr>
      <w:r w:rsidRPr="007E3E8C">
        <w:rPr>
          <w:bCs/>
          <w:i/>
        </w:rPr>
        <w:t>Greenhouse and Energy Minimum Standards Act 2012</w:t>
      </w:r>
    </w:p>
    <w:p w14:paraId="0CC909AB" w14:textId="77777777" w:rsidR="009A11A1" w:rsidRPr="007E3E8C" w:rsidRDefault="009A11A1" w:rsidP="009A11A1">
      <w:pPr>
        <w:autoSpaceDE w:val="0"/>
        <w:autoSpaceDN w:val="0"/>
        <w:adjustRightInd w:val="0"/>
        <w:spacing w:before="120" w:after="80"/>
        <w:jc w:val="center"/>
        <w:rPr>
          <w:bCs/>
        </w:rPr>
      </w:pPr>
    </w:p>
    <w:p w14:paraId="1784A51D" w14:textId="17E4A953" w:rsidR="00C3542D" w:rsidRPr="007E3E8C" w:rsidRDefault="009A11A1" w:rsidP="00C3542D">
      <w:pPr>
        <w:autoSpaceDE w:val="0"/>
        <w:autoSpaceDN w:val="0"/>
        <w:adjustRightInd w:val="0"/>
        <w:spacing w:before="120" w:after="80"/>
        <w:jc w:val="center"/>
        <w:rPr>
          <w:bCs/>
          <w:i/>
        </w:rPr>
      </w:pPr>
      <w:r w:rsidRPr="007E3E8C">
        <w:rPr>
          <w:bCs/>
          <w:i/>
        </w:rPr>
        <w:t>Greenhouse and Energy Minimum Standards (</w:t>
      </w:r>
      <w:r w:rsidR="00E3664A" w:rsidRPr="007E3E8C">
        <w:rPr>
          <w:bCs/>
          <w:i/>
        </w:rPr>
        <w:t>Rotary Clothes Dryers</w:t>
      </w:r>
      <w:r w:rsidRPr="007E3E8C">
        <w:rPr>
          <w:bCs/>
          <w:i/>
        </w:rPr>
        <w:t xml:space="preserve">) Determination </w:t>
      </w:r>
      <w:r w:rsidR="009F6591" w:rsidRPr="007E3E8C">
        <w:rPr>
          <w:bCs/>
          <w:i/>
        </w:rPr>
        <w:t>202</w:t>
      </w:r>
      <w:r w:rsidR="009F6591">
        <w:rPr>
          <w:bCs/>
          <w:i/>
        </w:rPr>
        <w:t>4</w:t>
      </w:r>
    </w:p>
    <w:p w14:paraId="56BF01A8" w14:textId="77777777" w:rsidR="002E7274" w:rsidRPr="007E3E8C" w:rsidRDefault="002E7274" w:rsidP="0079768C">
      <w:pPr>
        <w:pStyle w:val="Heading1"/>
        <w:numPr>
          <w:ilvl w:val="0"/>
          <w:numId w:val="24"/>
        </w:numPr>
        <w:ind w:left="426" w:hanging="426"/>
        <w:rPr>
          <w:rFonts w:ascii="Times New Roman" w:hAnsi="Times New Roman" w:cs="Times New Roman"/>
          <w:sz w:val="24"/>
          <w:szCs w:val="24"/>
        </w:rPr>
      </w:pPr>
      <w:bookmarkStart w:id="0" w:name="OLE_LINK23"/>
      <w:r w:rsidRPr="007E3E8C">
        <w:rPr>
          <w:rFonts w:ascii="Times New Roman" w:hAnsi="Times New Roman" w:cs="Times New Roman"/>
          <w:sz w:val="24"/>
          <w:szCs w:val="24"/>
        </w:rPr>
        <w:t xml:space="preserve">Purpose </w:t>
      </w:r>
      <w:r w:rsidR="00357414" w:rsidRPr="007E3E8C">
        <w:rPr>
          <w:rFonts w:ascii="Times New Roman" w:hAnsi="Times New Roman" w:cs="Times New Roman"/>
          <w:sz w:val="24"/>
          <w:szCs w:val="24"/>
        </w:rPr>
        <w:t>and Operation</w:t>
      </w:r>
    </w:p>
    <w:p w14:paraId="78AF65BE" w14:textId="69E6A99C" w:rsidR="0079768C" w:rsidRPr="007E3E8C" w:rsidRDefault="0079768C" w:rsidP="0079768C">
      <w:pPr>
        <w:spacing w:before="120" w:after="80"/>
      </w:pPr>
      <w:r w:rsidRPr="007E3E8C">
        <w:t xml:space="preserve">The </w:t>
      </w:r>
      <w:r w:rsidRPr="007E3E8C">
        <w:rPr>
          <w:i/>
        </w:rPr>
        <w:t>Greenhouse and Energy Minimum Standards (</w:t>
      </w:r>
      <w:r w:rsidR="001229BB" w:rsidRPr="007E3E8C">
        <w:rPr>
          <w:bCs/>
          <w:i/>
        </w:rPr>
        <w:t>Rotary Clothes Dryers</w:t>
      </w:r>
      <w:r w:rsidRPr="007E3E8C">
        <w:rPr>
          <w:i/>
        </w:rPr>
        <w:t xml:space="preserve">) Determination </w:t>
      </w:r>
      <w:r w:rsidR="009F6591" w:rsidRPr="007E3E8C">
        <w:rPr>
          <w:i/>
        </w:rPr>
        <w:t>202</w:t>
      </w:r>
      <w:r w:rsidR="009F6591">
        <w:rPr>
          <w:i/>
        </w:rPr>
        <w:t>4</w:t>
      </w:r>
      <w:r w:rsidR="009F6591" w:rsidRPr="007E3E8C">
        <w:t xml:space="preserve"> </w:t>
      </w:r>
      <w:r w:rsidRPr="007E3E8C">
        <w:t xml:space="preserve">(the Determination) </w:t>
      </w:r>
      <w:r w:rsidR="0001339C">
        <w:t>sets</w:t>
      </w:r>
      <w:r w:rsidR="0001339C" w:rsidRPr="007E3E8C">
        <w:t xml:space="preserve"> </w:t>
      </w:r>
      <w:r w:rsidRPr="007E3E8C">
        <w:t>minimum energy efficiency requirements, energy labelling requirements,</w:t>
      </w:r>
      <w:r w:rsidR="0068733E">
        <w:t xml:space="preserve"> product performance requirements</w:t>
      </w:r>
      <w:r w:rsidR="00F8083C">
        <w:t>,</w:t>
      </w:r>
      <w:r w:rsidRPr="007E3E8C">
        <w:t xml:space="preserve"> and associated requirements for conducting tests, of household </w:t>
      </w:r>
      <w:r w:rsidR="0080777C">
        <w:t>rotary clothes dryers</w:t>
      </w:r>
      <w:r w:rsidRPr="007E3E8C">
        <w:t>.</w:t>
      </w:r>
    </w:p>
    <w:p w14:paraId="650BA238" w14:textId="77777777" w:rsidR="00DF000C" w:rsidRDefault="0079768C" w:rsidP="00746504">
      <w:pPr>
        <w:autoSpaceDE w:val="0"/>
        <w:autoSpaceDN w:val="0"/>
        <w:adjustRightInd w:val="0"/>
        <w:spacing w:before="120" w:after="80"/>
      </w:pPr>
      <w:r w:rsidRPr="007E3E8C">
        <w:t xml:space="preserve">The Determination revokes and replaces the previous </w:t>
      </w:r>
      <w:r w:rsidRPr="007E3E8C">
        <w:rPr>
          <w:i/>
        </w:rPr>
        <w:t>Greenhouse and Energy Minimum Standards (</w:t>
      </w:r>
      <w:r w:rsidRPr="007E3E8C">
        <w:rPr>
          <w:bCs/>
          <w:i/>
        </w:rPr>
        <w:t>Rotary Clothes Dryers)</w:t>
      </w:r>
      <w:r w:rsidRPr="007E3E8C">
        <w:rPr>
          <w:i/>
        </w:rPr>
        <w:t xml:space="preserve"> Determination 2015 </w:t>
      </w:r>
      <w:r w:rsidRPr="007E3E8C">
        <w:t>(</w:t>
      </w:r>
      <w:r w:rsidR="00B879D2">
        <w:t>old</w:t>
      </w:r>
      <w:r w:rsidR="00B879D2" w:rsidRPr="007E3E8C">
        <w:t xml:space="preserve"> </w:t>
      </w:r>
      <w:r w:rsidRPr="007E3E8C">
        <w:t>Determination).</w:t>
      </w:r>
      <w:r w:rsidR="00746504">
        <w:t xml:space="preserve"> </w:t>
      </w:r>
    </w:p>
    <w:p w14:paraId="4428606D" w14:textId="0332BC5A" w:rsidR="00AA5C75" w:rsidRDefault="00AA5C75" w:rsidP="00AA5C75">
      <w:pPr>
        <w:autoSpaceDE w:val="0"/>
        <w:autoSpaceDN w:val="0"/>
        <w:adjustRightInd w:val="0"/>
        <w:spacing w:before="120" w:after="80"/>
      </w:pPr>
      <w:r>
        <w:t>Changes made in th</w:t>
      </w:r>
      <w:r w:rsidR="00DF000C">
        <w:t xml:space="preserve">e </w:t>
      </w:r>
      <w:r>
        <w:t xml:space="preserve">Determination compared to the </w:t>
      </w:r>
      <w:r w:rsidR="00DF000C">
        <w:t xml:space="preserve">old </w:t>
      </w:r>
      <w:r w:rsidR="003E5CCF">
        <w:t>D</w:t>
      </w:r>
      <w:r>
        <w:t>etermination include:</w:t>
      </w:r>
    </w:p>
    <w:p w14:paraId="5C081847" w14:textId="74B18982" w:rsidR="00AA5C75" w:rsidRDefault="00AA5C75" w:rsidP="00AA5C75">
      <w:pPr>
        <w:pStyle w:val="ListParagraph"/>
        <w:numPr>
          <w:ilvl w:val="0"/>
          <w:numId w:val="29"/>
        </w:numPr>
        <w:autoSpaceDE w:val="0"/>
        <w:autoSpaceDN w:val="0"/>
        <w:adjustRightInd w:val="0"/>
        <w:spacing w:before="120" w:after="80"/>
      </w:pPr>
      <w:r>
        <w:t>th</w:t>
      </w:r>
      <w:r w:rsidR="00DF000C">
        <w:t>e</w:t>
      </w:r>
      <w:r>
        <w:t xml:space="preserve"> Determination now references revised and updated standards which align with the updates introduced in the </w:t>
      </w:r>
      <w:r w:rsidR="00DF000C">
        <w:t>old</w:t>
      </w:r>
      <w:r>
        <w:t xml:space="preserve"> Determination.</w:t>
      </w:r>
    </w:p>
    <w:p w14:paraId="336B8D7E" w14:textId="047BE459" w:rsidR="001A6421" w:rsidRDefault="00905797" w:rsidP="00DF000C">
      <w:pPr>
        <w:pStyle w:val="ListParagraph"/>
        <w:numPr>
          <w:ilvl w:val="0"/>
          <w:numId w:val="29"/>
        </w:numPr>
        <w:autoSpaceDE w:val="0"/>
        <w:autoSpaceDN w:val="0"/>
        <w:adjustRightInd w:val="0"/>
        <w:spacing w:before="120" w:after="80" w:line="276" w:lineRule="auto"/>
      </w:pPr>
      <w:r w:rsidRPr="00DF000C">
        <w:rPr>
          <w:rFonts w:eastAsia="Calibri"/>
          <w:lang w:eastAsia="en-US"/>
        </w:rPr>
        <w:t>updated test procedures that are more representative of normal use and more closely aligned with international standards</w:t>
      </w:r>
      <w:r w:rsidR="00A3194E">
        <w:rPr>
          <w:rFonts w:eastAsia="Calibri"/>
          <w:lang w:eastAsia="en-US"/>
        </w:rPr>
        <w:t>.</w:t>
      </w:r>
      <w:r>
        <w:t xml:space="preserve"> </w:t>
      </w:r>
    </w:p>
    <w:p w14:paraId="16181436" w14:textId="315C4635" w:rsidR="00DF000C" w:rsidRDefault="00AA5C75" w:rsidP="00DF000C">
      <w:pPr>
        <w:pStyle w:val="ListParagraph"/>
        <w:numPr>
          <w:ilvl w:val="0"/>
          <w:numId w:val="29"/>
        </w:numPr>
        <w:autoSpaceDE w:val="0"/>
        <w:autoSpaceDN w:val="0"/>
        <w:adjustRightInd w:val="0"/>
        <w:spacing w:before="120" w:after="80" w:line="276" w:lineRule="auto"/>
      </w:pPr>
      <w:r>
        <w:t xml:space="preserve">program time will now be required to be displayed on the energy label (in minutes) for the program selected for energy labelling. This is to inform customers </w:t>
      </w:r>
      <w:r w:rsidR="005E173A">
        <w:t>of</w:t>
      </w:r>
      <w:r>
        <w:t xml:space="preserve"> the likely time to complete a drying cycle and will help consumers choose models with shorter program times, if this is important</w:t>
      </w:r>
      <w:r w:rsidR="00E664CE">
        <w:t xml:space="preserve"> to them</w:t>
      </w:r>
      <w:r>
        <w:t>.</w:t>
      </w:r>
    </w:p>
    <w:p w14:paraId="1A9E6397" w14:textId="64DD3A72" w:rsidR="007F6343" w:rsidRPr="006606B4" w:rsidRDefault="007F6343" w:rsidP="00DF000C">
      <w:r>
        <w:t xml:space="preserve">The Determination continues to set </w:t>
      </w:r>
      <w:r w:rsidR="00C71070">
        <w:t xml:space="preserve">minimum energy performance </w:t>
      </w:r>
      <w:r>
        <w:t xml:space="preserve">requirements </w:t>
      </w:r>
      <w:r w:rsidR="00C71070">
        <w:t xml:space="preserve">and requirements </w:t>
      </w:r>
      <w:r>
        <w:t>for other key performance criteria for clothes dryers in addition to energy performance, including being capable of drying a full load in a single operation and maximum fabric temperature limits to avoid damage to clothes. These are to ensure that products supplied to market are fit for purpose.</w:t>
      </w:r>
    </w:p>
    <w:p w14:paraId="4EE41BF8" w14:textId="77777777" w:rsidR="002E7274" w:rsidRPr="007E3E8C" w:rsidRDefault="002E7274" w:rsidP="0079768C">
      <w:pPr>
        <w:pStyle w:val="Heading1"/>
        <w:numPr>
          <w:ilvl w:val="0"/>
          <w:numId w:val="24"/>
        </w:numPr>
        <w:ind w:left="426" w:hanging="426"/>
        <w:rPr>
          <w:rFonts w:ascii="Times New Roman" w:hAnsi="Times New Roman" w:cs="Times New Roman"/>
          <w:sz w:val="24"/>
          <w:szCs w:val="24"/>
        </w:rPr>
      </w:pPr>
      <w:r w:rsidRPr="007E3E8C">
        <w:rPr>
          <w:rFonts w:ascii="Times New Roman" w:hAnsi="Times New Roman" w:cs="Times New Roman"/>
          <w:sz w:val="24"/>
          <w:szCs w:val="24"/>
        </w:rPr>
        <w:t xml:space="preserve">Background </w:t>
      </w:r>
    </w:p>
    <w:p w14:paraId="2011E2BF" w14:textId="0CA62CA3" w:rsidR="0079768C" w:rsidRPr="007E3E8C" w:rsidRDefault="0079768C" w:rsidP="0079768C">
      <w:pPr>
        <w:spacing w:before="120" w:after="80"/>
        <w:rPr>
          <w:noProof/>
        </w:rPr>
      </w:pPr>
      <w:bookmarkStart w:id="1" w:name="OLE_LINK34"/>
      <w:r w:rsidRPr="007E3E8C">
        <w:rPr>
          <w:noProof/>
        </w:rPr>
        <w:t xml:space="preserve">The </w:t>
      </w:r>
      <w:r w:rsidRPr="007E3E8C">
        <w:rPr>
          <w:i/>
          <w:noProof/>
        </w:rPr>
        <w:t>Greenhouse and Energy Minimum Standards Act 2012</w:t>
      </w:r>
      <w:r w:rsidRPr="007E3E8C">
        <w:rPr>
          <w:noProof/>
        </w:rPr>
        <w:t xml:space="preserve"> (the Act) established a national framework for regulating the energy efficiency of products supplied or used within Australia, replacing individual state and territory legislative frameworks. The Act implemented the </w:t>
      </w:r>
      <w:r w:rsidR="0029011C">
        <w:rPr>
          <w:noProof/>
        </w:rPr>
        <w:t xml:space="preserve">former </w:t>
      </w:r>
      <w:r w:rsidRPr="007E3E8C">
        <w:rPr>
          <w:noProof/>
        </w:rPr>
        <w:t xml:space="preserve">Council of Australian Governments’ (COAG) commitment to establish national legislation to </w:t>
      </w:r>
      <w:r w:rsidRPr="007E3E8C">
        <w:t>regulate</w:t>
      </w:r>
      <w:r w:rsidRPr="007E3E8C">
        <w:rPr>
          <w:noProof/>
        </w:rPr>
        <w:t xml:space="preserve"> energy efficiency and labelling standards for appliances and other products.</w:t>
      </w:r>
    </w:p>
    <w:p w14:paraId="69347135" w14:textId="77777777" w:rsidR="0079768C" w:rsidRPr="007E3E8C" w:rsidRDefault="0079768C" w:rsidP="0079768C">
      <w:pPr>
        <w:spacing w:before="120" w:after="80"/>
        <w:rPr>
          <w:noProof/>
        </w:rPr>
      </w:pPr>
      <w:r w:rsidRPr="007E3E8C">
        <w:rPr>
          <w:noProof/>
        </w:rPr>
        <w:lastRenderedPageBreak/>
        <w:t>The Act permits the Australian Government to set mandatory minimum efficiency requirements that are generally applied to drive energy efficiency improvements for regulated products. The Act also allows the Australian Government to set nationally-consistent labelling requirements, to increase Australian consumers’ awareness of options to improve energy efficiency and reduce energy consumption, costs, and greenhouse gas emissions.</w:t>
      </w:r>
    </w:p>
    <w:p w14:paraId="1BE7E475" w14:textId="4F1D5A03" w:rsidR="008E5AAA" w:rsidRDefault="0079768C" w:rsidP="0079768C">
      <w:pPr>
        <w:spacing w:before="120" w:after="80"/>
      </w:pPr>
      <w:r w:rsidRPr="007E3E8C">
        <w:rPr>
          <w:noProof/>
        </w:rPr>
        <w:t>Minimum efficiency requirements are the minimum allowable energy efficiency of a product. These are referred in the Determination as greenhouse and energy minimum standards (GEMS) level requirements and are generally known as minimum energy performance standards (MEPS)</w:t>
      </w:r>
      <w:r w:rsidR="008E5AAA" w:rsidRPr="007E3E8C">
        <w:t>.</w:t>
      </w:r>
      <w:r w:rsidR="00A2417D">
        <w:t xml:space="preserve"> Including MEPS </w:t>
      </w:r>
      <w:r w:rsidR="00A8184F">
        <w:t>allows</w:t>
      </w:r>
      <w:r w:rsidR="00A2417D">
        <w:t xml:space="preserve"> the specification, and therefore enforcement</w:t>
      </w:r>
      <w:r w:rsidR="00DF1682">
        <w:t>, of</w:t>
      </w:r>
      <w:r w:rsidR="00A2417D">
        <w:t xml:space="preserve"> drying and</w:t>
      </w:r>
      <w:r w:rsidR="00DF1682">
        <w:t xml:space="preserve"> fabric</w:t>
      </w:r>
      <w:r w:rsidR="00A2417D">
        <w:t xml:space="preserve"> temperature requirements that are integral to energy labelling requirements and also ensure that clothes dryers meet consumers’ drying and </w:t>
      </w:r>
      <w:r w:rsidR="00DF1682">
        <w:t xml:space="preserve">fabric </w:t>
      </w:r>
      <w:r w:rsidR="00A2417D">
        <w:t xml:space="preserve">temperature </w:t>
      </w:r>
      <w:r w:rsidR="00A8184F">
        <w:t xml:space="preserve">performance </w:t>
      </w:r>
      <w:r w:rsidR="00A2417D">
        <w:t>expectations.</w:t>
      </w:r>
    </w:p>
    <w:p w14:paraId="780DC2BB" w14:textId="773118DB" w:rsidR="00A66838" w:rsidRDefault="00A66838" w:rsidP="00A2417D">
      <w:pPr>
        <w:pStyle w:val="ACMANumberedList"/>
        <w:numPr>
          <w:ilvl w:val="0"/>
          <w:numId w:val="0"/>
        </w:numPr>
        <w:spacing w:before="120" w:after="80"/>
        <w:rPr>
          <w:noProof/>
        </w:rPr>
      </w:pPr>
      <w:r>
        <w:rPr>
          <w:noProof/>
        </w:rPr>
        <w:t>Other regulatory requirements possible under the Act include requirements relating to energy labelling, product performance, and the impact of the product on the environment or the health of human beings. Energy labelling and product performance requirements are set i</w:t>
      </w:r>
      <w:r w:rsidRPr="0087187F">
        <w:rPr>
          <w:noProof/>
        </w:rPr>
        <w:t xml:space="preserve">n </w:t>
      </w:r>
      <w:r w:rsidR="003634AF">
        <w:rPr>
          <w:noProof/>
        </w:rPr>
        <w:t xml:space="preserve">the </w:t>
      </w:r>
      <w:r>
        <w:rPr>
          <w:noProof/>
        </w:rPr>
        <w:t>Determination.</w:t>
      </w:r>
    </w:p>
    <w:p w14:paraId="3871597C" w14:textId="533E565A" w:rsidR="007170CD" w:rsidRPr="007E3E8C" w:rsidRDefault="007170CD" w:rsidP="00A2417D">
      <w:pPr>
        <w:pStyle w:val="ACMANumberedList"/>
        <w:numPr>
          <w:ilvl w:val="0"/>
          <w:numId w:val="0"/>
        </w:numPr>
        <w:spacing w:before="120" w:after="80"/>
        <w:rPr>
          <w:noProof/>
        </w:rPr>
      </w:pPr>
      <w:r w:rsidRPr="0005685F">
        <w:rPr>
          <w:noProof/>
        </w:rPr>
        <w:t xml:space="preserve">Subsections 44(1) and 54(1) of the </w:t>
      </w:r>
      <w:r w:rsidRPr="0005685F">
        <w:rPr>
          <w:i/>
          <w:noProof/>
        </w:rPr>
        <w:t>Legislation Act 2003</w:t>
      </w:r>
      <w:r w:rsidRPr="0005685F">
        <w:rPr>
          <w:noProof/>
        </w:rPr>
        <w:t xml:space="preserve"> (Legislation Act) provide that instruments are not subject to disallowance and sunsetting where the enabling legislation facilitates the establishment or operation of an intergovernmental body or scheme involving the Commonwealth and one or more States. The Act underpins and facilitates the operation of an intergovernmental scheme for product energy efficiency, giving effect to the Inter-governmental Agreement for the GEMS Legislative Scheme. Consequently the Determination is not subject to disallowance or sunsetting. Further details are provided at Attachment B.</w:t>
      </w:r>
    </w:p>
    <w:p w14:paraId="2A342D0E" w14:textId="423D68BB" w:rsidR="008E5AAA" w:rsidRPr="007E3E8C" w:rsidRDefault="00A2663F" w:rsidP="0079768C">
      <w:pPr>
        <w:pStyle w:val="Heading1"/>
        <w:numPr>
          <w:ilvl w:val="0"/>
          <w:numId w:val="24"/>
        </w:numPr>
        <w:ind w:left="426" w:hanging="426"/>
        <w:rPr>
          <w:rFonts w:ascii="Times New Roman" w:hAnsi="Times New Roman" w:cs="Times New Roman"/>
          <w:sz w:val="24"/>
          <w:szCs w:val="24"/>
        </w:rPr>
      </w:pPr>
      <w:r w:rsidRPr="007E3E8C">
        <w:rPr>
          <w:rFonts w:ascii="Times New Roman" w:hAnsi="Times New Roman" w:cs="Times New Roman"/>
          <w:sz w:val="24"/>
          <w:szCs w:val="24"/>
        </w:rPr>
        <w:t>Authority</w:t>
      </w:r>
    </w:p>
    <w:p w14:paraId="2EB12FAE" w14:textId="77777777" w:rsidR="0079768C" w:rsidRPr="007E3E8C" w:rsidRDefault="0079768C" w:rsidP="0079768C">
      <w:pPr>
        <w:pStyle w:val="ACMANumberedList"/>
        <w:numPr>
          <w:ilvl w:val="0"/>
          <w:numId w:val="0"/>
        </w:numPr>
        <w:spacing w:before="120" w:after="80"/>
        <w:rPr>
          <w:noProof/>
        </w:rPr>
      </w:pPr>
      <w:r w:rsidRPr="007E3E8C">
        <w:rPr>
          <w:noProof/>
        </w:rPr>
        <w:t>Under subsection 23(1) of the Act the Minister may, by legislative instrument, make a determination (a GEMS determination) that specifies one or more classes of products if the products in those classes use energy or affect the amount of energy used by other products. A GEMS determination is the vehicle by which energy efficiency requirements (GEMS level requirements), energy labelling requirements (GEMS labelling requirements), and other requirements for a product class are established.</w:t>
      </w:r>
    </w:p>
    <w:p w14:paraId="5E7EE586" w14:textId="4DF480D6" w:rsidR="0079768C" w:rsidRPr="007E3E8C" w:rsidRDefault="0079768C" w:rsidP="0079768C">
      <w:pPr>
        <w:pStyle w:val="ACMANumberedList"/>
        <w:numPr>
          <w:ilvl w:val="0"/>
          <w:numId w:val="0"/>
        </w:numPr>
        <w:spacing w:before="120" w:after="80"/>
        <w:rPr>
          <w:noProof/>
        </w:rPr>
      </w:pPr>
      <w:r w:rsidRPr="007E3E8C">
        <w:rPr>
          <w:noProof/>
        </w:rPr>
        <w:t xml:space="preserve">Section 35 of the Act allows </w:t>
      </w:r>
      <w:r w:rsidR="0029011C">
        <w:rPr>
          <w:noProof/>
        </w:rPr>
        <w:t>the</w:t>
      </w:r>
      <w:r w:rsidR="0029011C" w:rsidRPr="007E3E8C">
        <w:rPr>
          <w:noProof/>
        </w:rPr>
        <w:t xml:space="preserve"> </w:t>
      </w:r>
      <w:r w:rsidRPr="007E3E8C">
        <w:rPr>
          <w:noProof/>
        </w:rPr>
        <w:t xml:space="preserve">Minister to make replacement determinations through revoking the previous determination and making a new determination to replace the </w:t>
      </w:r>
      <w:r w:rsidR="002749B0">
        <w:rPr>
          <w:noProof/>
        </w:rPr>
        <w:t>old</w:t>
      </w:r>
      <w:r w:rsidR="002749B0" w:rsidRPr="007E3E8C">
        <w:rPr>
          <w:noProof/>
        </w:rPr>
        <w:t xml:space="preserve"> </w:t>
      </w:r>
      <w:r w:rsidRPr="007E3E8C">
        <w:rPr>
          <w:noProof/>
        </w:rPr>
        <w:t xml:space="preserve">Determination. The new determination can specify the new requirements and retain any relevant existing requirements from the </w:t>
      </w:r>
      <w:r w:rsidR="002749B0">
        <w:rPr>
          <w:noProof/>
        </w:rPr>
        <w:t>old</w:t>
      </w:r>
      <w:r w:rsidR="002749B0" w:rsidRPr="007E3E8C">
        <w:rPr>
          <w:noProof/>
        </w:rPr>
        <w:t xml:space="preserve"> </w:t>
      </w:r>
      <w:r w:rsidRPr="007E3E8C">
        <w:rPr>
          <w:noProof/>
        </w:rPr>
        <w:t xml:space="preserve">Determination. The </w:t>
      </w:r>
      <w:r w:rsidR="002749B0">
        <w:rPr>
          <w:noProof/>
        </w:rPr>
        <w:t>old</w:t>
      </w:r>
      <w:r w:rsidR="002749B0" w:rsidRPr="007E3E8C">
        <w:rPr>
          <w:noProof/>
        </w:rPr>
        <w:t xml:space="preserve"> </w:t>
      </w:r>
      <w:r w:rsidRPr="007E3E8C">
        <w:rPr>
          <w:noProof/>
        </w:rPr>
        <w:t>Determination ceases to be in force immediately before the replacement determination comes into force.</w:t>
      </w:r>
    </w:p>
    <w:p w14:paraId="4538322D" w14:textId="37FF6331" w:rsidR="0079768C" w:rsidRPr="007E3E8C" w:rsidRDefault="0079768C" w:rsidP="0079768C">
      <w:pPr>
        <w:pStyle w:val="ACMANumberedList"/>
        <w:numPr>
          <w:ilvl w:val="0"/>
          <w:numId w:val="0"/>
        </w:numPr>
        <w:spacing w:before="120" w:after="80"/>
        <w:rPr>
          <w:noProof/>
        </w:rPr>
      </w:pPr>
      <w:r w:rsidRPr="007E3E8C">
        <w:rPr>
          <w:noProof/>
        </w:rPr>
        <w:t>Under section 36 of the Act, a replacement determination must specify whether it affects the registration of models of GEMS products</w:t>
      </w:r>
      <w:r w:rsidR="00A66838">
        <w:rPr>
          <w:noProof/>
        </w:rPr>
        <w:t xml:space="preserve"> th</w:t>
      </w:r>
      <w:r w:rsidR="00A645B5">
        <w:rPr>
          <w:noProof/>
        </w:rPr>
        <w:t xml:space="preserve">at were covered by the </w:t>
      </w:r>
      <w:r w:rsidR="002749B0">
        <w:rPr>
          <w:noProof/>
        </w:rPr>
        <w:t xml:space="preserve">old </w:t>
      </w:r>
      <w:r w:rsidR="00A645B5">
        <w:rPr>
          <w:noProof/>
        </w:rPr>
        <w:t>D</w:t>
      </w:r>
      <w:r w:rsidR="00A66838">
        <w:rPr>
          <w:noProof/>
        </w:rPr>
        <w:t>etermination</w:t>
      </w:r>
      <w:r w:rsidRPr="007E3E8C">
        <w:rPr>
          <w:noProof/>
        </w:rPr>
        <w:t xml:space="preserve">. Under subsection 36(2) of the Act, if </w:t>
      </w:r>
      <w:r w:rsidR="00A66838">
        <w:rPr>
          <w:noProof/>
        </w:rPr>
        <w:t>the</w:t>
      </w:r>
      <w:r w:rsidR="00A66838" w:rsidRPr="007E3E8C">
        <w:rPr>
          <w:noProof/>
        </w:rPr>
        <w:t xml:space="preserve"> </w:t>
      </w:r>
      <w:r w:rsidRPr="007E3E8C">
        <w:rPr>
          <w:noProof/>
        </w:rPr>
        <w:t xml:space="preserve">replacement determination </w:t>
      </w:r>
      <w:r w:rsidR="00A66838">
        <w:rPr>
          <w:noProof/>
        </w:rPr>
        <w:t>specifies</w:t>
      </w:r>
      <w:r w:rsidRPr="007E3E8C">
        <w:rPr>
          <w:noProof/>
        </w:rPr>
        <w:t xml:space="preserve"> that it </w:t>
      </w:r>
      <w:r w:rsidR="00A66838">
        <w:rPr>
          <w:noProof/>
        </w:rPr>
        <w:t>does not affect</w:t>
      </w:r>
      <w:r w:rsidR="00A66838" w:rsidRPr="007E3E8C">
        <w:rPr>
          <w:noProof/>
        </w:rPr>
        <w:t xml:space="preserve"> </w:t>
      </w:r>
      <w:r w:rsidRPr="007E3E8C">
        <w:rPr>
          <w:noProof/>
        </w:rPr>
        <w:t xml:space="preserve">a model’s registration, the model is taken to be registered against the replacement determination.  If a replacement determination specifies that it affects a model’s registration, then under paragraph 48(2)(c) of the Act, the model’s registration ceases to be in force from the time the replacement </w:t>
      </w:r>
      <w:r w:rsidRPr="007E3E8C">
        <w:rPr>
          <w:noProof/>
        </w:rPr>
        <w:lastRenderedPageBreak/>
        <w:t>determination comes into force or the beginning of the day a registration of the model against the replacement determination comes into force, whichever is the earlier.</w:t>
      </w:r>
    </w:p>
    <w:p w14:paraId="17E9C2CA" w14:textId="77777777" w:rsidR="0079768C" w:rsidRPr="007E3E8C" w:rsidRDefault="0079768C" w:rsidP="0079768C">
      <w:pPr>
        <w:autoSpaceDE w:val="0"/>
        <w:autoSpaceDN w:val="0"/>
        <w:adjustRightInd w:val="0"/>
        <w:spacing w:before="120"/>
      </w:pPr>
      <w:r w:rsidRPr="007E3E8C">
        <w:t>Under section 25 of the Act, the GEMS level requirements specified in a GEMS determination may be:</w:t>
      </w:r>
    </w:p>
    <w:p w14:paraId="7DE27C12" w14:textId="77777777" w:rsidR="0079768C" w:rsidRPr="007E3E8C" w:rsidRDefault="0079768C" w:rsidP="0079768C">
      <w:pPr>
        <w:numPr>
          <w:ilvl w:val="0"/>
          <w:numId w:val="16"/>
        </w:numPr>
        <w:autoSpaceDE w:val="0"/>
        <w:autoSpaceDN w:val="0"/>
        <w:adjustRightInd w:val="0"/>
        <w:spacing w:before="60" w:after="60"/>
        <w:ind w:left="567" w:right="-57" w:hanging="425"/>
      </w:pPr>
      <w:r w:rsidRPr="007E3E8C">
        <w:t>requirements relating to one or more of the following:</w:t>
      </w:r>
    </w:p>
    <w:p w14:paraId="74BEC3AF" w14:textId="3E7CE09A" w:rsidR="0079768C" w:rsidRPr="007E3E8C" w:rsidRDefault="0079768C" w:rsidP="0079768C">
      <w:pPr>
        <w:numPr>
          <w:ilvl w:val="1"/>
          <w:numId w:val="16"/>
        </w:numPr>
        <w:autoSpaceDE w:val="0"/>
        <w:autoSpaceDN w:val="0"/>
        <w:adjustRightInd w:val="0"/>
        <w:spacing w:before="60" w:after="60"/>
        <w:ind w:left="993" w:hanging="425"/>
      </w:pPr>
      <w:r w:rsidRPr="007E3E8C">
        <w:t xml:space="preserve">the amount of energy used </w:t>
      </w:r>
      <w:r w:rsidR="00A66838">
        <w:t>by</w:t>
      </w:r>
      <w:r w:rsidR="00A66838" w:rsidRPr="007E3E8C">
        <w:t xml:space="preserve"> </w:t>
      </w:r>
      <w:r w:rsidRPr="007E3E8C">
        <w:t>operating products in the relevant product classes;</w:t>
      </w:r>
    </w:p>
    <w:p w14:paraId="5566083C" w14:textId="77777777" w:rsidR="0079768C" w:rsidRPr="007E3E8C" w:rsidRDefault="0079768C" w:rsidP="0079768C">
      <w:pPr>
        <w:numPr>
          <w:ilvl w:val="1"/>
          <w:numId w:val="16"/>
        </w:numPr>
        <w:autoSpaceDE w:val="0"/>
        <w:autoSpaceDN w:val="0"/>
        <w:adjustRightInd w:val="0"/>
        <w:spacing w:before="60" w:after="60"/>
        <w:ind w:left="993" w:hanging="425"/>
      </w:pPr>
      <w:r w:rsidRPr="007E3E8C">
        <w:t>the amount of greenhouse gases resulting from operating products in the relevant product class;</w:t>
      </w:r>
    </w:p>
    <w:p w14:paraId="4656C2C8" w14:textId="77777777" w:rsidR="0079768C" w:rsidRPr="007E3E8C" w:rsidRDefault="0079768C" w:rsidP="0079768C">
      <w:pPr>
        <w:numPr>
          <w:ilvl w:val="1"/>
          <w:numId w:val="16"/>
        </w:numPr>
        <w:autoSpaceDE w:val="0"/>
        <w:autoSpaceDN w:val="0"/>
        <w:adjustRightInd w:val="0"/>
        <w:spacing w:before="60" w:after="60"/>
        <w:ind w:left="993" w:hanging="425"/>
      </w:pPr>
      <w:r w:rsidRPr="007E3E8C">
        <w:t>the effect of those products on the amount of energy used by operating other products; and</w:t>
      </w:r>
    </w:p>
    <w:p w14:paraId="097B5C75" w14:textId="57C14338" w:rsidR="0079768C" w:rsidRPr="007E3E8C" w:rsidRDefault="0079768C" w:rsidP="0079768C">
      <w:pPr>
        <w:numPr>
          <w:ilvl w:val="0"/>
          <w:numId w:val="16"/>
        </w:numPr>
        <w:autoSpaceDE w:val="0"/>
        <w:autoSpaceDN w:val="0"/>
        <w:adjustRightInd w:val="0"/>
        <w:spacing w:before="60" w:after="60"/>
        <w:ind w:left="567" w:right="-57" w:hanging="425"/>
      </w:pPr>
      <w:r w:rsidRPr="007E3E8C">
        <w:t>requirements for conducting tests in relation to products in the relevant product class in order to determine whether the products meet the requirements</w:t>
      </w:r>
      <w:r w:rsidR="00A66838">
        <w:t xml:space="preserve"> specified above</w:t>
      </w:r>
      <w:r w:rsidRPr="007E3E8C">
        <w:t>.</w:t>
      </w:r>
    </w:p>
    <w:p w14:paraId="5C96BA43" w14:textId="77777777" w:rsidR="0079768C" w:rsidRPr="007E3E8C" w:rsidRDefault="0079768C" w:rsidP="0079768C">
      <w:pPr>
        <w:autoSpaceDE w:val="0"/>
        <w:autoSpaceDN w:val="0"/>
        <w:adjustRightInd w:val="0"/>
        <w:spacing w:before="240"/>
      </w:pPr>
      <w:r w:rsidRPr="007E3E8C">
        <w:t xml:space="preserve">Under section 26 of the Act, the GEMS labelling requirements for a product class specified in a GEMS determination may be:  </w:t>
      </w:r>
    </w:p>
    <w:p w14:paraId="1D747A4D" w14:textId="77777777" w:rsidR="0079768C" w:rsidRPr="007E3E8C" w:rsidRDefault="0079768C" w:rsidP="0079768C">
      <w:pPr>
        <w:numPr>
          <w:ilvl w:val="0"/>
          <w:numId w:val="16"/>
        </w:numPr>
        <w:autoSpaceDE w:val="0"/>
        <w:autoSpaceDN w:val="0"/>
        <w:adjustRightInd w:val="0"/>
        <w:spacing w:before="60" w:after="60"/>
        <w:ind w:left="567" w:right="-57" w:hanging="425"/>
      </w:pPr>
      <w:r w:rsidRPr="007E3E8C">
        <w:t>requirements relating to the information that must be communicated in connection with supplying or offering to supply products in the relevant product class;</w:t>
      </w:r>
    </w:p>
    <w:p w14:paraId="1884AD46" w14:textId="77777777" w:rsidR="0079768C" w:rsidRPr="007E3E8C" w:rsidRDefault="0079768C" w:rsidP="0079768C">
      <w:pPr>
        <w:numPr>
          <w:ilvl w:val="0"/>
          <w:numId w:val="16"/>
        </w:numPr>
        <w:autoSpaceDE w:val="0"/>
        <w:autoSpaceDN w:val="0"/>
        <w:adjustRightInd w:val="0"/>
        <w:spacing w:before="60" w:after="60"/>
        <w:ind w:left="567" w:right="-57" w:hanging="425"/>
      </w:pPr>
      <w:r w:rsidRPr="007E3E8C">
        <w:t>requirements relating to the manner in which that information must be communicated; and</w:t>
      </w:r>
    </w:p>
    <w:p w14:paraId="34F80CFA" w14:textId="2C36B21C" w:rsidR="0079768C" w:rsidRPr="007E3E8C" w:rsidRDefault="0079768C" w:rsidP="0079768C">
      <w:pPr>
        <w:numPr>
          <w:ilvl w:val="0"/>
          <w:numId w:val="16"/>
        </w:numPr>
        <w:autoSpaceDE w:val="0"/>
        <w:autoSpaceDN w:val="0"/>
        <w:adjustRightInd w:val="0"/>
        <w:spacing w:before="60" w:after="60"/>
        <w:ind w:left="567" w:right="-57" w:hanging="425"/>
      </w:pPr>
      <w:r w:rsidRPr="007E3E8C">
        <w:t xml:space="preserve">requirements for conducting tests in relation to products in the relevant product class in order to </w:t>
      </w:r>
      <w:r w:rsidR="00A66838">
        <w:t>rate them against the criteria specified in the information that must be communicated</w:t>
      </w:r>
      <w:r w:rsidRPr="007E3E8C">
        <w:t>.</w:t>
      </w:r>
    </w:p>
    <w:p w14:paraId="2B16B5A7" w14:textId="77777777" w:rsidR="0079768C" w:rsidRPr="007E3E8C" w:rsidRDefault="0079768C" w:rsidP="0079768C">
      <w:pPr>
        <w:autoSpaceDE w:val="0"/>
        <w:autoSpaceDN w:val="0"/>
        <w:adjustRightInd w:val="0"/>
        <w:spacing w:before="240" w:after="80"/>
      </w:pPr>
      <w:r w:rsidRPr="007E3E8C">
        <w:t>Under section 27 of the Act, other requirements that may be specified in a GEMS determination are:</w:t>
      </w:r>
    </w:p>
    <w:p w14:paraId="2143918D" w14:textId="77777777" w:rsidR="0079768C" w:rsidRPr="007E3E8C" w:rsidRDefault="0079768C" w:rsidP="0079768C">
      <w:pPr>
        <w:numPr>
          <w:ilvl w:val="0"/>
          <w:numId w:val="16"/>
        </w:numPr>
        <w:autoSpaceDE w:val="0"/>
        <w:autoSpaceDN w:val="0"/>
        <w:adjustRightInd w:val="0"/>
        <w:spacing w:before="60" w:after="60"/>
        <w:ind w:left="567" w:right="-57" w:hanging="425"/>
      </w:pPr>
      <w:r w:rsidRPr="007E3E8C">
        <w:t>requirements for products in the relevant product class to meet a specified level (the high efficiency level) at a particular time;</w:t>
      </w:r>
    </w:p>
    <w:p w14:paraId="38338572" w14:textId="77777777" w:rsidR="0079768C" w:rsidRPr="007E3E8C" w:rsidRDefault="0079768C" w:rsidP="0079768C">
      <w:pPr>
        <w:numPr>
          <w:ilvl w:val="0"/>
          <w:numId w:val="16"/>
        </w:numPr>
        <w:autoSpaceDE w:val="0"/>
        <w:autoSpaceDN w:val="0"/>
        <w:adjustRightInd w:val="0"/>
        <w:spacing w:before="60" w:after="60"/>
        <w:ind w:left="567" w:right="-57" w:hanging="425"/>
      </w:pPr>
      <w:r w:rsidRPr="007E3E8C">
        <w:t>requirements relating to the performance of products in the relevant product class;</w:t>
      </w:r>
    </w:p>
    <w:p w14:paraId="2B933B3C" w14:textId="77777777" w:rsidR="0079768C" w:rsidRPr="007E3E8C" w:rsidRDefault="0079768C" w:rsidP="0079768C">
      <w:pPr>
        <w:numPr>
          <w:ilvl w:val="0"/>
          <w:numId w:val="16"/>
        </w:numPr>
        <w:autoSpaceDE w:val="0"/>
        <w:autoSpaceDN w:val="0"/>
        <w:adjustRightInd w:val="0"/>
        <w:spacing w:before="60" w:after="60"/>
        <w:ind w:left="567" w:right="-57" w:hanging="425"/>
      </w:pPr>
      <w:r w:rsidRPr="007E3E8C">
        <w:t>requirements relating to the impact of products in that product class on the environment or on the health of human beings;</w:t>
      </w:r>
    </w:p>
    <w:p w14:paraId="4CCD9B83" w14:textId="5A7A0FC4" w:rsidR="00A66838" w:rsidRDefault="0079768C" w:rsidP="0079768C">
      <w:pPr>
        <w:numPr>
          <w:ilvl w:val="0"/>
          <w:numId w:val="16"/>
        </w:numPr>
        <w:autoSpaceDE w:val="0"/>
        <w:autoSpaceDN w:val="0"/>
        <w:adjustRightInd w:val="0"/>
        <w:spacing w:before="60" w:after="60"/>
        <w:ind w:left="567" w:right="-57" w:hanging="425"/>
      </w:pPr>
      <w:r w:rsidRPr="007E3E8C">
        <w:t>requirements of a kind specified in the regulations</w:t>
      </w:r>
      <w:r w:rsidR="00A66838">
        <w:t>; and</w:t>
      </w:r>
    </w:p>
    <w:p w14:paraId="1BF3463D" w14:textId="6A6E511D" w:rsidR="0079768C" w:rsidRPr="007E3E8C" w:rsidRDefault="00A66838" w:rsidP="00A66838">
      <w:pPr>
        <w:numPr>
          <w:ilvl w:val="0"/>
          <w:numId w:val="16"/>
        </w:numPr>
        <w:autoSpaceDE w:val="0"/>
        <w:autoSpaceDN w:val="0"/>
        <w:adjustRightInd w:val="0"/>
        <w:spacing w:before="60" w:after="60"/>
        <w:ind w:left="567" w:right="-57" w:hanging="425"/>
      </w:pPr>
      <w:r w:rsidRPr="007E3E8C">
        <w:t>requirements for conducting tests in relation to products in the relevant product class in order to determine whether the products mee</w:t>
      </w:r>
      <w:r>
        <w:t>t the requirements specified above</w:t>
      </w:r>
      <w:r w:rsidR="0079768C" w:rsidRPr="007E3E8C">
        <w:t>.</w:t>
      </w:r>
    </w:p>
    <w:p w14:paraId="74529C71" w14:textId="5B54BF4B" w:rsidR="00A66838" w:rsidRDefault="00A66838" w:rsidP="00A66838">
      <w:pPr>
        <w:pStyle w:val="Heading1"/>
        <w:numPr>
          <w:ilvl w:val="0"/>
          <w:numId w:val="24"/>
        </w:numPr>
        <w:ind w:left="426" w:hanging="426"/>
        <w:rPr>
          <w:rFonts w:ascii="Times New Roman" w:hAnsi="Times New Roman" w:cs="Times New Roman"/>
          <w:sz w:val="24"/>
          <w:szCs w:val="24"/>
        </w:rPr>
      </w:pPr>
      <w:r>
        <w:rPr>
          <w:rFonts w:ascii="Times New Roman" w:hAnsi="Times New Roman" w:cs="Times New Roman"/>
          <w:sz w:val="24"/>
          <w:szCs w:val="24"/>
        </w:rPr>
        <w:t>Incorporated material and copyright</w:t>
      </w:r>
    </w:p>
    <w:p w14:paraId="751AB82B" w14:textId="31939287" w:rsidR="00A66838" w:rsidRDefault="00A66838" w:rsidP="00A66838">
      <w:pPr>
        <w:numPr>
          <w:ilvl w:val="0"/>
          <w:numId w:val="16"/>
        </w:numPr>
        <w:autoSpaceDE w:val="0"/>
        <w:autoSpaceDN w:val="0"/>
        <w:adjustRightInd w:val="0"/>
        <w:spacing w:before="60" w:after="60"/>
        <w:ind w:left="567" w:right="-57" w:hanging="425"/>
      </w:pPr>
      <w:r>
        <w:t xml:space="preserve">The Determination references Australian/New Zealand test and performance standards. </w:t>
      </w:r>
      <w:r w:rsidR="000933A4">
        <w:t xml:space="preserve">References to </w:t>
      </w:r>
      <w:r>
        <w:t xml:space="preserve">the Australian/New Zealand standards incorporated by reference </w:t>
      </w:r>
      <w:r w:rsidR="000933A4">
        <w:t xml:space="preserve">are </w:t>
      </w:r>
      <w:r>
        <w:t xml:space="preserve">included in section </w:t>
      </w:r>
      <w:r w:rsidR="000933A4">
        <w:t xml:space="preserve">6 </w:t>
      </w:r>
      <w:r>
        <w:t xml:space="preserve">of the Determination and the standards can be </w:t>
      </w:r>
      <w:r>
        <w:lastRenderedPageBreak/>
        <w:t xml:space="preserve">purchased from Standards Australia Ltd. Commercial users who have </w:t>
      </w:r>
      <w:r w:rsidR="00423892">
        <w:t xml:space="preserve">ascertained </w:t>
      </w:r>
      <w:r>
        <w:t>that they are likely to be covered by the Determination (which is possible from reading the Determination in isolation) would be expected to purchase the referenced standards in order to comply with the Determination.</w:t>
      </w:r>
    </w:p>
    <w:p w14:paraId="7435A2DB" w14:textId="66073BA5" w:rsidR="007228E7" w:rsidRDefault="00B02272" w:rsidP="007228E7">
      <w:pPr>
        <w:numPr>
          <w:ilvl w:val="0"/>
          <w:numId w:val="16"/>
        </w:numPr>
        <w:autoSpaceDE w:val="0"/>
        <w:autoSpaceDN w:val="0"/>
        <w:adjustRightInd w:val="0"/>
        <w:spacing w:before="60" w:after="60"/>
        <w:ind w:right="-57"/>
      </w:pPr>
      <w:r w:rsidRPr="00B02272">
        <w:rPr>
          <w:color w:val="000000"/>
          <w:shd w:val="clear" w:color="auto" w:fill="FFFFFF"/>
        </w:rPr>
        <w:t xml:space="preserve">The Australian/New Zealand </w:t>
      </w:r>
      <w:proofErr w:type="gramStart"/>
      <w:r w:rsidRPr="00B02272">
        <w:rPr>
          <w:color w:val="000000"/>
          <w:shd w:val="clear" w:color="auto" w:fill="FFFFFF"/>
        </w:rPr>
        <w:t>standard  can</w:t>
      </w:r>
      <w:proofErr w:type="gramEnd"/>
      <w:r w:rsidRPr="00B02272">
        <w:rPr>
          <w:color w:val="000000"/>
          <w:shd w:val="clear" w:color="auto" w:fill="FFFFFF"/>
        </w:rPr>
        <w:t xml:space="preserve"> be purchased from Standards Australia at </w:t>
      </w:r>
      <w:r w:rsidRPr="00ED5F9C">
        <w:rPr>
          <w:shd w:val="clear" w:color="auto" w:fill="FFFFFF"/>
        </w:rPr>
        <w:t>https://store.standards.org.au</w:t>
      </w:r>
      <w:r w:rsidRPr="00B02272">
        <w:rPr>
          <w:color w:val="000000"/>
          <w:shd w:val="clear" w:color="auto" w:fill="FFFFFF"/>
        </w:rPr>
        <w:t xml:space="preserve"> or the relevant distribution partners identified at </w:t>
      </w:r>
      <w:r w:rsidRPr="00ED5F9C">
        <w:rPr>
          <w:shd w:val="clear" w:color="auto" w:fill="FFFFFF"/>
        </w:rPr>
        <w:t>https://standards.org.au/access-standards/buy-standards</w:t>
      </w:r>
      <w:r w:rsidRPr="00B02272">
        <w:rPr>
          <w:color w:val="000000"/>
          <w:shd w:val="clear" w:color="auto" w:fill="FFFFFF"/>
        </w:rPr>
        <w:t xml:space="preserve">. The relevant distribution partners at the time the determination was made </w:t>
      </w:r>
      <w:proofErr w:type="gramStart"/>
      <w:r w:rsidRPr="00B02272">
        <w:rPr>
          <w:color w:val="000000"/>
          <w:shd w:val="clear" w:color="auto" w:fill="FFFFFF"/>
        </w:rPr>
        <w:t>were</w:t>
      </w:r>
      <w:proofErr w:type="gramEnd"/>
      <w:r w:rsidRPr="00B02272">
        <w:rPr>
          <w:color w:val="000000"/>
          <w:shd w:val="clear" w:color="auto" w:fill="FFFFFF"/>
        </w:rPr>
        <w:t xml:space="preserve"> Intertek Inform and </w:t>
      </w:r>
      <w:proofErr w:type="spellStart"/>
      <w:r w:rsidRPr="00B02272">
        <w:rPr>
          <w:color w:val="000000"/>
          <w:shd w:val="clear" w:color="auto" w:fill="FFFFFF"/>
        </w:rPr>
        <w:t>Accuris</w:t>
      </w:r>
      <w:proofErr w:type="spellEnd"/>
      <w:r w:rsidR="007228E7">
        <w:rPr>
          <w:color w:val="000000"/>
          <w:shd w:val="clear" w:color="auto" w:fill="FFFFFF"/>
        </w:rPr>
        <w:t>. </w:t>
      </w:r>
    </w:p>
    <w:p w14:paraId="6AD08203" w14:textId="592A9289" w:rsidR="00A66838" w:rsidRPr="00A66838" w:rsidRDefault="007228E7" w:rsidP="006606B4">
      <w:pPr>
        <w:numPr>
          <w:ilvl w:val="0"/>
          <w:numId w:val="16"/>
        </w:numPr>
        <w:autoSpaceDE w:val="0"/>
        <w:autoSpaceDN w:val="0"/>
        <w:adjustRightInd w:val="0"/>
        <w:spacing w:before="60" w:after="60"/>
        <w:ind w:right="-57"/>
      </w:pPr>
      <w:r>
        <w:t xml:space="preserve">Non-commercial users can access standards incorporated in </w:t>
      </w:r>
      <w:r w:rsidR="003634AF">
        <w:t>the</w:t>
      </w:r>
      <w:r>
        <w:t xml:space="preserve"> Determination on a limited, no-fee basis through Standards Australia’s on-line Reader Room facility. The Reader Room provides non-commercial access to Australian Standards for personal, domestic or household use.</w:t>
      </w:r>
    </w:p>
    <w:p w14:paraId="5EDA4748" w14:textId="77777777" w:rsidR="008E5AAA" w:rsidRPr="007E3E8C" w:rsidRDefault="008E5AAA" w:rsidP="0079768C">
      <w:pPr>
        <w:pStyle w:val="Heading1"/>
        <w:numPr>
          <w:ilvl w:val="0"/>
          <w:numId w:val="24"/>
        </w:numPr>
        <w:ind w:left="426" w:hanging="426"/>
        <w:rPr>
          <w:rFonts w:ascii="Times New Roman" w:hAnsi="Times New Roman" w:cs="Times New Roman"/>
          <w:sz w:val="24"/>
          <w:szCs w:val="24"/>
        </w:rPr>
      </w:pPr>
      <w:r w:rsidRPr="007E3E8C">
        <w:rPr>
          <w:rFonts w:ascii="Times New Roman" w:hAnsi="Times New Roman" w:cs="Times New Roman"/>
          <w:sz w:val="24"/>
          <w:szCs w:val="24"/>
        </w:rPr>
        <w:t>Consultation</w:t>
      </w:r>
    </w:p>
    <w:p w14:paraId="76ED8D0A" w14:textId="05A8D05E" w:rsidR="0079768C" w:rsidRPr="007E3E8C" w:rsidRDefault="0079768C" w:rsidP="0079768C">
      <w:pPr>
        <w:autoSpaceDE w:val="0"/>
        <w:autoSpaceDN w:val="0"/>
        <w:adjustRightInd w:val="0"/>
        <w:spacing w:before="120" w:after="80"/>
      </w:pPr>
      <w:r w:rsidRPr="007E3E8C">
        <w:t xml:space="preserve">The Australian Government has worked with industry on the new requirements for </w:t>
      </w:r>
      <w:r w:rsidR="00F8083C">
        <w:t xml:space="preserve">electric </w:t>
      </w:r>
      <w:r w:rsidRPr="007E3E8C">
        <w:t xml:space="preserve">household rotary clothes dryers since 2017. In early 2017, industry representatives </w:t>
      </w:r>
      <w:r w:rsidR="00AA108D">
        <w:t>led</w:t>
      </w:r>
      <w:r w:rsidR="00AA108D" w:rsidRPr="007E3E8C">
        <w:t xml:space="preserve"> </w:t>
      </w:r>
      <w:r w:rsidRPr="007E3E8C">
        <w:t>the development of the revised Australian/New Zealand standards referenced in the Determination. This work continued until 2021 when the</w:t>
      </w:r>
      <w:r w:rsidR="00AA108D">
        <w:t xml:space="preserve"> revised </w:t>
      </w:r>
      <w:r w:rsidR="00AA108D" w:rsidRPr="007E3E8C">
        <w:t>Australian/New Zealand</w:t>
      </w:r>
      <w:r w:rsidRPr="007E3E8C">
        <w:t xml:space="preserve"> standards were published.</w:t>
      </w:r>
    </w:p>
    <w:p w14:paraId="1248AA74" w14:textId="242867B8" w:rsidR="00066FBE" w:rsidRDefault="0079768C" w:rsidP="0079768C">
      <w:pPr>
        <w:autoSpaceDE w:val="0"/>
        <w:autoSpaceDN w:val="0"/>
        <w:adjustRightInd w:val="0"/>
        <w:spacing w:before="120" w:after="80"/>
      </w:pPr>
      <w:r w:rsidRPr="007E3E8C">
        <w:t xml:space="preserve">In 2021, a draft Determination was developed in consultation with industry and other stakeholders. On </w:t>
      </w:r>
      <w:r w:rsidR="00445F9E">
        <w:t>2 February</w:t>
      </w:r>
      <w:r w:rsidRPr="007E3E8C">
        <w:t xml:space="preserve"> </w:t>
      </w:r>
      <w:r w:rsidR="00BB4EBE" w:rsidRPr="007E3E8C">
        <w:t>202</w:t>
      </w:r>
      <w:r w:rsidR="00BB4EBE">
        <w:t>2</w:t>
      </w:r>
      <w:r w:rsidRPr="007E3E8C">
        <w:t xml:space="preserve">, an exposure draft of the Determination was released for public comment over a </w:t>
      </w:r>
      <w:r w:rsidR="00573442">
        <w:t>4</w:t>
      </w:r>
      <w:r w:rsidRPr="007E3E8C">
        <w:t xml:space="preserve">-week period. </w:t>
      </w:r>
      <w:r w:rsidR="00691567">
        <w:t>Three</w:t>
      </w:r>
      <w:r w:rsidR="00691567" w:rsidRPr="007E3E8C">
        <w:t xml:space="preserve"> </w:t>
      </w:r>
      <w:r w:rsidRPr="007E3E8C">
        <w:t xml:space="preserve">responses were received, seeking </w:t>
      </w:r>
      <w:r w:rsidR="00691567">
        <w:t xml:space="preserve">an extension to the </w:t>
      </w:r>
      <w:r w:rsidR="00573442">
        <w:t xml:space="preserve">proposed </w:t>
      </w:r>
      <w:proofErr w:type="gramStart"/>
      <w:r w:rsidR="00573442">
        <w:t>6 month</w:t>
      </w:r>
      <w:proofErr w:type="gramEnd"/>
      <w:r w:rsidR="00573442">
        <w:t xml:space="preserve"> </w:t>
      </w:r>
      <w:r w:rsidR="00691567">
        <w:t xml:space="preserve">commencement </w:t>
      </w:r>
      <w:r w:rsidR="00FC5EB2">
        <w:t>period</w:t>
      </w:r>
      <w:r w:rsidR="00573442">
        <w:t xml:space="preserve"> in the determination</w:t>
      </w:r>
      <w:r w:rsidRPr="007E3E8C">
        <w:t>.</w:t>
      </w:r>
      <w:r w:rsidR="00691567">
        <w:t xml:space="preserve"> As a result of the comment</w:t>
      </w:r>
      <w:r w:rsidR="00573442">
        <w:t>s</w:t>
      </w:r>
      <w:r w:rsidR="00691567">
        <w:t xml:space="preserve"> </w:t>
      </w:r>
      <w:r w:rsidR="00573442">
        <w:t xml:space="preserve">received the commencement </w:t>
      </w:r>
      <w:r w:rsidR="00FC5EB2">
        <w:t xml:space="preserve">period was extended. </w:t>
      </w:r>
    </w:p>
    <w:p w14:paraId="08BFD453" w14:textId="77777777" w:rsidR="00D655D8" w:rsidRPr="007E3E8C" w:rsidRDefault="00D655D8" w:rsidP="0079768C">
      <w:pPr>
        <w:pStyle w:val="Heading1"/>
        <w:numPr>
          <w:ilvl w:val="0"/>
          <w:numId w:val="24"/>
        </w:numPr>
        <w:ind w:left="426" w:hanging="426"/>
        <w:rPr>
          <w:rFonts w:ascii="Times New Roman" w:hAnsi="Times New Roman" w:cs="Times New Roman"/>
          <w:sz w:val="24"/>
          <w:szCs w:val="24"/>
        </w:rPr>
      </w:pPr>
      <w:r w:rsidRPr="007E3E8C">
        <w:rPr>
          <w:rFonts w:ascii="Times New Roman" w:hAnsi="Times New Roman" w:cs="Times New Roman"/>
          <w:sz w:val="24"/>
          <w:szCs w:val="24"/>
        </w:rPr>
        <w:t>Regulatory Impact</w:t>
      </w:r>
    </w:p>
    <w:p w14:paraId="42411FC3" w14:textId="02C70917" w:rsidR="0079768C" w:rsidRDefault="0079768C" w:rsidP="0079768C">
      <w:pPr>
        <w:autoSpaceDE w:val="0"/>
        <w:autoSpaceDN w:val="0"/>
        <w:adjustRightInd w:val="0"/>
        <w:spacing w:before="120" w:after="80"/>
      </w:pPr>
      <w:r w:rsidRPr="007E3E8C">
        <w:t xml:space="preserve">The </w:t>
      </w:r>
      <w:r w:rsidR="000933A4">
        <w:t xml:space="preserve">former </w:t>
      </w:r>
      <w:r w:rsidRPr="007E3E8C">
        <w:t xml:space="preserve">Office of Best Practice </w:t>
      </w:r>
      <w:r w:rsidR="00AA108D">
        <w:t xml:space="preserve">Regulation </w:t>
      </w:r>
      <w:r w:rsidR="000933A4">
        <w:t xml:space="preserve">(now the Office of Impact Assessment) </w:t>
      </w:r>
      <w:r w:rsidRPr="007E3E8C">
        <w:t>advised a Regulation Impact Statement was not required for the Determination. Consequently, no further regulatory impact analysis was considered necessary in relation to the proposal.</w:t>
      </w:r>
    </w:p>
    <w:p w14:paraId="11E0ECE6" w14:textId="162E6C4F" w:rsidR="007170CD" w:rsidRPr="007E3E8C" w:rsidRDefault="007170CD" w:rsidP="007170CD">
      <w:pPr>
        <w:pStyle w:val="Heading1"/>
        <w:numPr>
          <w:ilvl w:val="0"/>
          <w:numId w:val="24"/>
        </w:numPr>
        <w:ind w:left="426" w:hanging="426"/>
        <w:rPr>
          <w:rFonts w:ascii="Times New Roman" w:hAnsi="Times New Roman" w:cs="Times New Roman"/>
          <w:sz w:val="24"/>
          <w:szCs w:val="24"/>
        </w:rPr>
      </w:pPr>
      <w:r>
        <w:rPr>
          <w:rFonts w:ascii="Times New Roman" w:hAnsi="Times New Roman" w:cs="Times New Roman"/>
          <w:sz w:val="24"/>
          <w:szCs w:val="24"/>
        </w:rPr>
        <w:t>Statement of Compatibility with Human Rights</w:t>
      </w:r>
    </w:p>
    <w:p w14:paraId="4FE42A29" w14:textId="77777777" w:rsidR="007170CD" w:rsidRDefault="007170CD" w:rsidP="007170CD">
      <w:r w:rsidRPr="00093B1C">
        <w:rPr>
          <w:rFonts w:eastAsia="Calibri"/>
          <w:lang w:eastAsia="en-US"/>
        </w:rPr>
        <w:t>In accordance with subsection 15</w:t>
      </w:r>
      <w:proofErr w:type="gramStart"/>
      <w:r w:rsidRPr="00093B1C">
        <w:rPr>
          <w:rFonts w:eastAsia="Calibri"/>
          <w:lang w:eastAsia="en-US"/>
        </w:rPr>
        <w:t>J(</w:t>
      </w:r>
      <w:proofErr w:type="gramEnd"/>
      <w:r w:rsidRPr="00093B1C">
        <w:rPr>
          <w:rFonts w:eastAsia="Calibri"/>
          <w:lang w:eastAsia="en-US"/>
        </w:rPr>
        <w:t xml:space="preserve">2) of the Legislation Act, as the Determination is not a disallowable instrument, a statement of compatibility prepared under subsection 9(1) of the </w:t>
      </w:r>
      <w:r w:rsidRPr="00094798">
        <w:rPr>
          <w:rFonts w:eastAsia="Calibri"/>
          <w:i/>
          <w:lang w:eastAsia="en-US"/>
        </w:rPr>
        <w:t>Human Rights (Parliamentary Scrutiny) Act 2011</w:t>
      </w:r>
      <w:r w:rsidRPr="00093B1C">
        <w:rPr>
          <w:rFonts w:eastAsia="Calibri"/>
          <w:lang w:eastAsia="en-US"/>
        </w:rPr>
        <w:t xml:space="preserve"> is not required.</w:t>
      </w:r>
    </w:p>
    <w:p w14:paraId="63CEE474" w14:textId="77777777" w:rsidR="0079768C" w:rsidRPr="007E3E8C" w:rsidRDefault="0079768C" w:rsidP="0079768C">
      <w:pPr>
        <w:autoSpaceDE w:val="0"/>
        <w:autoSpaceDN w:val="0"/>
        <w:adjustRightInd w:val="0"/>
        <w:spacing w:before="120" w:after="80"/>
      </w:pPr>
    </w:p>
    <w:p w14:paraId="131F1A79" w14:textId="77777777" w:rsidR="00066FBE" w:rsidRPr="007E3E8C" w:rsidRDefault="00066FBE" w:rsidP="00D655D8">
      <w:pPr>
        <w:pStyle w:val="ACMANumberedList"/>
        <w:numPr>
          <w:ilvl w:val="0"/>
          <w:numId w:val="0"/>
        </w:numPr>
        <w:rPr>
          <w:noProof/>
        </w:rPr>
      </w:pPr>
    </w:p>
    <w:bookmarkEnd w:id="0"/>
    <w:bookmarkEnd w:id="1"/>
    <w:p w14:paraId="2B474FC0" w14:textId="77777777" w:rsidR="00662031" w:rsidRPr="007E3E8C" w:rsidRDefault="00662031" w:rsidP="00662031">
      <w:pPr>
        <w:autoSpaceDE w:val="0"/>
        <w:autoSpaceDN w:val="0"/>
        <w:adjustRightInd w:val="0"/>
        <w:spacing w:before="120" w:after="80"/>
        <w:jc w:val="right"/>
        <w:sectPr w:rsidR="00662031" w:rsidRPr="007E3E8C" w:rsidSect="00662031">
          <w:headerReference w:type="even" r:id="rId12"/>
          <w:headerReference w:type="default" r:id="rId13"/>
          <w:footerReference w:type="even" r:id="rId14"/>
          <w:footerReference w:type="default" r:id="rId15"/>
          <w:headerReference w:type="first" r:id="rId16"/>
          <w:footerReference w:type="first" r:id="rId17"/>
          <w:pgSz w:w="11907" w:h="16839" w:code="9"/>
          <w:pgMar w:top="1440" w:right="1800" w:bottom="1440" w:left="1800" w:header="720" w:footer="720" w:gutter="0"/>
          <w:cols w:space="720"/>
          <w:noEndnote/>
          <w:titlePg/>
          <w:docGrid w:linePitch="326"/>
        </w:sectPr>
      </w:pPr>
    </w:p>
    <w:p w14:paraId="69CB50A3" w14:textId="77777777" w:rsidR="0079768C" w:rsidRPr="007E3E8C" w:rsidRDefault="0079768C" w:rsidP="0079768C">
      <w:pPr>
        <w:autoSpaceDE w:val="0"/>
        <w:autoSpaceDN w:val="0"/>
        <w:adjustRightInd w:val="0"/>
        <w:jc w:val="right"/>
        <w:rPr>
          <w:rFonts w:ascii="Arial" w:hAnsi="Arial" w:cs="Arial"/>
          <w:b/>
          <w:u w:val="single"/>
        </w:rPr>
      </w:pPr>
      <w:r w:rsidRPr="007E3E8C">
        <w:rPr>
          <w:rFonts w:ascii="Arial" w:hAnsi="Arial" w:cs="Arial"/>
          <w:b/>
          <w:u w:val="single"/>
        </w:rPr>
        <w:lastRenderedPageBreak/>
        <w:t>Attachment A</w:t>
      </w:r>
    </w:p>
    <w:p w14:paraId="37E17FE4" w14:textId="77777777" w:rsidR="00496947" w:rsidRPr="007E3E8C" w:rsidRDefault="00C41520" w:rsidP="00496947">
      <w:pPr>
        <w:autoSpaceDE w:val="0"/>
        <w:autoSpaceDN w:val="0"/>
        <w:adjustRightInd w:val="0"/>
        <w:spacing w:before="120" w:after="80"/>
        <w:rPr>
          <w:rFonts w:ascii="Arial" w:hAnsi="Arial" w:cs="Arial"/>
          <w:b/>
          <w:sz w:val="32"/>
          <w:szCs w:val="32"/>
        </w:rPr>
      </w:pPr>
      <w:r w:rsidRPr="007E3E8C">
        <w:rPr>
          <w:rFonts w:ascii="Arial" w:hAnsi="Arial" w:cs="Arial"/>
          <w:b/>
          <w:sz w:val="32"/>
          <w:szCs w:val="32"/>
        </w:rPr>
        <w:t>Details of</w:t>
      </w:r>
      <w:r w:rsidR="00C3542D" w:rsidRPr="007E3E8C">
        <w:rPr>
          <w:rFonts w:ascii="Arial" w:hAnsi="Arial" w:cs="Arial"/>
          <w:b/>
          <w:sz w:val="32"/>
          <w:szCs w:val="32"/>
        </w:rPr>
        <w:t xml:space="preserve"> the </w:t>
      </w:r>
      <w:r w:rsidR="00B97813" w:rsidRPr="007E3E8C">
        <w:rPr>
          <w:rFonts w:ascii="Arial" w:hAnsi="Arial" w:cs="Arial"/>
          <w:b/>
          <w:sz w:val="32"/>
          <w:szCs w:val="32"/>
        </w:rPr>
        <w:t>Determination</w:t>
      </w:r>
    </w:p>
    <w:p w14:paraId="60F41F46" w14:textId="2F88E30B" w:rsidR="00F0240F" w:rsidRPr="007E3E8C" w:rsidRDefault="00F0240F" w:rsidP="00F84BE6">
      <w:pPr>
        <w:autoSpaceDE w:val="0"/>
        <w:autoSpaceDN w:val="0"/>
        <w:adjustRightInd w:val="0"/>
        <w:spacing w:before="120" w:after="80"/>
        <w:rPr>
          <w:rFonts w:ascii="Arial" w:hAnsi="Arial" w:cs="Arial"/>
          <w:b/>
          <w:bCs/>
        </w:rPr>
      </w:pPr>
      <w:bookmarkStart w:id="2" w:name="OLE_LINK1"/>
      <w:bookmarkStart w:id="3" w:name="OLE_LINK2"/>
      <w:r w:rsidRPr="007E3E8C">
        <w:rPr>
          <w:rFonts w:ascii="Arial" w:hAnsi="Arial" w:cs="Arial"/>
          <w:b/>
          <w:bCs/>
        </w:rPr>
        <w:t xml:space="preserve">Section 1 </w:t>
      </w:r>
      <w:r w:rsidR="00910E1A" w:rsidRPr="007E3E8C">
        <w:rPr>
          <w:rFonts w:ascii="Arial" w:hAnsi="Arial" w:cs="Arial"/>
          <w:b/>
          <w:bCs/>
        </w:rPr>
        <w:t>–</w:t>
      </w:r>
      <w:r w:rsidRPr="007E3E8C">
        <w:rPr>
          <w:rFonts w:ascii="Arial" w:hAnsi="Arial" w:cs="Arial"/>
          <w:b/>
          <w:bCs/>
        </w:rPr>
        <w:t xml:space="preserve"> Name</w:t>
      </w:r>
    </w:p>
    <w:p w14:paraId="1060AB48" w14:textId="77777777" w:rsidR="00F0240F" w:rsidRPr="007E3E8C" w:rsidRDefault="00F0240F" w:rsidP="00F0240F">
      <w:r w:rsidRPr="007E3E8C">
        <w:t>This</w:t>
      </w:r>
      <w:r w:rsidR="00816407" w:rsidRPr="007E3E8C">
        <w:t xml:space="preserve"> section sets out the title of the</w:t>
      </w:r>
      <w:r w:rsidR="00B97813" w:rsidRPr="007E3E8C">
        <w:t xml:space="preserve"> Determination</w:t>
      </w:r>
      <w:r w:rsidR="00861DFA" w:rsidRPr="007E3E8C">
        <w:rPr>
          <w:bCs/>
        </w:rPr>
        <w:t>.</w:t>
      </w:r>
    </w:p>
    <w:p w14:paraId="67979D61" w14:textId="77777777" w:rsidR="00F0240F" w:rsidRPr="007E3E8C" w:rsidRDefault="00F0240F" w:rsidP="00F0240F"/>
    <w:p w14:paraId="3E7D833B" w14:textId="77777777" w:rsidR="00F0240F" w:rsidRPr="007E3E8C" w:rsidRDefault="00F0240F" w:rsidP="00F84BE6">
      <w:pPr>
        <w:autoSpaceDE w:val="0"/>
        <w:autoSpaceDN w:val="0"/>
        <w:adjustRightInd w:val="0"/>
        <w:spacing w:before="120" w:after="80"/>
        <w:rPr>
          <w:rFonts w:ascii="Arial" w:hAnsi="Arial" w:cs="Arial"/>
          <w:b/>
          <w:bCs/>
        </w:rPr>
      </w:pPr>
      <w:r w:rsidRPr="007E3E8C">
        <w:rPr>
          <w:rFonts w:ascii="Arial" w:hAnsi="Arial" w:cs="Arial"/>
          <w:b/>
          <w:bCs/>
        </w:rPr>
        <w:t xml:space="preserve">Section 2 </w:t>
      </w:r>
      <w:r w:rsidR="00910E1A" w:rsidRPr="007E3E8C">
        <w:rPr>
          <w:rFonts w:ascii="Arial" w:hAnsi="Arial" w:cs="Arial"/>
          <w:b/>
          <w:bCs/>
        </w:rPr>
        <w:t>–</w:t>
      </w:r>
      <w:r w:rsidRPr="007E3E8C">
        <w:rPr>
          <w:rFonts w:ascii="Arial" w:hAnsi="Arial" w:cs="Arial"/>
          <w:b/>
          <w:bCs/>
        </w:rPr>
        <w:t xml:space="preserve"> Commencement</w:t>
      </w:r>
    </w:p>
    <w:p w14:paraId="702044F9" w14:textId="08D1438E" w:rsidR="00816407" w:rsidRPr="007E3E8C" w:rsidRDefault="0079768C" w:rsidP="0079768C">
      <w:pPr>
        <w:spacing w:before="120" w:after="80"/>
      </w:pPr>
      <w:r w:rsidRPr="007E3E8C">
        <w:t xml:space="preserve">This section provides that the Determination commences and comes into force </w:t>
      </w:r>
      <w:r w:rsidR="007170CD">
        <w:t xml:space="preserve">on </w:t>
      </w:r>
      <w:bookmarkStart w:id="4" w:name="_Hlk158719329"/>
      <w:r w:rsidR="00410387">
        <w:t xml:space="preserve">the day </w:t>
      </w:r>
      <w:r w:rsidR="00410387" w:rsidRPr="00F45EBF">
        <w:t xml:space="preserve">after the end of the period of </w:t>
      </w:r>
      <w:r w:rsidR="00410387">
        <w:t>12 months</w:t>
      </w:r>
      <w:r w:rsidR="00410387" w:rsidRPr="00F45EBF">
        <w:t xml:space="preserve"> beginning on the day </w:t>
      </w:r>
      <w:r w:rsidR="00410387">
        <w:t>the Determination</w:t>
      </w:r>
      <w:r w:rsidR="00410387" w:rsidRPr="00F45EBF">
        <w:t xml:space="preserve"> is registered</w:t>
      </w:r>
      <w:r w:rsidR="00410387">
        <w:t>.</w:t>
      </w:r>
      <w:bookmarkEnd w:id="4"/>
    </w:p>
    <w:p w14:paraId="2102FCCB" w14:textId="77777777" w:rsidR="0079768C" w:rsidRPr="007E3E8C" w:rsidRDefault="0079768C" w:rsidP="006140F6"/>
    <w:p w14:paraId="0AA8C6CD" w14:textId="77777777" w:rsidR="0079768C" w:rsidRPr="007E3E8C" w:rsidRDefault="0079768C" w:rsidP="0079768C">
      <w:pPr>
        <w:autoSpaceDE w:val="0"/>
        <w:autoSpaceDN w:val="0"/>
        <w:adjustRightInd w:val="0"/>
        <w:spacing w:before="120" w:after="80"/>
        <w:rPr>
          <w:rFonts w:ascii="Arial" w:hAnsi="Arial" w:cs="Arial"/>
          <w:b/>
          <w:bCs/>
        </w:rPr>
      </w:pPr>
      <w:r w:rsidRPr="007E3E8C">
        <w:rPr>
          <w:rFonts w:ascii="Arial" w:hAnsi="Arial" w:cs="Arial"/>
          <w:b/>
          <w:bCs/>
        </w:rPr>
        <w:t>Section 3 – Authority</w:t>
      </w:r>
    </w:p>
    <w:p w14:paraId="07DF4BCA" w14:textId="77777777" w:rsidR="0079768C" w:rsidRPr="0079768C" w:rsidRDefault="0079768C" w:rsidP="0079768C">
      <w:r w:rsidRPr="007E3E8C">
        <w:t>This section identifies</w:t>
      </w:r>
      <w:r w:rsidRPr="0079768C">
        <w:t xml:space="preserve"> the sections of the Act which authorise the Minister to make the Determination.</w:t>
      </w:r>
    </w:p>
    <w:p w14:paraId="1C6B4965" w14:textId="5F42CC21" w:rsidR="0079768C" w:rsidRDefault="0079768C" w:rsidP="0079768C"/>
    <w:p w14:paraId="13E32540" w14:textId="77777777" w:rsidR="002749B0" w:rsidRPr="00AB0E97" w:rsidRDefault="002749B0" w:rsidP="002749B0">
      <w:pPr>
        <w:pStyle w:val="NormalBefore6pt"/>
      </w:pPr>
      <w:r w:rsidRPr="00AB0E97">
        <w:rPr>
          <w:bCs w:val="0"/>
          <w:sz w:val="24"/>
          <w:szCs w:val="24"/>
        </w:rPr>
        <w:t>Section 4 – Schedules</w:t>
      </w:r>
    </w:p>
    <w:p w14:paraId="0C18CFCF" w14:textId="4B842C93" w:rsidR="002749B0" w:rsidRDefault="002749B0" w:rsidP="002749B0">
      <w:r w:rsidRPr="00996D88">
        <w:t>This section provides that each instrument that is specified in a Schedule to this instrument is amended or repealed as set out in the applicable items in the Schedule concerned, and any other item in a Schedule to this instrument has effect according to its terms.</w:t>
      </w:r>
    </w:p>
    <w:p w14:paraId="28AEDE71" w14:textId="77777777" w:rsidR="002749B0" w:rsidRPr="00996D88" w:rsidRDefault="002749B0" w:rsidP="002749B0"/>
    <w:p w14:paraId="2EE8FD96" w14:textId="77777777" w:rsidR="002749B0" w:rsidRPr="00AB0E97" w:rsidRDefault="002749B0" w:rsidP="002749B0">
      <w:pPr>
        <w:pStyle w:val="NormalBefore6pt"/>
        <w:rPr>
          <w:sz w:val="24"/>
          <w:szCs w:val="24"/>
          <w:highlight w:val="yellow"/>
        </w:rPr>
      </w:pPr>
      <w:r w:rsidRPr="00AB0E97">
        <w:rPr>
          <w:sz w:val="24"/>
          <w:szCs w:val="24"/>
        </w:rPr>
        <w:t>Section 5 – This instrument revokes and replaces the old determination</w:t>
      </w:r>
    </w:p>
    <w:p w14:paraId="3B551E9C" w14:textId="55B391C8" w:rsidR="002749B0" w:rsidRPr="000C73BC" w:rsidRDefault="002749B0" w:rsidP="002749B0">
      <w:r>
        <w:t>This section</w:t>
      </w:r>
      <w:r w:rsidRPr="000C73BC">
        <w:t xml:space="preserve"> provides that </w:t>
      </w:r>
      <w:r>
        <w:t>the</w:t>
      </w:r>
      <w:r w:rsidRPr="000C73BC">
        <w:t xml:space="preserve"> Determination revokes and replaces the </w:t>
      </w:r>
      <w:r w:rsidR="00BC7587">
        <w:t>old Determination.</w:t>
      </w:r>
    </w:p>
    <w:p w14:paraId="6B5AC276" w14:textId="77777777" w:rsidR="002749B0" w:rsidRPr="0079768C" w:rsidRDefault="002749B0" w:rsidP="0079768C"/>
    <w:p w14:paraId="5AEB6655" w14:textId="2FBAFBA2" w:rsidR="00F0240F" w:rsidRPr="004E7CAE" w:rsidRDefault="00F0240F" w:rsidP="00805354">
      <w:pPr>
        <w:autoSpaceDE w:val="0"/>
        <w:autoSpaceDN w:val="0"/>
        <w:adjustRightInd w:val="0"/>
        <w:spacing w:before="120" w:after="80"/>
      </w:pPr>
      <w:r w:rsidRPr="004E7CAE">
        <w:rPr>
          <w:rFonts w:ascii="Arial" w:hAnsi="Arial" w:cs="Arial"/>
          <w:b/>
          <w:bCs/>
        </w:rPr>
        <w:t xml:space="preserve">Section </w:t>
      </w:r>
      <w:r w:rsidR="002749B0">
        <w:rPr>
          <w:rFonts w:ascii="Arial" w:hAnsi="Arial" w:cs="Arial"/>
          <w:b/>
          <w:bCs/>
        </w:rPr>
        <w:t>6</w:t>
      </w:r>
      <w:r w:rsidR="002749B0" w:rsidRPr="004E7CAE">
        <w:rPr>
          <w:rFonts w:ascii="Arial" w:hAnsi="Arial" w:cs="Arial"/>
          <w:b/>
          <w:bCs/>
        </w:rPr>
        <w:t xml:space="preserve"> </w:t>
      </w:r>
      <w:r w:rsidR="00805354" w:rsidRPr="004E7CAE">
        <w:rPr>
          <w:rFonts w:ascii="Arial" w:hAnsi="Arial" w:cs="Arial"/>
          <w:b/>
          <w:bCs/>
        </w:rPr>
        <w:t>–</w:t>
      </w:r>
      <w:r w:rsidRPr="004E7CAE">
        <w:rPr>
          <w:rFonts w:ascii="Arial" w:hAnsi="Arial" w:cs="Arial"/>
          <w:b/>
          <w:bCs/>
        </w:rPr>
        <w:t xml:space="preserve"> </w:t>
      </w:r>
      <w:r w:rsidR="00390ACD" w:rsidRPr="004E7CAE">
        <w:rPr>
          <w:rFonts w:ascii="Arial" w:hAnsi="Arial" w:cs="Arial"/>
          <w:b/>
          <w:bCs/>
        </w:rPr>
        <w:t>Definition</w:t>
      </w:r>
      <w:r w:rsidR="00BF6195" w:rsidRPr="004E7CAE">
        <w:rPr>
          <w:rFonts w:ascii="Arial" w:hAnsi="Arial" w:cs="Arial"/>
          <w:b/>
          <w:bCs/>
        </w:rPr>
        <w:t>s</w:t>
      </w:r>
    </w:p>
    <w:p w14:paraId="13C19F07" w14:textId="77777777" w:rsidR="004E7CAE" w:rsidRPr="00712784" w:rsidRDefault="004E7CAE" w:rsidP="004E7CAE">
      <w:r w:rsidRPr="00712784">
        <w:t>This section sets out definitions for key terms used in the Determination. The definitions include:</w:t>
      </w:r>
    </w:p>
    <w:p w14:paraId="05FE8259" w14:textId="2FE9BE91" w:rsidR="004E7CAE" w:rsidRDefault="004E7CAE" w:rsidP="004E7CAE">
      <w:pPr>
        <w:numPr>
          <w:ilvl w:val="0"/>
          <w:numId w:val="16"/>
        </w:numPr>
        <w:autoSpaceDE w:val="0"/>
        <w:autoSpaceDN w:val="0"/>
        <w:adjustRightInd w:val="0"/>
        <w:spacing w:before="60" w:after="60"/>
        <w:ind w:left="567" w:right="-57" w:hanging="425"/>
      </w:pPr>
      <w:r w:rsidRPr="00860342">
        <w:t xml:space="preserve">definitions relating to the Australian/New Zealand </w:t>
      </w:r>
      <w:r>
        <w:t>s</w:t>
      </w:r>
      <w:r w:rsidRPr="00860342">
        <w:t>tandards by which the requirements of the Determination are specified</w:t>
      </w:r>
      <w:r>
        <w:t xml:space="preserve">. </w:t>
      </w:r>
      <w:r w:rsidRPr="00027787">
        <w:t xml:space="preserve">The applicable version of each standard referenced in the Determination is the version that existed </w:t>
      </w:r>
      <w:r w:rsidR="001A23EE">
        <w:t>on</w:t>
      </w:r>
      <w:r w:rsidRPr="00027787">
        <w:t xml:space="preserve"> the </w:t>
      </w:r>
      <w:r w:rsidR="001A23EE">
        <w:t>day</w:t>
      </w:r>
      <w:r w:rsidRPr="00027787">
        <w:t xml:space="preserve"> the Determination </w:t>
      </w:r>
      <w:r w:rsidR="007160DE">
        <w:t>is made</w:t>
      </w:r>
      <w:r w:rsidRPr="00860342">
        <w:t>;</w:t>
      </w:r>
    </w:p>
    <w:p w14:paraId="0FDB49A8" w14:textId="354082FD" w:rsidR="004E7CAE" w:rsidRDefault="00773231" w:rsidP="004E7CAE">
      <w:pPr>
        <w:numPr>
          <w:ilvl w:val="0"/>
          <w:numId w:val="16"/>
        </w:numPr>
        <w:autoSpaceDE w:val="0"/>
        <w:autoSpaceDN w:val="0"/>
        <w:adjustRightInd w:val="0"/>
        <w:spacing w:before="60" w:after="60"/>
        <w:ind w:left="567" w:right="-57" w:hanging="425"/>
      </w:pPr>
      <w:r>
        <w:t xml:space="preserve">a </w:t>
      </w:r>
      <w:r w:rsidR="004E7CAE">
        <w:t xml:space="preserve">definition of Australian/New Zealand </w:t>
      </w:r>
      <w:r w:rsidR="007160DE">
        <w:t>Standard</w:t>
      </w:r>
      <w:r w:rsidR="004E7CAE">
        <w:t>;</w:t>
      </w:r>
    </w:p>
    <w:p w14:paraId="6AA563C8" w14:textId="02714AC0" w:rsidR="004E7CAE" w:rsidRDefault="004E7CAE" w:rsidP="004E7CAE">
      <w:pPr>
        <w:numPr>
          <w:ilvl w:val="0"/>
          <w:numId w:val="16"/>
        </w:numPr>
        <w:autoSpaceDE w:val="0"/>
        <w:autoSpaceDN w:val="0"/>
        <w:adjustRightInd w:val="0"/>
        <w:spacing w:before="60" w:after="60"/>
        <w:ind w:left="567" w:right="-57" w:hanging="425"/>
      </w:pPr>
      <w:r>
        <w:t>a definition of ‘condenser r</w:t>
      </w:r>
      <w:r w:rsidRPr="004E7CAE">
        <w:t>o</w:t>
      </w:r>
      <w:r>
        <w:t>tary clothes dryer’</w:t>
      </w:r>
      <w:r w:rsidRPr="00860342">
        <w:t xml:space="preserve">, which is given the same meaning as in Australian/New Zealand </w:t>
      </w:r>
      <w:r>
        <w:t>s</w:t>
      </w:r>
      <w:r w:rsidRPr="00860342">
        <w:t>tandard</w:t>
      </w:r>
      <w:r w:rsidR="00773231">
        <w:t>s</w:t>
      </w:r>
      <w:r w:rsidRPr="00860342">
        <w:t xml:space="preserve"> AS/NZS 2</w:t>
      </w:r>
      <w:r>
        <w:t>442</w:t>
      </w:r>
      <w:r w:rsidRPr="00860342">
        <w:t>.1:2021</w:t>
      </w:r>
      <w:r w:rsidR="00773231">
        <w:t xml:space="preserve"> and </w:t>
      </w:r>
      <w:r w:rsidR="00773231" w:rsidRPr="00860342">
        <w:t>AS/NZS 2</w:t>
      </w:r>
      <w:r w:rsidR="00773231">
        <w:t>442</w:t>
      </w:r>
      <w:r w:rsidR="00773231" w:rsidRPr="00860342">
        <w:t>.</w:t>
      </w:r>
      <w:r w:rsidR="00773231">
        <w:t>2</w:t>
      </w:r>
      <w:r w:rsidR="00773231" w:rsidRPr="00860342">
        <w:t>:2021</w:t>
      </w:r>
      <w:r>
        <w:t>;</w:t>
      </w:r>
    </w:p>
    <w:p w14:paraId="46002258" w14:textId="169970D8" w:rsidR="00620CC3" w:rsidRPr="007871DF" w:rsidRDefault="004E7CAE" w:rsidP="007871DF">
      <w:pPr>
        <w:numPr>
          <w:ilvl w:val="0"/>
          <w:numId w:val="16"/>
        </w:numPr>
        <w:autoSpaceDE w:val="0"/>
        <w:autoSpaceDN w:val="0"/>
        <w:adjustRightInd w:val="0"/>
        <w:spacing w:before="60" w:after="60"/>
        <w:ind w:left="567" w:right="-57" w:hanging="425"/>
        <w:rPr>
          <w:i/>
        </w:rPr>
      </w:pPr>
      <w:r>
        <w:t>a definition of ‘r</w:t>
      </w:r>
      <w:r w:rsidRPr="004E7CAE">
        <w:t>o</w:t>
      </w:r>
      <w:r>
        <w:t>tary clothes dryer’</w:t>
      </w:r>
      <w:r w:rsidR="00620CC3">
        <w:t>; and</w:t>
      </w:r>
    </w:p>
    <w:p w14:paraId="0E326383" w14:textId="0389904B" w:rsidR="00620CC3" w:rsidRPr="00620CC3" w:rsidRDefault="00620CC3" w:rsidP="00620CC3">
      <w:pPr>
        <w:numPr>
          <w:ilvl w:val="0"/>
          <w:numId w:val="16"/>
        </w:numPr>
        <w:autoSpaceDE w:val="0"/>
        <w:autoSpaceDN w:val="0"/>
        <w:adjustRightInd w:val="0"/>
        <w:spacing w:before="60" w:after="60"/>
        <w:ind w:left="567" w:right="-57" w:hanging="425"/>
      </w:pPr>
      <w:r w:rsidRPr="009A789E">
        <w:t>a definition</w:t>
      </w:r>
      <w:r>
        <w:t xml:space="preserve"> of ‘</w:t>
      </w:r>
      <w:r w:rsidRPr="00620CC3">
        <w:t>vented rotary clothes dryer</w:t>
      </w:r>
      <w:r>
        <w:t xml:space="preserve">’ </w:t>
      </w:r>
      <w:r w:rsidRPr="00860342">
        <w:t xml:space="preserve">which is given the same meaning as in Australian/New Zealand </w:t>
      </w:r>
      <w:r>
        <w:t>s</w:t>
      </w:r>
      <w:r w:rsidRPr="00860342">
        <w:t>tandard</w:t>
      </w:r>
      <w:r w:rsidR="00773231">
        <w:t>s</w:t>
      </w:r>
      <w:r w:rsidRPr="00860342">
        <w:t xml:space="preserve"> AS/NZS 2</w:t>
      </w:r>
      <w:r>
        <w:t>442</w:t>
      </w:r>
      <w:r w:rsidRPr="00860342">
        <w:t>.1:2021</w:t>
      </w:r>
      <w:r w:rsidR="00773231">
        <w:t xml:space="preserve"> and </w:t>
      </w:r>
      <w:r w:rsidR="00773231" w:rsidRPr="00860342">
        <w:t>AS/NZS 2</w:t>
      </w:r>
      <w:r w:rsidR="00773231">
        <w:t>442</w:t>
      </w:r>
      <w:r w:rsidR="00773231" w:rsidRPr="00860342">
        <w:t>.</w:t>
      </w:r>
      <w:r w:rsidR="00773231">
        <w:t>2</w:t>
      </w:r>
      <w:r w:rsidR="00773231" w:rsidRPr="00860342">
        <w:t>:2021</w:t>
      </w:r>
      <w:r>
        <w:t>.</w:t>
      </w:r>
    </w:p>
    <w:p w14:paraId="703D6563" w14:textId="0BFC2436" w:rsidR="00C3056E" w:rsidRPr="0080777C" w:rsidRDefault="0079768C" w:rsidP="00B02272">
      <w:pPr>
        <w:keepNext/>
        <w:autoSpaceDE w:val="0"/>
        <w:autoSpaceDN w:val="0"/>
        <w:adjustRightInd w:val="0"/>
        <w:spacing w:before="240" w:after="120"/>
        <w:rPr>
          <w:rFonts w:ascii="Arial" w:hAnsi="Arial" w:cs="Arial"/>
          <w:b/>
          <w:bCs/>
        </w:rPr>
      </w:pPr>
      <w:r w:rsidRPr="0080777C">
        <w:rPr>
          <w:rFonts w:ascii="Arial" w:hAnsi="Arial" w:cs="Arial"/>
          <w:b/>
          <w:bCs/>
        </w:rPr>
        <w:lastRenderedPageBreak/>
        <w:t xml:space="preserve">Section </w:t>
      </w:r>
      <w:r w:rsidR="009F6591">
        <w:rPr>
          <w:rFonts w:ascii="Arial" w:hAnsi="Arial" w:cs="Arial"/>
          <w:b/>
          <w:bCs/>
        </w:rPr>
        <w:t>7</w:t>
      </w:r>
      <w:r w:rsidR="009F6591" w:rsidRPr="0080777C">
        <w:rPr>
          <w:rFonts w:ascii="Arial" w:hAnsi="Arial" w:cs="Arial"/>
          <w:b/>
          <w:bCs/>
        </w:rPr>
        <w:t xml:space="preserve"> </w:t>
      </w:r>
      <w:r w:rsidR="00C3056E" w:rsidRPr="0080777C">
        <w:rPr>
          <w:rFonts w:ascii="Arial" w:hAnsi="Arial" w:cs="Arial"/>
          <w:b/>
          <w:bCs/>
        </w:rPr>
        <w:t>– Specified product class covered by th</w:t>
      </w:r>
      <w:r w:rsidR="002749B0">
        <w:rPr>
          <w:rFonts w:ascii="Arial" w:hAnsi="Arial" w:cs="Arial"/>
          <w:b/>
          <w:bCs/>
        </w:rPr>
        <w:t>is instrument</w:t>
      </w:r>
    </w:p>
    <w:p w14:paraId="7E6772B5" w14:textId="77777777" w:rsidR="00620CC3" w:rsidRPr="00560111" w:rsidRDefault="00620CC3" w:rsidP="00620CC3">
      <w:pPr>
        <w:spacing w:before="240"/>
      </w:pPr>
      <w:r>
        <w:t xml:space="preserve">This section </w:t>
      </w:r>
      <w:r w:rsidRPr="00560111">
        <w:t>sets out the scope of the Determination.</w:t>
      </w:r>
    </w:p>
    <w:p w14:paraId="61A891BF" w14:textId="77777777" w:rsidR="00620CC3" w:rsidRPr="00560111" w:rsidRDefault="00620CC3" w:rsidP="00620CC3"/>
    <w:p w14:paraId="1AEC404E" w14:textId="6305DA39" w:rsidR="00620CC3" w:rsidRPr="00560111" w:rsidRDefault="00620CC3" w:rsidP="00620CC3">
      <w:pPr>
        <w:spacing w:after="120"/>
        <w:rPr>
          <w:u w:val="single"/>
        </w:rPr>
      </w:pPr>
      <w:r w:rsidRPr="00560111">
        <w:rPr>
          <w:u w:val="single"/>
        </w:rPr>
        <w:t xml:space="preserve">Subsection </w:t>
      </w:r>
      <w:r w:rsidR="009F6591">
        <w:rPr>
          <w:u w:val="single"/>
        </w:rPr>
        <w:t>7</w:t>
      </w:r>
      <w:r w:rsidRPr="00560111">
        <w:rPr>
          <w:u w:val="single"/>
        </w:rPr>
        <w:t>(1)</w:t>
      </w:r>
    </w:p>
    <w:p w14:paraId="746BA3BC" w14:textId="55FADFDA" w:rsidR="00620CC3" w:rsidRPr="00560111" w:rsidRDefault="00620CC3" w:rsidP="00620CC3">
      <w:r>
        <w:t>This subsection</w:t>
      </w:r>
      <w:r w:rsidRPr="00560111">
        <w:t xml:space="preserve"> provides that the Determination covers electric household </w:t>
      </w:r>
      <w:r>
        <w:t>r</w:t>
      </w:r>
      <w:r w:rsidRPr="004E7CAE">
        <w:t>o</w:t>
      </w:r>
      <w:r>
        <w:t>tary clothes dryers</w:t>
      </w:r>
      <w:r w:rsidR="00773231">
        <w:t xml:space="preserve"> which use a dryer control mechanism</w:t>
      </w:r>
      <w:r w:rsidRPr="00560111">
        <w:t xml:space="preserve">, whether they are used in a domestic or commercial context. This reflects the scope of the </w:t>
      </w:r>
      <w:r w:rsidR="002749B0">
        <w:t>old</w:t>
      </w:r>
      <w:r w:rsidR="002749B0" w:rsidRPr="00560111">
        <w:t xml:space="preserve"> </w:t>
      </w:r>
      <w:r w:rsidRPr="00560111">
        <w:t>Determination, and that of AS/NZS 2</w:t>
      </w:r>
      <w:r>
        <w:t>442</w:t>
      </w:r>
      <w:r w:rsidRPr="00560111">
        <w:t>.1:2021 and AS/NZS 2</w:t>
      </w:r>
      <w:r>
        <w:t>442</w:t>
      </w:r>
      <w:r w:rsidRPr="00560111">
        <w:t>.2:2021.</w:t>
      </w:r>
    </w:p>
    <w:p w14:paraId="6075545D" w14:textId="77777777" w:rsidR="00620CC3" w:rsidRPr="00DA5CB6" w:rsidRDefault="00620CC3" w:rsidP="00620CC3">
      <w:pPr>
        <w:rPr>
          <w:highlight w:val="yellow"/>
        </w:rPr>
      </w:pPr>
    </w:p>
    <w:p w14:paraId="10325160" w14:textId="729195CB" w:rsidR="00620CC3" w:rsidRPr="00560111" w:rsidRDefault="00620CC3" w:rsidP="00620CC3">
      <w:pPr>
        <w:spacing w:after="120"/>
        <w:rPr>
          <w:u w:val="single"/>
        </w:rPr>
      </w:pPr>
      <w:r w:rsidRPr="00560111">
        <w:rPr>
          <w:u w:val="single"/>
        </w:rPr>
        <w:t xml:space="preserve">Subsection </w:t>
      </w:r>
      <w:r w:rsidR="009F6591">
        <w:rPr>
          <w:u w:val="single"/>
        </w:rPr>
        <w:t>7</w:t>
      </w:r>
      <w:r w:rsidRPr="00560111">
        <w:rPr>
          <w:u w:val="single"/>
        </w:rPr>
        <w:t>(2)</w:t>
      </w:r>
    </w:p>
    <w:p w14:paraId="75687E54" w14:textId="550B6A4E" w:rsidR="00620CC3" w:rsidRDefault="00620CC3" w:rsidP="00620CC3">
      <w:r w:rsidRPr="00560111">
        <w:t xml:space="preserve">This subsection specifies </w:t>
      </w:r>
      <w:r>
        <w:t>that r</w:t>
      </w:r>
      <w:r w:rsidRPr="004E7CAE">
        <w:t>o</w:t>
      </w:r>
      <w:r>
        <w:t>tary clothes dryers</w:t>
      </w:r>
      <w:r w:rsidRPr="00560111">
        <w:t xml:space="preserve"> covered by the Determination form a single product class.</w:t>
      </w:r>
    </w:p>
    <w:p w14:paraId="3D58135E" w14:textId="77777777" w:rsidR="0081465E" w:rsidRDefault="0081465E" w:rsidP="00620CC3"/>
    <w:p w14:paraId="44C34E08" w14:textId="63DC878C" w:rsidR="006B09FF" w:rsidRPr="0080777C" w:rsidRDefault="0079768C" w:rsidP="0080777C">
      <w:pPr>
        <w:autoSpaceDE w:val="0"/>
        <w:autoSpaceDN w:val="0"/>
        <w:adjustRightInd w:val="0"/>
        <w:spacing w:before="240" w:after="120"/>
        <w:rPr>
          <w:rFonts w:ascii="Arial" w:hAnsi="Arial" w:cs="Arial"/>
          <w:b/>
          <w:bCs/>
        </w:rPr>
      </w:pPr>
      <w:r w:rsidRPr="0080777C">
        <w:rPr>
          <w:rFonts w:ascii="Arial" w:hAnsi="Arial" w:cs="Arial"/>
          <w:b/>
          <w:bCs/>
        </w:rPr>
        <w:t xml:space="preserve">Section </w:t>
      </w:r>
      <w:r w:rsidR="009F6591">
        <w:rPr>
          <w:rFonts w:ascii="Arial" w:hAnsi="Arial" w:cs="Arial"/>
          <w:b/>
          <w:bCs/>
        </w:rPr>
        <w:t>8</w:t>
      </w:r>
      <w:r w:rsidR="009F6591" w:rsidRPr="0080777C">
        <w:rPr>
          <w:rFonts w:ascii="Arial" w:hAnsi="Arial" w:cs="Arial"/>
          <w:b/>
          <w:bCs/>
        </w:rPr>
        <w:t xml:space="preserve"> </w:t>
      </w:r>
      <w:r w:rsidR="006B09FF" w:rsidRPr="0080777C">
        <w:rPr>
          <w:rFonts w:ascii="Arial" w:hAnsi="Arial" w:cs="Arial"/>
          <w:b/>
          <w:bCs/>
        </w:rPr>
        <w:t>– GEMS level requirements</w:t>
      </w:r>
    </w:p>
    <w:p w14:paraId="139569F1" w14:textId="61955B28" w:rsidR="0078721B" w:rsidRPr="00202E12" w:rsidRDefault="0078721B" w:rsidP="0078721B">
      <w:pPr>
        <w:spacing w:before="120" w:after="240"/>
        <w:rPr>
          <w:i/>
        </w:rPr>
      </w:pPr>
      <w:r>
        <w:rPr>
          <w:i/>
        </w:rPr>
        <w:t>Energy use and greenhouse gas</w:t>
      </w:r>
      <w:r w:rsidRPr="00202E12">
        <w:rPr>
          <w:i/>
        </w:rPr>
        <w:t xml:space="preserve"> </w:t>
      </w:r>
      <w:r w:rsidR="000933A4">
        <w:rPr>
          <w:i/>
        </w:rPr>
        <w:t>production</w:t>
      </w:r>
    </w:p>
    <w:p w14:paraId="660DFEA4" w14:textId="1E48FA60" w:rsidR="0078721B" w:rsidRPr="00560111" w:rsidRDefault="0078721B" w:rsidP="0078721B">
      <w:pPr>
        <w:spacing w:after="120"/>
        <w:rPr>
          <w:u w:val="single"/>
        </w:rPr>
      </w:pPr>
      <w:r w:rsidRPr="00560111">
        <w:rPr>
          <w:u w:val="single"/>
        </w:rPr>
        <w:t xml:space="preserve">Subsection </w:t>
      </w:r>
      <w:r w:rsidR="009F6591">
        <w:rPr>
          <w:u w:val="single"/>
        </w:rPr>
        <w:t>8</w:t>
      </w:r>
      <w:r w:rsidRPr="00560111">
        <w:rPr>
          <w:u w:val="single"/>
        </w:rPr>
        <w:t>(</w:t>
      </w:r>
      <w:r>
        <w:rPr>
          <w:u w:val="single"/>
        </w:rPr>
        <w:t>1</w:t>
      </w:r>
      <w:r w:rsidRPr="00560111">
        <w:rPr>
          <w:u w:val="single"/>
        </w:rPr>
        <w:t>)</w:t>
      </w:r>
    </w:p>
    <w:p w14:paraId="41EECD58" w14:textId="62D34EF3" w:rsidR="0078721B" w:rsidRDefault="0078721B" w:rsidP="0074372F">
      <w:pPr>
        <w:spacing w:after="240"/>
      </w:pPr>
      <w:r>
        <w:t>This subsection</w:t>
      </w:r>
      <w:r w:rsidRPr="00C07F99">
        <w:t xml:space="preserve"> specifies</w:t>
      </w:r>
      <w:r w:rsidRPr="008753D5">
        <w:t xml:space="preserve"> GEMS level requirements </w:t>
      </w:r>
      <w:r>
        <w:t xml:space="preserve">(also known as MEPS levels) </w:t>
      </w:r>
      <w:r w:rsidRPr="008753D5">
        <w:t xml:space="preserve">for energy use for </w:t>
      </w:r>
      <w:r>
        <w:t>r</w:t>
      </w:r>
      <w:r w:rsidRPr="004E7CAE">
        <w:t>o</w:t>
      </w:r>
      <w:r>
        <w:t xml:space="preserve">tary clothes dryers covered by the Determination </w:t>
      </w:r>
      <w:r w:rsidRPr="008753D5">
        <w:t xml:space="preserve">under </w:t>
      </w:r>
      <w:r>
        <w:t xml:space="preserve">paragraphs 24(1)(a) and 25(a) </w:t>
      </w:r>
      <w:r w:rsidRPr="008753D5">
        <w:t xml:space="preserve">of the Act. </w:t>
      </w:r>
      <w:r>
        <w:t>T</w:t>
      </w:r>
      <w:r w:rsidRPr="008753D5">
        <w:t>he GEMS level requirements in relation to energy use are those set out in clause 4.</w:t>
      </w:r>
      <w:r>
        <w:t>4</w:t>
      </w:r>
      <w:r w:rsidRPr="008753D5">
        <w:t xml:space="preserve"> </w:t>
      </w:r>
      <w:r w:rsidRPr="00BF1E79">
        <w:t xml:space="preserve">of AS/NZS </w:t>
      </w:r>
      <w:r>
        <w:t>2442</w:t>
      </w:r>
      <w:r w:rsidR="00C26A36">
        <w:t>.1</w:t>
      </w:r>
      <w:r w:rsidRPr="00BF1E79">
        <w:t>:20</w:t>
      </w:r>
      <w:r>
        <w:t>21</w:t>
      </w:r>
      <w:r w:rsidRPr="00BF1E79">
        <w:t>.</w:t>
      </w:r>
      <w:r>
        <w:t xml:space="preserve"> </w:t>
      </w:r>
    </w:p>
    <w:p w14:paraId="014874CD" w14:textId="77777777" w:rsidR="0078721B" w:rsidRPr="00202E12" w:rsidRDefault="0078721B" w:rsidP="0078721B">
      <w:pPr>
        <w:spacing w:before="240" w:after="240"/>
        <w:rPr>
          <w:i/>
        </w:rPr>
      </w:pPr>
      <w:r w:rsidRPr="00202E12">
        <w:rPr>
          <w:i/>
        </w:rPr>
        <w:t>Conducting tests</w:t>
      </w:r>
    </w:p>
    <w:p w14:paraId="53B5890E" w14:textId="70B9F9A8" w:rsidR="0078721B" w:rsidRDefault="0078721B" w:rsidP="0078721B">
      <w:pPr>
        <w:spacing w:after="120"/>
      </w:pPr>
      <w:r w:rsidRPr="00110C55">
        <w:rPr>
          <w:u w:val="single"/>
        </w:rPr>
        <w:t xml:space="preserve">Subsection </w:t>
      </w:r>
      <w:r w:rsidR="009F6591">
        <w:rPr>
          <w:u w:val="single"/>
        </w:rPr>
        <w:t>8</w:t>
      </w:r>
      <w:r w:rsidRPr="00110C55">
        <w:rPr>
          <w:u w:val="single"/>
        </w:rPr>
        <w:t>(</w:t>
      </w:r>
      <w:r>
        <w:rPr>
          <w:u w:val="single"/>
        </w:rPr>
        <w:t>2</w:t>
      </w:r>
      <w:r w:rsidRPr="00110C55">
        <w:rPr>
          <w:u w:val="single"/>
        </w:rPr>
        <w:t xml:space="preserve">) </w:t>
      </w:r>
    </w:p>
    <w:p w14:paraId="7657BAD8" w14:textId="063FF64F" w:rsidR="0034164F" w:rsidRPr="00F11E2E" w:rsidRDefault="0078721B" w:rsidP="00F11E2E">
      <w:r>
        <w:t xml:space="preserve">This subsection </w:t>
      </w:r>
      <w:r w:rsidRPr="008753D5">
        <w:t xml:space="preserve">specifies requirements </w:t>
      </w:r>
      <w:r>
        <w:t xml:space="preserve">for conducting tests for products covered by the Determination </w:t>
      </w:r>
      <w:r w:rsidRPr="008753D5">
        <w:t xml:space="preserve">under </w:t>
      </w:r>
      <w:r>
        <w:t>paragraph</w:t>
      </w:r>
      <w:r w:rsidR="007C4BA5">
        <w:t>s</w:t>
      </w:r>
      <w:r>
        <w:t xml:space="preserve"> 24(1)(</w:t>
      </w:r>
      <w:r w:rsidR="007C4BA5">
        <w:t>a</w:t>
      </w:r>
      <w:r>
        <w:t xml:space="preserve">) </w:t>
      </w:r>
      <w:r w:rsidR="007C4BA5">
        <w:t xml:space="preserve">and 25(b) </w:t>
      </w:r>
      <w:r w:rsidRPr="008753D5">
        <w:t xml:space="preserve">of the Act. </w:t>
      </w:r>
      <w:r>
        <w:t>T</w:t>
      </w:r>
      <w:r w:rsidRPr="00214DB8">
        <w:t xml:space="preserve">he requirements </w:t>
      </w:r>
      <w:r w:rsidRPr="00BF1E79">
        <w:t>for conducting tests are those</w:t>
      </w:r>
      <w:r w:rsidR="00F11E2E">
        <w:t xml:space="preserve"> set out </w:t>
      </w:r>
      <w:r w:rsidR="006E2E96">
        <w:t>in sections 2 and 3 of AS/NZS 2442.1:2021.</w:t>
      </w:r>
    </w:p>
    <w:p w14:paraId="1EA7F731" w14:textId="3FE2F3F4" w:rsidR="009A11A1" w:rsidRPr="0080777C" w:rsidRDefault="0079768C" w:rsidP="0080777C">
      <w:pPr>
        <w:autoSpaceDE w:val="0"/>
        <w:autoSpaceDN w:val="0"/>
        <w:adjustRightInd w:val="0"/>
        <w:spacing w:before="240" w:after="120"/>
        <w:rPr>
          <w:rFonts w:ascii="Arial" w:hAnsi="Arial" w:cs="Arial"/>
          <w:b/>
          <w:bCs/>
        </w:rPr>
      </w:pPr>
      <w:r w:rsidRPr="0080777C">
        <w:rPr>
          <w:rFonts w:ascii="Arial" w:hAnsi="Arial" w:cs="Arial"/>
          <w:b/>
          <w:bCs/>
        </w:rPr>
        <w:t xml:space="preserve">Section </w:t>
      </w:r>
      <w:r w:rsidR="009F6591">
        <w:rPr>
          <w:rFonts w:ascii="Arial" w:hAnsi="Arial" w:cs="Arial"/>
          <w:b/>
          <w:bCs/>
        </w:rPr>
        <w:t>9</w:t>
      </w:r>
      <w:r w:rsidR="009F6591" w:rsidRPr="0080777C">
        <w:rPr>
          <w:rFonts w:ascii="Arial" w:hAnsi="Arial" w:cs="Arial"/>
          <w:b/>
          <w:bCs/>
        </w:rPr>
        <w:t xml:space="preserve"> </w:t>
      </w:r>
      <w:r w:rsidR="009A11A1" w:rsidRPr="0080777C">
        <w:rPr>
          <w:rFonts w:ascii="Arial" w:hAnsi="Arial" w:cs="Arial"/>
          <w:b/>
          <w:bCs/>
        </w:rPr>
        <w:t>– GEMS labelling requirements</w:t>
      </w:r>
    </w:p>
    <w:p w14:paraId="7FDD52CB" w14:textId="77777777" w:rsidR="00C6088B" w:rsidRDefault="00C6088B" w:rsidP="00C6088B">
      <w:pPr>
        <w:spacing w:after="120"/>
        <w:rPr>
          <w:u w:val="single"/>
        </w:rPr>
      </w:pPr>
      <w:r w:rsidRPr="00DB3E89">
        <w:rPr>
          <w:u w:val="single"/>
        </w:rPr>
        <w:t>Subsection</w:t>
      </w:r>
      <w:r>
        <w:rPr>
          <w:u w:val="single"/>
        </w:rPr>
        <w:t xml:space="preserve"> 9</w:t>
      </w:r>
      <w:r w:rsidRPr="00DB3E89">
        <w:rPr>
          <w:u w:val="single"/>
        </w:rPr>
        <w:t>(1)</w:t>
      </w:r>
    </w:p>
    <w:p w14:paraId="162761BD" w14:textId="437DD361" w:rsidR="00C6088B" w:rsidRPr="006606B4" w:rsidRDefault="00C6088B" w:rsidP="006606B4">
      <w:r w:rsidRPr="00206CFB">
        <w:t>This subsection states that section</w:t>
      </w:r>
      <w:r w:rsidR="00573442">
        <w:t>9 specifies</w:t>
      </w:r>
      <w:r>
        <w:t>, for the purposes of paragraph 24(1)(b) of the Act, GEMS labelling requirements for products covered by the Determination.</w:t>
      </w:r>
    </w:p>
    <w:p w14:paraId="2CC2DD0E" w14:textId="15130805" w:rsidR="00F11E2E" w:rsidRPr="0072076A" w:rsidRDefault="00F11E2E" w:rsidP="00F11E2E">
      <w:pPr>
        <w:spacing w:before="120" w:after="240"/>
        <w:rPr>
          <w:i/>
        </w:rPr>
      </w:pPr>
      <w:r w:rsidRPr="0072076A">
        <w:rPr>
          <w:i/>
        </w:rPr>
        <w:t>Labelling and communication requirements</w:t>
      </w:r>
    </w:p>
    <w:p w14:paraId="4AA73C26" w14:textId="568040AE" w:rsidR="00F11E2E" w:rsidRPr="0072076A" w:rsidRDefault="00F11E2E" w:rsidP="00F11E2E">
      <w:pPr>
        <w:spacing w:after="120"/>
        <w:rPr>
          <w:u w:val="single"/>
        </w:rPr>
      </w:pPr>
      <w:r w:rsidRPr="0072076A">
        <w:rPr>
          <w:u w:val="single"/>
        </w:rPr>
        <w:t xml:space="preserve">Subsection </w:t>
      </w:r>
      <w:r w:rsidR="009F6591">
        <w:rPr>
          <w:u w:val="single"/>
        </w:rPr>
        <w:t>9</w:t>
      </w:r>
      <w:r w:rsidRPr="0072076A">
        <w:rPr>
          <w:u w:val="single"/>
        </w:rPr>
        <w:t>(</w:t>
      </w:r>
      <w:r w:rsidR="00C6088B">
        <w:rPr>
          <w:u w:val="single"/>
        </w:rPr>
        <w:t>2</w:t>
      </w:r>
      <w:r w:rsidRPr="0072076A">
        <w:rPr>
          <w:u w:val="single"/>
        </w:rPr>
        <w:t>)</w:t>
      </w:r>
    </w:p>
    <w:p w14:paraId="0CBB6463" w14:textId="77777777" w:rsidR="0074372F" w:rsidRDefault="00F11E2E" w:rsidP="00F11E2E">
      <w:r w:rsidRPr="0072076A">
        <w:t xml:space="preserve">This subsection specifies GEMS labelling requirements for </w:t>
      </w:r>
      <w:r w:rsidR="0074372F">
        <w:t>r</w:t>
      </w:r>
      <w:r w:rsidR="0074372F" w:rsidRPr="004E7CAE">
        <w:t>o</w:t>
      </w:r>
      <w:r w:rsidR="0074372F">
        <w:t>tary clothes dryers</w:t>
      </w:r>
      <w:r w:rsidRPr="0072076A">
        <w:t xml:space="preserve"> covered by the Determination, in order to demonstrate compliance with the energy labelling requirements, under paragraph 24(1)(b) of the Act. </w:t>
      </w:r>
    </w:p>
    <w:p w14:paraId="0C06D0A2" w14:textId="77777777" w:rsidR="0074372F" w:rsidRDefault="0074372F" w:rsidP="00F11E2E"/>
    <w:p w14:paraId="7C7E7FD5" w14:textId="646D059C" w:rsidR="00F11E2E" w:rsidRDefault="00F11E2E" w:rsidP="00F11E2E">
      <w:r>
        <w:t xml:space="preserve">A </w:t>
      </w:r>
      <w:r w:rsidR="0080777C">
        <w:t>r</w:t>
      </w:r>
      <w:r w:rsidR="0080777C" w:rsidRPr="004E7CAE">
        <w:t>o</w:t>
      </w:r>
      <w:r w:rsidR="0080777C">
        <w:t>tary clothes dryer</w:t>
      </w:r>
      <w:r>
        <w:t>’s</w:t>
      </w:r>
      <w:r w:rsidRPr="0072076A">
        <w:t xml:space="preserve"> energy rating label must meet the requirements </w:t>
      </w:r>
      <w:r>
        <w:t>mentioned in</w:t>
      </w:r>
      <w:r w:rsidRPr="0072076A">
        <w:t xml:space="preserve"> section </w:t>
      </w:r>
      <w:r>
        <w:t>5 of AS/NZS 2</w:t>
      </w:r>
      <w:r w:rsidR="0074372F">
        <w:t>442</w:t>
      </w:r>
      <w:r>
        <w:t>.2:2021</w:t>
      </w:r>
      <w:r w:rsidRPr="0072076A">
        <w:t>.</w:t>
      </w:r>
    </w:p>
    <w:p w14:paraId="1BFB1C4C" w14:textId="77777777" w:rsidR="00F11E2E" w:rsidRPr="0072076A" w:rsidRDefault="00F11E2E" w:rsidP="00F11E2E">
      <w:pPr>
        <w:rPr>
          <w:highlight w:val="yellow"/>
          <w:u w:val="single"/>
        </w:rPr>
      </w:pPr>
    </w:p>
    <w:p w14:paraId="0B79444A" w14:textId="1BF98A57" w:rsidR="00F11E2E" w:rsidRPr="00110C55" w:rsidRDefault="00F11E2E" w:rsidP="00F11E2E">
      <w:pPr>
        <w:spacing w:after="120"/>
        <w:rPr>
          <w:u w:val="single"/>
        </w:rPr>
      </w:pPr>
      <w:r w:rsidRPr="00110C55">
        <w:rPr>
          <w:u w:val="single"/>
        </w:rPr>
        <w:lastRenderedPageBreak/>
        <w:t xml:space="preserve">Subsection </w:t>
      </w:r>
      <w:r w:rsidR="009F6591">
        <w:rPr>
          <w:u w:val="single"/>
        </w:rPr>
        <w:t>9</w:t>
      </w:r>
      <w:r w:rsidRPr="00110C55">
        <w:rPr>
          <w:u w:val="single"/>
        </w:rPr>
        <w:t>(</w:t>
      </w:r>
      <w:r w:rsidR="00C6088B">
        <w:rPr>
          <w:u w:val="single"/>
        </w:rPr>
        <w:t>3</w:t>
      </w:r>
      <w:r w:rsidRPr="00110C55">
        <w:rPr>
          <w:u w:val="single"/>
        </w:rPr>
        <w:t>)</w:t>
      </w:r>
    </w:p>
    <w:p w14:paraId="463D7298" w14:textId="72BDDB1D" w:rsidR="00F11E2E" w:rsidRPr="0072076A" w:rsidRDefault="00F11E2E" w:rsidP="00F11E2E">
      <w:r>
        <w:t>This subsection requires that a</w:t>
      </w:r>
      <w:r w:rsidRPr="0072076A">
        <w:t xml:space="preserve">n energy rating label must accompany a product </w:t>
      </w:r>
      <w:r w:rsidR="00864836">
        <w:t xml:space="preserve">or its packaging </w:t>
      </w:r>
      <w:r w:rsidRPr="0072076A">
        <w:t>covered by the Determination when it is supplied, or offered for supply, at a</w:t>
      </w:r>
      <w:r>
        <w:t xml:space="preserve"> GEMS retail premises.</w:t>
      </w:r>
    </w:p>
    <w:p w14:paraId="3F3B66E0" w14:textId="77777777" w:rsidR="00F11E2E" w:rsidRPr="00202E12" w:rsidRDefault="00F11E2E" w:rsidP="00F11E2E">
      <w:pPr>
        <w:spacing w:before="360" w:after="240"/>
        <w:rPr>
          <w:i/>
        </w:rPr>
      </w:pPr>
      <w:r w:rsidRPr="00202E12">
        <w:rPr>
          <w:i/>
        </w:rPr>
        <w:t>Conducting tests</w:t>
      </w:r>
    </w:p>
    <w:p w14:paraId="64E677DD" w14:textId="6FBC7DFA" w:rsidR="00F11E2E" w:rsidRDefault="00F11E2E" w:rsidP="00F11E2E">
      <w:pPr>
        <w:spacing w:after="120"/>
      </w:pPr>
      <w:r w:rsidRPr="00110C55">
        <w:rPr>
          <w:u w:val="single"/>
        </w:rPr>
        <w:t xml:space="preserve">Subsection </w:t>
      </w:r>
      <w:r w:rsidR="009F6591">
        <w:rPr>
          <w:u w:val="single"/>
        </w:rPr>
        <w:t>9</w:t>
      </w:r>
      <w:r w:rsidRPr="00110C55">
        <w:rPr>
          <w:u w:val="single"/>
        </w:rPr>
        <w:t>(</w:t>
      </w:r>
      <w:r w:rsidR="00C6088B">
        <w:rPr>
          <w:u w:val="single"/>
        </w:rPr>
        <w:t>4</w:t>
      </w:r>
      <w:r w:rsidRPr="00110C55">
        <w:rPr>
          <w:u w:val="single"/>
        </w:rPr>
        <w:t>)</w:t>
      </w:r>
    </w:p>
    <w:p w14:paraId="789146FA" w14:textId="77777777" w:rsidR="0074372F" w:rsidRDefault="00F11E2E" w:rsidP="00F11E2E">
      <w:r>
        <w:t xml:space="preserve">This subsection </w:t>
      </w:r>
      <w:r w:rsidRPr="008753D5">
        <w:t xml:space="preserve">specifies requirements </w:t>
      </w:r>
      <w:r>
        <w:t xml:space="preserve">for conducting labelling requirement tests for products covered by the Determination </w:t>
      </w:r>
      <w:r w:rsidRPr="008753D5">
        <w:t xml:space="preserve">under </w:t>
      </w:r>
      <w:r>
        <w:t xml:space="preserve">paragraphs 24(1)(b) and 26(1)(c) </w:t>
      </w:r>
      <w:r w:rsidR="0056242E">
        <w:t>of the Act.</w:t>
      </w:r>
    </w:p>
    <w:p w14:paraId="785CE206" w14:textId="77777777" w:rsidR="0074372F" w:rsidRDefault="0074372F" w:rsidP="00F11E2E"/>
    <w:p w14:paraId="1E57EE1A" w14:textId="20919897" w:rsidR="00AD4D9A" w:rsidRDefault="00F11E2E" w:rsidP="00AD4D9A">
      <w:r>
        <w:t>T</w:t>
      </w:r>
      <w:r w:rsidRPr="00214DB8">
        <w:t xml:space="preserve">he requirements </w:t>
      </w:r>
      <w:r w:rsidRPr="00BF1E79">
        <w:t xml:space="preserve">for conducting tests are those </w:t>
      </w:r>
      <w:r>
        <w:t>mentioned</w:t>
      </w:r>
      <w:r w:rsidRPr="00BF1E79">
        <w:t xml:space="preserve"> in section 2 of </w:t>
      </w:r>
      <w:r w:rsidR="0074372F">
        <w:t>AS/NZS 2442</w:t>
      </w:r>
      <w:r>
        <w:t>.2:2021.</w:t>
      </w:r>
    </w:p>
    <w:p w14:paraId="0C97A2D0" w14:textId="304DC3C1" w:rsidR="001C068A" w:rsidRDefault="001C068A" w:rsidP="00AD4D9A"/>
    <w:p w14:paraId="325B93D0" w14:textId="117DBC9E" w:rsidR="001C068A" w:rsidRPr="00C13324" w:rsidRDefault="001C068A" w:rsidP="00AD4D9A">
      <w:pPr>
        <w:rPr>
          <w:i/>
        </w:rPr>
      </w:pPr>
      <w:r>
        <w:rPr>
          <w:i/>
        </w:rPr>
        <w:t>Impact of replacement determination</w:t>
      </w:r>
    </w:p>
    <w:p w14:paraId="5BAC7BAB" w14:textId="77777777" w:rsidR="007170CD" w:rsidRDefault="007170CD" w:rsidP="007170CD">
      <w:pPr>
        <w:spacing w:after="120"/>
      </w:pPr>
    </w:p>
    <w:p w14:paraId="7ADABFD1" w14:textId="5F801FA7" w:rsidR="007170CD" w:rsidRDefault="007170CD" w:rsidP="007170CD">
      <w:pPr>
        <w:spacing w:after="120"/>
      </w:pPr>
      <w:r w:rsidRPr="00110C55">
        <w:rPr>
          <w:u w:val="single"/>
        </w:rPr>
        <w:t xml:space="preserve">Subsection </w:t>
      </w:r>
      <w:r w:rsidR="009F6591">
        <w:rPr>
          <w:u w:val="single"/>
        </w:rPr>
        <w:t>9</w:t>
      </w:r>
      <w:r w:rsidRPr="00110C55">
        <w:rPr>
          <w:u w:val="single"/>
        </w:rPr>
        <w:t>(</w:t>
      </w:r>
      <w:r w:rsidR="00C6088B">
        <w:rPr>
          <w:u w:val="single"/>
        </w:rPr>
        <w:t>5</w:t>
      </w:r>
      <w:r w:rsidRPr="00110C55">
        <w:rPr>
          <w:u w:val="single"/>
        </w:rPr>
        <w:t>)</w:t>
      </w:r>
    </w:p>
    <w:p w14:paraId="34FDAA31" w14:textId="45C7C2CF" w:rsidR="007170CD" w:rsidRDefault="007170CD" w:rsidP="007170CD">
      <w:r>
        <w:t>This subsection p</w:t>
      </w:r>
      <w:r w:rsidRPr="0005685F">
        <w:t>rovides a mechanism, in the event that this Determination is replaced in the future, to allow a transitional labelling provision to be specified in that replacement determination (the new determination) with the effect that complying with its requirements will be taken to be compliance with the labelling requirements of this Determination. This is to prevent the situation arising, in circumstances where a registrant chooses to register to the new determination between the time it is made and when it comes into force (as allowed by section 44 of the Act), of a product needing to comply with the labelling requirements of both determinations.</w:t>
      </w:r>
    </w:p>
    <w:p w14:paraId="0276D79F" w14:textId="77777777" w:rsidR="007170CD" w:rsidRDefault="007170CD" w:rsidP="007170CD"/>
    <w:p w14:paraId="243A9C9F" w14:textId="4AAF431F" w:rsidR="007170CD" w:rsidRDefault="007170CD" w:rsidP="007170CD">
      <w:pPr>
        <w:autoSpaceDE w:val="0"/>
        <w:autoSpaceDN w:val="0"/>
        <w:adjustRightInd w:val="0"/>
        <w:spacing w:before="120" w:after="80"/>
        <w:rPr>
          <w:rFonts w:ascii="Arial" w:hAnsi="Arial" w:cs="Arial"/>
          <w:b/>
          <w:bCs/>
        </w:rPr>
      </w:pPr>
      <w:r w:rsidRPr="003553B1">
        <w:rPr>
          <w:rFonts w:ascii="Arial" w:hAnsi="Arial" w:cs="Arial"/>
          <w:b/>
          <w:bCs/>
        </w:rPr>
        <w:t xml:space="preserve">Section </w:t>
      </w:r>
      <w:r w:rsidR="00410387">
        <w:rPr>
          <w:rFonts w:ascii="Arial" w:hAnsi="Arial" w:cs="Arial"/>
          <w:b/>
          <w:bCs/>
        </w:rPr>
        <w:t>10</w:t>
      </w:r>
      <w:r w:rsidR="00410387" w:rsidRPr="003553B1">
        <w:rPr>
          <w:rFonts w:ascii="Arial" w:hAnsi="Arial" w:cs="Arial"/>
          <w:b/>
          <w:bCs/>
        </w:rPr>
        <w:t xml:space="preserve"> </w:t>
      </w:r>
      <w:r w:rsidRPr="003553B1">
        <w:rPr>
          <w:rFonts w:ascii="Arial" w:hAnsi="Arial" w:cs="Arial"/>
          <w:b/>
          <w:bCs/>
        </w:rPr>
        <w:t xml:space="preserve">– </w:t>
      </w:r>
      <w:r>
        <w:rPr>
          <w:rFonts w:ascii="Arial" w:hAnsi="Arial" w:cs="Arial"/>
          <w:b/>
          <w:bCs/>
        </w:rPr>
        <w:t>Transitional GEMS labelling requirements</w:t>
      </w:r>
    </w:p>
    <w:p w14:paraId="77973988" w14:textId="77777777" w:rsidR="007170CD" w:rsidRDefault="007170CD" w:rsidP="007170CD">
      <w:r w:rsidRPr="002D7C74">
        <w:t xml:space="preserve">This section </w:t>
      </w:r>
      <w:r>
        <w:t>p</w:t>
      </w:r>
      <w:r w:rsidRPr="0005685F">
        <w:t xml:space="preserve">rovides that requirements of this </w:t>
      </w:r>
      <w:r>
        <w:t>section</w:t>
      </w:r>
      <w:r w:rsidRPr="0005685F">
        <w:t xml:space="preserve"> are made for the purpose of providing a transition to regulation of products in the product class under a GEMS determination (including because the products were not previously covered by a GEMS determination or because the GEMS determination is a replacement determination).</w:t>
      </w:r>
    </w:p>
    <w:p w14:paraId="7F8708F8" w14:textId="77777777" w:rsidR="007170CD" w:rsidRDefault="007170CD" w:rsidP="007170CD"/>
    <w:p w14:paraId="5777369E" w14:textId="10525E5C" w:rsidR="007170CD" w:rsidRPr="007170CD" w:rsidRDefault="007170CD" w:rsidP="007170CD">
      <w:pPr>
        <w:shd w:val="clear" w:color="auto" w:fill="FFFFFF"/>
        <w:rPr>
          <w:color w:val="000000"/>
        </w:rPr>
      </w:pPr>
      <w:r>
        <w:rPr>
          <w:color w:val="000000"/>
        </w:rPr>
        <w:t xml:space="preserve">This section provides transitional arrangements with the effect that complying with the requirements of the </w:t>
      </w:r>
      <w:r w:rsidR="002749B0">
        <w:rPr>
          <w:color w:val="000000"/>
        </w:rPr>
        <w:t>old</w:t>
      </w:r>
      <w:r>
        <w:rPr>
          <w:color w:val="000000"/>
        </w:rPr>
        <w:t xml:space="preserve"> </w:t>
      </w:r>
      <w:r w:rsidR="002749B0">
        <w:rPr>
          <w:color w:val="000000"/>
        </w:rPr>
        <w:t>D</w:t>
      </w:r>
      <w:r>
        <w:rPr>
          <w:color w:val="000000"/>
        </w:rPr>
        <w:t xml:space="preserve">etermination will be taken to be compliance with the labelling requirements of </w:t>
      </w:r>
      <w:r w:rsidR="003634AF">
        <w:rPr>
          <w:color w:val="000000"/>
        </w:rPr>
        <w:t xml:space="preserve">the </w:t>
      </w:r>
      <w:r>
        <w:rPr>
          <w:color w:val="000000"/>
        </w:rPr>
        <w:t xml:space="preserve">Determination. This is to prevent the situation arising, in circumstances where a registrant chooses to register to </w:t>
      </w:r>
      <w:r w:rsidR="003634AF">
        <w:rPr>
          <w:color w:val="000000"/>
        </w:rPr>
        <w:t xml:space="preserve">the </w:t>
      </w:r>
      <w:r>
        <w:rPr>
          <w:color w:val="000000"/>
        </w:rPr>
        <w:t>Determination between the time it is made and when it comes into force (as allowed by section 44 of the Act), of a product needing to comply with the labelling requirements of both determinations.</w:t>
      </w:r>
    </w:p>
    <w:p w14:paraId="2E5620E8" w14:textId="1609A0DF" w:rsidR="009A11A1" w:rsidRPr="0080777C" w:rsidRDefault="0079768C" w:rsidP="00B02272">
      <w:pPr>
        <w:keepNext/>
        <w:autoSpaceDE w:val="0"/>
        <w:autoSpaceDN w:val="0"/>
        <w:adjustRightInd w:val="0"/>
        <w:spacing w:before="240" w:after="120"/>
        <w:rPr>
          <w:rFonts w:ascii="Arial" w:hAnsi="Arial" w:cs="Arial"/>
          <w:b/>
          <w:bCs/>
        </w:rPr>
      </w:pPr>
      <w:r w:rsidRPr="0080777C">
        <w:rPr>
          <w:rFonts w:ascii="Arial" w:hAnsi="Arial" w:cs="Arial"/>
          <w:b/>
          <w:bCs/>
        </w:rPr>
        <w:lastRenderedPageBreak/>
        <w:t xml:space="preserve">Section </w:t>
      </w:r>
      <w:r w:rsidR="00410387">
        <w:rPr>
          <w:rFonts w:ascii="Arial" w:hAnsi="Arial" w:cs="Arial"/>
          <w:b/>
          <w:bCs/>
        </w:rPr>
        <w:t>11</w:t>
      </w:r>
      <w:r w:rsidR="00410387" w:rsidRPr="0080777C">
        <w:rPr>
          <w:rFonts w:ascii="Arial" w:hAnsi="Arial" w:cs="Arial"/>
          <w:b/>
          <w:bCs/>
        </w:rPr>
        <w:t xml:space="preserve"> </w:t>
      </w:r>
      <w:r w:rsidR="009A11A1" w:rsidRPr="0080777C">
        <w:rPr>
          <w:rFonts w:ascii="Arial" w:hAnsi="Arial" w:cs="Arial"/>
          <w:b/>
          <w:bCs/>
        </w:rPr>
        <w:t>– Other GEMS requirements</w:t>
      </w:r>
    </w:p>
    <w:p w14:paraId="3939265E" w14:textId="77777777" w:rsidR="0056242E" w:rsidRPr="002D7C74" w:rsidRDefault="0056242E" w:rsidP="00B02272">
      <w:pPr>
        <w:keepNext/>
        <w:spacing w:before="120" w:after="240"/>
        <w:rPr>
          <w:i/>
        </w:rPr>
      </w:pPr>
      <w:r w:rsidRPr="002D7C74">
        <w:rPr>
          <w:i/>
        </w:rPr>
        <w:t>Product performance</w:t>
      </w:r>
    </w:p>
    <w:p w14:paraId="6081C5EE" w14:textId="1CA12BF9" w:rsidR="0056242E" w:rsidRDefault="0056242E" w:rsidP="00B02272">
      <w:pPr>
        <w:keepNext/>
        <w:spacing w:after="120"/>
        <w:rPr>
          <w:u w:val="single"/>
        </w:rPr>
      </w:pPr>
      <w:r w:rsidRPr="003553B1">
        <w:rPr>
          <w:u w:val="single"/>
        </w:rPr>
        <w:t xml:space="preserve">Subsection </w:t>
      </w:r>
      <w:r w:rsidR="00410387">
        <w:rPr>
          <w:u w:val="single"/>
        </w:rPr>
        <w:t>11</w:t>
      </w:r>
      <w:r w:rsidRPr="003553B1">
        <w:rPr>
          <w:u w:val="single"/>
        </w:rPr>
        <w:t>(1)</w:t>
      </w:r>
    </w:p>
    <w:p w14:paraId="6D9316DF" w14:textId="4A56E31E" w:rsidR="0056242E" w:rsidRPr="002D7C74" w:rsidRDefault="0056242E" w:rsidP="0056242E">
      <w:r w:rsidRPr="002D7C74">
        <w:t xml:space="preserve">This subsection specifies other GEMS requirements </w:t>
      </w:r>
      <w:bookmarkStart w:id="5" w:name="_Hlk169770511"/>
      <w:r w:rsidR="002445FA">
        <w:t>for the purposes of subsection 24(2) and paragraph</w:t>
      </w:r>
      <w:r w:rsidR="002445FA" w:rsidRPr="00FA4C35">
        <w:t xml:space="preserve"> 27</w:t>
      </w:r>
      <w:r w:rsidR="002445FA">
        <w:t>(1)(b) of the Act</w:t>
      </w:r>
      <w:bookmarkEnd w:id="5"/>
      <w:r w:rsidRPr="002D7C74">
        <w:t>.</w:t>
      </w:r>
      <w:r>
        <w:t xml:space="preserve"> </w:t>
      </w:r>
      <w:r w:rsidRPr="002D7C74">
        <w:t xml:space="preserve">It requires that </w:t>
      </w:r>
      <w:r w:rsidRPr="0072076A">
        <w:t>product</w:t>
      </w:r>
      <w:r>
        <w:t>s</w:t>
      </w:r>
      <w:r w:rsidRPr="0072076A">
        <w:t xml:space="preserve"> covered by the Determination</w:t>
      </w:r>
      <w:r>
        <w:t xml:space="preserve"> meet the following performance requirements mentioned in section 3 of AS/NZS 2442.2:2021: drying clothes in a single operation and maximum fabric temperature.</w:t>
      </w:r>
    </w:p>
    <w:p w14:paraId="3EE159EE" w14:textId="77777777" w:rsidR="0056242E" w:rsidRPr="002D7C74" w:rsidRDefault="0056242E" w:rsidP="0056242E">
      <w:pPr>
        <w:spacing w:before="360" w:after="240"/>
        <w:rPr>
          <w:i/>
        </w:rPr>
      </w:pPr>
      <w:r w:rsidRPr="002D7C74">
        <w:rPr>
          <w:i/>
        </w:rPr>
        <w:t>Conducting tests</w:t>
      </w:r>
    </w:p>
    <w:p w14:paraId="6643CF1C" w14:textId="65F344B5" w:rsidR="0056242E" w:rsidRPr="000C73BC" w:rsidRDefault="0056242E" w:rsidP="0056242E">
      <w:pPr>
        <w:spacing w:after="120"/>
        <w:rPr>
          <w:u w:val="single"/>
        </w:rPr>
      </w:pPr>
      <w:r w:rsidRPr="000C73BC">
        <w:rPr>
          <w:u w:val="single"/>
        </w:rPr>
        <w:t xml:space="preserve">Subsection </w:t>
      </w:r>
      <w:r w:rsidR="00410387">
        <w:rPr>
          <w:u w:val="single"/>
        </w:rPr>
        <w:t>11</w:t>
      </w:r>
      <w:r w:rsidRPr="000C73BC">
        <w:rPr>
          <w:u w:val="single"/>
        </w:rPr>
        <w:t>(2)</w:t>
      </w:r>
    </w:p>
    <w:p w14:paraId="526D423B" w14:textId="4BD0267E" w:rsidR="0051601C" w:rsidRPr="0079768C" w:rsidRDefault="0056242E" w:rsidP="0051601C">
      <w:pPr>
        <w:rPr>
          <w:highlight w:val="cyan"/>
        </w:rPr>
      </w:pPr>
      <w:r w:rsidRPr="000C73BC">
        <w:t xml:space="preserve">This subsection specifies that the requirements for conducting </w:t>
      </w:r>
      <w:r>
        <w:t xml:space="preserve">product performance </w:t>
      </w:r>
      <w:r w:rsidRPr="000C73BC">
        <w:t xml:space="preserve">tests </w:t>
      </w:r>
      <w:bookmarkStart w:id="6" w:name="_Hlk169770535"/>
      <w:r w:rsidR="002445FA">
        <w:t>for the purposes of subsection 24(2) and paragraph</w:t>
      </w:r>
      <w:r w:rsidR="002445FA" w:rsidRPr="00FA4C35">
        <w:t xml:space="preserve"> 27</w:t>
      </w:r>
      <w:r w:rsidR="002445FA">
        <w:t>(1)(e) of the Act</w:t>
      </w:r>
      <w:r w:rsidR="002445FA" w:rsidRPr="00AE2357" w:rsidDel="00AE2357">
        <w:t xml:space="preserve"> </w:t>
      </w:r>
      <w:bookmarkEnd w:id="6"/>
      <w:r w:rsidRPr="000C73BC">
        <w:t xml:space="preserve">are those </w:t>
      </w:r>
      <w:r>
        <w:t>mentioned in section 3 of AS/NZS </w:t>
      </w:r>
      <w:r w:rsidRPr="000C73BC">
        <w:t>2</w:t>
      </w:r>
      <w:r>
        <w:t>442</w:t>
      </w:r>
      <w:r w:rsidRPr="000C73BC">
        <w:t>.2:2021.</w:t>
      </w:r>
    </w:p>
    <w:p w14:paraId="4492C233" w14:textId="77777777" w:rsidR="005A73D0" w:rsidRPr="0079768C" w:rsidRDefault="005A73D0" w:rsidP="0051601C">
      <w:pPr>
        <w:rPr>
          <w:highlight w:val="cyan"/>
        </w:rPr>
      </w:pPr>
    </w:p>
    <w:p w14:paraId="4D310687" w14:textId="382D2632" w:rsidR="009A11A1" w:rsidRPr="0080777C" w:rsidRDefault="0079768C" w:rsidP="0080777C">
      <w:pPr>
        <w:autoSpaceDE w:val="0"/>
        <w:autoSpaceDN w:val="0"/>
        <w:adjustRightInd w:val="0"/>
        <w:spacing w:before="240" w:after="120"/>
        <w:rPr>
          <w:rFonts w:ascii="Arial" w:hAnsi="Arial" w:cs="Arial"/>
          <w:b/>
          <w:bCs/>
        </w:rPr>
      </w:pPr>
      <w:r w:rsidRPr="0080777C">
        <w:rPr>
          <w:rFonts w:ascii="Arial" w:hAnsi="Arial" w:cs="Arial"/>
          <w:b/>
          <w:bCs/>
        </w:rPr>
        <w:t xml:space="preserve">Section </w:t>
      </w:r>
      <w:r w:rsidR="00410387" w:rsidRPr="0080777C">
        <w:rPr>
          <w:rFonts w:ascii="Arial" w:hAnsi="Arial" w:cs="Arial"/>
          <w:b/>
          <w:bCs/>
        </w:rPr>
        <w:t>1</w:t>
      </w:r>
      <w:r w:rsidR="00410387">
        <w:rPr>
          <w:rFonts w:ascii="Arial" w:hAnsi="Arial" w:cs="Arial"/>
          <w:b/>
          <w:bCs/>
        </w:rPr>
        <w:t>2</w:t>
      </w:r>
      <w:r w:rsidR="00410387" w:rsidRPr="0080777C">
        <w:rPr>
          <w:rFonts w:ascii="Arial" w:hAnsi="Arial" w:cs="Arial"/>
          <w:b/>
          <w:bCs/>
        </w:rPr>
        <w:t xml:space="preserve"> </w:t>
      </w:r>
      <w:r w:rsidR="009A11A1" w:rsidRPr="0080777C">
        <w:rPr>
          <w:rFonts w:ascii="Arial" w:hAnsi="Arial" w:cs="Arial"/>
          <w:b/>
          <w:bCs/>
        </w:rPr>
        <w:t>– Famil</w:t>
      </w:r>
      <w:r w:rsidR="008642F9">
        <w:rPr>
          <w:rFonts w:ascii="Arial" w:hAnsi="Arial" w:cs="Arial"/>
          <w:b/>
          <w:bCs/>
        </w:rPr>
        <w:t>ies</w:t>
      </w:r>
      <w:r w:rsidR="009A11A1" w:rsidRPr="0080777C">
        <w:rPr>
          <w:rFonts w:ascii="Arial" w:hAnsi="Arial" w:cs="Arial"/>
          <w:b/>
          <w:bCs/>
        </w:rPr>
        <w:t xml:space="preserve"> of models</w:t>
      </w:r>
    </w:p>
    <w:p w14:paraId="6CD44760" w14:textId="77777777" w:rsidR="0056242E" w:rsidRPr="00013EED" w:rsidRDefault="0056242E" w:rsidP="0056242E">
      <w:r w:rsidRPr="00013EED">
        <w:t xml:space="preserve">Section 28 of the Act provides that a GEMS determination must specify, for each product class covered by the Determination, the circumstances in which two or more models in that product class are in the same family of models. </w:t>
      </w:r>
    </w:p>
    <w:p w14:paraId="26C32204" w14:textId="77777777" w:rsidR="0056242E" w:rsidRPr="00013EED" w:rsidRDefault="0056242E" w:rsidP="0056242E"/>
    <w:p w14:paraId="506E6688" w14:textId="3EA06174" w:rsidR="00864836" w:rsidRDefault="00864836" w:rsidP="00FB713E">
      <w:pPr>
        <w:spacing w:after="120"/>
        <w:rPr>
          <w:u w:val="single"/>
        </w:rPr>
      </w:pPr>
      <w:r>
        <w:rPr>
          <w:u w:val="single"/>
        </w:rPr>
        <w:t xml:space="preserve">Subsection </w:t>
      </w:r>
      <w:r w:rsidR="00410387">
        <w:rPr>
          <w:u w:val="single"/>
        </w:rPr>
        <w:t>12</w:t>
      </w:r>
      <w:r>
        <w:rPr>
          <w:u w:val="single"/>
        </w:rPr>
        <w:t>(1)</w:t>
      </w:r>
    </w:p>
    <w:p w14:paraId="456D49DA" w14:textId="77777777" w:rsidR="005E54F6" w:rsidRPr="00013EED" w:rsidRDefault="005E54F6" w:rsidP="005E54F6">
      <w:r>
        <w:t xml:space="preserve">This subsection specifies that two or more models are only in the same family if they have been declared to the GEMS Regulator as a family and they satisfy the requirements of this section. </w:t>
      </w:r>
    </w:p>
    <w:p w14:paraId="624372BD" w14:textId="77777777" w:rsidR="00864836" w:rsidRDefault="00864836" w:rsidP="006C3DB7">
      <w:pPr>
        <w:spacing w:after="120"/>
        <w:rPr>
          <w:u w:val="single"/>
        </w:rPr>
      </w:pPr>
    </w:p>
    <w:p w14:paraId="459EA88D" w14:textId="631A56A2" w:rsidR="006C3DB7" w:rsidRPr="006C3DB7" w:rsidRDefault="0056242E" w:rsidP="006C3DB7">
      <w:pPr>
        <w:spacing w:after="120"/>
        <w:rPr>
          <w:u w:val="single"/>
        </w:rPr>
      </w:pPr>
      <w:r w:rsidRPr="006C3DB7">
        <w:rPr>
          <w:u w:val="single"/>
        </w:rPr>
        <w:t xml:space="preserve">Subsection </w:t>
      </w:r>
      <w:r w:rsidR="00410387" w:rsidRPr="006C3DB7">
        <w:rPr>
          <w:u w:val="single"/>
        </w:rPr>
        <w:t>1</w:t>
      </w:r>
      <w:r w:rsidR="00410387">
        <w:rPr>
          <w:u w:val="single"/>
        </w:rPr>
        <w:t>2</w:t>
      </w:r>
      <w:r w:rsidR="006C3DB7" w:rsidRPr="006C3DB7">
        <w:rPr>
          <w:u w:val="single"/>
        </w:rPr>
        <w:t>(2)</w:t>
      </w:r>
    </w:p>
    <w:p w14:paraId="26FCBBE9" w14:textId="3B191ACA" w:rsidR="006B2F22" w:rsidRDefault="006C3DB7" w:rsidP="009A11A1">
      <w:r w:rsidRPr="00560111">
        <w:t>This subsection</w:t>
      </w:r>
      <w:r w:rsidRPr="00013EED">
        <w:t xml:space="preserve"> </w:t>
      </w:r>
      <w:r w:rsidR="0056242E" w:rsidRPr="00013EED">
        <w:t>specifies that for two or more models to be in the same family of models they must have the same energy performance and relevant physical characteristics, and rely on a single test report.</w:t>
      </w:r>
    </w:p>
    <w:p w14:paraId="12F5FD9E" w14:textId="77777777" w:rsidR="006C3DB7" w:rsidRDefault="006C3DB7" w:rsidP="009A11A1">
      <w:pPr>
        <w:rPr>
          <w:highlight w:val="cyan"/>
        </w:rPr>
      </w:pPr>
    </w:p>
    <w:p w14:paraId="48C1A5EC" w14:textId="7A146D98" w:rsidR="002810EF" w:rsidRPr="0080777C" w:rsidRDefault="009A11A1" w:rsidP="0080777C">
      <w:pPr>
        <w:autoSpaceDE w:val="0"/>
        <w:autoSpaceDN w:val="0"/>
        <w:adjustRightInd w:val="0"/>
        <w:spacing w:before="240" w:after="120"/>
        <w:rPr>
          <w:rFonts w:ascii="Arial" w:hAnsi="Arial" w:cs="Arial"/>
          <w:b/>
          <w:bCs/>
        </w:rPr>
      </w:pPr>
      <w:r w:rsidRPr="0080777C">
        <w:rPr>
          <w:rFonts w:ascii="Arial" w:hAnsi="Arial" w:cs="Arial"/>
          <w:b/>
          <w:bCs/>
        </w:rPr>
        <w:t xml:space="preserve">Section </w:t>
      </w:r>
      <w:r w:rsidR="00410387" w:rsidRPr="0080777C">
        <w:rPr>
          <w:rFonts w:ascii="Arial" w:hAnsi="Arial" w:cs="Arial"/>
          <w:b/>
          <w:bCs/>
        </w:rPr>
        <w:t>1</w:t>
      </w:r>
      <w:r w:rsidR="00410387">
        <w:rPr>
          <w:rFonts w:ascii="Arial" w:hAnsi="Arial" w:cs="Arial"/>
          <w:b/>
          <w:bCs/>
        </w:rPr>
        <w:t>3</w:t>
      </w:r>
      <w:r w:rsidR="00410387" w:rsidRPr="0080777C">
        <w:rPr>
          <w:rFonts w:ascii="Arial" w:hAnsi="Arial" w:cs="Arial"/>
          <w:b/>
          <w:bCs/>
        </w:rPr>
        <w:t xml:space="preserve"> </w:t>
      </w:r>
      <w:r w:rsidRPr="0080777C">
        <w:rPr>
          <w:rFonts w:ascii="Arial" w:hAnsi="Arial" w:cs="Arial"/>
          <w:b/>
          <w:bCs/>
        </w:rPr>
        <w:t>– Product categories</w:t>
      </w:r>
    </w:p>
    <w:p w14:paraId="48072520" w14:textId="77777777" w:rsidR="0080777C" w:rsidRPr="00597AA1" w:rsidRDefault="0080777C" w:rsidP="0080777C">
      <w:r w:rsidRPr="00013EED">
        <w:t xml:space="preserve">Section 29 of the Act requires that a GEMS determination specify whether the products it covers are category A or category B products. Category B products are subject to higher penalties than category A products for certain offences under the </w:t>
      </w:r>
      <w:r w:rsidRPr="00597AA1">
        <w:t>Act, on the basis that category B products have a high impact on energy use or greenhouse gas production.</w:t>
      </w:r>
    </w:p>
    <w:p w14:paraId="55282706" w14:textId="77777777" w:rsidR="0080777C" w:rsidRPr="00597AA1" w:rsidRDefault="0080777C" w:rsidP="0080777C"/>
    <w:p w14:paraId="006DE853" w14:textId="1562F873" w:rsidR="00662031" w:rsidRDefault="002749B0" w:rsidP="002810EF">
      <w:r>
        <w:t>This section</w:t>
      </w:r>
      <w:r w:rsidR="0080777C" w:rsidRPr="00597AA1">
        <w:t xml:space="preserve"> specifies that </w:t>
      </w:r>
      <w:r w:rsidR="0080777C">
        <w:t>r</w:t>
      </w:r>
      <w:r w:rsidR="0080777C" w:rsidRPr="004E7CAE">
        <w:t>o</w:t>
      </w:r>
      <w:r w:rsidR="0080777C">
        <w:t>tary clothes dryers</w:t>
      </w:r>
      <w:r w:rsidR="0080777C" w:rsidRPr="00597AA1">
        <w:t xml:space="preserve"> covered by the Determination are category A products.</w:t>
      </w:r>
      <w:bookmarkEnd w:id="2"/>
      <w:bookmarkEnd w:id="3"/>
    </w:p>
    <w:p w14:paraId="10E220A8" w14:textId="77777777" w:rsidR="00FA5378" w:rsidRPr="0080777C" w:rsidRDefault="00FA5378" w:rsidP="002810EF"/>
    <w:p w14:paraId="13767526" w14:textId="2ACB84A3" w:rsidR="003A63CA" w:rsidRPr="0080777C" w:rsidRDefault="0079768C" w:rsidP="00B02272">
      <w:pPr>
        <w:keepNext/>
        <w:autoSpaceDE w:val="0"/>
        <w:autoSpaceDN w:val="0"/>
        <w:adjustRightInd w:val="0"/>
        <w:spacing w:before="240" w:after="120"/>
        <w:rPr>
          <w:rFonts w:ascii="Arial" w:hAnsi="Arial" w:cs="Arial"/>
          <w:b/>
          <w:bCs/>
        </w:rPr>
      </w:pPr>
      <w:r w:rsidRPr="0080777C">
        <w:rPr>
          <w:rFonts w:ascii="Arial" w:hAnsi="Arial" w:cs="Arial"/>
          <w:b/>
          <w:bCs/>
        </w:rPr>
        <w:lastRenderedPageBreak/>
        <w:t xml:space="preserve">Section </w:t>
      </w:r>
      <w:r w:rsidR="00410387" w:rsidRPr="0080777C">
        <w:rPr>
          <w:rFonts w:ascii="Arial" w:hAnsi="Arial" w:cs="Arial"/>
          <w:b/>
          <w:bCs/>
        </w:rPr>
        <w:t>1</w:t>
      </w:r>
      <w:r w:rsidR="00410387">
        <w:rPr>
          <w:rFonts w:ascii="Arial" w:hAnsi="Arial" w:cs="Arial"/>
          <w:b/>
          <w:bCs/>
        </w:rPr>
        <w:t>4</w:t>
      </w:r>
      <w:r w:rsidR="00410387" w:rsidRPr="0080777C">
        <w:rPr>
          <w:rFonts w:ascii="Arial" w:hAnsi="Arial" w:cs="Arial"/>
          <w:b/>
          <w:bCs/>
        </w:rPr>
        <w:t xml:space="preserve"> </w:t>
      </w:r>
      <w:r w:rsidR="003A63CA" w:rsidRPr="0080777C">
        <w:rPr>
          <w:rFonts w:ascii="Arial" w:hAnsi="Arial" w:cs="Arial"/>
          <w:b/>
          <w:bCs/>
        </w:rPr>
        <w:t xml:space="preserve">– </w:t>
      </w:r>
      <w:r w:rsidR="0011123B" w:rsidRPr="0011123B">
        <w:rPr>
          <w:rFonts w:ascii="Arial" w:hAnsi="Arial" w:cs="Arial"/>
          <w:b/>
          <w:bCs/>
        </w:rPr>
        <w:t>This instrument does not affect registrations under the old determination</w:t>
      </w:r>
    </w:p>
    <w:p w14:paraId="4278E0BD" w14:textId="5CAC1EA8" w:rsidR="0080777C" w:rsidRPr="00173DE0" w:rsidRDefault="00DA1C90" w:rsidP="0080777C">
      <w:pPr>
        <w:autoSpaceDE w:val="0"/>
        <w:autoSpaceDN w:val="0"/>
        <w:adjustRightInd w:val="0"/>
      </w:pPr>
      <w:r>
        <w:t>Paragraph</w:t>
      </w:r>
      <w:r w:rsidRPr="00173DE0">
        <w:t xml:space="preserve"> </w:t>
      </w:r>
      <w:r w:rsidR="0080777C" w:rsidRPr="00173DE0">
        <w:t>36</w:t>
      </w:r>
      <w:r>
        <w:t>(1)(c)</w:t>
      </w:r>
      <w:r w:rsidR="0080777C" w:rsidRPr="00173DE0">
        <w:t xml:space="preserve"> of the Act provides that if a replacement determination </w:t>
      </w:r>
      <w:r w:rsidR="00864836">
        <w:t xml:space="preserve">specifies </w:t>
      </w:r>
      <w:r w:rsidR="0080777C" w:rsidRPr="00173DE0">
        <w:t xml:space="preserve">that it </w:t>
      </w:r>
      <w:r w:rsidR="00864836">
        <w:t>does not affect</w:t>
      </w:r>
      <w:r w:rsidR="00864836" w:rsidRPr="00173DE0">
        <w:t xml:space="preserve"> </w:t>
      </w:r>
      <w:r w:rsidR="0080777C" w:rsidRPr="00173DE0">
        <w:t xml:space="preserve">a model’s registration, the model is taken to be registered against the replacement determination. </w:t>
      </w:r>
    </w:p>
    <w:p w14:paraId="32527EE7" w14:textId="77777777" w:rsidR="0080777C" w:rsidRPr="00173DE0" w:rsidRDefault="0080777C" w:rsidP="0080777C"/>
    <w:p w14:paraId="21DB239C" w14:textId="53DB7C4E" w:rsidR="002F46A8" w:rsidRDefault="0080777C" w:rsidP="0080777C">
      <w:r w:rsidRPr="00173DE0">
        <w:t xml:space="preserve">This section specifies that the Determination does not affect the registration of any model registered against the </w:t>
      </w:r>
      <w:r w:rsidR="002749B0">
        <w:t>old</w:t>
      </w:r>
      <w:r w:rsidR="002749B0" w:rsidRPr="00173DE0">
        <w:t xml:space="preserve"> </w:t>
      </w:r>
      <w:r w:rsidRPr="00173DE0">
        <w:t xml:space="preserve">Determination. Consequently, all models registered under the </w:t>
      </w:r>
      <w:r w:rsidR="002749B0">
        <w:t>old</w:t>
      </w:r>
      <w:r w:rsidR="002749B0" w:rsidRPr="00173DE0">
        <w:t xml:space="preserve"> </w:t>
      </w:r>
      <w:r w:rsidRPr="00173DE0">
        <w:t xml:space="preserve">Determination are considered to be registered against </w:t>
      </w:r>
      <w:r w:rsidR="003634AF">
        <w:t>the</w:t>
      </w:r>
      <w:r w:rsidR="003634AF" w:rsidRPr="00173DE0">
        <w:t xml:space="preserve"> </w:t>
      </w:r>
      <w:r w:rsidRPr="00173DE0">
        <w:t>Determination</w:t>
      </w:r>
      <w:r w:rsidR="002F46A8" w:rsidRPr="0080777C">
        <w:t>.</w:t>
      </w:r>
    </w:p>
    <w:p w14:paraId="0917AAA1" w14:textId="77777777" w:rsidR="002749B0" w:rsidRDefault="002749B0" w:rsidP="0080777C"/>
    <w:p w14:paraId="70D7175E" w14:textId="77777777" w:rsidR="002749B0" w:rsidRPr="001B5AEF" w:rsidRDefault="002749B0" w:rsidP="002749B0">
      <w:pPr>
        <w:shd w:val="clear" w:color="auto" w:fill="FFFFFF"/>
        <w:ind w:right="91"/>
        <w:rPr>
          <w:rFonts w:ascii="Arial" w:hAnsi="Arial" w:cs="Arial"/>
          <w:b/>
          <w:color w:val="000000"/>
        </w:rPr>
      </w:pPr>
      <w:bookmarkStart w:id="7" w:name="_Hlk117071905"/>
      <w:r w:rsidRPr="006606B4">
        <w:rPr>
          <w:rFonts w:ascii="Arial" w:hAnsi="Arial" w:cs="Arial"/>
          <w:b/>
          <w:color w:val="000000"/>
        </w:rPr>
        <w:t>Schedule 1 – Repeals</w:t>
      </w:r>
    </w:p>
    <w:p w14:paraId="06A870C1" w14:textId="0C5D5719" w:rsidR="002749B0" w:rsidRDefault="002749B0" w:rsidP="002749B0">
      <w:pPr>
        <w:shd w:val="clear" w:color="auto" w:fill="FFFFFF"/>
        <w:ind w:right="91"/>
        <w:rPr>
          <w:color w:val="000000"/>
        </w:rPr>
      </w:pPr>
    </w:p>
    <w:p w14:paraId="06FA5C7B" w14:textId="77777777" w:rsidR="002749B0" w:rsidRDefault="002749B0" w:rsidP="002749B0">
      <w:pPr>
        <w:shd w:val="clear" w:color="auto" w:fill="FFFFFF"/>
        <w:ind w:right="91"/>
        <w:rPr>
          <w:color w:val="000000"/>
        </w:rPr>
      </w:pPr>
      <w:r>
        <w:rPr>
          <w:color w:val="000000"/>
        </w:rPr>
        <w:t>This Schedule repeals the old Determination.</w:t>
      </w:r>
    </w:p>
    <w:bookmarkEnd w:id="7"/>
    <w:p w14:paraId="3DBF5971" w14:textId="77777777" w:rsidR="002749B0" w:rsidRPr="0080777C" w:rsidRDefault="002749B0" w:rsidP="0080777C"/>
    <w:p w14:paraId="4F4FE85A" w14:textId="77777777" w:rsidR="007A7F7D" w:rsidRPr="0079768C" w:rsidRDefault="007A7F7D" w:rsidP="00A46AAF">
      <w:pPr>
        <w:autoSpaceDE w:val="0"/>
        <w:autoSpaceDN w:val="0"/>
        <w:adjustRightInd w:val="0"/>
        <w:spacing w:before="120" w:after="80"/>
        <w:rPr>
          <w:rFonts w:ascii="Arial" w:hAnsi="Arial" w:cs="Arial"/>
          <w:b/>
          <w:bCs/>
          <w:highlight w:val="cyan"/>
        </w:rPr>
        <w:sectPr w:rsidR="007A7F7D" w:rsidRPr="0079768C" w:rsidSect="00662031">
          <w:headerReference w:type="even" r:id="rId18"/>
          <w:headerReference w:type="default" r:id="rId19"/>
          <w:footerReference w:type="even" r:id="rId20"/>
          <w:footerReference w:type="default" r:id="rId21"/>
          <w:headerReference w:type="first" r:id="rId22"/>
          <w:footerReference w:type="first" r:id="rId23"/>
          <w:pgSz w:w="11907" w:h="16839" w:code="9"/>
          <w:pgMar w:top="1440" w:right="1800" w:bottom="1440" w:left="1800" w:header="720" w:footer="720" w:gutter="0"/>
          <w:cols w:space="720"/>
          <w:noEndnote/>
          <w:docGrid w:linePitch="326"/>
        </w:sectPr>
      </w:pPr>
    </w:p>
    <w:p w14:paraId="64EF5A1E" w14:textId="77777777" w:rsidR="007871DF" w:rsidRDefault="007871DF" w:rsidP="007871DF">
      <w:pPr>
        <w:spacing w:before="360" w:after="120"/>
        <w:jc w:val="right"/>
        <w:rPr>
          <w:b/>
          <w:u w:val="single"/>
        </w:rPr>
      </w:pPr>
      <w:bookmarkStart w:id="8" w:name="_Hlk132715478"/>
      <w:r>
        <w:rPr>
          <w:b/>
          <w:u w:val="single"/>
        </w:rPr>
        <w:lastRenderedPageBreak/>
        <w:t>Attachment B</w:t>
      </w:r>
    </w:p>
    <w:p w14:paraId="4D610D0F" w14:textId="77777777" w:rsidR="007871DF" w:rsidRDefault="007871DF" w:rsidP="007871DF">
      <w:pPr>
        <w:spacing w:before="240" w:after="240"/>
      </w:pPr>
      <w:r>
        <w:rPr>
          <w:b/>
          <w:u w:val="single"/>
        </w:rPr>
        <w:t xml:space="preserve">Details of the exemptions from disallowance and sunsetting in the </w:t>
      </w:r>
      <w:r>
        <w:rPr>
          <w:b/>
          <w:i/>
          <w:u w:val="single"/>
        </w:rPr>
        <w:t>Legislation Act 2003</w:t>
      </w:r>
    </w:p>
    <w:p w14:paraId="1F3EE253" w14:textId="77777777" w:rsidR="007871DF" w:rsidRDefault="007871DF" w:rsidP="007871DF">
      <w:pPr>
        <w:spacing w:before="120" w:after="120"/>
        <w:rPr>
          <w:b/>
          <w:i/>
        </w:rPr>
      </w:pPr>
      <w:r>
        <w:rPr>
          <w:b/>
          <w:i/>
        </w:rPr>
        <w:t>Source of exemptions</w:t>
      </w:r>
    </w:p>
    <w:p w14:paraId="4A7D56E1" w14:textId="77777777" w:rsidR="007871DF" w:rsidRDefault="007871DF" w:rsidP="007871DF">
      <w:pPr>
        <w:spacing w:before="120" w:after="120"/>
      </w:pPr>
      <w:r>
        <w:t xml:space="preserve">Legislative instruments made under the </w:t>
      </w:r>
      <w:r>
        <w:rPr>
          <w:i/>
        </w:rPr>
        <w:t>Greenhouse and Energy Minimum Standards Act 2012</w:t>
      </w:r>
      <w:r>
        <w:t xml:space="preserve"> (the GEMS Act) (excluding regulations) are exempt from disallowance under subsection 44(1) of the </w:t>
      </w:r>
      <w:r>
        <w:rPr>
          <w:i/>
        </w:rPr>
        <w:t>Legislation Act 2003</w:t>
      </w:r>
      <w:r>
        <w:t xml:space="preserve"> (the Legislation Act), and from sunsetting under subsection 54(1) of the Legislation Act.</w:t>
      </w:r>
    </w:p>
    <w:p w14:paraId="457ACF94" w14:textId="77777777" w:rsidR="007871DF" w:rsidRDefault="007871DF" w:rsidP="007871DF">
      <w:pPr>
        <w:spacing w:before="120" w:after="120"/>
      </w:pPr>
      <w:r>
        <w:t xml:space="preserve">Subsections 44(1) and 54(1) of the Legislation Act relevantly provide that instruments are not subject to disallowance and sunsetting where the enabling legislation (not being the </w:t>
      </w:r>
      <w:r>
        <w:rPr>
          <w:i/>
        </w:rPr>
        <w:t>Corporations Act 2001</w:t>
      </w:r>
      <w:r>
        <w:t>) facilitates the establishment or operation of an intergovernmental scheme involving the Commonwealth and one or more States and Territories, and authorises the instrument to be made for the purposes of that scheme.</w:t>
      </w:r>
    </w:p>
    <w:p w14:paraId="137A3271" w14:textId="77777777" w:rsidR="007871DF" w:rsidRDefault="007871DF" w:rsidP="007871DF">
      <w:pPr>
        <w:spacing w:before="120" w:after="120"/>
      </w:pPr>
      <w:r>
        <w:t>The</w:t>
      </w:r>
      <w:r w:rsidRPr="00AF2117">
        <w:t xml:space="preserve"> </w:t>
      </w:r>
      <w:r>
        <w:t>GEMS Act creates a national framework for product energy efficiency in Australia (the GEMS Scheme) and underpins the Equipment Energy Efficiency (E3) Program. The E3 program is an initiative of the Australian, state, self</w:t>
      </w:r>
      <w:r>
        <w:noBreakHyphen/>
        <w:t xml:space="preserve">governing territory, and New Zealand Governments. The GEMS Scheme is an intergovernmental scheme, given that: </w:t>
      </w:r>
    </w:p>
    <w:p w14:paraId="51EDCC14" w14:textId="77777777" w:rsidR="007871DF" w:rsidRDefault="007871DF" w:rsidP="007871DF">
      <w:pPr>
        <w:numPr>
          <w:ilvl w:val="0"/>
          <w:numId w:val="28"/>
        </w:numPr>
        <w:autoSpaceDE w:val="0"/>
        <w:autoSpaceDN w:val="0"/>
        <w:adjustRightInd w:val="0"/>
        <w:spacing w:after="240"/>
      </w:pPr>
      <w:r>
        <w:t xml:space="preserve">it is governed by the Inter-governmental Agreement for the GEMS Legislative Scheme </w:t>
      </w:r>
    </w:p>
    <w:p w14:paraId="2ABAE97E" w14:textId="77777777" w:rsidR="007871DF" w:rsidRDefault="007871DF" w:rsidP="007871DF">
      <w:pPr>
        <w:numPr>
          <w:ilvl w:val="0"/>
          <w:numId w:val="28"/>
        </w:numPr>
        <w:autoSpaceDE w:val="0"/>
        <w:autoSpaceDN w:val="0"/>
        <w:adjustRightInd w:val="0"/>
        <w:spacing w:after="240"/>
      </w:pPr>
      <w:r>
        <w:t xml:space="preserve">it is jointly funded, and </w:t>
      </w:r>
    </w:p>
    <w:p w14:paraId="5F9C5286" w14:textId="77777777" w:rsidR="007871DF" w:rsidRDefault="007871DF" w:rsidP="007871DF">
      <w:pPr>
        <w:numPr>
          <w:ilvl w:val="0"/>
          <w:numId w:val="28"/>
        </w:numPr>
        <w:autoSpaceDE w:val="0"/>
        <w:autoSpaceDN w:val="0"/>
        <w:adjustRightInd w:val="0"/>
        <w:spacing w:after="240"/>
      </w:pPr>
      <w:r>
        <w:t xml:space="preserve">key legislative instruments under the GEMS Scheme require consent from participating jurisdictions before they can be made or revoked (see sections 33 and 35 of the GEMS Act). </w:t>
      </w:r>
    </w:p>
    <w:p w14:paraId="0B16D106" w14:textId="77777777" w:rsidR="007871DF" w:rsidRDefault="007871DF" w:rsidP="007871DF">
      <w:pPr>
        <w:spacing w:before="120" w:after="120"/>
      </w:pPr>
      <w:r>
        <w:t>Legislative instruments made under the GEMS Act are made for the purposes of this intergovernmental scheme. Therefore, such legislative instruments are exempt from sunsetting and disallowance.</w:t>
      </w:r>
    </w:p>
    <w:p w14:paraId="055D8DB4" w14:textId="77777777" w:rsidR="007871DF" w:rsidRPr="00AF2117" w:rsidRDefault="007871DF" w:rsidP="007871DF">
      <w:pPr>
        <w:spacing w:before="120" w:after="120"/>
        <w:rPr>
          <w:b/>
          <w:i/>
        </w:rPr>
      </w:pPr>
      <w:r w:rsidRPr="00AF2117">
        <w:rPr>
          <w:b/>
          <w:i/>
        </w:rPr>
        <w:t>Justification for exemptions</w:t>
      </w:r>
    </w:p>
    <w:p w14:paraId="7111E08B" w14:textId="77777777" w:rsidR="007871DF" w:rsidRDefault="007871DF" w:rsidP="007871DF">
      <w:pPr>
        <w:spacing w:before="120" w:after="120"/>
      </w:pPr>
      <w:r w:rsidRPr="00AF2117">
        <w:t xml:space="preserve">Through the E3 program, the Australian Government works with states and </w:t>
      </w:r>
      <w:r>
        <w:t>self</w:t>
      </w:r>
      <w:r>
        <w:noBreakHyphen/>
        <w:t xml:space="preserve">governing </w:t>
      </w:r>
      <w:r w:rsidRPr="00AF2117">
        <w:t>territories and the New Zealand Government</w:t>
      </w:r>
      <w:r>
        <w:t>:</w:t>
      </w:r>
    </w:p>
    <w:p w14:paraId="55E03080" w14:textId="4A890177" w:rsidR="007871DF" w:rsidRDefault="007871DF" w:rsidP="007871DF">
      <w:pPr>
        <w:numPr>
          <w:ilvl w:val="0"/>
          <w:numId w:val="28"/>
        </w:numPr>
        <w:autoSpaceDE w:val="0"/>
        <w:autoSpaceDN w:val="0"/>
        <w:adjustRightInd w:val="0"/>
        <w:spacing w:after="240"/>
      </w:pPr>
      <w:r w:rsidRPr="00AF2117">
        <w:t>to identify appliances and other products which are appropriate for regulation</w:t>
      </w:r>
      <w:r w:rsidR="00FA5378">
        <w:t>,</w:t>
      </w:r>
    </w:p>
    <w:p w14:paraId="14B19005" w14:textId="77777777" w:rsidR="007871DF" w:rsidRDefault="007871DF" w:rsidP="007871DF">
      <w:pPr>
        <w:numPr>
          <w:ilvl w:val="0"/>
          <w:numId w:val="28"/>
        </w:numPr>
        <w:autoSpaceDE w:val="0"/>
        <w:autoSpaceDN w:val="0"/>
        <w:adjustRightInd w:val="0"/>
        <w:spacing w:after="240"/>
      </w:pPr>
      <w:r w:rsidRPr="00AF2117">
        <w:t xml:space="preserve">to consult with industry stakeholders and agree requirements based on technical and product-specific considerations, and </w:t>
      </w:r>
    </w:p>
    <w:p w14:paraId="7AEECA68" w14:textId="77777777" w:rsidR="007871DF" w:rsidRPr="00AF2117" w:rsidRDefault="007871DF" w:rsidP="007871DF">
      <w:pPr>
        <w:numPr>
          <w:ilvl w:val="0"/>
          <w:numId w:val="28"/>
        </w:numPr>
        <w:autoSpaceDE w:val="0"/>
        <w:autoSpaceDN w:val="0"/>
        <w:adjustRightInd w:val="0"/>
        <w:spacing w:after="240"/>
      </w:pPr>
      <w:r w:rsidRPr="00AF2117">
        <w:t>to set mandatory minimum energy efficiency requirements for these products, as well as consistent labelling and other requirements.</w:t>
      </w:r>
    </w:p>
    <w:p w14:paraId="35D7F9A2" w14:textId="77777777" w:rsidR="007871DF" w:rsidRPr="00AF2117" w:rsidRDefault="007871DF" w:rsidP="007871DF">
      <w:pPr>
        <w:spacing w:before="120" w:after="120"/>
      </w:pPr>
      <w:r w:rsidRPr="00AF2117">
        <w:lastRenderedPageBreak/>
        <w:t xml:space="preserve">In this context, the exemptions from disallowance and sunsetting </w:t>
      </w:r>
      <w:r>
        <w:t>have the effect</w:t>
      </w:r>
      <w:r w:rsidRPr="00AF2117">
        <w:t xml:space="preserve"> that</w:t>
      </w:r>
      <w:r>
        <w:t>,</w:t>
      </w:r>
      <w:r w:rsidRPr="00AF2117">
        <w:t xml:space="preserve"> where the intergovernmental scheme has agreed to introduce specific regulatory requirements (including with participating jurisdictions’ consent to the key requirements of GEMS determinations), the Commonwealth Parliament cannot then override that agreement. The exemptions therefore promote confidence in the E3 program and encourage ongoing, cooperative participation from jurisdictions. </w:t>
      </w:r>
    </w:p>
    <w:p w14:paraId="39908D73" w14:textId="77777777" w:rsidR="007871DF" w:rsidRDefault="007871DF" w:rsidP="007871DF">
      <w:pPr>
        <w:spacing w:before="120" w:after="120"/>
      </w:pPr>
      <w:r w:rsidRPr="00AF2117">
        <w:t>As well as implementing an intergovernmental scheme</w:t>
      </w:r>
      <w:r>
        <w:t>, these exemptions are justified on the bases that:</w:t>
      </w:r>
    </w:p>
    <w:p w14:paraId="798F4732" w14:textId="77777777" w:rsidR="007871DF" w:rsidRDefault="007871DF" w:rsidP="007871DF">
      <w:pPr>
        <w:numPr>
          <w:ilvl w:val="0"/>
          <w:numId w:val="28"/>
        </w:numPr>
        <w:autoSpaceDE w:val="0"/>
        <w:autoSpaceDN w:val="0"/>
        <w:adjustRightInd w:val="0"/>
        <w:spacing w:after="240"/>
      </w:pPr>
      <w:r w:rsidRPr="00AF2117">
        <w:t>instruments made under the GEMS Act</w:t>
      </w:r>
      <w:r>
        <w:t>:</w:t>
      </w:r>
      <w:r w:rsidRPr="00AF2117">
        <w:t xml:space="preserve"> </w:t>
      </w:r>
    </w:p>
    <w:p w14:paraId="08AB41E1" w14:textId="77777777" w:rsidR="007871DF" w:rsidRDefault="007871DF" w:rsidP="007871DF">
      <w:pPr>
        <w:numPr>
          <w:ilvl w:val="1"/>
          <w:numId w:val="28"/>
        </w:numPr>
        <w:autoSpaceDE w:val="0"/>
        <w:autoSpaceDN w:val="0"/>
        <w:adjustRightInd w:val="0"/>
        <w:spacing w:after="240"/>
      </w:pPr>
      <w:r w:rsidRPr="00AF2117">
        <w:t xml:space="preserve">are based on technical and scientific evidence about products’ energy use and appropriate test standards, </w:t>
      </w:r>
      <w:r>
        <w:t>and</w:t>
      </w:r>
    </w:p>
    <w:p w14:paraId="2D0AF9D4" w14:textId="77777777" w:rsidR="007871DF" w:rsidRDefault="007871DF" w:rsidP="007871DF">
      <w:pPr>
        <w:numPr>
          <w:ilvl w:val="1"/>
          <w:numId w:val="28"/>
        </w:numPr>
        <w:autoSpaceDE w:val="0"/>
        <w:autoSpaceDN w:val="0"/>
        <w:adjustRightInd w:val="0"/>
        <w:spacing w:after="240"/>
      </w:pPr>
      <w:r w:rsidRPr="00AF2117">
        <w:t xml:space="preserve">affect commercial certainty where manufacturers and importers need to adapt to new regulatory requirements, and </w:t>
      </w:r>
    </w:p>
    <w:p w14:paraId="191F107C" w14:textId="77777777" w:rsidR="007871DF" w:rsidRDefault="007871DF" w:rsidP="007871DF">
      <w:pPr>
        <w:numPr>
          <w:ilvl w:val="0"/>
          <w:numId w:val="28"/>
        </w:numPr>
        <w:autoSpaceDE w:val="0"/>
        <w:autoSpaceDN w:val="0"/>
        <w:adjustRightInd w:val="0"/>
        <w:spacing w:after="240"/>
      </w:pPr>
      <w:r w:rsidRPr="00AF2117">
        <w:t xml:space="preserve">the objects of the GEMS Act include to give effect to certain obligations that Australia has under particular international conventions. </w:t>
      </w:r>
    </w:p>
    <w:p w14:paraId="57C8300D" w14:textId="77777777" w:rsidR="007871DF" w:rsidRDefault="007871DF" w:rsidP="007871DF">
      <w:pPr>
        <w:spacing w:before="120" w:after="120"/>
      </w:pPr>
      <w:r>
        <w:t xml:space="preserve">In view of their detailed scientific and technical content, GEMS determinations and associated legislative instruments are confined in the matters that they deal with, and so do not deal with broad matters of policy or with politically contentious issues. </w:t>
      </w:r>
      <w:r w:rsidRPr="00AF2117">
        <w:t xml:space="preserve">The exemptions ensure that the Commonwealth Parliament cannot override the consideration given to these matters through </w:t>
      </w:r>
      <w:r>
        <w:t xml:space="preserve">expert and </w:t>
      </w:r>
      <w:r w:rsidRPr="00AF2117">
        <w:t>stakeholder consultation</w:t>
      </w:r>
      <w:r>
        <w:t>,</w:t>
      </w:r>
      <w:r w:rsidRPr="00AF2117">
        <w:t xml:space="preserve"> and the collaborative E3 program.</w:t>
      </w:r>
    </w:p>
    <w:p w14:paraId="35E835BF" w14:textId="77777777" w:rsidR="007871DF" w:rsidRDefault="007871DF" w:rsidP="007871DF">
      <w:pPr>
        <w:spacing w:before="120" w:after="120"/>
        <w:rPr>
          <w:b/>
          <w:i/>
        </w:rPr>
      </w:pPr>
    </w:p>
    <w:bookmarkEnd w:id="8"/>
    <w:p w14:paraId="796C4883" w14:textId="77777777" w:rsidR="00662031" w:rsidRPr="0048714C" w:rsidRDefault="00662031" w:rsidP="00662031"/>
    <w:sectPr w:rsidR="00662031" w:rsidRPr="0048714C" w:rsidSect="00662031">
      <w:pgSz w:w="11907" w:h="16839" w:code="9"/>
      <w:pgMar w:top="1440" w:right="1800" w:bottom="1440" w:left="180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74FD3F" w14:textId="77777777" w:rsidR="00901249" w:rsidRDefault="00901249">
      <w:r>
        <w:separator/>
      </w:r>
    </w:p>
  </w:endnote>
  <w:endnote w:type="continuationSeparator" w:id="0">
    <w:p w14:paraId="7F62926B" w14:textId="77777777" w:rsidR="00901249" w:rsidRDefault="00901249">
      <w:r>
        <w:continuationSeparator/>
      </w:r>
    </w:p>
  </w:endnote>
  <w:endnote w:type="continuationNotice" w:id="1">
    <w:p w14:paraId="7D03A781" w14:textId="77777777" w:rsidR="00901249" w:rsidRDefault="00901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IBBF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78701" w14:textId="4FFF6BBD" w:rsidR="00924A9C" w:rsidRDefault="00DD7812" w:rsidP="004A11DE">
    <w:pPr>
      <w:pStyle w:val="Footer"/>
      <w:framePr w:wrap="around" w:vAnchor="text" w:hAnchor="margin" w:xAlign="right" w:y="1"/>
      <w:rPr>
        <w:rStyle w:val="PageNumber"/>
      </w:rPr>
    </w:pPr>
    <w:r>
      <w:rPr>
        <w:noProof/>
      </w:rPr>
      <mc:AlternateContent>
        <mc:Choice Requires="wps">
          <w:drawing>
            <wp:anchor distT="0" distB="0" distL="0" distR="0" simplePos="0" relativeHeight="251658244" behindDoc="0" locked="0" layoutInCell="1" allowOverlap="1" wp14:anchorId="14D51D2F" wp14:editId="19458FCA">
              <wp:simplePos x="635" y="635"/>
              <wp:positionH relativeFrom="page">
                <wp:align>center</wp:align>
              </wp:positionH>
              <wp:positionV relativeFrom="page">
                <wp:align>bottom</wp:align>
              </wp:positionV>
              <wp:extent cx="551815" cy="376555"/>
              <wp:effectExtent l="0" t="0" r="635" b="0"/>
              <wp:wrapNone/>
              <wp:docPr id="784836452"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42C64F4" w14:textId="2629BD48" w:rsidR="00DD7812" w:rsidRPr="00DD7812" w:rsidRDefault="00DD7812" w:rsidP="00DD7812">
                          <w:pPr>
                            <w:rPr>
                              <w:rFonts w:ascii="Calibri" w:eastAsia="Calibri" w:hAnsi="Calibri" w:cs="Calibri"/>
                              <w:noProof/>
                              <w:color w:val="FF0000"/>
                            </w:rPr>
                          </w:pPr>
                          <w:r w:rsidRPr="00DD7812">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D51D2F" id="_x0000_t202" coordsize="21600,21600" o:spt="202" path="m,l,21600r21600,l21600,xe">
              <v:stroke joinstyle="miter"/>
              <v:path gradientshapeok="t" o:connecttype="rect"/>
            </v:shapetype>
            <v:shape id="Text Box 8"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342C64F4" w14:textId="2629BD48" w:rsidR="00DD7812" w:rsidRPr="00DD7812" w:rsidRDefault="00DD7812" w:rsidP="00DD7812">
                    <w:pPr>
                      <w:rPr>
                        <w:rFonts w:ascii="Calibri" w:eastAsia="Calibri" w:hAnsi="Calibri" w:cs="Calibri"/>
                        <w:noProof/>
                        <w:color w:val="FF0000"/>
                      </w:rPr>
                    </w:pPr>
                    <w:r w:rsidRPr="00DD7812">
                      <w:rPr>
                        <w:rFonts w:ascii="Calibri" w:eastAsia="Calibri" w:hAnsi="Calibri" w:cs="Calibri"/>
                        <w:noProof/>
                        <w:color w:val="FF0000"/>
                      </w:rPr>
                      <w:t>OFFICIAL</w:t>
                    </w:r>
                  </w:p>
                </w:txbxContent>
              </v:textbox>
              <w10:wrap anchorx="page" anchory="page"/>
            </v:shape>
          </w:pict>
        </mc:Fallback>
      </mc:AlternateContent>
    </w:r>
    <w:r w:rsidR="00924A9C">
      <w:rPr>
        <w:rStyle w:val="PageNumber"/>
      </w:rPr>
      <w:fldChar w:fldCharType="begin"/>
    </w:r>
    <w:r w:rsidR="00924A9C">
      <w:rPr>
        <w:rStyle w:val="PageNumber"/>
      </w:rPr>
      <w:instrText xml:space="preserve">PAGE  </w:instrText>
    </w:r>
    <w:r w:rsidR="00924A9C">
      <w:rPr>
        <w:rStyle w:val="PageNumber"/>
      </w:rPr>
      <w:fldChar w:fldCharType="end"/>
    </w:r>
  </w:p>
  <w:p w14:paraId="56C33563" w14:textId="77777777" w:rsidR="00924A9C" w:rsidRDefault="00924A9C" w:rsidP="00F516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A5CE3" w14:textId="3EF7FB04" w:rsidR="00924A9C" w:rsidRPr="004D3369" w:rsidRDefault="00DD7812">
    <w:pPr>
      <w:pStyle w:val="Footer"/>
      <w:jc w:val="center"/>
      <w:rPr>
        <w:b/>
      </w:rPr>
    </w:pPr>
    <w:r>
      <w:rPr>
        <w:b/>
        <w:noProof/>
      </w:rPr>
      <mc:AlternateContent>
        <mc:Choice Requires="wps">
          <w:drawing>
            <wp:anchor distT="0" distB="0" distL="0" distR="0" simplePos="0" relativeHeight="251658245" behindDoc="0" locked="0" layoutInCell="1" allowOverlap="1" wp14:anchorId="4A659721" wp14:editId="704BA892">
              <wp:simplePos x="1143635" y="9885680"/>
              <wp:positionH relativeFrom="page">
                <wp:align>center</wp:align>
              </wp:positionH>
              <wp:positionV relativeFrom="page">
                <wp:align>bottom</wp:align>
              </wp:positionV>
              <wp:extent cx="551815" cy="376555"/>
              <wp:effectExtent l="0" t="0" r="635" b="0"/>
              <wp:wrapNone/>
              <wp:docPr id="84678023"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D5A50DB" w14:textId="29FF739F" w:rsidR="00DD7812" w:rsidRPr="00DD7812" w:rsidRDefault="00DD7812" w:rsidP="00DD7812">
                          <w:pPr>
                            <w:rPr>
                              <w:rFonts w:ascii="Calibri" w:eastAsia="Calibri" w:hAnsi="Calibri" w:cs="Calibri"/>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659721" id="_x0000_t202" coordsize="21600,21600" o:spt="202" path="m,l,21600r21600,l21600,xe">
              <v:stroke joinstyle="miter"/>
              <v:path gradientshapeok="t" o:connecttype="rect"/>
            </v:shapetype>
            <v:shape id="Text Box 9" o:spid="_x0000_s1029" type="#_x0000_t202" alt="OFFICIAL" style="position:absolute;left:0;text-align:left;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D5A50DB" w14:textId="29FF739F" w:rsidR="00DD7812" w:rsidRPr="00DD7812" w:rsidRDefault="00DD7812" w:rsidP="00DD7812">
                    <w:pPr>
                      <w:rPr>
                        <w:rFonts w:ascii="Calibri" w:eastAsia="Calibri" w:hAnsi="Calibri" w:cs="Calibri"/>
                        <w:noProof/>
                        <w:color w:val="FF0000"/>
                      </w:rPr>
                    </w:pPr>
                  </w:p>
                </w:txbxContent>
              </v:textbox>
              <w10:wrap anchorx="page" anchory="page"/>
            </v:shape>
          </w:pict>
        </mc:Fallback>
      </mc:AlternateContent>
    </w:r>
    <w:r w:rsidR="00924A9C" w:rsidRPr="004D3369">
      <w:rPr>
        <w:b/>
      </w:rPr>
      <w:fldChar w:fldCharType="begin"/>
    </w:r>
    <w:r w:rsidR="00924A9C" w:rsidRPr="004D3369">
      <w:rPr>
        <w:b/>
      </w:rPr>
      <w:instrText xml:space="preserve"> PAGE   \* MERGEFORMAT </w:instrText>
    </w:r>
    <w:r w:rsidR="00924A9C" w:rsidRPr="004D3369">
      <w:rPr>
        <w:b/>
      </w:rPr>
      <w:fldChar w:fldCharType="separate"/>
    </w:r>
    <w:r w:rsidR="00B45C68">
      <w:rPr>
        <w:b/>
        <w:noProof/>
      </w:rPr>
      <w:t>2</w:t>
    </w:r>
    <w:r w:rsidR="00924A9C" w:rsidRPr="004D3369">
      <w:rPr>
        <w:b/>
        <w:noProof/>
      </w:rPr>
      <w:fldChar w:fldCharType="end"/>
    </w:r>
  </w:p>
  <w:p w14:paraId="31FA498E" w14:textId="77777777" w:rsidR="00924A9C" w:rsidRPr="00065F71" w:rsidRDefault="00924A9C" w:rsidP="009619E7">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10387" w14:textId="3BB312D7" w:rsidR="00DD7812" w:rsidRDefault="00DD7812">
    <w:pPr>
      <w:pStyle w:val="Footer"/>
    </w:pPr>
    <w:r>
      <w:rPr>
        <w:noProof/>
      </w:rPr>
      <mc:AlternateContent>
        <mc:Choice Requires="wps">
          <w:drawing>
            <wp:anchor distT="0" distB="0" distL="0" distR="0" simplePos="0" relativeHeight="251658248" behindDoc="0" locked="0" layoutInCell="1" allowOverlap="1" wp14:anchorId="5FE6A875" wp14:editId="406F071F">
              <wp:simplePos x="1144988" y="10058400"/>
              <wp:positionH relativeFrom="page">
                <wp:align>center</wp:align>
              </wp:positionH>
              <wp:positionV relativeFrom="page">
                <wp:align>bottom</wp:align>
              </wp:positionV>
              <wp:extent cx="551815" cy="376555"/>
              <wp:effectExtent l="0" t="0" r="635" b="0"/>
              <wp:wrapNone/>
              <wp:docPr id="13991315"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6C1A930" w14:textId="68485232" w:rsidR="00DD7812" w:rsidRPr="00DD7812" w:rsidRDefault="00DD7812" w:rsidP="00DD7812">
                          <w:pPr>
                            <w:rPr>
                              <w:rFonts w:ascii="Calibri" w:eastAsia="Calibri" w:hAnsi="Calibri" w:cs="Calibri"/>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E6A875" id="_x0000_t202" coordsize="21600,21600" o:spt="202" path="m,l,21600r21600,l21600,xe">
              <v:stroke joinstyle="miter"/>
              <v:path gradientshapeok="t" o:connecttype="rect"/>
            </v:shapetype>
            <v:shape id="Text Box 7" o:spid="_x0000_s1030" type="#_x0000_t202" alt="OFFICIAL" style="position:absolute;margin-left:0;margin-top:0;width:43.45pt;height:29.6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66C1A930" w14:textId="68485232" w:rsidR="00DD7812" w:rsidRPr="00DD7812" w:rsidRDefault="00DD7812" w:rsidP="00DD7812">
                    <w:pPr>
                      <w:rPr>
                        <w:rFonts w:ascii="Calibri" w:eastAsia="Calibri" w:hAnsi="Calibri" w:cs="Calibri"/>
                        <w:noProof/>
                        <w:color w:val="FF000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B9B63" w14:textId="0EF6E0AC" w:rsidR="00DD7812" w:rsidRDefault="00DD7812">
    <w:pPr>
      <w:pStyle w:val="Footer"/>
    </w:pPr>
    <w:r>
      <w:rPr>
        <w:noProof/>
      </w:rPr>
      <mc:AlternateContent>
        <mc:Choice Requires="wps">
          <w:drawing>
            <wp:anchor distT="0" distB="0" distL="0" distR="0" simplePos="0" relativeHeight="251658249" behindDoc="0" locked="0" layoutInCell="1" allowOverlap="1" wp14:anchorId="3015DA43" wp14:editId="345B96C3">
              <wp:simplePos x="635" y="635"/>
              <wp:positionH relativeFrom="page">
                <wp:align>center</wp:align>
              </wp:positionH>
              <wp:positionV relativeFrom="page">
                <wp:align>bottom</wp:align>
              </wp:positionV>
              <wp:extent cx="551815" cy="376555"/>
              <wp:effectExtent l="0" t="0" r="635" b="0"/>
              <wp:wrapNone/>
              <wp:docPr id="313633636"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D5EE38" w14:textId="11209803" w:rsidR="00DD7812" w:rsidRPr="00DD7812" w:rsidRDefault="00DD7812" w:rsidP="00DD7812">
                          <w:pPr>
                            <w:rPr>
                              <w:rFonts w:ascii="Calibri" w:eastAsia="Calibri" w:hAnsi="Calibri" w:cs="Calibri"/>
                              <w:noProof/>
                              <w:color w:val="FF0000"/>
                            </w:rPr>
                          </w:pPr>
                          <w:r w:rsidRPr="00DD7812">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15DA43" id="_x0000_t202" coordsize="21600,21600" o:spt="202" path="m,l,21600r21600,l21600,xe">
              <v:stroke joinstyle="miter"/>
              <v:path gradientshapeok="t" o:connecttype="rect"/>
            </v:shapetype>
            <v:shape id="Text Box 11" o:spid="_x0000_s1033" type="#_x0000_t202" alt="OFFICIAL" style="position:absolute;margin-left:0;margin-top:0;width:43.45pt;height:29.6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13D5EE38" w14:textId="11209803" w:rsidR="00DD7812" w:rsidRPr="00DD7812" w:rsidRDefault="00DD7812" w:rsidP="00DD7812">
                    <w:pPr>
                      <w:rPr>
                        <w:rFonts w:ascii="Calibri" w:eastAsia="Calibri" w:hAnsi="Calibri" w:cs="Calibri"/>
                        <w:noProof/>
                        <w:color w:val="FF0000"/>
                      </w:rPr>
                    </w:pPr>
                    <w:r w:rsidRPr="00DD7812">
                      <w:rPr>
                        <w:rFonts w:ascii="Calibri" w:eastAsia="Calibri" w:hAnsi="Calibri" w:cs="Calibri"/>
                        <w:noProof/>
                        <w:color w:val="FF000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7F0B1" w14:textId="58893A00" w:rsidR="00924A9C" w:rsidRPr="004D3369" w:rsidRDefault="00DD7812">
    <w:pPr>
      <w:pStyle w:val="Footer"/>
      <w:jc w:val="center"/>
      <w:rPr>
        <w:b/>
      </w:rPr>
    </w:pPr>
    <w:r>
      <w:rPr>
        <w:b/>
        <w:noProof/>
      </w:rPr>
      <mc:AlternateContent>
        <mc:Choice Requires="wps">
          <w:drawing>
            <wp:anchor distT="0" distB="0" distL="0" distR="0" simplePos="0" relativeHeight="251658246" behindDoc="0" locked="0" layoutInCell="1" allowOverlap="1" wp14:anchorId="2382E4DF" wp14:editId="39D6848B">
              <wp:simplePos x="635" y="635"/>
              <wp:positionH relativeFrom="page">
                <wp:align>center</wp:align>
              </wp:positionH>
              <wp:positionV relativeFrom="page">
                <wp:align>bottom</wp:align>
              </wp:positionV>
              <wp:extent cx="551815" cy="376555"/>
              <wp:effectExtent l="0" t="0" r="635" b="0"/>
              <wp:wrapNone/>
              <wp:docPr id="1862357389"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377ABF2" w14:textId="2910931E" w:rsidR="00DD7812" w:rsidRPr="00DD7812" w:rsidRDefault="00DD7812" w:rsidP="00DD7812">
                          <w:pPr>
                            <w:rPr>
                              <w:rFonts w:ascii="Calibri" w:eastAsia="Calibri" w:hAnsi="Calibri" w:cs="Calibri"/>
                              <w:noProof/>
                              <w:color w:val="FF000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82E4DF" id="_x0000_t202" coordsize="21600,21600" o:spt="202" path="m,l,21600r21600,l21600,xe">
              <v:stroke joinstyle="miter"/>
              <v:path gradientshapeok="t" o:connecttype="rect"/>
            </v:shapetype>
            <v:shape id="Text Box 12" o:spid="_x0000_s1034" type="#_x0000_t202" alt="OFFICIAL" style="position:absolute;left:0;text-align:left;margin-left:0;margin-top:0;width:43.45pt;height:29.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VsvwEDgIAABwE&#10;AAAOAAAAAAAAAAAAAAAAAC4CAABkcnMvZTJvRG9jLnhtbFBLAQItABQABgAIAAAAIQAgesHI2gAA&#10;AAMBAAAPAAAAAAAAAAAAAAAAAGgEAABkcnMvZG93bnJldi54bWxQSwUGAAAAAAQABADzAAAAbwUA&#10;AAAA&#10;" filled="f" stroked="f">
              <v:textbox style="mso-fit-shape-to-text:t" inset="0,0,0,15pt">
                <w:txbxContent>
                  <w:p w14:paraId="1377ABF2" w14:textId="2910931E" w:rsidR="00DD7812" w:rsidRPr="00DD7812" w:rsidRDefault="00DD7812" w:rsidP="00DD7812">
                    <w:pPr>
                      <w:rPr>
                        <w:rFonts w:ascii="Calibri" w:eastAsia="Calibri" w:hAnsi="Calibri" w:cs="Calibri"/>
                        <w:noProof/>
                        <w:color w:val="FF0000"/>
                      </w:rPr>
                    </w:pPr>
                  </w:p>
                </w:txbxContent>
              </v:textbox>
              <w10:wrap anchorx="page" anchory="page"/>
            </v:shape>
          </w:pict>
        </mc:Fallback>
      </mc:AlternateContent>
    </w:r>
    <w:r w:rsidR="00924A9C" w:rsidRPr="004D3369">
      <w:rPr>
        <w:b/>
      </w:rPr>
      <w:fldChar w:fldCharType="begin"/>
    </w:r>
    <w:r w:rsidR="00924A9C" w:rsidRPr="004D3369">
      <w:rPr>
        <w:b/>
      </w:rPr>
      <w:instrText xml:space="preserve"> PAGE   \* MERGEFORMAT </w:instrText>
    </w:r>
    <w:r w:rsidR="00924A9C" w:rsidRPr="004D3369">
      <w:rPr>
        <w:b/>
      </w:rPr>
      <w:fldChar w:fldCharType="separate"/>
    </w:r>
    <w:r w:rsidR="00B45C68">
      <w:rPr>
        <w:b/>
        <w:noProof/>
      </w:rPr>
      <w:t>5</w:t>
    </w:r>
    <w:r w:rsidR="00924A9C" w:rsidRPr="004D3369">
      <w:rPr>
        <w:b/>
        <w:noProof/>
      </w:rPr>
      <w:fldChar w:fldCharType="end"/>
    </w:r>
  </w:p>
  <w:p w14:paraId="6BA96A26" w14:textId="77777777" w:rsidR="00924A9C" w:rsidRPr="00065F71" w:rsidRDefault="00924A9C" w:rsidP="009619E7">
    <w:pPr>
      <w:pStyle w:val="Footer"/>
      <w:ind w:right="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8A850" w14:textId="14E4FEAA" w:rsidR="00DD7812" w:rsidRDefault="00DD7812">
    <w:pPr>
      <w:pStyle w:val="Footer"/>
    </w:pPr>
    <w:r>
      <w:rPr>
        <w:noProof/>
      </w:rPr>
      <mc:AlternateContent>
        <mc:Choice Requires="wps">
          <w:drawing>
            <wp:anchor distT="0" distB="0" distL="0" distR="0" simplePos="0" relativeHeight="251658250" behindDoc="0" locked="0" layoutInCell="1" allowOverlap="1" wp14:anchorId="300A7E06" wp14:editId="661521F0">
              <wp:simplePos x="635" y="635"/>
              <wp:positionH relativeFrom="page">
                <wp:align>center</wp:align>
              </wp:positionH>
              <wp:positionV relativeFrom="page">
                <wp:align>bottom</wp:align>
              </wp:positionV>
              <wp:extent cx="551815" cy="376555"/>
              <wp:effectExtent l="0" t="0" r="635" b="0"/>
              <wp:wrapNone/>
              <wp:docPr id="309710230"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5C978F9" w14:textId="6D32ABD1" w:rsidR="00DD7812" w:rsidRPr="00DD7812" w:rsidRDefault="00DD7812" w:rsidP="00DD7812">
                          <w:pPr>
                            <w:rPr>
                              <w:rFonts w:ascii="Calibri" w:eastAsia="Calibri" w:hAnsi="Calibri" w:cs="Calibri"/>
                              <w:noProof/>
                              <w:color w:val="FF0000"/>
                            </w:rPr>
                          </w:pPr>
                          <w:r w:rsidRPr="00DD7812">
                            <w:rPr>
                              <w:rFonts w:ascii="Calibri" w:eastAsia="Calibri" w:hAnsi="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0A7E06" id="_x0000_t202" coordsize="21600,21600" o:spt="202" path="m,l,21600r21600,l21600,xe">
              <v:stroke joinstyle="miter"/>
              <v:path gradientshapeok="t" o:connecttype="rect"/>
            </v:shapetype>
            <v:shape id="Text Box 10" o:spid="_x0000_s1036" type="#_x0000_t202" alt="OFFICIAL" style="position:absolute;margin-left:0;margin-top:0;width:43.45pt;height:29.6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" filled="f" stroked="f">
              <v:textbox style="mso-fit-shape-to-text:t" inset="0,0,0,15pt">
                <w:txbxContent>
                  <w:p w14:paraId="15C978F9" w14:textId="6D32ABD1" w:rsidR="00DD7812" w:rsidRPr="00DD7812" w:rsidRDefault="00DD7812" w:rsidP="00DD7812">
                    <w:pPr>
                      <w:rPr>
                        <w:rFonts w:ascii="Calibri" w:eastAsia="Calibri" w:hAnsi="Calibri" w:cs="Calibri"/>
                        <w:noProof/>
                        <w:color w:val="FF0000"/>
                      </w:rPr>
                    </w:pPr>
                    <w:r w:rsidRPr="00DD7812">
                      <w:rPr>
                        <w:rFonts w:ascii="Calibri" w:eastAsia="Calibri" w:hAnsi="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AE3DF" w14:textId="77777777" w:rsidR="00901249" w:rsidRDefault="00901249">
      <w:r>
        <w:separator/>
      </w:r>
    </w:p>
  </w:footnote>
  <w:footnote w:type="continuationSeparator" w:id="0">
    <w:p w14:paraId="6D6A4155" w14:textId="77777777" w:rsidR="00901249" w:rsidRDefault="00901249">
      <w:r>
        <w:continuationSeparator/>
      </w:r>
    </w:p>
  </w:footnote>
  <w:footnote w:type="continuationNotice" w:id="1">
    <w:p w14:paraId="1DD93547" w14:textId="77777777" w:rsidR="00901249" w:rsidRDefault="009012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0F6AED" w14:textId="12B04A96" w:rsidR="00DD7812" w:rsidRDefault="00DD7812">
    <w:pPr>
      <w:pStyle w:val="Header"/>
    </w:pPr>
    <w:r>
      <w:rPr>
        <w:noProof/>
      </w:rPr>
      <mc:AlternateContent>
        <mc:Choice Requires="wps">
          <w:drawing>
            <wp:anchor distT="0" distB="0" distL="0" distR="0" simplePos="0" relativeHeight="251658247" behindDoc="0" locked="0" layoutInCell="1" allowOverlap="1" wp14:anchorId="102A0C26" wp14:editId="5F11843E">
              <wp:simplePos x="635" y="635"/>
              <wp:positionH relativeFrom="page">
                <wp:align>center</wp:align>
              </wp:positionH>
              <wp:positionV relativeFrom="page">
                <wp:align>top</wp:align>
              </wp:positionV>
              <wp:extent cx="551815" cy="376555"/>
              <wp:effectExtent l="0" t="0" r="635" b="4445"/>
              <wp:wrapNone/>
              <wp:docPr id="16540158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4AD511B" w14:textId="280D3859" w:rsidR="00DD7812" w:rsidRPr="00DD7812" w:rsidRDefault="00DD7812" w:rsidP="00DD7812">
                          <w:pPr>
                            <w:rPr>
                              <w:rFonts w:ascii="Calibri" w:eastAsia="Calibri" w:hAnsi="Calibri" w:cs="Calibri"/>
                              <w:noProof/>
                              <w:color w:val="FF0000"/>
                            </w:rPr>
                          </w:pPr>
                          <w:r w:rsidRPr="00DD781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2A0C26"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4AD511B" w14:textId="280D3859" w:rsidR="00DD7812" w:rsidRPr="00DD7812" w:rsidRDefault="00DD7812" w:rsidP="00DD7812">
                    <w:pPr>
                      <w:rPr>
                        <w:rFonts w:ascii="Calibri" w:eastAsia="Calibri" w:hAnsi="Calibri" w:cs="Calibri"/>
                        <w:noProof/>
                        <w:color w:val="FF0000"/>
                      </w:rPr>
                    </w:pPr>
                    <w:r w:rsidRPr="00DD7812">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B8558" w14:textId="4A7EBBC9" w:rsidR="00924A9C" w:rsidRPr="00DD5685" w:rsidRDefault="00DD7812" w:rsidP="00AD58DF">
    <w:pPr>
      <w:pStyle w:val="Heading3"/>
      <w:jc w:val="right"/>
    </w:pPr>
    <w:r>
      <w:rPr>
        <w:noProof/>
      </w:rPr>
      <mc:AlternateContent>
        <mc:Choice Requires="wps">
          <w:drawing>
            <wp:anchor distT="0" distB="0" distL="0" distR="0" simplePos="0" relativeHeight="251658240" behindDoc="0" locked="0" layoutInCell="1" allowOverlap="1" wp14:anchorId="7AF6E4DC" wp14:editId="7461C857">
              <wp:simplePos x="1143635" y="457835"/>
              <wp:positionH relativeFrom="page">
                <wp:align>center</wp:align>
              </wp:positionH>
              <wp:positionV relativeFrom="page">
                <wp:align>top</wp:align>
              </wp:positionV>
              <wp:extent cx="551815" cy="376555"/>
              <wp:effectExtent l="0" t="0" r="635" b="4445"/>
              <wp:wrapNone/>
              <wp:docPr id="45550572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890DA9B" w14:textId="753460D5" w:rsidR="00DD7812" w:rsidRPr="00DD7812" w:rsidRDefault="00DD7812" w:rsidP="00DD7812">
                          <w:pPr>
                            <w:rPr>
                              <w:rFonts w:ascii="Calibri" w:eastAsia="Calibri" w:hAnsi="Calibri" w:cs="Calibri"/>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F6E4DC"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0890DA9B" w14:textId="753460D5" w:rsidR="00DD7812" w:rsidRPr="00DD7812" w:rsidRDefault="00DD7812" w:rsidP="00DD7812">
                    <w:pPr>
                      <w:rPr>
                        <w:rFonts w:ascii="Calibri" w:eastAsia="Calibri" w:hAnsi="Calibri" w:cs="Calibri"/>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65737" w14:textId="7D765E9F" w:rsidR="00924A9C" w:rsidRDefault="00924A9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04B4F" w14:textId="3FBE95F7" w:rsidR="004E3EC7" w:rsidRDefault="00DD7812">
    <w:pPr>
      <w:pStyle w:val="Header"/>
    </w:pPr>
    <w:r>
      <w:rPr>
        <w:noProof/>
      </w:rPr>
      <mc:AlternateContent>
        <mc:Choice Requires="wps">
          <w:drawing>
            <wp:anchor distT="0" distB="0" distL="0" distR="0" simplePos="0" relativeHeight="251658242" behindDoc="0" locked="0" layoutInCell="1" allowOverlap="1" wp14:anchorId="0D8C0A7D" wp14:editId="31EB49F0">
              <wp:simplePos x="635" y="635"/>
              <wp:positionH relativeFrom="page">
                <wp:align>center</wp:align>
              </wp:positionH>
              <wp:positionV relativeFrom="page">
                <wp:align>top</wp:align>
              </wp:positionV>
              <wp:extent cx="551815" cy="376555"/>
              <wp:effectExtent l="0" t="0" r="635" b="4445"/>
              <wp:wrapNone/>
              <wp:docPr id="737059673"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F8714B1" w14:textId="6C31A590" w:rsidR="00DD7812" w:rsidRPr="00DD7812" w:rsidRDefault="00DD7812" w:rsidP="00DD7812">
                          <w:pPr>
                            <w:rPr>
                              <w:rFonts w:ascii="Calibri" w:eastAsia="Calibri" w:hAnsi="Calibri" w:cs="Calibri"/>
                              <w:noProof/>
                              <w:color w:val="FF0000"/>
                            </w:rPr>
                          </w:pPr>
                          <w:r w:rsidRPr="00DD781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8C0A7D" id="_x0000_t202" coordsize="21600,21600" o:spt="202" path="m,l,21600r21600,l21600,xe">
              <v:stroke joinstyle="miter"/>
              <v:path gradientshapeok="t" o:connecttype="rect"/>
            </v:shapetype>
            <v:shape id="Text Box 5" o:spid="_x0000_s1031" type="#_x0000_t202" alt="OFFICIAL" style="position:absolute;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" filled="f" stroked="f">
              <v:textbox style="mso-fit-shape-to-text:t" inset="0,15pt,0,0">
                <w:txbxContent>
                  <w:p w14:paraId="2F8714B1" w14:textId="6C31A590" w:rsidR="00DD7812" w:rsidRPr="00DD7812" w:rsidRDefault="00DD7812" w:rsidP="00DD7812">
                    <w:pPr>
                      <w:rPr>
                        <w:rFonts w:ascii="Calibri" w:eastAsia="Calibri" w:hAnsi="Calibri" w:cs="Calibri"/>
                        <w:noProof/>
                        <w:color w:val="FF0000"/>
                      </w:rPr>
                    </w:pPr>
                    <w:r w:rsidRPr="00DD7812">
                      <w:rPr>
                        <w:rFonts w:ascii="Calibri" w:eastAsia="Calibri" w:hAnsi="Calibri" w:cs="Calibri"/>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E847D" w14:textId="158B7D95" w:rsidR="004E3EC7" w:rsidRDefault="00DD7812">
    <w:pPr>
      <w:pStyle w:val="Header"/>
    </w:pPr>
    <w:r>
      <w:rPr>
        <w:noProof/>
      </w:rPr>
      <mc:AlternateContent>
        <mc:Choice Requires="wps">
          <w:drawing>
            <wp:anchor distT="0" distB="0" distL="0" distR="0" simplePos="0" relativeHeight="251658243" behindDoc="0" locked="0" layoutInCell="1" allowOverlap="1" wp14:anchorId="235D8B95" wp14:editId="5C6315D3">
              <wp:simplePos x="635" y="635"/>
              <wp:positionH relativeFrom="page">
                <wp:align>center</wp:align>
              </wp:positionH>
              <wp:positionV relativeFrom="page">
                <wp:align>top</wp:align>
              </wp:positionV>
              <wp:extent cx="551815" cy="376555"/>
              <wp:effectExtent l="0" t="0" r="635" b="4445"/>
              <wp:wrapNone/>
              <wp:docPr id="990275438"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E0B4FA0" w14:textId="45F4A2EF" w:rsidR="00DD7812" w:rsidRPr="00DD7812" w:rsidRDefault="00DD7812" w:rsidP="00DD7812">
                          <w:pPr>
                            <w:rPr>
                              <w:rFonts w:ascii="Calibri" w:eastAsia="Calibri" w:hAnsi="Calibri" w:cs="Calibri"/>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5D8B95" id="_x0000_t202" coordsize="21600,21600" o:spt="202" path="m,l,21600r21600,l21600,xe">
              <v:stroke joinstyle="miter"/>
              <v:path gradientshapeok="t" o:connecttype="rect"/>
            </v:shapetype>
            <v:shape id="Text Box 6" o:spid="_x0000_s1032" type="#_x0000_t202" alt="OFFICIAL" style="position:absolute;margin-left:0;margin-top:0;width:43.45pt;height:29.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3E0B4FA0" w14:textId="45F4A2EF" w:rsidR="00DD7812" w:rsidRPr="00DD7812" w:rsidRDefault="00DD7812" w:rsidP="00DD7812">
                    <w:pPr>
                      <w:rPr>
                        <w:rFonts w:ascii="Calibri" w:eastAsia="Calibri" w:hAnsi="Calibri" w:cs="Calibri"/>
                        <w:noProof/>
                        <w:color w:val="FF0000"/>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4654CF" w14:textId="1AC11FCF" w:rsidR="004E3EC7" w:rsidRDefault="00DD7812">
    <w:pPr>
      <w:pStyle w:val="Header"/>
    </w:pPr>
    <w:r>
      <w:rPr>
        <w:noProof/>
      </w:rPr>
      <mc:AlternateContent>
        <mc:Choice Requires="wps">
          <w:drawing>
            <wp:anchor distT="0" distB="0" distL="0" distR="0" simplePos="0" relativeHeight="251658241" behindDoc="0" locked="0" layoutInCell="1" allowOverlap="1" wp14:anchorId="7DEE17C5" wp14:editId="077102E6">
              <wp:simplePos x="635" y="635"/>
              <wp:positionH relativeFrom="page">
                <wp:align>center</wp:align>
              </wp:positionH>
              <wp:positionV relativeFrom="page">
                <wp:align>top</wp:align>
              </wp:positionV>
              <wp:extent cx="551815" cy="376555"/>
              <wp:effectExtent l="0" t="0" r="635" b="4445"/>
              <wp:wrapNone/>
              <wp:docPr id="1968593296"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8D5A9E4" w14:textId="57E34733" w:rsidR="00DD7812" w:rsidRPr="00DD7812" w:rsidRDefault="00DD7812" w:rsidP="00DD7812">
                          <w:pPr>
                            <w:rPr>
                              <w:rFonts w:ascii="Calibri" w:eastAsia="Calibri" w:hAnsi="Calibri" w:cs="Calibri"/>
                              <w:noProof/>
                              <w:color w:val="FF0000"/>
                            </w:rPr>
                          </w:pPr>
                          <w:r w:rsidRPr="00DD7812">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EE17C5" id="_x0000_t202" coordsize="21600,21600" o:spt="202" path="m,l,21600r21600,l21600,xe">
              <v:stroke joinstyle="miter"/>
              <v:path gradientshapeok="t" o:connecttype="rect"/>
            </v:shapetype>
            <v:shape id="Text Box 4" o:spid="_x0000_s1035"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NDg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fU9HbqfgvNEYdyMO7bW77qsPSa+fDMHC4Y50DR&#10;hic8pIK+pnCyKGnB/fybP+Yj7xilpEfB1NSgoilR3w3uI2orGcVtXuZ4c5N7Oxlmr+8BZVjgi7A8&#10;mTEvqMmUDvQrynkZC2GIGY7lahom8z6MysXnwMVymZJQRpaFtdlYHqEjXZHLl+GVOXsiPOCmHmFS&#10;E6ve8T7mxj+9Xe4Dsp+WEqkdiTwxjhJMaz09l6jxt/eUdXnUi1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yh+NDgIAABwE&#10;AAAOAAAAAAAAAAAAAAAAAC4CAABkcnMvZTJvRG9jLnhtbFBLAQItABQABgAIAAAAIQDDiR132gAA&#10;AAMBAAAPAAAAAAAAAAAAAAAAAGgEAABkcnMvZG93bnJldi54bWxQSwUGAAAAAAQABADzAAAAbwUA&#10;AAAA&#10;" filled="f" stroked="f">
              <v:textbox style="mso-fit-shape-to-text:t" inset="0,15pt,0,0">
                <w:txbxContent>
                  <w:p w14:paraId="18D5A9E4" w14:textId="57E34733" w:rsidR="00DD7812" w:rsidRPr="00DD7812" w:rsidRDefault="00DD7812" w:rsidP="00DD7812">
                    <w:pPr>
                      <w:rPr>
                        <w:rFonts w:ascii="Calibri" w:eastAsia="Calibri" w:hAnsi="Calibri" w:cs="Calibri"/>
                        <w:noProof/>
                        <w:color w:val="FF0000"/>
                      </w:rPr>
                    </w:pPr>
                    <w:r w:rsidRPr="00DD7812">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AA161D"/>
    <w:multiLevelType w:val="hybridMultilevel"/>
    <w:tmpl w:val="37320534"/>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26127E"/>
    <w:multiLevelType w:val="hybridMultilevel"/>
    <w:tmpl w:val="3BFA6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3077E5"/>
    <w:multiLevelType w:val="hybridMultilevel"/>
    <w:tmpl w:val="96E8DD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5137ACB"/>
    <w:multiLevelType w:val="hybridMultilevel"/>
    <w:tmpl w:val="235601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1D1869"/>
    <w:multiLevelType w:val="hybridMultilevel"/>
    <w:tmpl w:val="44CCDBB4"/>
    <w:lvl w:ilvl="0" w:tplc="B4DE576E">
      <w:start w:val="1"/>
      <w:numFmt w:val="decimal"/>
      <w:pStyle w:val="ACMANumberedLis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ED1A3F"/>
    <w:multiLevelType w:val="hybridMultilevel"/>
    <w:tmpl w:val="0DE8F6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F5A5080"/>
    <w:multiLevelType w:val="hybridMultilevel"/>
    <w:tmpl w:val="24705096"/>
    <w:lvl w:ilvl="0" w:tplc="2668C79A">
      <w:start w:val="1"/>
      <w:numFmt w:val="bullet"/>
      <w:pStyle w:val="ACMABulletLevel1"/>
      <w:lvlText w:val="●"/>
      <w:lvlJc w:val="left"/>
      <w:pPr>
        <w:tabs>
          <w:tab w:val="num" w:pos="-31680"/>
        </w:tabs>
        <w:ind w:left="357" w:hanging="357"/>
      </w:pPr>
      <w:rPr>
        <w:rFonts w:ascii="Times New Roman" w:hAnsi="Times New Roman" w:cs="Times New Roman"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3256470C"/>
    <w:multiLevelType w:val="multilevel"/>
    <w:tmpl w:val="7F3E110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115E27"/>
    <w:multiLevelType w:val="hybridMultilevel"/>
    <w:tmpl w:val="7F3E110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2B2935"/>
    <w:multiLevelType w:val="hybridMultilevel"/>
    <w:tmpl w:val="27FC4AFE"/>
    <w:lvl w:ilvl="0" w:tplc="D7B8399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527186"/>
    <w:multiLevelType w:val="multilevel"/>
    <w:tmpl w:val="373205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D324A6"/>
    <w:multiLevelType w:val="hybridMultilevel"/>
    <w:tmpl w:val="5F0A654A"/>
    <w:lvl w:ilvl="0" w:tplc="D7B8399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7C3047"/>
    <w:multiLevelType w:val="hybridMultilevel"/>
    <w:tmpl w:val="BF442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3B747E3"/>
    <w:multiLevelType w:val="hybridMultilevel"/>
    <w:tmpl w:val="42F8A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9476C"/>
    <w:multiLevelType w:val="hybridMultilevel"/>
    <w:tmpl w:val="59267D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9183DCB"/>
    <w:multiLevelType w:val="hybridMultilevel"/>
    <w:tmpl w:val="8AF693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F366B42"/>
    <w:multiLevelType w:val="hybridMultilevel"/>
    <w:tmpl w:val="FD009008"/>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2116C68"/>
    <w:multiLevelType w:val="hybridMultilevel"/>
    <w:tmpl w:val="53E26EAC"/>
    <w:lvl w:ilvl="0" w:tplc="FFFFFFFF">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2AC3C73"/>
    <w:multiLevelType w:val="hybridMultilevel"/>
    <w:tmpl w:val="86DE668E"/>
    <w:lvl w:ilvl="0" w:tplc="D7B8399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30100E"/>
    <w:multiLevelType w:val="hybridMultilevel"/>
    <w:tmpl w:val="399C764A"/>
    <w:lvl w:ilvl="0" w:tplc="D7B8399C">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E58B4"/>
    <w:multiLevelType w:val="hybridMultilevel"/>
    <w:tmpl w:val="7BDC0E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A6C013A"/>
    <w:multiLevelType w:val="hybridMultilevel"/>
    <w:tmpl w:val="7C9265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B412C3"/>
    <w:multiLevelType w:val="hybridMultilevel"/>
    <w:tmpl w:val="F376AB78"/>
    <w:lvl w:ilvl="0" w:tplc="D7B8399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4A752B"/>
    <w:multiLevelType w:val="hybridMultilevel"/>
    <w:tmpl w:val="968845E2"/>
    <w:lvl w:ilvl="0" w:tplc="D7B8399C">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F0498C"/>
    <w:multiLevelType w:val="hybridMultilevel"/>
    <w:tmpl w:val="940AEB52"/>
    <w:lvl w:ilvl="0" w:tplc="D7B8399C">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604724610">
    <w:abstractNumId w:val="9"/>
  </w:num>
  <w:num w:numId="2" w16cid:durableId="1617056888">
    <w:abstractNumId w:val="19"/>
  </w:num>
  <w:num w:numId="3" w16cid:durableId="1652051755">
    <w:abstractNumId w:val="13"/>
  </w:num>
  <w:num w:numId="4" w16cid:durableId="1474642479">
    <w:abstractNumId w:val="8"/>
  </w:num>
  <w:num w:numId="5" w16cid:durableId="1507210396">
    <w:abstractNumId w:val="7"/>
  </w:num>
  <w:num w:numId="6" w16cid:durableId="69280595">
    <w:abstractNumId w:val="22"/>
  </w:num>
  <w:num w:numId="7" w16cid:durableId="1927880261">
    <w:abstractNumId w:val="23"/>
  </w:num>
  <w:num w:numId="8" w16cid:durableId="1821967087">
    <w:abstractNumId w:val="24"/>
  </w:num>
  <w:num w:numId="9" w16cid:durableId="854882449">
    <w:abstractNumId w:val="0"/>
  </w:num>
  <w:num w:numId="10" w16cid:durableId="860096387">
    <w:abstractNumId w:val="10"/>
  </w:num>
  <w:num w:numId="11" w16cid:durableId="1364405278">
    <w:abstractNumId w:val="18"/>
  </w:num>
  <w:num w:numId="12" w16cid:durableId="29841766">
    <w:abstractNumId w:val="11"/>
  </w:num>
  <w:num w:numId="13" w16cid:durableId="1624724203">
    <w:abstractNumId w:val="4"/>
  </w:num>
  <w:num w:numId="14" w16cid:durableId="1902136738">
    <w:abstractNumId w:val="6"/>
  </w:num>
  <w:num w:numId="15" w16cid:durableId="753404043">
    <w:abstractNumId w:val="3"/>
  </w:num>
  <w:num w:numId="16" w16cid:durableId="1360932847">
    <w:abstractNumId w:val="21"/>
  </w:num>
  <w:num w:numId="17" w16cid:durableId="1099450830">
    <w:abstractNumId w:val="14"/>
  </w:num>
  <w:num w:numId="18" w16cid:durableId="1492792150">
    <w:abstractNumId w:val="12"/>
  </w:num>
  <w:num w:numId="19" w16cid:durableId="1792476496">
    <w:abstractNumId w:val="21"/>
  </w:num>
  <w:num w:numId="20" w16cid:durableId="34279824">
    <w:abstractNumId w:val="14"/>
  </w:num>
  <w:num w:numId="21" w16cid:durableId="1212427095">
    <w:abstractNumId w:val="17"/>
  </w:num>
  <w:num w:numId="22" w16cid:durableId="1228687521">
    <w:abstractNumId w:val="16"/>
  </w:num>
  <w:num w:numId="23" w16cid:durableId="1805394053">
    <w:abstractNumId w:val="1"/>
  </w:num>
  <w:num w:numId="24" w16cid:durableId="1190681068">
    <w:abstractNumId w:val="2"/>
  </w:num>
  <w:num w:numId="25" w16cid:durableId="20792086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0528020">
    <w:abstractNumId w:val="21"/>
  </w:num>
  <w:num w:numId="27" w16cid:durableId="1231427176">
    <w:abstractNumId w:val="15"/>
  </w:num>
  <w:num w:numId="28" w16cid:durableId="1053309346">
    <w:abstractNumId w:val="5"/>
  </w:num>
  <w:num w:numId="29" w16cid:durableId="1596130001">
    <w:abstractNumId w:val="20"/>
  </w:num>
  <w:num w:numId="30" w16cid:durableId="189257481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3CB"/>
    <w:rsid w:val="000005ED"/>
    <w:rsid w:val="000024A1"/>
    <w:rsid w:val="000115AC"/>
    <w:rsid w:val="0001339C"/>
    <w:rsid w:val="00016A6B"/>
    <w:rsid w:val="00026333"/>
    <w:rsid w:val="000340ED"/>
    <w:rsid w:val="00042EE6"/>
    <w:rsid w:val="00045E3C"/>
    <w:rsid w:val="00050BCA"/>
    <w:rsid w:val="0005412B"/>
    <w:rsid w:val="0005647D"/>
    <w:rsid w:val="00062A45"/>
    <w:rsid w:val="00064E1C"/>
    <w:rsid w:val="00065F71"/>
    <w:rsid w:val="00066A0F"/>
    <w:rsid w:val="00066FBE"/>
    <w:rsid w:val="00067A02"/>
    <w:rsid w:val="0007713F"/>
    <w:rsid w:val="00083C4E"/>
    <w:rsid w:val="000933A4"/>
    <w:rsid w:val="0009340C"/>
    <w:rsid w:val="00094779"/>
    <w:rsid w:val="000A2FAF"/>
    <w:rsid w:val="000A6AEF"/>
    <w:rsid w:val="000B04F5"/>
    <w:rsid w:val="000B39CB"/>
    <w:rsid w:val="000B7249"/>
    <w:rsid w:val="000C1DE8"/>
    <w:rsid w:val="000C482E"/>
    <w:rsid w:val="000C4906"/>
    <w:rsid w:val="000D37D7"/>
    <w:rsid w:val="000E1A38"/>
    <w:rsid w:val="000F363F"/>
    <w:rsid w:val="000F3F46"/>
    <w:rsid w:val="000F78D6"/>
    <w:rsid w:val="00106879"/>
    <w:rsid w:val="00110E91"/>
    <w:rsid w:val="0011123B"/>
    <w:rsid w:val="0011136C"/>
    <w:rsid w:val="00111C47"/>
    <w:rsid w:val="0012142F"/>
    <w:rsid w:val="0012152D"/>
    <w:rsid w:val="00121CF9"/>
    <w:rsid w:val="001229BB"/>
    <w:rsid w:val="00132437"/>
    <w:rsid w:val="00132A60"/>
    <w:rsid w:val="0013722E"/>
    <w:rsid w:val="00142CE2"/>
    <w:rsid w:val="0014551A"/>
    <w:rsid w:val="00152DF7"/>
    <w:rsid w:val="00153143"/>
    <w:rsid w:val="001535DC"/>
    <w:rsid w:val="001573CB"/>
    <w:rsid w:val="00170993"/>
    <w:rsid w:val="001716A5"/>
    <w:rsid w:val="0018350F"/>
    <w:rsid w:val="00184D61"/>
    <w:rsid w:val="00196A71"/>
    <w:rsid w:val="001A23EE"/>
    <w:rsid w:val="001A4DB9"/>
    <w:rsid w:val="001A6421"/>
    <w:rsid w:val="001B5AEF"/>
    <w:rsid w:val="001C068A"/>
    <w:rsid w:val="001D44E6"/>
    <w:rsid w:val="001D621B"/>
    <w:rsid w:val="001D6A80"/>
    <w:rsid w:val="001D73AD"/>
    <w:rsid w:val="001E026F"/>
    <w:rsid w:val="001E10B9"/>
    <w:rsid w:val="001F1499"/>
    <w:rsid w:val="001F562D"/>
    <w:rsid w:val="001F688C"/>
    <w:rsid w:val="001F7274"/>
    <w:rsid w:val="002030F4"/>
    <w:rsid w:val="0020444E"/>
    <w:rsid w:val="00215960"/>
    <w:rsid w:val="00217360"/>
    <w:rsid w:val="002243A7"/>
    <w:rsid w:val="002356DE"/>
    <w:rsid w:val="00235A4F"/>
    <w:rsid w:val="00242368"/>
    <w:rsid w:val="002423C1"/>
    <w:rsid w:val="00243045"/>
    <w:rsid w:val="002445FA"/>
    <w:rsid w:val="0024490E"/>
    <w:rsid w:val="00244D15"/>
    <w:rsid w:val="00251615"/>
    <w:rsid w:val="00266A85"/>
    <w:rsid w:val="00272385"/>
    <w:rsid w:val="002749B0"/>
    <w:rsid w:val="0028039B"/>
    <w:rsid w:val="002810EF"/>
    <w:rsid w:val="00283519"/>
    <w:rsid w:val="00286224"/>
    <w:rsid w:val="0029011C"/>
    <w:rsid w:val="00292912"/>
    <w:rsid w:val="002A476E"/>
    <w:rsid w:val="002A64B5"/>
    <w:rsid w:val="002B1747"/>
    <w:rsid w:val="002B7AB1"/>
    <w:rsid w:val="002C6A20"/>
    <w:rsid w:val="002C7CFB"/>
    <w:rsid w:val="002D24C6"/>
    <w:rsid w:val="002D7C79"/>
    <w:rsid w:val="002E12D0"/>
    <w:rsid w:val="002E7274"/>
    <w:rsid w:val="002F46A8"/>
    <w:rsid w:val="002F59B4"/>
    <w:rsid w:val="003000ED"/>
    <w:rsid w:val="00316361"/>
    <w:rsid w:val="003374E7"/>
    <w:rsid w:val="0034164F"/>
    <w:rsid w:val="00355327"/>
    <w:rsid w:val="00357414"/>
    <w:rsid w:val="003575BA"/>
    <w:rsid w:val="003634AF"/>
    <w:rsid w:val="00366766"/>
    <w:rsid w:val="00367930"/>
    <w:rsid w:val="00373724"/>
    <w:rsid w:val="003810F2"/>
    <w:rsid w:val="0038669D"/>
    <w:rsid w:val="00390ACD"/>
    <w:rsid w:val="003A41BC"/>
    <w:rsid w:val="003A4868"/>
    <w:rsid w:val="003A49AF"/>
    <w:rsid w:val="003A539C"/>
    <w:rsid w:val="003A63CA"/>
    <w:rsid w:val="003B4EC5"/>
    <w:rsid w:val="003B5F1F"/>
    <w:rsid w:val="003C189D"/>
    <w:rsid w:val="003C510D"/>
    <w:rsid w:val="003E34C5"/>
    <w:rsid w:val="003E5CCF"/>
    <w:rsid w:val="003F1C28"/>
    <w:rsid w:val="003F1EF9"/>
    <w:rsid w:val="003F6EA0"/>
    <w:rsid w:val="00400808"/>
    <w:rsid w:val="00404052"/>
    <w:rsid w:val="004053F0"/>
    <w:rsid w:val="00405D11"/>
    <w:rsid w:val="00410387"/>
    <w:rsid w:val="004134C1"/>
    <w:rsid w:val="00421C0A"/>
    <w:rsid w:val="00423892"/>
    <w:rsid w:val="004251C2"/>
    <w:rsid w:val="0043365B"/>
    <w:rsid w:val="0044079C"/>
    <w:rsid w:val="00441259"/>
    <w:rsid w:val="00445F9E"/>
    <w:rsid w:val="00451079"/>
    <w:rsid w:val="00451651"/>
    <w:rsid w:val="00456F2F"/>
    <w:rsid w:val="004600DC"/>
    <w:rsid w:val="00467FE4"/>
    <w:rsid w:val="0047460E"/>
    <w:rsid w:val="00474871"/>
    <w:rsid w:val="004749AE"/>
    <w:rsid w:val="00481B26"/>
    <w:rsid w:val="0048714C"/>
    <w:rsid w:val="00491A82"/>
    <w:rsid w:val="00496947"/>
    <w:rsid w:val="004A11DE"/>
    <w:rsid w:val="004A1314"/>
    <w:rsid w:val="004A4AB6"/>
    <w:rsid w:val="004A53A8"/>
    <w:rsid w:val="004A5AB5"/>
    <w:rsid w:val="004A6F81"/>
    <w:rsid w:val="004B0325"/>
    <w:rsid w:val="004B36D4"/>
    <w:rsid w:val="004B42DB"/>
    <w:rsid w:val="004C1C2A"/>
    <w:rsid w:val="004D0C21"/>
    <w:rsid w:val="004D3369"/>
    <w:rsid w:val="004D4862"/>
    <w:rsid w:val="004D4C50"/>
    <w:rsid w:val="004E04D9"/>
    <w:rsid w:val="004E3EC7"/>
    <w:rsid w:val="004E4F4D"/>
    <w:rsid w:val="004E7CAE"/>
    <w:rsid w:val="00506111"/>
    <w:rsid w:val="00510F52"/>
    <w:rsid w:val="005120DA"/>
    <w:rsid w:val="00515337"/>
    <w:rsid w:val="0051601C"/>
    <w:rsid w:val="00525203"/>
    <w:rsid w:val="00534218"/>
    <w:rsid w:val="00540EDB"/>
    <w:rsid w:val="00546E30"/>
    <w:rsid w:val="00554414"/>
    <w:rsid w:val="00561196"/>
    <w:rsid w:val="0056242E"/>
    <w:rsid w:val="0056423F"/>
    <w:rsid w:val="0057194A"/>
    <w:rsid w:val="00572566"/>
    <w:rsid w:val="00573442"/>
    <w:rsid w:val="00576666"/>
    <w:rsid w:val="0058455D"/>
    <w:rsid w:val="00591493"/>
    <w:rsid w:val="0059347D"/>
    <w:rsid w:val="005A5A55"/>
    <w:rsid w:val="005A73D0"/>
    <w:rsid w:val="005A78DF"/>
    <w:rsid w:val="005B620E"/>
    <w:rsid w:val="005B6403"/>
    <w:rsid w:val="005C16AE"/>
    <w:rsid w:val="005C1F59"/>
    <w:rsid w:val="005D0893"/>
    <w:rsid w:val="005D3997"/>
    <w:rsid w:val="005E173A"/>
    <w:rsid w:val="005E54F6"/>
    <w:rsid w:val="005E7980"/>
    <w:rsid w:val="005F2D8A"/>
    <w:rsid w:val="0060419E"/>
    <w:rsid w:val="006114DF"/>
    <w:rsid w:val="006140F6"/>
    <w:rsid w:val="00620CC3"/>
    <w:rsid w:val="00626217"/>
    <w:rsid w:val="00627E2C"/>
    <w:rsid w:val="00630B59"/>
    <w:rsid w:val="006338B2"/>
    <w:rsid w:val="00636A2E"/>
    <w:rsid w:val="00640A91"/>
    <w:rsid w:val="006423A4"/>
    <w:rsid w:val="00643444"/>
    <w:rsid w:val="0064506A"/>
    <w:rsid w:val="00653A71"/>
    <w:rsid w:val="006541E6"/>
    <w:rsid w:val="006541E8"/>
    <w:rsid w:val="006544A4"/>
    <w:rsid w:val="0065558C"/>
    <w:rsid w:val="00655847"/>
    <w:rsid w:val="0065653E"/>
    <w:rsid w:val="006606B4"/>
    <w:rsid w:val="00662031"/>
    <w:rsid w:val="006632F8"/>
    <w:rsid w:val="00663A13"/>
    <w:rsid w:val="00665A97"/>
    <w:rsid w:val="006663C3"/>
    <w:rsid w:val="0066686B"/>
    <w:rsid w:val="006716DB"/>
    <w:rsid w:val="00682993"/>
    <w:rsid w:val="00684A2D"/>
    <w:rsid w:val="0068733E"/>
    <w:rsid w:val="00691567"/>
    <w:rsid w:val="0069397A"/>
    <w:rsid w:val="00696D6E"/>
    <w:rsid w:val="006A3991"/>
    <w:rsid w:val="006A73DE"/>
    <w:rsid w:val="006B09FF"/>
    <w:rsid w:val="006B2F22"/>
    <w:rsid w:val="006C0B9B"/>
    <w:rsid w:val="006C3DB7"/>
    <w:rsid w:val="006C6334"/>
    <w:rsid w:val="006D569C"/>
    <w:rsid w:val="006D7D37"/>
    <w:rsid w:val="006E2E96"/>
    <w:rsid w:val="006E42FF"/>
    <w:rsid w:val="006E67CF"/>
    <w:rsid w:val="006E7A04"/>
    <w:rsid w:val="006F00D4"/>
    <w:rsid w:val="006F4793"/>
    <w:rsid w:val="007015D6"/>
    <w:rsid w:val="007055D5"/>
    <w:rsid w:val="00705D08"/>
    <w:rsid w:val="00707FCE"/>
    <w:rsid w:val="00711037"/>
    <w:rsid w:val="007128DD"/>
    <w:rsid w:val="007160DE"/>
    <w:rsid w:val="007170CD"/>
    <w:rsid w:val="00721901"/>
    <w:rsid w:val="007228E7"/>
    <w:rsid w:val="00725B8D"/>
    <w:rsid w:val="00735A0A"/>
    <w:rsid w:val="00740370"/>
    <w:rsid w:val="00742F87"/>
    <w:rsid w:val="0074372F"/>
    <w:rsid w:val="007444CD"/>
    <w:rsid w:val="00745FF4"/>
    <w:rsid w:val="00746504"/>
    <w:rsid w:val="0075742B"/>
    <w:rsid w:val="00757449"/>
    <w:rsid w:val="00763A4C"/>
    <w:rsid w:val="007652F2"/>
    <w:rsid w:val="00773231"/>
    <w:rsid w:val="00775F02"/>
    <w:rsid w:val="007871DF"/>
    <w:rsid w:val="0078721B"/>
    <w:rsid w:val="0079768C"/>
    <w:rsid w:val="007A3B54"/>
    <w:rsid w:val="007A4666"/>
    <w:rsid w:val="007A5B89"/>
    <w:rsid w:val="007A7F7D"/>
    <w:rsid w:val="007B101C"/>
    <w:rsid w:val="007B2F72"/>
    <w:rsid w:val="007B62C6"/>
    <w:rsid w:val="007B6B6E"/>
    <w:rsid w:val="007C1DA3"/>
    <w:rsid w:val="007C4BA5"/>
    <w:rsid w:val="007C7129"/>
    <w:rsid w:val="007D7A9D"/>
    <w:rsid w:val="007E02A7"/>
    <w:rsid w:val="007E3E8C"/>
    <w:rsid w:val="007E5000"/>
    <w:rsid w:val="007E6F68"/>
    <w:rsid w:val="007F0301"/>
    <w:rsid w:val="007F2B2D"/>
    <w:rsid w:val="007F419C"/>
    <w:rsid w:val="007F6343"/>
    <w:rsid w:val="00805354"/>
    <w:rsid w:val="0080777C"/>
    <w:rsid w:val="00810EC8"/>
    <w:rsid w:val="00811934"/>
    <w:rsid w:val="00813377"/>
    <w:rsid w:val="0081465E"/>
    <w:rsid w:val="0081573C"/>
    <w:rsid w:val="00816407"/>
    <w:rsid w:val="0082157D"/>
    <w:rsid w:val="00821721"/>
    <w:rsid w:val="0082220B"/>
    <w:rsid w:val="00831F00"/>
    <w:rsid w:val="00843212"/>
    <w:rsid w:val="00855775"/>
    <w:rsid w:val="00860845"/>
    <w:rsid w:val="00861DFA"/>
    <w:rsid w:val="00863C9D"/>
    <w:rsid w:val="008642F9"/>
    <w:rsid w:val="00864836"/>
    <w:rsid w:val="00870A47"/>
    <w:rsid w:val="0087187F"/>
    <w:rsid w:val="00881028"/>
    <w:rsid w:val="008841E2"/>
    <w:rsid w:val="00890EAF"/>
    <w:rsid w:val="00897FA9"/>
    <w:rsid w:val="008A1022"/>
    <w:rsid w:val="008A6394"/>
    <w:rsid w:val="008A7956"/>
    <w:rsid w:val="008A7EE3"/>
    <w:rsid w:val="008B2F4D"/>
    <w:rsid w:val="008B6E35"/>
    <w:rsid w:val="008C3E22"/>
    <w:rsid w:val="008D0876"/>
    <w:rsid w:val="008D3337"/>
    <w:rsid w:val="008D5D7B"/>
    <w:rsid w:val="008E5AAA"/>
    <w:rsid w:val="008E5CA4"/>
    <w:rsid w:val="008E740F"/>
    <w:rsid w:val="008E7B3F"/>
    <w:rsid w:val="008F36EF"/>
    <w:rsid w:val="008F5189"/>
    <w:rsid w:val="008F6829"/>
    <w:rsid w:val="008F798F"/>
    <w:rsid w:val="0090049E"/>
    <w:rsid w:val="00901249"/>
    <w:rsid w:val="0090349A"/>
    <w:rsid w:val="00905797"/>
    <w:rsid w:val="00906819"/>
    <w:rsid w:val="00910E1A"/>
    <w:rsid w:val="00911A84"/>
    <w:rsid w:val="00912857"/>
    <w:rsid w:val="00921A63"/>
    <w:rsid w:val="00924A9C"/>
    <w:rsid w:val="00927475"/>
    <w:rsid w:val="00931B5D"/>
    <w:rsid w:val="00934606"/>
    <w:rsid w:val="00940544"/>
    <w:rsid w:val="00943497"/>
    <w:rsid w:val="00946294"/>
    <w:rsid w:val="0095087F"/>
    <w:rsid w:val="009619E7"/>
    <w:rsid w:val="009679A0"/>
    <w:rsid w:val="0097006B"/>
    <w:rsid w:val="00970B9E"/>
    <w:rsid w:val="0097328A"/>
    <w:rsid w:val="009805C5"/>
    <w:rsid w:val="00984DC1"/>
    <w:rsid w:val="009920B2"/>
    <w:rsid w:val="00992163"/>
    <w:rsid w:val="009A115B"/>
    <w:rsid w:val="009A11A1"/>
    <w:rsid w:val="009A34D0"/>
    <w:rsid w:val="009A5598"/>
    <w:rsid w:val="009A6FEE"/>
    <w:rsid w:val="009B041A"/>
    <w:rsid w:val="009B5BCE"/>
    <w:rsid w:val="009C0B94"/>
    <w:rsid w:val="009C1F61"/>
    <w:rsid w:val="009C63E0"/>
    <w:rsid w:val="009C7837"/>
    <w:rsid w:val="009D45AB"/>
    <w:rsid w:val="009D741A"/>
    <w:rsid w:val="009E24A6"/>
    <w:rsid w:val="009E7F97"/>
    <w:rsid w:val="009F0C85"/>
    <w:rsid w:val="009F29E5"/>
    <w:rsid w:val="009F6591"/>
    <w:rsid w:val="009F7AC2"/>
    <w:rsid w:val="009F7E3E"/>
    <w:rsid w:val="00A03C5E"/>
    <w:rsid w:val="00A05189"/>
    <w:rsid w:val="00A13FC5"/>
    <w:rsid w:val="00A16813"/>
    <w:rsid w:val="00A2174D"/>
    <w:rsid w:val="00A2417D"/>
    <w:rsid w:val="00A25BA1"/>
    <w:rsid w:val="00A2663F"/>
    <w:rsid w:val="00A269F0"/>
    <w:rsid w:val="00A3194E"/>
    <w:rsid w:val="00A37647"/>
    <w:rsid w:val="00A4177A"/>
    <w:rsid w:val="00A41C40"/>
    <w:rsid w:val="00A420BC"/>
    <w:rsid w:val="00A4659C"/>
    <w:rsid w:val="00A46AAF"/>
    <w:rsid w:val="00A53E14"/>
    <w:rsid w:val="00A577C3"/>
    <w:rsid w:val="00A645B5"/>
    <w:rsid w:val="00A66838"/>
    <w:rsid w:val="00A70FBC"/>
    <w:rsid w:val="00A720D1"/>
    <w:rsid w:val="00A80594"/>
    <w:rsid w:val="00A8184F"/>
    <w:rsid w:val="00A82098"/>
    <w:rsid w:val="00A878F0"/>
    <w:rsid w:val="00A91E42"/>
    <w:rsid w:val="00A94A7C"/>
    <w:rsid w:val="00A97391"/>
    <w:rsid w:val="00AA108D"/>
    <w:rsid w:val="00AA21C2"/>
    <w:rsid w:val="00AA3BF9"/>
    <w:rsid w:val="00AA5A89"/>
    <w:rsid w:val="00AA5C75"/>
    <w:rsid w:val="00AA6773"/>
    <w:rsid w:val="00AB4580"/>
    <w:rsid w:val="00AC7267"/>
    <w:rsid w:val="00AC759E"/>
    <w:rsid w:val="00AD17D5"/>
    <w:rsid w:val="00AD314B"/>
    <w:rsid w:val="00AD3DF0"/>
    <w:rsid w:val="00AD4D9A"/>
    <w:rsid w:val="00AD58DF"/>
    <w:rsid w:val="00AE0613"/>
    <w:rsid w:val="00AE1C1C"/>
    <w:rsid w:val="00AF0887"/>
    <w:rsid w:val="00AF4691"/>
    <w:rsid w:val="00AF4B35"/>
    <w:rsid w:val="00AF60AB"/>
    <w:rsid w:val="00B02272"/>
    <w:rsid w:val="00B02A07"/>
    <w:rsid w:val="00B03411"/>
    <w:rsid w:val="00B038AD"/>
    <w:rsid w:val="00B05565"/>
    <w:rsid w:val="00B15128"/>
    <w:rsid w:val="00B20594"/>
    <w:rsid w:val="00B2152E"/>
    <w:rsid w:val="00B22BBD"/>
    <w:rsid w:val="00B238BD"/>
    <w:rsid w:val="00B25643"/>
    <w:rsid w:val="00B30B66"/>
    <w:rsid w:val="00B36D38"/>
    <w:rsid w:val="00B43CB2"/>
    <w:rsid w:val="00B45C68"/>
    <w:rsid w:val="00B50319"/>
    <w:rsid w:val="00B51D7F"/>
    <w:rsid w:val="00B670A6"/>
    <w:rsid w:val="00B73900"/>
    <w:rsid w:val="00B77133"/>
    <w:rsid w:val="00B8155E"/>
    <w:rsid w:val="00B82AD0"/>
    <w:rsid w:val="00B84BA9"/>
    <w:rsid w:val="00B862D7"/>
    <w:rsid w:val="00B8715E"/>
    <w:rsid w:val="00B879D2"/>
    <w:rsid w:val="00B91248"/>
    <w:rsid w:val="00B92D01"/>
    <w:rsid w:val="00B95AD2"/>
    <w:rsid w:val="00B97813"/>
    <w:rsid w:val="00BA099E"/>
    <w:rsid w:val="00BA52A2"/>
    <w:rsid w:val="00BA75AF"/>
    <w:rsid w:val="00BB1E7A"/>
    <w:rsid w:val="00BB3F9A"/>
    <w:rsid w:val="00BB4AA0"/>
    <w:rsid w:val="00BB4EBE"/>
    <w:rsid w:val="00BC1052"/>
    <w:rsid w:val="00BC17DC"/>
    <w:rsid w:val="00BC7587"/>
    <w:rsid w:val="00BD2590"/>
    <w:rsid w:val="00BD34C5"/>
    <w:rsid w:val="00BD398B"/>
    <w:rsid w:val="00BD415D"/>
    <w:rsid w:val="00BE0747"/>
    <w:rsid w:val="00BE2FF2"/>
    <w:rsid w:val="00BE4A32"/>
    <w:rsid w:val="00BE7FDE"/>
    <w:rsid w:val="00BF1F01"/>
    <w:rsid w:val="00BF2AB6"/>
    <w:rsid w:val="00BF51D6"/>
    <w:rsid w:val="00BF5F6E"/>
    <w:rsid w:val="00BF6195"/>
    <w:rsid w:val="00BF6FA2"/>
    <w:rsid w:val="00C0016D"/>
    <w:rsid w:val="00C00672"/>
    <w:rsid w:val="00C01EA9"/>
    <w:rsid w:val="00C022E0"/>
    <w:rsid w:val="00C066B7"/>
    <w:rsid w:val="00C11FA6"/>
    <w:rsid w:val="00C13324"/>
    <w:rsid w:val="00C15BD1"/>
    <w:rsid w:val="00C16EE1"/>
    <w:rsid w:val="00C20BE9"/>
    <w:rsid w:val="00C215DA"/>
    <w:rsid w:val="00C229AE"/>
    <w:rsid w:val="00C23F97"/>
    <w:rsid w:val="00C26A36"/>
    <w:rsid w:val="00C3056E"/>
    <w:rsid w:val="00C31675"/>
    <w:rsid w:val="00C3227B"/>
    <w:rsid w:val="00C329FC"/>
    <w:rsid w:val="00C33F4E"/>
    <w:rsid w:val="00C3542D"/>
    <w:rsid w:val="00C41520"/>
    <w:rsid w:val="00C43CB0"/>
    <w:rsid w:val="00C47886"/>
    <w:rsid w:val="00C52F2B"/>
    <w:rsid w:val="00C557E3"/>
    <w:rsid w:val="00C6088B"/>
    <w:rsid w:val="00C63451"/>
    <w:rsid w:val="00C71070"/>
    <w:rsid w:val="00C717A3"/>
    <w:rsid w:val="00C71EA1"/>
    <w:rsid w:val="00C72A72"/>
    <w:rsid w:val="00C73081"/>
    <w:rsid w:val="00C74D17"/>
    <w:rsid w:val="00C76391"/>
    <w:rsid w:val="00C93E13"/>
    <w:rsid w:val="00C97BE2"/>
    <w:rsid w:val="00CA4A25"/>
    <w:rsid w:val="00CB2C25"/>
    <w:rsid w:val="00CB2E1F"/>
    <w:rsid w:val="00CB37A7"/>
    <w:rsid w:val="00CB50D5"/>
    <w:rsid w:val="00CC1C1E"/>
    <w:rsid w:val="00CC1E9A"/>
    <w:rsid w:val="00CC34B6"/>
    <w:rsid w:val="00CC448F"/>
    <w:rsid w:val="00CC6C18"/>
    <w:rsid w:val="00CC7F8B"/>
    <w:rsid w:val="00CD2597"/>
    <w:rsid w:val="00CD59BA"/>
    <w:rsid w:val="00CE0BBC"/>
    <w:rsid w:val="00CE58C7"/>
    <w:rsid w:val="00CF279F"/>
    <w:rsid w:val="00D0532A"/>
    <w:rsid w:val="00D0681B"/>
    <w:rsid w:val="00D140B0"/>
    <w:rsid w:val="00D14786"/>
    <w:rsid w:val="00D20E38"/>
    <w:rsid w:val="00D21B98"/>
    <w:rsid w:val="00D21C06"/>
    <w:rsid w:val="00D22EE3"/>
    <w:rsid w:val="00D315F1"/>
    <w:rsid w:val="00D34E45"/>
    <w:rsid w:val="00D376DE"/>
    <w:rsid w:val="00D40D68"/>
    <w:rsid w:val="00D4169A"/>
    <w:rsid w:val="00D41857"/>
    <w:rsid w:val="00D51EFC"/>
    <w:rsid w:val="00D602B7"/>
    <w:rsid w:val="00D6454F"/>
    <w:rsid w:val="00D655D8"/>
    <w:rsid w:val="00D8075B"/>
    <w:rsid w:val="00D85C01"/>
    <w:rsid w:val="00D87554"/>
    <w:rsid w:val="00D87B7C"/>
    <w:rsid w:val="00D9323F"/>
    <w:rsid w:val="00D9743A"/>
    <w:rsid w:val="00DA1C90"/>
    <w:rsid w:val="00DA332D"/>
    <w:rsid w:val="00DA4A92"/>
    <w:rsid w:val="00DB01C0"/>
    <w:rsid w:val="00DB410C"/>
    <w:rsid w:val="00DB6D03"/>
    <w:rsid w:val="00DC48E2"/>
    <w:rsid w:val="00DC5573"/>
    <w:rsid w:val="00DC7C23"/>
    <w:rsid w:val="00DD7812"/>
    <w:rsid w:val="00DD7A2A"/>
    <w:rsid w:val="00DD7A80"/>
    <w:rsid w:val="00DE120C"/>
    <w:rsid w:val="00DE31B4"/>
    <w:rsid w:val="00DE6DF7"/>
    <w:rsid w:val="00DF000C"/>
    <w:rsid w:val="00DF1682"/>
    <w:rsid w:val="00DF3DCF"/>
    <w:rsid w:val="00E2304E"/>
    <w:rsid w:val="00E23204"/>
    <w:rsid w:val="00E24569"/>
    <w:rsid w:val="00E24AB0"/>
    <w:rsid w:val="00E25001"/>
    <w:rsid w:val="00E3099C"/>
    <w:rsid w:val="00E32B51"/>
    <w:rsid w:val="00E330C3"/>
    <w:rsid w:val="00E357A8"/>
    <w:rsid w:val="00E3664A"/>
    <w:rsid w:val="00E41678"/>
    <w:rsid w:val="00E42047"/>
    <w:rsid w:val="00E44F8B"/>
    <w:rsid w:val="00E46C40"/>
    <w:rsid w:val="00E539B1"/>
    <w:rsid w:val="00E54337"/>
    <w:rsid w:val="00E54C8A"/>
    <w:rsid w:val="00E641D5"/>
    <w:rsid w:val="00E6452D"/>
    <w:rsid w:val="00E664CE"/>
    <w:rsid w:val="00E70F72"/>
    <w:rsid w:val="00E731BE"/>
    <w:rsid w:val="00E81DE0"/>
    <w:rsid w:val="00E903C1"/>
    <w:rsid w:val="00E96FBB"/>
    <w:rsid w:val="00EB11C5"/>
    <w:rsid w:val="00EB4193"/>
    <w:rsid w:val="00EC08CF"/>
    <w:rsid w:val="00EC6711"/>
    <w:rsid w:val="00EC683C"/>
    <w:rsid w:val="00ED0099"/>
    <w:rsid w:val="00ED0178"/>
    <w:rsid w:val="00ED3C39"/>
    <w:rsid w:val="00ED5F9C"/>
    <w:rsid w:val="00EE35B9"/>
    <w:rsid w:val="00EF0B9B"/>
    <w:rsid w:val="00F013E3"/>
    <w:rsid w:val="00F0240F"/>
    <w:rsid w:val="00F031D0"/>
    <w:rsid w:val="00F11E2E"/>
    <w:rsid w:val="00F232B4"/>
    <w:rsid w:val="00F352DD"/>
    <w:rsid w:val="00F35462"/>
    <w:rsid w:val="00F43DD7"/>
    <w:rsid w:val="00F475AF"/>
    <w:rsid w:val="00F516B1"/>
    <w:rsid w:val="00F60FFB"/>
    <w:rsid w:val="00F63E71"/>
    <w:rsid w:val="00F8083C"/>
    <w:rsid w:val="00F80CBF"/>
    <w:rsid w:val="00F82003"/>
    <w:rsid w:val="00F831F2"/>
    <w:rsid w:val="00F84BE6"/>
    <w:rsid w:val="00F852A5"/>
    <w:rsid w:val="00F93E66"/>
    <w:rsid w:val="00FA1B87"/>
    <w:rsid w:val="00FA3980"/>
    <w:rsid w:val="00FA5378"/>
    <w:rsid w:val="00FA7B57"/>
    <w:rsid w:val="00FB3FE3"/>
    <w:rsid w:val="00FB713E"/>
    <w:rsid w:val="00FC042F"/>
    <w:rsid w:val="00FC3A08"/>
    <w:rsid w:val="00FC5EB2"/>
    <w:rsid w:val="00FC6226"/>
    <w:rsid w:val="00FD267A"/>
    <w:rsid w:val="00FE6E44"/>
    <w:rsid w:val="00FF1916"/>
    <w:rsid w:val="00FF1C18"/>
    <w:rsid w:val="00FF2DF5"/>
    <w:rsid w:val="00FF3DFB"/>
    <w:rsid w:val="00FF467C"/>
    <w:rsid w:val="00FF4B2F"/>
    <w:rsid w:val="00FF5C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91639D"/>
  <w15:chartTrackingRefBased/>
  <w15:docId w15:val="{874F8377-AA06-417C-8BE7-95775F91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51"/>
    <w:rPr>
      <w:sz w:val="24"/>
      <w:szCs w:val="24"/>
    </w:rPr>
  </w:style>
  <w:style w:type="paragraph" w:styleId="Heading1">
    <w:name w:val="heading 1"/>
    <w:basedOn w:val="Normal"/>
    <w:next w:val="Normal"/>
    <w:qFormat/>
    <w:rsid w:val="00C3542D"/>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AD58D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ABodyText">
    <w:name w:val="ABA Body Text"/>
    <w:basedOn w:val="Normal"/>
    <w:next w:val="Normal"/>
    <w:rsid w:val="001573CB"/>
    <w:pPr>
      <w:autoSpaceDE w:val="0"/>
      <w:autoSpaceDN w:val="0"/>
      <w:adjustRightInd w:val="0"/>
      <w:spacing w:before="80" w:after="120"/>
    </w:pPr>
    <w:rPr>
      <w:rFonts w:ascii="NIBBFE+TimesNewRoman" w:hAnsi="NIBBFE+TimesNewRoman"/>
    </w:rPr>
  </w:style>
  <w:style w:type="paragraph" w:styleId="BalloonText">
    <w:name w:val="Balloon Text"/>
    <w:basedOn w:val="Normal"/>
    <w:semiHidden/>
    <w:rsid w:val="002C7CFB"/>
    <w:rPr>
      <w:rFonts w:ascii="Tahoma" w:hAnsi="Tahoma" w:cs="Tahoma"/>
      <w:sz w:val="16"/>
      <w:szCs w:val="16"/>
    </w:rPr>
  </w:style>
  <w:style w:type="character" w:styleId="CommentReference">
    <w:name w:val="annotation reference"/>
    <w:semiHidden/>
    <w:rsid w:val="008A6394"/>
    <w:rPr>
      <w:sz w:val="16"/>
      <w:szCs w:val="16"/>
    </w:rPr>
  </w:style>
  <w:style w:type="paragraph" w:styleId="CommentText">
    <w:name w:val="annotation text"/>
    <w:basedOn w:val="Normal"/>
    <w:link w:val="CommentTextChar"/>
    <w:semiHidden/>
    <w:rsid w:val="008A6394"/>
    <w:rPr>
      <w:sz w:val="20"/>
      <w:szCs w:val="20"/>
    </w:rPr>
  </w:style>
  <w:style w:type="paragraph" w:styleId="CommentSubject">
    <w:name w:val="annotation subject"/>
    <w:basedOn w:val="CommentText"/>
    <w:next w:val="CommentText"/>
    <w:semiHidden/>
    <w:rsid w:val="008A6394"/>
    <w:rPr>
      <w:b/>
      <w:bCs/>
    </w:rPr>
  </w:style>
  <w:style w:type="paragraph" w:styleId="Footer">
    <w:name w:val="footer"/>
    <w:basedOn w:val="Normal"/>
    <w:link w:val="FooterChar"/>
    <w:uiPriority w:val="99"/>
    <w:rsid w:val="00F516B1"/>
    <w:pPr>
      <w:tabs>
        <w:tab w:val="center" w:pos="4153"/>
        <w:tab w:val="right" w:pos="8306"/>
      </w:tabs>
    </w:pPr>
    <w:rPr>
      <w:lang w:val="x-none" w:eastAsia="x-none"/>
    </w:rPr>
  </w:style>
  <w:style w:type="character" w:styleId="PageNumber">
    <w:name w:val="page number"/>
    <w:basedOn w:val="DefaultParagraphFont"/>
    <w:rsid w:val="00F516B1"/>
  </w:style>
  <w:style w:type="character" w:styleId="Hyperlink">
    <w:name w:val="Hyperlink"/>
    <w:rsid w:val="00C47886"/>
    <w:rPr>
      <w:color w:val="0000FF"/>
      <w:u w:val="single"/>
    </w:rPr>
  </w:style>
  <w:style w:type="paragraph" w:styleId="Header">
    <w:name w:val="header"/>
    <w:basedOn w:val="Normal"/>
    <w:rsid w:val="00C20BE9"/>
    <w:pPr>
      <w:tabs>
        <w:tab w:val="center" w:pos="4153"/>
        <w:tab w:val="right" w:pos="8306"/>
      </w:tabs>
    </w:pPr>
  </w:style>
  <w:style w:type="paragraph" w:customStyle="1" w:styleId="ACMANumberedList">
    <w:name w:val="ACMA Numbered List"/>
    <w:rsid w:val="00D655D8"/>
    <w:pPr>
      <w:numPr>
        <w:numId w:val="13"/>
      </w:numPr>
      <w:tabs>
        <w:tab w:val="clear" w:pos="720"/>
      </w:tabs>
      <w:spacing w:before="20" w:after="20"/>
      <w:ind w:left="360"/>
    </w:pPr>
    <w:rPr>
      <w:sz w:val="24"/>
      <w:lang w:eastAsia="en-US"/>
    </w:rPr>
  </w:style>
  <w:style w:type="paragraph" w:customStyle="1" w:styleId="indenta">
    <w:name w:val="indent(a)"/>
    <w:aliases w:val="a"/>
    <w:basedOn w:val="Normal"/>
    <w:rsid w:val="00C3542D"/>
    <w:pPr>
      <w:tabs>
        <w:tab w:val="right" w:pos="1531"/>
      </w:tabs>
      <w:spacing w:before="40" w:line="260" w:lineRule="atLeast"/>
      <w:ind w:left="1644" w:hanging="1644"/>
    </w:pPr>
    <w:rPr>
      <w:rFonts w:ascii="Times" w:hAnsi="Times"/>
      <w:sz w:val="22"/>
      <w:szCs w:val="20"/>
      <w:lang w:eastAsia="en-US"/>
    </w:rPr>
  </w:style>
  <w:style w:type="paragraph" w:customStyle="1" w:styleId="ACMABulletLevel1">
    <w:name w:val="ACMA Bullet Level 1"/>
    <w:rsid w:val="007015D6"/>
    <w:pPr>
      <w:numPr>
        <w:numId w:val="14"/>
      </w:numPr>
      <w:tabs>
        <w:tab w:val="clear" w:pos="-31680"/>
        <w:tab w:val="num" w:pos="1008"/>
      </w:tabs>
      <w:spacing w:after="120"/>
      <w:ind w:left="1008" w:hanging="360"/>
    </w:pPr>
    <w:rPr>
      <w:sz w:val="24"/>
      <w:lang w:eastAsia="en-US"/>
    </w:rPr>
  </w:style>
  <w:style w:type="character" w:customStyle="1" w:styleId="FooterChar">
    <w:name w:val="Footer Char"/>
    <w:link w:val="Footer"/>
    <w:uiPriority w:val="99"/>
    <w:rsid w:val="004D3369"/>
    <w:rPr>
      <w:sz w:val="24"/>
      <w:szCs w:val="24"/>
    </w:rPr>
  </w:style>
  <w:style w:type="character" w:customStyle="1" w:styleId="CommentTextChar">
    <w:name w:val="Comment Text Char"/>
    <w:link w:val="CommentText"/>
    <w:semiHidden/>
    <w:rsid w:val="002E7274"/>
  </w:style>
  <w:style w:type="paragraph" w:styleId="Revision">
    <w:name w:val="Revision"/>
    <w:hidden/>
    <w:uiPriority w:val="99"/>
    <w:semiHidden/>
    <w:rsid w:val="00A97391"/>
    <w:rPr>
      <w:sz w:val="24"/>
      <w:szCs w:val="24"/>
    </w:rPr>
  </w:style>
  <w:style w:type="paragraph" w:styleId="ListParagraph">
    <w:name w:val="List Paragraph"/>
    <w:basedOn w:val="Normal"/>
    <w:uiPriority w:val="34"/>
    <w:qFormat/>
    <w:rsid w:val="0079768C"/>
    <w:pPr>
      <w:ind w:left="720"/>
      <w:contextualSpacing/>
    </w:pPr>
  </w:style>
  <w:style w:type="paragraph" w:customStyle="1" w:styleId="definition">
    <w:name w:val="definition"/>
    <w:basedOn w:val="Normal"/>
    <w:uiPriority w:val="99"/>
    <w:rsid w:val="00C33F4E"/>
    <w:pPr>
      <w:spacing w:before="80" w:line="260" w:lineRule="exact"/>
      <w:ind w:left="964"/>
      <w:jc w:val="both"/>
    </w:pPr>
  </w:style>
  <w:style w:type="paragraph" w:customStyle="1" w:styleId="NormalBefore6pt">
    <w:name w:val="Normal + Before:  6 pt"/>
    <w:aliases w:val="After:  4 pt"/>
    <w:basedOn w:val="Heading3"/>
    <w:rsid w:val="002749B0"/>
  </w:style>
  <w:style w:type="character" w:styleId="UnresolvedMention">
    <w:name w:val="Unresolved Mention"/>
    <w:basedOn w:val="DefaultParagraphFont"/>
    <w:uiPriority w:val="99"/>
    <w:semiHidden/>
    <w:unhideWhenUsed/>
    <w:rsid w:val="00B022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2687271">
      <w:bodyDiv w:val="1"/>
      <w:marLeft w:val="0"/>
      <w:marRight w:val="0"/>
      <w:marTop w:val="0"/>
      <w:marBottom w:val="0"/>
      <w:divBdr>
        <w:top w:val="none" w:sz="0" w:space="0" w:color="auto"/>
        <w:left w:val="none" w:sz="0" w:space="0" w:color="auto"/>
        <w:bottom w:val="none" w:sz="0" w:space="0" w:color="auto"/>
        <w:right w:val="none" w:sz="0" w:space="0" w:color="auto"/>
      </w:divBdr>
    </w:div>
    <w:div w:id="269971137">
      <w:bodyDiv w:val="1"/>
      <w:marLeft w:val="0"/>
      <w:marRight w:val="0"/>
      <w:marTop w:val="0"/>
      <w:marBottom w:val="0"/>
      <w:divBdr>
        <w:top w:val="none" w:sz="0" w:space="0" w:color="auto"/>
        <w:left w:val="none" w:sz="0" w:space="0" w:color="auto"/>
        <w:bottom w:val="none" w:sz="0" w:space="0" w:color="auto"/>
        <w:right w:val="none" w:sz="0" w:space="0" w:color="auto"/>
      </w:divBdr>
    </w:div>
    <w:div w:id="307054746">
      <w:bodyDiv w:val="1"/>
      <w:marLeft w:val="0"/>
      <w:marRight w:val="0"/>
      <w:marTop w:val="0"/>
      <w:marBottom w:val="0"/>
      <w:divBdr>
        <w:top w:val="none" w:sz="0" w:space="0" w:color="auto"/>
        <w:left w:val="none" w:sz="0" w:space="0" w:color="auto"/>
        <w:bottom w:val="none" w:sz="0" w:space="0" w:color="auto"/>
        <w:right w:val="none" w:sz="0" w:space="0" w:color="auto"/>
      </w:divBdr>
    </w:div>
    <w:div w:id="510798771">
      <w:bodyDiv w:val="1"/>
      <w:marLeft w:val="0"/>
      <w:marRight w:val="0"/>
      <w:marTop w:val="0"/>
      <w:marBottom w:val="0"/>
      <w:divBdr>
        <w:top w:val="none" w:sz="0" w:space="0" w:color="auto"/>
        <w:left w:val="none" w:sz="0" w:space="0" w:color="auto"/>
        <w:bottom w:val="none" w:sz="0" w:space="0" w:color="auto"/>
        <w:right w:val="none" w:sz="0" w:space="0" w:color="auto"/>
      </w:divBdr>
    </w:div>
    <w:div w:id="525993740">
      <w:bodyDiv w:val="1"/>
      <w:marLeft w:val="0"/>
      <w:marRight w:val="0"/>
      <w:marTop w:val="0"/>
      <w:marBottom w:val="0"/>
      <w:divBdr>
        <w:top w:val="none" w:sz="0" w:space="0" w:color="auto"/>
        <w:left w:val="none" w:sz="0" w:space="0" w:color="auto"/>
        <w:bottom w:val="none" w:sz="0" w:space="0" w:color="auto"/>
        <w:right w:val="none" w:sz="0" w:space="0" w:color="auto"/>
      </w:divBdr>
    </w:div>
    <w:div w:id="763306753">
      <w:bodyDiv w:val="1"/>
      <w:marLeft w:val="0"/>
      <w:marRight w:val="0"/>
      <w:marTop w:val="0"/>
      <w:marBottom w:val="0"/>
      <w:divBdr>
        <w:top w:val="none" w:sz="0" w:space="0" w:color="auto"/>
        <w:left w:val="none" w:sz="0" w:space="0" w:color="auto"/>
        <w:bottom w:val="none" w:sz="0" w:space="0" w:color="auto"/>
        <w:right w:val="none" w:sz="0" w:space="0" w:color="auto"/>
      </w:divBdr>
    </w:div>
    <w:div w:id="783236781">
      <w:bodyDiv w:val="1"/>
      <w:marLeft w:val="0"/>
      <w:marRight w:val="0"/>
      <w:marTop w:val="0"/>
      <w:marBottom w:val="0"/>
      <w:divBdr>
        <w:top w:val="none" w:sz="0" w:space="0" w:color="auto"/>
        <w:left w:val="none" w:sz="0" w:space="0" w:color="auto"/>
        <w:bottom w:val="none" w:sz="0" w:space="0" w:color="auto"/>
        <w:right w:val="none" w:sz="0" w:space="0" w:color="auto"/>
      </w:divBdr>
    </w:div>
    <w:div w:id="913271874">
      <w:bodyDiv w:val="1"/>
      <w:marLeft w:val="0"/>
      <w:marRight w:val="0"/>
      <w:marTop w:val="0"/>
      <w:marBottom w:val="0"/>
      <w:divBdr>
        <w:top w:val="none" w:sz="0" w:space="0" w:color="auto"/>
        <w:left w:val="none" w:sz="0" w:space="0" w:color="auto"/>
        <w:bottom w:val="none" w:sz="0" w:space="0" w:color="auto"/>
        <w:right w:val="none" w:sz="0" w:space="0" w:color="auto"/>
      </w:divBdr>
    </w:div>
    <w:div w:id="1087384828">
      <w:bodyDiv w:val="1"/>
      <w:marLeft w:val="0"/>
      <w:marRight w:val="0"/>
      <w:marTop w:val="0"/>
      <w:marBottom w:val="0"/>
      <w:divBdr>
        <w:top w:val="none" w:sz="0" w:space="0" w:color="auto"/>
        <w:left w:val="none" w:sz="0" w:space="0" w:color="auto"/>
        <w:bottom w:val="none" w:sz="0" w:space="0" w:color="auto"/>
        <w:right w:val="none" w:sz="0" w:space="0" w:color="auto"/>
      </w:divBdr>
    </w:div>
    <w:div w:id="1314722646">
      <w:bodyDiv w:val="1"/>
      <w:marLeft w:val="0"/>
      <w:marRight w:val="0"/>
      <w:marTop w:val="0"/>
      <w:marBottom w:val="0"/>
      <w:divBdr>
        <w:top w:val="none" w:sz="0" w:space="0" w:color="auto"/>
        <w:left w:val="none" w:sz="0" w:space="0" w:color="auto"/>
        <w:bottom w:val="none" w:sz="0" w:space="0" w:color="auto"/>
        <w:right w:val="none" w:sz="0" w:space="0" w:color="auto"/>
      </w:divBdr>
    </w:div>
    <w:div w:id="1879202377">
      <w:bodyDiv w:val="1"/>
      <w:marLeft w:val="0"/>
      <w:marRight w:val="0"/>
      <w:marTop w:val="0"/>
      <w:marBottom w:val="0"/>
      <w:divBdr>
        <w:top w:val="none" w:sz="0" w:space="0" w:color="auto"/>
        <w:left w:val="none" w:sz="0" w:space="0" w:color="auto"/>
        <w:bottom w:val="none" w:sz="0" w:space="0" w:color="auto"/>
        <w:right w:val="none" w:sz="0" w:space="0" w:color="auto"/>
      </w:divBdr>
    </w:div>
    <w:div w:id="1988893442">
      <w:bodyDiv w:val="1"/>
      <w:marLeft w:val="0"/>
      <w:marRight w:val="0"/>
      <w:marTop w:val="0"/>
      <w:marBottom w:val="0"/>
      <w:divBdr>
        <w:top w:val="none" w:sz="0" w:space="0" w:color="auto"/>
        <w:left w:val="none" w:sz="0" w:space="0" w:color="auto"/>
        <w:bottom w:val="none" w:sz="0" w:space="0" w:color="auto"/>
        <w:right w:val="none" w:sz="0" w:space="0" w:color="auto"/>
      </w:divBdr>
    </w:div>
    <w:div w:id="199283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 D o c u m e n t s ! 4 6 1 3 1 0 2 1 . 7 < / d o c u m e n t i d >  
     < s e n d e r i d > G A R D I S < / s e n d e r i d >  
     < s e n d e r e m a i l > S T E V E N . G A R D I N E R @ A G S . G O V . A U < / s e n d e r e m a i l >  
     < l a s t m o d i f i e d > 2 0 2 4 - 0 7 - 2 2 T 1 1 : 3 0 : 0 0 . 0 0 0 0 0 0 0 + 1 0 : 0 0 < / l a s t m o d i f i e d >  
     < d a t a b a s e > D o c u m e n t s < / 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01B2BE74D025469E1D0E28F10DD2C8" ma:contentTypeVersion="4" ma:contentTypeDescription="Create a new document." ma:contentTypeScope="" ma:versionID="efa4785ec76ccda3c61c95ac7210387c">
  <xsd:schema xmlns:xsd="http://www.w3.org/2001/XMLSchema" xmlns:xs="http://www.w3.org/2001/XMLSchema" xmlns:p="http://schemas.microsoft.com/office/2006/metadata/properties" xmlns:ns1="http://schemas.microsoft.com/sharepoint/v3" xmlns:ns2="b98728ac-f998-415c-abee-6b046fb1441e" xmlns:ns3="d869c146-c82e-4435-92e4-da91542262fd" targetNamespace="http://schemas.microsoft.com/office/2006/metadata/properties" ma:root="true" ma:fieldsID="0daee497a633e8ac68a9686e053ee788" ns1:_="" ns2:_="" ns3:_="">
    <xsd:import namespace="http://schemas.microsoft.com/sharepoint/v3"/>
    <xsd:import namespace="b98728ac-f998-415c-abee-6b046fb1441e"/>
    <xsd:import namespace="d869c146-c82e-4435-92e4-da91542262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Allocatedto" minOccurs="0"/>
                <xsd:element ref="ns1:_ip_UnifiedCompliancePolicyProperties" minOccurs="0"/>
                <xsd:element ref="ns1:_ip_UnifiedCompliancePolicyUIAction" minOccurs="0"/>
                <xsd:element ref="ns2:LEX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728ac-f998-415c-abee-6b046fb144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Allocatedto" ma:index="14" nillable="true" ma:displayName="Allocated to" ma:format="Dropdown" ma:list="UserInfo" ma:SharePointGroup="0" ma:internalName="Allocat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XID" ma:index="17" nillable="true" ma:displayName="LEX ID" ma:description="xxx" ma:format="Dropdown" ma:internalName="LEX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69c146-c82e-4435-92e4-da91542262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EXID xmlns="b98728ac-f998-415c-abee-6b046fb1441e" xsi:nil="true"/>
    <Allocatedto xmlns="b98728ac-f998-415c-abee-6b046fb1441e">
      <UserInfo>
        <DisplayName/>
        <AccountId xsi:nil="true"/>
        <AccountType/>
      </UserInfo>
    </Allocatedto>
  </documentManagement>
</p:properties>
</file>

<file path=customXml/itemProps1.xml><?xml version="1.0" encoding="utf-8"?>
<ds:datastoreItem xmlns:ds="http://schemas.openxmlformats.org/officeDocument/2006/customXml" ds:itemID="{96651314-6C78-4295-A332-0DAC604D1D3F}">
  <ds:schemaRefs>
    <ds:schemaRef ds:uri="http://www.imanage.com/work/xmlschema"/>
  </ds:schemaRefs>
</ds:datastoreItem>
</file>

<file path=customXml/itemProps2.xml><?xml version="1.0" encoding="utf-8"?>
<ds:datastoreItem xmlns:ds="http://schemas.openxmlformats.org/officeDocument/2006/customXml" ds:itemID="{7CFA31FA-FA43-480A-9E90-42155F06A375}">
  <ds:schemaRefs>
    <ds:schemaRef ds:uri="http://schemas.microsoft.com/sharepoint/v3/contenttype/forms"/>
  </ds:schemaRefs>
</ds:datastoreItem>
</file>

<file path=customXml/itemProps3.xml><?xml version="1.0" encoding="utf-8"?>
<ds:datastoreItem xmlns:ds="http://schemas.openxmlformats.org/officeDocument/2006/customXml" ds:itemID="{B2F54B83-7729-4B8C-B75A-ABCCEFD1AB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8728ac-f998-415c-abee-6b046fb1441e"/>
    <ds:schemaRef ds:uri="d869c146-c82e-4435-92e4-da9154226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18D0CE-D99A-4699-A60C-0AC7113A8AB7}">
  <ds:schemaRefs>
    <ds:schemaRef ds:uri="http://schemas.openxmlformats.org/officeDocument/2006/bibliography"/>
  </ds:schemaRefs>
</ds:datastoreItem>
</file>

<file path=customXml/itemProps5.xml><?xml version="1.0" encoding="utf-8"?>
<ds:datastoreItem xmlns:ds="http://schemas.openxmlformats.org/officeDocument/2006/customXml" ds:itemID="{A29006C5-33DE-4AAE-AA28-BAE6CE64F2FE}">
  <ds:schemaRefs>
    <ds:schemaRef ds:uri="http://schemas.microsoft.com/office/2006/metadata/properties"/>
    <ds:schemaRef ds:uri="http://schemas.microsoft.com/office/infopath/2007/PartnerControls"/>
    <ds:schemaRef ds:uri="http://schemas.microsoft.com/sharepoint/v3"/>
    <ds:schemaRef ds:uri="b98728ac-f998-415c-abee-6b046fb1441e"/>
  </ds:schemaRefs>
</ds:datastoreItem>
</file>

<file path=docMetadata/LabelInfo.xml><?xml version="1.0" encoding="utf-8"?>
<clbl:labelList xmlns:clbl="http://schemas.microsoft.com/office/2020/mipLabelMetadata">
  <clbl:label id="{06a1c6b2-52d5-49b7-9598-2998b6301fb2}"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6</TotalTime>
  <Pages>11</Pages>
  <Words>3264</Words>
  <Characters>18606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 Michael</dc:creator>
  <cp:keywords/>
  <cp:lastModifiedBy>Ashley YILMAZ</cp:lastModifiedBy>
  <cp:revision>3</cp:revision>
  <dcterms:created xsi:type="dcterms:W3CDTF">2024-10-01T06:36:00Z</dcterms:created>
  <dcterms:modified xsi:type="dcterms:W3CDTF">2024-10-02T23:14:00Z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0x010100D001B2BE74D025469E1D0E28F10DD2C8</vt:lpwstr>
  </property>
  <property fmtid="{D5CDD505-2E9C-101B-9397-08002B2CF9AE}" pid="3" name="DocHub_GemsLegalSubjects">
    <vt:lpwstr/>
  </property>
  <property fmtid="{D5CDD505-2E9C-101B-9397-08002B2CF9AE}" pid="4" name="DocHub_Year">
    <vt:lpwstr>491;#2021|712d5b50-1b62-44de-9d3e-74234783b265</vt:lpwstr>
  </property>
  <property fmtid="{D5CDD505-2E9C-101B-9397-08002B2CF9AE}" pid="5" name="DocHub_DocumentType">
    <vt:lpwstr>516;#Legislation|dc0ffd85-1015-4b7b-9d37-44dde8257333</vt:lpwstr>
  </property>
  <property fmtid="{D5CDD505-2E9C-101B-9397-08002B2CF9AE}" pid="6" name="DocHub_SecurityClassification">
    <vt:lpwstr>1;#OFFICIAL|6106d03b-a1a0-4e30-9d91-d5e9fb4314f9</vt:lpwstr>
  </property>
  <property fmtid="{D5CDD505-2E9C-101B-9397-08002B2CF9AE}" pid="7" name="DocHub_Keywords">
    <vt:lpwstr/>
  </property>
  <property fmtid="{D5CDD505-2E9C-101B-9397-08002B2CF9AE}" pid="8" name="DocHub_GemsPolicyProducts">
    <vt:lpwstr>2487;#Clothes Dryers|1fff56b5-b707-46b8-b1dd-2fcae30d85e6</vt:lpwstr>
  </property>
  <property fmtid="{D5CDD505-2E9C-101B-9397-08002B2CF9AE}" pid="9" name="DocHub_GemsLegalTopics">
    <vt:lpwstr>2016;#Determination Development|2be3b11d-d662-46d7-a498-68751ae42ea2</vt:lpwstr>
  </property>
  <property fmtid="{D5CDD505-2E9C-101B-9397-08002B2CF9AE}" pid="10" name="DocHub_WorkActivity">
    <vt:lpwstr>275;#Legislation and Regulation|6cbc66f5-f4a2-4565-a58b-d5f2d2ac9bd0</vt:lpwstr>
  </property>
  <property fmtid="{D5CDD505-2E9C-101B-9397-08002B2CF9AE}" pid="11" name="checkforsharepointfields">
    <vt:lpwstr>True</vt:lpwstr>
  </property>
  <property fmtid="{D5CDD505-2E9C-101B-9397-08002B2CF9AE}" pid="12" name="Template Filename">
    <vt:lpwstr/>
  </property>
  <property fmtid="{D5CDD505-2E9C-101B-9397-08002B2CF9AE}" pid="13" name="ObjectiveRef">
    <vt:lpwstr>Removed</vt:lpwstr>
  </property>
  <property fmtid="{D5CDD505-2E9C-101B-9397-08002B2CF9AE}" pid="14" name="iManageRef">
    <vt:lpwstr>Updated</vt:lpwstr>
  </property>
  <property fmtid="{D5CDD505-2E9C-101B-9397-08002B2CF9AE}" pid="15" name="LeadingLawyers">
    <vt:lpwstr>Removed</vt:lpwstr>
  </property>
  <property fmtid="{D5CDD505-2E9C-101B-9397-08002B2CF9AE}" pid="16" name="ClassificationContentMarkingHeaderShapeIds">
    <vt:lpwstr>7ed174e8,6296473c,1b26773f,75565990,2beea359,3b06676e</vt:lpwstr>
  </property>
  <property fmtid="{D5CDD505-2E9C-101B-9397-08002B2CF9AE}" pid="17" name="ClassificationContentMarkingHeaderFontProps">
    <vt:lpwstr>#ff0000,12,Calibri</vt:lpwstr>
  </property>
  <property fmtid="{D5CDD505-2E9C-101B-9397-08002B2CF9AE}" pid="18" name="ClassificationContentMarkingHeaderText">
    <vt:lpwstr>OFFICIAL</vt:lpwstr>
  </property>
  <property fmtid="{D5CDD505-2E9C-101B-9397-08002B2CF9AE}" pid="19" name="ClassificationContentMarkingFooterShapeIds">
    <vt:lpwstr>d57d93,2ec7a764,50c1587,1275cd96,12b1ab64,6f01518d</vt:lpwstr>
  </property>
  <property fmtid="{D5CDD505-2E9C-101B-9397-08002B2CF9AE}" pid="20" name="ClassificationContentMarkingFooterFontProps">
    <vt:lpwstr>#ff0000,12,Calibri</vt:lpwstr>
  </property>
  <property fmtid="{D5CDD505-2E9C-101B-9397-08002B2CF9AE}" pid="21" name="ClassificationContentMarkingFooterText">
    <vt:lpwstr>OFFICIAL</vt:lpwstr>
  </property>
</Properties>
</file>