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C6AFCD" w14:textId="77777777" w:rsidR="00715914" w:rsidRPr="004556CD" w:rsidRDefault="00DA186E" w:rsidP="00715914">
      <w:pPr>
        <w:rPr>
          <w:sz w:val="28"/>
        </w:rPr>
      </w:pPr>
      <w:bookmarkStart w:id="0" w:name="_Hlk174717076"/>
      <w:bookmarkEnd w:id="0"/>
      <w:r w:rsidRPr="004556CD">
        <w:rPr>
          <w:noProof/>
          <w:lang w:eastAsia="en-AU"/>
        </w:rPr>
        <w:drawing>
          <wp:inline distT="0" distB="0" distL="0" distR="0" wp14:anchorId="6E94777C" wp14:editId="24B1A8BF">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0E52FAAE" w14:textId="77777777" w:rsidR="00715914" w:rsidRPr="004556CD" w:rsidRDefault="00715914" w:rsidP="00715914">
      <w:pPr>
        <w:rPr>
          <w:sz w:val="19"/>
        </w:rPr>
      </w:pPr>
    </w:p>
    <w:p w14:paraId="2067A953" w14:textId="42BF3248" w:rsidR="00554826" w:rsidRPr="004556CD" w:rsidRDefault="00B72D67" w:rsidP="00554826">
      <w:pPr>
        <w:pStyle w:val="ShortT"/>
      </w:pPr>
      <w:r w:rsidRPr="004556CD">
        <w:t xml:space="preserve">Education Services for Overseas Students (Calculation of Refund) </w:t>
      </w:r>
      <w:r w:rsidR="00590879" w:rsidRPr="004556CD">
        <w:t xml:space="preserve">Instrument </w:t>
      </w:r>
      <w:r w:rsidRPr="004556CD">
        <w:t>2024</w:t>
      </w:r>
    </w:p>
    <w:p w14:paraId="43D78CE6" w14:textId="25A674DF" w:rsidR="00554826" w:rsidRPr="004556CD" w:rsidRDefault="00554826" w:rsidP="00554826">
      <w:pPr>
        <w:pStyle w:val="SignCoverPageStart"/>
        <w:spacing w:before="240"/>
        <w:ind w:right="91"/>
        <w:rPr>
          <w:szCs w:val="22"/>
        </w:rPr>
      </w:pPr>
      <w:r w:rsidRPr="004556CD">
        <w:rPr>
          <w:szCs w:val="22"/>
        </w:rPr>
        <w:t xml:space="preserve">I, </w:t>
      </w:r>
      <w:r w:rsidR="00B72D67" w:rsidRPr="004556CD">
        <w:rPr>
          <w:szCs w:val="22"/>
        </w:rPr>
        <w:t>Jason Clare</w:t>
      </w:r>
      <w:r w:rsidRPr="004556CD">
        <w:rPr>
          <w:szCs w:val="22"/>
        </w:rPr>
        <w:t xml:space="preserve">, </w:t>
      </w:r>
      <w:r w:rsidR="00B72D67" w:rsidRPr="004556CD">
        <w:rPr>
          <w:szCs w:val="22"/>
        </w:rPr>
        <w:t>Minister for Education</w:t>
      </w:r>
      <w:r w:rsidRPr="004556CD">
        <w:rPr>
          <w:szCs w:val="22"/>
        </w:rPr>
        <w:t xml:space="preserve">, make the following </w:t>
      </w:r>
      <w:r w:rsidR="00590879" w:rsidRPr="004556CD">
        <w:rPr>
          <w:szCs w:val="22"/>
        </w:rPr>
        <w:t>instrument</w:t>
      </w:r>
      <w:r w:rsidRPr="004556CD">
        <w:rPr>
          <w:szCs w:val="22"/>
        </w:rPr>
        <w:t>.</w:t>
      </w:r>
    </w:p>
    <w:p w14:paraId="3F4532CA" w14:textId="6A8C44DB" w:rsidR="00554826" w:rsidRPr="004556CD" w:rsidRDefault="00554826" w:rsidP="00554826">
      <w:pPr>
        <w:keepNext/>
        <w:spacing w:before="300" w:line="240" w:lineRule="atLeast"/>
        <w:ind w:right="397"/>
        <w:jc w:val="both"/>
        <w:rPr>
          <w:szCs w:val="22"/>
        </w:rPr>
      </w:pPr>
      <w:r w:rsidRPr="004556CD">
        <w:rPr>
          <w:szCs w:val="22"/>
        </w:rPr>
        <w:t>Dated</w:t>
      </w:r>
      <w:r w:rsidRPr="004556CD">
        <w:rPr>
          <w:szCs w:val="22"/>
        </w:rPr>
        <w:tab/>
      </w:r>
      <w:r w:rsidR="004556CD" w:rsidRPr="004556CD">
        <w:rPr>
          <w:szCs w:val="22"/>
        </w:rPr>
        <w:t>26 September 2024</w:t>
      </w:r>
      <w:r w:rsidRPr="004556CD">
        <w:rPr>
          <w:szCs w:val="22"/>
        </w:rPr>
        <w:tab/>
      </w:r>
      <w:r w:rsidRPr="004556CD">
        <w:rPr>
          <w:szCs w:val="22"/>
        </w:rPr>
        <w:tab/>
      </w:r>
      <w:r w:rsidRPr="004556CD">
        <w:rPr>
          <w:szCs w:val="22"/>
        </w:rPr>
        <w:tab/>
      </w:r>
    </w:p>
    <w:p w14:paraId="5CBA440D" w14:textId="123B5CB8" w:rsidR="00554826" w:rsidRPr="004556CD" w:rsidRDefault="00B72D67" w:rsidP="00554826">
      <w:pPr>
        <w:keepNext/>
        <w:tabs>
          <w:tab w:val="left" w:pos="3402"/>
        </w:tabs>
        <w:spacing w:before="1440" w:line="300" w:lineRule="atLeast"/>
        <w:ind w:right="397"/>
        <w:rPr>
          <w:b/>
          <w:szCs w:val="22"/>
        </w:rPr>
      </w:pPr>
      <w:r w:rsidRPr="004556CD">
        <w:rPr>
          <w:szCs w:val="22"/>
        </w:rPr>
        <w:t>Jason Clare</w:t>
      </w:r>
      <w:r w:rsidR="00554826" w:rsidRPr="004556CD">
        <w:rPr>
          <w:szCs w:val="22"/>
        </w:rPr>
        <w:t xml:space="preserve"> </w:t>
      </w:r>
    </w:p>
    <w:p w14:paraId="70D18A4D" w14:textId="6CE1D094" w:rsidR="00554826" w:rsidRPr="004556CD" w:rsidRDefault="00B72D67" w:rsidP="00554826">
      <w:pPr>
        <w:pStyle w:val="SignCoverPageEnd"/>
        <w:ind w:right="91"/>
        <w:rPr>
          <w:sz w:val="22"/>
        </w:rPr>
      </w:pPr>
      <w:r w:rsidRPr="004556CD">
        <w:rPr>
          <w:sz w:val="22"/>
        </w:rPr>
        <w:t>Minister for Education</w:t>
      </w:r>
    </w:p>
    <w:p w14:paraId="31B3952C" w14:textId="77777777" w:rsidR="00554826" w:rsidRPr="004556CD" w:rsidRDefault="00554826" w:rsidP="00554826"/>
    <w:p w14:paraId="516E93B9" w14:textId="77777777" w:rsidR="00554826" w:rsidRPr="004556CD" w:rsidRDefault="00554826" w:rsidP="00554826"/>
    <w:p w14:paraId="1A25F8C6" w14:textId="77777777" w:rsidR="00F6696E" w:rsidRPr="004556CD" w:rsidRDefault="00F6696E" w:rsidP="00F6696E"/>
    <w:p w14:paraId="3DC5923B" w14:textId="77777777" w:rsidR="00F6696E" w:rsidRPr="004556CD" w:rsidRDefault="00F6696E" w:rsidP="00F6696E">
      <w:pPr>
        <w:sectPr w:rsidR="00F6696E" w:rsidRPr="004556CD" w:rsidSect="00F6696E">
          <w:headerReference w:type="even" r:id="rId12"/>
          <w:headerReference w:type="default" r:id="rId13"/>
          <w:footerReference w:type="even" r:id="rId14"/>
          <w:footerReference w:type="default" r:id="rId15"/>
          <w:footerReference w:type="first" r:id="rId16"/>
          <w:type w:val="continuous"/>
          <w:pgSz w:w="11907" w:h="16839" w:code="9"/>
          <w:pgMar w:top="2234" w:right="1797" w:bottom="1440" w:left="1797" w:header="720" w:footer="989" w:gutter="0"/>
          <w:pgNumType w:start="1"/>
          <w:cols w:space="708"/>
          <w:titlePg/>
          <w:docGrid w:linePitch="360"/>
        </w:sectPr>
      </w:pPr>
    </w:p>
    <w:p w14:paraId="5F87B427" w14:textId="77777777" w:rsidR="007500C8" w:rsidRPr="004556CD" w:rsidRDefault="00715914" w:rsidP="00715914">
      <w:pPr>
        <w:outlineLvl w:val="0"/>
        <w:rPr>
          <w:sz w:val="36"/>
        </w:rPr>
      </w:pPr>
      <w:r w:rsidRPr="004556CD">
        <w:rPr>
          <w:sz w:val="36"/>
        </w:rPr>
        <w:lastRenderedPageBreak/>
        <w:t>Contents</w:t>
      </w:r>
    </w:p>
    <w:p w14:paraId="714FD925" w14:textId="347E2C2F" w:rsidR="00D7341A" w:rsidRPr="004556CD" w:rsidRDefault="00B418CB">
      <w:pPr>
        <w:pStyle w:val="TOC5"/>
        <w:rPr>
          <w:rFonts w:asciiTheme="minorHAnsi" w:eastAsiaTheme="minorEastAsia" w:hAnsiTheme="minorHAnsi" w:cstheme="minorBidi"/>
          <w:noProof/>
          <w:kern w:val="2"/>
          <w:sz w:val="24"/>
          <w:szCs w:val="24"/>
          <w14:ligatures w14:val="standardContextual"/>
        </w:rPr>
      </w:pPr>
      <w:r w:rsidRPr="004556CD">
        <w:fldChar w:fldCharType="begin"/>
      </w:r>
      <w:r w:rsidRPr="004556CD">
        <w:instrText xml:space="preserve"> TOC \o "1-9" </w:instrText>
      </w:r>
      <w:r w:rsidRPr="004556CD">
        <w:fldChar w:fldCharType="separate"/>
      </w:r>
      <w:r w:rsidR="00D7341A" w:rsidRPr="004556CD">
        <w:rPr>
          <w:noProof/>
        </w:rPr>
        <w:t>1  Name</w:t>
      </w:r>
      <w:r w:rsidR="00D7341A" w:rsidRPr="004556CD">
        <w:rPr>
          <w:noProof/>
        </w:rPr>
        <w:tab/>
      </w:r>
      <w:r w:rsidR="00D7341A" w:rsidRPr="004556CD">
        <w:rPr>
          <w:noProof/>
        </w:rPr>
        <w:fldChar w:fldCharType="begin"/>
      </w:r>
      <w:r w:rsidR="00D7341A" w:rsidRPr="004556CD">
        <w:rPr>
          <w:noProof/>
        </w:rPr>
        <w:instrText xml:space="preserve"> PAGEREF _Toc173425274 \h </w:instrText>
      </w:r>
      <w:r w:rsidR="00D7341A" w:rsidRPr="004556CD">
        <w:rPr>
          <w:noProof/>
        </w:rPr>
      </w:r>
      <w:r w:rsidR="00D7341A" w:rsidRPr="004556CD">
        <w:rPr>
          <w:noProof/>
        </w:rPr>
        <w:fldChar w:fldCharType="separate"/>
      </w:r>
      <w:r w:rsidR="00D7341A" w:rsidRPr="004556CD">
        <w:rPr>
          <w:noProof/>
        </w:rPr>
        <w:t>1</w:t>
      </w:r>
      <w:r w:rsidR="00D7341A" w:rsidRPr="004556CD">
        <w:rPr>
          <w:noProof/>
        </w:rPr>
        <w:fldChar w:fldCharType="end"/>
      </w:r>
    </w:p>
    <w:p w14:paraId="1F4A4932" w14:textId="4556CE3B" w:rsidR="00D7341A" w:rsidRPr="004556CD" w:rsidRDefault="00D7341A">
      <w:pPr>
        <w:pStyle w:val="TOC5"/>
        <w:rPr>
          <w:rFonts w:asciiTheme="minorHAnsi" w:eastAsiaTheme="minorEastAsia" w:hAnsiTheme="minorHAnsi" w:cstheme="minorBidi"/>
          <w:noProof/>
          <w:kern w:val="2"/>
          <w:sz w:val="24"/>
          <w:szCs w:val="24"/>
          <w14:ligatures w14:val="standardContextual"/>
        </w:rPr>
      </w:pPr>
      <w:r w:rsidRPr="004556CD">
        <w:rPr>
          <w:noProof/>
        </w:rPr>
        <w:t>2  Commencement</w:t>
      </w:r>
      <w:r w:rsidRPr="004556CD">
        <w:rPr>
          <w:noProof/>
        </w:rPr>
        <w:tab/>
      </w:r>
      <w:r w:rsidRPr="004556CD">
        <w:rPr>
          <w:noProof/>
        </w:rPr>
        <w:fldChar w:fldCharType="begin"/>
      </w:r>
      <w:r w:rsidRPr="004556CD">
        <w:rPr>
          <w:noProof/>
        </w:rPr>
        <w:instrText xml:space="preserve"> PAGEREF _Toc173425275 \h </w:instrText>
      </w:r>
      <w:r w:rsidRPr="004556CD">
        <w:rPr>
          <w:noProof/>
        </w:rPr>
      </w:r>
      <w:r w:rsidRPr="004556CD">
        <w:rPr>
          <w:noProof/>
        </w:rPr>
        <w:fldChar w:fldCharType="separate"/>
      </w:r>
      <w:r w:rsidRPr="004556CD">
        <w:rPr>
          <w:noProof/>
        </w:rPr>
        <w:t>1</w:t>
      </w:r>
      <w:r w:rsidRPr="004556CD">
        <w:rPr>
          <w:noProof/>
        </w:rPr>
        <w:fldChar w:fldCharType="end"/>
      </w:r>
    </w:p>
    <w:p w14:paraId="7FE6B43D" w14:textId="67C031FD" w:rsidR="00D7341A" w:rsidRPr="004556CD" w:rsidRDefault="00D7341A">
      <w:pPr>
        <w:pStyle w:val="TOC5"/>
        <w:rPr>
          <w:rFonts w:asciiTheme="minorHAnsi" w:eastAsiaTheme="minorEastAsia" w:hAnsiTheme="minorHAnsi" w:cstheme="minorBidi"/>
          <w:noProof/>
          <w:kern w:val="2"/>
          <w:sz w:val="24"/>
          <w:szCs w:val="24"/>
          <w14:ligatures w14:val="standardContextual"/>
        </w:rPr>
      </w:pPr>
      <w:r w:rsidRPr="004556CD">
        <w:rPr>
          <w:noProof/>
        </w:rPr>
        <w:t>3  Authority</w:t>
      </w:r>
      <w:r w:rsidRPr="004556CD">
        <w:rPr>
          <w:noProof/>
        </w:rPr>
        <w:tab/>
      </w:r>
      <w:r w:rsidRPr="004556CD">
        <w:rPr>
          <w:noProof/>
        </w:rPr>
        <w:fldChar w:fldCharType="begin"/>
      </w:r>
      <w:r w:rsidRPr="004556CD">
        <w:rPr>
          <w:noProof/>
        </w:rPr>
        <w:instrText xml:space="preserve"> PAGEREF _Toc173425276 \h </w:instrText>
      </w:r>
      <w:r w:rsidRPr="004556CD">
        <w:rPr>
          <w:noProof/>
        </w:rPr>
      </w:r>
      <w:r w:rsidRPr="004556CD">
        <w:rPr>
          <w:noProof/>
        </w:rPr>
        <w:fldChar w:fldCharType="separate"/>
      </w:r>
      <w:r w:rsidRPr="004556CD">
        <w:rPr>
          <w:noProof/>
        </w:rPr>
        <w:t>1</w:t>
      </w:r>
      <w:r w:rsidRPr="004556CD">
        <w:rPr>
          <w:noProof/>
        </w:rPr>
        <w:fldChar w:fldCharType="end"/>
      </w:r>
    </w:p>
    <w:p w14:paraId="509D8763" w14:textId="4F716460" w:rsidR="00D7341A" w:rsidRPr="004556CD" w:rsidRDefault="00D7341A">
      <w:pPr>
        <w:pStyle w:val="TOC5"/>
        <w:rPr>
          <w:rFonts w:asciiTheme="minorHAnsi" w:eastAsiaTheme="minorEastAsia" w:hAnsiTheme="minorHAnsi" w:cstheme="minorBidi"/>
          <w:noProof/>
          <w:kern w:val="2"/>
          <w:sz w:val="24"/>
          <w:szCs w:val="24"/>
          <w14:ligatures w14:val="standardContextual"/>
        </w:rPr>
      </w:pPr>
      <w:r w:rsidRPr="004556CD">
        <w:rPr>
          <w:noProof/>
        </w:rPr>
        <w:t>4  Definitions</w:t>
      </w:r>
      <w:r w:rsidRPr="004556CD">
        <w:rPr>
          <w:noProof/>
        </w:rPr>
        <w:tab/>
      </w:r>
      <w:r w:rsidRPr="004556CD">
        <w:rPr>
          <w:noProof/>
        </w:rPr>
        <w:fldChar w:fldCharType="begin"/>
      </w:r>
      <w:r w:rsidRPr="004556CD">
        <w:rPr>
          <w:noProof/>
        </w:rPr>
        <w:instrText xml:space="preserve"> PAGEREF _Toc173425277 \h </w:instrText>
      </w:r>
      <w:r w:rsidRPr="004556CD">
        <w:rPr>
          <w:noProof/>
        </w:rPr>
      </w:r>
      <w:r w:rsidRPr="004556CD">
        <w:rPr>
          <w:noProof/>
        </w:rPr>
        <w:fldChar w:fldCharType="separate"/>
      </w:r>
      <w:r w:rsidRPr="004556CD">
        <w:rPr>
          <w:noProof/>
        </w:rPr>
        <w:t>1</w:t>
      </w:r>
      <w:r w:rsidRPr="004556CD">
        <w:rPr>
          <w:noProof/>
        </w:rPr>
        <w:fldChar w:fldCharType="end"/>
      </w:r>
    </w:p>
    <w:p w14:paraId="465FCB4A" w14:textId="18BA3E32" w:rsidR="00D7341A" w:rsidRPr="004556CD" w:rsidRDefault="00D7341A">
      <w:pPr>
        <w:pStyle w:val="TOC5"/>
        <w:rPr>
          <w:rFonts w:asciiTheme="minorHAnsi" w:eastAsiaTheme="minorEastAsia" w:hAnsiTheme="minorHAnsi" w:cstheme="minorBidi"/>
          <w:noProof/>
          <w:kern w:val="2"/>
          <w:sz w:val="24"/>
          <w:szCs w:val="24"/>
          <w14:ligatures w14:val="standardContextual"/>
        </w:rPr>
      </w:pPr>
      <w:r w:rsidRPr="004556CD">
        <w:rPr>
          <w:noProof/>
        </w:rPr>
        <w:t>5  Schedules</w:t>
      </w:r>
      <w:r w:rsidRPr="004556CD">
        <w:rPr>
          <w:noProof/>
        </w:rPr>
        <w:tab/>
      </w:r>
      <w:r w:rsidRPr="004556CD">
        <w:rPr>
          <w:noProof/>
        </w:rPr>
        <w:fldChar w:fldCharType="begin"/>
      </w:r>
      <w:r w:rsidRPr="004556CD">
        <w:rPr>
          <w:noProof/>
        </w:rPr>
        <w:instrText xml:space="preserve"> PAGEREF _Toc173425278 \h </w:instrText>
      </w:r>
      <w:r w:rsidRPr="004556CD">
        <w:rPr>
          <w:noProof/>
        </w:rPr>
      </w:r>
      <w:r w:rsidRPr="004556CD">
        <w:rPr>
          <w:noProof/>
        </w:rPr>
        <w:fldChar w:fldCharType="separate"/>
      </w:r>
      <w:r w:rsidRPr="004556CD">
        <w:rPr>
          <w:noProof/>
        </w:rPr>
        <w:t>1</w:t>
      </w:r>
      <w:r w:rsidRPr="004556CD">
        <w:rPr>
          <w:noProof/>
        </w:rPr>
        <w:fldChar w:fldCharType="end"/>
      </w:r>
    </w:p>
    <w:p w14:paraId="6406A60E" w14:textId="258AF4B8" w:rsidR="00D7341A" w:rsidRPr="004556CD" w:rsidRDefault="00D7341A">
      <w:pPr>
        <w:pStyle w:val="TOC5"/>
        <w:rPr>
          <w:rFonts w:asciiTheme="minorHAnsi" w:eastAsiaTheme="minorEastAsia" w:hAnsiTheme="minorHAnsi" w:cstheme="minorBidi"/>
          <w:noProof/>
          <w:kern w:val="2"/>
          <w:sz w:val="24"/>
          <w:szCs w:val="24"/>
          <w14:ligatures w14:val="standardContextual"/>
        </w:rPr>
      </w:pPr>
      <w:r w:rsidRPr="004556CD">
        <w:rPr>
          <w:noProof/>
        </w:rPr>
        <w:t xml:space="preserve">6  Meaning of </w:t>
      </w:r>
      <w:r w:rsidRPr="004556CD">
        <w:rPr>
          <w:i/>
          <w:noProof/>
        </w:rPr>
        <w:t>weekly tuition fee</w:t>
      </w:r>
      <w:r w:rsidRPr="004556CD">
        <w:rPr>
          <w:noProof/>
        </w:rPr>
        <w:tab/>
      </w:r>
      <w:r w:rsidRPr="004556CD">
        <w:rPr>
          <w:noProof/>
        </w:rPr>
        <w:fldChar w:fldCharType="begin"/>
      </w:r>
      <w:r w:rsidRPr="004556CD">
        <w:rPr>
          <w:noProof/>
        </w:rPr>
        <w:instrText xml:space="preserve"> PAGEREF _Toc173425279 \h </w:instrText>
      </w:r>
      <w:r w:rsidRPr="004556CD">
        <w:rPr>
          <w:noProof/>
        </w:rPr>
      </w:r>
      <w:r w:rsidRPr="004556CD">
        <w:rPr>
          <w:noProof/>
        </w:rPr>
        <w:fldChar w:fldCharType="separate"/>
      </w:r>
      <w:r w:rsidRPr="004556CD">
        <w:rPr>
          <w:noProof/>
        </w:rPr>
        <w:t>2</w:t>
      </w:r>
      <w:r w:rsidRPr="004556CD">
        <w:rPr>
          <w:noProof/>
        </w:rPr>
        <w:fldChar w:fldCharType="end"/>
      </w:r>
    </w:p>
    <w:p w14:paraId="6E1D4E8F" w14:textId="37F3709C" w:rsidR="00D7341A" w:rsidRPr="004556CD" w:rsidRDefault="00D7341A">
      <w:pPr>
        <w:pStyle w:val="TOC5"/>
        <w:rPr>
          <w:rFonts w:asciiTheme="minorHAnsi" w:eastAsiaTheme="minorEastAsia" w:hAnsiTheme="minorHAnsi" w:cstheme="minorBidi"/>
          <w:noProof/>
          <w:kern w:val="2"/>
          <w:sz w:val="24"/>
          <w:szCs w:val="24"/>
          <w14:ligatures w14:val="standardContextual"/>
        </w:rPr>
      </w:pPr>
      <w:r w:rsidRPr="004556CD">
        <w:rPr>
          <w:noProof/>
        </w:rPr>
        <w:t xml:space="preserve">7  Meaning of </w:t>
      </w:r>
      <w:r w:rsidRPr="004556CD">
        <w:rPr>
          <w:i/>
          <w:noProof/>
        </w:rPr>
        <w:t>weeks in default period</w:t>
      </w:r>
      <w:r w:rsidRPr="004556CD">
        <w:rPr>
          <w:noProof/>
        </w:rPr>
        <w:tab/>
      </w:r>
      <w:r w:rsidRPr="004556CD">
        <w:rPr>
          <w:noProof/>
        </w:rPr>
        <w:fldChar w:fldCharType="begin"/>
      </w:r>
      <w:r w:rsidRPr="004556CD">
        <w:rPr>
          <w:noProof/>
        </w:rPr>
        <w:instrText xml:space="preserve"> PAGEREF _Toc173425280 \h </w:instrText>
      </w:r>
      <w:r w:rsidRPr="004556CD">
        <w:rPr>
          <w:noProof/>
        </w:rPr>
      </w:r>
      <w:r w:rsidRPr="004556CD">
        <w:rPr>
          <w:noProof/>
        </w:rPr>
        <w:fldChar w:fldCharType="separate"/>
      </w:r>
      <w:r w:rsidRPr="004556CD">
        <w:rPr>
          <w:noProof/>
        </w:rPr>
        <w:t>2</w:t>
      </w:r>
      <w:r w:rsidRPr="004556CD">
        <w:rPr>
          <w:noProof/>
        </w:rPr>
        <w:fldChar w:fldCharType="end"/>
      </w:r>
    </w:p>
    <w:p w14:paraId="755BBE3B" w14:textId="207F9469" w:rsidR="00D7341A" w:rsidRPr="004556CD" w:rsidRDefault="00D7341A">
      <w:pPr>
        <w:pStyle w:val="TOC5"/>
        <w:rPr>
          <w:rFonts w:asciiTheme="minorHAnsi" w:eastAsiaTheme="minorEastAsia" w:hAnsiTheme="minorHAnsi" w:cstheme="minorBidi"/>
          <w:noProof/>
          <w:kern w:val="2"/>
          <w:sz w:val="24"/>
          <w:szCs w:val="24"/>
          <w14:ligatures w14:val="standardContextual"/>
        </w:rPr>
      </w:pPr>
      <w:r w:rsidRPr="004556CD">
        <w:rPr>
          <w:noProof/>
        </w:rPr>
        <w:t>8  Method for working out amount of refund of tuition fees in event of provider default</w:t>
      </w:r>
      <w:r w:rsidRPr="004556CD">
        <w:rPr>
          <w:noProof/>
        </w:rPr>
        <w:tab/>
      </w:r>
      <w:r w:rsidRPr="004556CD">
        <w:rPr>
          <w:noProof/>
        </w:rPr>
        <w:fldChar w:fldCharType="begin"/>
      </w:r>
      <w:r w:rsidRPr="004556CD">
        <w:rPr>
          <w:noProof/>
        </w:rPr>
        <w:instrText xml:space="preserve"> PAGEREF _Toc173425281 \h </w:instrText>
      </w:r>
      <w:r w:rsidRPr="004556CD">
        <w:rPr>
          <w:noProof/>
        </w:rPr>
      </w:r>
      <w:r w:rsidRPr="004556CD">
        <w:rPr>
          <w:noProof/>
        </w:rPr>
        <w:fldChar w:fldCharType="separate"/>
      </w:r>
      <w:r w:rsidRPr="004556CD">
        <w:rPr>
          <w:noProof/>
        </w:rPr>
        <w:t>2</w:t>
      </w:r>
      <w:r w:rsidRPr="004556CD">
        <w:rPr>
          <w:noProof/>
        </w:rPr>
        <w:fldChar w:fldCharType="end"/>
      </w:r>
    </w:p>
    <w:p w14:paraId="5B9DC80E" w14:textId="1F028107" w:rsidR="00D7341A" w:rsidRPr="004556CD" w:rsidRDefault="00D7341A">
      <w:pPr>
        <w:pStyle w:val="TOC5"/>
        <w:rPr>
          <w:rFonts w:asciiTheme="minorHAnsi" w:eastAsiaTheme="minorEastAsia" w:hAnsiTheme="minorHAnsi" w:cstheme="minorBidi"/>
          <w:noProof/>
          <w:kern w:val="2"/>
          <w:sz w:val="24"/>
          <w:szCs w:val="24"/>
          <w14:ligatures w14:val="standardContextual"/>
        </w:rPr>
      </w:pPr>
      <w:r w:rsidRPr="004556CD">
        <w:rPr>
          <w:noProof/>
        </w:rPr>
        <w:t>9  Method for working out amount of refund if provider does not enter into compliant student default agreement</w:t>
      </w:r>
      <w:r w:rsidRPr="004556CD">
        <w:rPr>
          <w:noProof/>
        </w:rPr>
        <w:tab/>
      </w:r>
      <w:r w:rsidRPr="004556CD">
        <w:rPr>
          <w:noProof/>
        </w:rPr>
        <w:fldChar w:fldCharType="begin"/>
      </w:r>
      <w:r w:rsidRPr="004556CD">
        <w:rPr>
          <w:noProof/>
        </w:rPr>
        <w:instrText xml:space="preserve"> PAGEREF _Toc173425282 \h </w:instrText>
      </w:r>
      <w:r w:rsidRPr="004556CD">
        <w:rPr>
          <w:noProof/>
        </w:rPr>
      </w:r>
      <w:r w:rsidRPr="004556CD">
        <w:rPr>
          <w:noProof/>
        </w:rPr>
        <w:fldChar w:fldCharType="separate"/>
      </w:r>
      <w:r w:rsidRPr="004556CD">
        <w:rPr>
          <w:noProof/>
        </w:rPr>
        <w:t>2</w:t>
      </w:r>
      <w:r w:rsidRPr="004556CD">
        <w:rPr>
          <w:noProof/>
        </w:rPr>
        <w:fldChar w:fldCharType="end"/>
      </w:r>
    </w:p>
    <w:p w14:paraId="4F10AD35" w14:textId="69A46053" w:rsidR="00D7341A" w:rsidRPr="004556CD" w:rsidRDefault="00D7341A">
      <w:pPr>
        <w:pStyle w:val="TOC5"/>
        <w:rPr>
          <w:rFonts w:asciiTheme="minorHAnsi" w:eastAsiaTheme="minorEastAsia" w:hAnsiTheme="minorHAnsi" w:cstheme="minorBidi"/>
          <w:noProof/>
          <w:kern w:val="2"/>
          <w:sz w:val="24"/>
          <w:szCs w:val="24"/>
          <w14:ligatures w14:val="standardContextual"/>
        </w:rPr>
      </w:pPr>
      <w:r w:rsidRPr="004556CD">
        <w:rPr>
          <w:noProof/>
        </w:rPr>
        <w:t>10  Method for working out amount of refund in event of student visa refusal</w:t>
      </w:r>
      <w:r w:rsidRPr="004556CD">
        <w:rPr>
          <w:noProof/>
        </w:rPr>
        <w:tab/>
      </w:r>
      <w:r w:rsidRPr="004556CD">
        <w:rPr>
          <w:noProof/>
        </w:rPr>
        <w:fldChar w:fldCharType="begin"/>
      </w:r>
      <w:r w:rsidRPr="004556CD">
        <w:rPr>
          <w:noProof/>
        </w:rPr>
        <w:instrText xml:space="preserve"> PAGEREF _Toc173425283 \h </w:instrText>
      </w:r>
      <w:r w:rsidRPr="004556CD">
        <w:rPr>
          <w:noProof/>
        </w:rPr>
      </w:r>
      <w:r w:rsidRPr="004556CD">
        <w:rPr>
          <w:noProof/>
        </w:rPr>
        <w:fldChar w:fldCharType="separate"/>
      </w:r>
      <w:r w:rsidRPr="004556CD">
        <w:rPr>
          <w:noProof/>
        </w:rPr>
        <w:t>3</w:t>
      </w:r>
      <w:r w:rsidRPr="004556CD">
        <w:rPr>
          <w:noProof/>
        </w:rPr>
        <w:fldChar w:fldCharType="end"/>
      </w:r>
    </w:p>
    <w:p w14:paraId="4DD1A837" w14:textId="3ABF71A1" w:rsidR="00D7341A" w:rsidRPr="004556CD" w:rsidRDefault="00D7341A">
      <w:pPr>
        <w:pStyle w:val="TOC2"/>
        <w:rPr>
          <w:rFonts w:asciiTheme="minorHAnsi" w:eastAsiaTheme="minorEastAsia" w:hAnsiTheme="minorHAnsi" w:cstheme="minorBidi"/>
          <w:b w:val="0"/>
          <w:noProof/>
          <w:kern w:val="2"/>
          <w:szCs w:val="24"/>
          <w14:ligatures w14:val="standardContextual"/>
        </w:rPr>
      </w:pPr>
      <w:r w:rsidRPr="004556CD">
        <w:rPr>
          <w:noProof/>
        </w:rPr>
        <w:t>Schedule 1—Repeals</w:t>
      </w:r>
      <w:r w:rsidRPr="004556CD">
        <w:rPr>
          <w:noProof/>
        </w:rPr>
        <w:tab/>
      </w:r>
      <w:r w:rsidRPr="004556CD">
        <w:rPr>
          <w:noProof/>
        </w:rPr>
        <w:fldChar w:fldCharType="begin"/>
      </w:r>
      <w:r w:rsidRPr="004556CD">
        <w:rPr>
          <w:noProof/>
        </w:rPr>
        <w:instrText xml:space="preserve"> PAGEREF _Toc173425285 \h </w:instrText>
      </w:r>
      <w:r w:rsidRPr="004556CD">
        <w:rPr>
          <w:noProof/>
        </w:rPr>
      </w:r>
      <w:r w:rsidRPr="004556CD">
        <w:rPr>
          <w:noProof/>
        </w:rPr>
        <w:fldChar w:fldCharType="separate"/>
      </w:r>
      <w:r w:rsidRPr="004556CD">
        <w:rPr>
          <w:noProof/>
        </w:rPr>
        <w:t>5</w:t>
      </w:r>
      <w:r w:rsidRPr="004556CD">
        <w:rPr>
          <w:noProof/>
        </w:rPr>
        <w:fldChar w:fldCharType="end"/>
      </w:r>
    </w:p>
    <w:p w14:paraId="7F2F1746" w14:textId="28D5DC57" w:rsidR="00D7341A" w:rsidRPr="004556CD" w:rsidRDefault="00D7341A">
      <w:pPr>
        <w:pStyle w:val="TOC9"/>
        <w:rPr>
          <w:rFonts w:asciiTheme="minorHAnsi" w:eastAsiaTheme="minorEastAsia" w:hAnsiTheme="minorHAnsi" w:cstheme="minorBidi"/>
          <w:i w:val="0"/>
          <w:noProof/>
          <w:kern w:val="2"/>
          <w:sz w:val="24"/>
          <w:szCs w:val="24"/>
          <w14:ligatures w14:val="standardContextual"/>
        </w:rPr>
      </w:pPr>
      <w:r w:rsidRPr="004556CD">
        <w:rPr>
          <w:noProof/>
        </w:rPr>
        <w:t>Education Services for Overseas Students (Calculation of Refund) Specification 2014</w:t>
      </w:r>
      <w:r w:rsidRPr="004556CD">
        <w:rPr>
          <w:noProof/>
        </w:rPr>
        <w:tab/>
      </w:r>
      <w:r w:rsidRPr="004556CD">
        <w:rPr>
          <w:noProof/>
        </w:rPr>
        <w:fldChar w:fldCharType="begin"/>
      </w:r>
      <w:r w:rsidRPr="004556CD">
        <w:rPr>
          <w:noProof/>
        </w:rPr>
        <w:instrText xml:space="preserve"> PAGEREF _Toc173425286 \h </w:instrText>
      </w:r>
      <w:r w:rsidRPr="004556CD">
        <w:rPr>
          <w:noProof/>
        </w:rPr>
      </w:r>
      <w:r w:rsidRPr="004556CD">
        <w:rPr>
          <w:noProof/>
        </w:rPr>
        <w:fldChar w:fldCharType="separate"/>
      </w:r>
      <w:r w:rsidRPr="004556CD">
        <w:rPr>
          <w:noProof/>
        </w:rPr>
        <w:t>5</w:t>
      </w:r>
      <w:r w:rsidRPr="004556CD">
        <w:rPr>
          <w:noProof/>
        </w:rPr>
        <w:fldChar w:fldCharType="end"/>
      </w:r>
    </w:p>
    <w:p w14:paraId="2413DA78" w14:textId="0333758F" w:rsidR="00F6696E" w:rsidRPr="004556CD" w:rsidRDefault="00B418CB" w:rsidP="00F6696E">
      <w:pPr>
        <w:outlineLvl w:val="0"/>
      </w:pPr>
      <w:r w:rsidRPr="004556CD">
        <w:fldChar w:fldCharType="end"/>
      </w:r>
    </w:p>
    <w:p w14:paraId="28B0F501" w14:textId="77777777" w:rsidR="00F6696E" w:rsidRPr="004556CD" w:rsidRDefault="00F6696E" w:rsidP="00F6696E">
      <w:pPr>
        <w:outlineLvl w:val="0"/>
        <w:rPr>
          <w:sz w:val="20"/>
        </w:rPr>
      </w:pPr>
    </w:p>
    <w:p w14:paraId="27B3DED0" w14:textId="77777777" w:rsidR="00F6696E" w:rsidRPr="004556CD" w:rsidRDefault="00F6696E" w:rsidP="00F6696E">
      <w:pPr>
        <w:sectPr w:rsidR="00F6696E" w:rsidRPr="004556CD" w:rsidSect="00A87A58">
          <w:headerReference w:type="even" r:id="rId17"/>
          <w:headerReference w:type="default" r:id="rId18"/>
          <w:footerReference w:type="even" r:id="rId19"/>
          <w:footerReference w:type="default" r:id="rId20"/>
          <w:headerReference w:type="first" r:id="rId21"/>
          <w:pgSz w:w="11907" w:h="16839"/>
          <w:pgMar w:top="2099" w:right="1797" w:bottom="1440" w:left="1797" w:header="720" w:footer="709" w:gutter="0"/>
          <w:pgNumType w:fmt="lowerRoman" w:start="1"/>
          <w:cols w:space="708"/>
          <w:docGrid w:linePitch="360"/>
        </w:sectPr>
      </w:pPr>
    </w:p>
    <w:p w14:paraId="3A7794EC" w14:textId="77777777" w:rsidR="00554826" w:rsidRPr="004556CD" w:rsidRDefault="00554826" w:rsidP="00554826">
      <w:pPr>
        <w:pStyle w:val="ActHead5"/>
      </w:pPr>
      <w:bookmarkStart w:id="1" w:name="_Toc173425274"/>
      <w:r w:rsidRPr="004556CD">
        <w:lastRenderedPageBreak/>
        <w:t>1  Name</w:t>
      </w:r>
      <w:bookmarkEnd w:id="1"/>
    </w:p>
    <w:p w14:paraId="189906E4" w14:textId="410071B6" w:rsidR="00554826" w:rsidRPr="004556CD" w:rsidRDefault="00554826" w:rsidP="00554826">
      <w:pPr>
        <w:pStyle w:val="subsection"/>
      </w:pPr>
      <w:r w:rsidRPr="004556CD">
        <w:tab/>
      </w:r>
      <w:r w:rsidRPr="004556CD">
        <w:tab/>
        <w:t xml:space="preserve">This instrument is the </w:t>
      </w:r>
      <w:bookmarkStart w:id="2" w:name="BKCheck15B_3"/>
      <w:bookmarkEnd w:id="2"/>
      <w:r w:rsidR="00B72D67" w:rsidRPr="004556CD">
        <w:rPr>
          <w:i/>
        </w:rPr>
        <w:t xml:space="preserve">Education Services for Overseas Students (Calculation of Refund) </w:t>
      </w:r>
      <w:r w:rsidR="00590879" w:rsidRPr="004556CD">
        <w:rPr>
          <w:i/>
        </w:rPr>
        <w:t xml:space="preserve">Instrument </w:t>
      </w:r>
      <w:r w:rsidR="00B72D67" w:rsidRPr="004556CD">
        <w:rPr>
          <w:i/>
        </w:rPr>
        <w:t>2024</w:t>
      </w:r>
      <w:r w:rsidRPr="004556CD">
        <w:t>.</w:t>
      </w:r>
    </w:p>
    <w:p w14:paraId="41AA148C" w14:textId="77777777" w:rsidR="00554826" w:rsidRPr="004556CD" w:rsidRDefault="00554826" w:rsidP="00554826">
      <w:pPr>
        <w:pStyle w:val="ActHead5"/>
      </w:pPr>
      <w:bookmarkStart w:id="3" w:name="_Toc173425275"/>
      <w:r w:rsidRPr="004556CD">
        <w:t>2  Commencement</w:t>
      </w:r>
      <w:bookmarkEnd w:id="3"/>
    </w:p>
    <w:p w14:paraId="34E30FC8" w14:textId="4717DFBA" w:rsidR="00554826" w:rsidRPr="004556CD" w:rsidRDefault="00554826" w:rsidP="00554826">
      <w:pPr>
        <w:pStyle w:val="subsection"/>
      </w:pPr>
      <w:r w:rsidRPr="004556CD">
        <w:tab/>
      </w:r>
      <w:r w:rsidRPr="004556CD">
        <w:tab/>
        <w:t xml:space="preserve">This instrument commences </w:t>
      </w:r>
      <w:r w:rsidR="00B72D67" w:rsidRPr="004556CD">
        <w:t xml:space="preserve">the day after </w:t>
      </w:r>
      <w:r w:rsidR="00590879" w:rsidRPr="004556CD">
        <w:t>this instrument is registered</w:t>
      </w:r>
      <w:r w:rsidRPr="004556CD">
        <w:t>.</w:t>
      </w:r>
    </w:p>
    <w:p w14:paraId="05E14C18" w14:textId="77777777" w:rsidR="00554826" w:rsidRPr="004556CD" w:rsidRDefault="00554826" w:rsidP="00554826">
      <w:pPr>
        <w:pStyle w:val="ActHead5"/>
      </w:pPr>
      <w:bookmarkStart w:id="4" w:name="_Toc173425276"/>
      <w:r w:rsidRPr="004556CD">
        <w:t>3  Authority</w:t>
      </w:r>
      <w:bookmarkEnd w:id="4"/>
    </w:p>
    <w:p w14:paraId="2F30DF6E" w14:textId="240D40B5" w:rsidR="00554826" w:rsidRPr="004556CD" w:rsidRDefault="00554826" w:rsidP="00554826">
      <w:pPr>
        <w:pStyle w:val="subsection"/>
      </w:pPr>
      <w:r w:rsidRPr="004556CD">
        <w:tab/>
      </w:r>
      <w:r w:rsidRPr="004556CD">
        <w:tab/>
        <w:t xml:space="preserve">This instrument is made under </w:t>
      </w:r>
      <w:r w:rsidR="00B72D67" w:rsidRPr="004556CD">
        <w:t xml:space="preserve">subsections 46D(7) and 47E(4) of the </w:t>
      </w:r>
      <w:r w:rsidR="00B72D67" w:rsidRPr="004556CD">
        <w:rPr>
          <w:i/>
          <w:iCs/>
        </w:rPr>
        <w:t>Education Services for Overseas Students Act 2000.</w:t>
      </w:r>
    </w:p>
    <w:p w14:paraId="00F846F9" w14:textId="77777777" w:rsidR="00554826" w:rsidRPr="004556CD" w:rsidRDefault="00554826" w:rsidP="00554826">
      <w:pPr>
        <w:pStyle w:val="ActHead5"/>
      </w:pPr>
      <w:bookmarkStart w:id="5" w:name="_Toc173425277"/>
      <w:r w:rsidRPr="004556CD">
        <w:t>4  Definitions</w:t>
      </w:r>
      <w:bookmarkEnd w:id="5"/>
    </w:p>
    <w:p w14:paraId="4FC760EC" w14:textId="1B8D2C06" w:rsidR="00554826" w:rsidRPr="004556CD" w:rsidRDefault="00554826" w:rsidP="00554826">
      <w:pPr>
        <w:pStyle w:val="notetext"/>
      </w:pPr>
      <w:r w:rsidRPr="004556CD">
        <w:t>Note:</w:t>
      </w:r>
      <w:r w:rsidRPr="004556CD">
        <w:tab/>
        <w:t>A number of expressions used in this instrument are defined in</w:t>
      </w:r>
      <w:r w:rsidR="00A655E3" w:rsidRPr="004556CD">
        <w:t xml:space="preserve"> </w:t>
      </w:r>
      <w:r w:rsidRPr="004556CD">
        <w:t xml:space="preserve">section </w:t>
      </w:r>
      <w:r w:rsidR="00D548C0" w:rsidRPr="004556CD">
        <w:t xml:space="preserve">5 </w:t>
      </w:r>
      <w:r w:rsidRPr="004556CD">
        <w:t>of the Act, including the following:</w:t>
      </w:r>
    </w:p>
    <w:p w14:paraId="2EDE2CDB" w14:textId="190746DB" w:rsidR="00554826" w:rsidRPr="004556CD" w:rsidRDefault="00554826" w:rsidP="00554826">
      <w:pPr>
        <w:pStyle w:val="notepara"/>
      </w:pPr>
      <w:r w:rsidRPr="004556CD">
        <w:t>(a)</w:t>
      </w:r>
      <w:r w:rsidRPr="004556CD">
        <w:tab/>
      </w:r>
      <w:r w:rsidR="00231DD4" w:rsidRPr="004556CD">
        <w:t>agreed starting day;</w:t>
      </w:r>
    </w:p>
    <w:p w14:paraId="1C6B9AD0" w14:textId="3955A9DD" w:rsidR="00554826" w:rsidRPr="004556CD" w:rsidRDefault="00554826" w:rsidP="00554826">
      <w:pPr>
        <w:pStyle w:val="notepara"/>
      </w:pPr>
      <w:r w:rsidRPr="004556CD">
        <w:t>(b)</w:t>
      </w:r>
      <w:r w:rsidRPr="004556CD">
        <w:tab/>
      </w:r>
      <w:r w:rsidR="00B01BD7" w:rsidRPr="004556CD">
        <w:t xml:space="preserve">course; </w:t>
      </w:r>
    </w:p>
    <w:p w14:paraId="794ADCBF" w14:textId="1E5A84EE" w:rsidR="00B01BD7" w:rsidRPr="004556CD" w:rsidRDefault="00B01BD7" w:rsidP="00554826">
      <w:pPr>
        <w:pStyle w:val="notepara"/>
      </w:pPr>
      <w:r w:rsidRPr="004556CD">
        <w:t>(c)</w:t>
      </w:r>
      <w:r w:rsidR="00590879" w:rsidRPr="004556CD">
        <w:tab/>
      </w:r>
      <w:r w:rsidRPr="004556CD">
        <w:t xml:space="preserve">default; </w:t>
      </w:r>
    </w:p>
    <w:p w14:paraId="37DED2B0" w14:textId="2FBD9F86" w:rsidR="00B01BD7" w:rsidRPr="004556CD" w:rsidRDefault="00B01BD7" w:rsidP="00554826">
      <w:pPr>
        <w:pStyle w:val="notepara"/>
      </w:pPr>
      <w:r w:rsidRPr="004556CD">
        <w:t>(d)</w:t>
      </w:r>
      <w:r w:rsidR="00590879" w:rsidRPr="004556CD">
        <w:tab/>
      </w:r>
      <w:r w:rsidRPr="004556CD">
        <w:t xml:space="preserve">default day; </w:t>
      </w:r>
    </w:p>
    <w:p w14:paraId="0F7AC211" w14:textId="2DB84392" w:rsidR="00B01BD7" w:rsidRPr="004556CD" w:rsidRDefault="00B01BD7" w:rsidP="00554826">
      <w:pPr>
        <w:pStyle w:val="notepara"/>
      </w:pPr>
      <w:r w:rsidRPr="004556CD">
        <w:t>(e)</w:t>
      </w:r>
      <w:r w:rsidR="00590879" w:rsidRPr="004556CD">
        <w:tab/>
      </w:r>
      <w:r w:rsidRPr="004556CD">
        <w:t xml:space="preserve">intending overseas student; </w:t>
      </w:r>
    </w:p>
    <w:p w14:paraId="12E26265" w14:textId="5EC453D0" w:rsidR="00B01BD7" w:rsidRPr="004556CD" w:rsidRDefault="00B01BD7" w:rsidP="00554826">
      <w:pPr>
        <w:pStyle w:val="notepara"/>
      </w:pPr>
      <w:r w:rsidRPr="004556CD">
        <w:t>(f)</w:t>
      </w:r>
      <w:r w:rsidR="00590879" w:rsidRPr="004556CD">
        <w:tab/>
      </w:r>
      <w:r w:rsidR="009C5AE3" w:rsidRPr="004556CD">
        <w:t xml:space="preserve">overseas student; </w:t>
      </w:r>
    </w:p>
    <w:p w14:paraId="33A33782" w14:textId="3A823E10" w:rsidR="009C5AE3" w:rsidRPr="004556CD" w:rsidRDefault="009C5AE3" w:rsidP="00554826">
      <w:pPr>
        <w:pStyle w:val="notepara"/>
      </w:pPr>
      <w:r w:rsidRPr="004556CD">
        <w:t>(g)</w:t>
      </w:r>
      <w:r w:rsidR="00590879" w:rsidRPr="004556CD">
        <w:tab/>
      </w:r>
      <w:r w:rsidRPr="004556CD">
        <w:t xml:space="preserve">provider; </w:t>
      </w:r>
    </w:p>
    <w:p w14:paraId="1DA1C9EE" w14:textId="5803A043" w:rsidR="009C5AE3" w:rsidRPr="004556CD" w:rsidRDefault="009C5AE3" w:rsidP="00554826">
      <w:pPr>
        <w:pStyle w:val="notepara"/>
      </w:pPr>
      <w:r w:rsidRPr="004556CD">
        <w:t>(h)</w:t>
      </w:r>
      <w:r w:rsidR="00590879" w:rsidRPr="004556CD">
        <w:tab/>
      </w:r>
      <w:r w:rsidRPr="004556CD">
        <w:t xml:space="preserve">registered provider; </w:t>
      </w:r>
    </w:p>
    <w:p w14:paraId="704CF7CE" w14:textId="01DB1DF3" w:rsidR="009C5AE3" w:rsidRPr="004556CD" w:rsidRDefault="009C5AE3" w:rsidP="00554826">
      <w:pPr>
        <w:pStyle w:val="notepara"/>
      </w:pPr>
      <w:r w:rsidRPr="004556CD">
        <w:t>(i)</w:t>
      </w:r>
      <w:r w:rsidR="00590879" w:rsidRPr="004556CD">
        <w:tab/>
      </w:r>
      <w:r w:rsidRPr="004556CD">
        <w:t xml:space="preserve">student visa; </w:t>
      </w:r>
      <w:r w:rsidR="00D548C0" w:rsidRPr="004556CD">
        <w:t>and</w:t>
      </w:r>
    </w:p>
    <w:p w14:paraId="32C68592" w14:textId="0F8607C9" w:rsidR="009C5AE3" w:rsidRPr="004556CD" w:rsidRDefault="009C5AE3" w:rsidP="00554826">
      <w:pPr>
        <w:pStyle w:val="notepara"/>
      </w:pPr>
      <w:r w:rsidRPr="004556CD">
        <w:t>(j)</w:t>
      </w:r>
      <w:r w:rsidR="00590879" w:rsidRPr="004556CD">
        <w:tab/>
      </w:r>
      <w:r w:rsidRPr="004556CD">
        <w:t xml:space="preserve">tuition fees </w:t>
      </w:r>
    </w:p>
    <w:p w14:paraId="671EDB74" w14:textId="77777777" w:rsidR="00554826" w:rsidRPr="004556CD" w:rsidRDefault="00554826" w:rsidP="00554826">
      <w:pPr>
        <w:pStyle w:val="subsection"/>
      </w:pPr>
      <w:r w:rsidRPr="004556CD">
        <w:tab/>
      </w:r>
      <w:r w:rsidRPr="004556CD">
        <w:tab/>
        <w:t>In this instrument:</w:t>
      </w:r>
    </w:p>
    <w:p w14:paraId="667AE4B0" w14:textId="26D2FBDA" w:rsidR="00D548C0" w:rsidRPr="004556CD" w:rsidRDefault="00D548C0" w:rsidP="00B72D67">
      <w:pPr>
        <w:pStyle w:val="Definition"/>
        <w:rPr>
          <w:bCs/>
          <w:iCs/>
        </w:rPr>
      </w:pPr>
      <w:r w:rsidRPr="004556CD">
        <w:rPr>
          <w:b/>
          <w:i/>
        </w:rPr>
        <w:t xml:space="preserve">Act </w:t>
      </w:r>
      <w:r w:rsidRPr="004556CD">
        <w:rPr>
          <w:bCs/>
          <w:iCs/>
        </w:rPr>
        <w:t xml:space="preserve">means the </w:t>
      </w:r>
      <w:r w:rsidRPr="004556CD">
        <w:rPr>
          <w:bCs/>
          <w:i/>
        </w:rPr>
        <w:t>Education Services for Overseas Students Act 2000</w:t>
      </w:r>
      <w:r w:rsidRPr="004556CD">
        <w:rPr>
          <w:bCs/>
          <w:iCs/>
        </w:rPr>
        <w:t>.</w:t>
      </w:r>
    </w:p>
    <w:p w14:paraId="4EF24392" w14:textId="77777777" w:rsidR="00B72D67" w:rsidRPr="004556CD" w:rsidRDefault="00B72D67" w:rsidP="00B72D67">
      <w:pPr>
        <w:pStyle w:val="Definition"/>
        <w:rPr>
          <w:bCs/>
          <w:iCs/>
        </w:rPr>
      </w:pPr>
      <w:r w:rsidRPr="004556CD">
        <w:rPr>
          <w:b/>
          <w:i/>
        </w:rPr>
        <w:t xml:space="preserve">student </w:t>
      </w:r>
      <w:r w:rsidRPr="004556CD">
        <w:rPr>
          <w:bCs/>
          <w:iCs/>
        </w:rPr>
        <w:t>means an overseas student or an intending overseas student.</w:t>
      </w:r>
    </w:p>
    <w:p w14:paraId="662CEE26" w14:textId="77777777" w:rsidR="00554826" w:rsidRPr="004556CD" w:rsidRDefault="00554826" w:rsidP="00554826">
      <w:pPr>
        <w:pStyle w:val="ActHead5"/>
      </w:pPr>
      <w:bookmarkStart w:id="6" w:name="_Toc454781205"/>
      <w:bookmarkStart w:id="7" w:name="_Toc173425278"/>
      <w:r w:rsidRPr="004556CD">
        <w:t>5  Schedules</w:t>
      </w:r>
      <w:bookmarkEnd w:id="6"/>
      <w:bookmarkEnd w:id="7"/>
    </w:p>
    <w:p w14:paraId="64B92768" w14:textId="77777777" w:rsidR="00554826" w:rsidRPr="004556CD" w:rsidRDefault="00554826" w:rsidP="00554826">
      <w:pPr>
        <w:pStyle w:val="subsection"/>
      </w:pPr>
      <w:r w:rsidRPr="004556CD">
        <w:tab/>
      </w:r>
      <w:r w:rsidRPr="004556CD">
        <w:tab/>
        <w:t>Each instrument that is specified in a Schedule to this instrument is amended or repealed as set out in the applicable items in the Schedule concerned, and any other item in a Schedule to this instrument has effect according to its terms.</w:t>
      </w:r>
    </w:p>
    <w:p w14:paraId="1D0A497D" w14:textId="77777777" w:rsidR="00B72D67" w:rsidRPr="004556CD" w:rsidRDefault="00554826" w:rsidP="00B72D67">
      <w:pPr>
        <w:pStyle w:val="ActHead5"/>
        <w:rPr>
          <w:i/>
        </w:rPr>
      </w:pPr>
      <w:bookmarkStart w:id="8" w:name="_Toc173425279"/>
      <w:r w:rsidRPr="004556CD">
        <w:t xml:space="preserve">6  </w:t>
      </w:r>
      <w:r w:rsidR="00B72D67" w:rsidRPr="004556CD">
        <w:t xml:space="preserve">Meaning of </w:t>
      </w:r>
      <w:r w:rsidR="00B72D67" w:rsidRPr="004556CD">
        <w:rPr>
          <w:i/>
        </w:rPr>
        <w:t>weekly tuition fee</w:t>
      </w:r>
      <w:bookmarkEnd w:id="8"/>
    </w:p>
    <w:p w14:paraId="2EB1FBFB" w14:textId="0698688E" w:rsidR="00B72D67" w:rsidRPr="004556CD" w:rsidRDefault="00B72D67" w:rsidP="00B72D67">
      <w:pPr>
        <w:pStyle w:val="subsection"/>
      </w:pPr>
      <w:r w:rsidRPr="004556CD">
        <w:tab/>
        <w:t>(1)</w:t>
      </w:r>
      <w:r w:rsidRPr="004556CD">
        <w:tab/>
      </w:r>
      <w:r w:rsidR="00C3498C" w:rsidRPr="004556CD">
        <w:t>For the purposes of this instrument</w:t>
      </w:r>
      <w:r w:rsidRPr="004556CD">
        <w:t xml:space="preserve">, the </w:t>
      </w:r>
      <w:r w:rsidRPr="004556CD">
        <w:rPr>
          <w:b/>
          <w:i/>
        </w:rPr>
        <w:t>weekly tuition fee</w:t>
      </w:r>
      <w:r w:rsidRPr="004556CD">
        <w:t xml:space="preserve"> in relation to a course provided or to be provided by a registered provider to a student means the tuition fee calculated as follows:</w:t>
      </w:r>
    </w:p>
    <w:p w14:paraId="519C9C52" w14:textId="3466B8EF" w:rsidR="00D548C0" w:rsidRPr="004556CD" w:rsidRDefault="00BC4580" w:rsidP="00B72D67">
      <w:pPr>
        <w:pStyle w:val="subsection"/>
      </w:pPr>
      <w:r w:rsidRPr="004556CD">
        <w:rPr>
          <w:noProof/>
        </w:rPr>
        <w:drawing>
          <wp:inline distT="0" distB="0" distL="0" distR="0" wp14:anchorId="63D165F7" wp14:editId="2A0D9E25">
            <wp:extent cx="5277485" cy="464820"/>
            <wp:effectExtent l="0" t="0" r="0" b="0"/>
            <wp:docPr id="94514667" name="Picture 3" descr="Start formula weekly tuition fee equals start fraction total tuition fees for the course over number of calendar days in the course end fraction times seven end formul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14667" name="Picture 3" descr="Start formula weekly tuition fee equals start fraction total tuition fees for the course over number of calendar days in the course end fraction times seven end formula "/>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277485" cy="464820"/>
                    </a:xfrm>
                    <a:prstGeom prst="rect">
                      <a:avLst/>
                    </a:prstGeom>
                    <a:noFill/>
                    <a:ln>
                      <a:noFill/>
                    </a:ln>
                  </pic:spPr>
                </pic:pic>
              </a:graphicData>
            </a:graphic>
          </wp:inline>
        </w:drawing>
      </w:r>
    </w:p>
    <w:p w14:paraId="3BAC619F" w14:textId="4E27767B" w:rsidR="00B4640E" w:rsidRPr="004556CD" w:rsidRDefault="00B72D67" w:rsidP="008F54EA">
      <w:pPr>
        <w:pStyle w:val="subsection"/>
      </w:pPr>
      <w:r w:rsidRPr="004556CD">
        <w:lastRenderedPageBreak/>
        <w:tab/>
        <w:t>(2)</w:t>
      </w:r>
      <w:r w:rsidRPr="004556CD">
        <w:tab/>
        <w:t>If the fee calculated under subsection (1) is not a whole dollar amount, round the fee up to the nearest whole dollar.</w:t>
      </w:r>
    </w:p>
    <w:p w14:paraId="2FA13604" w14:textId="52FA51C3" w:rsidR="00B72D67" w:rsidRPr="004556CD" w:rsidRDefault="00B72D67" w:rsidP="00B72D67">
      <w:pPr>
        <w:pStyle w:val="ActHead5"/>
        <w:rPr>
          <w:i/>
        </w:rPr>
      </w:pPr>
      <w:bookmarkStart w:id="9" w:name="_Toc382906409"/>
      <w:bookmarkStart w:id="10" w:name="_Toc173425280"/>
      <w:r w:rsidRPr="004556CD">
        <w:rPr>
          <w:rStyle w:val="CharSectno"/>
        </w:rPr>
        <w:t>7</w:t>
      </w:r>
      <w:r w:rsidRPr="004556CD">
        <w:t xml:space="preserve">  Meaning of </w:t>
      </w:r>
      <w:r w:rsidRPr="004556CD">
        <w:rPr>
          <w:i/>
        </w:rPr>
        <w:t>weeks in default period</w:t>
      </w:r>
      <w:bookmarkEnd w:id="9"/>
      <w:bookmarkEnd w:id="10"/>
    </w:p>
    <w:p w14:paraId="56A20587" w14:textId="6F8BE51E" w:rsidR="00B72D67" w:rsidRPr="004556CD" w:rsidRDefault="00B72D67" w:rsidP="00B72D67">
      <w:pPr>
        <w:pStyle w:val="subsection"/>
      </w:pPr>
      <w:r w:rsidRPr="004556CD">
        <w:tab/>
        <w:t>(1)</w:t>
      </w:r>
      <w:r w:rsidRPr="004556CD">
        <w:tab/>
      </w:r>
      <w:r w:rsidR="00C3498C" w:rsidRPr="004556CD">
        <w:t>For the purposes of this instrument</w:t>
      </w:r>
      <w:r w:rsidRPr="004556CD">
        <w:t xml:space="preserve">, the </w:t>
      </w:r>
      <w:r w:rsidRPr="004556CD">
        <w:rPr>
          <w:b/>
          <w:i/>
        </w:rPr>
        <w:t>weeks in default period</w:t>
      </w:r>
      <w:r w:rsidRPr="004556CD">
        <w:t xml:space="preserve"> </w:t>
      </w:r>
      <w:r w:rsidR="008B0D41" w:rsidRPr="004556CD">
        <w:t xml:space="preserve">means the number of weeks </w:t>
      </w:r>
      <w:r w:rsidRPr="004556CD">
        <w:t>in relation to a course:</w:t>
      </w:r>
    </w:p>
    <w:p w14:paraId="20BAF039" w14:textId="77777777" w:rsidR="00B72D67" w:rsidRPr="004556CD" w:rsidRDefault="00B72D67" w:rsidP="00B72D67">
      <w:pPr>
        <w:pStyle w:val="paragraph"/>
      </w:pPr>
      <w:r w:rsidRPr="004556CD">
        <w:tab/>
        <w:t>(a)</w:t>
      </w:r>
      <w:r w:rsidRPr="004556CD">
        <w:tab/>
        <w:t>during which a registered provider or a student defaulted; and</w:t>
      </w:r>
    </w:p>
    <w:p w14:paraId="3E9E8EED" w14:textId="09BAEAEE" w:rsidR="00B72D67" w:rsidRPr="004556CD" w:rsidRDefault="00B72D67" w:rsidP="00B72D67">
      <w:pPr>
        <w:pStyle w:val="paragraph"/>
      </w:pPr>
      <w:r w:rsidRPr="004556CD">
        <w:tab/>
        <w:t>(b)</w:t>
      </w:r>
      <w:r w:rsidRPr="004556CD">
        <w:tab/>
        <w:t>for which the provider received payment of tuition fees in respect of the student;</w:t>
      </w:r>
    </w:p>
    <w:p w14:paraId="7B5C0320" w14:textId="29CAEBC3" w:rsidR="00B72D67" w:rsidRPr="004556CD" w:rsidRDefault="008B0D41" w:rsidP="0006442E">
      <w:pPr>
        <w:pStyle w:val="subsection2"/>
      </w:pPr>
      <w:r w:rsidRPr="004556CD">
        <w:t xml:space="preserve">and </w:t>
      </w:r>
      <w:r w:rsidR="00B72D67" w:rsidRPr="004556CD">
        <w:t>calculated as follows:</w:t>
      </w:r>
    </w:p>
    <w:p w14:paraId="1874B0A2" w14:textId="68C36636" w:rsidR="00B72D67" w:rsidRPr="004556CD" w:rsidRDefault="0006442E" w:rsidP="00B72D67">
      <w:r w:rsidRPr="004556CD">
        <w:rPr>
          <w:noProof/>
        </w:rPr>
        <w:drawing>
          <wp:anchor distT="0" distB="0" distL="114300" distR="114300" simplePos="0" relativeHeight="251658240" behindDoc="0" locked="0" layoutInCell="1" allowOverlap="1" wp14:anchorId="76EA798A" wp14:editId="07E9B31E">
            <wp:simplePos x="0" y="0"/>
            <wp:positionH relativeFrom="margin">
              <wp:align>right</wp:align>
            </wp:positionH>
            <wp:positionV relativeFrom="paragraph">
              <wp:posOffset>224155</wp:posOffset>
            </wp:positionV>
            <wp:extent cx="4262120" cy="387350"/>
            <wp:effectExtent l="0" t="0" r="0" b="0"/>
            <wp:wrapTopAndBottom/>
            <wp:docPr id="1589685611" name="Picture 9" descr="start formula weeks in default period equals start fraction number of calendar days from the default day to the end of the period to which the payment relates over seven end fraction end formul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685611" name="Picture 9" descr="start formula weeks in default period equals start fraction number of calendar days from the default day to the end of the period to which the payment relates over seven end fraction end formula "/>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262120" cy="387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549C3E" w14:textId="0FA8666A" w:rsidR="0006442E" w:rsidRPr="004556CD" w:rsidRDefault="0006442E" w:rsidP="00B72D67"/>
    <w:p w14:paraId="1DC04464" w14:textId="628E1EC1" w:rsidR="00527BEC" w:rsidRPr="004556CD" w:rsidRDefault="00B72D67" w:rsidP="008F54EA">
      <w:pPr>
        <w:pStyle w:val="subsection"/>
      </w:pPr>
      <w:r w:rsidRPr="004556CD">
        <w:tab/>
        <w:t>(2)</w:t>
      </w:r>
      <w:r w:rsidRPr="004556CD">
        <w:tab/>
        <w:t>If the number of weeks calculated under subsection (1) is not a whole number, round the number up to the nearest whole number.</w:t>
      </w:r>
    </w:p>
    <w:p w14:paraId="2131E7A9" w14:textId="0320ABA9" w:rsidR="00B72D67" w:rsidRPr="004556CD" w:rsidRDefault="00B72D67" w:rsidP="00B72D67">
      <w:pPr>
        <w:pStyle w:val="ActHead5"/>
      </w:pPr>
      <w:bookmarkStart w:id="11" w:name="_Toc382906410"/>
      <w:bookmarkStart w:id="12" w:name="_Toc173425281"/>
      <w:r w:rsidRPr="004556CD">
        <w:rPr>
          <w:rStyle w:val="CharSectno"/>
        </w:rPr>
        <w:t>8</w:t>
      </w:r>
      <w:r w:rsidRPr="004556CD">
        <w:t xml:space="preserve">  Method for working out amount of refund of tuition fees in event of provider default</w:t>
      </w:r>
      <w:bookmarkEnd w:id="11"/>
      <w:bookmarkEnd w:id="12"/>
    </w:p>
    <w:p w14:paraId="1290FDA3" w14:textId="2E10B400" w:rsidR="00B72D67" w:rsidRPr="004556CD" w:rsidRDefault="00B72D67" w:rsidP="00B72D67">
      <w:pPr>
        <w:pStyle w:val="subsection"/>
      </w:pPr>
      <w:r w:rsidRPr="004556CD">
        <w:tab/>
      </w:r>
      <w:r w:rsidRPr="004556CD">
        <w:tab/>
        <w:t xml:space="preserve">For </w:t>
      </w:r>
      <w:r w:rsidR="00C3498C" w:rsidRPr="004556CD">
        <w:t xml:space="preserve">the purposes of </w:t>
      </w:r>
      <w:r w:rsidRPr="004556CD">
        <w:t>subsection 46D(6) of the Act, the amount of a refund of tuition fees received by a registered provider in respect of a student is calculated as follows:</w:t>
      </w:r>
    </w:p>
    <w:p w14:paraId="5FF1C0EB" w14:textId="42FAF699" w:rsidR="00771048" w:rsidRPr="004556CD" w:rsidRDefault="00771048" w:rsidP="00771048">
      <w:pPr>
        <w:pStyle w:val="subsection"/>
      </w:pPr>
      <w:r w:rsidRPr="004556CD">
        <w:rPr>
          <w:noProof/>
        </w:rPr>
        <w:drawing>
          <wp:inline distT="0" distB="0" distL="0" distR="0" wp14:anchorId="4B5B3B25" wp14:editId="2ACFA564">
            <wp:extent cx="5277485" cy="278765"/>
            <wp:effectExtent l="0" t="0" r="0" b="6985"/>
            <wp:docPr id="578841610" name="Picture 6" descr="start formula refund amount equals weekly tuition fee times weeks in default period end formul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841610" name="Picture 6" descr="start formula refund amount equals weekly tuition fee times weeks in default period end formula "/>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277485" cy="278765"/>
                    </a:xfrm>
                    <a:prstGeom prst="rect">
                      <a:avLst/>
                    </a:prstGeom>
                    <a:noFill/>
                    <a:ln>
                      <a:noFill/>
                    </a:ln>
                  </pic:spPr>
                </pic:pic>
              </a:graphicData>
            </a:graphic>
          </wp:inline>
        </w:drawing>
      </w:r>
    </w:p>
    <w:p w14:paraId="44925CCA" w14:textId="5316D22E" w:rsidR="00B72D67" w:rsidRPr="004556CD" w:rsidRDefault="00B72D67" w:rsidP="00B72D67">
      <w:pPr>
        <w:pStyle w:val="ActHead5"/>
        <w:rPr>
          <w:rStyle w:val="CharSectno"/>
        </w:rPr>
      </w:pPr>
      <w:bookmarkStart w:id="13" w:name="_Toc382906411"/>
      <w:bookmarkStart w:id="14" w:name="_Toc173425282"/>
      <w:r w:rsidRPr="004556CD">
        <w:rPr>
          <w:rStyle w:val="CharSectno"/>
        </w:rPr>
        <w:t>9  Method for working out amount of refund if provider does not enter into compliant student default agreement</w:t>
      </w:r>
      <w:bookmarkEnd w:id="13"/>
      <w:bookmarkEnd w:id="14"/>
    </w:p>
    <w:p w14:paraId="4B60CA77" w14:textId="4BD6FA1D" w:rsidR="002E7D4B" w:rsidRPr="004556CD" w:rsidRDefault="00B72D67" w:rsidP="002E7D4B">
      <w:pPr>
        <w:pStyle w:val="subsection"/>
      </w:pPr>
      <w:r w:rsidRPr="004556CD">
        <w:tab/>
      </w:r>
      <w:r w:rsidRPr="004556CD">
        <w:tab/>
      </w:r>
      <w:r w:rsidR="00683B29" w:rsidRPr="004556CD">
        <w:t xml:space="preserve">For the purposes of subsection 47E(2) of the Act, </w:t>
      </w:r>
      <w:r w:rsidRPr="004556CD">
        <w:t xml:space="preserve">if a registered provider is required to provide a refund to a student under </w:t>
      </w:r>
      <w:r w:rsidR="00683B29" w:rsidRPr="004556CD">
        <w:t>sub</w:t>
      </w:r>
      <w:r w:rsidRPr="004556CD">
        <w:t>section 47E</w:t>
      </w:r>
      <w:r w:rsidR="00683B29" w:rsidRPr="004556CD">
        <w:t>(1)</w:t>
      </w:r>
      <w:r w:rsidRPr="004556CD">
        <w:t xml:space="preserve"> of the Act because the provider has not entered into an agreement with the student that meets the requirements of section 47B of the Act</w:t>
      </w:r>
      <w:r w:rsidR="00683B29" w:rsidRPr="004556CD">
        <w:t xml:space="preserve">, </w:t>
      </w:r>
      <w:r w:rsidRPr="004556CD">
        <w:t>the amount of a refund is calculated as follows:</w:t>
      </w:r>
    </w:p>
    <w:p w14:paraId="57B6C777" w14:textId="4BE5B17E" w:rsidR="002E7D4B" w:rsidRPr="004556CD" w:rsidRDefault="002E7D4B" w:rsidP="00B72D67">
      <w:pPr>
        <w:pStyle w:val="subsection"/>
      </w:pPr>
      <w:r w:rsidRPr="004556CD">
        <w:rPr>
          <w:noProof/>
        </w:rPr>
        <w:drawing>
          <wp:inline distT="0" distB="0" distL="0" distR="0" wp14:anchorId="45D700F8" wp14:editId="644D0DE5">
            <wp:extent cx="5277485" cy="278765"/>
            <wp:effectExtent l="0" t="0" r="0" b="6985"/>
            <wp:docPr id="536246450" name="Picture 6" descr="start formula refund amount equals weekly tuition fee times weeks in default period end formul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841610" name="Picture 6" descr="start formula refund amount equals weekly tuition fee times weeks in default period end formula "/>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277485" cy="278765"/>
                    </a:xfrm>
                    <a:prstGeom prst="rect">
                      <a:avLst/>
                    </a:prstGeom>
                    <a:noFill/>
                    <a:ln>
                      <a:noFill/>
                    </a:ln>
                  </pic:spPr>
                </pic:pic>
              </a:graphicData>
            </a:graphic>
          </wp:inline>
        </w:drawing>
      </w:r>
    </w:p>
    <w:p w14:paraId="6FC6F7ED" w14:textId="1B823321" w:rsidR="00B72D67" w:rsidRPr="004556CD" w:rsidRDefault="00B72D67" w:rsidP="00B72D67">
      <w:pPr>
        <w:pStyle w:val="ActHead5"/>
      </w:pPr>
      <w:bookmarkStart w:id="15" w:name="_Toc382906412"/>
      <w:bookmarkStart w:id="16" w:name="_Toc173425283"/>
      <w:r w:rsidRPr="004556CD">
        <w:rPr>
          <w:rStyle w:val="CharSectno"/>
        </w:rPr>
        <w:lastRenderedPageBreak/>
        <w:t>10</w:t>
      </w:r>
      <w:r w:rsidRPr="004556CD">
        <w:t xml:space="preserve">  Method for working out amount of refund in </w:t>
      </w:r>
      <w:bookmarkEnd w:id="15"/>
      <w:r w:rsidR="005B2DE8" w:rsidRPr="004556CD">
        <w:t xml:space="preserve">event </w:t>
      </w:r>
      <w:r w:rsidR="00D15E6E" w:rsidRPr="004556CD">
        <w:t>of student visa refusal</w:t>
      </w:r>
      <w:bookmarkEnd w:id="16"/>
      <w:r w:rsidR="00B25858" w:rsidRPr="004556CD">
        <w:t xml:space="preserve"> </w:t>
      </w:r>
    </w:p>
    <w:p w14:paraId="0496B970" w14:textId="5927458C" w:rsidR="00B72D67" w:rsidRPr="004556CD" w:rsidRDefault="00B72D67" w:rsidP="005A3CB6">
      <w:pPr>
        <w:pStyle w:val="subsection"/>
        <w:keepNext/>
        <w:keepLines/>
      </w:pPr>
      <w:r w:rsidRPr="004556CD">
        <w:tab/>
      </w:r>
      <w:r w:rsidR="00683B29" w:rsidRPr="004556CD">
        <w:t>(1)</w:t>
      </w:r>
      <w:r w:rsidRPr="004556CD">
        <w:tab/>
      </w:r>
      <w:r w:rsidR="00683B29" w:rsidRPr="004556CD">
        <w:t>For the purposes of subsection 47E(2) of the Act, if a registered provider is required to provide a refund to a student under subsection 47E(1) of the Act, and the provider is not required to pay a refund to the student because of subsection 47D(5) of the Act, the amount of a refund is calculated as set out in</w:t>
      </w:r>
      <w:r w:rsidR="00C13862" w:rsidRPr="004556CD">
        <w:t xml:space="preserve"> </w:t>
      </w:r>
      <w:r w:rsidR="00C65C74" w:rsidRPr="004556CD">
        <w:t>sub</w:t>
      </w:r>
      <w:r w:rsidR="00C13862" w:rsidRPr="004556CD">
        <w:t>section</w:t>
      </w:r>
      <w:r w:rsidR="00C65C74" w:rsidRPr="004556CD">
        <w:t>s (2) and (4).</w:t>
      </w:r>
    </w:p>
    <w:p w14:paraId="2554A148" w14:textId="370B8696" w:rsidR="00B72D67" w:rsidRPr="004556CD" w:rsidRDefault="00B72D67" w:rsidP="00B72D67">
      <w:pPr>
        <w:pStyle w:val="subsection"/>
      </w:pPr>
      <w:r w:rsidRPr="004556CD">
        <w:tab/>
        <w:t>(2)</w:t>
      </w:r>
      <w:r w:rsidRPr="004556CD">
        <w:tab/>
      </w:r>
      <w:r w:rsidR="00C65C74" w:rsidRPr="004556CD">
        <w:t>If</w:t>
      </w:r>
      <w:r w:rsidR="00862A7A" w:rsidRPr="004556CD">
        <w:t xml:space="preserve"> </w:t>
      </w:r>
      <w:r w:rsidR="00210723" w:rsidRPr="004556CD">
        <w:t xml:space="preserve">the student </w:t>
      </w:r>
      <w:r w:rsidR="00C65C74" w:rsidRPr="004556CD">
        <w:t>was refused a student visa and the refusal caused the student to fail to start the course at the location on the agreed day, consistent with subparagraph 47D(5)(b)(i) of the Act</w:t>
      </w:r>
      <w:r w:rsidR="00512948" w:rsidRPr="004556CD">
        <w:t xml:space="preserve">, </w:t>
      </w:r>
      <w:r w:rsidR="00862A7A" w:rsidRPr="004556CD">
        <w:t>t</w:t>
      </w:r>
      <w:r w:rsidR="00683B29" w:rsidRPr="004556CD">
        <w:t>he</w:t>
      </w:r>
      <w:r w:rsidRPr="004556CD">
        <w:t xml:space="preserve"> amount of a refund is</w:t>
      </w:r>
      <w:r w:rsidR="00683B29" w:rsidRPr="004556CD">
        <w:t xml:space="preserve"> calculated as</w:t>
      </w:r>
      <w:r w:rsidRPr="004556CD">
        <w:t xml:space="preserve"> the amount of the course fees, minus the lesser of the following amounts:</w:t>
      </w:r>
    </w:p>
    <w:p w14:paraId="3ABC0559" w14:textId="77777777" w:rsidR="00B72D67" w:rsidRPr="004556CD" w:rsidRDefault="00B72D67" w:rsidP="00B72D67">
      <w:pPr>
        <w:pStyle w:val="paragraph"/>
      </w:pPr>
      <w:r w:rsidRPr="004556CD">
        <w:tab/>
        <w:t>(a)</w:t>
      </w:r>
      <w:r w:rsidRPr="004556CD">
        <w:tab/>
        <w:t>5% of the amount of course fees received by the provider in respect of the student before the default day;</w:t>
      </w:r>
    </w:p>
    <w:p w14:paraId="5A25F807" w14:textId="77777777" w:rsidR="00B72D67" w:rsidRPr="004556CD" w:rsidRDefault="00B72D67" w:rsidP="00B72D67">
      <w:pPr>
        <w:pStyle w:val="paragraph"/>
      </w:pPr>
      <w:r w:rsidRPr="004556CD">
        <w:tab/>
        <w:t>(b)</w:t>
      </w:r>
      <w:r w:rsidRPr="004556CD">
        <w:tab/>
        <w:t>$500.</w:t>
      </w:r>
    </w:p>
    <w:p w14:paraId="7DA9166E" w14:textId="5CA84836" w:rsidR="00B72D67" w:rsidRPr="004556CD" w:rsidRDefault="00B72D67" w:rsidP="00B72D67">
      <w:pPr>
        <w:pStyle w:val="subsection"/>
      </w:pPr>
      <w:r w:rsidRPr="004556CD">
        <w:tab/>
        <w:t>(3)</w:t>
      </w:r>
      <w:r w:rsidRPr="004556CD">
        <w:tab/>
        <w:t xml:space="preserve">For </w:t>
      </w:r>
      <w:r w:rsidR="00683B29" w:rsidRPr="004556CD">
        <w:t xml:space="preserve">the purposes of </w:t>
      </w:r>
      <w:r w:rsidRPr="004556CD">
        <w:t xml:space="preserve">subsection (2), the </w:t>
      </w:r>
      <w:r w:rsidRPr="004556CD">
        <w:rPr>
          <w:b/>
          <w:i/>
        </w:rPr>
        <w:t>course fees</w:t>
      </w:r>
      <w:r w:rsidRPr="004556CD">
        <w:t xml:space="preserve"> for a course is the sum of:</w:t>
      </w:r>
    </w:p>
    <w:p w14:paraId="5ACE7DC2" w14:textId="77777777" w:rsidR="00B72D67" w:rsidRPr="004556CD" w:rsidRDefault="00B72D67" w:rsidP="00B72D67">
      <w:pPr>
        <w:pStyle w:val="paragraph"/>
      </w:pPr>
      <w:r w:rsidRPr="004556CD">
        <w:tab/>
        <w:t>(a)</w:t>
      </w:r>
      <w:r w:rsidRPr="004556CD">
        <w:tab/>
        <w:t>the tuition fees received by the provider in respect of the student; and</w:t>
      </w:r>
    </w:p>
    <w:p w14:paraId="3EBB68CC" w14:textId="77777777" w:rsidR="00B72D67" w:rsidRPr="004556CD" w:rsidRDefault="00B72D67" w:rsidP="00B72D67">
      <w:pPr>
        <w:pStyle w:val="paragraph"/>
      </w:pPr>
      <w:r w:rsidRPr="004556CD">
        <w:tab/>
        <w:t>(b)</w:t>
      </w:r>
      <w:r w:rsidRPr="004556CD">
        <w:tab/>
        <w:t>the non-tuition fees (if any) received by the provider in respect of the student.</w:t>
      </w:r>
    </w:p>
    <w:p w14:paraId="3789B8C8" w14:textId="4897C275" w:rsidR="00C13862" w:rsidRPr="004556CD" w:rsidRDefault="00C13862" w:rsidP="00B36AC0">
      <w:pPr>
        <w:pStyle w:val="subsection"/>
        <w:ind w:left="1060" w:hanging="340"/>
      </w:pPr>
      <w:r w:rsidRPr="004556CD">
        <w:t xml:space="preserve">(4) </w:t>
      </w:r>
      <w:r w:rsidR="00512948" w:rsidRPr="004556CD">
        <w:t xml:space="preserve">If the student </w:t>
      </w:r>
      <w:r w:rsidR="00C65C74" w:rsidRPr="004556CD">
        <w:t>was refused a student visa and the refusal caused the student to withdraw from the course at that location, or fail to pay an amount that they were liable to pay the provider to undertake the course, consistent with subparagraphs 47D(5)(b)(ii) and (iii) of the Act</w:t>
      </w:r>
      <w:r w:rsidRPr="004556CD">
        <w:t xml:space="preserve">, the amount </w:t>
      </w:r>
      <w:r w:rsidR="00F8226F" w:rsidRPr="004556CD">
        <w:t>of</w:t>
      </w:r>
      <w:r w:rsidRPr="004556CD">
        <w:t xml:space="preserve"> </w:t>
      </w:r>
      <w:r w:rsidR="0033795B" w:rsidRPr="004556CD">
        <w:t>a refund is</w:t>
      </w:r>
      <w:r w:rsidR="00687463" w:rsidRPr="004556CD">
        <w:t xml:space="preserve"> </w:t>
      </w:r>
      <w:r w:rsidR="0033795B" w:rsidRPr="004556CD">
        <w:t xml:space="preserve">calculated as follows: </w:t>
      </w:r>
    </w:p>
    <w:p w14:paraId="23EFB9D0" w14:textId="3E2949AE" w:rsidR="0033795B" w:rsidRPr="004556CD" w:rsidRDefault="002E7D4B" w:rsidP="00B72D67">
      <w:pPr>
        <w:pStyle w:val="paragraph"/>
      </w:pPr>
      <w:r w:rsidRPr="004556CD">
        <w:rPr>
          <w:noProof/>
        </w:rPr>
        <w:drawing>
          <wp:inline distT="0" distB="0" distL="0" distR="0" wp14:anchorId="50FC79C4" wp14:editId="00D84114">
            <wp:extent cx="5277485" cy="278765"/>
            <wp:effectExtent l="0" t="0" r="0" b="6985"/>
            <wp:docPr id="522611605" name="Picture 6" descr="start formula refund amount equals weekly tuition fee times weeks in default period end formul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841610" name="Picture 6" descr="start formula refund amount equals weekly tuition fee times weeks in default period end formula "/>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277485" cy="278765"/>
                    </a:xfrm>
                    <a:prstGeom prst="rect">
                      <a:avLst/>
                    </a:prstGeom>
                    <a:noFill/>
                    <a:ln>
                      <a:noFill/>
                    </a:ln>
                  </pic:spPr>
                </pic:pic>
              </a:graphicData>
            </a:graphic>
          </wp:inline>
        </w:drawing>
      </w:r>
    </w:p>
    <w:p w14:paraId="18EEAE41" w14:textId="362E4DA9" w:rsidR="00C3498C" w:rsidRPr="004556CD" w:rsidRDefault="00C3498C">
      <w:pPr>
        <w:spacing w:line="240" w:lineRule="auto"/>
        <w:rPr>
          <w:rFonts w:eastAsia="Times New Roman" w:cs="Times New Roman"/>
          <w:sz w:val="20"/>
          <w:lang w:eastAsia="en-AU"/>
        </w:rPr>
      </w:pPr>
      <w:r w:rsidRPr="004556CD">
        <w:rPr>
          <w:sz w:val="20"/>
        </w:rPr>
        <w:br w:type="page"/>
      </w:r>
    </w:p>
    <w:p w14:paraId="4F912941" w14:textId="48B391A8" w:rsidR="00D6537E" w:rsidRPr="004556CD" w:rsidRDefault="004E1307" w:rsidP="00726462">
      <w:pPr>
        <w:pStyle w:val="ActHead2"/>
      </w:pPr>
      <w:bookmarkStart w:id="17" w:name="_Toc173425285"/>
      <w:r w:rsidRPr="004556CD">
        <w:lastRenderedPageBreak/>
        <w:t xml:space="preserve">Schedule </w:t>
      </w:r>
      <w:r w:rsidR="00D6537E" w:rsidRPr="004556CD">
        <w:t>1—Repeals</w:t>
      </w:r>
      <w:bookmarkEnd w:id="17"/>
    </w:p>
    <w:p w14:paraId="0EE877A9" w14:textId="10FA0256" w:rsidR="00D6537E" w:rsidRPr="004556CD" w:rsidRDefault="00B72D67" w:rsidP="00D6537E">
      <w:pPr>
        <w:pStyle w:val="ActHead9"/>
      </w:pPr>
      <w:bookmarkStart w:id="18" w:name="_Toc173425286"/>
      <w:r w:rsidRPr="004556CD">
        <w:t>Education Services for Overseas Students (Calculation of Refund) Specification 2014</w:t>
      </w:r>
      <w:bookmarkEnd w:id="18"/>
    </w:p>
    <w:p w14:paraId="07434818" w14:textId="77777777" w:rsidR="00D6537E" w:rsidRPr="004556CD" w:rsidRDefault="00D6537E" w:rsidP="00D6537E">
      <w:pPr>
        <w:pStyle w:val="ItemHead"/>
      </w:pPr>
      <w:r w:rsidRPr="004556CD">
        <w:t xml:space="preserve">1  </w:t>
      </w:r>
      <w:r w:rsidR="00BB1533" w:rsidRPr="004556CD">
        <w:t>The w</w:t>
      </w:r>
      <w:r w:rsidRPr="004556CD">
        <w:t>hole of the instrument</w:t>
      </w:r>
    </w:p>
    <w:p w14:paraId="3B316EF3" w14:textId="77777777" w:rsidR="004E1307" w:rsidRDefault="00D6537E" w:rsidP="00D6537E">
      <w:pPr>
        <w:pStyle w:val="Item"/>
      </w:pPr>
      <w:r w:rsidRPr="004556CD">
        <w:t>Repeal the instrument</w:t>
      </w:r>
    </w:p>
    <w:p w14:paraId="727A3CE3" w14:textId="77777777" w:rsidR="00554826" w:rsidRPr="00554826" w:rsidRDefault="00554826" w:rsidP="00554826"/>
    <w:p w14:paraId="3ABFE3D7" w14:textId="68B2E339" w:rsidR="00A75FE9" w:rsidRDefault="00A75FE9" w:rsidP="00554826">
      <w:pPr>
        <w:pStyle w:val="BodyPara"/>
        <w:numPr>
          <w:ilvl w:val="0"/>
          <w:numId w:val="0"/>
        </w:numPr>
        <w:ind w:left="720"/>
      </w:pPr>
    </w:p>
    <w:sectPr w:rsidR="00A75FE9" w:rsidSect="008C2EAC">
      <w:headerReference w:type="even" r:id="rId25"/>
      <w:headerReference w:type="default" r:id="rId26"/>
      <w:footerReference w:type="even" r:id="rId27"/>
      <w:footerReference w:type="default" r:id="rId28"/>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6E937A" w14:textId="77777777" w:rsidR="00015B8F" w:rsidRDefault="00015B8F" w:rsidP="00715914">
      <w:pPr>
        <w:spacing w:line="240" w:lineRule="auto"/>
      </w:pPr>
      <w:r>
        <w:separator/>
      </w:r>
    </w:p>
  </w:endnote>
  <w:endnote w:type="continuationSeparator" w:id="0">
    <w:p w14:paraId="40A66EF3" w14:textId="77777777" w:rsidR="00015B8F" w:rsidRDefault="00015B8F" w:rsidP="00715914">
      <w:pPr>
        <w:spacing w:line="240" w:lineRule="auto"/>
      </w:pPr>
      <w:r>
        <w:continuationSeparator/>
      </w:r>
    </w:p>
  </w:endnote>
  <w:endnote w:type="continuationNotice" w:id="1">
    <w:p w14:paraId="7F87075A" w14:textId="77777777" w:rsidR="00015B8F" w:rsidRDefault="00015B8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D7270E" w14:textId="77777777" w:rsidR="0072147A" w:rsidRPr="00E33C1C" w:rsidRDefault="0072147A"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2147A" w14:paraId="1E30691F" w14:textId="77777777" w:rsidTr="00B33709">
      <w:tc>
        <w:tcPr>
          <w:tcW w:w="709" w:type="dxa"/>
          <w:tcBorders>
            <w:top w:val="nil"/>
            <w:left w:val="nil"/>
            <w:bottom w:val="nil"/>
            <w:right w:val="nil"/>
          </w:tcBorders>
        </w:tcPr>
        <w:p w14:paraId="450223C5" w14:textId="77777777" w:rsidR="0072147A" w:rsidRDefault="0072147A"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i</w:t>
          </w:r>
          <w:r w:rsidRPr="00ED79B6">
            <w:rPr>
              <w:i/>
              <w:sz w:val="18"/>
            </w:rPr>
            <w:fldChar w:fldCharType="end"/>
          </w:r>
        </w:p>
      </w:tc>
      <w:tc>
        <w:tcPr>
          <w:tcW w:w="6379" w:type="dxa"/>
          <w:tcBorders>
            <w:top w:val="nil"/>
            <w:left w:val="nil"/>
            <w:bottom w:val="nil"/>
            <w:right w:val="nil"/>
          </w:tcBorders>
        </w:tcPr>
        <w:p w14:paraId="7E2314AE" w14:textId="77777777" w:rsidR="0072147A" w:rsidRPr="004E1307" w:rsidRDefault="004E1307"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B72D67">
            <w:rPr>
              <w:i/>
              <w:noProof/>
              <w:sz w:val="18"/>
            </w:rPr>
            <w:t>Act Name (Subject Matter) Kind of Instrument Year</w:t>
          </w:r>
          <w:r w:rsidRPr="004E1307">
            <w:rPr>
              <w:i/>
              <w:sz w:val="18"/>
            </w:rPr>
            <w:fldChar w:fldCharType="end"/>
          </w:r>
        </w:p>
      </w:tc>
      <w:tc>
        <w:tcPr>
          <w:tcW w:w="1383" w:type="dxa"/>
          <w:tcBorders>
            <w:top w:val="nil"/>
            <w:left w:val="nil"/>
            <w:bottom w:val="nil"/>
            <w:right w:val="nil"/>
          </w:tcBorders>
        </w:tcPr>
        <w:p w14:paraId="22DD486E" w14:textId="77777777" w:rsidR="0072147A" w:rsidRDefault="0072147A" w:rsidP="00A369E3">
          <w:pPr>
            <w:spacing w:line="0" w:lineRule="atLeast"/>
            <w:jc w:val="right"/>
            <w:rPr>
              <w:sz w:val="18"/>
            </w:rPr>
          </w:pPr>
        </w:p>
      </w:tc>
    </w:tr>
    <w:tr w:rsidR="0072147A" w14:paraId="4FD08202"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423D96D7" w14:textId="77777777" w:rsidR="0072147A" w:rsidRDefault="0072147A" w:rsidP="00A369E3">
          <w:pPr>
            <w:jc w:val="right"/>
            <w:rPr>
              <w:sz w:val="18"/>
            </w:rPr>
          </w:pPr>
        </w:p>
      </w:tc>
    </w:tr>
  </w:tbl>
  <w:p w14:paraId="0D1860A5" w14:textId="77777777" w:rsidR="0072147A" w:rsidRPr="00ED79B6" w:rsidRDefault="0072147A"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B8D59C" w14:textId="77777777" w:rsidR="0072147A" w:rsidRPr="00E33C1C" w:rsidRDefault="0072147A"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6"/>
      <w:gridCol w:w="700"/>
    </w:tblGrid>
    <w:tr w:rsidR="0072147A" w14:paraId="68F310DB" w14:textId="77777777" w:rsidTr="00A369E3">
      <w:tc>
        <w:tcPr>
          <w:tcW w:w="1384" w:type="dxa"/>
          <w:tcBorders>
            <w:top w:val="nil"/>
            <w:left w:val="nil"/>
            <w:bottom w:val="nil"/>
            <w:right w:val="nil"/>
          </w:tcBorders>
        </w:tcPr>
        <w:p w14:paraId="09E7B6CA" w14:textId="77777777" w:rsidR="0072147A" w:rsidRDefault="0072147A" w:rsidP="00A369E3">
          <w:pPr>
            <w:spacing w:line="0" w:lineRule="atLeast"/>
            <w:rPr>
              <w:sz w:val="18"/>
            </w:rPr>
          </w:pPr>
        </w:p>
      </w:tc>
      <w:tc>
        <w:tcPr>
          <w:tcW w:w="6379" w:type="dxa"/>
          <w:tcBorders>
            <w:top w:val="nil"/>
            <w:left w:val="nil"/>
            <w:bottom w:val="nil"/>
            <w:right w:val="nil"/>
          </w:tcBorders>
        </w:tcPr>
        <w:p w14:paraId="195C1344" w14:textId="77777777" w:rsidR="0072147A" w:rsidRDefault="004E1307"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B72D67">
            <w:rPr>
              <w:i/>
              <w:noProof/>
              <w:sz w:val="18"/>
            </w:rPr>
            <w:t>Act Name (Subject Matter) Kind of Instrument Year</w:t>
          </w:r>
          <w:r w:rsidRPr="004E1307">
            <w:rPr>
              <w:i/>
              <w:sz w:val="18"/>
            </w:rPr>
            <w:fldChar w:fldCharType="end"/>
          </w:r>
        </w:p>
      </w:tc>
      <w:tc>
        <w:tcPr>
          <w:tcW w:w="709" w:type="dxa"/>
          <w:tcBorders>
            <w:top w:val="nil"/>
            <w:left w:val="nil"/>
            <w:bottom w:val="nil"/>
            <w:right w:val="nil"/>
          </w:tcBorders>
        </w:tcPr>
        <w:p w14:paraId="7C5BCDCC" w14:textId="77777777" w:rsidR="0072147A" w:rsidRDefault="0072147A"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1</w:t>
          </w:r>
          <w:r w:rsidRPr="00ED79B6">
            <w:rPr>
              <w:i/>
              <w:sz w:val="18"/>
            </w:rPr>
            <w:fldChar w:fldCharType="end"/>
          </w:r>
        </w:p>
      </w:tc>
    </w:tr>
    <w:tr w:rsidR="0072147A" w14:paraId="0D0FFA78"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4FDA843D" w14:textId="77777777" w:rsidR="0072147A" w:rsidRDefault="0072147A" w:rsidP="00A369E3">
          <w:pPr>
            <w:rPr>
              <w:sz w:val="18"/>
            </w:rPr>
          </w:pPr>
        </w:p>
      </w:tc>
    </w:tr>
  </w:tbl>
  <w:p w14:paraId="39088D0F" w14:textId="77777777" w:rsidR="0072147A" w:rsidRPr="00ED79B6" w:rsidRDefault="0072147A"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3C5C82" w14:textId="77777777" w:rsidR="0072147A" w:rsidRPr="00E33C1C" w:rsidRDefault="0072147A"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72147A" w14:paraId="79D85BB7" w14:textId="77777777" w:rsidTr="00B33709">
      <w:tc>
        <w:tcPr>
          <w:tcW w:w="1384" w:type="dxa"/>
          <w:tcBorders>
            <w:top w:val="nil"/>
            <w:left w:val="nil"/>
            <w:bottom w:val="nil"/>
            <w:right w:val="nil"/>
          </w:tcBorders>
        </w:tcPr>
        <w:p w14:paraId="61B5F165" w14:textId="77777777" w:rsidR="0072147A" w:rsidRDefault="0072147A" w:rsidP="00A369E3">
          <w:pPr>
            <w:spacing w:line="0" w:lineRule="atLeast"/>
            <w:rPr>
              <w:sz w:val="18"/>
            </w:rPr>
          </w:pPr>
        </w:p>
      </w:tc>
      <w:tc>
        <w:tcPr>
          <w:tcW w:w="6379" w:type="dxa"/>
          <w:tcBorders>
            <w:top w:val="nil"/>
            <w:left w:val="nil"/>
            <w:bottom w:val="nil"/>
            <w:right w:val="nil"/>
          </w:tcBorders>
        </w:tcPr>
        <w:p w14:paraId="1BFA876F" w14:textId="77777777" w:rsidR="0072147A" w:rsidRDefault="0072147A" w:rsidP="00A369E3">
          <w:pPr>
            <w:spacing w:line="0" w:lineRule="atLeast"/>
            <w:jc w:val="center"/>
            <w:rPr>
              <w:sz w:val="18"/>
            </w:rPr>
          </w:pPr>
        </w:p>
      </w:tc>
      <w:tc>
        <w:tcPr>
          <w:tcW w:w="709" w:type="dxa"/>
          <w:tcBorders>
            <w:top w:val="nil"/>
            <w:left w:val="nil"/>
            <w:bottom w:val="nil"/>
            <w:right w:val="nil"/>
          </w:tcBorders>
        </w:tcPr>
        <w:p w14:paraId="752A7BB2" w14:textId="77777777" w:rsidR="0072147A" w:rsidRDefault="0072147A" w:rsidP="00A369E3">
          <w:pPr>
            <w:spacing w:line="0" w:lineRule="atLeast"/>
            <w:jc w:val="right"/>
            <w:rPr>
              <w:sz w:val="18"/>
            </w:rPr>
          </w:pPr>
        </w:p>
      </w:tc>
    </w:tr>
  </w:tbl>
  <w:p w14:paraId="7C4365A7" w14:textId="77777777" w:rsidR="0072147A" w:rsidRPr="00ED79B6" w:rsidRDefault="0072147A"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5B933" w14:textId="77777777" w:rsidR="00F6696E" w:rsidRPr="002B0EA5" w:rsidRDefault="00F6696E"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F6696E" w14:paraId="22E09D16" w14:textId="77777777" w:rsidTr="00A87A58">
      <w:tc>
        <w:tcPr>
          <w:tcW w:w="365" w:type="pct"/>
        </w:tcPr>
        <w:p w14:paraId="4C9EBF6E" w14:textId="77777777" w:rsidR="00F6696E" w:rsidRDefault="00F6696E" w:rsidP="000850A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2</w:t>
          </w:r>
          <w:r w:rsidRPr="00ED79B6">
            <w:rPr>
              <w:i/>
              <w:sz w:val="18"/>
            </w:rPr>
            <w:fldChar w:fldCharType="end"/>
          </w:r>
        </w:p>
      </w:tc>
      <w:tc>
        <w:tcPr>
          <w:tcW w:w="3688" w:type="pct"/>
        </w:tcPr>
        <w:p w14:paraId="0122BA01" w14:textId="77777777" w:rsidR="00F6696E" w:rsidRDefault="00F6696E"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B72D67">
            <w:rPr>
              <w:i/>
              <w:noProof/>
              <w:sz w:val="18"/>
            </w:rPr>
            <w:t>Act Name (Subject Matter) Kind of Instrument Year</w:t>
          </w:r>
          <w:r w:rsidRPr="004E1307">
            <w:rPr>
              <w:i/>
              <w:sz w:val="18"/>
            </w:rPr>
            <w:fldChar w:fldCharType="end"/>
          </w:r>
        </w:p>
      </w:tc>
      <w:tc>
        <w:tcPr>
          <w:tcW w:w="947" w:type="pct"/>
        </w:tcPr>
        <w:p w14:paraId="2C466014" w14:textId="77777777" w:rsidR="00F6696E" w:rsidRDefault="00F6696E" w:rsidP="000850AC">
          <w:pPr>
            <w:spacing w:line="0" w:lineRule="atLeast"/>
            <w:jc w:val="right"/>
            <w:rPr>
              <w:sz w:val="18"/>
            </w:rPr>
          </w:pPr>
        </w:p>
      </w:tc>
    </w:tr>
    <w:tr w:rsidR="00F6696E" w14:paraId="29EE5B1D" w14:textId="77777777" w:rsidTr="00A87A58">
      <w:tc>
        <w:tcPr>
          <w:tcW w:w="5000" w:type="pct"/>
          <w:gridSpan w:val="3"/>
        </w:tcPr>
        <w:p w14:paraId="1DF70E5A" w14:textId="77777777" w:rsidR="00F6696E" w:rsidRDefault="00F6696E" w:rsidP="000850AC">
          <w:pPr>
            <w:jc w:val="right"/>
            <w:rPr>
              <w:sz w:val="18"/>
            </w:rPr>
          </w:pPr>
        </w:p>
      </w:tc>
    </w:tr>
  </w:tbl>
  <w:p w14:paraId="382A4383" w14:textId="77777777" w:rsidR="00F6696E" w:rsidRPr="00ED79B6" w:rsidRDefault="00F6696E" w:rsidP="000A6C6A">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C8B2C" w14:textId="77777777" w:rsidR="00F6696E" w:rsidRPr="002B0EA5" w:rsidRDefault="00F6696E"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F6696E" w14:paraId="2B113AB5" w14:textId="77777777" w:rsidTr="00A87A58">
      <w:tc>
        <w:tcPr>
          <w:tcW w:w="947" w:type="pct"/>
        </w:tcPr>
        <w:p w14:paraId="7233E030" w14:textId="77777777" w:rsidR="00F6696E" w:rsidRDefault="00F6696E" w:rsidP="000850AC">
          <w:pPr>
            <w:spacing w:line="0" w:lineRule="atLeast"/>
            <w:rPr>
              <w:sz w:val="18"/>
            </w:rPr>
          </w:pPr>
        </w:p>
      </w:tc>
      <w:tc>
        <w:tcPr>
          <w:tcW w:w="3688" w:type="pct"/>
        </w:tcPr>
        <w:p w14:paraId="4B2C7D09" w14:textId="7C132609" w:rsidR="00F6696E" w:rsidRDefault="00F6696E"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4556CD">
            <w:rPr>
              <w:i/>
              <w:noProof/>
              <w:sz w:val="18"/>
            </w:rPr>
            <w:t>Education Services for Overseas Students (Calculation of Refund) Instrument 2024</w:t>
          </w:r>
          <w:r w:rsidRPr="004E1307">
            <w:rPr>
              <w:i/>
              <w:sz w:val="18"/>
            </w:rPr>
            <w:fldChar w:fldCharType="end"/>
          </w:r>
        </w:p>
      </w:tc>
      <w:tc>
        <w:tcPr>
          <w:tcW w:w="365" w:type="pct"/>
        </w:tcPr>
        <w:p w14:paraId="04C595D2" w14:textId="77777777" w:rsidR="00F6696E" w:rsidRDefault="00F6696E" w:rsidP="000850A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62877">
            <w:rPr>
              <w:i/>
              <w:noProof/>
              <w:sz w:val="18"/>
            </w:rPr>
            <w:t>i</w:t>
          </w:r>
          <w:r w:rsidRPr="00ED79B6">
            <w:rPr>
              <w:i/>
              <w:sz w:val="18"/>
            </w:rPr>
            <w:fldChar w:fldCharType="end"/>
          </w:r>
        </w:p>
      </w:tc>
    </w:tr>
    <w:tr w:rsidR="00F6696E" w14:paraId="3608D71E" w14:textId="77777777" w:rsidTr="00A87A58">
      <w:tc>
        <w:tcPr>
          <w:tcW w:w="5000" w:type="pct"/>
          <w:gridSpan w:val="3"/>
        </w:tcPr>
        <w:p w14:paraId="4F060C0B" w14:textId="77777777" w:rsidR="00F6696E" w:rsidRDefault="00F6696E" w:rsidP="000850AC">
          <w:pPr>
            <w:rPr>
              <w:sz w:val="18"/>
            </w:rPr>
          </w:pPr>
        </w:p>
      </w:tc>
    </w:tr>
  </w:tbl>
  <w:p w14:paraId="0C315A91" w14:textId="77777777" w:rsidR="00F6696E" w:rsidRPr="00ED79B6" w:rsidRDefault="00F6696E" w:rsidP="003278F2">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A5F1D2" w14:textId="77777777" w:rsidR="008C2EAC" w:rsidRPr="002B0EA5" w:rsidRDefault="008C2EAC"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8C2EAC" w14:paraId="088E3390" w14:textId="77777777" w:rsidTr="00A87A58">
      <w:tc>
        <w:tcPr>
          <w:tcW w:w="365" w:type="pct"/>
        </w:tcPr>
        <w:p w14:paraId="663ADAC8" w14:textId="77777777" w:rsidR="008C2EAC" w:rsidRDefault="008C2EAC" w:rsidP="000850A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62877">
            <w:rPr>
              <w:i/>
              <w:noProof/>
              <w:sz w:val="18"/>
            </w:rPr>
            <w:t>6</w:t>
          </w:r>
          <w:r w:rsidRPr="00ED79B6">
            <w:rPr>
              <w:i/>
              <w:sz w:val="18"/>
            </w:rPr>
            <w:fldChar w:fldCharType="end"/>
          </w:r>
        </w:p>
      </w:tc>
      <w:tc>
        <w:tcPr>
          <w:tcW w:w="3688" w:type="pct"/>
        </w:tcPr>
        <w:p w14:paraId="7AE80E28" w14:textId="21A07B94" w:rsidR="008C2EAC" w:rsidRDefault="008C2EAC"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4556CD">
            <w:rPr>
              <w:i/>
              <w:noProof/>
              <w:sz w:val="18"/>
            </w:rPr>
            <w:t>Education Services for Overseas Students (Calculation of Refund) Instrument 2024</w:t>
          </w:r>
          <w:r w:rsidRPr="004E1307">
            <w:rPr>
              <w:i/>
              <w:sz w:val="18"/>
            </w:rPr>
            <w:fldChar w:fldCharType="end"/>
          </w:r>
        </w:p>
      </w:tc>
      <w:tc>
        <w:tcPr>
          <w:tcW w:w="947" w:type="pct"/>
        </w:tcPr>
        <w:p w14:paraId="33741D20" w14:textId="77777777" w:rsidR="008C2EAC" w:rsidRDefault="008C2EAC" w:rsidP="000850AC">
          <w:pPr>
            <w:spacing w:line="0" w:lineRule="atLeast"/>
            <w:jc w:val="right"/>
            <w:rPr>
              <w:sz w:val="18"/>
            </w:rPr>
          </w:pPr>
        </w:p>
      </w:tc>
    </w:tr>
    <w:tr w:rsidR="008C2EAC" w14:paraId="4E4203DF" w14:textId="77777777" w:rsidTr="00A87A58">
      <w:tc>
        <w:tcPr>
          <w:tcW w:w="5000" w:type="pct"/>
          <w:gridSpan w:val="3"/>
        </w:tcPr>
        <w:p w14:paraId="525CD41B" w14:textId="77777777" w:rsidR="008C2EAC" w:rsidRDefault="008C2EAC" w:rsidP="000850AC">
          <w:pPr>
            <w:jc w:val="right"/>
            <w:rPr>
              <w:sz w:val="18"/>
            </w:rPr>
          </w:pPr>
        </w:p>
      </w:tc>
    </w:tr>
  </w:tbl>
  <w:p w14:paraId="559B69B6" w14:textId="77777777" w:rsidR="008C2EAC" w:rsidRPr="00ED79B6" w:rsidRDefault="008C2EAC" w:rsidP="000A6C6A">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822D0" w14:textId="77777777" w:rsidR="008C2EAC" w:rsidRPr="002B0EA5" w:rsidRDefault="008C2EAC"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8C2EAC" w14:paraId="24E0FD1C" w14:textId="77777777" w:rsidTr="00A87A58">
      <w:tc>
        <w:tcPr>
          <w:tcW w:w="947" w:type="pct"/>
        </w:tcPr>
        <w:p w14:paraId="30CC4C5F" w14:textId="77777777" w:rsidR="008C2EAC" w:rsidRDefault="008C2EAC" w:rsidP="000850AC">
          <w:pPr>
            <w:spacing w:line="0" w:lineRule="atLeast"/>
            <w:rPr>
              <w:sz w:val="18"/>
            </w:rPr>
          </w:pPr>
        </w:p>
      </w:tc>
      <w:tc>
        <w:tcPr>
          <w:tcW w:w="3688" w:type="pct"/>
        </w:tcPr>
        <w:p w14:paraId="289AA4F1" w14:textId="2B1919B9" w:rsidR="008C2EAC" w:rsidRDefault="008C2EAC"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4556CD">
            <w:rPr>
              <w:i/>
              <w:noProof/>
              <w:sz w:val="18"/>
            </w:rPr>
            <w:t>Education Services for Overseas Students (Calculation of Refund) Instrument 2024</w:t>
          </w:r>
          <w:r w:rsidRPr="004E1307">
            <w:rPr>
              <w:i/>
              <w:sz w:val="18"/>
            </w:rPr>
            <w:fldChar w:fldCharType="end"/>
          </w:r>
        </w:p>
      </w:tc>
      <w:tc>
        <w:tcPr>
          <w:tcW w:w="365" w:type="pct"/>
        </w:tcPr>
        <w:p w14:paraId="4FB66F84" w14:textId="77777777" w:rsidR="008C2EAC" w:rsidRDefault="008C2EAC" w:rsidP="000850A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62877">
            <w:rPr>
              <w:i/>
              <w:noProof/>
              <w:sz w:val="18"/>
            </w:rPr>
            <w:t>1</w:t>
          </w:r>
          <w:r w:rsidRPr="00ED79B6">
            <w:rPr>
              <w:i/>
              <w:sz w:val="18"/>
            </w:rPr>
            <w:fldChar w:fldCharType="end"/>
          </w:r>
        </w:p>
      </w:tc>
    </w:tr>
    <w:tr w:rsidR="008C2EAC" w14:paraId="4A2B8920" w14:textId="77777777" w:rsidTr="00A87A58">
      <w:tc>
        <w:tcPr>
          <w:tcW w:w="5000" w:type="pct"/>
          <w:gridSpan w:val="3"/>
        </w:tcPr>
        <w:p w14:paraId="665AF310" w14:textId="77777777" w:rsidR="008C2EAC" w:rsidRDefault="008C2EAC" w:rsidP="000850AC">
          <w:pPr>
            <w:rPr>
              <w:sz w:val="18"/>
            </w:rPr>
          </w:pPr>
        </w:p>
      </w:tc>
    </w:tr>
  </w:tbl>
  <w:p w14:paraId="03386213" w14:textId="77777777" w:rsidR="008C2EAC" w:rsidRPr="00ED79B6" w:rsidRDefault="008C2EAC" w:rsidP="003278F2">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BF008F" w14:textId="77777777" w:rsidR="00015B8F" w:rsidRDefault="00015B8F" w:rsidP="00715914">
      <w:pPr>
        <w:spacing w:line="240" w:lineRule="auto"/>
      </w:pPr>
      <w:r>
        <w:separator/>
      </w:r>
    </w:p>
  </w:footnote>
  <w:footnote w:type="continuationSeparator" w:id="0">
    <w:p w14:paraId="77D7AE44" w14:textId="77777777" w:rsidR="00015B8F" w:rsidRDefault="00015B8F" w:rsidP="00715914">
      <w:pPr>
        <w:spacing w:line="240" w:lineRule="auto"/>
      </w:pPr>
      <w:r>
        <w:continuationSeparator/>
      </w:r>
    </w:p>
  </w:footnote>
  <w:footnote w:type="continuationNotice" w:id="1">
    <w:p w14:paraId="06F761B9" w14:textId="77777777" w:rsidR="00015B8F" w:rsidRDefault="00015B8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A4D567" w14:textId="77777777" w:rsidR="00F6696E" w:rsidRPr="005F1388" w:rsidRDefault="00F6696E"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341A1" w14:textId="77777777" w:rsidR="00F6696E" w:rsidRPr="005F1388" w:rsidRDefault="00F6696E"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7205E" w14:textId="77777777" w:rsidR="00F6696E" w:rsidRPr="00ED79B6" w:rsidRDefault="00F6696E" w:rsidP="006442D3">
    <w:pPr>
      <w:pBdr>
        <w:bottom w:val="single" w:sz="6" w:space="1" w:color="auto"/>
      </w:pBdr>
      <w:spacing w:before="100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6B152D" w14:textId="77777777" w:rsidR="00F6696E" w:rsidRPr="00ED79B6" w:rsidRDefault="00F6696E" w:rsidP="006442D3">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2FA02" w14:textId="77777777" w:rsidR="00F6696E" w:rsidRPr="00ED79B6" w:rsidRDefault="00F6696E" w:rsidP="00715914">
    <w:pPr>
      <w:pStyle w:val="Header"/>
      <w:tabs>
        <w:tab w:val="clear" w:pos="4150"/>
        <w:tab w:val="clear" w:pos="8307"/>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4A2B04" w14:textId="77777777" w:rsidR="004E1307" w:rsidRDefault="004E1307" w:rsidP="00715914">
    <w:pPr>
      <w:rPr>
        <w:sz w:val="20"/>
      </w:rPr>
    </w:pPr>
  </w:p>
  <w:p w14:paraId="1961166A" w14:textId="77777777" w:rsidR="004E1307" w:rsidRDefault="004E1307" w:rsidP="00715914">
    <w:pPr>
      <w:rPr>
        <w:sz w:val="20"/>
      </w:rPr>
    </w:pPr>
  </w:p>
  <w:p w14:paraId="3CA5B1CE" w14:textId="77777777" w:rsidR="004E1307" w:rsidRPr="007A1328" w:rsidRDefault="004E1307" w:rsidP="00715914">
    <w:pPr>
      <w:rPr>
        <w:sz w:val="20"/>
      </w:rPr>
    </w:pPr>
  </w:p>
  <w:p w14:paraId="3BA308BF" w14:textId="77777777" w:rsidR="004E1307" w:rsidRPr="007A1328" w:rsidRDefault="004E1307" w:rsidP="00715914">
    <w:pPr>
      <w:rPr>
        <w:b/>
        <w:sz w:val="24"/>
      </w:rPr>
    </w:pPr>
  </w:p>
  <w:p w14:paraId="78936A37" w14:textId="77777777" w:rsidR="004E1307" w:rsidRPr="007A1328" w:rsidRDefault="004E1307" w:rsidP="00D6537E">
    <w:pPr>
      <w:pBdr>
        <w:bottom w:val="single" w:sz="6" w:space="1" w:color="auto"/>
      </w:pBdr>
      <w:spacing w:after="120"/>
      <w:rPr>
        <w:sz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9B5872" w14:textId="77777777" w:rsidR="004E1307" w:rsidRPr="007A1328" w:rsidRDefault="004E1307" w:rsidP="00715914">
    <w:pPr>
      <w:jc w:val="right"/>
      <w:rPr>
        <w:sz w:val="20"/>
      </w:rPr>
    </w:pPr>
  </w:p>
  <w:p w14:paraId="3B9CC9CF" w14:textId="77777777" w:rsidR="004E1307" w:rsidRPr="007A1328" w:rsidRDefault="004E1307" w:rsidP="00715914">
    <w:pPr>
      <w:jc w:val="right"/>
      <w:rPr>
        <w:sz w:val="20"/>
      </w:rPr>
    </w:pPr>
  </w:p>
  <w:p w14:paraId="08F6CD1D" w14:textId="77777777" w:rsidR="004E1307" w:rsidRPr="007A1328" w:rsidRDefault="004E1307" w:rsidP="00715914">
    <w:pPr>
      <w:jc w:val="right"/>
      <w:rPr>
        <w:sz w:val="20"/>
      </w:rPr>
    </w:pPr>
  </w:p>
  <w:p w14:paraId="7F278CE0" w14:textId="77777777" w:rsidR="004E1307" w:rsidRPr="007A1328" w:rsidRDefault="004E1307" w:rsidP="00715914">
    <w:pPr>
      <w:jc w:val="right"/>
      <w:rPr>
        <w:b/>
        <w:sz w:val="24"/>
      </w:rPr>
    </w:pPr>
  </w:p>
  <w:p w14:paraId="2B54682F" w14:textId="77777777" w:rsidR="004E1307" w:rsidRPr="007A1328" w:rsidRDefault="004E1307" w:rsidP="00D6537E">
    <w:pPr>
      <w:pBdr>
        <w:bottom w:val="single" w:sz="6" w:space="1" w:color="auto"/>
      </w:pBdr>
      <w:spacing w:after="120"/>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E14F5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72A7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D20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AE5B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82A8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DE60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9662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C0EC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78BA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6C98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ED5E09"/>
    <w:multiLevelType w:val="hybridMultilevel"/>
    <w:tmpl w:val="8638B622"/>
    <w:lvl w:ilvl="0" w:tplc="D9F06FA8">
      <w:start w:val="1"/>
      <w:numFmt w:val="decimal"/>
      <w:lvlText w:val="%1."/>
      <w:lvlJc w:val="left"/>
      <w:pPr>
        <w:ind w:left="1020" w:hanging="360"/>
      </w:pPr>
    </w:lvl>
    <w:lvl w:ilvl="1" w:tplc="FD683F12">
      <w:start w:val="1"/>
      <w:numFmt w:val="decimal"/>
      <w:lvlText w:val="%2."/>
      <w:lvlJc w:val="left"/>
      <w:pPr>
        <w:ind w:left="1020" w:hanging="360"/>
      </w:pPr>
    </w:lvl>
    <w:lvl w:ilvl="2" w:tplc="051AEFA8">
      <w:start w:val="1"/>
      <w:numFmt w:val="decimal"/>
      <w:lvlText w:val="%3."/>
      <w:lvlJc w:val="left"/>
      <w:pPr>
        <w:ind w:left="1020" w:hanging="360"/>
      </w:pPr>
    </w:lvl>
    <w:lvl w:ilvl="3" w:tplc="C3D8C03E">
      <w:start w:val="1"/>
      <w:numFmt w:val="decimal"/>
      <w:lvlText w:val="%4."/>
      <w:lvlJc w:val="left"/>
      <w:pPr>
        <w:ind w:left="1020" w:hanging="360"/>
      </w:pPr>
    </w:lvl>
    <w:lvl w:ilvl="4" w:tplc="C47C6398">
      <w:start w:val="1"/>
      <w:numFmt w:val="decimal"/>
      <w:lvlText w:val="%5."/>
      <w:lvlJc w:val="left"/>
      <w:pPr>
        <w:ind w:left="1020" w:hanging="360"/>
      </w:pPr>
    </w:lvl>
    <w:lvl w:ilvl="5" w:tplc="249A69EE">
      <w:start w:val="1"/>
      <w:numFmt w:val="decimal"/>
      <w:lvlText w:val="%6."/>
      <w:lvlJc w:val="left"/>
      <w:pPr>
        <w:ind w:left="1020" w:hanging="360"/>
      </w:pPr>
    </w:lvl>
    <w:lvl w:ilvl="6" w:tplc="579A33F2">
      <w:start w:val="1"/>
      <w:numFmt w:val="decimal"/>
      <w:lvlText w:val="%7."/>
      <w:lvlJc w:val="left"/>
      <w:pPr>
        <w:ind w:left="1020" w:hanging="360"/>
      </w:pPr>
    </w:lvl>
    <w:lvl w:ilvl="7" w:tplc="16F887CA">
      <w:start w:val="1"/>
      <w:numFmt w:val="decimal"/>
      <w:lvlText w:val="%8."/>
      <w:lvlJc w:val="left"/>
      <w:pPr>
        <w:ind w:left="1020" w:hanging="360"/>
      </w:pPr>
    </w:lvl>
    <w:lvl w:ilvl="8" w:tplc="F9F4C712">
      <w:start w:val="1"/>
      <w:numFmt w:val="decimal"/>
      <w:lvlText w:val="%9."/>
      <w:lvlJc w:val="left"/>
      <w:pPr>
        <w:ind w:left="1020" w:hanging="360"/>
      </w:pPr>
    </w:lvl>
  </w:abstractNum>
  <w:abstractNum w:abstractNumId="12"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B691E59"/>
    <w:multiLevelType w:val="hybridMultilevel"/>
    <w:tmpl w:val="D2F24D92"/>
    <w:lvl w:ilvl="0" w:tplc="3B0A3B9E">
      <w:start w:val="1"/>
      <w:numFmt w:val="decimal"/>
      <w:lvlText w:val="%1."/>
      <w:lvlJc w:val="left"/>
      <w:pPr>
        <w:ind w:left="1020" w:hanging="360"/>
      </w:pPr>
    </w:lvl>
    <w:lvl w:ilvl="1" w:tplc="7B5E5B64">
      <w:start w:val="1"/>
      <w:numFmt w:val="decimal"/>
      <w:lvlText w:val="%2."/>
      <w:lvlJc w:val="left"/>
      <w:pPr>
        <w:ind w:left="1020" w:hanging="360"/>
      </w:pPr>
    </w:lvl>
    <w:lvl w:ilvl="2" w:tplc="5FA0E01E">
      <w:start w:val="1"/>
      <w:numFmt w:val="decimal"/>
      <w:lvlText w:val="%3."/>
      <w:lvlJc w:val="left"/>
      <w:pPr>
        <w:ind w:left="1020" w:hanging="360"/>
      </w:pPr>
    </w:lvl>
    <w:lvl w:ilvl="3" w:tplc="622EF2C2">
      <w:start w:val="1"/>
      <w:numFmt w:val="decimal"/>
      <w:lvlText w:val="%4."/>
      <w:lvlJc w:val="left"/>
      <w:pPr>
        <w:ind w:left="1020" w:hanging="360"/>
      </w:pPr>
    </w:lvl>
    <w:lvl w:ilvl="4" w:tplc="917CC98A">
      <w:start w:val="1"/>
      <w:numFmt w:val="decimal"/>
      <w:lvlText w:val="%5."/>
      <w:lvlJc w:val="left"/>
      <w:pPr>
        <w:ind w:left="1020" w:hanging="360"/>
      </w:pPr>
    </w:lvl>
    <w:lvl w:ilvl="5" w:tplc="37344414">
      <w:start w:val="1"/>
      <w:numFmt w:val="decimal"/>
      <w:lvlText w:val="%6."/>
      <w:lvlJc w:val="left"/>
      <w:pPr>
        <w:ind w:left="1020" w:hanging="360"/>
      </w:pPr>
    </w:lvl>
    <w:lvl w:ilvl="6" w:tplc="1DC21894">
      <w:start w:val="1"/>
      <w:numFmt w:val="decimal"/>
      <w:lvlText w:val="%7."/>
      <w:lvlJc w:val="left"/>
      <w:pPr>
        <w:ind w:left="1020" w:hanging="360"/>
      </w:pPr>
    </w:lvl>
    <w:lvl w:ilvl="7" w:tplc="37F2CC24">
      <w:start w:val="1"/>
      <w:numFmt w:val="decimal"/>
      <w:lvlText w:val="%8."/>
      <w:lvlJc w:val="left"/>
      <w:pPr>
        <w:ind w:left="1020" w:hanging="360"/>
      </w:pPr>
    </w:lvl>
    <w:lvl w:ilvl="8" w:tplc="07CA19A4">
      <w:start w:val="1"/>
      <w:numFmt w:val="decimal"/>
      <w:lvlText w:val="%9."/>
      <w:lvlJc w:val="left"/>
      <w:pPr>
        <w:ind w:left="1020" w:hanging="360"/>
      </w:pPr>
    </w:lvl>
  </w:abstractNum>
  <w:abstractNum w:abstractNumId="14"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16cid:durableId="1838420344">
    <w:abstractNumId w:val="9"/>
  </w:num>
  <w:num w:numId="2" w16cid:durableId="1241450363">
    <w:abstractNumId w:val="7"/>
  </w:num>
  <w:num w:numId="3" w16cid:durableId="715739489">
    <w:abstractNumId w:val="6"/>
  </w:num>
  <w:num w:numId="4" w16cid:durableId="1506095095">
    <w:abstractNumId w:val="5"/>
  </w:num>
  <w:num w:numId="5" w16cid:durableId="1354065094">
    <w:abstractNumId w:val="4"/>
  </w:num>
  <w:num w:numId="6" w16cid:durableId="1453789088">
    <w:abstractNumId w:val="8"/>
  </w:num>
  <w:num w:numId="7" w16cid:durableId="969742814">
    <w:abstractNumId w:val="3"/>
  </w:num>
  <w:num w:numId="8" w16cid:durableId="1110005041">
    <w:abstractNumId w:val="2"/>
  </w:num>
  <w:num w:numId="9" w16cid:durableId="724642929">
    <w:abstractNumId w:val="1"/>
  </w:num>
  <w:num w:numId="10" w16cid:durableId="263153177">
    <w:abstractNumId w:val="0"/>
  </w:num>
  <w:num w:numId="11" w16cid:durableId="1766225962">
    <w:abstractNumId w:val="14"/>
  </w:num>
  <w:num w:numId="12" w16cid:durableId="885146219">
    <w:abstractNumId w:val="10"/>
  </w:num>
  <w:num w:numId="13" w16cid:durableId="1899703826">
    <w:abstractNumId w:val="12"/>
  </w:num>
  <w:num w:numId="14" w16cid:durableId="194929229">
    <w:abstractNumId w:val="13"/>
  </w:num>
  <w:num w:numId="15" w16cid:durableId="10076824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D67"/>
    <w:rsid w:val="00001E74"/>
    <w:rsid w:val="00002139"/>
    <w:rsid w:val="00004174"/>
    <w:rsid w:val="00004224"/>
    <w:rsid w:val="00004470"/>
    <w:rsid w:val="000136AF"/>
    <w:rsid w:val="00014AF3"/>
    <w:rsid w:val="00015B8F"/>
    <w:rsid w:val="000258B1"/>
    <w:rsid w:val="00030CAA"/>
    <w:rsid w:val="00040A89"/>
    <w:rsid w:val="000437C1"/>
    <w:rsid w:val="0004455A"/>
    <w:rsid w:val="0005365D"/>
    <w:rsid w:val="000614BF"/>
    <w:rsid w:val="0006442E"/>
    <w:rsid w:val="0006709C"/>
    <w:rsid w:val="00074376"/>
    <w:rsid w:val="0008607F"/>
    <w:rsid w:val="000978F5"/>
    <w:rsid w:val="000A2580"/>
    <w:rsid w:val="000B15CD"/>
    <w:rsid w:val="000B35EB"/>
    <w:rsid w:val="000B3DED"/>
    <w:rsid w:val="000B4BD8"/>
    <w:rsid w:val="000B5126"/>
    <w:rsid w:val="000C5BD7"/>
    <w:rsid w:val="000D05EF"/>
    <w:rsid w:val="000E2261"/>
    <w:rsid w:val="000E78B7"/>
    <w:rsid w:val="000E7E9A"/>
    <w:rsid w:val="000F13E5"/>
    <w:rsid w:val="000F21C1"/>
    <w:rsid w:val="0010745C"/>
    <w:rsid w:val="00122FF0"/>
    <w:rsid w:val="00126375"/>
    <w:rsid w:val="00132CEB"/>
    <w:rsid w:val="001339B0"/>
    <w:rsid w:val="001339C6"/>
    <w:rsid w:val="0014181F"/>
    <w:rsid w:val="00142B62"/>
    <w:rsid w:val="001441B7"/>
    <w:rsid w:val="001516CB"/>
    <w:rsid w:val="00152336"/>
    <w:rsid w:val="00157B8B"/>
    <w:rsid w:val="00166C2F"/>
    <w:rsid w:val="001809D7"/>
    <w:rsid w:val="001923E0"/>
    <w:rsid w:val="001939E1"/>
    <w:rsid w:val="00194C3E"/>
    <w:rsid w:val="00195382"/>
    <w:rsid w:val="001A12A0"/>
    <w:rsid w:val="001B2CB6"/>
    <w:rsid w:val="001C61C5"/>
    <w:rsid w:val="001C69C4"/>
    <w:rsid w:val="001D37EF"/>
    <w:rsid w:val="001E3590"/>
    <w:rsid w:val="001E7407"/>
    <w:rsid w:val="001F5D5E"/>
    <w:rsid w:val="001F6219"/>
    <w:rsid w:val="001F6CD4"/>
    <w:rsid w:val="00206C4D"/>
    <w:rsid w:val="00210723"/>
    <w:rsid w:val="00215AF1"/>
    <w:rsid w:val="00231DD4"/>
    <w:rsid w:val="002321E8"/>
    <w:rsid w:val="002325D5"/>
    <w:rsid w:val="00232984"/>
    <w:rsid w:val="0024010F"/>
    <w:rsid w:val="00240749"/>
    <w:rsid w:val="00243018"/>
    <w:rsid w:val="00245805"/>
    <w:rsid w:val="002564A4"/>
    <w:rsid w:val="002564BD"/>
    <w:rsid w:val="00261B03"/>
    <w:rsid w:val="0026736C"/>
    <w:rsid w:val="00281308"/>
    <w:rsid w:val="00284719"/>
    <w:rsid w:val="00291042"/>
    <w:rsid w:val="00297ECB"/>
    <w:rsid w:val="002A7BCF"/>
    <w:rsid w:val="002C3FD1"/>
    <w:rsid w:val="002D043A"/>
    <w:rsid w:val="002D266B"/>
    <w:rsid w:val="002D6224"/>
    <w:rsid w:val="002E7D4B"/>
    <w:rsid w:val="00304F8B"/>
    <w:rsid w:val="00335BC6"/>
    <w:rsid w:val="0033795B"/>
    <w:rsid w:val="00337B97"/>
    <w:rsid w:val="003415D3"/>
    <w:rsid w:val="00344338"/>
    <w:rsid w:val="00344701"/>
    <w:rsid w:val="00344F6D"/>
    <w:rsid w:val="003522CE"/>
    <w:rsid w:val="00352B0F"/>
    <w:rsid w:val="00360459"/>
    <w:rsid w:val="003647F5"/>
    <w:rsid w:val="0038049F"/>
    <w:rsid w:val="003C6231"/>
    <w:rsid w:val="003D0BFE"/>
    <w:rsid w:val="003D5700"/>
    <w:rsid w:val="003E341B"/>
    <w:rsid w:val="003E4D00"/>
    <w:rsid w:val="004116CD"/>
    <w:rsid w:val="00416491"/>
    <w:rsid w:val="00417EB9"/>
    <w:rsid w:val="0042141D"/>
    <w:rsid w:val="0042225D"/>
    <w:rsid w:val="00424CA9"/>
    <w:rsid w:val="00425583"/>
    <w:rsid w:val="0042670D"/>
    <w:rsid w:val="004276DF"/>
    <w:rsid w:val="00431E9B"/>
    <w:rsid w:val="004379E3"/>
    <w:rsid w:val="0044015E"/>
    <w:rsid w:val="0044291A"/>
    <w:rsid w:val="00452B18"/>
    <w:rsid w:val="004556CD"/>
    <w:rsid w:val="00456AB4"/>
    <w:rsid w:val="00467661"/>
    <w:rsid w:val="00472DBE"/>
    <w:rsid w:val="00474A19"/>
    <w:rsid w:val="00477830"/>
    <w:rsid w:val="00482CB6"/>
    <w:rsid w:val="00487764"/>
    <w:rsid w:val="00496F97"/>
    <w:rsid w:val="004A2A1E"/>
    <w:rsid w:val="004B0CBB"/>
    <w:rsid w:val="004B1AD6"/>
    <w:rsid w:val="004B6C48"/>
    <w:rsid w:val="004C4E59"/>
    <w:rsid w:val="004C5955"/>
    <w:rsid w:val="004C6809"/>
    <w:rsid w:val="004E063A"/>
    <w:rsid w:val="004E1307"/>
    <w:rsid w:val="004E7BEC"/>
    <w:rsid w:val="005000DF"/>
    <w:rsid w:val="005038BF"/>
    <w:rsid w:val="00505D3D"/>
    <w:rsid w:val="00506AF6"/>
    <w:rsid w:val="00512948"/>
    <w:rsid w:val="00516B8D"/>
    <w:rsid w:val="00527BEC"/>
    <w:rsid w:val="005303C8"/>
    <w:rsid w:val="00535A88"/>
    <w:rsid w:val="00537FBC"/>
    <w:rsid w:val="00545415"/>
    <w:rsid w:val="0054677E"/>
    <w:rsid w:val="00554826"/>
    <w:rsid w:val="00562877"/>
    <w:rsid w:val="00581EE4"/>
    <w:rsid w:val="00584811"/>
    <w:rsid w:val="00585784"/>
    <w:rsid w:val="00590879"/>
    <w:rsid w:val="00593AA6"/>
    <w:rsid w:val="00594161"/>
    <w:rsid w:val="00594749"/>
    <w:rsid w:val="005A3CB6"/>
    <w:rsid w:val="005A4EDB"/>
    <w:rsid w:val="005A65D5"/>
    <w:rsid w:val="005B2DE8"/>
    <w:rsid w:val="005B4067"/>
    <w:rsid w:val="005C0830"/>
    <w:rsid w:val="005C3F41"/>
    <w:rsid w:val="005D1D92"/>
    <w:rsid w:val="005D24DF"/>
    <w:rsid w:val="005D2D09"/>
    <w:rsid w:val="005E5CC4"/>
    <w:rsid w:val="00600219"/>
    <w:rsid w:val="00604F2A"/>
    <w:rsid w:val="006063FA"/>
    <w:rsid w:val="00620076"/>
    <w:rsid w:val="00621918"/>
    <w:rsid w:val="00627E0A"/>
    <w:rsid w:val="0063408C"/>
    <w:rsid w:val="0065488B"/>
    <w:rsid w:val="00670EA1"/>
    <w:rsid w:val="00677CC2"/>
    <w:rsid w:val="00682A70"/>
    <w:rsid w:val="00683B29"/>
    <w:rsid w:val="0068744B"/>
    <w:rsid w:val="00687463"/>
    <w:rsid w:val="006905DE"/>
    <w:rsid w:val="0069207B"/>
    <w:rsid w:val="006A154F"/>
    <w:rsid w:val="006A437B"/>
    <w:rsid w:val="006B5789"/>
    <w:rsid w:val="006C30C5"/>
    <w:rsid w:val="006C7F8C"/>
    <w:rsid w:val="006E2E1C"/>
    <w:rsid w:val="006E4F0F"/>
    <w:rsid w:val="006E6246"/>
    <w:rsid w:val="006E69C2"/>
    <w:rsid w:val="006E6DCC"/>
    <w:rsid w:val="006F1CA9"/>
    <w:rsid w:val="006F318F"/>
    <w:rsid w:val="0070017E"/>
    <w:rsid w:val="00700B2C"/>
    <w:rsid w:val="007050A2"/>
    <w:rsid w:val="00713084"/>
    <w:rsid w:val="00714526"/>
    <w:rsid w:val="00714F20"/>
    <w:rsid w:val="0071590F"/>
    <w:rsid w:val="00715914"/>
    <w:rsid w:val="0072147A"/>
    <w:rsid w:val="00722EC5"/>
    <w:rsid w:val="00723791"/>
    <w:rsid w:val="00726462"/>
    <w:rsid w:val="00731E00"/>
    <w:rsid w:val="007328D6"/>
    <w:rsid w:val="007440B7"/>
    <w:rsid w:val="007500C8"/>
    <w:rsid w:val="00754FB0"/>
    <w:rsid w:val="00756272"/>
    <w:rsid w:val="00762D38"/>
    <w:rsid w:val="00763863"/>
    <w:rsid w:val="00771048"/>
    <w:rsid w:val="007715C9"/>
    <w:rsid w:val="00771613"/>
    <w:rsid w:val="00774EDD"/>
    <w:rsid w:val="007757EC"/>
    <w:rsid w:val="00783E89"/>
    <w:rsid w:val="00786499"/>
    <w:rsid w:val="00793915"/>
    <w:rsid w:val="007C2253"/>
    <w:rsid w:val="007D7911"/>
    <w:rsid w:val="007E163D"/>
    <w:rsid w:val="007E17E5"/>
    <w:rsid w:val="007E667A"/>
    <w:rsid w:val="007F1379"/>
    <w:rsid w:val="007F28C9"/>
    <w:rsid w:val="007F51B2"/>
    <w:rsid w:val="00800DD3"/>
    <w:rsid w:val="008040DD"/>
    <w:rsid w:val="008117E9"/>
    <w:rsid w:val="00824498"/>
    <w:rsid w:val="00826BD1"/>
    <w:rsid w:val="00837DCE"/>
    <w:rsid w:val="008526F5"/>
    <w:rsid w:val="008548AA"/>
    <w:rsid w:val="00854D0B"/>
    <w:rsid w:val="00856A31"/>
    <w:rsid w:val="00860B4E"/>
    <w:rsid w:val="00861B6C"/>
    <w:rsid w:val="00862A7A"/>
    <w:rsid w:val="00867B37"/>
    <w:rsid w:val="008754D0"/>
    <w:rsid w:val="00875D13"/>
    <w:rsid w:val="008855C9"/>
    <w:rsid w:val="00886456"/>
    <w:rsid w:val="00892C69"/>
    <w:rsid w:val="00896176"/>
    <w:rsid w:val="008A46E1"/>
    <w:rsid w:val="008A4F43"/>
    <w:rsid w:val="008B0D41"/>
    <w:rsid w:val="008B2706"/>
    <w:rsid w:val="008B77A8"/>
    <w:rsid w:val="008C2EAC"/>
    <w:rsid w:val="008D0EE0"/>
    <w:rsid w:val="008E0027"/>
    <w:rsid w:val="008E150D"/>
    <w:rsid w:val="008E2701"/>
    <w:rsid w:val="008E6067"/>
    <w:rsid w:val="008F0C2E"/>
    <w:rsid w:val="008F54E7"/>
    <w:rsid w:val="008F54EA"/>
    <w:rsid w:val="00903422"/>
    <w:rsid w:val="00907C93"/>
    <w:rsid w:val="009254C3"/>
    <w:rsid w:val="00932377"/>
    <w:rsid w:val="00941236"/>
    <w:rsid w:val="00943FD5"/>
    <w:rsid w:val="00947621"/>
    <w:rsid w:val="00947D5A"/>
    <w:rsid w:val="009532A5"/>
    <w:rsid w:val="009545BD"/>
    <w:rsid w:val="00964CF0"/>
    <w:rsid w:val="00966C52"/>
    <w:rsid w:val="00977806"/>
    <w:rsid w:val="00982242"/>
    <w:rsid w:val="009868E9"/>
    <w:rsid w:val="009900A3"/>
    <w:rsid w:val="009B4F01"/>
    <w:rsid w:val="009C3413"/>
    <w:rsid w:val="009C5AE3"/>
    <w:rsid w:val="00A012B7"/>
    <w:rsid w:val="00A0441E"/>
    <w:rsid w:val="00A12128"/>
    <w:rsid w:val="00A17164"/>
    <w:rsid w:val="00A22C98"/>
    <w:rsid w:val="00A231E2"/>
    <w:rsid w:val="00A369E3"/>
    <w:rsid w:val="00A52B0D"/>
    <w:rsid w:val="00A57600"/>
    <w:rsid w:val="00A64912"/>
    <w:rsid w:val="00A655E3"/>
    <w:rsid w:val="00A6622E"/>
    <w:rsid w:val="00A70A74"/>
    <w:rsid w:val="00A75FE9"/>
    <w:rsid w:val="00A9757B"/>
    <w:rsid w:val="00AC3273"/>
    <w:rsid w:val="00AD53CC"/>
    <w:rsid w:val="00AD5641"/>
    <w:rsid w:val="00AF06CF"/>
    <w:rsid w:val="00B01BD7"/>
    <w:rsid w:val="00B07CDB"/>
    <w:rsid w:val="00B16A31"/>
    <w:rsid w:val="00B17DFD"/>
    <w:rsid w:val="00B25306"/>
    <w:rsid w:val="00B25858"/>
    <w:rsid w:val="00B27831"/>
    <w:rsid w:val="00B308FE"/>
    <w:rsid w:val="00B33709"/>
    <w:rsid w:val="00B33B3C"/>
    <w:rsid w:val="00B36392"/>
    <w:rsid w:val="00B36AC0"/>
    <w:rsid w:val="00B418CB"/>
    <w:rsid w:val="00B4640E"/>
    <w:rsid w:val="00B47444"/>
    <w:rsid w:val="00B50ADC"/>
    <w:rsid w:val="00B566B1"/>
    <w:rsid w:val="00B63834"/>
    <w:rsid w:val="00B72D67"/>
    <w:rsid w:val="00B80199"/>
    <w:rsid w:val="00B83204"/>
    <w:rsid w:val="00B84B35"/>
    <w:rsid w:val="00B856E7"/>
    <w:rsid w:val="00BA220B"/>
    <w:rsid w:val="00BA3A57"/>
    <w:rsid w:val="00BB1533"/>
    <w:rsid w:val="00BB2492"/>
    <w:rsid w:val="00BB4E1A"/>
    <w:rsid w:val="00BC015E"/>
    <w:rsid w:val="00BC4580"/>
    <w:rsid w:val="00BC76AC"/>
    <w:rsid w:val="00BD0ECB"/>
    <w:rsid w:val="00BE2155"/>
    <w:rsid w:val="00BE42BD"/>
    <w:rsid w:val="00BE6D91"/>
    <w:rsid w:val="00BE719A"/>
    <w:rsid w:val="00BE720A"/>
    <w:rsid w:val="00BF0D73"/>
    <w:rsid w:val="00BF2465"/>
    <w:rsid w:val="00C04A67"/>
    <w:rsid w:val="00C111DC"/>
    <w:rsid w:val="00C13862"/>
    <w:rsid w:val="00C16619"/>
    <w:rsid w:val="00C25E7F"/>
    <w:rsid w:val="00C2746F"/>
    <w:rsid w:val="00C323D6"/>
    <w:rsid w:val="00C324A0"/>
    <w:rsid w:val="00C3498C"/>
    <w:rsid w:val="00C42BF8"/>
    <w:rsid w:val="00C50043"/>
    <w:rsid w:val="00C65C74"/>
    <w:rsid w:val="00C7573B"/>
    <w:rsid w:val="00C97A54"/>
    <w:rsid w:val="00CA5B23"/>
    <w:rsid w:val="00CB3EA4"/>
    <w:rsid w:val="00CB602E"/>
    <w:rsid w:val="00CB7E90"/>
    <w:rsid w:val="00CC5AE0"/>
    <w:rsid w:val="00CE051D"/>
    <w:rsid w:val="00CE1335"/>
    <w:rsid w:val="00CE493D"/>
    <w:rsid w:val="00CF07FA"/>
    <w:rsid w:val="00CF0BB2"/>
    <w:rsid w:val="00CF3EE8"/>
    <w:rsid w:val="00D13441"/>
    <w:rsid w:val="00D150E7"/>
    <w:rsid w:val="00D15E6E"/>
    <w:rsid w:val="00D52DC2"/>
    <w:rsid w:val="00D53BCC"/>
    <w:rsid w:val="00D548C0"/>
    <w:rsid w:val="00D54C9E"/>
    <w:rsid w:val="00D56701"/>
    <w:rsid w:val="00D61913"/>
    <w:rsid w:val="00D6537E"/>
    <w:rsid w:val="00D70DFB"/>
    <w:rsid w:val="00D7341A"/>
    <w:rsid w:val="00D73C80"/>
    <w:rsid w:val="00D766DF"/>
    <w:rsid w:val="00D8206C"/>
    <w:rsid w:val="00D91F10"/>
    <w:rsid w:val="00DA186E"/>
    <w:rsid w:val="00DA4116"/>
    <w:rsid w:val="00DB251C"/>
    <w:rsid w:val="00DB4630"/>
    <w:rsid w:val="00DC2E10"/>
    <w:rsid w:val="00DC4F88"/>
    <w:rsid w:val="00DC59BC"/>
    <w:rsid w:val="00DD1C91"/>
    <w:rsid w:val="00DE107C"/>
    <w:rsid w:val="00DF2388"/>
    <w:rsid w:val="00E03A50"/>
    <w:rsid w:val="00E05704"/>
    <w:rsid w:val="00E32F4F"/>
    <w:rsid w:val="00E338EF"/>
    <w:rsid w:val="00E544BB"/>
    <w:rsid w:val="00E54E18"/>
    <w:rsid w:val="00E63D03"/>
    <w:rsid w:val="00E65EC9"/>
    <w:rsid w:val="00E66B15"/>
    <w:rsid w:val="00E74DC7"/>
    <w:rsid w:val="00E8075A"/>
    <w:rsid w:val="00E9371C"/>
    <w:rsid w:val="00E938CF"/>
    <w:rsid w:val="00E940D8"/>
    <w:rsid w:val="00E94D5E"/>
    <w:rsid w:val="00EA7100"/>
    <w:rsid w:val="00EA7F9F"/>
    <w:rsid w:val="00EB1274"/>
    <w:rsid w:val="00ED2BB6"/>
    <w:rsid w:val="00ED34E1"/>
    <w:rsid w:val="00ED3B8D"/>
    <w:rsid w:val="00EE5E36"/>
    <w:rsid w:val="00EF2E3A"/>
    <w:rsid w:val="00F02C7C"/>
    <w:rsid w:val="00F072A7"/>
    <w:rsid w:val="00F078DC"/>
    <w:rsid w:val="00F3022F"/>
    <w:rsid w:val="00F32BA8"/>
    <w:rsid w:val="00F32EE0"/>
    <w:rsid w:val="00F334C4"/>
    <w:rsid w:val="00F33F0C"/>
    <w:rsid w:val="00F349F1"/>
    <w:rsid w:val="00F35F2B"/>
    <w:rsid w:val="00F4350D"/>
    <w:rsid w:val="00F45ED4"/>
    <w:rsid w:val="00F467FE"/>
    <w:rsid w:val="00F471A5"/>
    <w:rsid w:val="00F479C4"/>
    <w:rsid w:val="00F5179F"/>
    <w:rsid w:val="00F567F7"/>
    <w:rsid w:val="00F660DC"/>
    <w:rsid w:val="00F6696E"/>
    <w:rsid w:val="00F67236"/>
    <w:rsid w:val="00F73BD6"/>
    <w:rsid w:val="00F8226F"/>
    <w:rsid w:val="00F82839"/>
    <w:rsid w:val="00F83989"/>
    <w:rsid w:val="00F85099"/>
    <w:rsid w:val="00F9379C"/>
    <w:rsid w:val="00F9632C"/>
    <w:rsid w:val="00FA1E52"/>
    <w:rsid w:val="00FB5A08"/>
    <w:rsid w:val="00FC01B2"/>
    <w:rsid w:val="00FC6A80"/>
    <w:rsid w:val="00FE3E6E"/>
    <w:rsid w:val="00FE4688"/>
    <w:rsid w:val="00FF57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D59D2"/>
  <w15:docId w15:val="{0A8E6EEF-3D69-45CD-B916-3EB845605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paragraph" w:styleId="Revision">
    <w:name w:val="Revision"/>
    <w:hidden/>
    <w:uiPriority w:val="99"/>
    <w:semiHidden/>
    <w:rsid w:val="00590879"/>
    <w:rPr>
      <w:sz w:val="22"/>
    </w:rPr>
  </w:style>
  <w:style w:type="character" w:styleId="CommentReference">
    <w:name w:val="annotation reference"/>
    <w:basedOn w:val="DefaultParagraphFont"/>
    <w:uiPriority w:val="99"/>
    <w:semiHidden/>
    <w:unhideWhenUsed/>
    <w:rsid w:val="00590879"/>
    <w:rPr>
      <w:sz w:val="16"/>
      <w:szCs w:val="16"/>
    </w:rPr>
  </w:style>
  <w:style w:type="paragraph" w:styleId="CommentText">
    <w:name w:val="annotation text"/>
    <w:basedOn w:val="Normal"/>
    <w:link w:val="CommentTextChar"/>
    <w:uiPriority w:val="99"/>
    <w:unhideWhenUsed/>
    <w:rsid w:val="00590879"/>
    <w:pPr>
      <w:spacing w:line="240" w:lineRule="auto"/>
    </w:pPr>
    <w:rPr>
      <w:sz w:val="20"/>
    </w:rPr>
  </w:style>
  <w:style w:type="character" w:customStyle="1" w:styleId="CommentTextChar">
    <w:name w:val="Comment Text Char"/>
    <w:basedOn w:val="DefaultParagraphFont"/>
    <w:link w:val="CommentText"/>
    <w:uiPriority w:val="99"/>
    <w:rsid w:val="00590879"/>
  </w:style>
  <w:style w:type="paragraph" w:styleId="CommentSubject">
    <w:name w:val="annotation subject"/>
    <w:basedOn w:val="CommentText"/>
    <w:next w:val="CommentText"/>
    <w:link w:val="CommentSubjectChar"/>
    <w:uiPriority w:val="99"/>
    <w:semiHidden/>
    <w:unhideWhenUsed/>
    <w:rsid w:val="00590879"/>
    <w:rPr>
      <w:b/>
      <w:bCs/>
    </w:rPr>
  </w:style>
  <w:style w:type="character" w:customStyle="1" w:styleId="CommentSubjectChar">
    <w:name w:val="Comment Subject Char"/>
    <w:basedOn w:val="CommentTextChar"/>
    <w:link w:val="CommentSubject"/>
    <w:uiPriority w:val="99"/>
    <w:semiHidden/>
    <w:rsid w:val="00590879"/>
    <w:rPr>
      <w:b/>
      <w:bCs/>
    </w:rPr>
  </w:style>
  <w:style w:type="character" w:styleId="PlaceholderText">
    <w:name w:val="Placeholder Text"/>
    <w:basedOn w:val="DefaultParagraphFont"/>
    <w:uiPriority w:val="99"/>
    <w:semiHidden/>
    <w:rsid w:val="00D548C0"/>
    <w:rPr>
      <w:color w:val="666666"/>
    </w:rPr>
  </w:style>
  <w:style w:type="character" w:styleId="Mention">
    <w:name w:val="Mention"/>
    <w:basedOn w:val="DefaultParagraphFont"/>
    <w:uiPriority w:val="99"/>
    <w:unhideWhenUsed/>
    <w:rsid w:val="00D73C80"/>
    <w:rPr>
      <w:color w:val="2B579A"/>
      <w:shd w:val="clear" w:color="auto" w:fill="E1DFDD"/>
    </w:rPr>
  </w:style>
  <w:style w:type="character" w:styleId="Hyperlink">
    <w:name w:val="Hyperlink"/>
    <w:basedOn w:val="DefaultParagraphFont"/>
    <w:uiPriority w:val="99"/>
    <w:unhideWhenUsed/>
    <w:rsid w:val="00722EC5"/>
    <w:rPr>
      <w:color w:val="0000FF" w:themeColor="hyperlink"/>
      <w:u w:val="single"/>
    </w:rPr>
  </w:style>
  <w:style w:type="character" w:styleId="UnresolvedMention">
    <w:name w:val="Unresolved Mention"/>
    <w:basedOn w:val="DefaultParagraphFont"/>
    <w:uiPriority w:val="99"/>
    <w:semiHidden/>
    <w:unhideWhenUsed/>
    <w:rsid w:val="00722E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image" Target="media/image4.emf"/><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emf"/><Relationship Id="rId28"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2.emf"/><Relationship Id="rId27" Type="http://schemas.openxmlformats.org/officeDocument/2006/relationships/footer" Target="foot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9CEF9670-10AD-4EF5-BF87-1B651F6AF4A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5BF71A189E02F149BE7023BB76DB2DFC" ma:contentTypeVersion="" ma:contentTypeDescription="PDMS Document Site Content Type" ma:contentTypeScope="" ma:versionID="80f24a7b46f70689d1764c3b86f18d23">
  <xsd:schema xmlns:xsd="http://www.w3.org/2001/XMLSchema" xmlns:xs="http://www.w3.org/2001/XMLSchema" xmlns:p="http://schemas.microsoft.com/office/2006/metadata/properties" xmlns:ns2="9CEF9670-10AD-4EF5-BF87-1B651F6AF4A8" targetNamespace="http://schemas.microsoft.com/office/2006/metadata/properties" ma:root="true" ma:fieldsID="0b0a22d34bde82e93911bfc213d18d53" ns2:_="">
    <xsd:import namespace="9CEF9670-10AD-4EF5-BF87-1B651F6AF4A8"/>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EF9670-10AD-4EF5-BF87-1B651F6AF4A8"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FD36AF-A819-459A-92DF-82B4F6D44AE0}">
  <ds:schemaRefs>
    <ds:schemaRef ds:uri="http://schemas.openxmlformats.org/officeDocument/2006/bibliography"/>
  </ds:schemaRefs>
</ds:datastoreItem>
</file>

<file path=customXml/itemProps2.xml><?xml version="1.0" encoding="utf-8"?>
<ds:datastoreItem xmlns:ds="http://schemas.openxmlformats.org/officeDocument/2006/customXml" ds:itemID="{EACE5BF0-C801-442D-A4EB-9B6CA6C15396}">
  <ds:schemaRefs>
    <ds:schemaRef ds:uri="http://schemas.microsoft.com/office/2006/metadata/properties"/>
    <ds:schemaRef ds:uri="http://schemas.microsoft.com/office/infopath/2007/PartnerControls"/>
    <ds:schemaRef ds:uri="7a9f974d-2bf6-4bb3-aad0-1612bd93efd1"/>
    <ds:schemaRef ds:uri="73c22b08-3b84-45e5-98c7-f74b37d5f50f"/>
    <ds:schemaRef ds:uri="9CEF9670-10AD-4EF5-BF87-1B651F6AF4A8"/>
  </ds:schemaRefs>
</ds:datastoreItem>
</file>

<file path=customXml/itemProps3.xml><?xml version="1.0" encoding="utf-8"?>
<ds:datastoreItem xmlns:ds="http://schemas.openxmlformats.org/officeDocument/2006/customXml" ds:itemID="{62B45098-C74F-4E46-BFCD-469C6A891848}">
  <ds:schemaRefs>
    <ds:schemaRef ds:uri="http://schemas.microsoft.com/sharepoint/v3/contenttype/forms"/>
  </ds:schemaRefs>
</ds:datastoreItem>
</file>

<file path=customXml/itemProps4.xml><?xml version="1.0" encoding="utf-8"?>
<ds:datastoreItem xmlns:ds="http://schemas.openxmlformats.org/officeDocument/2006/customXml" ds:itemID="{2D562990-D8C8-4CF5-B2E7-DE6A56065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EF9670-10AD-4EF5-BF87-1B651F6AF4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803</Words>
  <Characters>4580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MALET,Tabitha</dc:creator>
  <cp:lastModifiedBy>James McLaren</cp:lastModifiedBy>
  <cp:revision>3</cp:revision>
  <dcterms:created xsi:type="dcterms:W3CDTF">2024-09-26T02:34:00Z</dcterms:created>
  <dcterms:modified xsi:type="dcterms:W3CDTF">2024-09-26T21:36:00Z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2024-07-17T02:03:24Z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6cb77688-7d82-4e8c-874e-22d726d092be</vt:lpwstr>
  </property>
  <property fmtid="{D5CDD505-2E9C-101B-9397-08002B2CF9AE}" pid="8" name="MSIP_Label_79d889eb-932f-4752-8739-64d25806ef64_ContentBits">
    <vt:lpwstr>0</vt:lpwstr>
  </property>
  <property fmtid="{D5CDD505-2E9C-101B-9397-08002B2CF9AE}" pid="9" name="ContentTypeId">
    <vt:lpwstr>0x010100266966F133664895A6EE3632470D45F5005BF71A189E02F149BE7023BB76DB2DFC</vt:lpwstr>
  </property>
  <property fmtid="{D5CDD505-2E9C-101B-9397-08002B2CF9AE}" pid="10" name="MediaServiceImageTags">
    <vt:lpwstr/>
  </property>
</Properties>
</file>