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EB3D" w14:textId="77777777" w:rsidR="00955175" w:rsidRDefault="00955175" w:rsidP="00E2168B">
      <w:pPr>
        <w:spacing w:before="280" w:after="240"/>
        <w:rPr>
          <w:b/>
          <w:sz w:val="32"/>
          <w:szCs w:val="32"/>
        </w:rPr>
      </w:pPr>
    </w:p>
    <w:p w14:paraId="0AAC3FC8" w14:textId="781C253F" w:rsidR="00955175" w:rsidRPr="00BD50D2" w:rsidRDefault="00FC6D88" w:rsidP="00E2168B">
      <w:pPr>
        <w:spacing w:before="280" w:after="240"/>
        <w:rPr>
          <w:b/>
          <w:sz w:val="32"/>
          <w:szCs w:val="32"/>
        </w:rPr>
      </w:pPr>
      <w:r w:rsidRPr="00BD50D2">
        <w:rPr>
          <w:noProof/>
        </w:rPr>
        <w:drawing>
          <wp:anchor distT="0" distB="0" distL="114300" distR="114300" simplePos="0" relativeHeight="251658240" behindDoc="0" locked="0" layoutInCell="1" allowOverlap="1" wp14:anchorId="7F506AFA" wp14:editId="5DCC0D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0" b="0"/>
            <wp:wrapSquare wrapText="bothSides"/>
            <wp:docPr id="3" name="Picture 3" descr="Commonwealth Coat of Arms and ASI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wealth Coat of Arms and ASIC logo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78D1D" w14:textId="77777777" w:rsidR="00955175" w:rsidRPr="00BD50D2" w:rsidRDefault="00955175" w:rsidP="00955175">
      <w:pPr>
        <w:pStyle w:val="LI-Title"/>
        <w:pBdr>
          <w:top w:val="none" w:sz="0" w:space="0" w:color="auto"/>
        </w:pBdr>
        <w:jc w:val="center"/>
      </w:pPr>
    </w:p>
    <w:p w14:paraId="5B8D4084" w14:textId="77777777" w:rsidR="00955175" w:rsidRPr="00BD50D2" w:rsidRDefault="00955175" w:rsidP="00955175">
      <w:pPr>
        <w:pStyle w:val="LI-Title"/>
        <w:pBdr>
          <w:top w:val="none" w:sz="0" w:space="0" w:color="auto"/>
        </w:pBdr>
        <w:jc w:val="center"/>
      </w:pPr>
      <w:r w:rsidRPr="00BD50D2">
        <w:t>Explanatory Statement</w:t>
      </w:r>
    </w:p>
    <w:p w14:paraId="54F0DD85" w14:textId="77777777" w:rsidR="00955175" w:rsidRPr="00BD50D2" w:rsidRDefault="00955175" w:rsidP="00955175">
      <w:pPr>
        <w:rPr>
          <w:lang w:eastAsia="en-AU"/>
        </w:rPr>
      </w:pPr>
    </w:p>
    <w:p w14:paraId="376F21CA" w14:textId="358052A5" w:rsidR="00C4170B" w:rsidRPr="00BD50D2" w:rsidRDefault="521BA25E" w:rsidP="563A0901">
      <w:pPr>
        <w:jc w:val="center"/>
        <w:rPr>
          <w:b/>
          <w:bCs/>
          <w:i/>
          <w:iCs/>
          <w:sz w:val="28"/>
          <w:szCs w:val="28"/>
          <w:lang w:eastAsia="en-AU"/>
        </w:rPr>
      </w:pPr>
      <w:r w:rsidRPr="00BD50D2">
        <w:rPr>
          <w:b/>
          <w:bCs/>
          <w:i/>
          <w:iCs/>
          <w:sz w:val="28"/>
          <w:szCs w:val="28"/>
          <w:lang w:eastAsia="en-AU"/>
        </w:rPr>
        <w:t>ASIC Corporations and Credit (Breach Reporting–Reportable Situations) Instrument 2024/620</w:t>
      </w:r>
    </w:p>
    <w:p w14:paraId="3D70207E" w14:textId="5E977EEC" w:rsidR="00863657" w:rsidRPr="00BD50D2" w:rsidRDefault="00F800C9" w:rsidP="00F800C9">
      <w:pPr>
        <w:pStyle w:val="LI-BodyTextParaa"/>
        <w:ind w:left="0" w:firstLine="0"/>
      </w:pPr>
      <w:bookmarkStart w:id="0" w:name="BK_S3P1L1C1"/>
      <w:bookmarkEnd w:id="0"/>
      <w:r w:rsidRPr="00BD50D2">
        <w:t>This is the Explanatory Statement for</w:t>
      </w:r>
      <w:r w:rsidR="69BD38A4" w:rsidRPr="00BD50D2">
        <w:t xml:space="preserve"> </w:t>
      </w:r>
      <w:r w:rsidR="69BD38A4" w:rsidRPr="00BD50D2">
        <w:rPr>
          <w:i/>
          <w:iCs/>
        </w:rPr>
        <w:t>ASIC Corporations and Credit (Breach Reporting–Reportable Situations) Instrument 2024/620</w:t>
      </w:r>
      <w:r w:rsidR="686143F2" w:rsidRPr="00BD50D2">
        <w:rPr>
          <w:i/>
          <w:iCs/>
        </w:rPr>
        <w:t xml:space="preserve"> </w:t>
      </w:r>
      <w:r w:rsidR="686143F2" w:rsidRPr="00BD50D2">
        <w:rPr>
          <w:b/>
          <w:bCs/>
        </w:rPr>
        <w:t>(</w:t>
      </w:r>
      <w:r w:rsidR="686143F2" w:rsidRPr="00BD50D2">
        <w:rPr>
          <w:b/>
          <w:bCs/>
          <w:i/>
          <w:iCs/>
        </w:rPr>
        <w:t>Instrument</w:t>
      </w:r>
      <w:r w:rsidR="686143F2" w:rsidRPr="00BD50D2">
        <w:t>)</w:t>
      </w:r>
      <w:r w:rsidRPr="00BD50D2">
        <w:rPr>
          <w:b/>
          <w:bCs/>
        </w:rPr>
        <w:t>.</w:t>
      </w:r>
    </w:p>
    <w:p w14:paraId="119B6103" w14:textId="77777777" w:rsidR="00F800C9" w:rsidRPr="00BD50D2" w:rsidRDefault="00863657" w:rsidP="00F800C9">
      <w:pPr>
        <w:pStyle w:val="LI-BodyTextParaa"/>
        <w:ind w:left="0" w:firstLine="0"/>
      </w:pPr>
      <w:r w:rsidRPr="00BD50D2">
        <w:t>Th</w:t>
      </w:r>
      <w:r w:rsidR="00F800C9" w:rsidRPr="00BD50D2">
        <w:t>e</w:t>
      </w:r>
      <w:r w:rsidRPr="00BD50D2">
        <w:t xml:space="preserve"> </w:t>
      </w:r>
      <w:r w:rsidR="00F800C9" w:rsidRPr="00BD50D2">
        <w:t>Explanatory Statement is approved by the Australian Securities and Investments Commission (</w:t>
      </w:r>
      <w:r w:rsidR="00F800C9" w:rsidRPr="00BD50D2">
        <w:rPr>
          <w:b/>
          <w:i/>
        </w:rPr>
        <w:t>ASIC</w:t>
      </w:r>
      <w:r w:rsidR="00F800C9" w:rsidRPr="00BD50D2">
        <w:t>).</w:t>
      </w:r>
    </w:p>
    <w:p w14:paraId="10E55E66" w14:textId="77777777" w:rsidR="00F800C9" w:rsidRPr="00BD50D2" w:rsidRDefault="005D1FEA" w:rsidP="006D6079">
      <w:pPr>
        <w:pStyle w:val="LI-BodyTextNumbered"/>
        <w:keepNext/>
        <w:ind w:left="0" w:firstLine="0"/>
        <w:rPr>
          <w:b/>
        </w:rPr>
      </w:pPr>
      <w:r w:rsidRPr="00BD50D2">
        <w:rPr>
          <w:b/>
        </w:rPr>
        <w:t>Summary</w:t>
      </w:r>
    </w:p>
    <w:p w14:paraId="74EB60C7" w14:textId="3A75907F" w:rsidR="779A9DF2" w:rsidRPr="00BD50D2" w:rsidRDefault="00F800C9" w:rsidP="3E2CB82B">
      <w:pPr>
        <w:pStyle w:val="LI-BodyTextParaa"/>
        <w:ind w:left="567"/>
      </w:pPr>
      <w:r w:rsidRPr="00BD50D2">
        <w:t>1</w:t>
      </w:r>
      <w:r w:rsidR="005D1FEA" w:rsidRPr="00BD50D2">
        <w:t>.</w:t>
      </w:r>
      <w:r w:rsidRPr="00BD50D2">
        <w:tab/>
      </w:r>
      <w:r w:rsidR="5D3A8393" w:rsidRPr="00BD50D2">
        <w:t xml:space="preserve">The Instrument </w:t>
      </w:r>
      <w:r w:rsidR="779A9DF2" w:rsidRPr="00BD50D2">
        <w:t xml:space="preserve">remakes and consolidates the following instruments that </w:t>
      </w:r>
      <w:r w:rsidR="008408CE" w:rsidRPr="00BD50D2">
        <w:t xml:space="preserve">were to </w:t>
      </w:r>
      <w:r w:rsidR="006D01BE" w:rsidRPr="00BD50D2">
        <w:t>expire</w:t>
      </w:r>
      <w:r w:rsidR="779A9DF2" w:rsidRPr="00BD50D2">
        <w:t xml:space="preserve"> on </w:t>
      </w:r>
      <w:r w:rsidR="004B2CC1" w:rsidRPr="00BD50D2">
        <w:t xml:space="preserve">5 and </w:t>
      </w:r>
      <w:r w:rsidR="7EB5F292" w:rsidRPr="00BD50D2">
        <w:t>1</w:t>
      </w:r>
      <w:r w:rsidR="779A9DF2" w:rsidRPr="00BD50D2">
        <w:t xml:space="preserve"> October 2024 respectively</w:t>
      </w:r>
      <w:r w:rsidR="004948B8" w:rsidRPr="00BD50D2">
        <w:t xml:space="preserve"> for </w:t>
      </w:r>
      <w:r w:rsidR="002437D8" w:rsidRPr="00BD50D2">
        <w:t>a five-year period until the start of 1 October 2029</w:t>
      </w:r>
      <w:r w:rsidR="779A9DF2" w:rsidRPr="00BD50D2">
        <w:t>:</w:t>
      </w:r>
    </w:p>
    <w:p w14:paraId="3576CCFA" w14:textId="77777777" w:rsidR="004B2CC1" w:rsidRPr="00BD50D2" w:rsidRDefault="00AD0317" w:rsidP="00AD0317">
      <w:pPr>
        <w:pStyle w:val="LI-BodyTextParaa"/>
        <w:ind w:left="1134"/>
      </w:pPr>
      <w:r w:rsidRPr="00BD50D2">
        <w:t>(</w:t>
      </w:r>
      <w:r w:rsidR="393E7506" w:rsidRPr="00BD50D2">
        <w:t>a</w:t>
      </w:r>
      <w:r w:rsidR="385D32B8" w:rsidRPr="00BD50D2">
        <w:t>)</w:t>
      </w:r>
      <w:r w:rsidRPr="00BD50D2">
        <w:tab/>
      </w:r>
      <w:r w:rsidR="00D5611C" w:rsidRPr="00BD50D2">
        <w:rPr>
          <w:i/>
          <w:iCs/>
        </w:rPr>
        <w:t>ASIC Corporations and Credit (Breach Reporting—Reportable Situations) Instrument 2021/716</w:t>
      </w:r>
      <w:r w:rsidR="00D5611C" w:rsidRPr="00BD50D2">
        <w:t xml:space="preserve"> (</w:t>
      </w:r>
      <w:r w:rsidR="00D5611C" w:rsidRPr="00BD50D2">
        <w:rPr>
          <w:b/>
          <w:bCs/>
          <w:i/>
          <w:iCs/>
        </w:rPr>
        <w:t>LI 2021/716</w:t>
      </w:r>
      <w:r w:rsidR="00D5611C" w:rsidRPr="00BD50D2">
        <w:t>)</w:t>
      </w:r>
      <w:r w:rsidR="004B2CC1" w:rsidRPr="00BD50D2">
        <w:t>; and</w:t>
      </w:r>
    </w:p>
    <w:p w14:paraId="06E42113" w14:textId="68ADFEE3" w:rsidR="35298AF7" w:rsidRPr="00BD50D2" w:rsidRDefault="004B2CC1" w:rsidP="004B2CC1">
      <w:pPr>
        <w:pStyle w:val="LI-BodyTextParaa"/>
        <w:ind w:left="1134"/>
      </w:pPr>
      <w:r w:rsidRPr="00BD50D2">
        <w:t>(b)</w:t>
      </w:r>
      <w:r w:rsidRPr="00BD50D2">
        <w:tab/>
      </w:r>
      <w:r w:rsidR="779A9DF2" w:rsidRPr="00BD50D2">
        <w:rPr>
          <w:i/>
          <w:iCs/>
        </w:rPr>
        <w:t>ASIC Credit (Breach Reporting—Prescribed Commonwealth Legislation) Instrument 2021/801</w:t>
      </w:r>
      <w:r w:rsidR="779A9DF2" w:rsidRPr="00BD50D2">
        <w:t xml:space="preserve"> (</w:t>
      </w:r>
      <w:r w:rsidR="779A9DF2" w:rsidRPr="00BD50D2">
        <w:rPr>
          <w:b/>
          <w:bCs/>
          <w:i/>
          <w:iCs/>
        </w:rPr>
        <w:t>LI 2021/801</w:t>
      </w:r>
      <w:r w:rsidR="779A9DF2" w:rsidRPr="00BD50D2">
        <w:t>)</w:t>
      </w:r>
      <w:r w:rsidRPr="00BD50D2">
        <w:t>.</w:t>
      </w:r>
    </w:p>
    <w:p w14:paraId="2E239E91" w14:textId="03A28708" w:rsidR="00137D4B" w:rsidRDefault="00B64595" w:rsidP="00B64595">
      <w:pPr>
        <w:pStyle w:val="LI-BodyTextParaa"/>
        <w:ind w:left="567"/>
      </w:pPr>
      <w:r w:rsidRPr="00BD50D2">
        <w:t>2.</w:t>
      </w:r>
      <w:r w:rsidRPr="00BD50D2">
        <w:tab/>
      </w:r>
      <w:r w:rsidR="00137D4B" w:rsidRPr="00BD50D2">
        <w:t>Following consultation</w:t>
      </w:r>
      <w:r w:rsidR="00094146" w:rsidRPr="00BD50D2">
        <w:t xml:space="preserve"> on a proposal to remake the instruments</w:t>
      </w:r>
      <w:r w:rsidR="00137D4B" w:rsidRPr="00BD50D2">
        <w:t>, ASIC considered that the relief and requirements in LI 2021/716 and LI 2021/801 were broadly operating effectively and</w:t>
      </w:r>
      <w:r w:rsidR="00137D4B" w:rsidRPr="00137D4B">
        <w:t xml:space="preserve"> efficiently to achieve </w:t>
      </w:r>
      <w:r w:rsidR="00137D4B">
        <w:t>their</w:t>
      </w:r>
      <w:r w:rsidR="00137D4B" w:rsidRPr="00137D4B">
        <w:t xml:space="preserve"> objectives and continued to form a necessary and useful part of the legislative framework.</w:t>
      </w:r>
    </w:p>
    <w:p w14:paraId="773F1D1C" w14:textId="18EC325A" w:rsidR="00B64595" w:rsidRPr="004140AA" w:rsidRDefault="00F477BA" w:rsidP="00C729FF">
      <w:pPr>
        <w:pStyle w:val="LI-BodyTextParaa"/>
        <w:ind w:left="567"/>
      </w:pPr>
      <w:r>
        <w:t>3.</w:t>
      </w:r>
      <w:r>
        <w:tab/>
      </w:r>
      <w:r w:rsidR="00B64595">
        <w:t xml:space="preserve">LI 2021/716 and LI 2021/801 </w:t>
      </w:r>
      <w:r w:rsidR="004140AA">
        <w:t xml:space="preserve">have been repealed by the </w:t>
      </w:r>
      <w:r w:rsidR="004140AA">
        <w:rPr>
          <w:i/>
          <w:iCs/>
        </w:rPr>
        <w:t xml:space="preserve">ASIC Corporations </w:t>
      </w:r>
      <w:r w:rsidR="00676311">
        <w:rPr>
          <w:i/>
          <w:iCs/>
        </w:rPr>
        <w:t xml:space="preserve">and Credit </w:t>
      </w:r>
      <w:r w:rsidR="004140AA">
        <w:rPr>
          <w:i/>
          <w:iCs/>
        </w:rPr>
        <w:t>(Repeal) Instrument 2024/507</w:t>
      </w:r>
      <w:r w:rsidR="002E55B2">
        <w:rPr>
          <w:i/>
          <w:iCs/>
        </w:rPr>
        <w:t xml:space="preserve"> </w:t>
      </w:r>
      <w:r w:rsidR="002E55B2">
        <w:t>(</w:t>
      </w:r>
      <w:r w:rsidR="002E55B2" w:rsidRPr="002E55B2">
        <w:rPr>
          <w:b/>
          <w:bCs/>
          <w:i/>
          <w:iCs/>
        </w:rPr>
        <w:t>LI 2024/507</w:t>
      </w:r>
      <w:r w:rsidR="002E55B2">
        <w:t>)</w:t>
      </w:r>
      <w:r w:rsidR="004140AA">
        <w:t>.</w:t>
      </w:r>
    </w:p>
    <w:p w14:paraId="59A63C44" w14:textId="409F90FB" w:rsidR="005D1FEA" w:rsidRDefault="005D1FEA" w:rsidP="31907201">
      <w:pPr>
        <w:pStyle w:val="LI-BodyTextNumbered"/>
        <w:keepNext/>
        <w:ind w:left="0" w:firstLine="0"/>
        <w:rPr>
          <w:b/>
          <w:bCs/>
        </w:rPr>
      </w:pPr>
      <w:r w:rsidRPr="31907201">
        <w:rPr>
          <w:b/>
          <w:bCs/>
        </w:rPr>
        <w:t>Purpose of the instrument</w:t>
      </w:r>
    </w:p>
    <w:p w14:paraId="47C64680" w14:textId="16A20F2F" w:rsidR="00C74952" w:rsidRDefault="00F477BA" w:rsidP="1C7FCDD6">
      <w:pPr>
        <w:pStyle w:val="LI-BodyTextParaa"/>
        <w:ind w:left="567"/>
      </w:pPr>
      <w:r>
        <w:t>4</w:t>
      </w:r>
      <w:r w:rsidR="6102DEBD">
        <w:t>.</w:t>
      </w:r>
      <w:r w:rsidR="6102DEBD">
        <w:tab/>
      </w:r>
      <w:r w:rsidR="10A0DB79">
        <w:t>T</w:t>
      </w:r>
      <w:r w:rsidR="6102DEBD">
        <w:t>he Instrument e</w:t>
      </w:r>
      <w:r w:rsidR="48229AC5">
        <w:t>xtend</w:t>
      </w:r>
      <w:r w:rsidR="74B7DC37">
        <w:t>s</w:t>
      </w:r>
      <w:r w:rsidR="6102DEBD">
        <w:t xml:space="preserve"> the</w:t>
      </w:r>
      <w:r w:rsidR="52A43F6A">
        <w:t xml:space="preserve"> effect of </w:t>
      </w:r>
      <w:r w:rsidR="00E60825">
        <w:t xml:space="preserve">relief and requirements in </w:t>
      </w:r>
      <w:r w:rsidR="6102DEBD">
        <w:t>LI 2021/716</w:t>
      </w:r>
      <w:r w:rsidR="3ACE9BCC">
        <w:t xml:space="preserve"> and LI 2021/80</w:t>
      </w:r>
      <w:r w:rsidR="0DE9D2E0">
        <w:t>1</w:t>
      </w:r>
      <w:r w:rsidR="126EADF5">
        <w:t xml:space="preserve"> for a further five years </w:t>
      </w:r>
      <w:r w:rsidR="008408CE">
        <w:t>to the s</w:t>
      </w:r>
      <w:r w:rsidR="00A964BD">
        <w:t xml:space="preserve">tart of 1 October 2029 </w:t>
      </w:r>
      <w:r w:rsidR="126EADF5">
        <w:t>and consolidate</w:t>
      </w:r>
      <w:r w:rsidR="25327A62">
        <w:t>s</w:t>
      </w:r>
      <w:r w:rsidR="126EADF5">
        <w:t xml:space="preserve"> them into a single legislative instrument.</w:t>
      </w:r>
      <w:r w:rsidR="009B5AAB" w:rsidRPr="009B5AAB">
        <w:t xml:space="preserve"> </w:t>
      </w:r>
      <w:r w:rsidR="009B5AAB">
        <w:t xml:space="preserve">LI 2021/716 and LI 2021/801 </w:t>
      </w:r>
      <w:r w:rsidR="00A1043A">
        <w:t>have been</w:t>
      </w:r>
      <w:r w:rsidR="009B5AAB">
        <w:t xml:space="preserve"> repealed by</w:t>
      </w:r>
      <w:r w:rsidR="002E55B2">
        <w:t xml:space="preserve"> LI 2024/507</w:t>
      </w:r>
      <w:r w:rsidR="009B5AAB">
        <w:t>.</w:t>
      </w:r>
    </w:p>
    <w:p w14:paraId="27E7C944" w14:textId="194F130F" w:rsidR="00C616B2" w:rsidRDefault="00F477BA" w:rsidP="20C55C23">
      <w:pPr>
        <w:pStyle w:val="LI-BodyTextParaa"/>
        <w:ind w:left="567"/>
      </w:pPr>
      <w:r>
        <w:t>5</w:t>
      </w:r>
      <w:r w:rsidR="005457B7">
        <w:t xml:space="preserve">. </w:t>
      </w:r>
      <w:r w:rsidR="5F79425A">
        <w:tab/>
      </w:r>
      <w:r w:rsidR="561C5F10">
        <w:t xml:space="preserve">LI 2021/716 and </w:t>
      </w:r>
      <w:r w:rsidR="4825A92A">
        <w:t xml:space="preserve">LI </w:t>
      </w:r>
      <w:r w:rsidR="004710D5">
        <w:t>2021/801</w:t>
      </w:r>
      <w:r w:rsidR="005A5200">
        <w:t xml:space="preserve"> </w:t>
      </w:r>
      <w:r w:rsidR="6D1DED53">
        <w:t>prevent</w:t>
      </w:r>
      <w:r w:rsidR="003D56FE">
        <w:t>ed</w:t>
      </w:r>
      <w:r w:rsidR="6D1DED53">
        <w:t xml:space="preserve"> unintended</w:t>
      </w:r>
      <w:r w:rsidR="00820DE6">
        <w:t xml:space="preserve"> re</w:t>
      </w:r>
      <w:r w:rsidR="7765A9F7">
        <w:t>gulatory and reporting</w:t>
      </w:r>
      <w:r w:rsidR="00820DE6">
        <w:t xml:space="preserve"> burden</w:t>
      </w:r>
      <w:r w:rsidR="7A2ED6FE">
        <w:t>s</w:t>
      </w:r>
      <w:r w:rsidR="157B4C24">
        <w:t xml:space="preserve"> from being</w:t>
      </w:r>
      <w:r w:rsidR="7A2ED6FE">
        <w:t xml:space="preserve"> imposed upon </w:t>
      </w:r>
      <w:r w:rsidR="003D56FE">
        <w:t xml:space="preserve">Australian </w:t>
      </w:r>
      <w:r w:rsidR="7A2ED6FE">
        <w:t>financial</w:t>
      </w:r>
      <w:r w:rsidR="2CBD0CDD">
        <w:t xml:space="preserve"> service</w:t>
      </w:r>
      <w:r w:rsidR="7A2ED6FE">
        <w:t xml:space="preserve"> </w:t>
      </w:r>
      <w:r w:rsidR="003D56FE">
        <w:t>(</w:t>
      </w:r>
      <w:r w:rsidR="003D56FE" w:rsidRPr="00C729FF">
        <w:rPr>
          <w:b/>
          <w:bCs/>
          <w:i/>
          <w:iCs/>
        </w:rPr>
        <w:t>AFS</w:t>
      </w:r>
      <w:r w:rsidR="003D56FE">
        <w:t xml:space="preserve">) </w:t>
      </w:r>
      <w:r w:rsidR="7A2ED6FE">
        <w:t>licensees</w:t>
      </w:r>
      <w:r w:rsidR="00820DE6">
        <w:t xml:space="preserve"> </w:t>
      </w:r>
      <w:r w:rsidR="00A964BD">
        <w:t xml:space="preserve">as part of the </w:t>
      </w:r>
      <w:r w:rsidR="00703E31">
        <w:t xml:space="preserve">breach reporting obligation </w:t>
      </w:r>
      <w:r w:rsidR="00855B2E">
        <w:t>(</w:t>
      </w:r>
      <w:r w:rsidR="00855B2E" w:rsidRPr="00C729FF">
        <w:rPr>
          <w:b/>
          <w:bCs/>
          <w:i/>
          <w:iCs/>
        </w:rPr>
        <w:t>reportable situations regime</w:t>
      </w:r>
      <w:r w:rsidR="00855B2E">
        <w:t xml:space="preserve">) </w:t>
      </w:r>
      <w:r w:rsidR="00A964BD">
        <w:t xml:space="preserve">in </w:t>
      </w:r>
      <w:r w:rsidR="00B3497B">
        <w:t xml:space="preserve">Subdivision B, </w:t>
      </w:r>
      <w:r w:rsidR="00703E31">
        <w:t xml:space="preserve">Division 3 of Part 7.6 of the </w:t>
      </w:r>
      <w:r w:rsidR="00703E31" w:rsidRPr="00C729FF">
        <w:rPr>
          <w:i/>
          <w:iCs/>
        </w:rPr>
        <w:t>Corporations Act 2001</w:t>
      </w:r>
      <w:r w:rsidR="00703E31">
        <w:t xml:space="preserve"> (</w:t>
      </w:r>
      <w:r w:rsidR="00703E31" w:rsidRPr="00C729FF">
        <w:rPr>
          <w:b/>
          <w:bCs/>
          <w:i/>
          <w:iCs/>
        </w:rPr>
        <w:t>Ac</w:t>
      </w:r>
      <w:r w:rsidR="00703E31">
        <w:t>t)</w:t>
      </w:r>
      <w:r w:rsidR="004A1143">
        <w:t xml:space="preserve">. These burdens </w:t>
      </w:r>
      <w:r w:rsidR="000268CE">
        <w:t xml:space="preserve">were due to </w:t>
      </w:r>
      <w:r w:rsidR="7283F231">
        <w:t xml:space="preserve">initially </w:t>
      </w:r>
      <w:r w:rsidR="417FBFE6">
        <w:t>unfor</w:t>
      </w:r>
      <w:r w:rsidR="52981303">
        <w:t>e</w:t>
      </w:r>
      <w:r w:rsidR="417FBFE6">
        <w:t>seen</w:t>
      </w:r>
      <w:r w:rsidR="00877E08">
        <w:t xml:space="preserve"> interaction</w:t>
      </w:r>
      <w:r w:rsidR="41A50364">
        <w:t>s</w:t>
      </w:r>
      <w:r w:rsidR="00877E08">
        <w:t xml:space="preserve"> </w:t>
      </w:r>
      <w:r w:rsidR="13515DF2">
        <w:t>between</w:t>
      </w:r>
      <w:r w:rsidR="00877E08">
        <w:t xml:space="preserve"> the</w:t>
      </w:r>
      <w:r w:rsidR="7FC31D2A">
        <w:t xml:space="preserve"> </w:t>
      </w:r>
      <w:r w:rsidR="7FC31D2A" w:rsidRPr="00C729FF">
        <w:t>Act</w:t>
      </w:r>
      <w:r w:rsidR="7FC31D2A" w:rsidRPr="000268CE">
        <w:t>,</w:t>
      </w:r>
      <w:r w:rsidR="7FC31D2A" w:rsidRPr="36237906">
        <w:rPr>
          <w:i/>
          <w:iCs/>
        </w:rPr>
        <w:t xml:space="preserve"> </w:t>
      </w:r>
      <w:r w:rsidR="00877E08" w:rsidRPr="36237906">
        <w:rPr>
          <w:i/>
          <w:iCs/>
        </w:rPr>
        <w:t xml:space="preserve">National </w:t>
      </w:r>
      <w:r w:rsidR="00877E08" w:rsidRPr="36237906">
        <w:rPr>
          <w:i/>
          <w:iCs/>
        </w:rPr>
        <w:lastRenderedPageBreak/>
        <w:t>Consumer Credit Protection Act 2009</w:t>
      </w:r>
      <w:r w:rsidR="00D07091">
        <w:t xml:space="preserve"> </w:t>
      </w:r>
      <w:r w:rsidR="00D05D8B">
        <w:t>(</w:t>
      </w:r>
      <w:r w:rsidR="00D05D8B" w:rsidRPr="00241813">
        <w:rPr>
          <w:b/>
          <w:bCs/>
          <w:i/>
          <w:iCs/>
        </w:rPr>
        <w:t>Credit Act</w:t>
      </w:r>
      <w:r w:rsidR="00D05D8B">
        <w:t>)</w:t>
      </w:r>
      <w:r w:rsidR="00D05D8B" w:rsidRPr="36237906">
        <w:rPr>
          <w:b/>
          <w:bCs/>
        </w:rPr>
        <w:t xml:space="preserve"> </w:t>
      </w:r>
      <w:r w:rsidR="00D07091">
        <w:t xml:space="preserve">and </w:t>
      </w:r>
      <w:r w:rsidR="00D07091" w:rsidRPr="36237906">
        <w:rPr>
          <w:i/>
          <w:iCs/>
        </w:rPr>
        <w:t xml:space="preserve">ASIC Corporations, Credit </w:t>
      </w:r>
      <w:r w:rsidR="00D07091">
        <w:t xml:space="preserve">and </w:t>
      </w:r>
      <w:r w:rsidR="00D07091" w:rsidRPr="36237906">
        <w:rPr>
          <w:i/>
          <w:iCs/>
        </w:rPr>
        <w:t xml:space="preserve">Superannuation (Internal Dispute Resolution) Instrument 2020/98 </w:t>
      </w:r>
      <w:r w:rsidR="00D07091">
        <w:t>(</w:t>
      </w:r>
      <w:r w:rsidR="00D07091" w:rsidRPr="00241813">
        <w:rPr>
          <w:b/>
          <w:bCs/>
          <w:i/>
          <w:iCs/>
        </w:rPr>
        <w:t>LI 2020/98</w:t>
      </w:r>
      <w:r w:rsidR="00D07091">
        <w:t>)</w:t>
      </w:r>
      <w:r w:rsidR="2A9F7C84">
        <w:t xml:space="preserve"> following the enactment of the </w:t>
      </w:r>
      <w:r w:rsidR="2A9F7C84" w:rsidRPr="36237906">
        <w:rPr>
          <w:i/>
          <w:iCs/>
        </w:rPr>
        <w:t>Financial Sector Reform (Hayne Royal Commission Response) Act 2020</w:t>
      </w:r>
      <w:r w:rsidR="00C56A49">
        <w:t xml:space="preserve">. </w:t>
      </w:r>
    </w:p>
    <w:p w14:paraId="1C82053B" w14:textId="7B324BB6" w:rsidR="4526ABE2" w:rsidRDefault="004501D5" w:rsidP="20C55C23">
      <w:pPr>
        <w:pStyle w:val="LI-BodyTextParaa"/>
        <w:ind w:left="567"/>
      </w:pPr>
      <w:r>
        <w:t>6</w:t>
      </w:r>
      <w:r w:rsidR="006A18FF">
        <w:t>.</w:t>
      </w:r>
      <w:r w:rsidR="006A18FF">
        <w:tab/>
      </w:r>
      <w:r w:rsidR="004B0BA6">
        <w:t>M</w:t>
      </w:r>
      <w:r w:rsidR="00BE3092">
        <w:t xml:space="preserve">odifications </w:t>
      </w:r>
      <w:r w:rsidR="00C616B2">
        <w:t xml:space="preserve">that LI 2021/716 and LI 2021/801 made </w:t>
      </w:r>
      <w:r w:rsidR="00EF2C31">
        <w:t>to exclude</w:t>
      </w:r>
      <w:r w:rsidR="000D6891">
        <w:t xml:space="preserve"> </w:t>
      </w:r>
      <w:r w:rsidR="00411FA1">
        <w:t xml:space="preserve">certain </w:t>
      </w:r>
      <w:r w:rsidR="00786904">
        <w:t xml:space="preserve">insignificant </w:t>
      </w:r>
      <w:r w:rsidR="000D6891">
        <w:t xml:space="preserve">contraventions of core obligations </w:t>
      </w:r>
      <w:r w:rsidR="00EF2C31">
        <w:t>from being reportable</w:t>
      </w:r>
      <w:r w:rsidR="009A63A4">
        <w:t xml:space="preserve"> under the reportable situations regime</w:t>
      </w:r>
      <w:r w:rsidR="00EF2C31">
        <w:t xml:space="preserve">, or to extend the period of time to report related </w:t>
      </w:r>
      <w:r w:rsidR="000D6891">
        <w:t>contraventions</w:t>
      </w:r>
      <w:r w:rsidR="00EF2C31">
        <w:t>,</w:t>
      </w:r>
      <w:r w:rsidR="000D6891">
        <w:t xml:space="preserve"> </w:t>
      </w:r>
      <w:r w:rsidR="00BE3092">
        <w:t xml:space="preserve">were </w:t>
      </w:r>
      <w:r w:rsidR="4526ABE2">
        <w:t>consistent with the rationale the Legislature ha</w:t>
      </w:r>
      <w:r w:rsidR="00EF2C31">
        <w:t>d</w:t>
      </w:r>
      <w:r w:rsidR="4526ABE2">
        <w:t xml:space="preserve"> applied in excluding other civil penalty provisions from being deemed ‘significant’ breaches</w:t>
      </w:r>
      <w:r w:rsidR="003E033D">
        <w:t xml:space="preserve"> of </w:t>
      </w:r>
      <w:r w:rsidR="004B0BA6">
        <w:t xml:space="preserve">core obligations </w:t>
      </w:r>
      <w:r w:rsidR="002F5992">
        <w:t>that had to be reported</w:t>
      </w:r>
      <w:r w:rsidR="004B0BA6">
        <w:t xml:space="preserve">. </w:t>
      </w:r>
    </w:p>
    <w:p w14:paraId="5697F92D" w14:textId="3141E3B6" w:rsidR="00B3423E" w:rsidRDefault="004501D5" w:rsidP="007360F8">
      <w:pPr>
        <w:pStyle w:val="LI-BodyTextParaa"/>
        <w:ind w:left="567"/>
      </w:pPr>
      <w:r>
        <w:t>7</w:t>
      </w:r>
      <w:r w:rsidR="23A66479">
        <w:t>.</w:t>
      </w:r>
      <w:r w:rsidR="579DA80B">
        <w:tab/>
      </w:r>
      <w:r w:rsidR="79C81DE4">
        <w:t>B</w:t>
      </w:r>
      <w:r w:rsidR="2448F909">
        <w:t xml:space="preserve">y </w:t>
      </w:r>
      <w:r w:rsidR="57B4FE8B">
        <w:t xml:space="preserve">preserving the </w:t>
      </w:r>
      <w:r w:rsidR="2448F909">
        <w:t>notional modif</w:t>
      </w:r>
      <w:r w:rsidR="4A50E54E">
        <w:t>ications</w:t>
      </w:r>
      <w:r w:rsidR="2448F909">
        <w:t xml:space="preserve"> </w:t>
      </w:r>
      <w:r w:rsidR="0A0E62D6">
        <w:t xml:space="preserve">to </w:t>
      </w:r>
      <w:r w:rsidR="2448F909">
        <w:t>the</w:t>
      </w:r>
      <w:r w:rsidR="687CDE0E">
        <w:t xml:space="preserve"> Act and</w:t>
      </w:r>
      <w:r w:rsidR="3F57C27F">
        <w:t xml:space="preserve"> Credit Act</w:t>
      </w:r>
      <w:r w:rsidR="1962CCC1">
        <w:t xml:space="preserve"> </w:t>
      </w:r>
      <w:r w:rsidR="007A304C">
        <w:t>that</w:t>
      </w:r>
      <w:r w:rsidR="1962CCC1">
        <w:t xml:space="preserve"> LI 2021/716 and LI 2021/801</w:t>
      </w:r>
      <w:r w:rsidR="007A304C">
        <w:t xml:space="preserve"> made</w:t>
      </w:r>
      <w:r w:rsidR="4C5BC62B">
        <w:t>, the Instr</w:t>
      </w:r>
      <w:r w:rsidR="714B9856">
        <w:t xml:space="preserve">ument </w:t>
      </w:r>
      <w:r w:rsidR="00F205B0">
        <w:t xml:space="preserve">also </w:t>
      </w:r>
      <w:r w:rsidR="69EF4533">
        <w:t>continue</w:t>
      </w:r>
      <w:r w:rsidR="007A304C">
        <w:t>s</w:t>
      </w:r>
      <w:r w:rsidR="69EF4533">
        <w:t xml:space="preserve"> to</w:t>
      </w:r>
      <w:r w:rsidR="2F0342A5">
        <w:t xml:space="preserve"> </w:t>
      </w:r>
      <w:r w:rsidR="2CE2A504">
        <w:t xml:space="preserve">exclude </w:t>
      </w:r>
      <w:r w:rsidR="4AE9A737">
        <w:t xml:space="preserve">certain minor, technical, or inadvertent </w:t>
      </w:r>
      <w:r w:rsidR="4C5BC62B">
        <w:t xml:space="preserve">non-compliance with standards set out in </w:t>
      </w:r>
      <w:r w:rsidR="714B9856">
        <w:t>LI 2020/98</w:t>
      </w:r>
      <w:r w:rsidR="4C5BC62B">
        <w:t xml:space="preserve"> from the categories of situations </w:t>
      </w:r>
      <w:r w:rsidR="646A1796">
        <w:t xml:space="preserve">that are </w:t>
      </w:r>
      <w:r w:rsidR="4C5BC62B">
        <w:t>deemed to be ‘significant’ breaches of core obligations</w:t>
      </w:r>
      <w:r w:rsidR="6682B91B">
        <w:t>.</w:t>
      </w:r>
    </w:p>
    <w:p w14:paraId="3FEFE29E" w14:textId="77777777" w:rsidR="009A3F74" w:rsidRDefault="009A3F74" w:rsidP="006D6079">
      <w:pPr>
        <w:pStyle w:val="LI-BodyTextNumbered"/>
        <w:keepNext/>
        <w:ind w:left="0" w:firstLine="0"/>
        <w:rPr>
          <w:b/>
        </w:rPr>
      </w:pPr>
      <w:bookmarkStart w:id="1" w:name="_Hlk534291624"/>
      <w:r>
        <w:rPr>
          <w:b/>
        </w:rPr>
        <w:t>Consultation</w:t>
      </w:r>
    </w:p>
    <w:p w14:paraId="2EB3C761" w14:textId="22742F4A" w:rsidR="00FD07EF" w:rsidRDefault="004501D5" w:rsidP="09F9FD87">
      <w:pPr>
        <w:pStyle w:val="LI-BodyTextParaa"/>
        <w:ind w:left="567"/>
      </w:pPr>
      <w:r>
        <w:t>8</w:t>
      </w:r>
      <w:r w:rsidR="009A3F74">
        <w:t>.</w:t>
      </w:r>
      <w:r w:rsidR="00863657">
        <w:tab/>
      </w:r>
      <w:r w:rsidR="0089193C">
        <w:t>Before making the Instrument, ASIC</w:t>
      </w:r>
      <w:r w:rsidR="00003F8A">
        <w:t xml:space="preserve"> consulted publicly </w:t>
      </w:r>
      <w:r w:rsidR="0087785E">
        <w:t xml:space="preserve">(in </w:t>
      </w:r>
      <w:r w:rsidR="0087785E" w:rsidRPr="00BD50D2">
        <w:rPr>
          <w:i/>
          <w:iCs/>
        </w:rPr>
        <w:t>CS 10 Proposed extension of breach reporting and record-keeping legislative instruments</w:t>
      </w:r>
      <w:r w:rsidR="00F205B0">
        <w:t>) o</w:t>
      </w:r>
      <w:r w:rsidR="008E388F">
        <w:t>n the proposal to remake and consolidate</w:t>
      </w:r>
      <w:r w:rsidR="00794AC3">
        <w:t xml:space="preserve"> LI 2021/716 and LI 2021/801. </w:t>
      </w:r>
      <w:r w:rsidR="00335619">
        <w:t>Six submissions were received which agreed that</w:t>
      </w:r>
      <w:r w:rsidR="009C3514">
        <w:t xml:space="preserve"> the relief in </w:t>
      </w:r>
      <w:r w:rsidR="00422BC8">
        <w:t>LI</w:t>
      </w:r>
      <w:r w:rsidR="00BA04BF">
        <w:t xml:space="preserve"> 2021/71</w:t>
      </w:r>
      <w:r w:rsidR="000471E8">
        <w:t>6 and LI 2021/801</w:t>
      </w:r>
      <w:r w:rsidR="009C3514">
        <w:t xml:space="preserve"> is</w:t>
      </w:r>
      <w:r w:rsidR="000E40AF">
        <w:t xml:space="preserve"> </w:t>
      </w:r>
      <w:r w:rsidR="0068763E">
        <w:t>operat</w:t>
      </w:r>
      <w:r w:rsidR="00CC0174">
        <w:t>ing</w:t>
      </w:r>
      <w:r w:rsidR="0068763E">
        <w:t xml:space="preserve"> </w:t>
      </w:r>
      <w:r w:rsidR="000C2535" w:rsidRPr="000C2535">
        <w:t>effectively and efficiently and continu</w:t>
      </w:r>
      <w:r w:rsidR="000C2535" w:rsidRPr="000E2286">
        <w:t>e</w:t>
      </w:r>
      <w:r w:rsidR="009F6089" w:rsidRPr="000E2286">
        <w:t>s</w:t>
      </w:r>
      <w:r w:rsidR="000C2535" w:rsidRPr="000E2286">
        <w:t xml:space="preserve"> </w:t>
      </w:r>
      <w:r w:rsidR="000C2535" w:rsidRPr="000C2535">
        <w:t xml:space="preserve">to form a necessary and useful part of the legislative framework. </w:t>
      </w:r>
    </w:p>
    <w:p w14:paraId="2D257AC4" w14:textId="5296F42C" w:rsidR="000C2535" w:rsidRDefault="004501D5" w:rsidP="09F9FD87">
      <w:pPr>
        <w:pStyle w:val="LI-BodyTextParaa"/>
        <w:ind w:left="567"/>
      </w:pPr>
      <w:r>
        <w:t>9</w:t>
      </w:r>
      <w:r w:rsidR="00FD07EF">
        <w:t>.</w:t>
      </w:r>
      <w:r w:rsidR="00FD07EF">
        <w:tab/>
      </w:r>
      <w:r w:rsidR="009C3514">
        <w:t xml:space="preserve">However, four of these submissions also </w:t>
      </w:r>
      <w:r w:rsidR="000C2535" w:rsidRPr="000C2535">
        <w:t xml:space="preserve">sought wider relief from the obligation to report breaches </w:t>
      </w:r>
      <w:r w:rsidR="00B43B7E">
        <w:t xml:space="preserve">under the reportable situations regime </w:t>
      </w:r>
      <w:r w:rsidR="000C2535" w:rsidRPr="000C2535">
        <w:t xml:space="preserve">that ASIC is considering further. </w:t>
      </w:r>
      <w:r w:rsidR="00FD07EF">
        <w:t>One submi</w:t>
      </w:r>
      <w:r w:rsidR="00B55D00">
        <w:t>ssion</w:t>
      </w:r>
      <w:r w:rsidR="00FD07EF">
        <w:t xml:space="preserve"> also sought migration of </w:t>
      </w:r>
      <w:r w:rsidR="008E710B">
        <w:t xml:space="preserve">the </w:t>
      </w:r>
      <w:r w:rsidR="00FD07EF">
        <w:t>relief</w:t>
      </w:r>
      <w:r w:rsidR="008A4D53">
        <w:t xml:space="preserve"> </w:t>
      </w:r>
      <w:r w:rsidR="00B43B7E">
        <w:t xml:space="preserve">and requirements </w:t>
      </w:r>
      <w:r w:rsidR="008A4D53">
        <w:t>to the primary law</w:t>
      </w:r>
      <w:r w:rsidR="00E343C8">
        <w:t xml:space="preserve">. </w:t>
      </w:r>
    </w:p>
    <w:p w14:paraId="4CDCC6BF" w14:textId="7805E018" w:rsidR="005D1FEA" w:rsidRDefault="005D1FEA" w:rsidP="3374C614">
      <w:pPr>
        <w:pStyle w:val="LI-BodyTextNumbered"/>
        <w:keepNext/>
        <w:ind w:left="0" w:firstLine="0"/>
        <w:rPr>
          <w:b/>
          <w:bCs/>
        </w:rPr>
      </w:pPr>
      <w:r w:rsidRPr="3374C614">
        <w:rPr>
          <w:b/>
          <w:bCs/>
        </w:rPr>
        <w:t>Operation of the instrument</w:t>
      </w:r>
    </w:p>
    <w:p w14:paraId="72576A22" w14:textId="34DE4EE2" w:rsidR="001968BA" w:rsidRDefault="001968BA" w:rsidP="004501D5">
      <w:pPr>
        <w:pStyle w:val="LI-BodyTextParaa"/>
        <w:numPr>
          <w:ilvl w:val="0"/>
          <w:numId w:val="18"/>
        </w:numPr>
        <w:ind w:left="567" w:hanging="567"/>
      </w:pPr>
      <w:r>
        <w:t>Section</w:t>
      </w:r>
      <w:r w:rsidRPr="00CF237B">
        <w:t xml:space="preserve"> 1 of the </w:t>
      </w:r>
      <w:r>
        <w:t>I</w:t>
      </w:r>
      <w:r w:rsidRPr="00CF237B">
        <w:t>nstrument</w:t>
      </w:r>
      <w:r w:rsidRPr="00B42815">
        <w:t xml:space="preserve"> specifies the title of the </w:t>
      </w:r>
      <w:r>
        <w:t>legislative instrument</w:t>
      </w:r>
      <w:r w:rsidRPr="00B42815">
        <w:t>.</w:t>
      </w:r>
    </w:p>
    <w:p w14:paraId="1E8F98C2" w14:textId="39A29486" w:rsidR="001968BA" w:rsidRPr="00B42815" w:rsidRDefault="001968BA" w:rsidP="004501D5">
      <w:pPr>
        <w:pStyle w:val="LI-BodyTextParaa"/>
        <w:numPr>
          <w:ilvl w:val="0"/>
          <w:numId w:val="18"/>
        </w:numPr>
        <w:ind w:left="567" w:hanging="567"/>
      </w:pPr>
      <w:r>
        <w:t>Section</w:t>
      </w:r>
      <w:r w:rsidRPr="00CF237B">
        <w:t xml:space="preserve"> 2 </w:t>
      </w:r>
      <w:r>
        <w:t>of the Instrument</w:t>
      </w:r>
      <w:r w:rsidRPr="00B42815">
        <w:t xml:space="preserve"> specifies that the </w:t>
      </w:r>
      <w:r w:rsidR="002B20BC">
        <w:t>I</w:t>
      </w:r>
      <w:r>
        <w:t xml:space="preserve">nstrument </w:t>
      </w:r>
      <w:r w:rsidRPr="00B42815">
        <w:t xml:space="preserve">commences on the day </w:t>
      </w:r>
      <w:r w:rsidR="005A76E1">
        <w:t xml:space="preserve">after </w:t>
      </w:r>
      <w:r w:rsidRPr="00B42815">
        <w:t>it is registered</w:t>
      </w:r>
      <w:r w:rsidRPr="001C03BA">
        <w:t xml:space="preserve"> </w:t>
      </w:r>
      <w:r>
        <w:t>on the Federal Register of Legislation</w:t>
      </w:r>
      <w:r w:rsidR="00735F0D" w:rsidRPr="00B42815">
        <w:t xml:space="preserve">. </w:t>
      </w:r>
      <w:r w:rsidRPr="00B42815">
        <w:t xml:space="preserve">The </w:t>
      </w:r>
      <w:r>
        <w:t xml:space="preserve">Instrument </w:t>
      </w:r>
      <w:r w:rsidRPr="00B42815">
        <w:t>does not have retrospective application</w:t>
      </w:r>
      <w:r w:rsidR="00735F0D" w:rsidRPr="00B42815">
        <w:t xml:space="preserve">. </w:t>
      </w:r>
    </w:p>
    <w:p w14:paraId="05E40E71" w14:textId="5F355630" w:rsidR="001968BA" w:rsidRDefault="001968BA" w:rsidP="004501D5">
      <w:pPr>
        <w:pStyle w:val="LI-BodyTextParaa"/>
        <w:numPr>
          <w:ilvl w:val="0"/>
          <w:numId w:val="18"/>
        </w:numPr>
        <w:ind w:left="567" w:hanging="567"/>
      </w:pPr>
      <w:r>
        <w:t>Section</w:t>
      </w:r>
      <w:r w:rsidRPr="00CF237B">
        <w:t xml:space="preserve"> 3 </w:t>
      </w:r>
      <w:r>
        <w:t xml:space="preserve">of the Instrument </w:t>
      </w:r>
      <w:r w:rsidRPr="00B42815">
        <w:t>specifies the modification power</w:t>
      </w:r>
      <w:r w:rsidR="00764B68">
        <w:t>s</w:t>
      </w:r>
      <w:r w:rsidRPr="00B42815">
        <w:t xml:space="preserve"> in </w:t>
      </w:r>
      <w:r w:rsidR="005A76E1">
        <w:t xml:space="preserve">subsection </w:t>
      </w:r>
      <w:r w:rsidRPr="00B42815">
        <w:t xml:space="preserve">926A(2) of the Act </w:t>
      </w:r>
      <w:r w:rsidR="00764B68">
        <w:t xml:space="preserve">and subsection 109(3) of the </w:t>
      </w:r>
      <w:r w:rsidR="00AC4BC8">
        <w:t>Credit Act</w:t>
      </w:r>
      <w:r w:rsidR="00764B68">
        <w:rPr>
          <w:i/>
          <w:iCs/>
        </w:rPr>
        <w:t xml:space="preserve"> </w:t>
      </w:r>
      <w:r w:rsidRPr="00B42815">
        <w:t xml:space="preserve">under which ASIC makes </w:t>
      </w:r>
      <w:r w:rsidR="00AC4BC8">
        <w:t>the I</w:t>
      </w:r>
      <w:r w:rsidRPr="00B42815">
        <w:t xml:space="preserve">nstrument. </w:t>
      </w:r>
    </w:p>
    <w:p w14:paraId="35D4EC32" w14:textId="44A07C17" w:rsidR="00441BBA" w:rsidRPr="00B42815" w:rsidRDefault="00D633BE" w:rsidP="004501D5">
      <w:pPr>
        <w:pStyle w:val="LI-BodyTextParaa"/>
        <w:numPr>
          <w:ilvl w:val="0"/>
          <w:numId w:val="18"/>
        </w:numPr>
        <w:ind w:left="567" w:hanging="567"/>
      </w:pPr>
      <w:r>
        <w:t xml:space="preserve">Section 4 of the Instrument specifies definitions </w:t>
      </w:r>
      <w:r w:rsidR="00F25E18">
        <w:t>to be relie</w:t>
      </w:r>
      <w:r w:rsidR="00CF6CAA">
        <w:t>d</w:t>
      </w:r>
      <w:r w:rsidR="00F25E18">
        <w:t xml:space="preserve"> upon </w:t>
      </w:r>
      <w:r w:rsidR="00CF6CAA">
        <w:t>in the Instrument</w:t>
      </w:r>
      <w:r>
        <w:t xml:space="preserve">. </w:t>
      </w:r>
    </w:p>
    <w:p w14:paraId="7D88A5C9" w14:textId="77777777" w:rsidR="0064348C" w:rsidRDefault="0064348C" w:rsidP="00361689">
      <w:pPr>
        <w:pStyle w:val="LI-BodyTextParaa"/>
        <w:ind w:left="0" w:firstLine="0"/>
        <w:rPr>
          <w:i/>
          <w:iCs/>
        </w:rPr>
      </w:pPr>
      <w:r>
        <w:rPr>
          <w:i/>
          <w:iCs/>
        </w:rPr>
        <w:t>Preserving the effect of LI</w:t>
      </w:r>
      <w:r w:rsidRPr="005A5200">
        <w:rPr>
          <w:i/>
          <w:iCs/>
        </w:rPr>
        <w:t xml:space="preserve"> 2021/</w:t>
      </w:r>
      <w:r>
        <w:rPr>
          <w:i/>
          <w:iCs/>
        </w:rPr>
        <w:t>716</w:t>
      </w:r>
    </w:p>
    <w:p w14:paraId="4A80297C" w14:textId="2D266A8F" w:rsidR="00DA4B06" w:rsidRDefault="001968BA" w:rsidP="005D1FEA">
      <w:pPr>
        <w:pStyle w:val="LI-BodyTextParaa"/>
        <w:ind w:left="567"/>
      </w:pPr>
      <w:r>
        <w:t>1</w:t>
      </w:r>
      <w:r w:rsidR="004501D5">
        <w:t>4</w:t>
      </w:r>
      <w:r w:rsidR="7BC79488">
        <w:t>.</w:t>
      </w:r>
      <w:r w:rsidR="3CA8F655">
        <w:tab/>
      </w:r>
      <w:r w:rsidR="7BC79488">
        <w:t xml:space="preserve">Section </w:t>
      </w:r>
      <w:r w:rsidR="00BA3585">
        <w:t>5</w:t>
      </w:r>
      <w:r w:rsidR="7BC79488">
        <w:t xml:space="preserve"> of the Instrument</w:t>
      </w:r>
      <w:r w:rsidR="7AF6149D">
        <w:t xml:space="preserve"> notionally </w:t>
      </w:r>
      <w:r w:rsidR="1FC1A7D2">
        <w:t>replaces</w:t>
      </w:r>
      <w:r w:rsidR="7AF6149D">
        <w:t>:</w:t>
      </w:r>
    </w:p>
    <w:p w14:paraId="0BAEA228" w14:textId="3C7281DC" w:rsidR="00DA4B06" w:rsidRDefault="007F1090" w:rsidP="00AD0317">
      <w:pPr>
        <w:pStyle w:val="LI-BodyTextParaa"/>
        <w:ind w:left="1134"/>
      </w:pPr>
      <w:r>
        <w:lastRenderedPageBreak/>
        <w:t>(</w:t>
      </w:r>
      <w:r w:rsidR="7AF6149D">
        <w:t>a)</w:t>
      </w:r>
      <w:r>
        <w:tab/>
      </w:r>
      <w:r w:rsidR="235AB2CE">
        <w:t>paragraph 912D(4)(b)</w:t>
      </w:r>
      <w:r w:rsidR="6EC1BE02">
        <w:t xml:space="preserve"> of the Act</w:t>
      </w:r>
      <w:r w:rsidR="235AB2CE">
        <w:t xml:space="preserve"> such tha</w:t>
      </w:r>
      <w:r w:rsidR="70F42835">
        <w:t xml:space="preserve">t a breach of subsection 912A(5A) of the Act is not a </w:t>
      </w:r>
      <w:r w:rsidR="47A970DB">
        <w:t>significant breach of a core obligation</w:t>
      </w:r>
      <w:r w:rsidR="348914A2">
        <w:t>; and</w:t>
      </w:r>
    </w:p>
    <w:p w14:paraId="4D7D9879" w14:textId="6787CB21" w:rsidR="00DA4B06" w:rsidRDefault="00AD0317" w:rsidP="00AD0317">
      <w:pPr>
        <w:pStyle w:val="LI-BodyTextParaa"/>
        <w:ind w:left="1134"/>
      </w:pPr>
      <w:r>
        <w:t>(</w:t>
      </w:r>
      <w:r w:rsidR="348914A2">
        <w:t>b)</w:t>
      </w:r>
      <w:r>
        <w:tab/>
      </w:r>
      <w:r w:rsidR="348914A2">
        <w:t xml:space="preserve">paragraph 50A(4)(b) of the Credit Act such that </w:t>
      </w:r>
      <w:r w:rsidR="363B49E0">
        <w:t xml:space="preserve">a breach of subsection 47(4) of the Credit Act is not a </w:t>
      </w:r>
      <w:r w:rsidR="3B26EC9B">
        <w:t>significant breach of a core obligation,</w:t>
      </w:r>
    </w:p>
    <w:p w14:paraId="5316C400" w14:textId="4F23405E" w:rsidR="363B49E0" w:rsidRDefault="363B49E0" w:rsidP="4B9D20AA">
      <w:pPr>
        <w:pStyle w:val="LI-BodyTextParaa"/>
        <w:ind w:left="567" w:firstLine="0"/>
      </w:pPr>
      <w:r>
        <w:t>i</w:t>
      </w:r>
      <w:r w:rsidR="348914A2">
        <w:t>n</w:t>
      </w:r>
      <w:r w:rsidR="47A970DB">
        <w:t xml:space="preserve"> </w:t>
      </w:r>
      <w:r w:rsidR="1BDD3F92">
        <w:t xml:space="preserve">each case </w:t>
      </w:r>
      <w:r w:rsidR="47A970DB">
        <w:t>to the extent that the contravention re</w:t>
      </w:r>
      <w:r w:rsidR="4C2F614B">
        <w:t>sults from a contravention of standards notionally inserted</w:t>
      </w:r>
      <w:r w:rsidR="3A22808B">
        <w:t xml:space="preserve"> into </w:t>
      </w:r>
      <w:r w:rsidR="00F967C9">
        <w:t xml:space="preserve">the </w:t>
      </w:r>
      <w:r w:rsidR="00785B95">
        <w:t>A</w:t>
      </w:r>
      <w:r w:rsidR="3A22808B">
        <w:t>ct</w:t>
      </w:r>
      <w:r w:rsidR="4C2F614B">
        <w:t xml:space="preserve"> </w:t>
      </w:r>
      <w:r w:rsidR="00F967C9">
        <w:t xml:space="preserve">or Credit Act </w:t>
      </w:r>
      <w:r w:rsidR="4C2F614B">
        <w:t>by LI 2020/98.</w:t>
      </w:r>
    </w:p>
    <w:p w14:paraId="73033C1B" w14:textId="73043702" w:rsidR="2AC46B3E" w:rsidRDefault="00D633BE" w:rsidP="51DFD75A">
      <w:pPr>
        <w:pStyle w:val="LI-BodyTextParaa"/>
        <w:ind w:left="567"/>
      </w:pPr>
      <w:r>
        <w:t>1</w:t>
      </w:r>
      <w:r w:rsidR="004501D5">
        <w:t>5</w:t>
      </w:r>
      <w:r w:rsidR="2AC46B3E">
        <w:t>.</w:t>
      </w:r>
      <w:r w:rsidR="2AC46B3E">
        <w:tab/>
        <w:t xml:space="preserve">Section </w:t>
      </w:r>
      <w:r w:rsidR="00BA3585">
        <w:t>6</w:t>
      </w:r>
      <w:r w:rsidR="2AC46B3E">
        <w:t xml:space="preserve"> of the Instrument </w:t>
      </w:r>
      <w:r w:rsidR="41D29A49">
        <w:t>notionally</w:t>
      </w:r>
      <w:r w:rsidR="3C776D03">
        <w:t>:</w:t>
      </w:r>
      <w:r w:rsidR="41D29A49">
        <w:t xml:space="preserve"> </w:t>
      </w:r>
    </w:p>
    <w:p w14:paraId="55F5BED8" w14:textId="09410AD8" w:rsidR="2AC46B3E" w:rsidRDefault="00AD0317" w:rsidP="00AD0317">
      <w:pPr>
        <w:pStyle w:val="LI-BodyTextParaa"/>
        <w:ind w:left="1134"/>
      </w:pPr>
      <w:r>
        <w:t>(</w:t>
      </w:r>
      <w:r w:rsidR="4D2246C0">
        <w:t>a)</w:t>
      </w:r>
      <w:r>
        <w:tab/>
      </w:r>
      <w:r w:rsidR="29466E39">
        <w:t xml:space="preserve">modifies </w:t>
      </w:r>
      <w:r w:rsidR="41D29A49">
        <w:t>subsection 912D(4)</w:t>
      </w:r>
      <w:r w:rsidR="4BFB9653">
        <w:t xml:space="preserve"> of the Act</w:t>
      </w:r>
      <w:r w:rsidR="41D29A49">
        <w:t xml:space="preserve"> and inserts</w:t>
      </w:r>
      <w:r w:rsidR="1443F292">
        <w:t xml:space="preserve"> notional</w:t>
      </w:r>
      <w:r w:rsidR="41D29A49">
        <w:t xml:space="preserve"> subsection</w:t>
      </w:r>
      <w:r w:rsidR="00781C02">
        <w:t>s</w:t>
      </w:r>
      <w:r w:rsidR="41D29A49">
        <w:t xml:space="preserve"> 912D(4A)</w:t>
      </w:r>
      <w:r w:rsidR="00781C02">
        <w:t xml:space="preserve"> and (4B) into t</w:t>
      </w:r>
      <w:r w:rsidR="41D29A49">
        <w:t>he Act</w:t>
      </w:r>
      <w:r w:rsidR="440D45CF">
        <w:t>; and</w:t>
      </w:r>
    </w:p>
    <w:p w14:paraId="6316D24E" w14:textId="69C6EE37" w:rsidR="2AC46B3E" w:rsidRDefault="00AD0317" w:rsidP="00AD0317">
      <w:pPr>
        <w:pStyle w:val="LI-BodyTextParaa"/>
        <w:ind w:left="1134"/>
      </w:pPr>
      <w:r>
        <w:t>(</w:t>
      </w:r>
      <w:r w:rsidR="440D45CF">
        <w:t>b)</w:t>
      </w:r>
      <w:r>
        <w:tab/>
      </w:r>
      <w:r w:rsidR="5D77BC3C">
        <w:t>modifies subsection 50(4) of the Credit Act and inserts notional subsection</w:t>
      </w:r>
      <w:r w:rsidR="00781C02">
        <w:t>s</w:t>
      </w:r>
      <w:r w:rsidR="5D77BC3C">
        <w:t xml:space="preserve"> 50(4A) </w:t>
      </w:r>
      <w:r w:rsidR="00781C02">
        <w:t xml:space="preserve">and (4B) </w:t>
      </w:r>
      <w:r w:rsidR="5D77BC3C">
        <w:t>into the Credit Act,</w:t>
      </w:r>
    </w:p>
    <w:p w14:paraId="0928FB9B" w14:textId="517A7BA0" w:rsidR="2AC46B3E" w:rsidRDefault="41D29A49" w:rsidP="281C853C">
      <w:pPr>
        <w:pStyle w:val="LI-BodyTextParaa"/>
        <w:ind w:left="567" w:firstLine="0"/>
      </w:pPr>
      <w:r>
        <w:t xml:space="preserve">such that </w:t>
      </w:r>
      <w:r w:rsidR="7839337E">
        <w:t xml:space="preserve">breaches of standards relating to </w:t>
      </w:r>
      <w:r w:rsidR="7DFE75A2">
        <w:t>misleading or deceptive conduct</w:t>
      </w:r>
      <w:r w:rsidR="0F9796C8">
        <w:t xml:space="preserve"> are not taken to be </w:t>
      </w:r>
      <w:r w:rsidR="002D165D">
        <w:t xml:space="preserve">a </w:t>
      </w:r>
      <w:r w:rsidR="0F9796C8">
        <w:t>significant</w:t>
      </w:r>
      <w:r w:rsidR="002D165D">
        <w:t xml:space="preserve"> breach of a core obligation if</w:t>
      </w:r>
      <w:r w:rsidR="27F60B1A">
        <w:t xml:space="preserve"> the circumstances would otherwise only be likely to give rise to a single reportable situation, </w:t>
      </w:r>
      <w:r w:rsidR="4CB97D99">
        <w:t>only a limited number of clients are likely to be affected and the contravention is unlikely to result in any financial loss.</w:t>
      </w:r>
    </w:p>
    <w:p w14:paraId="13C4B5D4" w14:textId="5B0F3474" w:rsidR="1B627E34" w:rsidRDefault="00D633BE" w:rsidP="60E72204">
      <w:pPr>
        <w:pStyle w:val="LI-BodyTextParaa"/>
        <w:ind w:left="567"/>
      </w:pPr>
      <w:r>
        <w:t>1</w:t>
      </w:r>
      <w:r w:rsidR="004501D5">
        <w:t>6</w:t>
      </w:r>
      <w:r w:rsidR="444F7B76">
        <w:t>.</w:t>
      </w:r>
      <w:r w:rsidR="30AB5EDB">
        <w:tab/>
      </w:r>
      <w:r w:rsidR="444F7B76">
        <w:t xml:space="preserve">Section </w:t>
      </w:r>
      <w:r w:rsidR="00BA3585">
        <w:t>7</w:t>
      </w:r>
      <w:r w:rsidR="444F7B76">
        <w:t xml:space="preserve"> of the Instrument</w:t>
      </w:r>
      <w:r w:rsidR="1C17E4FE">
        <w:t xml:space="preserve"> notionally</w:t>
      </w:r>
      <w:r w:rsidR="770F651A">
        <w:t xml:space="preserve"> replaces</w:t>
      </w:r>
      <w:r w:rsidR="1C17E4FE">
        <w:t>:</w:t>
      </w:r>
    </w:p>
    <w:p w14:paraId="701100C5" w14:textId="0DB9B488" w:rsidR="1C17E4FE" w:rsidRDefault="00AD0317" w:rsidP="00AD0317">
      <w:pPr>
        <w:pStyle w:val="LI-BodyTextParaa"/>
        <w:ind w:left="1134"/>
      </w:pPr>
      <w:r>
        <w:t>(</w:t>
      </w:r>
      <w:r w:rsidR="566F55E3">
        <w:t>a)</w:t>
      </w:r>
      <w:r>
        <w:tab/>
      </w:r>
      <w:r w:rsidR="321F4C21">
        <w:t>sub</w:t>
      </w:r>
      <w:r w:rsidR="566F55E3">
        <w:t xml:space="preserve">section 912DAA(3) </w:t>
      </w:r>
      <w:r w:rsidR="46A25E9E">
        <w:t xml:space="preserve">of the Act </w:t>
      </w:r>
      <w:r w:rsidR="5D58428C">
        <w:t>with a modified subsection 912DAA(3); and</w:t>
      </w:r>
      <w:r w:rsidR="566F55E3">
        <w:t xml:space="preserve"> </w:t>
      </w:r>
    </w:p>
    <w:p w14:paraId="5C232709" w14:textId="03635C0E" w:rsidR="0D804847" w:rsidRDefault="00AD0317" w:rsidP="00AD0317">
      <w:pPr>
        <w:pStyle w:val="LI-BodyTextParaa"/>
        <w:ind w:left="1134"/>
      </w:pPr>
      <w:r>
        <w:t>(</w:t>
      </w:r>
      <w:r w:rsidR="0FBF4A61">
        <w:t>b)</w:t>
      </w:r>
      <w:r>
        <w:tab/>
      </w:r>
      <w:r w:rsidR="2D544A54">
        <w:t>sub</w:t>
      </w:r>
      <w:r w:rsidR="1983D9FE">
        <w:t>section 50B(4)</w:t>
      </w:r>
      <w:r w:rsidR="7EEE066C">
        <w:t xml:space="preserve"> </w:t>
      </w:r>
      <w:r w:rsidR="4EF59E69">
        <w:t>of</w:t>
      </w:r>
      <w:r w:rsidR="7EEE066C">
        <w:t xml:space="preserve"> the Credit Act</w:t>
      </w:r>
      <w:r w:rsidR="3274B194">
        <w:t xml:space="preserve"> with a modified subsection 50B(4), </w:t>
      </w:r>
    </w:p>
    <w:p w14:paraId="644F346A" w14:textId="38AD4868" w:rsidR="60A39E8A" w:rsidRDefault="3274B194" w:rsidP="54E96168">
      <w:pPr>
        <w:pStyle w:val="LI-BodyTextParaa"/>
        <w:ind w:left="567" w:firstLine="0"/>
        <w:rPr>
          <w:color w:val="000000" w:themeColor="text1"/>
        </w:rPr>
      </w:pPr>
      <w:r>
        <w:t xml:space="preserve">such that </w:t>
      </w:r>
      <w:r w:rsidR="2D1B633A">
        <w:t xml:space="preserve">if </w:t>
      </w:r>
      <w:r w:rsidR="00402BB9">
        <w:t>a</w:t>
      </w:r>
      <w:r w:rsidR="00932D82">
        <w:t xml:space="preserve">n AFS </w:t>
      </w:r>
      <w:r w:rsidR="00D53AD8">
        <w:t xml:space="preserve">or credit </w:t>
      </w:r>
      <w:r w:rsidR="00402BB9">
        <w:t xml:space="preserve">licensee has previously </w:t>
      </w:r>
      <w:r w:rsidR="2D1B633A" w:rsidRPr="1F492B5D">
        <w:rPr>
          <w:color w:val="000000" w:themeColor="text1"/>
        </w:rPr>
        <w:t xml:space="preserve">lodged a report </w:t>
      </w:r>
      <w:r w:rsidR="7C6739CB" w:rsidRPr="1F492B5D">
        <w:rPr>
          <w:color w:val="000000" w:themeColor="text1"/>
        </w:rPr>
        <w:t>with ASIC</w:t>
      </w:r>
      <w:r w:rsidR="00AD6384">
        <w:rPr>
          <w:color w:val="000000" w:themeColor="text1"/>
        </w:rPr>
        <w:t>,</w:t>
      </w:r>
      <w:r w:rsidR="7C6739CB" w:rsidRPr="1F492B5D">
        <w:rPr>
          <w:color w:val="000000" w:themeColor="text1"/>
        </w:rPr>
        <w:t xml:space="preserve"> </w:t>
      </w:r>
      <w:r w:rsidR="468B5ADA" w:rsidRPr="1F492B5D">
        <w:rPr>
          <w:color w:val="000000" w:themeColor="text1"/>
        </w:rPr>
        <w:t>pursuant to</w:t>
      </w:r>
      <w:r w:rsidR="4B7418C3" w:rsidRPr="1F492B5D">
        <w:rPr>
          <w:color w:val="000000" w:themeColor="text1"/>
        </w:rPr>
        <w:t xml:space="preserve"> Part 7.6 of the Act or Part 2-6 of the Credit Act,</w:t>
      </w:r>
      <w:r w:rsidR="7C6739CB" w:rsidRPr="1F492B5D">
        <w:rPr>
          <w:color w:val="000000" w:themeColor="text1"/>
        </w:rPr>
        <w:t xml:space="preserve"> </w:t>
      </w:r>
      <w:r w:rsidR="5A8A788F" w:rsidRPr="1F492B5D">
        <w:rPr>
          <w:color w:val="000000" w:themeColor="text1"/>
        </w:rPr>
        <w:t xml:space="preserve">relating to a reportable situation </w:t>
      </w:r>
      <w:r w:rsidR="7C6739CB" w:rsidRPr="1F492B5D">
        <w:rPr>
          <w:color w:val="000000" w:themeColor="text1"/>
        </w:rPr>
        <w:t>that is substantially similar to a new reportable situation, the time in which the licensee is required to report to ASIC is</w:t>
      </w:r>
      <w:r w:rsidR="50A740EF" w:rsidRPr="1F492B5D">
        <w:rPr>
          <w:color w:val="000000" w:themeColor="text1"/>
        </w:rPr>
        <w:t xml:space="preserve"> extended to</w:t>
      </w:r>
      <w:r w:rsidR="7C6739CB" w:rsidRPr="1F492B5D">
        <w:rPr>
          <w:color w:val="000000" w:themeColor="text1"/>
        </w:rPr>
        <w:t xml:space="preserve"> </w:t>
      </w:r>
      <w:r w:rsidR="5BF244D0" w:rsidRPr="1F492B5D">
        <w:rPr>
          <w:color w:val="000000" w:themeColor="text1"/>
        </w:rPr>
        <w:t>ninety (rather than thirty) days.</w:t>
      </w:r>
    </w:p>
    <w:p w14:paraId="6B992BC1" w14:textId="272759A5" w:rsidR="004B2BBE" w:rsidRDefault="004B2BBE" w:rsidP="005D1FEA">
      <w:pPr>
        <w:pStyle w:val="LI-BodyTextParaa"/>
        <w:ind w:left="567"/>
        <w:rPr>
          <w:i/>
          <w:iCs/>
        </w:rPr>
      </w:pPr>
      <w:r>
        <w:rPr>
          <w:i/>
          <w:iCs/>
        </w:rPr>
        <w:t>Preserving the effect of</w:t>
      </w:r>
      <w:r w:rsidR="005A5200">
        <w:rPr>
          <w:i/>
          <w:iCs/>
        </w:rPr>
        <w:t xml:space="preserve"> LI</w:t>
      </w:r>
      <w:r w:rsidRPr="005A5200">
        <w:rPr>
          <w:i/>
          <w:iCs/>
        </w:rPr>
        <w:t xml:space="preserve"> </w:t>
      </w:r>
      <w:r w:rsidR="005A5200" w:rsidRPr="005A5200">
        <w:rPr>
          <w:i/>
          <w:iCs/>
        </w:rPr>
        <w:t>2021/801</w:t>
      </w:r>
    </w:p>
    <w:p w14:paraId="7FE998FE" w14:textId="77777777" w:rsidR="00EE63E0" w:rsidRDefault="00ED30AC" w:rsidP="00994C81">
      <w:pPr>
        <w:pStyle w:val="LI-BodyTextParaa"/>
        <w:ind w:left="567"/>
      </w:pPr>
      <w:r>
        <w:t>1</w:t>
      </w:r>
      <w:r w:rsidR="004501D5">
        <w:t>7</w:t>
      </w:r>
      <w:r w:rsidR="00D84D59">
        <w:t>.</w:t>
      </w:r>
      <w:r w:rsidR="00D84D59">
        <w:tab/>
      </w:r>
      <w:r w:rsidR="00FE7CCD">
        <w:t xml:space="preserve">Section </w:t>
      </w:r>
      <w:r w:rsidR="00BA3585">
        <w:t>8</w:t>
      </w:r>
      <w:r w:rsidR="00FE7CCD">
        <w:t xml:space="preserve"> of the Instrument </w:t>
      </w:r>
      <w:r w:rsidR="00E67726">
        <w:t xml:space="preserve">preserves the effect of </w:t>
      </w:r>
      <w:r w:rsidR="00BD5981">
        <w:t>section 6 of LI 2021/</w:t>
      </w:r>
      <w:r w:rsidR="00CF72FD">
        <w:t>801</w:t>
      </w:r>
      <w:r w:rsidR="00994C81">
        <w:t xml:space="preserve"> by </w:t>
      </w:r>
      <w:r w:rsidR="0061315D">
        <w:t>notionally</w:t>
      </w:r>
      <w:r w:rsidR="00A2746F">
        <w:t xml:space="preserve"> </w:t>
      </w:r>
      <w:r w:rsidR="003D7C1E">
        <w:t xml:space="preserve">replacing </w:t>
      </w:r>
      <w:r w:rsidR="009A3850">
        <w:t xml:space="preserve">paragraph 50A(3)(c) </w:t>
      </w:r>
      <w:r w:rsidR="003B7C72">
        <w:t xml:space="preserve">of </w:t>
      </w:r>
      <w:r w:rsidR="00A2746F">
        <w:t>the Credit Act</w:t>
      </w:r>
      <w:r w:rsidR="00A35226">
        <w:t xml:space="preserve"> </w:t>
      </w:r>
      <w:r w:rsidR="00EE311B">
        <w:t xml:space="preserve">which </w:t>
      </w:r>
      <w:r w:rsidR="00841551">
        <w:t xml:space="preserve">limits </w:t>
      </w:r>
      <w:r w:rsidR="00670723">
        <w:t xml:space="preserve">what </w:t>
      </w:r>
      <w:r w:rsidR="00841551">
        <w:t xml:space="preserve">breaches under other </w:t>
      </w:r>
      <w:r w:rsidR="00EE311B">
        <w:t xml:space="preserve">Commonwealth legislation </w:t>
      </w:r>
      <w:r w:rsidR="00841551">
        <w:t>related to credit activities</w:t>
      </w:r>
      <w:r w:rsidR="00670723">
        <w:t xml:space="preserve"> must be reported</w:t>
      </w:r>
      <w:r w:rsidR="003B7C72">
        <w:t>.</w:t>
      </w:r>
      <w:r w:rsidR="005776A2">
        <w:t xml:space="preserve"> </w:t>
      </w:r>
    </w:p>
    <w:p w14:paraId="65AFA07B" w14:textId="0BA7D9BD" w:rsidR="00727DC8" w:rsidRDefault="00EE63E0" w:rsidP="00994C81">
      <w:pPr>
        <w:pStyle w:val="LI-BodyTextParaa"/>
        <w:ind w:left="567"/>
      </w:pPr>
      <w:r>
        <w:t>18.</w:t>
      </w:r>
      <w:r>
        <w:tab/>
      </w:r>
      <w:r w:rsidR="005776A2">
        <w:t xml:space="preserve">The modifications mean that </w:t>
      </w:r>
      <w:r w:rsidR="008A1AA0">
        <w:t xml:space="preserve">the scope of the ‘core obligation’ in paragraph </w:t>
      </w:r>
      <w:r w:rsidR="00543EF8">
        <w:t>47(1)(d)</w:t>
      </w:r>
      <w:r w:rsidR="008A1AA0">
        <w:t xml:space="preserve"> of the Credit Act is limited to</w:t>
      </w:r>
      <w:r w:rsidR="00727DC8">
        <w:t xml:space="preserve"> the following Commonwealth legislation:</w:t>
      </w:r>
    </w:p>
    <w:p w14:paraId="35EE1994" w14:textId="2841CDDE" w:rsidR="001225DA" w:rsidRPr="00FD49DE" w:rsidRDefault="00727DC8" w:rsidP="00FD49DE">
      <w:pPr>
        <w:pStyle w:val="LI-BodyTextParaa"/>
        <w:ind w:left="1134"/>
      </w:pPr>
      <w:r>
        <w:t>(a)</w:t>
      </w:r>
      <w:r w:rsidR="001225DA">
        <w:tab/>
      </w:r>
      <w:r w:rsidR="001225DA">
        <w:rPr>
          <w:i/>
          <w:iCs/>
        </w:rPr>
        <w:t>Banking Act 1959</w:t>
      </w:r>
      <w:r w:rsidR="00FD49DE">
        <w:t>;</w:t>
      </w:r>
    </w:p>
    <w:p w14:paraId="27D6901C" w14:textId="7F83874D" w:rsidR="001225DA" w:rsidRPr="00FD49DE" w:rsidRDefault="001225DA" w:rsidP="00FD49DE">
      <w:pPr>
        <w:pStyle w:val="LI-BodyTextParaa"/>
        <w:ind w:left="1134"/>
      </w:pPr>
      <w:r>
        <w:t>(b)</w:t>
      </w:r>
      <w:r>
        <w:tab/>
      </w:r>
      <w:r>
        <w:rPr>
          <w:i/>
          <w:iCs/>
        </w:rPr>
        <w:t>Corporations Act 2001</w:t>
      </w:r>
      <w:r w:rsidR="00FD49DE">
        <w:t>;</w:t>
      </w:r>
    </w:p>
    <w:p w14:paraId="083264CE" w14:textId="73EA8403" w:rsidR="00FD49DE" w:rsidRPr="00FD49DE" w:rsidRDefault="001225DA" w:rsidP="00FD49DE">
      <w:pPr>
        <w:pStyle w:val="LI-BodyTextParaa"/>
        <w:ind w:left="1134"/>
      </w:pPr>
      <w:r>
        <w:t>(c)</w:t>
      </w:r>
      <w:r>
        <w:tab/>
      </w:r>
      <w:r>
        <w:rPr>
          <w:i/>
          <w:iCs/>
        </w:rPr>
        <w:t>Financial Sector (Collection of Data) Act 2001</w:t>
      </w:r>
      <w:r w:rsidR="00FD49DE">
        <w:t>;</w:t>
      </w:r>
    </w:p>
    <w:p w14:paraId="254160ED" w14:textId="77777777" w:rsidR="00FD49DE" w:rsidRDefault="00FD49DE" w:rsidP="00FD49DE">
      <w:pPr>
        <w:pStyle w:val="LI-BodyTextParaa"/>
        <w:ind w:left="1134"/>
      </w:pPr>
      <w:r>
        <w:lastRenderedPageBreak/>
        <w:t>(d)</w:t>
      </w:r>
      <w:r>
        <w:tab/>
      </w:r>
      <w:r>
        <w:rPr>
          <w:i/>
          <w:iCs/>
        </w:rPr>
        <w:t>Financial Sector (Shareholders) Act 1998</w:t>
      </w:r>
      <w:r>
        <w:t>; and</w:t>
      </w:r>
    </w:p>
    <w:p w14:paraId="3C49D13B" w14:textId="673E9884" w:rsidR="00994C81" w:rsidRDefault="00FD49DE" w:rsidP="00FD49DE">
      <w:pPr>
        <w:pStyle w:val="LI-BodyTextParaa"/>
        <w:ind w:left="1134"/>
      </w:pPr>
      <w:r>
        <w:t>(e)</w:t>
      </w:r>
      <w:r>
        <w:tab/>
      </w:r>
      <w:r>
        <w:rPr>
          <w:i/>
          <w:iCs/>
        </w:rPr>
        <w:t>Financial Sector (Transfer and Restructure) Act 1999</w:t>
      </w:r>
      <w:r w:rsidR="00DC53D5">
        <w:t>.</w:t>
      </w:r>
      <w:r w:rsidR="00DC53D5">
        <w:rPr>
          <w:i/>
          <w:iCs/>
        </w:rPr>
        <w:t xml:space="preserve"> </w:t>
      </w:r>
    </w:p>
    <w:p w14:paraId="40D07610" w14:textId="675E11AA" w:rsidR="00F92BE4" w:rsidRPr="00FE2FB8" w:rsidRDefault="00F92C92" w:rsidP="26E4E70B">
      <w:pPr>
        <w:pStyle w:val="LI-BodyTextParaa"/>
        <w:ind w:left="567"/>
        <w:rPr>
          <w:rStyle w:val="normaltextrun"/>
          <w:color w:val="000000" w:themeColor="text1"/>
        </w:rPr>
      </w:pPr>
      <w:r>
        <w:t>19</w:t>
      </w:r>
      <w:r w:rsidR="00F92BE4">
        <w:t xml:space="preserve">. </w:t>
      </w:r>
      <w:r w:rsidR="00F92BE4">
        <w:tab/>
      </w:r>
      <w:r w:rsidR="00C71956">
        <w:t>Section 9 of t</w:t>
      </w:r>
      <w:r w:rsidR="00F92BE4">
        <w:rPr>
          <w:rStyle w:val="normaltextrun"/>
          <w:color w:val="000000"/>
          <w:shd w:val="clear" w:color="auto" w:fill="FFFFFF"/>
        </w:rPr>
        <w:t xml:space="preserve">he Instrument </w:t>
      </w:r>
      <w:r w:rsidR="00C71956">
        <w:rPr>
          <w:rStyle w:val="normaltextrun"/>
          <w:color w:val="000000"/>
          <w:shd w:val="clear" w:color="auto" w:fill="FFFFFF"/>
        </w:rPr>
        <w:t xml:space="preserve">specifies that </w:t>
      </w:r>
      <w:r w:rsidR="00C65980">
        <w:rPr>
          <w:rStyle w:val="normaltextrun"/>
          <w:color w:val="000000"/>
          <w:shd w:val="clear" w:color="auto" w:fill="FFFFFF"/>
        </w:rPr>
        <w:t xml:space="preserve">the Instrument is repealed at the start of 1 October 2029. </w:t>
      </w:r>
    </w:p>
    <w:p w14:paraId="57A93CEC" w14:textId="77777777" w:rsidR="00C52E7C" w:rsidRPr="006D6079" w:rsidRDefault="00C52E7C" w:rsidP="006D6079">
      <w:pPr>
        <w:pStyle w:val="LI-BodyTextParaa"/>
        <w:keepNext/>
        <w:ind w:left="567"/>
        <w:rPr>
          <w:b/>
          <w:bCs/>
        </w:rPr>
      </w:pPr>
      <w:r w:rsidRPr="006D6079">
        <w:rPr>
          <w:b/>
          <w:bCs/>
        </w:rPr>
        <w:t xml:space="preserve">Legislative instrument </w:t>
      </w:r>
      <w:r w:rsidR="00610709" w:rsidRPr="006D6079">
        <w:rPr>
          <w:b/>
          <w:bCs/>
        </w:rPr>
        <w:t xml:space="preserve">and </w:t>
      </w:r>
      <w:r w:rsidRPr="006D6079">
        <w:rPr>
          <w:b/>
          <w:bCs/>
        </w:rPr>
        <w:t xml:space="preserve">primary legislation  </w:t>
      </w:r>
    </w:p>
    <w:p w14:paraId="44BBB2F0" w14:textId="77172DB8" w:rsidR="003C0BA7" w:rsidRDefault="004501D5" w:rsidP="001E7E2B">
      <w:pPr>
        <w:pStyle w:val="LI-BodyTextParaa"/>
        <w:ind w:left="567"/>
      </w:pPr>
      <w:r>
        <w:t>2</w:t>
      </w:r>
      <w:r w:rsidR="00F92C92">
        <w:t>0</w:t>
      </w:r>
      <w:r w:rsidR="00C52E7C">
        <w:t>.</w:t>
      </w:r>
      <w:r w:rsidR="00C52E7C">
        <w:tab/>
        <w:t xml:space="preserve">The </w:t>
      </w:r>
      <w:r w:rsidR="00ED796D">
        <w:t xml:space="preserve">subject matter and </w:t>
      </w:r>
      <w:r w:rsidR="00C52E7C">
        <w:t>policy implemented by th</w:t>
      </w:r>
      <w:r w:rsidR="00C71794">
        <w:t>e I</w:t>
      </w:r>
      <w:r w:rsidR="00C52E7C">
        <w:t xml:space="preserve">nstrument </w:t>
      </w:r>
      <w:r w:rsidR="00C71794">
        <w:t>are</w:t>
      </w:r>
      <w:r w:rsidR="00C52E7C">
        <w:t xml:space="preserve"> more appropriate for </w:t>
      </w:r>
      <w:r w:rsidR="00ED796D">
        <w:t>a legislative instrument</w:t>
      </w:r>
      <w:r w:rsidR="00302AE8">
        <w:t>,</w:t>
      </w:r>
      <w:r w:rsidR="00ED796D">
        <w:t xml:space="preserve"> rather than primary legislation</w:t>
      </w:r>
      <w:r w:rsidR="00302AE8">
        <w:t>,</w:t>
      </w:r>
      <w:r w:rsidR="00ED796D">
        <w:t xml:space="preserve"> because</w:t>
      </w:r>
      <w:r w:rsidR="003C0BA7">
        <w:t>:</w:t>
      </w:r>
    </w:p>
    <w:p w14:paraId="75C64638" w14:textId="5A1479E7" w:rsidR="009D7BD8" w:rsidRDefault="00905A55" w:rsidP="009D7BD8">
      <w:pPr>
        <w:pStyle w:val="LI-BodyTextParaa"/>
        <w:ind w:left="1134"/>
      </w:pPr>
      <w:r>
        <w:t>(a)</w:t>
      </w:r>
      <w:r>
        <w:tab/>
        <w:t>the Instrument is made under power</w:t>
      </w:r>
      <w:r w:rsidR="00E422A6">
        <w:t>s</w:t>
      </w:r>
      <w:r>
        <w:t xml:space="preserve"> specifically delegated to ASIC </w:t>
      </w:r>
      <w:r w:rsidR="00E422A6">
        <w:t>to modify or affect the operation of the Act and Credit Act to provide a tailored and flexible regulatory environment that is fit for purpos</w:t>
      </w:r>
      <w:r w:rsidR="005E542A">
        <w:t>e</w:t>
      </w:r>
      <w:r w:rsidR="009D7BD8">
        <w:t>; and</w:t>
      </w:r>
    </w:p>
    <w:p w14:paraId="5C0D0B25" w14:textId="7F2C0C7E" w:rsidR="00905A55" w:rsidRDefault="009D7BD8" w:rsidP="009D7BD8">
      <w:pPr>
        <w:pStyle w:val="LI-BodyTextParaa"/>
        <w:ind w:left="1134"/>
      </w:pPr>
      <w:r>
        <w:t>(b)</w:t>
      </w:r>
      <w:r>
        <w:tab/>
      </w:r>
      <w:r w:rsidR="003D46D6">
        <w:t xml:space="preserve">ASIC understands that the Government will consider whether to make future amendments to </w:t>
      </w:r>
      <w:r w:rsidR="00397E98">
        <w:t>incorporate the Instrument into primary law or regulations.</w:t>
      </w:r>
      <w:r w:rsidR="00905A55">
        <w:t xml:space="preserve"> </w:t>
      </w:r>
    </w:p>
    <w:p w14:paraId="50EBD214" w14:textId="77777777" w:rsidR="005D1770" w:rsidRDefault="00F61A66" w:rsidP="00F61A66">
      <w:pPr>
        <w:pStyle w:val="LI-BodyTextParaa"/>
        <w:keepNext/>
        <w:ind w:left="567"/>
        <w:rPr>
          <w:u w:val="single"/>
        </w:rPr>
      </w:pPr>
      <w:r w:rsidRPr="006D6079">
        <w:rPr>
          <w:b/>
          <w:bCs/>
        </w:rPr>
        <w:t>Duration</w:t>
      </w:r>
      <w:r w:rsidR="009A2319" w:rsidRPr="006D6079">
        <w:rPr>
          <w:b/>
          <w:bCs/>
        </w:rPr>
        <w:t xml:space="preserve"> of the instrument</w:t>
      </w:r>
      <w:r>
        <w:rPr>
          <w:u w:val="single"/>
        </w:rPr>
        <w:t xml:space="preserve"> </w:t>
      </w:r>
    </w:p>
    <w:p w14:paraId="3DB895D8" w14:textId="2E264440" w:rsidR="00670BE6" w:rsidRDefault="00D633BE" w:rsidP="00ED30AC">
      <w:pPr>
        <w:pStyle w:val="LI-BodyTextNumbered"/>
        <w:keepNext/>
        <w:ind w:left="567"/>
        <w:rPr>
          <w:i/>
          <w:iCs/>
        </w:rPr>
      </w:pPr>
      <w:r>
        <w:t>2</w:t>
      </w:r>
      <w:r w:rsidR="00F92C92">
        <w:t>1</w:t>
      </w:r>
      <w:r w:rsidR="00F61A66">
        <w:t>.</w:t>
      </w:r>
      <w:r w:rsidR="00F61A66">
        <w:tab/>
      </w:r>
      <w:r w:rsidR="6AFCC7E7" w:rsidRPr="222B498E">
        <w:t xml:space="preserve">The Instrument is repealed </w:t>
      </w:r>
      <w:r w:rsidR="005019A3">
        <w:t xml:space="preserve">at the start of </w:t>
      </w:r>
      <w:r w:rsidR="6AFCC7E7" w:rsidRPr="222B498E">
        <w:t>1 October 202</w:t>
      </w:r>
      <w:r w:rsidR="00CB7D0F">
        <w:t>9</w:t>
      </w:r>
      <w:r w:rsidR="6AFCC7E7" w:rsidRPr="222B498E">
        <w:t>.</w:t>
      </w:r>
      <w:r w:rsidR="41BDA09E" w:rsidRPr="222B498E">
        <w:t xml:space="preserve"> </w:t>
      </w:r>
      <w:r w:rsidR="59A2FCB3" w:rsidRPr="222B498E">
        <w:rPr>
          <w:color w:val="000000" w:themeColor="text1"/>
        </w:rPr>
        <w:t>Extending the</w:t>
      </w:r>
      <w:r w:rsidR="23669978" w:rsidRPr="222B498E">
        <w:rPr>
          <w:color w:val="000000" w:themeColor="text1"/>
        </w:rPr>
        <w:t xml:space="preserve"> relief </w:t>
      </w:r>
      <w:r w:rsidR="00670BE6">
        <w:rPr>
          <w:color w:val="000000" w:themeColor="text1"/>
        </w:rPr>
        <w:t xml:space="preserve">and requirements </w:t>
      </w:r>
      <w:r w:rsidR="23669978" w:rsidRPr="222B498E">
        <w:rPr>
          <w:color w:val="000000" w:themeColor="text1"/>
        </w:rPr>
        <w:t>for a period of five years will give the Government an opportunity to determine whether to amend the primary legislation or regulations to include the relief</w:t>
      </w:r>
      <w:r w:rsidR="00670BE6">
        <w:rPr>
          <w:color w:val="000000" w:themeColor="text1"/>
        </w:rPr>
        <w:t xml:space="preserve"> and/or requirements</w:t>
      </w:r>
      <w:r w:rsidR="23669978" w:rsidRPr="222B498E">
        <w:rPr>
          <w:color w:val="000000" w:themeColor="text1"/>
        </w:rPr>
        <w:t>. If the</w:t>
      </w:r>
      <w:r w:rsidR="00D873FB">
        <w:rPr>
          <w:color w:val="000000" w:themeColor="text1"/>
        </w:rPr>
        <w:t xml:space="preserve"> primary legislation or regulations is </w:t>
      </w:r>
      <w:r w:rsidR="23669978" w:rsidRPr="222B498E">
        <w:rPr>
          <w:color w:val="000000" w:themeColor="text1"/>
        </w:rPr>
        <w:t>amended to include the relief</w:t>
      </w:r>
      <w:r w:rsidR="00670BE6">
        <w:rPr>
          <w:color w:val="000000" w:themeColor="text1"/>
        </w:rPr>
        <w:t xml:space="preserve"> and requirements</w:t>
      </w:r>
      <w:r w:rsidR="23669978" w:rsidRPr="222B498E">
        <w:rPr>
          <w:color w:val="000000" w:themeColor="text1"/>
        </w:rPr>
        <w:t xml:space="preserve">, ASIC will repeal the </w:t>
      </w:r>
      <w:r w:rsidR="000C22D9">
        <w:rPr>
          <w:color w:val="000000" w:themeColor="text1"/>
        </w:rPr>
        <w:t>I</w:t>
      </w:r>
      <w:r w:rsidR="23669978" w:rsidRPr="222B498E">
        <w:rPr>
          <w:color w:val="000000" w:themeColor="text1"/>
        </w:rPr>
        <w:t>nstrument.</w:t>
      </w:r>
      <w:r w:rsidR="23669978" w:rsidRPr="222B498E">
        <w:rPr>
          <w:i/>
          <w:iCs/>
        </w:rPr>
        <w:t xml:space="preserve"> </w:t>
      </w:r>
      <w:bookmarkEnd w:id="1"/>
    </w:p>
    <w:p w14:paraId="6E228E05" w14:textId="119C8C21" w:rsidR="00F03BB5" w:rsidRDefault="00474B52" w:rsidP="00ED30AC">
      <w:pPr>
        <w:pStyle w:val="LI-BodyTextNumbered"/>
        <w:keepNext/>
        <w:ind w:left="567"/>
        <w:rPr>
          <w:b/>
        </w:rPr>
      </w:pPr>
      <w:r>
        <w:rPr>
          <w:b/>
        </w:rPr>
        <w:t>Legislative authority</w:t>
      </w:r>
    </w:p>
    <w:p w14:paraId="74032E69" w14:textId="7C3777D0" w:rsidR="53F2339A" w:rsidRDefault="00D633BE" w:rsidP="251A4830">
      <w:pPr>
        <w:pStyle w:val="LI-BodyTextParaa"/>
        <w:ind w:left="567"/>
      </w:pPr>
      <w:r>
        <w:t>2</w:t>
      </w:r>
      <w:r w:rsidR="00F92C92">
        <w:t>2</w:t>
      </w:r>
      <w:r w:rsidR="00F03BB5">
        <w:t>.</w:t>
      </w:r>
      <w:r w:rsidR="53F2339A">
        <w:tab/>
      </w:r>
      <w:r w:rsidR="4CC9E8A1" w:rsidRPr="251A4830">
        <w:rPr>
          <w:color w:val="000000" w:themeColor="text1"/>
        </w:rPr>
        <w:t>Th</w:t>
      </w:r>
      <w:r w:rsidR="00670BE6">
        <w:rPr>
          <w:color w:val="000000" w:themeColor="text1"/>
        </w:rPr>
        <w:t>e I</w:t>
      </w:r>
      <w:r w:rsidR="4CC9E8A1" w:rsidRPr="251A4830">
        <w:rPr>
          <w:color w:val="000000" w:themeColor="text1"/>
        </w:rPr>
        <w:t>nstrument is made under subsection 926A(2) of the</w:t>
      </w:r>
      <w:r w:rsidR="00670BE6">
        <w:rPr>
          <w:color w:val="000000" w:themeColor="text1"/>
        </w:rPr>
        <w:t xml:space="preserve"> Act</w:t>
      </w:r>
      <w:r w:rsidR="4CC9E8A1" w:rsidRPr="251A4830">
        <w:rPr>
          <w:color w:val="000000" w:themeColor="text1"/>
        </w:rPr>
        <w:t xml:space="preserve"> and subsection 109(3) of the</w:t>
      </w:r>
      <w:r w:rsidR="00670BE6">
        <w:rPr>
          <w:color w:val="000000" w:themeColor="text1"/>
        </w:rPr>
        <w:t xml:space="preserve"> Credit Act</w:t>
      </w:r>
      <w:r w:rsidR="4CC9E8A1" w:rsidRPr="251A4830">
        <w:rPr>
          <w:color w:val="000000" w:themeColor="text1"/>
        </w:rPr>
        <w:t>.</w:t>
      </w:r>
    </w:p>
    <w:p w14:paraId="7D3AA32E" w14:textId="4B55A681" w:rsidR="00435EEF" w:rsidRDefault="00D633BE" w:rsidP="00435EEF">
      <w:pPr>
        <w:pStyle w:val="LI-BodyTextParaa"/>
        <w:ind w:left="567"/>
      </w:pPr>
      <w:r>
        <w:t>2</w:t>
      </w:r>
      <w:r w:rsidR="00F92C92">
        <w:t>3</w:t>
      </w:r>
      <w:r w:rsidR="00946759">
        <w:t>.</w:t>
      </w:r>
      <w:r w:rsidR="00946759">
        <w:tab/>
      </w:r>
      <w:r w:rsidR="048B4C5F">
        <w:t>The Instrument is a disallowable legislative instrument.</w:t>
      </w:r>
    </w:p>
    <w:p w14:paraId="4D930F2D" w14:textId="77777777" w:rsidR="00EA17A6" w:rsidRPr="00EA17A6" w:rsidRDefault="00EA17A6" w:rsidP="006D6079">
      <w:pPr>
        <w:pStyle w:val="LI-BodyTextNumbered"/>
        <w:keepNext/>
        <w:ind w:left="0" w:firstLine="0"/>
        <w:rPr>
          <w:b/>
        </w:rPr>
      </w:pPr>
      <w:r w:rsidRPr="00EA17A6">
        <w:rPr>
          <w:b/>
        </w:rPr>
        <w:t xml:space="preserve">Statement of Compatibility with Human Rights  </w:t>
      </w:r>
    </w:p>
    <w:p w14:paraId="1DBA07BE" w14:textId="7A5CC155" w:rsidR="00223DCF" w:rsidRPr="00EA17A6" w:rsidRDefault="00D633BE" w:rsidP="00435EEF">
      <w:pPr>
        <w:pStyle w:val="LI-BodyTextParaa"/>
        <w:ind w:left="567"/>
      </w:pPr>
      <w:r>
        <w:t>2</w:t>
      </w:r>
      <w:r w:rsidR="00F92C92">
        <w:t>4</w:t>
      </w:r>
      <w:r w:rsidR="00223DCF">
        <w:t>.</w:t>
      </w:r>
      <w:r w:rsidR="00223DCF">
        <w:tab/>
        <w:t xml:space="preserve">The Explanatory Statement for a disallowable legislative instrument must contain a Statement of Compatibility with Human Rights under subsection 9(1) of the </w:t>
      </w:r>
      <w:r w:rsidR="00223DCF" w:rsidRPr="45EB3E2C">
        <w:rPr>
          <w:i/>
          <w:iCs/>
        </w:rPr>
        <w:t>Human Rights (Parliamentary Scrutiny) Act 2011.</w:t>
      </w:r>
      <w:r w:rsidR="00223DCF">
        <w:t xml:space="preserve"> A Statement of Compatibility with Human Rights is in the </w:t>
      </w:r>
      <w:r w:rsidR="00223DCF" w:rsidRPr="45EB3E2C">
        <w:rPr>
          <w:u w:val="single"/>
        </w:rPr>
        <w:t>Attachment</w:t>
      </w:r>
      <w:r w:rsidR="00223DCF">
        <w:t xml:space="preserve">. </w:t>
      </w:r>
    </w:p>
    <w:p w14:paraId="04C7C810" w14:textId="77777777" w:rsidR="00223DCF" w:rsidRPr="00EA17A6" w:rsidRDefault="00223DCF" w:rsidP="00223DCF">
      <w:pPr>
        <w:pStyle w:val="LI-BodyTextParaa"/>
        <w:ind w:left="567"/>
        <w:jc w:val="right"/>
        <w:rPr>
          <w:u w:val="single"/>
        </w:rPr>
      </w:pPr>
      <w:r>
        <w:rPr>
          <w:color w:val="FF0000"/>
        </w:rPr>
        <w:br w:type="page"/>
      </w:r>
      <w:r w:rsidRPr="00EA17A6">
        <w:rPr>
          <w:u w:val="single"/>
        </w:rPr>
        <w:lastRenderedPageBreak/>
        <w:t xml:space="preserve">Attachment </w:t>
      </w:r>
    </w:p>
    <w:p w14:paraId="7F52BE96" w14:textId="77777777" w:rsidR="00A15512" w:rsidRPr="00EA17A6" w:rsidRDefault="001E77ED" w:rsidP="00223DCF">
      <w:pPr>
        <w:pStyle w:val="LI-BodyTextParaa"/>
        <w:ind w:left="567"/>
        <w:jc w:val="center"/>
        <w:rPr>
          <w:b/>
          <w:sz w:val="28"/>
          <w:szCs w:val="28"/>
        </w:rPr>
      </w:pPr>
      <w:r w:rsidRPr="00EA17A6">
        <w:rPr>
          <w:b/>
          <w:sz w:val="28"/>
          <w:szCs w:val="28"/>
        </w:rPr>
        <w:t xml:space="preserve">Statement of </w:t>
      </w:r>
      <w:r w:rsidR="00223DCF" w:rsidRPr="00EA17A6">
        <w:rPr>
          <w:b/>
          <w:sz w:val="28"/>
          <w:szCs w:val="28"/>
        </w:rPr>
        <w:t>C</w:t>
      </w:r>
      <w:r w:rsidRPr="00EA17A6">
        <w:rPr>
          <w:b/>
          <w:sz w:val="28"/>
          <w:szCs w:val="28"/>
        </w:rPr>
        <w:t xml:space="preserve">ompatibility with </w:t>
      </w:r>
      <w:r w:rsidR="00223DCF" w:rsidRPr="00EA17A6">
        <w:rPr>
          <w:b/>
          <w:sz w:val="28"/>
          <w:szCs w:val="28"/>
        </w:rPr>
        <w:t>H</w:t>
      </w:r>
      <w:r w:rsidRPr="00EA17A6">
        <w:rPr>
          <w:b/>
          <w:sz w:val="28"/>
          <w:szCs w:val="28"/>
        </w:rPr>
        <w:t xml:space="preserve">uman </w:t>
      </w:r>
      <w:r w:rsidR="00223DCF" w:rsidRPr="00EA17A6">
        <w:rPr>
          <w:b/>
          <w:sz w:val="28"/>
          <w:szCs w:val="28"/>
        </w:rPr>
        <w:t>R</w:t>
      </w:r>
      <w:r w:rsidRPr="00EA17A6">
        <w:rPr>
          <w:b/>
          <w:sz w:val="28"/>
          <w:szCs w:val="28"/>
        </w:rPr>
        <w:t>ights</w:t>
      </w:r>
    </w:p>
    <w:p w14:paraId="24668A36" w14:textId="77777777" w:rsidR="00AE787B" w:rsidRPr="00EA17A6" w:rsidRDefault="00AE787B" w:rsidP="00223DCF">
      <w:pPr>
        <w:pStyle w:val="LI-BodyTextNumbered"/>
        <w:ind w:left="0" w:firstLine="0"/>
        <w:rPr>
          <w:iCs/>
        </w:rPr>
      </w:pPr>
      <w:bookmarkStart w:id="2" w:name="_Hlk534286677"/>
    </w:p>
    <w:p w14:paraId="0CD10E11" w14:textId="287D06D6" w:rsidR="00223DCF" w:rsidRPr="00EA17A6" w:rsidRDefault="00223DCF" w:rsidP="00223DCF">
      <w:pPr>
        <w:pStyle w:val="LI-BodyTextNumbered"/>
        <w:ind w:left="0" w:firstLine="0"/>
        <w:rPr>
          <w:iCs/>
        </w:rPr>
      </w:pPr>
      <w:r>
        <w:t xml:space="preserve">This Statement of Compatibility with Human Rights is prepared in accordance with Part 3 of </w:t>
      </w:r>
      <w:bookmarkStart w:id="3" w:name="_Hlk4054932"/>
      <w:r>
        <w:t xml:space="preserve">the </w:t>
      </w:r>
      <w:r w:rsidRPr="48217FB7">
        <w:rPr>
          <w:i/>
          <w:iCs/>
        </w:rPr>
        <w:t>Human Rights (Parliamentary Scrutiny) Act 2011</w:t>
      </w:r>
      <w:bookmarkEnd w:id="3"/>
      <w:r w:rsidR="00E343C8">
        <w:t xml:space="preserve">. </w:t>
      </w:r>
    </w:p>
    <w:p w14:paraId="4B154A7D" w14:textId="42115381" w:rsidR="00223DCF" w:rsidRPr="00286C2D" w:rsidRDefault="495C9711" w:rsidP="552CF9AC">
      <w:pPr>
        <w:pStyle w:val="LI-BodyTextNumbered"/>
        <w:ind w:left="0" w:firstLine="0"/>
        <w:rPr>
          <w:b/>
          <w:bCs/>
          <w:i/>
          <w:iCs/>
        </w:rPr>
      </w:pPr>
      <w:r w:rsidRPr="00286C2D">
        <w:rPr>
          <w:i/>
          <w:iCs/>
        </w:rPr>
        <w:t>ASIC Corporations and Credit (Breach Reporting–Reportable Situations) Instrument 2024/620</w:t>
      </w:r>
    </w:p>
    <w:p w14:paraId="0AD76C9D" w14:textId="77777777" w:rsidR="00223DCF" w:rsidRPr="00EA17A6" w:rsidRDefault="00223DCF" w:rsidP="001872DC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Overview</w:t>
      </w:r>
    </w:p>
    <w:p w14:paraId="204BAAA4" w14:textId="58B57042" w:rsidR="42555171" w:rsidRDefault="00CB2D96" w:rsidP="2469D8AB">
      <w:pPr>
        <w:spacing w:before="240" w:line="240" w:lineRule="auto"/>
        <w:ind w:left="567" w:hanging="567"/>
      </w:pPr>
      <w:r w:rsidRPr="11B2BFD3">
        <w:rPr>
          <w:rFonts w:eastAsia="Times New Roman"/>
          <w:sz w:val="24"/>
          <w:szCs w:val="24"/>
          <w:lang w:eastAsia="en-AU"/>
        </w:rPr>
        <w:t>1.</w:t>
      </w:r>
      <w:r w:rsidR="42555171">
        <w:tab/>
      </w:r>
      <w:r w:rsidR="42555171" w:rsidRPr="11B2BFD3">
        <w:rPr>
          <w:rFonts w:eastAsia="Times New Roman"/>
          <w:sz w:val="24"/>
          <w:szCs w:val="24"/>
          <w:lang w:eastAsia="en-AU"/>
        </w:rPr>
        <w:t xml:space="preserve">The Instrument remakes and </w:t>
      </w:r>
      <w:r w:rsidR="42555171">
        <w:t xml:space="preserve">consolidates </w:t>
      </w:r>
      <w:r w:rsidR="00FE1C02">
        <w:t xml:space="preserve">into a single legislative instrument </w:t>
      </w:r>
      <w:r w:rsidR="42555171" w:rsidRPr="11B2BFD3">
        <w:rPr>
          <w:i/>
          <w:iCs/>
        </w:rPr>
        <w:t>ASIC Corporations and Credit (Breach Reporting—Reportable Situations) Instrument 2021/716</w:t>
      </w:r>
      <w:r w:rsidR="42555171">
        <w:t xml:space="preserve"> and </w:t>
      </w:r>
      <w:r w:rsidR="42555171" w:rsidRPr="11B2BFD3">
        <w:rPr>
          <w:i/>
          <w:iCs/>
        </w:rPr>
        <w:t>ASIC Credit (Breach Reporting—Prescribed Commonwealth Legislation) Instrument 2021/801.</w:t>
      </w:r>
    </w:p>
    <w:p w14:paraId="22E77A4E" w14:textId="01DA97EA" w:rsidR="0E2659D7" w:rsidRDefault="42555171" w:rsidP="294E1CC1">
      <w:pPr>
        <w:spacing w:before="240" w:line="240" w:lineRule="auto"/>
        <w:ind w:left="567" w:hanging="567"/>
        <w:rPr>
          <w:lang w:eastAsia="en-AU"/>
        </w:rPr>
      </w:pPr>
      <w:r w:rsidRPr="294E1CC1">
        <w:t xml:space="preserve">2. </w:t>
      </w:r>
      <w:r w:rsidR="0E2659D7">
        <w:tab/>
      </w:r>
      <w:r w:rsidRPr="294E1CC1">
        <w:t xml:space="preserve">The Instrument </w:t>
      </w:r>
      <w:r>
        <w:t xml:space="preserve">prevents unintended regulatory and reporting burdens from being imposed upon </w:t>
      </w:r>
      <w:r w:rsidR="000A3634">
        <w:t xml:space="preserve">Australian </w:t>
      </w:r>
      <w:r>
        <w:t>financial service</w:t>
      </w:r>
      <w:r w:rsidR="000A3634">
        <w:t>s and credit</w:t>
      </w:r>
      <w:r>
        <w:t xml:space="preserve"> licensees due to unforeseen interactions between the </w:t>
      </w:r>
      <w:r w:rsidRPr="294E1CC1">
        <w:rPr>
          <w:i/>
          <w:iCs/>
        </w:rPr>
        <w:t>Corporations Act 2001</w:t>
      </w:r>
      <w:r>
        <w:t>,</w:t>
      </w:r>
      <w:r w:rsidRPr="294E1CC1">
        <w:rPr>
          <w:i/>
          <w:iCs/>
        </w:rPr>
        <w:t xml:space="preserve"> National Consumer Credit Protection Act 2009</w:t>
      </w:r>
      <w:r w:rsidRPr="294E1CC1">
        <w:rPr>
          <w:b/>
          <w:bCs/>
        </w:rPr>
        <w:t xml:space="preserve"> </w:t>
      </w:r>
      <w:r>
        <w:t xml:space="preserve">and </w:t>
      </w:r>
      <w:r w:rsidRPr="294E1CC1">
        <w:rPr>
          <w:i/>
          <w:iCs/>
        </w:rPr>
        <w:t xml:space="preserve">ASIC Corporations, Credit </w:t>
      </w:r>
      <w:r>
        <w:t xml:space="preserve">and </w:t>
      </w:r>
      <w:r w:rsidRPr="294E1CC1">
        <w:rPr>
          <w:i/>
          <w:iCs/>
        </w:rPr>
        <w:t>Superannuation (Internal Dispute Resolution) Instrument 2020/98</w:t>
      </w:r>
      <w:r w:rsidRPr="294E1CC1">
        <w:t>.</w:t>
      </w:r>
    </w:p>
    <w:p w14:paraId="79BCB1A5" w14:textId="77777777" w:rsidR="001872DC" w:rsidRPr="00EA17A6" w:rsidRDefault="001872DC" w:rsidP="001872DC">
      <w:pPr>
        <w:pStyle w:val="LI-BodyTextNumbered"/>
        <w:ind w:left="567"/>
        <w:rPr>
          <w:u w:val="single"/>
        </w:rPr>
      </w:pPr>
      <w:bookmarkStart w:id="4" w:name="_Hlk534286807"/>
      <w:bookmarkEnd w:id="2"/>
      <w:r w:rsidRPr="00EA17A6">
        <w:rPr>
          <w:u w:val="single"/>
        </w:rPr>
        <w:t>Assessment of human rights implications</w:t>
      </w:r>
    </w:p>
    <w:p w14:paraId="56F8130E" w14:textId="5C94EA1E" w:rsidR="00946759" w:rsidRPr="00EA17A6" w:rsidRDefault="002C770C" w:rsidP="00D306F8">
      <w:pPr>
        <w:pStyle w:val="LI-BodyTextNumbered"/>
        <w:ind w:left="567"/>
      </w:pPr>
      <w:r>
        <w:t>3</w:t>
      </w:r>
      <w:r w:rsidR="001872DC">
        <w:t>.</w:t>
      </w:r>
      <w:r w:rsidR="00CB2D96">
        <w:tab/>
      </w:r>
      <w:bookmarkEnd w:id="4"/>
      <w:r w:rsidR="001872DC">
        <w:t>Th</w:t>
      </w:r>
      <w:r w:rsidR="00E910F9">
        <w:t>e</w:t>
      </w:r>
      <w:r w:rsidR="001872DC">
        <w:t xml:space="preserve"> </w:t>
      </w:r>
      <w:r w:rsidR="00E910F9">
        <w:t>I</w:t>
      </w:r>
      <w:r w:rsidR="001872DC">
        <w:t xml:space="preserve">nstrument </w:t>
      </w:r>
      <w:r w:rsidR="00D306F8">
        <w:t>does not engage any of the applicable rights or freedoms</w:t>
      </w:r>
      <w:r w:rsidR="3C347BA7">
        <w:t>.</w:t>
      </w:r>
    </w:p>
    <w:p w14:paraId="05FFF3B4" w14:textId="77777777" w:rsidR="00CB2D96" w:rsidRPr="00EA17A6" w:rsidRDefault="00CB2D96" w:rsidP="00D306F8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Conclusion</w:t>
      </w:r>
    </w:p>
    <w:p w14:paraId="4734FE48" w14:textId="57E657BD" w:rsidR="00CB2D96" w:rsidRPr="00EA17A6" w:rsidRDefault="002C770C" w:rsidP="00CB2D96">
      <w:pPr>
        <w:pStyle w:val="LI-BodyTextNumbered"/>
        <w:ind w:left="567"/>
      </w:pPr>
      <w:r>
        <w:t>4</w:t>
      </w:r>
      <w:r w:rsidR="00CB2D96" w:rsidRPr="00EA17A6">
        <w:t>.</w:t>
      </w:r>
      <w:r w:rsidR="00CB2D96" w:rsidRPr="00EA17A6">
        <w:tab/>
        <w:t>Th</w:t>
      </w:r>
      <w:r w:rsidR="00E910F9">
        <w:t>e I</w:t>
      </w:r>
      <w:r w:rsidR="00CB2D96" w:rsidRPr="00EA17A6">
        <w:t xml:space="preserve">nstrument is compatible with the human rights and freedoms recognised or declared in the international instruments listed in section 3 of </w:t>
      </w:r>
      <w:r w:rsidR="00CB2D96" w:rsidRPr="00EA17A6">
        <w:rPr>
          <w:iCs/>
        </w:rPr>
        <w:t xml:space="preserve">the </w:t>
      </w:r>
      <w:r w:rsidR="00CB2D96" w:rsidRPr="00EA17A6">
        <w:rPr>
          <w:i/>
          <w:iCs/>
        </w:rPr>
        <w:t>Human Rights (Parliamentary Scrutiny) Act 2011</w:t>
      </w:r>
      <w:r w:rsidR="00CB2D96" w:rsidRPr="00EA17A6">
        <w:t>.</w:t>
      </w:r>
    </w:p>
    <w:p w14:paraId="570BEB58" w14:textId="77777777" w:rsidR="00CB2D96" w:rsidRPr="00EA17A6" w:rsidRDefault="00CB2D96" w:rsidP="00D306F8">
      <w:pPr>
        <w:pStyle w:val="LI-BodyTextNumbered"/>
        <w:ind w:left="567"/>
      </w:pPr>
    </w:p>
    <w:sectPr w:rsidR="00CB2D96" w:rsidRPr="00EA17A6" w:rsidSect="00863657">
      <w:headerReference w:type="even" r:id="rId15"/>
      <w:headerReference w:type="default" r:id="rId16"/>
      <w:footerReference w:type="default" r:id="rId17"/>
      <w:pgSz w:w="11907" w:h="16839" w:code="9"/>
      <w:pgMar w:top="1537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F346" w14:textId="77777777" w:rsidR="004F3412" w:rsidRDefault="004F3412" w:rsidP="00715914">
      <w:pPr>
        <w:spacing w:line="240" w:lineRule="auto"/>
      </w:pPr>
      <w:r>
        <w:separator/>
      </w:r>
    </w:p>
  </w:endnote>
  <w:endnote w:type="continuationSeparator" w:id="0">
    <w:p w14:paraId="4D7DFEC2" w14:textId="77777777" w:rsidR="004F3412" w:rsidRDefault="004F3412" w:rsidP="00715914">
      <w:pPr>
        <w:spacing w:line="240" w:lineRule="auto"/>
      </w:pPr>
      <w:r>
        <w:continuationSeparator/>
      </w:r>
    </w:p>
  </w:endnote>
  <w:endnote w:type="continuationNotice" w:id="1">
    <w:p w14:paraId="1194762D" w14:textId="77777777" w:rsidR="004F3412" w:rsidRDefault="004F34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3F61" w14:textId="77777777" w:rsidR="00863657" w:rsidRDefault="008636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ED3D50" w14:textId="77777777" w:rsidR="00863657" w:rsidRDefault="00863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1A9D" w14:textId="77777777" w:rsidR="004F3412" w:rsidRDefault="004F3412" w:rsidP="00715914">
      <w:pPr>
        <w:spacing w:line="240" w:lineRule="auto"/>
      </w:pPr>
      <w:r>
        <w:separator/>
      </w:r>
    </w:p>
  </w:footnote>
  <w:footnote w:type="continuationSeparator" w:id="0">
    <w:p w14:paraId="1C847C6C" w14:textId="77777777" w:rsidR="004F3412" w:rsidRDefault="004F3412" w:rsidP="00715914">
      <w:pPr>
        <w:spacing w:line="240" w:lineRule="auto"/>
      </w:pPr>
      <w:r>
        <w:continuationSeparator/>
      </w:r>
    </w:p>
  </w:footnote>
  <w:footnote w:type="continuationNotice" w:id="1">
    <w:p w14:paraId="79332636" w14:textId="77777777" w:rsidR="004F3412" w:rsidRDefault="004F34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3CE4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060"/>
    </w:tblGrid>
    <w:tr w:rsidR="00F4215A" w:rsidRPr="00E40FF8" w14:paraId="243A6639" w14:textId="77777777" w:rsidTr="001E77ED">
      <w:tc>
        <w:tcPr>
          <w:tcW w:w="4253" w:type="dxa"/>
          <w:shd w:val="clear" w:color="auto" w:fill="auto"/>
        </w:tcPr>
        <w:p w14:paraId="4D19EF3A" w14:textId="77777777" w:rsidR="00F4215A" w:rsidRDefault="00F4215A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4060" w:type="dxa"/>
          <w:shd w:val="clear" w:color="auto" w:fill="auto"/>
        </w:tcPr>
        <w:p w14:paraId="76FB5D62" w14:textId="77777777" w:rsidR="00F4215A" w:rsidRDefault="00F4215A" w:rsidP="00F03BB5">
          <w:pPr>
            <w:pStyle w:val="LI-BodyTextNumbered"/>
          </w:pPr>
        </w:p>
      </w:tc>
    </w:tr>
  </w:tbl>
  <w:p w14:paraId="6F7068A7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69165B3"/>
    <w:multiLevelType w:val="hybridMultilevel"/>
    <w:tmpl w:val="966ADFB0"/>
    <w:lvl w:ilvl="0" w:tplc="CD468C8A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A59E3"/>
    <w:multiLevelType w:val="hybridMultilevel"/>
    <w:tmpl w:val="F7980868"/>
    <w:lvl w:ilvl="0" w:tplc="6952FE42">
      <w:start w:val="10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FC73363"/>
    <w:multiLevelType w:val="hybridMultilevel"/>
    <w:tmpl w:val="E06C15F4"/>
    <w:lvl w:ilvl="0" w:tplc="0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35754"/>
    <w:multiLevelType w:val="hybridMultilevel"/>
    <w:tmpl w:val="2850E3BA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68421">
    <w:abstractNumId w:val="9"/>
  </w:num>
  <w:num w:numId="2" w16cid:durableId="223107082">
    <w:abstractNumId w:val="7"/>
  </w:num>
  <w:num w:numId="3" w16cid:durableId="738407609">
    <w:abstractNumId w:val="6"/>
  </w:num>
  <w:num w:numId="4" w16cid:durableId="917132900">
    <w:abstractNumId w:val="5"/>
  </w:num>
  <w:num w:numId="5" w16cid:durableId="464547238">
    <w:abstractNumId w:val="4"/>
  </w:num>
  <w:num w:numId="6" w16cid:durableId="1346859651">
    <w:abstractNumId w:val="8"/>
  </w:num>
  <w:num w:numId="7" w16cid:durableId="846990079">
    <w:abstractNumId w:val="3"/>
  </w:num>
  <w:num w:numId="8" w16cid:durableId="697703092">
    <w:abstractNumId w:val="2"/>
  </w:num>
  <w:num w:numId="9" w16cid:durableId="1148012361">
    <w:abstractNumId w:val="1"/>
  </w:num>
  <w:num w:numId="10" w16cid:durableId="166410172">
    <w:abstractNumId w:val="0"/>
  </w:num>
  <w:num w:numId="11" w16cid:durableId="330446348">
    <w:abstractNumId w:val="12"/>
  </w:num>
  <w:num w:numId="12" w16cid:durableId="1380130046">
    <w:abstractNumId w:val="10"/>
  </w:num>
  <w:num w:numId="13" w16cid:durableId="1614940614">
    <w:abstractNumId w:val="11"/>
  </w:num>
  <w:num w:numId="14" w16cid:durableId="1573616542">
    <w:abstractNumId w:val="14"/>
  </w:num>
  <w:num w:numId="15" w16cid:durableId="178202741">
    <w:abstractNumId w:val="13"/>
  </w:num>
  <w:num w:numId="16" w16cid:durableId="274598861">
    <w:abstractNumId w:val="16"/>
  </w:num>
  <w:num w:numId="17" w16cid:durableId="694308715">
    <w:abstractNumId w:val="17"/>
  </w:num>
  <w:num w:numId="18" w16cid:durableId="1026910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3F8A"/>
    <w:rsid w:val="00004470"/>
    <w:rsid w:val="00005446"/>
    <w:rsid w:val="000136AF"/>
    <w:rsid w:val="00013B8D"/>
    <w:rsid w:val="00015719"/>
    <w:rsid w:val="00020A37"/>
    <w:rsid w:val="00023D53"/>
    <w:rsid w:val="00024260"/>
    <w:rsid w:val="00024D3F"/>
    <w:rsid w:val="000268CE"/>
    <w:rsid w:val="000279B8"/>
    <w:rsid w:val="00032C53"/>
    <w:rsid w:val="00034146"/>
    <w:rsid w:val="00035398"/>
    <w:rsid w:val="000437C1"/>
    <w:rsid w:val="000471E8"/>
    <w:rsid w:val="00052D4F"/>
    <w:rsid w:val="0005365D"/>
    <w:rsid w:val="000614BF"/>
    <w:rsid w:val="0006250C"/>
    <w:rsid w:val="00065D44"/>
    <w:rsid w:val="00070D7E"/>
    <w:rsid w:val="00074A41"/>
    <w:rsid w:val="00081794"/>
    <w:rsid w:val="00084225"/>
    <w:rsid w:val="00084FF4"/>
    <w:rsid w:val="000869F3"/>
    <w:rsid w:val="00092BFB"/>
    <w:rsid w:val="00094146"/>
    <w:rsid w:val="0009753C"/>
    <w:rsid w:val="000A04CC"/>
    <w:rsid w:val="000A142F"/>
    <w:rsid w:val="000A2AA1"/>
    <w:rsid w:val="000A3634"/>
    <w:rsid w:val="000A6C39"/>
    <w:rsid w:val="000B286B"/>
    <w:rsid w:val="000B58FA"/>
    <w:rsid w:val="000C22D9"/>
    <w:rsid w:val="000C2535"/>
    <w:rsid w:val="000C266D"/>
    <w:rsid w:val="000C55A0"/>
    <w:rsid w:val="000D041F"/>
    <w:rsid w:val="000D05EF"/>
    <w:rsid w:val="000D6891"/>
    <w:rsid w:val="000E0FDA"/>
    <w:rsid w:val="000E2261"/>
    <w:rsid w:val="000E2286"/>
    <w:rsid w:val="000E231B"/>
    <w:rsid w:val="000E25F1"/>
    <w:rsid w:val="000E3C2E"/>
    <w:rsid w:val="000E40AF"/>
    <w:rsid w:val="000E46A8"/>
    <w:rsid w:val="000E5E76"/>
    <w:rsid w:val="000F140E"/>
    <w:rsid w:val="000F21C1"/>
    <w:rsid w:val="000F74DF"/>
    <w:rsid w:val="00102CA6"/>
    <w:rsid w:val="0010745C"/>
    <w:rsid w:val="00116785"/>
    <w:rsid w:val="00122079"/>
    <w:rsid w:val="001225DA"/>
    <w:rsid w:val="00123D0F"/>
    <w:rsid w:val="001240AF"/>
    <w:rsid w:val="00124279"/>
    <w:rsid w:val="00125141"/>
    <w:rsid w:val="00125935"/>
    <w:rsid w:val="00132763"/>
    <w:rsid w:val="00132CEB"/>
    <w:rsid w:val="001365D4"/>
    <w:rsid w:val="00136ADE"/>
    <w:rsid w:val="0013730C"/>
    <w:rsid w:val="00137D4B"/>
    <w:rsid w:val="00140077"/>
    <w:rsid w:val="00142B62"/>
    <w:rsid w:val="001444B3"/>
    <w:rsid w:val="00153890"/>
    <w:rsid w:val="00153B32"/>
    <w:rsid w:val="00157B8B"/>
    <w:rsid w:val="001609E8"/>
    <w:rsid w:val="001624E1"/>
    <w:rsid w:val="00166879"/>
    <w:rsid w:val="00166C2F"/>
    <w:rsid w:val="00171A6E"/>
    <w:rsid w:val="00172242"/>
    <w:rsid w:val="00173B89"/>
    <w:rsid w:val="001760A0"/>
    <w:rsid w:val="00176DF7"/>
    <w:rsid w:val="001809D7"/>
    <w:rsid w:val="001823C1"/>
    <w:rsid w:val="001863C3"/>
    <w:rsid w:val="0018659E"/>
    <w:rsid w:val="001869D5"/>
    <w:rsid w:val="001872DC"/>
    <w:rsid w:val="0019301C"/>
    <w:rsid w:val="001939E1"/>
    <w:rsid w:val="00194C3E"/>
    <w:rsid w:val="00195382"/>
    <w:rsid w:val="00195BD4"/>
    <w:rsid w:val="001968BA"/>
    <w:rsid w:val="001A5BC1"/>
    <w:rsid w:val="001A7243"/>
    <w:rsid w:val="001B350B"/>
    <w:rsid w:val="001C233B"/>
    <w:rsid w:val="001C47B2"/>
    <w:rsid w:val="001C61C5"/>
    <w:rsid w:val="001C69C4"/>
    <w:rsid w:val="001D2173"/>
    <w:rsid w:val="001D37EF"/>
    <w:rsid w:val="001D787A"/>
    <w:rsid w:val="001E3590"/>
    <w:rsid w:val="001E7407"/>
    <w:rsid w:val="001E77ED"/>
    <w:rsid w:val="001E7E2B"/>
    <w:rsid w:val="001F02B1"/>
    <w:rsid w:val="001F5D5E"/>
    <w:rsid w:val="001F6219"/>
    <w:rsid w:val="001F6332"/>
    <w:rsid w:val="001F687B"/>
    <w:rsid w:val="001F6CD4"/>
    <w:rsid w:val="00206C4D"/>
    <w:rsid w:val="0021053C"/>
    <w:rsid w:val="00211AE9"/>
    <w:rsid w:val="00215AF1"/>
    <w:rsid w:val="0022087F"/>
    <w:rsid w:val="00220A36"/>
    <w:rsid w:val="00222040"/>
    <w:rsid w:val="0022298E"/>
    <w:rsid w:val="00222DEC"/>
    <w:rsid w:val="00223DCF"/>
    <w:rsid w:val="002321E8"/>
    <w:rsid w:val="00236EEC"/>
    <w:rsid w:val="0024010F"/>
    <w:rsid w:val="00240749"/>
    <w:rsid w:val="002409FB"/>
    <w:rsid w:val="00241813"/>
    <w:rsid w:val="002423A6"/>
    <w:rsid w:val="00243018"/>
    <w:rsid w:val="002437D8"/>
    <w:rsid w:val="00243EC0"/>
    <w:rsid w:val="00244742"/>
    <w:rsid w:val="002564A4"/>
    <w:rsid w:val="0026736C"/>
    <w:rsid w:val="00281308"/>
    <w:rsid w:val="00281813"/>
    <w:rsid w:val="00284719"/>
    <w:rsid w:val="00286C2D"/>
    <w:rsid w:val="00293301"/>
    <w:rsid w:val="00297ECB"/>
    <w:rsid w:val="002A4CF0"/>
    <w:rsid w:val="002A57AA"/>
    <w:rsid w:val="002A7328"/>
    <w:rsid w:val="002A7BCF"/>
    <w:rsid w:val="002B19F3"/>
    <w:rsid w:val="002B1A91"/>
    <w:rsid w:val="002B20BC"/>
    <w:rsid w:val="002B4A0D"/>
    <w:rsid w:val="002B6295"/>
    <w:rsid w:val="002B6C5A"/>
    <w:rsid w:val="002C0CF8"/>
    <w:rsid w:val="002C123E"/>
    <w:rsid w:val="002C586E"/>
    <w:rsid w:val="002C6296"/>
    <w:rsid w:val="002C6DE5"/>
    <w:rsid w:val="002C7515"/>
    <w:rsid w:val="002C770C"/>
    <w:rsid w:val="002C7B6F"/>
    <w:rsid w:val="002D043A"/>
    <w:rsid w:val="002D165D"/>
    <w:rsid w:val="002D6224"/>
    <w:rsid w:val="002D79C4"/>
    <w:rsid w:val="002E3F4B"/>
    <w:rsid w:val="002E55B2"/>
    <w:rsid w:val="002F5992"/>
    <w:rsid w:val="002F6B21"/>
    <w:rsid w:val="00302AE8"/>
    <w:rsid w:val="00304F8B"/>
    <w:rsid w:val="00312DB7"/>
    <w:rsid w:val="00322168"/>
    <w:rsid w:val="003223EF"/>
    <w:rsid w:val="00327DDF"/>
    <w:rsid w:val="003336ED"/>
    <w:rsid w:val="0033374C"/>
    <w:rsid w:val="0033424E"/>
    <w:rsid w:val="003354D2"/>
    <w:rsid w:val="00335619"/>
    <w:rsid w:val="00335BC6"/>
    <w:rsid w:val="003415D3"/>
    <w:rsid w:val="00344420"/>
    <w:rsid w:val="00344701"/>
    <w:rsid w:val="003528DA"/>
    <w:rsid w:val="00352B0F"/>
    <w:rsid w:val="00356690"/>
    <w:rsid w:val="00357DD0"/>
    <w:rsid w:val="00360459"/>
    <w:rsid w:val="00361689"/>
    <w:rsid w:val="0036414D"/>
    <w:rsid w:val="00365497"/>
    <w:rsid w:val="0037272B"/>
    <w:rsid w:val="00381802"/>
    <w:rsid w:val="00387A96"/>
    <w:rsid w:val="00392EF9"/>
    <w:rsid w:val="00397E98"/>
    <w:rsid w:val="003A214F"/>
    <w:rsid w:val="003A2178"/>
    <w:rsid w:val="003A2A48"/>
    <w:rsid w:val="003A46B6"/>
    <w:rsid w:val="003B28C3"/>
    <w:rsid w:val="003B31A9"/>
    <w:rsid w:val="003B6CA9"/>
    <w:rsid w:val="003B732F"/>
    <w:rsid w:val="003B7C72"/>
    <w:rsid w:val="003C0BA7"/>
    <w:rsid w:val="003C4508"/>
    <w:rsid w:val="003C6231"/>
    <w:rsid w:val="003D0BFE"/>
    <w:rsid w:val="003D2705"/>
    <w:rsid w:val="003D46D6"/>
    <w:rsid w:val="003D56FE"/>
    <w:rsid w:val="003D5700"/>
    <w:rsid w:val="003D5CE2"/>
    <w:rsid w:val="003D7C1E"/>
    <w:rsid w:val="003E033D"/>
    <w:rsid w:val="003E0A1F"/>
    <w:rsid w:val="003E0F99"/>
    <w:rsid w:val="003E341B"/>
    <w:rsid w:val="003E3E33"/>
    <w:rsid w:val="003F3EFD"/>
    <w:rsid w:val="003FD6E6"/>
    <w:rsid w:val="0040053F"/>
    <w:rsid w:val="00400BAA"/>
    <w:rsid w:val="00402827"/>
    <w:rsid w:val="00402BB9"/>
    <w:rsid w:val="004116CD"/>
    <w:rsid w:val="00411FA1"/>
    <w:rsid w:val="004122FC"/>
    <w:rsid w:val="00413C17"/>
    <w:rsid w:val="00413E8D"/>
    <w:rsid w:val="004140AA"/>
    <w:rsid w:val="00414287"/>
    <w:rsid w:val="004144EC"/>
    <w:rsid w:val="00415F1E"/>
    <w:rsid w:val="004165D6"/>
    <w:rsid w:val="00417D02"/>
    <w:rsid w:val="00417EB9"/>
    <w:rsid w:val="00421D0B"/>
    <w:rsid w:val="00422BC8"/>
    <w:rsid w:val="00424CA9"/>
    <w:rsid w:val="00426EC7"/>
    <w:rsid w:val="00430DE3"/>
    <w:rsid w:val="00431E9B"/>
    <w:rsid w:val="00432509"/>
    <w:rsid w:val="004337CC"/>
    <w:rsid w:val="004346C2"/>
    <w:rsid w:val="00435EEF"/>
    <w:rsid w:val="00436B5F"/>
    <w:rsid w:val="004379E3"/>
    <w:rsid w:val="0044013C"/>
    <w:rsid w:val="0044015E"/>
    <w:rsid w:val="00441BBA"/>
    <w:rsid w:val="0044291A"/>
    <w:rsid w:val="00444ABD"/>
    <w:rsid w:val="00447DB4"/>
    <w:rsid w:val="0045007F"/>
    <w:rsid w:val="004501D5"/>
    <w:rsid w:val="00453982"/>
    <w:rsid w:val="00460F1D"/>
    <w:rsid w:val="00465DC1"/>
    <w:rsid w:val="00466340"/>
    <w:rsid w:val="00467661"/>
    <w:rsid w:val="004705B7"/>
    <w:rsid w:val="004710D5"/>
    <w:rsid w:val="00472DBE"/>
    <w:rsid w:val="00474A19"/>
    <w:rsid w:val="00474B52"/>
    <w:rsid w:val="00481C24"/>
    <w:rsid w:val="00481F6A"/>
    <w:rsid w:val="004823C0"/>
    <w:rsid w:val="0048276B"/>
    <w:rsid w:val="004948B8"/>
    <w:rsid w:val="00494C20"/>
    <w:rsid w:val="00495ABC"/>
    <w:rsid w:val="00495D4D"/>
    <w:rsid w:val="00496B5F"/>
    <w:rsid w:val="00496F97"/>
    <w:rsid w:val="004A1143"/>
    <w:rsid w:val="004A44FC"/>
    <w:rsid w:val="004A7574"/>
    <w:rsid w:val="004B0BA6"/>
    <w:rsid w:val="004B2302"/>
    <w:rsid w:val="004B2BBE"/>
    <w:rsid w:val="004B2CC1"/>
    <w:rsid w:val="004B4CF3"/>
    <w:rsid w:val="004B5B44"/>
    <w:rsid w:val="004C1CB1"/>
    <w:rsid w:val="004C5754"/>
    <w:rsid w:val="004D6135"/>
    <w:rsid w:val="004D7D1F"/>
    <w:rsid w:val="004D7E7F"/>
    <w:rsid w:val="004E063A"/>
    <w:rsid w:val="004E7BEC"/>
    <w:rsid w:val="004F3412"/>
    <w:rsid w:val="0050044F"/>
    <w:rsid w:val="005019A3"/>
    <w:rsid w:val="00502DDF"/>
    <w:rsid w:val="00505D3D"/>
    <w:rsid w:val="00506AF6"/>
    <w:rsid w:val="00507335"/>
    <w:rsid w:val="00507AD5"/>
    <w:rsid w:val="00516B8D"/>
    <w:rsid w:val="00517E56"/>
    <w:rsid w:val="00525179"/>
    <w:rsid w:val="00532049"/>
    <w:rsid w:val="00534F36"/>
    <w:rsid w:val="005356A7"/>
    <w:rsid w:val="00536184"/>
    <w:rsid w:val="00537FBC"/>
    <w:rsid w:val="005420F9"/>
    <w:rsid w:val="005433DE"/>
    <w:rsid w:val="00543EF8"/>
    <w:rsid w:val="005457B7"/>
    <w:rsid w:val="00551AF6"/>
    <w:rsid w:val="00552866"/>
    <w:rsid w:val="005574D1"/>
    <w:rsid w:val="00561ABB"/>
    <w:rsid w:val="00564EE1"/>
    <w:rsid w:val="005657FE"/>
    <w:rsid w:val="00572BB1"/>
    <w:rsid w:val="0057609F"/>
    <w:rsid w:val="0057670F"/>
    <w:rsid w:val="005776A2"/>
    <w:rsid w:val="00580F39"/>
    <w:rsid w:val="00584811"/>
    <w:rsid w:val="00585784"/>
    <w:rsid w:val="00593AA6"/>
    <w:rsid w:val="00594161"/>
    <w:rsid w:val="00594749"/>
    <w:rsid w:val="005968F7"/>
    <w:rsid w:val="005A22FB"/>
    <w:rsid w:val="005A2A20"/>
    <w:rsid w:val="005A5200"/>
    <w:rsid w:val="005A540F"/>
    <w:rsid w:val="005A76E1"/>
    <w:rsid w:val="005B4067"/>
    <w:rsid w:val="005B780C"/>
    <w:rsid w:val="005C100B"/>
    <w:rsid w:val="005C1E56"/>
    <w:rsid w:val="005C3F41"/>
    <w:rsid w:val="005C52E9"/>
    <w:rsid w:val="005D0489"/>
    <w:rsid w:val="005D1268"/>
    <w:rsid w:val="005D1770"/>
    <w:rsid w:val="005D1FEA"/>
    <w:rsid w:val="005D2D09"/>
    <w:rsid w:val="005D3D41"/>
    <w:rsid w:val="005D78BA"/>
    <w:rsid w:val="005D7C7D"/>
    <w:rsid w:val="005E4810"/>
    <w:rsid w:val="005E542A"/>
    <w:rsid w:val="005F1DB6"/>
    <w:rsid w:val="005F2887"/>
    <w:rsid w:val="005F2A38"/>
    <w:rsid w:val="005F4140"/>
    <w:rsid w:val="005F65CD"/>
    <w:rsid w:val="0060014A"/>
    <w:rsid w:val="00600219"/>
    <w:rsid w:val="00601955"/>
    <w:rsid w:val="00603DC4"/>
    <w:rsid w:val="00604630"/>
    <w:rsid w:val="00607A71"/>
    <w:rsid w:val="00610709"/>
    <w:rsid w:val="006117CB"/>
    <w:rsid w:val="0061315D"/>
    <w:rsid w:val="00620076"/>
    <w:rsid w:val="00630FCE"/>
    <w:rsid w:val="00634044"/>
    <w:rsid w:val="00640161"/>
    <w:rsid w:val="0064277B"/>
    <w:rsid w:val="00642E4F"/>
    <w:rsid w:val="0064348C"/>
    <w:rsid w:val="006511BF"/>
    <w:rsid w:val="00652769"/>
    <w:rsid w:val="0065542F"/>
    <w:rsid w:val="006554FF"/>
    <w:rsid w:val="00661587"/>
    <w:rsid w:val="00667B29"/>
    <w:rsid w:val="00670723"/>
    <w:rsid w:val="00670752"/>
    <w:rsid w:val="00670BE6"/>
    <w:rsid w:val="00670EA1"/>
    <w:rsid w:val="0067386C"/>
    <w:rsid w:val="00674F25"/>
    <w:rsid w:val="00676311"/>
    <w:rsid w:val="00677CC2"/>
    <w:rsid w:val="0068763E"/>
    <w:rsid w:val="006905DE"/>
    <w:rsid w:val="0069207B"/>
    <w:rsid w:val="00693F29"/>
    <w:rsid w:val="006951CB"/>
    <w:rsid w:val="00696F57"/>
    <w:rsid w:val="006A18FF"/>
    <w:rsid w:val="006A3D25"/>
    <w:rsid w:val="006B5789"/>
    <w:rsid w:val="006C2803"/>
    <w:rsid w:val="006C30C5"/>
    <w:rsid w:val="006C48FA"/>
    <w:rsid w:val="006C7F8C"/>
    <w:rsid w:val="006D01BE"/>
    <w:rsid w:val="006D5D5D"/>
    <w:rsid w:val="006D6079"/>
    <w:rsid w:val="006E2F62"/>
    <w:rsid w:val="006E5320"/>
    <w:rsid w:val="006E6246"/>
    <w:rsid w:val="006F3135"/>
    <w:rsid w:val="006F318F"/>
    <w:rsid w:val="006F4226"/>
    <w:rsid w:val="0070017E"/>
    <w:rsid w:val="00700B2C"/>
    <w:rsid w:val="00702B15"/>
    <w:rsid w:val="00702EFD"/>
    <w:rsid w:val="00703E31"/>
    <w:rsid w:val="007050A2"/>
    <w:rsid w:val="00712252"/>
    <w:rsid w:val="00713084"/>
    <w:rsid w:val="0071399B"/>
    <w:rsid w:val="00714F20"/>
    <w:rsid w:val="0071590F"/>
    <w:rsid w:val="00715914"/>
    <w:rsid w:val="00716C12"/>
    <w:rsid w:val="00717480"/>
    <w:rsid w:val="00720FA3"/>
    <w:rsid w:val="00727414"/>
    <w:rsid w:val="00727DC8"/>
    <w:rsid w:val="0073188B"/>
    <w:rsid w:val="00731E00"/>
    <w:rsid w:val="00731FF7"/>
    <w:rsid w:val="00735F0D"/>
    <w:rsid w:val="007360F8"/>
    <w:rsid w:val="007367CB"/>
    <w:rsid w:val="00736D8A"/>
    <w:rsid w:val="00741EE8"/>
    <w:rsid w:val="007440B7"/>
    <w:rsid w:val="00745EBB"/>
    <w:rsid w:val="007500C8"/>
    <w:rsid w:val="00750EED"/>
    <w:rsid w:val="00756272"/>
    <w:rsid w:val="0076099B"/>
    <w:rsid w:val="007611D0"/>
    <w:rsid w:val="00764B68"/>
    <w:rsid w:val="00765001"/>
    <w:rsid w:val="007662B5"/>
    <w:rsid w:val="0076681A"/>
    <w:rsid w:val="0077155E"/>
    <w:rsid w:val="007715C9"/>
    <w:rsid w:val="00771613"/>
    <w:rsid w:val="00774EDD"/>
    <w:rsid w:val="0077506D"/>
    <w:rsid w:val="007757EC"/>
    <w:rsid w:val="0077657B"/>
    <w:rsid w:val="007811C3"/>
    <w:rsid w:val="00781C02"/>
    <w:rsid w:val="00783E89"/>
    <w:rsid w:val="007842CE"/>
    <w:rsid w:val="00784800"/>
    <w:rsid w:val="00785A9E"/>
    <w:rsid w:val="00785B95"/>
    <w:rsid w:val="00786904"/>
    <w:rsid w:val="007905B4"/>
    <w:rsid w:val="00793915"/>
    <w:rsid w:val="00794AC3"/>
    <w:rsid w:val="007971E9"/>
    <w:rsid w:val="007A06F8"/>
    <w:rsid w:val="007A2CA8"/>
    <w:rsid w:val="007A304C"/>
    <w:rsid w:val="007B4C4F"/>
    <w:rsid w:val="007C2253"/>
    <w:rsid w:val="007D230B"/>
    <w:rsid w:val="007D2E31"/>
    <w:rsid w:val="007D4EB6"/>
    <w:rsid w:val="007E132E"/>
    <w:rsid w:val="007E163D"/>
    <w:rsid w:val="007E667A"/>
    <w:rsid w:val="007E6C29"/>
    <w:rsid w:val="007F1090"/>
    <w:rsid w:val="007F28C9"/>
    <w:rsid w:val="0080312D"/>
    <w:rsid w:val="00803587"/>
    <w:rsid w:val="00803C20"/>
    <w:rsid w:val="008117E9"/>
    <w:rsid w:val="00814FF9"/>
    <w:rsid w:val="00820DE6"/>
    <w:rsid w:val="00823DBA"/>
    <w:rsid w:val="00824498"/>
    <w:rsid w:val="008346A0"/>
    <w:rsid w:val="00835179"/>
    <w:rsid w:val="0083522A"/>
    <w:rsid w:val="008356AC"/>
    <w:rsid w:val="0083674E"/>
    <w:rsid w:val="00837987"/>
    <w:rsid w:val="00840442"/>
    <w:rsid w:val="008408CE"/>
    <w:rsid w:val="00841551"/>
    <w:rsid w:val="008452B0"/>
    <w:rsid w:val="008527C0"/>
    <w:rsid w:val="00854A48"/>
    <w:rsid w:val="00855B2E"/>
    <w:rsid w:val="00855B47"/>
    <w:rsid w:val="00856A31"/>
    <w:rsid w:val="00860B58"/>
    <w:rsid w:val="00863657"/>
    <w:rsid w:val="00867B37"/>
    <w:rsid w:val="00871313"/>
    <w:rsid w:val="008718DD"/>
    <w:rsid w:val="0087473F"/>
    <w:rsid w:val="008754D0"/>
    <w:rsid w:val="0087785E"/>
    <w:rsid w:val="00877E08"/>
    <w:rsid w:val="008855C9"/>
    <w:rsid w:val="00886456"/>
    <w:rsid w:val="0089193C"/>
    <w:rsid w:val="008945E0"/>
    <w:rsid w:val="0089527F"/>
    <w:rsid w:val="008A1AA0"/>
    <w:rsid w:val="008A362B"/>
    <w:rsid w:val="008A46E1"/>
    <w:rsid w:val="008A4D53"/>
    <w:rsid w:val="008A4F43"/>
    <w:rsid w:val="008A6268"/>
    <w:rsid w:val="008B08EF"/>
    <w:rsid w:val="008B173C"/>
    <w:rsid w:val="008B2706"/>
    <w:rsid w:val="008C0F29"/>
    <w:rsid w:val="008C6D50"/>
    <w:rsid w:val="008D0B74"/>
    <w:rsid w:val="008D0EE0"/>
    <w:rsid w:val="008D3422"/>
    <w:rsid w:val="008E388F"/>
    <w:rsid w:val="008E3C85"/>
    <w:rsid w:val="008E6067"/>
    <w:rsid w:val="008E710B"/>
    <w:rsid w:val="008F0C7D"/>
    <w:rsid w:val="008F27E6"/>
    <w:rsid w:val="008F54E7"/>
    <w:rsid w:val="009016BE"/>
    <w:rsid w:val="00903422"/>
    <w:rsid w:val="0090466D"/>
    <w:rsid w:val="00905A55"/>
    <w:rsid w:val="00912A58"/>
    <w:rsid w:val="009157B9"/>
    <w:rsid w:val="00915DF9"/>
    <w:rsid w:val="00921AFF"/>
    <w:rsid w:val="009254C3"/>
    <w:rsid w:val="00926940"/>
    <w:rsid w:val="00926FF9"/>
    <w:rsid w:val="00927826"/>
    <w:rsid w:val="00930A0A"/>
    <w:rsid w:val="00932377"/>
    <w:rsid w:val="00932D82"/>
    <w:rsid w:val="009436D9"/>
    <w:rsid w:val="0094526C"/>
    <w:rsid w:val="009460DC"/>
    <w:rsid w:val="00946759"/>
    <w:rsid w:val="00947D5A"/>
    <w:rsid w:val="009532A5"/>
    <w:rsid w:val="00954C0D"/>
    <w:rsid w:val="00955175"/>
    <w:rsid w:val="0095528E"/>
    <w:rsid w:val="00955DA7"/>
    <w:rsid w:val="00957DD1"/>
    <w:rsid w:val="009608D8"/>
    <w:rsid w:val="00964F00"/>
    <w:rsid w:val="0096695C"/>
    <w:rsid w:val="0096753E"/>
    <w:rsid w:val="00971D10"/>
    <w:rsid w:val="00982242"/>
    <w:rsid w:val="00984720"/>
    <w:rsid w:val="009868E9"/>
    <w:rsid w:val="00990788"/>
    <w:rsid w:val="00993336"/>
    <w:rsid w:val="00993751"/>
    <w:rsid w:val="00993FC7"/>
    <w:rsid w:val="009944E6"/>
    <w:rsid w:val="00994C81"/>
    <w:rsid w:val="009A2319"/>
    <w:rsid w:val="009A33B9"/>
    <w:rsid w:val="009A3850"/>
    <w:rsid w:val="009A3A6F"/>
    <w:rsid w:val="009A3F74"/>
    <w:rsid w:val="009A49C9"/>
    <w:rsid w:val="009A63A4"/>
    <w:rsid w:val="009A75E3"/>
    <w:rsid w:val="009B12EA"/>
    <w:rsid w:val="009B3F36"/>
    <w:rsid w:val="009B5AAB"/>
    <w:rsid w:val="009B65A2"/>
    <w:rsid w:val="009C2791"/>
    <w:rsid w:val="009C3514"/>
    <w:rsid w:val="009D1818"/>
    <w:rsid w:val="009D195A"/>
    <w:rsid w:val="009D38A6"/>
    <w:rsid w:val="009D735B"/>
    <w:rsid w:val="009D7993"/>
    <w:rsid w:val="009D7BD8"/>
    <w:rsid w:val="009E1FA7"/>
    <w:rsid w:val="009E3F7E"/>
    <w:rsid w:val="009E5CFC"/>
    <w:rsid w:val="009E75A7"/>
    <w:rsid w:val="009F44B7"/>
    <w:rsid w:val="009F6089"/>
    <w:rsid w:val="009F64AB"/>
    <w:rsid w:val="00A00292"/>
    <w:rsid w:val="00A03AF1"/>
    <w:rsid w:val="00A079CB"/>
    <w:rsid w:val="00A0A1ED"/>
    <w:rsid w:val="00A1043A"/>
    <w:rsid w:val="00A12128"/>
    <w:rsid w:val="00A12F48"/>
    <w:rsid w:val="00A14E1D"/>
    <w:rsid w:val="00A14F6A"/>
    <w:rsid w:val="00A15512"/>
    <w:rsid w:val="00A20ACD"/>
    <w:rsid w:val="00A22C98"/>
    <w:rsid w:val="00A231E2"/>
    <w:rsid w:val="00A24F3A"/>
    <w:rsid w:val="00A2746F"/>
    <w:rsid w:val="00A33D55"/>
    <w:rsid w:val="00A34412"/>
    <w:rsid w:val="00A35226"/>
    <w:rsid w:val="00A373B3"/>
    <w:rsid w:val="00A40424"/>
    <w:rsid w:val="00A44C99"/>
    <w:rsid w:val="00A52B0F"/>
    <w:rsid w:val="00A559B3"/>
    <w:rsid w:val="00A5632E"/>
    <w:rsid w:val="00A628E8"/>
    <w:rsid w:val="00A63F75"/>
    <w:rsid w:val="00A64912"/>
    <w:rsid w:val="00A70A74"/>
    <w:rsid w:val="00A862D6"/>
    <w:rsid w:val="00A91966"/>
    <w:rsid w:val="00A9452B"/>
    <w:rsid w:val="00A964BD"/>
    <w:rsid w:val="00A965DC"/>
    <w:rsid w:val="00A96967"/>
    <w:rsid w:val="00AA2DD2"/>
    <w:rsid w:val="00AA66AC"/>
    <w:rsid w:val="00AB0012"/>
    <w:rsid w:val="00AB1DE8"/>
    <w:rsid w:val="00AB5FFC"/>
    <w:rsid w:val="00AB69D9"/>
    <w:rsid w:val="00AC0886"/>
    <w:rsid w:val="00AC3C8A"/>
    <w:rsid w:val="00AC4BC8"/>
    <w:rsid w:val="00AD02B8"/>
    <w:rsid w:val="00AD0317"/>
    <w:rsid w:val="00AD1F73"/>
    <w:rsid w:val="00AD4928"/>
    <w:rsid w:val="00AD5315"/>
    <w:rsid w:val="00AD5641"/>
    <w:rsid w:val="00AD5670"/>
    <w:rsid w:val="00AD57D1"/>
    <w:rsid w:val="00AD6384"/>
    <w:rsid w:val="00AD7889"/>
    <w:rsid w:val="00AD7EE2"/>
    <w:rsid w:val="00AE04C1"/>
    <w:rsid w:val="00AE2F09"/>
    <w:rsid w:val="00AE787B"/>
    <w:rsid w:val="00AF021B"/>
    <w:rsid w:val="00AF06CF"/>
    <w:rsid w:val="00AF2114"/>
    <w:rsid w:val="00AF3EBB"/>
    <w:rsid w:val="00AF6CDF"/>
    <w:rsid w:val="00B001B2"/>
    <w:rsid w:val="00B03185"/>
    <w:rsid w:val="00B04305"/>
    <w:rsid w:val="00B04C89"/>
    <w:rsid w:val="00B07CDB"/>
    <w:rsid w:val="00B16A31"/>
    <w:rsid w:val="00B176A9"/>
    <w:rsid w:val="00B17DFD"/>
    <w:rsid w:val="00B2799D"/>
    <w:rsid w:val="00B308FE"/>
    <w:rsid w:val="00B32331"/>
    <w:rsid w:val="00B33709"/>
    <w:rsid w:val="00B33B3C"/>
    <w:rsid w:val="00B33BD1"/>
    <w:rsid w:val="00B3423E"/>
    <w:rsid w:val="00B3497B"/>
    <w:rsid w:val="00B37B48"/>
    <w:rsid w:val="00B41FA3"/>
    <w:rsid w:val="00B436FB"/>
    <w:rsid w:val="00B437E1"/>
    <w:rsid w:val="00B43B7E"/>
    <w:rsid w:val="00B50ADC"/>
    <w:rsid w:val="00B5297A"/>
    <w:rsid w:val="00B55D00"/>
    <w:rsid w:val="00B566B1"/>
    <w:rsid w:val="00B577C8"/>
    <w:rsid w:val="00B621C4"/>
    <w:rsid w:val="00B63834"/>
    <w:rsid w:val="00B64595"/>
    <w:rsid w:val="00B72734"/>
    <w:rsid w:val="00B727B4"/>
    <w:rsid w:val="00B80199"/>
    <w:rsid w:val="00B82552"/>
    <w:rsid w:val="00B82D81"/>
    <w:rsid w:val="00B83204"/>
    <w:rsid w:val="00B846F2"/>
    <w:rsid w:val="00B85103"/>
    <w:rsid w:val="00B8510B"/>
    <w:rsid w:val="00B9126E"/>
    <w:rsid w:val="00BA04BF"/>
    <w:rsid w:val="00BA220B"/>
    <w:rsid w:val="00BA3585"/>
    <w:rsid w:val="00BA3A57"/>
    <w:rsid w:val="00BB00F7"/>
    <w:rsid w:val="00BB3367"/>
    <w:rsid w:val="00BB4DB6"/>
    <w:rsid w:val="00BB4E1A"/>
    <w:rsid w:val="00BB5C17"/>
    <w:rsid w:val="00BB7F8B"/>
    <w:rsid w:val="00BC015E"/>
    <w:rsid w:val="00BC1435"/>
    <w:rsid w:val="00BC49A3"/>
    <w:rsid w:val="00BC7183"/>
    <w:rsid w:val="00BC76AC"/>
    <w:rsid w:val="00BD0ECB"/>
    <w:rsid w:val="00BD2191"/>
    <w:rsid w:val="00BD2EE4"/>
    <w:rsid w:val="00BD4624"/>
    <w:rsid w:val="00BD50D2"/>
    <w:rsid w:val="00BD5981"/>
    <w:rsid w:val="00BE12BE"/>
    <w:rsid w:val="00BE2155"/>
    <w:rsid w:val="00BE2213"/>
    <w:rsid w:val="00BE3092"/>
    <w:rsid w:val="00BE5B90"/>
    <w:rsid w:val="00BE6EF9"/>
    <w:rsid w:val="00BE719A"/>
    <w:rsid w:val="00BE720A"/>
    <w:rsid w:val="00BF0D73"/>
    <w:rsid w:val="00BF2465"/>
    <w:rsid w:val="00BF75C9"/>
    <w:rsid w:val="00C02D92"/>
    <w:rsid w:val="00C0544A"/>
    <w:rsid w:val="00C06AC9"/>
    <w:rsid w:val="00C11452"/>
    <w:rsid w:val="00C12FC3"/>
    <w:rsid w:val="00C17457"/>
    <w:rsid w:val="00C206E1"/>
    <w:rsid w:val="00C20EAD"/>
    <w:rsid w:val="00C21731"/>
    <w:rsid w:val="00C25E7F"/>
    <w:rsid w:val="00C26E4E"/>
    <w:rsid w:val="00C2746F"/>
    <w:rsid w:val="00C320E7"/>
    <w:rsid w:val="00C324A0"/>
    <w:rsid w:val="00C3300F"/>
    <w:rsid w:val="00C34E77"/>
    <w:rsid w:val="00C35875"/>
    <w:rsid w:val="00C35DAF"/>
    <w:rsid w:val="00C4170B"/>
    <w:rsid w:val="00C42BF8"/>
    <w:rsid w:val="00C45171"/>
    <w:rsid w:val="00C47D01"/>
    <w:rsid w:val="00C47F48"/>
    <w:rsid w:val="00C50043"/>
    <w:rsid w:val="00C50B97"/>
    <w:rsid w:val="00C52E7C"/>
    <w:rsid w:val="00C56A49"/>
    <w:rsid w:val="00C572CB"/>
    <w:rsid w:val="00C616B2"/>
    <w:rsid w:val="00C6434E"/>
    <w:rsid w:val="00C65980"/>
    <w:rsid w:val="00C66746"/>
    <w:rsid w:val="00C676B9"/>
    <w:rsid w:val="00C70CA8"/>
    <w:rsid w:val="00C71794"/>
    <w:rsid w:val="00C71956"/>
    <w:rsid w:val="00C729FF"/>
    <w:rsid w:val="00C74952"/>
    <w:rsid w:val="00C7573B"/>
    <w:rsid w:val="00C7761F"/>
    <w:rsid w:val="00C86B32"/>
    <w:rsid w:val="00C87C75"/>
    <w:rsid w:val="00C92FCC"/>
    <w:rsid w:val="00C93C03"/>
    <w:rsid w:val="00C95E71"/>
    <w:rsid w:val="00CA344A"/>
    <w:rsid w:val="00CA66DC"/>
    <w:rsid w:val="00CB2AEC"/>
    <w:rsid w:val="00CB2C8E"/>
    <w:rsid w:val="00CB2D96"/>
    <w:rsid w:val="00CB602E"/>
    <w:rsid w:val="00CB6356"/>
    <w:rsid w:val="00CB78FF"/>
    <w:rsid w:val="00CB7D0F"/>
    <w:rsid w:val="00CC0174"/>
    <w:rsid w:val="00CC0814"/>
    <w:rsid w:val="00CC3AEC"/>
    <w:rsid w:val="00CD2E90"/>
    <w:rsid w:val="00CD3B57"/>
    <w:rsid w:val="00CD4653"/>
    <w:rsid w:val="00CD60F7"/>
    <w:rsid w:val="00CD7294"/>
    <w:rsid w:val="00CE0149"/>
    <w:rsid w:val="00CE051D"/>
    <w:rsid w:val="00CE1335"/>
    <w:rsid w:val="00CE3D2A"/>
    <w:rsid w:val="00CE4308"/>
    <w:rsid w:val="00CE493D"/>
    <w:rsid w:val="00CE541A"/>
    <w:rsid w:val="00CE6D42"/>
    <w:rsid w:val="00CE73A2"/>
    <w:rsid w:val="00CF07FA"/>
    <w:rsid w:val="00CF0BB2"/>
    <w:rsid w:val="00CF3EE8"/>
    <w:rsid w:val="00CF5313"/>
    <w:rsid w:val="00CF6CAA"/>
    <w:rsid w:val="00CF72FD"/>
    <w:rsid w:val="00D050E6"/>
    <w:rsid w:val="00D05D8B"/>
    <w:rsid w:val="00D07091"/>
    <w:rsid w:val="00D13441"/>
    <w:rsid w:val="00D150E7"/>
    <w:rsid w:val="00D20A4B"/>
    <w:rsid w:val="00D306F8"/>
    <w:rsid w:val="00D31EB3"/>
    <w:rsid w:val="00D32F65"/>
    <w:rsid w:val="00D33F4E"/>
    <w:rsid w:val="00D341C4"/>
    <w:rsid w:val="00D36C16"/>
    <w:rsid w:val="00D40BED"/>
    <w:rsid w:val="00D41A47"/>
    <w:rsid w:val="00D442A2"/>
    <w:rsid w:val="00D44BA8"/>
    <w:rsid w:val="00D45294"/>
    <w:rsid w:val="00D52DC2"/>
    <w:rsid w:val="00D53AD8"/>
    <w:rsid w:val="00D53BCC"/>
    <w:rsid w:val="00D5611C"/>
    <w:rsid w:val="00D573AD"/>
    <w:rsid w:val="00D57B21"/>
    <w:rsid w:val="00D608FA"/>
    <w:rsid w:val="00D633BE"/>
    <w:rsid w:val="00D648BB"/>
    <w:rsid w:val="00D649CF"/>
    <w:rsid w:val="00D702DE"/>
    <w:rsid w:val="00D70DFB"/>
    <w:rsid w:val="00D732EC"/>
    <w:rsid w:val="00D73C22"/>
    <w:rsid w:val="00D766DF"/>
    <w:rsid w:val="00D76B4E"/>
    <w:rsid w:val="00D80F6B"/>
    <w:rsid w:val="00D81EC3"/>
    <w:rsid w:val="00D829CD"/>
    <w:rsid w:val="00D84D59"/>
    <w:rsid w:val="00D873FB"/>
    <w:rsid w:val="00DA186E"/>
    <w:rsid w:val="00DA4116"/>
    <w:rsid w:val="00DA4B06"/>
    <w:rsid w:val="00DA62CE"/>
    <w:rsid w:val="00DB251C"/>
    <w:rsid w:val="00DB38AD"/>
    <w:rsid w:val="00DB4630"/>
    <w:rsid w:val="00DB51FD"/>
    <w:rsid w:val="00DC1135"/>
    <w:rsid w:val="00DC4445"/>
    <w:rsid w:val="00DC4F88"/>
    <w:rsid w:val="00DC53D5"/>
    <w:rsid w:val="00DE0A85"/>
    <w:rsid w:val="00DE155C"/>
    <w:rsid w:val="00DE6E47"/>
    <w:rsid w:val="00DE7470"/>
    <w:rsid w:val="00DE79F9"/>
    <w:rsid w:val="00DF12BC"/>
    <w:rsid w:val="00DF794C"/>
    <w:rsid w:val="00E00479"/>
    <w:rsid w:val="00E01994"/>
    <w:rsid w:val="00E05704"/>
    <w:rsid w:val="00E06CC3"/>
    <w:rsid w:val="00E11E44"/>
    <w:rsid w:val="00E13AFA"/>
    <w:rsid w:val="00E2168B"/>
    <w:rsid w:val="00E21F03"/>
    <w:rsid w:val="00E23417"/>
    <w:rsid w:val="00E338EF"/>
    <w:rsid w:val="00E343C8"/>
    <w:rsid w:val="00E40FF8"/>
    <w:rsid w:val="00E422A6"/>
    <w:rsid w:val="00E5143B"/>
    <w:rsid w:val="00E54488"/>
    <w:rsid w:val="00E544BB"/>
    <w:rsid w:val="00E5758C"/>
    <w:rsid w:val="00E578EC"/>
    <w:rsid w:val="00E60423"/>
    <w:rsid w:val="00E60825"/>
    <w:rsid w:val="00E61C10"/>
    <w:rsid w:val="00E649D7"/>
    <w:rsid w:val="00E662CB"/>
    <w:rsid w:val="00E6658B"/>
    <w:rsid w:val="00E67726"/>
    <w:rsid w:val="00E74DC7"/>
    <w:rsid w:val="00E762AA"/>
    <w:rsid w:val="00E8075A"/>
    <w:rsid w:val="00E818A6"/>
    <w:rsid w:val="00E8467F"/>
    <w:rsid w:val="00E85A91"/>
    <w:rsid w:val="00E87718"/>
    <w:rsid w:val="00E910F9"/>
    <w:rsid w:val="00E94D5E"/>
    <w:rsid w:val="00EA0BF6"/>
    <w:rsid w:val="00EA17A6"/>
    <w:rsid w:val="00EA7100"/>
    <w:rsid w:val="00EA7F9F"/>
    <w:rsid w:val="00EB0E70"/>
    <w:rsid w:val="00EB1274"/>
    <w:rsid w:val="00EB3549"/>
    <w:rsid w:val="00EC4757"/>
    <w:rsid w:val="00EC603E"/>
    <w:rsid w:val="00EC7EDB"/>
    <w:rsid w:val="00EC7EFB"/>
    <w:rsid w:val="00ED14FB"/>
    <w:rsid w:val="00ED2BB6"/>
    <w:rsid w:val="00ED30AC"/>
    <w:rsid w:val="00ED34E1"/>
    <w:rsid w:val="00ED3B8D"/>
    <w:rsid w:val="00ED796D"/>
    <w:rsid w:val="00EE17B5"/>
    <w:rsid w:val="00EE311B"/>
    <w:rsid w:val="00EE63E0"/>
    <w:rsid w:val="00EF0260"/>
    <w:rsid w:val="00EF15D3"/>
    <w:rsid w:val="00EF2C31"/>
    <w:rsid w:val="00EF2E3A"/>
    <w:rsid w:val="00F02EF9"/>
    <w:rsid w:val="00F03BB5"/>
    <w:rsid w:val="00F047D8"/>
    <w:rsid w:val="00F072A7"/>
    <w:rsid w:val="00F078DC"/>
    <w:rsid w:val="00F14593"/>
    <w:rsid w:val="00F171A1"/>
    <w:rsid w:val="00F20153"/>
    <w:rsid w:val="00F205B0"/>
    <w:rsid w:val="00F25E18"/>
    <w:rsid w:val="00F25E98"/>
    <w:rsid w:val="00F30BDC"/>
    <w:rsid w:val="00F32BA8"/>
    <w:rsid w:val="00F349F1"/>
    <w:rsid w:val="00F358E4"/>
    <w:rsid w:val="00F4215A"/>
    <w:rsid w:val="00F4350D"/>
    <w:rsid w:val="00F45C97"/>
    <w:rsid w:val="00F46947"/>
    <w:rsid w:val="00F477BA"/>
    <w:rsid w:val="00F50532"/>
    <w:rsid w:val="00F52CA6"/>
    <w:rsid w:val="00F567F7"/>
    <w:rsid w:val="00F61A66"/>
    <w:rsid w:val="00F61B09"/>
    <w:rsid w:val="00F61B31"/>
    <w:rsid w:val="00F62036"/>
    <w:rsid w:val="00F6221A"/>
    <w:rsid w:val="00F65B52"/>
    <w:rsid w:val="00F65BE0"/>
    <w:rsid w:val="00F67B78"/>
    <w:rsid w:val="00F67BCA"/>
    <w:rsid w:val="00F73BD6"/>
    <w:rsid w:val="00F76A10"/>
    <w:rsid w:val="00F774DF"/>
    <w:rsid w:val="00F800C9"/>
    <w:rsid w:val="00F83679"/>
    <w:rsid w:val="00F83989"/>
    <w:rsid w:val="00F85099"/>
    <w:rsid w:val="00F87E83"/>
    <w:rsid w:val="00F92BE4"/>
    <w:rsid w:val="00F92C92"/>
    <w:rsid w:val="00F9379C"/>
    <w:rsid w:val="00F9632C"/>
    <w:rsid w:val="00F967C9"/>
    <w:rsid w:val="00F9684C"/>
    <w:rsid w:val="00FA0735"/>
    <w:rsid w:val="00FA13A8"/>
    <w:rsid w:val="00FA1E52"/>
    <w:rsid w:val="00FA2570"/>
    <w:rsid w:val="00FA31DE"/>
    <w:rsid w:val="00FA3642"/>
    <w:rsid w:val="00FA7D17"/>
    <w:rsid w:val="00FB6550"/>
    <w:rsid w:val="00FC0F76"/>
    <w:rsid w:val="00FC3EB8"/>
    <w:rsid w:val="00FC6155"/>
    <w:rsid w:val="00FC62F6"/>
    <w:rsid w:val="00FC6D88"/>
    <w:rsid w:val="00FC72AE"/>
    <w:rsid w:val="00FC7D25"/>
    <w:rsid w:val="00FD07EF"/>
    <w:rsid w:val="00FD13CC"/>
    <w:rsid w:val="00FD2E53"/>
    <w:rsid w:val="00FD43F1"/>
    <w:rsid w:val="00FD49DE"/>
    <w:rsid w:val="00FE1C02"/>
    <w:rsid w:val="00FE24D8"/>
    <w:rsid w:val="00FE2FB8"/>
    <w:rsid w:val="00FE3E9D"/>
    <w:rsid w:val="00FE4688"/>
    <w:rsid w:val="00FE72D6"/>
    <w:rsid w:val="00FE79D0"/>
    <w:rsid w:val="00FE7CCD"/>
    <w:rsid w:val="00FF3858"/>
    <w:rsid w:val="01329B48"/>
    <w:rsid w:val="019D46D7"/>
    <w:rsid w:val="01D6589D"/>
    <w:rsid w:val="0238D55C"/>
    <w:rsid w:val="03A42854"/>
    <w:rsid w:val="042F9ED3"/>
    <w:rsid w:val="048B4C5F"/>
    <w:rsid w:val="04A8FD1A"/>
    <w:rsid w:val="0551DAEA"/>
    <w:rsid w:val="0557C4D5"/>
    <w:rsid w:val="05D7F044"/>
    <w:rsid w:val="05DA1F0B"/>
    <w:rsid w:val="05DD8D4E"/>
    <w:rsid w:val="0637959C"/>
    <w:rsid w:val="06464D70"/>
    <w:rsid w:val="06767FAE"/>
    <w:rsid w:val="06A4BDCF"/>
    <w:rsid w:val="075967C4"/>
    <w:rsid w:val="0813D20B"/>
    <w:rsid w:val="095E6072"/>
    <w:rsid w:val="096472CE"/>
    <w:rsid w:val="096BEE85"/>
    <w:rsid w:val="0986D1A6"/>
    <w:rsid w:val="09F9FD87"/>
    <w:rsid w:val="0A0E62D6"/>
    <w:rsid w:val="0A10756B"/>
    <w:rsid w:val="0A1880ED"/>
    <w:rsid w:val="0A1A1B89"/>
    <w:rsid w:val="0AF77C85"/>
    <w:rsid w:val="0B69BFDB"/>
    <w:rsid w:val="0B9B6FD2"/>
    <w:rsid w:val="0BF33D02"/>
    <w:rsid w:val="0C02397C"/>
    <w:rsid w:val="0C572B6A"/>
    <w:rsid w:val="0D3DFB33"/>
    <w:rsid w:val="0D804847"/>
    <w:rsid w:val="0DE9D2E0"/>
    <w:rsid w:val="0E2659D7"/>
    <w:rsid w:val="0E681C13"/>
    <w:rsid w:val="0E7F6852"/>
    <w:rsid w:val="0F0D54E6"/>
    <w:rsid w:val="0F3B5934"/>
    <w:rsid w:val="0F9796C8"/>
    <w:rsid w:val="0FBF4A61"/>
    <w:rsid w:val="106C5D91"/>
    <w:rsid w:val="10A0DB79"/>
    <w:rsid w:val="11691645"/>
    <w:rsid w:val="117FE615"/>
    <w:rsid w:val="11B2BFD3"/>
    <w:rsid w:val="126EADF5"/>
    <w:rsid w:val="12A600BD"/>
    <w:rsid w:val="12C80B6C"/>
    <w:rsid w:val="1318A260"/>
    <w:rsid w:val="13515DF2"/>
    <w:rsid w:val="141245BE"/>
    <w:rsid w:val="1443F292"/>
    <w:rsid w:val="14587456"/>
    <w:rsid w:val="14C3221D"/>
    <w:rsid w:val="157B4C24"/>
    <w:rsid w:val="15A5CA4F"/>
    <w:rsid w:val="16CEB559"/>
    <w:rsid w:val="16FB249B"/>
    <w:rsid w:val="17928273"/>
    <w:rsid w:val="1819AA86"/>
    <w:rsid w:val="18F8DBB8"/>
    <w:rsid w:val="1962CCC1"/>
    <w:rsid w:val="1983D9FE"/>
    <w:rsid w:val="19D1790D"/>
    <w:rsid w:val="1AE745D2"/>
    <w:rsid w:val="1B5DAD00"/>
    <w:rsid w:val="1B627E34"/>
    <w:rsid w:val="1BDD3F92"/>
    <w:rsid w:val="1C17E4FE"/>
    <w:rsid w:val="1C1C88F3"/>
    <w:rsid w:val="1C7FCDD6"/>
    <w:rsid w:val="1CDD9F0C"/>
    <w:rsid w:val="1CE4EAAF"/>
    <w:rsid w:val="1D366727"/>
    <w:rsid w:val="1D804B2B"/>
    <w:rsid w:val="1F492B5D"/>
    <w:rsid w:val="1F54CEAE"/>
    <w:rsid w:val="1F592A7E"/>
    <w:rsid w:val="1F986E25"/>
    <w:rsid w:val="1FC1A7D2"/>
    <w:rsid w:val="1FF21FC3"/>
    <w:rsid w:val="20604ED6"/>
    <w:rsid w:val="20845BF9"/>
    <w:rsid w:val="20C55C23"/>
    <w:rsid w:val="210DAF13"/>
    <w:rsid w:val="2178B553"/>
    <w:rsid w:val="21E1B35B"/>
    <w:rsid w:val="222B498E"/>
    <w:rsid w:val="22453922"/>
    <w:rsid w:val="229ED6D4"/>
    <w:rsid w:val="22E6932A"/>
    <w:rsid w:val="235AB2CE"/>
    <w:rsid w:val="23669978"/>
    <w:rsid w:val="23A66479"/>
    <w:rsid w:val="23AF246C"/>
    <w:rsid w:val="23EEA17D"/>
    <w:rsid w:val="2448F909"/>
    <w:rsid w:val="2469D8AB"/>
    <w:rsid w:val="24C4D906"/>
    <w:rsid w:val="251A4830"/>
    <w:rsid w:val="252A135B"/>
    <w:rsid w:val="25327A62"/>
    <w:rsid w:val="2633177A"/>
    <w:rsid w:val="2648B284"/>
    <w:rsid w:val="26E4E70B"/>
    <w:rsid w:val="275B6999"/>
    <w:rsid w:val="27F60B1A"/>
    <w:rsid w:val="281C853C"/>
    <w:rsid w:val="284EEFD0"/>
    <w:rsid w:val="2856760E"/>
    <w:rsid w:val="2944E4F8"/>
    <w:rsid w:val="29466E39"/>
    <w:rsid w:val="294E1CC1"/>
    <w:rsid w:val="29B42039"/>
    <w:rsid w:val="29DD42B8"/>
    <w:rsid w:val="2A153CC9"/>
    <w:rsid w:val="2A9F7C84"/>
    <w:rsid w:val="2AC46B3E"/>
    <w:rsid w:val="2ADC7479"/>
    <w:rsid w:val="2C04728B"/>
    <w:rsid w:val="2C1B21B6"/>
    <w:rsid w:val="2C533A4B"/>
    <w:rsid w:val="2C58DD8C"/>
    <w:rsid w:val="2CBD0CDD"/>
    <w:rsid w:val="2CD826D2"/>
    <w:rsid w:val="2CE2A504"/>
    <w:rsid w:val="2D1B633A"/>
    <w:rsid w:val="2D544A54"/>
    <w:rsid w:val="2D6DD1E9"/>
    <w:rsid w:val="2D9A33AC"/>
    <w:rsid w:val="2DD1BA00"/>
    <w:rsid w:val="2E11B583"/>
    <w:rsid w:val="2EC54640"/>
    <w:rsid w:val="2EF495D2"/>
    <w:rsid w:val="2F0342A5"/>
    <w:rsid w:val="2F0AC537"/>
    <w:rsid w:val="2F267F2E"/>
    <w:rsid w:val="2F580DCA"/>
    <w:rsid w:val="30AB5EDB"/>
    <w:rsid w:val="31907201"/>
    <w:rsid w:val="31EE1B3F"/>
    <w:rsid w:val="31EFDDB5"/>
    <w:rsid w:val="31F4DD7B"/>
    <w:rsid w:val="321F4C21"/>
    <w:rsid w:val="325863BC"/>
    <w:rsid w:val="3274B194"/>
    <w:rsid w:val="3374C614"/>
    <w:rsid w:val="33ADA519"/>
    <w:rsid w:val="33BB3B01"/>
    <w:rsid w:val="348914A2"/>
    <w:rsid w:val="349A0992"/>
    <w:rsid w:val="34DD980A"/>
    <w:rsid w:val="35298AF7"/>
    <w:rsid w:val="354D0C6D"/>
    <w:rsid w:val="357B2326"/>
    <w:rsid w:val="35A56FEE"/>
    <w:rsid w:val="36237906"/>
    <w:rsid w:val="363B49E0"/>
    <w:rsid w:val="36A8ED3B"/>
    <w:rsid w:val="36B5A956"/>
    <w:rsid w:val="36EE1012"/>
    <w:rsid w:val="3732C50A"/>
    <w:rsid w:val="379C631F"/>
    <w:rsid w:val="37ED23FD"/>
    <w:rsid w:val="38461427"/>
    <w:rsid w:val="385D32B8"/>
    <w:rsid w:val="393E7506"/>
    <w:rsid w:val="3977E088"/>
    <w:rsid w:val="39BD257F"/>
    <w:rsid w:val="39DF229F"/>
    <w:rsid w:val="3A22808B"/>
    <w:rsid w:val="3A73114E"/>
    <w:rsid w:val="3ACE9BCC"/>
    <w:rsid w:val="3B26EC9B"/>
    <w:rsid w:val="3BDF3DB7"/>
    <w:rsid w:val="3C347BA7"/>
    <w:rsid w:val="3C37FDA8"/>
    <w:rsid w:val="3C776D03"/>
    <w:rsid w:val="3CA8F655"/>
    <w:rsid w:val="3CB33D5E"/>
    <w:rsid w:val="3D48A135"/>
    <w:rsid w:val="3DA8A185"/>
    <w:rsid w:val="3E2CB82B"/>
    <w:rsid w:val="3E449C29"/>
    <w:rsid w:val="3F0F0471"/>
    <w:rsid w:val="3F57C27F"/>
    <w:rsid w:val="3F5843B7"/>
    <w:rsid w:val="40857C9E"/>
    <w:rsid w:val="40A6CB4C"/>
    <w:rsid w:val="410402CC"/>
    <w:rsid w:val="417FBFE6"/>
    <w:rsid w:val="41A50364"/>
    <w:rsid w:val="41BDA09E"/>
    <w:rsid w:val="41D29A49"/>
    <w:rsid w:val="42555171"/>
    <w:rsid w:val="427BA81C"/>
    <w:rsid w:val="428F7A40"/>
    <w:rsid w:val="44005076"/>
    <w:rsid w:val="440D45CF"/>
    <w:rsid w:val="4439FD00"/>
    <w:rsid w:val="444F7B76"/>
    <w:rsid w:val="44504915"/>
    <w:rsid w:val="4526ABE2"/>
    <w:rsid w:val="456D8A49"/>
    <w:rsid w:val="4577C384"/>
    <w:rsid w:val="4594F603"/>
    <w:rsid w:val="45A3CF66"/>
    <w:rsid w:val="45C71744"/>
    <w:rsid w:val="45E4441E"/>
    <w:rsid w:val="45EB3E2C"/>
    <w:rsid w:val="468108D0"/>
    <w:rsid w:val="468B5ADA"/>
    <w:rsid w:val="46A25E9E"/>
    <w:rsid w:val="4796FF66"/>
    <w:rsid w:val="4797F778"/>
    <w:rsid w:val="47A970DB"/>
    <w:rsid w:val="48217FB7"/>
    <w:rsid w:val="48229AC5"/>
    <w:rsid w:val="4825A92A"/>
    <w:rsid w:val="485D6DCB"/>
    <w:rsid w:val="4863E8D6"/>
    <w:rsid w:val="48C619FC"/>
    <w:rsid w:val="48D305E4"/>
    <w:rsid w:val="495C9711"/>
    <w:rsid w:val="4A50E54E"/>
    <w:rsid w:val="4A6FDE96"/>
    <w:rsid w:val="4ACFFBEE"/>
    <w:rsid w:val="4AD5D906"/>
    <w:rsid w:val="4AE9A737"/>
    <w:rsid w:val="4B7418C3"/>
    <w:rsid w:val="4B9C97E3"/>
    <w:rsid w:val="4B9D20AA"/>
    <w:rsid w:val="4BFB9653"/>
    <w:rsid w:val="4C2F614B"/>
    <w:rsid w:val="4C5BC62B"/>
    <w:rsid w:val="4CB97D99"/>
    <w:rsid w:val="4CC9E8A1"/>
    <w:rsid w:val="4CD74FCC"/>
    <w:rsid w:val="4D2246C0"/>
    <w:rsid w:val="4D97AA9B"/>
    <w:rsid w:val="4E16BAA7"/>
    <w:rsid w:val="4E2E2431"/>
    <w:rsid w:val="4E41A10F"/>
    <w:rsid w:val="4E530646"/>
    <w:rsid w:val="4EA7547C"/>
    <w:rsid w:val="4EF59E69"/>
    <w:rsid w:val="4EF63C0B"/>
    <w:rsid w:val="4FF40D7B"/>
    <w:rsid w:val="5061874B"/>
    <w:rsid w:val="5068C211"/>
    <w:rsid w:val="50A740EF"/>
    <w:rsid w:val="51DF204B"/>
    <w:rsid w:val="51DFD75A"/>
    <w:rsid w:val="521BA25E"/>
    <w:rsid w:val="527DF21A"/>
    <w:rsid w:val="52981303"/>
    <w:rsid w:val="52A43F6A"/>
    <w:rsid w:val="52B5FF73"/>
    <w:rsid w:val="5394E10E"/>
    <w:rsid w:val="53EA0BB7"/>
    <w:rsid w:val="53F2339A"/>
    <w:rsid w:val="5404E819"/>
    <w:rsid w:val="5474797F"/>
    <w:rsid w:val="54E96168"/>
    <w:rsid w:val="552CF9AC"/>
    <w:rsid w:val="556FE51A"/>
    <w:rsid w:val="55707A39"/>
    <w:rsid w:val="55C32E25"/>
    <w:rsid w:val="55E38A14"/>
    <w:rsid w:val="55E5A9DC"/>
    <w:rsid w:val="55E61F1F"/>
    <w:rsid w:val="55EBE14D"/>
    <w:rsid w:val="5615FE48"/>
    <w:rsid w:val="561C5F10"/>
    <w:rsid w:val="5626FAE8"/>
    <w:rsid w:val="563A0901"/>
    <w:rsid w:val="566F55E3"/>
    <w:rsid w:val="579DA80B"/>
    <w:rsid w:val="57B4FE8B"/>
    <w:rsid w:val="585904C8"/>
    <w:rsid w:val="58753163"/>
    <w:rsid w:val="5888D2DD"/>
    <w:rsid w:val="58B695CD"/>
    <w:rsid w:val="58BC11B2"/>
    <w:rsid w:val="58D29F09"/>
    <w:rsid w:val="58F29283"/>
    <w:rsid w:val="59A2FCB3"/>
    <w:rsid w:val="59A8CCD1"/>
    <w:rsid w:val="5A0D0B84"/>
    <w:rsid w:val="5A6553AD"/>
    <w:rsid w:val="5A739F5E"/>
    <w:rsid w:val="5A8A788F"/>
    <w:rsid w:val="5B07674C"/>
    <w:rsid w:val="5B54358F"/>
    <w:rsid w:val="5B9E24F3"/>
    <w:rsid w:val="5BF244D0"/>
    <w:rsid w:val="5BFD7E16"/>
    <w:rsid w:val="5C5A7316"/>
    <w:rsid w:val="5CA9C95B"/>
    <w:rsid w:val="5CE45A46"/>
    <w:rsid w:val="5D1ACAB9"/>
    <w:rsid w:val="5D2E6630"/>
    <w:rsid w:val="5D3A8393"/>
    <w:rsid w:val="5D58428C"/>
    <w:rsid w:val="5D77BC3C"/>
    <w:rsid w:val="5F5D31D6"/>
    <w:rsid w:val="5F6C8C22"/>
    <w:rsid w:val="5F79425A"/>
    <w:rsid w:val="6041F6DE"/>
    <w:rsid w:val="60A39E8A"/>
    <w:rsid w:val="60E72204"/>
    <w:rsid w:val="6102DEBD"/>
    <w:rsid w:val="6226AEB3"/>
    <w:rsid w:val="62FB1684"/>
    <w:rsid w:val="646A1796"/>
    <w:rsid w:val="653EDED7"/>
    <w:rsid w:val="66286E63"/>
    <w:rsid w:val="6682B91B"/>
    <w:rsid w:val="6739C86F"/>
    <w:rsid w:val="67D48125"/>
    <w:rsid w:val="67DF7563"/>
    <w:rsid w:val="67E799FD"/>
    <w:rsid w:val="68436C56"/>
    <w:rsid w:val="686143F2"/>
    <w:rsid w:val="687CDE0E"/>
    <w:rsid w:val="687F3C63"/>
    <w:rsid w:val="68A9ACDF"/>
    <w:rsid w:val="68D62FA2"/>
    <w:rsid w:val="68DB7CE4"/>
    <w:rsid w:val="68E3DD41"/>
    <w:rsid w:val="68E63894"/>
    <w:rsid w:val="691AD87B"/>
    <w:rsid w:val="697A06A4"/>
    <w:rsid w:val="69BD38A4"/>
    <w:rsid w:val="69EF4533"/>
    <w:rsid w:val="6A3CA22A"/>
    <w:rsid w:val="6A5BAFDB"/>
    <w:rsid w:val="6ACCE797"/>
    <w:rsid w:val="6AFCC7E7"/>
    <w:rsid w:val="6B19B09B"/>
    <w:rsid w:val="6BE01B84"/>
    <w:rsid w:val="6C2DED92"/>
    <w:rsid w:val="6CC5EB83"/>
    <w:rsid w:val="6CDBBC1B"/>
    <w:rsid w:val="6CE2454E"/>
    <w:rsid w:val="6D1DED53"/>
    <w:rsid w:val="6D4B10EE"/>
    <w:rsid w:val="6D928A27"/>
    <w:rsid w:val="6E090ED0"/>
    <w:rsid w:val="6E0DA4CF"/>
    <w:rsid w:val="6E0FEB55"/>
    <w:rsid w:val="6E750D91"/>
    <w:rsid w:val="6EA777D1"/>
    <w:rsid w:val="6EC1BE02"/>
    <w:rsid w:val="6F4D8BEF"/>
    <w:rsid w:val="6F720A9B"/>
    <w:rsid w:val="6FC58ABE"/>
    <w:rsid w:val="705911DB"/>
    <w:rsid w:val="70C8DF70"/>
    <w:rsid w:val="70F42835"/>
    <w:rsid w:val="714B9856"/>
    <w:rsid w:val="72168549"/>
    <w:rsid w:val="724F939D"/>
    <w:rsid w:val="7283F231"/>
    <w:rsid w:val="7297A777"/>
    <w:rsid w:val="72E9E337"/>
    <w:rsid w:val="7328FDB6"/>
    <w:rsid w:val="74A59B5D"/>
    <w:rsid w:val="74B7DC37"/>
    <w:rsid w:val="74D75D52"/>
    <w:rsid w:val="76D462B4"/>
    <w:rsid w:val="770F651A"/>
    <w:rsid w:val="7765A9F7"/>
    <w:rsid w:val="7765CFC1"/>
    <w:rsid w:val="779A9DF2"/>
    <w:rsid w:val="77DA8D88"/>
    <w:rsid w:val="78387755"/>
    <w:rsid w:val="7839337E"/>
    <w:rsid w:val="786F0C30"/>
    <w:rsid w:val="7896E3E3"/>
    <w:rsid w:val="7985375E"/>
    <w:rsid w:val="79C81DE4"/>
    <w:rsid w:val="7A1563FC"/>
    <w:rsid w:val="7A1644F5"/>
    <w:rsid w:val="7A2ED6FE"/>
    <w:rsid w:val="7A707BD2"/>
    <w:rsid w:val="7AAD8350"/>
    <w:rsid w:val="7AF6149D"/>
    <w:rsid w:val="7B44C67B"/>
    <w:rsid w:val="7B96FFAF"/>
    <w:rsid w:val="7BA05CAF"/>
    <w:rsid w:val="7BC79488"/>
    <w:rsid w:val="7BDECF19"/>
    <w:rsid w:val="7C1DB891"/>
    <w:rsid w:val="7C604C50"/>
    <w:rsid w:val="7C6739CB"/>
    <w:rsid w:val="7C77A4A5"/>
    <w:rsid w:val="7C95738A"/>
    <w:rsid w:val="7CB4AB82"/>
    <w:rsid w:val="7D2935A1"/>
    <w:rsid w:val="7DFE75A2"/>
    <w:rsid w:val="7E309675"/>
    <w:rsid w:val="7E417387"/>
    <w:rsid w:val="7EB5F292"/>
    <w:rsid w:val="7EEE066C"/>
    <w:rsid w:val="7EEED1A4"/>
    <w:rsid w:val="7F21267B"/>
    <w:rsid w:val="7F2C567E"/>
    <w:rsid w:val="7F88E4FA"/>
    <w:rsid w:val="7FC3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A39DB"/>
  <w15:chartTrackingRefBased/>
  <w15:docId w15:val="{9417FE6E-C078-4CB9-B706-EB9D000B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uiPriority w:val="99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00F92BE4"/>
  </w:style>
  <w:style w:type="character" w:styleId="UnresolvedMention">
    <w:name w:val="Unresolved Mention"/>
    <w:basedOn w:val="DefaultParagraphFont"/>
    <w:uiPriority w:val="99"/>
    <w:semiHidden/>
    <w:unhideWhenUsed/>
    <w:rsid w:val="000E25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423E"/>
    <w:rPr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205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67329D49EF2FE94BA16D9A9FA4C7C5E9" ma:contentTypeVersion="25" ma:contentTypeDescription="Create a new document." ma:contentTypeScope="" ma:versionID="4eee952142d321facbb1fde01d01d759">
  <xsd:schema xmlns:xsd="http://www.w3.org/2001/XMLSchema" xmlns:xs="http://www.w3.org/2001/XMLSchema" xmlns:p="http://schemas.microsoft.com/office/2006/metadata/properties" xmlns:ns2="db2b92ca-6ed0-4085-802d-4c686a2e8c3f" xmlns:ns3="6d01ba57-bcb9-4c1f-9f73-80759da4b854" targetNamespace="http://schemas.microsoft.com/office/2006/metadata/properties" ma:root="true" ma:fieldsID="e16c524076ad0c65a69563821fb64933" ns2:_="" ns3:_="">
    <xsd:import namespace="db2b92ca-6ed0-4085-802d-4c686a2e8c3f"/>
    <xsd:import namespace="6d01ba57-bcb9-4c1f-9f73-80759da4b854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5da22b1-9180-4a81-8ed3-1b22e6fc70b0}" ma:internalName="TaxCatchAll" ma:showField="CatchAllData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5da22b1-9180-4a81-8ed3-1b22e6fc70b0}" ma:internalName="TaxCatchAllLabel" ma:readOnly="true" ma:showField="CatchAllDataLabel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ba57-bcb9-4c1f-9f73-80759da4b854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1abb5e704a84578aa4b8ef0390c3b25>
    <DocumentNotes xmlns="db2b92ca-6ed0-4085-802d-4c686a2e8c3f" xsi:nil="true"/>
    <NAPReason xmlns="db2b92ca-6ed0-4085-802d-4c686a2e8c3f" xsi:nil="true"/>
    <_dlc_DocId xmlns="6d01ba57-bcb9-4c1f-9f73-80759da4b854">010950-786086710-688</_dlc_DocId>
    <_dlc_DocIdUrl xmlns="6d01ba57-bcb9-4c1f-9f73-80759da4b854">
      <Url>https://asiclink.sharepoint.com/teams/010950/_layouts/15/DocIdRedir.aspx?ID=010950-786086710-688</Url>
      <Description>010950-786086710-688</Description>
    </_dlc_DocIdUrl>
    <TaxCatchAll xmlns="db2b92ca-6ed0-4085-802d-4c686a2e8c3f">
      <Value>5</Value>
    </TaxCatchAll>
  </documentManagement>
</p:properties>
</file>

<file path=customXml/itemProps1.xml><?xml version="1.0" encoding="utf-8"?>
<ds:datastoreItem xmlns:ds="http://schemas.openxmlformats.org/officeDocument/2006/customXml" ds:itemID="{E2CA826B-73E7-4F17-9BA1-76589DEFEB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914A11-A6CE-469A-88F9-60907E873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65936-4423-43CE-9B28-34708AFE9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6d01ba57-bcb9-4c1f-9f73-80759da4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2D521A-DAB7-4FB7-B2F4-979DB9280F3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D751942-C67F-4D0C-9A01-EDA69EE9D21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FF62D22-A1E5-4B55-8E5F-394F06BC600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954CD4F-4ADE-45EC-8760-0728E2692B40}">
  <ds:schemaRefs>
    <ds:schemaRef ds:uri="http://schemas.microsoft.com/office/infopath/2007/PartnerControls"/>
    <ds:schemaRef ds:uri="6d01ba57-bcb9-4c1f-9f73-80759da4b85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b2b92ca-6ed0-4085-802d-4c686a2e8c3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</TotalTime>
  <Pages>5</Pages>
  <Words>1418</Words>
  <Characters>8084</Characters>
  <Application>Microsoft Office Word</Application>
  <DocSecurity>0</DocSecurity>
  <PresentationFormat/>
  <Lines>67</Lines>
  <Paragraphs>18</Paragraphs>
  <ScaleCrop>false</ScaleCrop>
  <Company>ASIC</Company>
  <LinksUpToDate>false</LinksUpToDate>
  <CharactersWithSpaces>9484</CharactersWithSpaces>
  <SharedDoc>false</SharedDoc>
  <HyperlinkBase/>
  <HLinks>
    <vt:vector size="6" baseType="variant">
      <vt:variant>
        <vt:i4>2424880</vt:i4>
      </vt:variant>
      <vt:variant>
        <vt:i4>0</vt:i4>
      </vt:variant>
      <vt:variant>
        <vt:i4>0</vt:i4>
      </vt:variant>
      <vt:variant>
        <vt:i4>5</vt:i4>
      </vt:variant>
      <vt:variant>
        <vt:lpwstr>https://asic.gov.au/about-asic/news-centre/news-items/asic-proposes-to-extend-the-operation-of-three-legislative-instruments/?altTemplate=betanewsroom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Template (Explanatory Statement - Jan 2019).docx</dc:title>
  <dc:subject/>
  <dc:creator>Elinor Egan</dc:creator>
  <cp:keywords/>
  <cp:lastModifiedBy>Narelle Kane</cp:lastModifiedBy>
  <cp:revision>3</cp:revision>
  <cp:lastPrinted>2019-01-03T02:56:00Z</cp:lastPrinted>
  <dcterms:created xsi:type="dcterms:W3CDTF">2024-09-23T01:09:00Z</dcterms:created>
  <dcterms:modified xsi:type="dcterms:W3CDTF">2024-09-23T01:58:00Z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{0f4c5c6f-0dad-4deb-a834-375fa2501599}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R20210000583158</vt:lpwstr>
  </property>
  <property fmtid="{D5CDD505-2E9C-101B-9397-08002B2CF9AE}" pid="47" name="RecordPoint_SubmissionCompleted">
    <vt:lpwstr>2021-09-14T18:42:49.7315500+10:00</vt:lpwstr>
  </property>
  <property fmtid="{D5CDD505-2E9C-101B-9397-08002B2CF9AE}" pid="48" name="RecordPoint_RecordNumberSubmitted">
    <vt:lpwstr>R20210000583158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5;#Sensitive|19fd2cb8-3e97-4464-ae71-8c2c2095d028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Order">
    <vt:lpwstr>71900.0000000000</vt:lpwstr>
  </property>
  <property fmtid="{D5CDD505-2E9C-101B-9397-08002B2CF9AE}" pid="59" name="RecordPoint_SubmissionDate">
    <vt:lpwstr/>
  </property>
  <property fmtid="{D5CDD505-2E9C-101B-9397-08002B2CF9AE}" pid="60" name="RecordPoint_RecordFormat">
    <vt:lpwstr/>
  </property>
  <property fmtid="{D5CDD505-2E9C-101B-9397-08002B2CF9AE}" pid="61" name="_dlc_DocId">
    <vt:lpwstr>000853-1726373233-1250</vt:lpwstr>
  </property>
  <property fmtid="{D5CDD505-2E9C-101B-9397-08002B2CF9AE}" pid="62" name="_dlc_DocIdItemGuid">
    <vt:lpwstr>582dcd23-1364-4b26-84e5-c8f72e39519f</vt:lpwstr>
  </property>
  <property fmtid="{D5CDD505-2E9C-101B-9397-08002B2CF9AE}" pid="63" name="_dlc_DocIdUrl">
    <vt:lpwstr>https://asiclink.sharepoint.com/teams/000853/_layouts/15/DocIdRedir.aspx?ID=000853-1726373233-1250, 000853-1726373233-1250</vt:lpwstr>
  </property>
  <property fmtid="{D5CDD505-2E9C-101B-9397-08002B2CF9AE}" pid="64" name="ContentTypeId">
    <vt:lpwstr>0x010100B5F685A1365F544391EF8C813B164F3A0067329D49EF2FE94BA16D9A9FA4C7C5E9</vt:lpwstr>
  </property>
  <property fmtid="{D5CDD505-2E9C-101B-9397-08002B2CF9AE}" pid="65" name="MSIP_Label_a6aead41-07f8-4767-ac8e-ef1c9c793766_Enabled">
    <vt:lpwstr>true</vt:lpwstr>
  </property>
  <property fmtid="{D5CDD505-2E9C-101B-9397-08002B2CF9AE}" pid="66" name="MSIP_Label_a6aead41-07f8-4767-ac8e-ef1c9c793766_SetDate">
    <vt:lpwstr>2023-07-21T02:05:38Z</vt:lpwstr>
  </property>
  <property fmtid="{D5CDD505-2E9C-101B-9397-08002B2CF9AE}" pid="67" name="MSIP_Label_a6aead41-07f8-4767-ac8e-ef1c9c793766_Method">
    <vt:lpwstr>Standard</vt:lpwstr>
  </property>
  <property fmtid="{D5CDD505-2E9C-101B-9397-08002B2CF9AE}" pid="68" name="MSIP_Label_a6aead41-07f8-4767-ac8e-ef1c9c793766_Name">
    <vt:lpwstr>OFFICIAL</vt:lpwstr>
  </property>
  <property fmtid="{D5CDD505-2E9C-101B-9397-08002B2CF9AE}" pid="69" name="MSIP_Label_a6aead41-07f8-4767-ac8e-ef1c9c793766_SiteId">
    <vt:lpwstr>5f1de7c6-55cd-4bb2-902d-514c78cf10f4</vt:lpwstr>
  </property>
  <property fmtid="{D5CDD505-2E9C-101B-9397-08002B2CF9AE}" pid="70" name="MSIP_Label_a6aead41-07f8-4767-ac8e-ef1c9c793766_ActionId">
    <vt:lpwstr>59538b45-0da9-4ad6-a28d-b86ecde4c0ff</vt:lpwstr>
  </property>
  <property fmtid="{D5CDD505-2E9C-101B-9397-08002B2CF9AE}" pid="71" name="MSIP_Label_a6aead41-07f8-4767-ac8e-ef1c9c793766_ContentBits">
    <vt:lpwstr>0</vt:lpwstr>
  </property>
  <property fmtid="{D5CDD505-2E9C-101B-9397-08002B2CF9AE}" pid="72" name="MediaServiceImageTags">
    <vt:lpwstr/>
  </property>
  <property fmtid="{D5CDD505-2E9C-101B-9397-08002B2CF9AE}" pid="73" name="lcf76f155ced4ddcb4097134ff3c332f">
    <vt:lpwstr/>
  </property>
</Properties>
</file>