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EB3D" w14:textId="77777777" w:rsidR="00955175" w:rsidRDefault="00955175" w:rsidP="00E2168B">
      <w:pPr>
        <w:spacing w:before="280" w:after="240"/>
        <w:rPr>
          <w:b/>
          <w:sz w:val="32"/>
          <w:szCs w:val="32"/>
        </w:rPr>
      </w:pPr>
    </w:p>
    <w:p w14:paraId="0AAC3FC8" w14:textId="781C253F" w:rsidR="00955175" w:rsidRPr="00132CB3" w:rsidRDefault="00FC6D88" w:rsidP="00E2168B">
      <w:pPr>
        <w:spacing w:before="280" w:after="240"/>
        <w:rPr>
          <w:b/>
          <w:sz w:val="32"/>
          <w:szCs w:val="32"/>
        </w:rPr>
      </w:pPr>
      <w:r w:rsidRPr="00132CB3">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132CB3" w:rsidRDefault="00955175" w:rsidP="00955175">
      <w:pPr>
        <w:pStyle w:val="LI-Title"/>
        <w:pBdr>
          <w:top w:val="none" w:sz="0" w:space="0" w:color="auto"/>
        </w:pBdr>
        <w:jc w:val="center"/>
      </w:pPr>
    </w:p>
    <w:p w14:paraId="5B8D4084" w14:textId="77777777" w:rsidR="00955175" w:rsidRPr="00132CB3" w:rsidRDefault="00955175" w:rsidP="00955175">
      <w:pPr>
        <w:pStyle w:val="LI-Title"/>
        <w:pBdr>
          <w:top w:val="none" w:sz="0" w:space="0" w:color="auto"/>
        </w:pBdr>
        <w:jc w:val="center"/>
      </w:pPr>
      <w:r w:rsidRPr="00132CB3">
        <w:t>Explanatory Statement</w:t>
      </w:r>
    </w:p>
    <w:p w14:paraId="54F0DD85" w14:textId="77777777" w:rsidR="00955175" w:rsidRPr="00132CB3" w:rsidRDefault="00955175" w:rsidP="00955175">
      <w:pPr>
        <w:rPr>
          <w:lang w:eastAsia="en-AU"/>
        </w:rPr>
      </w:pPr>
    </w:p>
    <w:p w14:paraId="2B58321D" w14:textId="43FB0916" w:rsidR="000412B7" w:rsidRPr="00132CB3" w:rsidRDefault="0086184D" w:rsidP="000412B7">
      <w:pPr>
        <w:jc w:val="center"/>
        <w:rPr>
          <w:b/>
          <w:i/>
          <w:sz w:val="28"/>
          <w:szCs w:val="28"/>
          <w:lang w:eastAsia="en-AU"/>
        </w:rPr>
      </w:pPr>
      <w:r w:rsidRPr="00132CB3">
        <w:t xml:space="preserve"> </w:t>
      </w:r>
      <w:r w:rsidRPr="00132CB3">
        <w:rPr>
          <w:b/>
          <w:i/>
          <w:sz w:val="28"/>
          <w:szCs w:val="28"/>
          <w:lang w:eastAsia="en-AU"/>
        </w:rPr>
        <w:t>ASIC Corporations (Record-</w:t>
      </w:r>
      <w:r w:rsidR="00591DD1" w:rsidRPr="00132CB3">
        <w:rPr>
          <w:b/>
          <w:i/>
          <w:sz w:val="28"/>
          <w:szCs w:val="28"/>
          <w:lang w:eastAsia="en-AU"/>
        </w:rPr>
        <w:t>K</w:t>
      </w:r>
      <w:r w:rsidRPr="00132CB3">
        <w:rPr>
          <w:b/>
          <w:i/>
          <w:sz w:val="28"/>
          <w:szCs w:val="28"/>
          <w:lang w:eastAsia="en-AU"/>
        </w:rPr>
        <w:t>eeping Requirements for A</w:t>
      </w:r>
      <w:r w:rsidR="00410E1F" w:rsidRPr="00132CB3">
        <w:rPr>
          <w:b/>
          <w:i/>
          <w:sz w:val="28"/>
          <w:szCs w:val="28"/>
          <w:lang w:eastAsia="en-AU"/>
        </w:rPr>
        <w:t xml:space="preserve">ustralian </w:t>
      </w:r>
      <w:r w:rsidRPr="00132CB3">
        <w:rPr>
          <w:b/>
          <w:i/>
          <w:sz w:val="28"/>
          <w:szCs w:val="28"/>
          <w:lang w:eastAsia="en-AU"/>
        </w:rPr>
        <w:t>F</w:t>
      </w:r>
      <w:r w:rsidR="00410E1F" w:rsidRPr="00132CB3">
        <w:rPr>
          <w:b/>
          <w:i/>
          <w:sz w:val="28"/>
          <w:szCs w:val="28"/>
          <w:lang w:eastAsia="en-AU"/>
        </w:rPr>
        <w:t xml:space="preserve">inancial </w:t>
      </w:r>
      <w:r w:rsidRPr="00132CB3">
        <w:rPr>
          <w:b/>
          <w:i/>
          <w:sz w:val="28"/>
          <w:szCs w:val="28"/>
          <w:lang w:eastAsia="en-AU"/>
        </w:rPr>
        <w:t>S</w:t>
      </w:r>
      <w:r w:rsidR="00410E1F" w:rsidRPr="00132CB3">
        <w:rPr>
          <w:b/>
          <w:i/>
          <w:sz w:val="28"/>
          <w:szCs w:val="28"/>
          <w:lang w:eastAsia="en-AU"/>
        </w:rPr>
        <w:t>ervices</w:t>
      </w:r>
      <w:r w:rsidRPr="00132CB3">
        <w:rPr>
          <w:b/>
          <w:i/>
          <w:sz w:val="28"/>
          <w:szCs w:val="28"/>
          <w:lang w:eastAsia="en-AU"/>
        </w:rPr>
        <w:t xml:space="preserve"> Licensees</w:t>
      </w:r>
      <w:r w:rsidR="00410E1F" w:rsidRPr="00132CB3">
        <w:rPr>
          <w:b/>
          <w:i/>
          <w:sz w:val="28"/>
          <w:szCs w:val="28"/>
          <w:lang w:eastAsia="en-AU"/>
        </w:rPr>
        <w:t xml:space="preserve"> when </w:t>
      </w:r>
      <w:r w:rsidR="001C28DC" w:rsidRPr="00132CB3">
        <w:rPr>
          <w:b/>
          <w:i/>
          <w:sz w:val="28"/>
          <w:szCs w:val="28"/>
          <w:lang w:eastAsia="en-AU"/>
        </w:rPr>
        <w:t>G</w:t>
      </w:r>
      <w:r w:rsidR="00410E1F" w:rsidRPr="00132CB3">
        <w:rPr>
          <w:b/>
          <w:i/>
          <w:sz w:val="28"/>
          <w:szCs w:val="28"/>
          <w:lang w:eastAsia="en-AU"/>
        </w:rPr>
        <w:t xml:space="preserve">iving </w:t>
      </w:r>
      <w:r w:rsidR="001C28DC" w:rsidRPr="00132CB3">
        <w:rPr>
          <w:b/>
          <w:i/>
          <w:sz w:val="28"/>
          <w:szCs w:val="28"/>
          <w:lang w:eastAsia="en-AU"/>
        </w:rPr>
        <w:t>P</w:t>
      </w:r>
      <w:r w:rsidR="00410E1F" w:rsidRPr="00132CB3">
        <w:rPr>
          <w:b/>
          <w:i/>
          <w:sz w:val="28"/>
          <w:szCs w:val="28"/>
          <w:lang w:eastAsia="en-AU"/>
        </w:rPr>
        <w:t xml:space="preserve">ersonal </w:t>
      </w:r>
      <w:r w:rsidR="001C28DC" w:rsidRPr="00132CB3">
        <w:rPr>
          <w:b/>
          <w:i/>
          <w:sz w:val="28"/>
          <w:szCs w:val="28"/>
          <w:lang w:eastAsia="en-AU"/>
        </w:rPr>
        <w:t>A</w:t>
      </w:r>
      <w:r w:rsidR="00410E1F" w:rsidRPr="00132CB3">
        <w:rPr>
          <w:b/>
          <w:i/>
          <w:sz w:val="28"/>
          <w:szCs w:val="28"/>
          <w:lang w:eastAsia="en-AU"/>
        </w:rPr>
        <w:t>dvice</w:t>
      </w:r>
      <w:r w:rsidRPr="00132CB3">
        <w:rPr>
          <w:b/>
          <w:i/>
          <w:sz w:val="28"/>
          <w:szCs w:val="28"/>
          <w:lang w:eastAsia="en-AU"/>
        </w:rPr>
        <w:t>) Instrument 2024/</w:t>
      </w:r>
      <w:r w:rsidR="00B77CD7" w:rsidRPr="00132CB3">
        <w:rPr>
          <w:b/>
          <w:i/>
          <w:sz w:val="28"/>
          <w:szCs w:val="28"/>
          <w:lang w:eastAsia="en-AU"/>
        </w:rPr>
        <w:t>508</w:t>
      </w:r>
      <w:r w:rsidR="000412B7" w:rsidRPr="00132CB3">
        <w:rPr>
          <w:b/>
          <w:i/>
          <w:sz w:val="28"/>
          <w:szCs w:val="28"/>
          <w:lang w:eastAsia="en-AU"/>
        </w:rPr>
        <w:t xml:space="preserve"> </w:t>
      </w:r>
      <w:r w:rsidR="000412B7" w:rsidRPr="00132CB3">
        <w:rPr>
          <w:bCs/>
          <w:iCs/>
          <w:sz w:val="28"/>
          <w:szCs w:val="28"/>
          <w:lang w:eastAsia="en-AU"/>
        </w:rPr>
        <w:t>and</w:t>
      </w:r>
      <w:r w:rsidR="000412B7" w:rsidRPr="00132CB3">
        <w:rPr>
          <w:b/>
          <w:i/>
          <w:sz w:val="28"/>
          <w:szCs w:val="28"/>
          <w:lang w:eastAsia="en-AU"/>
        </w:rPr>
        <w:t xml:space="preserve"> </w:t>
      </w:r>
      <w:r w:rsidR="000412B7" w:rsidRPr="00132CB3">
        <w:rPr>
          <w:b/>
          <w:i/>
          <w:iCs/>
          <w:sz w:val="28"/>
          <w:szCs w:val="28"/>
        </w:rPr>
        <w:t xml:space="preserve">ASIC Corporations </w:t>
      </w:r>
      <w:r w:rsidR="00D4216D" w:rsidRPr="00132CB3">
        <w:rPr>
          <w:b/>
          <w:i/>
          <w:iCs/>
          <w:sz w:val="28"/>
          <w:szCs w:val="28"/>
        </w:rPr>
        <w:t xml:space="preserve">and Credit </w:t>
      </w:r>
      <w:r w:rsidR="000412B7" w:rsidRPr="00132CB3">
        <w:rPr>
          <w:b/>
          <w:i/>
          <w:iCs/>
          <w:sz w:val="28"/>
          <w:szCs w:val="28"/>
        </w:rPr>
        <w:t>(Repeal) Instrument 2024/</w:t>
      </w:r>
      <w:r w:rsidR="00B77CD7" w:rsidRPr="00132CB3">
        <w:rPr>
          <w:b/>
          <w:i/>
          <w:iCs/>
          <w:sz w:val="28"/>
          <w:szCs w:val="28"/>
        </w:rPr>
        <w:t>50</w:t>
      </w:r>
      <w:r w:rsidR="00FC16C5" w:rsidRPr="00132CB3">
        <w:rPr>
          <w:b/>
          <w:i/>
          <w:iCs/>
          <w:sz w:val="28"/>
          <w:szCs w:val="28"/>
        </w:rPr>
        <w:t>7</w:t>
      </w:r>
    </w:p>
    <w:p w14:paraId="3D70207E" w14:textId="53BCA85B" w:rsidR="00863657" w:rsidRPr="00132CB3" w:rsidRDefault="00F800C9" w:rsidP="00F800C9">
      <w:pPr>
        <w:pStyle w:val="LI-BodyTextParaa"/>
        <w:ind w:left="0" w:firstLine="0"/>
        <w:rPr>
          <w:iCs/>
        </w:rPr>
      </w:pPr>
      <w:bookmarkStart w:id="0" w:name="BK_S3P1L1C1"/>
      <w:bookmarkEnd w:id="0"/>
      <w:r w:rsidRPr="00132CB3">
        <w:t>This is the Explanatory Statement for</w:t>
      </w:r>
      <w:r w:rsidR="0086184D" w:rsidRPr="00132CB3">
        <w:t xml:space="preserve"> </w:t>
      </w:r>
      <w:r w:rsidR="0086184D" w:rsidRPr="00132CB3">
        <w:rPr>
          <w:i/>
        </w:rPr>
        <w:t>ASIC Corporations (Record-</w:t>
      </w:r>
      <w:r w:rsidR="00B62531" w:rsidRPr="00132CB3">
        <w:rPr>
          <w:i/>
        </w:rPr>
        <w:t>K</w:t>
      </w:r>
      <w:r w:rsidR="0086184D" w:rsidRPr="00132CB3">
        <w:rPr>
          <w:i/>
        </w:rPr>
        <w:t xml:space="preserve">eeping Requirements for </w:t>
      </w:r>
      <w:r w:rsidR="00410E1F" w:rsidRPr="00132CB3">
        <w:rPr>
          <w:bCs/>
          <w:i/>
        </w:rPr>
        <w:t xml:space="preserve">Australian Financial Services Licensees when </w:t>
      </w:r>
      <w:r w:rsidR="00B62531" w:rsidRPr="00132CB3">
        <w:rPr>
          <w:bCs/>
          <w:i/>
        </w:rPr>
        <w:t>G</w:t>
      </w:r>
      <w:r w:rsidR="00410E1F" w:rsidRPr="00132CB3">
        <w:rPr>
          <w:bCs/>
          <w:i/>
        </w:rPr>
        <w:t xml:space="preserve">iving </w:t>
      </w:r>
      <w:r w:rsidR="00B62531" w:rsidRPr="00132CB3">
        <w:rPr>
          <w:bCs/>
          <w:i/>
        </w:rPr>
        <w:t>P</w:t>
      </w:r>
      <w:r w:rsidR="00410E1F" w:rsidRPr="00132CB3">
        <w:rPr>
          <w:bCs/>
          <w:i/>
        </w:rPr>
        <w:t xml:space="preserve">ersonal </w:t>
      </w:r>
      <w:r w:rsidR="00B62531" w:rsidRPr="00132CB3">
        <w:rPr>
          <w:bCs/>
          <w:i/>
        </w:rPr>
        <w:t>A</w:t>
      </w:r>
      <w:r w:rsidR="00410E1F" w:rsidRPr="00132CB3">
        <w:rPr>
          <w:bCs/>
          <w:i/>
        </w:rPr>
        <w:t>dvice</w:t>
      </w:r>
      <w:r w:rsidR="0086184D" w:rsidRPr="00132CB3">
        <w:rPr>
          <w:i/>
        </w:rPr>
        <w:t>) Instrument 2024/</w:t>
      </w:r>
      <w:r w:rsidR="00FC16C5" w:rsidRPr="00132CB3">
        <w:rPr>
          <w:i/>
        </w:rPr>
        <w:t>508</w:t>
      </w:r>
      <w:r w:rsidR="000412B7" w:rsidRPr="00132CB3">
        <w:rPr>
          <w:i/>
        </w:rPr>
        <w:t xml:space="preserve"> </w:t>
      </w:r>
      <w:r w:rsidR="000412B7" w:rsidRPr="00132CB3">
        <w:rPr>
          <w:iCs/>
        </w:rPr>
        <w:t>(the</w:t>
      </w:r>
      <w:r w:rsidR="000412B7" w:rsidRPr="00132CB3">
        <w:rPr>
          <w:b/>
          <w:bCs/>
          <w:iCs/>
        </w:rPr>
        <w:t xml:space="preserve"> </w:t>
      </w:r>
      <w:r w:rsidR="000412B7" w:rsidRPr="00132CB3">
        <w:rPr>
          <w:b/>
          <w:bCs/>
          <w:i/>
        </w:rPr>
        <w:t>Instrument</w:t>
      </w:r>
      <w:r w:rsidR="000412B7" w:rsidRPr="00132CB3">
        <w:rPr>
          <w:iCs/>
        </w:rPr>
        <w:t>)</w:t>
      </w:r>
      <w:r w:rsidR="000412B7" w:rsidRPr="00132CB3">
        <w:rPr>
          <w:i/>
        </w:rPr>
        <w:t xml:space="preserve"> </w:t>
      </w:r>
      <w:r w:rsidR="000412B7" w:rsidRPr="00132CB3">
        <w:t xml:space="preserve">and </w:t>
      </w:r>
      <w:r w:rsidR="000412B7" w:rsidRPr="00132CB3">
        <w:rPr>
          <w:i/>
          <w:iCs/>
        </w:rPr>
        <w:t>ASIC Corporations</w:t>
      </w:r>
      <w:r w:rsidR="00D4216D" w:rsidRPr="00132CB3">
        <w:rPr>
          <w:i/>
          <w:iCs/>
        </w:rPr>
        <w:t xml:space="preserve"> and Credit</w:t>
      </w:r>
      <w:r w:rsidR="000412B7" w:rsidRPr="00132CB3">
        <w:rPr>
          <w:i/>
          <w:iCs/>
        </w:rPr>
        <w:t xml:space="preserve"> (Repeal) Instrument 2024/</w:t>
      </w:r>
      <w:r w:rsidR="00FC16C5" w:rsidRPr="00132CB3">
        <w:rPr>
          <w:i/>
          <w:iCs/>
        </w:rPr>
        <w:t>507</w:t>
      </w:r>
      <w:r w:rsidR="000412B7" w:rsidRPr="00132CB3">
        <w:t xml:space="preserve"> (the </w:t>
      </w:r>
      <w:r w:rsidR="000412B7" w:rsidRPr="00132CB3">
        <w:rPr>
          <w:b/>
          <w:bCs/>
          <w:i/>
          <w:iCs/>
        </w:rPr>
        <w:t>Repeal Instrument</w:t>
      </w:r>
      <w:r w:rsidR="000412B7" w:rsidRPr="00132CB3">
        <w:t>)</w:t>
      </w:r>
      <w:r w:rsidR="00484979" w:rsidRPr="00132CB3">
        <w:rPr>
          <w:iCs/>
        </w:rPr>
        <w:t>.</w:t>
      </w:r>
    </w:p>
    <w:p w14:paraId="119B6103" w14:textId="77777777" w:rsidR="00F800C9" w:rsidRPr="00132CB3" w:rsidRDefault="00863657" w:rsidP="00F800C9">
      <w:pPr>
        <w:pStyle w:val="LI-BodyTextParaa"/>
        <w:ind w:left="0" w:firstLine="0"/>
      </w:pPr>
      <w:r w:rsidRPr="00132CB3">
        <w:t>Th</w:t>
      </w:r>
      <w:r w:rsidR="00F800C9" w:rsidRPr="00132CB3">
        <w:t>e</w:t>
      </w:r>
      <w:r w:rsidRPr="00132CB3">
        <w:t xml:space="preserve"> </w:t>
      </w:r>
      <w:r w:rsidR="00F800C9" w:rsidRPr="00132CB3">
        <w:t>Explanatory Statement is approved by the Australian Securities and Investments Commission (</w:t>
      </w:r>
      <w:r w:rsidR="00F800C9" w:rsidRPr="00132CB3">
        <w:rPr>
          <w:b/>
          <w:i/>
        </w:rPr>
        <w:t>ASIC</w:t>
      </w:r>
      <w:r w:rsidR="00F800C9" w:rsidRPr="00132CB3">
        <w:t>).</w:t>
      </w:r>
    </w:p>
    <w:p w14:paraId="4FD489E5" w14:textId="3756904A" w:rsidR="00765863" w:rsidRPr="00132CB3" w:rsidRDefault="005D1FEA" w:rsidP="00F83FBD">
      <w:pPr>
        <w:pStyle w:val="LI-BodyTextNumbered"/>
        <w:keepNext/>
        <w:ind w:left="0" w:firstLine="0"/>
        <w:rPr>
          <w:b/>
        </w:rPr>
      </w:pPr>
      <w:r w:rsidRPr="00132CB3">
        <w:rPr>
          <w:b/>
        </w:rPr>
        <w:t>Summary</w:t>
      </w:r>
    </w:p>
    <w:p w14:paraId="242100F7" w14:textId="2157617B" w:rsidR="00F053C6" w:rsidRDefault="00866E1F" w:rsidP="00F053C6">
      <w:pPr>
        <w:pStyle w:val="LI-BodyTextParaa"/>
        <w:numPr>
          <w:ilvl w:val="0"/>
          <w:numId w:val="18"/>
        </w:numPr>
        <w:ind w:left="573"/>
        <w:contextualSpacing/>
      </w:pPr>
      <w:r w:rsidRPr="00132CB3">
        <w:t>Th</w:t>
      </w:r>
      <w:r w:rsidR="000412B7" w:rsidRPr="00132CB3">
        <w:t>e</w:t>
      </w:r>
      <w:r w:rsidRPr="00132CB3">
        <w:t xml:space="preserve"> Instrument </w:t>
      </w:r>
      <w:r w:rsidR="00A63D72" w:rsidRPr="00132CB3">
        <w:t>modif</w:t>
      </w:r>
      <w:r w:rsidR="00F351E3" w:rsidRPr="00132CB3">
        <w:t>ie</w:t>
      </w:r>
      <w:r w:rsidR="001015E4" w:rsidRPr="00132CB3">
        <w:t>s</w:t>
      </w:r>
      <w:r w:rsidR="00A63D72" w:rsidRPr="00132CB3">
        <w:t xml:space="preserve"> Division 3 of Part 7.6 of the </w:t>
      </w:r>
      <w:r w:rsidR="00DD2017" w:rsidRPr="00132CB3">
        <w:rPr>
          <w:i/>
          <w:iCs/>
        </w:rPr>
        <w:t>Corporations Act 2001</w:t>
      </w:r>
      <w:r w:rsidR="00DD2017" w:rsidRPr="00132CB3">
        <w:t xml:space="preserve"> (</w:t>
      </w:r>
      <w:r w:rsidR="00DD2017" w:rsidRPr="00132CB3">
        <w:rPr>
          <w:b/>
          <w:bCs/>
          <w:i/>
          <w:iCs/>
        </w:rPr>
        <w:t>Act</w:t>
      </w:r>
      <w:r w:rsidR="00DD2017" w:rsidRPr="00132CB3">
        <w:t>)</w:t>
      </w:r>
      <w:r w:rsidR="00A63D72" w:rsidRPr="00132CB3">
        <w:t xml:space="preserve">, as it applies to all </w:t>
      </w:r>
      <w:r w:rsidR="0000719E" w:rsidRPr="00132CB3">
        <w:t xml:space="preserve">Australia </w:t>
      </w:r>
      <w:r w:rsidR="00A63D72" w:rsidRPr="00132CB3">
        <w:t xml:space="preserve">financial services </w:t>
      </w:r>
      <w:r w:rsidR="0000719E" w:rsidRPr="00132CB3">
        <w:t>(</w:t>
      </w:r>
      <w:r w:rsidR="0000719E" w:rsidRPr="00132CB3">
        <w:rPr>
          <w:b/>
          <w:bCs/>
          <w:i/>
          <w:iCs/>
        </w:rPr>
        <w:t>AFS</w:t>
      </w:r>
      <w:r w:rsidR="0000719E" w:rsidRPr="00132CB3">
        <w:t xml:space="preserve">) </w:t>
      </w:r>
      <w:r w:rsidR="00A63D72" w:rsidRPr="00132CB3">
        <w:t xml:space="preserve">licensees, to insert a new </w:t>
      </w:r>
      <w:r w:rsidR="002B366A" w:rsidRPr="00132CB3">
        <w:t xml:space="preserve">notional </w:t>
      </w:r>
      <w:r w:rsidR="00A63D72" w:rsidRPr="00132CB3">
        <w:t>section 912G that imposes</w:t>
      </w:r>
      <w:r w:rsidR="00A63D72" w:rsidRPr="006D5F63">
        <w:t xml:space="preserve"> </w:t>
      </w:r>
      <w:r w:rsidR="002D074A">
        <w:t xml:space="preserve">specific </w:t>
      </w:r>
      <w:r w:rsidR="00A63D72" w:rsidRPr="006D5F63">
        <w:t xml:space="preserve">record-keeping requirements for </w:t>
      </w:r>
      <w:r w:rsidR="0000719E">
        <w:t xml:space="preserve">AFS </w:t>
      </w:r>
      <w:r w:rsidR="00A63D72" w:rsidRPr="006D5F63">
        <w:t xml:space="preserve">licensees when the licensee or their representative (including an advice provider) give personal advice to retail clients. </w:t>
      </w:r>
    </w:p>
    <w:p w14:paraId="7D755BE2" w14:textId="77777777" w:rsidR="00F053C6" w:rsidRPr="006D5F63" w:rsidRDefault="00F053C6" w:rsidP="00F053C6">
      <w:pPr>
        <w:pStyle w:val="LI-BodyTextParaa"/>
        <w:ind w:left="573" w:firstLine="0"/>
        <w:contextualSpacing/>
      </w:pPr>
    </w:p>
    <w:p w14:paraId="11B54C13" w14:textId="1EAB45F1" w:rsidR="00F053C6" w:rsidRDefault="00A63D72" w:rsidP="00F053C6">
      <w:pPr>
        <w:pStyle w:val="LI-BodyTextParaa"/>
        <w:numPr>
          <w:ilvl w:val="0"/>
          <w:numId w:val="18"/>
        </w:numPr>
        <w:ind w:left="573"/>
        <w:contextualSpacing/>
      </w:pPr>
      <w:r w:rsidRPr="006D5F63">
        <w:t>Under section 912G, licensees must ensure that, in relation to the provision of personal advice, certain records are kept that demonstrate compliance with the best interests duty and related obligations under Division 2 of Pt 7.7A of the Act.</w:t>
      </w:r>
    </w:p>
    <w:p w14:paraId="3E5EFF84" w14:textId="77777777" w:rsidR="00F053C6" w:rsidRDefault="00F053C6" w:rsidP="00F053C6">
      <w:pPr>
        <w:pStyle w:val="LI-BodyTextParaa"/>
        <w:ind w:left="573" w:firstLine="0"/>
        <w:contextualSpacing/>
      </w:pPr>
    </w:p>
    <w:p w14:paraId="0C7CA761" w14:textId="515037D9" w:rsidR="00F053C6" w:rsidRDefault="000412B7" w:rsidP="00F053C6">
      <w:pPr>
        <w:pStyle w:val="LI-BodyTextParaa"/>
        <w:numPr>
          <w:ilvl w:val="0"/>
          <w:numId w:val="18"/>
        </w:numPr>
        <w:ind w:left="573"/>
        <w:contextualSpacing/>
        <w:rPr>
          <w:bCs/>
        </w:rPr>
      </w:pPr>
      <w:r>
        <w:t xml:space="preserve">The Instrument preserves the effect of </w:t>
      </w:r>
      <w:r w:rsidR="00457591">
        <w:t xml:space="preserve">requirements </w:t>
      </w:r>
      <w:r w:rsidR="0088580E">
        <w:t xml:space="preserve">formerly </w:t>
      </w:r>
      <w:r w:rsidR="00457591">
        <w:t xml:space="preserve">provided for in </w:t>
      </w:r>
      <w:r w:rsidRPr="00F83FBD">
        <w:t xml:space="preserve">Class Order </w:t>
      </w:r>
      <w:r w:rsidRPr="00132CB3">
        <w:t>[CO 14/923]</w:t>
      </w:r>
      <w:r w:rsidR="002219AB">
        <w:t xml:space="preserve"> (</w:t>
      </w:r>
      <w:r w:rsidR="0086735C" w:rsidRPr="00DF0542">
        <w:rPr>
          <w:b/>
          <w:bCs/>
          <w:i/>
          <w:iCs/>
        </w:rPr>
        <w:t>[</w:t>
      </w:r>
      <w:r w:rsidR="002219AB" w:rsidRPr="00DF0542">
        <w:rPr>
          <w:b/>
          <w:bCs/>
          <w:i/>
          <w:iCs/>
        </w:rPr>
        <w:t>CO 14/923</w:t>
      </w:r>
      <w:r w:rsidR="0086735C" w:rsidRPr="00DF0542">
        <w:rPr>
          <w:b/>
          <w:bCs/>
          <w:i/>
          <w:iCs/>
        </w:rPr>
        <w:t>]</w:t>
      </w:r>
      <w:r w:rsidR="002219AB" w:rsidRPr="00DF0542">
        <w:rPr>
          <w:b/>
          <w:bCs/>
          <w:i/>
          <w:iCs/>
        </w:rPr>
        <w:t>)</w:t>
      </w:r>
      <w:r w:rsidRPr="00DF0542">
        <w:rPr>
          <w:b/>
          <w:bCs/>
          <w:i/>
          <w:iCs/>
        </w:rPr>
        <w:t xml:space="preserve">, </w:t>
      </w:r>
      <w:r>
        <w:t>which expire</w:t>
      </w:r>
      <w:r w:rsidR="0088580E">
        <w:t>d</w:t>
      </w:r>
      <w:r>
        <w:t xml:space="preserve"> or </w:t>
      </w:r>
      <w:r w:rsidR="00C76C18">
        <w:t>‘</w:t>
      </w:r>
      <w:r>
        <w:t>sunset</w:t>
      </w:r>
      <w:r w:rsidR="00C76C18">
        <w:t>’</w:t>
      </w:r>
      <w:r>
        <w:t xml:space="preserve"> on 1 October 2024</w:t>
      </w:r>
      <w:r w:rsidR="00457591">
        <w:t xml:space="preserve"> with minimal changes</w:t>
      </w:r>
      <w:r>
        <w:t xml:space="preserve">. </w:t>
      </w:r>
      <w:r w:rsidR="0088580E">
        <w:t xml:space="preserve">[CO 14/923] </w:t>
      </w:r>
      <w:r w:rsidR="001F4ED9">
        <w:t xml:space="preserve">has been repealed </w:t>
      </w:r>
      <w:r w:rsidR="000C2EF5">
        <w:rPr>
          <w:bCs/>
        </w:rPr>
        <w:t>by</w:t>
      </w:r>
      <w:r w:rsidR="00E23E18">
        <w:rPr>
          <w:bCs/>
        </w:rPr>
        <w:t xml:space="preserve"> the Repeal Instrument</w:t>
      </w:r>
      <w:r w:rsidR="000C2EF5">
        <w:rPr>
          <w:bCs/>
        </w:rPr>
        <w:t>.</w:t>
      </w:r>
    </w:p>
    <w:p w14:paraId="19F16F4B" w14:textId="77777777" w:rsidR="00F053C6" w:rsidRPr="00F053C6" w:rsidRDefault="00F053C6" w:rsidP="00F053C6">
      <w:pPr>
        <w:pStyle w:val="LI-BodyTextParaa"/>
        <w:ind w:left="573" w:firstLine="0"/>
        <w:contextualSpacing/>
        <w:rPr>
          <w:bCs/>
        </w:rPr>
      </w:pPr>
    </w:p>
    <w:p w14:paraId="28AC6781" w14:textId="0C4EAC66" w:rsidR="00F053C6" w:rsidRPr="00912A89" w:rsidRDefault="000412B7" w:rsidP="00912A89">
      <w:pPr>
        <w:pStyle w:val="LI-BodyTextParaa"/>
        <w:numPr>
          <w:ilvl w:val="0"/>
          <w:numId w:val="18"/>
        </w:numPr>
        <w:ind w:left="573"/>
        <w:contextualSpacing/>
      </w:pPr>
      <w:r>
        <w:t>Following consultation</w:t>
      </w:r>
      <w:r w:rsidR="00F670B7">
        <w:t xml:space="preserve"> on a proposal to remake </w:t>
      </w:r>
      <w:r w:rsidR="00D25DA1">
        <w:t>[CO 14/923]</w:t>
      </w:r>
      <w:r>
        <w:t>, ASIC considered that</w:t>
      </w:r>
      <w:r w:rsidR="0043106A">
        <w:t xml:space="preserve"> </w:t>
      </w:r>
      <w:r w:rsidR="00D25DA1">
        <w:t>it</w:t>
      </w:r>
      <w:r w:rsidR="00457591">
        <w:t xml:space="preserve">s requirements </w:t>
      </w:r>
      <w:r>
        <w:t xml:space="preserve">continued to form a necessary and useful part of the legislative framework. As a result, under the Instrument, </w:t>
      </w:r>
      <w:r w:rsidR="00D25DA1">
        <w:t>ASIC</w:t>
      </w:r>
      <w:r>
        <w:t xml:space="preserve"> extend</w:t>
      </w:r>
      <w:r w:rsidR="00D25DA1">
        <w:t>s</w:t>
      </w:r>
      <w:r>
        <w:t xml:space="preserve"> the </w:t>
      </w:r>
      <w:r w:rsidR="00CE5966">
        <w:t>requirements</w:t>
      </w:r>
      <w:r>
        <w:t xml:space="preserve"> for a </w:t>
      </w:r>
      <w:r w:rsidR="00E26C71">
        <w:t>five</w:t>
      </w:r>
      <w:r>
        <w:t xml:space="preserve">-year period to </w:t>
      </w:r>
      <w:r w:rsidR="00CE5966">
        <w:t xml:space="preserve">the start of </w:t>
      </w:r>
      <w:r>
        <w:t>1 October 202</w:t>
      </w:r>
      <w:r w:rsidR="75378D5F">
        <w:t>9</w:t>
      </w:r>
      <w:r w:rsidR="000C2EF5">
        <w:t xml:space="preserve">. </w:t>
      </w:r>
    </w:p>
    <w:p w14:paraId="36F4A4BE" w14:textId="4EA1C95C" w:rsidR="00F6725F" w:rsidRDefault="00F6725F" w:rsidP="00F6725F">
      <w:pPr>
        <w:pStyle w:val="LI-BodyTextParaa"/>
        <w:numPr>
          <w:ilvl w:val="0"/>
          <w:numId w:val="18"/>
        </w:numPr>
      </w:pPr>
      <w:r>
        <w:t xml:space="preserve">As the Instrument preserves the effect of </w:t>
      </w:r>
      <w:r w:rsidR="0086735C">
        <w:t>[</w:t>
      </w:r>
      <w:r>
        <w:t>CO 14/923</w:t>
      </w:r>
      <w:r w:rsidR="0086735C">
        <w:t>]</w:t>
      </w:r>
      <w:r>
        <w:t xml:space="preserve"> with no significant changes, this Explanatory Statement should be read in conjunction with the Explanatory Statement</w:t>
      </w:r>
      <w:r w:rsidR="005430C8">
        <w:t>s</w:t>
      </w:r>
      <w:r>
        <w:t xml:space="preserve"> for </w:t>
      </w:r>
      <w:r w:rsidRPr="00132CB3">
        <w:t>CO 14/923</w:t>
      </w:r>
      <w:r w:rsidR="00152C76">
        <w:t xml:space="preserve"> and </w:t>
      </w:r>
      <w:r w:rsidR="00347855" w:rsidRPr="00132CB3">
        <w:rPr>
          <w:i/>
          <w:iCs/>
        </w:rPr>
        <w:t>ASIC Corporations (Amendment) Instrument 2016/1006</w:t>
      </w:r>
      <w:r>
        <w:t>.</w:t>
      </w:r>
    </w:p>
    <w:p w14:paraId="3D58E7AC" w14:textId="4578F066" w:rsidR="008504D6" w:rsidRPr="0020048E" w:rsidRDefault="00F6725F" w:rsidP="00E02963">
      <w:pPr>
        <w:pStyle w:val="LI-BodyTextParaa"/>
        <w:numPr>
          <w:ilvl w:val="0"/>
          <w:numId w:val="18"/>
        </w:numPr>
      </w:pPr>
      <w:r w:rsidRPr="00E02963">
        <w:rPr>
          <w:bCs/>
          <w:iCs/>
        </w:rPr>
        <w:lastRenderedPageBreak/>
        <w:t>The Repeal Instrument</w:t>
      </w:r>
      <w:r>
        <w:t xml:space="preserve"> repeals </w:t>
      </w:r>
      <w:r w:rsidR="00E94460">
        <w:t>[</w:t>
      </w:r>
      <w:r>
        <w:t>CO 14/923</w:t>
      </w:r>
      <w:r w:rsidR="00E94460">
        <w:t>]</w:t>
      </w:r>
      <w:r>
        <w:t xml:space="preserve"> </w:t>
      </w:r>
      <w:r w:rsidR="00E02963">
        <w:t xml:space="preserve">and </w:t>
      </w:r>
      <w:r w:rsidR="00865B3B">
        <w:t>also repeals</w:t>
      </w:r>
      <w:r w:rsidR="00102050">
        <w:t xml:space="preserve"> </w:t>
      </w:r>
      <w:r w:rsidR="00080CBA" w:rsidRPr="00E02963">
        <w:rPr>
          <w:i/>
          <w:iCs/>
        </w:rPr>
        <w:t>ASIC Corporations and Credit (Breach Reporting—Reportable Situations) Instrument 2021/716</w:t>
      </w:r>
      <w:r w:rsidR="00080CBA">
        <w:t xml:space="preserve"> </w:t>
      </w:r>
      <w:r w:rsidR="0017780B">
        <w:t>(</w:t>
      </w:r>
      <w:r w:rsidR="0017780B" w:rsidRPr="00E02963">
        <w:rPr>
          <w:b/>
          <w:bCs/>
          <w:i/>
          <w:iCs/>
        </w:rPr>
        <w:t>LI 2021/716</w:t>
      </w:r>
      <w:r w:rsidR="0017780B">
        <w:t xml:space="preserve">) </w:t>
      </w:r>
      <w:r w:rsidR="00080CBA">
        <w:t xml:space="preserve">and </w:t>
      </w:r>
      <w:r w:rsidR="00865B3B">
        <w:t xml:space="preserve"> </w:t>
      </w:r>
      <w:r w:rsidR="00102050" w:rsidRPr="00E02963">
        <w:rPr>
          <w:i/>
          <w:iCs/>
        </w:rPr>
        <w:t>ASIC Credit (Breach Reporting—Prescribed Commonwealth Legislation) Instrument 2021/801</w:t>
      </w:r>
      <w:r w:rsidR="0017780B" w:rsidRPr="00E02963">
        <w:rPr>
          <w:i/>
          <w:iCs/>
        </w:rPr>
        <w:t xml:space="preserve"> </w:t>
      </w:r>
      <w:r w:rsidR="0017780B">
        <w:t>(</w:t>
      </w:r>
      <w:r w:rsidR="0017780B" w:rsidRPr="00E02963">
        <w:rPr>
          <w:b/>
          <w:bCs/>
          <w:i/>
          <w:iCs/>
        </w:rPr>
        <w:t>LI 2021/801</w:t>
      </w:r>
      <w:r w:rsidR="0017780B">
        <w:t>)</w:t>
      </w:r>
      <w:r w:rsidR="00687748">
        <w:t>. LI 2021/801 and LI 2021/716 were</w:t>
      </w:r>
      <w:r w:rsidR="00C61B61">
        <w:t xml:space="preserve"> </w:t>
      </w:r>
      <w:r w:rsidR="00687748">
        <w:t xml:space="preserve">to expire on </w:t>
      </w:r>
      <w:r w:rsidR="00CF13A7">
        <w:t>5</w:t>
      </w:r>
      <w:r w:rsidR="00687748">
        <w:t xml:space="preserve"> October 2024 and </w:t>
      </w:r>
      <w:r w:rsidR="00CF13A7">
        <w:t>1</w:t>
      </w:r>
      <w:r w:rsidR="006E5ACF">
        <w:t xml:space="preserve"> October 2024 respectively. </w:t>
      </w:r>
      <w:r w:rsidR="0031157E">
        <w:t xml:space="preserve">The relief </w:t>
      </w:r>
      <w:r w:rsidR="005E2D6C">
        <w:t xml:space="preserve">and requirements </w:t>
      </w:r>
      <w:r w:rsidR="0031157E">
        <w:t>in LI 202</w:t>
      </w:r>
      <w:r w:rsidR="00BD7C9C">
        <w:t xml:space="preserve">1/716 and LI 2021/801 </w:t>
      </w:r>
      <w:r w:rsidR="00B63A58">
        <w:t>has been</w:t>
      </w:r>
      <w:r w:rsidR="00BD7C9C">
        <w:t xml:space="preserve"> remade in </w:t>
      </w:r>
      <w:r w:rsidR="008504D6" w:rsidRPr="00E02963">
        <w:rPr>
          <w:i/>
          <w:iCs/>
        </w:rPr>
        <w:t>ASIC Corporations and Credit (Breach Reporting–Reportable situations) Instrument 2024/620</w:t>
      </w:r>
      <w:r w:rsidR="008504D6">
        <w:t>.</w:t>
      </w:r>
    </w:p>
    <w:p w14:paraId="59A63C44" w14:textId="77777777" w:rsidR="005D1FEA" w:rsidRPr="006D5F63" w:rsidRDefault="005D1FEA" w:rsidP="006D6079">
      <w:pPr>
        <w:pStyle w:val="LI-BodyTextNumbered"/>
        <w:keepNext/>
        <w:ind w:left="0" w:firstLine="0"/>
        <w:rPr>
          <w:b/>
        </w:rPr>
      </w:pPr>
      <w:r w:rsidRPr="006D5F63">
        <w:rPr>
          <w:b/>
        </w:rPr>
        <w:t>Purpose of the instrument</w:t>
      </w:r>
    </w:p>
    <w:p w14:paraId="42756CF7" w14:textId="56EFE2A9" w:rsidR="00964A23" w:rsidRDefault="00964A23" w:rsidP="00964A23">
      <w:pPr>
        <w:pStyle w:val="LI-BodyTextParaa"/>
        <w:numPr>
          <w:ilvl w:val="0"/>
          <w:numId w:val="18"/>
        </w:numPr>
      </w:pPr>
      <w:r>
        <w:t xml:space="preserve">The purpose of the Instrument is to continue the </w:t>
      </w:r>
      <w:r w:rsidR="00FC43B9">
        <w:t xml:space="preserve">requirements </w:t>
      </w:r>
      <w:r>
        <w:t xml:space="preserve">in </w:t>
      </w:r>
      <w:r w:rsidR="00E94460">
        <w:t>[</w:t>
      </w:r>
      <w:r>
        <w:t>CO 14/923</w:t>
      </w:r>
      <w:r w:rsidR="00E94460">
        <w:t>]</w:t>
      </w:r>
      <w:r>
        <w:t xml:space="preserve"> in substantially the same form.</w:t>
      </w:r>
    </w:p>
    <w:p w14:paraId="1BDF63E2" w14:textId="45F71245" w:rsidR="00F6725F" w:rsidRDefault="00F6725F" w:rsidP="00F6725F">
      <w:pPr>
        <w:pStyle w:val="LI-BodyTextParaa"/>
        <w:numPr>
          <w:ilvl w:val="0"/>
          <w:numId w:val="18"/>
        </w:numPr>
      </w:pPr>
      <w:r>
        <w:t xml:space="preserve">The Instrument </w:t>
      </w:r>
      <w:r w:rsidR="0032114F">
        <w:t>is made</w:t>
      </w:r>
      <w:r>
        <w:t xml:space="preserve"> because </w:t>
      </w:r>
      <w:r w:rsidR="00E94460">
        <w:t>[</w:t>
      </w:r>
      <w:r>
        <w:t>CO 14/923</w:t>
      </w:r>
      <w:r w:rsidR="00E94460">
        <w:t>]</w:t>
      </w:r>
      <w:r>
        <w:t xml:space="preserve"> was due to sunset under the </w:t>
      </w:r>
      <w:r>
        <w:rPr>
          <w:i/>
          <w:iCs/>
        </w:rPr>
        <w:t>Legislation Act 2003</w:t>
      </w:r>
      <w:r>
        <w:rPr>
          <w:b/>
          <w:bCs/>
          <w:i/>
          <w:iCs/>
        </w:rPr>
        <w:t xml:space="preserve"> </w:t>
      </w:r>
      <w:r>
        <w:t>(</w:t>
      </w:r>
      <w:r w:rsidRPr="00B63276">
        <w:rPr>
          <w:b/>
          <w:bCs/>
          <w:i/>
          <w:iCs/>
        </w:rPr>
        <w:t>Legislation Act</w:t>
      </w:r>
      <w:r>
        <w:t xml:space="preserve">) on 1 October 2024. Under the Legislation Act, legislative instruments (such as class orders) cease automatically, or sunset, after 10 years, unless action is taken to preserve them. </w:t>
      </w:r>
    </w:p>
    <w:p w14:paraId="5220DC46" w14:textId="4FDA03D7" w:rsidR="00F6725F" w:rsidRDefault="00F6725F" w:rsidP="00F6725F">
      <w:pPr>
        <w:pStyle w:val="LI-BodyTextParaa"/>
        <w:numPr>
          <w:ilvl w:val="0"/>
          <w:numId w:val="18"/>
        </w:numPr>
      </w:pPr>
      <w:r>
        <w:t xml:space="preserve">The purpose of sunsetting is to ensure that instruments are kept up to date and only remain in force while they are fit for purpose, necessary and relevant. Following consultation, ASIC formed the view that </w:t>
      </w:r>
      <w:r w:rsidR="00E94460">
        <w:t>[</w:t>
      </w:r>
      <w:r>
        <w:t>CO 14/923</w:t>
      </w:r>
      <w:r w:rsidR="00E94460">
        <w:t>]</w:t>
      </w:r>
      <w:r>
        <w:t xml:space="preserve"> was </w:t>
      </w:r>
      <w:r w:rsidR="00E94460">
        <w:t xml:space="preserve">broadly </w:t>
      </w:r>
      <w:r>
        <w:t xml:space="preserve">operating effectively and </w:t>
      </w:r>
      <w:r w:rsidR="00912A89">
        <w:t>efficiently and</w:t>
      </w:r>
      <w:r>
        <w:t xml:space="preserve"> continued to form a necessary and useful part of the legislative framework. Therefore, the Instrument was remade using ASIC’s current style and format, while preserving the current effect of the instrument.</w:t>
      </w:r>
    </w:p>
    <w:p w14:paraId="6A1A4882" w14:textId="7056E019" w:rsidR="00A63D72" w:rsidRPr="00B42815" w:rsidRDefault="00BE25E0" w:rsidP="00B42815">
      <w:pPr>
        <w:pStyle w:val="LI-BodyTextParaa"/>
        <w:numPr>
          <w:ilvl w:val="0"/>
          <w:numId w:val="18"/>
        </w:numPr>
      </w:pPr>
      <w:r w:rsidRPr="00B42815">
        <w:t xml:space="preserve">It is important for AFS licensees to keep </w:t>
      </w:r>
      <w:r w:rsidR="000E172B">
        <w:t xml:space="preserve">and have access to </w:t>
      </w:r>
      <w:r w:rsidRPr="00B42815">
        <w:t xml:space="preserve">records of personal advice provided to clients by the licensee or its representatives because having good record-keeping systems in place will support the ongoing provision of quality advice to clients. </w:t>
      </w:r>
    </w:p>
    <w:p w14:paraId="04413C40" w14:textId="33C77C57" w:rsidR="00A63D72" w:rsidRPr="00B42815" w:rsidRDefault="00BE25E0" w:rsidP="00B42815">
      <w:pPr>
        <w:pStyle w:val="LI-BodyTextParaa"/>
        <w:numPr>
          <w:ilvl w:val="0"/>
          <w:numId w:val="18"/>
        </w:numPr>
      </w:pPr>
      <w:r w:rsidRPr="00B42815">
        <w:t xml:space="preserve">Keeping </w:t>
      </w:r>
      <w:r w:rsidR="00086D49">
        <w:t xml:space="preserve">and having access to </w:t>
      </w:r>
      <w:r w:rsidRPr="00B42815">
        <w:t xml:space="preserve">records will also help licensees to supervise their representatives, including advice providers, when they provide advice to clients. The ongoing supervision by a licensee of their representatives is critical to ensure that they continue to comply with the requirements in the law.  </w:t>
      </w:r>
    </w:p>
    <w:p w14:paraId="5962D771" w14:textId="1B9B4891" w:rsidR="005D1FEA" w:rsidRPr="00B42815" w:rsidRDefault="00BE25E0" w:rsidP="00B42815">
      <w:pPr>
        <w:pStyle w:val="LI-BodyTextParaa"/>
        <w:numPr>
          <w:ilvl w:val="0"/>
          <w:numId w:val="18"/>
        </w:numPr>
      </w:pPr>
      <w:r w:rsidRPr="00B42815">
        <w:t>In addition, keeping records will help consumers to hold the licensee or advice provider accountable for the quality of advice they receive. It would also be difficult for external dispute resolution bodies, such as the</w:t>
      </w:r>
      <w:r w:rsidR="00866E1F">
        <w:t xml:space="preserve"> Australian Financial Complaints Authority</w:t>
      </w:r>
      <w:r w:rsidRPr="00B42815">
        <w:t>, to consider and resolve any disputes between clients and the licensee or their representatives without reviewing records kept by the licensee.</w:t>
      </w:r>
    </w:p>
    <w:p w14:paraId="3FEFE29E" w14:textId="77777777" w:rsidR="009A3F74" w:rsidRDefault="009A3F74" w:rsidP="006852A3">
      <w:pPr>
        <w:pStyle w:val="LI-BodyTextNumbered"/>
        <w:keepNext/>
        <w:ind w:left="0" w:firstLine="0"/>
        <w:contextualSpacing/>
        <w:rPr>
          <w:b/>
        </w:rPr>
      </w:pPr>
      <w:bookmarkStart w:id="1" w:name="_Hlk534291624"/>
      <w:r w:rsidRPr="006D5F63">
        <w:rPr>
          <w:b/>
        </w:rPr>
        <w:t>Consultatio</w:t>
      </w:r>
      <w:r w:rsidR="006852A3">
        <w:rPr>
          <w:b/>
        </w:rPr>
        <w:t>n</w:t>
      </w:r>
    </w:p>
    <w:p w14:paraId="6552BE42" w14:textId="77777777" w:rsidR="006852A3" w:rsidRDefault="006852A3" w:rsidP="006852A3">
      <w:pPr>
        <w:pStyle w:val="LI-BodyTextNumbered"/>
        <w:keepNext/>
        <w:ind w:left="0" w:firstLine="0"/>
        <w:contextualSpacing/>
        <w:rPr>
          <w:b/>
        </w:rPr>
      </w:pPr>
    </w:p>
    <w:p w14:paraId="0E20ADCA" w14:textId="0F3C2EAD" w:rsidR="00545A33" w:rsidRDefault="00AE4B5F" w:rsidP="00293320">
      <w:pPr>
        <w:pStyle w:val="ListParagraph"/>
        <w:numPr>
          <w:ilvl w:val="0"/>
          <w:numId w:val="18"/>
        </w:numPr>
        <w:rPr>
          <w:lang w:eastAsia="en-AU"/>
        </w:rPr>
      </w:pPr>
      <w:r>
        <w:t>Before making the Instrument</w:t>
      </w:r>
      <w:r w:rsidR="00143A2C">
        <w:t xml:space="preserve">, </w:t>
      </w:r>
      <w:r w:rsidR="003B3750" w:rsidRPr="00D96471">
        <w:t>ASIC consulted publicly</w:t>
      </w:r>
      <w:r w:rsidR="00D96471">
        <w:t xml:space="preserve"> (in </w:t>
      </w:r>
      <w:r w:rsidR="00D96471" w:rsidRPr="00132CB3">
        <w:rPr>
          <w:i/>
          <w:iCs/>
        </w:rPr>
        <w:t>CS 10 Proposed extension of breach reporting and record-keeping legislative instruments</w:t>
      </w:r>
      <w:r w:rsidR="00D96471">
        <w:t>)</w:t>
      </w:r>
      <w:r w:rsidR="002D14E9" w:rsidRPr="00B42815">
        <w:t xml:space="preserve"> </w:t>
      </w:r>
      <w:r w:rsidR="002728F2">
        <w:t xml:space="preserve">on </w:t>
      </w:r>
      <w:r w:rsidR="002D14E9" w:rsidRPr="00B42815">
        <w:t>the proposal to</w:t>
      </w:r>
      <w:r w:rsidR="00F83FBD">
        <w:t xml:space="preserve"> </w:t>
      </w:r>
      <w:r w:rsidR="00143A2C">
        <w:t xml:space="preserve">remake </w:t>
      </w:r>
      <w:r w:rsidR="00E94460">
        <w:t>[</w:t>
      </w:r>
      <w:r w:rsidR="00143A2C">
        <w:t>CO 14/923</w:t>
      </w:r>
      <w:r w:rsidR="00E94460">
        <w:t>]</w:t>
      </w:r>
      <w:r w:rsidR="00143A2C">
        <w:t xml:space="preserve"> using ASIC’s current style and format, while preserving the current effect of the instrument. </w:t>
      </w:r>
      <w:r w:rsidR="0042479E" w:rsidRPr="002728F2">
        <w:t>Two</w:t>
      </w:r>
      <w:r w:rsidR="00F83FBD" w:rsidRPr="002728F2">
        <w:t xml:space="preserve"> submission</w:t>
      </w:r>
      <w:r w:rsidR="0042479E" w:rsidRPr="002728F2">
        <w:t>s</w:t>
      </w:r>
      <w:r w:rsidR="00F83FBD" w:rsidRPr="002728F2">
        <w:t xml:space="preserve"> w</w:t>
      </w:r>
      <w:r w:rsidR="0042479E" w:rsidRPr="002728F2">
        <w:t>ere</w:t>
      </w:r>
      <w:r w:rsidR="00F83FBD" w:rsidRPr="002728F2">
        <w:t xml:space="preserve"> </w:t>
      </w:r>
      <w:r w:rsidR="00F83FBD" w:rsidRPr="002728F2">
        <w:lastRenderedPageBreak/>
        <w:t xml:space="preserve">received which </w:t>
      </w:r>
      <w:r w:rsidR="0042479E" w:rsidRPr="002728F2">
        <w:t>considered that</w:t>
      </w:r>
      <w:r w:rsidR="00C345D9">
        <w:t xml:space="preserve"> </w:t>
      </w:r>
      <w:r w:rsidR="00F83FBD" w:rsidRPr="002728F2">
        <w:t xml:space="preserve">[CO 14/923] should be </w:t>
      </w:r>
      <w:r w:rsidR="0042479E" w:rsidRPr="002728F2">
        <w:t>incorporated into the law in some form</w:t>
      </w:r>
      <w:r w:rsidR="00C500E1">
        <w:t xml:space="preserve"> and </w:t>
      </w:r>
      <w:r w:rsidR="00C500E1" w:rsidRPr="00C500E1">
        <w:t>requested substantive changes.</w:t>
      </w:r>
    </w:p>
    <w:p w14:paraId="243A1F43" w14:textId="77777777" w:rsidR="00545A33" w:rsidRDefault="00545A33" w:rsidP="00545A33">
      <w:pPr>
        <w:pStyle w:val="ListParagraph"/>
        <w:ind w:left="570"/>
        <w:rPr>
          <w:lang w:eastAsia="en-AU"/>
        </w:rPr>
      </w:pPr>
    </w:p>
    <w:p w14:paraId="463B020E" w14:textId="65D53A1C" w:rsidR="0000053B" w:rsidRDefault="00545A33" w:rsidP="0035754D">
      <w:pPr>
        <w:pStyle w:val="ListParagraph"/>
        <w:numPr>
          <w:ilvl w:val="0"/>
          <w:numId w:val="18"/>
        </w:numPr>
        <w:rPr>
          <w:lang w:eastAsia="en-AU"/>
        </w:rPr>
      </w:pPr>
      <w:r>
        <w:t xml:space="preserve">ASIC determined to remake </w:t>
      </w:r>
      <w:r w:rsidR="00583230">
        <w:t>[</w:t>
      </w:r>
      <w:r>
        <w:t>CO 14/923</w:t>
      </w:r>
      <w:r w:rsidR="00583230">
        <w:t>]</w:t>
      </w:r>
      <w:r>
        <w:t xml:space="preserve"> using ASIC’s current style and format, while preserving </w:t>
      </w:r>
      <w:r w:rsidR="00A67E68">
        <w:t>its requirements</w:t>
      </w:r>
      <w:r w:rsidR="00ED61D5">
        <w:t xml:space="preserve">. </w:t>
      </w:r>
      <w:r w:rsidR="00A67E68">
        <w:t xml:space="preserve">While acknowledging requests for change in feedback, </w:t>
      </w:r>
      <w:r w:rsidR="00ED61D5" w:rsidRPr="00ED61D5">
        <w:t xml:space="preserve">ASIC </w:t>
      </w:r>
      <w:r w:rsidR="00A67E68">
        <w:t xml:space="preserve">did not consider there were grounds for </w:t>
      </w:r>
      <w:r w:rsidR="00824BEC">
        <w:t xml:space="preserve">the </w:t>
      </w:r>
      <w:r w:rsidR="00A67E68">
        <w:t>change</w:t>
      </w:r>
      <w:r w:rsidR="00824BEC">
        <w:t>s suggested</w:t>
      </w:r>
      <w:r w:rsidR="00A67E68">
        <w:t>, having regard to the objectives for the record keeping requirements in [CO 14/923]</w:t>
      </w:r>
      <w:r w:rsidR="00ED61D5" w:rsidRPr="00ED61D5">
        <w:t xml:space="preserve">. </w:t>
      </w:r>
    </w:p>
    <w:p w14:paraId="318FF476" w14:textId="3F6F93DB" w:rsidR="00EF4D4D" w:rsidRDefault="005D1FEA" w:rsidP="006114D9">
      <w:pPr>
        <w:pStyle w:val="LI-BodyTextNumbered"/>
        <w:keepNext/>
        <w:ind w:left="0" w:firstLine="0"/>
        <w:rPr>
          <w:b/>
        </w:rPr>
      </w:pPr>
      <w:r w:rsidRPr="006D5F63">
        <w:rPr>
          <w:b/>
        </w:rPr>
        <w:t>Operation of the instrument</w:t>
      </w:r>
    </w:p>
    <w:p w14:paraId="4DDC0D7A" w14:textId="6D79D492" w:rsidR="00705C97" w:rsidRPr="00705C97" w:rsidRDefault="00705C97" w:rsidP="00705C97">
      <w:pPr>
        <w:pStyle w:val="LI-BodyTextParaa"/>
        <w:ind w:left="0" w:firstLine="0"/>
        <w:rPr>
          <w:i/>
          <w:iCs/>
        </w:rPr>
      </w:pPr>
      <w:r w:rsidRPr="00705C97">
        <w:rPr>
          <w:i/>
          <w:iCs/>
        </w:rPr>
        <w:t>Instrument</w:t>
      </w:r>
    </w:p>
    <w:p w14:paraId="12EB5A59" w14:textId="0DC15B66" w:rsidR="00BB0B88" w:rsidRPr="00B42815" w:rsidRDefault="00DC7563" w:rsidP="00293320">
      <w:pPr>
        <w:pStyle w:val="LI-BodyTextParaa"/>
        <w:numPr>
          <w:ilvl w:val="0"/>
          <w:numId w:val="18"/>
        </w:numPr>
      </w:pPr>
      <w:r>
        <w:t>Section</w:t>
      </w:r>
      <w:r w:rsidR="00BB0B88" w:rsidRPr="00CF237B">
        <w:t xml:space="preserve"> </w:t>
      </w:r>
      <w:r w:rsidR="00DA53E8" w:rsidRPr="00CF237B">
        <w:t>1</w:t>
      </w:r>
      <w:r w:rsidR="00BB0B88" w:rsidRPr="00CF237B">
        <w:t xml:space="preserve"> </w:t>
      </w:r>
      <w:r w:rsidR="00CF237B" w:rsidRPr="00CF237B">
        <w:t xml:space="preserve">of the </w:t>
      </w:r>
      <w:r w:rsidR="00581B52">
        <w:t>I</w:t>
      </w:r>
      <w:r w:rsidR="00CF237B" w:rsidRPr="00CF237B">
        <w:t>nstrument</w:t>
      </w:r>
      <w:r w:rsidR="00BB0B88" w:rsidRPr="00B42815">
        <w:t xml:space="preserve"> specifies the title of the </w:t>
      </w:r>
      <w:r w:rsidR="00F6725F">
        <w:t>legislative i</w:t>
      </w:r>
      <w:r w:rsidR="00866E1F">
        <w:t>nstrument</w:t>
      </w:r>
      <w:r w:rsidR="00BB0B88" w:rsidRPr="00B42815">
        <w:t>.</w:t>
      </w:r>
    </w:p>
    <w:p w14:paraId="2FF6BF52" w14:textId="4699AE76" w:rsidR="00DA53E8" w:rsidRPr="00B42815" w:rsidRDefault="00DC7563" w:rsidP="00293320">
      <w:pPr>
        <w:pStyle w:val="LI-BodyTextParaa"/>
        <w:numPr>
          <w:ilvl w:val="0"/>
          <w:numId w:val="18"/>
        </w:numPr>
      </w:pPr>
      <w:r>
        <w:t>Section</w:t>
      </w:r>
      <w:r w:rsidR="00BB0B88" w:rsidRPr="00CF237B">
        <w:t xml:space="preserve"> </w:t>
      </w:r>
      <w:r w:rsidR="00DA53E8" w:rsidRPr="00CF237B">
        <w:t>2</w:t>
      </w:r>
      <w:r w:rsidR="00BB0B88" w:rsidRPr="00CF237B">
        <w:t xml:space="preserve"> </w:t>
      </w:r>
      <w:r w:rsidR="00581B52">
        <w:t>of the Instrument</w:t>
      </w:r>
      <w:r w:rsidR="00581B52" w:rsidRPr="00B42815">
        <w:t xml:space="preserve"> specifies that the </w:t>
      </w:r>
      <w:r w:rsidR="00F6725F">
        <w:t xml:space="preserve">instrument </w:t>
      </w:r>
      <w:r w:rsidR="00581B52" w:rsidRPr="00B42815">
        <w:t xml:space="preserve">commences on the day </w:t>
      </w:r>
      <w:r w:rsidR="00E2514B">
        <w:t xml:space="preserve">after </w:t>
      </w:r>
      <w:r w:rsidR="00581B52" w:rsidRPr="00B42815">
        <w:t>it is registered</w:t>
      </w:r>
      <w:r w:rsidR="001C03BA" w:rsidRPr="001C03BA">
        <w:t xml:space="preserve"> </w:t>
      </w:r>
      <w:r w:rsidR="001C03BA">
        <w:t>on the Federal Register of Legislation</w:t>
      </w:r>
      <w:r w:rsidR="00581B52" w:rsidRPr="00B42815">
        <w:t xml:space="preserve">.  The </w:t>
      </w:r>
      <w:r w:rsidR="00866E1F">
        <w:t xml:space="preserve">Instrument </w:t>
      </w:r>
      <w:r w:rsidR="00581B52" w:rsidRPr="00B42815">
        <w:t>does not have retrospective application.</w:t>
      </w:r>
      <w:r w:rsidR="00BB0B88" w:rsidRPr="00B42815">
        <w:t xml:space="preserve">  </w:t>
      </w:r>
    </w:p>
    <w:p w14:paraId="20CF59D6" w14:textId="593DB859" w:rsidR="00BB0B88" w:rsidRPr="00B42815" w:rsidRDefault="00DC7563" w:rsidP="00293320">
      <w:pPr>
        <w:pStyle w:val="LI-BodyTextParaa"/>
        <w:numPr>
          <w:ilvl w:val="0"/>
          <w:numId w:val="18"/>
        </w:numPr>
      </w:pPr>
      <w:r>
        <w:t>Section</w:t>
      </w:r>
      <w:r w:rsidR="00DA53E8" w:rsidRPr="00CF237B">
        <w:t xml:space="preserve"> </w:t>
      </w:r>
      <w:r w:rsidR="00E80A06" w:rsidRPr="00CF237B">
        <w:t>3</w:t>
      </w:r>
      <w:r w:rsidR="00DA53E8" w:rsidRPr="00CF237B">
        <w:t xml:space="preserve"> </w:t>
      </w:r>
      <w:r w:rsidR="00581B52">
        <w:t>of the Instrument</w:t>
      </w:r>
      <w:r w:rsidR="00475354">
        <w:t xml:space="preserve"> </w:t>
      </w:r>
      <w:r w:rsidR="00DA53E8" w:rsidRPr="00B42815">
        <w:t xml:space="preserve">specifies the modification power in paragraph 926A(2)(c) of the Act under which ASIC makes this instrument. </w:t>
      </w:r>
    </w:p>
    <w:p w14:paraId="0CBD80CC" w14:textId="54E19DA5" w:rsidR="00475354" w:rsidRPr="00B42815" w:rsidRDefault="00DC7563" w:rsidP="00293320">
      <w:pPr>
        <w:pStyle w:val="LI-BodyTextParaa"/>
        <w:numPr>
          <w:ilvl w:val="0"/>
          <w:numId w:val="18"/>
        </w:numPr>
      </w:pPr>
      <w:r>
        <w:t>Section</w:t>
      </w:r>
      <w:r w:rsidR="00921363" w:rsidRPr="00CF237B">
        <w:t xml:space="preserve"> </w:t>
      </w:r>
      <w:r w:rsidR="00D81CD3" w:rsidRPr="00CF237B">
        <w:t>4</w:t>
      </w:r>
      <w:r w:rsidR="00921363" w:rsidRPr="00CF237B">
        <w:t xml:space="preserve"> </w:t>
      </w:r>
      <w:r w:rsidR="00475354">
        <w:t>of the Instrument</w:t>
      </w:r>
      <w:r w:rsidR="00921363" w:rsidRPr="00B42815">
        <w:t xml:space="preserve"> </w:t>
      </w:r>
      <w:r w:rsidR="0079327A" w:rsidRPr="00B42815">
        <w:t xml:space="preserve">specifies that </w:t>
      </w:r>
      <w:r w:rsidR="00C85FDA">
        <w:t>‘Act’ means the</w:t>
      </w:r>
      <w:r w:rsidR="00C85FDA" w:rsidRPr="00EF5B9F">
        <w:rPr>
          <w:i/>
          <w:iCs/>
        </w:rPr>
        <w:t xml:space="preserve"> Corporations Act 2001</w:t>
      </w:r>
      <w:r w:rsidR="00921363" w:rsidRPr="00B42815">
        <w:t xml:space="preserve">. </w:t>
      </w:r>
    </w:p>
    <w:p w14:paraId="1C39705D" w14:textId="41D90816" w:rsidR="00BB0B88" w:rsidRPr="00B42815" w:rsidRDefault="00DC7563" w:rsidP="00293320">
      <w:pPr>
        <w:pStyle w:val="LI-BodyTextParaa"/>
        <w:numPr>
          <w:ilvl w:val="0"/>
          <w:numId w:val="18"/>
        </w:numPr>
      </w:pPr>
      <w:r>
        <w:t>Section</w:t>
      </w:r>
      <w:r w:rsidR="00BB0B88" w:rsidRPr="00CF237B">
        <w:t xml:space="preserve"> </w:t>
      </w:r>
      <w:r w:rsidR="00921363" w:rsidRPr="00CF237B">
        <w:t>5</w:t>
      </w:r>
      <w:r w:rsidR="00BB0B88" w:rsidRPr="00CF237B">
        <w:t xml:space="preserve"> </w:t>
      </w:r>
      <w:r w:rsidR="00475354">
        <w:t xml:space="preserve">of the Instrument </w:t>
      </w:r>
      <w:r w:rsidR="00BB0B88" w:rsidRPr="00B42815">
        <w:t>declares that Part 7.6 of the Act (except Divisions</w:t>
      </w:r>
      <w:r w:rsidR="00475354" w:rsidRPr="00B42815">
        <w:t xml:space="preserve"> </w:t>
      </w:r>
      <w:r w:rsidR="00BB0B88" w:rsidRPr="00B42815">
        <w:t>4 and 8) apply in relation to all financial services licensees</w:t>
      </w:r>
      <w:r w:rsidR="00B27E1E">
        <w:t xml:space="preserve"> (and former financial </w:t>
      </w:r>
      <w:r w:rsidR="003B3750">
        <w:t xml:space="preserve">  </w:t>
      </w:r>
      <w:r w:rsidR="00B27E1E">
        <w:t>service licensees</w:t>
      </w:r>
      <w:r w:rsidR="00DF29C8">
        <w:t>) and authorised representatives (and former authorised representatives)</w:t>
      </w:r>
      <w:r w:rsidR="00BB0B88" w:rsidRPr="00B42815">
        <w:t xml:space="preserve"> as if Division 3 of that Part has been modified or varied by inserting a new section 912G that imposes record-keeping requirements for AFS license</w:t>
      </w:r>
      <w:r w:rsidR="008C22BD">
        <w:t>e</w:t>
      </w:r>
      <w:r w:rsidR="00BB0B88" w:rsidRPr="00B42815">
        <w:t xml:space="preserve">s in relation to personal advice. </w:t>
      </w:r>
    </w:p>
    <w:p w14:paraId="62985701" w14:textId="77777777" w:rsidR="00BB0B88" w:rsidRPr="00CF237B" w:rsidRDefault="00BB0B88" w:rsidP="008C0B3C">
      <w:pPr>
        <w:ind w:left="720"/>
        <w:jc w:val="both"/>
        <w:rPr>
          <w:bCs/>
          <w:sz w:val="24"/>
          <w:szCs w:val="24"/>
        </w:rPr>
      </w:pPr>
    </w:p>
    <w:p w14:paraId="094EBC8D" w14:textId="3C10F377" w:rsidR="00BB0B88" w:rsidRPr="001936CE" w:rsidRDefault="00BB0B88" w:rsidP="001936CE">
      <w:pPr>
        <w:pStyle w:val="ListParagraph"/>
        <w:numPr>
          <w:ilvl w:val="0"/>
          <w:numId w:val="18"/>
        </w:numPr>
        <w:jc w:val="both"/>
        <w:rPr>
          <w:bCs/>
        </w:rPr>
      </w:pPr>
      <w:r w:rsidRPr="001936CE">
        <w:rPr>
          <w:bCs/>
        </w:rPr>
        <w:t>Subsection 912G(1) states that the record-keeping requirements imposed under the section appl</w:t>
      </w:r>
      <w:r w:rsidR="00552119">
        <w:rPr>
          <w:bCs/>
        </w:rPr>
        <w:t>y</w:t>
      </w:r>
      <w:r w:rsidRPr="001936CE">
        <w:rPr>
          <w:bCs/>
        </w:rPr>
        <w:t xml:space="preserve"> in relation to personal advice given to retail clients by the AFS licensee or a representative of the AFS licensee. A representative of the AFS licensee includes an authorised representative of the licensee or an advice provider employed by the licensee. </w:t>
      </w:r>
    </w:p>
    <w:p w14:paraId="2CA41204" w14:textId="77777777" w:rsidR="00BB0B88" w:rsidRPr="006D5F63" w:rsidRDefault="00BB0B88" w:rsidP="00475354">
      <w:pPr>
        <w:ind w:left="567"/>
        <w:jc w:val="both"/>
        <w:rPr>
          <w:bCs/>
          <w:sz w:val="24"/>
          <w:szCs w:val="24"/>
        </w:rPr>
      </w:pPr>
    </w:p>
    <w:p w14:paraId="40094F5B" w14:textId="656C850A" w:rsidR="00BB0B88" w:rsidRPr="00B63276" w:rsidRDefault="00BB0B88" w:rsidP="00B63276">
      <w:pPr>
        <w:pStyle w:val="ListParagraph"/>
        <w:numPr>
          <w:ilvl w:val="0"/>
          <w:numId w:val="18"/>
        </w:numPr>
        <w:jc w:val="both"/>
        <w:rPr>
          <w:bCs/>
        </w:rPr>
      </w:pPr>
      <w:r w:rsidRPr="00B63276">
        <w:rPr>
          <w:bCs/>
        </w:rPr>
        <w:t>Subsection 912G(2) specifies the records that AFS licensees must ensure are kept in relation to the provision of personal advice given to retail clients by the licensee or their representatives.  Under this section, licensees must ensure that records of the following matters are kept:</w:t>
      </w:r>
    </w:p>
    <w:p w14:paraId="40362183" w14:textId="77777777" w:rsidR="00BB0B88" w:rsidRPr="006D5F63" w:rsidRDefault="00BB0B88" w:rsidP="00475354">
      <w:pPr>
        <w:ind w:left="567"/>
        <w:jc w:val="both"/>
        <w:rPr>
          <w:bCs/>
          <w:sz w:val="24"/>
          <w:szCs w:val="24"/>
        </w:rPr>
      </w:pPr>
    </w:p>
    <w:p w14:paraId="77B0750E" w14:textId="77777777" w:rsidR="00BB0B88" w:rsidRPr="006D5F63" w:rsidRDefault="00BB0B88" w:rsidP="0020048E">
      <w:pPr>
        <w:pStyle w:val="ListParagraph"/>
        <w:numPr>
          <w:ilvl w:val="0"/>
          <w:numId w:val="15"/>
        </w:numPr>
        <w:ind w:left="1134" w:hanging="567"/>
        <w:jc w:val="both"/>
        <w:rPr>
          <w:bCs/>
        </w:rPr>
      </w:pPr>
      <w:r w:rsidRPr="006D5F63">
        <w:rPr>
          <w:bCs/>
        </w:rPr>
        <w:t xml:space="preserve">the information relied on and the action taken by the provider that indicates the provider has, in accordance with subsection 961B(1), acted in the best interests (the </w:t>
      </w:r>
      <w:r w:rsidRPr="006D5F63">
        <w:rPr>
          <w:b/>
          <w:bCs/>
          <w:i/>
        </w:rPr>
        <w:t>best interests duty</w:t>
      </w:r>
      <w:r w:rsidRPr="006D5F63">
        <w:rPr>
          <w:bCs/>
        </w:rPr>
        <w:t>) of the client in relation to the advice;</w:t>
      </w:r>
    </w:p>
    <w:p w14:paraId="47878B74" w14:textId="26352367" w:rsidR="00BB0B88" w:rsidRPr="006D5F63" w:rsidRDefault="00BB0B88" w:rsidP="0020048E">
      <w:pPr>
        <w:pStyle w:val="ListParagraph"/>
        <w:numPr>
          <w:ilvl w:val="0"/>
          <w:numId w:val="15"/>
        </w:numPr>
        <w:ind w:left="1134" w:hanging="567"/>
        <w:jc w:val="both"/>
        <w:rPr>
          <w:bCs/>
        </w:rPr>
      </w:pPr>
      <w:r w:rsidRPr="006D5F63">
        <w:rPr>
          <w:bCs/>
        </w:rPr>
        <w:t xml:space="preserve">if the </w:t>
      </w:r>
      <w:r w:rsidR="0020048E">
        <w:rPr>
          <w:bCs/>
        </w:rPr>
        <w:t>‘</w:t>
      </w:r>
      <w:r w:rsidRPr="006D5F63">
        <w:rPr>
          <w:bCs/>
        </w:rPr>
        <w:t>safe harbour</w:t>
      </w:r>
      <w:r w:rsidR="0020048E">
        <w:rPr>
          <w:bCs/>
        </w:rPr>
        <w:t xml:space="preserve">’ steps in subsection 961B(2) of the Act are relied upon </w:t>
      </w:r>
      <w:r w:rsidRPr="006D5F63">
        <w:rPr>
          <w:bCs/>
        </w:rPr>
        <w:t>to demonstrate that the best interests duty has been satisfied—the information relied on and the action taken by the provider that satisfies the steps in subsection 961B(2);</w:t>
      </w:r>
    </w:p>
    <w:p w14:paraId="35FDB43D" w14:textId="77777777" w:rsidR="00BB0B88" w:rsidRPr="006D5F63" w:rsidRDefault="00BB0B88" w:rsidP="0020048E">
      <w:pPr>
        <w:pStyle w:val="ListParagraph"/>
        <w:numPr>
          <w:ilvl w:val="0"/>
          <w:numId w:val="15"/>
        </w:numPr>
        <w:ind w:left="1134" w:hanging="567"/>
        <w:jc w:val="both"/>
        <w:rPr>
          <w:bCs/>
        </w:rPr>
      </w:pPr>
      <w:r w:rsidRPr="006D5F63">
        <w:rPr>
          <w:bCs/>
        </w:rPr>
        <w:lastRenderedPageBreak/>
        <w:t xml:space="preserve">the advice given, including the reasons why, under section 961G, it would be reasonable to conclude that the advice is appropriate to the client, had the provider has satisfied the best interests duty under section 961B; and </w:t>
      </w:r>
    </w:p>
    <w:p w14:paraId="60F84C7E" w14:textId="666AE56E" w:rsidR="00BB0B88" w:rsidRPr="006D5F63" w:rsidRDefault="00BB0B88" w:rsidP="0020048E">
      <w:pPr>
        <w:pStyle w:val="ListParagraph"/>
        <w:numPr>
          <w:ilvl w:val="0"/>
          <w:numId w:val="15"/>
        </w:numPr>
        <w:ind w:left="1134" w:hanging="567"/>
        <w:jc w:val="both"/>
        <w:rPr>
          <w:bCs/>
        </w:rPr>
      </w:pPr>
      <w:r w:rsidRPr="006D5F63">
        <w:rPr>
          <w:bCs/>
        </w:rPr>
        <w:t>where the provider knows, or reasonably ought to know, that there is a conflict between the interests of the client and the interests of any person mentioned in subsection 961J(1)—the information relied on and the action taken by the provider to indicate that the provider has given priority to the client’s interests when giving the advice.</w:t>
      </w:r>
    </w:p>
    <w:p w14:paraId="309B70CA" w14:textId="77777777" w:rsidR="00BB0B88" w:rsidRPr="006D5F63" w:rsidRDefault="00BB0B88" w:rsidP="00475354">
      <w:pPr>
        <w:ind w:left="567"/>
        <w:jc w:val="both"/>
        <w:rPr>
          <w:bCs/>
          <w:sz w:val="24"/>
          <w:szCs w:val="24"/>
        </w:rPr>
      </w:pPr>
    </w:p>
    <w:p w14:paraId="5642C841" w14:textId="0F9FC493" w:rsidR="00BB0B88" w:rsidRPr="00B63276" w:rsidRDefault="00BB0B88" w:rsidP="00B63276">
      <w:pPr>
        <w:pStyle w:val="ListParagraph"/>
        <w:numPr>
          <w:ilvl w:val="0"/>
          <w:numId w:val="18"/>
        </w:numPr>
        <w:jc w:val="both"/>
        <w:rPr>
          <w:bCs/>
        </w:rPr>
      </w:pPr>
      <w:r w:rsidRPr="00B63276">
        <w:rPr>
          <w:bCs/>
        </w:rPr>
        <w:t>For the purposes of this subsection, the keeping of records that satisfy the record-keeping obligation in paragraph 912G(2)(b) will satisfy the record-keeping obligation in paragraph 912G(2)(a).</w:t>
      </w:r>
    </w:p>
    <w:p w14:paraId="5B093B68" w14:textId="77777777" w:rsidR="00BB0B88" w:rsidRPr="006D5F63" w:rsidRDefault="00BB0B88" w:rsidP="00475354">
      <w:pPr>
        <w:ind w:left="567"/>
        <w:jc w:val="both"/>
        <w:rPr>
          <w:bCs/>
          <w:sz w:val="24"/>
          <w:szCs w:val="24"/>
        </w:rPr>
      </w:pPr>
    </w:p>
    <w:p w14:paraId="0C38DDCD" w14:textId="21391FF9" w:rsidR="00BB0B88" w:rsidRPr="00B63276" w:rsidRDefault="00BB0B88" w:rsidP="00B63276">
      <w:pPr>
        <w:pStyle w:val="ListParagraph"/>
        <w:numPr>
          <w:ilvl w:val="0"/>
          <w:numId w:val="18"/>
        </w:numPr>
        <w:jc w:val="both"/>
      </w:pPr>
      <w:r w:rsidRPr="00B63276">
        <w:rPr>
          <w:bCs/>
        </w:rPr>
        <w:t xml:space="preserve">Subsection 912G(3) specifies that </w:t>
      </w:r>
      <w:r w:rsidRPr="00B63276">
        <w:t>records should be kept for a period of at least seven years after the day the personal advice is provided to the client</w:t>
      </w:r>
      <w:r w:rsidR="00794DFD" w:rsidRPr="00B63276">
        <w:t xml:space="preserve">, and an AFS licensee must ensure that the records are accessible by the licensee at all times during that period in a way </w:t>
      </w:r>
      <w:r w:rsidR="00BF4F81">
        <w:t>that</w:t>
      </w:r>
      <w:r w:rsidR="00794DFD" w:rsidRPr="00B63276">
        <w:t xml:space="preserve"> enables the licensee to produce the records. </w:t>
      </w:r>
      <w:r w:rsidR="00851EF9" w:rsidRPr="00B63276">
        <w:t>The</w:t>
      </w:r>
      <w:r w:rsidR="00F26687" w:rsidRPr="00B63276">
        <w:t xml:space="preserve"> obligation continues to apply</w:t>
      </w:r>
      <w:r w:rsidR="00EA4C3F" w:rsidRPr="00B63276">
        <w:t xml:space="preserve"> even if the AFS licensee ceases to be an AFS licensee during the period that the records are required to be kept and accessible</w:t>
      </w:r>
      <w:r w:rsidR="00851EF9" w:rsidRPr="00B63276">
        <w:t>.</w:t>
      </w:r>
    </w:p>
    <w:p w14:paraId="7CA1ACDA" w14:textId="77777777" w:rsidR="00BB0B88" w:rsidRPr="006D5F63" w:rsidRDefault="00BB0B88" w:rsidP="00475354">
      <w:pPr>
        <w:ind w:left="567"/>
        <w:jc w:val="both"/>
        <w:rPr>
          <w:sz w:val="24"/>
          <w:szCs w:val="24"/>
        </w:rPr>
      </w:pPr>
    </w:p>
    <w:p w14:paraId="45432477" w14:textId="55CE05D0" w:rsidR="0074409E" w:rsidRPr="0074409E" w:rsidRDefault="00B63276" w:rsidP="003A3A5A">
      <w:pPr>
        <w:ind w:left="567" w:hanging="567"/>
        <w:jc w:val="both"/>
        <w:rPr>
          <w:sz w:val="24"/>
          <w:szCs w:val="24"/>
        </w:rPr>
      </w:pPr>
      <w:r>
        <w:rPr>
          <w:sz w:val="24"/>
          <w:szCs w:val="24"/>
        </w:rPr>
        <w:t>2</w:t>
      </w:r>
      <w:r w:rsidR="00E525D9">
        <w:rPr>
          <w:sz w:val="24"/>
          <w:szCs w:val="24"/>
        </w:rPr>
        <w:t>4</w:t>
      </w:r>
      <w:r>
        <w:rPr>
          <w:sz w:val="24"/>
          <w:szCs w:val="24"/>
        </w:rPr>
        <w:t>.</w:t>
      </w:r>
      <w:r>
        <w:rPr>
          <w:sz w:val="24"/>
          <w:szCs w:val="24"/>
        </w:rPr>
        <w:tab/>
      </w:r>
      <w:r w:rsidR="0074409E">
        <w:rPr>
          <w:sz w:val="24"/>
          <w:szCs w:val="24"/>
        </w:rPr>
        <w:t>S</w:t>
      </w:r>
      <w:r w:rsidR="0074409E" w:rsidRPr="0074409E">
        <w:rPr>
          <w:sz w:val="24"/>
          <w:szCs w:val="24"/>
        </w:rPr>
        <w:t>ubsection 912G(4) provides that an authorised representative who provides personal advice must:</w:t>
      </w:r>
    </w:p>
    <w:p w14:paraId="5407095D" w14:textId="77777777" w:rsidR="0074409E" w:rsidRPr="0074409E" w:rsidRDefault="0074409E" w:rsidP="00F83FBD">
      <w:pPr>
        <w:pStyle w:val="LI-BodyTextNumbered"/>
      </w:pPr>
      <w:r w:rsidRPr="0074409E">
        <w:t>(a)</w:t>
      </w:r>
      <w:r w:rsidRPr="0074409E">
        <w:tab/>
        <w:t>give the advice records to the AFS licensee if the licensee requests the records, provided the request is made:</w:t>
      </w:r>
    </w:p>
    <w:p w14:paraId="50D256EF" w14:textId="50B45501" w:rsidR="0074409E" w:rsidRPr="0074409E" w:rsidRDefault="00DE1855" w:rsidP="0020048E">
      <w:pPr>
        <w:pStyle w:val="LI-BodyTextSubparai"/>
        <w:ind w:left="1701"/>
      </w:pPr>
      <w:r>
        <w:t>(</w:t>
      </w:r>
      <w:proofErr w:type="spellStart"/>
      <w:r>
        <w:t>i</w:t>
      </w:r>
      <w:proofErr w:type="spellEnd"/>
      <w:r>
        <w:t>)</w:t>
      </w:r>
      <w:r>
        <w:tab/>
      </w:r>
      <w:r w:rsidR="0074409E" w:rsidRPr="0074409E">
        <w:t xml:space="preserve">in connection with the obligations imposed on the licensee under Chapter 7 of the Act; </w:t>
      </w:r>
    </w:p>
    <w:p w14:paraId="1D7FD5C3" w14:textId="77777777" w:rsidR="0074409E" w:rsidRPr="0074409E" w:rsidRDefault="0074409E" w:rsidP="0020048E">
      <w:pPr>
        <w:pStyle w:val="LI-BodyTextSubparai"/>
        <w:ind w:left="1701"/>
      </w:pPr>
      <w:r w:rsidRPr="0074409E">
        <w:t>(ii)</w:t>
      </w:r>
      <w:r w:rsidRPr="0074409E">
        <w:tab/>
        <w:t>within seven years after the day on which the personal advice was provided to the client; and</w:t>
      </w:r>
    </w:p>
    <w:p w14:paraId="3762D240" w14:textId="2687F346" w:rsidR="0074409E" w:rsidRDefault="0074409E" w:rsidP="00F83FBD">
      <w:pPr>
        <w:pStyle w:val="LI-BodyTextNumbered"/>
      </w:pPr>
      <w:r w:rsidRPr="0074409E">
        <w:t>(b)</w:t>
      </w:r>
      <w:r w:rsidRPr="0074409E">
        <w:tab/>
        <w:t xml:space="preserve">keep records for a period of at least seven years after the day personal advice was provided to the </w:t>
      </w:r>
      <w:proofErr w:type="gramStart"/>
      <w:r w:rsidRPr="0074409E">
        <w:t>client, unless</w:t>
      </w:r>
      <w:proofErr w:type="gramEnd"/>
      <w:r w:rsidRPr="0074409E">
        <w:t xml:space="preserve"> the records have been given by the authorised representative to the licensee.</w:t>
      </w:r>
    </w:p>
    <w:p w14:paraId="3BC4A5A8" w14:textId="77777777" w:rsidR="0074409E" w:rsidRDefault="0074409E" w:rsidP="00475354">
      <w:pPr>
        <w:ind w:left="567"/>
        <w:jc w:val="both"/>
        <w:rPr>
          <w:sz w:val="24"/>
          <w:szCs w:val="24"/>
        </w:rPr>
      </w:pPr>
    </w:p>
    <w:p w14:paraId="12C65182" w14:textId="35F7A2D7" w:rsidR="00680978" w:rsidRPr="00680978" w:rsidRDefault="003A3A5A" w:rsidP="003A3A5A">
      <w:pPr>
        <w:ind w:left="567" w:hanging="567"/>
        <w:jc w:val="both"/>
        <w:rPr>
          <w:sz w:val="24"/>
          <w:szCs w:val="24"/>
        </w:rPr>
      </w:pPr>
      <w:r>
        <w:rPr>
          <w:sz w:val="24"/>
          <w:szCs w:val="24"/>
        </w:rPr>
        <w:t>2</w:t>
      </w:r>
      <w:r w:rsidR="00E525D9">
        <w:rPr>
          <w:sz w:val="24"/>
          <w:szCs w:val="24"/>
        </w:rPr>
        <w:t>5</w:t>
      </w:r>
      <w:r>
        <w:rPr>
          <w:sz w:val="24"/>
          <w:szCs w:val="24"/>
        </w:rPr>
        <w:t>.</w:t>
      </w:r>
      <w:r>
        <w:rPr>
          <w:sz w:val="24"/>
          <w:szCs w:val="24"/>
        </w:rPr>
        <w:tab/>
      </w:r>
      <w:r w:rsidR="00680978" w:rsidRPr="00680978">
        <w:rPr>
          <w:sz w:val="24"/>
          <w:szCs w:val="24"/>
        </w:rPr>
        <w:t>The obligation continues to apply even if the authorised representative ceases to be an authorised representative of the AFS licensee during the period that the records are required to be given or kept.</w:t>
      </w:r>
    </w:p>
    <w:p w14:paraId="5D31994E" w14:textId="77777777" w:rsidR="00680978" w:rsidRPr="00680978" w:rsidRDefault="00680978" w:rsidP="00680978">
      <w:pPr>
        <w:ind w:left="567"/>
        <w:jc w:val="both"/>
        <w:rPr>
          <w:sz w:val="24"/>
          <w:szCs w:val="24"/>
        </w:rPr>
      </w:pPr>
    </w:p>
    <w:p w14:paraId="52D31E33" w14:textId="3BB6CDBB" w:rsidR="00680978" w:rsidRPr="00680978" w:rsidRDefault="003A3A5A" w:rsidP="003A3A5A">
      <w:pPr>
        <w:ind w:left="567" w:hanging="567"/>
        <w:jc w:val="both"/>
        <w:rPr>
          <w:sz w:val="24"/>
          <w:szCs w:val="24"/>
        </w:rPr>
      </w:pPr>
      <w:r>
        <w:rPr>
          <w:sz w:val="24"/>
          <w:szCs w:val="24"/>
        </w:rPr>
        <w:t>2</w:t>
      </w:r>
      <w:r w:rsidR="00E525D9">
        <w:rPr>
          <w:sz w:val="24"/>
          <w:szCs w:val="24"/>
        </w:rPr>
        <w:t>6</w:t>
      </w:r>
      <w:r>
        <w:rPr>
          <w:sz w:val="24"/>
          <w:szCs w:val="24"/>
        </w:rPr>
        <w:t>.</w:t>
      </w:r>
      <w:r>
        <w:rPr>
          <w:sz w:val="24"/>
          <w:szCs w:val="24"/>
        </w:rPr>
        <w:tab/>
      </w:r>
      <w:r w:rsidR="00680978" w:rsidRPr="00680978">
        <w:rPr>
          <w:sz w:val="24"/>
          <w:szCs w:val="24"/>
        </w:rPr>
        <w:t>The effect of subsection 912G(5) is that the record-keeping obligations imposed on authorised representatives are in addition to the record-keeping obligations imposed on licensees.</w:t>
      </w:r>
    </w:p>
    <w:p w14:paraId="083A74B4" w14:textId="77777777" w:rsidR="00680978" w:rsidRPr="00680978" w:rsidRDefault="00680978" w:rsidP="00680978">
      <w:pPr>
        <w:ind w:left="567"/>
        <w:jc w:val="both"/>
        <w:rPr>
          <w:sz w:val="24"/>
          <w:szCs w:val="24"/>
        </w:rPr>
      </w:pPr>
    </w:p>
    <w:p w14:paraId="459BDFA1" w14:textId="56B261F1" w:rsidR="00680978" w:rsidRDefault="003A3A5A" w:rsidP="003A3A5A">
      <w:pPr>
        <w:ind w:left="567" w:hanging="567"/>
        <w:jc w:val="both"/>
        <w:rPr>
          <w:sz w:val="24"/>
          <w:szCs w:val="24"/>
        </w:rPr>
      </w:pPr>
      <w:r>
        <w:rPr>
          <w:sz w:val="24"/>
          <w:szCs w:val="24"/>
        </w:rPr>
        <w:t>2</w:t>
      </w:r>
      <w:r w:rsidR="00E525D9">
        <w:rPr>
          <w:sz w:val="24"/>
          <w:szCs w:val="24"/>
        </w:rPr>
        <w:t>7</w:t>
      </w:r>
      <w:r>
        <w:rPr>
          <w:sz w:val="24"/>
          <w:szCs w:val="24"/>
        </w:rPr>
        <w:t>.</w:t>
      </w:r>
      <w:r>
        <w:rPr>
          <w:sz w:val="24"/>
          <w:szCs w:val="24"/>
        </w:rPr>
        <w:tab/>
      </w:r>
      <w:r w:rsidR="00115DD3">
        <w:rPr>
          <w:sz w:val="24"/>
          <w:szCs w:val="24"/>
        </w:rPr>
        <w:t>S</w:t>
      </w:r>
      <w:r w:rsidR="00680978" w:rsidRPr="00680978">
        <w:rPr>
          <w:sz w:val="24"/>
          <w:szCs w:val="24"/>
        </w:rPr>
        <w:t>ubsection 912G(6) provides that the record-keeping obligations do not apply to the provision of personal advice where the modified best interests duty applies.</w:t>
      </w:r>
    </w:p>
    <w:p w14:paraId="6FB60546" w14:textId="77777777" w:rsidR="00115DD3" w:rsidRDefault="00115DD3" w:rsidP="00680978">
      <w:pPr>
        <w:ind w:left="567"/>
        <w:jc w:val="both"/>
        <w:rPr>
          <w:sz w:val="24"/>
          <w:szCs w:val="24"/>
        </w:rPr>
      </w:pPr>
    </w:p>
    <w:p w14:paraId="00FB51FC" w14:textId="670C0607" w:rsidR="00115DD3" w:rsidRPr="00115DD3" w:rsidRDefault="00705C97" w:rsidP="001438F6">
      <w:pPr>
        <w:ind w:left="567" w:hanging="567"/>
        <w:jc w:val="both"/>
        <w:rPr>
          <w:sz w:val="24"/>
          <w:szCs w:val="24"/>
        </w:rPr>
      </w:pPr>
      <w:r>
        <w:rPr>
          <w:sz w:val="24"/>
          <w:szCs w:val="24"/>
        </w:rPr>
        <w:t>2</w:t>
      </w:r>
      <w:r w:rsidR="00E525D9">
        <w:rPr>
          <w:sz w:val="24"/>
          <w:szCs w:val="24"/>
        </w:rPr>
        <w:t>8</w:t>
      </w:r>
      <w:r w:rsidR="001438F6">
        <w:rPr>
          <w:sz w:val="24"/>
          <w:szCs w:val="24"/>
        </w:rPr>
        <w:t>.</w:t>
      </w:r>
      <w:r w:rsidR="001438F6">
        <w:rPr>
          <w:sz w:val="24"/>
          <w:szCs w:val="24"/>
        </w:rPr>
        <w:tab/>
      </w:r>
      <w:r w:rsidR="00115DD3" w:rsidRPr="00115DD3">
        <w:rPr>
          <w:sz w:val="24"/>
          <w:szCs w:val="24"/>
        </w:rPr>
        <w:t xml:space="preserve">Subsection 912G(7) specifies that the record-keeping obligations in section 912G (other than paragraph </w:t>
      </w:r>
      <w:r w:rsidR="00787F20">
        <w:rPr>
          <w:sz w:val="24"/>
          <w:szCs w:val="24"/>
        </w:rPr>
        <w:t>(</w:t>
      </w:r>
      <w:r w:rsidR="00115DD3" w:rsidRPr="00115DD3">
        <w:rPr>
          <w:sz w:val="24"/>
          <w:szCs w:val="24"/>
        </w:rPr>
        <w:t>2</w:t>
      </w:r>
      <w:r w:rsidR="00787F20">
        <w:rPr>
          <w:sz w:val="24"/>
          <w:szCs w:val="24"/>
        </w:rPr>
        <w:t>)</w:t>
      </w:r>
      <w:r w:rsidR="00115DD3" w:rsidRPr="00115DD3">
        <w:rPr>
          <w:sz w:val="24"/>
          <w:szCs w:val="24"/>
        </w:rPr>
        <w:t>(d) and subsection (3) as it relates to that paragraph) do not apply in the following circumstances:</w:t>
      </w:r>
    </w:p>
    <w:p w14:paraId="3926CC1D" w14:textId="77777777" w:rsidR="00115DD3" w:rsidRPr="00115DD3" w:rsidRDefault="00115DD3" w:rsidP="00F83FBD">
      <w:pPr>
        <w:pStyle w:val="LI-BodyTextNumbered"/>
      </w:pPr>
      <w:r w:rsidRPr="00115DD3">
        <w:lastRenderedPageBreak/>
        <w:t>(a)</w:t>
      </w:r>
      <w:r w:rsidRPr="00115DD3">
        <w:tab/>
        <w:t>the provision of personal advice for which a Statement of Advice is not required to be given to the client; or</w:t>
      </w:r>
    </w:p>
    <w:p w14:paraId="1E467025" w14:textId="32FB8B87" w:rsidR="00115DD3" w:rsidRPr="00680978" w:rsidRDefault="00115DD3" w:rsidP="00F83FBD">
      <w:pPr>
        <w:pStyle w:val="LI-BodyTextNumbered"/>
      </w:pPr>
      <w:r w:rsidRPr="00115DD3">
        <w:t>(b)</w:t>
      </w:r>
      <w:r w:rsidRPr="00115DD3">
        <w:tab/>
        <w:t>the provision of personal advice for which a record of the advice is kept in accordance with subsection 946B(3A) of the Act.</w:t>
      </w:r>
    </w:p>
    <w:p w14:paraId="3BD5B4E3" w14:textId="2CED4A51" w:rsidR="00790466" w:rsidRDefault="001A110B" w:rsidP="001A110B">
      <w:pPr>
        <w:pStyle w:val="LI-BodyTextParaa"/>
        <w:ind w:left="567"/>
        <w:rPr>
          <w:bCs/>
        </w:rPr>
      </w:pPr>
      <w:r>
        <w:rPr>
          <w:bCs/>
        </w:rPr>
        <w:t>29.</w:t>
      </w:r>
      <w:r>
        <w:rPr>
          <w:bCs/>
        </w:rPr>
        <w:tab/>
      </w:r>
      <w:r w:rsidR="00DC7563">
        <w:rPr>
          <w:bCs/>
        </w:rPr>
        <w:t>Section</w:t>
      </w:r>
      <w:r w:rsidR="00790466">
        <w:rPr>
          <w:bCs/>
        </w:rPr>
        <w:t xml:space="preserve"> 6 of the Instrument specifies that the </w:t>
      </w:r>
      <w:r w:rsidR="00E024F0">
        <w:rPr>
          <w:bCs/>
        </w:rPr>
        <w:t>I</w:t>
      </w:r>
      <w:r w:rsidR="00790466" w:rsidRPr="00790466">
        <w:rPr>
          <w:bCs/>
        </w:rPr>
        <w:t xml:space="preserve">nstrument is repealed at the start of </w:t>
      </w:r>
      <w:r w:rsidR="008B24A0">
        <w:rPr>
          <w:bCs/>
        </w:rPr>
        <w:t>1 October 2029.</w:t>
      </w:r>
    </w:p>
    <w:p w14:paraId="49FBBDF4" w14:textId="5D2C1FA3" w:rsidR="00245E9B" w:rsidRPr="0020048E" w:rsidRDefault="00245E9B" w:rsidP="0020048E">
      <w:pPr>
        <w:pStyle w:val="LI-BodyTextParaa"/>
        <w:ind w:left="0" w:firstLine="0"/>
        <w:rPr>
          <w:bCs/>
          <w:i/>
          <w:iCs/>
        </w:rPr>
      </w:pPr>
      <w:r>
        <w:rPr>
          <w:bCs/>
          <w:i/>
          <w:iCs/>
        </w:rPr>
        <w:t>Repeal Instrument</w:t>
      </w:r>
    </w:p>
    <w:p w14:paraId="2BF7534A" w14:textId="2969DF26" w:rsidR="003317E0" w:rsidRPr="00B42815" w:rsidRDefault="003317E0" w:rsidP="001A110B">
      <w:pPr>
        <w:pStyle w:val="LI-BodyTextParaa"/>
        <w:numPr>
          <w:ilvl w:val="0"/>
          <w:numId w:val="28"/>
        </w:numPr>
        <w:ind w:left="567" w:hanging="567"/>
      </w:pPr>
      <w:r>
        <w:t>Section</w:t>
      </w:r>
      <w:r w:rsidRPr="00CF237B">
        <w:t xml:space="preserve"> 1 of the </w:t>
      </w:r>
      <w:r>
        <w:t>Repeal I</w:t>
      </w:r>
      <w:r w:rsidRPr="00CF237B">
        <w:t>nstrument</w:t>
      </w:r>
      <w:r w:rsidRPr="00B42815">
        <w:t xml:space="preserve"> specifies the title of the </w:t>
      </w:r>
      <w:r>
        <w:t>legislative instrument</w:t>
      </w:r>
      <w:r w:rsidRPr="00B42815">
        <w:t>.</w:t>
      </w:r>
    </w:p>
    <w:p w14:paraId="4A42F5EE" w14:textId="0586636A" w:rsidR="003317E0" w:rsidRPr="00B42815" w:rsidRDefault="003317E0" w:rsidP="0020048E">
      <w:pPr>
        <w:pStyle w:val="LI-BodyTextParaa"/>
        <w:numPr>
          <w:ilvl w:val="0"/>
          <w:numId w:val="28"/>
        </w:numPr>
        <w:ind w:left="567" w:hanging="567"/>
      </w:pPr>
      <w:r>
        <w:t>Section</w:t>
      </w:r>
      <w:r w:rsidRPr="00CF237B">
        <w:t xml:space="preserve"> 2 </w:t>
      </w:r>
      <w:r>
        <w:t>of the Repeal Instrument</w:t>
      </w:r>
      <w:r w:rsidRPr="00B42815">
        <w:t xml:space="preserve"> specifies that the </w:t>
      </w:r>
      <w:r>
        <w:t xml:space="preserve">instrument </w:t>
      </w:r>
      <w:r w:rsidRPr="00B42815">
        <w:t xml:space="preserve">commences on the day </w:t>
      </w:r>
      <w:r w:rsidR="00E2514B">
        <w:t xml:space="preserve">after </w:t>
      </w:r>
      <w:r w:rsidRPr="00B42815">
        <w:t>it is registered</w:t>
      </w:r>
      <w:r w:rsidRPr="001C03BA">
        <w:t xml:space="preserve"> </w:t>
      </w:r>
      <w:r>
        <w:t>on the Federal Register of Legislation</w:t>
      </w:r>
      <w:r w:rsidRPr="00B42815">
        <w:t xml:space="preserve">.  The </w:t>
      </w:r>
      <w:r>
        <w:t xml:space="preserve">Instrument </w:t>
      </w:r>
      <w:r w:rsidRPr="00B42815">
        <w:t xml:space="preserve">does not have retrospective application.  </w:t>
      </w:r>
    </w:p>
    <w:p w14:paraId="05E18035" w14:textId="6462560F" w:rsidR="003317E0" w:rsidRPr="00B42815" w:rsidRDefault="003317E0" w:rsidP="0020048E">
      <w:pPr>
        <w:pStyle w:val="LI-BodyTextParaa"/>
        <w:numPr>
          <w:ilvl w:val="0"/>
          <w:numId w:val="28"/>
        </w:numPr>
        <w:ind w:left="567" w:hanging="567"/>
      </w:pPr>
      <w:r>
        <w:t>Section</w:t>
      </w:r>
      <w:r w:rsidRPr="00CF237B">
        <w:t xml:space="preserve"> 3 </w:t>
      </w:r>
      <w:r>
        <w:t xml:space="preserve">of the </w:t>
      </w:r>
      <w:r w:rsidR="00A7076D">
        <w:t xml:space="preserve">Repeal </w:t>
      </w:r>
      <w:r>
        <w:t xml:space="preserve">Instrument </w:t>
      </w:r>
      <w:r w:rsidRPr="00B42815">
        <w:t>specifies th</w:t>
      </w:r>
      <w:r w:rsidR="00A7076D">
        <w:t xml:space="preserve">at it is made under subsection 926A(2) of the </w:t>
      </w:r>
      <w:r w:rsidRPr="00B42815">
        <w:t xml:space="preserve">Act </w:t>
      </w:r>
      <w:r w:rsidR="00A7076D">
        <w:t xml:space="preserve">and subsection 109(3) of the </w:t>
      </w:r>
      <w:r w:rsidR="00A7076D">
        <w:rPr>
          <w:i/>
          <w:iCs/>
        </w:rPr>
        <w:t>National Consumer Credit Protection Act 2009</w:t>
      </w:r>
      <w:r w:rsidR="00751CA0">
        <w:rPr>
          <w:i/>
          <w:iCs/>
        </w:rPr>
        <w:t xml:space="preserve"> </w:t>
      </w:r>
      <w:r w:rsidR="00751CA0">
        <w:t>(</w:t>
      </w:r>
      <w:r w:rsidR="00751CA0" w:rsidRPr="0020048E">
        <w:rPr>
          <w:b/>
          <w:bCs/>
          <w:i/>
          <w:iCs/>
        </w:rPr>
        <w:t>Credit Act</w:t>
      </w:r>
      <w:r w:rsidR="00751CA0">
        <w:t>)</w:t>
      </w:r>
      <w:r w:rsidRPr="00B42815">
        <w:t xml:space="preserve">. </w:t>
      </w:r>
    </w:p>
    <w:p w14:paraId="797F23F2" w14:textId="1F40167D" w:rsidR="007B4A6F" w:rsidRDefault="007B4A6F" w:rsidP="0063363D">
      <w:pPr>
        <w:pStyle w:val="LI-BodyTextParaa"/>
        <w:numPr>
          <w:ilvl w:val="0"/>
          <w:numId w:val="28"/>
        </w:numPr>
        <w:ind w:left="567" w:hanging="567"/>
        <w:rPr>
          <w:bCs/>
        </w:rPr>
      </w:pPr>
      <w:r>
        <w:rPr>
          <w:bCs/>
        </w:rPr>
        <w:t xml:space="preserve">Section 4 of the Repeal Instrument provides that any instrument specified to be repealed in </w:t>
      </w:r>
      <w:r w:rsidR="006C25AE">
        <w:rPr>
          <w:bCs/>
        </w:rPr>
        <w:t xml:space="preserve">a Schedule to the Repeal Instrument is repealed as set out in the Schedule. </w:t>
      </w:r>
    </w:p>
    <w:p w14:paraId="397418DF" w14:textId="71D846FC" w:rsidR="00A33B48" w:rsidRPr="00DA79EB" w:rsidRDefault="00DA79EB" w:rsidP="00DA79EB">
      <w:pPr>
        <w:pStyle w:val="LI-BodyTextParaa"/>
        <w:numPr>
          <w:ilvl w:val="0"/>
          <w:numId w:val="28"/>
        </w:numPr>
        <w:ind w:left="567" w:hanging="567"/>
        <w:rPr>
          <w:bCs/>
        </w:rPr>
      </w:pPr>
      <w:r w:rsidRPr="00DA79EB">
        <w:rPr>
          <w:bCs/>
        </w:rPr>
        <w:t xml:space="preserve">Clause 1 of Schedule 1 of the </w:t>
      </w:r>
      <w:r w:rsidR="005D1214" w:rsidRPr="00DA79EB">
        <w:rPr>
          <w:bCs/>
        </w:rPr>
        <w:t xml:space="preserve">Repeal Instrument </w:t>
      </w:r>
      <w:r w:rsidR="00A33B48" w:rsidRPr="00DA79EB">
        <w:rPr>
          <w:bCs/>
        </w:rPr>
        <w:t xml:space="preserve">repeals </w:t>
      </w:r>
      <w:r w:rsidR="00790466" w:rsidRPr="00DA79EB">
        <w:rPr>
          <w:bCs/>
        </w:rPr>
        <w:t>[</w:t>
      </w:r>
      <w:r w:rsidR="00A33B48" w:rsidRPr="00DA79EB">
        <w:rPr>
          <w:bCs/>
        </w:rPr>
        <w:t>CO 1</w:t>
      </w:r>
      <w:r w:rsidR="001C5A74" w:rsidRPr="00DA79EB">
        <w:rPr>
          <w:bCs/>
        </w:rPr>
        <w:t>4</w:t>
      </w:r>
      <w:r w:rsidR="00A33B48" w:rsidRPr="00DA79EB">
        <w:rPr>
          <w:bCs/>
        </w:rPr>
        <w:t>/</w:t>
      </w:r>
      <w:r w:rsidR="001C5A74" w:rsidRPr="00DA79EB">
        <w:rPr>
          <w:bCs/>
        </w:rPr>
        <w:t>923</w:t>
      </w:r>
      <w:r w:rsidR="00790466" w:rsidRPr="00DA79EB">
        <w:rPr>
          <w:bCs/>
        </w:rPr>
        <w:t>]</w:t>
      </w:r>
      <w:r w:rsidR="00A33B48" w:rsidRPr="00DA79EB">
        <w:rPr>
          <w:bCs/>
        </w:rPr>
        <w:t xml:space="preserve">, which </w:t>
      </w:r>
      <w:r w:rsidR="00866E98" w:rsidRPr="00DA79EB">
        <w:rPr>
          <w:bCs/>
        </w:rPr>
        <w:t>was</w:t>
      </w:r>
      <w:r w:rsidR="00A33B48" w:rsidRPr="00DA79EB">
        <w:rPr>
          <w:bCs/>
        </w:rPr>
        <w:t xml:space="preserve"> otherwise scheduled to sunset on 1 October 202</w:t>
      </w:r>
      <w:r w:rsidR="001C5A74" w:rsidRPr="00DA79EB">
        <w:rPr>
          <w:bCs/>
        </w:rPr>
        <w:t>4</w:t>
      </w:r>
      <w:r w:rsidR="00A33B48" w:rsidRPr="00DA79EB">
        <w:rPr>
          <w:bCs/>
        </w:rPr>
        <w:t xml:space="preserve">. </w:t>
      </w:r>
      <w:r w:rsidRPr="00DA79EB">
        <w:rPr>
          <w:bCs/>
        </w:rPr>
        <w:t xml:space="preserve">Clause </w:t>
      </w:r>
      <w:r w:rsidR="00795A79" w:rsidRPr="00DA79EB">
        <w:rPr>
          <w:bCs/>
        </w:rPr>
        <w:t xml:space="preserve">2 of </w:t>
      </w:r>
      <w:r>
        <w:rPr>
          <w:bCs/>
        </w:rPr>
        <w:t xml:space="preserve">Schedule 1 repeals </w:t>
      </w:r>
      <w:r w:rsidR="00795A79" w:rsidRPr="00DA79EB">
        <w:rPr>
          <w:bCs/>
        </w:rPr>
        <w:t xml:space="preserve">LI 2021/716 which was to be repealed on 5 October 2024 and </w:t>
      </w:r>
      <w:r>
        <w:rPr>
          <w:bCs/>
        </w:rPr>
        <w:t xml:space="preserve">Clause </w:t>
      </w:r>
      <w:r w:rsidR="00795A79" w:rsidRPr="00DA79EB">
        <w:rPr>
          <w:bCs/>
        </w:rPr>
        <w:t>3</w:t>
      </w:r>
      <w:r w:rsidR="00866E98" w:rsidRPr="00DA79EB">
        <w:rPr>
          <w:bCs/>
        </w:rPr>
        <w:t xml:space="preserve"> of </w:t>
      </w:r>
      <w:r>
        <w:rPr>
          <w:bCs/>
        </w:rPr>
        <w:t xml:space="preserve">Schedule 1 </w:t>
      </w:r>
      <w:r w:rsidR="0017780B" w:rsidRPr="00DA79EB">
        <w:rPr>
          <w:bCs/>
        </w:rPr>
        <w:t xml:space="preserve">repeals </w:t>
      </w:r>
      <w:r w:rsidR="005D1B5E" w:rsidRPr="00DA79EB">
        <w:rPr>
          <w:bCs/>
        </w:rPr>
        <w:t>L</w:t>
      </w:r>
      <w:r w:rsidR="00E82E17" w:rsidRPr="00DA79EB">
        <w:rPr>
          <w:bCs/>
        </w:rPr>
        <w:t>I</w:t>
      </w:r>
      <w:r w:rsidR="005D1B5E" w:rsidRPr="00DA79EB">
        <w:rPr>
          <w:bCs/>
        </w:rPr>
        <w:t xml:space="preserve"> 2021/801 which </w:t>
      </w:r>
      <w:r w:rsidR="00866E98" w:rsidRPr="00DA79EB">
        <w:rPr>
          <w:bCs/>
        </w:rPr>
        <w:t>was</w:t>
      </w:r>
      <w:r w:rsidR="005D1B5E" w:rsidRPr="00DA79EB">
        <w:rPr>
          <w:bCs/>
        </w:rPr>
        <w:t xml:space="preserve"> to be</w:t>
      </w:r>
      <w:r w:rsidR="00E82E17" w:rsidRPr="00DA79EB">
        <w:rPr>
          <w:bCs/>
        </w:rPr>
        <w:t xml:space="preserve"> </w:t>
      </w:r>
      <w:r w:rsidR="005D1B5E" w:rsidRPr="00DA79EB">
        <w:rPr>
          <w:bCs/>
        </w:rPr>
        <w:t>repealed on 1 October 2024</w:t>
      </w:r>
      <w:r w:rsidR="00795A79" w:rsidRPr="00DA79EB">
        <w:rPr>
          <w:bCs/>
        </w:rPr>
        <w:t>.</w:t>
      </w:r>
      <w:r w:rsidR="005D1B5E" w:rsidRPr="00DA79EB">
        <w:rPr>
          <w:bCs/>
        </w:rPr>
        <w:t xml:space="preserve"> </w:t>
      </w:r>
    </w:p>
    <w:p w14:paraId="33B33353" w14:textId="0FCCD6AF" w:rsidR="00437415" w:rsidRPr="006D6079" w:rsidRDefault="00C52E7C" w:rsidP="00437415">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r w:rsidR="00437415">
        <w:rPr>
          <w:b/>
          <w:bCs/>
        </w:rPr>
        <w:br/>
      </w:r>
    </w:p>
    <w:p w14:paraId="4C09FB37" w14:textId="468FA1B5" w:rsidR="00422F89" w:rsidRDefault="00C52E7C" w:rsidP="00626005">
      <w:pPr>
        <w:pStyle w:val="ListParagraph"/>
        <w:numPr>
          <w:ilvl w:val="0"/>
          <w:numId w:val="28"/>
        </w:numPr>
        <w:ind w:left="567" w:hanging="567"/>
        <w:rPr>
          <w:lang w:eastAsia="en-AU"/>
        </w:rPr>
      </w:pPr>
      <w:r>
        <w:t xml:space="preserve">The </w:t>
      </w:r>
      <w:r w:rsidR="00ED796D">
        <w:t xml:space="preserve">subject matter and </w:t>
      </w:r>
      <w:r>
        <w:t>policy implemented by th</w:t>
      </w:r>
      <w:r w:rsidR="0067487A">
        <w:t>e I</w:t>
      </w:r>
      <w:r>
        <w:t xml:space="preserve">nstrument is more appropriate for </w:t>
      </w:r>
      <w:r w:rsidR="00ED796D">
        <w:t xml:space="preserve">a legislative instrument rather than primary legislation </w:t>
      </w:r>
      <w:r w:rsidR="00CB75AC">
        <w:t>because</w:t>
      </w:r>
      <w:r w:rsidR="00BB4588">
        <w:t>:</w:t>
      </w:r>
    </w:p>
    <w:p w14:paraId="431E6440" w14:textId="77777777" w:rsidR="00422F89" w:rsidRDefault="00422F89" w:rsidP="00422F89">
      <w:pPr>
        <w:pStyle w:val="ListParagraph"/>
        <w:ind w:left="567"/>
      </w:pPr>
    </w:p>
    <w:p w14:paraId="186E60E9" w14:textId="2EB111A8" w:rsidR="00B04BDE" w:rsidRDefault="00CB75AC" w:rsidP="000F0790">
      <w:pPr>
        <w:pStyle w:val="ListParagraph"/>
        <w:numPr>
          <w:ilvl w:val="0"/>
          <w:numId w:val="32"/>
        </w:numPr>
        <w:ind w:left="1134" w:hanging="567"/>
        <w:rPr>
          <w:lang w:eastAsia="en-AU"/>
        </w:rPr>
      </w:pPr>
      <w:r w:rsidRPr="00CB75AC">
        <w:t xml:space="preserve">the </w:t>
      </w:r>
      <w:r w:rsidR="00422F89">
        <w:t xml:space="preserve">matters contained in the </w:t>
      </w:r>
      <w:r w:rsidRPr="00CB75AC">
        <w:t xml:space="preserve">Instrument </w:t>
      </w:r>
      <w:r w:rsidR="00422F89">
        <w:t xml:space="preserve">are a specific amendment designed to </w:t>
      </w:r>
      <w:r w:rsidR="00C377D1" w:rsidRPr="00C377D1">
        <w:rPr>
          <w:lang w:eastAsia="en-AU"/>
        </w:rPr>
        <w:t xml:space="preserve"> ensure the application of primary legislation </w:t>
      </w:r>
      <w:r w:rsidR="00B04BDE">
        <w:rPr>
          <w:lang w:eastAsia="en-AU"/>
        </w:rPr>
        <w:t xml:space="preserve">applies in a way </w:t>
      </w:r>
      <w:r w:rsidR="0047468E">
        <w:rPr>
          <w:lang w:eastAsia="en-AU"/>
        </w:rPr>
        <w:t xml:space="preserve">that is </w:t>
      </w:r>
      <w:r w:rsidR="00C377D1" w:rsidRPr="00C377D1">
        <w:rPr>
          <w:lang w:eastAsia="en-AU"/>
        </w:rPr>
        <w:t>consistent with the intended policy and the enabling provision in the primary legislation</w:t>
      </w:r>
      <w:r w:rsidR="009E5CBC">
        <w:rPr>
          <w:lang w:eastAsia="en-AU"/>
        </w:rPr>
        <w:t>; and</w:t>
      </w:r>
      <w:r w:rsidR="005D38A0">
        <w:rPr>
          <w:lang w:eastAsia="en-AU"/>
        </w:rPr>
        <w:t xml:space="preserve"> </w:t>
      </w:r>
    </w:p>
    <w:p w14:paraId="39BCE779" w14:textId="77777777" w:rsidR="002F1B28" w:rsidRDefault="002F1B28" w:rsidP="000F0790">
      <w:pPr>
        <w:pStyle w:val="ListParagraph"/>
        <w:ind w:left="1134" w:hanging="567"/>
        <w:rPr>
          <w:lang w:eastAsia="en-AU"/>
        </w:rPr>
      </w:pPr>
    </w:p>
    <w:p w14:paraId="2173D932" w14:textId="094B83F8" w:rsidR="00C377D1" w:rsidRPr="00C377D1" w:rsidRDefault="002F1B28" w:rsidP="000F0790">
      <w:pPr>
        <w:pStyle w:val="ListParagraph"/>
        <w:numPr>
          <w:ilvl w:val="0"/>
          <w:numId w:val="32"/>
        </w:numPr>
        <w:ind w:left="1134" w:hanging="567"/>
        <w:rPr>
          <w:lang w:eastAsia="en-AU"/>
        </w:rPr>
      </w:pPr>
      <w:r>
        <w:rPr>
          <w:lang w:eastAsia="en-AU"/>
        </w:rPr>
        <w:t>t</w:t>
      </w:r>
      <w:r w:rsidR="005D38A0">
        <w:rPr>
          <w:lang w:eastAsia="en-AU"/>
        </w:rPr>
        <w:t xml:space="preserve">he Instrument preserves the effect of </w:t>
      </w:r>
      <w:r w:rsidR="00195CE0">
        <w:rPr>
          <w:lang w:eastAsia="en-AU"/>
        </w:rPr>
        <w:t>[CO 1</w:t>
      </w:r>
      <w:r w:rsidR="00BB4588">
        <w:rPr>
          <w:lang w:eastAsia="en-AU"/>
        </w:rPr>
        <w:t>4</w:t>
      </w:r>
      <w:r w:rsidR="00195CE0">
        <w:rPr>
          <w:lang w:eastAsia="en-AU"/>
        </w:rPr>
        <w:t>/</w:t>
      </w:r>
      <w:r w:rsidR="00BB4588">
        <w:rPr>
          <w:lang w:eastAsia="en-AU"/>
        </w:rPr>
        <w:t>923</w:t>
      </w:r>
      <w:r w:rsidR="00195CE0">
        <w:rPr>
          <w:lang w:eastAsia="en-AU"/>
        </w:rPr>
        <w:t xml:space="preserve">] </w:t>
      </w:r>
      <w:r w:rsidR="000C12CE">
        <w:rPr>
          <w:lang w:eastAsia="en-AU"/>
        </w:rPr>
        <w:t xml:space="preserve">, which </w:t>
      </w:r>
      <w:r w:rsidR="00DF1DF2">
        <w:rPr>
          <w:lang w:eastAsia="en-AU"/>
        </w:rPr>
        <w:t xml:space="preserve">was otherwise due to sunset on 1 October 2024. </w:t>
      </w:r>
    </w:p>
    <w:p w14:paraId="1292FC75" w14:textId="59EABBBF" w:rsidR="001E7E2B" w:rsidRDefault="00CB75AC" w:rsidP="0063363D">
      <w:pPr>
        <w:pStyle w:val="LI-BodyTextParaa"/>
        <w:numPr>
          <w:ilvl w:val="0"/>
          <w:numId w:val="28"/>
        </w:numPr>
        <w:ind w:left="567" w:hanging="567"/>
      </w:pPr>
      <w:r w:rsidRPr="00CB75AC">
        <w:t xml:space="preserve">It will be a matter for the Government and for Parliament </w:t>
      </w:r>
      <w:r w:rsidR="00AC41F7">
        <w:t>if</w:t>
      </w:r>
      <w:r w:rsidRPr="00CB75AC">
        <w:t xml:space="preserve"> </w:t>
      </w:r>
      <w:r w:rsidR="00790466">
        <w:t xml:space="preserve">primary legislation or regulations </w:t>
      </w:r>
      <w:r w:rsidRPr="00CB75AC">
        <w:t>may be amended in future</w:t>
      </w:r>
      <w:r w:rsidR="00066AB3">
        <w:t xml:space="preserve"> </w:t>
      </w:r>
      <w:r w:rsidRPr="00CB75AC">
        <w:t xml:space="preserve">to include the </w:t>
      </w:r>
      <w:r w:rsidR="00DA7CC2">
        <w:t xml:space="preserve">requirements </w:t>
      </w:r>
      <w:r w:rsidRPr="00CB75AC">
        <w:t>in the Instrument</w:t>
      </w:r>
      <w:r>
        <w:t>.</w:t>
      </w:r>
      <w:r w:rsidR="00E845F0" w:rsidRPr="00E845F0">
        <w:t xml:space="preserve"> </w:t>
      </w:r>
    </w:p>
    <w:p w14:paraId="10F522CB" w14:textId="77777777" w:rsidR="00370426" w:rsidRDefault="00370426" w:rsidP="00370426">
      <w:pPr>
        <w:pStyle w:val="LI-BodyTextParaa"/>
        <w:ind w:left="0" w:firstLine="0"/>
        <w:contextualSpacing/>
        <w:rPr>
          <w:b/>
          <w:bCs/>
        </w:rPr>
      </w:pPr>
    </w:p>
    <w:p w14:paraId="701C2942" w14:textId="5F566888" w:rsidR="00370426" w:rsidRDefault="00F61A66" w:rsidP="00370426">
      <w:pPr>
        <w:pStyle w:val="LI-BodyTextParaa"/>
        <w:ind w:left="0" w:firstLine="0"/>
        <w:contextualSpacing/>
        <w:rPr>
          <w:b/>
          <w:bCs/>
        </w:rPr>
      </w:pPr>
      <w:r w:rsidRPr="00F83FBD">
        <w:rPr>
          <w:b/>
          <w:bCs/>
        </w:rPr>
        <w:t>Duration</w:t>
      </w:r>
      <w:r w:rsidR="009A2319" w:rsidRPr="00F83FBD">
        <w:rPr>
          <w:b/>
          <w:bCs/>
        </w:rPr>
        <w:t xml:space="preserve"> of the instrument</w:t>
      </w:r>
      <w:r w:rsidR="003177B2">
        <w:rPr>
          <w:b/>
          <w:bCs/>
        </w:rPr>
        <w:t xml:space="preserve"> </w:t>
      </w:r>
    </w:p>
    <w:p w14:paraId="66D40A73" w14:textId="77777777" w:rsidR="00370426" w:rsidRPr="00370426" w:rsidRDefault="00370426" w:rsidP="00370426">
      <w:pPr>
        <w:pStyle w:val="LI-BodyTextParaa"/>
        <w:ind w:left="0" w:firstLine="0"/>
        <w:contextualSpacing/>
        <w:rPr>
          <w:b/>
          <w:bCs/>
        </w:rPr>
      </w:pPr>
    </w:p>
    <w:p w14:paraId="4D579248" w14:textId="32CDA28B" w:rsidR="005A390E" w:rsidRPr="005A390E" w:rsidRDefault="002827AA" w:rsidP="0063363D">
      <w:pPr>
        <w:pStyle w:val="ListParagraph"/>
        <w:numPr>
          <w:ilvl w:val="0"/>
          <w:numId w:val="28"/>
        </w:numPr>
        <w:ind w:left="567" w:hanging="567"/>
        <w:rPr>
          <w:lang w:eastAsia="en-AU"/>
        </w:rPr>
      </w:pPr>
      <w:r>
        <w:t xml:space="preserve">The duration of the Instrument is </w:t>
      </w:r>
      <w:r w:rsidR="00DA7CC2">
        <w:t>five</w:t>
      </w:r>
      <w:r w:rsidR="0086184D">
        <w:t xml:space="preserve"> years</w:t>
      </w:r>
      <w:r w:rsidR="00F61FEA">
        <w:rPr>
          <w:lang w:eastAsia="en-AU"/>
        </w:rPr>
        <w:t>.</w:t>
      </w:r>
      <w:r w:rsidR="00FC0B93">
        <w:t xml:space="preserve"> </w:t>
      </w:r>
    </w:p>
    <w:bookmarkEnd w:id="1"/>
    <w:p w14:paraId="6E228E05" w14:textId="77777777" w:rsidR="00F03BB5" w:rsidRDefault="00474B52" w:rsidP="006D6079">
      <w:pPr>
        <w:pStyle w:val="LI-BodyTextNumbered"/>
        <w:keepNext/>
        <w:ind w:left="0" w:firstLine="0"/>
        <w:rPr>
          <w:b/>
        </w:rPr>
      </w:pPr>
      <w:r>
        <w:rPr>
          <w:b/>
        </w:rPr>
        <w:lastRenderedPageBreak/>
        <w:t>Legislative authority</w:t>
      </w:r>
    </w:p>
    <w:p w14:paraId="3EAF355A" w14:textId="39B6F244" w:rsidR="009A3F74" w:rsidRPr="0020048E" w:rsidRDefault="00EC35A8" w:rsidP="0063363D">
      <w:pPr>
        <w:pStyle w:val="LI-BodyTextParaa"/>
        <w:numPr>
          <w:ilvl w:val="0"/>
          <w:numId w:val="28"/>
        </w:numPr>
        <w:ind w:left="567" w:hanging="567"/>
      </w:pPr>
      <w:r w:rsidRPr="004216D9">
        <w:t xml:space="preserve">The </w:t>
      </w:r>
      <w:r w:rsidR="00050BAE">
        <w:t xml:space="preserve">Instrument </w:t>
      </w:r>
      <w:r w:rsidR="00EC437D">
        <w:t>is made under paragraph 926A(</w:t>
      </w:r>
      <w:r w:rsidR="00885B49">
        <w:t xml:space="preserve">2)(c) of the Act </w:t>
      </w:r>
      <w:r w:rsidR="000A47B3">
        <w:t xml:space="preserve">and </w:t>
      </w:r>
      <w:r w:rsidR="00885B49">
        <w:t xml:space="preserve">the </w:t>
      </w:r>
      <w:r w:rsidR="000A47B3">
        <w:t xml:space="preserve">Repeal Instrument </w:t>
      </w:r>
      <w:r w:rsidR="00885B49">
        <w:t>is</w:t>
      </w:r>
      <w:r w:rsidR="00050BAE">
        <w:t xml:space="preserve"> made </w:t>
      </w:r>
      <w:r w:rsidRPr="004216D9">
        <w:t>under</w:t>
      </w:r>
      <w:r>
        <w:t xml:space="preserve"> </w:t>
      </w:r>
      <w:r w:rsidR="00885B49">
        <w:t xml:space="preserve">subsection </w:t>
      </w:r>
      <w:r>
        <w:t>926A(2) of the</w:t>
      </w:r>
      <w:r w:rsidR="00663C2F">
        <w:t xml:space="preserve"> Act</w:t>
      </w:r>
      <w:r w:rsidR="000D4C35">
        <w:t xml:space="preserve"> and subsection 109(3) of the Credit Act</w:t>
      </w:r>
      <w:r w:rsidRPr="00B42815">
        <w:rPr>
          <w:i/>
          <w:iCs/>
        </w:rPr>
        <w:t>.</w:t>
      </w:r>
    </w:p>
    <w:p w14:paraId="629E87F3" w14:textId="2586CAA9" w:rsidR="009A3F74" w:rsidRDefault="006A1C04" w:rsidP="0020048E">
      <w:pPr>
        <w:pStyle w:val="LI-BodyTextParaa"/>
        <w:numPr>
          <w:ilvl w:val="0"/>
          <w:numId w:val="28"/>
        </w:numPr>
        <w:ind w:left="567" w:hanging="567"/>
      </w:pPr>
      <w:r>
        <w:t xml:space="preserve">Subsections 926A(2) and 109(3) </w:t>
      </w:r>
      <w:r w:rsidR="00FF7FCB" w:rsidRPr="00B15A67">
        <w:t xml:space="preserve">provide that, among other powers, ASIC may declare that relevant provisions of </w:t>
      </w:r>
      <w:r>
        <w:t xml:space="preserve">the Act and the Credit Act, respectively, </w:t>
      </w:r>
      <w:r w:rsidR="00FF7FCB" w:rsidRPr="00B15A67">
        <w:t xml:space="preserve">apply as if specified provisions were omitted, modified or varied as specified in the declaration.  </w:t>
      </w:r>
    </w:p>
    <w:p w14:paraId="1D8ECD5D" w14:textId="43727A54" w:rsidR="00E91574" w:rsidRDefault="00E91574" w:rsidP="00485A97">
      <w:pPr>
        <w:pStyle w:val="LI-BodyTextParaa"/>
        <w:numPr>
          <w:ilvl w:val="0"/>
          <w:numId w:val="28"/>
        </w:numPr>
        <w:ind w:left="567" w:hanging="567"/>
      </w:pPr>
      <w:r>
        <w:t xml:space="preserve">Under subsection 33(3) of the </w:t>
      </w:r>
      <w:r>
        <w:rPr>
          <w:i/>
          <w:iCs/>
        </w:rPr>
        <w:t>Acts Interpretation Act 1901</w:t>
      </w:r>
      <w:r>
        <w:t xml:space="preserve">, where an Act confers a power to make, grant or issue any instrument (including rules, regulations or by-laws), the power shall be construed as including a power exercisable in the like manner and subject to the like conditions (if any) to repeal, rescind, amend, or vary any such instrument. </w:t>
      </w:r>
    </w:p>
    <w:p w14:paraId="7D3AA32E" w14:textId="46C0D3E3" w:rsidR="00435EEF" w:rsidRDefault="0018039E" w:rsidP="0020048E">
      <w:pPr>
        <w:pStyle w:val="LI-BodyTextParaa"/>
        <w:numPr>
          <w:ilvl w:val="0"/>
          <w:numId w:val="28"/>
        </w:numPr>
        <w:ind w:left="567" w:hanging="567"/>
      </w:pPr>
      <w:r w:rsidRPr="0018039E">
        <w:t xml:space="preserve">The Instrument </w:t>
      </w:r>
      <w:r w:rsidR="006D7D91">
        <w:t>and Repeal Instrument are</w:t>
      </w:r>
      <w:r w:rsidRPr="0018039E">
        <w:t xml:space="preserve"> disallowable legislative instrument</w:t>
      </w:r>
      <w:r w:rsidR="00400268">
        <w:t>s</w:t>
      </w:r>
      <w:r>
        <w:t>.</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1AF371CB" w:rsidR="00223DCF" w:rsidRPr="00EA17A6" w:rsidRDefault="00223DCF" w:rsidP="0020048E">
      <w:pPr>
        <w:pStyle w:val="LI-BodyTextParaa"/>
        <w:numPr>
          <w:ilvl w:val="0"/>
          <w:numId w:val="28"/>
        </w:numPr>
        <w:ind w:left="567" w:hanging="567"/>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4B154A7D" w14:textId="0D5D7FEE" w:rsidR="00223DCF" w:rsidRPr="00F60DF4" w:rsidRDefault="0086184D" w:rsidP="00223DCF">
      <w:pPr>
        <w:pStyle w:val="LI-BodyTextNumbered"/>
        <w:ind w:left="0" w:firstLine="0"/>
        <w:rPr>
          <w:b/>
          <w:i/>
        </w:rPr>
      </w:pPr>
      <w:r w:rsidRPr="00F60DF4">
        <w:rPr>
          <w:b/>
          <w:i/>
        </w:rPr>
        <w:t>ASIC Corporations (Record-</w:t>
      </w:r>
      <w:r w:rsidR="000C095E">
        <w:rPr>
          <w:b/>
          <w:i/>
        </w:rPr>
        <w:t>K</w:t>
      </w:r>
      <w:r w:rsidRPr="00F60DF4">
        <w:rPr>
          <w:b/>
          <w:i/>
        </w:rPr>
        <w:t xml:space="preserve">eeping </w:t>
      </w:r>
      <w:r w:rsidR="006E3538">
        <w:rPr>
          <w:b/>
          <w:i/>
        </w:rPr>
        <w:t xml:space="preserve">Requirements </w:t>
      </w:r>
      <w:r w:rsidR="00210949" w:rsidRPr="00F60DF4">
        <w:rPr>
          <w:b/>
          <w:i/>
        </w:rPr>
        <w:t xml:space="preserve">for Australian Financial Services Licensees when </w:t>
      </w:r>
      <w:r w:rsidR="006E3538">
        <w:rPr>
          <w:b/>
          <w:i/>
        </w:rPr>
        <w:t>G</w:t>
      </w:r>
      <w:r w:rsidR="00210949" w:rsidRPr="00F60DF4">
        <w:rPr>
          <w:b/>
          <w:i/>
        </w:rPr>
        <w:t xml:space="preserve">iving </w:t>
      </w:r>
      <w:r w:rsidR="006E3538">
        <w:rPr>
          <w:b/>
          <w:i/>
        </w:rPr>
        <w:t>P</w:t>
      </w:r>
      <w:r w:rsidR="00210949" w:rsidRPr="00F60DF4">
        <w:rPr>
          <w:b/>
          <w:i/>
        </w:rPr>
        <w:t xml:space="preserve">ersonal </w:t>
      </w:r>
      <w:r w:rsidR="006E3538">
        <w:rPr>
          <w:b/>
          <w:i/>
        </w:rPr>
        <w:t>A</w:t>
      </w:r>
      <w:r w:rsidR="00210949" w:rsidRPr="00F60DF4">
        <w:rPr>
          <w:b/>
          <w:i/>
        </w:rPr>
        <w:t>dvice</w:t>
      </w:r>
      <w:r w:rsidRPr="00F60DF4">
        <w:rPr>
          <w:b/>
          <w:i/>
        </w:rPr>
        <w:t>) Instrument 2024/</w:t>
      </w:r>
      <w:r w:rsidR="001A08C3" w:rsidRPr="00F60DF4">
        <w:rPr>
          <w:b/>
          <w:i/>
        </w:rPr>
        <w:t>508</w:t>
      </w:r>
      <w:r w:rsidR="00F60DF4">
        <w:rPr>
          <w:bCs/>
          <w:iCs/>
        </w:rPr>
        <w:t xml:space="preserve"> an</w:t>
      </w:r>
      <w:r w:rsidR="00A66E9C">
        <w:rPr>
          <w:bCs/>
          <w:iCs/>
        </w:rPr>
        <w:t xml:space="preserve">d </w:t>
      </w:r>
      <w:r w:rsidR="00A66E9C">
        <w:rPr>
          <w:b/>
          <w:i/>
        </w:rPr>
        <w:t xml:space="preserve">ASIC Corporations </w:t>
      </w:r>
      <w:r w:rsidR="00DC7DD3">
        <w:rPr>
          <w:b/>
          <w:i/>
        </w:rPr>
        <w:t xml:space="preserve">and Credit </w:t>
      </w:r>
      <w:r w:rsidR="00A66E9C">
        <w:rPr>
          <w:b/>
          <w:i/>
        </w:rPr>
        <w:t>(Repeal) Instrument 2024/507</w:t>
      </w:r>
      <w:r w:rsidRPr="0020048E">
        <w:rPr>
          <w:bCs/>
          <w:i/>
        </w:rPr>
        <w:t>.</w:t>
      </w:r>
    </w:p>
    <w:p w14:paraId="0AD76C9D" w14:textId="77777777" w:rsidR="00223DCF" w:rsidRPr="00EA17A6" w:rsidRDefault="00223DCF" w:rsidP="001872DC">
      <w:pPr>
        <w:pStyle w:val="LI-BodyTextNumbered"/>
        <w:ind w:left="567"/>
        <w:rPr>
          <w:u w:val="single"/>
        </w:rPr>
      </w:pPr>
      <w:r w:rsidRPr="00EA17A6">
        <w:rPr>
          <w:u w:val="single"/>
        </w:rPr>
        <w:t>Overview</w:t>
      </w:r>
    </w:p>
    <w:p w14:paraId="61E3A8A5" w14:textId="276A222C" w:rsidR="004667CC" w:rsidRDefault="00CB2D96" w:rsidP="0086320E">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493406" w:rsidRPr="00F60DF4">
        <w:rPr>
          <w:i/>
          <w:iCs/>
          <w:sz w:val="24"/>
          <w:szCs w:val="24"/>
        </w:rPr>
        <w:t>ASIC Corporations (Record-</w:t>
      </w:r>
      <w:r w:rsidR="00880025">
        <w:rPr>
          <w:i/>
          <w:iCs/>
          <w:sz w:val="24"/>
          <w:szCs w:val="24"/>
        </w:rPr>
        <w:t>K</w:t>
      </w:r>
      <w:r w:rsidR="00493406" w:rsidRPr="00F60DF4">
        <w:rPr>
          <w:i/>
          <w:iCs/>
          <w:sz w:val="24"/>
          <w:szCs w:val="24"/>
        </w:rPr>
        <w:t xml:space="preserve">eeping </w:t>
      </w:r>
      <w:r w:rsidR="006E3538">
        <w:rPr>
          <w:i/>
          <w:iCs/>
          <w:sz w:val="24"/>
          <w:szCs w:val="24"/>
        </w:rPr>
        <w:t xml:space="preserve">Requirements </w:t>
      </w:r>
      <w:r w:rsidR="00B20F6D">
        <w:rPr>
          <w:i/>
          <w:iCs/>
          <w:sz w:val="24"/>
          <w:szCs w:val="24"/>
        </w:rPr>
        <w:t xml:space="preserve">for Australian Financial </w:t>
      </w:r>
      <w:r w:rsidR="00410E1F" w:rsidRPr="0020048E">
        <w:rPr>
          <w:bCs/>
          <w:i/>
          <w:sz w:val="24"/>
          <w:szCs w:val="24"/>
        </w:rPr>
        <w:t xml:space="preserve">Services Licensees when </w:t>
      </w:r>
      <w:r w:rsidR="00880025">
        <w:rPr>
          <w:bCs/>
          <w:i/>
          <w:sz w:val="24"/>
          <w:szCs w:val="24"/>
        </w:rPr>
        <w:t>G</w:t>
      </w:r>
      <w:r w:rsidR="00410E1F" w:rsidRPr="0020048E">
        <w:rPr>
          <w:bCs/>
          <w:i/>
          <w:sz w:val="24"/>
          <w:szCs w:val="24"/>
        </w:rPr>
        <w:t xml:space="preserve">iving </w:t>
      </w:r>
      <w:r w:rsidR="00880025">
        <w:rPr>
          <w:bCs/>
          <w:i/>
          <w:sz w:val="24"/>
          <w:szCs w:val="24"/>
        </w:rPr>
        <w:t>P</w:t>
      </w:r>
      <w:r w:rsidR="00410E1F" w:rsidRPr="0020048E">
        <w:rPr>
          <w:bCs/>
          <w:i/>
          <w:sz w:val="24"/>
          <w:szCs w:val="24"/>
        </w:rPr>
        <w:t xml:space="preserve">ersonal </w:t>
      </w:r>
      <w:r w:rsidR="00880025">
        <w:rPr>
          <w:bCs/>
          <w:i/>
          <w:sz w:val="24"/>
          <w:szCs w:val="24"/>
        </w:rPr>
        <w:t>A</w:t>
      </w:r>
      <w:r w:rsidR="00410E1F" w:rsidRPr="0020048E">
        <w:rPr>
          <w:bCs/>
          <w:i/>
          <w:sz w:val="24"/>
          <w:szCs w:val="24"/>
        </w:rPr>
        <w:t>dvice)</w:t>
      </w:r>
      <w:r w:rsidR="00410E1F" w:rsidRPr="0020048E">
        <w:rPr>
          <w:b/>
          <w:i/>
          <w:sz w:val="24"/>
          <w:szCs w:val="24"/>
        </w:rPr>
        <w:t xml:space="preserve"> </w:t>
      </w:r>
      <w:r w:rsidR="00B20F6D">
        <w:rPr>
          <w:bCs/>
          <w:i/>
          <w:sz w:val="24"/>
          <w:szCs w:val="24"/>
        </w:rPr>
        <w:t xml:space="preserve">Instrument </w:t>
      </w:r>
      <w:r w:rsidR="00493406" w:rsidRPr="00F60DF4">
        <w:rPr>
          <w:i/>
          <w:iCs/>
          <w:sz w:val="24"/>
          <w:szCs w:val="24"/>
        </w:rPr>
        <w:t>2024/</w:t>
      </w:r>
      <w:r w:rsidR="001A08C3" w:rsidRPr="00F60DF4">
        <w:rPr>
          <w:i/>
          <w:iCs/>
          <w:sz w:val="24"/>
          <w:szCs w:val="24"/>
        </w:rPr>
        <w:t>508</w:t>
      </w:r>
      <w:r w:rsidR="007A1372">
        <w:rPr>
          <w:i/>
          <w:iCs/>
          <w:sz w:val="24"/>
          <w:szCs w:val="24"/>
        </w:rPr>
        <w:t xml:space="preserve"> </w:t>
      </w:r>
      <w:r w:rsidR="007A1372">
        <w:rPr>
          <w:sz w:val="24"/>
          <w:szCs w:val="24"/>
        </w:rPr>
        <w:t>(</w:t>
      </w:r>
      <w:r w:rsidR="007A1372" w:rsidRPr="00FE236A">
        <w:rPr>
          <w:b/>
          <w:bCs/>
          <w:i/>
          <w:iCs/>
          <w:sz w:val="24"/>
          <w:szCs w:val="24"/>
        </w:rPr>
        <w:t>Instrumen</w:t>
      </w:r>
      <w:r w:rsidR="007A1372" w:rsidRPr="00FE236A">
        <w:rPr>
          <w:i/>
          <w:iCs/>
          <w:sz w:val="24"/>
          <w:szCs w:val="24"/>
        </w:rPr>
        <w:t>t</w:t>
      </w:r>
      <w:r w:rsidR="007A1372">
        <w:rPr>
          <w:sz w:val="24"/>
          <w:szCs w:val="24"/>
        </w:rPr>
        <w:t>)</w:t>
      </w:r>
      <w:r w:rsidR="00493406" w:rsidRPr="00E474F9">
        <w:rPr>
          <w:i/>
          <w:iCs/>
          <w:sz w:val="24"/>
          <w:szCs w:val="24"/>
        </w:rPr>
        <w:t xml:space="preserve"> </w:t>
      </w:r>
      <w:r w:rsidR="00493406" w:rsidRPr="00493406">
        <w:rPr>
          <w:rFonts w:eastAsia="Times New Roman"/>
          <w:sz w:val="24"/>
          <w:szCs w:val="24"/>
          <w:lang w:eastAsia="en-AU"/>
        </w:rPr>
        <w:t xml:space="preserve">preserves the effect of </w:t>
      </w:r>
      <w:r w:rsidR="00AA2BA9">
        <w:rPr>
          <w:rFonts w:eastAsia="Times New Roman"/>
          <w:sz w:val="24"/>
          <w:szCs w:val="24"/>
          <w:lang w:eastAsia="en-AU"/>
        </w:rPr>
        <w:t>requirements</w:t>
      </w:r>
      <w:r w:rsidR="00493406" w:rsidRPr="00493406">
        <w:rPr>
          <w:rFonts w:eastAsia="Times New Roman"/>
          <w:sz w:val="24"/>
          <w:szCs w:val="24"/>
          <w:lang w:eastAsia="en-AU"/>
        </w:rPr>
        <w:t xml:space="preserve"> </w:t>
      </w:r>
      <w:r w:rsidR="00644FE5">
        <w:rPr>
          <w:rFonts w:eastAsia="Times New Roman"/>
          <w:sz w:val="24"/>
          <w:szCs w:val="24"/>
          <w:lang w:eastAsia="en-AU"/>
        </w:rPr>
        <w:t xml:space="preserve">formerly </w:t>
      </w:r>
      <w:r w:rsidR="00493406" w:rsidRPr="00493406">
        <w:rPr>
          <w:rFonts w:eastAsia="Times New Roman"/>
          <w:sz w:val="24"/>
          <w:szCs w:val="24"/>
          <w:lang w:eastAsia="en-AU"/>
        </w:rPr>
        <w:t>provided under Class Order [CO 14/923]</w:t>
      </w:r>
      <w:r w:rsidR="00F60419">
        <w:rPr>
          <w:rFonts w:eastAsia="Times New Roman"/>
          <w:sz w:val="24"/>
          <w:szCs w:val="24"/>
          <w:lang w:eastAsia="en-AU"/>
        </w:rPr>
        <w:t xml:space="preserve"> </w:t>
      </w:r>
      <w:r w:rsidR="00F60419">
        <w:rPr>
          <w:rFonts w:eastAsia="Times New Roman"/>
          <w:i/>
          <w:iCs/>
          <w:sz w:val="24"/>
          <w:szCs w:val="24"/>
          <w:lang w:eastAsia="en-AU"/>
        </w:rPr>
        <w:t>Records-keeping obligations for Australian financial services licensees when giving personal advice</w:t>
      </w:r>
      <w:r w:rsidR="007A1372">
        <w:rPr>
          <w:rFonts w:eastAsia="Times New Roman"/>
          <w:sz w:val="24"/>
          <w:szCs w:val="24"/>
          <w:lang w:eastAsia="en-AU"/>
        </w:rPr>
        <w:t xml:space="preserve"> </w:t>
      </w:r>
      <w:r w:rsidR="007A1372" w:rsidRPr="00FE236A">
        <w:rPr>
          <w:rFonts w:eastAsia="Times New Roman"/>
          <w:i/>
          <w:iCs/>
          <w:sz w:val="24"/>
          <w:szCs w:val="24"/>
          <w:lang w:eastAsia="en-AU"/>
        </w:rPr>
        <w:t>(</w:t>
      </w:r>
      <w:r w:rsidR="0084535D" w:rsidRPr="00FE236A">
        <w:rPr>
          <w:rFonts w:eastAsia="Times New Roman"/>
          <w:i/>
          <w:iCs/>
          <w:sz w:val="24"/>
          <w:szCs w:val="24"/>
          <w:lang w:eastAsia="en-AU"/>
        </w:rPr>
        <w:t>[</w:t>
      </w:r>
      <w:r w:rsidR="007A1372" w:rsidRPr="00FE236A">
        <w:rPr>
          <w:rFonts w:eastAsia="Times New Roman"/>
          <w:b/>
          <w:bCs/>
          <w:i/>
          <w:iCs/>
          <w:sz w:val="24"/>
          <w:szCs w:val="24"/>
          <w:lang w:eastAsia="en-AU"/>
        </w:rPr>
        <w:t>CO 14/923</w:t>
      </w:r>
      <w:r w:rsidR="0084535D" w:rsidRPr="00FE236A">
        <w:rPr>
          <w:rFonts w:eastAsia="Times New Roman"/>
          <w:b/>
          <w:bCs/>
          <w:i/>
          <w:iCs/>
          <w:sz w:val="24"/>
          <w:szCs w:val="24"/>
          <w:lang w:eastAsia="en-AU"/>
        </w:rPr>
        <w:t>]</w:t>
      </w:r>
      <w:r w:rsidR="007A1372">
        <w:rPr>
          <w:rFonts w:eastAsia="Times New Roman"/>
          <w:sz w:val="24"/>
          <w:szCs w:val="24"/>
          <w:lang w:eastAsia="en-AU"/>
        </w:rPr>
        <w:t>)</w:t>
      </w:r>
      <w:r w:rsidR="00224FB2">
        <w:rPr>
          <w:rFonts w:eastAsia="Times New Roman"/>
          <w:sz w:val="24"/>
          <w:szCs w:val="24"/>
          <w:lang w:eastAsia="en-AU"/>
        </w:rPr>
        <w:t xml:space="preserve">. </w:t>
      </w:r>
    </w:p>
    <w:p w14:paraId="14D55E0C" w14:textId="3CC6CB1C" w:rsidR="00B47813" w:rsidRDefault="004667CC" w:rsidP="0086320E">
      <w:pPr>
        <w:spacing w:before="240" w:line="240" w:lineRule="auto"/>
        <w:ind w:left="567" w:hanging="567"/>
        <w:rPr>
          <w:rFonts w:eastAsia="Times New Roman"/>
          <w:i/>
          <w:iCs/>
          <w:sz w:val="24"/>
          <w:szCs w:val="24"/>
          <w:lang w:eastAsia="en-AU"/>
        </w:rPr>
      </w:pPr>
      <w:r>
        <w:rPr>
          <w:rFonts w:eastAsia="Times New Roman"/>
          <w:sz w:val="24"/>
          <w:szCs w:val="24"/>
          <w:lang w:eastAsia="en-AU"/>
        </w:rPr>
        <w:t>2.</w:t>
      </w:r>
      <w:r>
        <w:rPr>
          <w:rFonts w:eastAsia="Times New Roman"/>
          <w:sz w:val="24"/>
          <w:szCs w:val="24"/>
          <w:lang w:eastAsia="en-AU"/>
        </w:rPr>
        <w:tab/>
      </w:r>
      <w:r w:rsidR="00DA7CE7">
        <w:rPr>
          <w:rFonts w:eastAsia="Times New Roman"/>
          <w:i/>
          <w:iCs/>
          <w:sz w:val="24"/>
          <w:szCs w:val="24"/>
          <w:lang w:eastAsia="en-AU"/>
        </w:rPr>
        <w:t xml:space="preserve">ASIC Corporations </w:t>
      </w:r>
      <w:r w:rsidR="00DC7DD3">
        <w:rPr>
          <w:rFonts w:eastAsia="Times New Roman"/>
          <w:i/>
          <w:iCs/>
          <w:sz w:val="24"/>
          <w:szCs w:val="24"/>
          <w:lang w:eastAsia="en-AU"/>
        </w:rPr>
        <w:t xml:space="preserve">and Credit </w:t>
      </w:r>
      <w:r w:rsidR="00DA7CE7">
        <w:rPr>
          <w:rFonts w:eastAsia="Times New Roman"/>
          <w:i/>
          <w:iCs/>
          <w:sz w:val="24"/>
          <w:szCs w:val="24"/>
          <w:lang w:eastAsia="en-AU"/>
        </w:rPr>
        <w:t xml:space="preserve">(Repeal) Instrument 2024/507 </w:t>
      </w:r>
      <w:r w:rsidR="00224FB2">
        <w:rPr>
          <w:rFonts w:eastAsia="Times New Roman"/>
          <w:sz w:val="24"/>
          <w:szCs w:val="24"/>
          <w:lang w:eastAsia="en-AU"/>
        </w:rPr>
        <w:t>(</w:t>
      </w:r>
      <w:r w:rsidR="00224FB2" w:rsidRPr="0020048E">
        <w:rPr>
          <w:rFonts w:eastAsia="Times New Roman"/>
          <w:b/>
          <w:bCs/>
          <w:i/>
          <w:iCs/>
          <w:sz w:val="24"/>
          <w:szCs w:val="24"/>
          <w:lang w:eastAsia="en-AU"/>
        </w:rPr>
        <w:t>Repeal Instrument</w:t>
      </w:r>
      <w:r w:rsidR="00224FB2">
        <w:rPr>
          <w:rFonts w:eastAsia="Times New Roman"/>
          <w:sz w:val="24"/>
          <w:szCs w:val="24"/>
          <w:lang w:eastAsia="en-AU"/>
        </w:rPr>
        <w:t xml:space="preserve">) </w:t>
      </w:r>
      <w:r w:rsidR="00DA7CE7">
        <w:rPr>
          <w:rFonts w:eastAsia="Times New Roman"/>
          <w:sz w:val="24"/>
          <w:szCs w:val="24"/>
          <w:lang w:eastAsia="en-AU"/>
        </w:rPr>
        <w:t>repeal</w:t>
      </w:r>
      <w:r w:rsidR="0058540E">
        <w:rPr>
          <w:rFonts w:eastAsia="Times New Roman"/>
          <w:sz w:val="24"/>
          <w:szCs w:val="24"/>
          <w:lang w:eastAsia="en-AU"/>
        </w:rPr>
        <w:t>ed</w:t>
      </w:r>
      <w:r w:rsidR="00DA7CE7">
        <w:rPr>
          <w:rFonts w:eastAsia="Times New Roman"/>
          <w:sz w:val="24"/>
          <w:szCs w:val="24"/>
          <w:lang w:eastAsia="en-AU"/>
        </w:rPr>
        <w:t xml:space="preserve"> </w:t>
      </w:r>
      <w:r w:rsidR="00FE752C">
        <w:rPr>
          <w:rFonts w:eastAsia="Times New Roman"/>
          <w:sz w:val="24"/>
          <w:szCs w:val="24"/>
          <w:lang w:eastAsia="en-AU"/>
        </w:rPr>
        <w:t>[CO 14/923</w:t>
      </w:r>
      <w:r w:rsidR="00C92DCE">
        <w:rPr>
          <w:rFonts w:eastAsia="Times New Roman"/>
          <w:sz w:val="24"/>
          <w:szCs w:val="24"/>
          <w:lang w:eastAsia="en-AU"/>
        </w:rPr>
        <w:t>]</w:t>
      </w:r>
      <w:r w:rsidR="0058540E">
        <w:rPr>
          <w:rFonts w:eastAsia="Times New Roman"/>
          <w:sz w:val="24"/>
          <w:szCs w:val="24"/>
          <w:lang w:eastAsia="en-AU"/>
        </w:rPr>
        <w:t xml:space="preserve">, </w:t>
      </w:r>
      <w:r w:rsidR="00224FB2">
        <w:rPr>
          <w:rFonts w:eastAsia="Times New Roman"/>
          <w:sz w:val="24"/>
          <w:szCs w:val="24"/>
          <w:lang w:eastAsia="en-AU"/>
        </w:rPr>
        <w:t xml:space="preserve">which expired or ‘sunset’ on 1 October 2024. The Repeal Instrument </w:t>
      </w:r>
      <w:r w:rsidR="0058540E">
        <w:rPr>
          <w:rFonts w:eastAsia="Times New Roman"/>
          <w:sz w:val="24"/>
          <w:szCs w:val="24"/>
          <w:lang w:eastAsia="en-AU"/>
        </w:rPr>
        <w:t>also repealed</w:t>
      </w:r>
      <w:r w:rsidR="00C92DCE">
        <w:rPr>
          <w:rFonts w:eastAsia="Times New Roman"/>
          <w:sz w:val="24"/>
          <w:szCs w:val="24"/>
          <w:lang w:eastAsia="en-AU"/>
        </w:rPr>
        <w:t xml:space="preserve"> </w:t>
      </w:r>
      <w:r w:rsidR="00C92DCE" w:rsidRPr="0020048E">
        <w:rPr>
          <w:rFonts w:eastAsia="Times New Roman"/>
          <w:i/>
          <w:iCs/>
          <w:sz w:val="24"/>
          <w:szCs w:val="24"/>
          <w:lang w:eastAsia="en-AU"/>
        </w:rPr>
        <w:t>ASIC Corporations and Credit (Breach Reporting—Reportable Situations) Instrument 2021/716 (LI 2021/716)</w:t>
      </w:r>
      <w:r w:rsidR="00C92DCE" w:rsidRPr="00C92DCE">
        <w:rPr>
          <w:rFonts w:eastAsia="Times New Roman"/>
          <w:sz w:val="24"/>
          <w:szCs w:val="24"/>
          <w:lang w:eastAsia="en-AU"/>
        </w:rPr>
        <w:t xml:space="preserve"> </w:t>
      </w:r>
      <w:r w:rsidR="00C21EE4">
        <w:rPr>
          <w:rFonts w:eastAsia="Times New Roman"/>
          <w:sz w:val="24"/>
          <w:szCs w:val="24"/>
          <w:lang w:eastAsia="en-AU"/>
        </w:rPr>
        <w:t>(</w:t>
      </w:r>
      <w:r w:rsidR="00C21EE4" w:rsidRPr="0020048E">
        <w:rPr>
          <w:rFonts w:eastAsia="Times New Roman"/>
          <w:b/>
          <w:bCs/>
          <w:i/>
          <w:iCs/>
          <w:sz w:val="24"/>
          <w:szCs w:val="24"/>
          <w:lang w:eastAsia="en-AU"/>
        </w:rPr>
        <w:t>LI 2021/716</w:t>
      </w:r>
      <w:r w:rsidR="00C21EE4">
        <w:rPr>
          <w:rFonts w:eastAsia="Times New Roman"/>
          <w:sz w:val="24"/>
          <w:szCs w:val="24"/>
          <w:lang w:eastAsia="en-AU"/>
        </w:rPr>
        <w:t xml:space="preserve">) </w:t>
      </w:r>
      <w:r w:rsidR="00C92DCE" w:rsidRPr="00C92DCE">
        <w:rPr>
          <w:rFonts w:eastAsia="Times New Roman"/>
          <w:sz w:val="24"/>
          <w:szCs w:val="24"/>
          <w:lang w:eastAsia="en-AU"/>
        </w:rPr>
        <w:t>and</w:t>
      </w:r>
      <w:r w:rsidR="00C92DCE">
        <w:rPr>
          <w:rFonts w:eastAsia="Times New Roman"/>
          <w:sz w:val="24"/>
          <w:szCs w:val="24"/>
          <w:lang w:eastAsia="en-AU"/>
        </w:rPr>
        <w:t xml:space="preserve"> </w:t>
      </w:r>
      <w:r w:rsidR="00C92DCE">
        <w:rPr>
          <w:rFonts w:eastAsia="Times New Roman"/>
          <w:i/>
          <w:iCs/>
          <w:sz w:val="24"/>
          <w:szCs w:val="24"/>
          <w:lang w:eastAsia="en-AU"/>
        </w:rPr>
        <w:t>ASIC Credit (Breach Reporting</w:t>
      </w:r>
      <w:r w:rsidR="00C92DCE" w:rsidRPr="00C92DCE">
        <w:rPr>
          <w:rFonts w:eastAsia="Times New Roman"/>
          <w:sz w:val="24"/>
          <w:szCs w:val="24"/>
          <w:lang w:eastAsia="en-AU"/>
        </w:rPr>
        <w:t>—</w:t>
      </w:r>
      <w:r w:rsidR="00C92DCE">
        <w:rPr>
          <w:rFonts w:eastAsia="Times New Roman"/>
          <w:i/>
          <w:iCs/>
          <w:sz w:val="24"/>
          <w:szCs w:val="24"/>
          <w:lang w:eastAsia="en-AU"/>
        </w:rPr>
        <w:t>Prescribed Commonwealth Legislation) Instrument 2021/801</w:t>
      </w:r>
      <w:r w:rsidR="00C21EE4">
        <w:rPr>
          <w:rFonts w:eastAsia="Times New Roman"/>
          <w:i/>
          <w:iCs/>
          <w:sz w:val="24"/>
          <w:szCs w:val="24"/>
          <w:lang w:eastAsia="en-AU"/>
        </w:rPr>
        <w:t xml:space="preserve"> </w:t>
      </w:r>
      <w:r w:rsidR="00C21EE4">
        <w:rPr>
          <w:rFonts w:eastAsia="Times New Roman"/>
          <w:sz w:val="24"/>
          <w:szCs w:val="24"/>
          <w:lang w:eastAsia="en-AU"/>
        </w:rPr>
        <w:t>(</w:t>
      </w:r>
      <w:r w:rsidR="00C21EE4" w:rsidRPr="0020048E">
        <w:rPr>
          <w:rFonts w:eastAsia="Times New Roman"/>
          <w:b/>
          <w:bCs/>
          <w:i/>
          <w:iCs/>
          <w:sz w:val="24"/>
          <w:szCs w:val="24"/>
          <w:lang w:eastAsia="en-AU"/>
        </w:rPr>
        <w:t>LI 2021/</w:t>
      </w:r>
      <w:r w:rsidR="0058540E" w:rsidRPr="0020048E">
        <w:rPr>
          <w:rFonts w:eastAsia="Times New Roman"/>
          <w:b/>
          <w:bCs/>
          <w:i/>
          <w:iCs/>
          <w:sz w:val="24"/>
          <w:szCs w:val="24"/>
          <w:lang w:eastAsia="en-AU"/>
        </w:rPr>
        <w:t>801</w:t>
      </w:r>
      <w:r w:rsidR="00C21EE4">
        <w:rPr>
          <w:rFonts w:eastAsia="Times New Roman"/>
          <w:sz w:val="24"/>
          <w:szCs w:val="24"/>
          <w:lang w:eastAsia="en-AU"/>
        </w:rPr>
        <w:t>)</w:t>
      </w:r>
      <w:r w:rsidR="0058540E">
        <w:rPr>
          <w:rFonts w:eastAsia="Times New Roman"/>
          <w:sz w:val="24"/>
          <w:szCs w:val="24"/>
          <w:lang w:eastAsia="en-AU"/>
        </w:rPr>
        <w:t xml:space="preserve"> which expired on </w:t>
      </w:r>
      <w:r w:rsidR="00815235">
        <w:rPr>
          <w:rFonts w:eastAsia="Times New Roman"/>
          <w:sz w:val="24"/>
          <w:szCs w:val="24"/>
          <w:lang w:eastAsia="en-AU"/>
        </w:rPr>
        <w:t xml:space="preserve">5 and </w:t>
      </w:r>
      <w:r w:rsidR="0058540E">
        <w:rPr>
          <w:rFonts w:eastAsia="Times New Roman"/>
          <w:sz w:val="24"/>
          <w:szCs w:val="24"/>
          <w:lang w:eastAsia="en-AU"/>
        </w:rPr>
        <w:t>1 October 2024</w:t>
      </w:r>
      <w:r w:rsidR="00815235">
        <w:rPr>
          <w:rFonts w:eastAsia="Times New Roman"/>
          <w:sz w:val="24"/>
          <w:szCs w:val="24"/>
          <w:lang w:eastAsia="en-AU"/>
        </w:rPr>
        <w:t xml:space="preserve"> respectively</w:t>
      </w:r>
      <w:r w:rsidR="0058540E">
        <w:rPr>
          <w:rFonts w:eastAsia="Times New Roman"/>
          <w:sz w:val="24"/>
          <w:szCs w:val="24"/>
          <w:lang w:eastAsia="en-AU"/>
        </w:rPr>
        <w:t xml:space="preserve">. The relief and requirements in LI 2021/716 and LI 2021/801 has been remade in </w:t>
      </w:r>
      <w:r w:rsidR="00B47813">
        <w:rPr>
          <w:rFonts w:eastAsia="Times New Roman"/>
          <w:i/>
          <w:iCs/>
          <w:sz w:val="24"/>
          <w:szCs w:val="24"/>
          <w:lang w:eastAsia="en-AU"/>
        </w:rPr>
        <w:t xml:space="preserve">ASIC </w:t>
      </w:r>
      <w:r w:rsidR="00B47813" w:rsidRPr="0086320E">
        <w:rPr>
          <w:rFonts w:eastAsia="Times New Roman"/>
          <w:i/>
          <w:iCs/>
          <w:sz w:val="24"/>
          <w:szCs w:val="24"/>
          <w:lang w:eastAsia="en-AU"/>
        </w:rPr>
        <w:t>Corporations and Credit (Breach Reporting</w:t>
      </w:r>
      <w:r w:rsidR="00B47813" w:rsidRPr="0020048E">
        <w:rPr>
          <w:rFonts w:eastAsia="Times New Roman"/>
          <w:i/>
          <w:iCs/>
          <w:sz w:val="24"/>
          <w:szCs w:val="24"/>
          <w:lang w:eastAsia="en-AU"/>
        </w:rPr>
        <w:t>—</w:t>
      </w:r>
      <w:r w:rsidR="0086320E" w:rsidRPr="0020048E">
        <w:rPr>
          <w:rFonts w:eastAsia="Times New Roman"/>
          <w:i/>
          <w:iCs/>
          <w:sz w:val="24"/>
          <w:szCs w:val="24"/>
          <w:lang w:eastAsia="en-AU"/>
        </w:rPr>
        <w:t>Reportable Situations) Instrument 2024/620</w:t>
      </w:r>
      <w:r w:rsidR="0086320E">
        <w:rPr>
          <w:rFonts w:eastAsia="Times New Roman"/>
          <w:sz w:val="24"/>
          <w:szCs w:val="24"/>
          <w:lang w:eastAsia="en-AU"/>
        </w:rPr>
        <w:t>.</w:t>
      </w:r>
      <w:r w:rsidR="00B47813">
        <w:rPr>
          <w:rFonts w:eastAsia="Times New Roman"/>
          <w:i/>
          <w:iCs/>
          <w:sz w:val="24"/>
          <w:szCs w:val="24"/>
          <w:lang w:eastAsia="en-AU"/>
        </w:rPr>
        <w:t xml:space="preserve"> </w:t>
      </w:r>
    </w:p>
    <w:p w14:paraId="186A802D" w14:textId="258A1C30" w:rsidR="007A1372" w:rsidRDefault="00F25923" w:rsidP="00493406">
      <w:pPr>
        <w:spacing w:before="240" w:line="240" w:lineRule="auto"/>
        <w:ind w:left="567" w:hanging="567"/>
        <w:rPr>
          <w:rFonts w:eastAsia="Times New Roman"/>
          <w:sz w:val="24"/>
          <w:szCs w:val="24"/>
          <w:lang w:eastAsia="en-AU"/>
        </w:rPr>
      </w:pPr>
      <w:r>
        <w:rPr>
          <w:rFonts w:eastAsia="Times New Roman"/>
          <w:sz w:val="24"/>
          <w:szCs w:val="24"/>
          <w:lang w:eastAsia="en-AU"/>
        </w:rPr>
        <w:t>3</w:t>
      </w:r>
      <w:r w:rsidR="00493406" w:rsidRPr="00493406">
        <w:rPr>
          <w:rFonts w:eastAsia="Times New Roman"/>
          <w:sz w:val="24"/>
          <w:szCs w:val="24"/>
          <w:lang w:eastAsia="en-AU"/>
        </w:rPr>
        <w:t>.</w:t>
      </w:r>
      <w:r w:rsidR="00493406" w:rsidRPr="00493406">
        <w:rPr>
          <w:rFonts w:eastAsia="Times New Roman"/>
          <w:sz w:val="24"/>
          <w:szCs w:val="24"/>
          <w:lang w:eastAsia="en-AU"/>
        </w:rPr>
        <w:tab/>
        <w:t xml:space="preserve">Following consultation, ASIC considered that </w:t>
      </w:r>
      <w:r w:rsidR="0084535D">
        <w:rPr>
          <w:rFonts w:eastAsia="Times New Roman"/>
          <w:sz w:val="24"/>
          <w:szCs w:val="24"/>
          <w:lang w:eastAsia="en-AU"/>
        </w:rPr>
        <w:t>[</w:t>
      </w:r>
      <w:r w:rsidR="00493406" w:rsidRPr="00493406">
        <w:rPr>
          <w:rFonts w:eastAsia="Times New Roman"/>
          <w:sz w:val="24"/>
          <w:szCs w:val="24"/>
          <w:lang w:eastAsia="en-AU"/>
        </w:rPr>
        <w:t>CO 14/923</w:t>
      </w:r>
      <w:r w:rsidR="0084535D">
        <w:rPr>
          <w:rFonts w:eastAsia="Times New Roman"/>
          <w:sz w:val="24"/>
          <w:szCs w:val="24"/>
          <w:lang w:eastAsia="en-AU"/>
        </w:rPr>
        <w:t>]</w:t>
      </w:r>
      <w:r w:rsidR="00493406" w:rsidRPr="00493406">
        <w:rPr>
          <w:rFonts w:eastAsia="Times New Roman"/>
          <w:sz w:val="24"/>
          <w:szCs w:val="24"/>
          <w:lang w:eastAsia="en-AU"/>
        </w:rPr>
        <w:t xml:space="preserve"> was </w:t>
      </w:r>
      <w:r w:rsidR="0084535D">
        <w:rPr>
          <w:rFonts w:eastAsia="Times New Roman"/>
          <w:sz w:val="24"/>
          <w:szCs w:val="24"/>
          <w:lang w:eastAsia="en-AU"/>
        </w:rPr>
        <w:t xml:space="preserve">broadly </w:t>
      </w:r>
      <w:r w:rsidR="00493406" w:rsidRPr="00493406">
        <w:rPr>
          <w:rFonts w:eastAsia="Times New Roman"/>
          <w:sz w:val="24"/>
          <w:szCs w:val="24"/>
          <w:lang w:eastAsia="en-AU"/>
        </w:rPr>
        <w:t xml:space="preserve">operating effectively and efficiently to achieve its objectives and continued to form a necessary and useful part of the legislative framework. As a result, </w:t>
      </w:r>
      <w:r w:rsidR="00934E8D">
        <w:rPr>
          <w:rFonts w:eastAsia="Times New Roman"/>
          <w:sz w:val="24"/>
          <w:szCs w:val="24"/>
          <w:lang w:eastAsia="en-AU"/>
        </w:rPr>
        <w:t xml:space="preserve">through the Instrument, </w:t>
      </w:r>
      <w:r w:rsidR="00493406" w:rsidRPr="00493406">
        <w:rPr>
          <w:rFonts w:eastAsia="Times New Roman"/>
          <w:sz w:val="24"/>
          <w:szCs w:val="24"/>
          <w:lang w:eastAsia="en-AU"/>
        </w:rPr>
        <w:t xml:space="preserve">we have extended the </w:t>
      </w:r>
      <w:r w:rsidR="00815235">
        <w:rPr>
          <w:rFonts w:eastAsia="Times New Roman"/>
          <w:sz w:val="24"/>
          <w:szCs w:val="24"/>
          <w:lang w:eastAsia="en-AU"/>
        </w:rPr>
        <w:t xml:space="preserve">requirements formerly </w:t>
      </w:r>
      <w:r w:rsidR="00493406" w:rsidRPr="00493406">
        <w:rPr>
          <w:rFonts w:eastAsia="Times New Roman"/>
          <w:sz w:val="24"/>
          <w:szCs w:val="24"/>
          <w:lang w:eastAsia="en-AU"/>
        </w:rPr>
        <w:t xml:space="preserve">in </w:t>
      </w:r>
      <w:r w:rsidR="0084535D">
        <w:rPr>
          <w:rFonts w:eastAsia="Times New Roman"/>
          <w:sz w:val="24"/>
          <w:szCs w:val="24"/>
          <w:lang w:eastAsia="en-AU"/>
        </w:rPr>
        <w:t>[</w:t>
      </w:r>
      <w:r w:rsidR="00493406" w:rsidRPr="00493406">
        <w:rPr>
          <w:rFonts w:eastAsia="Times New Roman"/>
          <w:sz w:val="24"/>
          <w:szCs w:val="24"/>
          <w:lang w:eastAsia="en-AU"/>
        </w:rPr>
        <w:t>CO 14/923</w:t>
      </w:r>
      <w:r w:rsidR="0084535D">
        <w:rPr>
          <w:rFonts w:eastAsia="Times New Roman"/>
          <w:sz w:val="24"/>
          <w:szCs w:val="24"/>
          <w:lang w:eastAsia="en-AU"/>
        </w:rPr>
        <w:t>]</w:t>
      </w:r>
      <w:r w:rsidR="00493406" w:rsidRPr="00493406">
        <w:rPr>
          <w:rFonts w:eastAsia="Times New Roman"/>
          <w:sz w:val="24"/>
          <w:szCs w:val="24"/>
          <w:lang w:eastAsia="en-AU"/>
        </w:rPr>
        <w:t xml:space="preserve"> for a </w:t>
      </w:r>
      <w:r w:rsidR="00E26C71">
        <w:rPr>
          <w:rFonts w:eastAsia="Times New Roman"/>
          <w:sz w:val="24"/>
          <w:szCs w:val="24"/>
          <w:lang w:eastAsia="en-AU"/>
        </w:rPr>
        <w:t>five</w:t>
      </w:r>
      <w:r w:rsidR="00493406" w:rsidRPr="00493406">
        <w:rPr>
          <w:rFonts w:eastAsia="Times New Roman"/>
          <w:sz w:val="24"/>
          <w:szCs w:val="24"/>
          <w:lang w:eastAsia="en-AU"/>
        </w:rPr>
        <w:t>-year period to 1 October 202</w:t>
      </w:r>
      <w:r w:rsidR="00E26C71">
        <w:rPr>
          <w:rFonts w:eastAsia="Times New Roman"/>
          <w:sz w:val="24"/>
          <w:szCs w:val="24"/>
          <w:lang w:eastAsia="en-AU"/>
        </w:rPr>
        <w:t>9</w:t>
      </w:r>
      <w:r w:rsidR="00493406" w:rsidRPr="00493406">
        <w:rPr>
          <w:rFonts w:eastAsia="Times New Roman"/>
          <w:sz w:val="24"/>
          <w:szCs w:val="24"/>
          <w:lang w:eastAsia="en-AU"/>
        </w:rPr>
        <w:t xml:space="preserve">. </w:t>
      </w:r>
    </w:p>
    <w:p w14:paraId="056E764A" w14:textId="0D7776C5" w:rsidR="00CB2D96" w:rsidRDefault="00F25923" w:rsidP="00493406">
      <w:pPr>
        <w:spacing w:before="240" w:line="240" w:lineRule="auto"/>
        <w:ind w:left="567" w:hanging="567"/>
        <w:rPr>
          <w:rFonts w:eastAsia="Times New Roman"/>
          <w:sz w:val="24"/>
          <w:szCs w:val="24"/>
          <w:lang w:eastAsia="en-AU"/>
        </w:rPr>
      </w:pPr>
      <w:r>
        <w:rPr>
          <w:sz w:val="24"/>
          <w:szCs w:val="24"/>
        </w:rPr>
        <w:t>4</w:t>
      </w:r>
      <w:r w:rsidR="007A1372">
        <w:rPr>
          <w:sz w:val="24"/>
          <w:szCs w:val="24"/>
        </w:rPr>
        <w:t>.</w:t>
      </w:r>
      <w:r w:rsidR="007A1372">
        <w:rPr>
          <w:sz w:val="24"/>
          <w:szCs w:val="24"/>
        </w:rPr>
        <w:tab/>
        <w:t xml:space="preserve">The Instrument </w:t>
      </w:r>
      <w:r w:rsidR="00680852" w:rsidRPr="00E474F9">
        <w:rPr>
          <w:sz w:val="24"/>
          <w:szCs w:val="24"/>
        </w:rPr>
        <w:t>modif</w:t>
      </w:r>
      <w:r w:rsidR="007A1372">
        <w:rPr>
          <w:sz w:val="24"/>
          <w:szCs w:val="24"/>
        </w:rPr>
        <w:t>ies</w:t>
      </w:r>
      <w:r w:rsidR="00680852" w:rsidRPr="00E474F9">
        <w:rPr>
          <w:sz w:val="24"/>
          <w:szCs w:val="24"/>
        </w:rPr>
        <w:t xml:space="preserve"> Division 3 of Part 7.6 of the </w:t>
      </w:r>
      <w:r w:rsidR="00204474" w:rsidRPr="00F10D19">
        <w:rPr>
          <w:i/>
          <w:iCs/>
          <w:sz w:val="24"/>
          <w:szCs w:val="24"/>
        </w:rPr>
        <w:t xml:space="preserve">Corporations </w:t>
      </w:r>
      <w:r w:rsidR="00680852" w:rsidRPr="00F10D19">
        <w:rPr>
          <w:i/>
          <w:iCs/>
          <w:sz w:val="24"/>
          <w:szCs w:val="24"/>
        </w:rPr>
        <w:t>Act</w:t>
      </w:r>
      <w:r w:rsidR="00204474" w:rsidRPr="00F10D19">
        <w:rPr>
          <w:i/>
          <w:iCs/>
          <w:sz w:val="24"/>
          <w:szCs w:val="24"/>
        </w:rPr>
        <w:t xml:space="preserve"> 2001</w:t>
      </w:r>
      <w:r w:rsidR="00204474">
        <w:rPr>
          <w:sz w:val="24"/>
          <w:szCs w:val="24"/>
        </w:rPr>
        <w:t xml:space="preserve"> (the </w:t>
      </w:r>
      <w:r w:rsidR="00204474" w:rsidRPr="00204474">
        <w:rPr>
          <w:b/>
          <w:bCs/>
          <w:i/>
          <w:sz w:val="24"/>
          <w:szCs w:val="24"/>
        </w:rPr>
        <w:t>Act</w:t>
      </w:r>
      <w:r w:rsidR="00204474">
        <w:rPr>
          <w:sz w:val="24"/>
          <w:szCs w:val="24"/>
        </w:rPr>
        <w:t>)</w:t>
      </w:r>
      <w:r w:rsidR="00680852" w:rsidRPr="00E474F9">
        <w:rPr>
          <w:sz w:val="24"/>
          <w:szCs w:val="24"/>
        </w:rPr>
        <w:t xml:space="preserve">, as it applies to all </w:t>
      </w:r>
      <w:r w:rsidR="009942DF" w:rsidRPr="00E474F9">
        <w:rPr>
          <w:sz w:val="24"/>
          <w:szCs w:val="24"/>
        </w:rPr>
        <w:t>Australian Financial Services (</w:t>
      </w:r>
      <w:r w:rsidR="009942DF" w:rsidRPr="0020048E">
        <w:rPr>
          <w:b/>
          <w:bCs/>
          <w:i/>
          <w:iCs/>
          <w:sz w:val="24"/>
          <w:szCs w:val="24"/>
        </w:rPr>
        <w:t>AFS</w:t>
      </w:r>
      <w:r w:rsidR="009942DF" w:rsidRPr="00E474F9">
        <w:rPr>
          <w:sz w:val="24"/>
          <w:szCs w:val="24"/>
        </w:rPr>
        <w:t>)</w:t>
      </w:r>
      <w:r w:rsidR="009942DF">
        <w:rPr>
          <w:sz w:val="24"/>
          <w:szCs w:val="24"/>
        </w:rPr>
        <w:t xml:space="preserve"> </w:t>
      </w:r>
      <w:r w:rsidR="00680852" w:rsidRPr="00E474F9">
        <w:rPr>
          <w:sz w:val="24"/>
          <w:szCs w:val="24"/>
        </w:rPr>
        <w:t xml:space="preserve">licensees, to insert a new </w:t>
      </w:r>
      <w:r w:rsidR="00640CCB">
        <w:rPr>
          <w:sz w:val="24"/>
          <w:szCs w:val="24"/>
        </w:rPr>
        <w:t xml:space="preserve">notional </w:t>
      </w:r>
      <w:r w:rsidR="00680852" w:rsidRPr="00E474F9">
        <w:rPr>
          <w:sz w:val="24"/>
          <w:szCs w:val="24"/>
        </w:rPr>
        <w:t xml:space="preserve">section 912G that imposes record-keeping requirements for </w:t>
      </w:r>
      <w:r w:rsidR="003363DC">
        <w:rPr>
          <w:sz w:val="24"/>
          <w:szCs w:val="24"/>
        </w:rPr>
        <w:t xml:space="preserve">AFS </w:t>
      </w:r>
      <w:r w:rsidR="00680852" w:rsidRPr="00E474F9">
        <w:rPr>
          <w:sz w:val="24"/>
          <w:szCs w:val="24"/>
        </w:rPr>
        <w:t xml:space="preserve">licensees when the licensee or their representative (including an advice provider) give personal advice to retail clients. Under section 912G, </w:t>
      </w:r>
      <w:r w:rsidR="00C66444">
        <w:rPr>
          <w:sz w:val="24"/>
          <w:szCs w:val="24"/>
        </w:rPr>
        <w:t xml:space="preserve">AFS </w:t>
      </w:r>
      <w:r w:rsidR="00680852" w:rsidRPr="00E474F9">
        <w:rPr>
          <w:sz w:val="24"/>
          <w:szCs w:val="24"/>
        </w:rPr>
        <w:t>licensees must ensure that, in relation to the provision of personal advice, certain records are kept that demonstrate compliance with the best interests duty and related obligations under Division 2 of Pt 7.7A of the Act</w:t>
      </w:r>
      <w:r w:rsidR="00680852" w:rsidRPr="00E474F9">
        <w:rPr>
          <w:rFonts w:eastAsia="Times New Roman"/>
          <w:sz w:val="24"/>
          <w:szCs w:val="24"/>
          <w:lang w:eastAsia="en-AU"/>
        </w:rPr>
        <w:t>.</w:t>
      </w:r>
    </w:p>
    <w:p w14:paraId="79BCB1A5" w14:textId="77777777" w:rsidR="001872DC" w:rsidRPr="00EA17A6" w:rsidRDefault="001872DC" w:rsidP="001872DC">
      <w:pPr>
        <w:pStyle w:val="LI-BodyTextNumbered"/>
        <w:ind w:left="567"/>
        <w:rPr>
          <w:u w:val="single"/>
        </w:rPr>
      </w:pPr>
      <w:bookmarkStart w:id="4" w:name="_Hlk534286807"/>
      <w:bookmarkEnd w:id="2"/>
      <w:r w:rsidRPr="00EA17A6">
        <w:rPr>
          <w:u w:val="single"/>
        </w:rPr>
        <w:t>Assessment of human rights implications</w:t>
      </w:r>
    </w:p>
    <w:p w14:paraId="2FFE717E" w14:textId="67A497FE" w:rsidR="00591EDA" w:rsidRDefault="009D460D" w:rsidP="0011107B">
      <w:pPr>
        <w:pStyle w:val="LI-BodyTextNumbered"/>
        <w:ind w:left="567"/>
      </w:pPr>
      <w:r>
        <w:t>5</w:t>
      </w:r>
      <w:r w:rsidR="001872DC" w:rsidRPr="00EA17A6">
        <w:t>.</w:t>
      </w:r>
      <w:r w:rsidR="001872DC" w:rsidRPr="00EA17A6">
        <w:tab/>
      </w:r>
      <w:bookmarkEnd w:id="4"/>
      <w:r w:rsidR="00591EDA">
        <w:t>The Instrument engages the right to privacy and reputation in Article 17 of the International Covenant on Civil and Political Rights</w:t>
      </w:r>
      <w:r w:rsidR="00967CD4">
        <w:t xml:space="preserve"> (</w:t>
      </w:r>
      <w:r w:rsidR="00967CD4" w:rsidRPr="0020048E">
        <w:rPr>
          <w:b/>
          <w:bCs/>
          <w:i/>
          <w:iCs/>
        </w:rPr>
        <w:t>I</w:t>
      </w:r>
      <w:r w:rsidR="00342827" w:rsidRPr="0020048E">
        <w:rPr>
          <w:b/>
          <w:bCs/>
          <w:i/>
          <w:iCs/>
        </w:rPr>
        <w:t>CCPR</w:t>
      </w:r>
      <w:r w:rsidR="00342827">
        <w:t>)</w:t>
      </w:r>
      <w:r w:rsidR="00591EDA">
        <w:t xml:space="preserve"> (</w:t>
      </w:r>
      <w:r w:rsidR="00591EDA" w:rsidRPr="0020048E">
        <w:rPr>
          <w:b/>
          <w:bCs/>
          <w:i/>
          <w:iCs/>
        </w:rPr>
        <w:t>Article 17</w:t>
      </w:r>
      <w:r w:rsidR="00591EDA">
        <w:t>). Article 17 prohibits</w:t>
      </w:r>
      <w:r w:rsidR="005B58CC">
        <w:t xml:space="preserve"> </w:t>
      </w:r>
      <w:r w:rsidR="00591EDA">
        <w:t xml:space="preserve">unlawful or arbitrary interferences with a person’s privacy, </w:t>
      </w:r>
      <w:r w:rsidR="00591EDA">
        <w:lastRenderedPageBreak/>
        <w:t>family,</w:t>
      </w:r>
      <w:r w:rsidR="005B58CC">
        <w:t xml:space="preserve"> </w:t>
      </w:r>
      <w:r w:rsidR="00591EDA">
        <w:t xml:space="preserve">home (which the UN Human Rights Committee has interpreted as including a person’s workplace) and correspondence. It provides that persons have the right to the protection of the law against such interference. The UN Human Rights Committee has not defined ‘privacy’. </w:t>
      </w:r>
    </w:p>
    <w:p w14:paraId="4F54AFA9" w14:textId="77777777" w:rsidR="00591EDA" w:rsidRDefault="00591EDA" w:rsidP="00591EDA">
      <w:pPr>
        <w:pStyle w:val="CommentText"/>
        <w:rPr>
          <w:sz w:val="24"/>
          <w:szCs w:val="24"/>
        </w:rPr>
      </w:pPr>
    </w:p>
    <w:p w14:paraId="7EE3CBC5" w14:textId="1B3D95F7" w:rsidR="00591EDA" w:rsidRDefault="009D460D" w:rsidP="000E5B56">
      <w:pPr>
        <w:pStyle w:val="CommentText"/>
        <w:ind w:left="567" w:hanging="567"/>
        <w:rPr>
          <w:sz w:val="24"/>
          <w:szCs w:val="24"/>
        </w:rPr>
      </w:pPr>
      <w:r>
        <w:rPr>
          <w:sz w:val="24"/>
          <w:szCs w:val="24"/>
        </w:rPr>
        <w:t>6</w:t>
      </w:r>
      <w:r w:rsidR="00D646EF">
        <w:rPr>
          <w:sz w:val="24"/>
          <w:szCs w:val="24"/>
        </w:rPr>
        <w:t>.</w:t>
      </w:r>
      <w:r w:rsidR="0011107B">
        <w:rPr>
          <w:sz w:val="24"/>
          <w:szCs w:val="24"/>
        </w:rPr>
        <w:tab/>
      </w:r>
      <w:r w:rsidR="00591EDA">
        <w:rPr>
          <w:sz w:val="24"/>
          <w:szCs w:val="24"/>
        </w:rPr>
        <w:t xml:space="preserve">A record of personal advice may contain ‘personal information’ as defined in the </w:t>
      </w:r>
      <w:r w:rsidR="00591EDA">
        <w:rPr>
          <w:i/>
          <w:sz w:val="24"/>
          <w:szCs w:val="24"/>
        </w:rPr>
        <w:t>Privacy Act 1988</w:t>
      </w:r>
      <w:r w:rsidR="00591EDA">
        <w:rPr>
          <w:sz w:val="24"/>
          <w:szCs w:val="24"/>
        </w:rPr>
        <w:t xml:space="preserve">, being information or an opinion (including information or an opinion forming part of a database), whether true or not, and whether recorded in a material form or not, about an </w:t>
      </w:r>
      <w:r w:rsidR="00FF6E63">
        <w:rPr>
          <w:sz w:val="24"/>
          <w:szCs w:val="24"/>
        </w:rPr>
        <w:t xml:space="preserve">identified </w:t>
      </w:r>
      <w:r w:rsidR="00591EDA">
        <w:rPr>
          <w:sz w:val="24"/>
          <w:szCs w:val="24"/>
        </w:rPr>
        <w:t xml:space="preserve">individual or </w:t>
      </w:r>
      <w:r w:rsidR="00A26A5B">
        <w:rPr>
          <w:sz w:val="24"/>
          <w:szCs w:val="24"/>
        </w:rPr>
        <w:t xml:space="preserve">an individual who is </w:t>
      </w:r>
      <w:r w:rsidR="00591EDA">
        <w:rPr>
          <w:sz w:val="24"/>
          <w:szCs w:val="24"/>
        </w:rPr>
        <w:t>reasonably</w:t>
      </w:r>
      <w:r w:rsidR="00A26A5B">
        <w:rPr>
          <w:sz w:val="24"/>
          <w:szCs w:val="24"/>
        </w:rPr>
        <w:t xml:space="preserve"> identifiable</w:t>
      </w:r>
      <w:r w:rsidR="00591EDA">
        <w:rPr>
          <w:sz w:val="24"/>
          <w:szCs w:val="24"/>
        </w:rPr>
        <w:t>.</w:t>
      </w:r>
    </w:p>
    <w:p w14:paraId="040D3B8E" w14:textId="77777777" w:rsidR="00591EDA" w:rsidRDefault="00591EDA" w:rsidP="00591EDA">
      <w:pPr>
        <w:pStyle w:val="CommentText"/>
        <w:rPr>
          <w:sz w:val="24"/>
          <w:szCs w:val="24"/>
        </w:rPr>
      </w:pPr>
    </w:p>
    <w:p w14:paraId="0AB27B26" w14:textId="62F3F790" w:rsidR="00591EDA" w:rsidRDefault="009D460D" w:rsidP="0020048E">
      <w:pPr>
        <w:pStyle w:val="CommentText"/>
        <w:ind w:left="567" w:hanging="567"/>
        <w:rPr>
          <w:sz w:val="24"/>
          <w:szCs w:val="24"/>
        </w:rPr>
      </w:pPr>
      <w:r>
        <w:rPr>
          <w:sz w:val="24"/>
          <w:szCs w:val="24"/>
        </w:rPr>
        <w:t>7</w:t>
      </w:r>
      <w:r w:rsidR="00AE0984">
        <w:rPr>
          <w:sz w:val="24"/>
          <w:szCs w:val="24"/>
        </w:rPr>
        <w:t>.</w:t>
      </w:r>
      <w:r w:rsidR="000E5B56">
        <w:rPr>
          <w:sz w:val="24"/>
          <w:szCs w:val="24"/>
        </w:rPr>
        <w:tab/>
      </w:r>
      <w:r w:rsidR="00591EDA">
        <w:rPr>
          <w:sz w:val="24"/>
          <w:szCs w:val="24"/>
        </w:rPr>
        <w:t xml:space="preserve">The right in Article 17 is engaged by the </w:t>
      </w:r>
      <w:r w:rsidR="001D39A5">
        <w:rPr>
          <w:sz w:val="24"/>
          <w:szCs w:val="24"/>
        </w:rPr>
        <w:t>I</w:t>
      </w:r>
      <w:r w:rsidR="00591EDA">
        <w:rPr>
          <w:sz w:val="24"/>
          <w:szCs w:val="24"/>
        </w:rPr>
        <w:t>nstrument by reason that it involves the use and disclosure of personal information.</w:t>
      </w:r>
    </w:p>
    <w:p w14:paraId="7C2B1BFF" w14:textId="77777777" w:rsidR="00591EDA" w:rsidRDefault="00591EDA" w:rsidP="00591EDA">
      <w:pPr>
        <w:pStyle w:val="CommentText"/>
        <w:rPr>
          <w:sz w:val="24"/>
          <w:szCs w:val="24"/>
        </w:rPr>
      </w:pPr>
    </w:p>
    <w:p w14:paraId="1CDDF283" w14:textId="2BF001E9" w:rsidR="00591EDA" w:rsidRDefault="009D460D" w:rsidP="0020048E">
      <w:pPr>
        <w:pStyle w:val="CommentText"/>
        <w:ind w:left="567" w:hanging="567"/>
        <w:rPr>
          <w:sz w:val="24"/>
          <w:szCs w:val="24"/>
        </w:rPr>
      </w:pPr>
      <w:r>
        <w:rPr>
          <w:sz w:val="24"/>
          <w:szCs w:val="24"/>
        </w:rPr>
        <w:t>8</w:t>
      </w:r>
      <w:r w:rsidR="000E5B56">
        <w:rPr>
          <w:sz w:val="24"/>
          <w:szCs w:val="24"/>
        </w:rPr>
        <w:t>.</w:t>
      </w:r>
      <w:r w:rsidR="000E5B56">
        <w:rPr>
          <w:sz w:val="24"/>
          <w:szCs w:val="24"/>
        </w:rPr>
        <w:tab/>
      </w:r>
      <w:r w:rsidR="00591EDA">
        <w:rPr>
          <w:sz w:val="24"/>
          <w:szCs w:val="24"/>
        </w:rPr>
        <w:t>Th</w:t>
      </w:r>
      <w:r w:rsidR="006B45AD">
        <w:rPr>
          <w:sz w:val="24"/>
          <w:szCs w:val="24"/>
        </w:rPr>
        <w:t>e I</w:t>
      </w:r>
      <w:r w:rsidR="00591EDA">
        <w:rPr>
          <w:sz w:val="24"/>
          <w:szCs w:val="24"/>
        </w:rPr>
        <w:t xml:space="preserve">nstrument is compatible with the rights recognised in Article 17 by reason that any interference with a person’s privacy resulting from compliance with </w:t>
      </w:r>
      <w:r w:rsidR="00A664F1">
        <w:rPr>
          <w:sz w:val="24"/>
          <w:szCs w:val="24"/>
        </w:rPr>
        <w:t>the I</w:t>
      </w:r>
      <w:r w:rsidR="00591EDA">
        <w:rPr>
          <w:sz w:val="24"/>
          <w:szCs w:val="24"/>
        </w:rPr>
        <w:t>nstrument will be lawful and not arbitrary. In particular:</w:t>
      </w:r>
      <w:r w:rsidR="00591EDA">
        <w:rPr>
          <w:sz w:val="24"/>
          <w:szCs w:val="24"/>
        </w:rPr>
        <w:br/>
      </w:r>
    </w:p>
    <w:p w14:paraId="09AD3C39" w14:textId="395EB188" w:rsidR="00591EDA" w:rsidRDefault="00591EDA" w:rsidP="0020048E">
      <w:pPr>
        <w:pStyle w:val="CommentText"/>
        <w:numPr>
          <w:ilvl w:val="0"/>
          <w:numId w:val="23"/>
        </w:numPr>
        <w:spacing w:line="240" w:lineRule="auto"/>
        <w:ind w:left="1134" w:hanging="567"/>
        <w:rPr>
          <w:sz w:val="24"/>
          <w:szCs w:val="24"/>
        </w:rPr>
      </w:pPr>
      <w:r>
        <w:rPr>
          <w:sz w:val="24"/>
          <w:szCs w:val="24"/>
        </w:rPr>
        <w:t xml:space="preserve">The </w:t>
      </w:r>
      <w:r w:rsidR="00A664F1">
        <w:rPr>
          <w:sz w:val="24"/>
          <w:szCs w:val="24"/>
        </w:rPr>
        <w:t>I</w:t>
      </w:r>
      <w:r>
        <w:rPr>
          <w:sz w:val="24"/>
          <w:szCs w:val="24"/>
        </w:rPr>
        <w:t xml:space="preserve">nstrument is made in accordance with ASIC’s power to declare that the provisions in Part 7.6 (other than Divisions 4 and 8) of the Act apply in relation to a class of persons (i.e. </w:t>
      </w:r>
      <w:r w:rsidR="00872D4A">
        <w:rPr>
          <w:sz w:val="24"/>
          <w:szCs w:val="24"/>
        </w:rPr>
        <w:t>AFS</w:t>
      </w:r>
      <w:r>
        <w:rPr>
          <w:sz w:val="24"/>
          <w:szCs w:val="24"/>
        </w:rPr>
        <w:t xml:space="preserve"> licensees and authorised representatives, and former licensees and authorised representatives) as if the specified provisions were omitted, modified or varied as specified in the declaration (see subsection 926A(2) of the Act);</w:t>
      </w:r>
      <w:r>
        <w:rPr>
          <w:sz w:val="24"/>
          <w:szCs w:val="24"/>
        </w:rPr>
        <w:br/>
      </w:r>
    </w:p>
    <w:p w14:paraId="55EC05C3" w14:textId="7E62C574" w:rsidR="00591EDA" w:rsidRDefault="00591EDA" w:rsidP="0020048E">
      <w:pPr>
        <w:pStyle w:val="CommentText"/>
        <w:numPr>
          <w:ilvl w:val="0"/>
          <w:numId w:val="23"/>
        </w:numPr>
        <w:spacing w:line="240" w:lineRule="auto"/>
        <w:ind w:left="1134" w:hanging="567"/>
        <w:rPr>
          <w:sz w:val="24"/>
          <w:szCs w:val="24"/>
        </w:rPr>
      </w:pPr>
      <w:r>
        <w:rPr>
          <w:sz w:val="24"/>
          <w:szCs w:val="24"/>
        </w:rPr>
        <w:t xml:space="preserve">The </w:t>
      </w:r>
      <w:r w:rsidR="00A664F1">
        <w:rPr>
          <w:sz w:val="24"/>
          <w:szCs w:val="24"/>
        </w:rPr>
        <w:t>I</w:t>
      </w:r>
      <w:r>
        <w:rPr>
          <w:sz w:val="24"/>
          <w:szCs w:val="24"/>
        </w:rPr>
        <w:t xml:space="preserve">nstrument will enable AFS licensees to comply with their AFS licensee obligations. Under </w:t>
      </w:r>
      <w:r w:rsidR="00B908DD">
        <w:rPr>
          <w:sz w:val="24"/>
          <w:szCs w:val="24"/>
        </w:rPr>
        <w:t>paragraph</w:t>
      </w:r>
      <w:r>
        <w:rPr>
          <w:sz w:val="24"/>
          <w:szCs w:val="24"/>
        </w:rPr>
        <w:t xml:space="preserve"> 912A(1)(ca) of the Act, a licensee must take reasonable steps to ensure that its representatives comply with financial services laws. In order to satisfy this obligation, a licensee must have full knowledge of the activities of its representatives. Having access to its representatives’ records in relation to the advice they give to clients is essential for licensees to be able to properly monitor and supervise representatives and to compensate clients who suffer loss because of the actions of </w:t>
      </w:r>
      <w:r w:rsidR="00AE2858">
        <w:rPr>
          <w:sz w:val="24"/>
          <w:szCs w:val="24"/>
        </w:rPr>
        <w:t>a</w:t>
      </w:r>
      <w:r>
        <w:rPr>
          <w:sz w:val="24"/>
          <w:szCs w:val="24"/>
        </w:rPr>
        <w:t xml:space="preserve"> representative.</w:t>
      </w:r>
      <w:r>
        <w:rPr>
          <w:sz w:val="24"/>
          <w:szCs w:val="24"/>
        </w:rPr>
        <w:br/>
      </w:r>
    </w:p>
    <w:p w14:paraId="5AA5E660" w14:textId="78D2B2FF" w:rsidR="00591EDA" w:rsidRDefault="00591EDA" w:rsidP="0020048E">
      <w:pPr>
        <w:pStyle w:val="CommentText"/>
        <w:numPr>
          <w:ilvl w:val="0"/>
          <w:numId w:val="23"/>
        </w:numPr>
        <w:spacing w:line="240" w:lineRule="auto"/>
        <w:ind w:left="1134" w:hanging="567"/>
        <w:rPr>
          <w:sz w:val="24"/>
          <w:szCs w:val="24"/>
        </w:rPr>
      </w:pPr>
      <w:r>
        <w:rPr>
          <w:sz w:val="24"/>
          <w:szCs w:val="24"/>
        </w:rPr>
        <w:t xml:space="preserve">The </w:t>
      </w:r>
      <w:r w:rsidR="00A664F1">
        <w:rPr>
          <w:sz w:val="24"/>
          <w:szCs w:val="24"/>
        </w:rPr>
        <w:t>I</w:t>
      </w:r>
      <w:r>
        <w:rPr>
          <w:sz w:val="24"/>
          <w:szCs w:val="24"/>
        </w:rPr>
        <w:t xml:space="preserve">nstrument will further the objects of Chapter 7 of the Act, including promoting confident and informed decision making by consumers of financial products and services (see </w:t>
      </w:r>
      <w:r w:rsidR="00D97A99">
        <w:rPr>
          <w:sz w:val="24"/>
          <w:szCs w:val="24"/>
        </w:rPr>
        <w:t>paragraph</w:t>
      </w:r>
      <w:r>
        <w:rPr>
          <w:sz w:val="24"/>
          <w:szCs w:val="24"/>
        </w:rPr>
        <w:t xml:space="preserve"> 760A(a) of the Act). Consumers will have confidence that authorised representatives will comply with the financial services laws because they will be monitored and supervised by their authorising licensees. Consumers will also have confidence that, because licensees will be able to access advice records, they can be compensated where they suffer loss because of the actions of authorised representatives. Ensuring the ability of licensees to properly monitor and supervise representatives will also promote fairness, honesty and professionalism by those who provide financial services (see </w:t>
      </w:r>
      <w:r w:rsidR="00D439B4">
        <w:rPr>
          <w:sz w:val="24"/>
          <w:szCs w:val="24"/>
        </w:rPr>
        <w:t>paragraph</w:t>
      </w:r>
      <w:r>
        <w:rPr>
          <w:sz w:val="24"/>
          <w:szCs w:val="24"/>
        </w:rPr>
        <w:t xml:space="preserve"> 760A(b) of the Act).</w:t>
      </w:r>
      <w:r>
        <w:rPr>
          <w:sz w:val="24"/>
          <w:szCs w:val="24"/>
        </w:rPr>
        <w:br/>
      </w:r>
    </w:p>
    <w:p w14:paraId="2983D73B" w14:textId="4BFB4E46" w:rsidR="00591EDA" w:rsidRDefault="00591EDA" w:rsidP="0020048E">
      <w:pPr>
        <w:pStyle w:val="CommentText"/>
        <w:numPr>
          <w:ilvl w:val="0"/>
          <w:numId w:val="23"/>
        </w:numPr>
        <w:spacing w:line="240" w:lineRule="auto"/>
        <w:ind w:left="1134" w:hanging="567"/>
        <w:rPr>
          <w:sz w:val="24"/>
          <w:szCs w:val="24"/>
        </w:rPr>
      </w:pPr>
      <w:r>
        <w:rPr>
          <w:sz w:val="24"/>
          <w:szCs w:val="24"/>
        </w:rPr>
        <w:t xml:space="preserve">An authorised representative who is an adviser is under an obligation through the Financial Services Guide requirement to tell the client, before </w:t>
      </w:r>
      <w:r>
        <w:rPr>
          <w:sz w:val="24"/>
          <w:szCs w:val="24"/>
        </w:rPr>
        <w:lastRenderedPageBreak/>
        <w:t>providing financial services to them, that the adviser is acting on behalf of the licensee. As such, the client would reasonably expect the adviser to use or disclose the personal information to the authorising licensee if the authorising licensee asks for it for the purposes of assessing whether the advice given on the licensee’s behalf complies with the law.</w:t>
      </w:r>
      <w:r>
        <w:rPr>
          <w:sz w:val="24"/>
          <w:szCs w:val="24"/>
        </w:rPr>
        <w:br/>
      </w:r>
    </w:p>
    <w:p w14:paraId="41E4AA8E" w14:textId="77777777" w:rsidR="00591EDA" w:rsidRDefault="00591EDA" w:rsidP="0020048E">
      <w:pPr>
        <w:pStyle w:val="CommentText"/>
        <w:numPr>
          <w:ilvl w:val="0"/>
          <w:numId w:val="23"/>
        </w:numPr>
        <w:spacing w:line="240" w:lineRule="auto"/>
        <w:ind w:left="1134" w:hanging="567"/>
        <w:rPr>
          <w:sz w:val="24"/>
          <w:szCs w:val="24"/>
        </w:rPr>
      </w:pPr>
      <w:r>
        <w:rPr>
          <w:sz w:val="24"/>
          <w:szCs w:val="24"/>
        </w:rPr>
        <w:t xml:space="preserve">The obligation on authorised representatives who are advisers to give advice records to the licensee if the licensee requests the records is subject to a number of safeguards, including: </w:t>
      </w:r>
      <w:r>
        <w:rPr>
          <w:sz w:val="24"/>
          <w:szCs w:val="24"/>
        </w:rPr>
        <w:br/>
      </w:r>
    </w:p>
    <w:p w14:paraId="7C6FE54B" w14:textId="6E4E6487" w:rsidR="00591EDA" w:rsidRDefault="00591EDA" w:rsidP="0020048E">
      <w:pPr>
        <w:pStyle w:val="CommentText"/>
        <w:numPr>
          <w:ilvl w:val="0"/>
          <w:numId w:val="30"/>
        </w:numPr>
        <w:spacing w:line="240" w:lineRule="auto"/>
        <w:ind w:left="1701" w:hanging="567"/>
        <w:rPr>
          <w:sz w:val="24"/>
          <w:szCs w:val="24"/>
        </w:rPr>
      </w:pPr>
      <w:r>
        <w:rPr>
          <w:sz w:val="24"/>
          <w:szCs w:val="24"/>
        </w:rPr>
        <w:t>It is limited to situations where the licensee seeks access in connection with the obligations imposed on the licensee under Chapter 7 of the Act; and</w:t>
      </w:r>
      <w:r>
        <w:rPr>
          <w:sz w:val="24"/>
          <w:szCs w:val="24"/>
        </w:rPr>
        <w:br/>
      </w:r>
    </w:p>
    <w:p w14:paraId="6BBC7B09" w14:textId="77777777" w:rsidR="00591EDA" w:rsidRDefault="00591EDA" w:rsidP="0020048E">
      <w:pPr>
        <w:pStyle w:val="CommentText"/>
        <w:tabs>
          <w:tab w:val="left" w:pos="851"/>
        </w:tabs>
        <w:ind w:left="1701" w:hanging="567"/>
        <w:rPr>
          <w:sz w:val="24"/>
          <w:szCs w:val="24"/>
        </w:rPr>
      </w:pPr>
      <w:r>
        <w:rPr>
          <w:sz w:val="24"/>
          <w:szCs w:val="24"/>
        </w:rPr>
        <w:t>(ii)</w:t>
      </w:r>
      <w:r>
        <w:rPr>
          <w:sz w:val="24"/>
          <w:szCs w:val="24"/>
        </w:rPr>
        <w:tab/>
        <w:t>Licensees are required to maintain the confidentiality of the information contained in the advice records in accordance with the common law principles of confidentiality and Principle 6(2)(b) of the Australian Privacy Principles.</w:t>
      </w:r>
    </w:p>
    <w:p w14:paraId="38C8EDCC" w14:textId="77777777" w:rsidR="00591EDA" w:rsidRDefault="00591EDA" w:rsidP="00591EDA">
      <w:pPr>
        <w:pStyle w:val="CommentText"/>
        <w:rPr>
          <w:sz w:val="24"/>
          <w:szCs w:val="24"/>
        </w:rPr>
      </w:pPr>
    </w:p>
    <w:p w14:paraId="0F5789BF" w14:textId="7D69D5A3" w:rsidR="00591EDA" w:rsidRDefault="009D460D" w:rsidP="0020048E">
      <w:pPr>
        <w:pStyle w:val="CommentText"/>
        <w:ind w:left="567" w:hanging="567"/>
        <w:rPr>
          <w:sz w:val="24"/>
          <w:szCs w:val="24"/>
        </w:rPr>
      </w:pPr>
      <w:r>
        <w:rPr>
          <w:sz w:val="24"/>
          <w:szCs w:val="24"/>
        </w:rPr>
        <w:t>9</w:t>
      </w:r>
      <w:r w:rsidR="008C0E1D">
        <w:rPr>
          <w:sz w:val="24"/>
          <w:szCs w:val="24"/>
        </w:rPr>
        <w:t>.</w:t>
      </w:r>
      <w:r w:rsidR="008C0E1D">
        <w:rPr>
          <w:sz w:val="24"/>
          <w:szCs w:val="24"/>
        </w:rPr>
        <w:tab/>
      </w:r>
      <w:r w:rsidR="00591EDA">
        <w:rPr>
          <w:sz w:val="24"/>
          <w:szCs w:val="24"/>
        </w:rPr>
        <w:t>If the</w:t>
      </w:r>
      <w:r w:rsidR="00845DC3">
        <w:rPr>
          <w:sz w:val="24"/>
          <w:szCs w:val="24"/>
        </w:rPr>
        <w:t xml:space="preserve"> I</w:t>
      </w:r>
      <w:r w:rsidR="00591EDA">
        <w:rPr>
          <w:sz w:val="24"/>
          <w:szCs w:val="24"/>
        </w:rPr>
        <w:t xml:space="preserve">nstrument was considered to limit the right in Article 17, ASIC considers that the </w:t>
      </w:r>
      <w:r w:rsidR="00845DC3">
        <w:rPr>
          <w:sz w:val="24"/>
          <w:szCs w:val="24"/>
        </w:rPr>
        <w:t>I</w:t>
      </w:r>
      <w:r w:rsidR="00591EDA">
        <w:rPr>
          <w:sz w:val="24"/>
          <w:szCs w:val="24"/>
        </w:rPr>
        <w:t xml:space="preserve">nstrument is nevertheless compatible with that right. The right in Article 17 is not absolute. As noted,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 Any limitation imposed on the right by the </w:t>
      </w:r>
      <w:r w:rsidR="00845DC3">
        <w:rPr>
          <w:sz w:val="24"/>
          <w:szCs w:val="24"/>
        </w:rPr>
        <w:t>I</w:t>
      </w:r>
      <w:r w:rsidR="00591EDA">
        <w:rPr>
          <w:sz w:val="24"/>
          <w:szCs w:val="24"/>
        </w:rPr>
        <w:t>nstrument has a clear legal basis, in that it:</w:t>
      </w:r>
      <w:r w:rsidR="00591EDA">
        <w:rPr>
          <w:sz w:val="24"/>
          <w:szCs w:val="24"/>
        </w:rPr>
        <w:br/>
      </w:r>
    </w:p>
    <w:p w14:paraId="2C4C27AD" w14:textId="6FBE5CA0" w:rsidR="00591EDA" w:rsidRDefault="00591EDA" w:rsidP="0020048E">
      <w:pPr>
        <w:pStyle w:val="CommentText"/>
        <w:numPr>
          <w:ilvl w:val="0"/>
          <w:numId w:val="25"/>
        </w:numPr>
        <w:spacing w:line="240" w:lineRule="auto"/>
        <w:ind w:left="1134" w:hanging="567"/>
        <w:rPr>
          <w:sz w:val="24"/>
          <w:szCs w:val="24"/>
        </w:rPr>
      </w:pPr>
      <w:r>
        <w:rPr>
          <w:i/>
          <w:sz w:val="24"/>
          <w:szCs w:val="24"/>
        </w:rPr>
        <w:t>Aims to achieve a legitimate objective</w:t>
      </w:r>
      <w:r>
        <w:rPr>
          <w:sz w:val="24"/>
          <w:szCs w:val="24"/>
        </w:rPr>
        <w:t xml:space="preserve"> – The </w:t>
      </w:r>
      <w:r w:rsidR="00845DC3">
        <w:rPr>
          <w:sz w:val="24"/>
          <w:szCs w:val="24"/>
        </w:rPr>
        <w:t>I</w:t>
      </w:r>
      <w:r>
        <w:rPr>
          <w:sz w:val="24"/>
          <w:szCs w:val="24"/>
        </w:rPr>
        <w:t xml:space="preserve">nstrument will enable licensees to comply with their AFS licensee obligations under s912A(1)(ca) of the Act to monitor and supervise representatives to ensure that </w:t>
      </w:r>
      <w:r w:rsidR="00076B98">
        <w:rPr>
          <w:sz w:val="24"/>
          <w:szCs w:val="24"/>
        </w:rPr>
        <w:t>they</w:t>
      </w:r>
      <w:r>
        <w:rPr>
          <w:sz w:val="24"/>
          <w:szCs w:val="24"/>
        </w:rPr>
        <w:t xml:space="preserve"> comply with the financial services laws. It will also further the statutory objects of Chapter 7 of the Act by promoting confident and informed decision making by consumers of financial products and services, and promoting fairness, honesty and professionalism by those who provide financial services.</w:t>
      </w:r>
      <w:r>
        <w:rPr>
          <w:sz w:val="24"/>
          <w:szCs w:val="24"/>
        </w:rPr>
        <w:br/>
      </w:r>
    </w:p>
    <w:p w14:paraId="009ACFAC" w14:textId="74F468CC" w:rsidR="00591EDA" w:rsidRDefault="00591EDA" w:rsidP="0020048E">
      <w:pPr>
        <w:pStyle w:val="CommentText"/>
        <w:numPr>
          <w:ilvl w:val="0"/>
          <w:numId w:val="25"/>
        </w:numPr>
        <w:spacing w:line="240" w:lineRule="auto"/>
        <w:ind w:left="1134" w:hanging="567"/>
        <w:rPr>
          <w:sz w:val="24"/>
          <w:szCs w:val="24"/>
        </w:rPr>
      </w:pPr>
      <w:r>
        <w:rPr>
          <w:i/>
          <w:sz w:val="24"/>
          <w:szCs w:val="24"/>
        </w:rPr>
        <w:t>Has a rational connection with the objective</w:t>
      </w:r>
      <w:r>
        <w:rPr>
          <w:sz w:val="24"/>
          <w:szCs w:val="24"/>
        </w:rPr>
        <w:t xml:space="preserve"> – By ensuring that licensees can have access to client advice records, the </w:t>
      </w:r>
      <w:r w:rsidR="00845DC3">
        <w:rPr>
          <w:sz w:val="24"/>
          <w:szCs w:val="24"/>
        </w:rPr>
        <w:t>I</w:t>
      </w:r>
      <w:r>
        <w:rPr>
          <w:sz w:val="24"/>
          <w:szCs w:val="24"/>
        </w:rPr>
        <w:t>nstrument will allow licensees to comply with their AFS licensee obligations of properly monitoring and supervising representatives. This will promote confident and informed decision making by consumers of financial products and services, and fairness, honesty and professionalism by those who provide financial services.</w:t>
      </w:r>
      <w:r>
        <w:rPr>
          <w:sz w:val="24"/>
          <w:szCs w:val="24"/>
        </w:rPr>
        <w:br/>
      </w:r>
    </w:p>
    <w:p w14:paraId="4E1DB953" w14:textId="54FE5F37" w:rsidR="00591EDA" w:rsidRDefault="00591EDA" w:rsidP="0020048E">
      <w:pPr>
        <w:pStyle w:val="CommentText"/>
        <w:numPr>
          <w:ilvl w:val="0"/>
          <w:numId w:val="25"/>
        </w:numPr>
        <w:spacing w:line="240" w:lineRule="auto"/>
        <w:ind w:left="1134" w:hanging="567"/>
        <w:rPr>
          <w:sz w:val="24"/>
          <w:szCs w:val="24"/>
        </w:rPr>
      </w:pPr>
      <w:r>
        <w:rPr>
          <w:i/>
          <w:sz w:val="24"/>
          <w:szCs w:val="24"/>
        </w:rPr>
        <w:t>Is reasonable, necessary and proportionate</w:t>
      </w:r>
      <w:r>
        <w:rPr>
          <w:sz w:val="24"/>
          <w:szCs w:val="24"/>
        </w:rPr>
        <w:t xml:space="preserve"> – The </w:t>
      </w:r>
      <w:r w:rsidR="00845DC3">
        <w:rPr>
          <w:sz w:val="24"/>
          <w:szCs w:val="24"/>
        </w:rPr>
        <w:t>I</w:t>
      </w:r>
      <w:r>
        <w:rPr>
          <w:sz w:val="24"/>
          <w:szCs w:val="24"/>
        </w:rPr>
        <w:t xml:space="preserve">nstrument is necessary to achieve the legitimate objectives described above because it gives licensees confidence that they will be able to have access to advice records, and gives consumers confidence that licensees can properly monitor and supervise their representatives. The </w:t>
      </w:r>
      <w:r w:rsidR="00845DC3">
        <w:rPr>
          <w:sz w:val="24"/>
          <w:szCs w:val="24"/>
        </w:rPr>
        <w:t>I</w:t>
      </w:r>
      <w:r>
        <w:rPr>
          <w:sz w:val="24"/>
          <w:szCs w:val="24"/>
        </w:rPr>
        <w:t xml:space="preserve">nstrument contains </w:t>
      </w:r>
      <w:r>
        <w:rPr>
          <w:sz w:val="24"/>
          <w:szCs w:val="24"/>
        </w:rPr>
        <w:lastRenderedPageBreak/>
        <w:t xml:space="preserve">adequate safeguards in that the obligation on authorised representatives to give advice records to the licensee is limited to situations where the licensee seeks access in connection with the obligations imposed on the licensee under Chapter 7 of the Act. Further, </w:t>
      </w:r>
      <w:r w:rsidR="0030553B">
        <w:rPr>
          <w:sz w:val="24"/>
          <w:szCs w:val="24"/>
        </w:rPr>
        <w:t xml:space="preserve">AFS </w:t>
      </w:r>
      <w:r>
        <w:rPr>
          <w:sz w:val="24"/>
          <w:szCs w:val="24"/>
        </w:rPr>
        <w:t>licensees are required to maintain the confidentiality of the information contained in the advice records in accordance with the common law principles of confidentiality and the Australian Privacy Principles.</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154CAC60" w:rsidR="00CB2D96" w:rsidRPr="00EA17A6" w:rsidRDefault="009D460D" w:rsidP="00CB2D96">
      <w:pPr>
        <w:pStyle w:val="LI-BodyTextNumbered"/>
        <w:ind w:left="567"/>
      </w:pPr>
      <w:r>
        <w:t>10</w:t>
      </w:r>
      <w:r w:rsidR="00CB2D96" w:rsidRPr="00EA17A6">
        <w:t>.</w:t>
      </w:r>
      <w:r w:rsidR="00CB2D96" w:rsidRPr="00EA17A6">
        <w:tab/>
        <w:t xml:space="preserve">This </w:t>
      </w:r>
      <w:r w:rsidR="00C07984">
        <w:t>I</w:t>
      </w:r>
      <w:r w:rsidR="00CB2D96" w:rsidRPr="00EA17A6">
        <w:t xml:space="preserve">nstrument is compatible with the human rights and freedoms recognised or declared in the international instruments listed in </w:t>
      </w:r>
      <w:r w:rsidR="001E0547">
        <w:t xml:space="preserve">the definition of ‘human rights’ in </w:t>
      </w:r>
      <w:r w:rsidR="00CB2D96" w:rsidRPr="00EA17A6">
        <w:t xml:space="preserve">section 3 of </w:t>
      </w:r>
      <w:r w:rsidR="00CB2D96" w:rsidRPr="00EA17A6">
        <w:rPr>
          <w:iCs/>
        </w:rPr>
        <w:t xml:space="preserve">the </w:t>
      </w:r>
      <w:r w:rsidR="00CB2D96" w:rsidRPr="00EA17A6">
        <w:rPr>
          <w:i/>
          <w:iCs/>
        </w:rPr>
        <w:t>Human Rights (Parliamentary Scrutiny) Act 2011</w:t>
      </w:r>
      <w:r w:rsidR="00CB2D96"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C7B5" w14:textId="77777777" w:rsidR="00DD3FA0" w:rsidRDefault="00DD3FA0" w:rsidP="00715914">
      <w:pPr>
        <w:spacing w:line="240" w:lineRule="auto"/>
      </w:pPr>
      <w:r>
        <w:separator/>
      </w:r>
    </w:p>
  </w:endnote>
  <w:endnote w:type="continuationSeparator" w:id="0">
    <w:p w14:paraId="7598513C" w14:textId="77777777" w:rsidR="00DD3FA0" w:rsidRDefault="00DD3FA0" w:rsidP="00715914">
      <w:pPr>
        <w:spacing w:line="240" w:lineRule="auto"/>
      </w:pPr>
      <w:r>
        <w:continuationSeparator/>
      </w:r>
    </w:p>
  </w:endnote>
  <w:endnote w:type="continuationNotice" w:id="1">
    <w:p w14:paraId="68DB8218" w14:textId="77777777" w:rsidR="00DD3FA0" w:rsidRDefault="00DD3F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3B4F" w14:textId="77777777" w:rsidR="00DD3FA0" w:rsidRDefault="00DD3FA0" w:rsidP="00715914">
      <w:pPr>
        <w:spacing w:line="240" w:lineRule="auto"/>
      </w:pPr>
      <w:r>
        <w:separator/>
      </w:r>
    </w:p>
  </w:footnote>
  <w:footnote w:type="continuationSeparator" w:id="0">
    <w:p w14:paraId="6D3B71E0" w14:textId="77777777" w:rsidR="00DD3FA0" w:rsidRDefault="00DD3FA0" w:rsidP="00715914">
      <w:pPr>
        <w:spacing w:line="240" w:lineRule="auto"/>
      </w:pPr>
      <w:r>
        <w:continuationSeparator/>
      </w:r>
    </w:p>
  </w:footnote>
  <w:footnote w:type="continuationNotice" w:id="1">
    <w:p w14:paraId="5A309F90" w14:textId="77777777" w:rsidR="00DD3FA0" w:rsidRDefault="00DD3F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shd w:val="clear" w:color="auto" w:fill="auto"/>
        </w:tcPr>
        <w:p w14:paraId="4D19EF3A" w14:textId="77777777" w:rsidR="00F4215A" w:rsidRDefault="00F4215A" w:rsidP="00E40FF8">
          <w:pPr>
            <w:pStyle w:val="LI-Header"/>
            <w:pBdr>
              <w:bottom w:val="none" w:sz="0" w:space="0" w:color="auto"/>
            </w:pBdr>
            <w:jc w:val="left"/>
          </w:pPr>
        </w:p>
      </w:tc>
      <w:tc>
        <w:tcPr>
          <w:tcW w:w="4060" w:type="dxa"/>
          <w:shd w:val="clear" w:color="auto" w:fill="auto"/>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F55543"/>
    <w:multiLevelType w:val="hybridMultilevel"/>
    <w:tmpl w:val="9B0CA490"/>
    <w:lvl w:ilvl="0" w:tplc="2514CB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1C441F39"/>
    <w:multiLevelType w:val="hybridMultilevel"/>
    <w:tmpl w:val="7834C2E2"/>
    <w:lvl w:ilvl="0" w:tplc="AEACA968">
      <w:start w:val="14"/>
      <w:numFmt w:val="decimal"/>
      <w:lvlText w:val="%1."/>
      <w:lvlJc w:val="left"/>
      <w:pPr>
        <w:ind w:left="1290" w:hanging="3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4" w15:restartNumberingAfterBreak="0">
    <w:nsid w:val="221D6385"/>
    <w:multiLevelType w:val="hybridMultilevel"/>
    <w:tmpl w:val="DBAE480E"/>
    <w:lvl w:ilvl="0" w:tplc="DD60447C">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26B70058"/>
    <w:multiLevelType w:val="hybridMultilevel"/>
    <w:tmpl w:val="D4509DFE"/>
    <w:lvl w:ilvl="0" w:tplc="6858912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E57431"/>
    <w:multiLevelType w:val="hybridMultilevel"/>
    <w:tmpl w:val="94AAB1EA"/>
    <w:lvl w:ilvl="0" w:tplc="AAEEDECA">
      <w:start w:val="15"/>
      <w:numFmt w:val="decimal"/>
      <w:lvlText w:val="%1."/>
      <w:lvlJc w:val="left"/>
      <w:pPr>
        <w:ind w:left="57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0C5137"/>
    <w:multiLevelType w:val="hybridMultilevel"/>
    <w:tmpl w:val="8708BF68"/>
    <w:lvl w:ilvl="0" w:tplc="0C09000F">
      <w:start w:val="7"/>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F513A22"/>
    <w:multiLevelType w:val="hybridMultilevel"/>
    <w:tmpl w:val="40CA1252"/>
    <w:lvl w:ilvl="0" w:tplc="53D68A32">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469165B3"/>
    <w:multiLevelType w:val="hybridMultilevel"/>
    <w:tmpl w:val="966ADFB0"/>
    <w:lvl w:ilvl="0" w:tplc="CD468C8A">
      <w:start w:val="1"/>
      <w:numFmt w:val="decimal"/>
      <w:lvlText w:val="%1."/>
      <w:lvlJc w:val="left"/>
      <w:pPr>
        <w:ind w:left="570" w:hanging="57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2372A0"/>
    <w:multiLevelType w:val="hybridMultilevel"/>
    <w:tmpl w:val="74EA8E9A"/>
    <w:lvl w:ilvl="0" w:tplc="3EE2D4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EE460A"/>
    <w:multiLevelType w:val="hybridMultilevel"/>
    <w:tmpl w:val="345CF3E6"/>
    <w:lvl w:ilvl="0" w:tplc="FFFFFFFF">
      <w:start w:val="3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5E7F04"/>
    <w:multiLevelType w:val="hybridMultilevel"/>
    <w:tmpl w:val="73A2915C"/>
    <w:lvl w:ilvl="0" w:tplc="E6D2907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E6E7DBF"/>
    <w:multiLevelType w:val="hybridMultilevel"/>
    <w:tmpl w:val="DAAC827C"/>
    <w:lvl w:ilvl="0" w:tplc="AA2038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9F659B"/>
    <w:multiLevelType w:val="hybridMultilevel"/>
    <w:tmpl w:val="4700562C"/>
    <w:lvl w:ilvl="0" w:tplc="397A6B54">
      <w:start w:val="1"/>
      <w:numFmt w:val="decimal"/>
      <w:lvlText w:val="%1."/>
      <w:lvlJc w:val="left"/>
      <w:pPr>
        <w:ind w:left="930" w:hanging="570"/>
      </w:pPr>
      <w:rPr>
        <w:i w:val="0"/>
        <w:i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9E70E73"/>
    <w:multiLevelType w:val="hybridMultilevel"/>
    <w:tmpl w:val="B3E02E68"/>
    <w:lvl w:ilvl="0" w:tplc="3E9C5E28">
      <w:start w:val="9"/>
      <w:numFmt w:val="lowerLetter"/>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8" w15:restartNumberingAfterBreak="0">
    <w:nsid w:val="6BAD1E3B"/>
    <w:multiLevelType w:val="hybridMultilevel"/>
    <w:tmpl w:val="4FB8D92C"/>
    <w:lvl w:ilvl="0" w:tplc="38B6178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511650A"/>
    <w:multiLevelType w:val="hybridMultilevel"/>
    <w:tmpl w:val="61847B8A"/>
    <w:lvl w:ilvl="0" w:tplc="0C09000F">
      <w:start w:val="30"/>
      <w:numFmt w:val="decimal"/>
      <w:lvlText w:val="%1."/>
      <w:lvlJc w:val="left"/>
      <w:pPr>
        <w:ind w:left="863" w:hanging="360"/>
      </w:pPr>
      <w:rPr>
        <w:rFonts w:hint="default"/>
      </w:rPr>
    </w:lvl>
    <w:lvl w:ilvl="1" w:tplc="0C090019" w:tentative="1">
      <w:start w:val="1"/>
      <w:numFmt w:val="lowerLetter"/>
      <w:lvlText w:val="%2."/>
      <w:lvlJc w:val="left"/>
      <w:pPr>
        <w:ind w:left="1583" w:hanging="360"/>
      </w:pPr>
    </w:lvl>
    <w:lvl w:ilvl="2" w:tplc="0C09001B" w:tentative="1">
      <w:start w:val="1"/>
      <w:numFmt w:val="lowerRoman"/>
      <w:lvlText w:val="%3."/>
      <w:lvlJc w:val="right"/>
      <w:pPr>
        <w:ind w:left="2303" w:hanging="180"/>
      </w:pPr>
    </w:lvl>
    <w:lvl w:ilvl="3" w:tplc="0C09000F" w:tentative="1">
      <w:start w:val="1"/>
      <w:numFmt w:val="decimal"/>
      <w:lvlText w:val="%4."/>
      <w:lvlJc w:val="left"/>
      <w:pPr>
        <w:ind w:left="3023" w:hanging="360"/>
      </w:pPr>
    </w:lvl>
    <w:lvl w:ilvl="4" w:tplc="0C090019" w:tentative="1">
      <w:start w:val="1"/>
      <w:numFmt w:val="lowerLetter"/>
      <w:lvlText w:val="%5."/>
      <w:lvlJc w:val="left"/>
      <w:pPr>
        <w:ind w:left="3743" w:hanging="360"/>
      </w:pPr>
    </w:lvl>
    <w:lvl w:ilvl="5" w:tplc="0C09001B" w:tentative="1">
      <w:start w:val="1"/>
      <w:numFmt w:val="lowerRoman"/>
      <w:lvlText w:val="%6."/>
      <w:lvlJc w:val="right"/>
      <w:pPr>
        <w:ind w:left="4463" w:hanging="180"/>
      </w:pPr>
    </w:lvl>
    <w:lvl w:ilvl="6" w:tplc="0C09000F" w:tentative="1">
      <w:start w:val="1"/>
      <w:numFmt w:val="decimal"/>
      <w:lvlText w:val="%7."/>
      <w:lvlJc w:val="left"/>
      <w:pPr>
        <w:ind w:left="5183" w:hanging="360"/>
      </w:pPr>
    </w:lvl>
    <w:lvl w:ilvl="7" w:tplc="0C090019" w:tentative="1">
      <w:start w:val="1"/>
      <w:numFmt w:val="lowerLetter"/>
      <w:lvlText w:val="%8."/>
      <w:lvlJc w:val="left"/>
      <w:pPr>
        <w:ind w:left="5903" w:hanging="360"/>
      </w:pPr>
    </w:lvl>
    <w:lvl w:ilvl="8" w:tplc="0C09001B" w:tentative="1">
      <w:start w:val="1"/>
      <w:numFmt w:val="lowerRoman"/>
      <w:lvlText w:val="%9."/>
      <w:lvlJc w:val="right"/>
      <w:pPr>
        <w:ind w:left="6623" w:hanging="180"/>
      </w:pPr>
    </w:lvl>
  </w:abstractNum>
  <w:abstractNum w:abstractNumId="30" w15:restartNumberingAfterBreak="0">
    <w:nsid w:val="7923050B"/>
    <w:multiLevelType w:val="hybridMultilevel"/>
    <w:tmpl w:val="7718648E"/>
    <w:lvl w:ilvl="0" w:tplc="7CDED712">
      <w:start w:val="29"/>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15:restartNumberingAfterBreak="0">
    <w:nsid w:val="79E05533"/>
    <w:multiLevelType w:val="hybridMultilevel"/>
    <w:tmpl w:val="53AA1FBE"/>
    <w:lvl w:ilvl="0" w:tplc="7E98EF34">
      <w:start w:val="30"/>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7CEF2EB0"/>
    <w:multiLevelType w:val="hybridMultilevel"/>
    <w:tmpl w:val="9F90D8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8"/>
  </w:num>
  <w:num w:numId="12" w16cid:durableId="1380130046">
    <w:abstractNumId w:val="10"/>
  </w:num>
  <w:num w:numId="13" w16cid:durableId="1614940614">
    <w:abstractNumId w:val="11"/>
  </w:num>
  <w:num w:numId="14" w16cid:durableId="1573616542">
    <w:abstractNumId w:val="21"/>
  </w:num>
  <w:num w:numId="15" w16cid:durableId="1189025818">
    <w:abstractNumId w:val="15"/>
  </w:num>
  <w:num w:numId="16" w16cid:durableId="1346398487">
    <w:abstractNumId w:val="25"/>
  </w:num>
  <w:num w:numId="17" w16cid:durableId="1627589058">
    <w:abstractNumId w:val="22"/>
  </w:num>
  <w:num w:numId="18" w16cid:durableId="835849555">
    <w:abstractNumId w:val="20"/>
  </w:num>
  <w:num w:numId="19" w16cid:durableId="117638805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2292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66546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5468951">
    <w:abstractNumId w:val="26"/>
  </w:num>
  <w:num w:numId="23" w16cid:durableId="20116387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803950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94964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3344050">
    <w:abstractNumId w:val="13"/>
  </w:num>
  <w:num w:numId="27" w16cid:durableId="871310836">
    <w:abstractNumId w:val="16"/>
  </w:num>
  <w:num w:numId="28" w16cid:durableId="2048142896">
    <w:abstractNumId w:val="29"/>
  </w:num>
  <w:num w:numId="29" w16cid:durableId="564727932">
    <w:abstractNumId w:val="23"/>
  </w:num>
  <w:num w:numId="30" w16cid:durableId="867445680">
    <w:abstractNumId w:val="19"/>
  </w:num>
  <w:num w:numId="31" w16cid:durableId="200478206">
    <w:abstractNumId w:val="14"/>
  </w:num>
  <w:num w:numId="32" w16cid:durableId="284578337">
    <w:abstractNumId w:val="12"/>
  </w:num>
  <w:num w:numId="33" w16cid:durableId="257176810">
    <w:abstractNumId w:val="31"/>
  </w:num>
  <w:num w:numId="34" w16cid:durableId="19107276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53B"/>
    <w:rsid w:val="00004470"/>
    <w:rsid w:val="00004FB6"/>
    <w:rsid w:val="00005446"/>
    <w:rsid w:val="0000719E"/>
    <w:rsid w:val="000136AF"/>
    <w:rsid w:val="00013B8D"/>
    <w:rsid w:val="0001466D"/>
    <w:rsid w:val="00015719"/>
    <w:rsid w:val="00020823"/>
    <w:rsid w:val="000228C2"/>
    <w:rsid w:val="00023D53"/>
    <w:rsid w:val="000250E5"/>
    <w:rsid w:val="00033344"/>
    <w:rsid w:val="0003395B"/>
    <w:rsid w:val="000340C0"/>
    <w:rsid w:val="00034495"/>
    <w:rsid w:val="000412B7"/>
    <w:rsid w:val="0004319D"/>
    <w:rsid w:val="000437C1"/>
    <w:rsid w:val="000450DF"/>
    <w:rsid w:val="00046B18"/>
    <w:rsid w:val="00050BAE"/>
    <w:rsid w:val="0005365D"/>
    <w:rsid w:val="0005467C"/>
    <w:rsid w:val="000614BF"/>
    <w:rsid w:val="0006250C"/>
    <w:rsid w:val="00066260"/>
    <w:rsid w:val="00066AB3"/>
    <w:rsid w:val="0007561A"/>
    <w:rsid w:val="00075EF5"/>
    <w:rsid w:val="00076B98"/>
    <w:rsid w:val="00080CBA"/>
    <w:rsid w:val="00081794"/>
    <w:rsid w:val="00084FF4"/>
    <w:rsid w:val="00086D49"/>
    <w:rsid w:val="0009334A"/>
    <w:rsid w:val="00095644"/>
    <w:rsid w:val="0009799A"/>
    <w:rsid w:val="000A0487"/>
    <w:rsid w:val="000A0ED3"/>
    <w:rsid w:val="000A137A"/>
    <w:rsid w:val="000A142F"/>
    <w:rsid w:val="000A1B25"/>
    <w:rsid w:val="000A47B3"/>
    <w:rsid w:val="000A534E"/>
    <w:rsid w:val="000A6208"/>
    <w:rsid w:val="000A6C39"/>
    <w:rsid w:val="000B0983"/>
    <w:rsid w:val="000B17BD"/>
    <w:rsid w:val="000B1E6A"/>
    <w:rsid w:val="000B2361"/>
    <w:rsid w:val="000B58FA"/>
    <w:rsid w:val="000B7898"/>
    <w:rsid w:val="000C0470"/>
    <w:rsid w:val="000C095E"/>
    <w:rsid w:val="000C12CE"/>
    <w:rsid w:val="000C293E"/>
    <w:rsid w:val="000C2EF5"/>
    <w:rsid w:val="000C3261"/>
    <w:rsid w:val="000C45C8"/>
    <w:rsid w:val="000C55A0"/>
    <w:rsid w:val="000D041F"/>
    <w:rsid w:val="000D05EF"/>
    <w:rsid w:val="000D2077"/>
    <w:rsid w:val="000D4A51"/>
    <w:rsid w:val="000D4C35"/>
    <w:rsid w:val="000E172B"/>
    <w:rsid w:val="000E174A"/>
    <w:rsid w:val="000E1BA1"/>
    <w:rsid w:val="000E2261"/>
    <w:rsid w:val="000E2A66"/>
    <w:rsid w:val="000E3C2E"/>
    <w:rsid w:val="000E4F64"/>
    <w:rsid w:val="000E5B56"/>
    <w:rsid w:val="000F0790"/>
    <w:rsid w:val="000F0FC4"/>
    <w:rsid w:val="000F21C1"/>
    <w:rsid w:val="000F6918"/>
    <w:rsid w:val="001015E4"/>
    <w:rsid w:val="00102050"/>
    <w:rsid w:val="00102CA6"/>
    <w:rsid w:val="0010745C"/>
    <w:rsid w:val="00107D77"/>
    <w:rsid w:val="0011107B"/>
    <w:rsid w:val="001119A4"/>
    <w:rsid w:val="00112110"/>
    <w:rsid w:val="00112E3C"/>
    <w:rsid w:val="001132CC"/>
    <w:rsid w:val="00113EE6"/>
    <w:rsid w:val="00114AA6"/>
    <w:rsid w:val="00115DD3"/>
    <w:rsid w:val="00116728"/>
    <w:rsid w:val="00116862"/>
    <w:rsid w:val="00122F83"/>
    <w:rsid w:val="00123136"/>
    <w:rsid w:val="00125141"/>
    <w:rsid w:val="0013179E"/>
    <w:rsid w:val="0013216B"/>
    <w:rsid w:val="00132CB3"/>
    <w:rsid w:val="00132CEB"/>
    <w:rsid w:val="0013307C"/>
    <w:rsid w:val="00137F80"/>
    <w:rsid w:val="00141384"/>
    <w:rsid w:val="00142B62"/>
    <w:rsid w:val="001438F6"/>
    <w:rsid w:val="00143A2C"/>
    <w:rsid w:val="00143BCA"/>
    <w:rsid w:val="00146DE1"/>
    <w:rsid w:val="001504C9"/>
    <w:rsid w:val="001506AC"/>
    <w:rsid w:val="00150DDD"/>
    <w:rsid w:val="00152C76"/>
    <w:rsid w:val="00153B32"/>
    <w:rsid w:val="00154A14"/>
    <w:rsid w:val="001552C4"/>
    <w:rsid w:val="001557D6"/>
    <w:rsid w:val="00157B8B"/>
    <w:rsid w:val="001624E1"/>
    <w:rsid w:val="00162A30"/>
    <w:rsid w:val="001633D0"/>
    <w:rsid w:val="00166C2F"/>
    <w:rsid w:val="00167156"/>
    <w:rsid w:val="00170275"/>
    <w:rsid w:val="00171A6E"/>
    <w:rsid w:val="0017265D"/>
    <w:rsid w:val="00175D4A"/>
    <w:rsid w:val="00176B35"/>
    <w:rsid w:val="0017772E"/>
    <w:rsid w:val="0017780B"/>
    <w:rsid w:val="0018039E"/>
    <w:rsid w:val="001809D7"/>
    <w:rsid w:val="00181728"/>
    <w:rsid w:val="00181B53"/>
    <w:rsid w:val="0018443F"/>
    <w:rsid w:val="001863C3"/>
    <w:rsid w:val="0018659E"/>
    <w:rsid w:val="001872DC"/>
    <w:rsid w:val="001903BA"/>
    <w:rsid w:val="001936CE"/>
    <w:rsid w:val="001939E1"/>
    <w:rsid w:val="00194C3E"/>
    <w:rsid w:val="00195382"/>
    <w:rsid w:val="00195BD4"/>
    <w:rsid w:val="00195CE0"/>
    <w:rsid w:val="00195F63"/>
    <w:rsid w:val="001A08C3"/>
    <w:rsid w:val="001A110B"/>
    <w:rsid w:val="001A12EF"/>
    <w:rsid w:val="001A2C5D"/>
    <w:rsid w:val="001B2A59"/>
    <w:rsid w:val="001C03BA"/>
    <w:rsid w:val="001C0F51"/>
    <w:rsid w:val="001C207B"/>
    <w:rsid w:val="001C28DC"/>
    <w:rsid w:val="001C331D"/>
    <w:rsid w:val="001C5A74"/>
    <w:rsid w:val="001C61C5"/>
    <w:rsid w:val="001C6403"/>
    <w:rsid w:val="001C69C4"/>
    <w:rsid w:val="001D37EF"/>
    <w:rsid w:val="001D39A5"/>
    <w:rsid w:val="001D538A"/>
    <w:rsid w:val="001D7252"/>
    <w:rsid w:val="001E0547"/>
    <w:rsid w:val="001E1274"/>
    <w:rsid w:val="001E3590"/>
    <w:rsid w:val="001E4E5A"/>
    <w:rsid w:val="001E4F9A"/>
    <w:rsid w:val="001E69CE"/>
    <w:rsid w:val="001E7407"/>
    <w:rsid w:val="001E77ED"/>
    <w:rsid w:val="001E7E2B"/>
    <w:rsid w:val="001F02B1"/>
    <w:rsid w:val="001F0321"/>
    <w:rsid w:val="001F4ED9"/>
    <w:rsid w:val="001F5D5E"/>
    <w:rsid w:val="001F6219"/>
    <w:rsid w:val="001F6CD4"/>
    <w:rsid w:val="001F7528"/>
    <w:rsid w:val="001F7E0A"/>
    <w:rsid w:val="0020048E"/>
    <w:rsid w:val="002017A4"/>
    <w:rsid w:val="00201F16"/>
    <w:rsid w:val="00202E63"/>
    <w:rsid w:val="00204474"/>
    <w:rsid w:val="00204B72"/>
    <w:rsid w:val="00206C4D"/>
    <w:rsid w:val="002077C0"/>
    <w:rsid w:val="0021053C"/>
    <w:rsid w:val="00210949"/>
    <w:rsid w:val="002118FD"/>
    <w:rsid w:val="00213BB8"/>
    <w:rsid w:val="002157B9"/>
    <w:rsid w:val="00215AF1"/>
    <w:rsid w:val="0021635B"/>
    <w:rsid w:val="002167C3"/>
    <w:rsid w:val="0022047D"/>
    <w:rsid w:val="0022087F"/>
    <w:rsid w:val="00220A36"/>
    <w:rsid w:val="002219AB"/>
    <w:rsid w:val="00222291"/>
    <w:rsid w:val="00223DCF"/>
    <w:rsid w:val="00224FB2"/>
    <w:rsid w:val="002313D2"/>
    <w:rsid w:val="002321E8"/>
    <w:rsid w:val="00235B80"/>
    <w:rsid w:val="00236198"/>
    <w:rsid w:val="00236EEC"/>
    <w:rsid w:val="00237E68"/>
    <w:rsid w:val="0024010F"/>
    <w:rsid w:val="00240749"/>
    <w:rsid w:val="00243018"/>
    <w:rsid w:val="00243EC0"/>
    <w:rsid w:val="00244742"/>
    <w:rsid w:val="00245352"/>
    <w:rsid w:val="00245E9B"/>
    <w:rsid w:val="002506DD"/>
    <w:rsid w:val="00251BA8"/>
    <w:rsid w:val="002524A0"/>
    <w:rsid w:val="002564A4"/>
    <w:rsid w:val="00263D9D"/>
    <w:rsid w:val="00264F7F"/>
    <w:rsid w:val="0026736C"/>
    <w:rsid w:val="002701CD"/>
    <w:rsid w:val="002728F0"/>
    <w:rsid w:val="002728F2"/>
    <w:rsid w:val="00274DF6"/>
    <w:rsid w:val="00281308"/>
    <w:rsid w:val="00281813"/>
    <w:rsid w:val="002827AA"/>
    <w:rsid w:val="002839A1"/>
    <w:rsid w:val="00284719"/>
    <w:rsid w:val="002856B2"/>
    <w:rsid w:val="002876D5"/>
    <w:rsid w:val="00290FF1"/>
    <w:rsid w:val="00293320"/>
    <w:rsid w:val="002948CF"/>
    <w:rsid w:val="0029497A"/>
    <w:rsid w:val="002969F3"/>
    <w:rsid w:val="00297ECB"/>
    <w:rsid w:val="002A01B3"/>
    <w:rsid w:val="002A0437"/>
    <w:rsid w:val="002A1054"/>
    <w:rsid w:val="002A607D"/>
    <w:rsid w:val="002A7328"/>
    <w:rsid w:val="002A7BCF"/>
    <w:rsid w:val="002B1592"/>
    <w:rsid w:val="002B19F3"/>
    <w:rsid w:val="002B1A91"/>
    <w:rsid w:val="002B1E4E"/>
    <w:rsid w:val="002B24BE"/>
    <w:rsid w:val="002B3503"/>
    <w:rsid w:val="002B366A"/>
    <w:rsid w:val="002B3AD5"/>
    <w:rsid w:val="002B48C3"/>
    <w:rsid w:val="002B4A0D"/>
    <w:rsid w:val="002B69AA"/>
    <w:rsid w:val="002B7AFE"/>
    <w:rsid w:val="002C00AA"/>
    <w:rsid w:val="002C0EB9"/>
    <w:rsid w:val="002C1ACF"/>
    <w:rsid w:val="002C6B26"/>
    <w:rsid w:val="002C7B6F"/>
    <w:rsid w:val="002D043A"/>
    <w:rsid w:val="002D074A"/>
    <w:rsid w:val="002D14E9"/>
    <w:rsid w:val="002D4382"/>
    <w:rsid w:val="002D4453"/>
    <w:rsid w:val="002D6224"/>
    <w:rsid w:val="002D77AB"/>
    <w:rsid w:val="002E0C67"/>
    <w:rsid w:val="002E304C"/>
    <w:rsid w:val="002E3F4B"/>
    <w:rsid w:val="002E5473"/>
    <w:rsid w:val="002F0D59"/>
    <w:rsid w:val="002F1B28"/>
    <w:rsid w:val="002F20ED"/>
    <w:rsid w:val="002F4DF8"/>
    <w:rsid w:val="00304F8B"/>
    <w:rsid w:val="0030553B"/>
    <w:rsid w:val="0031098E"/>
    <w:rsid w:val="00310CD4"/>
    <w:rsid w:val="00311536"/>
    <w:rsid w:val="0031157E"/>
    <w:rsid w:val="0031158F"/>
    <w:rsid w:val="003177B2"/>
    <w:rsid w:val="0032114F"/>
    <w:rsid w:val="00322342"/>
    <w:rsid w:val="0032244F"/>
    <w:rsid w:val="00327DDF"/>
    <w:rsid w:val="00330737"/>
    <w:rsid w:val="003317E0"/>
    <w:rsid w:val="003342FF"/>
    <w:rsid w:val="003354D2"/>
    <w:rsid w:val="00335BC6"/>
    <w:rsid w:val="00335D7E"/>
    <w:rsid w:val="003363DC"/>
    <w:rsid w:val="003415D3"/>
    <w:rsid w:val="00342827"/>
    <w:rsid w:val="00342E38"/>
    <w:rsid w:val="00344701"/>
    <w:rsid w:val="0034493C"/>
    <w:rsid w:val="00346917"/>
    <w:rsid w:val="00347855"/>
    <w:rsid w:val="003506AF"/>
    <w:rsid w:val="003528DA"/>
    <w:rsid w:val="00352B0F"/>
    <w:rsid w:val="00356690"/>
    <w:rsid w:val="0035754D"/>
    <w:rsid w:val="00357DD0"/>
    <w:rsid w:val="00360459"/>
    <w:rsid w:val="00362E01"/>
    <w:rsid w:val="00363C8D"/>
    <w:rsid w:val="00365497"/>
    <w:rsid w:val="00366820"/>
    <w:rsid w:val="00367390"/>
    <w:rsid w:val="00370426"/>
    <w:rsid w:val="003705DF"/>
    <w:rsid w:val="003736DE"/>
    <w:rsid w:val="00381651"/>
    <w:rsid w:val="003836FF"/>
    <w:rsid w:val="003864D4"/>
    <w:rsid w:val="003872C7"/>
    <w:rsid w:val="003879D1"/>
    <w:rsid w:val="00387A96"/>
    <w:rsid w:val="00387CA2"/>
    <w:rsid w:val="0039140E"/>
    <w:rsid w:val="003940E3"/>
    <w:rsid w:val="0039699F"/>
    <w:rsid w:val="003972DC"/>
    <w:rsid w:val="003A11D5"/>
    <w:rsid w:val="003A2178"/>
    <w:rsid w:val="003A2A48"/>
    <w:rsid w:val="003A3A5A"/>
    <w:rsid w:val="003A4DC6"/>
    <w:rsid w:val="003A51E9"/>
    <w:rsid w:val="003B1655"/>
    <w:rsid w:val="003B221F"/>
    <w:rsid w:val="003B28C3"/>
    <w:rsid w:val="003B293D"/>
    <w:rsid w:val="003B2D4F"/>
    <w:rsid w:val="003B3593"/>
    <w:rsid w:val="003B3750"/>
    <w:rsid w:val="003B3ACB"/>
    <w:rsid w:val="003B4FDF"/>
    <w:rsid w:val="003B5442"/>
    <w:rsid w:val="003B7201"/>
    <w:rsid w:val="003B732F"/>
    <w:rsid w:val="003C6231"/>
    <w:rsid w:val="003D077C"/>
    <w:rsid w:val="003D0BFE"/>
    <w:rsid w:val="003D3D77"/>
    <w:rsid w:val="003D4F02"/>
    <w:rsid w:val="003D5289"/>
    <w:rsid w:val="003D5700"/>
    <w:rsid w:val="003E0F99"/>
    <w:rsid w:val="003E1009"/>
    <w:rsid w:val="003E1E62"/>
    <w:rsid w:val="003E2D7B"/>
    <w:rsid w:val="003E324D"/>
    <w:rsid w:val="003E341B"/>
    <w:rsid w:val="003E560F"/>
    <w:rsid w:val="003F3EFD"/>
    <w:rsid w:val="00400268"/>
    <w:rsid w:val="0040053F"/>
    <w:rsid w:val="00400550"/>
    <w:rsid w:val="004006B3"/>
    <w:rsid w:val="0040335D"/>
    <w:rsid w:val="00404560"/>
    <w:rsid w:val="00405466"/>
    <w:rsid w:val="00407B78"/>
    <w:rsid w:val="00410E1F"/>
    <w:rsid w:val="00410E25"/>
    <w:rsid w:val="004116CD"/>
    <w:rsid w:val="00411FFC"/>
    <w:rsid w:val="004144EC"/>
    <w:rsid w:val="00414B8F"/>
    <w:rsid w:val="00417EB9"/>
    <w:rsid w:val="00420891"/>
    <w:rsid w:val="00422F89"/>
    <w:rsid w:val="0042479E"/>
    <w:rsid w:val="00424CA9"/>
    <w:rsid w:val="00426EC7"/>
    <w:rsid w:val="00427F79"/>
    <w:rsid w:val="004304E9"/>
    <w:rsid w:val="0043106A"/>
    <w:rsid w:val="0043123C"/>
    <w:rsid w:val="00431E9B"/>
    <w:rsid w:val="004343C4"/>
    <w:rsid w:val="00434B72"/>
    <w:rsid w:val="00435EEF"/>
    <w:rsid w:val="00437415"/>
    <w:rsid w:val="004379E3"/>
    <w:rsid w:val="0044015E"/>
    <w:rsid w:val="00440AC2"/>
    <w:rsid w:val="0044291A"/>
    <w:rsid w:val="00442B03"/>
    <w:rsid w:val="0044328E"/>
    <w:rsid w:val="00444ABD"/>
    <w:rsid w:val="00447836"/>
    <w:rsid w:val="00447DB4"/>
    <w:rsid w:val="0045007F"/>
    <w:rsid w:val="00450CA3"/>
    <w:rsid w:val="00452909"/>
    <w:rsid w:val="00457591"/>
    <w:rsid w:val="00460F1D"/>
    <w:rsid w:val="004613F1"/>
    <w:rsid w:val="00462A8B"/>
    <w:rsid w:val="00465DC1"/>
    <w:rsid w:val="004667CC"/>
    <w:rsid w:val="00467661"/>
    <w:rsid w:val="004705B7"/>
    <w:rsid w:val="00472DBE"/>
    <w:rsid w:val="0047468E"/>
    <w:rsid w:val="00474A19"/>
    <w:rsid w:val="00474B52"/>
    <w:rsid w:val="00475354"/>
    <w:rsid w:val="004774E5"/>
    <w:rsid w:val="00481C24"/>
    <w:rsid w:val="00481F6A"/>
    <w:rsid w:val="004823C0"/>
    <w:rsid w:val="0048276B"/>
    <w:rsid w:val="00484979"/>
    <w:rsid w:val="00485A97"/>
    <w:rsid w:val="00485E8D"/>
    <w:rsid w:val="00491D03"/>
    <w:rsid w:val="00493406"/>
    <w:rsid w:val="004942B4"/>
    <w:rsid w:val="00495D4D"/>
    <w:rsid w:val="00496B5F"/>
    <w:rsid w:val="00496F97"/>
    <w:rsid w:val="004A4010"/>
    <w:rsid w:val="004A44FC"/>
    <w:rsid w:val="004A5F2D"/>
    <w:rsid w:val="004B2E25"/>
    <w:rsid w:val="004B36D9"/>
    <w:rsid w:val="004B5B44"/>
    <w:rsid w:val="004B704D"/>
    <w:rsid w:val="004C1CB1"/>
    <w:rsid w:val="004C30E4"/>
    <w:rsid w:val="004C4590"/>
    <w:rsid w:val="004C69F7"/>
    <w:rsid w:val="004D48B9"/>
    <w:rsid w:val="004D61AE"/>
    <w:rsid w:val="004D6B17"/>
    <w:rsid w:val="004D7E7F"/>
    <w:rsid w:val="004E063A"/>
    <w:rsid w:val="004E45F0"/>
    <w:rsid w:val="004E7521"/>
    <w:rsid w:val="004E7BEC"/>
    <w:rsid w:val="004F3A78"/>
    <w:rsid w:val="004F5811"/>
    <w:rsid w:val="004F7584"/>
    <w:rsid w:val="0050044F"/>
    <w:rsid w:val="00500A8F"/>
    <w:rsid w:val="00502900"/>
    <w:rsid w:val="005039B7"/>
    <w:rsid w:val="0050507F"/>
    <w:rsid w:val="00505D3D"/>
    <w:rsid w:val="00506AF6"/>
    <w:rsid w:val="00507335"/>
    <w:rsid w:val="005108EB"/>
    <w:rsid w:val="00511B05"/>
    <w:rsid w:val="0051241A"/>
    <w:rsid w:val="0051243B"/>
    <w:rsid w:val="00516B8D"/>
    <w:rsid w:val="00517E56"/>
    <w:rsid w:val="00517EEF"/>
    <w:rsid w:val="005200A0"/>
    <w:rsid w:val="00526F1C"/>
    <w:rsid w:val="00531414"/>
    <w:rsid w:val="00532049"/>
    <w:rsid w:val="00533D5E"/>
    <w:rsid w:val="005356A7"/>
    <w:rsid w:val="00536184"/>
    <w:rsid w:val="00537514"/>
    <w:rsid w:val="00537FBC"/>
    <w:rsid w:val="005430C8"/>
    <w:rsid w:val="0054393B"/>
    <w:rsid w:val="005439A5"/>
    <w:rsid w:val="00545A33"/>
    <w:rsid w:val="00547561"/>
    <w:rsid w:val="00550952"/>
    <w:rsid w:val="00550CA6"/>
    <w:rsid w:val="005518EA"/>
    <w:rsid w:val="00552119"/>
    <w:rsid w:val="00555E59"/>
    <w:rsid w:val="00556E12"/>
    <w:rsid w:val="005574D1"/>
    <w:rsid w:val="00557E87"/>
    <w:rsid w:val="00561ABB"/>
    <w:rsid w:val="005622D6"/>
    <w:rsid w:val="005657FE"/>
    <w:rsid w:val="00566529"/>
    <w:rsid w:val="00567906"/>
    <w:rsid w:val="005707B3"/>
    <w:rsid w:val="00570C8A"/>
    <w:rsid w:val="00572BB1"/>
    <w:rsid w:val="005745C5"/>
    <w:rsid w:val="00574CB6"/>
    <w:rsid w:val="0057670F"/>
    <w:rsid w:val="00581B52"/>
    <w:rsid w:val="00581BCD"/>
    <w:rsid w:val="00582710"/>
    <w:rsid w:val="00583230"/>
    <w:rsid w:val="00584228"/>
    <w:rsid w:val="00584625"/>
    <w:rsid w:val="00584811"/>
    <w:rsid w:val="0058540E"/>
    <w:rsid w:val="00585784"/>
    <w:rsid w:val="00591DD1"/>
    <w:rsid w:val="00591EDA"/>
    <w:rsid w:val="00592D08"/>
    <w:rsid w:val="00593AA6"/>
    <w:rsid w:val="00594161"/>
    <w:rsid w:val="00594749"/>
    <w:rsid w:val="005947FC"/>
    <w:rsid w:val="005A04CE"/>
    <w:rsid w:val="005A1265"/>
    <w:rsid w:val="005A1E35"/>
    <w:rsid w:val="005A390E"/>
    <w:rsid w:val="005B28BD"/>
    <w:rsid w:val="005B3336"/>
    <w:rsid w:val="005B4067"/>
    <w:rsid w:val="005B58CC"/>
    <w:rsid w:val="005B780C"/>
    <w:rsid w:val="005C0A66"/>
    <w:rsid w:val="005C17A6"/>
    <w:rsid w:val="005C3F41"/>
    <w:rsid w:val="005C5504"/>
    <w:rsid w:val="005C6A00"/>
    <w:rsid w:val="005C7E94"/>
    <w:rsid w:val="005D0489"/>
    <w:rsid w:val="005D1214"/>
    <w:rsid w:val="005D1770"/>
    <w:rsid w:val="005D1B5E"/>
    <w:rsid w:val="005D1FEA"/>
    <w:rsid w:val="005D2D09"/>
    <w:rsid w:val="005D38A0"/>
    <w:rsid w:val="005D3D41"/>
    <w:rsid w:val="005D4644"/>
    <w:rsid w:val="005D540B"/>
    <w:rsid w:val="005D5559"/>
    <w:rsid w:val="005D7B85"/>
    <w:rsid w:val="005E2D6C"/>
    <w:rsid w:val="005E4810"/>
    <w:rsid w:val="005E6A48"/>
    <w:rsid w:val="005F1DB6"/>
    <w:rsid w:val="005F4140"/>
    <w:rsid w:val="005F4999"/>
    <w:rsid w:val="005F4A61"/>
    <w:rsid w:val="005F65CD"/>
    <w:rsid w:val="00600219"/>
    <w:rsid w:val="00601955"/>
    <w:rsid w:val="006021F1"/>
    <w:rsid w:val="0060273A"/>
    <w:rsid w:val="0060305C"/>
    <w:rsid w:val="00603DC4"/>
    <w:rsid w:val="00604BE0"/>
    <w:rsid w:val="00607A71"/>
    <w:rsid w:val="0061032A"/>
    <w:rsid w:val="00610709"/>
    <w:rsid w:val="006114D9"/>
    <w:rsid w:val="006117CB"/>
    <w:rsid w:val="006118C1"/>
    <w:rsid w:val="00620076"/>
    <w:rsid w:val="0062087A"/>
    <w:rsid w:val="00623008"/>
    <w:rsid w:val="00626005"/>
    <w:rsid w:val="00630D79"/>
    <w:rsid w:val="0063363D"/>
    <w:rsid w:val="00633CA2"/>
    <w:rsid w:val="00634044"/>
    <w:rsid w:val="0063502E"/>
    <w:rsid w:val="00640161"/>
    <w:rsid w:val="00640CCB"/>
    <w:rsid w:val="006428EC"/>
    <w:rsid w:val="006445BF"/>
    <w:rsid w:val="00644FE5"/>
    <w:rsid w:val="00651087"/>
    <w:rsid w:val="00652769"/>
    <w:rsid w:val="00653339"/>
    <w:rsid w:val="006546C6"/>
    <w:rsid w:val="00654E3A"/>
    <w:rsid w:val="0065542F"/>
    <w:rsid w:val="006554FF"/>
    <w:rsid w:val="006624F6"/>
    <w:rsid w:val="00662817"/>
    <w:rsid w:val="00663C2F"/>
    <w:rsid w:val="00664C03"/>
    <w:rsid w:val="00665046"/>
    <w:rsid w:val="00665555"/>
    <w:rsid w:val="00666EA9"/>
    <w:rsid w:val="006674C8"/>
    <w:rsid w:val="00670259"/>
    <w:rsid w:val="00670752"/>
    <w:rsid w:val="00670EA1"/>
    <w:rsid w:val="0067487A"/>
    <w:rsid w:val="0067550C"/>
    <w:rsid w:val="00677CC2"/>
    <w:rsid w:val="00680852"/>
    <w:rsid w:val="00680978"/>
    <w:rsid w:val="006852A3"/>
    <w:rsid w:val="00685557"/>
    <w:rsid w:val="00685EB8"/>
    <w:rsid w:val="00687748"/>
    <w:rsid w:val="006905DE"/>
    <w:rsid w:val="006916CA"/>
    <w:rsid w:val="0069207B"/>
    <w:rsid w:val="006938BC"/>
    <w:rsid w:val="00693F29"/>
    <w:rsid w:val="006A1C04"/>
    <w:rsid w:val="006A3D70"/>
    <w:rsid w:val="006A43AA"/>
    <w:rsid w:val="006A49CC"/>
    <w:rsid w:val="006A540A"/>
    <w:rsid w:val="006B1CF1"/>
    <w:rsid w:val="006B45AD"/>
    <w:rsid w:val="006B512E"/>
    <w:rsid w:val="006B5789"/>
    <w:rsid w:val="006B777D"/>
    <w:rsid w:val="006C007B"/>
    <w:rsid w:val="006C25AE"/>
    <w:rsid w:val="006C30C5"/>
    <w:rsid w:val="006C3602"/>
    <w:rsid w:val="006C48FA"/>
    <w:rsid w:val="006C60AD"/>
    <w:rsid w:val="006C7F8C"/>
    <w:rsid w:val="006D08C9"/>
    <w:rsid w:val="006D19C2"/>
    <w:rsid w:val="006D466D"/>
    <w:rsid w:val="006D5F63"/>
    <w:rsid w:val="006D6079"/>
    <w:rsid w:val="006D7D91"/>
    <w:rsid w:val="006E15E2"/>
    <w:rsid w:val="006E3538"/>
    <w:rsid w:val="006E3818"/>
    <w:rsid w:val="006E4634"/>
    <w:rsid w:val="006E4F3C"/>
    <w:rsid w:val="006E5320"/>
    <w:rsid w:val="006E5ACF"/>
    <w:rsid w:val="006E6246"/>
    <w:rsid w:val="006F318F"/>
    <w:rsid w:val="006F4226"/>
    <w:rsid w:val="006F582D"/>
    <w:rsid w:val="0070017E"/>
    <w:rsid w:val="0070051F"/>
    <w:rsid w:val="00700B2C"/>
    <w:rsid w:val="00702B99"/>
    <w:rsid w:val="00702EFD"/>
    <w:rsid w:val="007031B4"/>
    <w:rsid w:val="0070502F"/>
    <w:rsid w:val="007050A2"/>
    <w:rsid w:val="00705C97"/>
    <w:rsid w:val="00713084"/>
    <w:rsid w:val="0071399B"/>
    <w:rsid w:val="00714F20"/>
    <w:rsid w:val="0071523A"/>
    <w:rsid w:val="0071590F"/>
    <w:rsid w:val="00715914"/>
    <w:rsid w:val="007165EA"/>
    <w:rsid w:val="00716D56"/>
    <w:rsid w:val="007170F2"/>
    <w:rsid w:val="007179A9"/>
    <w:rsid w:val="007213DA"/>
    <w:rsid w:val="00723029"/>
    <w:rsid w:val="00726262"/>
    <w:rsid w:val="007318B2"/>
    <w:rsid w:val="00731E00"/>
    <w:rsid w:val="00736840"/>
    <w:rsid w:val="00741740"/>
    <w:rsid w:val="00741EE8"/>
    <w:rsid w:val="00742A28"/>
    <w:rsid w:val="00743A2D"/>
    <w:rsid w:val="0074409E"/>
    <w:rsid w:val="007440B7"/>
    <w:rsid w:val="00744676"/>
    <w:rsid w:val="007500C8"/>
    <w:rsid w:val="007507D2"/>
    <w:rsid w:val="00750F03"/>
    <w:rsid w:val="00751CA0"/>
    <w:rsid w:val="0075501A"/>
    <w:rsid w:val="00755AA0"/>
    <w:rsid w:val="00756272"/>
    <w:rsid w:val="007568D4"/>
    <w:rsid w:val="00757636"/>
    <w:rsid w:val="0076326E"/>
    <w:rsid w:val="00763333"/>
    <w:rsid w:val="00764954"/>
    <w:rsid w:val="00765001"/>
    <w:rsid w:val="00765863"/>
    <w:rsid w:val="007662B5"/>
    <w:rsid w:val="0076681A"/>
    <w:rsid w:val="00767DD0"/>
    <w:rsid w:val="007714B9"/>
    <w:rsid w:val="007715C9"/>
    <w:rsid w:val="00771613"/>
    <w:rsid w:val="00774EDD"/>
    <w:rsid w:val="0077506D"/>
    <w:rsid w:val="007757EC"/>
    <w:rsid w:val="00777004"/>
    <w:rsid w:val="00777C92"/>
    <w:rsid w:val="00781475"/>
    <w:rsid w:val="00783E89"/>
    <w:rsid w:val="007842CE"/>
    <w:rsid w:val="00785A9E"/>
    <w:rsid w:val="00786E40"/>
    <w:rsid w:val="00787F20"/>
    <w:rsid w:val="00790466"/>
    <w:rsid w:val="0079327A"/>
    <w:rsid w:val="00793915"/>
    <w:rsid w:val="00794802"/>
    <w:rsid w:val="00794DFD"/>
    <w:rsid w:val="00795A79"/>
    <w:rsid w:val="007968ED"/>
    <w:rsid w:val="00797061"/>
    <w:rsid w:val="007A1372"/>
    <w:rsid w:val="007A2F26"/>
    <w:rsid w:val="007A5F10"/>
    <w:rsid w:val="007A7926"/>
    <w:rsid w:val="007B28B6"/>
    <w:rsid w:val="007B4A6F"/>
    <w:rsid w:val="007B4C4F"/>
    <w:rsid w:val="007B558F"/>
    <w:rsid w:val="007B5C63"/>
    <w:rsid w:val="007C0926"/>
    <w:rsid w:val="007C2253"/>
    <w:rsid w:val="007C346B"/>
    <w:rsid w:val="007C4E60"/>
    <w:rsid w:val="007C4EB1"/>
    <w:rsid w:val="007C6866"/>
    <w:rsid w:val="007C79C8"/>
    <w:rsid w:val="007D230B"/>
    <w:rsid w:val="007D3D7A"/>
    <w:rsid w:val="007E163D"/>
    <w:rsid w:val="007E2636"/>
    <w:rsid w:val="007E2EBE"/>
    <w:rsid w:val="007E32C8"/>
    <w:rsid w:val="007E667A"/>
    <w:rsid w:val="007E7495"/>
    <w:rsid w:val="007E7D51"/>
    <w:rsid w:val="007F28C9"/>
    <w:rsid w:val="007F36EA"/>
    <w:rsid w:val="007F6FA5"/>
    <w:rsid w:val="00802F7A"/>
    <w:rsid w:val="0080312D"/>
    <w:rsid w:val="00803587"/>
    <w:rsid w:val="00803F70"/>
    <w:rsid w:val="00805344"/>
    <w:rsid w:val="008065B6"/>
    <w:rsid w:val="0080744C"/>
    <w:rsid w:val="008117E9"/>
    <w:rsid w:val="0081335B"/>
    <w:rsid w:val="00815235"/>
    <w:rsid w:val="00820228"/>
    <w:rsid w:val="00820EF1"/>
    <w:rsid w:val="00824498"/>
    <w:rsid w:val="00824BEC"/>
    <w:rsid w:val="00825DDE"/>
    <w:rsid w:val="008300FB"/>
    <w:rsid w:val="0083308F"/>
    <w:rsid w:val="00834170"/>
    <w:rsid w:val="008346A0"/>
    <w:rsid w:val="00835179"/>
    <w:rsid w:val="008356AC"/>
    <w:rsid w:val="00837463"/>
    <w:rsid w:val="00840442"/>
    <w:rsid w:val="00842D1C"/>
    <w:rsid w:val="008443D3"/>
    <w:rsid w:val="0084535D"/>
    <w:rsid w:val="00845DC3"/>
    <w:rsid w:val="008471F7"/>
    <w:rsid w:val="00850403"/>
    <w:rsid w:val="008504D6"/>
    <w:rsid w:val="00851EF9"/>
    <w:rsid w:val="00852058"/>
    <w:rsid w:val="008527C0"/>
    <w:rsid w:val="00852B49"/>
    <w:rsid w:val="00856841"/>
    <w:rsid w:val="00856A31"/>
    <w:rsid w:val="00857ADC"/>
    <w:rsid w:val="00857D49"/>
    <w:rsid w:val="00860B58"/>
    <w:rsid w:val="0086184D"/>
    <w:rsid w:val="0086320E"/>
    <w:rsid w:val="00863657"/>
    <w:rsid w:val="00865B3B"/>
    <w:rsid w:val="00866E1F"/>
    <w:rsid w:val="00866E98"/>
    <w:rsid w:val="0086735C"/>
    <w:rsid w:val="00867B37"/>
    <w:rsid w:val="008718DD"/>
    <w:rsid w:val="00872D4A"/>
    <w:rsid w:val="008754D0"/>
    <w:rsid w:val="00876599"/>
    <w:rsid w:val="00877B39"/>
    <w:rsid w:val="00880025"/>
    <w:rsid w:val="008855C9"/>
    <w:rsid w:val="0088580E"/>
    <w:rsid w:val="00885B49"/>
    <w:rsid w:val="00886456"/>
    <w:rsid w:val="008870F5"/>
    <w:rsid w:val="0089376A"/>
    <w:rsid w:val="008945E0"/>
    <w:rsid w:val="00894D98"/>
    <w:rsid w:val="0089527F"/>
    <w:rsid w:val="00897303"/>
    <w:rsid w:val="008975F1"/>
    <w:rsid w:val="008A2068"/>
    <w:rsid w:val="008A35BE"/>
    <w:rsid w:val="008A362B"/>
    <w:rsid w:val="008A46E1"/>
    <w:rsid w:val="008A4F43"/>
    <w:rsid w:val="008A7195"/>
    <w:rsid w:val="008B09E5"/>
    <w:rsid w:val="008B24A0"/>
    <w:rsid w:val="008B2706"/>
    <w:rsid w:val="008B2AB1"/>
    <w:rsid w:val="008B65A4"/>
    <w:rsid w:val="008C08FF"/>
    <w:rsid w:val="008C0B21"/>
    <w:rsid w:val="008C0B3C"/>
    <w:rsid w:val="008C0E1D"/>
    <w:rsid w:val="008C0F29"/>
    <w:rsid w:val="008C1A1A"/>
    <w:rsid w:val="008C22BD"/>
    <w:rsid w:val="008C575F"/>
    <w:rsid w:val="008C69D6"/>
    <w:rsid w:val="008D0B74"/>
    <w:rsid w:val="008D0EE0"/>
    <w:rsid w:val="008D2666"/>
    <w:rsid w:val="008D31C7"/>
    <w:rsid w:val="008D3422"/>
    <w:rsid w:val="008D3BAF"/>
    <w:rsid w:val="008E39F3"/>
    <w:rsid w:val="008E6067"/>
    <w:rsid w:val="008E7A5B"/>
    <w:rsid w:val="008F04F5"/>
    <w:rsid w:val="008F54E7"/>
    <w:rsid w:val="008F5BA5"/>
    <w:rsid w:val="009016BE"/>
    <w:rsid w:val="00903422"/>
    <w:rsid w:val="00912A58"/>
    <w:rsid w:val="00912A89"/>
    <w:rsid w:val="009157B9"/>
    <w:rsid w:val="00915DF9"/>
    <w:rsid w:val="00915E44"/>
    <w:rsid w:val="00921363"/>
    <w:rsid w:val="009236F5"/>
    <w:rsid w:val="009254C3"/>
    <w:rsid w:val="00926940"/>
    <w:rsid w:val="00927141"/>
    <w:rsid w:val="00930A0A"/>
    <w:rsid w:val="00932377"/>
    <w:rsid w:val="00933C0A"/>
    <w:rsid w:val="00934243"/>
    <w:rsid w:val="00934A45"/>
    <w:rsid w:val="00934E8D"/>
    <w:rsid w:val="00935A37"/>
    <w:rsid w:val="00940BB9"/>
    <w:rsid w:val="00943698"/>
    <w:rsid w:val="009443E9"/>
    <w:rsid w:val="009460DC"/>
    <w:rsid w:val="00946759"/>
    <w:rsid w:val="009467EA"/>
    <w:rsid w:val="00947D5A"/>
    <w:rsid w:val="00950F67"/>
    <w:rsid w:val="009532A5"/>
    <w:rsid w:val="00955175"/>
    <w:rsid w:val="0095528E"/>
    <w:rsid w:val="009561B3"/>
    <w:rsid w:val="009576FB"/>
    <w:rsid w:val="00962C0F"/>
    <w:rsid w:val="009634D0"/>
    <w:rsid w:val="00964A23"/>
    <w:rsid w:val="0096753E"/>
    <w:rsid w:val="00967CD4"/>
    <w:rsid w:val="00970FCB"/>
    <w:rsid w:val="0097300B"/>
    <w:rsid w:val="00975CCF"/>
    <w:rsid w:val="00977CB4"/>
    <w:rsid w:val="00982242"/>
    <w:rsid w:val="0098332F"/>
    <w:rsid w:val="009868E9"/>
    <w:rsid w:val="0098764D"/>
    <w:rsid w:val="009923C9"/>
    <w:rsid w:val="009942DF"/>
    <w:rsid w:val="009944E6"/>
    <w:rsid w:val="00995339"/>
    <w:rsid w:val="00995540"/>
    <w:rsid w:val="0099664F"/>
    <w:rsid w:val="009A2319"/>
    <w:rsid w:val="009A3A6F"/>
    <w:rsid w:val="009A3F74"/>
    <w:rsid w:val="009A49C9"/>
    <w:rsid w:val="009A5DA6"/>
    <w:rsid w:val="009B11CC"/>
    <w:rsid w:val="009B2B91"/>
    <w:rsid w:val="009B40AB"/>
    <w:rsid w:val="009B735F"/>
    <w:rsid w:val="009C2791"/>
    <w:rsid w:val="009C28CF"/>
    <w:rsid w:val="009C49A9"/>
    <w:rsid w:val="009D006F"/>
    <w:rsid w:val="009D15EE"/>
    <w:rsid w:val="009D17B5"/>
    <w:rsid w:val="009D1818"/>
    <w:rsid w:val="009D195A"/>
    <w:rsid w:val="009D1973"/>
    <w:rsid w:val="009D28E6"/>
    <w:rsid w:val="009D460D"/>
    <w:rsid w:val="009D5FBB"/>
    <w:rsid w:val="009D742B"/>
    <w:rsid w:val="009D7469"/>
    <w:rsid w:val="009D7993"/>
    <w:rsid w:val="009E1BE5"/>
    <w:rsid w:val="009E3A13"/>
    <w:rsid w:val="009E56C9"/>
    <w:rsid w:val="009E5CBC"/>
    <w:rsid w:val="009E5CFC"/>
    <w:rsid w:val="009E6EEC"/>
    <w:rsid w:val="009E75A7"/>
    <w:rsid w:val="009F15F6"/>
    <w:rsid w:val="009F6A56"/>
    <w:rsid w:val="009F7B8A"/>
    <w:rsid w:val="00A01AAC"/>
    <w:rsid w:val="00A03AF1"/>
    <w:rsid w:val="00A079CB"/>
    <w:rsid w:val="00A10DCA"/>
    <w:rsid w:val="00A12128"/>
    <w:rsid w:val="00A12834"/>
    <w:rsid w:val="00A12F48"/>
    <w:rsid w:val="00A14050"/>
    <w:rsid w:val="00A14F6A"/>
    <w:rsid w:val="00A15512"/>
    <w:rsid w:val="00A15758"/>
    <w:rsid w:val="00A17EA0"/>
    <w:rsid w:val="00A22C98"/>
    <w:rsid w:val="00A231E2"/>
    <w:rsid w:val="00A25211"/>
    <w:rsid w:val="00A26A5B"/>
    <w:rsid w:val="00A279CF"/>
    <w:rsid w:val="00A32FB2"/>
    <w:rsid w:val="00A33316"/>
    <w:rsid w:val="00A33B48"/>
    <w:rsid w:val="00A33D55"/>
    <w:rsid w:val="00A34412"/>
    <w:rsid w:val="00A362DD"/>
    <w:rsid w:val="00A365D9"/>
    <w:rsid w:val="00A367BD"/>
    <w:rsid w:val="00A37040"/>
    <w:rsid w:val="00A40424"/>
    <w:rsid w:val="00A441F2"/>
    <w:rsid w:val="00A44C99"/>
    <w:rsid w:val="00A45FA5"/>
    <w:rsid w:val="00A462AB"/>
    <w:rsid w:val="00A463FB"/>
    <w:rsid w:val="00A52B0F"/>
    <w:rsid w:val="00A559B3"/>
    <w:rsid w:val="00A5632E"/>
    <w:rsid w:val="00A57759"/>
    <w:rsid w:val="00A6095E"/>
    <w:rsid w:val="00A63D72"/>
    <w:rsid w:val="00A641BF"/>
    <w:rsid w:val="00A64912"/>
    <w:rsid w:val="00A64913"/>
    <w:rsid w:val="00A664F1"/>
    <w:rsid w:val="00A66E9C"/>
    <w:rsid w:val="00A67E68"/>
    <w:rsid w:val="00A7076D"/>
    <w:rsid w:val="00A70A74"/>
    <w:rsid w:val="00A71A4E"/>
    <w:rsid w:val="00A71D2A"/>
    <w:rsid w:val="00A865C5"/>
    <w:rsid w:val="00A904C2"/>
    <w:rsid w:val="00A9081B"/>
    <w:rsid w:val="00A91966"/>
    <w:rsid w:val="00A93C66"/>
    <w:rsid w:val="00AA0237"/>
    <w:rsid w:val="00AA2BA9"/>
    <w:rsid w:val="00AA373F"/>
    <w:rsid w:val="00AA5412"/>
    <w:rsid w:val="00AA66AC"/>
    <w:rsid w:val="00AA7365"/>
    <w:rsid w:val="00AA78FE"/>
    <w:rsid w:val="00AB148F"/>
    <w:rsid w:val="00AB1DE8"/>
    <w:rsid w:val="00AB69D9"/>
    <w:rsid w:val="00AC0886"/>
    <w:rsid w:val="00AC1D36"/>
    <w:rsid w:val="00AC241E"/>
    <w:rsid w:val="00AC2FAD"/>
    <w:rsid w:val="00AC41F7"/>
    <w:rsid w:val="00AC5222"/>
    <w:rsid w:val="00AC62DE"/>
    <w:rsid w:val="00AC7E89"/>
    <w:rsid w:val="00AD02B8"/>
    <w:rsid w:val="00AD052E"/>
    <w:rsid w:val="00AD0966"/>
    <w:rsid w:val="00AD1F73"/>
    <w:rsid w:val="00AD5315"/>
    <w:rsid w:val="00AD5641"/>
    <w:rsid w:val="00AD57D1"/>
    <w:rsid w:val="00AD7889"/>
    <w:rsid w:val="00AE06E8"/>
    <w:rsid w:val="00AE0984"/>
    <w:rsid w:val="00AE2858"/>
    <w:rsid w:val="00AE2C15"/>
    <w:rsid w:val="00AE4B51"/>
    <w:rsid w:val="00AE4B5F"/>
    <w:rsid w:val="00AE787B"/>
    <w:rsid w:val="00AF021B"/>
    <w:rsid w:val="00AF06CF"/>
    <w:rsid w:val="00AF2DC3"/>
    <w:rsid w:val="00AF3BA7"/>
    <w:rsid w:val="00AF505E"/>
    <w:rsid w:val="00AF546E"/>
    <w:rsid w:val="00AF59FD"/>
    <w:rsid w:val="00B01E91"/>
    <w:rsid w:val="00B03EDD"/>
    <w:rsid w:val="00B04305"/>
    <w:rsid w:val="00B04BDE"/>
    <w:rsid w:val="00B06E75"/>
    <w:rsid w:val="00B07CDB"/>
    <w:rsid w:val="00B1089A"/>
    <w:rsid w:val="00B10D5C"/>
    <w:rsid w:val="00B15A67"/>
    <w:rsid w:val="00B15A88"/>
    <w:rsid w:val="00B167D9"/>
    <w:rsid w:val="00B16A31"/>
    <w:rsid w:val="00B16E0B"/>
    <w:rsid w:val="00B17DFD"/>
    <w:rsid w:val="00B20F6D"/>
    <w:rsid w:val="00B226A5"/>
    <w:rsid w:val="00B241DB"/>
    <w:rsid w:val="00B244A9"/>
    <w:rsid w:val="00B2709B"/>
    <w:rsid w:val="00B2799D"/>
    <w:rsid w:val="00B27C9E"/>
    <w:rsid w:val="00B27E1E"/>
    <w:rsid w:val="00B30633"/>
    <w:rsid w:val="00B3079B"/>
    <w:rsid w:val="00B308FE"/>
    <w:rsid w:val="00B3247B"/>
    <w:rsid w:val="00B327B9"/>
    <w:rsid w:val="00B33709"/>
    <w:rsid w:val="00B33B3C"/>
    <w:rsid w:val="00B33BD1"/>
    <w:rsid w:val="00B342F3"/>
    <w:rsid w:val="00B35465"/>
    <w:rsid w:val="00B3767E"/>
    <w:rsid w:val="00B42815"/>
    <w:rsid w:val="00B43249"/>
    <w:rsid w:val="00B436FB"/>
    <w:rsid w:val="00B450A6"/>
    <w:rsid w:val="00B47037"/>
    <w:rsid w:val="00B47813"/>
    <w:rsid w:val="00B50032"/>
    <w:rsid w:val="00B50ADC"/>
    <w:rsid w:val="00B566B1"/>
    <w:rsid w:val="00B56BCD"/>
    <w:rsid w:val="00B577C8"/>
    <w:rsid w:val="00B61A9E"/>
    <w:rsid w:val="00B62531"/>
    <w:rsid w:val="00B63276"/>
    <w:rsid w:val="00B63834"/>
    <w:rsid w:val="00B63836"/>
    <w:rsid w:val="00B63A58"/>
    <w:rsid w:val="00B63CE1"/>
    <w:rsid w:val="00B66CEE"/>
    <w:rsid w:val="00B67B75"/>
    <w:rsid w:val="00B72734"/>
    <w:rsid w:val="00B7690B"/>
    <w:rsid w:val="00B77144"/>
    <w:rsid w:val="00B775FC"/>
    <w:rsid w:val="00B77CD7"/>
    <w:rsid w:val="00B80199"/>
    <w:rsid w:val="00B82D81"/>
    <w:rsid w:val="00B83204"/>
    <w:rsid w:val="00B84BD5"/>
    <w:rsid w:val="00B85899"/>
    <w:rsid w:val="00B86E42"/>
    <w:rsid w:val="00B908DD"/>
    <w:rsid w:val="00B9126E"/>
    <w:rsid w:val="00B93E4F"/>
    <w:rsid w:val="00B94479"/>
    <w:rsid w:val="00BA1321"/>
    <w:rsid w:val="00BA15E7"/>
    <w:rsid w:val="00BA1CB6"/>
    <w:rsid w:val="00BA220B"/>
    <w:rsid w:val="00BA3A57"/>
    <w:rsid w:val="00BA3BB9"/>
    <w:rsid w:val="00BB0B88"/>
    <w:rsid w:val="00BB4588"/>
    <w:rsid w:val="00BB4DB6"/>
    <w:rsid w:val="00BB4E1A"/>
    <w:rsid w:val="00BB5C17"/>
    <w:rsid w:val="00BC015E"/>
    <w:rsid w:val="00BC7183"/>
    <w:rsid w:val="00BC76AC"/>
    <w:rsid w:val="00BD0ECB"/>
    <w:rsid w:val="00BD0F9E"/>
    <w:rsid w:val="00BD19EE"/>
    <w:rsid w:val="00BD2707"/>
    <w:rsid w:val="00BD7864"/>
    <w:rsid w:val="00BD7C9C"/>
    <w:rsid w:val="00BE12BE"/>
    <w:rsid w:val="00BE2155"/>
    <w:rsid w:val="00BE2213"/>
    <w:rsid w:val="00BE25E0"/>
    <w:rsid w:val="00BE4987"/>
    <w:rsid w:val="00BE49E3"/>
    <w:rsid w:val="00BE560C"/>
    <w:rsid w:val="00BE6EF9"/>
    <w:rsid w:val="00BE719A"/>
    <w:rsid w:val="00BE720A"/>
    <w:rsid w:val="00BF0D73"/>
    <w:rsid w:val="00BF2465"/>
    <w:rsid w:val="00BF4E04"/>
    <w:rsid w:val="00BF4F81"/>
    <w:rsid w:val="00BF75C9"/>
    <w:rsid w:val="00C02E90"/>
    <w:rsid w:val="00C0544A"/>
    <w:rsid w:val="00C06AC9"/>
    <w:rsid w:val="00C06DDA"/>
    <w:rsid w:val="00C07984"/>
    <w:rsid w:val="00C11384"/>
    <w:rsid w:val="00C11452"/>
    <w:rsid w:val="00C11B56"/>
    <w:rsid w:val="00C12945"/>
    <w:rsid w:val="00C12D0A"/>
    <w:rsid w:val="00C13734"/>
    <w:rsid w:val="00C17457"/>
    <w:rsid w:val="00C17A33"/>
    <w:rsid w:val="00C17E47"/>
    <w:rsid w:val="00C2044A"/>
    <w:rsid w:val="00C21BC6"/>
    <w:rsid w:val="00C21EE4"/>
    <w:rsid w:val="00C23CA4"/>
    <w:rsid w:val="00C25966"/>
    <w:rsid w:val="00C25E7F"/>
    <w:rsid w:val="00C2746F"/>
    <w:rsid w:val="00C324A0"/>
    <w:rsid w:val="00C3300F"/>
    <w:rsid w:val="00C34287"/>
    <w:rsid w:val="00C345D9"/>
    <w:rsid w:val="00C34E77"/>
    <w:rsid w:val="00C35875"/>
    <w:rsid w:val="00C35DAF"/>
    <w:rsid w:val="00C37272"/>
    <w:rsid w:val="00C377D1"/>
    <w:rsid w:val="00C37833"/>
    <w:rsid w:val="00C3798B"/>
    <w:rsid w:val="00C4170B"/>
    <w:rsid w:val="00C42BF8"/>
    <w:rsid w:val="00C45171"/>
    <w:rsid w:val="00C47D01"/>
    <w:rsid w:val="00C50043"/>
    <w:rsid w:val="00C500E1"/>
    <w:rsid w:val="00C50B97"/>
    <w:rsid w:val="00C52134"/>
    <w:rsid w:val="00C52720"/>
    <w:rsid w:val="00C52E7C"/>
    <w:rsid w:val="00C56DF7"/>
    <w:rsid w:val="00C61B61"/>
    <w:rsid w:val="00C632B5"/>
    <w:rsid w:val="00C6434E"/>
    <w:rsid w:val="00C66444"/>
    <w:rsid w:val="00C70CA8"/>
    <w:rsid w:val="00C7163B"/>
    <w:rsid w:val="00C73705"/>
    <w:rsid w:val="00C7573B"/>
    <w:rsid w:val="00C76C18"/>
    <w:rsid w:val="00C7761F"/>
    <w:rsid w:val="00C85C46"/>
    <w:rsid w:val="00C85FDA"/>
    <w:rsid w:val="00C86366"/>
    <w:rsid w:val="00C86B32"/>
    <w:rsid w:val="00C92DCE"/>
    <w:rsid w:val="00C93C03"/>
    <w:rsid w:val="00C94F2F"/>
    <w:rsid w:val="00C9528E"/>
    <w:rsid w:val="00CA0B59"/>
    <w:rsid w:val="00CA344A"/>
    <w:rsid w:val="00CA66DC"/>
    <w:rsid w:val="00CA68B2"/>
    <w:rsid w:val="00CB0677"/>
    <w:rsid w:val="00CB2C8E"/>
    <w:rsid w:val="00CB2D96"/>
    <w:rsid w:val="00CB602E"/>
    <w:rsid w:val="00CB75AC"/>
    <w:rsid w:val="00CC3AEC"/>
    <w:rsid w:val="00CC699F"/>
    <w:rsid w:val="00CD2E90"/>
    <w:rsid w:val="00CE0149"/>
    <w:rsid w:val="00CE051D"/>
    <w:rsid w:val="00CE1335"/>
    <w:rsid w:val="00CE3D2A"/>
    <w:rsid w:val="00CE493D"/>
    <w:rsid w:val="00CE4A80"/>
    <w:rsid w:val="00CE541A"/>
    <w:rsid w:val="00CE5966"/>
    <w:rsid w:val="00CE6664"/>
    <w:rsid w:val="00CE6D42"/>
    <w:rsid w:val="00CF07FA"/>
    <w:rsid w:val="00CF0BB2"/>
    <w:rsid w:val="00CF13A7"/>
    <w:rsid w:val="00CF237B"/>
    <w:rsid w:val="00CF3EE8"/>
    <w:rsid w:val="00CF45D8"/>
    <w:rsid w:val="00CF5313"/>
    <w:rsid w:val="00CF74F9"/>
    <w:rsid w:val="00D00498"/>
    <w:rsid w:val="00D0103D"/>
    <w:rsid w:val="00D01D37"/>
    <w:rsid w:val="00D01DE2"/>
    <w:rsid w:val="00D050E6"/>
    <w:rsid w:val="00D06F50"/>
    <w:rsid w:val="00D0743B"/>
    <w:rsid w:val="00D12834"/>
    <w:rsid w:val="00D131D3"/>
    <w:rsid w:val="00D13441"/>
    <w:rsid w:val="00D150E7"/>
    <w:rsid w:val="00D15783"/>
    <w:rsid w:val="00D15F9B"/>
    <w:rsid w:val="00D20A4B"/>
    <w:rsid w:val="00D23514"/>
    <w:rsid w:val="00D23CBF"/>
    <w:rsid w:val="00D243F1"/>
    <w:rsid w:val="00D25DA1"/>
    <w:rsid w:val="00D27B2E"/>
    <w:rsid w:val="00D306F8"/>
    <w:rsid w:val="00D3188F"/>
    <w:rsid w:val="00D32BEA"/>
    <w:rsid w:val="00D32F65"/>
    <w:rsid w:val="00D33542"/>
    <w:rsid w:val="00D341C4"/>
    <w:rsid w:val="00D401AB"/>
    <w:rsid w:val="00D41032"/>
    <w:rsid w:val="00D41A47"/>
    <w:rsid w:val="00D41EF5"/>
    <w:rsid w:val="00D4216D"/>
    <w:rsid w:val="00D439B4"/>
    <w:rsid w:val="00D442A2"/>
    <w:rsid w:val="00D45A9B"/>
    <w:rsid w:val="00D52DC2"/>
    <w:rsid w:val="00D53BCC"/>
    <w:rsid w:val="00D54CDC"/>
    <w:rsid w:val="00D55E4E"/>
    <w:rsid w:val="00D57115"/>
    <w:rsid w:val="00D57484"/>
    <w:rsid w:val="00D57953"/>
    <w:rsid w:val="00D60A8B"/>
    <w:rsid w:val="00D60D42"/>
    <w:rsid w:val="00D646EF"/>
    <w:rsid w:val="00D648BB"/>
    <w:rsid w:val="00D702DE"/>
    <w:rsid w:val="00D70DFB"/>
    <w:rsid w:val="00D732EC"/>
    <w:rsid w:val="00D73C22"/>
    <w:rsid w:val="00D74291"/>
    <w:rsid w:val="00D74768"/>
    <w:rsid w:val="00D750FF"/>
    <w:rsid w:val="00D766DF"/>
    <w:rsid w:val="00D81CD3"/>
    <w:rsid w:val="00D84022"/>
    <w:rsid w:val="00D925AD"/>
    <w:rsid w:val="00D948CB"/>
    <w:rsid w:val="00D954EC"/>
    <w:rsid w:val="00D96471"/>
    <w:rsid w:val="00D97A99"/>
    <w:rsid w:val="00DA186E"/>
    <w:rsid w:val="00DA4116"/>
    <w:rsid w:val="00DA53E8"/>
    <w:rsid w:val="00DA60DF"/>
    <w:rsid w:val="00DA6938"/>
    <w:rsid w:val="00DA6B87"/>
    <w:rsid w:val="00DA7685"/>
    <w:rsid w:val="00DA79EB"/>
    <w:rsid w:val="00DA7CC2"/>
    <w:rsid w:val="00DA7CE7"/>
    <w:rsid w:val="00DB05DC"/>
    <w:rsid w:val="00DB18BB"/>
    <w:rsid w:val="00DB251C"/>
    <w:rsid w:val="00DB38AD"/>
    <w:rsid w:val="00DB4630"/>
    <w:rsid w:val="00DB51FD"/>
    <w:rsid w:val="00DC08E2"/>
    <w:rsid w:val="00DC1135"/>
    <w:rsid w:val="00DC4445"/>
    <w:rsid w:val="00DC4F88"/>
    <w:rsid w:val="00DC6E61"/>
    <w:rsid w:val="00DC7563"/>
    <w:rsid w:val="00DC7DD3"/>
    <w:rsid w:val="00DD10E8"/>
    <w:rsid w:val="00DD2017"/>
    <w:rsid w:val="00DD3FA0"/>
    <w:rsid w:val="00DD79B5"/>
    <w:rsid w:val="00DE0A85"/>
    <w:rsid w:val="00DE1855"/>
    <w:rsid w:val="00DE332C"/>
    <w:rsid w:val="00DE5A66"/>
    <w:rsid w:val="00DE79F9"/>
    <w:rsid w:val="00DF0542"/>
    <w:rsid w:val="00DF16DE"/>
    <w:rsid w:val="00DF1DF2"/>
    <w:rsid w:val="00DF2945"/>
    <w:rsid w:val="00DF29C8"/>
    <w:rsid w:val="00DF2F14"/>
    <w:rsid w:val="00DF395E"/>
    <w:rsid w:val="00DF63BF"/>
    <w:rsid w:val="00DF6CB2"/>
    <w:rsid w:val="00E024F0"/>
    <w:rsid w:val="00E02963"/>
    <w:rsid w:val="00E05704"/>
    <w:rsid w:val="00E05AA1"/>
    <w:rsid w:val="00E06CC3"/>
    <w:rsid w:val="00E078DC"/>
    <w:rsid w:val="00E10FCA"/>
    <w:rsid w:val="00E11E44"/>
    <w:rsid w:val="00E13AFA"/>
    <w:rsid w:val="00E15B5B"/>
    <w:rsid w:val="00E17B27"/>
    <w:rsid w:val="00E17B9D"/>
    <w:rsid w:val="00E17F12"/>
    <w:rsid w:val="00E2168B"/>
    <w:rsid w:val="00E21F03"/>
    <w:rsid w:val="00E232E7"/>
    <w:rsid w:val="00E23D46"/>
    <w:rsid w:val="00E23E18"/>
    <w:rsid w:val="00E2514B"/>
    <w:rsid w:val="00E26BA1"/>
    <w:rsid w:val="00E26C71"/>
    <w:rsid w:val="00E275CA"/>
    <w:rsid w:val="00E27804"/>
    <w:rsid w:val="00E3031F"/>
    <w:rsid w:val="00E338EF"/>
    <w:rsid w:val="00E361DB"/>
    <w:rsid w:val="00E40FF8"/>
    <w:rsid w:val="00E4257C"/>
    <w:rsid w:val="00E42DCA"/>
    <w:rsid w:val="00E436BB"/>
    <w:rsid w:val="00E44162"/>
    <w:rsid w:val="00E474F9"/>
    <w:rsid w:val="00E50A8E"/>
    <w:rsid w:val="00E51A30"/>
    <w:rsid w:val="00E525D9"/>
    <w:rsid w:val="00E52F73"/>
    <w:rsid w:val="00E544BB"/>
    <w:rsid w:val="00E578EC"/>
    <w:rsid w:val="00E60423"/>
    <w:rsid w:val="00E61807"/>
    <w:rsid w:val="00E627C8"/>
    <w:rsid w:val="00E640BB"/>
    <w:rsid w:val="00E649D7"/>
    <w:rsid w:val="00E662CB"/>
    <w:rsid w:val="00E668F0"/>
    <w:rsid w:val="00E67A2D"/>
    <w:rsid w:val="00E707BC"/>
    <w:rsid w:val="00E71920"/>
    <w:rsid w:val="00E72A4A"/>
    <w:rsid w:val="00E74DC7"/>
    <w:rsid w:val="00E75A66"/>
    <w:rsid w:val="00E75E85"/>
    <w:rsid w:val="00E8075A"/>
    <w:rsid w:val="00E80A06"/>
    <w:rsid w:val="00E818A6"/>
    <w:rsid w:val="00E82E17"/>
    <w:rsid w:val="00E84045"/>
    <w:rsid w:val="00E845F0"/>
    <w:rsid w:val="00E85A91"/>
    <w:rsid w:val="00E86AD9"/>
    <w:rsid w:val="00E87718"/>
    <w:rsid w:val="00E90884"/>
    <w:rsid w:val="00E91574"/>
    <w:rsid w:val="00E928BF"/>
    <w:rsid w:val="00E94460"/>
    <w:rsid w:val="00E94D5E"/>
    <w:rsid w:val="00E9649E"/>
    <w:rsid w:val="00E97E17"/>
    <w:rsid w:val="00EA0BF6"/>
    <w:rsid w:val="00EA17A6"/>
    <w:rsid w:val="00EA4C3F"/>
    <w:rsid w:val="00EA7100"/>
    <w:rsid w:val="00EA7F9F"/>
    <w:rsid w:val="00EB0E70"/>
    <w:rsid w:val="00EB1274"/>
    <w:rsid w:val="00EB22EE"/>
    <w:rsid w:val="00EB6110"/>
    <w:rsid w:val="00EC0982"/>
    <w:rsid w:val="00EC1B18"/>
    <w:rsid w:val="00EC327A"/>
    <w:rsid w:val="00EC35A8"/>
    <w:rsid w:val="00EC3C60"/>
    <w:rsid w:val="00EC437D"/>
    <w:rsid w:val="00EC4757"/>
    <w:rsid w:val="00EC4DBB"/>
    <w:rsid w:val="00EC6D63"/>
    <w:rsid w:val="00EC7EDB"/>
    <w:rsid w:val="00ED14FB"/>
    <w:rsid w:val="00ED2BB6"/>
    <w:rsid w:val="00ED34E1"/>
    <w:rsid w:val="00ED3B8D"/>
    <w:rsid w:val="00ED5A3B"/>
    <w:rsid w:val="00ED61D5"/>
    <w:rsid w:val="00ED746D"/>
    <w:rsid w:val="00ED796D"/>
    <w:rsid w:val="00ED7CC7"/>
    <w:rsid w:val="00EE1CE9"/>
    <w:rsid w:val="00EE2CC2"/>
    <w:rsid w:val="00EE35E3"/>
    <w:rsid w:val="00EE5265"/>
    <w:rsid w:val="00EE6D1D"/>
    <w:rsid w:val="00EE73DD"/>
    <w:rsid w:val="00EF15D3"/>
    <w:rsid w:val="00EF2E3A"/>
    <w:rsid w:val="00EF4758"/>
    <w:rsid w:val="00EF4D4D"/>
    <w:rsid w:val="00EF5B9F"/>
    <w:rsid w:val="00EF65E1"/>
    <w:rsid w:val="00F002DF"/>
    <w:rsid w:val="00F0082D"/>
    <w:rsid w:val="00F026F2"/>
    <w:rsid w:val="00F02A9B"/>
    <w:rsid w:val="00F02EF9"/>
    <w:rsid w:val="00F03BB5"/>
    <w:rsid w:val="00F047D8"/>
    <w:rsid w:val="00F053C6"/>
    <w:rsid w:val="00F05FAA"/>
    <w:rsid w:val="00F068E8"/>
    <w:rsid w:val="00F072A7"/>
    <w:rsid w:val="00F078DC"/>
    <w:rsid w:val="00F10D19"/>
    <w:rsid w:val="00F123BE"/>
    <w:rsid w:val="00F12644"/>
    <w:rsid w:val="00F13AD6"/>
    <w:rsid w:val="00F14593"/>
    <w:rsid w:val="00F16385"/>
    <w:rsid w:val="00F171A1"/>
    <w:rsid w:val="00F17C8E"/>
    <w:rsid w:val="00F21687"/>
    <w:rsid w:val="00F24ECD"/>
    <w:rsid w:val="00F25923"/>
    <w:rsid w:val="00F26687"/>
    <w:rsid w:val="00F26B5E"/>
    <w:rsid w:val="00F32943"/>
    <w:rsid w:val="00F32BA8"/>
    <w:rsid w:val="00F349F1"/>
    <w:rsid w:val="00F351E3"/>
    <w:rsid w:val="00F35ADF"/>
    <w:rsid w:val="00F36259"/>
    <w:rsid w:val="00F4215A"/>
    <w:rsid w:val="00F4350D"/>
    <w:rsid w:val="00F43C7F"/>
    <w:rsid w:val="00F45C97"/>
    <w:rsid w:val="00F46947"/>
    <w:rsid w:val="00F5033D"/>
    <w:rsid w:val="00F50532"/>
    <w:rsid w:val="00F5116D"/>
    <w:rsid w:val="00F51F5C"/>
    <w:rsid w:val="00F52CA6"/>
    <w:rsid w:val="00F550EA"/>
    <w:rsid w:val="00F55135"/>
    <w:rsid w:val="00F5655D"/>
    <w:rsid w:val="00F567F7"/>
    <w:rsid w:val="00F568CA"/>
    <w:rsid w:val="00F60419"/>
    <w:rsid w:val="00F60DF4"/>
    <w:rsid w:val="00F6185F"/>
    <w:rsid w:val="00F61A66"/>
    <w:rsid w:val="00F61B09"/>
    <w:rsid w:val="00F61FEA"/>
    <w:rsid w:val="00F62036"/>
    <w:rsid w:val="00F62129"/>
    <w:rsid w:val="00F65B52"/>
    <w:rsid w:val="00F670B7"/>
    <w:rsid w:val="00F6725F"/>
    <w:rsid w:val="00F67BCA"/>
    <w:rsid w:val="00F70282"/>
    <w:rsid w:val="00F70BC1"/>
    <w:rsid w:val="00F719D3"/>
    <w:rsid w:val="00F7206E"/>
    <w:rsid w:val="00F73BD6"/>
    <w:rsid w:val="00F74B58"/>
    <w:rsid w:val="00F800C9"/>
    <w:rsid w:val="00F83989"/>
    <w:rsid w:val="00F83FBD"/>
    <w:rsid w:val="00F84063"/>
    <w:rsid w:val="00F85099"/>
    <w:rsid w:val="00F87E83"/>
    <w:rsid w:val="00F90460"/>
    <w:rsid w:val="00F9379C"/>
    <w:rsid w:val="00F9632C"/>
    <w:rsid w:val="00F96CE3"/>
    <w:rsid w:val="00FA13A8"/>
    <w:rsid w:val="00FA1E52"/>
    <w:rsid w:val="00FA31DE"/>
    <w:rsid w:val="00FA4348"/>
    <w:rsid w:val="00FA60F7"/>
    <w:rsid w:val="00FA6DCB"/>
    <w:rsid w:val="00FA76AB"/>
    <w:rsid w:val="00FA7D17"/>
    <w:rsid w:val="00FB1E29"/>
    <w:rsid w:val="00FB39DA"/>
    <w:rsid w:val="00FB5DC2"/>
    <w:rsid w:val="00FB633A"/>
    <w:rsid w:val="00FC0B93"/>
    <w:rsid w:val="00FC16C5"/>
    <w:rsid w:val="00FC2467"/>
    <w:rsid w:val="00FC3EB8"/>
    <w:rsid w:val="00FC43B9"/>
    <w:rsid w:val="00FC4E44"/>
    <w:rsid w:val="00FC6992"/>
    <w:rsid w:val="00FC6D88"/>
    <w:rsid w:val="00FC772D"/>
    <w:rsid w:val="00FC7D25"/>
    <w:rsid w:val="00FD0C73"/>
    <w:rsid w:val="00FD13CC"/>
    <w:rsid w:val="00FD2E53"/>
    <w:rsid w:val="00FE236A"/>
    <w:rsid w:val="00FE2FB8"/>
    <w:rsid w:val="00FE315B"/>
    <w:rsid w:val="00FE3D2D"/>
    <w:rsid w:val="00FE4688"/>
    <w:rsid w:val="00FE72D6"/>
    <w:rsid w:val="00FE752C"/>
    <w:rsid w:val="00FE768A"/>
    <w:rsid w:val="00FE79D0"/>
    <w:rsid w:val="00FF24FE"/>
    <w:rsid w:val="00FF3858"/>
    <w:rsid w:val="00FF4AA7"/>
    <w:rsid w:val="00FF6E63"/>
    <w:rsid w:val="00FF7FCB"/>
    <w:rsid w:val="256ECE0C"/>
    <w:rsid w:val="75378D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7809C512-2DC1-4EE2-B7D5-D7F42541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nhideWhenUsed/>
    <w:rsid w:val="00D702DE"/>
    <w:rPr>
      <w:sz w:val="20"/>
    </w:rPr>
  </w:style>
  <w:style w:type="character" w:customStyle="1" w:styleId="CommentTextChar">
    <w:name w:val="Comment Text Char"/>
    <w:link w:val="CommentText"/>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BB0B88"/>
    <w:pPr>
      <w:spacing w:line="240" w:lineRule="auto"/>
      <w:ind w:left="720"/>
      <w:contextualSpacing/>
    </w:pPr>
    <w:rPr>
      <w:rFonts w:eastAsia="Times New Roman"/>
      <w:sz w:val="24"/>
      <w:szCs w:val="24"/>
    </w:rPr>
  </w:style>
  <w:style w:type="paragraph" w:styleId="Revision">
    <w:name w:val="Revision"/>
    <w:hidden/>
    <w:uiPriority w:val="99"/>
    <w:semiHidden/>
    <w:rsid w:val="0086184D"/>
    <w:rPr>
      <w:sz w:val="22"/>
      <w:lang w:eastAsia="en-US"/>
    </w:rPr>
  </w:style>
  <w:style w:type="character" w:styleId="UnresolvedMention">
    <w:name w:val="Unresolved Mention"/>
    <w:basedOn w:val="DefaultParagraphFont"/>
    <w:uiPriority w:val="99"/>
    <w:semiHidden/>
    <w:unhideWhenUsed/>
    <w:rsid w:val="00347855"/>
    <w:rPr>
      <w:color w:val="605E5C"/>
      <w:shd w:val="clear" w:color="auto" w:fill="E1DFDD"/>
    </w:rPr>
  </w:style>
  <w:style w:type="paragraph" w:styleId="FootnoteText">
    <w:name w:val="footnote text"/>
    <w:basedOn w:val="Normal"/>
    <w:link w:val="FootnoteTextChar"/>
    <w:uiPriority w:val="99"/>
    <w:semiHidden/>
    <w:unhideWhenUsed/>
    <w:rsid w:val="00591EDA"/>
    <w:pPr>
      <w:spacing w:line="240" w:lineRule="auto"/>
    </w:pPr>
    <w:rPr>
      <w:rFonts w:eastAsia="Times New Roman"/>
      <w:sz w:val="20"/>
    </w:rPr>
  </w:style>
  <w:style w:type="character" w:customStyle="1" w:styleId="FootnoteTextChar">
    <w:name w:val="Footnote Text Char"/>
    <w:basedOn w:val="DefaultParagraphFont"/>
    <w:link w:val="FootnoteText"/>
    <w:uiPriority w:val="99"/>
    <w:semiHidden/>
    <w:rsid w:val="00591EDA"/>
    <w:rPr>
      <w:rFonts w:eastAsia="Times New Roman"/>
      <w:lang w:eastAsia="en-US"/>
    </w:rPr>
  </w:style>
  <w:style w:type="character" w:styleId="FootnoteReference">
    <w:name w:val="footnote reference"/>
    <w:uiPriority w:val="99"/>
    <w:semiHidden/>
    <w:unhideWhenUsed/>
    <w:rsid w:val="00591EDA"/>
    <w:rPr>
      <w:vertAlign w:val="superscript"/>
    </w:rPr>
  </w:style>
  <w:style w:type="character" w:styleId="FollowedHyperlink">
    <w:name w:val="FollowedHyperlink"/>
    <w:basedOn w:val="DefaultParagraphFont"/>
    <w:uiPriority w:val="99"/>
    <w:semiHidden/>
    <w:unhideWhenUsed/>
    <w:rsid w:val="00E840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224">
      <w:bodyDiv w:val="1"/>
      <w:marLeft w:val="0"/>
      <w:marRight w:val="0"/>
      <w:marTop w:val="0"/>
      <w:marBottom w:val="0"/>
      <w:divBdr>
        <w:top w:val="none" w:sz="0" w:space="0" w:color="auto"/>
        <w:left w:val="none" w:sz="0" w:space="0" w:color="auto"/>
        <w:bottom w:val="none" w:sz="0" w:space="0" w:color="auto"/>
        <w:right w:val="none" w:sz="0" w:space="0" w:color="auto"/>
      </w:divBdr>
    </w:div>
    <w:div w:id="57441388">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151339374">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913513685">
      <w:bodyDiv w:val="1"/>
      <w:marLeft w:val="0"/>
      <w:marRight w:val="0"/>
      <w:marTop w:val="0"/>
      <w:marBottom w:val="0"/>
      <w:divBdr>
        <w:top w:val="none" w:sz="0" w:space="0" w:color="auto"/>
        <w:left w:val="none" w:sz="0" w:space="0" w:color="auto"/>
        <w:bottom w:val="none" w:sz="0" w:space="0" w:color="auto"/>
        <w:right w:val="none" w:sz="0" w:space="0" w:color="auto"/>
      </w:divBdr>
    </w:div>
    <w:div w:id="924917496">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64413038">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494030289">
      <w:bodyDiv w:val="1"/>
      <w:marLeft w:val="0"/>
      <w:marRight w:val="0"/>
      <w:marTop w:val="0"/>
      <w:marBottom w:val="0"/>
      <w:divBdr>
        <w:top w:val="none" w:sz="0" w:space="0" w:color="auto"/>
        <w:left w:val="none" w:sz="0" w:space="0" w:color="auto"/>
        <w:bottom w:val="none" w:sz="0" w:space="0" w:color="auto"/>
        <w:right w:val="none" w:sz="0" w:space="0" w:color="auto"/>
      </w:divBdr>
    </w:div>
    <w:div w:id="1618024520">
      <w:bodyDiv w:val="1"/>
      <w:marLeft w:val="0"/>
      <w:marRight w:val="0"/>
      <w:marTop w:val="0"/>
      <w:marBottom w:val="0"/>
      <w:divBdr>
        <w:top w:val="none" w:sz="0" w:space="0" w:color="auto"/>
        <w:left w:val="none" w:sz="0" w:space="0" w:color="auto"/>
        <w:bottom w:val="none" w:sz="0" w:space="0" w:color="auto"/>
        <w:right w:val="none" w:sz="0" w:space="0" w:color="auto"/>
      </w:divBdr>
    </w:div>
    <w:div w:id="1816097351">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05160186">
      <w:bodyDiv w:val="1"/>
      <w:marLeft w:val="0"/>
      <w:marRight w:val="0"/>
      <w:marTop w:val="0"/>
      <w:marBottom w:val="0"/>
      <w:divBdr>
        <w:top w:val="none" w:sz="0" w:space="0" w:color="auto"/>
        <w:left w:val="none" w:sz="0" w:space="0" w:color="auto"/>
        <w:bottom w:val="none" w:sz="0" w:space="0" w:color="auto"/>
        <w:right w:val="none" w:sz="0" w:space="0" w:color="auto"/>
      </w:divBdr>
    </w:div>
    <w:div w:id="2045279800">
      <w:bodyDiv w:val="1"/>
      <w:marLeft w:val="0"/>
      <w:marRight w:val="0"/>
      <w:marTop w:val="0"/>
      <w:marBottom w:val="0"/>
      <w:divBdr>
        <w:top w:val="none" w:sz="0" w:space="0" w:color="auto"/>
        <w:left w:val="none" w:sz="0" w:space="0" w:color="auto"/>
        <w:bottom w:val="none" w:sz="0" w:space="0" w:color="auto"/>
        <w:right w:val="none" w:sz="0" w:space="0" w:color="auto"/>
      </w:divBdr>
    </w:div>
    <w:div w:id="21361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67329D49EF2FE94BA16D9A9FA4C7C5E9" ma:contentTypeVersion="25" ma:contentTypeDescription="Create a new document." ma:contentTypeScope="" ma:versionID="4eee952142d321facbb1fde01d01d759">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TaxCatchAll xmlns="db2b92ca-6ed0-4085-802d-4c686a2e8c3f">
      <Value>5</Value>
    </TaxCatchAll>
    <_dlc_DocId xmlns="6d01ba57-bcb9-4c1f-9f73-80759da4b854">010950-786086710-687</_dlc_DocId>
    <_dlc_DocIdUrl xmlns="6d01ba57-bcb9-4c1f-9f73-80759da4b854">
      <Url>https://asiclink.sharepoint.com/teams/010950/_layouts/15/DocIdRedir.aspx?ID=010950-786086710-687</Url>
      <Description>010950-786086710-687</Description>
    </_dlc_DocIdUrl>
  </documentManagement>
</p:properties>
</file>

<file path=customXml/itemProps1.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2.xml><?xml version="1.0" encoding="utf-8"?>
<ds:datastoreItem xmlns:ds="http://schemas.openxmlformats.org/officeDocument/2006/customXml" ds:itemID="{75812537-A2D5-4760-9E34-7EF9A2FB3A08}">
  <ds:schemaRefs>
    <ds:schemaRef ds:uri="Microsoft.SharePoint.Taxonomy.ContentTypeSync"/>
  </ds:schemaRefs>
</ds:datastoreItem>
</file>

<file path=customXml/itemProps3.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4.xml><?xml version="1.0" encoding="utf-8"?>
<ds:datastoreItem xmlns:ds="http://schemas.openxmlformats.org/officeDocument/2006/customXml" ds:itemID="{D2934C5B-2C4A-4712-B17D-A9441D51C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6.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7.xml><?xml version="1.0" encoding="utf-8"?>
<ds:datastoreItem xmlns:ds="http://schemas.openxmlformats.org/officeDocument/2006/customXml" ds:itemID="{A954CD4F-4ADE-45EC-8760-0728E2692B40}">
  <ds:schemaRefs>
    <ds:schemaRef ds:uri="http://purl.org/dc/terms/"/>
    <ds:schemaRef ds:uri="http://schemas.openxmlformats.org/package/2006/metadata/core-properties"/>
    <ds:schemaRef ds:uri="http://schemas.microsoft.com/office/2006/documentManagement/types"/>
    <ds:schemaRef ds:uri="6d01ba57-bcb9-4c1f-9f73-80759da4b854"/>
    <ds:schemaRef ds:uri="http://purl.org/dc/elements/1.1/"/>
    <ds:schemaRef ds:uri="http://schemas.microsoft.com/office/2006/metadata/properties"/>
    <ds:schemaRef ds:uri="http://schemas.microsoft.com/office/infopath/2007/PartnerControls"/>
    <ds:schemaRef ds:uri="db2b92ca-6ed0-4085-802d-4c686a2e8c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10</Pages>
  <Words>3352</Words>
  <Characters>19111</Characters>
  <Application>Microsoft Office Word</Application>
  <DocSecurity>0</DocSecurity>
  <PresentationFormat/>
  <Lines>159</Lines>
  <Paragraphs>44</Paragraphs>
  <ScaleCrop>false</ScaleCrop>
  <Company>ASIC</Company>
  <LinksUpToDate>false</LinksUpToDate>
  <CharactersWithSpaces>22419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7</cp:revision>
  <cp:lastPrinted>2019-01-04T16:56:00Z</cp:lastPrinted>
  <dcterms:created xsi:type="dcterms:W3CDTF">2024-09-23T01:08:00Z</dcterms:created>
  <dcterms:modified xsi:type="dcterms:W3CDTF">2024-09-24T00:29:00Z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5;#Sensitive|19fd2cb8-3e97-4464-ae71-8c2c2095d028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60081f63-7497-4cca-a21d-a429d403f23a</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0x010100B5F685A1365F544391EF8C813B164F3A0067329D49EF2FE94BA16D9A9FA4C7C5E9</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y fmtid="{D5CDD505-2E9C-101B-9397-08002B2CF9AE}" pid="72" name="MediaServiceImageTags">
    <vt:lpwstr/>
  </property>
  <property fmtid="{D5CDD505-2E9C-101B-9397-08002B2CF9AE}" pid="73" name="lcf76f155ced4ddcb4097134ff3c332f">
    <vt:lpwstr/>
  </property>
</Properties>
</file>